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44"/>
          <w:szCs w:val="44"/>
          <w:lang w:eastAsia="zh-CN"/>
        </w:rPr>
      </w:pPr>
      <w:bookmarkStart w:id="0" w:name="_Hlk528156679"/>
      <w:r>
        <w:rPr>
          <w:rFonts w:hint="eastAsia"/>
          <w:b/>
          <w:bCs/>
          <w:sz w:val="44"/>
          <w:szCs w:val="44"/>
          <w:lang w:eastAsia="zh-CN"/>
        </w:rPr>
        <w:drawing>
          <wp:inline distT="0" distB="0" distL="114300" distR="114300">
            <wp:extent cx="5340350" cy="7117080"/>
            <wp:effectExtent l="0" t="0" r="12700" b="7620"/>
            <wp:docPr id="3" name="图片 3" descr="885bc19cac7d64c48e2ce688ba68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885bc19cac7d64c48e2ce688ba68041"/>
                    <pic:cNvPicPr>
                      <a:picLocks noChangeAspect="1"/>
                    </pic:cNvPicPr>
                  </pic:nvPicPr>
                  <pic:blipFill>
                    <a:blip r:embed="rId6">
                      <a:lum bright="30000"/>
                    </a:blip>
                    <a:stretch>
                      <a:fillRect/>
                    </a:stretch>
                  </pic:blipFill>
                  <pic:spPr>
                    <a:xfrm>
                      <a:off x="0" y="0"/>
                      <a:ext cx="5340350" cy="7117080"/>
                    </a:xfrm>
                    <a:prstGeom prst="rect">
                      <a:avLst/>
                    </a:prstGeom>
                  </pic:spPr>
                </pic:pic>
              </a:graphicData>
            </a:graphic>
          </wp:inline>
        </w:drawing>
      </w:r>
      <w:bookmarkStart w:id="337" w:name="_GoBack"/>
      <w:bookmarkEnd w:id="337"/>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jc w:val="center"/>
        <w:rPr>
          <w:sz w:val="44"/>
          <w:szCs w:val="44"/>
        </w:rPr>
      </w:pPr>
      <w:r>
        <w:rPr>
          <w:rFonts w:hint="eastAsia"/>
          <w:b/>
          <w:bCs/>
          <w:sz w:val="44"/>
          <w:szCs w:val="44"/>
          <w:lang w:eastAsia="zh-CN"/>
        </w:rPr>
        <w:t>长葛市住房和城乡建设局新华路西段雨水管网改造工程项目（不见面开标）</w:t>
      </w:r>
    </w:p>
    <w:p>
      <w:pPr>
        <w:pStyle w:val="13"/>
        <w:tabs>
          <w:tab w:val="left" w:pos="3996"/>
        </w:tabs>
        <w:spacing w:after="0" w:afterAutospacing="0"/>
        <w:ind w:firstLine="208" w:firstLineChars="37"/>
        <w:jc w:val="center"/>
        <w:rPr>
          <w:rFonts w:hint="eastAsia"/>
          <w:b/>
          <w:sz w:val="56"/>
          <w:szCs w:val="56"/>
        </w:rPr>
      </w:pPr>
      <w:r>
        <w:rPr>
          <w:rFonts w:hint="eastAsia"/>
          <w:b/>
          <w:sz w:val="56"/>
          <w:szCs w:val="56"/>
        </w:rPr>
        <w:t>招 标 文 件</w:t>
      </w:r>
    </w:p>
    <w:p>
      <w:pPr>
        <w:spacing w:line="460" w:lineRule="exact"/>
        <w:jc w:val="center"/>
        <w:rPr>
          <w:b/>
          <w:bCs/>
          <w:color w:val="FF0000"/>
          <w:sz w:val="32"/>
          <w:szCs w:val="32"/>
        </w:rPr>
      </w:pPr>
      <w:r>
        <w:rPr>
          <w:rFonts w:hint="eastAsia"/>
          <w:b/>
          <w:bCs/>
          <w:sz w:val="32"/>
          <w:szCs w:val="32"/>
        </w:rPr>
        <w:t>项目编号：长</w:t>
      </w:r>
      <w:r>
        <w:rPr>
          <w:rFonts w:hint="eastAsia" w:ascii="宋体" w:hAnsi="宋体"/>
          <w:b/>
          <w:bCs/>
          <w:sz w:val="32"/>
          <w:szCs w:val="32"/>
        </w:rPr>
        <w:t>交建【</w:t>
      </w:r>
      <w:r>
        <w:rPr>
          <w:rFonts w:ascii="宋体" w:hAnsi="宋体"/>
          <w:b/>
          <w:bCs/>
          <w:sz w:val="32"/>
          <w:szCs w:val="32"/>
        </w:rPr>
        <w:t>202</w:t>
      </w:r>
      <w:r>
        <w:rPr>
          <w:rFonts w:hint="eastAsia" w:ascii="宋体" w:hAnsi="宋体"/>
          <w:b/>
          <w:bCs/>
          <w:sz w:val="32"/>
          <w:szCs w:val="32"/>
          <w:lang w:val="en-US" w:eastAsia="zh-CN"/>
        </w:rPr>
        <w:t>2</w:t>
      </w:r>
      <w:r>
        <w:rPr>
          <w:rFonts w:hint="eastAsia" w:ascii="宋体" w:hAnsi="宋体"/>
          <w:b/>
          <w:bCs/>
          <w:sz w:val="32"/>
          <w:szCs w:val="32"/>
        </w:rPr>
        <w:t>】G</w:t>
      </w:r>
      <w:r>
        <w:rPr>
          <w:rFonts w:ascii="宋体" w:hAnsi="宋体"/>
          <w:b/>
          <w:bCs/>
          <w:sz w:val="32"/>
          <w:szCs w:val="32"/>
        </w:rPr>
        <w:t>Z</w:t>
      </w:r>
      <w:r>
        <w:rPr>
          <w:rFonts w:hint="eastAsia" w:ascii="宋体" w:hAnsi="宋体"/>
          <w:b/>
          <w:bCs/>
          <w:sz w:val="32"/>
          <w:szCs w:val="32"/>
          <w:lang w:val="en-US" w:eastAsia="zh-CN"/>
        </w:rPr>
        <w:t>008</w:t>
      </w:r>
      <w:r>
        <w:rPr>
          <w:rFonts w:hint="eastAsia" w:ascii="宋体" w:hAnsi="宋体"/>
          <w:b/>
          <w:bCs/>
          <w:sz w:val="32"/>
          <w:szCs w:val="32"/>
        </w:rPr>
        <w:t>号</w:t>
      </w:r>
    </w:p>
    <w:p>
      <w:pPr>
        <w:pStyle w:val="13"/>
        <w:tabs>
          <w:tab w:val="left" w:pos="3996"/>
        </w:tabs>
        <w:spacing w:after="0" w:afterAutospacing="0"/>
        <w:ind w:firstLine="208" w:firstLineChars="37"/>
        <w:jc w:val="center"/>
        <w:rPr>
          <w:rFonts w:hint="eastAsia"/>
          <w:b/>
          <w:sz w:val="56"/>
          <w:szCs w:val="56"/>
        </w:rPr>
      </w:pPr>
    </w:p>
    <w:p>
      <w:pPr>
        <w:pStyle w:val="13"/>
        <w:tabs>
          <w:tab w:val="left" w:pos="3996"/>
        </w:tabs>
        <w:spacing w:after="0" w:afterAutospacing="0"/>
        <w:ind w:firstLine="88" w:firstLineChars="37"/>
        <w:jc w:val="center"/>
        <w:rPr>
          <w:rFonts w:hint="eastAsia"/>
          <w:b/>
          <w:sz w:val="56"/>
          <w:szCs w:val="56"/>
        </w:rPr>
      </w:pPr>
      <w:r>
        <w:rPr>
          <w:rFonts w:hint="eastAsia" w:ascii="宋体" w:hAnsi="宋体" w:cs="宋体"/>
        </w:rPr>
        <w:drawing>
          <wp:anchor distT="0" distB="0" distL="114300" distR="114300" simplePos="0" relativeHeight="251660288" behindDoc="0" locked="0" layoutInCell="1" allowOverlap="1">
            <wp:simplePos x="0" y="0"/>
            <wp:positionH relativeFrom="column">
              <wp:posOffset>1370330</wp:posOffset>
            </wp:positionH>
            <wp:positionV relativeFrom="page">
              <wp:posOffset>4476115</wp:posOffset>
            </wp:positionV>
            <wp:extent cx="2845435" cy="2595245"/>
            <wp:effectExtent l="0" t="0" r="4445" b="10795"/>
            <wp:wrapSquare wrapText="bothSides"/>
            <wp:docPr id="1" name="图片 1" descr="公司标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公司标识"/>
                    <pic:cNvPicPr>
                      <a:picLocks noChangeAspect="1"/>
                    </pic:cNvPicPr>
                  </pic:nvPicPr>
                  <pic:blipFill>
                    <a:blip r:embed="rId7"/>
                    <a:srcRect l="22862" t="14462" r="19872" b="17444"/>
                    <a:stretch>
                      <a:fillRect/>
                    </a:stretch>
                  </pic:blipFill>
                  <pic:spPr>
                    <a:xfrm>
                      <a:off x="0" y="0"/>
                      <a:ext cx="2845435" cy="2595245"/>
                    </a:xfrm>
                    <a:prstGeom prst="rect">
                      <a:avLst/>
                    </a:prstGeom>
                    <a:noFill/>
                    <a:ln>
                      <a:noFill/>
                    </a:ln>
                  </pic:spPr>
                </pic:pic>
              </a:graphicData>
            </a:graphic>
          </wp:anchor>
        </w:drawing>
      </w:r>
    </w:p>
    <w:p>
      <w:pPr>
        <w:pStyle w:val="13"/>
        <w:tabs>
          <w:tab w:val="left" w:pos="3996"/>
        </w:tabs>
        <w:spacing w:after="0" w:afterAutospacing="0"/>
        <w:ind w:firstLine="208" w:firstLineChars="37"/>
        <w:jc w:val="center"/>
        <w:rPr>
          <w:rFonts w:hint="eastAsia"/>
          <w:b/>
          <w:sz w:val="56"/>
          <w:szCs w:val="56"/>
        </w:rPr>
      </w:pPr>
    </w:p>
    <w:p/>
    <w:p>
      <w:pPr>
        <w:pStyle w:val="13"/>
        <w:tabs>
          <w:tab w:val="left" w:pos="3996"/>
        </w:tabs>
        <w:spacing w:after="0" w:afterAutospacing="0"/>
        <w:ind w:firstLine="208" w:firstLineChars="37"/>
        <w:jc w:val="center"/>
        <w:rPr>
          <w:rFonts w:hint="eastAsia"/>
          <w:b/>
          <w:sz w:val="56"/>
          <w:szCs w:val="56"/>
        </w:rPr>
      </w:pPr>
    </w:p>
    <w:p/>
    <w:p>
      <w:pPr>
        <w:pStyle w:val="13"/>
        <w:tabs>
          <w:tab w:val="left" w:pos="3996"/>
        </w:tabs>
        <w:spacing w:after="0" w:afterAutospacing="0"/>
        <w:ind w:firstLine="208" w:firstLineChars="37"/>
        <w:jc w:val="center"/>
        <w:rPr>
          <w:rFonts w:hint="eastAsia"/>
          <w:b/>
          <w:sz w:val="56"/>
          <w:szCs w:val="56"/>
        </w:rPr>
      </w:pPr>
    </w:p>
    <w:p/>
    <w:p>
      <w:pPr>
        <w:bidi w:val="0"/>
      </w:pPr>
    </w:p>
    <w:p/>
    <w:p>
      <w:pPr>
        <w:bidi w:val="0"/>
      </w:pPr>
    </w:p>
    <w:p>
      <w:pPr>
        <w:bidi w:val="0"/>
      </w:pPr>
    </w:p>
    <w:p>
      <w:pPr>
        <w:autoSpaceDE w:val="0"/>
        <w:autoSpaceDN w:val="0"/>
        <w:adjustRightInd w:val="0"/>
        <w:spacing w:line="460" w:lineRule="exact"/>
        <w:ind w:firstLine="643" w:firstLineChars="200"/>
        <w:rPr>
          <w:rFonts w:hint="eastAsia" w:eastAsia="宋体"/>
          <w:b/>
          <w:bCs/>
          <w:sz w:val="32"/>
          <w:szCs w:val="32"/>
          <w:lang w:eastAsia="zh-CN"/>
        </w:rPr>
      </w:pPr>
      <w:r>
        <w:rPr>
          <w:rFonts w:hint="eastAsia"/>
          <w:b/>
          <w:bCs/>
          <w:sz w:val="32"/>
          <w:szCs w:val="32"/>
        </w:rPr>
        <w:t>招</w:t>
      </w:r>
      <w:r>
        <w:rPr>
          <w:rFonts w:hint="eastAsia"/>
          <w:b/>
          <w:bCs/>
          <w:sz w:val="32"/>
          <w:szCs w:val="32"/>
          <w:lang w:val="en-US" w:eastAsia="zh-CN"/>
        </w:rPr>
        <w:t xml:space="preserve"> </w:t>
      </w:r>
      <w:r>
        <w:rPr>
          <w:rFonts w:hint="eastAsia"/>
          <w:b/>
          <w:bCs/>
          <w:sz w:val="32"/>
          <w:szCs w:val="32"/>
        </w:rPr>
        <w:t>标</w:t>
      </w:r>
      <w:r>
        <w:rPr>
          <w:rFonts w:hint="eastAsia"/>
          <w:b/>
          <w:bCs/>
          <w:sz w:val="32"/>
          <w:szCs w:val="32"/>
          <w:lang w:val="en-US" w:eastAsia="zh-CN"/>
        </w:rPr>
        <w:t xml:space="preserve"> </w:t>
      </w:r>
      <w:r>
        <w:rPr>
          <w:rFonts w:hint="eastAsia"/>
          <w:b/>
          <w:bCs/>
          <w:sz w:val="32"/>
          <w:szCs w:val="32"/>
        </w:rPr>
        <w:t>人：</w:t>
      </w:r>
      <w:r>
        <w:rPr>
          <w:rFonts w:hint="eastAsia"/>
          <w:b/>
          <w:bCs/>
          <w:sz w:val="32"/>
          <w:szCs w:val="32"/>
          <w:lang w:eastAsia="zh-CN"/>
        </w:rPr>
        <w:t>长葛市住房和城乡建设局</w:t>
      </w:r>
    </w:p>
    <w:p>
      <w:pPr>
        <w:autoSpaceDE w:val="0"/>
        <w:autoSpaceDN w:val="0"/>
        <w:adjustRightInd w:val="0"/>
        <w:spacing w:line="460" w:lineRule="exact"/>
        <w:ind w:firstLine="643" w:firstLineChars="200"/>
        <w:rPr>
          <w:b/>
          <w:bCs/>
          <w:sz w:val="32"/>
          <w:szCs w:val="32"/>
        </w:rPr>
      </w:pPr>
    </w:p>
    <w:p>
      <w:pPr>
        <w:autoSpaceDE w:val="0"/>
        <w:autoSpaceDN w:val="0"/>
        <w:adjustRightInd w:val="0"/>
        <w:spacing w:line="460" w:lineRule="exact"/>
        <w:ind w:firstLine="643" w:firstLineChars="200"/>
        <w:rPr>
          <w:rFonts w:hint="eastAsia" w:eastAsia="宋体"/>
          <w:b/>
          <w:bCs/>
          <w:sz w:val="32"/>
          <w:szCs w:val="32"/>
          <w:lang w:eastAsia="zh-CN"/>
        </w:rPr>
      </w:pPr>
      <w:r>
        <w:rPr>
          <w:rFonts w:hint="eastAsia"/>
          <w:b/>
          <w:bCs/>
          <w:sz w:val="32"/>
          <w:szCs w:val="32"/>
        </w:rPr>
        <w:t>招标代理机构：</w:t>
      </w:r>
      <w:r>
        <w:rPr>
          <w:rFonts w:hint="eastAsia"/>
          <w:b/>
          <w:bCs/>
          <w:sz w:val="32"/>
          <w:szCs w:val="32"/>
          <w:lang w:eastAsia="zh-CN"/>
        </w:rPr>
        <w:t>河南正泰建设工程咨询有限公司</w:t>
      </w:r>
    </w:p>
    <w:p>
      <w:pPr>
        <w:autoSpaceDE w:val="0"/>
        <w:autoSpaceDN w:val="0"/>
        <w:adjustRightInd w:val="0"/>
        <w:spacing w:line="460" w:lineRule="exact"/>
        <w:ind w:firstLine="643" w:firstLineChars="200"/>
        <w:rPr>
          <w:b/>
          <w:sz w:val="32"/>
          <w:szCs w:val="32"/>
        </w:rPr>
      </w:pPr>
    </w:p>
    <w:p>
      <w:pPr>
        <w:autoSpaceDE w:val="0"/>
        <w:autoSpaceDN w:val="0"/>
        <w:adjustRightInd w:val="0"/>
        <w:spacing w:line="460" w:lineRule="exact"/>
        <w:ind w:firstLine="2249" w:firstLineChars="700"/>
        <w:rPr>
          <w:sz w:val="36"/>
          <w:szCs w:val="36"/>
        </w:rPr>
      </w:pPr>
      <w:r>
        <w:rPr>
          <w:rFonts w:hint="eastAsia"/>
          <w:b/>
          <w:sz w:val="32"/>
          <w:szCs w:val="32"/>
        </w:rPr>
        <w:t>日期：二〇二</w:t>
      </w:r>
      <w:r>
        <w:rPr>
          <w:rFonts w:hint="eastAsia"/>
          <w:b/>
          <w:sz w:val="32"/>
          <w:szCs w:val="32"/>
          <w:lang w:val="en-US" w:eastAsia="zh-CN"/>
        </w:rPr>
        <w:t>二</w:t>
      </w:r>
      <w:r>
        <w:rPr>
          <w:rFonts w:hint="eastAsia"/>
          <w:b/>
          <w:sz w:val="32"/>
          <w:szCs w:val="32"/>
        </w:rPr>
        <w:t>年</w:t>
      </w:r>
      <w:r>
        <w:rPr>
          <w:rFonts w:hint="eastAsia"/>
          <w:b/>
          <w:sz w:val="32"/>
          <w:szCs w:val="32"/>
          <w:lang w:eastAsia="zh-CN"/>
        </w:rPr>
        <w:t>六</w:t>
      </w:r>
      <w:r>
        <w:rPr>
          <w:rFonts w:hint="eastAsia"/>
          <w:b/>
          <w:sz w:val="32"/>
          <w:szCs w:val="32"/>
        </w:rPr>
        <w:t>月</w:t>
      </w:r>
      <w:bookmarkEnd w:id="0"/>
    </w:p>
    <w:p>
      <w:pPr>
        <w:pStyle w:val="2"/>
        <w:spacing w:line="460" w:lineRule="exact"/>
        <w:jc w:val="center"/>
        <w:outlineLvl w:val="9"/>
        <w:sectPr>
          <w:pgSz w:w="11906" w:h="16838"/>
          <w:pgMar w:top="1440" w:right="1746" w:bottom="1440" w:left="1746" w:header="720" w:footer="720" w:gutter="0"/>
          <w:cols w:space="720" w:num="1"/>
          <w:docGrid w:type="lines" w:linePitch="312" w:charSpace="0"/>
        </w:sectPr>
      </w:pPr>
    </w:p>
    <w:p>
      <w:pPr>
        <w:autoSpaceDE w:val="0"/>
        <w:autoSpaceDN w:val="0"/>
        <w:adjustRightInd w:val="0"/>
        <w:spacing w:line="460" w:lineRule="exact"/>
        <w:jc w:val="center"/>
        <w:rPr>
          <w:rFonts w:ascii="宋体" w:hAnsi="宋体"/>
          <w:b/>
          <w:bCs/>
          <w:sz w:val="44"/>
          <w:szCs w:val="44"/>
        </w:rPr>
      </w:pPr>
      <w:r>
        <w:rPr>
          <w:rFonts w:hint="eastAsia" w:ascii="宋体" w:hAnsi="宋体"/>
          <w:b/>
          <w:bCs/>
          <w:sz w:val="44"/>
          <w:szCs w:val="44"/>
        </w:rPr>
        <w:t>目录</w:t>
      </w:r>
    </w:p>
    <w:p>
      <w:pPr>
        <w:pStyle w:val="21"/>
        <w:spacing w:line="460" w:lineRule="exact"/>
        <w:ind w:firstLine="200"/>
      </w:pPr>
    </w:p>
    <w:p>
      <w:pPr>
        <w:pStyle w:val="21"/>
        <w:spacing w:line="460" w:lineRule="exact"/>
        <w:ind w:firstLine="200"/>
        <w:rPr>
          <w:sz w:val="28"/>
          <w:szCs w:val="28"/>
        </w:rPr>
      </w:pPr>
      <w:r>
        <w:fldChar w:fldCharType="begin"/>
      </w:r>
      <w:r>
        <w:instrText xml:space="preserve"> HYPERLINK \l "_Toc28446_" </w:instrText>
      </w:r>
      <w:r>
        <w:fldChar w:fldCharType="separate"/>
      </w:r>
      <w:r>
        <w:rPr>
          <w:rStyle w:val="20"/>
          <w:rFonts w:hint="eastAsia" w:ascii="宋体" w:hAnsi="宋体"/>
          <w:sz w:val="28"/>
          <w:szCs w:val="28"/>
        </w:rPr>
        <w:t>第一章招标公告</w:t>
      </w:r>
      <w:r>
        <w:rPr>
          <w:rStyle w:val="20"/>
          <w:rFonts w:hint="eastAsia" w:ascii="宋体" w:hAnsi="宋体"/>
          <w:sz w:val="28"/>
          <w:szCs w:val="28"/>
        </w:rPr>
        <w:fldChar w:fldCharType="end"/>
      </w:r>
    </w:p>
    <w:p>
      <w:pPr>
        <w:pStyle w:val="21"/>
        <w:spacing w:line="460" w:lineRule="exact"/>
        <w:ind w:firstLine="200"/>
        <w:rPr>
          <w:sz w:val="28"/>
          <w:szCs w:val="28"/>
        </w:rPr>
      </w:pPr>
      <w:r>
        <w:fldChar w:fldCharType="begin"/>
      </w:r>
      <w:r>
        <w:instrText xml:space="preserve"> HYPERLINK \l "_Toc27617_" </w:instrText>
      </w:r>
      <w:r>
        <w:fldChar w:fldCharType="separate"/>
      </w:r>
      <w:r>
        <w:rPr>
          <w:rStyle w:val="20"/>
          <w:rFonts w:hint="eastAsia" w:ascii="宋体" w:hAnsi="宋体"/>
          <w:sz w:val="28"/>
          <w:szCs w:val="28"/>
        </w:rPr>
        <w:t>第二章投标人须知</w:t>
      </w:r>
      <w:r>
        <w:rPr>
          <w:rStyle w:val="20"/>
          <w:rFonts w:hint="eastAsia" w:ascii="宋体" w:hAnsi="宋体"/>
          <w:sz w:val="28"/>
          <w:szCs w:val="28"/>
        </w:rPr>
        <w:fldChar w:fldCharType="end"/>
      </w:r>
    </w:p>
    <w:p>
      <w:pPr>
        <w:pStyle w:val="21"/>
        <w:spacing w:line="460" w:lineRule="exact"/>
        <w:ind w:firstLine="200"/>
        <w:rPr>
          <w:sz w:val="28"/>
          <w:szCs w:val="28"/>
        </w:rPr>
      </w:pPr>
      <w:r>
        <w:fldChar w:fldCharType="begin"/>
      </w:r>
      <w:r>
        <w:instrText xml:space="preserve"> HYPERLINK \l "_Toc12931_" </w:instrText>
      </w:r>
      <w:r>
        <w:fldChar w:fldCharType="separate"/>
      </w:r>
      <w:r>
        <w:rPr>
          <w:rStyle w:val="20"/>
          <w:rFonts w:hint="eastAsia" w:ascii="宋体" w:hAnsi="宋体"/>
          <w:sz w:val="28"/>
          <w:szCs w:val="28"/>
        </w:rPr>
        <w:t>第三章评标</w:t>
      </w:r>
      <w:bookmarkStart w:id="1" w:name="_Hlt528156877"/>
      <w:bookmarkStart w:id="2" w:name="_Hlt528156878"/>
      <w:bookmarkStart w:id="3" w:name="_Hlt528156886"/>
      <w:bookmarkStart w:id="4" w:name="_Hlt528156882"/>
      <w:bookmarkStart w:id="5" w:name="_Hlt528156883"/>
      <w:bookmarkStart w:id="6" w:name="_Hlt528156881"/>
      <w:bookmarkStart w:id="7" w:name="_Hlt528156885"/>
      <w:bookmarkStart w:id="8" w:name="_Hlt528156884"/>
      <w:bookmarkStart w:id="9" w:name="_Hlt528156879"/>
      <w:bookmarkStart w:id="10" w:name="_Hlt528156880"/>
      <w:bookmarkStart w:id="11" w:name="_Hlt528156876"/>
      <w:r>
        <w:rPr>
          <w:rStyle w:val="20"/>
          <w:rFonts w:hint="eastAsia" w:ascii="宋体" w:hAnsi="宋体"/>
          <w:sz w:val="28"/>
          <w:szCs w:val="28"/>
        </w:rPr>
        <w:t>办</w:t>
      </w:r>
      <w:bookmarkEnd w:id="1"/>
      <w:bookmarkEnd w:id="2"/>
      <w:bookmarkEnd w:id="3"/>
      <w:bookmarkEnd w:id="4"/>
      <w:bookmarkEnd w:id="5"/>
      <w:bookmarkEnd w:id="6"/>
      <w:bookmarkEnd w:id="7"/>
      <w:bookmarkEnd w:id="8"/>
      <w:bookmarkEnd w:id="9"/>
      <w:bookmarkEnd w:id="10"/>
      <w:bookmarkEnd w:id="11"/>
      <w:r>
        <w:rPr>
          <w:rStyle w:val="20"/>
          <w:rFonts w:hint="eastAsia" w:ascii="宋体" w:hAnsi="宋体"/>
          <w:sz w:val="28"/>
          <w:szCs w:val="28"/>
        </w:rPr>
        <w:t>法（综合评标法）</w:t>
      </w:r>
      <w:r>
        <w:rPr>
          <w:rStyle w:val="20"/>
          <w:rFonts w:hint="eastAsia" w:ascii="宋体" w:hAnsi="宋体"/>
          <w:sz w:val="28"/>
          <w:szCs w:val="28"/>
        </w:rPr>
        <w:fldChar w:fldCharType="end"/>
      </w:r>
    </w:p>
    <w:p>
      <w:pPr>
        <w:pStyle w:val="21"/>
        <w:spacing w:line="460" w:lineRule="exact"/>
        <w:ind w:firstLine="200"/>
        <w:rPr>
          <w:sz w:val="28"/>
          <w:szCs w:val="28"/>
        </w:rPr>
      </w:pPr>
      <w:r>
        <w:fldChar w:fldCharType="begin"/>
      </w:r>
      <w:r>
        <w:instrText xml:space="preserve"> HYPERLINK \l "_Toc26486_" </w:instrText>
      </w:r>
      <w:r>
        <w:fldChar w:fldCharType="separate"/>
      </w:r>
      <w:r>
        <w:rPr>
          <w:rStyle w:val="20"/>
          <w:rFonts w:hint="eastAsia" w:ascii="宋体" w:hAnsi="宋体"/>
          <w:sz w:val="28"/>
          <w:szCs w:val="28"/>
        </w:rPr>
        <w:t>第四章合同条款及格式</w:t>
      </w:r>
      <w:r>
        <w:rPr>
          <w:rStyle w:val="20"/>
          <w:rFonts w:hint="eastAsia" w:ascii="宋体" w:hAnsi="宋体"/>
          <w:sz w:val="28"/>
          <w:szCs w:val="28"/>
        </w:rPr>
        <w:fldChar w:fldCharType="end"/>
      </w:r>
    </w:p>
    <w:p>
      <w:pPr>
        <w:pStyle w:val="21"/>
        <w:spacing w:line="460" w:lineRule="exact"/>
        <w:ind w:firstLine="200"/>
        <w:rPr>
          <w:rStyle w:val="20"/>
          <w:rFonts w:hint="eastAsia" w:ascii="宋体" w:hAnsi="宋体"/>
          <w:sz w:val="28"/>
          <w:szCs w:val="28"/>
        </w:rPr>
      </w:pPr>
      <w:r>
        <w:fldChar w:fldCharType="begin"/>
      </w:r>
      <w:r>
        <w:instrText xml:space="preserve"> HYPERLINK \l "_Toc8159_" </w:instrText>
      </w:r>
      <w:r>
        <w:fldChar w:fldCharType="separate"/>
      </w:r>
      <w:r>
        <w:rPr>
          <w:rStyle w:val="20"/>
          <w:rFonts w:hint="eastAsia" w:ascii="宋体" w:hAnsi="宋体"/>
          <w:sz w:val="28"/>
          <w:szCs w:val="28"/>
        </w:rPr>
        <w:t>第五章工程量清单</w:t>
      </w:r>
      <w:r>
        <w:rPr>
          <w:rStyle w:val="20"/>
          <w:rFonts w:hint="eastAsia" w:ascii="宋体" w:hAnsi="宋体"/>
          <w:sz w:val="28"/>
          <w:szCs w:val="28"/>
        </w:rPr>
        <w:fldChar w:fldCharType="end"/>
      </w:r>
    </w:p>
    <w:p>
      <w:pPr>
        <w:pStyle w:val="21"/>
        <w:spacing w:line="460" w:lineRule="exact"/>
        <w:ind w:firstLine="200"/>
      </w:pPr>
      <w:r>
        <w:fldChar w:fldCharType="begin"/>
      </w:r>
      <w:r>
        <w:instrText xml:space="preserve"> HYPERLINK \l "_Toc32164_" </w:instrText>
      </w:r>
      <w:r>
        <w:fldChar w:fldCharType="separate"/>
      </w:r>
      <w:r>
        <w:rPr>
          <w:rStyle w:val="20"/>
          <w:rFonts w:hint="eastAsia" w:ascii="宋体" w:hAnsi="宋体"/>
          <w:sz w:val="28"/>
          <w:szCs w:val="28"/>
        </w:rPr>
        <w:t>第六章</w:t>
      </w:r>
      <w:r>
        <w:rPr>
          <w:rStyle w:val="20"/>
          <w:rFonts w:hint="eastAsia" w:ascii="宋体" w:hAnsi="宋体"/>
          <w:sz w:val="28"/>
          <w:szCs w:val="28"/>
          <w:lang w:val="en-US" w:eastAsia="zh-CN"/>
        </w:rPr>
        <w:t>图纸</w:t>
      </w:r>
      <w:r>
        <w:rPr>
          <w:rStyle w:val="20"/>
          <w:rFonts w:hint="eastAsia" w:ascii="宋体" w:hAnsi="宋体"/>
          <w:sz w:val="28"/>
          <w:szCs w:val="28"/>
        </w:rPr>
        <w:fldChar w:fldCharType="end"/>
      </w:r>
    </w:p>
    <w:p>
      <w:pPr>
        <w:pStyle w:val="21"/>
        <w:spacing w:line="460" w:lineRule="exact"/>
        <w:ind w:firstLine="200"/>
        <w:rPr>
          <w:sz w:val="28"/>
          <w:szCs w:val="28"/>
        </w:rPr>
      </w:pPr>
      <w:r>
        <w:fldChar w:fldCharType="begin"/>
      </w:r>
      <w:r>
        <w:instrText xml:space="preserve"> HYPERLINK \l "_Toc32164_" </w:instrText>
      </w:r>
      <w:r>
        <w:fldChar w:fldCharType="separate"/>
      </w:r>
      <w:r>
        <w:rPr>
          <w:rStyle w:val="20"/>
          <w:rFonts w:hint="eastAsia" w:ascii="宋体" w:hAnsi="宋体"/>
          <w:sz w:val="28"/>
          <w:szCs w:val="28"/>
        </w:rPr>
        <w:t>第</w:t>
      </w:r>
      <w:r>
        <w:rPr>
          <w:rStyle w:val="20"/>
          <w:rFonts w:hint="eastAsia" w:ascii="宋体" w:hAnsi="宋体"/>
          <w:sz w:val="28"/>
          <w:szCs w:val="28"/>
          <w:lang w:val="en-US" w:eastAsia="zh-CN"/>
        </w:rPr>
        <w:t>七</w:t>
      </w:r>
      <w:r>
        <w:rPr>
          <w:rStyle w:val="20"/>
          <w:rFonts w:hint="eastAsia" w:ascii="宋体" w:hAnsi="宋体"/>
          <w:sz w:val="28"/>
          <w:szCs w:val="28"/>
        </w:rPr>
        <w:t>章技术标准和要求</w:t>
      </w:r>
      <w:r>
        <w:rPr>
          <w:rStyle w:val="20"/>
          <w:rFonts w:hint="eastAsia" w:ascii="宋体" w:hAnsi="宋体"/>
          <w:sz w:val="28"/>
          <w:szCs w:val="28"/>
        </w:rPr>
        <w:fldChar w:fldCharType="end"/>
      </w:r>
    </w:p>
    <w:p>
      <w:pPr>
        <w:pStyle w:val="21"/>
        <w:spacing w:line="460" w:lineRule="exact"/>
        <w:ind w:firstLine="200"/>
        <w:rPr>
          <w:rFonts w:ascii="宋体"/>
          <w:b/>
          <w:bCs/>
          <w:sz w:val="36"/>
          <w:szCs w:val="24"/>
        </w:rPr>
      </w:pPr>
      <w:r>
        <w:fldChar w:fldCharType="begin"/>
      </w:r>
      <w:r>
        <w:instrText xml:space="preserve"> HYPERLINK \l "_Toc7581_" </w:instrText>
      </w:r>
      <w:r>
        <w:fldChar w:fldCharType="separate"/>
      </w:r>
      <w:r>
        <w:rPr>
          <w:rStyle w:val="20"/>
          <w:rFonts w:hint="eastAsia" w:ascii="宋体" w:hAnsi="宋体"/>
          <w:sz w:val="28"/>
          <w:szCs w:val="28"/>
        </w:rPr>
        <w:t>第</w:t>
      </w:r>
      <w:r>
        <w:rPr>
          <w:rStyle w:val="20"/>
          <w:rFonts w:hint="eastAsia" w:ascii="宋体" w:hAnsi="宋体"/>
          <w:sz w:val="28"/>
          <w:szCs w:val="28"/>
          <w:lang w:val="en-US" w:eastAsia="zh-CN"/>
        </w:rPr>
        <w:t>八</w:t>
      </w:r>
      <w:r>
        <w:rPr>
          <w:rStyle w:val="20"/>
          <w:rFonts w:hint="eastAsia" w:ascii="宋体" w:hAnsi="宋体"/>
          <w:sz w:val="28"/>
          <w:szCs w:val="28"/>
        </w:rPr>
        <w:t>章投标文件格式</w:t>
      </w:r>
      <w:r>
        <w:rPr>
          <w:rStyle w:val="20"/>
          <w:rFonts w:hint="eastAsia" w:ascii="宋体" w:hAnsi="宋体"/>
          <w:sz w:val="28"/>
          <w:szCs w:val="28"/>
        </w:rPr>
        <w:fldChar w:fldCharType="end"/>
      </w:r>
    </w:p>
    <w:p>
      <w:pPr>
        <w:pStyle w:val="21"/>
        <w:spacing w:line="460" w:lineRule="exact"/>
        <w:ind w:firstLine="240"/>
        <w:rPr>
          <w:sz w:val="24"/>
          <w:szCs w:val="24"/>
        </w:rPr>
      </w:pPr>
    </w:p>
    <w:p>
      <w:pPr>
        <w:bidi w:val="0"/>
      </w:pPr>
    </w:p>
    <w:p>
      <w:pPr>
        <w:bidi w:val="0"/>
      </w:pPr>
      <w:bookmarkStart w:id="12" w:name="_Toc28446"/>
      <w:bookmarkEnd w:id="12"/>
      <w:bookmarkStart w:id="13" w:name="_Toc464824529"/>
      <w:bookmarkEnd w:id="13"/>
      <w:bookmarkStart w:id="14" w:name="_Toc397605780"/>
      <w:bookmarkEnd w:id="14"/>
    </w:p>
    <w:p>
      <w:pPr>
        <w:widowControl/>
        <w:spacing w:line="460" w:lineRule="exact"/>
        <w:jc w:val="left"/>
        <w:rPr>
          <w:rFonts w:cs="宋体"/>
          <w:b/>
          <w:bCs/>
          <w:kern w:val="0"/>
          <w:sz w:val="36"/>
          <w:szCs w:val="36"/>
        </w:rPr>
        <w:sectPr>
          <w:footerReference r:id="rId3" w:type="default"/>
          <w:pgSz w:w="11906" w:h="16838"/>
          <w:pgMar w:top="1440" w:right="1689" w:bottom="1440" w:left="1746" w:header="720" w:footer="720" w:gutter="0"/>
          <w:pgNumType w:start="1"/>
          <w:cols w:space="720" w:num="1"/>
          <w:docGrid w:type="lines" w:linePitch="312" w:charSpace="0"/>
        </w:sectPr>
      </w:pPr>
    </w:p>
    <w:p>
      <w:pPr>
        <w:pStyle w:val="2"/>
        <w:keepNext/>
        <w:keepLines/>
        <w:pageBreakBefore w:val="0"/>
        <w:widowControl w:val="0"/>
        <w:kinsoku/>
        <w:wordWrap/>
        <w:overflowPunct/>
        <w:topLinePunct w:val="0"/>
        <w:autoSpaceDE/>
        <w:autoSpaceDN/>
        <w:bidi w:val="0"/>
        <w:adjustRightInd/>
        <w:snapToGrid/>
        <w:spacing w:before="0" w:after="0" w:line="360" w:lineRule="auto"/>
        <w:jc w:val="center"/>
        <w:textAlignment w:val="auto"/>
        <w:rPr>
          <w:rFonts w:ascii="宋体" w:hAnsi="宋体"/>
          <w:b/>
          <w:bCs/>
          <w:szCs w:val="32"/>
        </w:rPr>
      </w:pPr>
      <w:bookmarkStart w:id="15" w:name="_Toc27617"/>
      <w:bookmarkEnd w:id="15"/>
      <w:bookmarkStart w:id="16" w:name="_Toc464824549"/>
      <w:bookmarkEnd w:id="16"/>
      <w:bookmarkStart w:id="17" w:name="_Toc397605796"/>
      <w:bookmarkEnd w:id="17"/>
      <w:bookmarkStart w:id="18" w:name="_Toc397507514"/>
      <w:bookmarkEnd w:id="18"/>
      <w:bookmarkStart w:id="19" w:name="_Toc397507927"/>
      <w:bookmarkEnd w:id="19"/>
      <w:r>
        <w:rPr>
          <w:rFonts w:hint="eastAsia"/>
          <w:sz w:val="32"/>
          <w:szCs w:val="32"/>
        </w:rPr>
        <w:t>第一章   招标公告</w:t>
      </w:r>
    </w:p>
    <w:p>
      <w:pPr>
        <w:bidi w:val="0"/>
        <w:rPr>
          <w:rFonts w:hint="eastAsia"/>
          <w:lang w:eastAsia="zh-CN"/>
        </w:rPr>
      </w:pPr>
    </w:p>
    <w:p>
      <w:pPr>
        <w:autoSpaceDE w:val="0"/>
        <w:autoSpaceDN w:val="0"/>
        <w:spacing w:line="460" w:lineRule="exact"/>
        <w:jc w:val="center"/>
        <w:outlineLvl w:val="0"/>
        <w:rPr>
          <w:rFonts w:ascii="宋体" w:hAnsi="宋体"/>
          <w:b/>
          <w:bCs/>
          <w:sz w:val="36"/>
          <w:szCs w:val="36"/>
        </w:rPr>
      </w:pPr>
      <w:r>
        <w:rPr>
          <w:rFonts w:hint="eastAsia" w:ascii="宋体" w:hAnsi="宋体"/>
          <w:b/>
          <w:bCs/>
          <w:sz w:val="36"/>
          <w:szCs w:val="36"/>
          <w:lang w:eastAsia="zh-CN"/>
        </w:rPr>
        <w:t>长葛市住房和城乡建设局新华路西段雨水管网改造工程项目（不见面开标）</w:t>
      </w:r>
    </w:p>
    <w:p>
      <w:pPr>
        <w:autoSpaceDE w:val="0"/>
        <w:autoSpaceDN w:val="0"/>
        <w:spacing w:line="460" w:lineRule="exact"/>
        <w:jc w:val="center"/>
        <w:outlineLvl w:val="0"/>
        <w:rPr>
          <w:rFonts w:ascii="宋体" w:hAnsi="宋体"/>
          <w:b/>
          <w:bCs/>
          <w:sz w:val="32"/>
          <w:szCs w:val="32"/>
        </w:rPr>
      </w:pPr>
      <w:r>
        <w:rPr>
          <w:rFonts w:hint="eastAsia" w:ascii="宋体" w:hAnsi="宋体"/>
          <w:b/>
          <w:bCs/>
          <w:sz w:val="32"/>
          <w:szCs w:val="32"/>
        </w:rPr>
        <w:t>招标公告</w:t>
      </w:r>
    </w:p>
    <w:p>
      <w:pPr>
        <w:autoSpaceDE w:val="0"/>
        <w:autoSpaceDN w:val="0"/>
        <w:spacing w:line="460" w:lineRule="exact"/>
        <w:ind w:firstLine="482" w:firstLineChars="200"/>
        <w:outlineLvl w:val="0"/>
        <w:rPr>
          <w:rFonts w:ascii="宋体" w:hAnsi="宋体"/>
          <w:b/>
          <w:bCs/>
          <w:sz w:val="24"/>
          <w:szCs w:val="24"/>
        </w:rPr>
      </w:pPr>
      <w:r>
        <w:rPr>
          <w:rFonts w:hint="eastAsia" w:ascii="宋体" w:hAnsi="宋体"/>
          <w:b/>
          <w:bCs/>
          <w:sz w:val="24"/>
          <w:szCs w:val="24"/>
        </w:rPr>
        <w:t>一、招标条件</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175"/>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本招标项目</w:t>
      </w:r>
      <w:r>
        <w:rPr>
          <w:rFonts w:hint="eastAsia" w:asciiTheme="minorEastAsia" w:hAnsiTheme="minorEastAsia" w:eastAsiaTheme="minorEastAsia" w:cstheme="minorEastAsia"/>
          <w:sz w:val="24"/>
          <w:szCs w:val="24"/>
          <w:lang w:eastAsia="zh-CN"/>
        </w:rPr>
        <w:t>长葛市住房和城乡建设局新华路西段雨水管网改造工程项目（不见面开标）</w:t>
      </w:r>
      <w:r>
        <w:rPr>
          <w:rFonts w:hint="eastAsia" w:asciiTheme="minorEastAsia" w:hAnsiTheme="minorEastAsia" w:eastAsiaTheme="minorEastAsia" w:cstheme="minorEastAsia"/>
          <w:sz w:val="24"/>
          <w:szCs w:val="24"/>
        </w:rPr>
        <w:t>已由长葛市发展和改革委员会以“长</w:t>
      </w:r>
      <w:r>
        <w:rPr>
          <w:rFonts w:hint="eastAsia" w:asciiTheme="minorEastAsia" w:hAnsiTheme="minorEastAsia" w:eastAsiaTheme="minorEastAsia" w:cstheme="minorEastAsia"/>
          <w:sz w:val="24"/>
          <w:szCs w:val="24"/>
          <w:lang w:val="en-US" w:eastAsia="zh-CN"/>
        </w:rPr>
        <w:t>发改城市</w:t>
      </w:r>
      <w:r>
        <w:rPr>
          <w:rFonts w:hint="eastAsia" w:asciiTheme="minorEastAsia" w:hAnsiTheme="minorEastAsia" w:eastAsiaTheme="minorEastAsia" w:cstheme="minorEastAsia"/>
          <w:sz w:val="24"/>
          <w:szCs w:val="24"/>
        </w:rPr>
        <w:t>【2021】</w:t>
      </w:r>
      <w:r>
        <w:rPr>
          <w:rFonts w:hint="eastAsia" w:asciiTheme="minorEastAsia" w:hAnsiTheme="minorEastAsia" w:eastAsiaTheme="minorEastAsia" w:cstheme="minorEastAsia"/>
          <w:sz w:val="24"/>
          <w:szCs w:val="24"/>
          <w:lang w:val="en-US" w:eastAsia="zh-CN"/>
        </w:rPr>
        <w:t>98</w:t>
      </w:r>
      <w:r>
        <w:rPr>
          <w:rFonts w:hint="eastAsia" w:asciiTheme="minorEastAsia" w:hAnsiTheme="minorEastAsia" w:eastAsiaTheme="minorEastAsia" w:cstheme="minorEastAsia"/>
          <w:sz w:val="24"/>
          <w:szCs w:val="24"/>
        </w:rPr>
        <w:t>号”文件批准建设</w:t>
      </w:r>
      <w:r>
        <w:rPr>
          <w:rFonts w:hint="eastAsia" w:asciiTheme="minorEastAsia" w:hAnsiTheme="minorEastAsia" w:eastAsiaTheme="minorEastAsia" w:cstheme="minorEastAsia"/>
          <w:sz w:val="24"/>
          <w:szCs w:val="24"/>
          <w:lang w:eastAsia="zh-CN"/>
        </w:rPr>
        <w:t>，建设资金来源为财政资金及慈善捐款</w:t>
      </w:r>
      <w:r>
        <w:rPr>
          <w:rFonts w:hint="eastAsia" w:asciiTheme="minorEastAsia" w:hAnsiTheme="minorEastAsia" w:eastAsiaTheme="minorEastAsia" w:cstheme="minorEastAsia"/>
          <w:sz w:val="24"/>
          <w:szCs w:val="24"/>
        </w:rPr>
        <w:t>。招标人为</w:t>
      </w:r>
      <w:r>
        <w:rPr>
          <w:rFonts w:hint="eastAsia" w:asciiTheme="minorEastAsia" w:hAnsiTheme="minorEastAsia" w:eastAsiaTheme="minorEastAsia" w:cstheme="minorEastAsia"/>
          <w:sz w:val="24"/>
          <w:szCs w:val="24"/>
          <w:lang w:eastAsia="zh-CN"/>
        </w:rPr>
        <w:t>长葛市住房和城乡建设局</w:t>
      </w:r>
      <w:r>
        <w:rPr>
          <w:rFonts w:hint="eastAsia" w:asciiTheme="minorEastAsia" w:hAnsiTheme="minorEastAsia" w:eastAsiaTheme="minorEastAsia" w:cstheme="minorEastAsia"/>
          <w:sz w:val="24"/>
          <w:szCs w:val="24"/>
        </w:rPr>
        <w:t>，招标代理机构为</w:t>
      </w:r>
      <w:r>
        <w:rPr>
          <w:rFonts w:hint="eastAsia" w:asciiTheme="minorEastAsia" w:hAnsiTheme="minorEastAsia" w:eastAsiaTheme="minorEastAsia" w:cstheme="minorEastAsia"/>
          <w:sz w:val="24"/>
          <w:szCs w:val="24"/>
          <w:lang w:eastAsia="zh-CN"/>
        </w:rPr>
        <w:t>河南正泰建设工程咨询有限公司</w:t>
      </w:r>
      <w:r>
        <w:rPr>
          <w:rFonts w:hint="eastAsia" w:asciiTheme="minorEastAsia" w:hAnsiTheme="minorEastAsia" w:eastAsiaTheme="minorEastAsia" w:cstheme="minorEastAsia"/>
          <w:sz w:val="24"/>
          <w:szCs w:val="24"/>
        </w:rPr>
        <w:t>。本项目已具备招标条件，现对该项目进行国内公开招标。</w:t>
      </w:r>
    </w:p>
    <w:p>
      <w:pPr>
        <w:autoSpaceDE w:val="0"/>
        <w:autoSpaceDN w:val="0"/>
        <w:spacing w:line="460" w:lineRule="exact"/>
        <w:ind w:firstLine="482" w:firstLineChars="200"/>
        <w:outlineLvl w:val="0"/>
        <w:rPr>
          <w:rFonts w:ascii="宋体" w:hAnsi="宋体"/>
          <w:b/>
          <w:bCs/>
          <w:sz w:val="24"/>
          <w:szCs w:val="24"/>
        </w:rPr>
      </w:pPr>
      <w:r>
        <w:rPr>
          <w:rFonts w:hint="eastAsia" w:ascii="宋体" w:hAnsi="宋体"/>
          <w:b/>
          <w:bCs/>
          <w:sz w:val="24"/>
          <w:szCs w:val="24"/>
        </w:rPr>
        <w:t>二、项目概况及招标范围</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175"/>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2.1招标</w:t>
      </w:r>
      <w:r>
        <w:rPr>
          <w:rFonts w:hint="eastAsia" w:asciiTheme="minorEastAsia" w:hAnsiTheme="minorEastAsia" w:eastAsiaTheme="minorEastAsia" w:cstheme="minorEastAsia"/>
          <w:sz w:val="24"/>
          <w:szCs w:val="24"/>
          <w:lang w:eastAsia="zh-CN"/>
        </w:rPr>
        <w:t>编号：长交建【202</w:t>
      </w:r>
      <w:r>
        <w:rPr>
          <w:rFonts w:hint="eastAsia" w:asciiTheme="minorEastAsia" w:hAnsiTheme="minorEastAsia" w:eastAsiaTheme="minorEastAsia" w:cstheme="minorEastAsia"/>
          <w:sz w:val="24"/>
          <w:szCs w:val="24"/>
          <w:lang w:val="en-US" w:eastAsia="zh-CN"/>
        </w:rPr>
        <w:t>2</w:t>
      </w:r>
      <w:r>
        <w:rPr>
          <w:rFonts w:hint="eastAsia" w:asciiTheme="minorEastAsia" w:hAnsiTheme="minorEastAsia" w:eastAsiaTheme="minorEastAsia" w:cstheme="minorEastAsia"/>
          <w:sz w:val="24"/>
          <w:szCs w:val="24"/>
          <w:lang w:eastAsia="zh-CN"/>
        </w:rPr>
        <w:t>】GZ</w:t>
      </w:r>
      <w:r>
        <w:rPr>
          <w:rFonts w:hint="eastAsia" w:asciiTheme="minorEastAsia" w:hAnsiTheme="minorEastAsia" w:eastAsiaTheme="minorEastAsia" w:cstheme="minorEastAsia"/>
          <w:sz w:val="24"/>
          <w:szCs w:val="24"/>
          <w:lang w:val="en-US" w:eastAsia="zh-CN"/>
        </w:rPr>
        <w:t>008</w:t>
      </w:r>
      <w:r>
        <w:rPr>
          <w:rFonts w:hint="eastAsia" w:asciiTheme="minorEastAsia" w:hAnsiTheme="minorEastAsia" w:eastAsiaTheme="minorEastAsia" w:cstheme="minorEastAsia"/>
          <w:sz w:val="24"/>
          <w:szCs w:val="24"/>
          <w:lang w:eastAsia="zh-CN"/>
        </w:rPr>
        <w:t>号</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175"/>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2.2项目名称：长葛市住房和城乡建设局新华路西段雨水管网改造工程项目（不见面开标）</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175"/>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2.3建设地点：</w:t>
      </w:r>
      <w:r>
        <w:rPr>
          <w:rFonts w:hint="eastAsia" w:asciiTheme="minorEastAsia" w:hAnsiTheme="minorEastAsia" w:eastAsiaTheme="minorEastAsia" w:cstheme="minorEastAsia"/>
          <w:sz w:val="24"/>
          <w:szCs w:val="24"/>
          <w:lang w:eastAsia="zh-CN"/>
        </w:rPr>
        <w:t>长葛市新华路西段（长葛二高-清潩河）</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175"/>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2.4项目建设内容：该项目为新华路西段雨水管网改造工程，位于长葛市新华路西段，起点位于长葛二高，终点为清</w:t>
      </w:r>
      <w:r>
        <w:rPr>
          <w:rFonts w:hint="eastAsia" w:asciiTheme="minorEastAsia" w:hAnsiTheme="minorEastAsia" w:eastAsiaTheme="minorEastAsia" w:cstheme="minorEastAsia"/>
          <w:sz w:val="24"/>
          <w:szCs w:val="24"/>
          <w:lang w:eastAsia="zh-CN"/>
        </w:rPr>
        <w:t>潩</w:t>
      </w:r>
      <w:r>
        <w:rPr>
          <w:rFonts w:hint="eastAsia" w:asciiTheme="minorEastAsia" w:hAnsiTheme="minorEastAsia" w:eastAsiaTheme="minorEastAsia" w:cstheme="minorEastAsia"/>
          <w:sz w:val="24"/>
          <w:szCs w:val="24"/>
        </w:rPr>
        <w:t>河，项目全长1444.6m。沿道路南侧新建一道雨水管，与原雨水管道连通，由西向东排入清</w:t>
      </w:r>
      <w:r>
        <w:rPr>
          <w:rFonts w:hint="eastAsia" w:asciiTheme="minorEastAsia" w:hAnsiTheme="minorEastAsia" w:eastAsiaTheme="minorEastAsia" w:cstheme="minorEastAsia"/>
          <w:sz w:val="24"/>
          <w:szCs w:val="24"/>
          <w:lang w:eastAsia="zh-CN"/>
        </w:rPr>
        <w:t>潩</w:t>
      </w:r>
      <w:r>
        <w:rPr>
          <w:rFonts w:hint="eastAsia" w:asciiTheme="minorEastAsia" w:hAnsiTheme="minorEastAsia" w:eastAsiaTheme="minorEastAsia" w:cstheme="minorEastAsia"/>
          <w:sz w:val="24"/>
          <w:szCs w:val="24"/>
        </w:rPr>
        <w:t>河。具体内容详见</w:t>
      </w:r>
      <w:r>
        <w:rPr>
          <w:rFonts w:hint="eastAsia" w:asciiTheme="minorEastAsia" w:hAnsiTheme="minorEastAsia" w:eastAsiaTheme="minorEastAsia" w:cstheme="minorEastAsia"/>
          <w:sz w:val="24"/>
          <w:szCs w:val="24"/>
          <w:lang w:eastAsia="zh-CN"/>
        </w:rPr>
        <w:t>图纸及</w:t>
      </w:r>
      <w:r>
        <w:rPr>
          <w:rFonts w:hint="eastAsia" w:asciiTheme="minorEastAsia" w:hAnsiTheme="minorEastAsia" w:eastAsiaTheme="minorEastAsia" w:cstheme="minorEastAsia"/>
          <w:sz w:val="24"/>
          <w:szCs w:val="24"/>
        </w:rPr>
        <w:t>工程量清单</w:t>
      </w:r>
      <w:r>
        <w:rPr>
          <w:rFonts w:hint="eastAsia" w:asciiTheme="minorEastAsia" w:hAnsiTheme="minorEastAsia" w:eastAsiaTheme="minorEastAsia" w:cstheme="minor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175"/>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2.5招标范围：招标文件、工程量清单、施工图纸、补充文件（如有）、答疑纪要等列明的所有建设内容；</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175"/>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2.6标段划分：本项目共划分为一个标段；</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175"/>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2.7 招标控制价：</w:t>
      </w:r>
      <w:r>
        <w:rPr>
          <w:rFonts w:hint="eastAsia" w:asciiTheme="minorEastAsia" w:hAnsiTheme="minorEastAsia" w:eastAsiaTheme="minorEastAsia" w:cstheme="minorEastAsia"/>
          <w:sz w:val="24"/>
          <w:szCs w:val="24"/>
          <w:lang w:val="en-US" w:eastAsia="zh-CN"/>
        </w:rPr>
        <w:t>10715241</w:t>
      </w:r>
      <w:r>
        <w:rPr>
          <w:rFonts w:hint="eastAsia" w:asciiTheme="minorEastAsia" w:hAnsiTheme="minorEastAsia" w:eastAsiaTheme="minorEastAsia" w:cstheme="minorEastAsia"/>
          <w:sz w:val="24"/>
          <w:szCs w:val="24"/>
        </w:rPr>
        <w:t>.52元</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175"/>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2.8 计划工期：</w:t>
      </w:r>
      <w:r>
        <w:rPr>
          <w:rFonts w:hint="eastAsia" w:asciiTheme="minorEastAsia" w:hAnsiTheme="minorEastAsia" w:eastAsiaTheme="minorEastAsia" w:cstheme="minorEastAsia"/>
          <w:sz w:val="24"/>
          <w:szCs w:val="24"/>
          <w:lang w:val="en-US" w:eastAsia="zh-CN"/>
        </w:rPr>
        <w:t>90</w:t>
      </w:r>
      <w:r>
        <w:rPr>
          <w:rFonts w:hint="eastAsia" w:asciiTheme="minorEastAsia" w:hAnsiTheme="minorEastAsia" w:eastAsiaTheme="minorEastAsia" w:cstheme="minorEastAsia"/>
          <w:sz w:val="24"/>
          <w:szCs w:val="24"/>
        </w:rPr>
        <w:t>日历天</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175"/>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2.9质量要求：合格（符合国家现行的验收规范和标准）</w:t>
      </w:r>
    </w:p>
    <w:p>
      <w:pPr>
        <w:autoSpaceDE w:val="0"/>
        <w:autoSpaceDN w:val="0"/>
        <w:spacing w:line="460" w:lineRule="exact"/>
        <w:ind w:firstLine="482" w:firstLineChars="200"/>
        <w:outlineLvl w:val="0"/>
        <w:rPr>
          <w:rFonts w:ascii="宋体" w:hAnsi="宋体"/>
          <w:b/>
          <w:bCs/>
          <w:sz w:val="24"/>
          <w:szCs w:val="24"/>
        </w:rPr>
      </w:pPr>
      <w:r>
        <w:rPr>
          <w:rFonts w:hint="eastAsia" w:ascii="宋体" w:hAnsi="宋体"/>
          <w:b/>
          <w:bCs/>
          <w:sz w:val="24"/>
          <w:szCs w:val="24"/>
        </w:rPr>
        <w:t>三、投标人资格要求</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175"/>
        <w:textAlignment w:val="auto"/>
        <w:rPr>
          <w:rFonts w:hint="eastAsia" w:asciiTheme="minorEastAsia" w:hAnsiTheme="minorEastAsia" w:eastAsiaTheme="minorEastAsia" w:cstheme="minorEastAsia"/>
          <w:sz w:val="24"/>
          <w:szCs w:val="24"/>
        </w:rPr>
      </w:pPr>
      <w:bookmarkStart w:id="20" w:name="_Toc397507922"/>
      <w:bookmarkEnd w:id="20"/>
      <w:bookmarkStart w:id="21" w:name="_Toc397605791"/>
      <w:bookmarkEnd w:id="21"/>
      <w:bookmarkStart w:id="22" w:name="_Toc397507510"/>
      <w:r>
        <w:rPr>
          <w:rFonts w:hint="eastAsia" w:asciiTheme="minorEastAsia" w:hAnsiTheme="minorEastAsia" w:eastAsiaTheme="minorEastAsia" w:cstheme="minorEastAsia"/>
          <w:sz w:val="24"/>
          <w:szCs w:val="24"/>
        </w:rPr>
        <w:t>3.1 投标人须具备市政公用工程施工总承包</w:t>
      </w:r>
      <w:r>
        <w:rPr>
          <w:rFonts w:hint="eastAsia" w:asciiTheme="minorEastAsia" w:hAnsiTheme="minorEastAsia" w:eastAsiaTheme="minorEastAsia" w:cstheme="minorEastAsia"/>
          <w:sz w:val="24"/>
          <w:szCs w:val="24"/>
          <w:lang w:val="en-US" w:eastAsia="zh-CN"/>
        </w:rPr>
        <w:t>三</w:t>
      </w:r>
      <w:r>
        <w:rPr>
          <w:rFonts w:hint="eastAsia" w:asciiTheme="minorEastAsia" w:hAnsiTheme="minorEastAsia" w:eastAsiaTheme="minorEastAsia" w:cstheme="minorEastAsia"/>
          <w:sz w:val="24"/>
          <w:szCs w:val="24"/>
        </w:rPr>
        <w:t>级（含）以上资质，并且具有有效的安全生产许可证，具备独立法人资格，有良好的财务状况，良好的社会信誉，并在人员、设备、资金等方面具备相应的施工能力；拟任项目经理应具有市政公用工程专业贰级（含）以上注册建造师资格，且未担任其他在施建设工程的项目负责人（项目经理）并出具无在建承诺书。 </w:t>
      </w:r>
    </w:p>
    <w:p>
      <w:pPr>
        <w:pStyle w:val="23"/>
        <w:spacing w:line="460" w:lineRule="exact"/>
        <w:ind w:firstLine="480" w:firstLineChars="20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3.2信誉要求</w:t>
      </w:r>
      <w:r>
        <w:rPr>
          <w:rFonts w:hint="eastAsia" w:asciiTheme="minorEastAsia" w:hAnsiTheme="minorEastAsia" w:eastAsiaTheme="minorEastAsia" w:cstheme="minorEastAsia"/>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175"/>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3.2.1、投标人未处于被责令停业、投标资格被取消或者财产被接管、冻结和破产状态；近三年内企业没有因骗取中标或者严重违约以及发生重大工程质量、安全生产事故等问题；</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175"/>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3.2.2、未被列入“信用中国”、“信用河南”网站信用信息栏黑名单、“国家企业信用信息公示系统”经营异常名录或严重失信黑名单, “中国裁判文书网”无行贿犯罪记录的投标人。</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175"/>
        <w:textAlignment w:val="auto"/>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3.3本次招标不接受联合体投标，不得转包、挂靠及违法分包；</w:t>
      </w:r>
    </w:p>
    <w:p>
      <w:pPr>
        <w:autoSpaceDE w:val="0"/>
        <w:autoSpaceDN w:val="0"/>
        <w:spacing w:line="460" w:lineRule="exact"/>
        <w:ind w:firstLine="482" w:firstLineChars="200"/>
        <w:outlineLvl w:val="0"/>
        <w:rPr>
          <w:rFonts w:ascii="宋体" w:hAnsi="宋体"/>
          <w:b/>
          <w:bCs/>
          <w:sz w:val="24"/>
          <w:szCs w:val="24"/>
        </w:rPr>
      </w:pPr>
      <w:r>
        <w:rPr>
          <w:rFonts w:hint="eastAsia" w:ascii="宋体" w:hAnsi="宋体"/>
          <w:b/>
          <w:bCs/>
          <w:sz w:val="24"/>
          <w:szCs w:val="24"/>
        </w:rPr>
        <w:t>四、</w:t>
      </w:r>
      <w:bookmarkEnd w:id="22"/>
      <w:r>
        <w:rPr>
          <w:rFonts w:hint="eastAsia" w:ascii="宋体" w:hAnsi="宋体"/>
          <w:b/>
          <w:bCs/>
          <w:sz w:val="24"/>
          <w:szCs w:val="24"/>
        </w:rPr>
        <w:t>网上下载招标文件</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175"/>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4.1持CA数字认证证书，登录【全国公共资源交易平台（河南省·许昌市）】“系统用户注册”入口（http://ggzy.xuchang.gov.cn:8088/ggzy/eps/public/RegistAllJcxx.html）进行免费注册登记（详见“常见问题解答-诚信库网上注册相关资料下载”）；</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175"/>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4.2在投标截止时间前均可登录【全国公共资源交易平台（河南省·许昌市）】“投标人/供应商登录”入口（http://ggzy.xuchang.gov.cn:8088/ggzy/）自行下载招标文件等（详见“常见问题解答-交易系统操作手册”）。</w:t>
      </w:r>
    </w:p>
    <w:p>
      <w:pPr>
        <w:autoSpaceDE w:val="0"/>
        <w:autoSpaceDN w:val="0"/>
        <w:spacing w:line="460" w:lineRule="exact"/>
        <w:ind w:firstLine="482" w:firstLineChars="200"/>
        <w:outlineLvl w:val="0"/>
        <w:rPr>
          <w:rFonts w:ascii="宋体" w:hAnsi="宋体"/>
          <w:b/>
          <w:bCs/>
          <w:sz w:val="24"/>
          <w:szCs w:val="24"/>
        </w:rPr>
      </w:pPr>
      <w:r>
        <w:rPr>
          <w:rFonts w:hint="eastAsia" w:ascii="宋体" w:hAnsi="宋体"/>
          <w:b/>
          <w:bCs/>
          <w:sz w:val="24"/>
          <w:szCs w:val="24"/>
        </w:rPr>
        <w:t>五、招标文件和施工图纸的获取</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175"/>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5.1招标文件和工程量清单的下载：投标截止时间前，投标人登录《全国公共资源交易平台（河南省·许昌市）》自行下载本项目招标文件、工程量清单。</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175"/>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5.2施工图纸下载（如有）：按照招标文件中第二章投标人须知前附表所给的网址自行下载。</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175"/>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5.3招标文件每套售价0元。</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175"/>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5.4本项目实行资格后审，资格后审所需资料详见招标文件。</w:t>
      </w:r>
    </w:p>
    <w:p>
      <w:pPr>
        <w:autoSpaceDE w:val="0"/>
        <w:autoSpaceDN w:val="0"/>
        <w:spacing w:line="460" w:lineRule="exact"/>
        <w:ind w:firstLine="482" w:firstLineChars="200"/>
        <w:outlineLvl w:val="0"/>
        <w:rPr>
          <w:rFonts w:ascii="宋体" w:hAnsi="宋体"/>
          <w:b/>
          <w:bCs/>
          <w:sz w:val="24"/>
          <w:szCs w:val="24"/>
        </w:rPr>
      </w:pPr>
      <w:r>
        <w:rPr>
          <w:rFonts w:hint="eastAsia" w:ascii="宋体" w:hAnsi="宋体"/>
          <w:b/>
          <w:bCs/>
          <w:sz w:val="24"/>
          <w:szCs w:val="24"/>
        </w:rPr>
        <w:t>六、投标文件的</w:t>
      </w:r>
      <w:r>
        <w:rPr>
          <w:rFonts w:hint="eastAsia" w:ascii="宋体" w:hAnsi="宋体"/>
          <w:b/>
          <w:bCs/>
          <w:sz w:val="24"/>
          <w:szCs w:val="24"/>
          <w:lang w:eastAsia="zh-CN"/>
        </w:rPr>
        <w:t>提</w:t>
      </w:r>
      <w:r>
        <w:rPr>
          <w:rFonts w:hint="eastAsia" w:ascii="宋体" w:hAnsi="宋体"/>
          <w:b/>
          <w:bCs/>
          <w:sz w:val="24"/>
          <w:szCs w:val="24"/>
        </w:rPr>
        <w:t>交</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175"/>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6.1本项目为全流程电子化交易项目，投标人应按规定在投标截止时间（同开标时间）前通过《全国公共资源交易平台(河南省▪许昌市)》公共资源交易系统成功上传本项目加密电子投标文件。</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175"/>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6.2投标文件提交截止时间及开标时间：</w:t>
      </w:r>
      <w:r>
        <w:rPr>
          <w:rFonts w:hint="eastAsia" w:asciiTheme="minorEastAsia" w:hAnsiTheme="minorEastAsia" w:eastAsiaTheme="minorEastAsia" w:cstheme="minorEastAsia"/>
          <w:sz w:val="24"/>
          <w:szCs w:val="24"/>
          <w:lang w:eastAsia="zh-CN"/>
        </w:rPr>
        <w:t>202</w:t>
      </w:r>
      <w:r>
        <w:rPr>
          <w:rFonts w:hint="eastAsia" w:asciiTheme="minorEastAsia" w:hAnsiTheme="minorEastAsia" w:eastAsiaTheme="minorEastAsia" w:cstheme="minorEastAsia"/>
          <w:sz w:val="24"/>
          <w:szCs w:val="24"/>
          <w:lang w:val="en-US" w:eastAsia="zh-CN"/>
        </w:rPr>
        <w:t>2</w:t>
      </w:r>
      <w:r>
        <w:rPr>
          <w:rFonts w:hint="eastAsia" w:asciiTheme="minorEastAsia" w:hAnsiTheme="minorEastAsia" w:eastAsiaTheme="minorEastAsia" w:cstheme="minorEastAsia"/>
          <w:sz w:val="24"/>
          <w:szCs w:val="24"/>
          <w:lang w:eastAsia="zh-CN"/>
        </w:rPr>
        <w:t>年</w:t>
      </w:r>
      <w:r>
        <w:rPr>
          <w:rFonts w:hint="eastAsia" w:asciiTheme="minorEastAsia" w:hAnsiTheme="minorEastAsia" w:eastAsiaTheme="minorEastAsia" w:cstheme="minorEastAsia"/>
          <w:sz w:val="24"/>
          <w:szCs w:val="24"/>
          <w:lang w:val="en-US" w:eastAsia="zh-CN"/>
        </w:rPr>
        <w:t>07</w:t>
      </w:r>
      <w:r>
        <w:rPr>
          <w:rFonts w:hint="eastAsia" w:asciiTheme="minorEastAsia" w:hAnsiTheme="minorEastAsia" w:eastAsiaTheme="minorEastAsia" w:cstheme="minorEastAsia"/>
          <w:sz w:val="24"/>
          <w:szCs w:val="24"/>
          <w:lang w:eastAsia="zh-CN"/>
        </w:rPr>
        <w:t>月</w:t>
      </w:r>
      <w:r>
        <w:rPr>
          <w:rFonts w:hint="eastAsia" w:asciiTheme="minorEastAsia" w:hAnsiTheme="minorEastAsia" w:eastAsiaTheme="minorEastAsia" w:cstheme="minorEastAsia"/>
          <w:sz w:val="24"/>
          <w:szCs w:val="24"/>
          <w:lang w:val="en-US" w:eastAsia="zh-CN"/>
        </w:rPr>
        <w:t>13</w:t>
      </w:r>
      <w:r>
        <w:rPr>
          <w:rFonts w:hint="eastAsia" w:asciiTheme="minorEastAsia" w:hAnsiTheme="minorEastAsia" w:eastAsiaTheme="minorEastAsia" w:cstheme="minorEastAsia"/>
          <w:sz w:val="24"/>
          <w:szCs w:val="24"/>
          <w:lang w:eastAsia="zh-CN"/>
        </w:rPr>
        <w:t>日9时00分。</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175"/>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6.3招标人（代理机构）线上开标地点：长葛市公共资源交易中心开标</w:t>
      </w:r>
      <w:r>
        <w:rPr>
          <w:rFonts w:hint="eastAsia" w:asciiTheme="minorEastAsia" w:hAnsiTheme="minorEastAsia" w:eastAsiaTheme="minorEastAsia" w:cstheme="minorEastAsia"/>
          <w:sz w:val="24"/>
          <w:szCs w:val="24"/>
          <w:lang w:val="en-US" w:eastAsia="zh-CN"/>
        </w:rPr>
        <w:t>一</w:t>
      </w:r>
      <w:r>
        <w:rPr>
          <w:rFonts w:hint="eastAsia" w:asciiTheme="minorEastAsia" w:hAnsiTheme="minorEastAsia" w:eastAsiaTheme="minorEastAsia" w:cstheme="minorEastAsia"/>
          <w:sz w:val="24"/>
          <w:szCs w:val="24"/>
        </w:rPr>
        <w:t>室（长葛市葛天大道东段商务区6号楼</w:t>
      </w:r>
      <w:r>
        <w:rPr>
          <w:rFonts w:hint="eastAsia" w:asciiTheme="minorEastAsia" w:hAnsiTheme="minorEastAsia" w:eastAsiaTheme="minorEastAsia" w:cstheme="minorEastAsia"/>
          <w:sz w:val="24"/>
          <w:szCs w:val="24"/>
          <w:lang w:val="en-US" w:eastAsia="zh-CN"/>
        </w:rPr>
        <w:t xml:space="preserve"> 506</w:t>
      </w:r>
      <w:r>
        <w:rPr>
          <w:rFonts w:hint="eastAsia" w:asciiTheme="minorEastAsia" w:hAnsiTheme="minorEastAsia" w:eastAsiaTheme="minorEastAsia" w:cstheme="minorEastAsia"/>
          <w:sz w:val="24"/>
          <w:szCs w:val="24"/>
        </w:rPr>
        <w:t>室）。本项目采用远程不见面开标，投标人无须到开标现场参加开标会议、无须现场提交有关原件资料；投标人在开标时间前持CA数字证书登录全国公共资源交易平台（河南省·许昌市）——进入公共资源交易系统（http://ggzy.xuchang.gov.cn:8088/ggzy/）——点击“项目信息——项目名称”——在系统操作导航栏点击“开标——不见面开标大厅”，准时参加线上开标，进行远程解密、在线询问、电子签章等。</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175"/>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6.4逾期送达（未成功上传）的或者未按规定解密的电子投标文件，招标人不予受理。</w:t>
      </w:r>
    </w:p>
    <w:p>
      <w:pPr>
        <w:autoSpaceDE w:val="0"/>
        <w:autoSpaceDN w:val="0"/>
        <w:spacing w:line="460" w:lineRule="exact"/>
        <w:ind w:firstLine="482" w:firstLineChars="200"/>
        <w:outlineLvl w:val="0"/>
        <w:rPr>
          <w:rFonts w:ascii="宋体" w:hAnsi="宋体"/>
          <w:b/>
          <w:bCs/>
          <w:sz w:val="24"/>
          <w:szCs w:val="24"/>
        </w:rPr>
      </w:pPr>
      <w:r>
        <w:rPr>
          <w:rFonts w:hint="eastAsia" w:ascii="宋体" w:hAnsi="宋体"/>
          <w:b/>
          <w:bCs/>
          <w:sz w:val="24"/>
          <w:szCs w:val="24"/>
        </w:rPr>
        <w:t>七、发布公告的媒介</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175"/>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本次招标公告同时在河南省电子招标投标公共服务平台、全国公共资源交易平台（河南省•许昌市）、长葛市人民政府门户网站上发布。</w:t>
      </w:r>
    </w:p>
    <w:p>
      <w:pPr>
        <w:autoSpaceDE w:val="0"/>
        <w:autoSpaceDN w:val="0"/>
        <w:spacing w:line="460" w:lineRule="exact"/>
        <w:ind w:firstLine="482" w:firstLineChars="200"/>
        <w:outlineLvl w:val="0"/>
        <w:rPr>
          <w:rFonts w:ascii="宋体" w:hAnsi="宋体"/>
          <w:b/>
          <w:bCs/>
          <w:sz w:val="24"/>
          <w:szCs w:val="24"/>
        </w:rPr>
      </w:pPr>
      <w:r>
        <w:rPr>
          <w:rFonts w:hint="eastAsia" w:ascii="宋体" w:hAnsi="宋体"/>
          <w:b/>
          <w:bCs/>
          <w:sz w:val="24"/>
          <w:szCs w:val="24"/>
        </w:rPr>
        <w:t>八、联系方式</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175"/>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招标人：</w:t>
      </w:r>
      <w:r>
        <w:rPr>
          <w:rFonts w:hint="eastAsia" w:asciiTheme="minorEastAsia" w:hAnsiTheme="minorEastAsia" w:eastAsiaTheme="minorEastAsia" w:cstheme="minorEastAsia"/>
          <w:sz w:val="24"/>
          <w:szCs w:val="24"/>
          <w:lang w:eastAsia="zh-CN"/>
        </w:rPr>
        <w:t>长葛市住房和城乡建设局</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175"/>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联系人：</w:t>
      </w:r>
      <w:r>
        <w:rPr>
          <w:rFonts w:hint="eastAsia" w:asciiTheme="minorEastAsia" w:hAnsiTheme="minorEastAsia" w:eastAsiaTheme="minorEastAsia" w:cstheme="minorEastAsia"/>
          <w:sz w:val="24"/>
          <w:szCs w:val="24"/>
          <w:lang w:eastAsia="zh-CN"/>
        </w:rPr>
        <w:t>时女士</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175"/>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联系电话：</w:t>
      </w:r>
      <w:r>
        <w:rPr>
          <w:rFonts w:hint="eastAsia" w:asciiTheme="minorEastAsia" w:hAnsiTheme="minorEastAsia" w:eastAsiaTheme="minorEastAsia" w:cstheme="minorEastAsia"/>
          <w:sz w:val="24"/>
          <w:szCs w:val="24"/>
          <w:lang w:val="en-US" w:eastAsia="zh-CN"/>
        </w:rPr>
        <w:t xml:space="preserve">18003995123 </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175"/>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地址：</w:t>
      </w:r>
      <w:r>
        <w:rPr>
          <w:rFonts w:hint="eastAsia" w:asciiTheme="minorEastAsia" w:hAnsiTheme="minorEastAsia" w:eastAsiaTheme="minorEastAsia" w:cstheme="minorEastAsia"/>
          <w:sz w:val="24"/>
          <w:szCs w:val="24"/>
          <w:lang w:eastAsia="zh-CN"/>
        </w:rPr>
        <w:t>长葛市葛天大道6号楼</w:t>
      </w:r>
    </w:p>
    <w:p>
      <w:pPr>
        <w:autoSpaceDE w:val="0"/>
        <w:autoSpaceDN w:val="0"/>
        <w:spacing w:line="360" w:lineRule="auto"/>
        <w:ind w:firstLine="480" w:firstLineChars="200"/>
        <w:outlineLvl w:val="0"/>
        <w:rPr>
          <w:rFonts w:ascii="宋体" w:hAnsi="宋体"/>
          <w:sz w:val="24"/>
        </w:rPr>
      </w:pPr>
      <w:r>
        <w:rPr>
          <w:rFonts w:hint="eastAsia" w:ascii="宋体" w:hAnsi="宋体"/>
          <w:sz w:val="24"/>
        </w:rPr>
        <w:t>监督部门：长葛市住房和城乡建设局</w:t>
      </w:r>
    </w:p>
    <w:p>
      <w:pPr>
        <w:autoSpaceDE w:val="0"/>
        <w:autoSpaceDN w:val="0"/>
        <w:spacing w:line="360" w:lineRule="auto"/>
        <w:ind w:firstLine="480" w:firstLineChars="200"/>
        <w:outlineLvl w:val="0"/>
        <w:rPr>
          <w:rFonts w:ascii="宋体" w:hAnsi="宋体"/>
          <w:sz w:val="24"/>
        </w:rPr>
      </w:pPr>
      <w:r>
        <w:rPr>
          <w:rFonts w:hint="eastAsia" w:ascii="宋体" w:hAnsi="宋体"/>
          <w:sz w:val="24"/>
        </w:rPr>
        <w:t>联系人：范先生</w:t>
      </w:r>
    </w:p>
    <w:p>
      <w:pPr>
        <w:autoSpaceDE w:val="0"/>
        <w:autoSpaceDN w:val="0"/>
        <w:spacing w:line="360" w:lineRule="auto"/>
        <w:ind w:firstLine="480" w:firstLineChars="200"/>
        <w:outlineLvl w:val="0"/>
        <w:rPr>
          <w:rFonts w:ascii="宋体" w:hAnsi="宋体"/>
          <w:sz w:val="24"/>
        </w:rPr>
      </w:pPr>
      <w:r>
        <w:rPr>
          <w:rFonts w:hint="eastAsia" w:ascii="宋体" w:hAnsi="宋体"/>
          <w:sz w:val="24"/>
        </w:rPr>
        <w:t>联系电话：0374-6110313    6896229</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175"/>
        <w:textAlignment w:val="auto"/>
        <w:rPr>
          <w:rFonts w:hint="eastAsia" w:ascii="宋体" w:hAnsi="宋体"/>
          <w:sz w:val="24"/>
        </w:rPr>
      </w:pPr>
      <w:r>
        <w:rPr>
          <w:rFonts w:hint="eastAsia" w:ascii="宋体" w:hAnsi="宋体"/>
          <w:sz w:val="24"/>
        </w:rPr>
        <w:t>地址：：长葛市葛天大道东段商务区6号楼住建局1209室</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175"/>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招标代理机构：</w:t>
      </w:r>
      <w:r>
        <w:rPr>
          <w:rFonts w:hint="eastAsia" w:asciiTheme="minorEastAsia" w:hAnsiTheme="minorEastAsia" w:eastAsiaTheme="minorEastAsia" w:cstheme="minorEastAsia"/>
          <w:sz w:val="24"/>
          <w:szCs w:val="24"/>
          <w:lang w:eastAsia="zh-CN"/>
        </w:rPr>
        <w:t>河南正泰建设工程咨询有限公司</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175"/>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项目联系人：</w:t>
      </w:r>
      <w:r>
        <w:rPr>
          <w:rFonts w:hint="eastAsia" w:asciiTheme="minorEastAsia" w:hAnsiTheme="minorEastAsia" w:eastAsiaTheme="minorEastAsia" w:cstheme="minorEastAsia"/>
          <w:sz w:val="24"/>
          <w:szCs w:val="24"/>
          <w:lang w:val="en-US" w:eastAsia="zh-CN"/>
        </w:rPr>
        <w:t>王先生</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175"/>
        <w:textAlignment w:val="auto"/>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项目联系电话：19803820216</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175"/>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地址：河南自贸试验区郑州片区（郑东）金水东路88号1号楼7层706号</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175"/>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长葛市公共资源交易中心业务科室</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175"/>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联系电话：0374-6198229</w:t>
      </w:r>
    </w:p>
    <w:p>
      <w:pPr>
        <w:autoSpaceDE w:val="0"/>
        <w:autoSpaceDN w:val="0"/>
        <w:spacing w:line="460" w:lineRule="exact"/>
        <w:ind w:firstLine="482" w:firstLineChars="200"/>
        <w:outlineLvl w:val="0"/>
        <w:rPr>
          <w:rFonts w:ascii="宋体" w:hAnsi="宋体"/>
          <w:b/>
          <w:bCs/>
          <w:sz w:val="24"/>
          <w:szCs w:val="24"/>
        </w:rPr>
      </w:pPr>
      <w:r>
        <w:rPr>
          <w:rFonts w:hint="eastAsia" w:ascii="宋体" w:hAnsi="宋体"/>
          <w:b/>
          <w:bCs/>
          <w:sz w:val="24"/>
          <w:szCs w:val="24"/>
        </w:rPr>
        <w:t>九、特别提示：</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175"/>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1、所有投标单位请时刻关注全国公共资源交易平台（河南省.许昌市），澄清、答疑、变更均在全国公共资源交易平台（河南省.许昌市）发布，不再另行通知。如未及时查看影响其投标，后果自负。</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175"/>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2、各投标人对代理公司提供的服务不满意，或认为代理公司在服务过程中有不当行为的，可致电长葛市公共资源交易</w:t>
      </w:r>
      <w:r>
        <w:rPr>
          <w:rFonts w:hint="eastAsia" w:asciiTheme="minorEastAsia" w:hAnsiTheme="minorEastAsia" w:eastAsiaTheme="minorEastAsia" w:cstheme="minorEastAsia"/>
          <w:sz w:val="24"/>
          <w:szCs w:val="24"/>
          <w:lang w:eastAsia="zh-CN"/>
        </w:rPr>
        <w:t>中心</w:t>
      </w:r>
      <w:r>
        <w:rPr>
          <w:rFonts w:hint="eastAsia" w:asciiTheme="minorEastAsia" w:hAnsiTheme="minorEastAsia" w:eastAsiaTheme="minorEastAsia" w:cstheme="minorEastAsia"/>
          <w:sz w:val="24"/>
          <w:szCs w:val="24"/>
        </w:rPr>
        <w:t>监管股（0374-6189576），经查实后将按规定作出处理。</w:t>
      </w:r>
    </w:p>
    <w:p>
      <w:pPr>
        <w:spacing w:line="460" w:lineRule="exact"/>
        <w:contextualSpacing/>
        <w:rPr>
          <w:rFonts w:hAnsi="宋体"/>
          <w:b/>
          <w:sz w:val="28"/>
          <w:szCs w:val="28"/>
        </w:rPr>
      </w:pPr>
      <w:r>
        <w:rPr>
          <w:rFonts w:hint="eastAsia" w:hAnsi="宋体"/>
          <w:b/>
          <w:sz w:val="28"/>
          <w:szCs w:val="28"/>
        </w:rPr>
        <w:t>温馨提示：</w:t>
      </w:r>
    </w:p>
    <w:p>
      <w:pPr>
        <w:spacing w:line="460" w:lineRule="exact"/>
        <w:ind w:firstLine="482" w:firstLineChars="200"/>
        <w:contextualSpacing/>
        <w:rPr>
          <w:rFonts w:hAnsi="宋体"/>
          <w:sz w:val="24"/>
          <w:szCs w:val="24"/>
        </w:rPr>
      </w:pPr>
      <w:r>
        <w:rPr>
          <w:rFonts w:hint="eastAsia" w:hAnsi="宋体"/>
          <w:b/>
          <w:sz w:val="24"/>
          <w:szCs w:val="24"/>
        </w:rPr>
        <w:t>本项目为全流程电子化交易项目，请认真阅读招标文件，并注意以下事项。</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175"/>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1.投标人应按招标文件规定编制、提交、解密电子投标文件。</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175"/>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2.电子文件下载、制作、提交期间和远程不见面开标（电子投标文件的解密）环节，投标人须使用同一个CA数字证书（证书须在有效期内并可正常使用）。</w:t>
      </w:r>
    </w:p>
    <w:p>
      <w:pPr>
        <w:tabs>
          <w:tab w:val="left" w:pos="7095"/>
        </w:tabs>
        <w:spacing w:line="460" w:lineRule="exact"/>
        <w:ind w:firstLine="482" w:firstLineChars="200"/>
        <w:contextualSpacing/>
        <w:rPr>
          <w:rFonts w:ascii="宋体" w:hAnsi="宋体"/>
          <w:b/>
          <w:sz w:val="24"/>
          <w:szCs w:val="24"/>
        </w:rPr>
      </w:pPr>
      <w:r>
        <w:rPr>
          <w:rFonts w:hint="eastAsia" w:ascii="宋体" w:hAnsi="宋体"/>
          <w:b/>
          <w:sz w:val="24"/>
          <w:szCs w:val="24"/>
        </w:rPr>
        <w:t>3.电子投标文件的制作</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175"/>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3.1 投标人登录《全国公共资源交易平台(河南省▪许昌市)》公共资源交易系统（http://ggzy.xuchang.gov.cn:8088/ggzy/）下载“许昌投标文件制作系统SEARUN 最新版本”，按招标文件要求制作电子投标文件。</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175"/>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电子投标文件的制作，参考《全国公共资源交易平台(河南省▪许昌市)》公共资源交易系统——组件下载——交易系统操作手册（投标人、供应商）。</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175"/>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3.2 投标人须将招标文件要求的资质、业绩、荣誉及相关人员证明材料等资料原件扫描件（或图片）制作到所提交的电子投标文件中。</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175"/>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3.3投标人对同一项目多个标段进行投标的，应分别下载所投标段的招标文件，按标段制作电子投标文件，并按招标文件要求在相应位置加盖投标人电子印章和法人电子印章。</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175"/>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一个标段对应生成一个文件夹（xxxx项目xx标段）,其中后缀名为“.file”的文件用于电子投标使用。</w:t>
      </w:r>
    </w:p>
    <w:p>
      <w:pPr>
        <w:autoSpaceDE w:val="0"/>
        <w:autoSpaceDN w:val="0"/>
        <w:spacing w:line="460" w:lineRule="exact"/>
        <w:ind w:firstLine="482" w:firstLineChars="200"/>
        <w:contextualSpacing/>
        <w:rPr>
          <w:rFonts w:hAnsi="宋体"/>
          <w:b/>
          <w:bCs/>
          <w:sz w:val="24"/>
        </w:rPr>
      </w:pPr>
      <w:r>
        <w:rPr>
          <w:rFonts w:hint="eastAsia" w:hAnsi="宋体" w:cs="宋体"/>
          <w:b/>
          <w:bCs/>
          <w:sz w:val="24"/>
        </w:rPr>
        <w:t>4.投标担保的提交</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175"/>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4.1使用银行转帐方式提交的，投标人通过基本账户将款项一次足额递交、成功绑定，以收款人到账时间为准。</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175"/>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4.1.1投标人网上下载招标文件并根据每个标段的缴纳说明单在开标截止时间前提交。每个投标人每个项目每个标段只有唯一缴纳账号，切勿重复缴纳或错误缴纳。</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175"/>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4.1.2提交后再次登录http://ggzy.xuchang.gov.cn:8088/ggzy/系统，依次点击“会员向导”→“参与投标”→“保证金绑定”→“绑定”进行投标保证金绑定，前述系统显示“长葛市公共资源交易中心保证金缴纳回执”表示投标保证金提交完成。未绑定标段的投标保证金，视为未按规定提交。</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175"/>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4.1.3投标人按照所投项目及标段将缴纳凭证“保证金缴纳回执”附于投标文件中，否则视为未按规定提交投标担保。</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175"/>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4.2使用银行保函方式提交的，投标人办理投标银行保函，银行保函应明确所投项目名称、项目编号及标段、受益人（招标人）、有效期（不低于本项目投标有效期）、担保金额（不低于本项目本标段投标保证金数额）。投标人应将投标银行保函原件扫描件附于投标文件中，否则视为未按规定提交投标担保。</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175"/>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保函格式按住建部【建市（2021）11号文】附件1：</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175"/>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投标人于开标结束后30分钟内将银行保函扫描件发至</w:t>
      </w:r>
      <w:r>
        <w:rPr>
          <w:rFonts w:hint="eastAsia" w:asciiTheme="minorEastAsia" w:hAnsiTheme="minorEastAsia" w:eastAsiaTheme="minorEastAsia" w:cstheme="minorEastAsia"/>
          <w:sz w:val="24"/>
          <w:szCs w:val="24"/>
          <w:lang w:val="en-US" w:eastAsia="zh-CN"/>
        </w:rPr>
        <w:t>3382407051</w:t>
      </w:r>
      <w:r>
        <w:rPr>
          <w:rFonts w:hint="eastAsia" w:asciiTheme="minorEastAsia" w:hAnsiTheme="minorEastAsia" w:eastAsiaTheme="minorEastAsia" w:cstheme="minorEastAsia"/>
          <w:sz w:val="24"/>
          <w:szCs w:val="24"/>
        </w:rPr>
        <w:t>@qq.com邮箱。</w:t>
      </w:r>
    </w:p>
    <w:p>
      <w:pPr>
        <w:tabs>
          <w:tab w:val="left" w:pos="7095"/>
        </w:tabs>
        <w:spacing w:line="460" w:lineRule="exact"/>
        <w:ind w:firstLine="482" w:firstLineChars="200"/>
        <w:contextualSpacing/>
        <w:rPr>
          <w:rFonts w:ascii="宋体" w:hAnsi="宋体"/>
          <w:b/>
          <w:sz w:val="24"/>
          <w:szCs w:val="24"/>
        </w:rPr>
      </w:pPr>
      <w:r>
        <w:rPr>
          <w:rFonts w:hint="eastAsia" w:ascii="宋体" w:hAnsi="宋体"/>
          <w:b/>
          <w:sz w:val="24"/>
          <w:szCs w:val="24"/>
        </w:rPr>
        <w:t>5.加密电子投标文件的提交</w:t>
      </w:r>
    </w:p>
    <w:p>
      <w:pPr>
        <w:tabs>
          <w:tab w:val="left" w:pos="7095"/>
        </w:tabs>
        <w:spacing w:line="460" w:lineRule="exact"/>
        <w:ind w:firstLine="480" w:firstLineChars="200"/>
        <w:contextualSpacing/>
        <w:rPr>
          <w:rFonts w:ascii="宋体" w:hAnsi="宋体"/>
          <w:sz w:val="24"/>
          <w:szCs w:val="24"/>
        </w:rPr>
      </w:pPr>
      <w:r>
        <w:rPr>
          <w:rFonts w:hint="eastAsia" w:ascii="宋体" w:hAnsi="宋体"/>
          <w:sz w:val="24"/>
          <w:szCs w:val="24"/>
        </w:rPr>
        <w:t>5.1电子投标文件应在规定的投标截止时间（开标时间）之前成功提交至【全国公共资源交易平台(河南省▪许昌市)】公共资源交易系统（</w:t>
      </w:r>
      <w:r>
        <w:t>http://ggzy.xuchang.gov.cn:8088/ggzy/</w:t>
      </w:r>
      <w:r>
        <w:rPr>
          <w:rFonts w:hint="eastAsia" w:ascii="宋体" w:hAnsi="宋体"/>
          <w:sz w:val="24"/>
          <w:szCs w:val="24"/>
        </w:rPr>
        <w:t>）。</w:t>
      </w:r>
    </w:p>
    <w:p>
      <w:pPr>
        <w:tabs>
          <w:tab w:val="left" w:pos="7095"/>
        </w:tabs>
        <w:spacing w:line="460" w:lineRule="exact"/>
        <w:ind w:firstLine="480" w:firstLineChars="200"/>
        <w:contextualSpacing/>
        <w:rPr>
          <w:rFonts w:ascii="宋体" w:hAnsi="宋体"/>
          <w:sz w:val="24"/>
          <w:szCs w:val="24"/>
        </w:rPr>
      </w:pPr>
      <w:r>
        <w:rPr>
          <w:rFonts w:hint="eastAsia" w:ascii="宋体" w:hAnsi="宋体"/>
          <w:sz w:val="24"/>
          <w:szCs w:val="24"/>
        </w:rPr>
        <w:t>投标人应充分考虑并预留技术处理和上传数据所需时间。</w:t>
      </w:r>
    </w:p>
    <w:p>
      <w:pPr>
        <w:tabs>
          <w:tab w:val="left" w:pos="7095"/>
        </w:tabs>
        <w:spacing w:line="460" w:lineRule="exact"/>
        <w:ind w:firstLine="480" w:firstLineChars="200"/>
        <w:contextualSpacing/>
        <w:rPr>
          <w:rFonts w:ascii="宋体" w:hAnsi="宋体"/>
          <w:sz w:val="24"/>
          <w:szCs w:val="24"/>
        </w:rPr>
      </w:pPr>
      <w:r>
        <w:rPr>
          <w:rFonts w:hint="eastAsia" w:ascii="宋体" w:hAnsi="宋体"/>
          <w:sz w:val="24"/>
          <w:szCs w:val="24"/>
        </w:rPr>
        <w:t>5.2 投标人对同一项目多个标段进行投标的，电子投标文件应按标段分别提交。</w:t>
      </w:r>
    </w:p>
    <w:p>
      <w:pPr>
        <w:tabs>
          <w:tab w:val="left" w:pos="7095"/>
        </w:tabs>
        <w:spacing w:line="460" w:lineRule="exact"/>
        <w:ind w:firstLine="480" w:firstLineChars="200"/>
        <w:contextualSpacing/>
        <w:rPr>
          <w:rFonts w:ascii="宋体" w:hAnsi="宋体"/>
          <w:sz w:val="24"/>
          <w:szCs w:val="24"/>
        </w:rPr>
      </w:pPr>
      <w:r>
        <w:rPr>
          <w:rFonts w:hint="eastAsia" w:ascii="宋体" w:hAnsi="宋体"/>
          <w:sz w:val="24"/>
          <w:szCs w:val="24"/>
        </w:rPr>
        <w:t>5.3加密电子投标文件成功提交后，《全国公共资源交易平台（河南省·许昌市）》公共资源交易系统（</w:t>
      </w:r>
      <w:r>
        <w:t>http://ggzy.xuchang.gov.cn:8088/ggzy/</w:t>
      </w:r>
      <w:r>
        <w:rPr>
          <w:rFonts w:hint="eastAsia" w:ascii="宋体" w:hAnsi="宋体"/>
          <w:sz w:val="24"/>
          <w:szCs w:val="24"/>
        </w:rPr>
        <w:t>）生成“投标文件提交回执单”。</w:t>
      </w:r>
    </w:p>
    <w:p>
      <w:pPr>
        <w:tabs>
          <w:tab w:val="left" w:pos="7095"/>
        </w:tabs>
        <w:spacing w:line="460" w:lineRule="exact"/>
        <w:ind w:firstLine="482" w:firstLineChars="200"/>
        <w:contextualSpacing/>
        <w:rPr>
          <w:rFonts w:ascii="宋体" w:hAnsi="宋体"/>
          <w:b/>
          <w:sz w:val="24"/>
          <w:szCs w:val="24"/>
        </w:rPr>
      </w:pPr>
      <w:r>
        <w:rPr>
          <w:rFonts w:hint="eastAsia" w:ascii="宋体" w:hAnsi="宋体"/>
          <w:b/>
          <w:sz w:val="24"/>
          <w:szCs w:val="24"/>
        </w:rPr>
        <w:t>6.远程不见面开标(电子投标文件的解密)</w:t>
      </w:r>
    </w:p>
    <w:p>
      <w:pPr>
        <w:tabs>
          <w:tab w:val="left" w:pos="7095"/>
        </w:tabs>
        <w:spacing w:line="460" w:lineRule="exact"/>
        <w:ind w:firstLine="480" w:firstLineChars="200"/>
        <w:contextualSpacing/>
        <w:rPr>
          <w:rFonts w:ascii="宋体" w:hAnsi="宋体"/>
          <w:sz w:val="24"/>
          <w:szCs w:val="24"/>
        </w:rPr>
      </w:pPr>
      <w:r>
        <w:rPr>
          <w:rFonts w:hint="eastAsia" w:ascii="宋体" w:hAnsi="宋体"/>
          <w:sz w:val="24"/>
          <w:szCs w:val="24"/>
        </w:rPr>
        <w:t>6.1 投标人应熟悉《许昌市不见面开标操作手册》，并提前设置不见面开标浏览器（设置流程详见《许昌市不见面开标操作手册》）。</w:t>
      </w:r>
    </w:p>
    <w:p>
      <w:pPr>
        <w:tabs>
          <w:tab w:val="left" w:pos="7095"/>
        </w:tabs>
        <w:spacing w:line="460" w:lineRule="exact"/>
        <w:ind w:firstLine="480" w:firstLineChars="200"/>
        <w:contextualSpacing/>
        <w:rPr>
          <w:rFonts w:ascii="宋体" w:hAnsi="宋体"/>
          <w:sz w:val="24"/>
          <w:szCs w:val="24"/>
        </w:rPr>
      </w:pPr>
      <w:r>
        <w:rPr>
          <w:rFonts w:hint="eastAsia" w:ascii="宋体" w:hAnsi="宋体"/>
          <w:sz w:val="24"/>
          <w:szCs w:val="24"/>
        </w:rPr>
        <w:t>6.2 《许昌市不见面开标操作手册》下载路径：全国公共资源交易平台（河南省·许昌市）—“资料下载”栏目。</w:t>
      </w:r>
    </w:p>
    <w:p>
      <w:pPr>
        <w:tabs>
          <w:tab w:val="left" w:pos="7095"/>
        </w:tabs>
        <w:spacing w:line="460" w:lineRule="exact"/>
        <w:ind w:firstLine="480" w:firstLineChars="200"/>
        <w:contextualSpacing/>
        <w:rPr>
          <w:rFonts w:ascii="宋体" w:hAnsi="宋体"/>
          <w:sz w:val="24"/>
          <w:szCs w:val="24"/>
        </w:rPr>
      </w:pPr>
      <w:r>
        <w:rPr>
          <w:rFonts w:hint="eastAsia" w:ascii="宋体" w:hAnsi="宋体"/>
          <w:sz w:val="24"/>
          <w:szCs w:val="24"/>
        </w:rPr>
        <w:t>6.3开标时间前投标人应登录本项目不见面开标大厅，按照招标文件确定的开标时间准时参加网上开标。</w:t>
      </w:r>
    </w:p>
    <w:p>
      <w:pPr>
        <w:tabs>
          <w:tab w:val="left" w:pos="7095"/>
        </w:tabs>
        <w:spacing w:line="460" w:lineRule="exact"/>
        <w:ind w:firstLine="480" w:firstLineChars="200"/>
        <w:contextualSpacing/>
        <w:rPr>
          <w:rFonts w:ascii="宋体" w:hAnsi="宋体"/>
          <w:sz w:val="24"/>
          <w:szCs w:val="24"/>
        </w:rPr>
      </w:pPr>
      <w:r>
        <w:rPr>
          <w:rFonts w:hint="eastAsia" w:ascii="宋体" w:hAnsi="宋体"/>
          <w:sz w:val="24"/>
          <w:szCs w:val="24"/>
        </w:rPr>
        <w:t>6.4投标人对开标过程和开标记录如有疑义，可在本项目不见面开标大厅“文字互动”对话框或“新增质疑”处在线提出询问。</w:t>
      </w:r>
    </w:p>
    <w:p>
      <w:pPr>
        <w:tabs>
          <w:tab w:val="left" w:pos="7095"/>
        </w:tabs>
        <w:spacing w:line="460" w:lineRule="exact"/>
        <w:ind w:firstLine="480" w:firstLineChars="200"/>
        <w:contextualSpacing/>
        <w:rPr>
          <w:rFonts w:ascii="宋体" w:hAnsi="宋体"/>
          <w:sz w:val="24"/>
          <w:szCs w:val="24"/>
        </w:rPr>
      </w:pPr>
      <w:r>
        <w:rPr>
          <w:rFonts w:hint="eastAsia" w:ascii="宋体" w:hAnsi="宋体"/>
          <w:sz w:val="24"/>
          <w:szCs w:val="24"/>
        </w:rPr>
        <w:t>6.5根据代理机构在“文字互动”对话框的通知，投标人选择功能栏“解密环节”按钮进行电子投标文件解密（投标人解密应自代理机构在到达投标截止时间时点击“开标”按钮，开标开始并进行解密120分钟内完成）。投标人未解密或因投标人原因解密失败的，其投标将被拒绝。</w:t>
      </w:r>
    </w:p>
    <w:p>
      <w:pPr>
        <w:tabs>
          <w:tab w:val="left" w:pos="7095"/>
        </w:tabs>
        <w:spacing w:line="460" w:lineRule="exact"/>
        <w:ind w:firstLine="480" w:firstLineChars="200"/>
        <w:contextualSpacing/>
        <w:rPr>
          <w:rFonts w:ascii="宋体" w:hAnsi="宋体"/>
          <w:sz w:val="24"/>
          <w:szCs w:val="24"/>
        </w:rPr>
      </w:pPr>
      <w:r>
        <w:rPr>
          <w:rFonts w:hint="eastAsia" w:ascii="宋体" w:hAnsi="宋体"/>
          <w:sz w:val="24"/>
          <w:szCs w:val="24"/>
        </w:rPr>
        <w:t>6.6项目远程不见面开标活动结束时，投标人应在《开标记录表》上进行电子签章。投标人未签章的，视同认可开标结果。</w:t>
      </w:r>
    </w:p>
    <w:p>
      <w:pPr>
        <w:spacing w:line="460" w:lineRule="exact"/>
        <w:ind w:firstLine="482" w:firstLineChars="200"/>
        <w:contextualSpacing/>
        <w:rPr>
          <w:rFonts w:hAnsi="宋体"/>
          <w:b/>
          <w:bCs/>
          <w:sz w:val="24"/>
        </w:rPr>
      </w:pPr>
      <w:r>
        <w:rPr>
          <w:rFonts w:hint="eastAsia" w:hAnsi="宋体"/>
          <w:b/>
          <w:bCs/>
          <w:sz w:val="24"/>
        </w:rPr>
        <w:t>7.评标依据</w:t>
      </w:r>
    </w:p>
    <w:p>
      <w:pPr>
        <w:tabs>
          <w:tab w:val="left" w:pos="7095"/>
        </w:tabs>
        <w:spacing w:line="460" w:lineRule="exact"/>
        <w:ind w:firstLine="480" w:firstLineChars="200"/>
        <w:contextualSpacing/>
        <w:rPr>
          <w:rFonts w:ascii="宋体" w:hAnsi="宋体"/>
          <w:sz w:val="24"/>
          <w:szCs w:val="24"/>
        </w:rPr>
      </w:pPr>
      <w:r>
        <w:rPr>
          <w:rFonts w:hint="eastAsia" w:ascii="宋体" w:hAnsi="宋体"/>
          <w:sz w:val="24"/>
          <w:szCs w:val="24"/>
        </w:rPr>
        <w:t>7.1全流程电子化交易（远程不见面开标）项目，评标委员会以成功上传、解密的电子投标文件为评标依据。</w:t>
      </w:r>
    </w:p>
    <w:p>
      <w:pPr>
        <w:spacing w:line="460" w:lineRule="exact"/>
        <w:jc w:val="center"/>
        <w:rPr>
          <w:rFonts w:hint="eastAsia" w:ascii="宋体" w:hAnsi="宋体"/>
          <w:sz w:val="24"/>
          <w:szCs w:val="24"/>
        </w:rPr>
      </w:pPr>
      <w:r>
        <w:rPr>
          <w:rFonts w:hint="eastAsia" w:ascii="宋体" w:hAnsi="宋体"/>
          <w:sz w:val="24"/>
          <w:szCs w:val="24"/>
          <w:lang w:val="en-US" w:eastAsia="zh-CN"/>
        </w:rPr>
        <w:t xml:space="preserve"> </w:t>
      </w:r>
      <w:r>
        <w:rPr>
          <w:rFonts w:hint="eastAsia" w:ascii="宋体" w:hAnsi="宋体"/>
          <w:sz w:val="24"/>
          <w:szCs w:val="24"/>
        </w:rPr>
        <w:t>7.2 评审期间，保持投标文件提供的联系方式畅通，评标委员会随时可能对投标文件内容质询，投标人应及时进行答复（包括但不限于电子文档、电子邮件等）。</w:t>
      </w: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pStyle w:val="2"/>
        <w:rPr>
          <w:rFonts w:hint="eastAsia"/>
        </w:rPr>
      </w:pPr>
    </w:p>
    <w:p>
      <w:pPr>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spacing w:line="460" w:lineRule="exact"/>
        <w:jc w:val="center"/>
        <w:rPr>
          <w:rStyle w:val="26"/>
          <w:rFonts w:hint="eastAsia"/>
          <w:lang w:val="en-US" w:eastAsia="zh-CN"/>
        </w:rPr>
      </w:pPr>
      <w:r>
        <w:rPr>
          <w:rStyle w:val="26"/>
          <w:rFonts w:hint="eastAsia"/>
          <w:lang w:val="en-US" w:eastAsia="zh-CN"/>
        </w:rPr>
        <w:t>第二章投标人须知</w:t>
      </w:r>
    </w:p>
    <w:p>
      <w:pPr>
        <w:autoSpaceDE w:val="0"/>
        <w:autoSpaceDN w:val="0"/>
        <w:adjustRightInd w:val="0"/>
        <w:spacing w:line="460" w:lineRule="exact"/>
        <w:jc w:val="center"/>
        <w:outlineLvl w:val="0"/>
        <w:rPr>
          <w:rFonts w:ascii="宋体" w:hAnsi="宋体" w:cs="黑体"/>
          <w:b/>
          <w:bCs/>
          <w:kern w:val="0"/>
          <w:sz w:val="28"/>
          <w:szCs w:val="28"/>
        </w:rPr>
      </w:pPr>
      <w:bookmarkStart w:id="23" w:name="_Toc464824550"/>
      <w:bookmarkEnd w:id="23"/>
      <w:bookmarkStart w:id="24" w:name="_Toc17870"/>
      <w:r>
        <w:rPr>
          <w:rFonts w:hint="eastAsia" w:ascii="宋体" w:hAnsi="宋体" w:cs="黑体"/>
          <w:b/>
          <w:bCs/>
          <w:kern w:val="0"/>
          <w:sz w:val="28"/>
          <w:szCs w:val="28"/>
        </w:rPr>
        <w:t>投标人须知前附表</w:t>
      </w:r>
      <w:bookmarkEnd w:id="24"/>
    </w:p>
    <w:tbl>
      <w:tblPr>
        <w:tblStyle w:val="16"/>
        <w:tblW w:w="858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8"/>
        <w:gridCol w:w="24"/>
        <w:gridCol w:w="280"/>
        <w:gridCol w:w="892"/>
        <w:gridCol w:w="63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38"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60" w:lineRule="exact"/>
              <w:contextualSpacing/>
              <w:jc w:val="center"/>
              <w:rPr>
                <w:rFonts w:ascii="宋体" w:hAnsi="宋体" w:cs="黑体"/>
                <w:kern w:val="0"/>
                <w:sz w:val="24"/>
                <w:szCs w:val="24"/>
              </w:rPr>
            </w:pPr>
            <w:r>
              <w:rPr>
                <w:rFonts w:hint="eastAsia" w:ascii="宋体" w:hAnsi="宋体" w:cs="仿宋_GB2312"/>
                <w:kern w:val="0"/>
                <w:sz w:val="24"/>
                <w:szCs w:val="24"/>
              </w:rPr>
              <w:t>条款号</w:t>
            </w:r>
          </w:p>
        </w:tc>
        <w:tc>
          <w:tcPr>
            <w:tcW w:w="1196" w:type="dxa"/>
            <w:gridSpan w:val="3"/>
            <w:tcBorders>
              <w:top w:val="single" w:color="auto" w:sz="4" w:space="0"/>
              <w:left w:val="nil"/>
              <w:bottom w:val="single" w:color="auto" w:sz="4" w:space="0"/>
              <w:right w:val="single" w:color="auto" w:sz="4" w:space="0"/>
            </w:tcBorders>
            <w:vAlign w:val="center"/>
          </w:tcPr>
          <w:p>
            <w:pPr>
              <w:autoSpaceDE w:val="0"/>
              <w:autoSpaceDN w:val="0"/>
              <w:spacing w:line="460" w:lineRule="exact"/>
              <w:contextualSpacing/>
              <w:rPr>
                <w:rFonts w:ascii="宋体" w:hAnsi="宋体" w:cs="黑体"/>
                <w:kern w:val="0"/>
                <w:sz w:val="24"/>
                <w:szCs w:val="24"/>
              </w:rPr>
            </w:pPr>
            <w:r>
              <w:rPr>
                <w:rFonts w:hint="eastAsia" w:ascii="宋体" w:hAnsi="宋体" w:cs="仿宋_GB2312"/>
                <w:kern w:val="0"/>
                <w:sz w:val="24"/>
                <w:szCs w:val="24"/>
              </w:rPr>
              <w:t>条款名称</w:t>
            </w:r>
          </w:p>
        </w:tc>
        <w:tc>
          <w:tcPr>
            <w:tcW w:w="6346" w:type="dxa"/>
            <w:tcBorders>
              <w:top w:val="single" w:color="auto" w:sz="4" w:space="0"/>
              <w:left w:val="nil"/>
              <w:bottom w:val="single" w:color="auto" w:sz="4" w:space="0"/>
              <w:right w:val="single" w:color="auto" w:sz="4" w:space="0"/>
            </w:tcBorders>
            <w:vAlign w:val="center"/>
          </w:tcPr>
          <w:p>
            <w:pPr>
              <w:autoSpaceDE w:val="0"/>
              <w:autoSpaceDN w:val="0"/>
              <w:spacing w:line="460" w:lineRule="exact"/>
              <w:contextualSpacing/>
              <w:jc w:val="center"/>
              <w:rPr>
                <w:rFonts w:ascii="宋体" w:hAnsi="宋体"/>
                <w:sz w:val="24"/>
                <w:szCs w:val="24"/>
              </w:rPr>
            </w:pPr>
            <w:r>
              <w:rPr>
                <w:rFonts w:hint="eastAsia" w:ascii="宋体" w:hAnsi="宋体"/>
                <w:sz w:val="24"/>
                <w:szCs w:val="24"/>
              </w:rPr>
              <w:t>编 列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38"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60" w:lineRule="exact"/>
              <w:contextualSpacing/>
              <w:jc w:val="center"/>
              <w:rPr>
                <w:rFonts w:ascii="宋体" w:hAnsi="宋体" w:cs="黑体"/>
                <w:kern w:val="0"/>
                <w:sz w:val="24"/>
                <w:szCs w:val="24"/>
              </w:rPr>
            </w:pPr>
            <w:r>
              <w:rPr>
                <w:rFonts w:hint="eastAsia" w:ascii="宋体" w:hAnsi="宋体" w:cs="黑体"/>
                <w:kern w:val="0"/>
                <w:sz w:val="24"/>
                <w:szCs w:val="24"/>
              </w:rPr>
              <w:t>1.1.1</w:t>
            </w:r>
          </w:p>
        </w:tc>
        <w:tc>
          <w:tcPr>
            <w:tcW w:w="1196" w:type="dxa"/>
            <w:gridSpan w:val="3"/>
            <w:tcBorders>
              <w:top w:val="single" w:color="auto" w:sz="4" w:space="0"/>
              <w:left w:val="nil"/>
              <w:bottom w:val="single" w:color="auto" w:sz="4" w:space="0"/>
              <w:right w:val="single" w:color="auto" w:sz="4" w:space="0"/>
            </w:tcBorders>
            <w:vAlign w:val="center"/>
          </w:tcPr>
          <w:p>
            <w:pPr>
              <w:autoSpaceDE w:val="0"/>
              <w:autoSpaceDN w:val="0"/>
              <w:spacing w:line="460" w:lineRule="exact"/>
              <w:contextualSpacing/>
              <w:jc w:val="center"/>
              <w:rPr>
                <w:rFonts w:ascii="宋体" w:hAnsi="宋体" w:cs="黑体"/>
                <w:kern w:val="0"/>
                <w:sz w:val="24"/>
                <w:szCs w:val="24"/>
              </w:rPr>
            </w:pPr>
            <w:r>
              <w:rPr>
                <w:rFonts w:hint="eastAsia" w:ascii="宋体" w:hAnsi="宋体" w:cs="仿宋_GB2312"/>
                <w:kern w:val="0"/>
                <w:sz w:val="24"/>
                <w:szCs w:val="24"/>
              </w:rPr>
              <w:t>招标编号</w:t>
            </w:r>
          </w:p>
        </w:tc>
        <w:tc>
          <w:tcPr>
            <w:tcW w:w="6346" w:type="dxa"/>
            <w:tcBorders>
              <w:top w:val="single" w:color="auto" w:sz="4" w:space="0"/>
              <w:left w:val="nil"/>
              <w:bottom w:val="single" w:color="auto" w:sz="4" w:space="0"/>
              <w:right w:val="single" w:color="auto" w:sz="4" w:space="0"/>
            </w:tcBorders>
          </w:tcPr>
          <w:p>
            <w:pPr>
              <w:spacing w:line="460" w:lineRule="exact"/>
              <w:contextualSpacing/>
              <w:rPr>
                <w:rFonts w:ascii="宋体" w:hAnsi="宋体"/>
                <w:sz w:val="24"/>
                <w:szCs w:val="24"/>
              </w:rPr>
            </w:pPr>
            <w:r>
              <w:rPr>
                <w:rFonts w:hint="eastAsia" w:ascii="宋体" w:hAnsi="宋体"/>
                <w:sz w:val="24"/>
                <w:szCs w:val="24"/>
              </w:rPr>
              <w:t>长交建【</w:t>
            </w:r>
            <w:r>
              <w:rPr>
                <w:rFonts w:ascii="宋体" w:hAnsi="宋体"/>
                <w:sz w:val="24"/>
                <w:szCs w:val="24"/>
              </w:rPr>
              <w:t>202</w:t>
            </w:r>
            <w:r>
              <w:rPr>
                <w:rFonts w:hint="eastAsia" w:ascii="宋体" w:hAnsi="宋体"/>
                <w:sz w:val="24"/>
                <w:szCs w:val="24"/>
                <w:lang w:val="en-US" w:eastAsia="zh-CN"/>
              </w:rPr>
              <w:t>2</w:t>
            </w:r>
            <w:r>
              <w:rPr>
                <w:rFonts w:hint="eastAsia" w:ascii="宋体" w:hAnsi="宋体"/>
                <w:sz w:val="24"/>
                <w:szCs w:val="24"/>
              </w:rPr>
              <w:t>】G</w:t>
            </w:r>
            <w:r>
              <w:rPr>
                <w:rFonts w:ascii="宋体" w:hAnsi="宋体"/>
                <w:sz w:val="24"/>
                <w:szCs w:val="24"/>
              </w:rPr>
              <w:t>Z</w:t>
            </w:r>
            <w:r>
              <w:rPr>
                <w:rFonts w:hint="eastAsia" w:ascii="宋体" w:hAnsi="宋体"/>
                <w:sz w:val="24"/>
                <w:szCs w:val="24"/>
                <w:lang w:val="en-US" w:eastAsia="zh-CN"/>
              </w:rPr>
              <w:t>008</w:t>
            </w:r>
            <w:r>
              <w:rPr>
                <w:rFonts w:hint="eastAsia" w:ascii="宋体" w:hAnsi="宋体"/>
                <w:sz w:val="24"/>
                <w:szCs w:val="24"/>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38"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60" w:lineRule="exact"/>
              <w:contextualSpacing/>
              <w:jc w:val="center"/>
              <w:rPr>
                <w:rFonts w:ascii="宋体" w:hAnsi="宋体" w:cs="黑体"/>
                <w:kern w:val="0"/>
                <w:sz w:val="24"/>
                <w:szCs w:val="24"/>
              </w:rPr>
            </w:pPr>
            <w:r>
              <w:rPr>
                <w:rFonts w:hint="eastAsia" w:ascii="宋体" w:hAnsi="宋体" w:cs="TimesNewRomanPSMT"/>
                <w:kern w:val="0"/>
                <w:sz w:val="24"/>
                <w:szCs w:val="24"/>
              </w:rPr>
              <w:t>1.1.2</w:t>
            </w:r>
          </w:p>
        </w:tc>
        <w:tc>
          <w:tcPr>
            <w:tcW w:w="1196" w:type="dxa"/>
            <w:gridSpan w:val="3"/>
            <w:tcBorders>
              <w:top w:val="single" w:color="auto" w:sz="4" w:space="0"/>
              <w:left w:val="nil"/>
              <w:bottom w:val="single" w:color="auto" w:sz="4" w:space="0"/>
              <w:right w:val="single" w:color="auto" w:sz="4" w:space="0"/>
            </w:tcBorders>
            <w:vAlign w:val="center"/>
          </w:tcPr>
          <w:p>
            <w:pPr>
              <w:autoSpaceDE w:val="0"/>
              <w:autoSpaceDN w:val="0"/>
              <w:spacing w:line="460" w:lineRule="exact"/>
              <w:contextualSpacing/>
              <w:jc w:val="center"/>
              <w:rPr>
                <w:rFonts w:ascii="宋体" w:hAnsi="宋体" w:cs="黑体"/>
                <w:kern w:val="0"/>
                <w:sz w:val="24"/>
                <w:szCs w:val="24"/>
              </w:rPr>
            </w:pPr>
            <w:r>
              <w:rPr>
                <w:rFonts w:hint="eastAsia" w:ascii="宋体" w:hAnsi="宋体" w:cs="仿宋_GB2312"/>
                <w:kern w:val="0"/>
                <w:sz w:val="24"/>
                <w:szCs w:val="24"/>
              </w:rPr>
              <w:t>招标人</w:t>
            </w:r>
          </w:p>
        </w:tc>
        <w:tc>
          <w:tcPr>
            <w:tcW w:w="6346" w:type="dxa"/>
            <w:tcBorders>
              <w:top w:val="single" w:color="auto" w:sz="4" w:space="0"/>
              <w:left w:val="nil"/>
              <w:bottom w:val="single" w:color="auto" w:sz="4" w:space="0"/>
              <w:right w:val="single" w:color="auto" w:sz="4" w:space="0"/>
            </w:tcBorders>
          </w:tcPr>
          <w:p>
            <w:pPr>
              <w:keepNext w:val="0"/>
              <w:keepLines w:val="0"/>
              <w:pageBreakBefore w:val="0"/>
              <w:widowControl w:val="0"/>
              <w:kinsoku/>
              <w:wordWrap/>
              <w:overflowPunct/>
              <w:topLinePunct w:val="0"/>
              <w:autoSpaceDE w:val="0"/>
              <w:autoSpaceDN w:val="0"/>
              <w:bidi w:val="0"/>
              <w:adjustRightInd/>
              <w:snapToGrid/>
              <w:spacing w:line="360" w:lineRule="exact"/>
              <w:textAlignment w:val="auto"/>
              <w:outlineLvl w:val="0"/>
              <w:rPr>
                <w:rFonts w:hint="eastAsia" w:asciiTheme="minorEastAsia" w:hAnsiTheme="minorEastAsia"/>
                <w:sz w:val="24"/>
                <w:szCs w:val="24"/>
                <w:lang w:eastAsia="zh-CN"/>
              </w:rPr>
            </w:pPr>
            <w:r>
              <w:rPr>
                <w:rFonts w:hint="eastAsia" w:asciiTheme="minorEastAsia" w:hAnsiTheme="minorEastAsia"/>
                <w:sz w:val="24"/>
                <w:szCs w:val="24"/>
              </w:rPr>
              <w:t>招标人：</w:t>
            </w:r>
            <w:r>
              <w:rPr>
                <w:rFonts w:hint="eastAsia" w:asciiTheme="minorEastAsia" w:hAnsiTheme="minorEastAsia"/>
                <w:sz w:val="24"/>
                <w:szCs w:val="24"/>
                <w:lang w:eastAsia="zh-CN"/>
              </w:rPr>
              <w:t>长葛市住房和城乡建设局</w:t>
            </w:r>
          </w:p>
          <w:p>
            <w:pPr>
              <w:keepNext w:val="0"/>
              <w:keepLines w:val="0"/>
              <w:pageBreakBefore w:val="0"/>
              <w:widowControl w:val="0"/>
              <w:kinsoku/>
              <w:wordWrap/>
              <w:overflowPunct/>
              <w:topLinePunct w:val="0"/>
              <w:autoSpaceDE w:val="0"/>
              <w:autoSpaceDN w:val="0"/>
              <w:bidi w:val="0"/>
              <w:adjustRightInd/>
              <w:snapToGrid/>
              <w:spacing w:line="360" w:lineRule="exact"/>
              <w:textAlignment w:val="auto"/>
              <w:outlineLvl w:val="0"/>
              <w:rPr>
                <w:rFonts w:hint="eastAsia" w:asciiTheme="minorEastAsia" w:hAnsiTheme="minorEastAsia"/>
                <w:sz w:val="24"/>
                <w:szCs w:val="24"/>
              </w:rPr>
            </w:pPr>
            <w:r>
              <w:rPr>
                <w:rFonts w:hint="eastAsia" w:asciiTheme="minorEastAsia" w:hAnsiTheme="minorEastAsia"/>
                <w:sz w:val="24"/>
                <w:szCs w:val="24"/>
              </w:rPr>
              <w:t>联系人：</w:t>
            </w:r>
            <w:r>
              <w:rPr>
                <w:rFonts w:hint="eastAsia" w:asciiTheme="minorEastAsia" w:hAnsiTheme="minorEastAsia"/>
                <w:sz w:val="24"/>
                <w:szCs w:val="24"/>
                <w:lang w:eastAsia="zh-CN"/>
              </w:rPr>
              <w:t>时女士</w:t>
            </w:r>
            <w:r>
              <w:rPr>
                <w:rFonts w:hint="eastAsia" w:asciiTheme="minorEastAsia" w:hAnsiTheme="minorEastAsia"/>
                <w:sz w:val="24"/>
                <w:szCs w:val="24"/>
                <w:lang w:val="en-US" w:eastAsia="zh-CN"/>
              </w:rPr>
              <w:t xml:space="preserve"> </w:t>
            </w:r>
            <w:r>
              <w:rPr>
                <w:rFonts w:hint="eastAsia" w:asciiTheme="minorEastAsia" w:hAnsiTheme="minorEastAsia"/>
                <w:sz w:val="24"/>
                <w:szCs w:val="24"/>
              </w:rPr>
              <w:t xml:space="preserve">         </w:t>
            </w:r>
          </w:p>
          <w:p>
            <w:pPr>
              <w:keepNext w:val="0"/>
              <w:keepLines w:val="0"/>
              <w:pageBreakBefore w:val="0"/>
              <w:widowControl w:val="0"/>
              <w:kinsoku/>
              <w:wordWrap/>
              <w:overflowPunct/>
              <w:topLinePunct w:val="0"/>
              <w:autoSpaceDE w:val="0"/>
              <w:autoSpaceDN w:val="0"/>
              <w:bidi w:val="0"/>
              <w:adjustRightInd/>
              <w:snapToGrid/>
              <w:spacing w:line="360" w:lineRule="exact"/>
              <w:textAlignment w:val="auto"/>
              <w:outlineLvl w:val="0"/>
              <w:rPr>
                <w:rFonts w:hint="eastAsia" w:asciiTheme="minorEastAsia" w:hAnsiTheme="minorEastAsia"/>
                <w:sz w:val="24"/>
                <w:szCs w:val="24"/>
                <w:lang w:val="en-US" w:eastAsia="zh-CN"/>
              </w:rPr>
            </w:pPr>
            <w:r>
              <w:rPr>
                <w:rFonts w:hint="eastAsia" w:asciiTheme="minorEastAsia" w:hAnsiTheme="minorEastAsia"/>
                <w:sz w:val="24"/>
                <w:szCs w:val="24"/>
              </w:rPr>
              <w:t>联系电话：</w:t>
            </w:r>
            <w:r>
              <w:rPr>
                <w:rFonts w:hint="eastAsia" w:asciiTheme="minorEastAsia" w:hAnsiTheme="minorEastAsia"/>
                <w:sz w:val="24"/>
                <w:szCs w:val="24"/>
                <w:lang w:val="en-US" w:eastAsia="zh-CN"/>
              </w:rPr>
              <w:t xml:space="preserve">18003995123 </w:t>
            </w:r>
          </w:p>
          <w:p>
            <w:pPr>
              <w:keepNext w:val="0"/>
              <w:keepLines w:val="0"/>
              <w:pageBreakBefore w:val="0"/>
              <w:widowControl w:val="0"/>
              <w:kinsoku/>
              <w:wordWrap/>
              <w:overflowPunct/>
              <w:topLinePunct w:val="0"/>
              <w:autoSpaceDE w:val="0"/>
              <w:autoSpaceDN w:val="0"/>
              <w:bidi w:val="0"/>
              <w:adjustRightInd/>
              <w:snapToGrid/>
              <w:spacing w:line="360" w:lineRule="exact"/>
              <w:textAlignment w:val="auto"/>
              <w:outlineLvl w:val="0"/>
              <w:rPr>
                <w:rFonts w:hint="eastAsia" w:ascii="宋体" w:hAnsi="宋体" w:eastAsia="宋体"/>
                <w:sz w:val="24"/>
                <w:szCs w:val="24"/>
                <w:lang w:eastAsia="zh-CN"/>
              </w:rPr>
            </w:pPr>
            <w:r>
              <w:rPr>
                <w:rFonts w:hint="eastAsia" w:asciiTheme="minorEastAsia" w:hAnsiTheme="minorEastAsia"/>
                <w:sz w:val="24"/>
                <w:szCs w:val="24"/>
              </w:rPr>
              <w:t>地址：</w:t>
            </w:r>
            <w:r>
              <w:rPr>
                <w:rFonts w:hint="eastAsia" w:asciiTheme="minorEastAsia" w:hAnsiTheme="minorEastAsia"/>
                <w:sz w:val="24"/>
                <w:szCs w:val="24"/>
                <w:lang w:eastAsia="zh-CN"/>
              </w:rPr>
              <w:t>长葛市葛天大道6号楼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38"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60" w:lineRule="exact"/>
              <w:contextualSpacing/>
              <w:jc w:val="center"/>
              <w:rPr>
                <w:rFonts w:ascii="宋体" w:hAnsi="宋体" w:cs="黑体"/>
                <w:kern w:val="0"/>
                <w:sz w:val="24"/>
                <w:szCs w:val="24"/>
              </w:rPr>
            </w:pPr>
            <w:r>
              <w:rPr>
                <w:rFonts w:hint="eastAsia" w:ascii="宋体" w:hAnsi="宋体" w:cs="TimesNewRomanPSMT"/>
                <w:kern w:val="0"/>
                <w:sz w:val="24"/>
                <w:szCs w:val="24"/>
              </w:rPr>
              <w:t>1.1.3</w:t>
            </w:r>
          </w:p>
        </w:tc>
        <w:tc>
          <w:tcPr>
            <w:tcW w:w="1196" w:type="dxa"/>
            <w:gridSpan w:val="3"/>
            <w:tcBorders>
              <w:top w:val="single" w:color="auto" w:sz="4" w:space="0"/>
              <w:left w:val="nil"/>
              <w:bottom w:val="single" w:color="auto" w:sz="4" w:space="0"/>
              <w:right w:val="single" w:color="auto" w:sz="4" w:space="0"/>
            </w:tcBorders>
            <w:vAlign w:val="center"/>
          </w:tcPr>
          <w:p>
            <w:pPr>
              <w:autoSpaceDE w:val="0"/>
              <w:autoSpaceDN w:val="0"/>
              <w:spacing w:line="460" w:lineRule="exact"/>
              <w:contextualSpacing/>
              <w:jc w:val="center"/>
              <w:rPr>
                <w:rFonts w:ascii="宋体" w:hAnsi="宋体" w:cs="黑体"/>
                <w:kern w:val="0"/>
                <w:sz w:val="24"/>
                <w:szCs w:val="24"/>
              </w:rPr>
            </w:pPr>
            <w:r>
              <w:rPr>
                <w:rFonts w:hint="eastAsia" w:ascii="宋体" w:hAnsi="宋体" w:cs="仿宋_GB2312"/>
                <w:kern w:val="0"/>
                <w:sz w:val="24"/>
                <w:szCs w:val="24"/>
              </w:rPr>
              <w:t>招标代理机构</w:t>
            </w:r>
          </w:p>
        </w:tc>
        <w:tc>
          <w:tcPr>
            <w:tcW w:w="6346" w:type="dxa"/>
            <w:tcBorders>
              <w:top w:val="single" w:color="auto" w:sz="4" w:space="0"/>
              <w:left w:val="nil"/>
              <w:bottom w:val="single" w:color="auto" w:sz="4" w:space="0"/>
              <w:right w:val="single" w:color="auto" w:sz="4" w:space="0"/>
            </w:tcBorders>
          </w:tcPr>
          <w:p>
            <w:pPr>
              <w:keepNext w:val="0"/>
              <w:keepLines w:val="0"/>
              <w:pageBreakBefore w:val="0"/>
              <w:widowControl w:val="0"/>
              <w:kinsoku/>
              <w:wordWrap/>
              <w:overflowPunct/>
              <w:topLinePunct w:val="0"/>
              <w:autoSpaceDE w:val="0"/>
              <w:autoSpaceDN w:val="0"/>
              <w:bidi w:val="0"/>
              <w:adjustRightInd/>
              <w:snapToGrid/>
              <w:spacing w:line="360" w:lineRule="exact"/>
              <w:textAlignment w:val="auto"/>
              <w:outlineLvl w:val="0"/>
              <w:rPr>
                <w:rFonts w:hint="eastAsia" w:ascii="宋体" w:hAnsi="宋体" w:eastAsia="宋体"/>
                <w:sz w:val="24"/>
                <w:szCs w:val="24"/>
                <w:lang w:eastAsia="zh-CN"/>
              </w:rPr>
            </w:pPr>
            <w:r>
              <w:rPr>
                <w:rFonts w:hint="eastAsia" w:ascii="宋体" w:hAnsi="宋体"/>
                <w:sz w:val="24"/>
                <w:szCs w:val="24"/>
              </w:rPr>
              <w:t>招标代理机构：</w:t>
            </w:r>
            <w:r>
              <w:rPr>
                <w:rFonts w:hint="eastAsia" w:ascii="宋体" w:hAnsi="宋体"/>
                <w:sz w:val="24"/>
                <w:szCs w:val="24"/>
                <w:lang w:eastAsia="zh-CN"/>
              </w:rPr>
              <w:t>河南正泰建设工程咨询有限公司</w:t>
            </w:r>
          </w:p>
          <w:p>
            <w:pPr>
              <w:keepNext w:val="0"/>
              <w:keepLines w:val="0"/>
              <w:pageBreakBefore w:val="0"/>
              <w:widowControl w:val="0"/>
              <w:kinsoku/>
              <w:wordWrap/>
              <w:overflowPunct/>
              <w:topLinePunct w:val="0"/>
              <w:autoSpaceDE w:val="0"/>
              <w:autoSpaceDN w:val="0"/>
              <w:bidi w:val="0"/>
              <w:adjustRightInd/>
              <w:snapToGrid/>
              <w:spacing w:line="360" w:lineRule="exact"/>
              <w:textAlignment w:val="auto"/>
              <w:outlineLvl w:val="0"/>
              <w:rPr>
                <w:rFonts w:hint="eastAsia" w:ascii="宋体" w:hAnsi="宋体" w:eastAsia="宋体"/>
                <w:sz w:val="24"/>
                <w:szCs w:val="24"/>
                <w:lang w:eastAsia="zh-CN"/>
              </w:rPr>
            </w:pPr>
            <w:r>
              <w:rPr>
                <w:rFonts w:hint="eastAsia" w:ascii="宋体" w:hAnsi="宋体"/>
                <w:sz w:val="24"/>
                <w:szCs w:val="24"/>
              </w:rPr>
              <w:t>项目联系人：王</w:t>
            </w:r>
            <w:r>
              <w:rPr>
                <w:rFonts w:hint="eastAsia" w:ascii="宋体" w:hAnsi="宋体"/>
                <w:sz w:val="24"/>
                <w:szCs w:val="24"/>
                <w:lang w:val="en-US" w:eastAsia="zh-CN"/>
              </w:rPr>
              <w:t>先生</w:t>
            </w:r>
          </w:p>
          <w:p>
            <w:pPr>
              <w:keepNext w:val="0"/>
              <w:keepLines w:val="0"/>
              <w:pageBreakBefore w:val="0"/>
              <w:widowControl w:val="0"/>
              <w:kinsoku/>
              <w:wordWrap/>
              <w:overflowPunct/>
              <w:topLinePunct w:val="0"/>
              <w:autoSpaceDE w:val="0"/>
              <w:autoSpaceDN w:val="0"/>
              <w:bidi w:val="0"/>
              <w:adjustRightInd/>
              <w:snapToGrid/>
              <w:spacing w:line="360" w:lineRule="exact"/>
              <w:textAlignment w:val="auto"/>
              <w:outlineLvl w:val="0"/>
              <w:rPr>
                <w:rFonts w:hint="eastAsia" w:ascii="宋体" w:hAnsi="宋体"/>
                <w:sz w:val="24"/>
                <w:szCs w:val="24"/>
              </w:rPr>
            </w:pPr>
            <w:r>
              <w:rPr>
                <w:rFonts w:hint="eastAsia" w:ascii="宋体" w:hAnsi="宋体"/>
                <w:sz w:val="24"/>
                <w:szCs w:val="24"/>
              </w:rPr>
              <w:t>项目联系电话：</w:t>
            </w:r>
            <w:r>
              <w:rPr>
                <w:rFonts w:hint="eastAsia" w:asciiTheme="minorEastAsia" w:hAnsiTheme="minorEastAsia"/>
                <w:sz w:val="24"/>
                <w:szCs w:val="24"/>
              </w:rPr>
              <w:t>19803820216</w:t>
            </w:r>
          </w:p>
          <w:p>
            <w:pPr>
              <w:keepNext w:val="0"/>
              <w:keepLines w:val="0"/>
              <w:pageBreakBefore w:val="0"/>
              <w:widowControl w:val="0"/>
              <w:kinsoku/>
              <w:wordWrap/>
              <w:overflowPunct/>
              <w:topLinePunct w:val="0"/>
              <w:autoSpaceDE w:val="0"/>
              <w:autoSpaceDN w:val="0"/>
              <w:bidi w:val="0"/>
              <w:adjustRightInd/>
              <w:snapToGrid/>
              <w:spacing w:line="360" w:lineRule="exact"/>
              <w:textAlignment w:val="auto"/>
              <w:outlineLvl w:val="0"/>
              <w:rPr>
                <w:rFonts w:ascii="宋体" w:hAnsi="宋体" w:cs="仿宋_GB2312"/>
                <w:kern w:val="0"/>
                <w:sz w:val="24"/>
                <w:szCs w:val="24"/>
              </w:rPr>
            </w:pPr>
            <w:r>
              <w:rPr>
                <w:rFonts w:hint="eastAsia" w:ascii="宋体" w:hAnsi="宋体"/>
                <w:sz w:val="24"/>
                <w:szCs w:val="24"/>
              </w:rPr>
              <w:t>地址：</w:t>
            </w:r>
            <w:r>
              <w:rPr>
                <w:rFonts w:hint="eastAsia" w:asciiTheme="minorEastAsia" w:hAnsiTheme="minorEastAsia"/>
                <w:sz w:val="24"/>
                <w:szCs w:val="24"/>
              </w:rPr>
              <w:t>河南自贸试验区郑州片区（郑东）金水东路88号1号楼7层706号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38"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60" w:lineRule="exact"/>
              <w:contextualSpacing/>
              <w:jc w:val="center"/>
              <w:rPr>
                <w:rFonts w:ascii="宋体" w:hAnsi="宋体" w:cs="黑体"/>
                <w:kern w:val="0"/>
                <w:sz w:val="24"/>
                <w:szCs w:val="24"/>
              </w:rPr>
            </w:pPr>
            <w:r>
              <w:rPr>
                <w:rFonts w:hint="eastAsia" w:ascii="宋体" w:hAnsi="宋体" w:cs="TimesNewRomanPSMT"/>
                <w:kern w:val="0"/>
                <w:sz w:val="24"/>
                <w:szCs w:val="24"/>
              </w:rPr>
              <w:t>1.1.4</w:t>
            </w:r>
          </w:p>
        </w:tc>
        <w:tc>
          <w:tcPr>
            <w:tcW w:w="1196" w:type="dxa"/>
            <w:gridSpan w:val="3"/>
            <w:tcBorders>
              <w:top w:val="single" w:color="auto" w:sz="4" w:space="0"/>
              <w:left w:val="nil"/>
              <w:bottom w:val="single" w:color="auto" w:sz="4" w:space="0"/>
              <w:right w:val="single" w:color="auto" w:sz="4" w:space="0"/>
            </w:tcBorders>
            <w:vAlign w:val="center"/>
          </w:tcPr>
          <w:p>
            <w:pPr>
              <w:autoSpaceDE w:val="0"/>
              <w:autoSpaceDN w:val="0"/>
              <w:spacing w:line="460" w:lineRule="exact"/>
              <w:contextualSpacing/>
              <w:jc w:val="center"/>
              <w:rPr>
                <w:rFonts w:ascii="宋体" w:hAnsi="宋体" w:cs="仿宋_GB2312"/>
                <w:kern w:val="0"/>
                <w:sz w:val="24"/>
                <w:szCs w:val="24"/>
              </w:rPr>
            </w:pPr>
            <w:r>
              <w:rPr>
                <w:rFonts w:hint="eastAsia" w:ascii="宋体" w:hAnsi="宋体" w:cs="仿宋_GB2312"/>
                <w:kern w:val="0"/>
                <w:sz w:val="24"/>
                <w:szCs w:val="24"/>
              </w:rPr>
              <w:t>项目名称</w:t>
            </w:r>
          </w:p>
        </w:tc>
        <w:tc>
          <w:tcPr>
            <w:tcW w:w="6346" w:type="dxa"/>
            <w:tcBorders>
              <w:top w:val="single" w:color="auto" w:sz="4" w:space="0"/>
              <w:left w:val="nil"/>
              <w:bottom w:val="single" w:color="auto" w:sz="4" w:space="0"/>
              <w:right w:val="single" w:color="auto" w:sz="4" w:space="0"/>
            </w:tcBorders>
            <w:vAlign w:val="center"/>
          </w:tcPr>
          <w:p>
            <w:pPr>
              <w:autoSpaceDE w:val="0"/>
              <w:autoSpaceDN w:val="0"/>
              <w:spacing w:line="460" w:lineRule="exact"/>
              <w:outlineLvl w:val="0"/>
              <w:rPr>
                <w:rFonts w:ascii="宋体" w:hAnsi="宋体"/>
                <w:sz w:val="24"/>
                <w:szCs w:val="24"/>
              </w:rPr>
            </w:pPr>
            <w:r>
              <w:rPr>
                <w:rFonts w:hint="eastAsia" w:ascii="宋体" w:hAnsi="宋体"/>
                <w:sz w:val="24"/>
                <w:szCs w:val="24"/>
                <w:lang w:eastAsia="zh-CN"/>
              </w:rPr>
              <w:t>长葛市住房和城乡建设局新华路西段雨水管网改造工程项目（不见面开标）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38"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60" w:lineRule="exact"/>
              <w:contextualSpacing/>
              <w:jc w:val="center"/>
              <w:rPr>
                <w:rFonts w:ascii="宋体" w:hAnsi="宋体" w:cs="黑体"/>
                <w:kern w:val="0"/>
                <w:sz w:val="24"/>
                <w:szCs w:val="24"/>
              </w:rPr>
            </w:pPr>
            <w:r>
              <w:rPr>
                <w:rFonts w:hint="eastAsia" w:ascii="宋体" w:hAnsi="宋体" w:cs="TimesNewRomanPSMT"/>
                <w:kern w:val="0"/>
                <w:sz w:val="24"/>
                <w:szCs w:val="24"/>
              </w:rPr>
              <w:t>1.1.5</w:t>
            </w:r>
          </w:p>
        </w:tc>
        <w:tc>
          <w:tcPr>
            <w:tcW w:w="1196" w:type="dxa"/>
            <w:gridSpan w:val="3"/>
            <w:tcBorders>
              <w:top w:val="single" w:color="auto" w:sz="4" w:space="0"/>
              <w:left w:val="nil"/>
              <w:bottom w:val="single" w:color="auto" w:sz="4" w:space="0"/>
              <w:right w:val="single" w:color="auto" w:sz="4" w:space="0"/>
            </w:tcBorders>
            <w:vAlign w:val="center"/>
          </w:tcPr>
          <w:p>
            <w:pPr>
              <w:autoSpaceDE w:val="0"/>
              <w:autoSpaceDN w:val="0"/>
              <w:spacing w:line="460" w:lineRule="exact"/>
              <w:contextualSpacing/>
              <w:jc w:val="center"/>
              <w:rPr>
                <w:rFonts w:ascii="宋体" w:hAnsi="宋体" w:cs="仿宋_GB2312"/>
                <w:color w:val="FF0000"/>
                <w:kern w:val="0"/>
                <w:sz w:val="24"/>
                <w:szCs w:val="24"/>
              </w:rPr>
            </w:pPr>
            <w:r>
              <w:rPr>
                <w:rFonts w:hint="eastAsia" w:ascii="宋体" w:hAnsi="宋体"/>
                <w:sz w:val="24"/>
                <w:szCs w:val="24"/>
              </w:rPr>
              <w:t>建设地点</w:t>
            </w:r>
          </w:p>
        </w:tc>
        <w:tc>
          <w:tcPr>
            <w:tcW w:w="6346" w:type="dxa"/>
            <w:tcBorders>
              <w:top w:val="single" w:color="auto" w:sz="4" w:space="0"/>
              <w:left w:val="nil"/>
              <w:bottom w:val="single" w:color="auto" w:sz="4" w:space="0"/>
              <w:right w:val="single" w:color="auto" w:sz="4" w:space="0"/>
            </w:tcBorders>
            <w:vAlign w:val="center"/>
          </w:tcPr>
          <w:p>
            <w:pPr>
              <w:autoSpaceDE w:val="0"/>
              <w:autoSpaceDN w:val="0"/>
              <w:spacing w:line="460" w:lineRule="exact"/>
              <w:outlineLvl w:val="0"/>
              <w:rPr>
                <w:rFonts w:hint="eastAsia" w:ascii="宋体" w:hAnsi="宋体" w:eastAsia="宋体"/>
                <w:sz w:val="24"/>
                <w:szCs w:val="24"/>
                <w:lang w:eastAsia="zh-CN"/>
              </w:rPr>
            </w:pPr>
            <w:r>
              <w:rPr>
                <w:rFonts w:hint="eastAsia" w:ascii="宋体" w:hAnsi="宋体"/>
                <w:sz w:val="24"/>
                <w:szCs w:val="24"/>
                <w:lang w:eastAsia="zh-CN"/>
              </w:rPr>
              <w:t>长葛市新华路西段（长葛二高-清潩河）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38"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60" w:lineRule="exact"/>
              <w:contextualSpacing/>
              <w:jc w:val="center"/>
              <w:rPr>
                <w:rFonts w:ascii="宋体" w:hAnsi="宋体" w:cs="黑体"/>
                <w:kern w:val="0"/>
                <w:sz w:val="24"/>
                <w:szCs w:val="24"/>
              </w:rPr>
            </w:pPr>
            <w:r>
              <w:rPr>
                <w:rFonts w:hint="eastAsia" w:ascii="宋体" w:hAnsi="宋体" w:cs="TimesNewRomanPSMT"/>
                <w:kern w:val="0"/>
                <w:sz w:val="24"/>
                <w:szCs w:val="24"/>
              </w:rPr>
              <w:t>1.1.6</w:t>
            </w:r>
          </w:p>
        </w:tc>
        <w:tc>
          <w:tcPr>
            <w:tcW w:w="1196" w:type="dxa"/>
            <w:gridSpan w:val="3"/>
            <w:tcBorders>
              <w:top w:val="single" w:color="auto" w:sz="4" w:space="0"/>
              <w:left w:val="nil"/>
              <w:bottom w:val="single" w:color="auto" w:sz="4" w:space="0"/>
              <w:right w:val="single" w:color="auto" w:sz="4" w:space="0"/>
            </w:tcBorders>
            <w:vAlign w:val="center"/>
          </w:tcPr>
          <w:p>
            <w:pPr>
              <w:autoSpaceDE w:val="0"/>
              <w:autoSpaceDN w:val="0"/>
              <w:spacing w:line="460" w:lineRule="exact"/>
              <w:contextualSpacing/>
              <w:jc w:val="center"/>
              <w:rPr>
                <w:rFonts w:ascii="宋体" w:hAnsi="宋体"/>
                <w:sz w:val="24"/>
                <w:szCs w:val="24"/>
              </w:rPr>
            </w:pPr>
            <w:r>
              <w:rPr>
                <w:rFonts w:hint="eastAsia" w:asciiTheme="minorEastAsia" w:hAnsiTheme="minorEastAsia" w:eastAsiaTheme="minorEastAsia" w:cstheme="minorEastAsia"/>
                <w:sz w:val="24"/>
                <w:szCs w:val="24"/>
              </w:rPr>
              <w:t>项目建设内容</w:t>
            </w:r>
          </w:p>
        </w:tc>
        <w:tc>
          <w:tcPr>
            <w:tcW w:w="6346"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outlineLvl w:val="0"/>
              <w:rPr>
                <w:rFonts w:hint="eastAsia" w:ascii="宋体" w:hAnsi="宋体" w:eastAsia="宋体"/>
                <w:sz w:val="24"/>
                <w:szCs w:val="24"/>
                <w:lang w:eastAsia="zh-CN"/>
              </w:rPr>
            </w:pPr>
            <w:r>
              <w:rPr>
                <w:rFonts w:hint="eastAsia" w:asciiTheme="minorEastAsia" w:hAnsiTheme="minorEastAsia" w:eastAsiaTheme="minorEastAsia" w:cstheme="minorEastAsia"/>
                <w:sz w:val="24"/>
                <w:szCs w:val="24"/>
              </w:rPr>
              <w:t>该项目为新华路西段雨水管网改造工程，位于长葛市新华路西段，起点位于长葛二高，终点为清</w:t>
            </w:r>
            <w:r>
              <w:rPr>
                <w:rFonts w:hint="eastAsia" w:asciiTheme="minorEastAsia" w:hAnsiTheme="minorEastAsia" w:eastAsiaTheme="minorEastAsia" w:cstheme="minorEastAsia"/>
                <w:sz w:val="24"/>
                <w:szCs w:val="24"/>
                <w:lang w:eastAsia="zh-CN"/>
              </w:rPr>
              <w:t>潩</w:t>
            </w:r>
            <w:r>
              <w:rPr>
                <w:rFonts w:hint="eastAsia" w:asciiTheme="minorEastAsia" w:hAnsiTheme="minorEastAsia" w:eastAsiaTheme="minorEastAsia" w:cstheme="minorEastAsia"/>
                <w:sz w:val="24"/>
                <w:szCs w:val="24"/>
              </w:rPr>
              <w:t>河，项目全长1444.6m。沿道路南侧新建一道雨水管，与原雨水管道连通，由西向东排入清</w:t>
            </w:r>
            <w:r>
              <w:rPr>
                <w:rFonts w:hint="eastAsia" w:asciiTheme="minorEastAsia" w:hAnsiTheme="minorEastAsia" w:eastAsiaTheme="minorEastAsia" w:cstheme="minorEastAsia"/>
                <w:sz w:val="24"/>
                <w:szCs w:val="24"/>
                <w:lang w:eastAsia="zh-CN"/>
              </w:rPr>
              <w:t>潩</w:t>
            </w:r>
            <w:r>
              <w:rPr>
                <w:rFonts w:hint="eastAsia" w:asciiTheme="minorEastAsia" w:hAnsiTheme="minorEastAsia" w:eastAsiaTheme="minorEastAsia" w:cstheme="minorEastAsia"/>
                <w:sz w:val="24"/>
                <w:szCs w:val="24"/>
              </w:rPr>
              <w:t>河。具体内容详见</w:t>
            </w:r>
            <w:r>
              <w:rPr>
                <w:rFonts w:hint="eastAsia" w:asciiTheme="minorEastAsia" w:hAnsiTheme="minorEastAsia" w:eastAsiaTheme="minorEastAsia" w:cstheme="minorEastAsia"/>
                <w:sz w:val="24"/>
                <w:szCs w:val="24"/>
                <w:lang w:eastAsia="zh-CN"/>
              </w:rPr>
              <w:t>图纸及</w:t>
            </w:r>
            <w:r>
              <w:rPr>
                <w:rFonts w:hint="eastAsia" w:asciiTheme="minorEastAsia" w:hAnsiTheme="minorEastAsia" w:eastAsiaTheme="minorEastAsia" w:cstheme="minorEastAsia"/>
                <w:sz w:val="24"/>
                <w:szCs w:val="24"/>
              </w:rPr>
              <w:t>工程量清单</w:t>
            </w:r>
            <w:r>
              <w:rPr>
                <w:rFonts w:hint="eastAsia" w:asciiTheme="minorEastAsia" w:hAnsiTheme="minorEastAsia" w:eastAsiaTheme="minorEastAsia" w:cstheme="minorEastAsia"/>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38"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60" w:lineRule="exact"/>
              <w:contextualSpacing/>
              <w:jc w:val="center"/>
              <w:rPr>
                <w:rFonts w:ascii="宋体" w:hAnsi="宋体" w:cs="黑体"/>
                <w:kern w:val="0"/>
                <w:sz w:val="24"/>
                <w:szCs w:val="24"/>
              </w:rPr>
            </w:pPr>
            <w:r>
              <w:rPr>
                <w:rFonts w:hint="eastAsia" w:ascii="宋体" w:hAnsi="宋体" w:cs="TimesNewRomanPSMT"/>
                <w:kern w:val="0"/>
                <w:sz w:val="24"/>
                <w:szCs w:val="24"/>
              </w:rPr>
              <w:t>1.2.1</w:t>
            </w:r>
          </w:p>
        </w:tc>
        <w:tc>
          <w:tcPr>
            <w:tcW w:w="1196" w:type="dxa"/>
            <w:gridSpan w:val="3"/>
            <w:tcBorders>
              <w:top w:val="single" w:color="auto" w:sz="4" w:space="0"/>
              <w:left w:val="nil"/>
              <w:bottom w:val="single" w:color="auto" w:sz="4" w:space="0"/>
              <w:right w:val="single" w:color="auto" w:sz="4" w:space="0"/>
            </w:tcBorders>
            <w:vAlign w:val="center"/>
          </w:tcPr>
          <w:p>
            <w:pPr>
              <w:autoSpaceDE w:val="0"/>
              <w:autoSpaceDN w:val="0"/>
              <w:spacing w:line="460" w:lineRule="exact"/>
              <w:contextualSpacing/>
              <w:jc w:val="center"/>
              <w:rPr>
                <w:rFonts w:ascii="宋体" w:hAnsi="宋体" w:cs="黑体"/>
                <w:kern w:val="0"/>
                <w:sz w:val="24"/>
                <w:szCs w:val="24"/>
              </w:rPr>
            </w:pPr>
            <w:r>
              <w:rPr>
                <w:rFonts w:hint="eastAsia" w:ascii="宋体" w:hAnsi="宋体" w:cs="仿宋_GB2312"/>
                <w:kern w:val="0"/>
                <w:sz w:val="24"/>
                <w:szCs w:val="24"/>
              </w:rPr>
              <w:t>资金来源</w:t>
            </w:r>
          </w:p>
        </w:tc>
        <w:tc>
          <w:tcPr>
            <w:tcW w:w="6346" w:type="dxa"/>
            <w:tcBorders>
              <w:top w:val="single" w:color="auto" w:sz="4" w:space="0"/>
              <w:left w:val="nil"/>
              <w:bottom w:val="single" w:color="auto" w:sz="4" w:space="0"/>
              <w:right w:val="single" w:color="auto" w:sz="4" w:space="0"/>
            </w:tcBorders>
          </w:tcPr>
          <w:p>
            <w:pPr>
              <w:autoSpaceDE w:val="0"/>
              <w:autoSpaceDN w:val="0"/>
              <w:spacing w:line="460" w:lineRule="exact"/>
              <w:contextualSpacing/>
              <w:rPr>
                <w:rFonts w:hint="eastAsia" w:ascii="宋体" w:hAnsi="宋体" w:eastAsia="宋体"/>
                <w:sz w:val="24"/>
                <w:szCs w:val="24"/>
                <w:lang w:eastAsia="zh-CN"/>
              </w:rPr>
            </w:pPr>
            <w:r>
              <w:rPr>
                <w:rFonts w:hint="eastAsia" w:asciiTheme="minorEastAsia" w:hAnsiTheme="minorEastAsia" w:eastAsiaTheme="minorEastAsia" w:cstheme="minorEastAsia"/>
                <w:sz w:val="24"/>
                <w:szCs w:val="24"/>
                <w:lang w:eastAsia="zh-CN"/>
              </w:rPr>
              <w:t>财政资金及慈善捐款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38"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60" w:lineRule="exact"/>
              <w:contextualSpacing/>
              <w:jc w:val="center"/>
              <w:rPr>
                <w:rFonts w:ascii="宋体" w:hAnsi="宋体" w:cs="黑体"/>
                <w:kern w:val="0"/>
                <w:sz w:val="24"/>
                <w:szCs w:val="24"/>
              </w:rPr>
            </w:pPr>
            <w:r>
              <w:rPr>
                <w:rFonts w:hint="eastAsia" w:ascii="宋体" w:hAnsi="宋体" w:cs="TimesNewRomanPSMT"/>
                <w:kern w:val="0"/>
                <w:sz w:val="24"/>
                <w:szCs w:val="24"/>
              </w:rPr>
              <w:t>1.2.2</w:t>
            </w:r>
          </w:p>
        </w:tc>
        <w:tc>
          <w:tcPr>
            <w:tcW w:w="1196" w:type="dxa"/>
            <w:gridSpan w:val="3"/>
            <w:tcBorders>
              <w:top w:val="single" w:color="auto" w:sz="4" w:space="0"/>
              <w:left w:val="nil"/>
              <w:bottom w:val="single" w:color="auto" w:sz="4" w:space="0"/>
              <w:right w:val="single" w:color="auto" w:sz="4" w:space="0"/>
            </w:tcBorders>
            <w:vAlign w:val="center"/>
          </w:tcPr>
          <w:p>
            <w:pPr>
              <w:autoSpaceDE w:val="0"/>
              <w:autoSpaceDN w:val="0"/>
              <w:spacing w:line="460" w:lineRule="exact"/>
              <w:contextualSpacing/>
              <w:jc w:val="center"/>
              <w:rPr>
                <w:rFonts w:ascii="宋体" w:hAnsi="宋体" w:cs="黑体"/>
                <w:kern w:val="0"/>
                <w:sz w:val="24"/>
                <w:szCs w:val="24"/>
              </w:rPr>
            </w:pPr>
            <w:r>
              <w:rPr>
                <w:rFonts w:hint="eastAsia" w:ascii="宋体" w:hAnsi="宋体" w:cs="仿宋_GB2312"/>
                <w:kern w:val="0"/>
                <w:sz w:val="24"/>
                <w:szCs w:val="24"/>
              </w:rPr>
              <w:t>出资比例</w:t>
            </w:r>
          </w:p>
        </w:tc>
        <w:tc>
          <w:tcPr>
            <w:tcW w:w="6346" w:type="dxa"/>
            <w:tcBorders>
              <w:top w:val="single" w:color="auto" w:sz="4" w:space="0"/>
              <w:left w:val="nil"/>
              <w:bottom w:val="single" w:color="auto" w:sz="4" w:space="0"/>
              <w:right w:val="single" w:color="auto" w:sz="4" w:space="0"/>
            </w:tcBorders>
          </w:tcPr>
          <w:p>
            <w:pPr>
              <w:autoSpaceDE w:val="0"/>
              <w:autoSpaceDN w:val="0"/>
              <w:spacing w:line="460" w:lineRule="exact"/>
              <w:contextualSpacing/>
              <w:rPr>
                <w:rFonts w:ascii="宋体" w:hAnsi="宋体" w:cs="仿宋_GB2312"/>
                <w:kern w:val="0"/>
                <w:sz w:val="24"/>
                <w:szCs w:val="24"/>
              </w:rPr>
            </w:pPr>
            <w:r>
              <w:rPr>
                <w:rFonts w:ascii="宋体" w:hAnsi="宋体"/>
                <w:sz w:val="24"/>
                <w:szCs w:val="24"/>
              </w:rPr>
              <w:t>100</w:t>
            </w:r>
            <w:r>
              <w:rPr>
                <w:rFonts w:hint="eastAsia" w:ascii="宋体" w:hAnsi="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38"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60" w:lineRule="exact"/>
              <w:contextualSpacing/>
              <w:jc w:val="center"/>
              <w:rPr>
                <w:rFonts w:ascii="宋体" w:hAnsi="宋体" w:cs="黑体"/>
                <w:kern w:val="0"/>
                <w:sz w:val="24"/>
                <w:szCs w:val="24"/>
              </w:rPr>
            </w:pPr>
            <w:r>
              <w:rPr>
                <w:rFonts w:hint="eastAsia" w:ascii="宋体" w:hAnsi="宋体" w:cs="TimesNewRomanPSMT"/>
                <w:kern w:val="0"/>
                <w:sz w:val="24"/>
                <w:szCs w:val="24"/>
              </w:rPr>
              <w:t>1.2.3</w:t>
            </w:r>
          </w:p>
        </w:tc>
        <w:tc>
          <w:tcPr>
            <w:tcW w:w="1196" w:type="dxa"/>
            <w:gridSpan w:val="3"/>
            <w:tcBorders>
              <w:top w:val="single" w:color="auto" w:sz="4" w:space="0"/>
              <w:left w:val="nil"/>
              <w:bottom w:val="single" w:color="auto" w:sz="4" w:space="0"/>
              <w:right w:val="single" w:color="auto" w:sz="4" w:space="0"/>
            </w:tcBorders>
            <w:vAlign w:val="center"/>
          </w:tcPr>
          <w:p>
            <w:pPr>
              <w:autoSpaceDE w:val="0"/>
              <w:autoSpaceDN w:val="0"/>
              <w:spacing w:line="460" w:lineRule="exact"/>
              <w:contextualSpacing/>
              <w:jc w:val="center"/>
              <w:rPr>
                <w:rFonts w:ascii="宋体" w:hAnsi="宋体" w:cs="黑体"/>
                <w:kern w:val="0"/>
                <w:sz w:val="24"/>
                <w:szCs w:val="24"/>
              </w:rPr>
            </w:pPr>
            <w:r>
              <w:rPr>
                <w:rFonts w:hint="eastAsia" w:ascii="宋体" w:hAnsi="宋体" w:cs="仿宋_GB2312"/>
                <w:kern w:val="0"/>
                <w:sz w:val="24"/>
                <w:szCs w:val="24"/>
              </w:rPr>
              <w:t>资金落实情况</w:t>
            </w:r>
          </w:p>
        </w:tc>
        <w:tc>
          <w:tcPr>
            <w:tcW w:w="6346" w:type="dxa"/>
            <w:tcBorders>
              <w:top w:val="single" w:color="auto" w:sz="4" w:space="0"/>
              <w:left w:val="nil"/>
              <w:bottom w:val="single" w:color="auto" w:sz="4" w:space="0"/>
              <w:right w:val="single" w:color="auto" w:sz="4" w:space="0"/>
            </w:tcBorders>
            <w:vAlign w:val="center"/>
          </w:tcPr>
          <w:p>
            <w:pPr>
              <w:autoSpaceDE w:val="0"/>
              <w:autoSpaceDN w:val="0"/>
              <w:spacing w:line="460" w:lineRule="exact"/>
              <w:contextualSpacing/>
              <w:jc w:val="left"/>
              <w:rPr>
                <w:rFonts w:ascii="宋体" w:hAnsi="宋体" w:cs="黑体"/>
                <w:kern w:val="0"/>
                <w:sz w:val="24"/>
                <w:szCs w:val="24"/>
              </w:rPr>
            </w:pPr>
            <w:r>
              <w:rPr>
                <w:rFonts w:hint="eastAsia" w:ascii="宋体" w:hAnsi="宋体" w:cs="黑体"/>
                <w:kern w:val="0"/>
                <w:sz w:val="24"/>
                <w:szCs w:val="24"/>
              </w:rPr>
              <w:t>项目资金已落实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38"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60" w:lineRule="exact"/>
              <w:contextualSpacing/>
              <w:jc w:val="center"/>
              <w:rPr>
                <w:rFonts w:ascii="宋体" w:hAnsi="宋体" w:cs="TimesNewRomanPSMT"/>
                <w:kern w:val="0"/>
                <w:sz w:val="24"/>
                <w:szCs w:val="24"/>
              </w:rPr>
            </w:pPr>
            <w:r>
              <w:rPr>
                <w:rFonts w:hint="eastAsia" w:ascii="宋体" w:hAnsi="宋体" w:cs="TimesNewRomanPSMT"/>
                <w:kern w:val="0"/>
                <w:sz w:val="24"/>
                <w:szCs w:val="24"/>
              </w:rPr>
              <w:t>1.2.4</w:t>
            </w:r>
          </w:p>
        </w:tc>
        <w:tc>
          <w:tcPr>
            <w:tcW w:w="1196" w:type="dxa"/>
            <w:gridSpan w:val="3"/>
            <w:tcBorders>
              <w:top w:val="single" w:color="auto" w:sz="4" w:space="0"/>
              <w:left w:val="nil"/>
              <w:bottom w:val="single" w:color="auto" w:sz="4" w:space="0"/>
              <w:right w:val="single" w:color="auto" w:sz="4" w:space="0"/>
            </w:tcBorders>
            <w:vAlign w:val="center"/>
          </w:tcPr>
          <w:p>
            <w:pPr>
              <w:autoSpaceDE w:val="0"/>
              <w:autoSpaceDN w:val="0"/>
              <w:spacing w:line="460" w:lineRule="exact"/>
              <w:contextualSpacing/>
              <w:jc w:val="center"/>
              <w:rPr>
                <w:rFonts w:ascii="宋体" w:hAnsi="宋体" w:cs="仿宋_GB2312"/>
                <w:kern w:val="0"/>
                <w:sz w:val="24"/>
                <w:szCs w:val="24"/>
              </w:rPr>
            </w:pPr>
            <w:r>
              <w:rPr>
                <w:rFonts w:hint="eastAsia" w:ascii="宋体" w:hAnsi="宋体" w:cs="仿宋_GB2312"/>
                <w:kern w:val="0"/>
                <w:sz w:val="24"/>
                <w:szCs w:val="24"/>
              </w:rPr>
              <w:t>标段划分</w:t>
            </w:r>
          </w:p>
        </w:tc>
        <w:tc>
          <w:tcPr>
            <w:tcW w:w="6346" w:type="dxa"/>
            <w:tcBorders>
              <w:top w:val="single" w:color="auto" w:sz="4" w:space="0"/>
              <w:left w:val="nil"/>
              <w:bottom w:val="single" w:color="auto" w:sz="4" w:space="0"/>
              <w:right w:val="single" w:color="auto" w:sz="4" w:space="0"/>
            </w:tcBorders>
            <w:vAlign w:val="center"/>
          </w:tcPr>
          <w:p>
            <w:pPr>
              <w:autoSpaceDE w:val="0"/>
              <w:autoSpaceDN w:val="0"/>
              <w:spacing w:line="460" w:lineRule="exact"/>
              <w:outlineLvl w:val="0"/>
              <w:rPr>
                <w:rFonts w:ascii="宋体" w:hAnsi="宋体" w:cs="仿宋_GB2312"/>
                <w:kern w:val="0"/>
                <w:sz w:val="24"/>
                <w:szCs w:val="24"/>
              </w:rPr>
            </w:pPr>
            <w:r>
              <w:rPr>
                <w:rFonts w:hint="eastAsia" w:ascii="宋体" w:hAnsi="宋体" w:cs="仿宋_GB2312"/>
                <w:kern w:val="0"/>
                <w:sz w:val="24"/>
                <w:szCs w:val="24"/>
              </w:rPr>
              <w:t>本项目共划分为一个标段；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38"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60" w:lineRule="exact"/>
              <w:contextualSpacing/>
              <w:jc w:val="center"/>
              <w:rPr>
                <w:rFonts w:ascii="宋体" w:hAnsi="宋体" w:cs="TimesNewRomanPSMT"/>
                <w:kern w:val="0"/>
                <w:sz w:val="24"/>
                <w:szCs w:val="24"/>
              </w:rPr>
            </w:pPr>
            <w:r>
              <w:rPr>
                <w:rFonts w:hint="eastAsia" w:ascii="宋体" w:hAnsi="宋体" w:cs="TimesNewRomanPSMT"/>
                <w:kern w:val="0"/>
                <w:sz w:val="24"/>
                <w:szCs w:val="24"/>
              </w:rPr>
              <w:t>1.3.1</w:t>
            </w:r>
          </w:p>
        </w:tc>
        <w:tc>
          <w:tcPr>
            <w:tcW w:w="1196" w:type="dxa"/>
            <w:gridSpan w:val="3"/>
            <w:tcBorders>
              <w:top w:val="single" w:color="auto" w:sz="4" w:space="0"/>
              <w:left w:val="nil"/>
              <w:bottom w:val="single" w:color="auto" w:sz="4" w:space="0"/>
              <w:right w:val="single" w:color="auto" w:sz="4" w:space="0"/>
            </w:tcBorders>
            <w:vAlign w:val="center"/>
          </w:tcPr>
          <w:p>
            <w:pPr>
              <w:autoSpaceDE w:val="0"/>
              <w:autoSpaceDN w:val="0"/>
              <w:spacing w:line="460" w:lineRule="exact"/>
              <w:contextualSpacing/>
              <w:jc w:val="center"/>
              <w:rPr>
                <w:rFonts w:ascii="宋体" w:hAnsi="宋体" w:cs="仿宋_GB2312"/>
                <w:kern w:val="0"/>
                <w:sz w:val="24"/>
                <w:szCs w:val="24"/>
              </w:rPr>
            </w:pPr>
            <w:r>
              <w:rPr>
                <w:rFonts w:hint="eastAsia" w:ascii="宋体" w:hAnsi="宋体" w:cs="仿宋_GB2312"/>
                <w:kern w:val="0"/>
                <w:sz w:val="24"/>
                <w:szCs w:val="24"/>
              </w:rPr>
              <w:t>招标范围</w:t>
            </w:r>
          </w:p>
        </w:tc>
        <w:tc>
          <w:tcPr>
            <w:tcW w:w="6346" w:type="dxa"/>
            <w:tcBorders>
              <w:top w:val="single" w:color="auto" w:sz="4" w:space="0"/>
              <w:left w:val="nil"/>
              <w:bottom w:val="single" w:color="auto" w:sz="4" w:space="0"/>
              <w:right w:val="single" w:color="auto" w:sz="4" w:space="0"/>
            </w:tcBorders>
            <w:vAlign w:val="center"/>
          </w:tcPr>
          <w:p>
            <w:pPr>
              <w:spacing w:line="460" w:lineRule="exact"/>
              <w:contextualSpacing/>
              <w:outlineLvl w:val="0"/>
              <w:rPr>
                <w:rFonts w:ascii="宋体" w:hAnsi="宋体" w:cs="仿宋_GB2312"/>
                <w:kern w:val="0"/>
                <w:sz w:val="24"/>
                <w:szCs w:val="24"/>
              </w:rPr>
            </w:pPr>
            <w:r>
              <w:rPr>
                <w:rFonts w:hint="eastAsia" w:ascii="宋体" w:hAnsi="宋体" w:cs="仿宋_GB2312"/>
                <w:kern w:val="0"/>
                <w:sz w:val="24"/>
                <w:szCs w:val="24"/>
              </w:rPr>
              <w:t>招标文件、工程量清单、施工图纸、补充文件（如有）、答疑纪要等列明的所有建设内容</w:t>
            </w:r>
            <w:r>
              <w:rPr>
                <w:rFonts w:hint="eastAsia" w:ascii="仿宋_GB2312" w:hAnsi="仿宋_GB2312"/>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38"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60" w:lineRule="exact"/>
              <w:contextualSpacing/>
              <w:jc w:val="center"/>
              <w:rPr>
                <w:rFonts w:ascii="宋体" w:hAnsi="宋体" w:cs="仿宋_GB2312"/>
                <w:kern w:val="0"/>
                <w:sz w:val="24"/>
                <w:szCs w:val="24"/>
              </w:rPr>
            </w:pPr>
            <w:r>
              <w:rPr>
                <w:rFonts w:hint="eastAsia" w:ascii="宋体" w:hAnsi="宋体" w:cs="仿宋_GB2312"/>
                <w:kern w:val="0"/>
                <w:sz w:val="24"/>
                <w:szCs w:val="24"/>
              </w:rPr>
              <w:t>1.3.2</w:t>
            </w:r>
          </w:p>
        </w:tc>
        <w:tc>
          <w:tcPr>
            <w:tcW w:w="1196" w:type="dxa"/>
            <w:gridSpan w:val="3"/>
            <w:tcBorders>
              <w:top w:val="single" w:color="auto" w:sz="4" w:space="0"/>
              <w:left w:val="nil"/>
              <w:bottom w:val="single" w:color="auto" w:sz="4" w:space="0"/>
              <w:right w:val="single" w:color="auto" w:sz="4" w:space="0"/>
            </w:tcBorders>
            <w:vAlign w:val="center"/>
          </w:tcPr>
          <w:p>
            <w:pPr>
              <w:autoSpaceDE w:val="0"/>
              <w:autoSpaceDN w:val="0"/>
              <w:spacing w:line="460" w:lineRule="exact"/>
              <w:contextualSpacing/>
              <w:rPr>
                <w:rFonts w:hint="eastAsia" w:ascii="宋体" w:hAnsi="宋体" w:cs="仿宋_GB2312"/>
                <w:kern w:val="0"/>
                <w:sz w:val="24"/>
                <w:szCs w:val="24"/>
              </w:rPr>
            </w:pPr>
            <w:r>
              <w:rPr>
                <w:rFonts w:hint="eastAsia" w:ascii="宋体" w:hAnsi="宋体" w:cs="仿宋_GB2312"/>
                <w:kern w:val="0"/>
                <w:sz w:val="24"/>
                <w:szCs w:val="24"/>
              </w:rPr>
              <w:t>计划工期</w:t>
            </w:r>
          </w:p>
        </w:tc>
        <w:tc>
          <w:tcPr>
            <w:tcW w:w="6346" w:type="dxa"/>
            <w:tcBorders>
              <w:top w:val="single" w:color="auto" w:sz="4" w:space="0"/>
              <w:left w:val="nil"/>
              <w:bottom w:val="single" w:color="auto" w:sz="4" w:space="0"/>
              <w:right w:val="single" w:color="auto" w:sz="4" w:space="0"/>
            </w:tcBorders>
            <w:vAlign w:val="center"/>
          </w:tcPr>
          <w:p>
            <w:pPr>
              <w:autoSpaceDE w:val="0"/>
              <w:autoSpaceDN w:val="0"/>
              <w:spacing w:line="460" w:lineRule="exact"/>
              <w:contextualSpacing/>
              <w:rPr>
                <w:rFonts w:hint="eastAsia" w:ascii="宋体" w:hAnsi="宋体" w:cs="仿宋_GB2312"/>
                <w:kern w:val="0"/>
                <w:sz w:val="24"/>
                <w:szCs w:val="24"/>
              </w:rPr>
            </w:pPr>
            <w:r>
              <w:rPr>
                <w:rFonts w:hint="eastAsia" w:ascii="宋体" w:hAnsi="宋体" w:cs="仿宋_GB2312"/>
                <w:kern w:val="0"/>
                <w:sz w:val="24"/>
                <w:szCs w:val="24"/>
                <w:lang w:val="en-US" w:eastAsia="zh-CN"/>
              </w:rPr>
              <w:t>90</w:t>
            </w:r>
            <w:r>
              <w:rPr>
                <w:rFonts w:hint="eastAsia" w:ascii="宋体" w:hAnsi="宋体" w:cs="仿宋_GB2312"/>
                <w:kern w:val="0"/>
                <w:sz w:val="24"/>
                <w:szCs w:val="24"/>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38"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60" w:lineRule="exact"/>
              <w:contextualSpacing/>
              <w:jc w:val="center"/>
              <w:rPr>
                <w:rFonts w:ascii="宋体" w:hAnsi="宋体" w:cs="黑体"/>
                <w:kern w:val="0"/>
                <w:sz w:val="24"/>
                <w:szCs w:val="24"/>
              </w:rPr>
            </w:pPr>
            <w:r>
              <w:rPr>
                <w:rFonts w:hint="eastAsia" w:ascii="宋体" w:hAnsi="宋体" w:cs="TimesNewRomanPSMT"/>
                <w:kern w:val="0"/>
                <w:sz w:val="24"/>
                <w:szCs w:val="24"/>
              </w:rPr>
              <w:t>1.3.3</w:t>
            </w:r>
          </w:p>
        </w:tc>
        <w:tc>
          <w:tcPr>
            <w:tcW w:w="1196" w:type="dxa"/>
            <w:gridSpan w:val="3"/>
            <w:tcBorders>
              <w:top w:val="single" w:color="auto" w:sz="4" w:space="0"/>
              <w:left w:val="nil"/>
              <w:bottom w:val="single" w:color="auto" w:sz="4" w:space="0"/>
              <w:right w:val="single" w:color="auto" w:sz="4" w:space="0"/>
            </w:tcBorders>
            <w:vAlign w:val="center"/>
          </w:tcPr>
          <w:p>
            <w:pPr>
              <w:autoSpaceDE w:val="0"/>
              <w:autoSpaceDN w:val="0"/>
              <w:spacing w:line="460" w:lineRule="exact"/>
              <w:contextualSpacing/>
              <w:jc w:val="center"/>
              <w:rPr>
                <w:rFonts w:ascii="宋体" w:hAnsi="宋体" w:cs="黑体"/>
                <w:kern w:val="0"/>
                <w:sz w:val="24"/>
                <w:szCs w:val="24"/>
              </w:rPr>
            </w:pPr>
            <w:r>
              <w:rPr>
                <w:rFonts w:hint="eastAsia" w:ascii="宋体" w:hAnsi="宋体" w:cs="仿宋_GB2312"/>
                <w:kern w:val="0"/>
                <w:sz w:val="24"/>
                <w:szCs w:val="24"/>
              </w:rPr>
              <w:t>质量要求</w:t>
            </w:r>
          </w:p>
        </w:tc>
        <w:tc>
          <w:tcPr>
            <w:tcW w:w="6346" w:type="dxa"/>
            <w:tcBorders>
              <w:top w:val="single" w:color="auto" w:sz="4" w:space="0"/>
              <w:left w:val="nil"/>
              <w:bottom w:val="single" w:color="auto" w:sz="4" w:space="0"/>
              <w:right w:val="single" w:color="auto" w:sz="4" w:space="0"/>
            </w:tcBorders>
            <w:vAlign w:val="center"/>
          </w:tcPr>
          <w:p>
            <w:pPr>
              <w:autoSpaceDE w:val="0"/>
              <w:autoSpaceDN w:val="0"/>
              <w:spacing w:line="460" w:lineRule="exact"/>
              <w:contextualSpacing/>
              <w:rPr>
                <w:rFonts w:ascii="宋体" w:hAnsi="宋体" w:cs="仿宋_GB2312"/>
                <w:kern w:val="0"/>
                <w:sz w:val="24"/>
                <w:szCs w:val="24"/>
              </w:rPr>
            </w:pPr>
            <w:r>
              <w:rPr>
                <w:rFonts w:hint="eastAsia" w:ascii="宋体" w:hAnsi="宋体" w:cs="仿宋_GB2312"/>
                <w:kern w:val="0"/>
                <w:sz w:val="24"/>
                <w:szCs w:val="24"/>
              </w:rPr>
              <w:t>合格（符合国家现行的验收规范和标准）；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38"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60" w:lineRule="exact"/>
              <w:contextualSpacing/>
              <w:jc w:val="center"/>
              <w:rPr>
                <w:rFonts w:ascii="宋体" w:hAnsi="宋体" w:cs="黑体"/>
                <w:kern w:val="0"/>
                <w:sz w:val="24"/>
                <w:szCs w:val="24"/>
              </w:rPr>
            </w:pPr>
          </w:p>
          <w:p>
            <w:pPr>
              <w:autoSpaceDE w:val="0"/>
              <w:autoSpaceDN w:val="0"/>
              <w:spacing w:line="460" w:lineRule="exact"/>
              <w:contextualSpacing/>
              <w:jc w:val="center"/>
              <w:rPr>
                <w:rFonts w:ascii="宋体" w:hAnsi="宋体" w:cs="黑体"/>
                <w:kern w:val="0"/>
                <w:sz w:val="24"/>
                <w:szCs w:val="24"/>
              </w:rPr>
            </w:pPr>
            <w:r>
              <w:rPr>
                <w:rFonts w:hint="eastAsia" w:ascii="宋体" w:hAnsi="宋体" w:cs="黑体"/>
                <w:kern w:val="0"/>
                <w:sz w:val="24"/>
                <w:szCs w:val="24"/>
              </w:rPr>
              <w:t>1.4.1</w:t>
            </w:r>
          </w:p>
        </w:tc>
        <w:tc>
          <w:tcPr>
            <w:tcW w:w="1196" w:type="dxa"/>
            <w:gridSpan w:val="3"/>
            <w:tcBorders>
              <w:top w:val="single" w:color="auto" w:sz="4" w:space="0"/>
              <w:left w:val="nil"/>
              <w:bottom w:val="single" w:color="auto" w:sz="4" w:space="0"/>
              <w:right w:val="single" w:color="auto" w:sz="4" w:space="0"/>
            </w:tcBorders>
            <w:vAlign w:val="center"/>
          </w:tcPr>
          <w:p>
            <w:pPr>
              <w:autoSpaceDE w:val="0"/>
              <w:autoSpaceDN w:val="0"/>
              <w:spacing w:line="460" w:lineRule="exact"/>
              <w:contextualSpacing/>
              <w:jc w:val="center"/>
              <w:rPr>
                <w:rFonts w:ascii="宋体" w:hAnsi="宋体" w:cs="仿宋_GB2312"/>
                <w:kern w:val="0"/>
                <w:sz w:val="24"/>
                <w:szCs w:val="24"/>
              </w:rPr>
            </w:pPr>
            <w:r>
              <w:rPr>
                <w:rFonts w:hint="eastAsia" w:ascii="宋体" w:hAnsi="宋体" w:cs="仿宋_GB2312"/>
                <w:kern w:val="0"/>
                <w:sz w:val="24"/>
                <w:szCs w:val="24"/>
              </w:rPr>
              <w:t>投标人资质条件</w:t>
            </w:r>
          </w:p>
        </w:tc>
        <w:tc>
          <w:tcPr>
            <w:tcW w:w="6346" w:type="dxa"/>
            <w:tcBorders>
              <w:top w:val="single" w:color="auto" w:sz="4" w:space="0"/>
              <w:left w:val="nil"/>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175"/>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1.</w:t>
            </w:r>
            <w:r>
              <w:rPr>
                <w:rFonts w:hint="eastAsia" w:asciiTheme="minorEastAsia" w:hAnsiTheme="minorEastAsia" w:eastAsiaTheme="minorEastAsia" w:cstheme="minorEastAsia"/>
                <w:sz w:val="24"/>
                <w:szCs w:val="24"/>
              </w:rPr>
              <w:t xml:space="preserve"> 投标人须具备市政公用工程施工总承包</w:t>
            </w:r>
            <w:r>
              <w:rPr>
                <w:rFonts w:hint="eastAsia" w:asciiTheme="minorEastAsia" w:hAnsiTheme="minorEastAsia" w:eastAsiaTheme="minorEastAsia" w:cstheme="minorEastAsia"/>
                <w:sz w:val="24"/>
                <w:szCs w:val="24"/>
                <w:lang w:val="en-US" w:eastAsia="zh-CN"/>
              </w:rPr>
              <w:t>三</w:t>
            </w:r>
            <w:r>
              <w:rPr>
                <w:rFonts w:hint="eastAsia" w:asciiTheme="minorEastAsia" w:hAnsiTheme="minorEastAsia" w:eastAsiaTheme="minorEastAsia" w:cstheme="minorEastAsia"/>
                <w:sz w:val="24"/>
                <w:szCs w:val="24"/>
              </w:rPr>
              <w:t>级（含）以上资质，并且具有有效的安全生产许可证，具备独立法人资格，有良好的财务状况，良好的社会信誉，并在人员、设备、资金等方面具备相应的施工能力；拟任项目经理应具有市政公用工程专业贰级（含）以上注册建造师资格，且未担任其他在施建设工程的项目负责人（项目经理）并出具无在建承诺书。 </w:t>
            </w:r>
          </w:p>
          <w:p>
            <w:pPr>
              <w:pStyle w:val="23"/>
              <w:spacing w:line="460" w:lineRule="exact"/>
              <w:ind w:firstLine="480" w:firstLineChars="20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w:t>
            </w:r>
            <w:r>
              <w:rPr>
                <w:rFonts w:hint="eastAsia" w:asciiTheme="minorEastAsia" w:hAnsiTheme="minorEastAsia" w:eastAsiaTheme="minorEastAsia" w:cstheme="minorEastAsia"/>
                <w:sz w:val="24"/>
                <w:szCs w:val="24"/>
              </w:rPr>
              <w:t>信誉要求</w:t>
            </w:r>
            <w:r>
              <w:rPr>
                <w:rFonts w:hint="eastAsia" w:asciiTheme="minorEastAsia" w:hAnsiTheme="minorEastAsia" w:eastAsiaTheme="minorEastAsia" w:cstheme="minorEastAsia"/>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175"/>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2.1、投标人未处于被责令停业、投标资格被取消或者财产被接管、冻结和破产状态；近三年内企业没有因骗取中标或者严重违约以及发生重大工程质量、安全生产事故等问题；</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175"/>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2.2、未被列入“信用中国”、“信用河南”网站信用信息栏黑名单、“国家企业信用信息公示系统”经营异常名录或严重失信黑名单, “中国裁判文书网”无行贿犯罪记录的投标人。</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175"/>
              <w:textAlignment w:val="auto"/>
              <w:rPr>
                <w:rFonts w:ascii="宋体" w:hAnsi="宋体"/>
                <w:sz w:val="24"/>
                <w:szCs w:val="24"/>
              </w:rPr>
            </w:pPr>
            <w:r>
              <w:rPr>
                <w:rFonts w:hint="eastAsia" w:asciiTheme="minorEastAsia" w:hAnsiTheme="minorEastAsia" w:eastAsiaTheme="minorEastAsia" w:cstheme="minorEastAsia"/>
                <w:sz w:val="24"/>
                <w:szCs w:val="24"/>
              </w:rPr>
              <w:t>3.本次招标不接受联合体投标，不得转包、挂靠及违法分包；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38"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60" w:lineRule="exact"/>
              <w:contextualSpacing/>
              <w:jc w:val="center"/>
              <w:rPr>
                <w:rFonts w:ascii="宋体" w:hAnsi="宋体" w:cs="黑体"/>
                <w:kern w:val="0"/>
                <w:sz w:val="24"/>
                <w:szCs w:val="24"/>
              </w:rPr>
            </w:pPr>
            <w:r>
              <w:rPr>
                <w:rFonts w:hint="eastAsia" w:ascii="宋体" w:hAnsi="宋体" w:cs="TimesNewRomanPSMT"/>
                <w:kern w:val="0"/>
                <w:sz w:val="24"/>
                <w:szCs w:val="24"/>
              </w:rPr>
              <w:t>1.4.2</w:t>
            </w:r>
          </w:p>
        </w:tc>
        <w:tc>
          <w:tcPr>
            <w:tcW w:w="1196" w:type="dxa"/>
            <w:gridSpan w:val="3"/>
            <w:tcBorders>
              <w:top w:val="single" w:color="auto" w:sz="4" w:space="0"/>
              <w:left w:val="nil"/>
              <w:bottom w:val="single" w:color="auto" w:sz="4" w:space="0"/>
              <w:right w:val="single" w:color="auto" w:sz="4" w:space="0"/>
            </w:tcBorders>
            <w:vAlign w:val="center"/>
          </w:tcPr>
          <w:p>
            <w:pPr>
              <w:autoSpaceDE w:val="0"/>
              <w:autoSpaceDN w:val="0"/>
              <w:spacing w:line="460" w:lineRule="exact"/>
              <w:contextualSpacing/>
              <w:jc w:val="center"/>
              <w:rPr>
                <w:rFonts w:ascii="宋体" w:hAnsi="宋体" w:cs="黑体"/>
                <w:kern w:val="0"/>
                <w:sz w:val="24"/>
                <w:szCs w:val="24"/>
              </w:rPr>
            </w:pPr>
            <w:r>
              <w:rPr>
                <w:rFonts w:hint="eastAsia" w:ascii="宋体" w:hAnsi="宋体" w:cs="仿宋_GB2312"/>
                <w:kern w:val="0"/>
                <w:sz w:val="24"/>
                <w:szCs w:val="24"/>
              </w:rPr>
              <w:t>是否接受联合体投标</w:t>
            </w:r>
          </w:p>
        </w:tc>
        <w:tc>
          <w:tcPr>
            <w:tcW w:w="6346" w:type="dxa"/>
            <w:tcBorders>
              <w:top w:val="single" w:color="auto" w:sz="4" w:space="0"/>
              <w:left w:val="nil"/>
              <w:bottom w:val="single" w:color="auto" w:sz="4" w:space="0"/>
              <w:right w:val="single" w:color="auto" w:sz="4" w:space="0"/>
            </w:tcBorders>
            <w:vAlign w:val="center"/>
          </w:tcPr>
          <w:p>
            <w:pPr>
              <w:autoSpaceDE w:val="0"/>
              <w:autoSpaceDN w:val="0"/>
              <w:spacing w:line="460" w:lineRule="exact"/>
              <w:contextualSpacing/>
              <w:jc w:val="left"/>
              <w:rPr>
                <w:rFonts w:hint="eastAsia" w:ascii="宋体" w:hAnsi="宋体" w:eastAsia="宋体" w:cs="仿宋_GB2312"/>
                <w:kern w:val="0"/>
                <w:sz w:val="24"/>
                <w:szCs w:val="24"/>
                <w:lang w:eastAsia="zh-CN"/>
              </w:rPr>
            </w:pPr>
            <w:r>
              <w:rPr>
                <w:rFonts w:hint="eastAsia" w:ascii="宋体" w:hAnsi="宋体" w:cs="仿宋_GB2312"/>
                <w:kern w:val="0"/>
                <w:sz w:val="24"/>
                <w:szCs w:val="24"/>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38"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60" w:lineRule="exact"/>
              <w:contextualSpacing/>
              <w:jc w:val="center"/>
              <w:rPr>
                <w:rFonts w:ascii="宋体" w:hAnsi="宋体" w:cs="黑体"/>
                <w:kern w:val="0"/>
                <w:sz w:val="24"/>
                <w:szCs w:val="24"/>
              </w:rPr>
            </w:pPr>
            <w:r>
              <w:rPr>
                <w:rFonts w:hint="eastAsia" w:ascii="宋体" w:hAnsi="宋体" w:cs="TimesNewRomanPSMT"/>
                <w:kern w:val="0"/>
                <w:sz w:val="24"/>
                <w:szCs w:val="24"/>
              </w:rPr>
              <w:t>1.9.1</w:t>
            </w:r>
          </w:p>
        </w:tc>
        <w:tc>
          <w:tcPr>
            <w:tcW w:w="1196" w:type="dxa"/>
            <w:gridSpan w:val="3"/>
            <w:tcBorders>
              <w:top w:val="single" w:color="auto" w:sz="4" w:space="0"/>
              <w:left w:val="nil"/>
              <w:bottom w:val="single" w:color="auto" w:sz="4" w:space="0"/>
              <w:right w:val="single" w:color="auto" w:sz="4" w:space="0"/>
            </w:tcBorders>
            <w:vAlign w:val="center"/>
          </w:tcPr>
          <w:p>
            <w:pPr>
              <w:autoSpaceDE w:val="0"/>
              <w:autoSpaceDN w:val="0"/>
              <w:spacing w:line="460" w:lineRule="exact"/>
              <w:contextualSpacing/>
              <w:jc w:val="center"/>
              <w:rPr>
                <w:rFonts w:ascii="宋体" w:hAnsi="宋体" w:cs="黑体"/>
                <w:kern w:val="0"/>
                <w:sz w:val="24"/>
                <w:szCs w:val="24"/>
              </w:rPr>
            </w:pPr>
            <w:r>
              <w:rPr>
                <w:rFonts w:hint="eastAsia" w:ascii="宋体" w:hAnsi="宋体" w:cs="仿宋_GB2312"/>
                <w:kern w:val="0"/>
                <w:sz w:val="24"/>
                <w:szCs w:val="24"/>
              </w:rPr>
              <w:t>踏勘现场</w:t>
            </w:r>
          </w:p>
        </w:tc>
        <w:tc>
          <w:tcPr>
            <w:tcW w:w="6346" w:type="dxa"/>
            <w:tcBorders>
              <w:top w:val="single" w:color="auto" w:sz="4" w:space="0"/>
              <w:left w:val="nil"/>
              <w:bottom w:val="single" w:color="auto" w:sz="4" w:space="0"/>
              <w:right w:val="single" w:color="auto" w:sz="4" w:space="0"/>
            </w:tcBorders>
          </w:tcPr>
          <w:p>
            <w:pPr>
              <w:autoSpaceDE w:val="0"/>
              <w:autoSpaceDN w:val="0"/>
              <w:spacing w:line="460" w:lineRule="exact"/>
              <w:contextualSpacing/>
              <w:jc w:val="left"/>
              <w:rPr>
                <w:rFonts w:ascii="宋体" w:hAnsi="宋体" w:cs="仿宋_GB2312"/>
                <w:kern w:val="0"/>
                <w:sz w:val="24"/>
                <w:szCs w:val="24"/>
              </w:rPr>
            </w:pPr>
            <w:r>
              <w:rPr>
                <w:rFonts w:hint="eastAsia" w:ascii="宋体" w:hAnsi="宋体" w:cs="仿宋_GB2312"/>
                <w:kern w:val="0"/>
                <w:sz w:val="24"/>
                <w:szCs w:val="24"/>
              </w:rPr>
              <w:t>不组织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38"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60" w:lineRule="exact"/>
              <w:contextualSpacing/>
              <w:jc w:val="center"/>
              <w:rPr>
                <w:rFonts w:ascii="宋体" w:hAnsi="宋体" w:cs="黑体"/>
                <w:kern w:val="0"/>
                <w:sz w:val="24"/>
                <w:szCs w:val="24"/>
              </w:rPr>
            </w:pPr>
            <w:r>
              <w:rPr>
                <w:rFonts w:hint="eastAsia" w:ascii="宋体" w:hAnsi="宋体" w:cs="黑体"/>
                <w:kern w:val="0"/>
                <w:sz w:val="24"/>
                <w:szCs w:val="24"/>
              </w:rPr>
              <w:t>1.10.1</w:t>
            </w:r>
          </w:p>
        </w:tc>
        <w:tc>
          <w:tcPr>
            <w:tcW w:w="1196" w:type="dxa"/>
            <w:gridSpan w:val="3"/>
            <w:tcBorders>
              <w:top w:val="single" w:color="auto" w:sz="4" w:space="0"/>
              <w:left w:val="nil"/>
              <w:bottom w:val="single" w:color="auto" w:sz="4" w:space="0"/>
              <w:right w:val="single" w:color="auto" w:sz="4" w:space="0"/>
            </w:tcBorders>
            <w:vAlign w:val="center"/>
          </w:tcPr>
          <w:p>
            <w:pPr>
              <w:autoSpaceDE w:val="0"/>
              <w:autoSpaceDN w:val="0"/>
              <w:spacing w:line="460" w:lineRule="exact"/>
              <w:contextualSpacing/>
              <w:jc w:val="center"/>
              <w:rPr>
                <w:rFonts w:ascii="宋体" w:hAnsi="宋体" w:cs="黑体"/>
                <w:kern w:val="0"/>
                <w:sz w:val="24"/>
                <w:szCs w:val="24"/>
              </w:rPr>
            </w:pPr>
            <w:r>
              <w:rPr>
                <w:rFonts w:hint="eastAsia" w:ascii="宋体" w:hAnsi="宋体" w:cs="黑体"/>
                <w:kern w:val="0"/>
                <w:sz w:val="24"/>
                <w:szCs w:val="24"/>
              </w:rPr>
              <w:t>投标预备会</w:t>
            </w:r>
          </w:p>
        </w:tc>
        <w:tc>
          <w:tcPr>
            <w:tcW w:w="6346" w:type="dxa"/>
            <w:tcBorders>
              <w:top w:val="single" w:color="auto" w:sz="4" w:space="0"/>
              <w:left w:val="nil"/>
              <w:bottom w:val="single" w:color="auto" w:sz="4" w:space="0"/>
              <w:right w:val="single" w:color="auto" w:sz="4" w:space="0"/>
            </w:tcBorders>
            <w:vAlign w:val="center"/>
          </w:tcPr>
          <w:p>
            <w:pPr>
              <w:autoSpaceDE w:val="0"/>
              <w:autoSpaceDN w:val="0"/>
              <w:spacing w:line="460" w:lineRule="exact"/>
              <w:contextualSpacing/>
              <w:jc w:val="left"/>
              <w:rPr>
                <w:rFonts w:ascii="宋体" w:hAnsi="宋体" w:cs="仿宋_GB2312"/>
                <w:kern w:val="0"/>
                <w:sz w:val="24"/>
                <w:szCs w:val="24"/>
              </w:rPr>
            </w:pPr>
            <w:r>
              <w:rPr>
                <w:rFonts w:hint="eastAsia" w:ascii="宋体" w:hAnsi="宋体" w:cs="仿宋_GB2312"/>
                <w:kern w:val="0"/>
                <w:sz w:val="24"/>
                <w:szCs w:val="24"/>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38" w:type="dxa"/>
            <w:tcBorders>
              <w:top w:val="single" w:color="auto" w:sz="4" w:space="0"/>
              <w:left w:val="single" w:color="auto" w:sz="4" w:space="0"/>
              <w:bottom w:val="single" w:color="auto" w:sz="4" w:space="0"/>
              <w:right w:val="single" w:color="auto" w:sz="4" w:space="0"/>
            </w:tcBorders>
            <w:vAlign w:val="center"/>
          </w:tcPr>
          <w:p>
            <w:pPr>
              <w:spacing w:line="460" w:lineRule="exact"/>
              <w:contextualSpacing/>
              <w:jc w:val="center"/>
              <w:rPr>
                <w:rFonts w:ascii="宋体" w:hAnsi="宋体"/>
                <w:sz w:val="24"/>
                <w:szCs w:val="24"/>
              </w:rPr>
            </w:pPr>
            <w:r>
              <w:rPr>
                <w:rFonts w:hint="eastAsia" w:ascii="宋体" w:hAnsi="宋体"/>
                <w:sz w:val="24"/>
                <w:szCs w:val="24"/>
              </w:rPr>
              <w:t>1.10.3</w:t>
            </w:r>
          </w:p>
        </w:tc>
        <w:tc>
          <w:tcPr>
            <w:tcW w:w="1196" w:type="dxa"/>
            <w:gridSpan w:val="3"/>
            <w:tcBorders>
              <w:top w:val="single" w:color="auto" w:sz="4" w:space="0"/>
              <w:left w:val="nil"/>
              <w:bottom w:val="single" w:color="auto" w:sz="4" w:space="0"/>
              <w:right w:val="single" w:color="auto" w:sz="4" w:space="0"/>
            </w:tcBorders>
            <w:vAlign w:val="center"/>
          </w:tcPr>
          <w:p>
            <w:pPr>
              <w:spacing w:line="460" w:lineRule="exact"/>
              <w:contextualSpacing/>
              <w:jc w:val="center"/>
              <w:rPr>
                <w:rFonts w:ascii="宋体" w:hAnsi="宋体"/>
                <w:sz w:val="24"/>
                <w:szCs w:val="24"/>
              </w:rPr>
            </w:pPr>
            <w:r>
              <w:rPr>
                <w:rFonts w:hint="eastAsia" w:ascii="宋体" w:hAnsi="宋体"/>
                <w:sz w:val="24"/>
                <w:szCs w:val="24"/>
              </w:rPr>
              <w:t>招标人书面澄清的时间</w:t>
            </w:r>
          </w:p>
        </w:tc>
        <w:tc>
          <w:tcPr>
            <w:tcW w:w="6346" w:type="dxa"/>
            <w:tcBorders>
              <w:top w:val="single" w:color="auto" w:sz="4" w:space="0"/>
              <w:left w:val="nil"/>
              <w:bottom w:val="single" w:color="auto" w:sz="4" w:space="0"/>
              <w:right w:val="single" w:color="auto" w:sz="4" w:space="0"/>
            </w:tcBorders>
            <w:vAlign w:val="center"/>
          </w:tcPr>
          <w:p>
            <w:pPr>
              <w:spacing w:line="460" w:lineRule="exact"/>
              <w:contextualSpacing/>
              <w:rPr>
                <w:rFonts w:ascii="宋体" w:hAnsi="宋体"/>
                <w:sz w:val="24"/>
                <w:szCs w:val="24"/>
              </w:rPr>
            </w:pPr>
            <w:r>
              <w:rPr>
                <w:rFonts w:hint="eastAsia" w:ascii="宋体" w:hAnsi="宋体"/>
                <w:sz w:val="24"/>
                <w:szCs w:val="24"/>
              </w:rPr>
              <w:t>递交投标文件截止之日15日前通过公共资源交易系统电子平台发出。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38"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60" w:lineRule="exact"/>
              <w:contextualSpacing/>
              <w:jc w:val="center"/>
              <w:rPr>
                <w:rFonts w:ascii="宋体" w:hAnsi="宋体" w:cs="黑体"/>
                <w:kern w:val="0"/>
                <w:sz w:val="24"/>
                <w:szCs w:val="24"/>
              </w:rPr>
            </w:pPr>
            <w:r>
              <w:rPr>
                <w:rFonts w:hint="eastAsia" w:ascii="宋体" w:hAnsi="宋体" w:cs="TimesNewRomanPSMT"/>
                <w:kern w:val="0"/>
                <w:sz w:val="24"/>
                <w:szCs w:val="24"/>
              </w:rPr>
              <w:t>1.11</w:t>
            </w:r>
          </w:p>
        </w:tc>
        <w:tc>
          <w:tcPr>
            <w:tcW w:w="1196" w:type="dxa"/>
            <w:gridSpan w:val="3"/>
            <w:tcBorders>
              <w:top w:val="single" w:color="auto" w:sz="4" w:space="0"/>
              <w:left w:val="nil"/>
              <w:bottom w:val="single" w:color="auto" w:sz="4" w:space="0"/>
              <w:right w:val="single" w:color="auto" w:sz="4" w:space="0"/>
            </w:tcBorders>
            <w:vAlign w:val="center"/>
          </w:tcPr>
          <w:p>
            <w:pPr>
              <w:autoSpaceDE w:val="0"/>
              <w:autoSpaceDN w:val="0"/>
              <w:spacing w:line="460" w:lineRule="exact"/>
              <w:contextualSpacing/>
              <w:jc w:val="center"/>
              <w:rPr>
                <w:rFonts w:ascii="宋体" w:hAnsi="宋体" w:cs="黑体"/>
                <w:kern w:val="0"/>
                <w:sz w:val="24"/>
                <w:szCs w:val="24"/>
              </w:rPr>
            </w:pPr>
            <w:r>
              <w:rPr>
                <w:rFonts w:hint="eastAsia" w:ascii="宋体" w:hAnsi="宋体" w:cs="仿宋_GB2312"/>
                <w:kern w:val="0"/>
                <w:sz w:val="24"/>
                <w:szCs w:val="24"/>
              </w:rPr>
              <w:t>分包</w:t>
            </w:r>
          </w:p>
        </w:tc>
        <w:tc>
          <w:tcPr>
            <w:tcW w:w="6346" w:type="dxa"/>
            <w:tcBorders>
              <w:top w:val="single" w:color="auto" w:sz="4" w:space="0"/>
              <w:left w:val="nil"/>
              <w:bottom w:val="single" w:color="auto" w:sz="4" w:space="0"/>
              <w:right w:val="single" w:color="auto" w:sz="4" w:space="0"/>
            </w:tcBorders>
          </w:tcPr>
          <w:p>
            <w:pPr>
              <w:autoSpaceDE w:val="0"/>
              <w:autoSpaceDN w:val="0"/>
              <w:spacing w:line="460" w:lineRule="exact"/>
              <w:contextualSpacing/>
              <w:jc w:val="left"/>
              <w:rPr>
                <w:rFonts w:ascii="宋体" w:hAnsi="宋体" w:cs="黑体"/>
                <w:kern w:val="0"/>
                <w:sz w:val="24"/>
                <w:szCs w:val="24"/>
              </w:rPr>
            </w:pPr>
            <w:r>
              <w:rPr>
                <w:rFonts w:hint="eastAsia" w:ascii="宋体" w:hAnsi="宋体" w:cs="仿宋_GB2312"/>
                <w:kern w:val="0"/>
                <w:sz w:val="24"/>
                <w:szCs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38"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60" w:lineRule="exact"/>
              <w:contextualSpacing/>
              <w:jc w:val="center"/>
              <w:rPr>
                <w:rFonts w:ascii="宋体" w:hAnsi="宋体" w:cs="黑体"/>
                <w:kern w:val="0"/>
                <w:sz w:val="24"/>
                <w:szCs w:val="24"/>
              </w:rPr>
            </w:pPr>
            <w:r>
              <w:rPr>
                <w:rFonts w:hint="eastAsia" w:ascii="宋体" w:hAnsi="宋体" w:cs="TimesNewRomanPSMT"/>
                <w:kern w:val="0"/>
                <w:sz w:val="24"/>
                <w:szCs w:val="24"/>
              </w:rPr>
              <w:t xml:space="preserve">1.12 </w:t>
            </w:r>
          </w:p>
        </w:tc>
        <w:tc>
          <w:tcPr>
            <w:tcW w:w="1196" w:type="dxa"/>
            <w:gridSpan w:val="3"/>
            <w:tcBorders>
              <w:top w:val="single" w:color="auto" w:sz="4" w:space="0"/>
              <w:left w:val="nil"/>
              <w:bottom w:val="single" w:color="auto" w:sz="4" w:space="0"/>
              <w:right w:val="single" w:color="auto" w:sz="4" w:space="0"/>
            </w:tcBorders>
            <w:vAlign w:val="center"/>
          </w:tcPr>
          <w:p>
            <w:pPr>
              <w:autoSpaceDE w:val="0"/>
              <w:autoSpaceDN w:val="0"/>
              <w:spacing w:line="460" w:lineRule="exact"/>
              <w:contextualSpacing/>
              <w:jc w:val="center"/>
              <w:rPr>
                <w:rFonts w:ascii="宋体" w:hAnsi="宋体" w:cs="黑体"/>
                <w:kern w:val="0"/>
                <w:sz w:val="24"/>
                <w:szCs w:val="24"/>
              </w:rPr>
            </w:pPr>
            <w:r>
              <w:rPr>
                <w:rFonts w:hint="eastAsia" w:ascii="宋体" w:hAnsi="宋体" w:cs="仿宋_GB2312"/>
                <w:kern w:val="0"/>
                <w:sz w:val="24"/>
                <w:szCs w:val="24"/>
              </w:rPr>
              <w:t>偏离</w:t>
            </w:r>
          </w:p>
        </w:tc>
        <w:tc>
          <w:tcPr>
            <w:tcW w:w="6346" w:type="dxa"/>
            <w:tcBorders>
              <w:top w:val="single" w:color="auto" w:sz="4" w:space="0"/>
              <w:left w:val="nil"/>
              <w:bottom w:val="single" w:color="auto" w:sz="4" w:space="0"/>
              <w:right w:val="single" w:color="auto" w:sz="4" w:space="0"/>
            </w:tcBorders>
          </w:tcPr>
          <w:p>
            <w:pPr>
              <w:autoSpaceDE w:val="0"/>
              <w:autoSpaceDN w:val="0"/>
              <w:spacing w:line="460" w:lineRule="exact"/>
              <w:contextualSpacing/>
              <w:jc w:val="left"/>
              <w:rPr>
                <w:rFonts w:ascii="宋体" w:hAnsi="宋体" w:cs="黑体"/>
                <w:kern w:val="0"/>
                <w:sz w:val="24"/>
                <w:szCs w:val="24"/>
              </w:rPr>
            </w:pPr>
            <w:r>
              <w:rPr>
                <w:rFonts w:hint="eastAsia" w:ascii="宋体" w:hAnsi="宋体" w:cs="仿宋_GB2312"/>
                <w:kern w:val="0"/>
                <w:sz w:val="24"/>
                <w:szCs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38"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60" w:lineRule="exact"/>
              <w:contextualSpacing/>
              <w:jc w:val="center"/>
              <w:rPr>
                <w:rFonts w:ascii="宋体" w:hAnsi="宋体" w:cs="黑体"/>
                <w:kern w:val="0"/>
                <w:sz w:val="24"/>
                <w:szCs w:val="24"/>
              </w:rPr>
            </w:pPr>
            <w:r>
              <w:rPr>
                <w:rFonts w:hint="eastAsia" w:ascii="宋体" w:hAnsi="宋体" w:cs="黑体"/>
                <w:kern w:val="0"/>
                <w:sz w:val="24"/>
                <w:szCs w:val="24"/>
              </w:rPr>
              <w:t>2.1</w:t>
            </w:r>
          </w:p>
        </w:tc>
        <w:tc>
          <w:tcPr>
            <w:tcW w:w="1196" w:type="dxa"/>
            <w:gridSpan w:val="3"/>
            <w:tcBorders>
              <w:top w:val="single" w:color="auto" w:sz="4" w:space="0"/>
              <w:left w:val="nil"/>
              <w:bottom w:val="single" w:color="auto" w:sz="4" w:space="0"/>
              <w:right w:val="single" w:color="auto" w:sz="4" w:space="0"/>
            </w:tcBorders>
            <w:vAlign w:val="center"/>
          </w:tcPr>
          <w:p>
            <w:pPr>
              <w:autoSpaceDE w:val="0"/>
              <w:autoSpaceDN w:val="0"/>
              <w:spacing w:line="240" w:lineRule="auto"/>
              <w:contextualSpacing/>
              <w:jc w:val="left"/>
              <w:rPr>
                <w:rFonts w:ascii="宋体" w:hAnsi="宋体" w:cs="仿宋_GB2312"/>
                <w:kern w:val="0"/>
                <w:sz w:val="24"/>
                <w:szCs w:val="24"/>
              </w:rPr>
            </w:pPr>
            <w:r>
              <w:rPr>
                <w:rFonts w:hint="eastAsia" w:ascii="宋体" w:hAnsi="宋体" w:cs="仿宋_GB2312"/>
                <w:kern w:val="0"/>
                <w:sz w:val="24"/>
                <w:szCs w:val="24"/>
              </w:rPr>
              <w:t>招标文件</w:t>
            </w:r>
            <w:r>
              <w:rPr>
                <w:rFonts w:hint="eastAsia" w:ascii="宋体" w:hAnsi="宋体" w:cs="宋体"/>
                <w:kern w:val="0"/>
                <w:sz w:val="24"/>
                <w:szCs w:val="24"/>
              </w:rPr>
              <w:t>工程量清单及图纸的获取</w:t>
            </w:r>
          </w:p>
        </w:tc>
        <w:tc>
          <w:tcPr>
            <w:tcW w:w="6346" w:type="dxa"/>
            <w:tcBorders>
              <w:top w:val="single" w:color="auto" w:sz="4" w:space="0"/>
              <w:left w:val="nil"/>
              <w:bottom w:val="single" w:color="auto" w:sz="4" w:space="0"/>
              <w:right w:val="single" w:color="auto" w:sz="4" w:space="0"/>
            </w:tcBorders>
            <w:vAlign w:val="center"/>
          </w:tcPr>
          <w:p>
            <w:pPr>
              <w:spacing w:line="240" w:lineRule="auto"/>
              <w:contextualSpacing/>
              <w:rPr>
                <w:rFonts w:hint="eastAsia" w:ascii="宋体" w:hAnsi="宋体"/>
                <w:sz w:val="24"/>
                <w:szCs w:val="24"/>
              </w:rPr>
            </w:pPr>
            <w:r>
              <w:rPr>
                <w:rFonts w:hint="eastAsia" w:ascii="宋体" w:hAnsi="宋体"/>
                <w:sz w:val="24"/>
                <w:szCs w:val="24"/>
              </w:rPr>
              <w:t>在全国公共资源交易平台（河南省.许昌市）网上下载招标文件、商务标招标文件（工程量清单）、招标控制价。</w:t>
            </w:r>
          </w:p>
          <w:p>
            <w:pPr>
              <w:pStyle w:val="2"/>
              <w:keepNext/>
              <w:keepLines/>
              <w:pageBreakBefore w:val="0"/>
              <w:widowControl w:val="0"/>
              <w:kinsoku/>
              <w:wordWrap/>
              <w:overflowPunct/>
              <w:topLinePunct w:val="0"/>
              <w:autoSpaceDE/>
              <w:autoSpaceDN/>
              <w:bidi w:val="0"/>
              <w:adjustRightInd/>
              <w:snapToGrid/>
              <w:spacing w:before="0" w:after="0" w:line="240" w:lineRule="auto"/>
              <w:textAlignment w:val="auto"/>
              <w:rPr>
                <w:rFonts w:hint="eastAsia" w:ascii="宋体" w:hAnsi="宋体" w:cs="宋体"/>
                <w:kern w:val="0"/>
                <w:sz w:val="24"/>
                <w:szCs w:val="24"/>
              </w:rPr>
            </w:pPr>
            <w:r>
              <w:rPr>
                <w:rFonts w:hint="eastAsia" w:ascii="宋体" w:hAnsi="宋体" w:cs="宋体"/>
                <w:kern w:val="0"/>
                <w:sz w:val="24"/>
                <w:szCs w:val="24"/>
              </w:rPr>
              <w:t>图纸下载地址：</w:t>
            </w:r>
          </w:p>
          <w:p>
            <w:pPr>
              <w:pStyle w:val="2"/>
              <w:keepNext/>
              <w:keepLines/>
              <w:pageBreakBefore w:val="0"/>
              <w:widowControl w:val="0"/>
              <w:kinsoku/>
              <w:wordWrap/>
              <w:overflowPunct/>
              <w:topLinePunct w:val="0"/>
              <w:autoSpaceDE/>
              <w:autoSpaceDN/>
              <w:bidi w:val="0"/>
              <w:adjustRightInd/>
              <w:snapToGrid/>
              <w:spacing w:before="0" w:after="0" w:line="240" w:lineRule="auto"/>
              <w:textAlignment w:val="auto"/>
              <w:rPr>
                <w:rFonts w:hint="eastAsia" w:ascii="宋体" w:hAnsi="宋体" w:cs="宋体"/>
                <w:color w:val="FF0000"/>
                <w:kern w:val="0"/>
                <w:sz w:val="24"/>
                <w:szCs w:val="24"/>
                <w:u w:val="single"/>
              </w:rPr>
            </w:pPr>
            <w:r>
              <w:rPr>
                <w:rFonts w:hint="eastAsia" w:ascii="宋体" w:hAnsi="宋体" w:cs="宋体"/>
                <w:color w:val="FF0000"/>
                <w:kern w:val="0"/>
                <w:sz w:val="24"/>
                <w:szCs w:val="24"/>
                <w:u w:val="single"/>
              </w:rPr>
              <w:t>链接：</w:t>
            </w:r>
          </w:p>
          <w:p>
            <w:pPr>
              <w:pStyle w:val="2"/>
              <w:keepNext/>
              <w:keepLines/>
              <w:pageBreakBefore w:val="0"/>
              <w:widowControl w:val="0"/>
              <w:kinsoku/>
              <w:wordWrap/>
              <w:overflowPunct/>
              <w:topLinePunct w:val="0"/>
              <w:autoSpaceDE/>
              <w:autoSpaceDN/>
              <w:bidi w:val="0"/>
              <w:adjustRightInd/>
              <w:snapToGrid/>
              <w:spacing w:before="0" w:after="0" w:line="240" w:lineRule="auto"/>
              <w:textAlignment w:val="auto"/>
              <w:rPr>
                <w:rFonts w:hint="eastAsia" w:ascii="宋体" w:hAnsi="宋体" w:cs="宋体"/>
                <w:color w:val="FF0000"/>
                <w:kern w:val="0"/>
                <w:sz w:val="24"/>
                <w:szCs w:val="24"/>
                <w:u w:val="single"/>
              </w:rPr>
            </w:pPr>
            <w:r>
              <w:rPr>
                <w:rFonts w:hint="eastAsia" w:ascii="宋体" w:hAnsi="宋体" w:cs="宋体"/>
                <w:color w:val="FF0000"/>
                <w:kern w:val="0"/>
                <w:sz w:val="24"/>
                <w:szCs w:val="24"/>
                <w:u w:val="single"/>
              </w:rPr>
              <w:t xml:space="preserve">https://pan.baidu.com/s/1ih1YZ8ONsWzXo-GYAjpRLg?pwd=hpcf </w:t>
            </w:r>
          </w:p>
          <w:p>
            <w:pPr>
              <w:pStyle w:val="2"/>
              <w:keepNext/>
              <w:keepLines/>
              <w:pageBreakBefore w:val="0"/>
              <w:widowControl w:val="0"/>
              <w:kinsoku/>
              <w:wordWrap/>
              <w:overflowPunct/>
              <w:topLinePunct w:val="0"/>
              <w:autoSpaceDE/>
              <w:autoSpaceDN/>
              <w:bidi w:val="0"/>
              <w:adjustRightInd/>
              <w:snapToGrid/>
              <w:spacing w:before="0" w:after="0" w:line="240" w:lineRule="auto"/>
              <w:textAlignment w:val="auto"/>
            </w:pPr>
            <w:r>
              <w:rPr>
                <w:rFonts w:hint="eastAsia" w:ascii="宋体" w:hAnsi="宋体" w:cs="宋体"/>
                <w:color w:val="FF0000"/>
                <w:kern w:val="0"/>
                <w:sz w:val="24"/>
                <w:szCs w:val="24"/>
                <w:u w:val="single"/>
              </w:rPr>
              <w:t>提取码：hpcf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38"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60" w:lineRule="exact"/>
              <w:contextualSpacing/>
              <w:jc w:val="center"/>
              <w:rPr>
                <w:rFonts w:ascii="宋体" w:hAnsi="宋体" w:cs="TimesNewRomanPSMT"/>
                <w:kern w:val="0"/>
                <w:sz w:val="24"/>
                <w:szCs w:val="24"/>
              </w:rPr>
            </w:pPr>
            <w:r>
              <w:rPr>
                <w:rFonts w:hint="eastAsia" w:ascii="宋体" w:hAnsi="宋体" w:cs="TimesNewRomanPSMT"/>
                <w:kern w:val="0"/>
                <w:sz w:val="24"/>
                <w:szCs w:val="24"/>
              </w:rPr>
              <w:t>2.1.1</w:t>
            </w:r>
          </w:p>
        </w:tc>
        <w:tc>
          <w:tcPr>
            <w:tcW w:w="1196" w:type="dxa"/>
            <w:gridSpan w:val="3"/>
            <w:tcBorders>
              <w:top w:val="single" w:color="auto" w:sz="4" w:space="0"/>
              <w:left w:val="nil"/>
              <w:bottom w:val="single" w:color="auto" w:sz="4" w:space="0"/>
              <w:right w:val="single" w:color="auto" w:sz="4" w:space="0"/>
            </w:tcBorders>
            <w:vAlign w:val="center"/>
          </w:tcPr>
          <w:p>
            <w:pPr>
              <w:autoSpaceDE w:val="0"/>
              <w:autoSpaceDN w:val="0"/>
              <w:spacing w:line="460" w:lineRule="exact"/>
              <w:contextualSpacing/>
              <w:jc w:val="center"/>
              <w:rPr>
                <w:rFonts w:ascii="宋体" w:hAnsi="宋体" w:cs="仿宋_GB2312"/>
                <w:kern w:val="0"/>
                <w:sz w:val="24"/>
                <w:szCs w:val="24"/>
              </w:rPr>
            </w:pPr>
            <w:r>
              <w:rPr>
                <w:rFonts w:hint="eastAsia" w:ascii="宋体" w:hAnsi="宋体" w:cs="仿宋_GB2312"/>
                <w:kern w:val="0"/>
                <w:sz w:val="24"/>
                <w:szCs w:val="24"/>
              </w:rPr>
              <w:t>构成招标文件的其他材料</w:t>
            </w:r>
          </w:p>
        </w:tc>
        <w:tc>
          <w:tcPr>
            <w:tcW w:w="6346" w:type="dxa"/>
            <w:tcBorders>
              <w:top w:val="single" w:color="auto" w:sz="4" w:space="0"/>
              <w:left w:val="nil"/>
              <w:bottom w:val="single" w:color="auto" w:sz="4" w:space="0"/>
              <w:right w:val="single" w:color="auto" w:sz="4" w:space="0"/>
            </w:tcBorders>
            <w:vAlign w:val="center"/>
          </w:tcPr>
          <w:p>
            <w:pPr>
              <w:autoSpaceDE w:val="0"/>
              <w:autoSpaceDN w:val="0"/>
              <w:spacing w:line="460" w:lineRule="exact"/>
              <w:contextualSpacing/>
              <w:rPr>
                <w:rFonts w:ascii="宋体" w:hAnsi="宋体" w:cs="仿宋_GB2312"/>
                <w:kern w:val="0"/>
                <w:sz w:val="24"/>
                <w:szCs w:val="24"/>
              </w:rPr>
            </w:pPr>
            <w:r>
              <w:rPr>
                <w:rFonts w:hint="eastAsia" w:ascii="宋体" w:hAnsi="宋体" w:cs="仿宋_GB2312"/>
                <w:kern w:val="0"/>
                <w:sz w:val="24"/>
                <w:szCs w:val="24"/>
              </w:rPr>
              <w:t>答疑，经备案的招标文件的补充和修改文件（如有）。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38"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60" w:lineRule="exact"/>
              <w:contextualSpacing/>
              <w:jc w:val="center"/>
              <w:rPr>
                <w:rFonts w:ascii="宋体" w:hAnsi="宋体" w:cs="黑体"/>
                <w:kern w:val="0"/>
                <w:sz w:val="24"/>
                <w:szCs w:val="24"/>
              </w:rPr>
            </w:pPr>
            <w:r>
              <w:rPr>
                <w:rFonts w:hint="eastAsia" w:ascii="宋体" w:hAnsi="宋体" w:cs="TimesNewRomanPSMT"/>
                <w:kern w:val="0"/>
                <w:sz w:val="24"/>
                <w:szCs w:val="24"/>
              </w:rPr>
              <w:t>2.2.1</w:t>
            </w:r>
          </w:p>
        </w:tc>
        <w:tc>
          <w:tcPr>
            <w:tcW w:w="1196" w:type="dxa"/>
            <w:gridSpan w:val="3"/>
            <w:tcBorders>
              <w:top w:val="single" w:color="auto" w:sz="4" w:space="0"/>
              <w:left w:val="nil"/>
              <w:bottom w:val="single" w:color="auto" w:sz="4" w:space="0"/>
              <w:right w:val="single" w:color="auto" w:sz="4" w:space="0"/>
            </w:tcBorders>
            <w:vAlign w:val="center"/>
          </w:tcPr>
          <w:p>
            <w:pPr>
              <w:autoSpaceDE w:val="0"/>
              <w:autoSpaceDN w:val="0"/>
              <w:spacing w:line="460" w:lineRule="exact"/>
              <w:contextualSpacing/>
              <w:jc w:val="center"/>
              <w:rPr>
                <w:rFonts w:ascii="宋体" w:hAnsi="宋体" w:cs="黑体"/>
                <w:kern w:val="0"/>
                <w:sz w:val="24"/>
                <w:szCs w:val="24"/>
              </w:rPr>
            </w:pPr>
            <w:r>
              <w:rPr>
                <w:rFonts w:hint="eastAsia" w:ascii="宋体" w:hAnsi="宋体" w:cs="仿宋_GB2312"/>
                <w:kern w:val="0"/>
                <w:sz w:val="24"/>
                <w:szCs w:val="24"/>
              </w:rPr>
              <w:t>投标截止时间</w:t>
            </w:r>
          </w:p>
        </w:tc>
        <w:tc>
          <w:tcPr>
            <w:tcW w:w="6346" w:type="dxa"/>
            <w:tcBorders>
              <w:top w:val="single" w:color="auto" w:sz="4" w:space="0"/>
              <w:left w:val="nil"/>
              <w:bottom w:val="single" w:color="auto" w:sz="4" w:space="0"/>
              <w:right w:val="single" w:color="auto" w:sz="4" w:space="0"/>
            </w:tcBorders>
            <w:vAlign w:val="center"/>
          </w:tcPr>
          <w:p>
            <w:pPr>
              <w:autoSpaceDE w:val="0"/>
              <w:autoSpaceDN w:val="0"/>
              <w:spacing w:line="460" w:lineRule="exact"/>
              <w:contextualSpacing/>
              <w:rPr>
                <w:rFonts w:ascii="宋体" w:hAnsi="宋体" w:cs="黑体"/>
                <w:kern w:val="0"/>
                <w:sz w:val="24"/>
                <w:szCs w:val="24"/>
              </w:rPr>
            </w:pPr>
            <w:r>
              <w:rPr>
                <w:rFonts w:hint="eastAsia" w:ascii="宋体" w:hAnsi="宋体" w:cs="黑体"/>
                <w:b/>
                <w:bCs/>
                <w:color w:val="0000FF"/>
                <w:kern w:val="0"/>
                <w:sz w:val="24"/>
                <w:szCs w:val="24"/>
                <w:u w:val="single"/>
              </w:rPr>
              <w:t>20</w:t>
            </w:r>
            <w:r>
              <w:rPr>
                <w:rFonts w:ascii="宋体" w:hAnsi="宋体" w:cs="黑体"/>
                <w:b/>
                <w:bCs/>
                <w:color w:val="0000FF"/>
                <w:kern w:val="0"/>
                <w:sz w:val="24"/>
                <w:szCs w:val="24"/>
                <w:u w:val="single"/>
              </w:rPr>
              <w:t>2</w:t>
            </w:r>
            <w:r>
              <w:rPr>
                <w:rFonts w:hint="eastAsia" w:ascii="宋体" w:hAnsi="宋体" w:cs="黑体"/>
                <w:b/>
                <w:bCs/>
                <w:color w:val="0000FF"/>
                <w:kern w:val="0"/>
                <w:sz w:val="24"/>
                <w:szCs w:val="24"/>
                <w:u w:val="single"/>
                <w:lang w:val="en-US" w:eastAsia="zh-CN"/>
              </w:rPr>
              <w:t>2</w:t>
            </w:r>
            <w:r>
              <w:rPr>
                <w:rFonts w:hint="eastAsia" w:ascii="宋体" w:hAnsi="宋体" w:cs="黑体"/>
                <w:b/>
                <w:bCs/>
                <w:color w:val="0000FF"/>
                <w:kern w:val="0"/>
                <w:sz w:val="24"/>
                <w:szCs w:val="24"/>
              </w:rPr>
              <w:t>年</w:t>
            </w:r>
            <w:r>
              <w:rPr>
                <w:rFonts w:hint="eastAsia" w:ascii="宋体" w:hAnsi="宋体" w:cs="黑体"/>
                <w:b/>
                <w:bCs/>
                <w:color w:val="0000FF"/>
                <w:kern w:val="0"/>
                <w:sz w:val="24"/>
                <w:szCs w:val="24"/>
                <w:u w:val="single"/>
                <w:lang w:val="en-US" w:eastAsia="zh-CN"/>
              </w:rPr>
              <w:t>07</w:t>
            </w:r>
            <w:r>
              <w:rPr>
                <w:rFonts w:hint="eastAsia" w:ascii="宋体" w:hAnsi="宋体" w:cs="仿宋_GB2312"/>
                <w:b/>
                <w:bCs/>
                <w:color w:val="0000FF"/>
                <w:kern w:val="0"/>
                <w:sz w:val="24"/>
                <w:szCs w:val="24"/>
              </w:rPr>
              <w:t>月</w:t>
            </w:r>
            <w:r>
              <w:rPr>
                <w:rFonts w:hint="eastAsia" w:ascii="宋体" w:hAnsi="宋体" w:cs="仿宋_GB2312"/>
                <w:b/>
                <w:bCs/>
                <w:color w:val="0000FF"/>
                <w:kern w:val="0"/>
                <w:sz w:val="24"/>
                <w:szCs w:val="24"/>
                <w:u w:val="single"/>
                <w:lang w:val="en-US" w:eastAsia="zh-CN"/>
              </w:rPr>
              <w:t>13</w:t>
            </w:r>
            <w:r>
              <w:rPr>
                <w:rFonts w:hint="eastAsia" w:ascii="宋体" w:hAnsi="宋体" w:cs="仿宋_GB2312"/>
                <w:b/>
                <w:bCs/>
                <w:color w:val="0000FF"/>
                <w:kern w:val="0"/>
                <w:sz w:val="24"/>
                <w:szCs w:val="24"/>
              </w:rPr>
              <w:t>日</w:t>
            </w:r>
            <w:r>
              <w:rPr>
                <w:rFonts w:hint="eastAsia" w:ascii="宋体" w:hAnsi="宋体" w:cs="仿宋_GB2312"/>
                <w:b/>
                <w:bCs/>
                <w:color w:val="0000FF"/>
                <w:kern w:val="0"/>
                <w:sz w:val="24"/>
                <w:szCs w:val="24"/>
                <w:u w:val="single"/>
                <w:lang w:val="en-US" w:eastAsia="zh-CN"/>
              </w:rPr>
              <w:t xml:space="preserve"> 9</w:t>
            </w:r>
            <w:r>
              <w:rPr>
                <w:rFonts w:hint="eastAsia" w:ascii="宋体" w:hAnsi="宋体" w:cs="黑体"/>
                <w:b/>
                <w:bCs/>
                <w:color w:val="0000FF"/>
                <w:kern w:val="0"/>
                <w:sz w:val="24"/>
                <w:szCs w:val="24"/>
                <w:u w:val="single"/>
              </w:rPr>
              <w:t> </w:t>
            </w:r>
            <w:r>
              <w:rPr>
                <w:rFonts w:hint="eastAsia" w:ascii="宋体" w:hAnsi="宋体" w:cs="仿宋_GB2312"/>
                <w:b/>
                <w:bCs/>
                <w:color w:val="0000FF"/>
                <w:kern w:val="0"/>
                <w:sz w:val="24"/>
                <w:szCs w:val="24"/>
              </w:rPr>
              <w:t>时</w:t>
            </w:r>
            <w:r>
              <w:rPr>
                <w:rFonts w:hint="eastAsia" w:ascii="宋体" w:hAnsi="宋体" w:cs="仿宋_GB2312"/>
                <w:b/>
                <w:bCs/>
                <w:color w:val="0000FF"/>
                <w:kern w:val="0"/>
                <w:sz w:val="24"/>
                <w:szCs w:val="24"/>
                <w:u w:val="single"/>
              </w:rPr>
              <w:t xml:space="preserve"> </w:t>
            </w:r>
            <w:r>
              <w:rPr>
                <w:rFonts w:hint="eastAsia" w:ascii="宋体" w:hAnsi="宋体" w:cs="仿宋_GB2312"/>
                <w:b/>
                <w:bCs/>
                <w:color w:val="0000FF"/>
                <w:kern w:val="0"/>
                <w:sz w:val="24"/>
                <w:szCs w:val="24"/>
                <w:u w:val="single"/>
                <w:lang w:val="en-US" w:eastAsia="zh-CN"/>
              </w:rPr>
              <w:t xml:space="preserve">00 </w:t>
            </w:r>
            <w:r>
              <w:rPr>
                <w:rFonts w:hint="eastAsia" w:ascii="宋体" w:hAnsi="宋体" w:cs="仿宋_GB2312"/>
                <w:b/>
                <w:bCs/>
                <w:color w:val="0000FF"/>
                <w:kern w:val="0"/>
                <w:sz w:val="24"/>
                <w:szCs w:val="24"/>
              </w:rPr>
              <w:t>分</w:t>
            </w:r>
            <w:r>
              <w:rPr>
                <w:rFonts w:hint="eastAsia" w:ascii="宋体" w:hAnsi="宋体" w:cs="仿宋_GB2312"/>
                <w:color w:val="0000FF"/>
                <w:kern w:val="0"/>
                <w:sz w:val="24"/>
                <w:szCs w:val="24"/>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38"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60" w:lineRule="exact"/>
              <w:contextualSpacing/>
              <w:jc w:val="center"/>
              <w:rPr>
                <w:rFonts w:ascii="宋体" w:hAnsi="宋体" w:cs="黑体"/>
                <w:kern w:val="0"/>
                <w:sz w:val="24"/>
                <w:szCs w:val="24"/>
              </w:rPr>
            </w:pPr>
            <w:r>
              <w:rPr>
                <w:rFonts w:hint="eastAsia" w:ascii="宋体" w:hAnsi="宋体" w:cs="TimesNewRomanPSMT"/>
                <w:kern w:val="0"/>
                <w:sz w:val="24"/>
                <w:szCs w:val="24"/>
              </w:rPr>
              <w:t>2.2.2</w:t>
            </w:r>
          </w:p>
        </w:tc>
        <w:tc>
          <w:tcPr>
            <w:tcW w:w="1196" w:type="dxa"/>
            <w:gridSpan w:val="3"/>
            <w:tcBorders>
              <w:top w:val="single" w:color="auto" w:sz="4" w:space="0"/>
              <w:left w:val="nil"/>
              <w:bottom w:val="single" w:color="auto" w:sz="4" w:space="0"/>
              <w:right w:val="single" w:color="auto" w:sz="4" w:space="0"/>
            </w:tcBorders>
            <w:vAlign w:val="center"/>
          </w:tcPr>
          <w:p>
            <w:pPr>
              <w:autoSpaceDE w:val="0"/>
              <w:autoSpaceDN w:val="0"/>
              <w:spacing w:line="460" w:lineRule="exact"/>
              <w:contextualSpacing/>
              <w:jc w:val="center"/>
              <w:rPr>
                <w:rFonts w:ascii="宋体" w:hAnsi="宋体" w:cs="黑体"/>
                <w:kern w:val="0"/>
                <w:sz w:val="24"/>
                <w:szCs w:val="24"/>
              </w:rPr>
            </w:pPr>
            <w:r>
              <w:rPr>
                <w:rFonts w:hint="eastAsia" w:ascii="宋体" w:hAnsi="宋体" w:cs="仿宋_GB2312"/>
                <w:kern w:val="0"/>
                <w:sz w:val="24"/>
                <w:szCs w:val="24"/>
              </w:rPr>
              <w:t>投标人确认收到招标文件澄清的时间</w:t>
            </w:r>
          </w:p>
        </w:tc>
        <w:tc>
          <w:tcPr>
            <w:tcW w:w="6346" w:type="dxa"/>
            <w:tcBorders>
              <w:top w:val="single" w:color="auto" w:sz="4" w:space="0"/>
              <w:left w:val="nil"/>
              <w:bottom w:val="single" w:color="auto" w:sz="4" w:space="0"/>
              <w:right w:val="single" w:color="auto" w:sz="4" w:space="0"/>
            </w:tcBorders>
            <w:vAlign w:val="center"/>
          </w:tcPr>
          <w:p>
            <w:pPr>
              <w:autoSpaceDE w:val="0"/>
              <w:autoSpaceDN w:val="0"/>
              <w:spacing w:line="460" w:lineRule="exact"/>
              <w:contextualSpacing/>
              <w:rPr>
                <w:rFonts w:ascii="宋体" w:hAnsi="宋体" w:cs="黑体"/>
                <w:kern w:val="0"/>
                <w:sz w:val="24"/>
                <w:szCs w:val="24"/>
              </w:rPr>
            </w:pPr>
            <w:r>
              <w:rPr>
                <w:rFonts w:hint="eastAsia" w:ascii="宋体" w:hAnsi="宋体" w:cs="宋体"/>
                <w:sz w:val="24"/>
              </w:rPr>
              <w:t>在收到相应澄清文件后24小时内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38"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60" w:lineRule="exact"/>
              <w:contextualSpacing/>
              <w:jc w:val="center"/>
              <w:rPr>
                <w:rFonts w:ascii="宋体" w:hAnsi="宋体" w:cs="黑体"/>
                <w:kern w:val="0"/>
                <w:sz w:val="24"/>
                <w:szCs w:val="24"/>
              </w:rPr>
            </w:pPr>
            <w:r>
              <w:rPr>
                <w:rFonts w:hint="eastAsia" w:ascii="宋体" w:hAnsi="宋体" w:cs="TimesNewRomanPSMT"/>
                <w:kern w:val="0"/>
                <w:sz w:val="24"/>
                <w:szCs w:val="24"/>
              </w:rPr>
              <w:t>2.3.2</w:t>
            </w:r>
          </w:p>
        </w:tc>
        <w:tc>
          <w:tcPr>
            <w:tcW w:w="1196" w:type="dxa"/>
            <w:gridSpan w:val="3"/>
            <w:tcBorders>
              <w:top w:val="single" w:color="auto" w:sz="4" w:space="0"/>
              <w:left w:val="nil"/>
              <w:bottom w:val="single" w:color="auto" w:sz="4" w:space="0"/>
              <w:right w:val="single" w:color="auto" w:sz="4" w:space="0"/>
            </w:tcBorders>
            <w:vAlign w:val="center"/>
          </w:tcPr>
          <w:p>
            <w:pPr>
              <w:autoSpaceDE w:val="0"/>
              <w:autoSpaceDN w:val="0"/>
              <w:spacing w:line="460" w:lineRule="exact"/>
              <w:contextualSpacing/>
              <w:jc w:val="center"/>
              <w:rPr>
                <w:rFonts w:ascii="宋体" w:hAnsi="宋体" w:cs="黑体"/>
                <w:kern w:val="0"/>
                <w:sz w:val="24"/>
                <w:szCs w:val="24"/>
              </w:rPr>
            </w:pPr>
            <w:r>
              <w:rPr>
                <w:rFonts w:hint="eastAsia" w:ascii="宋体" w:hAnsi="宋体" w:cs="仿宋_GB2312"/>
                <w:kern w:val="0"/>
                <w:sz w:val="24"/>
                <w:szCs w:val="24"/>
              </w:rPr>
              <w:t>投标人确认收到招标文件修改的时间</w:t>
            </w:r>
          </w:p>
        </w:tc>
        <w:tc>
          <w:tcPr>
            <w:tcW w:w="6346" w:type="dxa"/>
            <w:tcBorders>
              <w:top w:val="single" w:color="auto" w:sz="4" w:space="0"/>
              <w:left w:val="nil"/>
              <w:bottom w:val="single" w:color="auto" w:sz="4" w:space="0"/>
              <w:right w:val="single" w:color="auto" w:sz="4" w:space="0"/>
            </w:tcBorders>
            <w:vAlign w:val="center"/>
          </w:tcPr>
          <w:p>
            <w:pPr>
              <w:autoSpaceDE w:val="0"/>
              <w:autoSpaceDN w:val="0"/>
              <w:spacing w:line="460" w:lineRule="exact"/>
              <w:contextualSpacing/>
              <w:rPr>
                <w:rFonts w:ascii="宋体" w:hAnsi="宋体" w:cs="黑体"/>
                <w:kern w:val="0"/>
                <w:sz w:val="24"/>
                <w:szCs w:val="24"/>
              </w:rPr>
            </w:pPr>
            <w:r>
              <w:rPr>
                <w:rFonts w:hint="eastAsia" w:ascii="宋体" w:hAnsi="宋体" w:cs="宋体"/>
                <w:sz w:val="24"/>
              </w:rPr>
              <w:t>在收到相应修改文件后24小时内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38"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60" w:lineRule="exact"/>
              <w:contextualSpacing/>
              <w:jc w:val="center"/>
              <w:rPr>
                <w:rFonts w:ascii="宋体" w:hAnsi="宋体" w:cs="TimesNewRomanPSMT"/>
                <w:kern w:val="0"/>
                <w:sz w:val="24"/>
                <w:szCs w:val="24"/>
              </w:rPr>
            </w:pPr>
            <w:r>
              <w:rPr>
                <w:rFonts w:hint="eastAsia" w:ascii="宋体" w:hAnsi="宋体" w:cs="TimesNewRomanPSMT"/>
                <w:kern w:val="0"/>
                <w:sz w:val="24"/>
                <w:szCs w:val="24"/>
              </w:rPr>
              <w:t>2.3.3</w:t>
            </w:r>
          </w:p>
        </w:tc>
        <w:tc>
          <w:tcPr>
            <w:tcW w:w="1196" w:type="dxa"/>
            <w:gridSpan w:val="3"/>
            <w:tcBorders>
              <w:top w:val="single" w:color="auto" w:sz="4" w:space="0"/>
              <w:left w:val="nil"/>
              <w:bottom w:val="single" w:color="auto" w:sz="4" w:space="0"/>
              <w:right w:val="single" w:color="auto" w:sz="4" w:space="0"/>
            </w:tcBorders>
            <w:vAlign w:val="center"/>
          </w:tcPr>
          <w:p>
            <w:pPr>
              <w:autoSpaceDE w:val="0"/>
              <w:autoSpaceDN w:val="0"/>
              <w:spacing w:line="460" w:lineRule="exact"/>
              <w:contextualSpacing/>
              <w:jc w:val="center"/>
              <w:rPr>
                <w:rFonts w:ascii="宋体" w:hAnsi="宋体" w:cs="仿宋_GB2312"/>
                <w:kern w:val="0"/>
                <w:sz w:val="24"/>
                <w:szCs w:val="24"/>
              </w:rPr>
            </w:pPr>
            <w:r>
              <w:rPr>
                <w:rFonts w:hint="eastAsia" w:ascii="宋体" w:hAnsi="宋体" w:cs="仿宋_GB2312"/>
                <w:kern w:val="0"/>
                <w:sz w:val="24"/>
                <w:szCs w:val="24"/>
              </w:rPr>
              <w:t>投标人对招标文件有异议的提出与受理</w:t>
            </w:r>
          </w:p>
        </w:tc>
        <w:tc>
          <w:tcPr>
            <w:tcW w:w="6346" w:type="dxa"/>
            <w:tcBorders>
              <w:top w:val="single" w:color="auto" w:sz="4" w:space="0"/>
              <w:left w:val="nil"/>
              <w:bottom w:val="single" w:color="auto" w:sz="4" w:space="0"/>
              <w:right w:val="single" w:color="auto" w:sz="4" w:space="0"/>
            </w:tcBorders>
            <w:vAlign w:val="center"/>
          </w:tcPr>
          <w:p>
            <w:pPr>
              <w:autoSpaceDE w:val="0"/>
              <w:autoSpaceDN w:val="0"/>
              <w:spacing w:line="460" w:lineRule="exact"/>
              <w:contextualSpacing/>
              <w:rPr>
                <w:rFonts w:ascii="宋体" w:hAnsi="宋体" w:cs="黑体"/>
                <w:kern w:val="0"/>
                <w:sz w:val="24"/>
                <w:szCs w:val="24"/>
              </w:rPr>
            </w:pPr>
            <w:r>
              <w:rPr>
                <w:rFonts w:hint="eastAsia" w:ascii="宋体" w:hAnsi="宋体" w:cs="黑体"/>
                <w:kern w:val="0"/>
                <w:sz w:val="24"/>
                <w:szCs w:val="24"/>
              </w:rPr>
              <w:t>投标人对招标文件有异议的应当在投标截止时间10日前提出，招标人应当自收到异议之日起3日内作出答复，作出答复前，应当暂停招标投标活动。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38"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60" w:lineRule="exact"/>
              <w:contextualSpacing/>
              <w:jc w:val="center"/>
              <w:rPr>
                <w:rFonts w:ascii="宋体" w:hAnsi="宋体" w:cs="黑体"/>
                <w:kern w:val="0"/>
                <w:sz w:val="24"/>
                <w:szCs w:val="24"/>
              </w:rPr>
            </w:pPr>
            <w:r>
              <w:rPr>
                <w:rFonts w:hint="eastAsia" w:ascii="宋体" w:hAnsi="宋体" w:cs="TimesNewRomanPSMT"/>
                <w:kern w:val="0"/>
                <w:sz w:val="24"/>
                <w:szCs w:val="24"/>
              </w:rPr>
              <w:t>3.1.1</w:t>
            </w:r>
          </w:p>
        </w:tc>
        <w:tc>
          <w:tcPr>
            <w:tcW w:w="1196" w:type="dxa"/>
            <w:gridSpan w:val="3"/>
            <w:tcBorders>
              <w:top w:val="single" w:color="auto" w:sz="4" w:space="0"/>
              <w:left w:val="nil"/>
              <w:bottom w:val="single" w:color="auto" w:sz="4" w:space="0"/>
              <w:right w:val="single" w:color="auto" w:sz="4" w:space="0"/>
            </w:tcBorders>
            <w:vAlign w:val="center"/>
          </w:tcPr>
          <w:p>
            <w:pPr>
              <w:autoSpaceDE w:val="0"/>
              <w:autoSpaceDN w:val="0"/>
              <w:spacing w:line="460" w:lineRule="exact"/>
              <w:contextualSpacing/>
              <w:jc w:val="center"/>
              <w:rPr>
                <w:rFonts w:ascii="宋体" w:hAnsi="宋体" w:cs="黑体"/>
                <w:kern w:val="0"/>
                <w:sz w:val="24"/>
                <w:szCs w:val="24"/>
              </w:rPr>
            </w:pPr>
            <w:r>
              <w:rPr>
                <w:rFonts w:hint="eastAsia" w:ascii="宋体" w:hAnsi="宋体" w:cs="仿宋_GB2312"/>
                <w:kern w:val="0"/>
                <w:sz w:val="24"/>
                <w:szCs w:val="24"/>
              </w:rPr>
              <w:t>构成投标文件的其他材料</w:t>
            </w:r>
          </w:p>
        </w:tc>
        <w:tc>
          <w:tcPr>
            <w:tcW w:w="6346" w:type="dxa"/>
            <w:tcBorders>
              <w:top w:val="single" w:color="auto" w:sz="4" w:space="0"/>
              <w:left w:val="nil"/>
              <w:bottom w:val="single" w:color="auto" w:sz="4" w:space="0"/>
              <w:right w:val="single" w:color="auto" w:sz="4" w:space="0"/>
            </w:tcBorders>
            <w:vAlign w:val="center"/>
          </w:tcPr>
          <w:p>
            <w:pPr>
              <w:autoSpaceDE w:val="0"/>
              <w:autoSpaceDN w:val="0"/>
              <w:spacing w:line="460" w:lineRule="exact"/>
              <w:contextualSpacing/>
              <w:rPr>
                <w:rFonts w:ascii="宋体" w:hAnsi="宋体" w:cs="黑体"/>
                <w:kern w:val="0"/>
                <w:sz w:val="24"/>
                <w:szCs w:val="24"/>
              </w:rPr>
            </w:pPr>
            <w:r>
              <w:rPr>
                <w:rFonts w:hint="eastAsia" w:ascii="宋体" w:hAnsi="宋体" w:cs="黑体"/>
                <w:kern w:val="0"/>
                <w:sz w:val="24"/>
                <w:szCs w:val="24"/>
              </w:rPr>
              <w:t>（1）投标人认为其它需要补充的内容</w:t>
            </w:r>
          </w:p>
          <w:p>
            <w:pPr>
              <w:autoSpaceDE w:val="0"/>
              <w:autoSpaceDN w:val="0"/>
              <w:spacing w:line="460" w:lineRule="exact"/>
              <w:contextualSpacing/>
              <w:rPr>
                <w:rFonts w:ascii="宋体" w:hAnsi="宋体" w:cs="黑体"/>
                <w:kern w:val="0"/>
                <w:sz w:val="24"/>
                <w:szCs w:val="24"/>
              </w:rPr>
            </w:pPr>
            <w:r>
              <w:rPr>
                <w:rFonts w:hint="eastAsia" w:ascii="宋体" w:hAnsi="宋体" w:cs="黑体"/>
                <w:kern w:val="0"/>
                <w:sz w:val="24"/>
                <w:szCs w:val="24"/>
              </w:rPr>
              <w:t>（2）本项目发出的补遗书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38"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60" w:lineRule="exact"/>
              <w:contextualSpacing/>
              <w:jc w:val="center"/>
              <w:rPr>
                <w:rFonts w:ascii="宋体" w:hAnsi="宋体" w:cs="黑体"/>
                <w:kern w:val="0"/>
                <w:sz w:val="24"/>
                <w:szCs w:val="24"/>
              </w:rPr>
            </w:pPr>
            <w:r>
              <w:rPr>
                <w:rFonts w:hint="eastAsia" w:ascii="宋体" w:hAnsi="宋体" w:cs="TimesNewRomanPSMT"/>
                <w:kern w:val="0"/>
                <w:sz w:val="24"/>
                <w:szCs w:val="24"/>
              </w:rPr>
              <w:t>3.3.1</w:t>
            </w:r>
          </w:p>
        </w:tc>
        <w:tc>
          <w:tcPr>
            <w:tcW w:w="1196" w:type="dxa"/>
            <w:gridSpan w:val="3"/>
            <w:tcBorders>
              <w:top w:val="single" w:color="auto" w:sz="4" w:space="0"/>
              <w:left w:val="nil"/>
              <w:bottom w:val="single" w:color="auto" w:sz="4" w:space="0"/>
              <w:right w:val="single" w:color="auto" w:sz="4" w:space="0"/>
            </w:tcBorders>
            <w:vAlign w:val="center"/>
          </w:tcPr>
          <w:p>
            <w:pPr>
              <w:autoSpaceDE w:val="0"/>
              <w:autoSpaceDN w:val="0"/>
              <w:spacing w:line="460" w:lineRule="exact"/>
              <w:contextualSpacing/>
              <w:jc w:val="center"/>
              <w:rPr>
                <w:rFonts w:ascii="宋体" w:hAnsi="宋体" w:cs="黑体"/>
                <w:kern w:val="0"/>
                <w:sz w:val="24"/>
                <w:szCs w:val="24"/>
              </w:rPr>
            </w:pPr>
            <w:r>
              <w:rPr>
                <w:rFonts w:hint="eastAsia" w:ascii="宋体" w:hAnsi="宋体" w:cs="仿宋_GB2312"/>
                <w:kern w:val="0"/>
                <w:sz w:val="24"/>
                <w:szCs w:val="24"/>
              </w:rPr>
              <w:t>投标有效期</w:t>
            </w:r>
          </w:p>
        </w:tc>
        <w:tc>
          <w:tcPr>
            <w:tcW w:w="6346" w:type="dxa"/>
            <w:tcBorders>
              <w:top w:val="single" w:color="auto" w:sz="4" w:space="0"/>
              <w:left w:val="nil"/>
              <w:bottom w:val="single" w:color="auto" w:sz="4" w:space="0"/>
              <w:right w:val="single" w:color="auto" w:sz="4" w:space="0"/>
            </w:tcBorders>
          </w:tcPr>
          <w:p>
            <w:pPr>
              <w:autoSpaceDE w:val="0"/>
              <w:autoSpaceDN w:val="0"/>
              <w:spacing w:line="460" w:lineRule="exact"/>
              <w:contextualSpacing/>
              <w:jc w:val="left"/>
              <w:rPr>
                <w:rFonts w:ascii="宋体" w:hAnsi="宋体" w:cs="黑体"/>
                <w:color w:val="FF0000"/>
                <w:kern w:val="0"/>
                <w:sz w:val="24"/>
                <w:szCs w:val="24"/>
              </w:rPr>
            </w:pPr>
            <w:r>
              <w:rPr>
                <w:rFonts w:hint="eastAsia" w:ascii="宋体" w:hAnsi="宋体" w:cs="黑体"/>
                <w:kern w:val="0"/>
                <w:sz w:val="24"/>
                <w:szCs w:val="24"/>
              </w:rPr>
              <w:t>自投标截止时间起60日历天，投标人应当在投标有效期内办理相关事宜。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38"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60" w:lineRule="exact"/>
              <w:contextualSpacing/>
              <w:jc w:val="center"/>
              <w:rPr>
                <w:rFonts w:ascii="宋体" w:hAnsi="宋体" w:cs="黑体"/>
                <w:kern w:val="0"/>
                <w:sz w:val="24"/>
                <w:szCs w:val="24"/>
              </w:rPr>
            </w:pPr>
            <w:r>
              <w:rPr>
                <w:rFonts w:hint="eastAsia" w:ascii="宋体" w:hAnsi="宋体" w:cs="TimesNewRomanPSMT"/>
                <w:kern w:val="0"/>
                <w:sz w:val="24"/>
                <w:szCs w:val="24"/>
              </w:rPr>
              <w:t>3.4.1</w:t>
            </w:r>
          </w:p>
        </w:tc>
        <w:tc>
          <w:tcPr>
            <w:tcW w:w="1196" w:type="dxa"/>
            <w:gridSpan w:val="3"/>
            <w:tcBorders>
              <w:top w:val="single" w:color="auto" w:sz="4" w:space="0"/>
              <w:left w:val="nil"/>
              <w:bottom w:val="single" w:color="auto" w:sz="4" w:space="0"/>
              <w:right w:val="single" w:color="auto" w:sz="4" w:space="0"/>
            </w:tcBorders>
            <w:vAlign w:val="center"/>
          </w:tcPr>
          <w:p>
            <w:pPr>
              <w:autoSpaceDE w:val="0"/>
              <w:autoSpaceDN w:val="0"/>
              <w:spacing w:line="460" w:lineRule="exact"/>
              <w:contextualSpacing/>
              <w:jc w:val="center"/>
              <w:rPr>
                <w:rFonts w:ascii="宋体" w:hAnsi="宋体" w:cs="黑体"/>
                <w:color w:val="C00000"/>
                <w:kern w:val="0"/>
                <w:sz w:val="24"/>
                <w:szCs w:val="24"/>
              </w:rPr>
            </w:pPr>
            <w:r>
              <w:rPr>
                <w:rFonts w:hint="eastAsia" w:ascii="宋体" w:hAnsi="宋体" w:cs="仿宋_GB2312"/>
                <w:kern w:val="0"/>
                <w:sz w:val="24"/>
                <w:szCs w:val="24"/>
              </w:rPr>
              <w:t>投标担保</w:t>
            </w:r>
          </w:p>
        </w:tc>
        <w:tc>
          <w:tcPr>
            <w:tcW w:w="6346" w:type="dxa"/>
            <w:tcBorders>
              <w:top w:val="single" w:color="auto" w:sz="4" w:space="0"/>
              <w:left w:val="nil"/>
              <w:bottom w:val="single" w:color="auto" w:sz="4" w:space="0"/>
              <w:right w:val="single" w:color="auto" w:sz="4" w:space="0"/>
            </w:tcBorders>
          </w:tcPr>
          <w:p>
            <w:pPr>
              <w:spacing w:line="460" w:lineRule="exact"/>
              <w:ind w:firstLine="482" w:firstLineChars="200"/>
              <w:contextualSpacing/>
              <w:rPr>
                <w:rFonts w:ascii="宋体" w:hAnsi="宋体" w:cs="宋体"/>
                <w:b/>
                <w:bCs/>
                <w:sz w:val="24"/>
                <w:szCs w:val="24"/>
              </w:rPr>
            </w:pPr>
            <w:r>
              <w:rPr>
                <w:rFonts w:hint="eastAsia" w:ascii="宋体" w:hAnsi="宋体" w:cs="宋体"/>
                <w:b/>
                <w:bCs/>
                <w:sz w:val="24"/>
                <w:szCs w:val="24"/>
              </w:rPr>
              <w:t>1.投标保证金递交截止时间：</w:t>
            </w:r>
            <w:r>
              <w:rPr>
                <w:rFonts w:hint="eastAsia" w:ascii="宋体" w:hAnsi="宋体" w:cs="宋体"/>
                <w:sz w:val="24"/>
                <w:szCs w:val="24"/>
              </w:rPr>
              <w:t>同投标截止时间。</w:t>
            </w:r>
          </w:p>
          <w:p>
            <w:pPr>
              <w:spacing w:line="460" w:lineRule="exact"/>
              <w:ind w:firstLine="482" w:firstLineChars="200"/>
              <w:contextualSpacing/>
              <w:rPr>
                <w:rFonts w:ascii="宋体" w:hAnsi="宋体" w:cs="宋体"/>
                <w:b/>
                <w:bCs/>
                <w:sz w:val="24"/>
                <w:szCs w:val="24"/>
              </w:rPr>
            </w:pPr>
            <w:r>
              <w:rPr>
                <w:rFonts w:hint="eastAsia" w:ascii="宋体" w:hAnsi="宋体" w:cs="宋体"/>
                <w:b/>
                <w:bCs/>
                <w:sz w:val="24"/>
                <w:szCs w:val="24"/>
              </w:rPr>
              <w:t>2.金额：</w:t>
            </w:r>
            <w:r>
              <w:rPr>
                <w:rFonts w:hint="eastAsia" w:ascii="宋体" w:hAnsi="宋体" w:cs="宋体"/>
                <w:b/>
                <w:bCs/>
                <w:sz w:val="24"/>
                <w:szCs w:val="24"/>
                <w:lang w:val="en-US" w:eastAsia="zh-CN"/>
              </w:rPr>
              <w:t>贰拾万元整</w:t>
            </w:r>
            <w:r>
              <w:rPr>
                <w:rFonts w:hint="eastAsia" w:ascii="宋体" w:hAnsi="宋体" w:cs="宋体"/>
                <w:b/>
                <w:bCs/>
                <w:sz w:val="24"/>
                <w:szCs w:val="24"/>
              </w:rPr>
              <w:t>（￥：</w:t>
            </w:r>
            <w:r>
              <w:rPr>
                <w:rFonts w:hint="eastAsia" w:ascii="宋体" w:hAnsi="宋体" w:cs="宋体"/>
                <w:b/>
                <w:bCs/>
                <w:sz w:val="24"/>
                <w:szCs w:val="24"/>
                <w:lang w:val="en-US" w:eastAsia="zh-CN"/>
              </w:rPr>
              <w:t>200000</w:t>
            </w:r>
            <w:r>
              <w:rPr>
                <w:rFonts w:hint="eastAsia" w:ascii="宋体" w:hAnsi="宋体" w:cs="宋体"/>
                <w:b/>
                <w:bCs/>
                <w:sz w:val="24"/>
                <w:szCs w:val="24"/>
              </w:rPr>
              <w:t>.00元）</w:t>
            </w:r>
          </w:p>
          <w:p>
            <w:pPr>
              <w:spacing w:line="460" w:lineRule="exact"/>
              <w:ind w:firstLine="482" w:firstLineChars="200"/>
              <w:contextualSpacing/>
              <w:rPr>
                <w:rFonts w:ascii="宋体" w:hAnsi="宋体"/>
                <w:sz w:val="24"/>
                <w:szCs w:val="24"/>
              </w:rPr>
            </w:pPr>
            <w:r>
              <w:rPr>
                <w:rFonts w:hint="eastAsia" w:ascii="宋体" w:hAnsi="宋体" w:cs="宋体"/>
                <w:b/>
                <w:bCs/>
                <w:sz w:val="24"/>
                <w:szCs w:val="24"/>
              </w:rPr>
              <w:t>3.递交方式</w:t>
            </w:r>
            <w:r>
              <w:rPr>
                <w:rFonts w:hint="eastAsia" w:ascii="宋体" w:hAnsi="宋体" w:cs="宋体"/>
                <w:sz w:val="24"/>
                <w:szCs w:val="24"/>
              </w:rPr>
              <w:t>：</w:t>
            </w:r>
            <w:r>
              <w:rPr>
                <w:rFonts w:hint="eastAsia" w:ascii="宋体" w:hAnsi="宋体"/>
                <w:sz w:val="24"/>
                <w:szCs w:val="24"/>
              </w:rPr>
              <w:t>银行转账、银行电汇（均需从投标人的基本账户汇出），不接受以现金方式缴纳的投标</w:t>
            </w:r>
            <w:r>
              <w:rPr>
                <w:rFonts w:hint="eastAsia" w:ascii="宋体" w:hAnsi="宋体" w:cs="宋体"/>
                <w:sz w:val="24"/>
                <w:szCs w:val="24"/>
              </w:rPr>
              <w:t>保证金</w:t>
            </w:r>
            <w:r>
              <w:rPr>
                <w:rFonts w:hint="eastAsia" w:ascii="宋体" w:hAnsi="宋体"/>
                <w:sz w:val="24"/>
                <w:szCs w:val="24"/>
              </w:rPr>
              <w:t>。</w:t>
            </w:r>
            <w:r>
              <w:rPr>
                <w:rFonts w:hint="eastAsia" w:ascii="宋体" w:hAnsi="宋体"/>
                <w:b/>
                <w:bCs/>
                <w:sz w:val="24"/>
                <w:szCs w:val="24"/>
              </w:rPr>
              <w:t>凡以现金方式缴纳投标保证金而影响其投标结果的，由投标人自行负责。</w:t>
            </w:r>
          </w:p>
          <w:p>
            <w:pPr>
              <w:spacing w:line="460" w:lineRule="exact"/>
              <w:ind w:firstLine="482" w:firstLineChars="200"/>
              <w:contextualSpacing/>
              <w:rPr>
                <w:rFonts w:ascii="宋体" w:hAnsi="宋体"/>
                <w:b/>
                <w:bCs/>
                <w:sz w:val="24"/>
                <w:szCs w:val="24"/>
              </w:rPr>
            </w:pPr>
            <w:r>
              <w:rPr>
                <w:rFonts w:hint="eastAsia" w:ascii="宋体" w:hAnsi="宋体"/>
                <w:b/>
                <w:bCs/>
                <w:sz w:val="24"/>
                <w:szCs w:val="24"/>
              </w:rPr>
              <w:t>使用银行转账方式的，于截止时间前通过投标人基本账户将款项一次足额递交、成功绑定，以收款人到账时间为准，在途资金无效，视为未按时交纳。同时投标人应承担节假日银行系统不能支付的风险。</w:t>
            </w:r>
          </w:p>
          <w:p>
            <w:pPr>
              <w:spacing w:line="460" w:lineRule="exact"/>
              <w:ind w:firstLine="482" w:firstLineChars="200"/>
              <w:contextualSpacing/>
              <w:rPr>
                <w:rFonts w:ascii="宋体" w:hAnsi="宋体"/>
                <w:sz w:val="24"/>
                <w:szCs w:val="24"/>
              </w:rPr>
            </w:pPr>
            <w:r>
              <w:rPr>
                <w:rFonts w:hint="eastAsia" w:ascii="宋体" w:hAnsi="宋体"/>
                <w:b/>
                <w:bCs/>
                <w:sz w:val="24"/>
                <w:szCs w:val="24"/>
              </w:rPr>
              <w:t>4.基本户备案</w:t>
            </w:r>
            <w:r>
              <w:rPr>
                <w:rFonts w:hint="eastAsia" w:ascii="楷体" w:hAnsi="楷体" w:eastAsia="楷体"/>
                <w:b/>
                <w:bCs/>
                <w:sz w:val="24"/>
                <w:szCs w:val="24"/>
              </w:rPr>
              <w:t>：</w:t>
            </w:r>
            <w:r>
              <w:rPr>
                <w:rFonts w:hint="eastAsia" w:ascii="宋体" w:hAnsi="宋体"/>
                <w:sz w:val="24"/>
                <w:szCs w:val="24"/>
              </w:rPr>
              <w:t>自文件发布之日起，投标人需进行基本户备案；已备案的基本户，其开户银行及账户发生变化的，须在投标保证金缴纳前办理变更手续。</w:t>
            </w:r>
          </w:p>
          <w:p>
            <w:pPr>
              <w:spacing w:line="460" w:lineRule="exact"/>
              <w:ind w:firstLine="480" w:firstLineChars="200"/>
              <w:contextualSpacing/>
              <w:rPr>
                <w:rFonts w:ascii="宋体" w:hAnsi="宋体"/>
                <w:sz w:val="24"/>
                <w:szCs w:val="24"/>
              </w:rPr>
            </w:pPr>
            <w:r>
              <w:rPr>
                <w:rFonts w:hint="eastAsia" w:ascii="宋体" w:hAnsi="宋体"/>
                <w:sz w:val="24"/>
                <w:szCs w:val="24"/>
              </w:rPr>
              <w:t>5.其他事项详见本招标文件投标人须知。</w:t>
            </w:r>
          </w:p>
          <w:p>
            <w:pPr>
              <w:spacing w:line="460" w:lineRule="exact"/>
              <w:ind w:firstLine="480" w:firstLineChars="200"/>
              <w:contextualSpacing/>
              <w:rPr>
                <w:rFonts w:ascii="宋体" w:hAnsi="宋体"/>
                <w:sz w:val="24"/>
                <w:szCs w:val="24"/>
              </w:rPr>
            </w:pPr>
            <w:r>
              <w:rPr>
                <w:rFonts w:hint="eastAsia" w:ascii="宋体" w:hAnsi="宋体"/>
                <w:sz w:val="24"/>
                <w:szCs w:val="24"/>
              </w:rPr>
              <w:t>投标</w:t>
            </w:r>
            <w:r>
              <w:rPr>
                <w:rFonts w:hint="eastAsia" w:ascii="宋体" w:hAnsi="宋体" w:cs="宋体"/>
                <w:sz w:val="24"/>
                <w:szCs w:val="24"/>
              </w:rPr>
              <w:t>保证金</w:t>
            </w:r>
            <w:r>
              <w:rPr>
                <w:rFonts w:hint="eastAsia" w:ascii="宋体" w:hAnsi="宋体"/>
                <w:sz w:val="24"/>
                <w:szCs w:val="24"/>
              </w:rPr>
              <w:t>缴纳绑定问题咨询电话:0374-2961598</w:t>
            </w:r>
          </w:p>
          <w:p>
            <w:pPr>
              <w:spacing w:line="460" w:lineRule="exact"/>
              <w:ind w:firstLine="482" w:firstLineChars="200"/>
              <w:contextualSpacing/>
              <w:rPr>
                <w:rFonts w:ascii="宋体" w:hAnsi="宋体"/>
                <w:b/>
                <w:bCs/>
                <w:sz w:val="24"/>
                <w:szCs w:val="24"/>
              </w:rPr>
            </w:pPr>
            <w:r>
              <w:rPr>
                <w:rFonts w:hint="eastAsia" w:ascii="宋体" w:hAnsi="宋体"/>
                <w:b/>
                <w:bCs/>
                <w:sz w:val="24"/>
                <w:szCs w:val="24"/>
              </w:rPr>
              <w:t>使用银行保函方式提交的，投标人办理投标银行保函，银行保函应明确所投项目名称、项目编号及标段、受益人（招标人）、有效期（不低于本项目投标有效期）、担保金额（不低于本项目本标段投标保证金数额）。投标人应将投标银行保函原件扫描件附于投标文件中，否则视为未按规定提交投标担保。</w:t>
            </w:r>
          </w:p>
          <w:p>
            <w:pPr>
              <w:spacing w:line="460" w:lineRule="exact"/>
              <w:ind w:firstLine="482" w:firstLineChars="200"/>
              <w:contextualSpacing/>
              <w:rPr>
                <w:rFonts w:ascii="宋体" w:hAnsi="宋体"/>
                <w:b/>
                <w:bCs/>
                <w:sz w:val="24"/>
                <w:szCs w:val="24"/>
              </w:rPr>
            </w:pPr>
            <w:r>
              <w:rPr>
                <w:rFonts w:hint="eastAsia" w:ascii="宋体" w:hAnsi="宋体"/>
                <w:b/>
                <w:bCs/>
                <w:sz w:val="24"/>
                <w:szCs w:val="24"/>
              </w:rPr>
              <w:t>保函格式按住建部【建市（2021）11号文】附件1：</w:t>
            </w:r>
          </w:p>
          <w:p>
            <w:pPr>
              <w:spacing w:line="460" w:lineRule="exact"/>
              <w:ind w:firstLine="482" w:firstLineChars="200"/>
              <w:contextualSpacing/>
              <w:rPr>
                <w:rFonts w:ascii="宋体" w:hAnsi="宋体" w:cs="仿宋_GB2312"/>
                <w:b/>
                <w:bCs/>
                <w:color w:val="C00000"/>
                <w:kern w:val="0"/>
                <w:sz w:val="24"/>
                <w:szCs w:val="24"/>
              </w:rPr>
            </w:pPr>
            <w:r>
              <w:rPr>
                <w:rFonts w:hint="eastAsia" w:ascii="宋体" w:hAnsi="宋体"/>
                <w:b/>
                <w:bCs/>
                <w:sz w:val="24"/>
                <w:szCs w:val="24"/>
              </w:rPr>
              <w:t>投标人于开标结束后30分钟内将银行保函扫描件发至</w:t>
            </w:r>
            <w:r>
              <w:rPr>
                <w:rFonts w:hint="eastAsia" w:ascii="宋体" w:hAnsi="宋体"/>
                <w:b/>
                <w:bCs/>
                <w:sz w:val="24"/>
                <w:szCs w:val="24"/>
                <w:lang w:val="en-US" w:eastAsia="zh-CN"/>
              </w:rPr>
              <w:t>3382407051</w:t>
            </w:r>
            <w:r>
              <w:rPr>
                <w:rFonts w:hint="eastAsia" w:ascii="宋体" w:hAnsi="宋体"/>
                <w:b/>
                <w:bCs/>
                <w:sz w:val="24"/>
                <w:szCs w:val="24"/>
              </w:rPr>
              <w:t>@qq.com 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38" w:type="dxa"/>
            <w:tcBorders>
              <w:top w:val="single" w:color="auto" w:sz="4" w:space="0"/>
              <w:left w:val="single" w:color="auto" w:sz="4" w:space="0"/>
              <w:bottom w:val="single" w:color="auto" w:sz="4" w:space="0"/>
              <w:right w:val="single" w:color="auto" w:sz="4" w:space="0"/>
            </w:tcBorders>
            <w:vAlign w:val="center"/>
          </w:tcPr>
          <w:p>
            <w:pPr>
              <w:spacing w:line="460" w:lineRule="exact"/>
              <w:contextualSpacing/>
              <w:jc w:val="center"/>
              <w:rPr>
                <w:rFonts w:ascii="宋体" w:hAnsi="宋体"/>
                <w:sz w:val="24"/>
                <w:szCs w:val="24"/>
              </w:rPr>
            </w:pPr>
            <w:r>
              <w:rPr>
                <w:rFonts w:hint="eastAsia" w:ascii="宋体" w:hAnsi="宋体"/>
                <w:sz w:val="24"/>
                <w:szCs w:val="24"/>
              </w:rPr>
              <w:t>3.5.2</w:t>
            </w:r>
          </w:p>
        </w:tc>
        <w:tc>
          <w:tcPr>
            <w:tcW w:w="1196" w:type="dxa"/>
            <w:gridSpan w:val="3"/>
            <w:tcBorders>
              <w:top w:val="single" w:color="auto" w:sz="4" w:space="0"/>
              <w:left w:val="nil"/>
              <w:bottom w:val="single" w:color="auto" w:sz="4" w:space="0"/>
              <w:right w:val="single" w:color="auto" w:sz="4" w:space="0"/>
            </w:tcBorders>
            <w:vAlign w:val="center"/>
          </w:tcPr>
          <w:p>
            <w:pPr>
              <w:spacing w:line="460" w:lineRule="exact"/>
              <w:contextualSpacing/>
              <w:jc w:val="center"/>
              <w:rPr>
                <w:rFonts w:ascii="宋体" w:hAnsi="宋体"/>
                <w:sz w:val="24"/>
                <w:szCs w:val="24"/>
              </w:rPr>
            </w:pPr>
            <w:r>
              <w:rPr>
                <w:rFonts w:hint="eastAsia" w:ascii="宋体" w:hAnsi="宋体"/>
                <w:sz w:val="24"/>
                <w:szCs w:val="24"/>
              </w:rPr>
              <w:t>近年财务状况的年份要求</w:t>
            </w:r>
          </w:p>
        </w:tc>
        <w:tc>
          <w:tcPr>
            <w:tcW w:w="6346" w:type="dxa"/>
            <w:tcBorders>
              <w:top w:val="single" w:color="auto" w:sz="4" w:space="0"/>
              <w:left w:val="nil"/>
              <w:bottom w:val="single" w:color="auto" w:sz="4" w:space="0"/>
              <w:right w:val="single" w:color="auto" w:sz="4" w:space="0"/>
            </w:tcBorders>
            <w:vAlign w:val="center"/>
          </w:tcPr>
          <w:p>
            <w:pPr>
              <w:spacing w:line="460" w:lineRule="exact"/>
              <w:contextualSpacing/>
              <w:rPr>
                <w:rFonts w:ascii="宋体" w:hAnsi="宋体"/>
                <w:sz w:val="24"/>
                <w:szCs w:val="24"/>
              </w:rPr>
            </w:pPr>
            <w:r>
              <w:rPr>
                <w:rFonts w:hint="eastAsia" w:ascii="宋体" w:hAnsi="宋体"/>
                <w:sz w:val="24"/>
                <w:szCs w:val="24"/>
              </w:rPr>
              <w:t>201</w:t>
            </w:r>
            <w:r>
              <w:rPr>
                <w:rFonts w:hint="eastAsia" w:ascii="宋体" w:hAnsi="宋体"/>
                <w:sz w:val="24"/>
                <w:szCs w:val="24"/>
                <w:lang w:val="en-US" w:eastAsia="zh-CN"/>
              </w:rPr>
              <w:t>8</w:t>
            </w:r>
            <w:r>
              <w:rPr>
                <w:rFonts w:hint="eastAsia" w:ascii="宋体" w:hAnsi="宋体"/>
                <w:sz w:val="24"/>
                <w:szCs w:val="24"/>
              </w:rPr>
              <w:t>、20</w:t>
            </w:r>
            <w:r>
              <w:rPr>
                <w:rFonts w:hint="eastAsia" w:ascii="宋体" w:hAnsi="宋体"/>
                <w:sz w:val="24"/>
                <w:szCs w:val="24"/>
                <w:lang w:val="en-US" w:eastAsia="zh-CN"/>
              </w:rPr>
              <w:t>19</w:t>
            </w:r>
            <w:r>
              <w:rPr>
                <w:rFonts w:hint="eastAsia" w:ascii="宋体" w:hAnsi="宋体"/>
                <w:sz w:val="24"/>
                <w:szCs w:val="24"/>
              </w:rPr>
              <w:t>、202</w:t>
            </w:r>
            <w:r>
              <w:rPr>
                <w:rFonts w:hint="eastAsia" w:ascii="宋体" w:hAnsi="宋体"/>
                <w:sz w:val="24"/>
                <w:szCs w:val="24"/>
                <w:lang w:val="en-US" w:eastAsia="zh-CN"/>
              </w:rPr>
              <w:t>0</w:t>
            </w:r>
            <w:r>
              <w:rPr>
                <w:rFonts w:hint="eastAsia" w:ascii="宋体" w:hAnsi="宋体"/>
                <w:sz w:val="24"/>
                <w:szCs w:val="24"/>
              </w:rPr>
              <w:t>年度（若公司成立未满三年，需提供从成立至今的年度财务状况）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38" w:type="dxa"/>
            <w:tcBorders>
              <w:top w:val="single" w:color="auto" w:sz="4" w:space="0"/>
              <w:left w:val="single" w:color="auto" w:sz="4" w:space="0"/>
              <w:bottom w:val="single" w:color="auto" w:sz="4" w:space="0"/>
              <w:right w:val="single" w:color="auto" w:sz="4" w:space="0"/>
            </w:tcBorders>
            <w:vAlign w:val="center"/>
          </w:tcPr>
          <w:p>
            <w:pPr>
              <w:spacing w:line="460" w:lineRule="exact"/>
              <w:contextualSpacing/>
              <w:jc w:val="center"/>
              <w:rPr>
                <w:rFonts w:ascii="宋体" w:hAnsi="宋体"/>
                <w:sz w:val="24"/>
                <w:szCs w:val="24"/>
              </w:rPr>
            </w:pPr>
            <w:r>
              <w:rPr>
                <w:rFonts w:hint="eastAsia" w:ascii="宋体" w:hAnsi="宋体"/>
                <w:sz w:val="24"/>
                <w:szCs w:val="24"/>
              </w:rPr>
              <w:t>3.5.3</w:t>
            </w:r>
          </w:p>
        </w:tc>
        <w:tc>
          <w:tcPr>
            <w:tcW w:w="1196" w:type="dxa"/>
            <w:gridSpan w:val="3"/>
            <w:tcBorders>
              <w:top w:val="single" w:color="auto" w:sz="4" w:space="0"/>
              <w:left w:val="nil"/>
              <w:bottom w:val="single" w:color="auto" w:sz="4" w:space="0"/>
              <w:right w:val="single" w:color="auto" w:sz="4" w:space="0"/>
            </w:tcBorders>
            <w:vAlign w:val="center"/>
          </w:tcPr>
          <w:p>
            <w:pPr>
              <w:spacing w:line="460" w:lineRule="exact"/>
              <w:contextualSpacing/>
              <w:jc w:val="center"/>
              <w:rPr>
                <w:rFonts w:ascii="宋体" w:hAnsi="宋体"/>
                <w:sz w:val="24"/>
                <w:szCs w:val="24"/>
              </w:rPr>
            </w:pPr>
            <w:r>
              <w:rPr>
                <w:rFonts w:hint="eastAsia" w:ascii="宋体" w:hAnsi="宋体"/>
                <w:sz w:val="24"/>
                <w:szCs w:val="24"/>
              </w:rPr>
              <w:t>近年完成的类似项目的年份要求</w:t>
            </w:r>
          </w:p>
        </w:tc>
        <w:tc>
          <w:tcPr>
            <w:tcW w:w="6346" w:type="dxa"/>
            <w:tcBorders>
              <w:top w:val="single" w:color="auto" w:sz="4" w:space="0"/>
              <w:left w:val="nil"/>
              <w:bottom w:val="single" w:color="auto" w:sz="4" w:space="0"/>
              <w:right w:val="single" w:color="auto" w:sz="4" w:space="0"/>
            </w:tcBorders>
            <w:vAlign w:val="center"/>
          </w:tcPr>
          <w:p>
            <w:pPr>
              <w:spacing w:line="460" w:lineRule="exact"/>
              <w:contextualSpacing/>
              <w:rPr>
                <w:rFonts w:ascii="宋体" w:hAnsi="宋体"/>
                <w:sz w:val="24"/>
                <w:szCs w:val="24"/>
              </w:rPr>
            </w:pPr>
            <w:r>
              <w:rPr>
                <w:rFonts w:hint="eastAsia" w:ascii="宋体" w:hAnsi="宋体"/>
                <w:sz w:val="24"/>
                <w:szCs w:val="24"/>
              </w:rPr>
              <w:t>201</w:t>
            </w:r>
            <w:r>
              <w:rPr>
                <w:rFonts w:hint="eastAsia" w:ascii="宋体" w:hAnsi="宋体"/>
                <w:sz w:val="24"/>
                <w:szCs w:val="24"/>
                <w:lang w:val="en-US" w:eastAsia="zh-CN"/>
              </w:rPr>
              <w:t>9</w:t>
            </w:r>
            <w:r>
              <w:rPr>
                <w:rFonts w:hint="eastAsia" w:ascii="宋体" w:hAnsi="宋体"/>
                <w:sz w:val="24"/>
                <w:szCs w:val="24"/>
              </w:rPr>
              <w:t>年</w:t>
            </w:r>
            <w:r>
              <w:rPr>
                <w:rFonts w:ascii="宋体" w:hAnsi="宋体"/>
                <w:sz w:val="24"/>
                <w:szCs w:val="24"/>
              </w:rPr>
              <w:t>1</w:t>
            </w:r>
            <w:r>
              <w:rPr>
                <w:rFonts w:hint="eastAsia" w:ascii="宋体" w:hAnsi="宋体"/>
                <w:sz w:val="24"/>
                <w:szCs w:val="24"/>
              </w:rPr>
              <w:t>月1日以来。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38" w:type="dxa"/>
            <w:tcBorders>
              <w:top w:val="single" w:color="auto" w:sz="4" w:space="0"/>
              <w:left w:val="single" w:color="auto" w:sz="4" w:space="0"/>
              <w:bottom w:val="single" w:color="auto" w:sz="4" w:space="0"/>
              <w:right w:val="single" w:color="auto" w:sz="4" w:space="0"/>
            </w:tcBorders>
            <w:vAlign w:val="center"/>
          </w:tcPr>
          <w:p>
            <w:pPr>
              <w:spacing w:line="460" w:lineRule="exact"/>
              <w:contextualSpacing/>
              <w:jc w:val="center"/>
              <w:rPr>
                <w:rFonts w:ascii="宋体" w:hAnsi="宋体"/>
                <w:sz w:val="24"/>
                <w:szCs w:val="24"/>
              </w:rPr>
            </w:pPr>
            <w:r>
              <w:rPr>
                <w:rFonts w:hint="eastAsia" w:ascii="宋体" w:hAnsi="宋体"/>
                <w:sz w:val="24"/>
                <w:szCs w:val="24"/>
              </w:rPr>
              <w:t>3.5.4</w:t>
            </w:r>
          </w:p>
        </w:tc>
        <w:tc>
          <w:tcPr>
            <w:tcW w:w="1196" w:type="dxa"/>
            <w:gridSpan w:val="3"/>
            <w:tcBorders>
              <w:top w:val="single" w:color="auto" w:sz="4" w:space="0"/>
              <w:left w:val="nil"/>
              <w:bottom w:val="single" w:color="auto" w:sz="4" w:space="0"/>
              <w:right w:val="single" w:color="auto" w:sz="4" w:space="0"/>
            </w:tcBorders>
            <w:vAlign w:val="center"/>
          </w:tcPr>
          <w:p>
            <w:pPr>
              <w:spacing w:line="460" w:lineRule="exact"/>
              <w:contextualSpacing/>
              <w:jc w:val="center"/>
              <w:rPr>
                <w:rFonts w:ascii="宋体" w:hAnsi="宋体"/>
                <w:sz w:val="24"/>
                <w:szCs w:val="24"/>
              </w:rPr>
            </w:pPr>
            <w:r>
              <w:rPr>
                <w:rFonts w:hint="eastAsia" w:ascii="宋体" w:hAnsi="宋体"/>
                <w:sz w:val="24"/>
                <w:szCs w:val="24"/>
              </w:rPr>
              <w:t>近年发生的诉讼及仲裁情况的年份要求</w:t>
            </w:r>
          </w:p>
        </w:tc>
        <w:tc>
          <w:tcPr>
            <w:tcW w:w="6346" w:type="dxa"/>
            <w:tcBorders>
              <w:top w:val="single" w:color="auto" w:sz="4" w:space="0"/>
              <w:left w:val="nil"/>
              <w:bottom w:val="single" w:color="auto" w:sz="4" w:space="0"/>
              <w:right w:val="single" w:color="auto" w:sz="4" w:space="0"/>
            </w:tcBorders>
            <w:vAlign w:val="center"/>
          </w:tcPr>
          <w:p>
            <w:pPr>
              <w:spacing w:line="460" w:lineRule="exact"/>
              <w:contextualSpacing/>
              <w:rPr>
                <w:rFonts w:ascii="宋体" w:hAnsi="宋体"/>
                <w:sz w:val="24"/>
                <w:szCs w:val="24"/>
              </w:rPr>
            </w:pPr>
            <w:r>
              <w:rPr>
                <w:rFonts w:hint="eastAsia" w:ascii="宋体" w:hAnsi="宋体"/>
                <w:sz w:val="24"/>
                <w:szCs w:val="24"/>
              </w:rPr>
              <w:t>201</w:t>
            </w:r>
            <w:r>
              <w:rPr>
                <w:rFonts w:hint="eastAsia" w:ascii="宋体" w:hAnsi="宋体"/>
                <w:sz w:val="24"/>
                <w:szCs w:val="24"/>
                <w:lang w:val="en-US" w:eastAsia="zh-CN"/>
              </w:rPr>
              <w:t>9</w:t>
            </w:r>
            <w:r>
              <w:rPr>
                <w:rFonts w:hint="eastAsia" w:ascii="宋体" w:hAnsi="宋体"/>
                <w:sz w:val="24"/>
                <w:szCs w:val="24"/>
              </w:rPr>
              <w:t>年</w:t>
            </w:r>
            <w:r>
              <w:rPr>
                <w:rFonts w:ascii="宋体" w:hAnsi="宋体"/>
                <w:sz w:val="24"/>
                <w:szCs w:val="24"/>
              </w:rPr>
              <w:t>1</w:t>
            </w:r>
            <w:r>
              <w:rPr>
                <w:rFonts w:hint="eastAsia" w:ascii="宋体" w:hAnsi="宋体"/>
                <w:sz w:val="24"/>
                <w:szCs w:val="24"/>
              </w:rPr>
              <w:t>月1日以来。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38"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60" w:lineRule="exact"/>
              <w:contextualSpacing/>
              <w:jc w:val="center"/>
              <w:rPr>
                <w:rFonts w:ascii="宋体" w:hAnsi="宋体" w:cs="TimesNewRomanPSMT"/>
                <w:kern w:val="0"/>
                <w:sz w:val="24"/>
                <w:szCs w:val="24"/>
              </w:rPr>
            </w:pPr>
            <w:r>
              <w:rPr>
                <w:rFonts w:hint="eastAsia" w:ascii="宋体" w:hAnsi="宋体" w:cs="TimesNewRomanPSMT"/>
                <w:kern w:val="0"/>
                <w:sz w:val="24"/>
                <w:szCs w:val="24"/>
              </w:rPr>
              <w:t>3.6</w:t>
            </w:r>
          </w:p>
        </w:tc>
        <w:tc>
          <w:tcPr>
            <w:tcW w:w="1196" w:type="dxa"/>
            <w:gridSpan w:val="3"/>
            <w:tcBorders>
              <w:top w:val="single" w:color="auto" w:sz="4" w:space="0"/>
              <w:left w:val="nil"/>
              <w:bottom w:val="single" w:color="auto" w:sz="4" w:space="0"/>
              <w:right w:val="single" w:color="auto" w:sz="4" w:space="0"/>
            </w:tcBorders>
            <w:vAlign w:val="center"/>
          </w:tcPr>
          <w:p>
            <w:pPr>
              <w:autoSpaceDE w:val="0"/>
              <w:autoSpaceDN w:val="0"/>
              <w:spacing w:line="460" w:lineRule="exact"/>
              <w:contextualSpacing/>
              <w:jc w:val="center"/>
              <w:rPr>
                <w:rFonts w:ascii="宋体" w:hAnsi="宋体" w:cs="黑体"/>
                <w:kern w:val="0"/>
                <w:sz w:val="24"/>
                <w:szCs w:val="24"/>
              </w:rPr>
            </w:pPr>
            <w:r>
              <w:rPr>
                <w:rFonts w:hint="eastAsia" w:ascii="宋体" w:hAnsi="宋体" w:cs="仿宋_GB2312"/>
                <w:kern w:val="0"/>
                <w:sz w:val="24"/>
                <w:szCs w:val="24"/>
              </w:rPr>
              <w:t>是否允许递交备选投标方案</w:t>
            </w:r>
          </w:p>
        </w:tc>
        <w:tc>
          <w:tcPr>
            <w:tcW w:w="6346" w:type="dxa"/>
            <w:tcBorders>
              <w:top w:val="single" w:color="auto" w:sz="4" w:space="0"/>
              <w:left w:val="nil"/>
              <w:bottom w:val="single" w:color="auto" w:sz="4" w:space="0"/>
              <w:right w:val="single" w:color="auto" w:sz="4" w:space="0"/>
            </w:tcBorders>
            <w:vAlign w:val="center"/>
          </w:tcPr>
          <w:p>
            <w:pPr>
              <w:autoSpaceDE w:val="0"/>
              <w:autoSpaceDN w:val="0"/>
              <w:spacing w:line="460" w:lineRule="exact"/>
              <w:contextualSpacing/>
              <w:rPr>
                <w:rFonts w:ascii="宋体" w:hAnsi="宋体" w:cs="仿宋_GB2312"/>
                <w:kern w:val="0"/>
                <w:sz w:val="24"/>
                <w:szCs w:val="24"/>
              </w:rPr>
            </w:pPr>
            <w:r>
              <w:rPr>
                <w:rFonts w:hint="eastAsia" w:ascii="宋体" w:hAnsi="宋体" w:cs="仿宋_GB2312"/>
                <w:kern w:val="0"/>
                <w:sz w:val="24"/>
                <w:szCs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38"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60" w:lineRule="exact"/>
              <w:contextualSpacing/>
              <w:jc w:val="center"/>
              <w:rPr>
                <w:rFonts w:ascii="宋体" w:hAnsi="宋体" w:cs="黑体"/>
                <w:kern w:val="0"/>
                <w:sz w:val="24"/>
                <w:szCs w:val="24"/>
              </w:rPr>
            </w:pPr>
            <w:r>
              <w:rPr>
                <w:rFonts w:hint="eastAsia" w:ascii="宋体" w:hAnsi="宋体" w:cs="TimesNewRomanPSMT"/>
                <w:kern w:val="0"/>
                <w:sz w:val="24"/>
                <w:szCs w:val="24"/>
              </w:rPr>
              <w:t>3.7.3</w:t>
            </w:r>
          </w:p>
        </w:tc>
        <w:tc>
          <w:tcPr>
            <w:tcW w:w="1196" w:type="dxa"/>
            <w:gridSpan w:val="3"/>
            <w:tcBorders>
              <w:top w:val="single" w:color="auto" w:sz="4" w:space="0"/>
              <w:left w:val="nil"/>
              <w:bottom w:val="single" w:color="auto" w:sz="4" w:space="0"/>
              <w:right w:val="single" w:color="auto" w:sz="4" w:space="0"/>
            </w:tcBorders>
            <w:vAlign w:val="center"/>
          </w:tcPr>
          <w:p>
            <w:pPr>
              <w:autoSpaceDE w:val="0"/>
              <w:autoSpaceDN w:val="0"/>
              <w:spacing w:line="460" w:lineRule="exact"/>
              <w:contextualSpacing/>
              <w:jc w:val="center"/>
              <w:rPr>
                <w:rFonts w:ascii="宋体" w:hAnsi="宋体" w:cs="黑体"/>
                <w:kern w:val="0"/>
                <w:sz w:val="24"/>
                <w:szCs w:val="24"/>
              </w:rPr>
            </w:pPr>
            <w:r>
              <w:rPr>
                <w:rFonts w:hint="eastAsia" w:ascii="宋体" w:hAnsi="宋体" w:cs="仿宋_GB2312"/>
                <w:kern w:val="0"/>
                <w:sz w:val="24"/>
                <w:szCs w:val="24"/>
              </w:rPr>
              <w:t>签字或盖章要求</w:t>
            </w:r>
          </w:p>
        </w:tc>
        <w:tc>
          <w:tcPr>
            <w:tcW w:w="6346" w:type="dxa"/>
            <w:tcBorders>
              <w:top w:val="single" w:color="auto" w:sz="4" w:space="0"/>
              <w:left w:val="nil"/>
              <w:bottom w:val="single" w:color="auto" w:sz="4" w:space="0"/>
              <w:right w:val="single" w:color="auto" w:sz="4" w:space="0"/>
            </w:tcBorders>
          </w:tcPr>
          <w:p>
            <w:pPr>
              <w:spacing w:line="460" w:lineRule="exact"/>
              <w:contextualSpacing/>
              <w:rPr>
                <w:color w:val="FF00FF"/>
                <w:sz w:val="24"/>
                <w:szCs w:val="24"/>
              </w:rPr>
            </w:pPr>
            <w:r>
              <w:rPr>
                <w:rFonts w:hint="eastAsia" w:ascii="新宋体" w:hAnsi="新宋体" w:eastAsia="新宋体"/>
                <w:sz w:val="24"/>
                <w:szCs w:val="24"/>
              </w:rPr>
              <w:t>电子投标文件：按招标文件要求加盖</w:t>
            </w:r>
            <w:r>
              <w:rPr>
                <w:rFonts w:hint="eastAsia" w:hAnsi="宋体"/>
                <w:sz w:val="24"/>
                <w:szCs w:val="24"/>
              </w:rPr>
              <w:t>电子印章和法人电子印章。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38"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60" w:lineRule="exact"/>
              <w:contextualSpacing/>
              <w:jc w:val="center"/>
              <w:rPr>
                <w:rFonts w:ascii="宋体" w:hAnsi="宋体" w:cs="黑体"/>
                <w:kern w:val="0"/>
                <w:sz w:val="24"/>
                <w:szCs w:val="24"/>
              </w:rPr>
            </w:pPr>
            <w:r>
              <w:rPr>
                <w:rFonts w:hint="eastAsia" w:ascii="宋体" w:hAnsi="宋体" w:cs="TimesNewRomanPSMT"/>
                <w:kern w:val="0"/>
                <w:sz w:val="24"/>
                <w:szCs w:val="24"/>
              </w:rPr>
              <w:t>3.7.4</w:t>
            </w:r>
          </w:p>
        </w:tc>
        <w:tc>
          <w:tcPr>
            <w:tcW w:w="1196" w:type="dxa"/>
            <w:gridSpan w:val="3"/>
            <w:tcBorders>
              <w:top w:val="single" w:color="auto" w:sz="4" w:space="0"/>
              <w:left w:val="nil"/>
              <w:bottom w:val="single" w:color="auto" w:sz="4" w:space="0"/>
              <w:right w:val="single" w:color="auto" w:sz="4" w:space="0"/>
            </w:tcBorders>
            <w:vAlign w:val="center"/>
          </w:tcPr>
          <w:p>
            <w:pPr>
              <w:autoSpaceDE w:val="0"/>
              <w:autoSpaceDN w:val="0"/>
              <w:spacing w:line="460" w:lineRule="exact"/>
              <w:contextualSpacing/>
              <w:jc w:val="center"/>
              <w:rPr>
                <w:rFonts w:ascii="宋体" w:hAnsi="宋体" w:cs="黑体"/>
                <w:kern w:val="0"/>
                <w:sz w:val="24"/>
                <w:szCs w:val="24"/>
              </w:rPr>
            </w:pPr>
            <w:r>
              <w:rPr>
                <w:rFonts w:hint="eastAsia" w:ascii="宋体" w:hAnsi="宋体" w:cs="仿宋_GB2312"/>
                <w:kern w:val="0"/>
                <w:sz w:val="24"/>
                <w:szCs w:val="24"/>
              </w:rPr>
              <w:t>投标文件份数</w:t>
            </w:r>
          </w:p>
        </w:tc>
        <w:tc>
          <w:tcPr>
            <w:tcW w:w="6346" w:type="dxa"/>
            <w:tcBorders>
              <w:top w:val="single" w:color="auto" w:sz="4" w:space="0"/>
              <w:left w:val="nil"/>
              <w:bottom w:val="single" w:color="auto" w:sz="4" w:space="0"/>
              <w:right w:val="single" w:color="auto" w:sz="4" w:space="0"/>
            </w:tcBorders>
            <w:vAlign w:val="center"/>
          </w:tcPr>
          <w:p>
            <w:pPr>
              <w:autoSpaceDE w:val="0"/>
              <w:autoSpaceDN w:val="0"/>
              <w:spacing w:line="460" w:lineRule="exact"/>
              <w:contextualSpacing/>
              <w:rPr>
                <w:rFonts w:hAnsi="宋体" w:cs="宋体"/>
                <w:sz w:val="24"/>
                <w:szCs w:val="24"/>
              </w:rPr>
            </w:pPr>
            <w:r>
              <w:rPr>
                <w:rFonts w:hint="eastAsia" w:ascii="宋体" w:hAnsi="宋体"/>
                <w:sz w:val="24"/>
                <w:szCs w:val="24"/>
              </w:rPr>
              <w:t>电子投标文件</w:t>
            </w:r>
          </w:p>
          <w:p>
            <w:pPr>
              <w:autoSpaceDE w:val="0"/>
              <w:autoSpaceDN w:val="0"/>
              <w:adjustRightInd w:val="0"/>
              <w:spacing w:line="460" w:lineRule="exact"/>
              <w:rPr>
                <w:rFonts w:hAnsi="宋体" w:cs="宋体"/>
                <w:color w:val="000000"/>
                <w:sz w:val="24"/>
              </w:rPr>
            </w:pPr>
            <w:r>
              <w:rPr>
                <w:rFonts w:hint="eastAsia" w:hAnsi="宋体" w:cs="宋体"/>
                <w:color w:val="000000"/>
                <w:sz w:val="24"/>
              </w:rPr>
              <w:t>成功上传至【全国公共资源交易平台（河南省·许昌市）】公共资源交易系统电子投标文件1份</w:t>
            </w:r>
            <w:r>
              <w:rPr>
                <w:rFonts w:hint="eastAsia" w:hAnsi="宋体" w:cs="宋体"/>
                <w:color w:val="000000"/>
                <w:sz w:val="24"/>
                <w:szCs w:val="20"/>
              </w:rPr>
              <w:t>（文件格式为：XX公司XXX项目编号.file）</w:t>
            </w:r>
            <w:r>
              <w:rPr>
                <w:rFonts w:hint="eastAsia" w:hAnsi="宋体" w:cs="宋体"/>
                <w:color w:val="000000"/>
                <w:sz w:val="24"/>
              </w:rPr>
              <w:t>。</w:t>
            </w:r>
          </w:p>
          <w:p>
            <w:pPr>
              <w:autoSpaceDE w:val="0"/>
              <w:autoSpaceDN w:val="0"/>
              <w:spacing w:line="460" w:lineRule="exact"/>
              <w:contextualSpacing/>
              <w:rPr>
                <w:rFonts w:ascii="宋体" w:hAnsi="宋体" w:cs="仿宋_GB2312"/>
                <w:color w:val="000000"/>
                <w:kern w:val="0"/>
                <w:sz w:val="24"/>
                <w:szCs w:val="24"/>
              </w:rPr>
            </w:pPr>
            <w:r>
              <w:rPr>
                <w:rFonts w:hint="eastAsia" w:hAnsi="宋体" w:cs="宋体"/>
                <w:b/>
                <w:color w:val="000000"/>
                <w:sz w:val="24"/>
              </w:rPr>
              <w:t>注:投标人提交的电子投标文件，必须是通过“许昌投标文件制作系统SEARUNV1.1”制作，并经过签章和加密后生成的电子投标文件。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38"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60" w:lineRule="exact"/>
              <w:contextualSpacing/>
              <w:jc w:val="center"/>
              <w:rPr>
                <w:rFonts w:ascii="宋体" w:hAnsi="宋体" w:cs="黑体"/>
                <w:kern w:val="0"/>
                <w:sz w:val="24"/>
                <w:szCs w:val="24"/>
              </w:rPr>
            </w:pPr>
            <w:r>
              <w:rPr>
                <w:rFonts w:hint="eastAsia" w:ascii="宋体" w:hAnsi="宋体" w:cs="TimesNewRomanPSMT"/>
                <w:kern w:val="0"/>
                <w:sz w:val="24"/>
                <w:szCs w:val="24"/>
              </w:rPr>
              <w:t>3.7.5</w:t>
            </w:r>
          </w:p>
        </w:tc>
        <w:tc>
          <w:tcPr>
            <w:tcW w:w="1196" w:type="dxa"/>
            <w:gridSpan w:val="3"/>
            <w:tcBorders>
              <w:top w:val="single" w:color="auto" w:sz="4" w:space="0"/>
              <w:left w:val="nil"/>
              <w:bottom w:val="single" w:color="auto" w:sz="4" w:space="0"/>
              <w:right w:val="single" w:color="auto" w:sz="4" w:space="0"/>
            </w:tcBorders>
            <w:vAlign w:val="center"/>
          </w:tcPr>
          <w:p>
            <w:pPr>
              <w:autoSpaceDE w:val="0"/>
              <w:autoSpaceDN w:val="0"/>
              <w:spacing w:line="460" w:lineRule="exact"/>
              <w:contextualSpacing/>
              <w:jc w:val="center"/>
              <w:rPr>
                <w:rFonts w:ascii="宋体" w:hAnsi="宋体" w:cs="黑体"/>
                <w:kern w:val="0"/>
                <w:sz w:val="24"/>
                <w:szCs w:val="24"/>
              </w:rPr>
            </w:pPr>
            <w:r>
              <w:rPr>
                <w:rFonts w:hint="eastAsia" w:hAnsi="宋体" w:cs="宋体"/>
                <w:color w:val="000000"/>
                <w:sz w:val="24"/>
              </w:rPr>
              <w:t>本项目是否采用不见面开标</w:t>
            </w:r>
          </w:p>
        </w:tc>
        <w:tc>
          <w:tcPr>
            <w:tcW w:w="6346" w:type="dxa"/>
            <w:tcBorders>
              <w:top w:val="single" w:color="auto" w:sz="4" w:space="0"/>
              <w:left w:val="nil"/>
              <w:bottom w:val="single" w:color="auto" w:sz="4" w:space="0"/>
              <w:right w:val="single" w:color="auto" w:sz="4" w:space="0"/>
            </w:tcBorders>
            <w:vAlign w:val="center"/>
          </w:tcPr>
          <w:p>
            <w:pPr>
              <w:autoSpaceDE w:val="0"/>
              <w:autoSpaceDN w:val="0"/>
              <w:spacing w:line="460" w:lineRule="exact"/>
              <w:contextualSpacing/>
              <w:rPr>
                <w:rFonts w:ascii="宋体" w:hAnsi="宋体" w:cs="仿宋_GB2312"/>
                <w:color w:val="000000"/>
                <w:kern w:val="0"/>
                <w:sz w:val="24"/>
                <w:szCs w:val="24"/>
              </w:rPr>
            </w:pPr>
            <w:r>
              <w:rPr>
                <w:rFonts w:hint="eastAsia" w:hAnsi="宋体" w:cs="宋体"/>
                <w:color w:val="000000"/>
                <w:sz w:val="24"/>
              </w:rPr>
              <w:t>本项目采用不见面开标。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38"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60" w:lineRule="exact"/>
              <w:contextualSpacing/>
              <w:jc w:val="center"/>
              <w:rPr>
                <w:rFonts w:ascii="宋体" w:hAnsi="宋体" w:cs="黑体"/>
                <w:kern w:val="0"/>
                <w:sz w:val="24"/>
                <w:szCs w:val="24"/>
              </w:rPr>
            </w:pPr>
            <w:r>
              <w:rPr>
                <w:rFonts w:hint="eastAsia" w:ascii="宋体" w:hAnsi="宋体" w:cs="TimesNewRomanPSMT"/>
                <w:kern w:val="0"/>
                <w:sz w:val="24"/>
                <w:szCs w:val="24"/>
              </w:rPr>
              <w:t>4.2.2</w:t>
            </w:r>
          </w:p>
        </w:tc>
        <w:tc>
          <w:tcPr>
            <w:tcW w:w="1196" w:type="dxa"/>
            <w:gridSpan w:val="3"/>
            <w:tcBorders>
              <w:top w:val="single" w:color="auto" w:sz="4" w:space="0"/>
              <w:left w:val="nil"/>
              <w:bottom w:val="single" w:color="auto" w:sz="4" w:space="0"/>
              <w:right w:val="single" w:color="auto" w:sz="4" w:space="0"/>
            </w:tcBorders>
            <w:vAlign w:val="center"/>
          </w:tcPr>
          <w:p>
            <w:pPr>
              <w:autoSpaceDE w:val="0"/>
              <w:autoSpaceDN w:val="0"/>
              <w:spacing w:line="460" w:lineRule="exact"/>
              <w:contextualSpacing/>
              <w:jc w:val="center"/>
              <w:rPr>
                <w:rFonts w:ascii="宋体" w:hAnsi="宋体" w:cs="黑体"/>
                <w:kern w:val="0"/>
                <w:sz w:val="24"/>
                <w:szCs w:val="24"/>
              </w:rPr>
            </w:pPr>
            <w:r>
              <w:rPr>
                <w:rFonts w:hint="eastAsia" w:hAnsi="宋体" w:cs="宋体"/>
                <w:color w:val="000000"/>
                <w:sz w:val="24"/>
              </w:rPr>
              <w:t>提交投标文件地点</w:t>
            </w:r>
          </w:p>
        </w:tc>
        <w:tc>
          <w:tcPr>
            <w:tcW w:w="6346" w:type="dxa"/>
            <w:tcBorders>
              <w:top w:val="single" w:color="auto" w:sz="4" w:space="0"/>
              <w:left w:val="nil"/>
              <w:bottom w:val="single" w:color="auto" w:sz="4" w:space="0"/>
              <w:right w:val="single" w:color="auto" w:sz="4" w:space="0"/>
            </w:tcBorders>
            <w:vAlign w:val="center"/>
          </w:tcPr>
          <w:p>
            <w:pPr>
              <w:autoSpaceDE w:val="0"/>
              <w:autoSpaceDN w:val="0"/>
              <w:spacing w:line="460" w:lineRule="exact"/>
              <w:contextualSpacing/>
              <w:jc w:val="left"/>
              <w:rPr>
                <w:rFonts w:ascii="宋体" w:hAnsi="宋体" w:cs="仿宋_GB2312"/>
                <w:kern w:val="0"/>
                <w:sz w:val="24"/>
                <w:szCs w:val="24"/>
              </w:rPr>
            </w:pPr>
            <w:r>
              <w:rPr>
                <w:rFonts w:hint="eastAsia" w:hAnsi="宋体" w:cs="宋体"/>
                <w:color w:val="000000"/>
                <w:sz w:val="24"/>
              </w:rPr>
              <w:t>电子投标文件提交地点：电子投标文件应按规定在投标截止时间（开标时间）之前成功提交至【全国公共资源交易平台</w:t>
            </w:r>
            <w:r>
              <w:rPr>
                <w:rFonts w:hAnsi="宋体" w:cs="宋体"/>
                <w:color w:val="000000"/>
                <w:sz w:val="24"/>
              </w:rPr>
              <w:t>(</w:t>
            </w:r>
            <w:r>
              <w:rPr>
                <w:rFonts w:hint="eastAsia" w:hAnsi="宋体" w:cs="宋体"/>
                <w:color w:val="000000"/>
                <w:sz w:val="24"/>
              </w:rPr>
              <w:t>河南省</w:t>
            </w:r>
            <w:r>
              <w:rPr>
                <w:rFonts w:hint="eastAsia" w:ascii="MS Mincho" w:hAnsi="MS Mincho" w:eastAsia="MS Mincho" w:cs="MS Mincho"/>
                <w:color w:val="000000"/>
                <w:sz w:val="24"/>
              </w:rPr>
              <w:t>▪</w:t>
            </w:r>
            <w:r>
              <w:rPr>
                <w:rFonts w:hint="eastAsia" w:hAnsi="宋体" w:cs="宋体"/>
                <w:color w:val="000000"/>
                <w:sz w:val="24"/>
              </w:rPr>
              <w:t>许昌市</w:t>
            </w:r>
            <w:r>
              <w:rPr>
                <w:rFonts w:hAnsi="宋体" w:cs="宋体"/>
                <w:color w:val="000000"/>
                <w:sz w:val="24"/>
              </w:rPr>
              <w:t>)</w:t>
            </w:r>
            <w:r>
              <w:rPr>
                <w:rFonts w:hint="eastAsia" w:hAnsi="宋体" w:cs="宋体"/>
                <w:color w:val="000000"/>
                <w:sz w:val="24"/>
              </w:rPr>
              <w:t>】公共资源交易系统（</w:t>
            </w:r>
            <w:r>
              <w:rPr>
                <w:rFonts w:hAnsi="宋体" w:cs="宋体"/>
                <w:color w:val="000000"/>
                <w:sz w:val="24"/>
              </w:rPr>
              <w:t>http://ggzy.xuchang.gov.cn:8088/ggzy/</w:t>
            </w:r>
            <w:r>
              <w:rPr>
                <w:rFonts w:hint="eastAsia" w:hAnsi="宋体" w:cs="宋体"/>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38"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60" w:lineRule="exact"/>
              <w:contextualSpacing/>
              <w:jc w:val="center"/>
              <w:rPr>
                <w:rFonts w:ascii="宋体" w:hAnsi="宋体" w:cs="黑体"/>
                <w:kern w:val="0"/>
                <w:sz w:val="24"/>
                <w:szCs w:val="24"/>
              </w:rPr>
            </w:pPr>
            <w:r>
              <w:rPr>
                <w:rFonts w:hint="eastAsia" w:ascii="宋体" w:hAnsi="宋体" w:cs="TimesNewRomanPSMT"/>
                <w:kern w:val="0"/>
                <w:sz w:val="24"/>
                <w:szCs w:val="24"/>
              </w:rPr>
              <w:t>4.2.3</w:t>
            </w:r>
          </w:p>
        </w:tc>
        <w:tc>
          <w:tcPr>
            <w:tcW w:w="1196" w:type="dxa"/>
            <w:gridSpan w:val="3"/>
            <w:tcBorders>
              <w:top w:val="single" w:color="auto" w:sz="4" w:space="0"/>
              <w:left w:val="nil"/>
              <w:bottom w:val="single" w:color="auto" w:sz="4" w:space="0"/>
              <w:right w:val="single" w:color="auto" w:sz="4" w:space="0"/>
            </w:tcBorders>
            <w:vAlign w:val="center"/>
          </w:tcPr>
          <w:p>
            <w:pPr>
              <w:autoSpaceDE w:val="0"/>
              <w:autoSpaceDN w:val="0"/>
              <w:spacing w:line="460" w:lineRule="exact"/>
              <w:contextualSpacing/>
              <w:jc w:val="center"/>
              <w:rPr>
                <w:rFonts w:ascii="宋体" w:hAnsi="宋体" w:cs="黑体"/>
                <w:kern w:val="0"/>
                <w:sz w:val="24"/>
                <w:szCs w:val="24"/>
              </w:rPr>
            </w:pPr>
            <w:r>
              <w:rPr>
                <w:rFonts w:hint="eastAsia" w:ascii="宋体" w:hAnsi="宋体" w:cs="仿宋_GB2312"/>
                <w:kern w:val="0"/>
                <w:sz w:val="24"/>
                <w:szCs w:val="24"/>
              </w:rPr>
              <w:t>是否退还投标文件</w:t>
            </w:r>
          </w:p>
        </w:tc>
        <w:tc>
          <w:tcPr>
            <w:tcW w:w="6346" w:type="dxa"/>
            <w:tcBorders>
              <w:top w:val="single" w:color="auto" w:sz="4" w:space="0"/>
              <w:left w:val="nil"/>
              <w:bottom w:val="single" w:color="auto" w:sz="4" w:space="0"/>
              <w:right w:val="single" w:color="auto" w:sz="4" w:space="0"/>
            </w:tcBorders>
            <w:vAlign w:val="center"/>
          </w:tcPr>
          <w:p>
            <w:pPr>
              <w:autoSpaceDE w:val="0"/>
              <w:autoSpaceDN w:val="0"/>
              <w:spacing w:line="460" w:lineRule="exact"/>
              <w:contextualSpacing/>
              <w:jc w:val="left"/>
              <w:rPr>
                <w:rFonts w:ascii="宋体" w:hAnsi="宋体" w:cs="仿宋_GB2312"/>
                <w:kern w:val="0"/>
                <w:sz w:val="24"/>
                <w:szCs w:val="24"/>
              </w:rPr>
            </w:pPr>
            <w:r>
              <w:rPr>
                <w:rFonts w:hint="eastAsia" w:ascii="宋体" w:hAnsi="宋体" w:cs="仿宋_GB2312"/>
                <w:kern w:val="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38"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60" w:lineRule="exact"/>
              <w:contextualSpacing/>
              <w:jc w:val="center"/>
              <w:rPr>
                <w:rFonts w:ascii="宋体" w:hAnsi="宋体" w:cs="黑体"/>
                <w:kern w:val="0"/>
                <w:sz w:val="24"/>
                <w:szCs w:val="24"/>
              </w:rPr>
            </w:pPr>
            <w:r>
              <w:rPr>
                <w:rFonts w:hint="eastAsia" w:ascii="宋体" w:hAnsi="宋体" w:cs="TimesNewRomanPSMT"/>
                <w:kern w:val="0"/>
                <w:sz w:val="24"/>
                <w:szCs w:val="24"/>
              </w:rPr>
              <w:t>5.1</w:t>
            </w:r>
          </w:p>
        </w:tc>
        <w:tc>
          <w:tcPr>
            <w:tcW w:w="1196" w:type="dxa"/>
            <w:gridSpan w:val="3"/>
            <w:tcBorders>
              <w:top w:val="single" w:color="auto" w:sz="4" w:space="0"/>
              <w:left w:val="nil"/>
              <w:bottom w:val="single" w:color="auto" w:sz="4" w:space="0"/>
              <w:right w:val="single" w:color="auto" w:sz="4" w:space="0"/>
            </w:tcBorders>
            <w:vAlign w:val="center"/>
          </w:tcPr>
          <w:p>
            <w:pPr>
              <w:autoSpaceDE w:val="0"/>
              <w:autoSpaceDN w:val="0"/>
              <w:spacing w:line="460" w:lineRule="exact"/>
              <w:contextualSpacing/>
              <w:jc w:val="center"/>
              <w:rPr>
                <w:rFonts w:ascii="宋体" w:hAnsi="宋体" w:cs="黑体"/>
                <w:kern w:val="0"/>
                <w:sz w:val="24"/>
                <w:szCs w:val="24"/>
              </w:rPr>
            </w:pPr>
            <w:r>
              <w:rPr>
                <w:rFonts w:hint="eastAsia" w:ascii="宋体" w:hAnsi="宋体" w:cs="仿宋_GB2312"/>
                <w:kern w:val="0"/>
                <w:sz w:val="24"/>
                <w:szCs w:val="24"/>
              </w:rPr>
              <w:t>开标时间地点</w:t>
            </w:r>
          </w:p>
        </w:tc>
        <w:tc>
          <w:tcPr>
            <w:tcW w:w="6346" w:type="dxa"/>
            <w:tcBorders>
              <w:top w:val="single" w:color="auto" w:sz="4" w:space="0"/>
              <w:left w:val="nil"/>
              <w:bottom w:val="single" w:color="auto" w:sz="4" w:space="0"/>
              <w:right w:val="single" w:color="auto" w:sz="4" w:space="0"/>
            </w:tcBorders>
          </w:tcPr>
          <w:p>
            <w:pPr>
              <w:autoSpaceDE w:val="0"/>
              <w:autoSpaceDN w:val="0"/>
              <w:spacing w:line="460" w:lineRule="exact"/>
              <w:contextualSpacing/>
              <w:jc w:val="left"/>
              <w:rPr>
                <w:rFonts w:hint="eastAsia" w:ascii="宋体" w:hAnsi="宋体" w:cs="仿宋_GB2312"/>
                <w:kern w:val="0"/>
                <w:sz w:val="24"/>
                <w:szCs w:val="24"/>
              </w:rPr>
            </w:pPr>
            <w:r>
              <w:rPr>
                <w:rFonts w:hint="eastAsia" w:ascii="宋体" w:hAnsi="宋体" w:cs="仿宋_GB2312"/>
                <w:kern w:val="0"/>
                <w:sz w:val="24"/>
                <w:szCs w:val="24"/>
              </w:rPr>
              <w:t>同投标截止时间</w:t>
            </w:r>
          </w:p>
          <w:p>
            <w:pPr>
              <w:autoSpaceDE w:val="0"/>
              <w:autoSpaceDN w:val="0"/>
              <w:spacing w:line="460" w:lineRule="exact"/>
              <w:contextualSpacing/>
              <w:jc w:val="left"/>
              <w:rPr>
                <w:rFonts w:ascii="宋体" w:hAnsi="宋体" w:cs="仿宋_GB2312"/>
                <w:kern w:val="0"/>
                <w:sz w:val="24"/>
                <w:szCs w:val="24"/>
              </w:rPr>
            </w:pPr>
            <w:r>
              <w:rPr>
                <w:rFonts w:hint="eastAsia" w:ascii="宋体" w:hAnsi="宋体" w:cs="仿宋_GB2312"/>
                <w:kern w:val="0"/>
                <w:sz w:val="24"/>
                <w:szCs w:val="24"/>
              </w:rPr>
              <w:t>开标地点：长葛市公共资源交易中心开标</w:t>
            </w:r>
            <w:r>
              <w:rPr>
                <w:rFonts w:hint="eastAsia" w:ascii="宋体" w:hAnsi="宋体" w:cs="仿宋_GB2312"/>
                <w:kern w:val="0"/>
                <w:sz w:val="24"/>
                <w:szCs w:val="24"/>
                <w:lang w:val="en-US" w:eastAsia="zh-CN"/>
              </w:rPr>
              <w:t>一</w:t>
            </w:r>
            <w:r>
              <w:rPr>
                <w:rFonts w:hint="eastAsia" w:ascii="宋体" w:hAnsi="宋体" w:cs="仿宋_GB2312"/>
                <w:kern w:val="0"/>
                <w:sz w:val="24"/>
                <w:szCs w:val="24"/>
              </w:rPr>
              <w:t>室（长葛市葛天大道东段商务区 6号楼</w:t>
            </w:r>
            <w:r>
              <w:rPr>
                <w:rFonts w:hint="eastAsia" w:ascii="宋体" w:hAnsi="宋体" w:cs="仿宋_GB2312"/>
                <w:kern w:val="0"/>
                <w:sz w:val="24"/>
                <w:szCs w:val="24"/>
                <w:lang w:val="en-US" w:eastAsia="zh-CN"/>
              </w:rPr>
              <w:t>506</w:t>
            </w:r>
            <w:r>
              <w:rPr>
                <w:rFonts w:hint="eastAsia" w:ascii="宋体" w:hAnsi="宋体" w:cs="仿宋_GB2312"/>
                <w:kern w:val="0"/>
                <w:sz w:val="24"/>
                <w:szCs w:val="24"/>
              </w:rPr>
              <w:t>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38"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60" w:lineRule="exact"/>
              <w:contextualSpacing/>
              <w:jc w:val="center"/>
              <w:rPr>
                <w:rFonts w:ascii="宋体" w:hAnsi="宋体" w:cs="黑体"/>
                <w:kern w:val="0"/>
                <w:sz w:val="24"/>
                <w:szCs w:val="24"/>
              </w:rPr>
            </w:pPr>
            <w:r>
              <w:rPr>
                <w:rFonts w:hint="eastAsia" w:ascii="宋体" w:hAnsi="宋体" w:cs="TimesNewRomanPSMT"/>
                <w:kern w:val="0"/>
                <w:sz w:val="24"/>
                <w:szCs w:val="24"/>
              </w:rPr>
              <w:t>5.2</w:t>
            </w:r>
          </w:p>
        </w:tc>
        <w:tc>
          <w:tcPr>
            <w:tcW w:w="1196" w:type="dxa"/>
            <w:gridSpan w:val="3"/>
            <w:tcBorders>
              <w:top w:val="single" w:color="auto" w:sz="4" w:space="0"/>
              <w:left w:val="nil"/>
              <w:bottom w:val="single" w:color="auto" w:sz="4" w:space="0"/>
              <w:right w:val="single" w:color="auto" w:sz="4" w:space="0"/>
            </w:tcBorders>
            <w:vAlign w:val="center"/>
          </w:tcPr>
          <w:p>
            <w:pPr>
              <w:autoSpaceDE w:val="0"/>
              <w:autoSpaceDN w:val="0"/>
              <w:spacing w:line="460" w:lineRule="exact"/>
              <w:contextualSpacing/>
              <w:jc w:val="center"/>
              <w:rPr>
                <w:rFonts w:ascii="宋体" w:hAnsi="宋体" w:cs="黑体"/>
                <w:kern w:val="0"/>
                <w:sz w:val="24"/>
                <w:szCs w:val="24"/>
              </w:rPr>
            </w:pPr>
            <w:r>
              <w:rPr>
                <w:rFonts w:hint="eastAsia" w:ascii="宋体" w:hAnsi="宋体" w:cs="仿宋_GB2312"/>
                <w:kern w:val="0"/>
                <w:sz w:val="24"/>
                <w:szCs w:val="24"/>
              </w:rPr>
              <w:t>开标程序</w:t>
            </w:r>
          </w:p>
        </w:tc>
        <w:tc>
          <w:tcPr>
            <w:tcW w:w="6346" w:type="dxa"/>
            <w:tcBorders>
              <w:top w:val="single" w:color="auto" w:sz="4" w:space="0"/>
              <w:left w:val="nil"/>
              <w:bottom w:val="single" w:color="auto" w:sz="4" w:space="0"/>
              <w:right w:val="single" w:color="auto" w:sz="4" w:space="0"/>
            </w:tcBorders>
            <w:vAlign w:val="center"/>
          </w:tcPr>
          <w:p>
            <w:pPr>
              <w:spacing w:line="460" w:lineRule="exact"/>
              <w:rPr>
                <w:rFonts w:hAnsi="宋体"/>
                <w:sz w:val="24"/>
              </w:rPr>
            </w:pPr>
            <w:r>
              <w:rPr>
                <w:rFonts w:hint="eastAsia" w:hAnsi="宋体" w:cs="宋体"/>
                <w:sz w:val="24"/>
              </w:rPr>
              <w:t>（1）</w:t>
            </w:r>
            <w:r>
              <w:rPr>
                <w:rFonts w:hint="eastAsia" w:hAnsi="宋体"/>
                <w:sz w:val="24"/>
              </w:rPr>
              <w:t>本项目采用“远程不见面”开标方式,投标人应当在开标时间前使用CA数字证书登录交易系统远程开标大厅在线准时参加开标活动并进行投标文件远程解密、在线提异议（质疑）及电子签章等；招标代理机构在开标时间前到达指定地点使用CA数字证书登录交易系统远程开标大厅，做好开标前各项准备。</w:t>
            </w:r>
          </w:p>
          <w:p>
            <w:pPr>
              <w:spacing w:line="460" w:lineRule="exact"/>
              <w:rPr>
                <w:rFonts w:hAnsi="宋体"/>
                <w:sz w:val="24"/>
              </w:rPr>
            </w:pPr>
            <w:r>
              <w:rPr>
                <w:rFonts w:hint="eastAsia" w:hAnsi="宋体"/>
                <w:sz w:val="24"/>
              </w:rPr>
              <w:t>（2）投标截止时间到达时，招标代理机构点击“开标”按钮，开标开始并进行解密，解密时限为120分钟，各投标人可以远程进行解密投标文件。投标人未进行解密或未按规定进行解密的，视为放弃投标。待全部投标人解密完成后，招标人（代理机构）进行一键解密。</w:t>
            </w:r>
          </w:p>
          <w:p>
            <w:pPr>
              <w:spacing w:line="460" w:lineRule="exact"/>
              <w:rPr>
                <w:rFonts w:hAnsi="宋体"/>
                <w:sz w:val="24"/>
              </w:rPr>
            </w:pPr>
            <w:r>
              <w:rPr>
                <w:rFonts w:hint="eastAsia" w:hAnsi="宋体"/>
                <w:sz w:val="24"/>
              </w:rPr>
              <w:t>（3）解密完成后，招标人（代理机构）点击“系数抽取”按钮进行系数抽取，系数抽取情况在“公告通知”处显示。</w:t>
            </w:r>
          </w:p>
          <w:p>
            <w:pPr>
              <w:spacing w:line="460" w:lineRule="exact"/>
              <w:rPr>
                <w:rFonts w:hAnsi="宋体"/>
                <w:sz w:val="24"/>
              </w:rPr>
            </w:pPr>
            <w:r>
              <w:rPr>
                <w:rFonts w:hint="eastAsia" w:hAnsi="宋体"/>
                <w:sz w:val="24"/>
              </w:rPr>
              <w:t>（4）系数抽取完成后，投标人可点击“开标记录”查看各投标人投标报价等信息，对开标过程或有关内容有异议（质疑）的，按照《许昌市不见面开标操作手册》在本项目不见面开标大厅“文字互动”对话框或“新增质疑”处在线询问和发起异议（质疑），招标人（代理机构）在线进行回复。</w:t>
            </w:r>
          </w:p>
          <w:p>
            <w:pPr>
              <w:spacing w:line="460" w:lineRule="exact"/>
              <w:rPr>
                <w:rFonts w:hAnsi="宋体"/>
                <w:sz w:val="24"/>
              </w:rPr>
            </w:pPr>
            <w:r>
              <w:rPr>
                <w:rFonts w:hint="eastAsia" w:hAnsi="宋体"/>
                <w:sz w:val="24"/>
              </w:rPr>
              <w:t>（5）如无投标人提出异议，招标代理机构通过“文字互动”对话框通知各投标人进行电子签章。投标人应在《开标记录表》上进行电子签章，未进行电子签章的视为对开标结果无异议。</w:t>
            </w:r>
          </w:p>
          <w:p>
            <w:pPr>
              <w:autoSpaceDE w:val="0"/>
              <w:autoSpaceDN w:val="0"/>
              <w:spacing w:line="460" w:lineRule="exact"/>
              <w:contextualSpacing/>
              <w:jc w:val="left"/>
              <w:rPr>
                <w:rFonts w:ascii="宋体" w:hAnsi="宋体" w:cs="仿宋_GB2312"/>
                <w:kern w:val="0"/>
                <w:sz w:val="24"/>
                <w:szCs w:val="24"/>
              </w:rPr>
            </w:pPr>
            <w:r>
              <w:rPr>
                <w:rFonts w:hint="eastAsia" w:hAnsi="宋体"/>
                <w:sz w:val="24"/>
              </w:rPr>
              <w:t>（6）招标人（代理机构）签章并上传《开标记录表》，不见面开标活动结束。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38"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60" w:lineRule="exact"/>
              <w:contextualSpacing/>
              <w:jc w:val="center"/>
              <w:rPr>
                <w:rFonts w:ascii="宋体" w:hAnsi="宋体" w:cs="黑体"/>
                <w:kern w:val="0"/>
                <w:sz w:val="24"/>
                <w:szCs w:val="24"/>
              </w:rPr>
            </w:pPr>
            <w:r>
              <w:rPr>
                <w:rFonts w:hint="eastAsia" w:ascii="宋体" w:hAnsi="宋体" w:cs="TimesNewRomanPSMT"/>
                <w:kern w:val="0"/>
                <w:sz w:val="24"/>
                <w:szCs w:val="24"/>
              </w:rPr>
              <w:t xml:space="preserve">6.1.1 </w:t>
            </w:r>
          </w:p>
        </w:tc>
        <w:tc>
          <w:tcPr>
            <w:tcW w:w="1196" w:type="dxa"/>
            <w:gridSpan w:val="3"/>
            <w:tcBorders>
              <w:top w:val="single" w:color="auto" w:sz="4" w:space="0"/>
              <w:left w:val="nil"/>
              <w:bottom w:val="single" w:color="auto" w:sz="4" w:space="0"/>
              <w:right w:val="single" w:color="auto" w:sz="4" w:space="0"/>
            </w:tcBorders>
            <w:vAlign w:val="center"/>
          </w:tcPr>
          <w:p>
            <w:pPr>
              <w:autoSpaceDE w:val="0"/>
              <w:autoSpaceDN w:val="0"/>
              <w:adjustRightInd w:val="0"/>
              <w:spacing w:line="440" w:lineRule="exact"/>
              <w:jc w:val="center"/>
              <w:rPr>
                <w:rFonts w:ascii="宋体" w:hAnsi="宋体" w:cs="黑体"/>
                <w:kern w:val="0"/>
                <w:sz w:val="32"/>
                <w:szCs w:val="32"/>
              </w:rPr>
            </w:pPr>
            <w:r>
              <w:rPr>
                <w:rFonts w:hint="eastAsia" w:ascii="宋体" w:hAnsi="宋体" w:cs="宋体"/>
                <w:sz w:val="24"/>
                <w:szCs w:val="24"/>
              </w:rPr>
              <w:t>评标委员会的组建</w:t>
            </w:r>
          </w:p>
        </w:tc>
        <w:tc>
          <w:tcPr>
            <w:tcW w:w="6346" w:type="dxa"/>
            <w:tcBorders>
              <w:top w:val="single" w:color="auto" w:sz="4" w:space="0"/>
              <w:left w:val="nil"/>
              <w:bottom w:val="single" w:color="auto" w:sz="4" w:space="0"/>
              <w:right w:val="single" w:color="auto" w:sz="4" w:space="0"/>
            </w:tcBorders>
            <w:vAlign w:val="center"/>
          </w:tcPr>
          <w:p>
            <w:pPr>
              <w:spacing w:line="440" w:lineRule="exact"/>
              <w:rPr>
                <w:rFonts w:ascii="宋体" w:hAnsi="宋体" w:cs="仿宋_GB2312"/>
                <w:kern w:val="0"/>
                <w:sz w:val="32"/>
                <w:szCs w:val="32"/>
              </w:rPr>
            </w:pPr>
            <w:r>
              <w:rPr>
                <w:rFonts w:hint="eastAsia" w:ascii="宋体" w:hAnsi="宋体" w:cs="宋体"/>
                <w:color w:val="auto"/>
                <w:sz w:val="24"/>
                <w:szCs w:val="24"/>
              </w:rPr>
              <w:t>评标委员会构成：</w:t>
            </w:r>
            <w:r>
              <w:rPr>
                <w:rFonts w:hint="eastAsia" w:ascii="宋体" w:hAnsi="宋体" w:cs="宋体"/>
                <w:color w:val="auto"/>
                <w:sz w:val="24"/>
                <w:szCs w:val="24"/>
                <w:lang w:val="en-US" w:eastAsia="zh-CN"/>
              </w:rPr>
              <w:t>5</w:t>
            </w:r>
            <w:r>
              <w:rPr>
                <w:rFonts w:hint="eastAsia" w:ascii="宋体" w:hAnsi="宋体" w:cs="宋体"/>
                <w:color w:val="auto"/>
                <w:sz w:val="24"/>
                <w:szCs w:val="24"/>
              </w:rPr>
              <w:t>人，其中招标人代表</w:t>
            </w:r>
            <w:r>
              <w:rPr>
                <w:rFonts w:hint="eastAsia" w:ascii="宋体" w:hAnsi="宋体" w:cs="宋体"/>
                <w:color w:val="auto"/>
                <w:sz w:val="24"/>
                <w:szCs w:val="24"/>
                <w:lang w:val="en-US" w:eastAsia="zh-CN"/>
              </w:rPr>
              <w:t>1</w:t>
            </w:r>
            <w:r>
              <w:rPr>
                <w:rFonts w:hint="eastAsia" w:ascii="宋体" w:hAnsi="宋体" w:cs="宋体"/>
                <w:color w:val="auto"/>
                <w:sz w:val="24"/>
                <w:szCs w:val="24"/>
              </w:rPr>
              <w:t>人，其余</w:t>
            </w:r>
            <w:r>
              <w:rPr>
                <w:rFonts w:hint="eastAsia" w:ascii="宋体" w:hAnsi="宋体" w:cs="宋体"/>
                <w:color w:val="auto"/>
                <w:sz w:val="24"/>
                <w:szCs w:val="24"/>
                <w:lang w:val="en-US" w:eastAsia="zh-CN"/>
              </w:rPr>
              <w:t>4</w:t>
            </w:r>
            <w:r>
              <w:rPr>
                <w:rFonts w:hint="eastAsia" w:ascii="宋体" w:hAnsi="宋体" w:cs="宋体"/>
                <w:color w:val="auto"/>
                <w:sz w:val="24"/>
                <w:szCs w:val="24"/>
              </w:rPr>
              <w:t>人由经济、技术类专家组成（含注册造价工程师2人）。经济技术类专家开标前从河南省综合评标专家库中随机抽取，与投标人有利害关系的人不得进入评标委员会，已进入的应当更换。评标委员会设负责人的，评标委员会负责人由评标委员会成员推举产生。评标委员会负责人与评标委员会的其他成员有同等的表决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38"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60" w:lineRule="exact"/>
              <w:contextualSpacing/>
              <w:jc w:val="center"/>
              <w:rPr>
                <w:rFonts w:ascii="宋体" w:hAnsi="宋体" w:cs="黑体"/>
                <w:kern w:val="0"/>
                <w:sz w:val="24"/>
                <w:szCs w:val="24"/>
              </w:rPr>
            </w:pPr>
            <w:r>
              <w:rPr>
                <w:rFonts w:hint="eastAsia" w:ascii="宋体" w:hAnsi="宋体" w:cs="TimesNewRomanPSMT"/>
                <w:kern w:val="0"/>
                <w:sz w:val="24"/>
                <w:szCs w:val="24"/>
              </w:rPr>
              <w:t>7.1</w:t>
            </w:r>
          </w:p>
        </w:tc>
        <w:tc>
          <w:tcPr>
            <w:tcW w:w="1196" w:type="dxa"/>
            <w:gridSpan w:val="3"/>
            <w:tcBorders>
              <w:top w:val="single" w:color="auto" w:sz="4" w:space="0"/>
              <w:left w:val="nil"/>
              <w:bottom w:val="single" w:color="auto" w:sz="4" w:space="0"/>
              <w:right w:val="single" w:color="auto" w:sz="4" w:space="0"/>
            </w:tcBorders>
            <w:vAlign w:val="center"/>
          </w:tcPr>
          <w:p>
            <w:pPr>
              <w:autoSpaceDE w:val="0"/>
              <w:autoSpaceDN w:val="0"/>
              <w:spacing w:line="460" w:lineRule="exact"/>
              <w:contextualSpacing/>
              <w:jc w:val="center"/>
              <w:rPr>
                <w:rFonts w:ascii="宋体" w:hAnsi="宋体" w:cs="黑体"/>
                <w:kern w:val="0"/>
                <w:sz w:val="24"/>
                <w:szCs w:val="24"/>
              </w:rPr>
            </w:pPr>
            <w:r>
              <w:rPr>
                <w:rFonts w:hint="eastAsia" w:ascii="宋体" w:hAnsi="宋体" w:cs="仿宋_GB2312"/>
                <w:kern w:val="0"/>
                <w:sz w:val="24"/>
                <w:szCs w:val="24"/>
              </w:rPr>
              <w:t>是否授权评标委员会确定中标人</w:t>
            </w:r>
          </w:p>
        </w:tc>
        <w:tc>
          <w:tcPr>
            <w:tcW w:w="6346" w:type="dxa"/>
            <w:tcBorders>
              <w:top w:val="single" w:color="auto" w:sz="4" w:space="0"/>
              <w:left w:val="nil"/>
              <w:bottom w:val="single" w:color="auto" w:sz="4" w:space="0"/>
              <w:right w:val="single" w:color="auto" w:sz="4" w:space="0"/>
            </w:tcBorders>
            <w:vAlign w:val="center"/>
          </w:tcPr>
          <w:p>
            <w:pPr>
              <w:autoSpaceDE w:val="0"/>
              <w:autoSpaceDN w:val="0"/>
              <w:spacing w:line="460" w:lineRule="exact"/>
              <w:contextualSpacing/>
              <w:rPr>
                <w:rFonts w:ascii="宋体" w:hAnsi="宋体" w:cs="黑体"/>
                <w:kern w:val="0"/>
                <w:sz w:val="24"/>
                <w:szCs w:val="24"/>
              </w:rPr>
            </w:pPr>
            <w:r>
              <w:rPr>
                <w:rFonts w:hint="eastAsia" w:ascii="宋体" w:hAnsi="宋体" w:cs="仿宋_GB2312"/>
                <w:kern w:val="0"/>
                <w:sz w:val="24"/>
                <w:szCs w:val="24"/>
              </w:rPr>
              <w:t>否，推荐的中标候选人数：1-3名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580"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spacing w:line="460" w:lineRule="exact"/>
              <w:contextualSpacing/>
              <w:jc w:val="left"/>
              <w:rPr>
                <w:rFonts w:ascii="宋体" w:hAnsi="宋体" w:cs="仿宋_GB2312"/>
                <w:kern w:val="0"/>
                <w:sz w:val="24"/>
                <w:szCs w:val="24"/>
              </w:rPr>
            </w:pPr>
            <w:r>
              <w:rPr>
                <w:rFonts w:hint="eastAsia" w:ascii="宋体" w:hAnsi="宋体" w:cs="TimesNewRomanPSMT"/>
                <w:kern w:val="0"/>
                <w:sz w:val="24"/>
                <w:szCs w:val="24"/>
              </w:rPr>
              <w:t>10.需要补充的其他内容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580"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spacing w:line="460" w:lineRule="exact"/>
              <w:contextualSpacing/>
              <w:jc w:val="left"/>
              <w:rPr>
                <w:rFonts w:ascii="宋体" w:hAnsi="宋体" w:cs="TimesNewRomanPSMT"/>
                <w:kern w:val="0"/>
                <w:sz w:val="24"/>
                <w:szCs w:val="24"/>
              </w:rPr>
            </w:pPr>
            <w:r>
              <w:rPr>
                <w:rFonts w:hint="eastAsia" w:ascii="宋体" w:hAnsi="宋体" w:cs="TimesNewRomanPSMT"/>
                <w:kern w:val="0"/>
                <w:sz w:val="24"/>
                <w:szCs w:val="24"/>
              </w:rPr>
              <w:t>10.1词语定义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38" w:type="dxa"/>
            <w:tcBorders>
              <w:top w:val="single" w:color="auto" w:sz="4" w:space="0"/>
              <w:left w:val="single" w:color="auto" w:sz="4" w:space="0"/>
              <w:bottom w:val="single" w:color="auto" w:sz="4" w:space="0"/>
              <w:right w:val="single" w:color="auto" w:sz="4" w:space="0"/>
            </w:tcBorders>
            <w:vAlign w:val="center"/>
          </w:tcPr>
          <w:p>
            <w:pPr>
              <w:spacing w:line="460" w:lineRule="exact"/>
              <w:contextualSpacing/>
              <w:jc w:val="center"/>
              <w:rPr>
                <w:sz w:val="24"/>
                <w:szCs w:val="24"/>
              </w:rPr>
            </w:pPr>
            <w:r>
              <w:rPr>
                <w:rFonts w:hint="eastAsia"/>
                <w:sz w:val="24"/>
                <w:szCs w:val="24"/>
              </w:rPr>
              <w:t>10.1.1</w:t>
            </w:r>
          </w:p>
        </w:tc>
        <w:tc>
          <w:tcPr>
            <w:tcW w:w="1196" w:type="dxa"/>
            <w:gridSpan w:val="3"/>
            <w:tcBorders>
              <w:top w:val="single" w:color="auto" w:sz="4" w:space="0"/>
              <w:left w:val="nil"/>
              <w:bottom w:val="single" w:color="auto" w:sz="4" w:space="0"/>
              <w:right w:val="single" w:color="auto" w:sz="4" w:space="0"/>
            </w:tcBorders>
            <w:vAlign w:val="center"/>
          </w:tcPr>
          <w:p>
            <w:pPr>
              <w:spacing w:line="460" w:lineRule="exact"/>
              <w:contextualSpacing/>
              <w:rPr>
                <w:rFonts w:ascii="宋体" w:hAnsi="宋体" w:cs="黑体"/>
                <w:kern w:val="0"/>
                <w:sz w:val="24"/>
                <w:szCs w:val="24"/>
              </w:rPr>
            </w:pPr>
            <w:r>
              <w:rPr>
                <w:rFonts w:hint="eastAsia" w:ascii="宋体" w:hAnsi="宋体"/>
                <w:sz w:val="24"/>
                <w:szCs w:val="24"/>
              </w:rPr>
              <w:t>类似项目</w:t>
            </w:r>
          </w:p>
        </w:tc>
        <w:tc>
          <w:tcPr>
            <w:tcW w:w="6346" w:type="dxa"/>
            <w:tcBorders>
              <w:top w:val="single" w:color="auto" w:sz="4" w:space="0"/>
              <w:left w:val="nil"/>
              <w:bottom w:val="single" w:color="auto" w:sz="4" w:space="0"/>
              <w:right w:val="single" w:color="auto" w:sz="4" w:space="0"/>
            </w:tcBorders>
            <w:vAlign w:val="center"/>
          </w:tcPr>
          <w:p>
            <w:pPr>
              <w:spacing w:line="460" w:lineRule="exact"/>
              <w:contextualSpacing/>
              <w:rPr>
                <w:rFonts w:ascii="宋体" w:hAnsi="宋体"/>
                <w:sz w:val="24"/>
              </w:rPr>
            </w:pPr>
            <w:r>
              <w:rPr>
                <w:rFonts w:hint="eastAsia" w:ascii="宋体" w:hAnsi="宋体"/>
                <w:sz w:val="24"/>
              </w:rPr>
              <w:t>201</w:t>
            </w:r>
            <w:r>
              <w:rPr>
                <w:rFonts w:hint="eastAsia" w:ascii="宋体" w:hAnsi="宋体"/>
                <w:sz w:val="24"/>
                <w:lang w:val="en-US" w:eastAsia="zh-CN"/>
              </w:rPr>
              <w:t>9</w:t>
            </w:r>
            <w:r>
              <w:rPr>
                <w:rFonts w:hint="eastAsia" w:ascii="宋体" w:hAnsi="宋体"/>
                <w:sz w:val="24"/>
              </w:rPr>
              <w:t>年1月1日以来承建的类似项目（以合同签订日期为准）。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38" w:type="dxa"/>
            <w:tcBorders>
              <w:top w:val="single" w:color="auto" w:sz="4" w:space="0"/>
              <w:left w:val="single" w:color="auto" w:sz="4" w:space="0"/>
              <w:bottom w:val="single" w:color="auto" w:sz="4" w:space="0"/>
              <w:right w:val="single" w:color="auto" w:sz="4" w:space="0"/>
            </w:tcBorders>
            <w:vAlign w:val="center"/>
          </w:tcPr>
          <w:p>
            <w:pPr>
              <w:spacing w:line="460" w:lineRule="exact"/>
              <w:contextualSpacing/>
              <w:jc w:val="center"/>
              <w:rPr>
                <w:color w:val="000000"/>
                <w:sz w:val="24"/>
                <w:szCs w:val="24"/>
              </w:rPr>
            </w:pPr>
            <w:r>
              <w:rPr>
                <w:rFonts w:hint="eastAsia"/>
                <w:color w:val="000000"/>
                <w:sz w:val="24"/>
                <w:szCs w:val="24"/>
              </w:rPr>
              <w:t>10.2</w:t>
            </w:r>
          </w:p>
        </w:tc>
        <w:tc>
          <w:tcPr>
            <w:tcW w:w="1196" w:type="dxa"/>
            <w:gridSpan w:val="3"/>
            <w:tcBorders>
              <w:top w:val="single" w:color="auto" w:sz="4" w:space="0"/>
              <w:left w:val="nil"/>
              <w:bottom w:val="single" w:color="auto" w:sz="4" w:space="0"/>
              <w:right w:val="single" w:color="auto" w:sz="4" w:space="0"/>
            </w:tcBorders>
            <w:vAlign w:val="center"/>
          </w:tcPr>
          <w:p>
            <w:pPr>
              <w:autoSpaceDE w:val="0"/>
              <w:autoSpaceDN w:val="0"/>
              <w:spacing w:line="460" w:lineRule="exact"/>
              <w:contextualSpacing/>
              <w:jc w:val="center"/>
              <w:rPr>
                <w:color w:val="000000" w:themeColor="text1"/>
                <w:sz w:val="24"/>
                <w:szCs w:val="24"/>
                <w14:textFill>
                  <w14:solidFill>
                    <w14:schemeClr w14:val="tx1"/>
                  </w14:solidFill>
                </w14:textFill>
              </w:rPr>
            </w:pPr>
            <w:r>
              <w:rPr>
                <w:rFonts w:hint="eastAsia" w:ascii="宋体" w:hAnsi="宋体" w:cs="黑体"/>
                <w:color w:val="000000" w:themeColor="text1"/>
                <w:kern w:val="0"/>
                <w:sz w:val="24"/>
                <w:szCs w:val="24"/>
                <w14:textFill>
                  <w14:solidFill>
                    <w14:schemeClr w14:val="tx1"/>
                  </w14:solidFill>
                </w14:textFill>
              </w:rPr>
              <w:t>招标控制价</w:t>
            </w:r>
          </w:p>
        </w:tc>
        <w:tc>
          <w:tcPr>
            <w:tcW w:w="6346" w:type="dxa"/>
            <w:tcBorders>
              <w:top w:val="single" w:color="auto" w:sz="4" w:space="0"/>
              <w:left w:val="nil"/>
              <w:bottom w:val="single" w:color="auto" w:sz="4" w:space="0"/>
              <w:right w:val="single" w:color="auto" w:sz="4" w:space="0"/>
            </w:tcBorders>
            <w:vAlign w:val="center"/>
          </w:tcPr>
          <w:p>
            <w:pPr>
              <w:spacing w:line="460" w:lineRule="exact"/>
              <w:contextualSpacing/>
              <w:outlineLvl w:val="0"/>
              <w:rPr>
                <w:rFonts w:ascii="宋体" w:hAnsi="宋体"/>
                <w:b/>
                <w:bCs/>
                <w:color w:val="000000" w:themeColor="text1"/>
                <w:kern w:val="0"/>
                <w:sz w:val="24"/>
                <w:szCs w:val="24"/>
                <w14:textFill>
                  <w14:solidFill>
                    <w14:schemeClr w14:val="tx1"/>
                  </w14:solidFill>
                </w14:textFill>
              </w:rPr>
            </w:pPr>
            <w:r>
              <w:rPr>
                <w:rFonts w:hint="eastAsia" w:ascii="宋体" w:hAnsi="宋体"/>
                <w:b/>
                <w:bCs/>
                <w:color w:val="000000" w:themeColor="text1"/>
                <w:kern w:val="0"/>
                <w:sz w:val="24"/>
                <w:szCs w:val="24"/>
                <w14:textFill>
                  <w14:solidFill>
                    <w14:schemeClr w14:val="tx1"/>
                  </w14:solidFill>
                </w14:textFill>
              </w:rPr>
              <w:t>招标控制价：</w:t>
            </w:r>
            <w:r>
              <w:rPr>
                <w:rFonts w:hint="eastAsia" w:ascii="宋体" w:hAnsi="宋体"/>
                <w:b/>
                <w:bCs/>
                <w:color w:val="000000" w:themeColor="text1"/>
                <w:kern w:val="0"/>
                <w:sz w:val="24"/>
                <w:szCs w:val="24"/>
                <w:lang w:val="en-US" w:eastAsia="zh-CN"/>
                <w14:textFill>
                  <w14:solidFill>
                    <w14:schemeClr w14:val="tx1"/>
                  </w14:solidFill>
                </w14:textFill>
              </w:rPr>
              <w:t>壹仟零柒拾壹万伍仟贰佰肆拾壹元伍角贰分</w:t>
            </w:r>
            <w:r>
              <w:rPr>
                <w:rFonts w:hint="eastAsia" w:ascii="宋体" w:hAnsi="宋体"/>
                <w:b/>
                <w:bCs/>
                <w:color w:val="000000" w:themeColor="text1"/>
                <w:kern w:val="0"/>
                <w:sz w:val="24"/>
                <w:szCs w:val="24"/>
                <w14:textFill>
                  <w14:solidFill>
                    <w14:schemeClr w14:val="tx1"/>
                  </w14:solidFill>
                </w14:textFill>
              </w:rPr>
              <w:t>（￥</w:t>
            </w:r>
            <w:r>
              <w:rPr>
                <w:rFonts w:hint="eastAsia" w:ascii="宋体" w:hAnsi="宋体"/>
                <w:b/>
                <w:bCs/>
                <w:color w:val="000000" w:themeColor="text1"/>
                <w:kern w:val="0"/>
                <w:sz w:val="24"/>
                <w:szCs w:val="24"/>
                <w:lang w:val="en-US" w:eastAsia="zh-CN"/>
                <w14:textFill>
                  <w14:solidFill>
                    <w14:schemeClr w14:val="tx1"/>
                  </w14:solidFill>
                </w14:textFill>
              </w:rPr>
              <w:t>10715241</w:t>
            </w:r>
            <w:r>
              <w:rPr>
                <w:rFonts w:hint="eastAsia" w:ascii="宋体" w:hAnsi="宋体"/>
                <w:b/>
                <w:bCs/>
                <w:color w:val="000000" w:themeColor="text1"/>
                <w:kern w:val="0"/>
                <w:sz w:val="24"/>
                <w:szCs w:val="24"/>
                <w14:textFill>
                  <w14:solidFill>
                    <w14:schemeClr w14:val="tx1"/>
                  </w14:solidFill>
                </w14:textFill>
              </w:rPr>
              <w:t>.</w:t>
            </w:r>
            <w:r>
              <w:rPr>
                <w:rFonts w:hint="eastAsia" w:ascii="宋体" w:hAnsi="宋体"/>
                <w:b/>
                <w:bCs/>
                <w:color w:val="000000" w:themeColor="text1"/>
                <w:kern w:val="0"/>
                <w:sz w:val="24"/>
                <w:szCs w:val="24"/>
                <w:lang w:val="en-US" w:eastAsia="zh-CN"/>
                <w14:textFill>
                  <w14:solidFill>
                    <w14:schemeClr w14:val="tx1"/>
                  </w14:solidFill>
                </w14:textFill>
              </w:rPr>
              <w:t>52</w:t>
            </w:r>
            <w:r>
              <w:rPr>
                <w:rFonts w:hint="eastAsia" w:ascii="宋体" w:hAnsi="宋体"/>
                <w:b/>
                <w:bCs/>
                <w:color w:val="000000" w:themeColor="text1"/>
                <w:kern w:val="0"/>
                <w:sz w:val="24"/>
                <w:szCs w:val="24"/>
                <w14:textFill>
                  <w14:solidFill>
                    <w14:schemeClr w14:val="tx1"/>
                  </w14:solidFill>
                </w14:textFill>
              </w:rPr>
              <w:t>元）。</w:t>
            </w:r>
          </w:p>
          <w:p>
            <w:pPr>
              <w:spacing w:line="460" w:lineRule="exact"/>
              <w:ind w:firstLine="482" w:firstLineChars="200"/>
              <w:contextualSpacing/>
              <w:outlineLvl w:val="0"/>
              <w:rPr>
                <w:rFonts w:ascii="宋体" w:hAnsi="宋体"/>
                <w:b/>
                <w:bCs/>
                <w:color w:val="000000" w:themeColor="text1"/>
                <w:kern w:val="0"/>
                <w:sz w:val="24"/>
                <w:szCs w:val="24"/>
                <w14:textFill>
                  <w14:solidFill>
                    <w14:schemeClr w14:val="tx1"/>
                  </w14:solidFill>
                </w14:textFill>
              </w:rPr>
            </w:pPr>
            <w:r>
              <w:rPr>
                <w:rFonts w:hint="eastAsia" w:ascii="宋体" w:hAnsi="宋体"/>
                <w:b/>
                <w:bCs/>
                <w:color w:val="000000" w:themeColor="text1"/>
                <w:kern w:val="0"/>
                <w:sz w:val="24"/>
                <w:szCs w:val="24"/>
                <w14:textFill>
                  <w14:solidFill>
                    <w14:schemeClr w14:val="tx1"/>
                  </w14:solidFill>
                </w14:textFill>
              </w:rPr>
              <w:t>招标控制价由招标人依据国家计价规范、《河南省建设工程工程量清单招标控制价管理规定》、河南省现行计价依据的规定编制。</w:t>
            </w:r>
          </w:p>
          <w:p>
            <w:pPr>
              <w:spacing w:line="460" w:lineRule="exact"/>
              <w:ind w:firstLine="472" w:firstLineChars="196"/>
              <w:contextualSpacing/>
              <w:outlineLvl w:val="0"/>
              <w:rPr>
                <w:rFonts w:ascii="宋体" w:hAnsi="宋体"/>
                <w:b/>
                <w:bCs/>
                <w:color w:val="000000" w:themeColor="text1"/>
                <w:kern w:val="0"/>
                <w:sz w:val="24"/>
                <w:szCs w:val="24"/>
                <w14:textFill>
                  <w14:solidFill>
                    <w14:schemeClr w14:val="tx1"/>
                  </w14:solidFill>
                </w14:textFill>
              </w:rPr>
            </w:pPr>
            <w:bookmarkStart w:id="25" w:name="_Toc13776"/>
            <w:r>
              <w:rPr>
                <w:rFonts w:hint="eastAsia" w:ascii="宋体" w:hAnsi="宋体"/>
                <w:b/>
                <w:bCs/>
                <w:color w:val="000000" w:themeColor="text1"/>
                <w:kern w:val="0"/>
                <w:sz w:val="24"/>
                <w:szCs w:val="24"/>
                <w14:textFill>
                  <w14:solidFill>
                    <w14:schemeClr w14:val="tx1"/>
                  </w14:solidFill>
                </w14:textFill>
              </w:rPr>
              <w:t>凡投标人的投标总报价高于招标控制价（不含等于“招标控制价”）的或单项工程报价高于单项工程招标控制价（不含等于“单项工程招标控制价”），该投标人的投标文件应予拒绝。</w:t>
            </w:r>
            <w:bookmarkEnd w:id="2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580" w:type="dxa"/>
            <w:gridSpan w:val="5"/>
            <w:tcBorders>
              <w:top w:val="single" w:color="auto" w:sz="4" w:space="0"/>
              <w:left w:val="single" w:color="auto" w:sz="4" w:space="0"/>
              <w:bottom w:val="single" w:color="auto" w:sz="4" w:space="0"/>
              <w:right w:val="single" w:color="auto" w:sz="4" w:space="0"/>
            </w:tcBorders>
            <w:vAlign w:val="center"/>
          </w:tcPr>
          <w:p>
            <w:pPr>
              <w:spacing w:line="460" w:lineRule="exact"/>
              <w:contextualSpacing/>
              <w:rPr>
                <w:sz w:val="24"/>
                <w:szCs w:val="24"/>
              </w:rPr>
            </w:pPr>
            <w:r>
              <w:rPr>
                <w:rFonts w:hint="eastAsia"/>
                <w:sz w:val="24"/>
                <w:szCs w:val="24"/>
              </w:rPr>
              <w:t>10.4</w:t>
            </w:r>
            <w:r>
              <w:rPr>
                <w:rFonts w:hint="eastAsia" w:ascii="宋体" w:hAnsi="宋体"/>
                <w:sz w:val="24"/>
                <w:szCs w:val="24"/>
              </w:rPr>
              <w:t>投标人代表出席开标会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62"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spacing w:line="460" w:lineRule="exact"/>
              <w:contextualSpacing/>
              <w:jc w:val="left"/>
              <w:rPr>
                <w:rFonts w:ascii="宋体" w:hAnsi="宋体" w:cs="TimesNewRomanPSMT"/>
                <w:kern w:val="0"/>
                <w:sz w:val="24"/>
                <w:szCs w:val="24"/>
              </w:rPr>
            </w:pPr>
          </w:p>
        </w:tc>
        <w:tc>
          <w:tcPr>
            <w:tcW w:w="7518" w:type="dxa"/>
            <w:gridSpan w:val="3"/>
            <w:tcBorders>
              <w:top w:val="single" w:color="auto" w:sz="4" w:space="0"/>
              <w:left w:val="nil"/>
              <w:bottom w:val="single" w:color="auto" w:sz="4" w:space="0"/>
              <w:right w:val="single" w:color="auto" w:sz="4" w:space="0"/>
            </w:tcBorders>
            <w:vAlign w:val="center"/>
          </w:tcPr>
          <w:p>
            <w:pPr>
              <w:spacing w:line="460" w:lineRule="exact"/>
              <w:ind w:firstLine="602" w:firstLineChars="250"/>
              <w:contextualSpacing/>
              <w:rPr>
                <w:rFonts w:ascii="宋体" w:hAnsi="宋体" w:cs="仿宋_GB2312"/>
                <w:b/>
                <w:bCs/>
                <w:kern w:val="0"/>
                <w:sz w:val="24"/>
                <w:szCs w:val="24"/>
              </w:rPr>
            </w:pPr>
            <w:r>
              <w:rPr>
                <w:rFonts w:hint="eastAsia" w:hAnsi="宋体" w:cs="宋体"/>
                <w:b/>
                <w:bCs/>
                <w:color w:val="000000"/>
                <w:sz w:val="24"/>
              </w:rPr>
              <w:t>投标人准时在网上参加投标、开标活动。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580" w:type="dxa"/>
            <w:gridSpan w:val="5"/>
            <w:tcBorders>
              <w:top w:val="single" w:color="auto" w:sz="4" w:space="0"/>
              <w:left w:val="single" w:color="auto" w:sz="4" w:space="0"/>
              <w:bottom w:val="single" w:color="auto" w:sz="4" w:space="0"/>
              <w:right w:val="single" w:color="auto" w:sz="4" w:space="0"/>
            </w:tcBorders>
            <w:vAlign w:val="center"/>
          </w:tcPr>
          <w:p>
            <w:pPr>
              <w:spacing w:line="460" w:lineRule="exact"/>
              <w:contextualSpacing/>
              <w:rPr>
                <w:color w:val="000000"/>
                <w:sz w:val="24"/>
                <w:szCs w:val="24"/>
              </w:rPr>
            </w:pPr>
            <w:r>
              <w:rPr>
                <w:rFonts w:hint="eastAsia"/>
                <w:color w:val="000000"/>
                <w:sz w:val="24"/>
                <w:szCs w:val="24"/>
              </w:rPr>
              <w:t>10.5</w:t>
            </w:r>
            <w:r>
              <w:rPr>
                <w:rFonts w:hint="eastAsia" w:ascii="宋体" w:hAnsi="宋体"/>
                <w:color w:val="000000"/>
                <w:sz w:val="24"/>
                <w:szCs w:val="24"/>
              </w:rPr>
              <w:t>中标公示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580" w:type="dxa"/>
            <w:gridSpan w:val="5"/>
            <w:tcBorders>
              <w:top w:val="single" w:color="auto" w:sz="4" w:space="0"/>
              <w:left w:val="single" w:color="auto" w:sz="4" w:space="0"/>
              <w:bottom w:val="single" w:color="auto" w:sz="4" w:space="0"/>
              <w:right w:val="single" w:color="auto" w:sz="4" w:space="0"/>
            </w:tcBorders>
            <w:vAlign w:val="center"/>
          </w:tcPr>
          <w:p>
            <w:pPr>
              <w:spacing w:line="460" w:lineRule="exact"/>
              <w:contextualSpacing/>
              <w:rPr>
                <w:rFonts w:ascii="宋体" w:hAnsi="宋体"/>
                <w:sz w:val="24"/>
                <w:szCs w:val="24"/>
              </w:rPr>
            </w:pPr>
            <w:r>
              <w:rPr>
                <w:rFonts w:hint="eastAsia" w:ascii="宋体" w:hAnsi="宋体"/>
                <w:sz w:val="24"/>
                <w:szCs w:val="24"/>
              </w:rPr>
              <w:t>1、在中标通知书发出前，招标人将中标候选人的情况在《河南省电子招标投标公共服务平台》、《全国公共资源交易平台(河南省</w:t>
            </w:r>
            <w:r>
              <w:rPr>
                <w:rFonts w:hint="eastAsia" w:ascii="MS Mincho" w:hAnsi="MS Mincho" w:eastAsia="MS Mincho" w:cs="MS Mincho"/>
                <w:sz w:val="24"/>
                <w:szCs w:val="24"/>
              </w:rPr>
              <w:t>▪</w:t>
            </w:r>
            <w:r>
              <w:rPr>
                <w:rFonts w:hint="eastAsia" w:ascii="宋体" w:hAnsi="宋体" w:cs="宋体"/>
                <w:sz w:val="24"/>
                <w:szCs w:val="24"/>
              </w:rPr>
              <w:t>许昌市</w:t>
            </w:r>
            <w:r>
              <w:rPr>
                <w:rFonts w:hint="eastAsia" w:ascii="宋体" w:hAnsi="宋体"/>
                <w:sz w:val="24"/>
                <w:szCs w:val="24"/>
              </w:rPr>
              <w:t>)》和《长葛市人民政府门户网站》予以公示，公示期不少于3日。</w:t>
            </w:r>
          </w:p>
          <w:p>
            <w:pPr>
              <w:spacing w:line="460" w:lineRule="exact"/>
              <w:contextualSpacing/>
              <w:rPr>
                <w:rFonts w:ascii="宋体" w:hAnsi="宋体"/>
                <w:sz w:val="24"/>
                <w:szCs w:val="24"/>
              </w:rPr>
            </w:pPr>
            <w:r>
              <w:rPr>
                <w:rFonts w:hint="eastAsia" w:ascii="宋体" w:hAnsi="宋体"/>
                <w:sz w:val="24"/>
                <w:szCs w:val="24"/>
              </w:rPr>
              <w:t>2、关于排名第一的中标候选人资格核验：排名第一的中标候选人，应当在评标结果公示期满且无异议后的5个工作日内，其在投标文件中约定的拟任项目经理，持以下证明材料，到项目招标单位接受资格核验：1、注册建造师证原件、身份证原件；2、投标文件中列明的所有证书、证件、证明材料原件（包括资质资格、业绩、社保等）。审核结果的真实性由招标人负责，并将结果（由招标人法定代表人签字并加盖单位公章）书面告知公共资源交易中心业务科室，业务科室依据核验结果按照相关程序协助招标人发出中标通知书。</w:t>
            </w:r>
          </w:p>
          <w:p>
            <w:pPr>
              <w:spacing w:line="460" w:lineRule="exact"/>
              <w:contextualSpacing/>
              <w:rPr>
                <w:rFonts w:ascii="宋体" w:hAnsi="宋体"/>
                <w:b/>
                <w:sz w:val="24"/>
                <w:szCs w:val="24"/>
              </w:rPr>
            </w:pPr>
            <w:r>
              <w:rPr>
                <w:rFonts w:hint="eastAsia" w:ascii="宋体" w:hAnsi="宋体"/>
                <w:b/>
                <w:sz w:val="24"/>
                <w:szCs w:val="24"/>
              </w:rPr>
              <w:t>核验中发现其存在弄虚作假、围标串标、挂靠借用资质等骗取中标行为的；或者被查实存在影响中标结果的违法行为等情形，不符合中标条件的；或逾期未按约定接受核验（视为放弃中标）的，招标人有权取消其中标资格。招标人将经法定代表人签字并加盖单位公章的核验结果书面告知公共资源交易中心业务科室。</w:t>
            </w:r>
          </w:p>
          <w:p>
            <w:pPr>
              <w:spacing w:line="460" w:lineRule="exact"/>
              <w:contextualSpacing/>
              <w:rPr>
                <w:b/>
                <w:bCs/>
                <w:sz w:val="24"/>
                <w:szCs w:val="24"/>
              </w:rPr>
            </w:pPr>
            <w:r>
              <w:rPr>
                <w:rFonts w:hint="eastAsia" w:ascii="宋体" w:hAnsi="宋体"/>
                <w:b/>
                <w:sz w:val="24"/>
                <w:szCs w:val="24"/>
              </w:rPr>
              <w:t>招标人可以按照评标委员会提出的中标候选人名单排序依次确定其他中标候选人为中标人。依次确定其他中标候选人与招标人预期差距较大，或者对招标人明显不利的，招标人可以重新招标。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580" w:type="dxa"/>
            <w:gridSpan w:val="5"/>
            <w:tcBorders>
              <w:top w:val="single" w:color="auto" w:sz="4" w:space="0"/>
              <w:left w:val="single" w:color="auto" w:sz="4" w:space="0"/>
              <w:bottom w:val="single" w:color="auto" w:sz="4" w:space="0"/>
              <w:right w:val="single" w:color="auto" w:sz="4" w:space="0"/>
            </w:tcBorders>
            <w:vAlign w:val="center"/>
          </w:tcPr>
          <w:p>
            <w:pPr>
              <w:spacing w:line="460" w:lineRule="exact"/>
              <w:ind w:left="240" w:hanging="240" w:hangingChars="100"/>
              <w:contextualSpacing/>
              <w:rPr>
                <w:color w:val="000000"/>
                <w:sz w:val="24"/>
                <w:szCs w:val="24"/>
              </w:rPr>
            </w:pPr>
            <w:r>
              <w:rPr>
                <w:rFonts w:hint="eastAsia"/>
                <w:color w:val="000000"/>
                <w:sz w:val="24"/>
                <w:szCs w:val="24"/>
              </w:rPr>
              <w:t>10.6</w:t>
            </w:r>
            <w:r>
              <w:rPr>
                <w:rFonts w:hint="eastAsia" w:ascii="宋体" w:hAnsi="宋体"/>
                <w:color w:val="000000"/>
                <w:sz w:val="24"/>
                <w:szCs w:val="24"/>
              </w:rPr>
              <w:t>知识产权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580" w:type="dxa"/>
            <w:gridSpan w:val="5"/>
            <w:tcBorders>
              <w:top w:val="single" w:color="auto" w:sz="4" w:space="0"/>
              <w:left w:val="single" w:color="auto" w:sz="4" w:space="0"/>
              <w:bottom w:val="single" w:color="auto" w:sz="4" w:space="0"/>
              <w:right w:val="single" w:color="auto" w:sz="4" w:space="0"/>
            </w:tcBorders>
            <w:vAlign w:val="center"/>
          </w:tcPr>
          <w:p>
            <w:pPr>
              <w:spacing w:line="460" w:lineRule="exact"/>
              <w:contextualSpacing/>
              <w:rPr>
                <w:color w:val="000000"/>
                <w:sz w:val="24"/>
                <w:szCs w:val="24"/>
              </w:rPr>
            </w:pPr>
            <w:r>
              <w:rPr>
                <w:rFonts w:hint="eastAsia"/>
                <w:color w:val="000000"/>
                <w:sz w:val="24"/>
                <w:szCs w:val="24"/>
              </w:rPr>
              <w:t>构成本招标文件各个组成部分的文件，未经招标人书面同意，投标人不得擅自复印和用于非本招标项目所需的其他目的。招标人全部或者部分使用未中标人投标文件中的技术成果或技术方案时，需征得其书面同意，并不得擅自复印或提供给第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580" w:type="dxa"/>
            <w:gridSpan w:val="5"/>
            <w:tcBorders>
              <w:top w:val="single" w:color="auto" w:sz="4" w:space="0"/>
              <w:left w:val="single" w:color="auto" w:sz="4" w:space="0"/>
              <w:bottom w:val="single" w:color="auto" w:sz="4" w:space="0"/>
              <w:right w:val="single" w:color="auto" w:sz="4" w:space="0"/>
            </w:tcBorders>
            <w:vAlign w:val="center"/>
          </w:tcPr>
          <w:p>
            <w:pPr>
              <w:spacing w:line="460" w:lineRule="exact"/>
              <w:contextualSpacing/>
              <w:rPr>
                <w:color w:val="000000"/>
                <w:sz w:val="24"/>
                <w:szCs w:val="24"/>
              </w:rPr>
            </w:pPr>
            <w:r>
              <w:rPr>
                <w:rFonts w:hint="eastAsia"/>
                <w:color w:val="000000"/>
                <w:sz w:val="24"/>
                <w:szCs w:val="24"/>
              </w:rPr>
              <w:t>10.7</w:t>
            </w:r>
            <w:r>
              <w:rPr>
                <w:rFonts w:hint="eastAsia" w:ascii="宋体" w:hAnsi="宋体"/>
                <w:color w:val="000000"/>
                <w:sz w:val="24"/>
                <w:szCs w:val="24"/>
              </w:rPr>
              <w:t>重新招标的其他情形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580" w:type="dxa"/>
            <w:gridSpan w:val="5"/>
            <w:tcBorders>
              <w:top w:val="single" w:color="auto" w:sz="4" w:space="0"/>
              <w:left w:val="single" w:color="auto" w:sz="4" w:space="0"/>
              <w:bottom w:val="single" w:color="auto" w:sz="4" w:space="0"/>
              <w:right w:val="single" w:color="auto" w:sz="4" w:space="0"/>
            </w:tcBorders>
            <w:vAlign w:val="center"/>
          </w:tcPr>
          <w:p>
            <w:pPr>
              <w:spacing w:line="460" w:lineRule="exact"/>
              <w:contextualSpacing/>
              <w:rPr>
                <w:color w:val="000000"/>
                <w:sz w:val="24"/>
                <w:szCs w:val="24"/>
              </w:rPr>
            </w:pPr>
            <w:r>
              <w:rPr>
                <w:rFonts w:hint="eastAsia"/>
                <w:color w:val="000000"/>
                <w:sz w:val="24"/>
                <w:szCs w:val="24"/>
              </w:rPr>
              <w:t>除投标人须知正文第8</w:t>
            </w:r>
            <w:r>
              <w:rPr>
                <w:rFonts w:hint="eastAsia" w:ascii="宋体" w:hAnsi="宋体"/>
                <w:color w:val="000000"/>
                <w:sz w:val="24"/>
                <w:szCs w:val="24"/>
              </w:rPr>
              <w:t>条规定的情形外，除非已经产生中标候选人，在投标有效期内同意延长投标有效期的投标人少于三个的，招标人应当依法重新招标。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580" w:type="dxa"/>
            <w:gridSpan w:val="5"/>
            <w:tcBorders>
              <w:top w:val="single" w:color="auto" w:sz="4" w:space="0"/>
              <w:left w:val="single" w:color="auto" w:sz="4" w:space="0"/>
              <w:bottom w:val="single" w:color="auto" w:sz="4" w:space="0"/>
              <w:right w:val="single" w:color="auto" w:sz="4" w:space="0"/>
            </w:tcBorders>
            <w:vAlign w:val="center"/>
          </w:tcPr>
          <w:p>
            <w:pPr>
              <w:spacing w:line="460" w:lineRule="exact"/>
              <w:ind w:left="0" w:leftChars="0" w:hanging="10" w:firstLineChars="0"/>
              <w:contextualSpacing/>
              <w:jc w:val="both"/>
              <w:rPr>
                <w:color w:val="000000"/>
                <w:sz w:val="24"/>
                <w:szCs w:val="24"/>
              </w:rPr>
            </w:pPr>
            <w:r>
              <w:rPr>
                <w:rFonts w:hint="eastAsia"/>
                <w:color w:val="000000"/>
                <w:sz w:val="24"/>
                <w:szCs w:val="24"/>
              </w:rPr>
              <w:t>10.8</w:t>
            </w:r>
            <w:r>
              <w:rPr>
                <w:rFonts w:hint="eastAsia" w:ascii="宋体" w:hAnsi="宋体"/>
                <w:color w:val="000000"/>
                <w:sz w:val="24"/>
                <w:szCs w:val="24"/>
              </w:rPr>
              <w:t>同义词语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580" w:type="dxa"/>
            <w:gridSpan w:val="5"/>
            <w:tcBorders>
              <w:top w:val="single" w:color="auto" w:sz="4" w:space="0"/>
              <w:left w:val="single" w:color="auto" w:sz="4" w:space="0"/>
              <w:bottom w:val="single" w:color="auto" w:sz="4" w:space="0"/>
              <w:right w:val="single" w:color="auto" w:sz="4" w:space="0"/>
            </w:tcBorders>
            <w:vAlign w:val="center"/>
          </w:tcPr>
          <w:p>
            <w:pPr>
              <w:spacing w:line="460" w:lineRule="exact"/>
              <w:contextualSpacing/>
              <w:rPr>
                <w:color w:val="000000"/>
                <w:sz w:val="24"/>
                <w:szCs w:val="24"/>
              </w:rPr>
            </w:pPr>
            <w:r>
              <w:rPr>
                <w:rFonts w:hint="eastAsia"/>
                <w:color w:val="000000"/>
                <w:sz w:val="24"/>
                <w:szCs w:val="24"/>
              </w:rPr>
              <w:t>构成招标文件组成部分的“通用合同条款”、“专用合同条款”、“技术标准和要求”和“工程量清单”等章节中出现的措辞“发包人”和“承包人”，在招标投标阶段应当分别按“招标人”和“投标人”进行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580" w:type="dxa"/>
            <w:gridSpan w:val="5"/>
            <w:tcBorders>
              <w:top w:val="single" w:color="auto" w:sz="4" w:space="0"/>
              <w:left w:val="single" w:color="auto" w:sz="4" w:space="0"/>
              <w:bottom w:val="single" w:color="auto" w:sz="4" w:space="0"/>
              <w:right w:val="single" w:color="auto" w:sz="4" w:space="0"/>
            </w:tcBorders>
            <w:vAlign w:val="center"/>
          </w:tcPr>
          <w:p>
            <w:pPr>
              <w:spacing w:line="460" w:lineRule="exact"/>
              <w:ind w:left="240" w:hanging="240"/>
              <w:contextualSpacing/>
              <w:rPr>
                <w:color w:val="000000"/>
                <w:sz w:val="24"/>
                <w:szCs w:val="24"/>
              </w:rPr>
            </w:pPr>
            <w:r>
              <w:rPr>
                <w:rFonts w:hint="eastAsia"/>
                <w:color w:val="000000"/>
                <w:sz w:val="24"/>
                <w:szCs w:val="24"/>
              </w:rPr>
              <w:t>10.9</w:t>
            </w:r>
            <w:r>
              <w:rPr>
                <w:rFonts w:hint="eastAsia" w:ascii="宋体" w:hAnsi="宋体"/>
                <w:color w:val="000000"/>
                <w:sz w:val="24"/>
                <w:szCs w:val="24"/>
              </w:rPr>
              <w:t>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580" w:type="dxa"/>
            <w:gridSpan w:val="5"/>
            <w:tcBorders>
              <w:top w:val="single" w:color="auto" w:sz="4" w:space="0"/>
              <w:left w:val="single" w:color="auto" w:sz="4" w:space="0"/>
              <w:bottom w:val="single" w:color="auto" w:sz="4" w:space="0"/>
              <w:right w:val="single" w:color="auto" w:sz="4" w:space="0"/>
            </w:tcBorders>
            <w:vAlign w:val="center"/>
          </w:tcPr>
          <w:p>
            <w:pPr>
              <w:spacing w:line="460" w:lineRule="exact"/>
              <w:contextualSpacing/>
              <w:rPr>
                <w:color w:val="000000"/>
                <w:sz w:val="24"/>
                <w:szCs w:val="24"/>
              </w:rPr>
            </w:pPr>
            <w:r>
              <w:rPr>
                <w:rFonts w:hint="eastAsia"/>
                <w:color w:val="000000"/>
                <w:sz w:val="24"/>
                <w:szCs w:val="24"/>
              </w:rPr>
              <w:t>本项目的招标投标活动及其相关当事人应当接受有管辖权的招标投标行政监督部门依法实施的监督。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580" w:type="dxa"/>
            <w:gridSpan w:val="5"/>
            <w:tcBorders>
              <w:top w:val="single" w:color="auto" w:sz="4" w:space="0"/>
              <w:left w:val="single" w:color="auto" w:sz="4" w:space="0"/>
              <w:bottom w:val="single" w:color="auto" w:sz="4" w:space="0"/>
              <w:right w:val="single" w:color="auto" w:sz="4" w:space="0"/>
            </w:tcBorders>
            <w:vAlign w:val="center"/>
          </w:tcPr>
          <w:p>
            <w:pPr>
              <w:spacing w:line="460" w:lineRule="exact"/>
              <w:ind w:left="240" w:hanging="240"/>
              <w:contextualSpacing/>
              <w:rPr>
                <w:color w:val="000000"/>
                <w:sz w:val="24"/>
                <w:szCs w:val="24"/>
              </w:rPr>
            </w:pPr>
            <w:r>
              <w:rPr>
                <w:rFonts w:hint="eastAsia"/>
                <w:color w:val="000000"/>
                <w:sz w:val="24"/>
                <w:szCs w:val="24"/>
              </w:rPr>
              <w:t>10.10</w:t>
            </w:r>
            <w:r>
              <w:rPr>
                <w:rFonts w:hint="eastAsia" w:ascii="宋体" w:hAnsi="宋体"/>
                <w:color w:val="000000"/>
                <w:sz w:val="24"/>
                <w:szCs w:val="24"/>
              </w:rPr>
              <w:t>解释权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580" w:type="dxa"/>
            <w:gridSpan w:val="5"/>
            <w:tcBorders>
              <w:top w:val="single" w:color="auto" w:sz="4" w:space="0"/>
              <w:left w:val="single" w:color="auto" w:sz="4" w:space="0"/>
              <w:bottom w:val="single" w:color="auto" w:sz="4" w:space="0"/>
              <w:right w:val="single" w:color="auto" w:sz="4" w:space="0"/>
            </w:tcBorders>
            <w:vAlign w:val="center"/>
          </w:tcPr>
          <w:p>
            <w:pPr>
              <w:spacing w:line="460" w:lineRule="exact"/>
              <w:contextualSpacing/>
              <w:rPr>
                <w:color w:val="000000"/>
                <w:sz w:val="24"/>
                <w:szCs w:val="24"/>
              </w:rPr>
            </w:pPr>
            <w:r>
              <w:rPr>
                <w:rFonts w:hint="eastAsia"/>
                <w:color w:val="000000"/>
                <w:sz w:val="24"/>
                <w:szCs w:val="24"/>
              </w:rPr>
              <w:t>构成本招标文件的各个组成文件应互为解释，互为说明；如有不明确或不一致，构成合同文件组成内容的，以合同文件约定内容为准，且以专用合同条款约定的合同文件优先顺序解释；除招标文件中有特别规定外，仅适用于招标投标阶段的规定，按招标公告（投标邀请书）、投标人须知、评标办法、投标文件格式的先后顺序解释；同一组成文件中就同一事项的规定或约定不一致的，以编排顺序在后者为准；同一组成文件不同版本之间有不一致的，以形成时间在后者为准。按本款前述规定仍不能形成结论的，由招标人负责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580"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spacing w:line="460" w:lineRule="exact"/>
              <w:contextualSpacing/>
              <w:jc w:val="left"/>
              <w:outlineLvl w:val="0"/>
              <w:rPr>
                <w:rFonts w:ascii="新宋体" w:hAnsi="新宋体" w:eastAsia="新宋体" w:cs="宋体"/>
                <w:kern w:val="0"/>
                <w:sz w:val="24"/>
                <w:szCs w:val="24"/>
              </w:rPr>
            </w:pPr>
            <w:bookmarkStart w:id="26" w:name="_Toc464824557"/>
            <w:r>
              <w:rPr>
                <w:rFonts w:hint="eastAsia" w:ascii="新宋体" w:hAnsi="新宋体" w:eastAsia="新宋体" w:cs="宋体"/>
                <w:kern w:val="0"/>
                <w:sz w:val="24"/>
                <w:szCs w:val="24"/>
              </w:rPr>
              <w:t>10.1</w:t>
            </w:r>
            <w:r>
              <w:rPr>
                <w:rFonts w:hint="eastAsia" w:ascii="新宋体" w:hAnsi="新宋体" w:eastAsia="新宋体" w:cs="宋体"/>
                <w:kern w:val="0"/>
                <w:sz w:val="24"/>
                <w:szCs w:val="24"/>
                <w:lang w:val="en-US" w:eastAsia="zh-CN"/>
              </w:rPr>
              <w:t>1</w:t>
            </w:r>
            <w:r>
              <w:rPr>
                <w:rFonts w:hint="eastAsia" w:ascii="新宋体" w:hAnsi="新宋体" w:eastAsia="新宋体" w:cs="宋体"/>
                <w:kern w:val="0"/>
                <w:sz w:val="24"/>
                <w:szCs w:val="24"/>
              </w:rPr>
              <w:t>招标代理费</w:t>
            </w:r>
            <w:bookmarkEnd w:id="2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580"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spacing w:line="460" w:lineRule="exact"/>
              <w:contextualSpacing/>
              <w:jc w:val="left"/>
              <w:outlineLvl w:val="0"/>
              <w:rPr>
                <w:rFonts w:ascii="新宋体" w:hAnsi="新宋体" w:eastAsia="新宋体" w:cs="宋体"/>
                <w:kern w:val="0"/>
                <w:sz w:val="24"/>
                <w:szCs w:val="24"/>
              </w:rPr>
            </w:pPr>
            <w:bookmarkStart w:id="27" w:name="_Toc5119"/>
            <w:r>
              <w:rPr>
                <w:sz w:val="24"/>
                <w:szCs w:val="24"/>
              </w:rPr>
              <w:t>由</w:t>
            </w:r>
            <w:bookmarkEnd w:id="27"/>
            <w:r>
              <w:rPr>
                <w:rFonts w:hint="eastAsia"/>
                <w:sz w:val="24"/>
                <w:szCs w:val="24"/>
              </w:rPr>
              <w:t>中标</w:t>
            </w:r>
            <w:r>
              <w:rPr>
                <w:sz w:val="24"/>
                <w:szCs w:val="24"/>
              </w:rPr>
              <w:t>人</w:t>
            </w:r>
            <w:r>
              <w:rPr>
                <w:rFonts w:hint="eastAsia"/>
                <w:sz w:val="24"/>
                <w:szCs w:val="24"/>
              </w:rPr>
              <w:t>向招标代理机构</w:t>
            </w:r>
            <w:r>
              <w:rPr>
                <w:sz w:val="24"/>
                <w:szCs w:val="24"/>
              </w:rPr>
              <w:t>支付</w:t>
            </w:r>
            <w:r>
              <w:rPr>
                <w:rFonts w:hint="eastAsia"/>
                <w:sz w:val="24"/>
                <w:szCs w:val="24"/>
              </w:rPr>
              <w:t>服务费及相关费用</w:t>
            </w:r>
            <w:r>
              <w:rPr>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580"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spacing w:line="460" w:lineRule="exact"/>
              <w:contextualSpacing/>
              <w:jc w:val="left"/>
              <w:outlineLvl w:val="0"/>
              <w:rPr>
                <w:rFonts w:ascii="宋体" w:hAnsi="宋体" w:cs="仿宋_GB2312"/>
                <w:b/>
                <w:bCs/>
                <w:kern w:val="0"/>
                <w:sz w:val="24"/>
                <w:szCs w:val="24"/>
              </w:rPr>
            </w:pPr>
            <w:bookmarkStart w:id="28" w:name="_Toc397507523"/>
            <w:r>
              <w:rPr>
                <w:rFonts w:hint="eastAsia" w:ascii="宋体" w:hAnsi="宋体" w:cs="仿宋_GB2312"/>
                <w:b/>
                <w:bCs/>
                <w:kern w:val="0"/>
                <w:sz w:val="24"/>
                <w:szCs w:val="24"/>
              </w:rPr>
              <w:t>10.1</w:t>
            </w:r>
            <w:bookmarkEnd w:id="28"/>
            <w:r>
              <w:rPr>
                <w:rFonts w:hint="eastAsia" w:ascii="宋体" w:hAnsi="宋体" w:cs="仿宋_GB2312"/>
                <w:b/>
                <w:bCs/>
                <w:kern w:val="0"/>
                <w:sz w:val="24"/>
                <w:szCs w:val="24"/>
                <w:lang w:val="en-US" w:eastAsia="zh-CN"/>
              </w:rPr>
              <w:t>2</w:t>
            </w:r>
            <w:r>
              <w:rPr>
                <w:rFonts w:hint="eastAsia" w:ascii="宋体" w:hAnsi="宋体"/>
                <w:b/>
                <w:bCs/>
                <w:sz w:val="24"/>
                <w:szCs w:val="24"/>
              </w:rPr>
              <w:t>履约担保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342" w:type="dxa"/>
            <w:gridSpan w:val="3"/>
            <w:tcBorders>
              <w:top w:val="single" w:color="auto" w:sz="4" w:space="0"/>
              <w:left w:val="single" w:color="auto" w:sz="4" w:space="0"/>
              <w:bottom w:val="single" w:color="auto" w:sz="4" w:space="0"/>
              <w:right w:val="single" w:color="auto" w:sz="4" w:space="0"/>
            </w:tcBorders>
            <w:vAlign w:val="center"/>
          </w:tcPr>
          <w:p>
            <w:pPr>
              <w:spacing w:line="460" w:lineRule="exact"/>
              <w:contextualSpacing/>
              <w:rPr>
                <w:b/>
                <w:bCs/>
                <w:color w:val="auto"/>
                <w:sz w:val="24"/>
                <w:szCs w:val="24"/>
              </w:rPr>
            </w:pPr>
          </w:p>
        </w:tc>
        <w:tc>
          <w:tcPr>
            <w:tcW w:w="7238" w:type="dxa"/>
            <w:gridSpan w:val="2"/>
            <w:tcBorders>
              <w:top w:val="single" w:color="auto" w:sz="4" w:space="0"/>
              <w:left w:val="nil"/>
              <w:bottom w:val="single" w:color="auto" w:sz="4" w:space="0"/>
              <w:right w:val="single" w:color="auto" w:sz="4" w:space="0"/>
            </w:tcBorders>
          </w:tcPr>
          <w:p>
            <w:pPr>
              <w:autoSpaceDE w:val="0"/>
              <w:autoSpaceDN w:val="0"/>
              <w:spacing w:line="460" w:lineRule="exact"/>
              <w:contextualSpacing/>
              <w:jc w:val="left"/>
              <w:outlineLvl w:val="0"/>
              <w:rPr>
                <w:rFonts w:ascii="宋体" w:hAnsi="宋体" w:cs="仿宋_GB2312"/>
                <w:b/>
                <w:bCs/>
                <w:color w:val="FF0000"/>
                <w:kern w:val="0"/>
                <w:sz w:val="24"/>
                <w:szCs w:val="24"/>
              </w:rPr>
            </w:pPr>
            <w:r>
              <w:rPr>
                <w:rFonts w:hint="eastAsia" w:ascii="宋体" w:hAnsi="宋体" w:cs="仿宋_GB2312"/>
                <w:b/>
                <w:bCs/>
                <w:color w:val="FF0000"/>
                <w:kern w:val="0"/>
                <w:sz w:val="24"/>
                <w:szCs w:val="24"/>
              </w:rPr>
              <w:t>开户行：中国工商银行股份有限公司长葛支行</w:t>
            </w:r>
          </w:p>
          <w:p>
            <w:pPr>
              <w:autoSpaceDE w:val="0"/>
              <w:autoSpaceDN w:val="0"/>
              <w:spacing w:line="460" w:lineRule="exact"/>
              <w:contextualSpacing/>
              <w:jc w:val="left"/>
              <w:outlineLvl w:val="0"/>
              <w:rPr>
                <w:rFonts w:ascii="宋体" w:hAnsi="宋体" w:cs="仿宋_GB2312"/>
                <w:b/>
                <w:bCs/>
                <w:color w:val="FF0000"/>
                <w:kern w:val="0"/>
                <w:sz w:val="24"/>
                <w:szCs w:val="24"/>
              </w:rPr>
            </w:pPr>
            <w:r>
              <w:rPr>
                <w:rFonts w:hint="eastAsia" w:ascii="宋体" w:hAnsi="宋体" w:cs="仿宋_GB2312"/>
                <w:b/>
                <w:bCs/>
                <w:color w:val="FF0000"/>
                <w:kern w:val="0"/>
                <w:sz w:val="24"/>
                <w:szCs w:val="24"/>
              </w:rPr>
              <w:t>户  名：长葛市公共资源交易中心</w:t>
            </w:r>
          </w:p>
          <w:p>
            <w:pPr>
              <w:autoSpaceDE w:val="0"/>
              <w:autoSpaceDN w:val="0"/>
              <w:spacing w:line="460" w:lineRule="exact"/>
              <w:contextualSpacing/>
              <w:jc w:val="left"/>
              <w:outlineLvl w:val="0"/>
              <w:rPr>
                <w:rFonts w:ascii="宋体" w:hAnsi="宋体" w:cs="仿宋_GB2312"/>
                <w:b/>
                <w:bCs/>
                <w:color w:val="FF0000"/>
                <w:kern w:val="0"/>
                <w:sz w:val="24"/>
                <w:szCs w:val="24"/>
              </w:rPr>
            </w:pPr>
            <w:r>
              <w:rPr>
                <w:rFonts w:hint="eastAsia" w:ascii="宋体" w:hAnsi="宋体" w:cs="仿宋_GB2312"/>
                <w:b/>
                <w:bCs/>
                <w:color w:val="FF0000"/>
                <w:kern w:val="0"/>
                <w:sz w:val="24"/>
                <w:szCs w:val="24"/>
              </w:rPr>
              <w:t>账  号：1708026029200151795</w:t>
            </w:r>
          </w:p>
          <w:p>
            <w:pPr>
              <w:autoSpaceDE w:val="0"/>
              <w:autoSpaceDN w:val="0"/>
              <w:spacing w:line="460" w:lineRule="exact"/>
              <w:contextualSpacing/>
              <w:jc w:val="left"/>
              <w:outlineLvl w:val="0"/>
              <w:rPr>
                <w:rFonts w:ascii="宋体" w:hAnsi="宋体" w:cs="仿宋_GB2312"/>
                <w:b/>
                <w:bCs/>
                <w:color w:val="FF0000"/>
                <w:kern w:val="0"/>
                <w:sz w:val="24"/>
                <w:szCs w:val="24"/>
              </w:rPr>
            </w:pPr>
            <w:r>
              <w:rPr>
                <w:rFonts w:hint="eastAsia" w:ascii="宋体" w:hAnsi="宋体" w:cs="仿宋_GB2312"/>
                <w:b/>
                <w:bCs/>
                <w:color w:val="FF0000"/>
                <w:kern w:val="0"/>
                <w:sz w:val="24"/>
                <w:szCs w:val="24"/>
              </w:rPr>
              <w:t>履约担保的金额：中标金额的10%</w:t>
            </w:r>
          </w:p>
          <w:p>
            <w:pPr>
              <w:autoSpaceDE w:val="0"/>
              <w:autoSpaceDN w:val="0"/>
              <w:spacing w:line="460" w:lineRule="exact"/>
              <w:contextualSpacing/>
              <w:jc w:val="left"/>
              <w:outlineLvl w:val="0"/>
              <w:rPr>
                <w:rFonts w:ascii="宋体" w:hAnsi="宋体" w:cs="仿宋_GB2312"/>
                <w:b/>
                <w:bCs/>
                <w:color w:val="FF0000"/>
                <w:kern w:val="0"/>
                <w:sz w:val="24"/>
                <w:szCs w:val="24"/>
              </w:rPr>
            </w:pPr>
            <w:r>
              <w:rPr>
                <w:rFonts w:hint="eastAsia" w:ascii="宋体" w:hAnsi="宋体" w:cs="仿宋_GB2312"/>
                <w:b/>
                <w:bCs/>
                <w:color w:val="FF0000"/>
                <w:kern w:val="0"/>
                <w:sz w:val="24"/>
                <w:szCs w:val="24"/>
              </w:rPr>
              <w:t>中标人无正当理由不与招标人订立合同，在签订合同时向招标人提出附加条件，或者不按照招标文件要求提交履约担保的，取消其中标资格，投标保证金不予退还。</w:t>
            </w:r>
          </w:p>
          <w:p>
            <w:pPr>
              <w:autoSpaceDE w:val="0"/>
              <w:autoSpaceDN w:val="0"/>
              <w:spacing w:line="460" w:lineRule="exact"/>
              <w:contextualSpacing/>
              <w:jc w:val="left"/>
              <w:outlineLvl w:val="0"/>
              <w:rPr>
                <w:rFonts w:ascii="宋体" w:hAnsi="宋体" w:cs="仿宋_GB2312"/>
                <w:b/>
                <w:bCs/>
                <w:color w:val="auto"/>
                <w:kern w:val="0"/>
                <w:sz w:val="24"/>
                <w:szCs w:val="24"/>
              </w:rPr>
            </w:pPr>
            <w:r>
              <w:rPr>
                <w:rFonts w:hint="eastAsia" w:ascii="宋体" w:hAnsi="宋体" w:cs="仿宋_GB2312"/>
                <w:b/>
                <w:bCs/>
                <w:color w:val="FF0000"/>
                <w:kern w:val="0"/>
                <w:sz w:val="24"/>
                <w:szCs w:val="24"/>
              </w:rPr>
              <w:t>注：履约担保缴纳时需备注项目编号：长交建【202</w:t>
            </w:r>
            <w:r>
              <w:rPr>
                <w:rFonts w:hint="eastAsia" w:ascii="宋体" w:hAnsi="宋体" w:cs="仿宋_GB2312"/>
                <w:b/>
                <w:bCs/>
                <w:color w:val="FF0000"/>
                <w:kern w:val="0"/>
                <w:sz w:val="24"/>
                <w:szCs w:val="24"/>
                <w:lang w:val="en-US" w:eastAsia="zh-CN"/>
              </w:rPr>
              <w:t>2</w:t>
            </w:r>
            <w:r>
              <w:rPr>
                <w:rFonts w:hint="eastAsia" w:ascii="宋体" w:hAnsi="宋体" w:cs="仿宋_GB2312"/>
                <w:b/>
                <w:bCs/>
                <w:color w:val="FF0000"/>
                <w:kern w:val="0"/>
                <w:sz w:val="24"/>
                <w:szCs w:val="24"/>
              </w:rPr>
              <w:t>】GZ</w:t>
            </w:r>
            <w:r>
              <w:rPr>
                <w:rFonts w:hint="eastAsia" w:ascii="宋体" w:hAnsi="宋体" w:cs="仿宋_GB2312"/>
                <w:b/>
                <w:bCs/>
                <w:color w:val="FF0000"/>
                <w:kern w:val="0"/>
                <w:sz w:val="24"/>
                <w:szCs w:val="24"/>
                <w:lang w:val="en-US" w:eastAsia="zh-CN"/>
              </w:rPr>
              <w:t>008</w:t>
            </w:r>
            <w:r>
              <w:rPr>
                <w:rFonts w:hint="eastAsia" w:ascii="宋体" w:hAnsi="宋体" w:cs="仿宋_GB2312"/>
                <w:b/>
                <w:bCs/>
                <w:color w:val="FF0000"/>
                <w:kern w:val="0"/>
                <w:sz w:val="24"/>
                <w:szCs w:val="24"/>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580"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spacing w:line="460" w:lineRule="exact"/>
              <w:contextualSpacing/>
              <w:rPr>
                <w:rFonts w:ascii="宋体" w:hAnsi="宋体" w:cs="仿宋_GB2312"/>
                <w:kern w:val="0"/>
                <w:sz w:val="24"/>
                <w:szCs w:val="24"/>
              </w:rPr>
            </w:pPr>
            <w:r>
              <w:rPr>
                <w:rFonts w:hint="eastAsia" w:ascii="宋体" w:hAnsi="宋体" w:cs="仿宋_GB2312"/>
                <w:b/>
                <w:bCs/>
                <w:kern w:val="0"/>
                <w:sz w:val="24"/>
                <w:szCs w:val="24"/>
              </w:rPr>
              <w:t>10.1</w:t>
            </w:r>
            <w:r>
              <w:rPr>
                <w:rFonts w:hint="eastAsia" w:ascii="宋体" w:hAnsi="宋体" w:cs="仿宋_GB2312"/>
                <w:b/>
                <w:bCs/>
                <w:kern w:val="0"/>
                <w:sz w:val="24"/>
                <w:szCs w:val="24"/>
                <w:lang w:val="en-US" w:eastAsia="zh-CN"/>
              </w:rPr>
              <w:t>3</w:t>
            </w:r>
            <w:r>
              <w:rPr>
                <w:rFonts w:hint="eastAsia" w:ascii="宋体" w:hAnsi="宋体" w:cs="仿宋_GB2312"/>
                <w:b/>
                <w:bCs/>
                <w:kern w:val="0"/>
                <w:sz w:val="24"/>
                <w:szCs w:val="24"/>
              </w:rPr>
              <w:t>招标人、投标人不得有下列行为：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580"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spacing w:line="460" w:lineRule="exact"/>
              <w:contextualSpacing/>
              <w:rPr>
                <w:rFonts w:ascii="宋体" w:hAnsi="宋体" w:cs="仿宋_GB2312"/>
                <w:b/>
                <w:bCs/>
                <w:kern w:val="0"/>
                <w:sz w:val="24"/>
                <w:szCs w:val="24"/>
              </w:rPr>
            </w:pPr>
            <w:r>
              <w:rPr>
                <w:rFonts w:hint="eastAsia" w:ascii="宋体" w:hAnsi="宋体" w:cs="仿宋_GB2312"/>
                <w:b/>
                <w:bCs/>
                <w:kern w:val="0"/>
                <w:sz w:val="24"/>
                <w:szCs w:val="24"/>
              </w:rPr>
              <w:t>《中华人民共和国招标投标法》第三十二条：</w:t>
            </w:r>
          </w:p>
          <w:p>
            <w:pPr>
              <w:autoSpaceDE w:val="0"/>
              <w:autoSpaceDN w:val="0"/>
              <w:spacing w:line="460" w:lineRule="exact"/>
              <w:contextualSpacing/>
              <w:rPr>
                <w:rFonts w:ascii="宋体" w:hAnsi="宋体" w:cs="仿宋_GB2312"/>
                <w:kern w:val="0"/>
                <w:sz w:val="24"/>
                <w:szCs w:val="24"/>
              </w:rPr>
            </w:pPr>
            <w:r>
              <w:rPr>
                <w:rFonts w:hint="eastAsia" w:ascii="宋体" w:hAnsi="宋体" w:cs="仿宋_GB2312"/>
                <w:kern w:val="0"/>
                <w:sz w:val="24"/>
                <w:szCs w:val="24"/>
              </w:rPr>
              <w:t>投标人不得相互串通投标报价，不得排挤其他投标人的公平竞争，损害招标人或者其他投标人的合法权益。投标人不得与招标人串通投标，损害国家利益、社会公共利益或者他人的合法权益。禁止投标人以向招标人或者评标委员会成员行贿的手段谋取中标。</w:t>
            </w:r>
          </w:p>
          <w:p>
            <w:pPr>
              <w:autoSpaceDE w:val="0"/>
              <w:autoSpaceDN w:val="0"/>
              <w:spacing w:line="460" w:lineRule="exact"/>
              <w:contextualSpacing/>
              <w:rPr>
                <w:rFonts w:ascii="宋体" w:hAnsi="宋体" w:cs="仿宋_GB2312"/>
                <w:kern w:val="0"/>
                <w:sz w:val="24"/>
                <w:szCs w:val="24"/>
              </w:rPr>
            </w:pPr>
            <w:r>
              <w:rPr>
                <w:rFonts w:hint="eastAsia" w:ascii="宋体" w:hAnsi="宋体" w:cs="仿宋_GB2312"/>
                <w:b/>
                <w:bCs/>
                <w:kern w:val="0"/>
                <w:sz w:val="24"/>
                <w:szCs w:val="24"/>
              </w:rPr>
              <w:t>《中华人民共和国招标投标法》第三十三条：</w:t>
            </w:r>
            <w:r>
              <w:rPr>
                <w:rFonts w:hint="eastAsia" w:ascii="宋体" w:hAnsi="宋体" w:cs="仿宋_GB2312"/>
                <w:kern w:val="0"/>
                <w:sz w:val="24"/>
                <w:szCs w:val="24"/>
              </w:rPr>
              <w:t>投标人不得以低于成本的报价竞标，也不得以他人名义投标或者以其他方式弄虚作假，骗取中标。</w:t>
            </w:r>
          </w:p>
          <w:p>
            <w:pPr>
              <w:autoSpaceDE w:val="0"/>
              <w:autoSpaceDN w:val="0"/>
              <w:spacing w:line="460" w:lineRule="exact"/>
              <w:contextualSpacing/>
              <w:rPr>
                <w:rFonts w:ascii="宋体" w:hAnsi="宋体" w:cs="仿宋_GB2312"/>
                <w:kern w:val="0"/>
                <w:sz w:val="24"/>
                <w:szCs w:val="24"/>
              </w:rPr>
            </w:pPr>
            <w:r>
              <w:rPr>
                <w:rFonts w:hint="eastAsia" w:ascii="宋体" w:hAnsi="宋体" w:cs="仿宋_GB2312"/>
                <w:b/>
                <w:bCs/>
                <w:kern w:val="0"/>
                <w:sz w:val="24"/>
                <w:szCs w:val="24"/>
              </w:rPr>
              <w:t>《中华人民共和国招标投标法实施条例》第三十九条：</w:t>
            </w:r>
            <w:r>
              <w:rPr>
                <w:rFonts w:hint="eastAsia" w:ascii="宋体" w:hAnsi="宋体" w:cs="仿宋_GB2312"/>
                <w:kern w:val="0"/>
                <w:sz w:val="24"/>
                <w:szCs w:val="24"/>
              </w:rPr>
              <w:t>禁止投标人相互串通投标，有下列情形之一的，属于投标人相互串通投标：</w:t>
            </w:r>
          </w:p>
          <w:p>
            <w:pPr>
              <w:autoSpaceDE w:val="0"/>
              <w:autoSpaceDN w:val="0"/>
              <w:spacing w:line="460" w:lineRule="exact"/>
              <w:contextualSpacing/>
              <w:rPr>
                <w:rFonts w:ascii="宋体" w:hAnsi="宋体" w:cs="仿宋_GB2312"/>
                <w:kern w:val="0"/>
                <w:sz w:val="24"/>
                <w:szCs w:val="24"/>
              </w:rPr>
            </w:pPr>
            <w:r>
              <w:rPr>
                <w:rFonts w:hint="eastAsia" w:ascii="宋体" w:hAnsi="宋体" w:cs="仿宋_GB2312"/>
                <w:kern w:val="0"/>
                <w:sz w:val="24"/>
                <w:szCs w:val="24"/>
              </w:rPr>
              <w:t>（一）投标人之间协商投标报价等投标文件的实质性内容；</w:t>
            </w:r>
          </w:p>
          <w:p>
            <w:pPr>
              <w:autoSpaceDE w:val="0"/>
              <w:autoSpaceDN w:val="0"/>
              <w:spacing w:line="460" w:lineRule="exact"/>
              <w:contextualSpacing/>
              <w:rPr>
                <w:rFonts w:ascii="宋体" w:hAnsi="宋体" w:cs="仿宋_GB2312"/>
                <w:kern w:val="0"/>
                <w:sz w:val="24"/>
                <w:szCs w:val="24"/>
              </w:rPr>
            </w:pPr>
            <w:r>
              <w:rPr>
                <w:rFonts w:hint="eastAsia" w:ascii="宋体" w:hAnsi="宋体" w:cs="仿宋_GB2312"/>
                <w:kern w:val="0"/>
                <w:sz w:val="24"/>
                <w:szCs w:val="24"/>
              </w:rPr>
              <w:t>（二）投标人之间约定中标人；</w:t>
            </w:r>
          </w:p>
          <w:p>
            <w:pPr>
              <w:autoSpaceDE w:val="0"/>
              <w:autoSpaceDN w:val="0"/>
              <w:spacing w:line="460" w:lineRule="exact"/>
              <w:contextualSpacing/>
              <w:rPr>
                <w:rFonts w:ascii="宋体" w:hAnsi="宋体" w:cs="仿宋_GB2312"/>
                <w:kern w:val="0"/>
                <w:sz w:val="24"/>
                <w:szCs w:val="24"/>
              </w:rPr>
            </w:pPr>
            <w:r>
              <w:rPr>
                <w:rFonts w:hint="eastAsia" w:ascii="宋体" w:hAnsi="宋体" w:cs="仿宋_GB2312"/>
                <w:kern w:val="0"/>
                <w:sz w:val="24"/>
                <w:szCs w:val="24"/>
              </w:rPr>
              <w:t>（三）投标人之间约定部分投标人放弃投标或者中标；</w:t>
            </w:r>
          </w:p>
          <w:p>
            <w:pPr>
              <w:autoSpaceDE w:val="0"/>
              <w:autoSpaceDN w:val="0"/>
              <w:spacing w:line="460" w:lineRule="exact"/>
              <w:contextualSpacing/>
              <w:rPr>
                <w:rFonts w:ascii="宋体" w:hAnsi="宋体" w:cs="仿宋_GB2312"/>
                <w:kern w:val="0"/>
                <w:sz w:val="24"/>
                <w:szCs w:val="24"/>
              </w:rPr>
            </w:pPr>
            <w:r>
              <w:rPr>
                <w:rFonts w:hint="eastAsia" w:ascii="宋体" w:hAnsi="宋体" w:cs="仿宋_GB2312"/>
                <w:kern w:val="0"/>
                <w:sz w:val="24"/>
                <w:szCs w:val="24"/>
              </w:rPr>
              <w:t>（四）属于同一集团、协会、商会等组织成员的投标人按照该组织要求协同投标；</w:t>
            </w:r>
          </w:p>
          <w:p>
            <w:pPr>
              <w:autoSpaceDE w:val="0"/>
              <w:autoSpaceDN w:val="0"/>
              <w:spacing w:line="460" w:lineRule="exact"/>
              <w:contextualSpacing/>
              <w:rPr>
                <w:rFonts w:ascii="宋体" w:hAnsi="宋体" w:cs="仿宋_GB2312"/>
                <w:kern w:val="0"/>
                <w:sz w:val="24"/>
                <w:szCs w:val="24"/>
              </w:rPr>
            </w:pPr>
            <w:r>
              <w:rPr>
                <w:rFonts w:hint="eastAsia" w:ascii="宋体" w:hAnsi="宋体" w:cs="仿宋_GB2312"/>
                <w:kern w:val="0"/>
                <w:sz w:val="24"/>
                <w:szCs w:val="24"/>
              </w:rPr>
              <w:t>（五）投标人之间为谋取中标或者排斥特定投标人而采取的其他联合行动。</w:t>
            </w:r>
          </w:p>
          <w:p>
            <w:pPr>
              <w:autoSpaceDE w:val="0"/>
              <w:autoSpaceDN w:val="0"/>
              <w:spacing w:line="460" w:lineRule="exact"/>
              <w:contextualSpacing/>
              <w:rPr>
                <w:rFonts w:ascii="宋体" w:hAnsi="宋体" w:cs="仿宋_GB2312"/>
                <w:b/>
                <w:bCs/>
                <w:kern w:val="0"/>
                <w:sz w:val="24"/>
                <w:szCs w:val="24"/>
              </w:rPr>
            </w:pPr>
            <w:r>
              <w:rPr>
                <w:rFonts w:hint="eastAsia" w:ascii="宋体" w:hAnsi="宋体" w:cs="仿宋_GB2312"/>
                <w:b/>
                <w:bCs/>
                <w:kern w:val="0"/>
                <w:sz w:val="24"/>
                <w:szCs w:val="24"/>
              </w:rPr>
              <w:t>《中华人民共和国招标投标法实施条例》第四十条：</w:t>
            </w:r>
          </w:p>
          <w:p>
            <w:pPr>
              <w:autoSpaceDE w:val="0"/>
              <w:autoSpaceDN w:val="0"/>
              <w:spacing w:line="460" w:lineRule="exact"/>
              <w:contextualSpacing/>
              <w:rPr>
                <w:rFonts w:ascii="宋体" w:hAnsi="宋体" w:cs="仿宋_GB2312"/>
                <w:kern w:val="0"/>
                <w:sz w:val="24"/>
                <w:szCs w:val="24"/>
              </w:rPr>
            </w:pPr>
            <w:r>
              <w:rPr>
                <w:rFonts w:hint="eastAsia" w:ascii="宋体" w:hAnsi="宋体" w:cs="仿宋_GB2312"/>
                <w:kern w:val="0"/>
                <w:sz w:val="24"/>
                <w:szCs w:val="24"/>
              </w:rPr>
              <w:t>有下列情形之一的，视为投标人相互串通投标：</w:t>
            </w:r>
          </w:p>
          <w:p>
            <w:pPr>
              <w:autoSpaceDE w:val="0"/>
              <w:autoSpaceDN w:val="0"/>
              <w:spacing w:line="460" w:lineRule="exact"/>
              <w:contextualSpacing/>
              <w:rPr>
                <w:rFonts w:ascii="宋体" w:hAnsi="宋体" w:cs="仿宋_GB2312"/>
                <w:kern w:val="0"/>
                <w:sz w:val="24"/>
                <w:szCs w:val="24"/>
              </w:rPr>
            </w:pPr>
            <w:r>
              <w:rPr>
                <w:rFonts w:hint="eastAsia" w:ascii="宋体" w:hAnsi="宋体" w:cs="仿宋_GB2312"/>
                <w:kern w:val="0"/>
                <w:sz w:val="24"/>
                <w:szCs w:val="24"/>
              </w:rPr>
              <w:t>（一）不同投标人的投标文件由同一单位或者个人编制；</w:t>
            </w:r>
          </w:p>
          <w:p>
            <w:pPr>
              <w:autoSpaceDE w:val="0"/>
              <w:autoSpaceDN w:val="0"/>
              <w:spacing w:line="460" w:lineRule="exact"/>
              <w:contextualSpacing/>
              <w:rPr>
                <w:rFonts w:ascii="宋体" w:hAnsi="宋体" w:cs="仿宋_GB2312"/>
                <w:kern w:val="0"/>
                <w:sz w:val="24"/>
                <w:szCs w:val="24"/>
              </w:rPr>
            </w:pPr>
            <w:r>
              <w:rPr>
                <w:rFonts w:hint="eastAsia" w:ascii="宋体" w:hAnsi="宋体" w:cs="仿宋_GB2312"/>
                <w:kern w:val="0"/>
                <w:sz w:val="24"/>
                <w:szCs w:val="24"/>
              </w:rPr>
              <w:t>（二）不同投标人委托同一单位或者个人办理投标事宜；</w:t>
            </w:r>
          </w:p>
          <w:p>
            <w:pPr>
              <w:autoSpaceDE w:val="0"/>
              <w:autoSpaceDN w:val="0"/>
              <w:spacing w:line="460" w:lineRule="exact"/>
              <w:contextualSpacing/>
              <w:rPr>
                <w:rFonts w:ascii="宋体" w:hAnsi="宋体" w:cs="仿宋_GB2312"/>
                <w:kern w:val="0"/>
                <w:sz w:val="24"/>
                <w:szCs w:val="24"/>
              </w:rPr>
            </w:pPr>
            <w:r>
              <w:rPr>
                <w:rFonts w:hint="eastAsia" w:ascii="宋体" w:hAnsi="宋体" w:cs="仿宋_GB2312"/>
                <w:kern w:val="0"/>
                <w:sz w:val="24"/>
                <w:szCs w:val="24"/>
              </w:rPr>
              <w:t>（三）不同投标人的投标文件载明的项目管理成员为同一人；</w:t>
            </w:r>
          </w:p>
          <w:p>
            <w:pPr>
              <w:autoSpaceDE w:val="0"/>
              <w:autoSpaceDN w:val="0"/>
              <w:spacing w:line="460" w:lineRule="exact"/>
              <w:contextualSpacing/>
              <w:rPr>
                <w:rFonts w:ascii="宋体" w:hAnsi="宋体" w:cs="仿宋_GB2312"/>
                <w:kern w:val="0"/>
                <w:sz w:val="24"/>
                <w:szCs w:val="24"/>
              </w:rPr>
            </w:pPr>
            <w:r>
              <w:rPr>
                <w:rFonts w:hint="eastAsia" w:ascii="宋体" w:hAnsi="宋体" w:cs="仿宋_GB2312"/>
                <w:kern w:val="0"/>
                <w:sz w:val="24"/>
                <w:szCs w:val="24"/>
              </w:rPr>
              <w:t>（四）不同投标人的投标文件异常一致或者投标报价呈规律性差异；</w:t>
            </w:r>
          </w:p>
          <w:p>
            <w:pPr>
              <w:autoSpaceDE w:val="0"/>
              <w:autoSpaceDN w:val="0"/>
              <w:spacing w:line="460" w:lineRule="exact"/>
              <w:contextualSpacing/>
              <w:rPr>
                <w:rFonts w:ascii="宋体" w:hAnsi="宋体" w:cs="仿宋_GB2312"/>
                <w:kern w:val="0"/>
                <w:sz w:val="24"/>
                <w:szCs w:val="24"/>
              </w:rPr>
            </w:pPr>
            <w:r>
              <w:rPr>
                <w:rFonts w:hint="eastAsia" w:ascii="宋体" w:hAnsi="宋体" w:cs="仿宋_GB2312"/>
                <w:kern w:val="0"/>
                <w:sz w:val="24"/>
                <w:szCs w:val="24"/>
              </w:rPr>
              <w:t>（五）不同投标人的投标文件相互混装；</w:t>
            </w:r>
          </w:p>
          <w:p>
            <w:pPr>
              <w:autoSpaceDE w:val="0"/>
              <w:autoSpaceDN w:val="0"/>
              <w:spacing w:line="460" w:lineRule="exact"/>
              <w:contextualSpacing/>
              <w:rPr>
                <w:rFonts w:ascii="宋体" w:hAnsi="宋体" w:cs="仿宋_GB2312"/>
                <w:kern w:val="0"/>
                <w:sz w:val="24"/>
                <w:szCs w:val="24"/>
              </w:rPr>
            </w:pPr>
            <w:r>
              <w:rPr>
                <w:rFonts w:hint="eastAsia" w:ascii="宋体" w:hAnsi="宋体" w:cs="仿宋_GB2312"/>
                <w:kern w:val="0"/>
                <w:sz w:val="24"/>
                <w:szCs w:val="24"/>
              </w:rPr>
              <w:t>（六）不同投标人的投标保证金从同一单位或者个人的账户转出。</w:t>
            </w:r>
          </w:p>
          <w:p>
            <w:pPr>
              <w:autoSpaceDE w:val="0"/>
              <w:autoSpaceDN w:val="0"/>
              <w:spacing w:line="460" w:lineRule="exact"/>
              <w:contextualSpacing/>
              <w:rPr>
                <w:rFonts w:ascii="宋体" w:hAnsi="宋体" w:cs="仿宋_GB2312"/>
                <w:b/>
                <w:bCs/>
                <w:kern w:val="0"/>
                <w:sz w:val="24"/>
                <w:szCs w:val="24"/>
              </w:rPr>
            </w:pPr>
            <w:r>
              <w:rPr>
                <w:rFonts w:hint="eastAsia" w:ascii="宋体" w:hAnsi="宋体" w:cs="仿宋_GB2312"/>
                <w:b/>
                <w:bCs/>
                <w:kern w:val="0"/>
                <w:sz w:val="24"/>
                <w:szCs w:val="24"/>
              </w:rPr>
              <w:t>《中华人民共和国招标投标法实施条例》第四十一条：</w:t>
            </w:r>
          </w:p>
          <w:p>
            <w:pPr>
              <w:autoSpaceDE w:val="0"/>
              <w:autoSpaceDN w:val="0"/>
              <w:spacing w:line="460" w:lineRule="exact"/>
              <w:contextualSpacing/>
              <w:rPr>
                <w:rFonts w:ascii="宋体" w:hAnsi="宋体" w:cs="仿宋_GB2312"/>
                <w:kern w:val="0"/>
                <w:sz w:val="24"/>
                <w:szCs w:val="24"/>
              </w:rPr>
            </w:pPr>
            <w:r>
              <w:rPr>
                <w:rFonts w:hint="eastAsia" w:ascii="宋体" w:hAnsi="宋体" w:cs="仿宋_GB2312"/>
                <w:kern w:val="0"/>
                <w:sz w:val="24"/>
                <w:szCs w:val="24"/>
              </w:rPr>
              <w:t>禁止招标人与投标人串通投标。</w:t>
            </w:r>
          </w:p>
          <w:p>
            <w:pPr>
              <w:autoSpaceDE w:val="0"/>
              <w:autoSpaceDN w:val="0"/>
              <w:spacing w:line="460" w:lineRule="exact"/>
              <w:ind w:firstLine="120" w:firstLineChars="50"/>
              <w:contextualSpacing/>
              <w:rPr>
                <w:rFonts w:ascii="宋体" w:hAnsi="宋体" w:cs="仿宋_GB2312"/>
                <w:kern w:val="0"/>
                <w:sz w:val="24"/>
                <w:szCs w:val="24"/>
              </w:rPr>
            </w:pPr>
            <w:r>
              <w:rPr>
                <w:rFonts w:hint="eastAsia" w:ascii="宋体" w:hAnsi="宋体" w:cs="仿宋_GB2312"/>
                <w:kern w:val="0"/>
                <w:sz w:val="24"/>
                <w:szCs w:val="24"/>
              </w:rPr>
              <w:t>有下列情形之一的，属于招标人与投标人串通投标：</w:t>
            </w:r>
          </w:p>
          <w:p>
            <w:pPr>
              <w:autoSpaceDE w:val="0"/>
              <w:autoSpaceDN w:val="0"/>
              <w:spacing w:line="460" w:lineRule="exact"/>
              <w:contextualSpacing/>
              <w:rPr>
                <w:rFonts w:ascii="宋体" w:hAnsi="宋体" w:cs="仿宋_GB2312"/>
                <w:kern w:val="0"/>
                <w:sz w:val="24"/>
                <w:szCs w:val="24"/>
              </w:rPr>
            </w:pPr>
            <w:r>
              <w:rPr>
                <w:rFonts w:hint="eastAsia" w:ascii="宋体" w:hAnsi="宋体" w:cs="仿宋_GB2312"/>
                <w:kern w:val="0"/>
                <w:sz w:val="24"/>
                <w:szCs w:val="24"/>
              </w:rPr>
              <w:t>（一）招标人在开标前开启投标文件并将有关信息泄露给其他投标人;</w:t>
            </w:r>
          </w:p>
          <w:p>
            <w:pPr>
              <w:autoSpaceDE w:val="0"/>
              <w:autoSpaceDN w:val="0"/>
              <w:spacing w:line="460" w:lineRule="exact"/>
              <w:contextualSpacing/>
              <w:rPr>
                <w:rFonts w:ascii="宋体" w:hAnsi="宋体" w:cs="仿宋_GB2312"/>
                <w:kern w:val="0"/>
                <w:sz w:val="24"/>
                <w:szCs w:val="24"/>
              </w:rPr>
            </w:pPr>
            <w:r>
              <w:rPr>
                <w:rFonts w:hint="eastAsia" w:ascii="宋体" w:hAnsi="宋体" w:cs="仿宋_GB2312"/>
                <w:kern w:val="0"/>
                <w:sz w:val="24"/>
                <w:szCs w:val="24"/>
              </w:rPr>
              <w:t>（二）招标人直接或者间接向投标人泄露标底、评标委员会成员等信息；</w:t>
            </w:r>
          </w:p>
          <w:p>
            <w:pPr>
              <w:autoSpaceDE w:val="0"/>
              <w:autoSpaceDN w:val="0"/>
              <w:spacing w:line="460" w:lineRule="exact"/>
              <w:contextualSpacing/>
              <w:rPr>
                <w:rFonts w:ascii="宋体" w:hAnsi="宋体" w:cs="仿宋_GB2312"/>
                <w:kern w:val="0"/>
                <w:sz w:val="24"/>
                <w:szCs w:val="24"/>
              </w:rPr>
            </w:pPr>
            <w:r>
              <w:rPr>
                <w:rFonts w:hint="eastAsia" w:ascii="宋体" w:hAnsi="宋体" w:cs="仿宋_GB2312"/>
                <w:kern w:val="0"/>
                <w:sz w:val="24"/>
                <w:szCs w:val="24"/>
              </w:rPr>
              <w:t>（三）招标人明示或者暗示投标人压低或者抬高投标报价；</w:t>
            </w:r>
          </w:p>
          <w:p>
            <w:pPr>
              <w:autoSpaceDE w:val="0"/>
              <w:autoSpaceDN w:val="0"/>
              <w:spacing w:line="460" w:lineRule="exact"/>
              <w:contextualSpacing/>
              <w:rPr>
                <w:rFonts w:ascii="宋体" w:hAnsi="宋体" w:cs="仿宋_GB2312"/>
                <w:kern w:val="0"/>
                <w:sz w:val="24"/>
                <w:szCs w:val="24"/>
              </w:rPr>
            </w:pPr>
            <w:r>
              <w:rPr>
                <w:rFonts w:hint="eastAsia" w:ascii="宋体" w:hAnsi="宋体" w:cs="仿宋_GB2312"/>
                <w:kern w:val="0"/>
                <w:sz w:val="24"/>
                <w:szCs w:val="24"/>
              </w:rPr>
              <w:t>（四）招标人授意投标人撤换、修改投标文件；</w:t>
            </w:r>
          </w:p>
          <w:p>
            <w:pPr>
              <w:autoSpaceDE w:val="0"/>
              <w:autoSpaceDN w:val="0"/>
              <w:spacing w:line="460" w:lineRule="exact"/>
              <w:contextualSpacing/>
              <w:rPr>
                <w:rFonts w:ascii="宋体" w:hAnsi="宋体" w:cs="仿宋_GB2312"/>
                <w:kern w:val="0"/>
                <w:sz w:val="24"/>
                <w:szCs w:val="24"/>
              </w:rPr>
            </w:pPr>
            <w:r>
              <w:rPr>
                <w:rFonts w:hint="eastAsia" w:ascii="宋体" w:hAnsi="宋体" w:cs="仿宋_GB2312"/>
                <w:kern w:val="0"/>
                <w:sz w:val="24"/>
                <w:szCs w:val="24"/>
              </w:rPr>
              <w:t>（五）招标人明示或者暗示投标人为特定投标人中标提供方便；</w:t>
            </w:r>
          </w:p>
          <w:p>
            <w:pPr>
              <w:autoSpaceDE w:val="0"/>
              <w:autoSpaceDN w:val="0"/>
              <w:spacing w:line="460" w:lineRule="exact"/>
              <w:contextualSpacing/>
              <w:rPr>
                <w:rFonts w:ascii="宋体" w:hAnsi="宋体" w:cs="仿宋_GB2312"/>
                <w:kern w:val="0"/>
                <w:sz w:val="24"/>
                <w:szCs w:val="24"/>
              </w:rPr>
            </w:pPr>
            <w:r>
              <w:rPr>
                <w:rFonts w:hint="eastAsia" w:ascii="宋体" w:hAnsi="宋体" w:cs="仿宋_GB2312"/>
                <w:kern w:val="0"/>
                <w:sz w:val="24"/>
                <w:szCs w:val="24"/>
              </w:rPr>
              <w:t>（六）招标人与投标人为谋求特定投标人中标而采取的其他串通行为。</w:t>
            </w:r>
          </w:p>
          <w:p>
            <w:pPr>
              <w:autoSpaceDE w:val="0"/>
              <w:autoSpaceDN w:val="0"/>
              <w:spacing w:line="460" w:lineRule="exact"/>
              <w:contextualSpacing/>
              <w:rPr>
                <w:rFonts w:ascii="宋体" w:hAnsi="宋体" w:cs="仿宋_GB2312"/>
                <w:b/>
                <w:bCs/>
                <w:kern w:val="0"/>
                <w:sz w:val="24"/>
                <w:szCs w:val="24"/>
              </w:rPr>
            </w:pPr>
            <w:r>
              <w:rPr>
                <w:rFonts w:hint="eastAsia" w:ascii="宋体" w:hAnsi="宋体" w:cs="仿宋_GB2312"/>
                <w:b/>
                <w:bCs/>
                <w:kern w:val="0"/>
                <w:sz w:val="24"/>
                <w:szCs w:val="24"/>
              </w:rPr>
              <w:t>《中华人民共和国招标投标法实施条例》第四十二条：</w:t>
            </w:r>
          </w:p>
          <w:p>
            <w:pPr>
              <w:autoSpaceDE w:val="0"/>
              <w:autoSpaceDN w:val="0"/>
              <w:spacing w:line="460" w:lineRule="exact"/>
              <w:contextualSpacing/>
              <w:rPr>
                <w:rFonts w:ascii="宋体" w:hAnsi="宋体" w:cs="仿宋_GB2312"/>
                <w:kern w:val="0"/>
                <w:sz w:val="24"/>
                <w:szCs w:val="24"/>
              </w:rPr>
            </w:pPr>
            <w:r>
              <w:rPr>
                <w:rFonts w:hint="eastAsia" w:ascii="宋体" w:hAnsi="宋体" w:cs="仿宋_GB2312"/>
                <w:kern w:val="0"/>
                <w:sz w:val="24"/>
                <w:szCs w:val="24"/>
              </w:rPr>
              <w:t>使用通过受让或者租借等方式获取的资格、资质证书投标的，属于招标投标法第三十三条规定的以他人名义投标。</w:t>
            </w:r>
          </w:p>
          <w:p>
            <w:pPr>
              <w:autoSpaceDE w:val="0"/>
              <w:autoSpaceDN w:val="0"/>
              <w:spacing w:line="460" w:lineRule="exact"/>
              <w:contextualSpacing/>
              <w:rPr>
                <w:rFonts w:ascii="宋体" w:hAnsi="宋体" w:cs="仿宋_GB2312"/>
                <w:kern w:val="0"/>
                <w:sz w:val="24"/>
                <w:szCs w:val="24"/>
              </w:rPr>
            </w:pPr>
            <w:r>
              <w:rPr>
                <w:rFonts w:hint="eastAsia" w:ascii="宋体" w:hAnsi="宋体" w:cs="仿宋_GB2312"/>
                <w:kern w:val="0"/>
                <w:sz w:val="24"/>
                <w:szCs w:val="24"/>
              </w:rPr>
              <w:t>投标人有下列情形之一的，属于招标投标法第三十三条规定的以其他方式弄虚作假的行为：</w:t>
            </w:r>
          </w:p>
          <w:p>
            <w:pPr>
              <w:autoSpaceDE w:val="0"/>
              <w:autoSpaceDN w:val="0"/>
              <w:spacing w:line="460" w:lineRule="exact"/>
              <w:contextualSpacing/>
              <w:rPr>
                <w:rFonts w:ascii="宋体" w:hAnsi="宋体" w:cs="仿宋_GB2312"/>
                <w:kern w:val="0"/>
                <w:sz w:val="24"/>
                <w:szCs w:val="24"/>
              </w:rPr>
            </w:pPr>
            <w:r>
              <w:rPr>
                <w:rFonts w:hint="eastAsia" w:ascii="宋体" w:hAnsi="宋体" w:cs="仿宋_GB2312"/>
                <w:kern w:val="0"/>
                <w:sz w:val="24"/>
                <w:szCs w:val="24"/>
              </w:rPr>
              <w:t>（一）使用伪造、变造的许可证件；</w:t>
            </w:r>
          </w:p>
          <w:p>
            <w:pPr>
              <w:autoSpaceDE w:val="0"/>
              <w:autoSpaceDN w:val="0"/>
              <w:spacing w:line="460" w:lineRule="exact"/>
              <w:contextualSpacing/>
              <w:rPr>
                <w:rFonts w:ascii="宋体" w:hAnsi="宋体" w:cs="仿宋_GB2312"/>
                <w:kern w:val="0"/>
                <w:sz w:val="24"/>
                <w:szCs w:val="24"/>
              </w:rPr>
            </w:pPr>
            <w:r>
              <w:rPr>
                <w:rFonts w:hint="eastAsia" w:ascii="宋体" w:hAnsi="宋体" w:cs="仿宋_GB2312"/>
                <w:kern w:val="0"/>
                <w:sz w:val="24"/>
                <w:szCs w:val="24"/>
              </w:rPr>
              <w:t>（二）提供虚假的财务状况或者业绩；</w:t>
            </w:r>
          </w:p>
          <w:p>
            <w:pPr>
              <w:autoSpaceDE w:val="0"/>
              <w:autoSpaceDN w:val="0"/>
              <w:spacing w:line="460" w:lineRule="exact"/>
              <w:contextualSpacing/>
              <w:rPr>
                <w:rFonts w:ascii="宋体" w:hAnsi="宋体" w:cs="仿宋_GB2312"/>
                <w:kern w:val="0"/>
                <w:sz w:val="24"/>
                <w:szCs w:val="24"/>
              </w:rPr>
            </w:pPr>
            <w:r>
              <w:rPr>
                <w:rFonts w:hint="eastAsia" w:ascii="宋体" w:hAnsi="宋体" w:cs="仿宋_GB2312"/>
                <w:kern w:val="0"/>
                <w:sz w:val="24"/>
                <w:szCs w:val="24"/>
              </w:rPr>
              <w:t>（三）提供虚假的项目负责人或者主要技术人员简历、劳动关系证明；</w:t>
            </w:r>
          </w:p>
          <w:p>
            <w:pPr>
              <w:autoSpaceDE w:val="0"/>
              <w:autoSpaceDN w:val="0"/>
              <w:spacing w:line="460" w:lineRule="exact"/>
              <w:contextualSpacing/>
              <w:rPr>
                <w:rFonts w:ascii="宋体" w:hAnsi="宋体" w:cs="仿宋_GB2312"/>
                <w:kern w:val="0"/>
                <w:sz w:val="24"/>
                <w:szCs w:val="24"/>
              </w:rPr>
            </w:pPr>
            <w:r>
              <w:rPr>
                <w:rFonts w:hint="eastAsia" w:ascii="宋体" w:hAnsi="宋体" w:cs="仿宋_GB2312"/>
                <w:kern w:val="0"/>
                <w:sz w:val="24"/>
                <w:szCs w:val="24"/>
              </w:rPr>
              <w:t>（四）提供虚假的信用状况；</w:t>
            </w:r>
          </w:p>
          <w:p>
            <w:pPr>
              <w:autoSpaceDE w:val="0"/>
              <w:autoSpaceDN w:val="0"/>
              <w:spacing w:line="460" w:lineRule="exact"/>
              <w:contextualSpacing/>
              <w:rPr>
                <w:rFonts w:ascii="宋体" w:hAnsi="宋体" w:cs="仿宋_GB2312"/>
                <w:kern w:val="0"/>
                <w:sz w:val="24"/>
                <w:szCs w:val="24"/>
              </w:rPr>
            </w:pPr>
            <w:r>
              <w:rPr>
                <w:rFonts w:hint="eastAsia" w:ascii="宋体" w:hAnsi="宋体" w:cs="仿宋_GB2312"/>
                <w:kern w:val="0"/>
                <w:sz w:val="24"/>
                <w:szCs w:val="24"/>
              </w:rPr>
              <w:t>（五）其他弄虚作假的行为。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580"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contextualSpacing/>
              <w:rPr>
                <w:rFonts w:ascii="宋体" w:hAnsi="宋体" w:cs="仿宋_GB2312"/>
                <w:b/>
                <w:bCs/>
                <w:kern w:val="0"/>
                <w:sz w:val="32"/>
                <w:szCs w:val="32"/>
              </w:rPr>
            </w:pPr>
            <w:r>
              <w:rPr>
                <w:rFonts w:hint="eastAsia" w:ascii="宋体" w:hAnsi="宋体" w:cs="宋体"/>
                <w:b/>
                <w:bCs/>
                <w:kern w:val="0"/>
                <w:sz w:val="24"/>
                <w:szCs w:val="24"/>
              </w:rPr>
              <w:t>10.1</w:t>
            </w:r>
            <w:r>
              <w:rPr>
                <w:rFonts w:hint="eastAsia" w:ascii="宋体" w:hAnsi="宋体" w:cs="宋体"/>
                <w:b/>
                <w:bCs/>
                <w:kern w:val="0"/>
                <w:sz w:val="24"/>
                <w:szCs w:val="24"/>
                <w:lang w:val="en-US" w:eastAsia="zh-CN"/>
              </w:rPr>
              <w:t>4</w:t>
            </w:r>
            <w:r>
              <w:rPr>
                <w:rFonts w:hint="eastAsia" w:ascii="宋体" w:hAnsi="宋体" w:cs="宋体"/>
                <w:b/>
                <w:bCs/>
                <w:kern w:val="0"/>
                <w:sz w:val="24"/>
                <w:szCs w:val="24"/>
              </w:rPr>
              <w:t>如有10.1</w:t>
            </w:r>
            <w:r>
              <w:rPr>
                <w:rFonts w:hint="eastAsia" w:ascii="宋体" w:hAnsi="宋体" w:cs="宋体"/>
                <w:b/>
                <w:bCs/>
                <w:kern w:val="0"/>
                <w:sz w:val="24"/>
                <w:szCs w:val="24"/>
                <w:lang w:val="en-US" w:eastAsia="zh-CN"/>
              </w:rPr>
              <w:t>3</w:t>
            </w:r>
            <w:r>
              <w:rPr>
                <w:rFonts w:hint="eastAsia" w:ascii="宋体" w:hAnsi="宋体" w:cs="宋体"/>
                <w:b/>
                <w:bCs/>
                <w:kern w:val="0"/>
                <w:sz w:val="24"/>
                <w:szCs w:val="24"/>
              </w:rPr>
              <w:t>所列行为</w:t>
            </w:r>
            <w:r>
              <w:rPr>
                <w:rFonts w:hint="eastAsia" w:ascii="宋体" w:hAnsi="宋体" w:cs="宋体"/>
                <w:b/>
                <w:bCs/>
                <w:kern w:val="0"/>
                <w:sz w:val="24"/>
                <w:szCs w:val="24"/>
                <w:lang w:eastAsia="zh-CN"/>
              </w:rPr>
              <w:t>的按《中华人民共和国招标投标法》第五十三条、第五十四条执行。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580"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spacing w:line="460" w:lineRule="exact"/>
              <w:contextualSpacing/>
              <w:rPr>
                <w:rFonts w:hint="eastAsia" w:ascii="宋体" w:hAnsi="宋体" w:cs="宋体"/>
                <w:kern w:val="0"/>
                <w:sz w:val="24"/>
                <w:szCs w:val="24"/>
                <w:highlight w:val="none"/>
                <w:lang w:eastAsia="zh-CN"/>
              </w:rPr>
            </w:pPr>
            <w:r>
              <w:rPr>
                <w:rFonts w:hint="eastAsia" w:ascii="宋体" w:hAnsi="宋体" w:cs="宋体"/>
                <w:b/>
                <w:bCs/>
                <w:kern w:val="0"/>
                <w:sz w:val="24"/>
                <w:szCs w:val="24"/>
                <w:highlight w:val="none"/>
                <w:lang w:eastAsia="zh-CN"/>
              </w:rPr>
              <w:t>《</w:t>
            </w:r>
            <w:r>
              <w:rPr>
                <w:rFonts w:hint="eastAsia" w:ascii="宋体" w:hAnsi="宋体" w:cs="宋体"/>
                <w:b/>
                <w:bCs/>
                <w:kern w:val="0"/>
                <w:sz w:val="24"/>
                <w:szCs w:val="24"/>
                <w:highlight w:val="none"/>
                <w:lang w:val="en-US" w:eastAsia="zh-CN"/>
              </w:rPr>
              <w:t>中华人民共和国招投标法</w:t>
            </w:r>
            <w:r>
              <w:rPr>
                <w:rFonts w:hint="eastAsia" w:ascii="宋体" w:hAnsi="宋体" w:cs="宋体"/>
                <w:b/>
                <w:bCs/>
                <w:kern w:val="0"/>
                <w:sz w:val="24"/>
                <w:szCs w:val="24"/>
                <w:highlight w:val="none"/>
                <w:lang w:eastAsia="zh-CN"/>
              </w:rPr>
              <w:t>》</w:t>
            </w:r>
            <w:r>
              <w:rPr>
                <w:rFonts w:hint="eastAsia" w:ascii="宋体" w:hAnsi="宋体" w:cs="宋体"/>
                <w:b/>
                <w:bCs/>
                <w:kern w:val="0"/>
                <w:sz w:val="24"/>
                <w:szCs w:val="24"/>
                <w:highlight w:val="none"/>
              </w:rPr>
              <w:t>第五十三条</w:t>
            </w:r>
            <w:r>
              <w:rPr>
                <w:rFonts w:hint="eastAsia" w:ascii="宋体" w:hAnsi="宋体" w:cs="宋体"/>
                <w:b/>
                <w:bCs/>
                <w:kern w:val="0"/>
                <w:sz w:val="24"/>
                <w:szCs w:val="24"/>
                <w:highlight w:val="none"/>
                <w:lang w:eastAsia="zh-CN"/>
              </w:rPr>
              <w:t>：</w:t>
            </w:r>
          </w:p>
          <w:p>
            <w:pPr>
              <w:autoSpaceDE w:val="0"/>
              <w:autoSpaceDN w:val="0"/>
              <w:spacing w:line="460" w:lineRule="exact"/>
              <w:contextualSpacing/>
              <w:rPr>
                <w:rFonts w:hint="eastAsia" w:ascii="宋体" w:hAnsi="宋体" w:cs="宋体"/>
                <w:kern w:val="0"/>
                <w:sz w:val="24"/>
                <w:szCs w:val="24"/>
                <w:highlight w:val="none"/>
              </w:rPr>
            </w:pPr>
            <w:r>
              <w:rPr>
                <w:rFonts w:hint="eastAsia" w:ascii="宋体" w:hAnsi="宋体" w:cs="宋体"/>
                <w:kern w:val="0"/>
                <w:sz w:val="24"/>
                <w:szCs w:val="24"/>
                <w:highlight w:val="none"/>
              </w:rPr>
              <w:t>投标人相互串通投标或者与招标人串通投标的，投标人以向招标人或者评标委员会成员行贿的手段谋取中标的，中标无效，处中标项目金额千分之五以上千分之十以下的罚款，对单位直接负责的主管人员和其他直接责任人员处单位罚款百分之五以上百分之十以下的罚款；有违法所得的，并处没收违法所得；情节严重的，取消其一年至二年内参加依法必须招标的项目的投标资格并予以公告，直至由工商行政管理机关吊销营业执照；构成犯罪的，依法追究刑事责任。给他人造成损失的，依法承担赔偿责任。</w:t>
            </w:r>
          </w:p>
          <w:p>
            <w:pPr>
              <w:autoSpaceDE w:val="0"/>
              <w:autoSpaceDN w:val="0"/>
              <w:spacing w:line="460" w:lineRule="exact"/>
              <w:contextualSpacing/>
              <w:rPr>
                <w:rFonts w:hint="eastAsia" w:ascii="宋体" w:hAnsi="宋体" w:cs="宋体"/>
                <w:b/>
                <w:bCs/>
                <w:kern w:val="0"/>
                <w:sz w:val="24"/>
                <w:szCs w:val="24"/>
                <w:highlight w:val="none"/>
                <w:lang w:eastAsia="zh-CN"/>
              </w:rPr>
            </w:pPr>
            <w:r>
              <w:rPr>
                <w:rFonts w:hint="eastAsia" w:ascii="宋体" w:hAnsi="宋体" w:cs="宋体"/>
                <w:b/>
                <w:bCs/>
                <w:kern w:val="0"/>
                <w:sz w:val="24"/>
                <w:szCs w:val="24"/>
                <w:highlight w:val="none"/>
                <w:lang w:eastAsia="zh-CN"/>
              </w:rPr>
              <w:t>《</w:t>
            </w:r>
            <w:r>
              <w:rPr>
                <w:rFonts w:hint="eastAsia" w:ascii="宋体" w:hAnsi="宋体" w:cs="宋体"/>
                <w:b/>
                <w:bCs/>
                <w:kern w:val="0"/>
                <w:sz w:val="24"/>
                <w:szCs w:val="24"/>
                <w:highlight w:val="none"/>
                <w:lang w:val="en-US" w:eastAsia="zh-CN"/>
              </w:rPr>
              <w:t>中华人民共和国招投标法</w:t>
            </w:r>
            <w:r>
              <w:rPr>
                <w:rFonts w:hint="eastAsia" w:ascii="宋体" w:hAnsi="宋体" w:cs="宋体"/>
                <w:b/>
                <w:bCs/>
                <w:kern w:val="0"/>
                <w:sz w:val="24"/>
                <w:szCs w:val="24"/>
                <w:highlight w:val="none"/>
                <w:lang w:eastAsia="zh-CN"/>
              </w:rPr>
              <w:t>》</w:t>
            </w:r>
            <w:r>
              <w:rPr>
                <w:rFonts w:hint="eastAsia" w:ascii="宋体" w:hAnsi="宋体" w:cs="宋体"/>
                <w:b/>
                <w:bCs/>
                <w:kern w:val="0"/>
                <w:sz w:val="24"/>
                <w:szCs w:val="24"/>
                <w:highlight w:val="none"/>
              </w:rPr>
              <w:t>第五十</w:t>
            </w:r>
            <w:r>
              <w:rPr>
                <w:rFonts w:hint="eastAsia" w:ascii="宋体" w:hAnsi="宋体" w:cs="宋体"/>
                <w:b/>
                <w:bCs/>
                <w:kern w:val="0"/>
                <w:sz w:val="24"/>
                <w:szCs w:val="24"/>
                <w:highlight w:val="none"/>
                <w:lang w:val="en-US" w:eastAsia="zh-CN"/>
              </w:rPr>
              <w:t>四</w:t>
            </w:r>
            <w:r>
              <w:rPr>
                <w:rFonts w:hint="eastAsia" w:ascii="宋体" w:hAnsi="宋体" w:cs="宋体"/>
                <w:b/>
                <w:bCs/>
                <w:kern w:val="0"/>
                <w:sz w:val="24"/>
                <w:szCs w:val="24"/>
                <w:highlight w:val="none"/>
              </w:rPr>
              <w:t>条</w:t>
            </w:r>
            <w:r>
              <w:rPr>
                <w:rFonts w:hint="eastAsia" w:ascii="宋体" w:hAnsi="宋体" w:cs="宋体"/>
                <w:b/>
                <w:bCs/>
                <w:kern w:val="0"/>
                <w:sz w:val="24"/>
                <w:szCs w:val="24"/>
                <w:highlight w:val="none"/>
                <w:lang w:eastAsia="zh-CN"/>
              </w:rPr>
              <w:t>：</w:t>
            </w:r>
          </w:p>
          <w:p>
            <w:pPr>
              <w:autoSpaceDE w:val="0"/>
              <w:autoSpaceDN w:val="0"/>
              <w:spacing w:line="460" w:lineRule="exact"/>
              <w:contextualSpacing/>
              <w:rPr>
                <w:rFonts w:ascii="宋体" w:hAnsi="宋体" w:cs="仿宋_GB2312"/>
                <w:b/>
                <w:bCs/>
                <w:kern w:val="0"/>
                <w:sz w:val="24"/>
                <w:szCs w:val="24"/>
              </w:rPr>
            </w:pPr>
            <w:r>
              <w:rPr>
                <w:rFonts w:hint="eastAsia" w:ascii="宋体" w:hAnsi="宋体" w:cs="宋体"/>
                <w:kern w:val="0"/>
                <w:sz w:val="24"/>
                <w:szCs w:val="24"/>
                <w:highlight w:val="none"/>
              </w:rPr>
              <w:t>投标人以他人名义投标或者以其他方式弄虚作假，骗取中标的，中标无效，给招标人造成损失的，依法承担赔偿责任；构成犯罪的，依法追究</w:t>
            </w:r>
            <w:r>
              <w:rPr>
                <w:rFonts w:hint="eastAsia" w:ascii="宋体" w:hAnsi="宋体" w:cs="宋体"/>
                <w:kern w:val="0"/>
                <w:sz w:val="24"/>
                <w:szCs w:val="24"/>
                <w:highlight w:val="none"/>
              </w:rPr>
              <w:fldChar w:fldCharType="begin"/>
            </w:r>
            <w:r>
              <w:rPr>
                <w:rFonts w:hint="eastAsia" w:ascii="宋体" w:hAnsi="宋体" w:cs="宋体"/>
                <w:kern w:val="0"/>
                <w:sz w:val="24"/>
                <w:szCs w:val="24"/>
                <w:highlight w:val="none"/>
              </w:rPr>
              <w:instrText xml:space="preserve"> HYPERLINK "http://www.baiven.com/baike/224/269481.html" \t "http://www.baiven.com/d/134/_blank" </w:instrText>
            </w:r>
            <w:r>
              <w:rPr>
                <w:rFonts w:hint="eastAsia" w:ascii="宋体" w:hAnsi="宋体" w:cs="宋体"/>
                <w:kern w:val="0"/>
                <w:sz w:val="24"/>
                <w:szCs w:val="24"/>
                <w:highlight w:val="none"/>
              </w:rPr>
              <w:fldChar w:fldCharType="separate"/>
            </w:r>
            <w:r>
              <w:rPr>
                <w:rFonts w:hint="eastAsia" w:ascii="宋体" w:hAnsi="宋体" w:cs="宋体"/>
                <w:kern w:val="0"/>
                <w:sz w:val="24"/>
                <w:szCs w:val="24"/>
                <w:highlight w:val="none"/>
              </w:rPr>
              <w:t>刑事责任</w:t>
            </w:r>
            <w:r>
              <w:rPr>
                <w:rFonts w:hint="eastAsia" w:ascii="宋体" w:hAnsi="宋体" w:cs="宋体"/>
                <w:kern w:val="0"/>
                <w:sz w:val="24"/>
                <w:szCs w:val="24"/>
                <w:highlight w:val="none"/>
              </w:rPr>
              <w:fldChar w:fldCharType="end"/>
            </w:r>
            <w:r>
              <w:rPr>
                <w:rFonts w:hint="eastAsia" w:ascii="宋体" w:hAnsi="宋体" w:cs="宋体"/>
                <w:kern w:val="0"/>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580"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spacing w:line="460" w:lineRule="exact"/>
              <w:contextualSpacing/>
              <w:jc w:val="left"/>
              <w:outlineLvl w:val="0"/>
              <w:rPr>
                <w:rFonts w:hAnsi="宋体"/>
                <w:sz w:val="24"/>
                <w:szCs w:val="24"/>
              </w:rPr>
            </w:pPr>
            <w:r>
              <w:rPr>
                <w:rFonts w:hint="eastAsia" w:hAnsi="宋体"/>
                <w:b/>
                <w:bCs/>
                <w:sz w:val="24"/>
                <w:szCs w:val="24"/>
              </w:rPr>
              <w:t>特别提示</w:t>
            </w:r>
          </w:p>
          <w:p>
            <w:pPr>
              <w:autoSpaceDE w:val="0"/>
              <w:autoSpaceDN w:val="0"/>
              <w:spacing w:line="460" w:lineRule="exact"/>
              <w:ind w:firstLine="240" w:firstLineChars="100"/>
              <w:jc w:val="left"/>
              <w:outlineLvl w:val="0"/>
              <w:rPr>
                <w:rFonts w:hAnsi="宋体" w:cs="宋体"/>
                <w:color w:val="000000"/>
                <w:sz w:val="24"/>
              </w:rPr>
            </w:pPr>
            <w:r>
              <w:rPr>
                <w:rFonts w:hint="eastAsia" w:hAnsi="宋体" w:cs="宋体"/>
                <w:color w:val="000000"/>
                <w:sz w:val="24"/>
              </w:rPr>
              <w:t>1、潜在投标人应仔细阅读招标文件、工程量清单，若发现工程量清单中项目特征描述错误等或工程量清单与图纸存在差异，请在规定时间内在《全国公共资源交易平台（河南省·许昌市）》公共资源交易系统中提出。若投标人未提出异议，视为投标总价已经包含了为完成图纸对应工程总量的全部工程价款，即便项目实施过程中发现招标工程量清单存在错项、漏项，竣工结算不再调整。因招标工程量清单错项、漏项导致中标工程竣工工程量与施工图纸不一致的，应由承包人承担相应的价款风险。</w:t>
            </w:r>
          </w:p>
          <w:p>
            <w:pPr>
              <w:autoSpaceDE w:val="0"/>
              <w:autoSpaceDN w:val="0"/>
              <w:spacing w:line="460" w:lineRule="exact"/>
              <w:ind w:firstLine="240" w:firstLineChars="100"/>
              <w:jc w:val="left"/>
              <w:outlineLvl w:val="0"/>
              <w:rPr>
                <w:rFonts w:hAnsi="宋体" w:cs="宋体"/>
                <w:color w:val="000000"/>
                <w:sz w:val="24"/>
              </w:rPr>
            </w:pPr>
            <w:r>
              <w:rPr>
                <w:rFonts w:hint="eastAsia" w:hAnsi="宋体" w:cs="宋体"/>
                <w:color w:val="000000"/>
                <w:sz w:val="24"/>
              </w:rPr>
              <w:t>2、潜在投标人如对招标文件有异议，请在规定时间内在《全国公共资源交易平台（河南省·许昌市）》公共资源交易系统中提出，以其他方式递交的异议不予接受。</w:t>
            </w:r>
          </w:p>
          <w:p>
            <w:pPr>
              <w:autoSpaceDE w:val="0"/>
              <w:autoSpaceDN w:val="0"/>
              <w:spacing w:line="460" w:lineRule="exact"/>
              <w:ind w:firstLine="240" w:firstLineChars="100"/>
              <w:jc w:val="left"/>
              <w:outlineLvl w:val="0"/>
              <w:rPr>
                <w:rFonts w:hAnsi="宋体" w:cs="宋体"/>
                <w:color w:val="000000"/>
                <w:sz w:val="24"/>
              </w:rPr>
            </w:pPr>
            <w:r>
              <w:rPr>
                <w:rFonts w:hint="eastAsia" w:hAnsi="宋体" w:cs="宋体"/>
                <w:color w:val="000000"/>
                <w:sz w:val="24"/>
              </w:rPr>
              <w:t>3、投标人在投标截止时间前应随时关注《全国公共资源交易平台（河南省·许昌市）》公共资源交易系统发出的有关本项目的答疑、修改等相关内容。</w:t>
            </w:r>
          </w:p>
          <w:p>
            <w:pPr>
              <w:autoSpaceDE w:val="0"/>
              <w:autoSpaceDN w:val="0"/>
              <w:spacing w:line="460" w:lineRule="exact"/>
              <w:ind w:firstLine="240" w:firstLineChars="100"/>
              <w:jc w:val="left"/>
              <w:outlineLvl w:val="0"/>
              <w:rPr>
                <w:rFonts w:hAnsi="宋体" w:cs="宋体"/>
                <w:color w:val="000000"/>
                <w:sz w:val="24"/>
              </w:rPr>
            </w:pPr>
            <w:r>
              <w:rPr>
                <w:rFonts w:hint="eastAsia" w:hAnsi="宋体" w:cs="宋体"/>
                <w:color w:val="000000"/>
                <w:sz w:val="24"/>
              </w:rPr>
              <w:t>4、投标文件依据最终的招标文件进行编制。如果招标文件发生变更，投标人应以招标人最终发出的电子招标文件为准，编制投标文件，务请投标人随时关注项目变更信息。</w:t>
            </w:r>
          </w:p>
          <w:p>
            <w:pPr>
              <w:tabs>
                <w:tab w:val="left" w:pos="7095"/>
              </w:tabs>
              <w:spacing w:line="460" w:lineRule="exact"/>
              <w:ind w:firstLine="240" w:firstLineChars="100"/>
              <w:rPr>
                <w:rFonts w:hAnsi="宋体" w:cs="宋体"/>
                <w:color w:val="000000"/>
                <w:sz w:val="24"/>
              </w:rPr>
            </w:pPr>
            <w:r>
              <w:rPr>
                <w:rFonts w:hint="eastAsia" w:hAnsi="宋体" w:cs="宋体"/>
                <w:color w:val="000000"/>
                <w:sz w:val="24"/>
              </w:rPr>
              <w:t>5、招标人及其代理机构需留存项目电子档案时，可在质疑期满后使用</w:t>
            </w:r>
            <w:r>
              <w:rPr>
                <w:rFonts w:hAnsi="宋体" w:cs="宋体"/>
                <w:color w:val="000000"/>
                <w:sz w:val="24"/>
              </w:rPr>
              <w:t>CA锁从交易平台自行下载。</w:t>
            </w:r>
          </w:p>
          <w:p>
            <w:pPr>
              <w:autoSpaceDE w:val="0"/>
              <w:autoSpaceDN w:val="0"/>
              <w:spacing w:line="460" w:lineRule="exact"/>
              <w:ind w:firstLine="240" w:firstLineChars="100"/>
              <w:jc w:val="left"/>
              <w:outlineLvl w:val="0"/>
              <w:rPr>
                <w:rFonts w:hAnsi="宋体" w:cs="宋体"/>
                <w:color w:val="000000"/>
                <w:sz w:val="24"/>
              </w:rPr>
            </w:pPr>
            <w:r>
              <w:rPr>
                <w:rFonts w:hint="eastAsia" w:hAnsi="宋体" w:cs="宋体"/>
                <w:color w:val="000000"/>
                <w:sz w:val="24"/>
              </w:rPr>
              <w:t>6、商务标投标文件制作注意事项：</w:t>
            </w:r>
          </w:p>
          <w:p>
            <w:pPr>
              <w:autoSpaceDE w:val="0"/>
              <w:autoSpaceDN w:val="0"/>
              <w:spacing w:line="460" w:lineRule="exact"/>
              <w:ind w:firstLine="240" w:firstLineChars="100"/>
              <w:jc w:val="left"/>
              <w:outlineLvl w:val="0"/>
              <w:rPr>
                <w:rFonts w:hAnsi="宋体" w:cs="宋体"/>
                <w:color w:val="000000"/>
                <w:sz w:val="24"/>
              </w:rPr>
            </w:pPr>
            <w:r>
              <w:rPr>
                <w:rFonts w:hint="eastAsia" w:hAnsi="宋体" w:cs="宋体"/>
                <w:color w:val="000000"/>
                <w:sz w:val="24"/>
              </w:rPr>
              <w:t>6.1 投标人登录《全国公共资源交易平台（河南省·许昌市）》公共资源交易系统下载“许昌投标文件制作系统SEARUN V1.1”和操作手册（工程项目），按招标文件要求制作商务标投标文件。</w:t>
            </w:r>
          </w:p>
          <w:p>
            <w:pPr>
              <w:autoSpaceDE w:val="0"/>
              <w:autoSpaceDN w:val="0"/>
              <w:spacing w:line="460" w:lineRule="exact"/>
              <w:ind w:firstLine="240" w:firstLineChars="100"/>
              <w:jc w:val="left"/>
              <w:outlineLvl w:val="0"/>
              <w:rPr>
                <w:rFonts w:hAnsi="宋体" w:cs="宋体"/>
                <w:color w:val="000000"/>
                <w:sz w:val="24"/>
              </w:rPr>
            </w:pPr>
            <w:r>
              <w:rPr>
                <w:rFonts w:hint="eastAsia" w:hAnsi="宋体" w:cs="宋体"/>
                <w:color w:val="000000"/>
                <w:sz w:val="24"/>
              </w:rPr>
              <w:t>6.2 商务标投标文件制作技术咨询：0374-2961598。</w:t>
            </w:r>
          </w:p>
          <w:p>
            <w:pPr>
              <w:autoSpaceDE w:val="0"/>
              <w:autoSpaceDN w:val="0"/>
              <w:spacing w:line="460" w:lineRule="exact"/>
              <w:ind w:firstLine="240" w:firstLineChars="100"/>
              <w:jc w:val="left"/>
              <w:outlineLvl w:val="0"/>
              <w:rPr>
                <w:rFonts w:hAnsi="宋体" w:cs="宋体"/>
                <w:color w:val="000000"/>
                <w:sz w:val="24"/>
              </w:rPr>
            </w:pPr>
            <w:r>
              <w:rPr>
                <w:rFonts w:hint="eastAsia" w:hAnsi="宋体" w:cs="宋体"/>
                <w:color w:val="000000"/>
                <w:sz w:val="24"/>
              </w:rPr>
              <w:t>6.3投标人应在投标文件递交的截止时间之前通过【全国公共资源交易平台（河南省·许昌市）】公共资源交易系统（http://www.xcggzy.gov.cn/）递交电子投标文件；</w:t>
            </w:r>
          </w:p>
          <w:p>
            <w:pPr>
              <w:autoSpaceDE w:val="0"/>
              <w:autoSpaceDN w:val="0"/>
              <w:spacing w:line="460" w:lineRule="exact"/>
              <w:ind w:firstLine="240" w:firstLineChars="100"/>
              <w:jc w:val="left"/>
              <w:outlineLvl w:val="0"/>
              <w:rPr>
                <w:rFonts w:hAnsi="宋体" w:cs="宋体"/>
                <w:color w:val="000000"/>
                <w:sz w:val="24"/>
              </w:rPr>
            </w:pPr>
            <w:r>
              <w:rPr>
                <w:rFonts w:hint="eastAsia" w:hAnsi="宋体" w:cs="宋体"/>
                <w:color w:val="000000"/>
                <w:sz w:val="24"/>
              </w:rPr>
              <w:t>6.4请投标人在上传电子投标文件时认真检查上传投标文件是否完整、正确。</w:t>
            </w:r>
          </w:p>
          <w:p>
            <w:pPr>
              <w:autoSpaceDE w:val="0"/>
              <w:autoSpaceDN w:val="0"/>
              <w:spacing w:line="460" w:lineRule="exact"/>
              <w:ind w:firstLine="240" w:firstLineChars="100"/>
              <w:jc w:val="left"/>
              <w:outlineLvl w:val="0"/>
              <w:rPr>
                <w:rFonts w:hAnsi="宋体" w:cs="宋体"/>
                <w:color w:val="000000"/>
                <w:sz w:val="24"/>
              </w:rPr>
            </w:pPr>
            <w:r>
              <w:rPr>
                <w:rFonts w:hint="eastAsia" w:hAnsi="宋体" w:cs="宋体"/>
                <w:color w:val="000000"/>
                <w:sz w:val="24"/>
              </w:rPr>
              <w:t>6.5加密电子投标文件逾期上传的，招标人不予受理。</w:t>
            </w:r>
          </w:p>
          <w:p>
            <w:pPr>
              <w:autoSpaceDE w:val="0"/>
              <w:autoSpaceDN w:val="0"/>
              <w:spacing w:line="460" w:lineRule="exact"/>
              <w:ind w:firstLine="240" w:firstLineChars="100"/>
              <w:jc w:val="left"/>
              <w:outlineLvl w:val="0"/>
              <w:rPr>
                <w:rFonts w:hAnsi="宋体" w:cs="宋体"/>
                <w:color w:val="000000"/>
                <w:sz w:val="24"/>
              </w:rPr>
            </w:pPr>
            <w:r>
              <w:rPr>
                <w:rFonts w:hint="eastAsia" w:hAnsi="宋体" w:cs="宋体"/>
                <w:color w:val="000000"/>
                <w:sz w:val="24"/>
              </w:rPr>
              <w:t>6.6投标</w:t>
            </w:r>
            <w:r>
              <w:rPr>
                <w:rFonts w:hint="eastAsia" w:hAnsi="宋体" w:cs="宋体"/>
                <w:sz w:val="24"/>
              </w:rPr>
              <w:t>人采用银行转账方式提交投标保证金的，</w:t>
            </w:r>
            <w:r>
              <w:rPr>
                <w:rFonts w:hint="eastAsia" w:hAnsi="宋体" w:cs="宋体"/>
                <w:color w:val="000000"/>
                <w:sz w:val="24"/>
              </w:rPr>
              <w:t>应在投标文件递交的截止时间之前按程序完成投标保证金绑定。</w:t>
            </w:r>
          </w:p>
          <w:p>
            <w:pPr>
              <w:autoSpaceDE w:val="0"/>
              <w:autoSpaceDN w:val="0"/>
              <w:spacing w:line="460" w:lineRule="exact"/>
              <w:ind w:firstLine="240" w:firstLineChars="100"/>
              <w:jc w:val="left"/>
              <w:outlineLvl w:val="0"/>
              <w:rPr>
                <w:rFonts w:hAnsi="宋体" w:cs="宋体"/>
                <w:color w:val="000000"/>
                <w:sz w:val="24"/>
              </w:rPr>
            </w:pPr>
            <w:r>
              <w:rPr>
                <w:rFonts w:hint="eastAsia" w:hAnsi="宋体" w:cs="宋体"/>
                <w:color w:val="000000"/>
                <w:sz w:val="24"/>
              </w:rPr>
              <w:t>7、投标人需提前熟悉招标文件相关事项及《许昌市不见面开标操作手册》，并设置不见面开标浏览器（设置流程详见《许昌市不见面开标操作手册》）。</w:t>
            </w:r>
          </w:p>
          <w:p>
            <w:pPr>
              <w:autoSpaceDE w:val="0"/>
              <w:autoSpaceDN w:val="0"/>
              <w:spacing w:line="460" w:lineRule="exact"/>
              <w:ind w:firstLine="240" w:firstLineChars="100"/>
              <w:jc w:val="left"/>
              <w:outlineLvl w:val="0"/>
              <w:rPr>
                <w:rFonts w:hAnsi="宋体" w:cs="宋体"/>
                <w:color w:val="000000"/>
                <w:sz w:val="24"/>
              </w:rPr>
            </w:pPr>
            <w:r>
              <w:rPr>
                <w:rFonts w:hint="eastAsia" w:hAnsi="宋体" w:cs="宋体"/>
                <w:color w:val="000000"/>
                <w:sz w:val="24"/>
              </w:rPr>
              <w:t>8、投标人上传、解密投标文件需使用同一个CA数字证书，需确保用于解密的CA数字证书在有效期内、可正常使用，并在规定时间内完成电子投标文件解密。评标时仅以成功上传、解密的投标文件为准。</w:t>
            </w:r>
          </w:p>
          <w:p>
            <w:pPr>
              <w:tabs>
                <w:tab w:val="left" w:pos="7095"/>
              </w:tabs>
              <w:spacing w:line="460" w:lineRule="exact"/>
              <w:ind w:firstLine="240" w:firstLineChars="100"/>
              <w:rPr>
                <w:rFonts w:hAnsi="宋体" w:cs="宋体"/>
                <w:color w:val="000000"/>
                <w:sz w:val="24"/>
              </w:rPr>
            </w:pPr>
            <w:r>
              <w:rPr>
                <w:rFonts w:hint="eastAsia" w:hAnsi="宋体" w:cs="宋体"/>
                <w:color w:val="000000"/>
                <w:sz w:val="24"/>
              </w:rPr>
              <w:t>9、对开标过程有关内容有异议（质疑）的，投标人可在本项目的不见面开标大厅通过“文字互动”功能或“新增质疑”处提出异议（质疑），招标人（代理机构）及时进行线上答复。</w:t>
            </w:r>
          </w:p>
          <w:p>
            <w:pPr>
              <w:tabs>
                <w:tab w:val="left" w:pos="7095"/>
              </w:tabs>
              <w:spacing w:line="460" w:lineRule="exact"/>
              <w:ind w:firstLine="240" w:firstLineChars="100"/>
              <w:rPr>
                <w:rFonts w:hAnsi="宋体" w:cs="宋体"/>
                <w:color w:val="000000"/>
                <w:sz w:val="24"/>
              </w:rPr>
            </w:pPr>
            <w:r>
              <w:rPr>
                <w:rFonts w:hint="eastAsia" w:hAnsi="宋体" w:cs="宋体"/>
                <w:color w:val="000000"/>
                <w:sz w:val="24"/>
              </w:rPr>
              <w:t>不见面开标活动结束时，投标人应在《开标记录表》上进行电子签章，未进行电子签章的视为对开标结果无异议。</w:t>
            </w:r>
          </w:p>
          <w:p>
            <w:pPr>
              <w:autoSpaceDE w:val="0"/>
              <w:autoSpaceDN w:val="0"/>
              <w:spacing w:line="460" w:lineRule="exact"/>
              <w:ind w:firstLine="240" w:firstLineChars="100"/>
              <w:jc w:val="left"/>
              <w:outlineLvl w:val="0"/>
              <w:rPr>
                <w:rFonts w:hAnsi="宋体" w:cs="宋体"/>
                <w:color w:val="000000"/>
                <w:sz w:val="24"/>
              </w:rPr>
            </w:pPr>
            <w:r>
              <w:rPr>
                <w:rFonts w:hint="eastAsia" w:hAnsi="宋体" w:cs="宋体"/>
                <w:color w:val="000000"/>
                <w:sz w:val="24"/>
              </w:rPr>
              <w:t>10、从参与项目交易开始至项目交易活动结束止，投标（响应）人应时刻关注电子交易系统中的项目进度和状</w:t>
            </w:r>
            <w:r>
              <w:rPr>
                <w:rFonts w:hint="eastAsia" w:hAnsi="宋体" w:cs="宋体"/>
                <w:sz w:val="24"/>
              </w:rPr>
              <w:t>态，特别在项目评审期间，保持投标文件提供的联系方式畅通，评标委员会随时可能对投标文件内容质询，投标人应及时进行答复（包括但不限于电子文档、电子邮件等）。由于自</w:t>
            </w:r>
            <w:r>
              <w:rPr>
                <w:rFonts w:hint="eastAsia" w:hAnsi="宋体" w:cs="宋体"/>
                <w:color w:val="000000"/>
                <w:sz w:val="24"/>
              </w:rPr>
              <w:t>身原因错过变更通知、文件澄清、报价响应（自系统发起30分钟内做出）等重要信息的，后果由投标（响应）人自行承担。</w:t>
            </w:r>
          </w:p>
          <w:p>
            <w:pPr>
              <w:autoSpaceDE w:val="0"/>
              <w:autoSpaceDN w:val="0"/>
              <w:spacing w:line="460" w:lineRule="exact"/>
              <w:ind w:firstLine="482" w:firstLineChars="200"/>
              <w:contextualSpacing/>
              <w:jc w:val="left"/>
              <w:outlineLvl w:val="0"/>
              <w:rPr>
                <w:rFonts w:ascii="黑体" w:hAnsi="黑体" w:eastAsia="黑体" w:cs="宋体"/>
                <w:b/>
                <w:bCs/>
                <w:color w:val="FF0000"/>
                <w:kern w:val="0"/>
                <w:sz w:val="24"/>
                <w:szCs w:val="24"/>
              </w:rPr>
            </w:pPr>
            <w:r>
              <w:rPr>
                <w:rFonts w:hint="eastAsia" w:hAnsi="宋体" w:cs="宋体"/>
                <w:b/>
                <w:color w:val="000000"/>
                <w:sz w:val="24"/>
              </w:rPr>
              <w:t>11、不同投标人电子投标文件制作硬件特征码（网卡MAC地址、CPU序号、硬盘序列号）均一致时，视为‘不同投标人的投标文件由同一单位或者个人编制’或‘不同投标人委托同一单位或者个人办理投标事宜’，其投标无效”；评标专家应严格按照招标文件要求查看“硬件特征码”相关信息并进行评审，在评标报告中显示“不同投标人电子投标文件制作硬件特征码”是否雷同的分析及判定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580"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spacing w:line="460" w:lineRule="exact"/>
              <w:contextualSpacing/>
              <w:jc w:val="left"/>
              <w:outlineLvl w:val="0"/>
              <w:rPr>
                <w:rFonts w:hAnsi="宋体"/>
                <w:b/>
                <w:bCs/>
                <w:sz w:val="24"/>
                <w:szCs w:val="24"/>
              </w:rPr>
            </w:pPr>
            <w:r>
              <w:rPr>
                <w:rFonts w:hint="eastAsia" w:hAnsi="宋体"/>
                <w:b/>
                <w:bCs/>
                <w:sz w:val="24"/>
                <w:szCs w:val="24"/>
              </w:rPr>
              <w:t>注意事项：</w:t>
            </w:r>
          </w:p>
          <w:p>
            <w:pPr>
              <w:autoSpaceDE w:val="0"/>
              <w:autoSpaceDN w:val="0"/>
              <w:spacing w:line="460" w:lineRule="exact"/>
              <w:ind w:firstLine="482" w:firstLineChars="200"/>
              <w:contextualSpacing/>
              <w:jc w:val="left"/>
              <w:outlineLvl w:val="0"/>
              <w:rPr>
                <w:rFonts w:hAnsi="宋体"/>
                <w:b/>
                <w:bCs/>
                <w:sz w:val="24"/>
                <w:szCs w:val="24"/>
              </w:rPr>
            </w:pPr>
            <w:r>
              <w:rPr>
                <w:rFonts w:hint="eastAsia" w:hAnsi="宋体"/>
                <w:b/>
                <w:bCs/>
                <w:sz w:val="24"/>
                <w:szCs w:val="24"/>
              </w:rPr>
              <w:t>招标人和中标人应当自中标通知书发出之日起三十日内，依照《中华人民共和国招标投标法》及其实施条例的规定签订书面合同，合同的标的、价款、质量、履行期限等主要条款应当与招标文件和中标人的投标文件的内容一致。招标人和中标人不得再行订立背离合同实质性内容的其他协议。</w:t>
            </w:r>
          </w:p>
          <w:p>
            <w:pPr>
              <w:autoSpaceDE w:val="0"/>
              <w:autoSpaceDN w:val="0"/>
              <w:spacing w:line="460" w:lineRule="exact"/>
              <w:ind w:firstLine="480" w:firstLineChars="200"/>
              <w:contextualSpacing/>
              <w:jc w:val="left"/>
              <w:outlineLvl w:val="0"/>
              <w:rPr>
                <w:rFonts w:hAnsi="宋体"/>
                <w:bCs/>
                <w:sz w:val="24"/>
                <w:szCs w:val="24"/>
              </w:rPr>
            </w:pPr>
            <w:r>
              <w:rPr>
                <w:rFonts w:hint="eastAsia" w:hAnsi="宋体"/>
                <w:bCs/>
                <w:sz w:val="24"/>
                <w:szCs w:val="24"/>
              </w:rPr>
              <w:t>招标人和中标人不按照招标文件和中标人的投标文件订立合同，合同的主要条款与招标文件、中标人的投标文件的内容不一致，或者招标人、中标人订立背离合同实质性内容的协议的，按《中华人民共和国招标投标法》及其实施条例、配套部门规章的规定处理。</w:t>
            </w:r>
          </w:p>
          <w:p>
            <w:pPr>
              <w:autoSpaceDE w:val="0"/>
              <w:autoSpaceDN w:val="0"/>
              <w:spacing w:line="460" w:lineRule="exact"/>
              <w:ind w:firstLine="480" w:firstLineChars="200"/>
              <w:contextualSpacing/>
              <w:jc w:val="left"/>
              <w:outlineLvl w:val="0"/>
              <w:rPr>
                <w:rFonts w:hAnsi="宋体"/>
                <w:bCs/>
                <w:sz w:val="24"/>
                <w:szCs w:val="24"/>
              </w:rPr>
            </w:pPr>
            <w:r>
              <w:rPr>
                <w:rFonts w:hint="eastAsia" w:hAnsi="宋体"/>
                <w:bCs/>
                <w:sz w:val="24"/>
                <w:szCs w:val="24"/>
              </w:rPr>
              <w:t>中标人无正当理由不与招标人订立合同，在签订合同时向招标人提出附加条件，或者不按照招标文件要求提交履约担保的，取消其中标资格，投标保证金不予退还。</w:t>
            </w:r>
          </w:p>
          <w:p>
            <w:pPr>
              <w:autoSpaceDE w:val="0"/>
              <w:autoSpaceDN w:val="0"/>
              <w:spacing w:line="460" w:lineRule="exact"/>
              <w:ind w:firstLine="480" w:firstLineChars="200"/>
              <w:contextualSpacing/>
              <w:jc w:val="left"/>
              <w:outlineLvl w:val="0"/>
              <w:rPr>
                <w:rFonts w:hAnsi="宋体"/>
                <w:bCs/>
                <w:sz w:val="24"/>
                <w:szCs w:val="24"/>
              </w:rPr>
            </w:pPr>
            <w:r>
              <w:rPr>
                <w:rFonts w:hint="eastAsia" w:hAnsi="宋体"/>
                <w:bCs/>
                <w:sz w:val="24"/>
                <w:szCs w:val="24"/>
              </w:rPr>
              <w:t>中标人不履行与招标人订立的合同的，履约担保不予退还，给招标人造成的损失超过履约担保数额的，还应当对超过部分予以赔偿；没有提交履约担保的，应当对招标人的损失承担赔偿责任。</w:t>
            </w:r>
          </w:p>
          <w:p>
            <w:pPr>
              <w:autoSpaceDE w:val="0"/>
              <w:autoSpaceDN w:val="0"/>
              <w:spacing w:line="460" w:lineRule="exact"/>
              <w:ind w:firstLine="480" w:firstLineChars="200"/>
              <w:contextualSpacing/>
              <w:jc w:val="left"/>
              <w:outlineLvl w:val="0"/>
              <w:rPr>
                <w:rFonts w:hAnsi="宋体"/>
                <w:bCs/>
                <w:sz w:val="24"/>
                <w:szCs w:val="24"/>
              </w:rPr>
            </w:pPr>
            <w:r>
              <w:rPr>
                <w:rFonts w:hint="eastAsia" w:hAnsi="宋体"/>
                <w:bCs/>
                <w:sz w:val="24"/>
                <w:szCs w:val="24"/>
              </w:rPr>
              <w:t>投标人的投标活动属于“国家发展改革委等２４部委《关于对公共资源交易领域严重失信主体开展联合惩戒的备忘录》（发改法规〔2018〕457号）”十九种行为界定的不良行为的，按相关文件规定执行。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580"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spacing w:line="460" w:lineRule="exact"/>
              <w:contextualSpacing/>
              <w:jc w:val="left"/>
              <w:outlineLvl w:val="0"/>
              <w:rPr>
                <w:rFonts w:ascii="宋体" w:hAnsi="宋体" w:cs="仿宋_GB2312"/>
                <w:kern w:val="0"/>
                <w:sz w:val="24"/>
                <w:szCs w:val="24"/>
              </w:rPr>
            </w:pPr>
            <w:bookmarkStart w:id="29" w:name="_Toc397507525"/>
            <w:r>
              <w:rPr>
                <w:rFonts w:hint="eastAsia" w:ascii="宋体" w:hAnsi="宋体"/>
                <w:position w:val="6"/>
                <w:sz w:val="24"/>
                <w:szCs w:val="24"/>
              </w:rPr>
              <w:t>未尽事宜，按国家有关规定执行。</w:t>
            </w:r>
            <w:bookmarkEnd w:id="29"/>
          </w:p>
        </w:tc>
      </w:tr>
    </w:tbl>
    <w:p>
      <w:pPr>
        <w:pStyle w:val="2"/>
        <w:spacing w:before="0" w:after="0" w:line="460" w:lineRule="exact"/>
        <w:contextualSpacing/>
        <w:rPr>
          <w:rFonts w:ascii="宋体" w:hAnsi="宋体"/>
          <w:sz w:val="24"/>
          <w:szCs w:val="24"/>
        </w:rPr>
      </w:pPr>
      <w:bookmarkStart w:id="30" w:name="_Toc397507939"/>
      <w:bookmarkEnd w:id="30"/>
      <w:bookmarkStart w:id="31" w:name="_Toc397507526"/>
      <w:bookmarkEnd w:id="31"/>
      <w:bookmarkStart w:id="32" w:name="_Toc397605808"/>
      <w:r>
        <w:rPr>
          <w:kern w:val="0"/>
          <w:sz w:val="26"/>
          <w:szCs w:val="26"/>
        </w:rPr>
        <w:br w:type="page"/>
      </w:r>
      <w:bookmarkEnd w:id="32"/>
      <w:r>
        <w:rPr>
          <w:rFonts w:hint="eastAsia" w:ascii="宋体" w:hAnsi="宋体"/>
          <w:sz w:val="32"/>
          <w:szCs w:val="24"/>
        </w:rPr>
        <w:t>1. 总则</w:t>
      </w:r>
    </w:p>
    <w:p>
      <w:pPr>
        <w:pStyle w:val="4"/>
        <w:topLinePunct/>
        <w:spacing w:before="0" w:after="0" w:line="460" w:lineRule="exact"/>
        <w:contextualSpacing/>
        <w:rPr>
          <w:rFonts w:ascii="宋体" w:hAnsi="宋体" w:cs="宋体"/>
          <w:sz w:val="24"/>
          <w:szCs w:val="24"/>
        </w:rPr>
      </w:pPr>
      <w:bookmarkStart w:id="33" w:name="_Toc450029230"/>
      <w:r>
        <w:rPr>
          <w:rFonts w:hint="eastAsia" w:ascii="宋体" w:hAnsi="宋体" w:cs="宋体"/>
          <w:sz w:val="24"/>
          <w:szCs w:val="24"/>
        </w:rPr>
        <w:t>1.1 项目概况</w:t>
      </w:r>
      <w:bookmarkEnd w:id="33"/>
    </w:p>
    <w:p>
      <w:pPr>
        <w:topLinePunct/>
        <w:spacing w:line="460" w:lineRule="exact"/>
        <w:ind w:firstLine="480" w:firstLineChars="200"/>
        <w:contextualSpacing/>
        <w:rPr>
          <w:rFonts w:ascii="宋体" w:hAnsi="宋体" w:cs="宋体"/>
          <w:sz w:val="24"/>
          <w:szCs w:val="24"/>
        </w:rPr>
      </w:pPr>
      <w:r>
        <w:rPr>
          <w:rFonts w:hint="eastAsia" w:ascii="宋体" w:hAnsi="宋体" w:cs="宋体"/>
          <w:sz w:val="24"/>
          <w:szCs w:val="24"/>
        </w:rPr>
        <w:t>1.1.1根据《中华人民共和国招标投标法》等有关法律、法规和规章的规定，本招标项目已具备招标条件，现对本标段施工进行招标。</w:t>
      </w:r>
    </w:p>
    <w:p>
      <w:pPr>
        <w:topLinePunct/>
        <w:spacing w:line="460" w:lineRule="exact"/>
        <w:ind w:firstLine="480" w:firstLineChars="200"/>
        <w:contextualSpacing/>
        <w:rPr>
          <w:rFonts w:ascii="宋体" w:hAnsi="宋体" w:cs="宋体"/>
          <w:sz w:val="24"/>
          <w:szCs w:val="24"/>
        </w:rPr>
      </w:pPr>
      <w:r>
        <w:rPr>
          <w:rFonts w:hint="eastAsia" w:ascii="宋体" w:hAnsi="宋体" w:cs="宋体"/>
          <w:sz w:val="24"/>
          <w:szCs w:val="24"/>
        </w:rPr>
        <w:t>1.1.2 本招标项目招标人：见投标人须知前附表。</w:t>
      </w:r>
    </w:p>
    <w:p>
      <w:pPr>
        <w:topLinePunct/>
        <w:spacing w:line="460" w:lineRule="exact"/>
        <w:ind w:firstLine="480" w:firstLineChars="200"/>
        <w:contextualSpacing/>
        <w:rPr>
          <w:rFonts w:ascii="宋体" w:hAnsi="宋体" w:cs="宋体"/>
          <w:sz w:val="24"/>
          <w:szCs w:val="24"/>
        </w:rPr>
      </w:pPr>
      <w:r>
        <w:rPr>
          <w:rFonts w:hint="eastAsia" w:ascii="宋体" w:hAnsi="宋体" w:cs="宋体"/>
          <w:sz w:val="24"/>
          <w:szCs w:val="24"/>
        </w:rPr>
        <w:t>1.1.3 本标段招标代理机构：见投标人须知前附表。</w:t>
      </w:r>
    </w:p>
    <w:p>
      <w:pPr>
        <w:topLinePunct/>
        <w:spacing w:line="460" w:lineRule="exact"/>
        <w:ind w:firstLine="480" w:firstLineChars="200"/>
        <w:contextualSpacing/>
        <w:rPr>
          <w:rFonts w:ascii="宋体" w:hAnsi="宋体" w:cs="宋体"/>
          <w:sz w:val="24"/>
          <w:szCs w:val="24"/>
        </w:rPr>
      </w:pPr>
      <w:r>
        <w:rPr>
          <w:rFonts w:hint="eastAsia" w:ascii="宋体" w:hAnsi="宋体" w:cs="宋体"/>
          <w:sz w:val="24"/>
          <w:szCs w:val="24"/>
        </w:rPr>
        <w:t>1.1.4 本招标项目名称：见投标人须知前附表。</w:t>
      </w:r>
    </w:p>
    <w:p>
      <w:pPr>
        <w:topLinePunct/>
        <w:spacing w:line="460" w:lineRule="exact"/>
        <w:ind w:firstLine="480" w:firstLineChars="200"/>
        <w:contextualSpacing/>
        <w:rPr>
          <w:rFonts w:ascii="宋体" w:hAnsi="宋体" w:cs="宋体"/>
          <w:sz w:val="24"/>
          <w:szCs w:val="24"/>
        </w:rPr>
      </w:pPr>
      <w:r>
        <w:rPr>
          <w:rFonts w:hint="eastAsia" w:ascii="宋体" w:hAnsi="宋体" w:cs="宋体"/>
          <w:sz w:val="24"/>
          <w:szCs w:val="24"/>
        </w:rPr>
        <w:t>1.1.5 本标段建设地点：见投标人须知前附表。</w:t>
      </w:r>
    </w:p>
    <w:p>
      <w:pPr>
        <w:pStyle w:val="4"/>
        <w:topLinePunct/>
        <w:spacing w:before="0" w:after="0" w:line="460" w:lineRule="exact"/>
        <w:contextualSpacing/>
        <w:rPr>
          <w:rFonts w:ascii="宋体" w:hAnsi="宋体" w:cs="宋体"/>
          <w:sz w:val="24"/>
          <w:szCs w:val="24"/>
        </w:rPr>
      </w:pPr>
      <w:bookmarkStart w:id="34" w:name="_Toc450029231"/>
      <w:r>
        <w:rPr>
          <w:rFonts w:hint="eastAsia" w:ascii="宋体" w:hAnsi="宋体" w:cs="宋体"/>
          <w:sz w:val="24"/>
          <w:szCs w:val="24"/>
        </w:rPr>
        <w:t>1.2 资金来源和落实情况</w:t>
      </w:r>
      <w:bookmarkEnd w:id="34"/>
    </w:p>
    <w:p>
      <w:pPr>
        <w:topLinePunct/>
        <w:spacing w:line="460" w:lineRule="exact"/>
        <w:ind w:firstLine="480" w:firstLineChars="200"/>
        <w:contextualSpacing/>
        <w:rPr>
          <w:rFonts w:ascii="宋体" w:hAnsi="宋体" w:cs="宋体"/>
          <w:sz w:val="24"/>
          <w:szCs w:val="24"/>
        </w:rPr>
      </w:pPr>
      <w:r>
        <w:rPr>
          <w:rFonts w:hint="eastAsia" w:ascii="宋体" w:hAnsi="宋体" w:cs="宋体"/>
          <w:sz w:val="24"/>
          <w:szCs w:val="24"/>
        </w:rPr>
        <w:t>1.2.1 本招标项目的资金来源：见投标人须知前附表。</w:t>
      </w:r>
    </w:p>
    <w:p>
      <w:pPr>
        <w:topLinePunct/>
        <w:spacing w:line="460" w:lineRule="exact"/>
        <w:ind w:firstLine="480" w:firstLineChars="200"/>
        <w:contextualSpacing/>
        <w:rPr>
          <w:rFonts w:ascii="宋体" w:hAnsi="宋体" w:cs="宋体"/>
          <w:sz w:val="24"/>
          <w:szCs w:val="24"/>
        </w:rPr>
      </w:pPr>
      <w:r>
        <w:rPr>
          <w:rFonts w:hint="eastAsia" w:ascii="宋体" w:hAnsi="宋体" w:cs="宋体"/>
          <w:sz w:val="24"/>
          <w:szCs w:val="24"/>
        </w:rPr>
        <w:t>1.2.2 本招标项目的出资比例：见投标人须知前附表。</w:t>
      </w:r>
    </w:p>
    <w:p>
      <w:pPr>
        <w:topLinePunct/>
        <w:spacing w:line="460" w:lineRule="exact"/>
        <w:ind w:firstLine="480" w:firstLineChars="200"/>
        <w:contextualSpacing/>
        <w:rPr>
          <w:rFonts w:ascii="宋体" w:hAnsi="宋体" w:cs="宋体"/>
          <w:sz w:val="24"/>
          <w:szCs w:val="24"/>
        </w:rPr>
      </w:pPr>
      <w:r>
        <w:rPr>
          <w:rFonts w:hint="eastAsia" w:ascii="宋体" w:hAnsi="宋体" w:cs="宋体"/>
          <w:sz w:val="24"/>
          <w:szCs w:val="24"/>
        </w:rPr>
        <w:t>1.2.3 本招标项目的资金落实情况：见投标人须知前附表。</w:t>
      </w:r>
    </w:p>
    <w:p>
      <w:pPr>
        <w:pStyle w:val="4"/>
        <w:topLinePunct/>
        <w:spacing w:before="0" w:after="0" w:line="460" w:lineRule="exact"/>
        <w:contextualSpacing/>
        <w:rPr>
          <w:rFonts w:ascii="宋体" w:hAnsi="宋体" w:cs="宋体"/>
          <w:sz w:val="24"/>
          <w:szCs w:val="24"/>
        </w:rPr>
      </w:pPr>
      <w:bookmarkStart w:id="35" w:name="_Toc450029232"/>
      <w:r>
        <w:rPr>
          <w:rFonts w:hint="eastAsia" w:ascii="宋体" w:hAnsi="宋体" w:cs="宋体"/>
          <w:sz w:val="24"/>
          <w:szCs w:val="24"/>
        </w:rPr>
        <w:t>1.3 招标范围、计划工期和质量要求</w:t>
      </w:r>
      <w:bookmarkEnd w:id="35"/>
    </w:p>
    <w:p>
      <w:pPr>
        <w:topLinePunct/>
        <w:spacing w:line="460" w:lineRule="exact"/>
        <w:ind w:firstLine="480" w:firstLineChars="200"/>
        <w:contextualSpacing/>
        <w:rPr>
          <w:rFonts w:ascii="宋体" w:hAnsi="宋体" w:cs="宋体"/>
          <w:sz w:val="24"/>
          <w:szCs w:val="24"/>
        </w:rPr>
      </w:pPr>
      <w:r>
        <w:rPr>
          <w:rFonts w:hint="eastAsia" w:ascii="宋体" w:hAnsi="宋体" w:cs="宋体"/>
          <w:sz w:val="24"/>
          <w:szCs w:val="24"/>
        </w:rPr>
        <w:t>1.3.1 本次招标范围：见投标人须知前附表。</w:t>
      </w:r>
    </w:p>
    <w:p>
      <w:pPr>
        <w:topLinePunct/>
        <w:spacing w:line="460" w:lineRule="exact"/>
        <w:ind w:firstLine="480" w:firstLineChars="200"/>
        <w:contextualSpacing/>
        <w:rPr>
          <w:rFonts w:ascii="宋体" w:hAnsi="宋体" w:cs="宋体"/>
          <w:sz w:val="24"/>
          <w:szCs w:val="24"/>
        </w:rPr>
      </w:pPr>
      <w:r>
        <w:rPr>
          <w:rFonts w:hint="eastAsia" w:ascii="宋体" w:hAnsi="宋体" w:cs="宋体"/>
          <w:sz w:val="24"/>
          <w:szCs w:val="24"/>
        </w:rPr>
        <w:t>1.3.2 本标段的计划工期：见投标人须知前附表。</w:t>
      </w:r>
    </w:p>
    <w:p>
      <w:pPr>
        <w:topLinePunct/>
        <w:spacing w:line="460" w:lineRule="exact"/>
        <w:ind w:firstLine="480" w:firstLineChars="200"/>
        <w:contextualSpacing/>
        <w:rPr>
          <w:rFonts w:ascii="宋体" w:hAnsi="宋体" w:cs="宋体"/>
          <w:sz w:val="24"/>
          <w:szCs w:val="24"/>
        </w:rPr>
      </w:pPr>
      <w:r>
        <w:rPr>
          <w:rFonts w:hint="eastAsia" w:ascii="宋体" w:hAnsi="宋体" w:cs="宋体"/>
          <w:sz w:val="24"/>
          <w:szCs w:val="24"/>
        </w:rPr>
        <w:t>1.3.3 本标段的质量要求：见投标人须知前附表。</w:t>
      </w:r>
    </w:p>
    <w:p>
      <w:pPr>
        <w:pStyle w:val="4"/>
        <w:topLinePunct/>
        <w:spacing w:before="0" w:after="0" w:line="460" w:lineRule="exact"/>
        <w:contextualSpacing/>
        <w:rPr>
          <w:rFonts w:ascii="宋体" w:hAnsi="宋体" w:cs="宋体"/>
          <w:sz w:val="24"/>
          <w:szCs w:val="24"/>
        </w:rPr>
      </w:pPr>
      <w:bookmarkStart w:id="36" w:name="_Toc450029233"/>
      <w:r>
        <w:rPr>
          <w:rFonts w:hint="eastAsia" w:ascii="宋体" w:hAnsi="宋体" w:cs="宋体"/>
          <w:sz w:val="24"/>
          <w:szCs w:val="24"/>
        </w:rPr>
        <w:t>1.4 投标人资格要求</w:t>
      </w:r>
      <w:bookmarkEnd w:id="36"/>
    </w:p>
    <w:p>
      <w:pPr>
        <w:topLinePunct/>
        <w:spacing w:line="460" w:lineRule="exact"/>
        <w:ind w:firstLine="480" w:firstLineChars="200"/>
        <w:contextualSpacing/>
        <w:rPr>
          <w:rFonts w:ascii="宋体" w:hAnsi="宋体" w:cs="宋体"/>
          <w:sz w:val="24"/>
          <w:szCs w:val="24"/>
        </w:rPr>
      </w:pPr>
      <w:r>
        <w:rPr>
          <w:rFonts w:hint="eastAsia" w:ascii="宋体" w:hAnsi="宋体" w:cs="宋体"/>
          <w:sz w:val="24"/>
          <w:szCs w:val="24"/>
        </w:rPr>
        <w:t>1.4.1 投标人应具备承担本标段施工的资质条件、能力。</w:t>
      </w:r>
    </w:p>
    <w:p>
      <w:pPr>
        <w:topLinePunct/>
        <w:spacing w:line="460" w:lineRule="exact"/>
        <w:ind w:firstLine="480" w:firstLineChars="200"/>
        <w:contextualSpacing/>
        <w:rPr>
          <w:rFonts w:ascii="宋体" w:hAnsi="宋体" w:cs="宋体"/>
          <w:sz w:val="24"/>
          <w:szCs w:val="24"/>
        </w:rPr>
      </w:pPr>
      <w:r>
        <w:rPr>
          <w:rFonts w:hint="eastAsia" w:ascii="宋体" w:hAnsi="宋体" w:cs="宋体"/>
          <w:sz w:val="24"/>
          <w:szCs w:val="24"/>
        </w:rPr>
        <w:t>（1）资质条件：见投标人须知前附表；</w:t>
      </w:r>
    </w:p>
    <w:p>
      <w:pPr>
        <w:topLinePunct/>
        <w:spacing w:line="460" w:lineRule="exact"/>
        <w:ind w:firstLine="480" w:firstLineChars="200"/>
        <w:contextualSpacing/>
        <w:rPr>
          <w:rFonts w:ascii="宋体" w:hAnsi="宋体" w:cs="宋体"/>
          <w:sz w:val="24"/>
          <w:szCs w:val="24"/>
        </w:rPr>
      </w:pPr>
      <w:r>
        <w:rPr>
          <w:rFonts w:hint="eastAsia" w:ascii="宋体" w:hAnsi="宋体" w:cs="宋体"/>
          <w:sz w:val="24"/>
          <w:szCs w:val="24"/>
        </w:rPr>
        <w:t>（2）业绩要求：见投标人须知前附表；</w:t>
      </w:r>
    </w:p>
    <w:p>
      <w:pPr>
        <w:topLinePunct/>
        <w:spacing w:line="460" w:lineRule="exact"/>
        <w:ind w:firstLine="480" w:firstLineChars="200"/>
        <w:contextualSpacing/>
        <w:rPr>
          <w:rFonts w:ascii="宋体" w:hAnsi="宋体" w:cs="宋体"/>
          <w:sz w:val="24"/>
          <w:szCs w:val="24"/>
        </w:rPr>
      </w:pPr>
      <w:r>
        <w:rPr>
          <w:rFonts w:hint="eastAsia" w:ascii="宋体" w:hAnsi="宋体" w:cs="宋体"/>
          <w:sz w:val="24"/>
          <w:szCs w:val="24"/>
        </w:rPr>
        <w:t>（3）人员资格：见投标人须知前附表；</w:t>
      </w:r>
    </w:p>
    <w:p>
      <w:pPr>
        <w:topLinePunct/>
        <w:spacing w:line="460" w:lineRule="exact"/>
        <w:ind w:firstLine="480" w:firstLineChars="200"/>
        <w:contextualSpacing/>
        <w:rPr>
          <w:rFonts w:ascii="宋体" w:hAnsi="宋体" w:cs="宋体"/>
          <w:sz w:val="24"/>
          <w:szCs w:val="24"/>
        </w:rPr>
      </w:pPr>
      <w:r>
        <w:rPr>
          <w:rFonts w:hint="eastAsia" w:ascii="宋体" w:hAnsi="宋体" w:cs="宋体"/>
          <w:sz w:val="24"/>
          <w:szCs w:val="24"/>
        </w:rPr>
        <w:t>（4）主要机械设备和试验检测设备要求：见投标人须知前附表。</w:t>
      </w:r>
    </w:p>
    <w:p>
      <w:pPr>
        <w:topLinePunct/>
        <w:spacing w:line="460" w:lineRule="exact"/>
        <w:ind w:firstLine="480" w:firstLineChars="200"/>
        <w:contextualSpacing/>
        <w:rPr>
          <w:rFonts w:ascii="宋体" w:hAnsi="宋体" w:cs="宋体"/>
          <w:sz w:val="24"/>
          <w:szCs w:val="24"/>
        </w:rPr>
      </w:pPr>
      <w:r>
        <w:rPr>
          <w:rFonts w:hint="eastAsia" w:ascii="宋体" w:hAnsi="宋体" w:cs="宋体"/>
          <w:sz w:val="24"/>
          <w:szCs w:val="24"/>
        </w:rPr>
        <w:t>1.4.2 投标人须知前附表规定接受联合体投标的，除应符合本章第1.4.1项和投标人须知前附表的要求外，还应遵守以下规定：</w:t>
      </w:r>
    </w:p>
    <w:p>
      <w:pPr>
        <w:topLinePunct/>
        <w:spacing w:line="460" w:lineRule="exact"/>
        <w:ind w:firstLine="480" w:firstLineChars="200"/>
        <w:contextualSpacing/>
        <w:rPr>
          <w:rFonts w:ascii="宋体" w:hAnsi="宋体" w:cs="宋体"/>
          <w:sz w:val="24"/>
          <w:szCs w:val="24"/>
        </w:rPr>
      </w:pPr>
      <w:r>
        <w:rPr>
          <w:rFonts w:hint="eastAsia" w:ascii="宋体" w:hAnsi="宋体" w:cs="宋体"/>
          <w:sz w:val="24"/>
          <w:szCs w:val="24"/>
        </w:rPr>
        <w:t>（1）联合体各方应按招标文件提供的格式签订联合体协议书，明确联合体牵头人和各方权利义务；</w:t>
      </w:r>
    </w:p>
    <w:p>
      <w:pPr>
        <w:topLinePunct/>
        <w:spacing w:line="460" w:lineRule="exact"/>
        <w:ind w:firstLine="480" w:firstLineChars="200"/>
        <w:contextualSpacing/>
        <w:rPr>
          <w:rFonts w:ascii="宋体" w:hAnsi="宋体" w:cs="宋体"/>
          <w:sz w:val="24"/>
          <w:szCs w:val="24"/>
        </w:rPr>
      </w:pPr>
      <w:r>
        <w:rPr>
          <w:rFonts w:hint="eastAsia" w:ascii="宋体" w:hAnsi="宋体" w:cs="宋体"/>
          <w:sz w:val="24"/>
          <w:szCs w:val="24"/>
        </w:rPr>
        <w:t>（2）由同一专业的单位组成的联合体，按照资质等级较低的单位确定资质等级；</w:t>
      </w:r>
    </w:p>
    <w:p>
      <w:pPr>
        <w:topLinePunct/>
        <w:spacing w:line="460" w:lineRule="exact"/>
        <w:ind w:firstLine="480" w:firstLineChars="200"/>
        <w:contextualSpacing/>
        <w:rPr>
          <w:rFonts w:ascii="宋体" w:hAnsi="宋体" w:cs="宋体"/>
          <w:sz w:val="24"/>
          <w:szCs w:val="24"/>
        </w:rPr>
      </w:pPr>
      <w:r>
        <w:rPr>
          <w:rFonts w:hint="eastAsia" w:ascii="宋体" w:hAnsi="宋体" w:cs="宋体"/>
          <w:sz w:val="24"/>
          <w:szCs w:val="24"/>
        </w:rPr>
        <w:t>（3）联合体各方不得再以自己名义单独或参加其他联合体在同一标段中投标；</w:t>
      </w:r>
    </w:p>
    <w:p>
      <w:pPr>
        <w:topLinePunct/>
        <w:spacing w:line="460" w:lineRule="exact"/>
        <w:ind w:firstLine="480" w:firstLineChars="200"/>
        <w:contextualSpacing/>
        <w:rPr>
          <w:rFonts w:ascii="宋体" w:hAnsi="宋体" w:cs="宋体"/>
          <w:sz w:val="24"/>
          <w:szCs w:val="24"/>
        </w:rPr>
      </w:pPr>
      <w:r>
        <w:rPr>
          <w:rFonts w:hint="eastAsia" w:ascii="宋体" w:hAnsi="宋体" w:cs="宋体"/>
          <w:sz w:val="24"/>
          <w:szCs w:val="24"/>
        </w:rPr>
        <w:t>（4）联合体所有成员数量不得超过投标人须知前附表规定的数量；</w:t>
      </w:r>
    </w:p>
    <w:p>
      <w:pPr>
        <w:topLinePunct/>
        <w:spacing w:line="460" w:lineRule="exact"/>
        <w:ind w:firstLine="480" w:firstLineChars="200"/>
        <w:contextualSpacing/>
        <w:rPr>
          <w:rFonts w:ascii="宋体" w:hAnsi="宋体" w:cs="宋体"/>
          <w:sz w:val="24"/>
          <w:szCs w:val="24"/>
        </w:rPr>
      </w:pPr>
      <w:r>
        <w:rPr>
          <w:rFonts w:hint="eastAsia" w:ascii="宋体" w:hAnsi="宋体" w:cs="宋体"/>
          <w:sz w:val="24"/>
          <w:szCs w:val="24"/>
        </w:rPr>
        <w:t>（5）联合体各方应分别按照本招标文件的要求，填写投标文件中的相应表格，并由联合体牵头人负责对联合体各成员的资料进行统一汇总后一并提交给招标人；联合体牵头人所提交的投标文件应认为已代表了联合体各成员的真实情况；</w:t>
      </w:r>
    </w:p>
    <w:p>
      <w:pPr>
        <w:topLinePunct/>
        <w:spacing w:line="460" w:lineRule="exact"/>
        <w:ind w:firstLine="480" w:firstLineChars="200"/>
        <w:contextualSpacing/>
        <w:rPr>
          <w:rFonts w:ascii="宋体" w:hAnsi="宋体" w:cs="宋体"/>
          <w:sz w:val="24"/>
          <w:szCs w:val="24"/>
        </w:rPr>
      </w:pPr>
      <w:r>
        <w:rPr>
          <w:rFonts w:hint="eastAsia" w:ascii="宋体" w:hAnsi="宋体" w:cs="宋体"/>
          <w:sz w:val="24"/>
          <w:szCs w:val="24"/>
        </w:rPr>
        <w:t>（</w:t>
      </w:r>
      <w:r>
        <w:rPr>
          <w:rFonts w:hint="eastAsia" w:ascii="宋体" w:hAnsi="宋体" w:cs="宋体"/>
          <w:sz w:val="24"/>
          <w:szCs w:val="24"/>
          <w:lang w:val="en-US" w:eastAsia="zh-CN"/>
        </w:rPr>
        <w:t>6</w:t>
      </w:r>
      <w:r>
        <w:rPr>
          <w:rFonts w:hint="eastAsia" w:ascii="宋体" w:hAnsi="宋体" w:cs="宋体"/>
          <w:sz w:val="24"/>
          <w:szCs w:val="24"/>
        </w:rPr>
        <w:t>）尽管委任了联合体牵头人，但联合体各成员在投标、签约与履行合同过程中，仍负有连带的和各自的法律责任。</w:t>
      </w:r>
    </w:p>
    <w:p>
      <w:pPr>
        <w:topLinePunct/>
        <w:spacing w:line="460" w:lineRule="exact"/>
        <w:ind w:firstLine="480" w:firstLineChars="200"/>
        <w:contextualSpacing/>
        <w:rPr>
          <w:rFonts w:ascii="宋体" w:hAnsi="宋体" w:cs="宋体"/>
          <w:sz w:val="24"/>
          <w:szCs w:val="24"/>
        </w:rPr>
      </w:pPr>
      <w:r>
        <w:rPr>
          <w:rFonts w:hint="eastAsia" w:ascii="宋体" w:hAnsi="宋体" w:cs="宋体"/>
          <w:sz w:val="24"/>
          <w:szCs w:val="24"/>
        </w:rPr>
        <w:t>1.4.3 投标人不得存在下列情形之一：</w:t>
      </w:r>
    </w:p>
    <w:p>
      <w:pPr>
        <w:topLinePunct/>
        <w:spacing w:line="460" w:lineRule="exact"/>
        <w:ind w:firstLine="480" w:firstLineChars="200"/>
        <w:contextualSpacing/>
        <w:rPr>
          <w:rFonts w:ascii="宋体" w:hAnsi="宋体" w:cs="宋体"/>
          <w:sz w:val="24"/>
          <w:szCs w:val="24"/>
        </w:rPr>
      </w:pPr>
      <w:r>
        <w:rPr>
          <w:rFonts w:hint="eastAsia" w:ascii="宋体" w:hAnsi="宋体" w:cs="宋体"/>
          <w:sz w:val="24"/>
          <w:szCs w:val="24"/>
        </w:rPr>
        <w:t>（1）为招标人不具有独立法人资格的附属机构（单位）；</w:t>
      </w:r>
    </w:p>
    <w:p>
      <w:pPr>
        <w:topLinePunct/>
        <w:spacing w:line="460" w:lineRule="exact"/>
        <w:ind w:firstLine="480" w:firstLineChars="200"/>
        <w:contextualSpacing/>
        <w:rPr>
          <w:rFonts w:ascii="宋体" w:hAnsi="宋体" w:cs="宋体"/>
          <w:sz w:val="24"/>
          <w:szCs w:val="24"/>
        </w:rPr>
      </w:pPr>
      <w:r>
        <w:rPr>
          <w:rFonts w:hint="eastAsia" w:ascii="宋体" w:hAnsi="宋体" w:cs="宋体"/>
          <w:sz w:val="24"/>
          <w:szCs w:val="24"/>
        </w:rPr>
        <w:t>（2）为本标段前期准备提供设计或咨询服务的，但设计施工总承包的除外；</w:t>
      </w:r>
    </w:p>
    <w:p>
      <w:pPr>
        <w:topLinePunct/>
        <w:spacing w:line="460" w:lineRule="exact"/>
        <w:ind w:firstLine="480" w:firstLineChars="200"/>
        <w:contextualSpacing/>
        <w:rPr>
          <w:rFonts w:ascii="宋体" w:hAnsi="宋体" w:cs="宋体"/>
          <w:sz w:val="24"/>
          <w:szCs w:val="24"/>
        </w:rPr>
      </w:pPr>
      <w:r>
        <w:rPr>
          <w:rFonts w:hint="eastAsia" w:ascii="宋体" w:hAnsi="宋体" w:cs="宋体"/>
          <w:sz w:val="24"/>
          <w:szCs w:val="24"/>
        </w:rPr>
        <w:t>（3）为本标段的监理人；</w:t>
      </w:r>
    </w:p>
    <w:p>
      <w:pPr>
        <w:topLinePunct/>
        <w:spacing w:line="460" w:lineRule="exact"/>
        <w:ind w:firstLine="480" w:firstLineChars="200"/>
        <w:contextualSpacing/>
        <w:rPr>
          <w:rFonts w:ascii="宋体" w:hAnsi="宋体" w:cs="宋体"/>
          <w:sz w:val="24"/>
          <w:szCs w:val="24"/>
        </w:rPr>
      </w:pPr>
      <w:r>
        <w:rPr>
          <w:rFonts w:hint="eastAsia" w:ascii="宋体" w:hAnsi="宋体" w:cs="宋体"/>
          <w:sz w:val="24"/>
          <w:szCs w:val="24"/>
        </w:rPr>
        <w:t>（4）为本标段的代建人；</w:t>
      </w:r>
    </w:p>
    <w:p>
      <w:pPr>
        <w:topLinePunct/>
        <w:spacing w:line="460" w:lineRule="exact"/>
        <w:ind w:firstLine="480" w:firstLineChars="200"/>
        <w:contextualSpacing/>
        <w:rPr>
          <w:rFonts w:ascii="宋体" w:hAnsi="宋体" w:cs="宋体"/>
          <w:sz w:val="24"/>
          <w:szCs w:val="24"/>
        </w:rPr>
      </w:pPr>
      <w:r>
        <w:rPr>
          <w:rFonts w:hint="eastAsia" w:ascii="宋体" w:hAnsi="宋体" w:cs="宋体"/>
          <w:sz w:val="24"/>
          <w:szCs w:val="24"/>
        </w:rPr>
        <w:t>（5）为本标段提供招标代理服务的；</w:t>
      </w:r>
    </w:p>
    <w:p>
      <w:pPr>
        <w:topLinePunct/>
        <w:spacing w:line="460" w:lineRule="exact"/>
        <w:ind w:firstLine="480" w:firstLineChars="200"/>
        <w:contextualSpacing/>
        <w:rPr>
          <w:rFonts w:ascii="宋体" w:hAnsi="宋体" w:cs="宋体"/>
          <w:sz w:val="24"/>
          <w:szCs w:val="24"/>
        </w:rPr>
      </w:pPr>
      <w:r>
        <w:rPr>
          <w:rFonts w:hint="eastAsia" w:ascii="宋体" w:hAnsi="宋体" w:cs="宋体"/>
          <w:sz w:val="24"/>
          <w:szCs w:val="24"/>
        </w:rPr>
        <w:t>（6）与本标段的监理人或代建人或招标代理机构同为一个法定代表人的；</w:t>
      </w:r>
    </w:p>
    <w:p>
      <w:pPr>
        <w:topLinePunct/>
        <w:spacing w:line="460" w:lineRule="exact"/>
        <w:ind w:firstLine="480" w:firstLineChars="200"/>
        <w:contextualSpacing/>
        <w:rPr>
          <w:rFonts w:ascii="宋体" w:hAnsi="宋体" w:cs="宋体"/>
          <w:sz w:val="24"/>
          <w:szCs w:val="24"/>
        </w:rPr>
      </w:pPr>
      <w:r>
        <w:rPr>
          <w:rFonts w:hint="eastAsia" w:ascii="宋体" w:hAnsi="宋体" w:cs="宋体"/>
          <w:sz w:val="24"/>
          <w:szCs w:val="24"/>
        </w:rPr>
        <w:t>（7）与本标段的监理人或代建人或招标代理机构相互控股或参股的；</w:t>
      </w:r>
    </w:p>
    <w:p>
      <w:pPr>
        <w:topLinePunct/>
        <w:spacing w:line="460" w:lineRule="exact"/>
        <w:ind w:firstLine="480" w:firstLineChars="200"/>
        <w:contextualSpacing/>
        <w:rPr>
          <w:rFonts w:ascii="宋体" w:hAnsi="宋体" w:cs="宋体"/>
          <w:sz w:val="24"/>
          <w:szCs w:val="24"/>
        </w:rPr>
      </w:pPr>
      <w:r>
        <w:rPr>
          <w:rFonts w:hint="eastAsia" w:ascii="宋体" w:hAnsi="宋体" w:cs="宋体"/>
          <w:sz w:val="24"/>
          <w:szCs w:val="24"/>
        </w:rPr>
        <w:t>（8）与本标段的监理人或代建人或招标代理机构相互任职或工作的；</w:t>
      </w:r>
    </w:p>
    <w:p>
      <w:pPr>
        <w:topLinePunct/>
        <w:spacing w:line="460" w:lineRule="exact"/>
        <w:ind w:firstLine="480" w:firstLineChars="200"/>
        <w:contextualSpacing/>
        <w:rPr>
          <w:rFonts w:ascii="宋体" w:hAnsi="宋体" w:cs="宋体"/>
          <w:sz w:val="24"/>
          <w:szCs w:val="24"/>
        </w:rPr>
      </w:pPr>
      <w:r>
        <w:rPr>
          <w:rFonts w:hint="eastAsia" w:ascii="宋体" w:hAnsi="宋体" w:cs="宋体"/>
          <w:sz w:val="24"/>
          <w:szCs w:val="24"/>
        </w:rPr>
        <w:t>（9）被责令停业的；</w:t>
      </w:r>
    </w:p>
    <w:p>
      <w:pPr>
        <w:topLinePunct/>
        <w:spacing w:line="460" w:lineRule="exact"/>
        <w:ind w:firstLine="480" w:firstLineChars="200"/>
        <w:contextualSpacing/>
        <w:rPr>
          <w:rFonts w:ascii="宋体" w:hAnsi="宋体" w:cs="宋体"/>
          <w:sz w:val="24"/>
          <w:szCs w:val="24"/>
        </w:rPr>
      </w:pPr>
      <w:r>
        <w:rPr>
          <w:rFonts w:hint="eastAsia" w:ascii="宋体" w:hAnsi="宋体" w:cs="宋体"/>
          <w:sz w:val="24"/>
          <w:szCs w:val="24"/>
        </w:rPr>
        <w:t>（10）被暂停或取消投标资格的；</w:t>
      </w:r>
    </w:p>
    <w:p>
      <w:pPr>
        <w:topLinePunct/>
        <w:spacing w:line="460" w:lineRule="exact"/>
        <w:ind w:firstLine="480" w:firstLineChars="200"/>
        <w:contextualSpacing/>
        <w:rPr>
          <w:rFonts w:ascii="宋体" w:hAnsi="宋体" w:cs="宋体"/>
          <w:sz w:val="24"/>
          <w:szCs w:val="24"/>
        </w:rPr>
      </w:pPr>
      <w:r>
        <w:rPr>
          <w:rFonts w:hint="eastAsia" w:ascii="宋体" w:hAnsi="宋体" w:cs="宋体"/>
          <w:sz w:val="24"/>
          <w:szCs w:val="24"/>
        </w:rPr>
        <w:t>（11）财产被接管或冻结的；</w:t>
      </w:r>
    </w:p>
    <w:p>
      <w:pPr>
        <w:topLinePunct/>
        <w:spacing w:line="460" w:lineRule="exact"/>
        <w:ind w:firstLine="480" w:firstLineChars="200"/>
        <w:contextualSpacing/>
        <w:rPr>
          <w:rFonts w:ascii="宋体" w:hAnsi="宋体" w:cs="宋体"/>
          <w:sz w:val="24"/>
          <w:szCs w:val="24"/>
        </w:rPr>
      </w:pPr>
      <w:r>
        <w:rPr>
          <w:rFonts w:hint="eastAsia" w:ascii="宋体" w:hAnsi="宋体" w:cs="宋体"/>
          <w:sz w:val="24"/>
          <w:szCs w:val="24"/>
        </w:rPr>
        <w:t>（12）在最近三年内有骗取中标或严重违约或重大工程质量问题的；</w:t>
      </w:r>
    </w:p>
    <w:p>
      <w:pPr>
        <w:topLinePunct/>
        <w:spacing w:line="460" w:lineRule="exact"/>
        <w:ind w:firstLine="480" w:firstLineChars="200"/>
        <w:contextualSpacing/>
        <w:rPr>
          <w:rFonts w:ascii="宋体" w:hAnsi="宋体" w:cs="宋体"/>
          <w:sz w:val="24"/>
          <w:szCs w:val="24"/>
        </w:rPr>
      </w:pPr>
      <w:r>
        <w:rPr>
          <w:rFonts w:hint="eastAsia" w:ascii="宋体" w:hAnsi="宋体" w:cs="宋体"/>
          <w:sz w:val="24"/>
          <w:szCs w:val="24"/>
        </w:rPr>
        <w:t>（13）涉及正在诉讼的案件，或涉及正在诉讼的案件但经审查委员会认定不会对承担本项目造成重大影响；</w:t>
      </w:r>
    </w:p>
    <w:p>
      <w:pPr>
        <w:topLinePunct/>
        <w:spacing w:line="460" w:lineRule="exact"/>
        <w:ind w:firstLine="480" w:firstLineChars="200"/>
        <w:contextualSpacing/>
        <w:rPr>
          <w:rFonts w:ascii="宋体" w:hAnsi="宋体" w:cs="宋体"/>
          <w:sz w:val="24"/>
          <w:szCs w:val="24"/>
        </w:rPr>
      </w:pPr>
      <w:r>
        <w:rPr>
          <w:rFonts w:hint="eastAsia" w:ascii="宋体" w:hAnsi="宋体" w:cs="宋体"/>
          <w:sz w:val="24"/>
          <w:szCs w:val="24"/>
        </w:rPr>
        <w:t>（14）为投资参股本项目的法人单位。</w:t>
      </w:r>
    </w:p>
    <w:p>
      <w:pPr>
        <w:topLinePunct/>
        <w:spacing w:line="460" w:lineRule="exact"/>
        <w:ind w:firstLine="480" w:firstLineChars="200"/>
        <w:contextualSpacing/>
        <w:rPr>
          <w:rFonts w:ascii="宋体" w:hAnsi="宋体" w:cs="宋体"/>
          <w:sz w:val="24"/>
          <w:szCs w:val="24"/>
        </w:rPr>
      </w:pPr>
      <w:r>
        <w:rPr>
          <w:rFonts w:hint="eastAsia" w:ascii="宋体" w:hAnsi="宋体" w:cs="宋体"/>
          <w:sz w:val="24"/>
          <w:szCs w:val="24"/>
        </w:rPr>
        <w:t>(</w:t>
      </w:r>
      <w:r>
        <w:rPr>
          <w:rFonts w:ascii="宋体" w:hAnsi="宋体" w:cs="宋体"/>
          <w:sz w:val="24"/>
          <w:szCs w:val="24"/>
        </w:rPr>
        <w:t>15</w:t>
      </w:r>
      <w:r>
        <w:rPr>
          <w:rFonts w:hint="eastAsia" w:ascii="宋体" w:hAnsi="宋体" w:cs="宋体"/>
          <w:sz w:val="24"/>
          <w:szCs w:val="24"/>
        </w:rPr>
        <w:t>) 被国家发改委等部门列入联合惩戒备忘录（黑名单）</w:t>
      </w:r>
    </w:p>
    <w:p>
      <w:pPr>
        <w:topLinePunct/>
        <w:spacing w:line="460" w:lineRule="exact"/>
        <w:contextualSpacing/>
        <w:rPr>
          <w:rFonts w:ascii="宋体" w:hAnsi="宋体" w:cs="宋体"/>
          <w:b/>
          <w:sz w:val="24"/>
          <w:szCs w:val="24"/>
        </w:rPr>
      </w:pPr>
      <w:bookmarkStart w:id="37" w:name="_Toc450029234"/>
      <w:r>
        <w:rPr>
          <w:rFonts w:hint="eastAsia" w:ascii="宋体" w:hAnsi="宋体" w:cs="宋体"/>
          <w:b/>
          <w:sz w:val="24"/>
          <w:szCs w:val="24"/>
        </w:rPr>
        <w:t>1.5 费用承担</w:t>
      </w:r>
      <w:bookmarkEnd w:id="37"/>
    </w:p>
    <w:p>
      <w:pPr>
        <w:topLinePunct/>
        <w:spacing w:line="460" w:lineRule="exact"/>
        <w:ind w:firstLine="480" w:firstLineChars="200"/>
        <w:contextualSpacing/>
        <w:rPr>
          <w:rFonts w:ascii="宋体" w:hAnsi="宋体" w:cs="宋体"/>
          <w:sz w:val="24"/>
          <w:szCs w:val="24"/>
        </w:rPr>
      </w:pPr>
      <w:r>
        <w:rPr>
          <w:rFonts w:hint="eastAsia" w:ascii="宋体" w:hAnsi="宋体" w:cs="宋体"/>
          <w:sz w:val="24"/>
          <w:szCs w:val="24"/>
        </w:rPr>
        <w:t>投标人准备和参加投标活动发生的费用自理。</w:t>
      </w:r>
    </w:p>
    <w:p>
      <w:pPr>
        <w:pStyle w:val="4"/>
        <w:topLinePunct/>
        <w:spacing w:before="0" w:after="0" w:line="460" w:lineRule="exact"/>
        <w:contextualSpacing/>
        <w:rPr>
          <w:rFonts w:ascii="宋体" w:hAnsi="宋体" w:cs="宋体"/>
          <w:sz w:val="24"/>
          <w:szCs w:val="24"/>
        </w:rPr>
      </w:pPr>
      <w:bookmarkStart w:id="38" w:name="_Toc450029235"/>
      <w:r>
        <w:rPr>
          <w:rFonts w:hint="eastAsia" w:ascii="宋体" w:hAnsi="宋体" w:cs="宋体"/>
          <w:sz w:val="24"/>
          <w:szCs w:val="24"/>
        </w:rPr>
        <w:t>1.6 保密</w:t>
      </w:r>
      <w:bookmarkEnd w:id="38"/>
    </w:p>
    <w:p>
      <w:pPr>
        <w:topLinePunct/>
        <w:spacing w:line="460" w:lineRule="exact"/>
        <w:ind w:firstLine="480" w:firstLineChars="200"/>
        <w:contextualSpacing/>
        <w:rPr>
          <w:rFonts w:ascii="宋体" w:hAnsi="宋体" w:cs="宋体"/>
          <w:sz w:val="24"/>
          <w:szCs w:val="24"/>
        </w:rPr>
      </w:pPr>
      <w:r>
        <w:rPr>
          <w:rFonts w:hint="eastAsia" w:ascii="宋体" w:hAnsi="宋体" w:cs="宋体"/>
          <w:sz w:val="24"/>
          <w:szCs w:val="24"/>
        </w:rPr>
        <w:t>参与招标投标活动的各方应对招标文件和投标文件中的商业和技术等秘密保密，违者应对由此造成的后果承担法律责任。</w:t>
      </w:r>
    </w:p>
    <w:p>
      <w:pPr>
        <w:pStyle w:val="4"/>
        <w:topLinePunct/>
        <w:spacing w:before="0" w:after="0" w:line="460" w:lineRule="exact"/>
        <w:contextualSpacing/>
        <w:rPr>
          <w:rFonts w:ascii="宋体" w:hAnsi="宋体" w:cs="宋体"/>
          <w:sz w:val="24"/>
          <w:szCs w:val="24"/>
        </w:rPr>
      </w:pPr>
      <w:bookmarkStart w:id="39" w:name="_Toc450029236"/>
      <w:r>
        <w:rPr>
          <w:rFonts w:hint="eastAsia" w:ascii="宋体" w:hAnsi="宋体" w:cs="宋体"/>
          <w:sz w:val="24"/>
          <w:szCs w:val="24"/>
        </w:rPr>
        <w:t>1.7 语言文字</w:t>
      </w:r>
      <w:bookmarkEnd w:id="39"/>
    </w:p>
    <w:p>
      <w:pPr>
        <w:topLinePunct/>
        <w:spacing w:line="460" w:lineRule="exact"/>
        <w:ind w:firstLine="480" w:firstLineChars="200"/>
        <w:contextualSpacing/>
        <w:rPr>
          <w:rFonts w:ascii="宋体" w:hAnsi="宋体" w:cs="宋体"/>
          <w:sz w:val="24"/>
          <w:szCs w:val="24"/>
        </w:rPr>
      </w:pPr>
      <w:r>
        <w:rPr>
          <w:rFonts w:hint="eastAsia" w:ascii="宋体" w:hAnsi="宋体" w:cs="宋体"/>
          <w:sz w:val="24"/>
          <w:szCs w:val="24"/>
        </w:rPr>
        <w:t>除专用术语外，与招标投标有关的语言均使用中文。必要时专用术语应附有中文注释。</w:t>
      </w:r>
    </w:p>
    <w:p>
      <w:pPr>
        <w:pStyle w:val="4"/>
        <w:topLinePunct/>
        <w:spacing w:before="0" w:after="0" w:line="460" w:lineRule="exact"/>
        <w:contextualSpacing/>
        <w:rPr>
          <w:rFonts w:ascii="宋体" w:hAnsi="宋体" w:cs="宋体"/>
          <w:sz w:val="24"/>
          <w:szCs w:val="24"/>
        </w:rPr>
      </w:pPr>
      <w:bookmarkStart w:id="40" w:name="_Toc450029237"/>
      <w:r>
        <w:rPr>
          <w:rFonts w:hint="eastAsia" w:ascii="宋体" w:hAnsi="宋体" w:cs="宋体"/>
          <w:sz w:val="24"/>
          <w:szCs w:val="24"/>
        </w:rPr>
        <w:t>1.8 计量单位</w:t>
      </w:r>
      <w:bookmarkEnd w:id="40"/>
    </w:p>
    <w:p>
      <w:pPr>
        <w:topLinePunct/>
        <w:spacing w:line="460" w:lineRule="exact"/>
        <w:ind w:firstLine="480" w:firstLineChars="200"/>
        <w:contextualSpacing/>
        <w:rPr>
          <w:rFonts w:ascii="宋体" w:hAnsi="宋体" w:cs="宋体"/>
          <w:sz w:val="24"/>
          <w:szCs w:val="24"/>
        </w:rPr>
      </w:pPr>
      <w:r>
        <w:rPr>
          <w:rFonts w:hint="eastAsia" w:ascii="宋体" w:hAnsi="宋体" w:cs="宋体"/>
          <w:sz w:val="24"/>
          <w:szCs w:val="24"/>
        </w:rPr>
        <w:t>所有计量均采用中华人民共和国法定计量单位。</w:t>
      </w:r>
    </w:p>
    <w:p>
      <w:pPr>
        <w:pStyle w:val="4"/>
        <w:topLinePunct/>
        <w:spacing w:before="0" w:after="0" w:line="460" w:lineRule="exact"/>
        <w:contextualSpacing/>
        <w:rPr>
          <w:rFonts w:ascii="宋体" w:hAnsi="宋体" w:cs="宋体"/>
          <w:sz w:val="24"/>
          <w:szCs w:val="24"/>
        </w:rPr>
      </w:pPr>
      <w:bookmarkStart w:id="41" w:name="_Toc450029238"/>
      <w:r>
        <w:rPr>
          <w:rFonts w:hint="eastAsia" w:ascii="宋体" w:hAnsi="宋体" w:cs="宋体"/>
          <w:sz w:val="24"/>
          <w:szCs w:val="24"/>
        </w:rPr>
        <w:t>1.9 踏勘现场</w:t>
      </w:r>
      <w:bookmarkEnd w:id="41"/>
    </w:p>
    <w:p>
      <w:pPr>
        <w:topLinePunct/>
        <w:spacing w:line="460" w:lineRule="exact"/>
        <w:ind w:firstLine="480" w:firstLineChars="200"/>
        <w:contextualSpacing/>
        <w:rPr>
          <w:rFonts w:ascii="宋体" w:hAnsi="宋体" w:cs="宋体"/>
          <w:sz w:val="24"/>
          <w:szCs w:val="24"/>
        </w:rPr>
      </w:pPr>
      <w:r>
        <w:rPr>
          <w:rFonts w:hint="eastAsia" w:ascii="宋体" w:hAnsi="宋体" w:cs="宋体"/>
          <w:sz w:val="24"/>
          <w:szCs w:val="24"/>
        </w:rPr>
        <w:t>1.9.1 投标人须知前附表规定组织踏勘现场的，招标人按投标人须知前附表规定的时间、地点组织投标人踏勘项目现场。</w:t>
      </w:r>
    </w:p>
    <w:p>
      <w:pPr>
        <w:topLinePunct/>
        <w:spacing w:line="460" w:lineRule="exact"/>
        <w:ind w:firstLine="480" w:firstLineChars="200"/>
        <w:contextualSpacing/>
        <w:rPr>
          <w:rFonts w:ascii="宋体" w:hAnsi="宋体" w:cs="宋体"/>
          <w:sz w:val="24"/>
          <w:szCs w:val="24"/>
        </w:rPr>
      </w:pPr>
      <w:r>
        <w:rPr>
          <w:rFonts w:hint="eastAsia" w:ascii="宋体" w:hAnsi="宋体" w:cs="宋体"/>
          <w:sz w:val="24"/>
          <w:szCs w:val="24"/>
        </w:rPr>
        <w:t>1.9.2 投标人踏勘现场发生的费用自理。</w:t>
      </w:r>
    </w:p>
    <w:p>
      <w:pPr>
        <w:topLinePunct/>
        <w:spacing w:line="460" w:lineRule="exact"/>
        <w:ind w:firstLine="480" w:firstLineChars="200"/>
        <w:contextualSpacing/>
        <w:rPr>
          <w:rFonts w:ascii="宋体" w:hAnsi="宋体" w:cs="宋体"/>
          <w:sz w:val="24"/>
          <w:szCs w:val="24"/>
        </w:rPr>
      </w:pPr>
      <w:r>
        <w:rPr>
          <w:rFonts w:hint="eastAsia" w:ascii="宋体" w:hAnsi="宋体" w:cs="宋体"/>
          <w:sz w:val="24"/>
          <w:szCs w:val="24"/>
        </w:rPr>
        <w:t>1.9.3 除招标人的原因外，投标人自行负责在踏勘现场中所发生的人员伤亡和财产损失。</w:t>
      </w:r>
    </w:p>
    <w:p>
      <w:pPr>
        <w:topLinePunct/>
        <w:spacing w:line="460" w:lineRule="exact"/>
        <w:ind w:firstLine="480" w:firstLineChars="200"/>
        <w:contextualSpacing/>
        <w:rPr>
          <w:rFonts w:ascii="宋体" w:hAnsi="宋体" w:cs="宋体"/>
          <w:sz w:val="24"/>
          <w:szCs w:val="24"/>
        </w:rPr>
      </w:pPr>
      <w:r>
        <w:rPr>
          <w:rFonts w:hint="eastAsia" w:ascii="宋体" w:hAnsi="宋体" w:cs="宋体"/>
          <w:sz w:val="24"/>
          <w:szCs w:val="24"/>
        </w:rPr>
        <w:t>1.9.4 招标人在踏勘现场中介绍的工程场地和相关的周边环境情况，供投标人在编制投标文件时参考，招标人不对投标人据此作出的判断和决策负责。</w:t>
      </w:r>
    </w:p>
    <w:p>
      <w:pPr>
        <w:topLinePunct/>
        <w:spacing w:line="460" w:lineRule="exact"/>
        <w:ind w:firstLine="480" w:firstLineChars="200"/>
        <w:contextualSpacing/>
        <w:rPr>
          <w:rFonts w:ascii="宋体" w:hAnsi="宋体" w:cs="宋体"/>
          <w:sz w:val="24"/>
          <w:szCs w:val="24"/>
        </w:rPr>
      </w:pPr>
      <w:r>
        <w:rPr>
          <w:rFonts w:hint="eastAsia" w:ascii="宋体" w:hAnsi="宋体" w:cs="宋体"/>
          <w:sz w:val="24"/>
          <w:szCs w:val="24"/>
        </w:rPr>
        <w:t>1.9.5招标人提供的本合同工程的水文、地质、气象和料场分布、取土场、弃土场位置等参考资料，并不构成合同文件的组成部分，投标人应对自己对上述资料的解释、推论和应用负责，招标人不对投标人据此作出的判断和决策承担任何责任。</w:t>
      </w:r>
    </w:p>
    <w:p>
      <w:pPr>
        <w:pStyle w:val="4"/>
        <w:topLinePunct/>
        <w:spacing w:before="0" w:after="0" w:line="460" w:lineRule="exact"/>
        <w:contextualSpacing/>
        <w:rPr>
          <w:rFonts w:ascii="宋体" w:hAnsi="宋体" w:cs="宋体"/>
          <w:sz w:val="24"/>
          <w:szCs w:val="24"/>
        </w:rPr>
      </w:pPr>
      <w:bookmarkStart w:id="42" w:name="_Toc450029239"/>
      <w:r>
        <w:rPr>
          <w:rFonts w:hint="eastAsia" w:ascii="宋体" w:hAnsi="宋体" w:cs="宋体"/>
          <w:sz w:val="24"/>
          <w:szCs w:val="24"/>
        </w:rPr>
        <w:t>1.10 投标预备会</w:t>
      </w:r>
      <w:bookmarkEnd w:id="42"/>
    </w:p>
    <w:p>
      <w:pPr>
        <w:topLinePunct/>
        <w:spacing w:line="460" w:lineRule="exact"/>
        <w:ind w:firstLine="480" w:firstLineChars="200"/>
        <w:contextualSpacing/>
        <w:rPr>
          <w:rFonts w:ascii="宋体" w:hAnsi="宋体" w:cs="宋体"/>
          <w:sz w:val="24"/>
          <w:szCs w:val="24"/>
        </w:rPr>
      </w:pPr>
      <w:r>
        <w:rPr>
          <w:rFonts w:hint="eastAsia" w:ascii="宋体" w:hAnsi="宋体" w:cs="宋体"/>
          <w:sz w:val="24"/>
          <w:szCs w:val="24"/>
        </w:rPr>
        <w:t>1.10.1 投标人须知前附表规定召开投标预备会的，招标人按投标人须知前附表规定的时间和地点召开投标预备会，澄清投标人提出的问题。</w:t>
      </w:r>
    </w:p>
    <w:p>
      <w:pPr>
        <w:topLinePunct/>
        <w:spacing w:line="460" w:lineRule="exact"/>
        <w:ind w:firstLine="480" w:firstLineChars="200"/>
        <w:contextualSpacing/>
        <w:rPr>
          <w:rFonts w:ascii="宋体" w:hAnsi="宋体" w:cs="宋体"/>
          <w:sz w:val="24"/>
          <w:szCs w:val="24"/>
        </w:rPr>
      </w:pPr>
      <w:r>
        <w:rPr>
          <w:rFonts w:hint="eastAsia" w:ascii="宋体" w:hAnsi="宋体" w:cs="宋体"/>
          <w:sz w:val="24"/>
          <w:szCs w:val="24"/>
        </w:rPr>
        <w:t>1.10.2 投标人应在投标人须知前附表规定的时间前，以书面形式将提出的问题送达招标人，以便招标人在会议期间澄清。</w:t>
      </w:r>
    </w:p>
    <w:p>
      <w:pPr>
        <w:topLinePunct/>
        <w:spacing w:line="460" w:lineRule="exact"/>
        <w:ind w:firstLine="480" w:firstLineChars="200"/>
        <w:contextualSpacing/>
        <w:rPr>
          <w:rFonts w:ascii="宋体" w:hAnsi="宋体" w:cs="宋体"/>
          <w:sz w:val="24"/>
          <w:szCs w:val="24"/>
        </w:rPr>
      </w:pPr>
      <w:r>
        <w:rPr>
          <w:rFonts w:hint="eastAsia" w:ascii="宋体" w:hAnsi="宋体" w:cs="宋体"/>
          <w:sz w:val="24"/>
          <w:szCs w:val="24"/>
        </w:rPr>
        <w:t>1.10.3 投标预备会后，招标人在投标人须知前附表规定的时间内，将对投标人所提问题的澄清，以书面方式通知所有购买招标文件的投标人。该澄清内容为招标文件的组成部分。</w:t>
      </w:r>
    </w:p>
    <w:p>
      <w:pPr>
        <w:pStyle w:val="4"/>
        <w:topLinePunct/>
        <w:spacing w:before="0" w:after="0" w:line="460" w:lineRule="exact"/>
        <w:contextualSpacing/>
        <w:rPr>
          <w:rFonts w:ascii="宋体" w:hAnsi="宋体" w:cs="宋体"/>
          <w:sz w:val="24"/>
          <w:szCs w:val="24"/>
        </w:rPr>
      </w:pPr>
      <w:bookmarkStart w:id="43" w:name="_Toc450029240"/>
      <w:r>
        <w:rPr>
          <w:rFonts w:hint="eastAsia" w:ascii="宋体" w:hAnsi="宋体" w:cs="宋体"/>
          <w:sz w:val="24"/>
          <w:szCs w:val="24"/>
        </w:rPr>
        <w:t>1.11 分包</w:t>
      </w:r>
      <w:bookmarkEnd w:id="43"/>
    </w:p>
    <w:p>
      <w:pPr>
        <w:topLinePunct/>
        <w:spacing w:line="460" w:lineRule="exact"/>
        <w:ind w:firstLine="480" w:firstLineChars="200"/>
        <w:contextualSpacing/>
        <w:rPr>
          <w:rFonts w:ascii="宋体" w:hAnsi="宋体" w:cs="宋体"/>
          <w:sz w:val="24"/>
          <w:szCs w:val="24"/>
        </w:rPr>
      </w:pPr>
      <w:r>
        <w:rPr>
          <w:rFonts w:hint="eastAsia" w:ascii="宋体" w:hAnsi="宋体" w:cs="宋体"/>
          <w:sz w:val="24"/>
          <w:szCs w:val="24"/>
        </w:rPr>
        <w:t>本项目严禁转包和违规分包，且不得再次分包。投标人拟在中标后将中标项目的部分非主体、非关键性工作进行分包的，应符合以下规定：</w:t>
      </w:r>
    </w:p>
    <w:p>
      <w:pPr>
        <w:topLinePunct/>
        <w:spacing w:line="460" w:lineRule="exact"/>
        <w:ind w:firstLine="480" w:firstLineChars="200"/>
        <w:contextualSpacing/>
        <w:rPr>
          <w:rFonts w:ascii="宋体" w:hAnsi="宋体" w:cs="宋体"/>
          <w:sz w:val="24"/>
          <w:szCs w:val="24"/>
        </w:rPr>
      </w:pPr>
      <w:r>
        <w:rPr>
          <w:rFonts w:hint="eastAsia" w:ascii="宋体" w:hAnsi="宋体" w:cs="宋体"/>
          <w:sz w:val="24"/>
          <w:szCs w:val="24"/>
        </w:rPr>
        <w:t>分包内容要求：允许分包的工程范围仅限于非关键性工程或者适合专业化队伍施工的专业工程；</w:t>
      </w:r>
    </w:p>
    <w:p>
      <w:pPr>
        <w:topLinePunct/>
        <w:spacing w:line="460" w:lineRule="exact"/>
        <w:ind w:firstLine="480" w:firstLineChars="200"/>
        <w:contextualSpacing/>
        <w:rPr>
          <w:rFonts w:ascii="宋体" w:hAnsi="宋体" w:cs="宋体"/>
          <w:sz w:val="24"/>
          <w:szCs w:val="24"/>
        </w:rPr>
      </w:pPr>
      <w:r>
        <w:rPr>
          <w:rFonts w:hint="eastAsia" w:ascii="宋体" w:hAnsi="宋体" w:cs="宋体"/>
          <w:sz w:val="24"/>
          <w:szCs w:val="24"/>
        </w:rPr>
        <w:t>分包金额要求：专业工程分包的工程量累计不得超过总工程量的30%；</w:t>
      </w:r>
    </w:p>
    <w:p>
      <w:pPr>
        <w:topLinePunct/>
        <w:spacing w:line="460" w:lineRule="exact"/>
        <w:ind w:firstLine="480" w:firstLineChars="200"/>
        <w:contextualSpacing/>
        <w:rPr>
          <w:rFonts w:ascii="宋体" w:hAnsi="宋体" w:cs="宋体"/>
          <w:sz w:val="24"/>
          <w:szCs w:val="24"/>
        </w:rPr>
      </w:pPr>
      <w:r>
        <w:rPr>
          <w:rFonts w:hint="eastAsia" w:ascii="宋体" w:hAnsi="宋体" w:cs="宋体"/>
          <w:sz w:val="24"/>
          <w:szCs w:val="24"/>
        </w:rPr>
        <w:t>接受分包的第三人资质要求：分包人的资格能力应与其分包工程的标准和规模相适应，具备相应的专业承包资质或劳务分包资质；</w:t>
      </w:r>
    </w:p>
    <w:p>
      <w:pPr>
        <w:topLinePunct/>
        <w:spacing w:line="460" w:lineRule="exact"/>
        <w:ind w:firstLine="480" w:firstLineChars="200"/>
        <w:contextualSpacing/>
        <w:rPr>
          <w:rFonts w:ascii="宋体" w:hAnsi="宋体" w:cs="宋体"/>
          <w:sz w:val="24"/>
          <w:szCs w:val="24"/>
        </w:rPr>
      </w:pPr>
      <w:r>
        <w:rPr>
          <w:rFonts w:hint="eastAsia" w:ascii="宋体" w:hAnsi="宋体" w:cs="宋体"/>
          <w:sz w:val="24"/>
          <w:szCs w:val="24"/>
        </w:rPr>
        <w:t>其他要求；投标人如有分包计划，应按第七章“投标文件格式”的要求填写“拟分包项目调查表”，且投标人中标后的分包应满足合同条款第4.3款的相关要求。</w:t>
      </w:r>
    </w:p>
    <w:p>
      <w:pPr>
        <w:pStyle w:val="4"/>
        <w:topLinePunct/>
        <w:spacing w:before="0" w:after="0" w:line="460" w:lineRule="exact"/>
        <w:contextualSpacing/>
        <w:rPr>
          <w:rFonts w:ascii="宋体" w:hAnsi="宋体" w:cs="宋体"/>
          <w:sz w:val="24"/>
          <w:szCs w:val="24"/>
          <w:vertAlign w:val="superscript"/>
        </w:rPr>
      </w:pPr>
      <w:bookmarkStart w:id="44" w:name="_Toc450029241"/>
      <w:r>
        <w:rPr>
          <w:rFonts w:hint="eastAsia" w:ascii="宋体" w:hAnsi="宋体" w:cs="宋体"/>
          <w:sz w:val="24"/>
          <w:szCs w:val="24"/>
        </w:rPr>
        <w:t>1.12 偏离</w:t>
      </w:r>
      <w:bookmarkEnd w:id="44"/>
    </w:p>
    <w:p>
      <w:pPr>
        <w:topLinePunct/>
        <w:spacing w:line="460" w:lineRule="exact"/>
        <w:ind w:firstLine="480" w:firstLineChars="200"/>
        <w:contextualSpacing/>
        <w:rPr>
          <w:rFonts w:ascii="宋体" w:hAnsi="宋体" w:cs="宋体"/>
          <w:sz w:val="24"/>
          <w:szCs w:val="24"/>
        </w:rPr>
      </w:pPr>
      <w:r>
        <w:rPr>
          <w:rFonts w:hint="eastAsia" w:ascii="宋体" w:hAnsi="宋体" w:cs="宋体"/>
          <w:sz w:val="24"/>
          <w:szCs w:val="24"/>
        </w:rPr>
        <w:t>投标人须知前附表允许投标文件偏离招标文件某些要求的，偏离应当符合招标文件规定的偏离范围和幅度。</w:t>
      </w:r>
    </w:p>
    <w:p>
      <w:pPr>
        <w:topLinePunct/>
        <w:spacing w:line="460" w:lineRule="exact"/>
        <w:ind w:firstLine="480" w:firstLineChars="200"/>
        <w:contextualSpacing/>
        <w:rPr>
          <w:rFonts w:ascii="宋体" w:hAnsi="宋体" w:cs="宋体"/>
          <w:sz w:val="24"/>
          <w:szCs w:val="24"/>
        </w:rPr>
      </w:pPr>
      <w:r>
        <w:rPr>
          <w:rFonts w:hint="eastAsia" w:ascii="宋体" w:hAnsi="宋体" w:cs="宋体"/>
          <w:sz w:val="24"/>
          <w:szCs w:val="24"/>
        </w:rPr>
        <w:t>偏离即偏差，偏差分重大偏差和细微偏差。</w:t>
      </w:r>
    </w:p>
    <w:p>
      <w:pPr>
        <w:topLinePunct/>
        <w:spacing w:line="460" w:lineRule="exact"/>
        <w:ind w:firstLine="480" w:firstLineChars="200"/>
        <w:contextualSpacing/>
        <w:rPr>
          <w:rFonts w:ascii="宋体" w:hAnsi="宋体" w:cs="宋体"/>
          <w:sz w:val="24"/>
          <w:szCs w:val="24"/>
        </w:rPr>
      </w:pPr>
      <w:r>
        <w:rPr>
          <w:rFonts w:hint="eastAsia" w:ascii="宋体" w:hAnsi="宋体" w:cs="宋体"/>
          <w:sz w:val="24"/>
          <w:szCs w:val="24"/>
        </w:rPr>
        <w:t>1.12.1 投标文件不符合第三章“评标办法”所列的初步评审标准以外的，属于重大偏差，视为对招标文件未作出实质性响应，按废标处理。</w:t>
      </w:r>
    </w:p>
    <w:p>
      <w:pPr>
        <w:topLinePunct/>
        <w:spacing w:line="460" w:lineRule="exact"/>
        <w:ind w:firstLine="480" w:firstLineChars="200"/>
        <w:contextualSpacing/>
        <w:rPr>
          <w:rFonts w:ascii="宋体" w:hAnsi="宋体" w:cs="宋体"/>
          <w:sz w:val="24"/>
          <w:szCs w:val="24"/>
        </w:rPr>
      </w:pPr>
      <w:r>
        <w:rPr>
          <w:rFonts w:hint="eastAsia" w:ascii="宋体" w:hAnsi="宋体" w:cs="宋体"/>
          <w:sz w:val="24"/>
          <w:szCs w:val="24"/>
        </w:rPr>
        <w:t>1.12.2细微偏差是指投标文件在实质上响应招标文件要求，但在个别地方存在遗漏或者提供了不完整的技术信息和数据等情况，并且补正这些遗漏或者不完整不会对其他投标人造成不公平的结果。细微偏差不影响投标文件的有效性。评标委员会可书面要求存在细微偏差的投标人书面澄清。</w:t>
      </w:r>
    </w:p>
    <w:p>
      <w:pPr>
        <w:pStyle w:val="3"/>
        <w:topLinePunct/>
        <w:spacing w:before="0" w:after="0" w:line="360" w:lineRule="auto"/>
        <w:contextualSpacing/>
        <w:rPr>
          <w:rFonts w:ascii="宋体" w:hAnsi="宋体" w:eastAsia="宋体" w:cs="宋体"/>
          <w:sz w:val="24"/>
          <w:szCs w:val="24"/>
        </w:rPr>
      </w:pPr>
      <w:bookmarkStart w:id="45" w:name="_Toc450029242"/>
      <w:r>
        <w:rPr>
          <w:rFonts w:hint="eastAsia" w:ascii="宋体" w:hAnsi="宋体" w:eastAsia="宋体" w:cs="宋体"/>
          <w:sz w:val="24"/>
          <w:szCs w:val="24"/>
        </w:rPr>
        <w:t>2. 招标文件</w:t>
      </w:r>
      <w:bookmarkEnd w:id="45"/>
    </w:p>
    <w:p>
      <w:pPr>
        <w:pStyle w:val="4"/>
        <w:topLinePunct/>
        <w:spacing w:before="0" w:after="0" w:line="360" w:lineRule="auto"/>
        <w:contextualSpacing/>
        <w:rPr>
          <w:rFonts w:ascii="宋体" w:hAnsi="宋体" w:cs="宋体"/>
          <w:sz w:val="24"/>
          <w:szCs w:val="24"/>
        </w:rPr>
      </w:pPr>
      <w:bookmarkStart w:id="46" w:name="_Toc450029243"/>
      <w:r>
        <w:rPr>
          <w:rFonts w:hint="eastAsia" w:ascii="宋体" w:hAnsi="宋体" w:cs="宋体"/>
          <w:sz w:val="24"/>
          <w:szCs w:val="24"/>
        </w:rPr>
        <w:t>2.1 招标文件的组成</w:t>
      </w:r>
      <w:bookmarkEnd w:id="46"/>
    </w:p>
    <w:p>
      <w:pPr>
        <w:topLinePunct/>
        <w:spacing w:line="360" w:lineRule="auto"/>
        <w:ind w:firstLine="480" w:firstLineChars="200"/>
        <w:contextualSpacing/>
        <w:rPr>
          <w:rFonts w:ascii="宋体" w:hAnsi="宋体" w:cs="宋体"/>
          <w:sz w:val="24"/>
          <w:szCs w:val="24"/>
        </w:rPr>
      </w:pPr>
      <w:r>
        <w:rPr>
          <w:rFonts w:hint="eastAsia" w:ascii="宋体" w:hAnsi="宋体" w:cs="宋体"/>
          <w:sz w:val="24"/>
          <w:szCs w:val="24"/>
        </w:rPr>
        <w:t>本招标文件包括：</w:t>
      </w:r>
    </w:p>
    <w:p>
      <w:pPr>
        <w:topLinePunct/>
        <w:spacing w:line="360" w:lineRule="auto"/>
        <w:ind w:firstLine="480" w:firstLineChars="200"/>
        <w:contextualSpacing/>
        <w:rPr>
          <w:rFonts w:ascii="宋体" w:hAnsi="宋体" w:cs="宋体"/>
          <w:sz w:val="24"/>
          <w:szCs w:val="24"/>
        </w:rPr>
      </w:pPr>
      <w:r>
        <w:rPr>
          <w:rFonts w:hint="eastAsia" w:ascii="宋体" w:hAnsi="宋体" w:cs="宋体"/>
          <w:sz w:val="24"/>
          <w:szCs w:val="24"/>
        </w:rPr>
        <w:t>（1）招标公告；</w:t>
      </w:r>
    </w:p>
    <w:p>
      <w:pPr>
        <w:topLinePunct/>
        <w:spacing w:line="360" w:lineRule="auto"/>
        <w:ind w:firstLine="480" w:firstLineChars="200"/>
        <w:contextualSpacing/>
        <w:rPr>
          <w:rFonts w:ascii="宋体" w:hAnsi="宋体" w:cs="宋体"/>
          <w:sz w:val="24"/>
          <w:szCs w:val="24"/>
        </w:rPr>
      </w:pPr>
      <w:r>
        <w:rPr>
          <w:rFonts w:hint="eastAsia" w:ascii="宋体" w:hAnsi="宋体" w:cs="宋体"/>
          <w:sz w:val="24"/>
          <w:szCs w:val="24"/>
        </w:rPr>
        <w:t>（2）投标人须知；</w:t>
      </w:r>
    </w:p>
    <w:p>
      <w:pPr>
        <w:topLinePunct/>
        <w:spacing w:line="360" w:lineRule="auto"/>
        <w:ind w:firstLine="480" w:firstLineChars="200"/>
        <w:contextualSpacing/>
        <w:rPr>
          <w:rFonts w:ascii="宋体" w:hAnsi="宋体" w:cs="宋体"/>
          <w:sz w:val="24"/>
          <w:szCs w:val="24"/>
        </w:rPr>
      </w:pPr>
      <w:r>
        <w:rPr>
          <w:rFonts w:hint="eastAsia" w:ascii="宋体" w:hAnsi="宋体" w:cs="宋体"/>
          <w:sz w:val="24"/>
          <w:szCs w:val="24"/>
        </w:rPr>
        <w:t>（3）评标办法（综合评标法）；</w:t>
      </w:r>
    </w:p>
    <w:p>
      <w:pPr>
        <w:topLinePunct/>
        <w:spacing w:line="360" w:lineRule="auto"/>
        <w:ind w:firstLine="480" w:firstLineChars="200"/>
        <w:contextualSpacing/>
        <w:rPr>
          <w:rFonts w:ascii="宋体" w:hAnsi="宋体" w:cs="宋体"/>
          <w:sz w:val="24"/>
          <w:szCs w:val="24"/>
        </w:rPr>
      </w:pPr>
      <w:r>
        <w:rPr>
          <w:rFonts w:hint="eastAsia" w:ascii="宋体" w:hAnsi="宋体" w:cs="宋体"/>
          <w:sz w:val="24"/>
          <w:szCs w:val="24"/>
        </w:rPr>
        <w:t>（4）合同条款及格式；</w:t>
      </w:r>
    </w:p>
    <w:p>
      <w:pPr>
        <w:topLinePunct/>
        <w:spacing w:line="360" w:lineRule="auto"/>
        <w:ind w:firstLine="480" w:firstLineChars="200"/>
        <w:contextualSpacing/>
        <w:rPr>
          <w:rFonts w:ascii="宋体" w:hAnsi="宋体" w:cs="宋体"/>
          <w:sz w:val="24"/>
          <w:szCs w:val="24"/>
        </w:rPr>
      </w:pPr>
      <w:r>
        <w:rPr>
          <w:rFonts w:hint="eastAsia" w:ascii="宋体" w:hAnsi="宋体" w:cs="宋体"/>
          <w:sz w:val="24"/>
          <w:szCs w:val="24"/>
        </w:rPr>
        <w:t>（5）工程量清单；</w:t>
      </w:r>
    </w:p>
    <w:p>
      <w:pPr>
        <w:topLinePunct/>
        <w:spacing w:line="360" w:lineRule="auto"/>
        <w:ind w:firstLine="480" w:firstLineChars="200"/>
        <w:contextualSpacing/>
        <w:rPr>
          <w:rFonts w:ascii="宋体" w:hAnsi="宋体" w:cs="宋体"/>
          <w:sz w:val="24"/>
          <w:szCs w:val="24"/>
        </w:rPr>
      </w:pPr>
      <w:r>
        <w:rPr>
          <w:rFonts w:hint="eastAsia" w:ascii="宋体" w:hAnsi="宋体" w:cs="宋体"/>
          <w:sz w:val="24"/>
          <w:szCs w:val="24"/>
        </w:rPr>
        <w:t>（6）技术标准和要求；</w:t>
      </w:r>
    </w:p>
    <w:p>
      <w:pPr>
        <w:topLinePunct/>
        <w:spacing w:line="360" w:lineRule="auto"/>
        <w:ind w:firstLine="480" w:firstLineChars="200"/>
        <w:contextualSpacing/>
        <w:rPr>
          <w:rFonts w:ascii="宋体" w:hAnsi="宋体" w:cs="宋体"/>
          <w:sz w:val="24"/>
          <w:szCs w:val="24"/>
        </w:rPr>
      </w:pPr>
      <w:r>
        <w:rPr>
          <w:rFonts w:hint="eastAsia" w:ascii="宋体" w:hAnsi="宋体" w:cs="宋体"/>
          <w:sz w:val="24"/>
          <w:szCs w:val="24"/>
        </w:rPr>
        <w:t>（7）投标文件格式；</w:t>
      </w:r>
    </w:p>
    <w:p>
      <w:pPr>
        <w:topLinePunct/>
        <w:spacing w:line="360" w:lineRule="auto"/>
        <w:ind w:firstLine="480" w:firstLineChars="200"/>
        <w:contextualSpacing/>
        <w:rPr>
          <w:rFonts w:ascii="宋体" w:hAnsi="宋体" w:cs="宋体"/>
          <w:sz w:val="24"/>
          <w:szCs w:val="24"/>
        </w:rPr>
      </w:pPr>
      <w:r>
        <w:rPr>
          <w:rFonts w:hint="eastAsia" w:ascii="宋体" w:hAnsi="宋体" w:cs="宋体"/>
          <w:sz w:val="24"/>
          <w:szCs w:val="24"/>
        </w:rPr>
        <w:t>根据本章第2.2款和第2.3款对招标文件所作的澄清、修改，构成招标文件的组成部分。</w:t>
      </w:r>
    </w:p>
    <w:p>
      <w:pPr>
        <w:topLinePunct/>
        <w:spacing w:line="360" w:lineRule="auto"/>
        <w:ind w:firstLine="480" w:firstLineChars="200"/>
        <w:contextualSpacing/>
        <w:rPr>
          <w:rFonts w:ascii="宋体" w:hAnsi="宋体" w:cs="宋体"/>
          <w:sz w:val="24"/>
          <w:szCs w:val="24"/>
        </w:rPr>
      </w:pPr>
      <w:r>
        <w:rPr>
          <w:rFonts w:hint="eastAsia" w:ascii="宋体" w:hAnsi="宋体" w:cs="宋体"/>
          <w:sz w:val="24"/>
          <w:szCs w:val="24"/>
        </w:rPr>
        <w:t>当招标文件、招标文件的澄清或修改等在同一内容的表述上不一致时，以最后发出的书面文件为准。</w:t>
      </w:r>
    </w:p>
    <w:p>
      <w:pPr>
        <w:topLinePunct/>
        <w:spacing w:line="360" w:lineRule="auto"/>
        <w:contextualSpacing/>
        <w:rPr>
          <w:rFonts w:ascii="宋体" w:hAnsi="宋体" w:cs="宋体"/>
          <w:b/>
          <w:bCs/>
          <w:sz w:val="24"/>
          <w:szCs w:val="24"/>
        </w:rPr>
      </w:pPr>
      <w:bookmarkStart w:id="47" w:name="_Toc450029246"/>
      <w:r>
        <w:rPr>
          <w:rFonts w:hint="eastAsia" w:ascii="宋体" w:hAnsi="宋体" w:cs="宋体"/>
          <w:b/>
          <w:bCs/>
          <w:sz w:val="24"/>
          <w:szCs w:val="24"/>
        </w:rPr>
        <w:t>2.2 招标文件的澄清</w:t>
      </w:r>
    </w:p>
    <w:p>
      <w:pPr>
        <w:topLinePunct/>
        <w:spacing w:line="360" w:lineRule="auto"/>
        <w:ind w:firstLine="480" w:firstLineChars="200"/>
        <w:contextualSpacing/>
        <w:rPr>
          <w:rFonts w:ascii="宋体" w:hAnsi="宋体" w:cs="宋体"/>
          <w:sz w:val="24"/>
          <w:szCs w:val="24"/>
        </w:rPr>
      </w:pPr>
      <w:r>
        <w:rPr>
          <w:rFonts w:hint="eastAsia" w:ascii="宋体" w:hAnsi="宋体" w:cs="宋体"/>
          <w:sz w:val="24"/>
          <w:szCs w:val="24"/>
        </w:rPr>
        <w:t>2.2.1投标人应仔细阅读和检查招标文件的全部内容。如发现缺页或附件不全，应及时向招标人提出，以便补齐。如有疑问，应在投标人须知前附表规定的时间要求招标人对招标文件予以澄清。如未提出异议，视为全面接受。</w:t>
      </w:r>
    </w:p>
    <w:p>
      <w:pPr>
        <w:topLinePunct/>
        <w:spacing w:line="360" w:lineRule="auto"/>
        <w:ind w:firstLine="480" w:firstLineChars="200"/>
        <w:contextualSpacing/>
        <w:rPr>
          <w:rFonts w:ascii="宋体" w:hAnsi="宋体" w:cs="宋体"/>
          <w:sz w:val="24"/>
          <w:szCs w:val="24"/>
        </w:rPr>
      </w:pPr>
      <w:r>
        <w:rPr>
          <w:rFonts w:hint="eastAsia" w:ascii="宋体" w:hAnsi="宋体" w:cs="宋体"/>
          <w:sz w:val="24"/>
          <w:szCs w:val="24"/>
        </w:rPr>
        <w:t>2.2.2 招标文件的澄清将在投标人须知前附表规定的投标截止时间15天前通过许昌市公共资源交易系统电子平台发出，但不指明澄清问题的来源。如果澄清发出的时间距投标截止时间不足15天，相应延长投标截止时间。</w:t>
      </w:r>
    </w:p>
    <w:p>
      <w:pPr>
        <w:topLinePunct/>
        <w:spacing w:line="360" w:lineRule="auto"/>
        <w:ind w:firstLine="480" w:firstLineChars="200"/>
        <w:contextualSpacing/>
        <w:rPr>
          <w:rFonts w:ascii="宋体" w:hAnsi="宋体" w:cs="宋体"/>
          <w:sz w:val="24"/>
          <w:szCs w:val="24"/>
        </w:rPr>
      </w:pPr>
      <w:r>
        <w:rPr>
          <w:rFonts w:hint="eastAsia" w:ascii="宋体" w:hAnsi="宋体" w:cs="宋体"/>
          <w:sz w:val="24"/>
          <w:szCs w:val="24"/>
        </w:rPr>
        <w:t>2.2.3 所有澄清、答疑全部以许昌市公共资源交易系统电子平台发出的为准，不再接受书面形式的递交。</w:t>
      </w:r>
    </w:p>
    <w:p>
      <w:pPr>
        <w:topLinePunct/>
        <w:spacing w:line="360" w:lineRule="auto"/>
        <w:contextualSpacing/>
        <w:rPr>
          <w:rFonts w:ascii="宋体" w:hAnsi="宋体" w:cs="宋体"/>
          <w:b/>
          <w:bCs/>
          <w:sz w:val="24"/>
          <w:szCs w:val="24"/>
        </w:rPr>
      </w:pPr>
      <w:bookmarkStart w:id="48" w:name="_Toc283559954"/>
      <w:r>
        <w:rPr>
          <w:rFonts w:hint="eastAsia" w:ascii="宋体" w:hAnsi="宋体" w:cs="宋体"/>
          <w:b/>
          <w:bCs/>
          <w:sz w:val="24"/>
          <w:szCs w:val="24"/>
        </w:rPr>
        <w:t>2.3 招标文件的修改</w:t>
      </w:r>
      <w:bookmarkEnd w:id="48"/>
    </w:p>
    <w:p>
      <w:pPr>
        <w:topLinePunct/>
        <w:spacing w:line="360" w:lineRule="auto"/>
        <w:ind w:firstLine="480" w:firstLineChars="200"/>
        <w:contextualSpacing/>
        <w:rPr>
          <w:rFonts w:ascii="宋体" w:hAnsi="宋体" w:cs="宋体"/>
          <w:sz w:val="24"/>
          <w:szCs w:val="24"/>
        </w:rPr>
      </w:pPr>
      <w:r>
        <w:rPr>
          <w:rFonts w:hint="eastAsia" w:ascii="宋体" w:hAnsi="宋体" w:cs="宋体"/>
          <w:sz w:val="24"/>
          <w:szCs w:val="24"/>
        </w:rPr>
        <w:t>2.3.1 在投标截止时间15天前，招标人可以通过许昌市公共资源交易系统电子平台修改招标文件，如果修改招标文件的时间距投标截止时间不足15 天，相应延长投标截止时间。</w:t>
      </w:r>
    </w:p>
    <w:p>
      <w:pPr>
        <w:topLinePunct/>
        <w:spacing w:line="360" w:lineRule="auto"/>
        <w:ind w:firstLine="480" w:firstLineChars="200"/>
        <w:contextualSpacing/>
        <w:rPr>
          <w:rFonts w:ascii="宋体" w:hAnsi="宋体" w:cs="宋体"/>
          <w:sz w:val="24"/>
          <w:szCs w:val="24"/>
        </w:rPr>
      </w:pPr>
      <w:r>
        <w:rPr>
          <w:rFonts w:hint="eastAsia" w:ascii="宋体" w:hAnsi="宋体" w:cs="宋体"/>
          <w:sz w:val="24"/>
          <w:szCs w:val="24"/>
        </w:rPr>
        <w:t>2.3.2 当招标文件（含评标、定标办法）、补充通知、答疑纪要，内容相互矛盾时，以最后发出的通知（或纪要）为准。</w:t>
      </w:r>
    </w:p>
    <w:p>
      <w:pPr>
        <w:pStyle w:val="3"/>
        <w:topLinePunct/>
        <w:spacing w:before="0" w:after="0" w:line="360" w:lineRule="auto"/>
        <w:contextualSpacing/>
        <w:rPr>
          <w:rFonts w:ascii="宋体" w:hAnsi="宋体" w:eastAsia="宋体" w:cs="宋体"/>
          <w:sz w:val="24"/>
          <w:szCs w:val="24"/>
        </w:rPr>
      </w:pPr>
      <w:r>
        <w:rPr>
          <w:rFonts w:hint="eastAsia" w:ascii="宋体" w:hAnsi="宋体" w:eastAsia="宋体" w:cs="宋体"/>
          <w:sz w:val="24"/>
          <w:szCs w:val="24"/>
        </w:rPr>
        <w:t>3. 投标文件</w:t>
      </w:r>
      <w:bookmarkEnd w:id="47"/>
    </w:p>
    <w:p>
      <w:pPr>
        <w:spacing w:line="360" w:lineRule="auto"/>
        <w:ind w:firstLine="472" w:firstLineChars="196"/>
        <w:contextualSpacing/>
        <w:rPr>
          <w:rFonts w:ascii="宋体" w:hAnsi="宋体" w:cs="宋体"/>
          <w:b/>
          <w:sz w:val="24"/>
          <w:szCs w:val="24"/>
        </w:rPr>
      </w:pPr>
      <w:bookmarkStart w:id="49" w:name="_Toc15649"/>
      <w:bookmarkStart w:id="50" w:name="_Toc301170395"/>
      <w:bookmarkStart w:id="51" w:name="_Toc327875519"/>
      <w:bookmarkStart w:id="52" w:name="_Toc383795209"/>
      <w:bookmarkStart w:id="53" w:name="_Toc8622"/>
      <w:bookmarkStart w:id="54" w:name="_Toc301170860"/>
      <w:bookmarkStart w:id="55" w:name="_Toc352312265"/>
      <w:bookmarkStart w:id="56" w:name="_Toc5086"/>
      <w:bookmarkStart w:id="57" w:name="_Toc179632565"/>
      <w:bookmarkStart w:id="58" w:name="_Toc152042323"/>
      <w:bookmarkStart w:id="59" w:name="_Toc144974515"/>
      <w:bookmarkStart w:id="60" w:name="_Toc152045547"/>
      <w:bookmarkStart w:id="61" w:name="_Toc311013686"/>
      <w:bookmarkStart w:id="62" w:name="_Toc450029254"/>
      <w:r>
        <w:rPr>
          <w:rFonts w:hint="eastAsia" w:ascii="宋体" w:hAnsi="宋体" w:cs="宋体"/>
          <w:b/>
          <w:sz w:val="24"/>
          <w:szCs w:val="24"/>
        </w:rPr>
        <w:t>3.1  投标文件</w:t>
      </w:r>
      <w:bookmarkEnd w:id="49"/>
      <w:bookmarkEnd w:id="50"/>
      <w:bookmarkEnd w:id="51"/>
      <w:bookmarkEnd w:id="52"/>
      <w:bookmarkEnd w:id="53"/>
      <w:bookmarkEnd w:id="54"/>
      <w:bookmarkEnd w:id="55"/>
      <w:bookmarkEnd w:id="56"/>
      <w:r>
        <w:rPr>
          <w:rFonts w:hint="eastAsia" w:ascii="宋体" w:hAnsi="宋体" w:cs="宋体"/>
          <w:b/>
          <w:sz w:val="24"/>
          <w:szCs w:val="24"/>
        </w:rPr>
        <w:t>分商务标、综合（信用）标、技术标三部分。</w:t>
      </w:r>
    </w:p>
    <w:bookmarkEnd w:id="57"/>
    <w:bookmarkEnd w:id="58"/>
    <w:bookmarkEnd w:id="59"/>
    <w:bookmarkEnd w:id="60"/>
    <w:bookmarkEnd w:id="61"/>
    <w:p>
      <w:pPr>
        <w:topLinePunct/>
        <w:spacing w:line="360" w:lineRule="auto"/>
        <w:ind w:firstLine="482" w:firstLineChars="200"/>
        <w:contextualSpacing/>
        <w:rPr>
          <w:rFonts w:ascii="宋体" w:hAnsi="宋体" w:cs="宋体"/>
          <w:b/>
          <w:bCs/>
          <w:sz w:val="24"/>
          <w:szCs w:val="24"/>
        </w:rPr>
      </w:pPr>
      <w:bookmarkStart w:id="63" w:name="_Toc152045548"/>
      <w:bookmarkStart w:id="64" w:name="_Toc152042324"/>
      <w:bookmarkStart w:id="65" w:name="_Toc179632566"/>
      <w:bookmarkStart w:id="66" w:name="_Toc144974516"/>
      <w:bookmarkStart w:id="67" w:name="_Toc311013701"/>
      <w:r>
        <w:rPr>
          <w:rFonts w:hint="eastAsia" w:ascii="宋体" w:hAnsi="宋体" w:cs="宋体"/>
          <w:b/>
          <w:bCs/>
          <w:sz w:val="24"/>
          <w:szCs w:val="24"/>
        </w:rPr>
        <w:t>3.2 投标报价</w:t>
      </w:r>
      <w:bookmarkEnd w:id="63"/>
      <w:bookmarkEnd w:id="64"/>
      <w:bookmarkEnd w:id="65"/>
      <w:bookmarkEnd w:id="66"/>
      <w:bookmarkEnd w:id="67"/>
    </w:p>
    <w:p>
      <w:pPr>
        <w:topLinePunct/>
        <w:spacing w:line="360" w:lineRule="auto"/>
        <w:ind w:firstLine="480" w:firstLineChars="200"/>
        <w:contextualSpacing/>
        <w:rPr>
          <w:rFonts w:ascii="宋体" w:hAnsi="宋体" w:cs="宋体"/>
          <w:sz w:val="24"/>
          <w:szCs w:val="24"/>
        </w:rPr>
      </w:pPr>
      <w:bookmarkStart w:id="68" w:name="_Toc311013702"/>
      <w:bookmarkStart w:id="69" w:name="_Toc152045549"/>
      <w:bookmarkStart w:id="70" w:name="_Toc152042325"/>
      <w:bookmarkStart w:id="71" w:name="_Toc179632567"/>
      <w:bookmarkStart w:id="72" w:name="_Toc144974517"/>
      <w:r>
        <w:rPr>
          <w:rFonts w:hint="eastAsia" w:ascii="宋体" w:hAnsi="宋体" w:cs="宋体"/>
          <w:sz w:val="24"/>
          <w:szCs w:val="24"/>
        </w:rPr>
        <w:t xml:space="preserve">  3.2.1 投标人应按第五章“工程量清单”的要求填写相应表格。</w:t>
      </w:r>
    </w:p>
    <w:p>
      <w:pPr>
        <w:topLinePunct/>
        <w:spacing w:line="360" w:lineRule="auto"/>
        <w:ind w:firstLine="480" w:firstLineChars="200"/>
        <w:contextualSpacing/>
        <w:rPr>
          <w:rFonts w:ascii="宋体" w:hAnsi="宋体" w:cs="宋体"/>
          <w:sz w:val="24"/>
          <w:szCs w:val="24"/>
        </w:rPr>
      </w:pPr>
      <w:r>
        <w:rPr>
          <w:rFonts w:hint="eastAsia" w:ascii="宋体" w:hAnsi="宋体" w:cs="宋体"/>
          <w:sz w:val="24"/>
          <w:szCs w:val="24"/>
        </w:rPr>
        <w:t xml:space="preserve">  3.2.2 投标人在投标截止时间前修改投标函中的投标总报价，应同时修改“工程量清单”中的相应报价。此修改须符合本章第4.3款的有关要求。</w:t>
      </w:r>
    </w:p>
    <w:p>
      <w:pPr>
        <w:topLinePunct/>
        <w:spacing w:line="360" w:lineRule="auto"/>
        <w:ind w:firstLine="480" w:firstLineChars="200"/>
        <w:contextualSpacing/>
        <w:rPr>
          <w:rFonts w:ascii="宋体" w:hAnsi="宋体" w:cs="宋体"/>
          <w:sz w:val="24"/>
          <w:szCs w:val="24"/>
        </w:rPr>
      </w:pPr>
      <w:r>
        <w:rPr>
          <w:rFonts w:hint="eastAsia" w:ascii="宋体" w:hAnsi="宋体" w:cs="宋体"/>
          <w:sz w:val="24"/>
          <w:szCs w:val="24"/>
        </w:rPr>
        <w:t xml:space="preserve">  3.2.3投标人只能提出一个不变价格，招标人不接受任何选择报价。不允许任一投标人对同一招标项目提出两个或两个以上不同的投标报价。</w:t>
      </w:r>
    </w:p>
    <w:p>
      <w:pPr>
        <w:topLinePunct/>
        <w:spacing w:line="360" w:lineRule="auto"/>
        <w:ind w:firstLine="480" w:firstLineChars="200"/>
        <w:contextualSpacing/>
        <w:rPr>
          <w:rFonts w:ascii="宋体" w:hAnsi="宋体" w:cs="宋体"/>
          <w:sz w:val="24"/>
          <w:szCs w:val="24"/>
        </w:rPr>
      </w:pPr>
      <w:r>
        <w:rPr>
          <w:rFonts w:hint="eastAsia" w:ascii="宋体" w:hAnsi="宋体" w:cs="宋体"/>
          <w:sz w:val="24"/>
          <w:szCs w:val="24"/>
        </w:rPr>
        <w:t xml:space="preserve">  3.2.4投标报价有算术错误的，评标委员会按以下原则进行修正：</w:t>
      </w:r>
    </w:p>
    <w:p>
      <w:pPr>
        <w:topLinePunct/>
        <w:spacing w:line="360" w:lineRule="auto"/>
        <w:ind w:firstLine="480" w:firstLineChars="200"/>
        <w:contextualSpacing/>
        <w:rPr>
          <w:rFonts w:ascii="宋体" w:hAnsi="宋体" w:cs="宋体"/>
          <w:sz w:val="24"/>
          <w:szCs w:val="24"/>
        </w:rPr>
      </w:pPr>
      <w:r>
        <w:rPr>
          <w:rFonts w:hint="eastAsia" w:ascii="宋体" w:hAnsi="宋体" w:cs="宋体"/>
          <w:sz w:val="24"/>
          <w:szCs w:val="24"/>
        </w:rPr>
        <w:t>（一）用数字表示的数额与用文字表示的数额不一致时，以文字数额为准；</w:t>
      </w:r>
    </w:p>
    <w:p>
      <w:pPr>
        <w:topLinePunct/>
        <w:spacing w:line="360" w:lineRule="auto"/>
        <w:ind w:firstLine="480" w:firstLineChars="200"/>
        <w:contextualSpacing/>
        <w:rPr>
          <w:rFonts w:ascii="宋体" w:hAnsi="宋体" w:cs="宋体"/>
          <w:sz w:val="24"/>
          <w:szCs w:val="24"/>
        </w:rPr>
      </w:pPr>
      <w:r>
        <w:rPr>
          <w:rFonts w:hint="eastAsia" w:ascii="宋体" w:hAnsi="宋体" w:cs="宋体"/>
          <w:sz w:val="24"/>
          <w:szCs w:val="24"/>
        </w:rPr>
        <w:t>（二）单价与工程量的乘积与总价之间不一致时，以单价为准。若单价有明显的小数点错位，应以总价为准，并修改单价。</w:t>
      </w:r>
    </w:p>
    <w:p>
      <w:pPr>
        <w:topLinePunct/>
        <w:spacing w:line="360" w:lineRule="auto"/>
        <w:ind w:firstLine="480" w:firstLineChars="200"/>
        <w:contextualSpacing/>
        <w:rPr>
          <w:rFonts w:ascii="宋体" w:hAnsi="宋体" w:cs="宋体"/>
          <w:sz w:val="24"/>
          <w:szCs w:val="24"/>
        </w:rPr>
      </w:pPr>
      <w:r>
        <w:rPr>
          <w:rFonts w:hint="eastAsia" w:ascii="宋体" w:hAnsi="宋体" w:cs="宋体"/>
          <w:sz w:val="24"/>
          <w:szCs w:val="24"/>
        </w:rPr>
        <w:t>调整后的报价经投标人确认后产生约束力，投标人不接受修正价格的，其投标将被否决。</w:t>
      </w:r>
    </w:p>
    <w:p>
      <w:pPr>
        <w:topLinePunct/>
        <w:spacing w:line="360" w:lineRule="auto"/>
        <w:ind w:firstLine="480" w:firstLineChars="200"/>
        <w:contextualSpacing/>
        <w:rPr>
          <w:rFonts w:ascii="宋体" w:hAnsi="宋体" w:cs="宋体"/>
          <w:sz w:val="24"/>
          <w:szCs w:val="24"/>
        </w:rPr>
      </w:pPr>
      <w:bookmarkStart w:id="73" w:name="OLE_LINK21"/>
      <w:r>
        <w:rPr>
          <w:rFonts w:hint="eastAsia" w:ascii="宋体" w:hAnsi="宋体" w:cs="宋体"/>
          <w:sz w:val="24"/>
          <w:szCs w:val="24"/>
        </w:rPr>
        <w:t>3.2.5规费和税金应按规定费（税）率足额计取，即费（税）率不可竞争。规费、税金、安全文明施工措施费计入投标总报价，并在投标函、投标函附录中单列，不参与商务标评审。</w:t>
      </w:r>
    </w:p>
    <w:p>
      <w:pPr>
        <w:topLinePunct/>
        <w:spacing w:line="360" w:lineRule="auto"/>
        <w:ind w:firstLine="480" w:firstLineChars="200"/>
        <w:contextualSpacing/>
        <w:rPr>
          <w:rFonts w:ascii="宋体" w:hAnsi="宋体" w:cs="宋体"/>
          <w:sz w:val="24"/>
          <w:szCs w:val="24"/>
        </w:rPr>
      </w:pPr>
      <w:r>
        <w:rPr>
          <w:rFonts w:hint="eastAsia" w:ascii="宋体" w:hAnsi="宋体" w:cs="宋体"/>
          <w:sz w:val="24"/>
          <w:szCs w:val="24"/>
        </w:rPr>
        <w:t>3.2.6 “安全文明施工措施费”是不可竞争费，即费率不可竞争；投标人编制投标报价时，应按省级主管部门规定的计价标准计取。</w:t>
      </w:r>
    </w:p>
    <w:p>
      <w:pPr>
        <w:topLinePunct/>
        <w:spacing w:line="360" w:lineRule="auto"/>
        <w:ind w:firstLine="480" w:firstLineChars="200"/>
        <w:contextualSpacing/>
        <w:rPr>
          <w:rFonts w:ascii="宋体" w:hAnsi="宋体" w:cs="宋体"/>
          <w:sz w:val="24"/>
          <w:szCs w:val="24"/>
        </w:rPr>
      </w:pPr>
      <w:r>
        <w:rPr>
          <w:rFonts w:hint="eastAsia" w:ascii="宋体" w:hAnsi="宋体" w:cs="宋体"/>
          <w:sz w:val="24"/>
          <w:szCs w:val="24"/>
        </w:rPr>
        <w:t>投标人编制投标报价时，同一投标文件综合工日应前后保持一致。</w:t>
      </w:r>
    </w:p>
    <w:p>
      <w:pPr>
        <w:topLinePunct/>
        <w:spacing w:line="360" w:lineRule="auto"/>
        <w:ind w:firstLine="480" w:firstLineChars="200"/>
        <w:contextualSpacing/>
        <w:rPr>
          <w:rFonts w:ascii="宋体" w:hAnsi="宋体" w:cs="宋体"/>
          <w:sz w:val="24"/>
          <w:szCs w:val="24"/>
        </w:rPr>
      </w:pPr>
      <w:r>
        <w:rPr>
          <w:rFonts w:hint="eastAsia" w:ascii="宋体" w:hAnsi="宋体" w:cs="宋体"/>
          <w:sz w:val="24"/>
          <w:szCs w:val="24"/>
        </w:rPr>
        <w:t>不按照以上要求编制投标报价的，视为违反《河南省建设工程工程量清单招标评标办法》之规定，按废标处理。</w:t>
      </w:r>
      <w:bookmarkEnd w:id="73"/>
    </w:p>
    <w:p>
      <w:pPr>
        <w:topLinePunct/>
        <w:spacing w:line="360" w:lineRule="auto"/>
        <w:ind w:firstLine="482" w:firstLineChars="200"/>
        <w:contextualSpacing/>
        <w:rPr>
          <w:rFonts w:ascii="宋体" w:hAnsi="宋体" w:cs="宋体"/>
          <w:b/>
          <w:sz w:val="24"/>
          <w:szCs w:val="24"/>
        </w:rPr>
      </w:pPr>
      <w:r>
        <w:rPr>
          <w:rFonts w:hint="eastAsia" w:ascii="宋体" w:hAnsi="宋体" w:cs="宋体"/>
          <w:b/>
          <w:sz w:val="24"/>
          <w:szCs w:val="24"/>
        </w:rPr>
        <w:t>3.3 投标有效期</w:t>
      </w:r>
      <w:bookmarkEnd w:id="68"/>
      <w:bookmarkEnd w:id="69"/>
      <w:bookmarkEnd w:id="70"/>
      <w:bookmarkEnd w:id="71"/>
      <w:bookmarkEnd w:id="72"/>
    </w:p>
    <w:p>
      <w:pPr>
        <w:topLinePunct/>
        <w:spacing w:line="360" w:lineRule="auto"/>
        <w:ind w:firstLine="480" w:firstLineChars="200"/>
        <w:contextualSpacing/>
        <w:rPr>
          <w:rFonts w:ascii="宋体" w:hAnsi="宋体" w:cs="宋体"/>
          <w:sz w:val="24"/>
          <w:szCs w:val="24"/>
        </w:rPr>
      </w:pPr>
      <w:r>
        <w:rPr>
          <w:rFonts w:hint="eastAsia" w:ascii="宋体" w:hAnsi="宋体" w:cs="宋体"/>
          <w:sz w:val="24"/>
          <w:szCs w:val="24"/>
        </w:rPr>
        <w:t xml:space="preserve">  3.3.1 在投标人须知前附表规定的投标有效期内，投标人不得要求撤销或修改其投标文件。</w:t>
      </w:r>
    </w:p>
    <w:p>
      <w:pPr>
        <w:topLinePunct/>
        <w:spacing w:line="360" w:lineRule="auto"/>
        <w:ind w:firstLine="480" w:firstLineChars="200"/>
        <w:contextualSpacing/>
        <w:rPr>
          <w:rFonts w:ascii="宋体" w:hAnsi="宋体" w:cs="宋体"/>
          <w:sz w:val="24"/>
          <w:szCs w:val="24"/>
        </w:rPr>
      </w:pPr>
      <w:r>
        <w:rPr>
          <w:rFonts w:hint="eastAsia" w:ascii="宋体" w:hAnsi="宋体" w:cs="宋体"/>
          <w:sz w:val="24"/>
          <w:szCs w:val="24"/>
        </w:rPr>
        <w:t xml:space="preserve">  3.3.2出现特殊情况需要延长投标有效期的，招标人以书面形式通知所有投标人延长投标有效期。投标人同意延长的，应相应延长其投标保证金的有效期，但不得要求或被允许修改或撤销其投标文件；投标人拒绝延长的，其投标失效，但投标人有权收回其投标保证金。</w:t>
      </w:r>
    </w:p>
    <w:p>
      <w:pPr>
        <w:spacing w:line="360" w:lineRule="auto"/>
        <w:ind w:firstLine="482" w:firstLineChars="200"/>
        <w:rPr>
          <w:rFonts w:ascii="宋体" w:hAnsi="宋体" w:cs="宋体"/>
          <w:b/>
          <w:sz w:val="24"/>
          <w:szCs w:val="24"/>
        </w:rPr>
      </w:pPr>
      <w:bookmarkStart w:id="74" w:name="_Toc152042326"/>
      <w:bookmarkStart w:id="75" w:name="_Toc311013703"/>
      <w:bookmarkStart w:id="76" w:name="_Toc179632568"/>
      <w:bookmarkStart w:id="77" w:name="_Toc152045550"/>
      <w:bookmarkStart w:id="78" w:name="_Toc144974518"/>
      <w:r>
        <w:rPr>
          <w:rFonts w:hint="eastAsia" w:ascii="宋体" w:hAnsi="宋体" w:cs="宋体"/>
          <w:b/>
          <w:sz w:val="24"/>
          <w:szCs w:val="24"/>
        </w:rPr>
        <w:t xml:space="preserve">3.4 </w:t>
      </w:r>
      <w:bookmarkEnd w:id="74"/>
      <w:bookmarkEnd w:id="75"/>
      <w:bookmarkEnd w:id="76"/>
      <w:bookmarkEnd w:id="77"/>
      <w:bookmarkEnd w:id="78"/>
      <w:bookmarkStart w:id="79" w:name="_Toc179632570"/>
      <w:bookmarkStart w:id="80" w:name="_Toc311013704"/>
      <w:bookmarkStart w:id="81" w:name="_Toc144974520"/>
      <w:bookmarkStart w:id="82" w:name="_Toc152042328"/>
      <w:bookmarkStart w:id="83" w:name="_Toc152045552"/>
      <w:r>
        <w:rPr>
          <w:rFonts w:hint="eastAsia" w:ascii="宋体" w:hAnsi="宋体" w:cs="宋体"/>
          <w:b/>
          <w:sz w:val="24"/>
          <w:szCs w:val="24"/>
        </w:rPr>
        <w:t>投标担保</w:t>
      </w:r>
    </w:p>
    <w:p>
      <w:pPr>
        <w:spacing w:line="360" w:lineRule="auto"/>
        <w:ind w:firstLine="480" w:firstLineChars="200"/>
        <w:rPr>
          <w:rFonts w:ascii="宋体" w:hAnsi="宋体" w:cs="宋体"/>
          <w:sz w:val="24"/>
          <w:szCs w:val="24"/>
        </w:rPr>
      </w:pPr>
      <w:r>
        <w:rPr>
          <w:rFonts w:hint="eastAsia" w:ascii="宋体" w:hAnsi="宋体" w:cs="宋体"/>
          <w:sz w:val="24"/>
          <w:szCs w:val="24"/>
        </w:rPr>
        <w:t>3.4.1、投标保证金递交截止时间及金额见投标人须知前附表。</w:t>
      </w:r>
    </w:p>
    <w:p>
      <w:pPr>
        <w:spacing w:line="360" w:lineRule="auto"/>
        <w:ind w:firstLine="480" w:firstLineChars="200"/>
        <w:rPr>
          <w:rFonts w:ascii="宋体" w:hAnsi="宋体" w:cs="宋体"/>
          <w:sz w:val="24"/>
          <w:szCs w:val="24"/>
        </w:rPr>
      </w:pPr>
      <w:r>
        <w:rPr>
          <w:rFonts w:hint="eastAsia" w:ascii="宋体" w:hAnsi="宋体" w:cs="宋体"/>
          <w:sz w:val="24"/>
          <w:szCs w:val="24"/>
        </w:rPr>
        <w:t>3.4.2、投标保证金缴纳方式：银行转账、银行电汇（均需从投标人的基本账户汇出），不接受以现金方式缴纳的投标保证金。凡以现金方式缴纳投标保证金而影响其投标结果的，由投标人自行负责。</w:t>
      </w:r>
    </w:p>
    <w:p>
      <w:pPr>
        <w:spacing w:line="360" w:lineRule="auto"/>
        <w:ind w:firstLine="480" w:firstLineChars="200"/>
        <w:jc w:val="left"/>
        <w:rPr>
          <w:rFonts w:ascii="宋体" w:hAnsi="宋体" w:cs="宋体"/>
          <w:sz w:val="24"/>
          <w:szCs w:val="24"/>
        </w:rPr>
      </w:pPr>
      <w:r>
        <w:rPr>
          <w:rFonts w:hint="eastAsia" w:ascii="宋体" w:hAnsi="宋体" w:cs="宋体"/>
          <w:sz w:val="24"/>
          <w:szCs w:val="24"/>
        </w:rPr>
        <w:t>3.4.2.1 投标人网上报名后，登录http://ggzy.xuchang.gov.cn:8088/ggzy/系统，依次点击“会员向导”→“参与投标”→“费用缴纳说明”→“担保缴纳说明单”，获取缴费说明单，根据每个标段的缴纳说明单在缴纳截止时间前缴纳；</w:t>
      </w:r>
    </w:p>
    <w:p>
      <w:pPr>
        <w:spacing w:line="360" w:lineRule="auto"/>
        <w:ind w:firstLine="480" w:firstLineChars="200"/>
        <w:rPr>
          <w:rFonts w:ascii="宋体" w:hAnsi="宋体" w:cs="宋体"/>
          <w:sz w:val="24"/>
          <w:szCs w:val="24"/>
        </w:rPr>
      </w:pPr>
      <w:r>
        <w:rPr>
          <w:rFonts w:hint="eastAsia" w:ascii="宋体" w:hAnsi="宋体" w:cs="宋体"/>
          <w:sz w:val="24"/>
          <w:szCs w:val="24"/>
        </w:rPr>
        <w:t>3.4.2.2 成功缴纳后重新登录前述系统，依次点击“会员向导”→“参与投标”→“担保绑定”→“绑定”进行投标保证金绑定。</w:t>
      </w:r>
    </w:p>
    <w:p>
      <w:pPr>
        <w:spacing w:line="360" w:lineRule="auto"/>
        <w:ind w:firstLine="480" w:firstLineChars="200"/>
        <w:rPr>
          <w:rFonts w:ascii="宋体" w:hAnsi="宋体" w:cs="宋体"/>
          <w:sz w:val="24"/>
          <w:szCs w:val="24"/>
        </w:rPr>
      </w:pPr>
      <w:r>
        <w:rPr>
          <w:rFonts w:hint="eastAsia" w:ascii="宋体" w:hAnsi="宋体" w:cs="宋体"/>
          <w:sz w:val="24"/>
          <w:szCs w:val="24"/>
        </w:rPr>
        <w:t>3.4.2.3 投标人要严格按照“担保缴纳说明单”内容缴纳、成功绑定投标保证金。未绑定标段的投标保证金，视为未按时交纳。并将缴纳凭证“长葛市公共资源交易中心担保缴纳回执”附于投标文件中，否则视为未按规定提交投标担保。</w:t>
      </w:r>
    </w:p>
    <w:p>
      <w:pPr>
        <w:tabs>
          <w:tab w:val="left" w:pos="7095"/>
        </w:tabs>
        <w:spacing w:line="360" w:lineRule="auto"/>
        <w:ind w:firstLine="482" w:firstLineChars="200"/>
        <w:contextualSpacing/>
        <w:rPr>
          <w:rFonts w:ascii="宋体" w:hAnsi="宋体" w:cs="宋体"/>
          <w:b/>
          <w:bCs/>
          <w:sz w:val="24"/>
          <w:szCs w:val="24"/>
        </w:rPr>
      </w:pPr>
      <w:r>
        <w:rPr>
          <w:rFonts w:hint="eastAsia" w:ascii="宋体" w:hAnsi="宋体" w:cs="宋体"/>
          <w:b/>
          <w:bCs/>
          <w:sz w:val="24"/>
          <w:szCs w:val="24"/>
        </w:rPr>
        <w:t>使用银行保函方式提交的，投标人办理投标银行保函，银行保函应明确所投项目名称、项目编号及标段、受益人（招标人）、有效期（不低于本项目投标有效期）、担保金额（不低于本项目本标段投标保证金数额）。投标人应将投标银行保函原件扫描件附于投标文件中，否则视为未按规定提交投标担保。保函格式按住建部【建市（2021）11号文】附件1。</w:t>
      </w:r>
    </w:p>
    <w:p>
      <w:pPr>
        <w:spacing w:line="360" w:lineRule="auto"/>
        <w:ind w:firstLine="482" w:firstLineChars="200"/>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投标人于开标结束后30分钟内将银行保函扫描件发至</w:t>
      </w:r>
      <w:r>
        <w:rPr>
          <w:rFonts w:hint="eastAsia" w:ascii="宋体" w:hAnsi="宋体"/>
          <w:b/>
          <w:bCs/>
          <w:sz w:val="24"/>
          <w:szCs w:val="24"/>
          <w:lang w:val="en-US" w:eastAsia="zh-CN"/>
        </w:rPr>
        <w:t>3382407051</w:t>
      </w:r>
      <w:r>
        <w:rPr>
          <w:rFonts w:hint="eastAsia" w:ascii="宋体" w:hAnsi="宋体"/>
          <w:b/>
          <w:bCs/>
          <w:sz w:val="24"/>
          <w:szCs w:val="24"/>
        </w:rPr>
        <w:t xml:space="preserve">@qq.com </w:t>
      </w:r>
      <w:r>
        <w:rPr>
          <w:rFonts w:hint="eastAsia" w:ascii="宋体" w:hAnsi="宋体" w:cs="宋体"/>
          <w:b/>
          <w:bCs/>
          <w:color w:val="000000" w:themeColor="text1"/>
          <w:sz w:val="24"/>
          <w:szCs w:val="24"/>
          <w14:textFill>
            <w14:solidFill>
              <w14:schemeClr w14:val="tx1"/>
            </w14:solidFill>
          </w14:textFill>
        </w:rPr>
        <w:t>邮箱。</w:t>
      </w:r>
    </w:p>
    <w:p>
      <w:pPr>
        <w:spacing w:line="360" w:lineRule="auto"/>
        <w:ind w:firstLine="480" w:firstLineChars="200"/>
        <w:rPr>
          <w:rFonts w:ascii="宋体" w:hAnsi="宋体" w:cs="宋体"/>
          <w:sz w:val="24"/>
          <w:szCs w:val="24"/>
        </w:rPr>
      </w:pPr>
      <w:r>
        <w:rPr>
          <w:rFonts w:hint="eastAsia" w:ascii="宋体" w:hAnsi="宋体" w:cs="宋体"/>
          <w:sz w:val="24"/>
          <w:szCs w:val="24"/>
        </w:rPr>
        <w:t>3.4.2.4 每个投标人每个项目每个标段只有唯一缴纳账号，切勿重复缴纳或错误缴纳。</w:t>
      </w:r>
    </w:p>
    <w:p>
      <w:pPr>
        <w:spacing w:line="360" w:lineRule="auto"/>
        <w:ind w:firstLine="480" w:firstLineChars="200"/>
        <w:rPr>
          <w:rFonts w:ascii="宋体" w:hAnsi="宋体" w:cs="宋体"/>
          <w:sz w:val="24"/>
          <w:szCs w:val="24"/>
        </w:rPr>
      </w:pPr>
      <w:r>
        <w:rPr>
          <w:rFonts w:hint="eastAsia" w:ascii="宋体" w:hAnsi="宋体" w:cs="宋体"/>
          <w:sz w:val="24"/>
          <w:szCs w:val="24"/>
        </w:rPr>
        <w:t>3.4.3、未按上述规定操作引起的无效投标，由投标人自行负责。</w:t>
      </w:r>
    </w:p>
    <w:p>
      <w:pPr>
        <w:spacing w:line="360" w:lineRule="auto"/>
        <w:ind w:firstLine="480" w:firstLineChars="200"/>
        <w:rPr>
          <w:rFonts w:ascii="宋体" w:hAnsi="宋体" w:cs="宋体"/>
          <w:sz w:val="24"/>
          <w:szCs w:val="24"/>
        </w:rPr>
      </w:pPr>
      <w:r>
        <w:rPr>
          <w:rFonts w:hint="eastAsia" w:ascii="宋体" w:hAnsi="宋体" w:cs="宋体"/>
          <w:sz w:val="24"/>
          <w:szCs w:val="24"/>
        </w:rPr>
        <w:t>3.4.4、汇款凭证无须备注项目编号和项目名称。</w:t>
      </w:r>
    </w:p>
    <w:p>
      <w:pPr>
        <w:spacing w:line="360" w:lineRule="auto"/>
        <w:ind w:firstLine="480" w:firstLineChars="200"/>
        <w:rPr>
          <w:rFonts w:ascii="宋体" w:hAnsi="宋体" w:cs="宋体"/>
          <w:sz w:val="24"/>
          <w:szCs w:val="24"/>
        </w:rPr>
      </w:pPr>
      <w:r>
        <w:rPr>
          <w:rFonts w:hint="eastAsia" w:ascii="宋体" w:hAnsi="宋体" w:cs="宋体"/>
          <w:sz w:val="24"/>
          <w:szCs w:val="24"/>
        </w:rPr>
        <w:t>3.4.5、出现以下情形造成的投标保证金无效，由投标人自行负责。</w:t>
      </w:r>
    </w:p>
    <w:p>
      <w:pPr>
        <w:spacing w:line="360" w:lineRule="auto"/>
        <w:ind w:firstLine="480" w:firstLineChars="200"/>
        <w:rPr>
          <w:rFonts w:ascii="宋体" w:hAnsi="宋体" w:cs="宋体"/>
          <w:sz w:val="24"/>
          <w:szCs w:val="24"/>
        </w:rPr>
      </w:pPr>
      <w:r>
        <w:rPr>
          <w:rFonts w:hint="eastAsia" w:ascii="宋体" w:hAnsi="宋体" w:cs="宋体"/>
          <w:sz w:val="24"/>
          <w:szCs w:val="24"/>
        </w:rPr>
        <w:t>(1)投标保证金未从投标人的基本账户转出；</w:t>
      </w:r>
    </w:p>
    <w:p>
      <w:pPr>
        <w:spacing w:line="360" w:lineRule="auto"/>
        <w:ind w:firstLine="480" w:firstLineChars="200"/>
        <w:rPr>
          <w:rFonts w:ascii="宋体" w:hAnsi="宋体" w:cs="宋体"/>
          <w:sz w:val="24"/>
          <w:szCs w:val="24"/>
        </w:rPr>
      </w:pPr>
      <w:r>
        <w:rPr>
          <w:rFonts w:hint="eastAsia" w:ascii="宋体" w:hAnsi="宋体" w:cs="宋体"/>
          <w:sz w:val="24"/>
          <w:szCs w:val="24"/>
        </w:rPr>
        <w:t>(2)投标保证金未按照招标文件划分的标段转账。</w:t>
      </w:r>
    </w:p>
    <w:p>
      <w:pPr>
        <w:spacing w:line="360" w:lineRule="auto"/>
        <w:ind w:firstLine="480" w:firstLineChars="200"/>
        <w:rPr>
          <w:rFonts w:ascii="宋体" w:hAnsi="宋体" w:cs="宋体"/>
          <w:sz w:val="24"/>
          <w:szCs w:val="24"/>
        </w:rPr>
      </w:pPr>
      <w:r>
        <w:rPr>
          <w:rFonts w:hint="eastAsia" w:ascii="宋体" w:hAnsi="宋体" w:cs="宋体"/>
          <w:sz w:val="24"/>
          <w:szCs w:val="24"/>
        </w:rPr>
        <w:t>3.4.6、《保证金缴纳绑定操作指南》获取方法：</w:t>
      </w:r>
    </w:p>
    <w:p>
      <w:pPr>
        <w:spacing w:line="360" w:lineRule="auto"/>
        <w:ind w:firstLine="480" w:firstLineChars="200"/>
        <w:rPr>
          <w:rFonts w:ascii="宋体" w:hAnsi="宋体" w:cs="宋体"/>
          <w:sz w:val="24"/>
          <w:szCs w:val="24"/>
        </w:rPr>
      </w:pPr>
      <w:r>
        <w:rPr>
          <w:rFonts w:hint="eastAsia" w:ascii="宋体" w:hAnsi="宋体" w:cs="宋体"/>
          <w:sz w:val="24"/>
          <w:szCs w:val="24"/>
        </w:rPr>
        <w:t>登录《全国公共资源交易平台（河南省·许昌市）》系统-组件下载-《保证金缴纳绑定操作指南》。</w:t>
      </w:r>
    </w:p>
    <w:p>
      <w:pPr>
        <w:spacing w:line="360" w:lineRule="auto"/>
        <w:ind w:firstLine="480" w:firstLineChars="200"/>
        <w:rPr>
          <w:rFonts w:ascii="宋体" w:hAnsi="宋体" w:cs="宋体"/>
          <w:sz w:val="24"/>
          <w:szCs w:val="24"/>
        </w:rPr>
      </w:pPr>
      <w:r>
        <w:rPr>
          <w:rFonts w:hint="eastAsia" w:ascii="宋体" w:hAnsi="宋体" w:cs="宋体"/>
          <w:sz w:val="24"/>
          <w:szCs w:val="24"/>
        </w:rPr>
        <w:t>保证金缴纳绑定问题咨询电话:0374-2961598</w:t>
      </w:r>
    </w:p>
    <w:p>
      <w:pPr>
        <w:spacing w:line="360" w:lineRule="auto"/>
        <w:ind w:firstLine="480" w:firstLineChars="200"/>
        <w:rPr>
          <w:rFonts w:ascii="宋体" w:hAnsi="宋体" w:cs="宋体"/>
          <w:sz w:val="24"/>
          <w:szCs w:val="24"/>
        </w:rPr>
      </w:pPr>
      <w:r>
        <w:rPr>
          <w:rFonts w:hint="eastAsia" w:ascii="宋体" w:hAnsi="宋体" w:cs="宋体"/>
          <w:sz w:val="24"/>
          <w:szCs w:val="24"/>
        </w:rPr>
        <w:t>3.4.7、基本户备案</w:t>
      </w:r>
    </w:p>
    <w:p>
      <w:pPr>
        <w:spacing w:line="360" w:lineRule="auto"/>
        <w:ind w:firstLine="480" w:firstLineChars="200"/>
        <w:rPr>
          <w:rFonts w:ascii="宋体" w:hAnsi="宋体" w:cs="宋体"/>
          <w:sz w:val="24"/>
          <w:szCs w:val="24"/>
        </w:rPr>
      </w:pPr>
      <w:r>
        <w:rPr>
          <w:rFonts w:hint="eastAsia" w:ascii="宋体" w:hAnsi="宋体" w:cs="宋体"/>
          <w:sz w:val="24"/>
          <w:szCs w:val="24"/>
        </w:rPr>
        <w:t>3.4.7.1 自文件发布之日起，投标人需进行基本户备案，已备案的基本户开户银行、账户发生变化的，须在投标保证金缴纳前办理变更手续。</w:t>
      </w:r>
    </w:p>
    <w:p>
      <w:pPr>
        <w:spacing w:line="360" w:lineRule="auto"/>
        <w:ind w:firstLine="480" w:firstLineChars="200"/>
        <w:rPr>
          <w:rFonts w:ascii="宋体" w:hAnsi="宋体" w:cs="宋体"/>
          <w:sz w:val="24"/>
          <w:szCs w:val="24"/>
        </w:rPr>
      </w:pPr>
      <w:r>
        <w:rPr>
          <w:rFonts w:hint="eastAsia" w:ascii="宋体" w:hAnsi="宋体" w:cs="宋体"/>
          <w:sz w:val="24"/>
          <w:szCs w:val="24"/>
        </w:rPr>
        <w:t>3.4.7.2 基本户备案流程：</w:t>
      </w:r>
    </w:p>
    <w:p>
      <w:pPr>
        <w:spacing w:line="360" w:lineRule="auto"/>
        <w:ind w:firstLine="480" w:firstLineChars="200"/>
        <w:rPr>
          <w:rFonts w:ascii="宋体" w:hAnsi="宋体" w:cs="宋体"/>
          <w:sz w:val="24"/>
          <w:szCs w:val="24"/>
        </w:rPr>
      </w:pPr>
      <w:r>
        <w:rPr>
          <w:rFonts w:hint="eastAsia" w:ascii="宋体" w:hAnsi="宋体" w:cs="宋体"/>
          <w:sz w:val="24"/>
          <w:szCs w:val="24"/>
        </w:rPr>
        <w:t>工程建设项目的投标人登录注册网址进行系统用户注册（http://ggzy.xuchang.gov.cn:8088/ggzy/），在注册流程中“银行账户”环节，增加“账户类别-基本账户”，填写投标人基本账户信息，扫描上传基本户开户许可证（两者信息必须相符），保存备案信息，提交并绑定CA后可缴纳、绑定投标保证金。</w:t>
      </w:r>
    </w:p>
    <w:p>
      <w:pPr>
        <w:spacing w:line="360" w:lineRule="auto"/>
        <w:ind w:firstLine="480" w:firstLineChars="200"/>
        <w:rPr>
          <w:rFonts w:ascii="宋体" w:hAnsi="宋体" w:cs="宋体"/>
          <w:sz w:val="24"/>
          <w:szCs w:val="24"/>
        </w:rPr>
      </w:pPr>
      <w:r>
        <w:rPr>
          <w:rFonts w:hint="eastAsia" w:ascii="宋体" w:hAnsi="宋体" w:cs="宋体"/>
          <w:sz w:val="24"/>
          <w:szCs w:val="24"/>
        </w:rPr>
        <w:t>3.4.7.3 因投标人的原因无法及时退还投标保证金、滞留三年以上的，投标保证金上缴同级国库。</w:t>
      </w:r>
    </w:p>
    <w:p>
      <w:pPr>
        <w:spacing w:line="360" w:lineRule="auto"/>
        <w:ind w:firstLine="480" w:firstLineChars="200"/>
        <w:rPr>
          <w:rFonts w:ascii="宋体" w:hAnsi="宋体" w:cs="宋体"/>
          <w:sz w:val="24"/>
          <w:szCs w:val="24"/>
        </w:rPr>
      </w:pPr>
      <w:r>
        <w:rPr>
          <w:rFonts w:hint="eastAsia" w:ascii="宋体" w:hAnsi="宋体" w:cs="宋体"/>
          <w:sz w:val="24"/>
          <w:szCs w:val="24"/>
        </w:rPr>
        <w:t>3.4.8、投标保证金的退还：</w:t>
      </w:r>
    </w:p>
    <w:p>
      <w:pPr>
        <w:spacing w:line="360" w:lineRule="auto"/>
        <w:ind w:firstLine="480" w:firstLineChars="200"/>
        <w:rPr>
          <w:rFonts w:ascii="宋体" w:hAnsi="宋体" w:cs="宋体"/>
          <w:sz w:val="24"/>
          <w:szCs w:val="24"/>
        </w:rPr>
      </w:pPr>
      <w:r>
        <w:rPr>
          <w:rFonts w:hint="eastAsia" w:ascii="宋体" w:hAnsi="宋体" w:cs="宋体"/>
          <w:sz w:val="24"/>
          <w:szCs w:val="24"/>
        </w:rPr>
        <w:t>3.4.8.1 中标候选人公示期满后没有质疑或投诉的，退还非中标候选人投标保证金及银行同期存款利息；在书面合同签订后5日内向中标人（携带其中标通知书原件和网页版合同公告，中标候选人退还投标保证金时无需再提交纸质合同，以合同公告为准。如因合同未及时公告，中心无法在合同签订后5日内退还投标保证金）和其他中标候选人退还投标保证金及银行同期存款利息。</w:t>
      </w:r>
    </w:p>
    <w:p>
      <w:pPr>
        <w:spacing w:line="360" w:lineRule="auto"/>
        <w:ind w:firstLine="480" w:firstLineChars="200"/>
        <w:rPr>
          <w:rFonts w:hint="default" w:ascii="宋体" w:hAnsi="宋体" w:eastAsia="宋体" w:cs="宋体"/>
          <w:sz w:val="24"/>
          <w:szCs w:val="24"/>
          <w:lang w:val="en-US" w:eastAsia="zh-CN"/>
        </w:rPr>
      </w:pPr>
      <w:r>
        <w:rPr>
          <w:rFonts w:hint="eastAsia" w:ascii="宋体" w:hAnsi="宋体" w:cs="宋体"/>
          <w:sz w:val="24"/>
          <w:szCs w:val="24"/>
        </w:rPr>
        <w:t>电话：0374-61</w:t>
      </w:r>
      <w:r>
        <w:rPr>
          <w:rFonts w:hint="eastAsia" w:ascii="宋体" w:hAnsi="宋体" w:cs="宋体"/>
          <w:sz w:val="24"/>
          <w:szCs w:val="24"/>
          <w:lang w:val="en-US" w:eastAsia="zh-CN"/>
        </w:rPr>
        <w:t>98229</w:t>
      </w:r>
    </w:p>
    <w:p>
      <w:pPr>
        <w:spacing w:line="360" w:lineRule="auto"/>
        <w:ind w:firstLine="480" w:firstLineChars="200"/>
        <w:rPr>
          <w:rFonts w:ascii="宋体" w:hAnsi="宋体" w:cs="宋体"/>
          <w:sz w:val="24"/>
          <w:szCs w:val="24"/>
        </w:rPr>
      </w:pPr>
      <w:r>
        <w:rPr>
          <w:rFonts w:hint="eastAsia" w:ascii="宋体" w:hAnsi="宋体" w:cs="宋体"/>
          <w:sz w:val="24"/>
          <w:szCs w:val="24"/>
        </w:rPr>
        <w:t>3.4.8.2 项目废标或招标人终止招标的，在此后5个工作日内退还投标保证金及银行同期活期存利息。</w:t>
      </w:r>
    </w:p>
    <w:p>
      <w:pPr>
        <w:spacing w:line="360" w:lineRule="auto"/>
        <w:ind w:firstLine="480" w:firstLineChars="200"/>
        <w:rPr>
          <w:rFonts w:ascii="宋体" w:hAnsi="宋体" w:cs="宋体"/>
          <w:sz w:val="24"/>
          <w:szCs w:val="24"/>
        </w:rPr>
      </w:pPr>
      <w:r>
        <w:rPr>
          <w:rFonts w:hint="eastAsia" w:ascii="宋体" w:hAnsi="宋体" w:cs="宋体"/>
          <w:sz w:val="24"/>
          <w:szCs w:val="24"/>
        </w:rPr>
        <w:t>3.4.8.3 投标活动中出现质疑、投诉的，中标候选人、质疑人和被质疑人、投诉人和被投诉人的投标保证金暂停退还。</w:t>
      </w:r>
    </w:p>
    <w:p>
      <w:pPr>
        <w:spacing w:line="360" w:lineRule="auto"/>
        <w:ind w:firstLine="480" w:firstLineChars="200"/>
        <w:rPr>
          <w:rFonts w:ascii="宋体" w:hAnsi="宋体" w:cs="宋体"/>
          <w:sz w:val="24"/>
          <w:szCs w:val="24"/>
        </w:rPr>
      </w:pPr>
      <w:r>
        <w:rPr>
          <w:rFonts w:hint="eastAsia" w:ascii="宋体" w:hAnsi="宋体" w:cs="宋体"/>
          <w:sz w:val="24"/>
          <w:szCs w:val="24"/>
        </w:rPr>
        <w:t>3.4.8.4 相关投标人有违法违规行为的项目，其投标保证金暂不退还，待行政监督部门对相关情况处置后，按照有关规定办理。</w:t>
      </w:r>
    </w:p>
    <w:p>
      <w:pPr>
        <w:spacing w:line="360" w:lineRule="auto"/>
        <w:ind w:firstLine="480" w:firstLineChars="200"/>
        <w:rPr>
          <w:rFonts w:ascii="宋体" w:hAnsi="宋体" w:cs="宋体"/>
          <w:sz w:val="24"/>
          <w:szCs w:val="24"/>
        </w:rPr>
      </w:pPr>
      <w:r>
        <w:rPr>
          <w:rFonts w:hint="eastAsia" w:ascii="宋体" w:hAnsi="宋体" w:cs="宋体"/>
          <w:sz w:val="24"/>
          <w:szCs w:val="24"/>
        </w:rPr>
        <w:t>3.4.8.5 因投标人的原因无法及时退还投标（竞买）保证金、滞留三年以上的，投标（竞买）保证金上缴同级国库。</w:t>
      </w:r>
    </w:p>
    <w:p>
      <w:pPr>
        <w:spacing w:line="360" w:lineRule="auto"/>
        <w:ind w:firstLine="480" w:firstLineChars="200"/>
        <w:rPr>
          <w:rFonts w:ascii="宋体" w:hAnsi="宋体" w:cs="宋体"/>
          <w:sz w:val="24"/>
          <w:szCs w:val="24"/>
        </w:rPr>
      </w:pPr>
      <w:r>
        <w:rPr>
          <w:rFonts w:hint="eastAsia" w:ascii="宋体" w:hAnsi="宋体" w:cs="宋体"/>
          <w:sz w:val="24"/>
          <w:szCs w:val="24"/>
        </w:rPr>
        <w:t>3.4.8.6退还投标保证金，除另有规定外，一般以转账方式一次性退还至投标保证金的原提交账户。</w:t>
      </w:r>
    </w:p>
    <w:p>
      <w:pPr>
        <w:spacing w:line="360" w:lineRule="auto"/>
        <w:ind w:firstLine="480" w:firstLineChars="200"/>
        <w:rPr>
          <w:rFonts w:ascii="宋体" w:hAnsi="宋体" w:cs="宋体"/>
          <w:sz w:val="24"/>
          <w:szCs w:val="24"/>
        </w:rPr>
      </w:pPr>
      <w:r>
        <w:rPr>
          <w:rFonts w:hint="eastAsia" w:ascii="宋体" w:hAnsi="宋体" w:cs="宋体"/>
          <w:sz w:val="24"/>
          <w:szCs w:val="24"/>
        </w:rPr>
        <w:t>3.4.9、特殊情况处理</w:t>
      </w:r>
    </w:p>
    <w:p>
      <w:pPr>
        <w:spacing w:line="360" w:lineRule="auto"/>
        <w:ind w:firstLine="480" w:firstLineChars="200"/>
        <w:rPr>
          <w:rFonts w:ascii="宋体" w:hAnsi="宋体" w:cs="宋体"/>
          <w:sz w:val="24"/>
          <w:szCs w:val="24"/>
        </w:rPr>
      </w:pPr>
      <w:r>
        <w:rPr>
          <w:rFonts w:hint="eastAsia" w:ascii="宋体" w:hAnsi="宋体" w:cs="宋体"/>
          <w:sz w:val="24"/>
          <w:szCs w:val="24"/>
        </w:rPr>
        <w:t>投标人投标过程中因账户开户银行、银行账号发生变化，不能按照来款途径原路返还投标保证金的，投标人须提供原账户开户银行相关证明及新开账户开户许可证，到长葛市公共资源交易中心业务受理部办理退款手续（长葛市葛天大道东段商务区6号楼4楼405室）。</w:t>
      </w:r>
    </w:p>
    <w:p>
      <w:pPr>
        <w:spacing w:line="360" w:lineRule="auto"/>
        <w:ind w:firstLine="480" w:firstLineChars="200"/>
        <w:rPr>
          <w:rFonts w:ascii="宋体" w:hAnsi="宋体" w:cs="宋体"/>
          <w:sz w:val="24"/>
          <w:szCs w:val="24"/>
        </w:rPr>
      </w:pPr>
      <w:r>
        <w:rPr>
          <w:rFonts w:hint="eastAsia" w:ascii="宋体" w:hAnsi="宋体" w:cs="宋体"/>
          <w:sz w:val="24"/>
          <w:szCs w:val="24"/>
        </w:rPr>
        <w:t>电话：0374-6189133</w:t>
      </w:r>
    </w:p>
    <w:p>
      <w:pPr>
        <w:spacing w:line="360" w:lineRule="auto"/>
        <w:ind w:firstLine="480" w:firstLineChars="200"/>
        <w:rPr>
          <w:rFonts w:ascii="宋体" w:hAnsi="宋体" w:cs="宋体"/>
          <w:b/>
          <w:sz w:val="24"/>
          <w:szCs w:val="24"/>
        </w:rPr>
      </w:pPr>
      <w:r>
        <w:rPr>
          <w:rFonts w:hint="eastAsia" w:ascii="宋体" w:hAnsi="宋体" w:cs="宋体"/>
          <w:sz w:val="24"/>
          <w:szCs w:val="24"/>
        </w:rPr>
        <w:t>3.4.</w:t>
      </w:r>
      <w:r>
        <w:rPr>
          <w:rFonts w:hint="eastAsia" w:ascii="宋体" w:hAnsi="宋体" w:cs="宋体"/>
          <w:b/>
          <w:sz w:val="24"/>
          <w:szCs w:val="24"/>
        </w:rPr>
        <w:t>10、投标人有下列情形之一的，投标保证金不予退还：</w:t>
      </w:r>
    </w:p>
    <w:p>
      <w:pPr>
        <w:spacing w:line="360" w:lineRule="auto"/>
        <w:ind w:firstLine="480" w:firstLineChars="200"/>
        <w:rPr>
          <w:rFonts w:ascii="宋体" w:hAnsi="宋体" w:cs="宋体"/>
          <w:sz w:val="24"/>
          <w:szCs w:val="24"/>
        </w:rPr>
      </w:pPr>
      <w:r>
        <w:rPr>
          <w:rFonts w:hint="eastAsia" w:ascii="宋体" w:hAnsi="宋体" w:cs="宋体"/>
          <w:sz w:val="24"/>
          <w:szCs w:val="24"/>
        </w:rPr>
        <w:t>3.4.10.1 中标人无正当理由不与招标人订立合同，在签订合同时向招标人提出附加条件，或者不按照招标文件要求提交履约担保的，取消其中标资格，投标保证金不予退还。</w:t>
      </w:r>
    </w:p>
    <w:p>
      <w:pPr>
        <w:spacing w:line="360" w:lineRule="auto"/>
        <w:ind w:firstLine="480" w:firstLineChars="200"/>
        <w:rPr>
          <w:rFonts w:ascii="宋体" w:hAnsi="宋体" w:cs="宋体"/>
          <w:sz w:val="24"/>
          <w:szCs w:val="24"/>
        </w:rPr>
      </w:pPr>
      <w:r>
        <w:rPr>
          <w:rFonts w:hint="eastAsia" w:ascii="宋体" w:hAnsi="宋体" w:cs="宋体"/>
          <w:sz w:val="24"/>
          <w:szCs w:val="24"/>
        </w:rPr>
        <w:t>3.4.10.2 投标人有违法违规行为，其投标保证金暂不退还，待行政监督部门对相关情况处置后，按照有关规定办理。</w:t>
      </w:r>
    </w:p>
    <w:p>
      <w:pPr>
        <w:spacing w:line="360" w:lineRule="auto"/>
        <w:ind w:firstLine="480" w:firstLineChars="200"/>
        <w:rPr>
          <w:rFonts w:ascii="宋体" w:hAnsi="宋体" w:cs="宋体"/>
          <w:sz w:val="24"/>
          <w:szCs w:val="24"/>
        </w:rPr>
      </w:pPr>
      <w:r>
        <w:rPr>
          <w:rFonts w:hint="eastAsia" w:ascii="宋体" w:hAnsi="宋体" w:cs="宋体"/>
          <w:sz w:val="24"/>
          <w:szCs w:val="24"/>
        </w:rPr>
        <w:t>3.4.10.3 凡投标人投标保证金交纳至同一标段相同子账号的，保证金暂不予退还对涉嫌串通投标等违规行为的，移交有关部门进行查处。经调查核实后，按有关规定处理。不予退还的保证金上缴国库。</w:t>
      </w:r>
    </w:p>
    <w:p>
      <w:pPr>
        <w:spacing w:line="360" w:lineRule="auto"/>
        <w:ind w:firstLine="480" w:firstLineChars="200"/>
        <w:rPr>
          <w:rFonts w:ascii="宋体" w:hAnsi="宋体" w:cs="宋体"/>
          <w:sz w:val="24"/>
          <w:szCs w:val="24"/>
        </w:rPr>
      </w:pPr>
      <w:r>
        <w:rPr>
          <w:rFonts w:hint="eastAsia" w:ascii="宋体" w:hAnsi="宋体" w:cs="宋体"/>
          <w:sz w:val="24"/>
          <w:szCs w:val="24"/>
        </w:rPr>
        <w:t>3.4.10.4 相关法律、法规规定不予退还的其它情形。</w:t>
      </w:r>
    </w:p>
    <w:p>
      <w:pPr>
        <w:topLinePunct/>
        <w:spacing w:line="360" w:lineRule="auto"/>
        <w:ind w:firstLine="482" w:firstLineChars="200"/>
        <w:contextualSpacing/>
        <w:rPr>
          <w:rFonts w:ascii="宋体" w:hAnsi="宋体" w:cs="宋体"/>
          <w:b/>
          <w:sz w:val="24"/>
          <w:szCs w:val="24"/>
        </w:rPr>
      </w:pPr>
      <w:r>
        <w:rPr>
          <w:rFonts w:hint="eastAsia" w:ascii="宋体" w:hAnsi="宋体" w:cs="宋体"/>
          <w:b/>
          <w:sz w:val="24"/>
          <w:szCs w:val="24"/>
        </w:rPr>
        <w:t>3.5资格审查资料</w:t>
      </w:r>
      <w:bookmarkEnd w:id="79"/>
      <w:bookmarkEnd w:id="80"/>
      <w:bookmarkEnd w:id="81"/>
      <w:bookmarkEnd w:id="82"/>
      <w:bookmarkEnd w:id="83"/>
      <w:bookmarkStart w:id="84" w:name="_Toc152045553"/>
      <w:bookmarkStart w:id="85" w:name="_Toc144974521"/>
      <w:bookmarkStart w:id="86" w:name="_Toc152042329"/>
      <w:bookmarkStart w:id="87" w:name="_Toc179632571"/>
    </w:p>
    <w:p>
      <w:pPr>
        <w:topLinePunct/>
        <w:spacing w:line="360" w:lineRule="auto"/>
        <w:ind w:firstLine="480" w:firstLineChars="200"/>
        <w:contextualSpacing/>
        <w:rPr>
          <w:rFonts w:ascii="宋体" w:hAnsi="宋体" w:cs="宋体"/>
          <w:sz w:val="24"/>
          <w:szCs w:val="24"/>
        </w:rPr>
      </w:pPr>
      <w:r>
        <w:rPr>
          <w:rFonts w:hint="eastAsia" w:ascii="宋体" w:hAnsi="宋体" w:cs="宋体"/>
          <w:sz w:val="24"/>
          <w:szCs w:val="24"/>
        </w:rPr>
        <w:t>3.5.1 “投标人基本情况表”应附投标人营业执照副本、安全生产许可证、资质证书副本等材料的扫描件。</w:t>
      </w:r>
    </w:p>
    <w:p>
      <w:pPr>
        <w:topLinePunct/>
        <w:spacing w:line="360" w:lineRule="auto"/>
        <w:ind w:firstLine="480" w:firstLineChars="200"/>
        <w:contextualSpacing/>
        <w:rPr>
          <w:rFonts w:ascii="宋体" w:hAnsi="宋体" w:cs="宋体"/>
          <w:sz w:val="24"/>
          <w:szCs w:val="24"/>
        </w:rPr>
      </w:pPr>
      <w:r>
        <w:rPr>
          <w:rFonts w:hint="eastAsia" w:ascii="宋体" w:hAnsi="宋体" w:cs="宋体"/>
          <w:sz w:val="24"/>
          <w:szCs w:val="24"/>
        </w:rPr>
        <w:t>3.5.2 “近年财务状况表”应附有效的经会计师事务所或审计机构审计的财务会计报表，包括资产负债表、现金流量表、利润表和所有者权益变动表及其附注的扫描件，具体年份要求见投标人须知前附表。</w:t>
      </w:r>
    </w:p>
    <w:p>
      <w:pPr>
        <w:topLinePunct/>
        <w:spacing w:line="360" w:lineRule="auto"/>
        <w:ind w:firstLine="480" w:firstLineChars="200"/>
        <w:contextualSpacing/>
        <w:rPr>
          <w:rFonts w:ascii="宋体" w:hAnsi="宋体" w:cs="宋体"/>
          <w:sz w:val="24"/>
          <w:szCs w:val="24"/>
        </w:rPr>
      </w:pPr>
      <w:r>
        <w:rPr>
          <w:rFonts w:hint="eastAsia" w:ascii="宋体" w:hAnsi="宋体" w:cs="宋体"/>
          <w:sz w:val="24"/>
          <w:szCs w:val="24"/>
        </w:rPr>
        <w:t>3.5.3 “近年完成的类似项目情况表”应附法定媒介中标（成交）公示网页截图、合同、中标通知书（或竣工备案表）。具体年份要求见投标人须知前附表。每张表格只填写一个项目，并标明序号。</w:t>
      </w:r>
    </w:p>
    <w:p>
      <w:pPr>
        <w:topLinePunct/>
        <w:spacing w:line="360" w:lineRule="auto"/>
        <w:ind w:firstLine="480" w:firstLineChars="200"/>
        <w:contextualSpacing/>
        <w:rPr>
          <w:rFonts w:ascii="宋体" w:hAnsi="宋体" w:cs="宋体"/>
          <w:sz w:val="24"/>
          <w:szCs w:val="24"/>
        </w:rPr>
      </w:pPr>
      <w:r>
        <w:rPr>
          <w:rFonts w:hint="eastAsia" w:ascii="宋体" w:hAnsi="宋体" w:cs="宋体"/>
          <w:sz w:val="24"/>
          <w:szCs w:val="24"/>
        </w:rPr>
        <w:t>3.5.4“正在施工和新承接的项目情况表”应附法定媒介中标（成交）公示网页截图、合同、中标通知书。每张表格只填写一个项目，并标明序号。</w:t>
      </w:r>
    </w:p>
    <w:p>
      <w:pPr>
        <w:topLinePunct/>
        <w:spacing w:line="360" w:lineRule="auto"/>
        <w:ind w:firstLine="480" w:firstLineChars="200"/>
        <w:contextualSpacing/>
        <w:rPr>
          <w:rFonts w:ascii="宋体" w:hAnsi="宋体" w:cs="宋体"/>
          <w:sz w:val="24"/>
          <w:szCs w:val="24"/>
        </w:rPr>
      </w:pPr>
      <w:r>
        <w:rPr>
          <w:rFonts w:hint="eastAsia" w:ascii="宋体" w:hAnsi="宋体" w:cs="宋体"/>
          <w:sz w:val="24"/>
          <w:szCs w:val="24"/>
        </w:rPr>
        <w:t>3.5.5“近年发生的诉讼及仲裁情况”应说明相关情况，并附法院或仲裁机构作出的判决、裁决等有关法律文件扫描件，具体年份要求见投标人须知前附表。</w:t>
      </w:r>
    </w:p>
    <w:bookmarkEnd w:id="84"/>
    <w:bookmarkEnd w:id="85"/>
    <w:bookmarkEnd w:id="86"/>
    <w:bookmarkEnd w:id="87"/>
    <w:p>
      <w:pPr>
        <w:topLinePunct/>
        <w:spacing w:line="360" w:lineRule="auto"/>
        <w:ind w:firstLine="482" w:firstLineChars="200"/>
        <w:contextualSpacing/>
        <w:rPr>
          <w:rFonts w:ascii="宋体" w:hAnsi="宋体" w:cs="宋体"/>
          <w:b/>
          <w:bCs/>
          <w:sz w:val="24"/>
          <w:szCs w:val="24"/>
        </w:rPr>
      </w:pPr>
      <w:bookmarkStart w:id="88" w:name="_Hlk534616169"/>
      <w:r>
        <w:rPr>
          <w:rFonts w:hint="eastAsia" w:ascii="宋体" w:hAnsi="宋体" w:cs="宋体"/>
          <w:b/>
          <w:bCs/>
          <w:sz w:val="24"/>
          <w:szCs w:val="24"/>
        </w:rPr>
        <w:t>3.5.6被列入失信被执行人名单的投标人，其投标将被拒绝。</w:t>
      </w:r>
    </w:p>
    <w:p>
      <w:pPr>
        <w:topLinePunct/>
        <w:spacing w:line="360" w:lineRule="auto"/>
        <w:ind w:firstLine="482" w:firstLineChars="200"/>
        <w:contextualSpacing/>
        <w:rPr>
          <w:rFonts w:ascii="宋体" w:hAnsi="宋体" w:cs="宋体"/>
          <w:b/>
          <w:bCs/>
          <w:sz w:val="24"/>
          <w:szCs w:val="24"/>
        </w:rPr>
      </w:pPr>
      <w:r>
        <w:rPr>
          <w:rFonts w:hint="eastAsia" w:ascii="宋体" w:hAnsi="宋体" w:cs="宋体"/>
          <w:b/>
          <w:bCs/>
          <w:sz w:val="24"/>
          <w:szCs w:val="24"/>
        </w:rPr>
        <w:t>招标项目开标结束后、评标开始前，招标人（或招标代理机构）对投标人信用记录进行现场查询，并将查询结果随项目开标资料一并送入评标室，由专家进行评判。</w:t>
      </w:r>
      <w:r>
        <w:rPr>
          <w:rFonts w:hint="eastAsia" w:ascii="宋体" w:hAnsi="宋体" w:cs="宋体"/>
          <w:b/>
          <w:bCs/>
          <w:sz w:val="24"/>
        </w:rPr>
        <w:t>投标人无须提供信用记录查询结果网页截图。</w:t>
      </w:r>
    </w:p>
    <w:p>
      <w:pPr>
        <w:topLinePunct/>
        <w:spacing w:line="360" w:lineRule="auto"/>
        <w:ind w:firstLine="482" w:firstLineChars="200"/>
        <w:contextualSpacing/>
        <w:rPr>
          <w:rFonts w:ascii="宋体" w:hAnsi="宋体" w:cs="宋体"/>
          <w:b/>
          <w:bCs/>
          <w:sz w:val="24"/>
          <w:szCs w:val="24"/>
        </w:rPr>
      </w:pPr>
      <w:r>
        <w:rPr>
          <w:rFonts w:hint="eastAsia" w:ascii="宋体" w:hAnsi="宋体" w:cs="宋体"/>
          <w:b/>
          <w:bCs/>
          <w:sz w:val="24"/>
          <w:szCs w:val="24"/>
        </w:rPr>
        <w:t>信用信息查询记录和证据留存具体方式：经评标委员会确认的查询结果网页截图作为查询记录和证据，与其他文件一并存档。</w:t>
      </w:r>
      <w:bookmarkEnd w:id="88"/>
    </w:p>
    <w:p>
      <w:pPr>
        <w:topLinePunct/>
        <w:spacing w:line="360" w:lineRule="auto"/>
        <w:ind w:firstLine="480" w:firstLineChars="200"/>
        <w:contextualSpacing/>
        <w:rPr>
          <w:rFonts w:ascii="宋体" w:hAnsi="宋体" w:cs="宋体"/>
          <w:sz w:val="24"/>
          <w:szCs w:val="24"/>
        </w:rPr>
      </w:pPr>
      <w:bookmarkStart w:id="89" w:name="_Toc311013705"/>
      <w:bookmarkStart w:id="90" w:name="_Toc144974522"/>
      <w:bookmarkStart w:id="91" w:name="_Toc179632572"/>
      <w:bookmarkStart w:id="92" w:name="_Toc311013706"/>
      <w:bookmarkStart w:id="93" w:name="_Toc152045554"/>
      <w:bookmarkStart w:id="94" w:name="_Toc152042330"/>
      <w:r>
        <w:rPr>
          <w:rFonts w:hint="eastAsia" w:ascii="宋体" w:hAnsi="宋体" w:cs="宋体"/>
          <w:sz w:val="24"/>
          <w:szCs w:val="24"/>
        </w:rPr>
        <w:t>3.6 备选投标方案（不接受）</w:t>
      </w:r>
      <w:bookmarkEnd w:id="89"/>
    </w:p>
    <w:p>
      <w:pPr>
        <w:topLinePunct/>
        <w:spacing w:line="360" w:lineRule="auto"/>
        <w:ind w:firstLine="482" w:firstLineChars="200"/>
        <w:contextualSpacing/>
        <w:rPr>
          <w:rFonts w:ascii="宋体" w:hAnsi="宋体" w:cs="宋体"/>
          <w:b/>
          <w:sz w:val="24"/>
          <w:szCs w:val="24"/>
        </w:rPr>
      </w:pPr>
      <w:r>
        <w:rPr>
          <w:rFonts w:hint="eastAsia" w:ascii="宋体" w:hAnsi="宋体" w:cs="宋体"/>
          <w:b/>
          <w:sz w:val="24"/>
          <w:szCs w:val="24"/>
        </w:rPr>
        <w:t>3.7 投标文件的编制</w:t>
      </w:r>
      <w:bookmarkEnd w:id="90"/>
      <w:bookmarkEnd w:id="91"/>
      <w:bookmarkEnd w:id="92"/>
      <w:bookmarkEnd w:id="93"/>
      <w:bookmarkEnd w:id="94"/>
    </w:p>
    <w:p>
      <w:pPr>
        <w:spacing w:line="360" w:lineRule="auto"/>
        <w:ind w:firstLine="480" w:firstLineChars="200"/>
        <w:contextualSpacing/>
        <w:rPr>
          <w:rFonts w:ascii="宋体" w:hAnsi="宋体" w:cs="宋体"/>
          <w:sz w:val="24"/>
          <w:szCs w:val="24"/>
        </w:rPr>
      </w:pPr>
      <w:r>
        <w:rPr>
          <w:rFonts w:hint="eastAsia" w:ascii="宋体" w:hAnsi="宋体" w:cs="宋体"/>
          <w:sz w:val="24"/>
          <w:szCs w:val="24"/>
        </w:rPr>
        <w:t>3.7.1 投标文件应按第七章“投标文件格式”进行编写，如有必要，可以增加附页，作为投标文件的组成部分。其中，投标函附录在满足招标文件要求的基础上，可以提出比招标文件要求更有利于招标人的承诺。投标人编制的投标文件应当满足招标文件规定的基本格式要求。</w:t>
      </w:r>
    </w:p>
    <w:p>
      <w:pPr>
        <w:autoSpaceDE w:val="0"/>
        <w:autoSpaceDN w:val="0"/>
        <w:spacing w:line="360" w:lineRule="auto"/>
        <w:ind w:firstLine="480" w:firstLineChars="200"/>
        <w:contextualSpacing/>
        <w:jc w:val="left"/>
        <w:outlineLvl w:val="0"/>
        <w:rPr>
          <w:rFonts w:ascii="宋体" w:hAnsi="宋体" w:cs="宋体"/>
          <w:sz w:val="24"/>
          <w:szCs w:val="24"/>
        </w:rPr>
      </w:pPr>
      <w:r>
        <w:rPr>
          <w:rFonts w:hint="eastAsia" w:ascii="宋体" w:hAnsi="宋体" w:cs="宋体"/>
          <w:sz w:val="24"/>
          <w:szCs w:val="24"/>
        </w:rPr>
        <w:t>3.7.2 投标文件应当对招标文件有关工期、投标有效期、质量要求、招标范围作出响应。</w:t>
      </w:r>
    </w:p>
    <w:p>
      <w:pPr>
        <w:tabs>
          <w:tab w:val="left" w:pos="7095"/>
        </w:tabs>
        <w:spacing w:line="360" w:lineRule="auto"/>
        <w:ind w:firstLine="480" w:firstLineChars="200"/>
        <w:contextualSpacing/>
        <w:rPr>
          <w:rFonts w:ascii="宋体" w:hAnsi="宋体" w:cs="宋体"/>
          <w:sz w:val="24"/>
          <w:szCs w:val="24"/>
        </w:rPr>
      </w:pPr>
      <w:r>
        <w:rPr>
          <w:rFonts w:hint="eastAsia" w:ascii="宋体" w:hAnsi="宋体" w:cs="宋体"/>
          <w:sz w:val="24"/>
          <w:szCs w:val="24"/>
        </w:rPr>
        <w:t>3.7.3 投标人编制的投标文件应分为商务标、综合（信用）标和技术标。</w:t>
      </w:r>
    </w:p>
    <w:p>
      <w:pPr>
        <w:tabs>
          <w:tab w:val="left" w:pos="7095"/>
        </w:tabs>
        <w:spacing w:line="360" w:lineRule="auto"/>
        <w:ind w:firstLine="480" w:firstLineChars="200"/>
        <w:contextualSpacing/>
        <w:rPr>
          <w:rFonts w:ascii="宋体" w:hAnsi="宋体" w:cs="宋体"/>
          <w:sz w:val="24"/>
          <w:szCs w:val="24"/>
        </w:rPr>
      </w:pPr>
      <w:r>
        <w:rPr>
          <w:rFonts w:hint="eastAsia" w:ascii="宋体" w:hAnsi="宋体" w:cs="宋体"/>
          <w:sz w:val="24"/>
          <w:szCs w:val="24"/>
        </w:rPr>
        <w:t>3.7.4 投标人登录许昌公共资源交易系统下载“许昌投标文件制作系统SEARUN V1.1”，按招标文件要求制作电子投标文件。</w:t>
      </w:r>
    </w:p>
    <w:p>
      <w:pPr>
        <w:tabs>
          <w:tab w:val="left" w:pos="7095"/>
        </w:tabs>
        <w:spacing w:line="360" w:lineRule="auto"/>
        <w:ind w:firstLine="480" w:firstLineChars="200"/>
        <w:contextualSpacing/>
        <w:rPr>
          <w:rFonts w:ascii="宋体" w:hAnsi="宋体" w:cs="宋体"/>
          <w:b/>
          <w:sz w:val="24"/>
          <w:szCs w:val="24"/>
        </w:rPr>
      </w:pPr>
      <w:r>
        <w:rPr>
          <w:rFonts w:hint="eastAsia" w:ascii="宋体" w:hAnsi="宋体" w:cs="宋体"/>
          <w:sz w:val="24"/>
          <w:szCs w:val="24"/>
        </w:rPr>
        <w:t>3.7.5当生成的电子投标文件投标报价大小写不一致时，以大写为准。</w:t>
      </w:r>
    </w:p>
    <w:p>
      <w:pPr>
        <w:autoSpaceDE w:val="0"/>
        <w:autoSpaceDN w:val="0"/>
        <w:spacing w:line="360" w:lineRule="auto"/>
        <w:ind w:firstLine="482" w:firstLineChars="200"/>
        <w:contextualSpacing/>
        <w:jc w:val="left"/>
        <w:outlineLvl w:val="0"/>
        <w:rPr>
          <w:rFonts w:ascii="宋体" w:hAnsi="宋体" w:cs="宋体"/>
          <w:b/>
          <w:sz w:val="24"/>
          <w:szCs w:val="24"/>
        </w:rPr>
      </w:pPr>
      <w:r>
        <w:rPr>
          <w:rFonts w:hint="eastAsia" w:ascii="宋体" w:hAnsi="宋体" w:cs="宋体"/>
          <w:b/>
          <w:sz w:val="24"/>
          <w:szCs w:val="24"/>
        </w:rPr>
        <w:t>3.7.6 商务标投标文件制作注意事项：</w:t>
      </w:r>
    </w:p>
    <w:p>
      <w:pPr>
        <w:spacing w:line="360" w:lineRule="auto"/>
        <w:contextualSpacing/>
        <w:rPr>
          <w:rFonts w:ascii="宋体" w:hAnsi="宋体" w:cs="宋体"/>
          <w:sz w:val="24"/>
          <w:szCs w:val="24"/>
        </w:rPr>
      </w:pPr>
      <w:r>
        <w:rPr>
          <w:rFonts w:hint="eastAsia" w:ascii="宋体" w:hAnsi="宋体" w:cs="宋体"/>
          <w:sz w:val="24"/>
          <w:szCs w:val="24"/>
        </w:rPr>
        <w:t xml:space="preserve">  3.7.6.1 投标人登录【全国公共资源交易平台（河南省·许昌市）】公共资源交易系统下载“许昌投标文件制作系统SEARUN V1.1”和操作手册（工程项目），按招标文件要求制作商务标投标文件。</w:t>
      </w:r>
    </w:p>
    <w:p>
      <w:pPr>
        <w:spacing w:line="360" w:lineRule="auto"/>
        <w:ind w:firstLine="360" w:firstLineChars="150"/>
        <w:contextualSpacing/>
        <w:rPr>
          <w:rFonts w:ascii="宋体" w:hAnsi="宋体" w:cs="宋体"/>
          <w:sz w:val="24"/>
          <w:szCs w:val="24"/>
        </w:rPr>
      </w:pPr>
      <w:r>
        <w:rPr>
          <w:rFonts w:hint="eastAsia" w:ascii="宋体" w:hAnsi="宋体" w:cs="宋体"/>
          <w:sz w:val="24"/>
          <w:szCs w:val="24"/>
        </w:rPr>
        <w:t>3.7.6.2 商务标投标文件制作技术咨询：0374-2961598。</w:t>
      </w:r>
    </w:p>
    <w:p>
      <w:pPr>
        <w:pStyle w:val="3"/>
        <w:topLinePunct/>
        <w:spacing w:before="0" w:after="0" w:line="360" w:lineRule="auto"/>
        <w:contextualSpacing/>
        <w:rPr>
          <w:rFonts w:ascii="宋体" w:hAnsi="宋体" w:eastAsia="宋体" w:cs="宋体"/>
          <w:sz w:val="24"/>
          <w:szCs w:val="24"/>
        </w:rPr>
      </w:pPr>
      <w:r>
        <w:rPr>
          <w:rFonts w:hint="eastAsia" w:ascii="宋体" w:hAnsi="宋体" w:eastAsia="宋体" w:cs="宋体"/>
          <w:sz w:val="24"/>
          <w:szCs w:val="24"/>
        </w:rPr>
        <w:t>4. 投标</w:t>
      </w:r>
      <w:bookmarkEnd w:id="62"/>
    </w:p>
    <w:p>
      <w:pPr>
        <w:autoSpaceDE w:val="0"/>
        <w:autoSpaceDN w:val="0"/>
        <w:spacing w:line="360" w:lineRule="auto"/>
        <w:ind w:firstLine="472" w:firstLineChars="196"/>
        <w:contextualSpacing/>
        <w:jc w:val="left"/>
        <w:outlineLvl w:val="0"/>
        <w:rPr>
          <w:rFonts w:ascii="宋体" w:hAnsi="宋体" w:cs="宋体"/>
          <w:b/>
          <w:sz w:val="24"/>
          <w:szCs w:val="24"/>
        </w:rPr>
      </w:pPr>
      <w:bookmarkStart w:id="95" w:name="_Toc283559962"/>
      <w:bookmarkStart w:id="96" w:name="_Toc179632575"/>
      <w:bookmarkStart w:id="97" w:name="_Toc311013709"/>
      <w:bookmarkStart w:id="98" w:name="_Toc152045557"/>
      <w:bookmarkStart w:id="99" w:name="_Toc144974525"/>
      <w:bookmarkStart w:id="100" w:name="_Toc152042333"/>
      <w:bookmarkStart w:id="101" w:name="_Toc450029256"/>
      <w:r>
        <w:rPr>
          <w:rFonts w:hint="eastAsia" w:ascii="宋体" w:hAnsi="宋体" w:cs="宋体"/>
          <w:b/>
          <w:sz w:val="24"/>
          <w:szCs w:val="24"/>
        </w:rPr>
        <w:t>4.1</w:t>
      </w:r>
      <w:bookmarkEnd w:id="95"/>
      <w:r>
        <w:rPr>
          <w:rFonts w:hint="eastAsia" w:ascii="宋体" w:hAnsi="宋体" w:cs="宋体"/>
          <w:b/>
          <w:sz w:val="24"/>
          <w:szCs w:val="24"/>
        </w:rPr>
        <w:t>投标文件的提交</w:t>
      </w:r>
    </w:p>
    <w:p>
      <w:pPr>
        <w:autoSpaceDE w:val="0"/>
        <w:autoSpaceDN w:val="0"/>
        <w:spacing w:line="360" w:lineRule="auto"/>
        <w:ind w:firstLine="470" w:firstLineChars="196"/>
        <w:contextualSpacing/>
        <w:jc w:val="left"/>
        <w:outlineLvl w:val="0"/>
        <w:rPr>
          <w:rFonts w:ascii="宋体" w:hAnsi="宋体" w:cs="宋体"/>
          <w:sz w:val="24"/>
          <w:szCs w:val="24"/>
        </w:rPr>
      </w:pPr>
      <w:r>
        <w:rPr>
          <w:rFonts w:hint="eastAsia" w:ascii="宋体" w:hAnsi="宋体" w:cs="宋体"/>
          <w:sz w:val="24"/>
          <w:szCs w:val="24"/>
        </w:rPr>
        <w:t>4.1.1 投标人应在投标人须知前附表中规定的投标截止时间前成功上传电子投标文件。</w:t>
      </w:r>
    </w:p>
    <w:p>
      <w:pPr>
        <w:autoSpaceDE w:val="0"/>
        <w:autoSpaceDN w:val="0"/>
        <w:spacing w:line="360" w:lineRule="auto"/>
        <w:ind w:firstLine="470" w:firstLineChars="196"/>
        <w:contextualSpacing/>
        <w:jc w:val="left"/>
        <w:outlineLvl w:val="0"/>
        <w:rPr>
          <w:rFonts w:ascii="宋体" w:hAnsi="宋体" w:cs="宋体"/>
          <w:sz w:val="24"/>
          <w:szCs w:val="24"/>
        </w:rPr>
      </w:pPr>
      <w:r>
        <w:rPr>
          <w:rFonts w:hint="eastAsia" w:ascii="宋体" w:hAnsi="宋体" w:cs="宋体"/>
          <w:sz w:val="24"/>
          <w:szCs w:val="24"/>
        </w:rPr>
        <w:t>4.1.2 除投标人须知前附表另有规定外，投标人所提交的电子投标文件不予退还。</w:t>
      </w:r>
    </w:p>
    <w:p>
      <w:pPr>
        <w:autoSpaceDE w:val="0"/>
        <w:autoSpaceDN w:val="0"/>
        <w:spacing w:line="360" w:lineRule="auto"/>
        <w:ind w:firstLine="470" w:firstLineChars="196"/>
        <w:contextualSpacing/>
        <w:jc w:val="left"/>
        <w:outlineLvl w:val="0"/>
        <w:rPr>
          <w:rFonts w:ascii="宋体" w:hAnsi="宋体" w:cs="宋体"/>
          <w:sz w:val="24"/>
          <w:szCs w:val="24"/>
        </w:rPr>
      </w:pPr>
      <w:r>
        <w:rPr>
          <w:rFonts w:hint="eastAsia" w:ascii="宋体" w:hAnsi="宋体" w:cs="宋体"/>
          <w:sz w:val="24"/>
          <w:szCs w:val="24"/>
        </w:rPr>
        <w:t>4.1.3 逾期未成功上传的电子投标文件，招标人不予受理。</w:t>
      </w:r>
    </w:p>
    <w:p>
      <w:pPr>
        <w:autoSpaceDE w:val="0"/>
        <w:autoSpaceDN w:val="0"/>
        <w:spacing w:line="360" w:lineRule="auto"/>
        <w:ind w:firstLine="472" w:firstLineChars="196"/>
        <w:contextualSpacing/>
        <w:jc w:val="left"/>
        <w:outlineLvl w:val="0"/>
        <w:rPr>
          <w:rFonts w:ascii="宋体" w:hAnsi="宋体" w:cs="宋体"/>
          <w:b/>
          <w:sz w:val="24"/>
          <w:szCs w:val="24"/>
        </w:rPr>
      </w:pPr>
      <w:r>
        <w:rPr>
          <w:rFonts w:hint="eastAsia" w:ascii="宋体" w:hAnsi="宋体" w:cs="宋体"/>
          <w:b/>
          <w:sz w:val="24"/>
          <w:szCs w:val="24"/>
        </w:rPr>
        <w:t xml:space="preserve">4.2 </w:t>
      </w:r>
      <w:bookmarkEnd w:id="96"/>
      <w:bookmarkEnd w:id="97"/>
      <w:bookmarkEnd w:id="98"/>
      <w:bookmarkEnd w:id="99"/>
      <w:bookmarkEnd w:id="100"/>
      <w:r>
        <w:rPr>
          <w:rFonts w:hint="eastAsia" w:ascii="宋体" w:hAnsi="宋体" w:cs="宋体"/>
          <w:b/>
          <w:sz w:val="24"/>
          <w:szCs w:val="24"/>
        </w:rPr>
        <w:t>投标文件的修改与撤回</w:t>
      </w:r>
    </w:p>
    <w:bookmarkEnd w:id="101"/>
    <w:p>
      <w:pPr>
        <w:autoSpaceDE w:val="0"/>
        <w:autoSpaceDN w:val="0"/>
        <w:spacing w:line="360" w:lineRule="auto"/>
        <w:ind w:firstLine="470" w:firstLineChars="196"/>
        <w:contextualSpacing/>
        <w:jc w:val="left"/>
        <w:outlineLvl w:val="0"/>
        <w:rPr>
          <w:rFonts w:ascii="宋体" w:hAnsi="宋体" w:cs="宋体"/>
          <w:sz w:val="24"/>
          <w:szCs w:val="24"/>
        </w:rPr>
      </w:pPr>
      <w:bookmarkStart w:id="102" w:name="_Toc10603"/>
      <w:bookmarkStart w:id="103" w:name="_Toc311013711"/>
      <w:r>
        <w:rPr>
          <w:rFonts w:hint="eastAsia" w:ascii="宋体" w:hAnsi="宋体" w:cs="宋体"/>
          <w:sz w:val="24"/>
          <w:szCs w:val="24"/>
        </w:rPr>
        <w:t>4.2.1 在本章第2.2.2 项规定的投标截止时间前，投标人可以修改或撤回已提交的电子投标文件。</w:t>
      </w:r>
    </w:p>
    <w:p>
      <w:pPr>
        <w:autoSpaceDE w:val="0"/>
        <w:autoSpaceDN w:val="0"/>
        <w:spacing w:line="360" w:lineRule="auto"/>
        <w:ind w:firstLine="470" w:firstLineChars="196"/>
        <w:contextualSpacing/>
        <w:jc w:val="left"/>
        <w:outlineLvl w:val="0"/>
        <w:rPr>
          <w:rFonts w:ascii="宋体" w:hAnsi="宋体" w:cs="宋体"/>
          <w:sz w:val="24"/>
          <w:szCs w:val="24"/>
        </w:rPr>
      </w:pPr>
      <w:r>
        <w:rPr>
          <w:rFonts w:hint="eastAsia" w:ascii="宋体" w:hAnsi="宋体" w:cs="宋体"/>
          <w:sz w:val="24"/>
          <w:szCs w:val="24"/>
        </w:rPr>
        <w:t>4.2.2 修改的内容为投标文件的组成部分。修改的电子投标文件应按照本章第3条、第4条规定进行编制、标记和提交，并标明“修改”字样。</w:t>
      </w:r>
    </w:p>
    <w:p>
      <w:pPr>
        <w:autoSpaceDE w:val="0"/>
        <w:autoSpaceDN w:val="0"/>
        <w:spacing w:line="360" w:lineRule="auto"/>
        <w:ind w:firstLine="470" w:firstLineChars="196"/>
        <w:contextualSpacing/>
        <w:jc w:val="left"/>
        <w:outlineLvl w:val="0"/>
        <w:rPr>
          <w:rFonts w:ascii="宋体" w:hAnsi="宋体" w:cs="宋体"/>
          <w:sz w:val="24"/>
          <w:szCs w:val="24"/>
        </w:rPr>
      </w:pPr>
      <w:r>
        <w:rPr>
          <w:rFonts w:hint="eastAsia" w:ascii="宋体" w:hAnsi="宋体" w:cs="宋体"/>
          <w:sz w:val="24"/>
          <w:szCs w:val="24"/>
        </w:rPr>
        <w:t>4.2.3 投标人应当在投标截止时间前完成电子投标文件的提交，可以补充、修改或撤回。投标截止时间前未完成电子投标文件提交、取得“投标文件提交回执单”的，视为撤回投标文件。</w:t>
      </w:r>
    </w:p>
    <w:p>
      <w:pPr>
        <w:autoSpaceDE w:val="0"/>
        <w:autoSpaceDN w:val="0"/>
        <w:spacing w:line="360" w:lineRule="auto"/>
        <w:contextualSpacing/>
        <w:jc w:val="left"/>
        <w:rPr>
          <w:rFonts w:ascii="宋体" w:hAnsi="宋体" w:cs="宋体"/>
          <w:b/>
          <w:sz w:val="24"/>
          <w:szCs w:val="24"/>
        </w:rPr>
      </w:pPr>
      <w:r>
        <w:rPr>
          <w:rFonts w:hint="eastAsia" w:ascii="宋体" w:hAnsi="宋体" w:cs="宋体"/>
          <w:b/>
          <w:bCs/>
          <w:sz w:val="24"/>
          <w:szCs w:val="24"/>
        </w:rPr>
        <w:t>5. 开标</w:t>
      </w:r>
      <w:bookmarkEnd w:id="102"/>
      <w:bookmarkEnd w:id="103"/>
      <w:r>
        <w:rPr>
          <w:rFonts w:hint="eastAsia" w:ascii="宋体" w:hAnsi="宋体" w:cs="宋体"/>
          <w:b/>
          <w:sz w:val="24"/>
          <w:szCs w:val="24"/>
        </w:rPr>
        <w:t>、解密、唱标程序</w:t>
      </w:r>
    </w:p>
    <w:p>
      <w:pPr>
        <w:autoSpaceDE w:val="0"/>
        <w:autoSpaceDN w:val="0"/>
        <w:adjustRightInd w:val="0"/>
        <w:spacing w:line="360" w:lineRule="auto"/>
        <w:jc w:val="left"/>
        <w:outlineLvl w:val="0"/>
        <w:rPr>
          <w:rFonts w:ascii="宋体" w:hAnsi="宋体" w:cs="宋体"/>
          <w:b/>
          <w:color w:val="000000"/>
          <w:sz w:val="24"/>
        </w:rPr>
      </w:pPr>
      <w:bookmarkStart w:id="104" w:name="_Toc283559968"/>
      <w:bookmarkStart w:id="105" w:name="_Toc144974530"/>
      <w:bookmarkStart w:id="106" w:name="_Toc179632580"/>
      <w:bookmarkStart w:id="107" w:name="_Toc152045562"/>
      <w:bookmarkStart w:id="108" w:name="_Toc311013714"/>
      <w:bookmarkStart w:id="109" w:name="_Toc152042338"/>
      <w:bookmarkStart w:id="110" w:name="_Toc6454"/>
      <w:r>
        <w:rPr>
          <w:rFonts w:hint="eastAsia" w:ascii="宋体" w:hAnsi="宋体" w:cs="宋体"/>
          <w:b/>
          <w:color w:val="000000"/>
          <w:sz w:val="24"/>
        </w:rPr>
        <w:t>5.1 开标时间和地点</w:t>
      </w:r>
      <w:bookmarkEnd w:id="104"/>
    </w:p>
    <w:p>
      <w:pPr>
        <w:spacing w:line="360" w:lineRule="auto"/>
        <w:ind w:firstLine="480" w:firstLineChars="200"/>
        <w:rPr>
          <w:rFonts w:ascii="宋体" w:hAnsi="宋体" w:cs="宋体"/>
          <w:color w:val="000000"/>
          <w:sz w:val="24"/>
        </w:rPr>
      </w:pPr>
      <w:r>
        <w:rPr>
          <w:rFonts w:hint="eastAsia" w:ascii="宋体" w:hAnsi="宋体" w:cs="宋体"/>
          <w:color w:val="000000"/>
          <w:sz w:val="24"/>
        </w:rPr>
        <w:t>招标人或代理机构、监督人员应在开标前提前到达交易中心，在约定开标地点开通远程不见面开标大厅及开启“文字互动”等功能，组织投标人（供应商）准时在网上参加投标、开标活动。</w:t>
      </w:r>
    </w:p>
    <w:p>
      <w:pPr>
        <w:autoSpaceDE w:val="0"/>
        <w:autoSpaceDN w:val="0"/>
        <w:adjustRightInd w:val="0"/>
        <w:spacing w:line="360" w:lineRule="auto"/>
        <w:jc w:val="left"/>
        <w:rPr>
          <w:rFonts w:ascii="宋体" w:hAnsi="宋体" w:cs="宋体"/>
          <w:b/>
          <w:color w:val="000000"/>
          <w:sz w:val="24"/>
        </w:rPr>
      </w:pPr>
      <w:r>
        <w:rPr>
          <w:rFonts w:hint="eastAsia" w:ascii="宋体" w:hAnsi="宋体" w:cs="宋体"/>
          <w:b/>
          <w:color w:val="000000"/>
          <w:sz w:val="24"/>
        </w:rPr>
        <w:t>5.2 开标程序</w:t>
      </w:r>
    </w:p>
    <w:p>
      <w:pPr>
        <w:spacing w:line="360" w:lineRule="auto"/>
        <w:ind w:firstLine="480" w:firstLineChars="200"/>
        <w:rPr>
          <w:rFonts w:ascii="宋体" w:hAnsi="宋体" w:cs="宋体"/>
          <w:sz w:val="24"/>
        </w:rPr>
      </w:pPr>
      <w:r>
        <w:rPr>
          <w:rFonts w:hint="eastAsia" w:ascii="宋体" w:hAnsi="宋体" w:cs="宋体"/>
          <w:sz w:val="24"/>
        </w:rPr>
        <w:t>（1）本项目采用“远程不见面”开标方式,投标人应当在开标时间前使用CA数字证书登录交易系统远程开标大厅在线准时参加开标活动并进行投标文件远程解密、在线提异议（质疑）及电子签章等；招标代理机构在开标时间前到达指定地点使用CA数字证书登录交易系统远程开标大厅，做好开标前各项准备。</w:t>
      </w:r>
    </w:p>
    <w:p>
      <w:pPr>
        <w:spacing w:line="360" w:lineRule="auto"/>
        <w:ind w:firstLine="480" w:firstLineChars="200"/>
        <w:rPr>
          <w:rFonts w:ascii="宋体" w:hAnsi="宋体" w:cs="宋体"/>
          <w:sz w:val="24"/>
        </w:rPr>
      </w:pPr>
      <w:r>
        <w:rPr>
          <w:rFonts w:hint="eastAsia" w:ascii="宋体" w:hAnsi="宋体" w:cs="宋体"/>
          <w:sz w:val="24"/>
        </w:rPr>
        <w:t>（2）投标截止时间到达时，招标代理机构点击“开标”按钮，开标开始并进行解密，解密时限为120分钟，各投标人可以远程进行解密投标文件。投标人未进行解密或未按规定进行解密的，视为放弃投标。待全部投标人解密完成后，招标人（代理机构）进行一键解密。</w:t>
      </w:r>
    </w:p>
    <w:p>
      <w:pPr>
        <w:spacing w:line="360" w:lineRule="auto"/>
        <w:ind w:firstLine="480" w:firstLineChars="200"/>
        <w:rPr>
          <w:rFonts w:ascii="宋体" w:hAnsi="宋体" w:cs="宋体"/>
          <w:sz w:val="24"/>
        </w:rPr>
      </w:pPr>
      <w:r>
        <w:rPr>
          <w:rFonts w:hint="eastAsia" w:ascii="宋体" w:hAnsi="宋体" w:cs="宋体"/>
          <w:sz w:val="24"/>
        </w:rPr>
        <w:t>（3）解密完成后，招标人（代理机构）点击“系数抽取”按钮进行系数抽取，系数抽取情况在“公告通知”处显示。</w:t>
      </w:r>
    </w:p>
    <w:p>
      <w:pPr>
        <w:spacing w:line="360" w:lineRule="auto"/>
        <w:ind w:firstLine="480" w:firstLineChars="200"/>
        <w:rPr>
          <w:rFonts w:ascii="宋体" w:hAnsi="宋体" w:cs="宋体"/>
          <w:sz w:val="24"/>
        </w:rPr>
      </w:pPr>
      <w:r>
        <w:rPr>
          <w:rFonts w:hint="eastAsia" w:ascii="宋体" w:hAnsi="宋体" w:cs="宋体"/>
          <w:sz w:val="24"/>
        </w:rPr>
        <w:t>（4）系数抽取完成后，投标人可点击“开标记录”查看各投标人投标报价等信息，对开标过程或有关内容有异议（质疑）的，按照《许昌市不见面开标操作手册》在本项目不见面开标大厅“文字互动”对话框或“新增质疑”处在线询问和发起异议（质疑），招标人（代理机构）在线进行回复。</w:t>
      </w:r>
    </w:p>
    <w:p>
      <w:pPr>
        <w:spacing w:line="360" w:lineRule="auto"/>
        <w:rPr>
          <w:rFonts w:ascii="宋体" w:hAnsi="宋体" w:cs="宋体"/>
          <w:sz w:val="24"/>
        </w:rPr>
      </w:pPr>
      <w:r>
        <w:rPr>
          <w:rFonts w:hint="eastAsia" w:ascii="宋体" w:hAnsi="宋体" w:cs="宋体"/>
          <w:sz w:val="24"/>
        </w:rPr>
        <w:t>（5）如无投标人提出异议，招标代理机构通过“文字互动”对话框通知各投标人进行电子签章。投标人应在《开标记录表》上进行电子签章，未进行电子签章的视为对开标结果无异议。</w:t>
      </w:r>
    </w:p>
    <w:p>
      <w:pPr>
        <w:pStyle w:val="7"/>
        <w:spacing w:line="360" w:lineRule="auto"/>
        <w:ind w:firstLine="480" w:firstLineChars="200"/>
        <w:jc w:val="both"/>
        <w:outlineLvl w:val="0"/>
        <w:rPr>
          <w:rFonts w:hAnsi="宋体"/>
          <w:color w:val="auto"/>
          <w:szCs w:val="22"/>
        </w:rPr>
      </w:pPr>
      <w:r>
        <w:rPr>
          <w:rFonts w:hint="eastAsia" w:hAnsi="宋体"/>
          <w:color w:val="auto"/>
          <w:szCs w:val="22"/>
        </w:rPr>
        <w:t>（6）招标人（代理机构）签章并上传《开标记录表》，不见面开标活动结束。</w:t>
      </w:r>
    </w:p>
    <w:p>
      <w:pPr>
        <w:spacing w:line="360" w:lineRule="auto"/>
        <w:contextualSpacing/>
        <w:outlineLvl w:val="1"/>
        <w:rPr>
          <w:rFonts w:ascii="宋体" w:hAnsi="宋体" w:cs="宋体"/>
          <w:b/>
          <w:bCs/>
          <w:sz w:val="24"/>
          <w:szCs w:val="24"/>
        </w:rPr>
      </w:pPr>
      <w:r>
        <w:rPr>
          <w:rFonts w:hint="eastAsia" w:ascii="宋体" w:hAnsi="宋体" w:cs="宋体"/>
          <w:b/>
          <w:bCs/>
          <w:sz w:val="24"/>
          <w:szCs w:val="24"/>
        </w:rPr>
        <w:t>6. 评标</w:t>
      </w:r>
      <w:bookmarkEnd w:id="105"/>
      <w:bookmarkEnd w:id="106"/>
      <w:bookmarkEnd w:id="107"/>
      <w:bookmarkEnd w:id="108"/>
      <w:bookmarkEnd w:id="109"/>
      <w:r>
        <w:rPr>
          <w:rFonts w:hint="eastAsia" w:ascii="宋体" w:hAnsi="宋体" w:cs="宋体"/>
          <w:b/>
          <w:bCs/>
          <w:sz w:val="24"/>
          <w:szCs w:val="24"/>
        </w:rPr>
        <w:t>委员会</w:t>
      </w:r>
      <w:bookmarkEnd w:id="110"/>
    </w:p>
    <w:p>
      <w:pPr>
        <w:spacing w:line="360" w:lineRule="auto"/>
        <w:contextualSpacing/>
        <w:rPr>
          <w:rFonts w:ascii="宋体" w:hAnsi="宋体" w:cs="宋体"/>
          <w:sz w:val="24"/>
          <w:szCs w:val="24"/>
        </w:rPr>
      </w:pPr>
      <w:bookmarkStart w:id="111" w:name="_Toc144974531"/>
      <w:bookmarkStart w:id="112" w:name="_Toc311013715"/>
      <w:bookmarkStart w:id="113" w:name="_Toc152042339"/>
      <w:bookmarkStart w:id="114" w:name="_Toc179632581"/>
      <w:bookmarkStart w:id="115" w:name="_Toc152045563"/>
      <w:r>
        <w:rPr>
          <w:rFonts w:hint="eastAsia" w:ascii="宋体" w:hAnsi="宋体" w:cs="宋体"/>
          <w:sz w:val="24"/>
          <w:szCs w:val="24"/>
        </w:rPr>
        <w:t>6.1 评标委员会</w:t>
      </w:r>
      <w:bookmarkEnd w:id="111"/>
      <w:bookmarkEnd w:id="112"/>
      <w:bookmarkEnd w:id="113"/>
      <w:bookmarkEnd w:id="114"/>
      <w:bookmarkEnd w:id="115"/>
    </w:p>
    <w:p>
      <w:pPr>
        <w:spacing w:line="360" w:lineRule="auto"/>
        <w:ind w:firstLine="480" w:firstLineChars="200"/>
        <w:contextualSpacing/>
        <w:rPr>
          <w:rFonts w:ascii="宋体" w:hAnsi="宋体" w:cs="宋体"/>
          <w:sz w:val="24"/>
          <w:szCs w:val="24"/>
        </w:rPr>
      </w:pPr>
      <w:r>
        <w:rPr>
          <w:rFonts w:hint="eastAsia" w:ascii="宋体" w:hAnsi="宋体" w:cs="宋体"/>
          <w:sz w:val="24"/>
          <w:szCs w:val="24"/>
        </w:rPr>
        <w:t>6.1.1评标由招标人依法组建的评标委员会负责，评标委员会组成详见前附表。</w:t>
      </w:r>
    </w:p>
    <w:p>
      <w:pPr>
        <w:spacing w:line="360" w:lineRule="auto"/>
        <w:ind w:firstLine="480" w:firstLineChars="200"/>
        <w:contextualSpacing/>
        <w:rPr>
          <w:rFonts w:ascii="宋体" w:hAnsi="宋体" w:cs="宋体"/>
          <w:sz w:val="24"/>
          <w:szCs w:val="24"/>
        </w:rPr>
      </w:pPr>
      <w:r>
        <w:rPr>
          <w:rFonts w:hint="eastAsia" w:ascii="宋体" w:hAnsi="宋体" w:cs="宋体"/>
          <w:sz w:val="24"/>
          <w:szCs w:val="24"/>
        </w:rPr>
        <w:t>6.1.2 评标委员会成员有下列情形之一的，应当回避：</w:t>
      </w:r>
    </w:p>
    <w:p>
      <w:pPr>
        <w:spacing w:line="360" w:lineRule="auto"/>
        <w:ind w:firstLine="480" w:firstLineChars="200"/>
        <w:contextualSpacing/>
        <w:rPr>
          <w:rFonts w:ascii="宋体" w:hAnsi="宋体" w:cs="宋体"/>
          <w:sz w:val="24"/>
          <w:szCs w:val="24"/>
        </w:rPr>
      </w:pPr>
      <w:r>
        <w:rPr>
          <w:rFonts w:hint="eastAsia" w:ascii="宋体" w:hAnsi="宋体" w:cs="宋体"/>
          <w:sz w:val="24"/>
          <w:szCs w:val="24"/>
        </w:rPr>
        <w:t>（1）投标人或投标人的主要负责人的近亲属；</w:t>
      </w:r>
    </w:p>
    <w:p>
      <w:pPr>
        <w:spacing w:line="360" w:lineRule="auto"/>
        <w:ind w:firstLine="480" w:firstLineChars="200"/>
        <w:contextualSpacing/>
        <w:rPr>
          <w:rFonts w:ascii="宋体" w:hAnsi="宋体" w:cs="宋体"/>
          <w:sz w:val="24"/>
          <w:szCs w:val="24"/>
        </w:rPr>
      </w:pPr>
      <w:r>
        <w:rPr>
          <w:rFonts w:hint="eastAsia" w:ascii="宋体" w:hAnsi="宋体" w:cs="宋体"/>
          <w:sz w:val="24"/>
          <w:szCs w:val="24"/>
        </w:rPr>
        <w:t>（2）项目主管部门或者行政监督部门的人员；</w:t>
      </w:r>
    </w:p>
    <w:p>
      <w:pPr>
        <w:spacing w:line="360" w:lineRule="auto"/>
        <w:ind w:firstLine="480" w:firstLineChars="200"/>
        <w:contextualSpacing/>
        <w:rPr>
          <w:rFonts w:ascii="宋体" w:hAnsi="宋体" w:cs="宋体"/>
          <w:sz w:val="24"/>
          <w:szCs w:val="24"/>
        </w:rPr>
      </w:pPr>
      <w:r>
        <w:rPr>
          <w:rFonts w:hint="eastAsia" w:ascii="宋体" w:hAnsi="宋体" w:cs="宋体"/>
          <w:sz w:val="24"/>
          <w:szCs w:val="24"/>
        </w:rPr>
        <w:t>（3）与投标人有经济利益关系，可能影响对投标公正评审的；</w:t>
      </w:r>
    </w:p>
    <w:p>
      <w:pPr>
        <w:spacing w:line="360" w:lineRule="auto"/>
        <w:ind w:firstLine="480" w:firstLineChars="200"/>
        <w:contextualSpacing/>
        <w:rPr>
          <w:rFonts w:ascii="宋体" w:hAnsi="宋体" w:cs="宋体"/>
          <w:sz w:val="24"/>
          <w:szCs w:val="24"/>
        </w:rPr>
      </w:pPr>
      <w:r>
        <w:rPr>
          <w:rFonts w:hint="eastAsia" w:ascii="宋体" w:hAnsi="宋体" w:cs="宋体"/>
          <w:sz w:val="24"/>
          <w:szCs w:val="24"/>
        </w:rPr>
        <w:t>（4）曾因在招标、评标以及其他与招标投标有关活动中从事违法行为而受过行政处罚或刑事处罚的。</w:t>
      </w:r>
    </w:p>
    <w:p>
      <w:pPr>
        <w:spacing w:line="360" w:lineRule="auto"/>
        <w:contextualSpacing/>
        <w:rPr>
          <w:rFonts w:ascii="宋体" w:hAnsi="宋体" w:cs="宋体"/>
          <w:sz w:val="24"/>
          <w:szCs w:val="24"/>
        </w:rPr>
      </w:pPr>
      <w:bookmarkStart w:id="116" w:name="_Toc179632582"/>
      <w:bookmarkStart w:id="117" w:name="_Toc152042340"/>
      <w:bookmarkStart w:id="118" w:name="_Toc311013716"/>
      <w:bookmarkStart w:id="119" w:name="_Toc144974532"/>
      <w:bookmarkStart w:id="120" w:name="_Toc152045564"/>
      <w:r>
        <w:rPr>
          <w:rFonts w:hint="eastAsia" w:ascii="宋体" w:hAnsi="宋体" w:cs="宋体"/>
          <w:sz w:val="24"/>
          <w:szCs w:val="24"/>
        </w:rPr>
        <w:t>6.2 评标原则</w:t>
      </w:r>
      <w:bookmarkEnd w:id="116"/>
      <w:bookmarkEnd w:id="117"/>
      <w:bookmarkEnd w:id="118"/>
      <w:bookmarkEnd w:id="119"/>
      <w:bookmarkEnd w:id="120"/>
      <w:r>
        <w:rPr>
          <w:rFonts w:hint="eastAsia" w:ascii="宋体" w:hAnsi="宋体" w:cs="宋体"/>
          <w:sz w:val="24"/>
          <w:szCs w:val="24"/>
        </w:rPr>
        <w:tab/>
      </w:r>
    </w:p>
    <w:p>
      <w:pPr>
        <w:spacing w:line="360" w:lineRule="auto"/>
        <w:ind w:firstLine="480" w:firstLineChars="200"/>
        <w:contextualSpacing/>
        <w:rPr>
          <w:rFonts w:ascii="宋体" w:hAnsi="宋体" w:cs="宋体"/>
          <w:sz w:val="24"/>
          <w:szCs w:val="24"/>
        </w:rPr>
      </w:pPr>
      <w:r>
        <w:rPr>
          <w:rFonts w:hint="eastAsia" w:ascii="宋体" w:hAnsi="宋体" w:cs="宋体"/>
          <w:sz w:val="24"/>
          <w:szCs w:val="24"/>
        </w:rPr>
        <w:t>评标活动遵循公平、公正、科学和择优的原则严格按照招标文件进行。</w:t>
      </w:r>
    </w:p>
    <w:p>
      <w:pPr>
        <w:spacing w:line="360" w:lineRule="auto"/>
        <w:contextualSpacing/>
        <w:rPr>
          <w:rFonts w:ascii="宋体" w:hAnsi="宋体" w:cs="宋体"/>
          <w:sz w:val="24"/>
          <w:szCs w:val="24"/>
        </w:rPr>
      </w:pPr>
      <w:bookmarkStart w:id="121" w:name="_Toc152042341"/>
      <w:bookmarkStart w:id="122" w:name="_Toc144974533"/>
      <w:bookmarkStart w:id="123" w:name="_Toc179632583"/>
      <w:bookmarkStart w:id="124" w:name="_Toc152045565"/>
      <w:bookmarkStart w:id="125" w:name="_Toc311013717"/>
      <w:r>
        <w:rPr>
          <w:rFonts w:hint="eastAsia" w:ascii="宋体" w:hAnsi="宋体" w:cs="宋体"/>
          <w:sz w:val="24"/>
          <w:szCs w:val="24"/>
        </w:rPr>
        <w:t>6.3 评标</w:t>
      </w:r>
      <w:bookmarkEnd w:id="121"/>
      <w:bookmarkEnd w:id="122"/>
      <w:bookmarkEnd w:id="123"/>
      <w:bookmarkEnd w:id="124"/>
      <w:bookmarkEnd w:id="125"/>
    </w:p>
    <w:p>
      <w:pPr>
        <w:spacing w:line="360" w:lineRule="auto"/>
        <w:ind w:firstLine="480" w:firstLineChars="200"/>
        <w:contextualSpacing/>
        <w:rPr>
          <w:rFonts w:ascii="宋体" w:hAnsi="宋体" w:cs="宋体"/>
          <w:sz w:val="24"/>
          <w:szCs w:val="24"/>
        </w:rPr>
      </w:pPr>
      <w:r>
        <w:rPr>
          <w:rFonts w:hint="eastAsia" w:ascii="宋体" w:hAnsi="宋体" w:cs="宋体"/>
          <w:sz w:val="24"/>
          <w:szCs w:val="24"/>
        </w:rPr>
        <w:t>评标委员会按照第三章“评标办法”规定的方法、评审因素、标准和程序对投标文件进行评审。第三章“评标办法”没有规定的方法、评审因素和标准，不作为评标依据。</w:t>
      </w:r>
    </w:p>
    <w:p>
      <w:pPr>
        <w:spacing w:line="360" w:lineRule="auto"/>
        <w:contextualSpacing/>
        <w:outlineLvl w:val="1"/>
        <w:rPr>
          <w:rFonts w:ascii="宋体" w:hAnsi="宋体" w:cs="宋体"/>
          <w:b/>
          <w:bCs/>
          <w:sz w:val="24"/>
          <w:szCs w:val="24"/>
        </w:rPr>
      </w:pPr>
      <w:bookmarkStart w:id="126" w:name="_Toc152045566"/>
      <w:bookmarkStart w:id="127" w:name="_Toc144974534"/>
      <w:bookmarkStart w:id="128" w:name="_Toc152042342"/>
      <w:bookmarkStart w:id="129" w:name="_Toc589"/>
      <w:bookmarkStart w:id="130" w:name="_Toc179632584"/>
      <w:bookmarkStart w:id="131" w:name="_Toc311013718"/>
      <w:r>
        <w:rPr>
          <w:rFonts w:hint="eastAsia" w:ascii="宋体" w:hAnsi="宋体" w:cs="宋体"/>
          <w:b/>
          <w:bCs/>
          <w:sz w:val="24"/>
          <w:szCs w:val="24"/>
        </w:rPr>
        <w:t>7.合同授予</w:t>
      </w:r>
      <w:bookmarkEnd w:id="126"/>
      <w:bookmarkEnd w:id="127"/>
      <w:bookmarkEnd w:id="128"/>
      <w:bookmarkEnd w:id="129"/>
      <w:bookmarkEnd w:id="130"/>
      <w:bookmarkEnd w:id="131"/>
    </w:p>
    <w:p>
      <w:pPr>
        <w:spacing w:line="360" w:lineRule="auto"/>
        <w:contextualSpacing/>
        <w:rPr>
          <w:rFonts w:ascii="宋体" w:hAnsi="宋体" w:cs="宋体"/>
          <w:sz w:val="24"/>
          <w:szCs w:val="24"/>
        </w:rPr>
      </w:pPr>
      <w:bookmarkStart w:id="132" w:name="_Toc179632585"/>
      <w:bookmarkStart w:id="133" w:name="_Toc152045567"/>
      <w:bookmarkStart w:id="134" w:name="_Toc311013719"/>
      <w:bookmarkStart w:id="135" w:name="_Toc144974535"/>
      <w:bookmarkStart w:id="136" w:name="_Toc152042343"/>
      <w:r>
        <w:rPr>
          <w:rFonts w:hint="eastAsia" w:ascii="宋体" w:hAnsi="宋体" w:cs="宋体"/>
          <w:sz w:val="24"/>
          <w:szCs w:val="24"/>
        </w:rPr>
        <w:t>7.1 定标方式</w:t>
      </w:r>
      <w:bookmarkEnd w:id="132"/>
      <w:bookmarkEnd w:id="133"/>
      <w:bookmarkEnd w:id="134"/>
      <w:bookmarkEnd w:id="135"/>
      <w:bookmarkEnd w:id="136"/>
    </w:p>
    <w:p>
      <w:pPr>
        <w:spacing w:line="360" w:lineRule="auto"/>
        <w:ind w:firstLine="480" w:firstLineChars="200"/>
        <w:contextualSpacing/>
        <w:rPr>
          <w:rFonts w:ascii="宋体" w:hAnsi="宋体" w:cs="宋体"/>
          <w:sz w:val="24"/>
          <w:szCs w:val="24"/>
        </w:rPr>
      </w:pPr>
      <w:r>
        <w:rPr>
          <w:rFonts w:hint="eastAsia" w:ascii="宋体" w:hAnsi="宋体" w:cs="宋体"/>
          <w:sz w:val="24"/>
          <w:szCs w:val="24"/>
        </w:rPr>
        <w:t>除投标人须知前附表规定评标委员会直接确定中标人外，招标人依据评标委员会推荐的中标候选人确定中标人，评标委员会推荐中标候选人的人数见投标人须知前附表。</w:t>
      </w:r>
    </w:p>
    <w:p>
      <w:pPr>
        <w:spacing w:line="360" w:lineRule="auto"/>
        <w:contextualSpacing/>
        <w:rPr>
          <w:rFonts w:ascii="宋体" w:hAnsi="宋体" w:cs="宋体"/>
          <w:sz w:val="24"/>
          <w:szCs w:val="24"/>
        </w:rPr>
      </w:pPr>
      <w:bookmarkStart w:id="137" w:name="_Toc144974536"/>
      <w:bookmarkStart w:id="138" w:name="_Toc152045568"/>
      <w:bookmarkStart w:id="139" w:name="_Toc179632586"/>
      <w:bookmarkStart w:id="140" w:name="_Toc152042344"/>
      <w:bookmarkStart w:id="141" w:name="_Toc311013720"/>
      <w:r>
        <w:rPr>
          <w:rFonts w:hint="eastAsia" w:ascii="宋体" w:hAnsi="宋体" w:cs="宋体"/>
          <w:sz w:val="24"/>
          <w:szCs w:val="24"/>
        </w:rPr>
        <w:t>7.2 中标通知</w:t>
      </w:r>
      <w:bookmarkEnd w:id="137"/>
      <w:bookmarkEnd w:id="138"/>
      <w:bookmarkEnd w:id="139"/>
      <w:bookmarkEnd w:id="140"/>
      <w:bookmarkEnd w:id="141"/>
    </w:p>
    <w:p>
      <w:pPr>
        <w:spacing w:line="360" w:lineRule="auto"/>
        <w:ind w:firstLine="480" w:firstLineChars="200"/>
        <w:contextualSpacing/>
        <w:rPr>
          <w:rFonts w:ascii="宋体" w:hAnsi="宋体" w:cs="宋体"/>
          <w:sz w:val="24"/>
          <w:szCs w:val="24"/>
        </w:rPr>
      </w:pPr>
      <w:r>
        <w:rPr>
          <w:rFonts w:hint="eastAsia" w:ascii="宋体" w:hAnsi="宋体" w:cs="宋体"/>
          <w:sz w:val="24"/>
          <w:szCs w:val="24"/>
        </w:rPr>
        <w:t>在本章第3.3款规定的投标有效期内，招标人以书面形式向中标人发出中标通知书，同时将中标结果通知未中标的投标人。</w:t>
      </w:r>
    </w:p>
    <w:p>
      <w:pPr>
        <w:spacing w:line="360" w:lineRule="auto"/>
        <w:contextualSpacing/>
        <w:rPr>
          <w:rFonts w:ascii="宋体" w:hAnsi="宋体" w:cs="宋体"/>
          <w:sz w:val="24"/>
          <w:szCs w:val="24"/>
        </w:rPr>
      </w:pPr>
      <w:bookmarkStart w:id="142" w:name="_Toc144974537"/>
      <w:bookmarkStart w:id="143" w:name="_Toc152045569"/>
      <w:bookmarkStart w:id="144" w:name="_Toc179632587"/>
      <w:bookmarkStart w:id="145" w:name="_Toc152042345"/>
      <w:bookmarkStart w:id="146" w:name="_Toc311013721"/>
      <w:r>
        <w:rPr>
          <w:rFonts w:hint="eastAsia" w:ascii="宋体" w:hAnsi="宋体" w:cs="宋体"/>
          <w:sz w:val="24"/>
          <w:szCs w:val="24"/>
        </w:rPr>
        <w:t>7.3 履约</w:t>
      </w:r>
      <w:bookmarkEnd w:id="142"/>
      <w:bookmarkEnd w:id="143"/>
      <w:bookmarkEnd w:id="144"/>
      <w:bookmarkEnd w:id="145"/>
      <w:bookmarkEnd w:id="146"/>
      <w:r>
        <w:rPr>
          <w:rFonts w:hint="eastAsia" w:ascii="宋体" w:hAnsi="宋体" w:cs="宋体"/>
          <w:sz w:val="24"/>
          <w:szCs w:val="24"/>
        </w:rPr>
        <w:t>担保</w:t>
      </w:r>
    </w:p>
    <w:p>
      <w:pPr>
        <w:spacing w:line="360" w:lineRule="auto"/>
        <w:ind w:firstLine="480" w:firstLineChars="200"/>
        <w:contextualSpacing/>
        <w:rPr>
          <w:rFonts w:ascii="宋体" w:hAnsi="宋体" w:cs="宋体"/>
          <w:sz w:val="24"/>
          <w:szCs w:val="24"/>
        </w:rPr>
      </w:pPr>
      <w:bookmarkStart w:id="147" w:name="_Toc311013722"/>
      <w:bookmarkStart w:id="148" w:name="_Toc152045570"/>
      <w:bookmarkStart w:id="149" w:name="_Toc179632588"/>
      <w:bookmarkStart w:id="150" w:name="_Toc144974538"/>
      <w:bookmarkStart w:id="151" w:name="_Toc152042346"/>
      <w:r>
        <w:rPr>
          <w:rFonts w:hint="eastAsia" w:ascii="宋体" w:hAnsi="宋体" w:cs="宋体"/>
          <w:sz w:val="24"/>
          <w:szCs w:val="24"/>
        </w:rPr>
        <w:t>7.3.1在签订合同前，中标人应按投标人须知前附表规定提交履约担保。中标人不能按投标人须知前附表规定提交履约担保的，视为放弃中标，其投标保证金不予退还，给招标人造成的损失超过投标保证金数额的，中标人还应当对超过部分予以赔偿。</w:t>
      </w:r>
    </w:p>
    <w:p>
      <w:pPr>
        <w:spacing w:line="360" w:lineRule="auto"/>
        <w:ind w:firstLine="480" w:firstLineChars="200"/>
        <w:contextualSpacing/>
        <w:rPr>
          <w:rFonts w:ascii="宋体" w:hAnsi="宋体" w:cs="宋体"/>
          <w:sz w:val="24"/>
          <w:szCs w:val="24"/>
        </w:rPr>
      </w:pPr>
      <w:r>
        <w:rPr>
          <w:rFonts w:hint="eastAsia" w:ascii="宋体" w:hAnsi="宋体" w:cs="宋体"/>
          <w:sz w:val="24"/>
          <w:szCs w:val="24"/>
        </w:rPr>
        <w:t>7.3.2中标人不履行与招标人订立的合同的，履约担保不予退还，给招标人造成的损失超过履约担保数额的，还应当对超过部分予以赔偿；没有提交履约担保的，应当对招标人的损失承担赔偿责任。招标人不履行与中标人订立的合同的，应当返还中标人的履约担保，并承担相应的赔偿责任；没有提交履约担保的，应当对中标人的损失承担赔偿责任。</w:t>
      </w:r>
    </w:p>
    <w:p>
      <w:pPr>
        <w:spacing w:line="360" w:lineRule="auto"/>
        <w:contextualSpacing/>
        <w:rPr>
          <w:rFonts w:ascii="宋体" w:hAnsi="宋体" w:cs="宋体"/>
          <w:sz w:val="24"/>
          <w:szCs w:val="24"/>
        </w:rPr>
      </w:pPr>
      <w:r>
        <w:rPr>
          <w:rFonts w:hint="eastAsia" w:ascii="宋体" w:hAnsi="宋体" w:cs="宋体"/>
          <w:sz w:val="24"/>
          <w:szCs w:val="24"/>
        </w:rPr>
        <w:t>7.4 签订合同</w:t>
      </w:r>
      <w:bookmarkEnd w:id="147"/>
      <w:bookmarkEnd w:id="148"/>
      <w:bookmarkEnd w:id="149"/>
      <w:bookmarkEnd w:id="150"/>
      <w:bookmarkEnd w:id="151"/>
    </w:p>
    <w:p>
      <w:pPr>
        <w:spacing w:line="360" w:lineRule="auto"/>
        <w:ind w:firstLine="480" w:firstLineChars="200"/>
        <w:contextualSpacing/>
        <w:rPr>
          <w:rFonts w:ascii="宋体" w:hAnsi="宋体" w:cs="宋体"/>
          <w:sz w:val="24"/>
          <w:szCs w:val="24"/>
        </w:rPr>
      </w:pPr>
      <w:r>
        <w:rPr>
          <w:rFonts w:hint="eastAsia" w:ascii="宋体" w:hAnsi="宋体" w:cs="宋体"/>
          <w:sz w:val="24"/>
          <w:szCs w:val="24"/>
        </w:rPr>
        <w:t>7.4.1招标人和中标人应当在投标有效期内并在自中标通知书发出之日起三十日内，按照招标文件和中标人的投标文件订立书面合同。招标人和中标人不得再行订立背离合同实质性内容的其他协议。</w:t>
      </w:r>
    </w:p>
    <w:p>
      <w:pPr>
        <w:spacing w:line="360" w:lineRule="auto"/>
        <w:ind w:firstLine="480" w:firstLineChars="200"/>
        <w:contextualSpacing/>
        <w:rPr>
          <w:rFonts w:ascii="宋体" w:hAnsi="宋体" w:cs="宋体"/>
          <w:sz w:val="24"/>
          <w:szCs w:val="24"/>
        </w:rPr>
      </w:pPr>
      <w:r>
        <w:rPr>
          <w:rFonts w:hint="eastAsia" w:ascii="宋体" w:hAnsi="宋体" w:cs="宋体"/>
          <w:sz w:val="24"/>
          <w:szCs w:val="24"/>
        </w:rPr>
        <w:t>7.4.2中标人无正当理由拒签合同的，招标人取消其中标资格，其投标保证金不予退还；给招标人造成的损失超过投标保证金数额的，中标人还应当对超过部分予以赔偿。</w:t>
      </w:r>
    </w:p>
    <w:p>
      <w:pPr>
        <w:spacing w:line="360" w:lineRule="auto"/>
        <w:ind w:firstLine="480" w:firstLineChars="200"/>
        <w:contextualSpacing/>
        <w:rPr>
          <w:rFonts w:ascii="宋体" w:hAnsi="宋体" w:cs="宋体"/>
          <w:sz w:val="24"/>
          <w:szCs w:val="24"/>
        </w:rPr>
      </w:pPr>
      <w:r>
        <w:rPr>
          <w:rFonts w:hint="eastAsia" w:ascii="宋体" w:hAnsi="宋体" w:cs="宋体"/>
          <w:sz w:val="24"/>
          <w:szCs w:val="24"/>
        </w:rPr>
        <w:t>7.4.3发出中标通知书后，招标人无正当理由拒签合同的，招标人向中标人退还投标保证金；给中标人造成损失的，还应当赔偿损失。</w:t>
      </w:r>
    </w:p>
    <w:p>
      <w:pPr>
        <w:spacing w:line="360" w:lineRule="auto"/>
        <w:ind w:firstLine="480" w:firstLineChars="200"/>
        <w:contextualSpacing/>
        <w:rPr>
          <w:rFonts w:ascii="宋体" w:hAnsi="宋体" w:cs="宋体"/>
          <w:sz w:val="24"/>
          <w:szCs w:val="24"/>
        </w:rPr>
      </w:pPr>
      <w:r>
        <w:rPr>
          <w:rFonts w:hint="eastAsia" w:ascii="宋体" w:hAnsi="宋体" w:cs="宋体"/>
          <w:sz w:val="24"/>
          <w:szCs w:val="24"/>
        </w:rPr>
        <w:t>中标人不能按本条规定要求提交履约担保的，视为放弃中标，投标保证金不予退还，给招标人造成的损失超过投标保证金金额的，中标人还应对超过部分予以赔偿。</w:t>
      </w:r>
    </w:p>
    <w:p>
      <w:pPr>
        <w:spacing w:line="360" w:lineRule="auto"/>
        <w:ind w:firstLine="480" w:firstLineChars="200"/>
        <w:contextualSpacing/>
        <w:rPr>
          <w:rFonts w:ascii="宋体" w:hAnsi="宋体" w:cs="宋体"/>
          <w:sz w:val="24"/>
          <w:szCs w:val="24"/>
        </w:rPr>
      </w:pPr>
      <w:r>
        <w:rPr>
          <w:rFonts w:hint="eastAsia" w:ascii="宋体" w:hAnsi="宋体" w:cs="宋体"/>
          <w:sz w:val="24"/>
          <w:szCs w:val="24"/>
        </w:rPr>
        <w:t>中标人不履行与招标人订立的合同的，履约担保不予退还，给招标人造成的损失超过履约担保数额的，还应当对超过部分予以赔偿；没有提交履约担保的，应当对招标人的损失承担赔偿责任。招标人不履行与中标人订立的合同的，应当返还中标人的履约担保，并承担相应的赔偿责任；没有提交履约担保的，应当对中标人的损失承担赔偿责任。</w:t>
      </w:r>
    </w:p>
    <w:p>
      <w:pPr>
        <w:spacing w:line="360" w:lineRule="auto"/>
        <w:contextualSpacing/>
        <w:outlineLvl w:val="1"/>
        <w:rPr>
          <w:rFonts w:ascii="宋体" w:hAnsi="宋体" w:cs="宋体"/>
          <w:b/>
          <w:bCs/>
          <w:sz w:val="24"/>
          <w:szCs w:val="24"/>
        </w:rPr>
      </w:pPr>
      <w:bookmarkStart w:id="152" w:name="_Toc152042347"/>
      <w:bookmarkStart w:id="153" w:name="_Toc2707"/>
      <w:bookmarkStart w:id="154" w:name="_Toc179632589"/>
      <w:bookmarkStart w:id="155" w:name="_Toc311013723"/>
      <w:bookmarkStart w:id="156" w:name="_Toc144974539"/>
      <w:bookmarkStart w:id="157" w:name="_Toc152045571"/>
      <w:r>
        <w:rPr>
          <w:rFonts w:hint="eastAsia" w:ascii="宋体" w:hAnsi="宋体" w:cs="宋体"/>
          <w:b/>
          <w:bCs/>
          <w:sz w:val="24"/>
          <w:szCs w:val="24"/>
        </w:rPr>
        <w:t>8. 重新招标和不再招标</w:t>
      </w:r>
      <w:bookmarkEnd w:id="152"/>
      <w:bookmarkEnd w:id="153"/>
      <w:bookmarkEnd w:id="154"/>
      <w:bookmarkEnd w:id="155"/>
      <w:bookmarkEnd w:id="156"/>
      <w:bookmarkEnd w:id="157"/>
    </w:p>
    <w:p>
      <w:pPr>
        <w:spacing w:line="360" w:lineRule="auto"/>
        <w:contextualSpacing/>
        <w:rPr>
          <w:rFonts w:ascii="宋体" w:hAnsi="宋体" w:cs="宋体"/>
          <w:sz w:val="24"/>
          <w:szCs w:val="24"/>
        </w:rPr>
      </w:pPr>
      <w:bookmarkStart w:id="158" w:name="_Toc144974540"/>
      <w:bookmarkStart w:id="159" w:name="_Toc179632590"/>
      <w:bookmarkStart w:id="160" w:name="_Toc152042348"/>
      <w:bookmarkStart w:id="161" w:name="_Toc311013724"/>
      <w:bookmarkStart w:id="162" w:name="_Toc152045572"/>
      <w:r>
        <w:rPr>
          <w:rFonts w:hint="eastAsia" w:ascii="宋体" w:hAnsi="宋体" w:cs="宋体"/>
          <w:sz w:val="24"/>
          <w:szCs w:val="24"/>
        </w:rPr>
        <w:t>8.1 重新招标</w:t>
      </w:r>
      <w:bookmarkEnd w:id="158"/>
      <w:bookmarkEnd w:id="159"/>
      <w:bookmarkEnd w:id="160"/>
      <w:bookmarkEnd w:id="161"/>
      <w:bookmarkEnd w:id="162"/>
    </w:p>
    <w:p>
      <w:pPr>
        <w:spacing w:line="360" w:lineRule="auto"/>
        <w:ind w:firstLine="480" w:firstLineChars="200"/>
        <w:contextualSpacing/>
        <w:rPr>
          <w:rFonts w:ascii="宋体" w:hAnsi="宋体" w:cs="宋体"/>
          <w:sz w:val="24"/>
          <w:szCs w:val="24"/>
        </w:rPr>
      </w:pPr>
      <w:r>
        <w:rPr>
          <w:rFonts w:hint="eastAsia" w:ascii="宋体" w:hAnsi="宋体" w:cs="宋体"/>
          <w:sz w:val="24"/>
          <w:szCs w:val="24"/>
        </w:rPr>
        <w:t>有下列情形之一的，招标人将重新招标：</w:t>
      </w:r>
    </w:p>
    <w:p>
      <w:pPr>
        <w:spacing w:line="360" w:lineRule="auto"/>
        <w:ind w:firstLine="480" w:firstLineChars="200"/>
        <w:contextualSpacing/>
        <w:rPr>
          <w:rFonts w:ascii="宋体" w:hAnsi="宋体" w:cs="宋体"/>
          <w:sz w:val="24"/>
          <w:szCs w:val="24"/>
        </w:rPr>
      </w:pPr>
      <w:r>
        <w:rPr>
          <w:rFonts w:hint="eastAsia" w:ascii="宋体" w:hAnsi="宋体" w:cs="宋体"/>
          <w:sz w:val="24"/>
          <w:szCs w:val="24"/>
        </w:rPr>
        <w:t>（1）投标截止时间止，投标人少于3个的；</w:t>
      </w:r>
    </w:p>
    <w:p>
      <w:pPr>
        <w:spacing w:line="360" w:lineRule="auto"/>
        <w:ind w:firstLine="480" w:firstLineChars="200"/>
        <w:contextualSpacing/>
        <w:rPr>
          <w:rFonts w:ascii="宋体" w:hAnsi="宋体" w:cs="宋体"/>
          <w:sz w:val="24"/>
          <w:szCs w:val="24"/>
        </w:rPr>
      </w:pPr>
      <w:r>
        <w:rPr>
          <w:rFonts w:hint="eastAsia" w:ascii="宋体" w:hAnsi="宋体" w:cs="宋体"/>
          <w:sz w:val="24"/>
          <w:szCs w:val="24"/>
        </w:rPr>
        <w:t>（2）经评标委员会评审后否决所有投标的。</w:t>
      </w:r>
    </w:p>
    <w:p>
      <w:pPr>
        <w:spacing w:line="360" w:lineRule="auto"/>
        <w:contextualSpacing/>
        <w:rPr>
          <w:rFonts w:ascii="宋体" w:hAnsi="宋体" w:cs="宋体"/>
          <w:sz w:val="24"/>
          <w:szCs w:val="24"/>
        </w:rPr>
      </w:pPr>
      <w:bookmarkStart w:id="163" w:name="_Toc311013725"/>
      <w:bookmarkStart w:id="164" w:name="_Toc144974541"/>
      <w:bookmarkStart w:id="165" w:name="_Toc179632591"/>
      <w:bookmarkStart w:id="166" w:name="_Toc152045573"/>
      <w:bookmarkStart w:id="167" w:name="_Toc152042349"/>
      <w:r>
        <w:rPr>
          <w:rFonts w:hint="eastAsia" w:ascii="宋体" w:hAnsi="宋体" w:cs="宋体"/>
          <w:sz w:val="24"/>
          <w:szCs w:val="24"/>
        </w:rPr>
        <w:t>8.2 不再招标</w:t>
      </w:r>
      <w:bookmarkEnd w:id="163"/>
      <w:bookmarkEnd w:id="164"/>
      <w:bookmarkEnd w:id="165"/>
      <w:bookmarkEnd w:id="166"/>
      <w:bookmarkEnd w:id="167"/>
    </w:p>
    <w:p>
      <w:pPr>
        <w:spacing w:line="360" w:lineRule="auto"/>
        <w:ind w:firstLine="480" w:firstLineChars="200"/>
        <w:contextualSpacing/>
        <w:rPr>
          <w:rFonts w:ascii="宋体" w:hAnsi="宋体" w:cs="宋体"/>
          <w:sz w:val="24"/>
          <w:szCs w:val="24"/>
        </w:rPr>
      </w:pPr>
      <w:r>
        <w:rPr>
          <w:rFonts w:hint="eastAsia" w:ascii="宋体" w:hAnsi="宋体" w:cs="宋体"/>
          <w:sz w:val="24"/>
          <w:szCs w:val="24"/>
        </w:rPr>
        <w:t>重新招标后投标人仍少于3个或者所有投标被否决的，属于必须审批或核准的工程建设项目，经原审批或核准部门批准后不再进行招标。</w:t>
      </w:r>
    </w:p>
    <w:p>
      <w:pPr>
        <w:spacing w:line="360" w:lineRule="auto"/>
        <w:contextualSpacing/>
        <w:outlineLvl w:val="1"/>
        <w:rPr>
          <w:rFonts w:ascii="宋体" w:hAnsi="宋体" w:cs="宋体"/>
          <w:b/>
          <w:bCs/>
          <w:sz w:val="24"/>
          <w:szCs w:val="24"/>
        </w:rPr>
      </w:pPr>
      <w:bookmarkStart w:id="168" w:name="_Toc8268"/>
      <w:bookmarkStart w:id="169" w:name="_Toc152045574"/>
      <w:bookmarkStart w:id="170" w:name="_Toc152042350"/>
      <w:bookmarkStart w:id="171" w:name="_Toc144974542"/>
      <w:bookmarkStart w:id="172" w:name="_Toc179632592"/>
      <w:bookmarkStart w:id="173" w:name="_Toc311013726"/>
      <w:r>
        <w:rPr>
          <w:rFonts w:hint="eastAsia" w:ascii="宋体" w:hAnsi="宋体" w:cs="宋体"/>
          <w:b/>
          <w:bCs/>
          <w:sz w:val="24"/>
          <w:szCs w:val="24"/>
        </w:rPr>
        <w:t>9. 纪律和监督</w:t>
      </w:r>
      <w:bookmarkEnd w:id="168"/>
      <w:bookmarkEnd w:id="169"/>
      <w:bookmarkEnd w:id="170"/>
      <w:bookmarkEnd w:id="171"/>
      <w:bookmarkEnd w:id="172"/>
      <w:bookmarkEnd w:id="173"/>
    </w:p>
    <w:p>
      <w:pPr>
        <w:spacing w:line="360" w:lineRule="auto"/>
        <w:contextualSpacing/>
        <w:rPr>
          <w:rFonts w:ascii="宋体" w:hAnsi="宋体" w:cs="宋体"/>
          <w:sz w:val="24"/>
          <w:szCs w:val="24"/>
        </w:rPr>
      </w:pPr>
      <w:bookmarkStart w:id="174" w:name="_Toc152042351"/>
      <w:bookmarkStart w:id="175" w:name="_Toc311013727"/>
      <w:bookmarkStart w:id="176" w:name="_Toc179632593"/>
      <w:bookmarkStart w:id="177" w:name="_Toc152045575"/>
      <w:bookmarkStart w:id="178" w:name="_Toc144974543"/>
      <w:r>
        <w:rPr>
          <w:rFonts w:hint="eastAsia" w:ascii="宋体" w:hAnsi="宋体" w:cs="宋体"/>
          <w:sz w:val="24"/>
          <w:szCs w:val="24"/>
        </w:rPr>
        <w:t>9.1 对招标人的纪律要求</w:t>
      </w:r>
      <w:bookmarkEnd w:id="174"/>
      <w:bookmarkEnd w:id="175"/>
      <w:bookmarkEnd w:id="176"/>
      <w:bookmarkEnd w:id="177"/>
      <w:bookmarkEnd w:id="178"/>
    </w:p>
    <w:p>
      <w:pPr>
        <w:spacing w:line="360" w:lineRule="auto"/>
        <w:ind w:firstLine="480" w:firstLineChars="200"/>
        <w:contextualSpacing/>
        <w:rPr>
          <w:rFonts w:ascii="宋体" w:hAnsi="宋体" w:cs="宋体"/>
          <w:sz w:val="24"/>
          <w:szCs w:val="24"/>
        </w:rPr>
      </w:pPr>
      <w:r>
        <w:rPr>
          <w:rFonts w:hint="eastAsia" w:ascii="宋体" w:hAnsi="宋体" w:cs="宋体"/>
          <w:sz w:val="24"/>
          <w:szCs w:val="24"/>
        </w:rPr>
        <w:t>招标人不得泄漏招标投标活动中应当保密的情况和资料，不得与投标人串通损害国家利益、社会公共利益或者他人合法权益。</w:t>
      </w:r>
    </w:p>
    <w:p>
      <w:pPr>
        <w:spacing w:line="360" w:lineRule="auto"/>
        <w:contextualSpacing/>
        <w:rPr>
          <w:rFonts w:ascii="宋体" w:hAnsi="宋体" w:cs="宋体"/>
          <w:sz w:val="24"/>
          <w:szCs w:val="24"/>
        </w:rPr>
      </w:pPr>
      <w:bookmarkStart w:id="179" w:name="_Toc152045576"/>
      <w:bookmarkStart w:id="180" w:name="_Toc144974544"/>
      <w:bookmarkStart w:id="181" w:name="_Toc179632594"/>
      <w:bookmarkStart w:id="182" w:name="_Toc311013728"/>
      <w:bookmarkStart w:id="183" w:name="_Toc152042352"/>
      <w:r>
        <w:rPr>
          <w:rFonts w:hint="eastAsia" w:ascii="宋体" w:hAnsi="宋体" w:cs="宋体"/>
          <w:sz w:val="24"/>
          <w:szCs w:val="24"/>
        </w:rPr>
        <w:t>9.2 对投标人的纪律要求</w:t>
      </w:r>
      <w:bookmarkEnd w:id="179"/>
      <w:bookmarkEnd w:id="180"/>
      <w:bookmarkEnd w:id="181"/>
      <w:bookmarkEnd w:id="182"/>
      <w:bookmarkEnd w:id="183"/>
    </w:p>
    <w:p>
      <w:pPr>
        <w:spacing w:line="360" w:lineRule="auto"/>
        <w:ind w:firstLine="480" w:firstLineChars="200"/>
        <w:contextualSpacing/>
        <w:rPr>
          <w:rFonts w:ascii="宋体" w:hAnsi="宋体" w:cs="宋体"/>
          <w:sz w:val="24"/>
          <w:szCs w:val="24"/>
        </w:rPr>
      </w:pPr>
      <w:r>
        <w:rPr>
          <w:rFonts w:hint="eastAsia" w:ascii="宋体" w:hAnsi="宋体" w:cs="宋体"/>
          <w:sz w:val="24"/>
          <w:szCs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pPr>
        <w:spacing w:line="360" w:lineRule="auto"/>
        <w:contextualSpacing/>
        <w:rPr>
          <w:rFonts w:ascii="宋体" w:hAnsi="宋体" w:cs="宋体"/>
          <w:sz w:val="24"/>
          <w:szCs w:val="24"/>
        </w:rPr>
      </w:pPr>
      <w:bookmarkStart w:id="184" w:name="_Toc152045577"/>
      <w:bookmarkStart w:id="185" w:name="_Toc144974545"/>
      <w:bookmarkStart w:id="186" w:name="_Toc179632595"/>
      <w:bookmarkStart w:id="187" w:name="_Toc152042353"/>
      <w:bookmarkStart w:id="188" w:name="_Toc311013729"/>
      <w:r>
        <w:rPr>
          <w:rFonts w:hint="eastAsia" w:ascii="宋体" w:hAnsi="宋体" w:cs="宋体"/>
          <w:sz w:val="24"/>
          <w:szCs w:val="24"/>
        </w:rPr>
        <w:t>9.3 对评标委员会成员的纪律要求</w:t>
      </w:r>
      <w:bookmarkEnd w:id="184"/>
      <w:bookmarkEnd w:id="185"/>
      <w:bookmarkEnd w:id="186"/>
      <w:bookmarkEnd w:id="187"/>
      <w:bookmarkEnd w:id="188"/>
    </w:p>
    <w:p>
      <w:pPr>
        <w:spacing w:line="360" w:lineRule="auto"/>
        <w:ind w:firstLine="480" w:firstLineChars="200"/>
        <w:contextualSpacing/>
        <w:rPr>
          <w:rFonts w:ascii="宋体" w:hAnsi="宋体" w:cs="宋体"/>
          <w:sz w:val="24"/>
          <w:szCs w:val="24"/>
        </w:rPr>
      </w:pPr>
      <w:r>
        <w:rPr>
          <w:rFonts w:hint="eastAsia" w:ascii="宋体" w:hAnsi="宋体" w:cs="宋体"/>
          <w:sz w:val="24"/>
          <w:szCs w:val="24"/>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pPr>
        <w:spacing w:line="360" w:lineRule="auto"/>
        <w:contextualSpacing/>
        <w:rPr>
          <w:rFonts w:ascii="宋体" w:hAnsi="宋体" w:cs="宋体"/>
          <w:sz w:val="24"/>
          <w:szCs w:val="24"/>
        </w:rPr>
      </w:pPr>
      <w:bookmarkStart w:id="189" w:name="_Toc152045578"/>
      <w:bookmarkStart w:id="190" w:name="_Toc311013730"/>
      <w:bookmarkStart w:id="191" w:name="_Toc152042354"/>
      <w:bookmarkStart w:id="192" w:name="_Toc179632596"/>
      <w:bookmarkStart w:id="193" w:name="_Toc144974546"/>
      <w:r>
        <w:rPr>
          <w:rFonts w:hint="eastAsia" w:ascii="宋体" w:hAnsi="宋体" w:cs="宋体"/>
          <w:sz w:val="24"/>
          <w:szCs w:val="24"/>
        </w:rPr>
        <w:t>9.4 对与评标活动有关的工作人员的纪律要求</w:t>
      </w:r>
      <w:bookmarkEnd w:id="189"/>
      <w:bookmarkEnd w:id="190"/>
      <w:bookmarkEnd w:id="191"/>
      <w:bookmarkEnd w:id="192"/>
    </w:p>
    <w:p>
      <w:pPr>
        <w:spacing w:line="360" w:lineRule="auto"/>
        <w:ind w:firstLine="480" w:firstLineChars="200"/>
        <w:contextualSpacing/>
        <w:rPr>
          <w:rFonts w:ascii="宋体" w:hAnsi="宋体" w:cs="宋体"/>
          <w:sz w:val="24"/>
          <w:szCs w:val="24"/>
        </w:rPr>
      </w:pPr>
      <w:bookmarkStart w:id="194" w:name="_Toc152042355"/>
      <w:r>
        <w:rPr>
          <w:rFonts w:hint="eastAsia" w:ascii="宋体" w:hAnsi="宋体" w:cs="宋体"/>
          <w:sz w:val="24"/>
          <w:szCs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bookmarkEnd w:id="194"/>
    </w:p>
    <w:p>
      <w:pPr>
        <w:spacing w:line="360" w:lineRule="auto"/>
        <w:contextualSpacing/>
        <w:rPr>
          <w:rFonts w:ascii="宋体" w:hAnsi="宋体" w:cs="宋体"/>
          <w:sz w:val="24"/>
          <w:szCs w:val="24"/>
        </w:rPr>
      </w:pPr>
      <w:bookmarkStart w:id="195" w:name="_Toc152045579"/>
      <w:bookmarkStart w:id="196" w:name="_Toc179632597"/>
      <w:bookmarkStart w:id="197" w:name="_Toc311013731"/>
      <w:bookmarkStart w:id="198" w:name="_Toc152042356"/>
      <w:r>
        <w:rPr>
          <w:rFonts w:hint="eastAsia" w:ascii="宋体" w:hAnsi="宋体" w:cs="宋体"/>
          <w:sz w:val="24"/>
          <w:szCs w:val="24"/>
        </w:rPr>
        <w:t>9.5 投诉</w:t>
      </w:r>
      <w:bookmarkEnd w:id="193"/>
      <w:bookmarkEnd w:id="195"/>
      <w:bookmarkEnd w:id="196"/>
      <w:bookmarkEnd w:id="197"/>
      <w:bookmarkEnd w:id="198"/>
    </w:p>
    <w:p>
      <w:pPr>
        <w:spacing w:line="360" w:lineRule="auto"/>
        <w:contextualSpacing/>
        <w:outlineLvl w:val="1"/>
        <w:rPr>
          <w:rFonts w:ascii="宋体" w:hAnsi="宋体" w:cs="宋体"/>
          <w:sz w:val="24"/>
          <w:szCs w:val="24"/>
        </w:rPr>
      </w:pPr>
      <w:bookmarkStart w:id="199" w:name="_Toc311013732"/>
      <w:bookmarkStart w:id="200" w:name="_Toc10228"/>
      <w:bookmarkStart w:id="201" w:name="_Toc179632598"/>
      <w:bookmarkStart w:id="202" w:name="_Toc152045580"/>
      <w:bookmarkStart w:id="203" w:name="_Toc152042357"/>
      <w:bookmarkStart w:id="204" w:name="_Toc144974547"/>
      <w:r>
        <w:rPr>
          <w:rFonts w:hint="eastAsia" w:ascii="宋体" w:hAnsi="宋体" w:cs="宋体"/>
          <w:sz w:val="24"/>
          <w:szCs w:val="24"/>
        </w:rPr>
        <w:t>投标人和其他利害关系人认为本次招标活动违反法律、法规和规章规定的，有权向有关行政监督部门投诉。</w:t>
      </w:r>
    </w:p>
    <w:p>
      <w:pPr>
        <w:spacing w:line="360" w:lineRule="auto"/>
        <w:ind w:firstLine="480" w:firstLineChars="200"/>
        <w:contextualSpacing/>
        <w:outlineLvl w:val="1"/>
        <w:rPr>
          <w:rFonts w:ascii="宋体" w:hAnsi="宋体" w:cs="宋体"/>
          <w:sz w:val="24"/>
          <w:szCs w:val="24"/>
        </w:rPr>
      </w:pPr>
      <w:r>
        <w:rPr>
          <w:rFonts w:hint="eastAsia" w:ascii="宋体" w:hAnsi="宋体" w:cs="宋体"/>
          <w:sz w:val="24"/>
          <w:szCs w:val="24"/>
        </w:rPr>
        <w:t>投标人提起投诉应当符合《中华人民共和国招标投标法》及其实施条例、《工程建设项目招标投标活动投诉处理办法》（七部委11号令；九部委23号令于2013年3月11日修改）规定。</w:t>
      </w:r>
    </w:p>
    <w:p>
      <w:pPr>
        <w:spacing w:line="360" w:lineRule="auto"/>
        <w:contextualSpacing/>
        <w:outlineLvl w:val="1"/>
        <w:rPr>
          <w:rFonts w:ascii="宋体" w:hAnsi="宋体" w:cs="宋体"/>
          <w:b/>
          <w:bCs/>
          <w:sz w:val="24"/>
          <w:szCs w:val="24"/>
        </w:rPr>
      </w:pPr>
      <w:r>
        <w:rPr>
          <w:rFonts w:hint="eastAsia" w:ascii="宋体" w:hAnsi="宋体" w:cs="宋体"/>
          <w:b/>
          <w:bCs/>
          <w:sz w:val="24"/>
          <w:szCs w:val="24"/>
        </w:rPr>
        <w:t>10. 需要补充的其他内容</w:t>
      </w:r>
      <w:bookmarkEnd w:id="199"/>
      <w:bookmarkEnd w:id="200"/>
      <w:bookmarkEnd w:id="201"/>
      <w:bookmarkEnd w:id="202"/>
      <w:bookmarkEnd w:id="203"/>
      <w:bookmarkEnd w:id="204"/>
    </w:p>
    <w:p>
      <w:pPr>
        <w:spacing w:line="360" w:lineRule="auto"/>
        <w:contextualSpacing/>
        <w:rPr>
          <w:rFonts w:ascii="宋体" w:hAnsi="宋体" w:cs="宋体"/>
          <w:sz w:val="24"/>
          <w:szCs w:val="24"/>
        </w:rPr>
      </w:pPr>
      <w:r>
        <w:rPr>
          <w:rFonts w:hint="eastAsia" w:ascii="宋体" w:hAnsi="宋体" w:cs="宋体"/>
          <w:sz w:val="24"/>
          <w:szCs w:val="24"/>
        </w:rPr>
        <w:t>10.1需要补充的其他内容：见投标人须知前附表</w:t>
      </w:r>
    </w:p>
    <w:p>
      <w:pPr>
        <w:spacing w:line="360" w:lineRule="auto"/>
        <w:rPr>
          <w:rFonts w:ascii="黑体" w:eastAsia="黑体"/>
          <w:color w:val="000000"/>
          <w:sz w:val="24"/>
          <w:szCs w:val="24"/>
        </w:rPr>
      </w:pPr>
      <w:bookmarkStart w:id="205" w:name="_Toc464824567"/>
      <w:bookmarkEnd w:id="205"/>
      <w:r>
        <w:rPr>
          <w:rFonts w:hint="eastAsia" w:ascii="宋体" w:hAnsi="宋体" w:cs="宋体"/>
          <w:color w:val="000000"/>
          <w:sz w:val="24"/>
          <w:szCs w:val="24"/>
        </w:rPr>
        <w:br w:type="page"/>
      </w:r>
      <w:bookmarkStart w:id="206" w:name="_Toc277936916"/>
      <w:bookmarkEnd w:id="206"/>
      <w:bookmarkStart w:id="207" w:name="_Toc12931"/>
      <w:bookmarkEnd w:id="207"/>
      <w:bookmarkStart w:id="208" w:name="_Toc464824711"/>
      <w:bookmarkEnd w:id="208"/>
      <w:bookmarkStart w:id="209" w:name="_Toc397605954"/>
      <w:r>
        <w:rPr>
          <w:rFonts w:hint="eastAsia" w:ascii="黑体" w:hAnsi="黑体" w:eastAsia="黑体"/>
          <w:color w:val="000000"/>
          <w:sz w:val="24"/>
          <w:szCs w:val="24"/>
        </w:rPr>
        <w:t>附表一：问题澄清通知</w:t>
      </w:r>
    </w:p>
    <w:p>
      <w:pPr>
        <w:spacing w:beforeLines="100" w:afterLines="100" w:line="360" w:lineRule="auto"/>
        <w:jc w:val="center"/>
        <w:rPr>
          <w:rFonts w:ascii="黑体" w:eastAsia="黑体"/>
          <w:color w:val="000000"/>
          <w:sz w:val="28"/>
          <w:szCs w:val="28"/>
        </w:rPr>
      </w:pPr>
      <w:r>
        <w:rPr>
          <w:rFonts w:hint="eastAsia" w:ascii="黑体" w:hAnsi="黑体" w:eastAsia="黑体"/>
          <w:color w:val="000000"/>
          <w:sz w:val="28"/>
          <w:szCs w:val="28"/>
        </w:rPr>
        <w:t>问题澄清通知</w:t>
      </w:r>
    </w:p>
    <w:p>
      <w:pPr>
        <w:spacing w:line="360" w:lineRule="auto"/>
        <w:ind w:firstLine="6120" w:firstLineChars="2550"/>
        <w:rPr>
          <w:color w:val="000000"/>
          <w:sz w:val="24"/>
          <w:szCs w:val="24"/>
          <w:u w:val="single"/>
        </w:rPr>
      </w:pPr>
      <w:r>
        <w:rPr>
          <w:rFonts w:hint="eastAsia" w:ascii="宋体" w:hAnsi="宋体"/>
          <w:color w:val="000000"/>
          <w:sz w:val="24"/>
          <w:szCs w:val="24"/>
        </w:rPr>
        <w:t>编号：</w:t>
      </w:r>
    </w:p>
    <w:p>
      <w:pPr>
        <w:spacing w:line="360" w:lineRule="auto"/>
        <w:ind w:firstLine="480" w:firstLineChars="200"/>
        <w:rPr>
          <w:color w:val="000000"/>
          <w:sz w:val="24"/>
          <w:szCs w:val="24"/>
        </w:rPr>
      </w:pPr>
      <w:r>
        <w:rPr>
          <w:rFonts w:hint="eastAsia" w:ascii="宋体" w:hAnsi="宋体"/>
          <w:color w:val="000000"/>
          <w:sz w:val="24"/>
          <w:szCs w:val="24"/>
        </w:rPr>
        <w:t>（投标人名称）：</w:t>
      </w:r>
    </w:p>
    <w:p>
      <w:pPr>
        <w:spacing w:line="360" w:lineRule="auto"/>
        <w:ind w:firstLine="480" w:firstLineChars="200"/>
        <w:rPr>
          <w:color w:val="000000"/>
          <w:sz w:val="24"/>
          <w:szCs w:val="24"/>
        </w:rPr>
      </w:pPr>
      <w:r>
        <w:rPr>
          <w:rFonts w:hint="eastAsia" w:ascii="宋体" w:hAnsi="宋体"/>
          <w:color w:val="000000"/>
          <w:sz w:val="24"/>
          <w:szCs w:val="24"/>
        </w:rPr>
        <w:t>（项目名称）</w:t>
      </w:r>
      <w:r>
        <w:rPr>
          <w:rFonts w:hint="eastAsia" w:ascii="宋体" w:hAnsi="宋体"/>
          <w:color w:val="000000"/>
          <w:sz w:val="24"/>
          <w:szCs w:val="24"/>
          <w:u w:val="single"/>
        </w:rPr>
        <w:t>标</w:t>
      </w:r>
      <w:r>
        <w:rPr>
          <w:rFonts w:hint="eastAsia" w:ascii="宋体" w:hAnsi="宋体"/>
          <w:color w:val="000000"/>
          <w:sz w:val="24"/>
          <w:szCs w:val="24"/>
        </w:rPr>
        <w:t>段施工招标的评标委员会，对你方的投标文件进行了仔细的审查，现需你方对本通知所附质疑问卷中的问题以书面形式予以澄清、说明或者补正。</w:t>
      </w:r>
    </w:p>
    <w:p>
      <w:pPr>
        <w:spacing w:line="360" w:lineRule="auto"/>
        <w:ind w:firstLine="480" w:firstLineChars="200"/>
        <w:rPr>
          <w:color w:val="000000"/>
          <w:sz w:val="24"/>
          <w:szCs w:val="24"/>
        </w:rPr>
      </w:pPr>
      <w:r>
        <w:rPr>
          <w:rFonts w:hint="eastAsia" w:ascii="宋体" w:hAnsi="宋体"/>
          <w:color w:val="000000"/>
          <w:sz w:val="24"/>
          <w:szCs w:val="24"/>
        </w:rPr>
        <w:t>请将上述问题的澄清、说明或者补正于年月日时前密封递交至（详细地址）或传真至（传真号码）。采用传真方式的，应在年月日时前将原件递交至（详细地址）。</w:t>
      </w:r>
    </w:p>
    <w:p>
      <w:pPr>
        <w:spacing w:line="360" w:lineRule="auto"/>
        <w:rPr>
          <w:color w:val="000000"/>
          <w:sz w:val="24"/>
          <w:szCs w:val="24"/>
        </w:rPr>
      </w:pPr>
    </w:p>
    <w:p>
      <w:pPr>
        <w:spacing w:line="360" w:lineRule="auto"/>
        <w:rPr>
          <w:color w:val="000000"/>
          <w:sz w:val="24"/>
          <w:szCs w:val="24"/>
        </w:rPr>
      </w:pPr>
      <w:r>
        <w:rPr>
          <w:rFonts w:hint="eastAsia" w:ascii="宋体" w:hAnsi="宋体"/>
          <w:color w:val="000000"/>
          <w:sz w:val="24"/>
          <w:szCs w:val="24"/>
        </w:rPr>
        <w:t>附件：质疑问卷</w:t>
      </w:r>
    </w:p>
    <w:p>
      <w:pPr>
        <w:spacing w:line="360" w:lineRule="auto"/>
        <w:ind w:firstLine="4080" w:firstLineChars="1700"/>
        <w:rPr>
          <w:color w:val="000000"/>
          <w:sz w:val="24"/>
          <w:szCs w:val="24"/>
          <w:u w:val="single"/>
        </w:rPr>
      </w:pPr>
    </w:p>
    <w:p>
      <w:pPr>
        <w:spacing w:line="360" w:lineRule="auto"/>
        <w:ind w:firstLine="4080" w:firstLineChars="1700"/>
        <w:rPr>
          <w:color w:val="000000"/>
          <w:sz w:val="24"/>
          <w:szCs w:val="24"/>
          <w:u w:val="single"/>
        </w:rPr>
      </w:pPr>
    </w:p>
    <w:p>
      <w:pPr>
        <w:spacing w:line="360" w:lineRule="auto"/>
        <w:ind w:firstLine="4080" w:firstLineChars="1700"/>
        <w:rPr>
          <w:color w:val="000000"/>
          <w:sz w:val="24"/>
          <w:szCs w:val="24"/>
          <w:u w:val="single"/>
        </w:rPr>
      </w:pPr>
    </w:p>
    <w:p>
      <w:pPr>
        <w:spacing w:line="360" w:lineRule="auto"/>
        <w:ind w:firstLine="4080" w:firstLineChars="1700"/>
        <w:rPr>
          <w:color w:val="000000"/>
          <w:sz w:val="24"/>
          <w:szCs w:val="24"/>
          <w:u w:val="single"/>
        </w:rPr>
      </w:pPr>
    </w:p>
    <w:p>
      <w:pPr>
        <w:spacing w:line="360" w:lineRule="auto"/>
        <w:ind w:firstLine="4080" w:firstLineChars="1700"/>
        <w:rPr>
          <w:color w:val="000000"/>
          <w:sz w:val="24"/>
          <w:szCs w:val="24"/>
          <w:u w:val="single"/>
        </w:rPr>
      </w:pPr>
    </w:p>
    <w:p>
      <w:pPr>
        <w:spacing w:line="360" w:lineRule="auto"/>
        <w:ind w:firstLine="4080" w:firstLineChars="1700"/>
        <w:rPr>
          <w:color w:val="000000"/>
          <w:sz w:val="24"/>
          <w:szCs w:val="24"/>
          <w:u w:val="single"/>
        </w:rPr>
      </w:pPr>
    </w:p>
    <w:p>
      <w:pPr>
        <w:spacing w:line="360" w:lineRule="auto"/>
        <w:ind w:firstLine="4080" w:firstLineChars="1700"/>
        <w:rPr>
          <w:color w:val="000000"/>
          <w:sz w:val="24"/>
          <w:szCs w:val="24"/>
          <w:u w:val="single"/>
        </w:rPr>
      </w:pPr>
    </w:p>
    <w:p>
      <w:pPr>
        <w:spacing w:line="360" w:lineRule="auto"/>
        <w:ind w:firstLine="4080" w:firstLineChars="1700"/>
        <w:rPr>
          <w:color w:val="000000"/>
          <w:sz w:val="24"/>
          <w:szCs w:val="24"/>
        </w:rPr>
      </w:pPr>
      <w:r>
        <w:rPr>
          <w:rFonts w:hint="eastAsia" w:ascii="宋体" w:hAnsi="宋体"/>
          <w:color w:val="000000"/>
          <w:sz w:val="24"/>
          <w:szCs w:val="24"/>
        </w:rPr>
        <w:t>（项目名称）招标评标委员会</w:t>
      </w:r>
    </w:p>
    <w:p>
      <w:pPr>
        <w:spacing w:line="360" w:lineRule="auto"/>
        <w:jc w:val="right"/>
        <w:rPr>
          <w:color w:val="000000"/>
          <w:sz w:val="24"/>
          <w:szCs w:val="24"/>
        </w:rPr>
      </w:pPr>
      <w:r>
        <w:rPr>
          <w:rFonts w:hint="eastAsia" w:ascii="宋体" w:hAnsi="宋体"/>
          <w:color w:val="000000"/>
          <w:sz w:val="24"/>
          <w:szCs w:val="24"/>
        </w:rPr>
        <w:t>（经评标委员会授权的招标人代表签字或招标人加盖单位章）</w:t>
      </w:r>
    </w:p>
    <w:p>
      <w:pPr>
        <w:spacing w:line="360" w:lineRule="auto"/>
        <w:ind w:firstLine="5280" w:firstLineChars="2200"/>
        <w:rPr>
          <w:rFonts w:ascii="黑体" w:eastAsia="黑体"/>
          <w:color w:val="000000"/>
          <w:sz w:val="24"/>
          <w:szCs w:val="24"/>
        </w:rPr>
      </w:pPr>
      <w:r>
        <w:rPr>
          <w:rFonts w:hint="eastAsia" w:ascii="宋体" w:hAnsi="宋体"/>
          <w:color w:val="000000"/>
          <w:sz w:val="24"/>
          <w:szCs w:val="24"/>
        </w:rPr>
        <w:t>年月</w:t>
      </w:r>
      <w:r>
        <w:rPr>
          <w:color w:val="000000"/>
        </w:rPr>
        <w:br w:type="page"/>
      </w:r>
      <w:r>
        <w:rPr>
          <w:rFonts w:hint="eastAsia" w:ascii="黑体" w:hAnsi="黑体" w:eastAsia="黑体"/>
          <w:color w:val="000000"/>
          <w:sz w:val="24"/>
          <w:szCs w:val="24"/>
        </w:rPr>
        <w:t>附表二：问题的澄清</w:t>
      </w:r>
    </w:p>
    <w:p>
      <w:pPr>
        <w:spacing w:beforeLines="100" w:afterLines="100" w:line="360" w:lineRule="auto"/>
        <w:jc w:val="center"/>
        <w:rPr>
          <w:rFonts w:ascii="黑体" w:eastAsia="黑体"/>
          <w:color w:val="000000"/>
          <w:sz w:val="28"/>
          <w:szCs w:val="28"/>
        </w:rPr>
      </w:pPr>
      <w:r>
        <w:rPr>
          <w:rFonts w:hint="eastAsia" w:ascii="黑体" w:hAnsi="黑体" w:eastAsia="黑体"/>
          <w:color w:val="000000"/>
          <w:sz w:val="28"/>
          <w:szCs w:val="28"/>
        </w:rPr>
        <w:t>问题的澄清、说明或补正</w:t>
      </w:r>
    </w:p>
    <w:p>
      <w:pPr>
        <w:spacing w:line="360" w:lineRule="auto"/>
        <w:ind w:firstLine="6120" w:firstLineChars="2550"/>
        <w:rPr>
          <w:color w:val="000000"/>
          <w:sz w:val="24"/>
          <w:szCs w:val="24"/>
          <w:u w:val="single"/>
        </w:rPr>
      </w:pPr>
      <w:r>
        <w:rPr>
          <w:rFonts w:hint="eastAsia" w:ascii="宋体" w:hAnsi="宋体"/>
          <w:color w:val="000000"/>
          <w:sz w:val="24"/>
          <w:szCs w:val="24"/>
        </w:rPr>
        <w:t>编号：</w:t>
      </w:r>
    </w:p>
    <w:p>
      <w:pPr>
        <w:spacing w:line="360" w:lineRule="auto"/>
        <w:rPr>
          <w:color w:val="000000"/>
          <w:sz w:val="24"/>
          <w:szCs w:val="24"/>
        </w:rPr>
      </w:pPr>
      <w:r>
        <w:rPr>
          <w:rFonts w:hint="eastAsia" w:ascii="宋体" w:hAnsi="宋体"/>
          <w:color w:val="000000"/>
          <w:sz w:val="24"/>
          <w:szCs w:val="24"/>
        </w:rPr>
        <w:t>（项目名称）标段施工招标评标委员会：</w:t>
      </w:r>
    </w:p>
    <w:p>
      <w:pPr>
        <w:spacing w:line="360" w:lineRule="auto"/>
        <w:ind w:firstLine="480" w:firstLineChars="200"/>
        <w:rPr>
          <w:color w:val="000000"/>
          <w:sz w:val="24"/>
          <w:szCs w:val="24"/>
        </w:rPr>
      </w:pPr>
      <w:r>
        <w:rPr>
          <w:rFonts w:hint="eastAsia" w:ascii="宋体" w:hAnsi="宋体"/>
          <w:color w:val="000000"/>
          <w:sz w:val="24"/>
          <w:szCs w:val="24"/>
        </w:rPr>
        <w:t>问题澄清通知（编号：）已收悉，现澄清、说明或者补正如下：</w:t>
      </w:r>
    </w:p>
    <w:p>
      <w:pPr>
        <w:spacing w:line="360" w:lineRule="auto"/>
        <w:ind w:firstLine="480" w:firstLineChars="200"/>
        <w:rPr>
          <w:color w:val="000000"/>
          <w:sz w:val="24"/>
          <w:szCs w:val="24"/>
        </w:rPr>
      </w:pPr>
      <w:r>
        <w:rPr>
          <w:rFonts w:hint="eastAsia"/>
          <w:color w:val="000000"/>
          <w:sz w:val="24"/>
          <w:szCs w:val="24"/>
        </w:rPr>
        <w:t>1.</w:t>
      </w:r>
    </w:p>
    <w:p>
      <w:pPr>
        <w:spacing w:line="360" w:lineRule="auto"/>
        <w:ind w:firstLine="480" w:firstLineChars="200"/>
        <w:rPr>
          <w:color w:val="000000"/>
          <w:sz w:val="24"/>
          <w:szCs w:val="24"/>
        </w:rPr>
      </w:pPr>
      <w:r>
        <w:rPr>
          <w:rFonts w:hint="eastAsia"/>
          <w:color w:val="000000"/>
          <w:sz w:val="24"/>
          <w:szCs w:val="24"/>
        </w:rPr>
        <w:t>2.</w:t>
      </w:r>
    </w:p>
    <w:p>
      <w:pPr>
        <w:spacing w:line="360" w:lineRule="auto"/>
        <w:ind w:firstLine="480" w:firstLineChars="200"/>
        <w:rPr>
          <w:color w:val="000000"/>
          <w:sz w:val="24"/>
          <w:szCs w:val="24"/>
        </w:rPr>
      </w:pPr>
    </w:p>
    <w:p>
      <w:pPr>
        <w:spacing w:line="360" w:lineRule="auto"/>
        <w:ind w:firstLine="480" w:firstLineChars="200"/>
        <w:rPr>
          <w:color w:val="000000"/>
          <w:sz w:val="24"/>
          <w:szCs w:val="24"/>
        </w:rPr>
      </w:pPr>
      <w:r>
        <w:rPr>
          <w:rFonts w:hint="eastAsia"/>
          <w:color w:val="000000"/>
          <w:sz w:val="24"/>
          <w:szCs w:val="24"/>
        </w:rPr>
        <w:t>……</w:t>
      </w:r>
    </w:p>
    <w:p>
      <w:pPr>
        <w:spacing w:line="360" w:lineRule="auto"/>
        <w:ind w:firstLine="480" w:firstLineChars="200"/>
        <w:rPr>
          <w:color w:val="000000"/>
          <w:sz w:val="24"/>
          <w:szCs w:val="24"/>
        </w:rPr>
      </w:pPr>
    </w:p>
    <w:p>
      <w:pPr>
        <w:spacing w:line="360" w:lineRule="auto"/>
        <w:ind w:firstLine="480" w:firstLineChars="200"/>
        <w:rPr>
          <w:color w:val="000000"/>
          <w:sz w:val="24"/>
          <w:szCs w:val="24"/>
        </w:rPr>
      </w:pPr>
    </w:p>
    <w:p>
      <w:pPr>
        <w:spacing w:line="360" w:lineRule="auto"/>
        <w:ind w:firstLine="480" w:firstLineChars="200"/>
        <w:rPr>
          <w:color w:val="000000"/>
          <w:sz w:val="24"/>
          <w:szCs w:val="24"/>
        </w:rPr>
      </w:pPr>
    </w:p>
    <w:p>
      <w:pPr>
        <w:spacing w:line="360" w:lineRule="auto"/>
        <w:ind w:firstLine="480" w:firstLineChars="200"/>
        <w:rPr>
          <w:color w:val="000000"/>
          <w:sz w:val="24"/>
          <w:szCs w:val="24"/>
        </w:rPr>
      </w:pPr>
    </w:p>
    <w:p>
      <w:pPr>
        <w:spacing w:line="360" w:lineRule="auto"/>
        <w:ind w:firstLine="480" w:firstLineChars="200"/>
        <w:rPr>
          <w:color w:val="000000"/>
          <w:sz w:val="24"/>
          <w:szCs w:val="24"/>
        </w:rPr>
      </w:pPr>
    </w:p>
    <w:p>
      <w:pPr>
        <w:spacing w:line="360" w:lineRule="auto"/>
        <w:ind w:firstLine="480" w:firstLineChars="200"/>
        <w:rPr>
          <w:color w:val="000000"/>
          <w:sz w:val="24"/>
          <w:szCs w:val="24"/>
        </w:rPr>
      </w:pPr>
    </w:p>
    <w:p>
      <w:pPr>
        <w:spacing w:line="360" w:lineRule="auto"/>
        <w:ind w:firstLine="480" w:firstLineChars="200"/>
        <w:jc w:val="right"/>
        <w:rPr>
          <w:color w:val="000000"/>
          <w:sz w:val="24"/>
          <w:szCs w:val="24"/>
        </w:rPr>
      </w:pPr>
      <w:r>
        <w:rPr>
          <w:rFonts w:hint="eastAsia" w:ascii="黑体" w:hAnsi="黑体" w:eastAsia="黑体"/>
          <w:color w:val="000000"/>
          <w:sz w:val="24"/>
          <w:szCs w:val="24"/>
        </w:rPr>
        <w:t>投标人：</w:t>
      </w:r>
      <w:r>
        <w:rPr>
          <w:rFonts w:hint="eastAsia" w:ascii="宋体" w:hAnsi="宋体"/>
          <w:color w:val="000000"/>
          <w:sz w:val="24"/>
          <w:szCs w:val="24"/>
        </w:rPr>
        <w:t>（盖单位章）</w:t>
      </w:r>
    </w:p>
    <w:p>
      <w:pPr>
        <w:spacing w:beforeLines="50" w:afterLines="50" w:line="360" w:lineRule="auto"/>
        <w:jc w:val="right"/>
        <w:rPr>
          <w:color w:val="000000"/>
          <w:sz w:val="24"/>
          <w:szCs w:val="24"/>
        </w:rPr>
      </w:pPr>
      <w:r>
        <w:rPr>
          <w:rFonts w:hint="eastAsia" w:ascii="黑体" w:hAnsi="黑体" w:eastAsia="黑体"/>
          <w:color w:val="000000"/>
          <w:sz w:val="24"/>
          <w:szCs w:val="24"/>
        </w:rPr>
        <w:t>法定代表人或其委托代理人：</w:t>
      </w:r>
      <w:r>
        <w:rPr>
          <w:rFonts w:hint="eastAsia" w:ascii="宋体" w:hAnsi="宋体"/>
          <w:color w:val="000000"/>
          <w:sz w:val="24"/>
          <w:szCs w:val="24"/>
        </w:rPr>
        <w:t>（</w:t>
      </w:r>
      <w:r>
        <w:rPr>
          <w:rFonts w:hint="eastAsia" w:ascii="宋体" w:hAnsi="宋体"/>
          <w:kern w:val="0"/>
          <w:sz w:val="24"/>
          <w:szCs w:val="24"/>
        </w:rPr>
        <w:t>签字或盖章</w:t>
      </w:r>
      <w:r>
        <w:rPr>
          <w:rFonts w:hint="eastAsia" w:ascii="宋体" w:hAnsi="宋体"/>
          <w:color w:val="000000"/>
          <w:sz w:val="24"/>
          <w:szCs w:val="24"/>
        </w:rPr>
        <w:t>）</w:t>
      </w:r>
    </w:p>
    <w:p>
      <w:pPr>
        <w:spacing w:line="360" w:lineRule="auto"/>
        <w:ind w:firstLine="3840" w:firstLineChars="1600"/>
        <w:rPr>
          <w:color w:val="000000"/>
          <w:sz w:val="24"/>
          <w:szCs w:val="24"/>
        </w:rPr>
      </w:pPr>
      <w:r>
        <w:rPr>
          <w:rFonts w:hint="eastAsia" w:ascii="宋体" w:hAnsi="宋体"/>
          <w:color w:val="000000"/>
          <w:sz w:val="24"/>
          <w:szCs w:val="24"/>
        </w:rPr>
        <w:t>年月日</w:t>
      </w:r>
    </w:p>
    <w:p>
      <w:pPr>
        <w:spacing w:line="360" w:lineRule="auto"/>
        <w:jc w:val="center"/>
        <w:rPr>
          <w:rFonts w:ascii="宋体" w:hAnsi="宋体" w:cs="宋体"/>
          <w:kern w:val="0"/>
        </w:rPr>
      </w:pPr>
      <w:r>
        <w:rPr>
          <w:color w:val="000000"/>
        </w:rPr>
        <w:br w:type="page"/>
      </w:r>
      <w:r>
        <w:rPr>
          <w:rFonts w:hint="eastAsia" w:ascii="宋体" w:hAnsi="宋体" w:cs="宋体"/>
          <w:b/>
          <w:bCs/>
          <w:kern w:val="0"/>
          <w:sz w:val="36"/>
          <w:szCs w:val="36"/>
        </w:rPr>
        <w:t>第三章评标办法（综合评标法）</w:t>
      </w:r>
      <w:bookmarkEnd w:id="209"/>
    </w:p>
    <w:p>
      <w:pPr>
        <w:adjustRightInd w:val="0"/>
        <w:snapToGrid w:val="0"/>
        <w:spacing w:line="360" w:lineRule="auto"/>
        <w:rPr>
          <w:rFonts w:ascii="宋体" w:hAnsi="宋体" w:cs="宋体"/>
          <w:b/>
          <w:sz w:val="24"/>
        </w:rPr>
      </w:pPr>
      <w:bookmarkStart w:id="210" w:name="_Toc397507672"/>
      <w:bookmarkEnd w:id="210"/>
      <w:r>
        <w:rPr>
          <w:rFonts w:hint="eastAsia" w:ascii="宋体" w:hAnsi="宋体" w:cs="宋体"/>
          <w:b/>
          <w:sz w:val="24"/>
        </w:rPr>
        <w:t>一、评标应遵循公正、公平、择优的原则严格按照招标文件进行。</w:t>
      </w:r>
    </w:p>
    <w:p>
      <w:pPr>
        <w:autoSpaceDE w:val="0"/>
        <w:autoSpaceDN w:val="0"/>
        <w:spacing w:line="360" w:lineRule="auto"/>
        <w:contextualSpacing/>
        <w:jc w:val="left"/>
        <w:outlineLvl w:val="0"/>
        <w:rPr>
          <w:rFonts w:ascii="宋体" w:hAnsi="宋体" w:cs="宋体"/>
          <w:b/>
          <w:sz w:val="24"/>
        </w:rPr>
      </w:pPr>
      <w:r>
        <w:rPr>
          <w:rFonts w:hint="eastAsia" w:ascii="宋体" w:hAnsi="宋体" w:cs="宋体"/>
          <w:b/>
          <w:sz w:val="24"/>
        </w:rPr>
        <w:t>二、评标由招标人依法组建的评标委员会负责</w:t>
      </w:r>
    </w:p>
    <w:p>
      <w:pPr>
        <w:autoSpaceDE w:val="0"/>
        <w:autoSpaceDN w:val="0"/>
        <w:spacing w:line="360" w:lineRule="auto"/>
        <w:ind w:firstLine="480" w:firstLineChars="200"/>
        <w:contextualSpacing/>
        <w:jc w:val="left"/>
        <w:outlineLvl w:val="0"/>
        <w:rPr>
          <w:rFonts w:ascii="宋体" w:hAnsi="宋体" w:cs="宋体"/>
          <w:sz w:val="24"/>
        </w:rPr>
      </w:pPr>
      <w:r>
        <w:rPr>
          <w:rFonts w:hint="eastAsia" w:ascii="宋体" w:hAnsi="宋体" w:cs="宋体"/>
          <w:sz w:val="24"/>
        </w:rPr>
        <w:t>（一）评标委员会的组成：</w:t>
      </w:r>
    </w:p>
    <w:p>
      <w:pPr>
        <w:autoSpaceDE w:val="0"/>
        <w:autoSpaceDN w:val="0"/>
        <w:spacing w:line="360" w:lineRule="auto"/>
        <w:ind w:firstLine="480" w:firstLineChars="200"/>
        <w:contextualSpacing/>
        <w:jc w:val="left"/>
        <w:outlineLvl w:val="0"/>
        <w:rPr>
          <w:rFonts w:ascii="宋体" w:hAnsi="宋体" w:cs="宋体"/>
          <w:sz w:val="24"/>
        </w:rPr>
      </w:pPr>
      <w:r>
        <w:rPr>
          <w:rFonts w:hint="eastAsia" w:ascii="宋体" w:hAnsi="宋体" w:cs="宋体"/>
          <w:color w:val="000000" w:themeColor="text1"/>
          <w:kern w:val="0"/>
          <w:sz w:val="24"/>
          <w:szCs w:val="24"/>
          <w14:textFill>
            <w14:solidFill>
              <w14:schemeClr w14:val="tx1"/>
            </w14:solidFill>
          </w14:textFill>
        </w:rPr>
        <w:t>评标委员会构成：5人，其中招标人代表1人，其余4人由经济、技术类专家组成（含注册造价工程师2人）。经济技术类专家开标前从河南省综合评标专家库中随机抽取，与投标人有利害关系的人不得进入评标委员会，已进入的应当更换。</w:t>
      </w:r>
      <w:r>
        <w:rPr>
          <w:rFonts w:ascii="宋体" w:hAnsi="宋体" w:cs="宋体"/>
          <w:color w:val="000000" w:themeColor="text1"/>
          <w:kern w:val="0"/>
          <w:sz w:val="24"/>
          <w:szCs w:val="24"/>
          <w14:textFill>
            <w14:solidFill>
              <w14:schemeClr w14:val="tx1"/>
            </w14:solidFill>
          </w14:textFill>
        </w:rPr>
        <w:t>评标委员会设负责人的，评标委员会负责人由评标委员会成员推举产生。评标委员会负责人与评标委员会的其他成员有同等的表决权</w:t>
      </w:r>
      <w:r>
        <w:rPr>
          <w:rFonts w:ascii="宋体" w:hAnsi="宋体" w:cs="宋体"/>
          <w:kern w:val="0"/>
          <w:sz w:val="24"/>
          <w:szCs w:val="24"/>
        </w:rPr>
        <w:t>。</w:t>
      </w:r>
      <w:r>
        <w:rPr>
          <w:rFonts w:hint="eastAsia" w:ascii="宋体" w:hAnsi="宋体" w:cs="宋体"/>
          <w:sz w:val="24"/>
        </w:rPr>
        <w:t>评标委员会成员中的招标人代表应持招标单位有明确授权事项的授权书、身份证和身份证复印件（须加盖招标单位公章）经监督人员审验并履行相关程序后进入指定评标室。</w:t>
      </w:r>
    </w:p>
    <w:p>
      <w:pPr>
        <w:autoSpaceDE w:val="0"/>
        <w:autoSpaceDN w:val="0"/>
        <w:spacing w:line="360" w:lineRule="auto"/>
        <w:ind w:firstLine="480" w:firstLineChars="200"/>
        <w:contextualSpacing/>
        <w:jc w:val="left"/>
        <w:outlineLvl w:val="0"/>
        <w:rPr>
          <w:rFonts w:ascii="宋体" w:hAnsi="宋体" w:cs="宋体"/>
          <w:sz w:val="24"/>
        </w:rPr>
      </w:pPr>
      <w:r>
        <w:rPr>
          <w:rFonts w:hint="eastAsia" w:ascii="宋体" w:hAnsi="宋体" w:cs="宋体"/>
          <w:sz w:val="24"/>
        </w:rPr>
        <w:t>（二）评标委员会成员的回避：</w:t>
      </w:r>
    </w:p>
    <w:p>
      <w:pPr>
        <w:autoSpaceDE w:val="0"/>
        <w:autoSpaceDN w:val="0"/>
        <w:spacing w:line="360" w:lineRule="auto"/>
        <w:ind w:firstLine="480" w:firstLineChars="200"/>
        <w:contextualSpacing/>
        <w:jc w:val="left"/>
        <w:outlineLvl w:val="0"/>
        <w:rPr>
          <w:rFonts w:ascii="宋体" w:hAnsi="宋体" w:cs="宋体"/>
          <w:sz w:val="24"/>
        </w:rPr>
      </w:pPr>
      <w:r>
        <w:rPr>
          <w:rFonts w:hint="eastAsia" w:ascii="宋体" w:hAnsi="宋体" w:cs="宋体"/>
          <w:sz w:val="24"/>
        </w:rPr>
        <w:t>有下列情形之一的，不得担任评标委员会成员：</w:t>
      </w:r>
    </w:p>
    <w:p>
      <w:pPr>
        <w:autoSpaceDE w:val="0"/>
        <w:autoSpaceDN w:val="0"/>
        <w:spacing w:line="360" w:lineRule="auto"/>
        <w:ind w:firstLine="480" w:firstLineChars="200"/>
        <w:contextualSpacing/>
        <w:jc w:val="left"/>
        <w:outlineLvl w:val="0"/>
        <w:rPr>
          <w:rFonts w:ascii="宋体" w:hAnsi="宋体" w:cs="宋体"/>
          <w:sz w:val="24"/>
        </w:rPr>
      </w:pPr>
      <w:r>
        <w:rPr>
          <w:rFonts w:hint="eastAsia" w:ascii="宋体" w:hAnsi="宋体" w:cs="宋体"/>
          <w:sz w:val="24"/>
        </w:rPr>
        <w:t>1、投标人或者投标人主要负责人的近亲属；</w:t>
      </w:r>
    </w:p>
    <w:p>
      <w:pPr>
        <w:autoSpaceDE w:val="0"/>
        <w:autoSpaceDN w:val="0"/>
        <w:spacing w:line="360" w:lineRule="auto"/>
        <w:ind w:firstLine="480" w:firstLineChars="200"/>
        <w:contextualSpacing/>
        <w:jc w:val="left"/>
        <w:outlineLvl w:val="0"/>
        <w:rPr>
          <w:rFonts w:ascii="宋体" w:hAnsi="宋体" w:cs="宋体"/>
          <w:sz w:val="24"/>
        </w:rPr>
      </w:pPr>
      <w:r>
        <w:rPr>
          <w:rFonts w:hint="eastAsia" w:ascii="宋体" w:hAnsi="宋体" w:cs="宋体"/>
          <w:sz w:val="24"/>
        </w:rPr>
        <w:t>2、项目主管部门或者行政监督部门的人员；</w:t>
      </w:r>
    </w:p>
    <w:p>
      <w:pPr>
        <w:autoSpaceDE w:val="0"/>
        <w:autoSpaceDN w:val="0"/>
        <w:spacing w:line="360" w:lineRule="auto"/>
        <w:ind w:firstLine="480" w:firstLineChars="200"/>
        <w:contextualSpacing/>
        <w:jc w:val="left"/>
        <w:outlineLvl w:val="0"/>
        <w:rPr>
          <w:rFonts w:ascii="宋体" w:hAnsi="宋体" w:cs="宋体"/>
          <w:sz w:val="24"/>
        </w:rPr>
      </w:pPr>
      <w:r>
        <w:rPr>
          <w:rFonts w:hint="eastAsia" w:ascii="宋体" w:hAnsi="宋体" w:cs="宋体"/>
          <w:sz w:val="24"/>
        </w:rPr>
        <w:t>3、与投标人有经济利益关系，可能影响对投标公正评审的；</w:t>
      </w:r>
    </w:p>
    <w:p>
      <w:pPr>
        <w:autoSpaceDE w:val="0"/>
        <w:autoSpaceDN w:val="0"/>
        <w:spacing w:line="360" w:lineRule="auto"/>
        <w:ind w:firstLine="480" w:firstLineChars="200"/>
        <w:contextualSpacing/>
        <w:jc w:val="left"/>
        <w:outlineLvl w:val="0"/>
        <w:rPr>
          <w:rFonts w:ascii="宋体" w:hAnsi="宋体" w:cs="宋体"/>
          <w:sz w:val="24"/>
        </w:rPr>
      </w:pPr>
      <w:r>
        <w:rPr>
          <w:rFonts w:hint="eastAsia" w:ascii="宋体" w:hAnsi="宋体" w:cs="宋体"/>
          <w:sz w:val="24"/>
        </w:rPr>
        <w:t>4、曾因在招标、评标以及其他与招标投标有关活动中从事违法行为而受过行政处罚或刑事处罚的。</w:t>
      </w:r>
    </w:p>
    <w:p>
      <w:pPr>
        <w:autoSpaceDE w:val="0"/>
        <w:autoSpaceDN w:val="0"/>
        <w:spacing w:line="360" w:lineRule="auto"/>
        <w:ind w:firstLine="480" w:firstLineChars="200"/>
        <w:contextualSpacing/>
        <w:jc w:val="left"/>
        <w:outlineLvl w:val="0"/>
        <w:rPr>
          <w:rFonts w:ascii="宋体" w:hAnsi="宋体" w:cs="宋体"/>
          <w:sz w:val="24"/>
        </w:rPr>
      </w:pPr>
      <w:r>
        <w:rPr>
          <w:rFonts w:hint="eastAsia" w:ascii="宋体" w:hAnsi="宋体" w:cs="宋体"/>
          <w:sz w:val="24"/>
        </w:rPr>
        <w:t>评标委员会成员有前款规定情形之一的，应当主动提出回避。</w:t>
      </w:r>
    </w:p>
    <w:p>
      <w:pPr>
        <w:autoSpaceDE w:val="0"/>
        <w:autoSpaceDN w:val="0"/>
        <w:spacing w:line="360" w:lineRule="auto"/>
        <w:contextualSpacing/>
        <w:jc w:val="left"/>
        <w:outlineLvl w:val="0"/>
        <w:rPr>
          <w:rFonts w:ascii="宋体" w:hAnsi="宋体" w:cs="宋体"/>
          <w:b/>
          <w:sz w:val="24"/>
        </w:rPr>
      </w:pPr>
      <w:r>
        <w:rPr>
          <w:rFonts w:hint="eastAsia" w:ascii="宋体" w:hAnsi="宋体" w:cs="宋体"/>
          <w:b/>
          <w:sz w:val="24"/>
        </w:rPr>
        <w:t>三、评标程序为：</w:t>
      </w:r>
    </w:p>
    <w:p>
      <w:pPr>
        <w:autoSpaceDE w:val="0"/>
        <w:autoSpaceDN w:val="0"/>
        <w:spacing w:line="360" w:lineRule="auto"/>
        <w:ind w:firstLine="480" w:firstLineChars="200"/>
        <w:contextualSpacing/>
        <w:jc w:val="left"/>
        <w:outlineLvl w:val="0"/>
        <w:rPr>
          <w:rFonts w:ascii="宋体" w:hAnsi="宋体" w:cs="宋体"/>
          <w:sz w:val="24"/>
        </w:rPr>
      </w:pPr>
      <w:r>
        <w:rPr>
          <w:rFonts w:hint="eastAsia" w:ascii="宋体" w:hAnsi="宋体" w:cs="宋体"/>
          <w:sz w:val="24"/>
        </w:rPr>
        <w:t>（1）清标；</w:t>
      </w:r>
    </w:p>
    <w:p>
      <w:pPr>
        <w:autoSpaceDE w:val="0"/>
        <w:autoSpaceDN w:val="0"/>
        <w:spacing w:line="360" w:lineRule="auto"/>
        <w:ind w:firstLine="480" w:firstLineChars="200"/>
        <w:contextualSpacing/>
        <w:jc w:val="left"/>
        <w:outlineLvl w:val="0"/>
        <w:rPr>
          <w:rFonts w:ascii="宋体" w:hAnsi="宋体" w:cs="宋体"/>
          <w:sz w:val="24"/>
        </w:rPr>
      </w:pPr>
      <w:r>
        <w:rPr>
          <w:rFonts w:hint="eastAsia" w:ascii="宋体" w:hAnsi="宋体" w:cs="宋体"/>
          <w:sz w:val="24"/>
        </w:rPr>
        <w:t>（2）初步评审；</w:t>
      </w:r>
    </w:p>
    <w:p>
      <w:pPr>
        <w:autoSpaceDE w:val="0"/>
        <w:autoSpaceDN w:val="0"/>
        <w:spacing w:line="360" w:lineRule="auto"/>
        <w:ind w:firstLine="480" w:firstLineChars="200"/>
        <w:contextualSpacing/>
        <w:jc w:val="left"/>
        <w:outlineLvl w:val="0"/>
        <w:rPr>
          <w:rFonts w:ascii="宋体" w:hAnsi="宋体" w:cs="宋体"/>
          <w:sz w:val="24"/>
        </w:rPr>
      </w:pPr>
      <w:r>
        <w:rPr>
          <w:rFonts w:hint="eastAsia" w:ascii="宋体" w:hAnsi="宋体" w:cs="宋体"/>
          <w:sz w:val="24"/>
        </w:rPr>
        <w:t>（3）详细评审；</w:t>
      </w:r>
    </w:p>
    <w:p>
      <w:pPr>
        <w:autoSpaceDE w:val="0"/>
        <w:autoSpaceDN w:val="0"/>
        <w:spacing w:line="360" w:lineRule="auto"/>
        <w:ind w:firstLine="480" w:firstLineChars="200"/>
        <w:contextualSpacing/>
        <w:jc w:val="left"/>
        <w:outlineLvl w:val="0"/>
        <w:rPr>
          <w:rFonts w:ascii="宋体" w:hAnsi="宋体" w:cs="宋体"/>
          <w:sz w:val="24"/>
        </w:rPr>
      </w:pPr>
      <w:r>
        <w:rPr>
          <w:rFonts w:hint="eastAsia" w:ascii="宋体" w:hAnsi="宋体" w:cs="宋体"/>
          <w:sz w:val="24"/>
        </w:rPr>
        <w:t>（4）问题的澄清、说明或补正；</w:t>
      </w:r>
    </w:p>
    <w:p>
      <w:pPr>
        <w:autoSpaceDE w:val="0"/>
        <w:autoSpaceDN w:val="0"/>
        <w:spacing w:line="360" w:lineRule="auto"/>
        <w:ind w:firstLine="480" w:firstLineChars="200"/>
        <w:contextualSpacing/>
        <w:jc w:val="left"/>
        <w:outlineLvl w:val="0"/>
        <w:rPr>
          <w:rFonts w:ascii="宋体" w:hAnsi="宋体" w:cs="宋体"/>
          <w:sz w:val="24"/>
        </w:rPr>
      </w:pPr>
      <w:r>
        <w:rPr>
          <w:rFonts w:hint="eastAsia" w:ascii="宋体" w:hAnsi="宋体" w:cs="宋体"/>
          <w:sz w:val="24"/>
        </w:rPr>
        <w:t>（5）推荐中标候选人；</w:t>
      </w:r>
    </w:p>
    <w:p>
      <w:pPr>
        <w:autoSpaceDE w:val="0"/>
        <w:autoSpaceDN w:val="0"/>
        <w:spacing w:line="360" w:lineRule="auto"/>
        <w:ind w:firstLine="480" w:firstLineChars="200"/>
        <w:contextualSpacing/>
        <w:jc w:val="left"/>
        <w:outlineLvl w:val="0"/>
        <w:rPr>
          <w:rFonts w:ascii="宋体" w:hAnsi="宋体" w:cs="宋体"/>
          <w:sz w:val="24"/>
        </w:rPr>
      </w:pPr>
      <w:r>
        <w:rPr>
          <w:rFonts w:hint="eastAsia" w:ascii="宋体" w:hAnsi="宋体" w:cs="宋体"/>
          <w:sz w:val="24"/>
        </w:rPr>
        <w:t>（6）推荐的中标候选人结果在指定媒体上进行公示。</w:t>
      </w:r>
    </w:p>
    <w:p>
      <w:pPr>
        <w:autoSpaceDE w:val="0"/>
        <w:autoSpaceDN w:val="0"/>
        <w:spacing w:line="360" w:lineRule="auto"/>
        <w:contextualSpacing/>
        <w:jc w:val="left"/>
        <w:outlineLvl w:val="0"/>
        <w:rPr>
          <w:rFonts w:ascii="宋体" w:hAnsi="宋体" w:cs="宋体"/>
          <w:b/>
          <w:bCs/>
          <w:sz w:val="24"/>
          <w:szCs w:val="24"/>
        </w:rPr>
      </w:pPr>
      <w:r>
        <w:rPr>
          <w:rFonts w:hint="eastAsia" w:ascii="宋体" w:hAnsi="宋体" w:cs="宋体"/>
          <w:b/>
          <w:sz w:val="24"/>
        </w:rPr>
        <w:t>四、清标</w:t>
      </w:r>
    </w:p>
    <w:p>
      <w:pPr>
        <w:autoSpaceDE w:val="0"/>
        <w:autoSpaceDN w:val="0"/>
        <w:spacing w:line="360" w:lineRule="auto"/>
        <w:ind w:firstLine="482" w:firstLineChars="200"/>
        <w:contextualSpacing/>
        <w:jc w:val="left"/>
        <w:outlineLvl w:val="0"/>
        <w:rPr>
          <w:rFonts w:ascii="宋体" w:hAnsi="宋体" w:cs="宋体"/>
          <w:b/>
          <w:bCs/>
          <w:sz w:val="24"/>
          <w:szCs w:val="24"/>
        </w:rPr>
      </w:pPr>
      <w:r>
        <w:rPr>
          <w:rFonts w:hint="eastAsia" w:ascii="宋体" w:hAnsi="宋体" w:cs="宋体"/>
          <w:b/>
          <w:bCs/>
          <w:sz w:val="24"/>
          <w:szCs w:val="24"/>
        </w:rPr>
        <w:t>先由评标委员会在商务标清标系统的辅助下对投标文件进行基础性数据分析和整理（清标内容见下表），形成清标成果。</w:t>
      </w:r>
    </w:p>
    <w:p>
      <w:pPr>
        <w:spacing w:line="360" w:lineRule="auto"/>
        <w:ind w:firstLine="480" w:firstLineChars="200"/>
        <w:contextualSpacing/>
        <w:rPr>
          <w:rFonts w:ascii="宋体" w:hAnsi="宋体" w:cs="宋体"/>
          <w:sz w:val="24"/>
          <w:szCs w:val="24"/>
        </w:rPr>
      </w:pPr>
      <w:r>
        <w:rPr>
          <w:rFonts w:hint="eastAsia" w:ascii="宋体" w:hAnsi="宋体" w:cs="宋体"/>
          <w:sz w:val="24"/>
          <w:szCs w:val="24"/>
        </w:rPr>
        <w:t>出现否定事项的，评标委员会不再对其质询，直接作为无效投标处理（但法律法规规定的细微偏差除外）。</w:t>
      </w:r>
    </w:p>
    <w:p>
      <w:pPr>
        <w:spacing w:line="360" w:lineRule="auto"/>
        <w:ind w:firstLine="480" w:firstLineChars="200"/>
        <w:contextualSpacing/>
        <w:rPr>
          <w:rFonts w:ascii="宋体" w:hAnsi="宋体" w:cs="宋体"/>
          <w:sz w:val="24"/>
          <w:szCs w:val="24"/>
        </w:rPr>
      </w:pPr>
      <w:r>
        <w:rPr>
          <w:rFonts w:hint="eastAsia" w:ascii="宋体" w:hAnsi="宋体" w:cs="宋体"/>
          <w:sz w:val="24"/>
          <w:szCs w:val="24"/>
        </w:rPr>
        <w:t>细微偏差是指投标文件在实质上响应招标文件要求，但在个别地方存在漏项或者提供了不完整的技术信息和数据等情况，并且补正这些漏项或者不完整不会对其他投标人造成不公平的结果。细微偏差不影响投标文件的有效性。</w:t>
      </w:r>
    </w:p>
    <w:p>
      <w:pPr>
        <w:spacing w:line="360" w:lineRule="auto"/>
        <w:ind w:firstLine="480" w:firstLineChars="200"/>
        <w:contextualSpacing/>
        <w:rPr>
          <w:rFonts w:ascii="宋体" w:hAnsi="宋体" w:cs="宋体"/>
          <w:sz w:val="24"/>
          <w:szCs w:val="24"/>
        </w:rPr>
      </w:pPr>
      <w:r>
        <w:rPr>
          <w:rFonts w:hint="eastAsia" w:ascii="宋体" w:hAnsi="宋体" w:cs="宋体"/>
          <w:sz w:val="24"/>
          <w:szCs w:val="24"/>
        </w:rPr>
        <w:t>评标委员会应当书面要求存在细微偏差的投标人在评标结束前予以补正。拒不补正的，在详细评审时评标委员会将否决其投标。</w:t>
      </w:r>
    </w:p>
    <w:p>
      <w:pPr>
        <w:spacing w:line="360" w:lineRule="auto"/>
        <w:ind w:firstLine="480" w:firstLineChars="200"/>
        <w:contextualSpacing/>
        <w:rPr>
          <w:rFonts w:ascii="宋体" w:hAnsi="宋体" w:cs="宋体"/>
          <w:sz w:val="24"/>
          <w:szCs w:val="24"/>
        </w:rPr>
      </w:pPr>
      <w:r>
        <w:rPr>
          <w:rFonts w:hint="eastAsia" w:ascii="宋体" w:hAnsi="宋体" w:cs="宋体"/>
          <w:sz w:val="24"/>
          <w:szCs w:val="24"/>
        </w:rPr>
        <w:t>投标文件存在下列情形之一的，按废标处理：</w:t>
      </w:r>
    </w:p>
    <w:p>
      <w:pPr>
        <w:spacing w:line="360" w:lineRule="auto"/>
        <w:ind w:firstLine="480" w:firstLineChars="200"/>
        <w:contextualSpacing/>
        <w:jc w:val="left"/>
        <w:rPr>
          <w:rFonts w:ascii="宋体" w:hAnsi="宋体" w:cs="宋体"/>
          <w:sz w:val="24"/>
          <w:szCs w:val="24"/>
        </w:rPr>
      </w:pPr>
      <w:r>
        <w:rPr>
          <w:rFonts w:hint="eastAsia" w:ascii="宋体" w:hAnsi="宋体" w:cs="宋体"/>
          <w:sz w:val="24"/>
          <w:szCs w:val="24"/>
        </w:rPr>
        <w:t>1.未按招标文件规定编制各项报价的；</w:t>
      </w:r>
    </w:p>
    <w:p>
      <w:pPr>
        <w:spacing w:line="360" w:lineRule="auto"/>
        <w:ind w:firstLine="480" w:firstLineChars="200"/>
        <w:contextualSpacing/>
        <w:jc w:val="left"/>
        <w:rPr>
          <w:rFonts w:ascii="宋体" w:hAnsi="宋体" w:cs="宋体"/>
          <w:sz w:val="24"/>
          <w:szCs w:val="24"/>
        </w:rPr>
      </w:pPr>
      <w:r>
        <w:rPr>
          <w:rFonts w:hint="eastAsia" w:ascii="宋体" w:hAnsi="宋体" w:cs="宋体"/>
          <w:sz w:val="24"/>
          <w:szCs w:val="24"/>
        </w:rPr>
        <w:t>2.投标总报价与其组成部分、工程量清单项目合价与综合单价、综合单价与人材机用量相互矛盾，致使评标委员会无法正常评审判定的；</w:t>
      </w:r>
    </w:p>
    <w:p>
      <w:pPr>
        <w:spacing w:line="360" w:lineRule="auto"/>
        <w:ind w:firstLine="480" w:firstLineChars="200"/>
        <w:contextualSpacing/>
        <w:jc w:val="left"/>
        <w:rPr>
          <w:rFonts w:ascii="宋体" w:hAnsi="宋体" w:cs="宋体"/>
          <w:sz w:val="24"/>
          <w:szCs w:val="24"/>
        </w:rPr>
      </w:pPr>
      <w:r>
        <w:rPr>
          <w:rFonts w:hint="eastAsia" w:ascii="宋体" w:hAnsi="宋体" w:cs="宋体"/>
          <w:sz w:val="24"/>
          <w:szCs w:val="24"/>
        </w:rPr>
        <w:t>3.规费和税金、安全文明施工措施费违背工程造价管理规定的；</w:t>
      </w:r>
    </w:p>
    <w:p>
      <w:pPr>
        <w:spacing w:line="360" w:lineRule="auto"/>
        <w:ind w:firstLine="480" w:firstLineChars="200"/>
        <w:contextualSpacing/>
        <w:jc w:val="left"/>
        <w:rPr>
          <w:rFonts w:ascii="宋体" w:hAnsi="宋体" w:cs="宋体"/>
          <w:sz w:val="24"/>
          <w:szCs w:val="24"/>
        </w:rPr>
      </w:pPr>
      <w:r>
        <w:rPr>
          <w:rFonts w:hint="eastAsia" w:ascii="宋体" w:hAnsi="宋体" w:cs="宋体"/>
          <w:sz w:val="24"/>
          <w:szCs w:val="24"/>
        </w:rPr>
        <w:t>4.分部分项工程项目、措施项目报价中的项目编码、项目名称、项目特征、计量单位和工程量与招标文件的清单不一致的；</w:t>
      </w:r>
    </w:p>
    <w:p>
      <w:pPr>
        <w:spacing w:line="360" w:lineRule="auto"/>
        <w:ind w:firstLine="480" w:firstLineChars="200"/>
        <w:contextualSpacing/>
        <w:jc w:val="left"/>
        <w:rPr>
          <w:rFonts w:ascii="宋体" w:hAnsi="宋体" w:cs="宋体"/>
          <w:sz w:val="24"/>
          <w:szCs w:val="24"/>
        </w:rPr>
      </w:pPr>
      <w:r>
        <w:rPr>
          <w:rFonts w:hint="eastAsia" w:ascii="宋体" w:hAnsi="宋体" w:cs="宋体"/>
          <w:sz w:val="24"/>
          <w:szCs w:val="24"/>
        </w:rPr>
        <w:t>5.未按照暂列金额或者暂估价编制投标报价的。</w:t>
      </w:r>
    </w:p>
    <w:p>
      <w:pPr>
        <w:spacing w:line="360" w:lineRule="auto"/>
        <w:ind w:firstLine="480" w:firstLineChars="200"/>
        <w:rPr>
          <w:rFonts w:ascii="宋体" w:hAnsi="宋体" w:cs="宋体"/>
          <w:b/>
          <w:bCs/>
          <w:sz w:val="24"/>
          <w:szCs w:val="24"/>
        </w:rPr>
      </w:pPr>
      <w:r>
        <w:rPr>
          <w:rFonts w:hint="eastAsia" w:ascii="宋体" w:hAnsi="宋体" w:cs="宋体"/>
          <w:sz w:val="24"/>
          <w:szCs w:val="24"/>
        </w:rPr>
        <w:t>评标委员会否决投标时应审慎。因招标文件或工程量清单表述歧义或逻辑错误等原因，造成投标文件表述不一致的，不作为否决投标的因素，投标人明显打字或排版错误且不影响实质内容的，评标委员会可要求投标人作出书面澄清、说明或补正，不予以否决投标。</w:t>
      </w:r>
    </w:p>
    <w:p>
      <w:pPr>
        <w:spacing w:line="360" w:lineRule="auto"/>
        <w:ind w:firstLine="482" w:firstLineChars="200"/>
        <w:contextualSpacing/>
        <w:jc w:val="center"/>
        <w:rPr>
          <w:rFonts w:ascii="宋体" w:hAnsi="宋体" w:cs="宋体"/>
          <w:b/>
          <w:bCs/>
          <w:sz w:val="24"/>
          <w:szCs w:val="24"/>
        </w:rPr>
      </w:pPr>
      <w:r>
        <w:rPr>
          <w:rFonts w:hint="eastAsia" w:ascii="宋体" w:hAnsi="宋体" w:cs="宋体"/>
          <w:b/>
          <w:bCs/>
          <w:sz w:val="24"/>
          <w:szCs w:val="24"/>
        </w:rPr>
        <w:t>商务标清标内容</w:t>
      </w:r>
    </w:p>
    <w:tbl>
      <w:tblPr>
        <w:tblStyle w:val="16"/>
        <w:tblW w:w="9871" w:type="dxa"/>
        <w:jc w:val="center"/>
        <w:tblLayout w:type="fixed"/>
        <w:tblCellMar>
          <w:top w:w="0" w:type="dxa"/>
          <w:left w:w="108" w:type="dxa"/>
          <w:bottom w:w="0" w:type="dxa"/>
          <w:right w:w="108" w:type="dxa"/>
        </w:tblCellMar>
      </w:tblPr>
      <w:tblGrid>
        <w:gridCol w:w="525"/>
        <w:gridCol w:w="645"/>
        <w:gridCol w:w="3698"/>
        <w:gridCol w:w="3645"/>
        <w:gridCol w:w="698"/>
        <w:gridCol w:w="660"/>
      </w:tblGrid>
      <w:tr>
        <w:tblPrEx>
          <w:tblCellMar>
            <w:top w:w="0" w:type="dxa"/>
            <w:left w:w="108" w:type="dxa"/>
            <w:bottom w:w="0" w:type="dxa"/>
            <w:right w:w="108" w:type="dxa"/>
          </w:tblCellMar>
        </w:tblPrEx>
        <w:trPr>
          <w:trHeight w:val="282" w:hRule="atLeast"/>
          <w:jc w:val="center"/>
        </w:trPr>
        <w:tc>
          <w:tcPr>
            <w:tcW w:w="1170"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2"/>
                <w:szCs w:val="20"/>
              </w:rPr>
            </w:pPr>
            <w:bookmarkStart w:id="211" w:name="_Toc464824721"/>
            <w:bookmarkEnd w:id="211"/>
            <w:bookmarkStart w:id="212" w:name="_Toc31423"/>
            <w:r>
              <w:rPr>
                <w:rFonts w:hint="eastAsia" w:ascii="宋体" w:hAnsi="宋体" w:cs="宋体"/>
                <w:sz w:val="22"/>
                <w:szCs w:val="20"/>
              </w:rPr>
              <w:t>序号</w:t>
            </w:r>
          </w:p>
        </w:tc>
        <w:tc>
          <w:tcPr>
            <w:tcW w:w="3698" w:type="dxa"/>
            <w:vMerge w:val="restart"/>
            <w:tcBorders>
              <w:top w:val="single" w:color="auto" w:sz="4" w:space="0"/>
              <w:left w:val="nil"/>
              <w:bottom w:val="single" w:color="auto" w:sz="4" w:space="0"/>
              <w:right w:val="single" w:color="auto" w:sz="4" w:space="0"/>
            </w:tcBorders>
            <w:vAlign w:val="center"/>
          </w:tcPr>
          <w:p>
            <w:pPr>
              <w:spacing w:line="360" w:lineRule="auto"/>
              <w:ind w:firstLine="440" w:firstLineChars="200"/>
              <w:jc w:val="center"/>
              <w:rPr>
                <w:rFonts w:ascii="宋体" w:hAnsi="宋体" w:cs="宋体"/>
                <w:sz w:val="22"/>
                <w:szCs w:val="20"/>
              </w:rPr>
            </w:pPr>
            <w:r>
              <w:rPr>
                <w:rFonts w:hint="eastAsia" w:ascii="宋体" w:hAnsi="宋体" w:cs="宋体"/>
                <w:sz w:val="22"/>
                <w:szCs w:val="20"/>
              </w:rPr>
              <w:t>清标项目</w:t>
            </w:r>
          </w:p>
        </w:tc>
        <w:tc>
          <w:tcPr>
            <w:tcW w:w="3645" w:type="dxa"/>
            <w:vMerge w:val="restart"/>
            <w:tcBorders>
              <w:top w:val="single" w:color="auto" w:sz="4" w:space="0"/>
              <w:left w:val="nil"/>
              <w:bottom w:val="single" w:color="auto" w:sz="4" w:space="0"/>
              <w:right w:val="single" w:color="auto" w:sz="4" w:space="0"/>
            </w:tcBorders>
            <w:vAlign w:val="center"/>
          </w:tcPr>
          <w:p>
            <w:pPr>
              <w:spacing w:line="360" w:lineRule="auto"/>
              <w:ind w:firstLine="440" w:firstLineChars="200"/>
              <w:jc w:val="center"/>
              <w:rPr>
                <w:rFonts w:ascii="宋体" w:hAnsi="宋体" w:cs="宋体"/>
                <w:sz w:val="22"/>
                <w:szCs w:val="20"/>
              </w:rPr>
            </w:pPr>
            <w:r>
              <w:rPr>
                <w:rFonts w:hint="eastAsia" w:ascii="宋体" w:hAnsi="宋体" w:cs="宋体"/>
                <w:sz w:val="22"/>
                <w:szCs w:val="20"/>
              </w:rPr>
              <w:t>清标内容</w:t>
            </w:r>
          </w:p>
        </w:tc>
        <w:tc>
          <w:tcPr>
            <w:tcW w:w="1358" w:type="dxa"/>
            <w:gridSpan w:val="2"/>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sz w:val="22"/>
                <w:szCs w:val="20"/>
              </w:rPr>
            </w:pPr>
            <w:r>
              <w:rPr>
                <w:rFonts w:hint="eastAsia" w:ascii="宋体" w:hAnsi="宋体" w:cs="宋体"/>
                <w:sz w:val="22"/>
                <w:szCs w:val="20"/>
              </w:rPr>
              <w:t>清标结果</w:t>
            </w:r>
          </w:p>
        </w:tc>
      </w:tr>
      <w:tr>
        <w:tblPrEx>
          <w:tblCellMar>
            <w:top w:w="0" w:type="dxa"/>
            <w:left w:w="108" w:type="dxa"/>
            <w:bottom w:w="0" w:type="dxa"/>
            <w:right w:w="108" w:type="dxa"/>
          </w:tblCellMar>
        </w:tblPrEx>
        <w:trPr>
          <w:trHeight w:val="150" w:hRule="atLeast"/>
          <w:jc w:val="center"/>
        </w:trPr>
        <w:tc>
          <w:tcPr>
            <w:tcW w:w="1170"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360" w:lineRule="auto"/>
              <w:ind w:firstLine="440" w:firstLineChars="200"/>
              <w:jc w:val="center"/>
              <w:rPr>
                <w:rFonts w:ascii="宋体" w:hAnsi="宋体" w:cs="宋体"/>
                <w:sz w:val="22"/>
                <w:szCs w:val="20"/>
              </w:rPr>
            </w:pPr>
          </w:p>
        </w:tc>
        <w:tc>
          <w:tcPr>
            <w:tcW w:w="3698" w:type="dxa"/>
            <w:vMerge w:val="continue"/>
            <w:tcBorders>
              <w:top w:val="single" w:color="auto" w:sz="4" w:space="0"/>
              <w:left w:val="nil"/>
              <w:bottom w:val="single" w:color="auto" w:sz="4" w:space="0"/>
              <w:right w:val="single" w:color="auto" w:sz="4" w:space="0"/>
            </w:tcBorders>
            <w:vAlign w:val="center"/>
          </w:tcPr>
          <w:p>
            <w:pPr>
              <w:spacing w:line="360" w:lineRule="auto"/>
              <w:ind w:firstLine="440" w:firstLineChars="200"/>
              <w:jc w:val="center"/>
              <w:rPr>
                <w:rFonts w:ascii="宋体" w:hAnsi="宋体" w:cs="宋体"/>
                <w:sz w:val="22"/>
                <w:szCs w:val="20"/>
              </w:rPr>
            </w:pPr>
          </w:p>
        </w:tc>
        <w:tc>
          <w:tcPr>
            <w:tcW w:w="3645" w:type="dxa"/>
            <w:vMerge w:val="continue"/>
            <w:tcBorders>
              <w:top w:val="single" w:color="auto" w:sz="4" w:space="0"/>
              <w:left w:val="nil"/>
              <w:bottom w:val="single" w:color="auto" w:sz="4" w:space="0"/>
              <w:right w:val="single" w:color="auto" w:sz="4" w:space="0"/>
            </w:tcBorders>
            <w:vAlign w:val="center"/>
          </w:tcPr>
          <w:p>
            <w:pPr>
              <w:spacing w:line="360" w:lineRule="auto"/>
              <w:ind w:firstLine="440" w:firstLineChars="200"/>
              <w:jc w:val="center"/>
              <w:rPr>
                <w:rFonts w:ascii="宋体" w:hAnsi="宋体" w:cs="宋体"/>
                <w:sz w:val="22"/>
                <w:szCs w:val="20"/>
              </w:rPr>
            </w:pPr>
          </w:p>
        </w:tc>
        <w:tc>
          <w:tcPr>
            <w:tcW w:w="698"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sz w:val="22"/>
                <w:szCs w:val="20"/>
              </w:rPr>
            </w:pPr>
            <w:r>
              <w:rPr>
                <w:rFonts w:hint="eastAsia" w:ascii="宋体" w:hAnsi="宋体" w:cs="宋体"/>
                <w:sz w:val="22"/>
                <w:szCs w:val="20"/>
              </w:rPr>
              <w:t>是</w:t>
            </w:r>
          </w:p>
        </w:tc>
        <w:tc>
          <w:tcPr>
            <w:tcW w:w="660"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sz w:val="22"/>
                <w:szCs w:val="20"/>
              </w:rPr>
            </w:pPr>
            <w:r>
              <w:rPr>
                <w:rFonts w:hint="eastAsia" w:ascii="宋体" w:hAnsi="宋体" w:cs="宋体"/>
                <w:sz w:val="22"/>
                <w:szCs w:val="20"/>
              </w:rPr>
              <w:t>否</w:t>
            </w:r>
          </w:p>
        </w:tc>
      </w:tr>
      <w:tr>
        <w:tblPrEx>
          <w:tblCellMar>
            <w:top w:w="0" w:type="dxa"/>
            <w:left w:w="108" w:type="dxa"/>
            <w:bottom w:w="0" w:type="dxa"/>
            <w:right w:w="108" w:type="dxa"/>
          </w:tblCellMar>
        </w:tblPrEx>
        <w:trPr>
          <w:trHeight w:val="539" w:hRule="atLeast"/>
          <w:jc w:val="center"/>
        </w:trPr>
        <w:tc>
          <w:tcPr>
            <w:tcW w:w="525" w:type="dxa"/>
            <w:vMerge w:val="restart"/>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cs="宋体"/>
                <w:sz w:val="22"/>
                <w:szCs w:val="20"/>
              </w:rPr>
            </w:pPr>
            <w:r>
              <w:rPr>
                <w:rFonts w:hint="eastAsia" w:ascii="宋体" w:hAnsi="宋体" w:cs="宋体"/>
                <w:sz w:val="22"/>
                <w:szCs w:val="20"/>
              </w:rPr>
              <w:t>1</w:t>
            </w:r>
          </w:p>
        </w:tc>
        <w:tc>
          <w:tcPr>
            <w:tcW w:w="645"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sz w:val="22"/>
                <w:szCs w:val="20"/>
              </w:rPr>
            </w:pPr>
            <w:r>
              <w:rPr>
                <w:rFonts w:hint="eastAsia" w:ascii="宋体" w:hAnsi="宋体" w:cs="宋体"/>
                <w:sz w:val="22"/>
                <w:szCs w:val="20"/>
              </w:rPr>
              <w:t>1.1</w:t>
            </w:r>
          </w:p>
        </w:tc>
        <w:tc>
          <w:tcPr>
            <w:tcW w:w="3698" w:type="dxa"/>
            <w:tcBorders>
              <w:top w:val="single" w:color="auto" w:sz="4" w:space="0"/>
              <w:left w:val="nil"/>
              <w:bottom w:val="single" w:color="auto" w:sz="4" w:space="0"/>
              <w:right w:val="single" w:color="auto" w:sz="4" w:space="0"/>
            </w:tcBorders>
            <w:vAlign w:val="center"/>
          </w:tcPr>
          <w:p>
            <w:pPr>
              <w:spacing w:line="360" w:lineRule="auto"/>
              <w:ind w:firstLine="440" w:firstLineChars="200"/>
              <w:jc w:val="left"/>
              <w:rPr>
                <w:rFonts w:ascii="宋体" w:hAnsi="宋体" w:cs="宋体"/>
                <w:sz w:val="22"/>
                <w:szCs w:val="20"/>
              </w:rPr>
            </w:pPr>
            <w:r>
              <w:rPr>
                <w:rFonts w:hint="eastAsia" w:ascii="宋体" w:hAnsi="宋体" w:cs="宋体"/>
                <w:sz w:val="22"/>
                <w:szCs w:val="20"/>
              </w:rPr>
              <w:t>项目总报价</w:t>
            </w:r>
          </w:p>
        </w:tc>
        <w:tc>
          <w:tcPr>
            <w:tcW w:w="3645" w:type="dxa"/>
            <w:tcBorders>
              <w:top w:val="single" w:color="auto" w:sz="4" w:space="0"/>
              <w:left w:val="nil"/>
              <w:bottom w:val="single" w:color="auto" w:sz="4" w:space="0"/>
              <w:right w:val="single" w:color="auto" w:sz="4" w:space="0"/>
            </w:tcBorders>
            <w:vAlign w:val="center"/>
          </w:tcPr>
          <w:p>
            <w:pPr>
              <w:spacing w:line="360" w:lineRule="auto"/>
              <w:ind w:firstLine="440" w:firstLineChars="200"/>
              <w:jc w:val="center"/>
              <w:rPr>
                <w:rFonts w:ascii="宋体" w:hAnsi="宋体" w:cs="宋体"/>
                <w:sz w:val="22"/>
                <w:szCs w:val="20"/>
              </w:rPr>
            </w:pPr>
            <w:r>
              <w:rPr>
                <w:rFonts w:hint="eastAsia" w:ascii="宋体" w:hAnsi="宋体" w:cs="宋体"/>
                <w:sz w:val="22"/>
                <w:szCs w:val="20"/>
              </w:rPr>
              <w:t>是否等于各单项工程造价之和</w:t>
            </w:r>
          </w:p>
        </w:tc>
        <w:tc>
          <w:tcPr>
            <w:tcW w:w="698" w:type="dxa"/>
            <w:tcBorders>
              <w:top w:val="single" w:color="auto" w:sz="4" w:space="0"/>
              <w:left w:val="nil"/>
              <w:bottom w:val="single" w:color="auto" w:sz="4" w:space="0"/>
              <w:right w:val="single" w:color="auto" w:sz="4" w:space="0"/>
            </w:tcBorders>
            <w:vAlign w:val="center"/>
          </w:tcPr>
          <w:p>
            <w:pPr>
              <w:spacing w:line="360" w:lineRule="auto"/>
              <w:ind w:firstLine="440" w:firstLineChars="200"/>
              <w:jc w:val="center"/>
              <w:rPr>
                <w:rFonts w:ascii="宋体" w:hAnsi="宋体" w:cs="宋体"/>
                <w:sz w:val="22"/>
                <w:szCs w:val="20"/>
              </w:rPr>
            </w:pPr>
          </w:p>
        </w:tc>
        <w:tc>
          <w:tcPr>
            <w:tcW w:w="660" w:type="dxa"/>
            <w:tcBorders>
              <w:top w:val="single" w:color="auto" w:sz="4" w:space="0"/>
              <w:left w:val="nil"/>
              <w:bottom w:val="single" w:color="auto" w:sz="4" w:space="0"/>
              <w:right w:val="single" w:color="auto" w:sz="4" w:space="0"/>
            </w:tcBorders>
            <w:vAlign w:val="center"/>
          </w:tcPr>
          <w:p>
            <w:pPr>
              <w:spacing w:line="360" w:lineRule="auto"/>
              <w:ind w:firstLine="440" w:firstLineChars="200"/>
              <w:jc w:val="center"/>
              <w:rPr>
                <w:rFonts w:ascii="宋体" w:hAnsi="宋体" w:cs="宋体"/>
                <w:sz w:val="22"/>
                <w:szCs w:val="20"/>
              </w:rPr>
            </w:pPr>
          </w:p>
        </w:tc>
      </w:tr>
      <w:tr>
        <w:tblPrEx>
          <w:tblCellMar>
            <w:top w:w="0" w:type="dxa"/>
            <w:left w:w="108" w:type="dxa"/>
            <w:bottom w:w="0" w:type="dxa"/>
            <w:right w:w="108" w:type="dxa"/>
          </w:tblCellMar>
        </w:tblPrEx>
        <w:trPr>
          <w:trHeight w:val="539" w:hRule="atLeast"/>
          <w:jc w:val="center"/>
        </w:trPr>
        <w:tc>
          <w:tcPr>
            <w:tcW w:w="525" w:type="dxa"/>
            <w:vMerge w:val="continue"/>
            <w:tcBorders>
              <w:top w:val="nil"/>
              <w:left w:val="single" w:color="auto" w:sz="4" w:space="0"/>
              <w:bottom w:val="single" w:color="auto" w:sz="4" w:space="0"/>
              <w:right w:val="single" w:color="auto" w:sz="4" w:space="0"/>
            </w:tcBorders>
            <w:vAlign w:val="center"/>
          </w:tcPr>
          <w:p>
            <w:pPr>
              <w:spacing w:line="360" w:lineRule="auto"/>
              <w:ind w:firstLine="440" w:firstLineChars="200"/>
              <w:jc w:val="center"/>
              <w:rPr>
                <w:rFonts w:ascii="宋体" w:hAnsi="宋体" w:cs="宋体"/>
                <w:sz w:val="22"/>
                <w:szCs w:val="20"/>
              </w:rPr>
            </w:pPr>
          </w:p>
        </w:tc>
        <w:tc>
          <w:tcPr>
            <w:tcW w:w="645"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sz w:val="22"/>
                <w:szCs w:val="20"/>
              </w:rPr>
            </w:pPr>
            <w:r>
              <w:rPr>
                <w:rFonts w:hint="eastAsia" w:ascii="宋体" w:hAnsi="宋体" w:cs="宋体"/>
                <w:sz w:val="22"/>
                <w:szCs w:val="20"/>
              </w:rPr>
              <w:t>1.2</w:t>
            </w:r>
          </w:p>
        </w:tc>
        <w:tc>
          <w:tcPr>
            <w:tcW w:w="3698" w:type="dxa"/>
            <w:tcBorders>
              <w:top w:val="single" w:color="auto" w:sz="4" w:space="0"/>
              <w:left w:val="nil"/>
              <w:bottom w:val="single" w:color="auto" w:sz="4" w:space="0"/>
              <w:right w:val="single" w:color="auto" w:sz="4" w:space="0"/>
            </w:tcBorders>
            <w:vAlign w:val="center"/>
          </w:tcPr>
          <w:p>
            <w:pPr>
              <w:spacing w:line="360" w:lineRule="auto"/>
              <w:ind w:firstLine="440" w:firstLineChars="200"/>
              <w:jc w:val="left"/>
              <w:rPr>
                <w:rFonts w:ascii="宋体" w:hAnsi="宋体" w:cs="宋体"/>
                <w:sz w:val="22"/>
                <w:szCs w:val="20"/>
              </w:rPr>
            </w:pPr>
            <w:r>
              <w:rPr>
                <w:rFonts w:hint="eastAsia" w:ascii="宋体" w:hAnsi="宋体" w:cs="宋体"/>
                <w:sz w:val="22"/>
                <w:szCs w:val="20"/>
              </w:rPr>
              <w:t>单项工程费</w:t>
            </w:r>
          </w:p>
        </w:tc>
        <w:tc>
          <w:tcPr>
            <w:tcW w:w="3645" w:type="dxa"/>
            <w:tcBorders>
              <w:top w:val="single" w:color="auto" w:sz="4" w:space="0"/>
              <w:left w:val="nil"/>
              <w:bottom w:val="single" w:color="auto" w:sz="4" w:space="0"/>
              <w:right w:val="single" w:color="auto" w:sz="4" w:space="0"/>
            </w:tcBorders>
            <w:vAlign w:val="center"/>
          </w:tcPr>
          <w:p>
            <w:pPr>
              <w:spacing w:line="360" w:lineRule="auto"/>
              <w:ind w:firstLine="440" w:firstLineChars="200"/>
              <w:jc w:val="center"/>
              <w:rPr>
                <w:rFonts w:ascii="宋体" w:hAnsi="宋体" w:cs="宋体"/>
                <w:sz w:val="22"/>
                <w:szCs w:val="20"/>
              </w:rPr>
            </w:pPr>
            <w:r>
              <w:rPr>
                <w:rFonts w:hint="eastAsia" w:ascii="宋体" w:hAnsi="宋体" w:cs="宋体"/>
                <w:sz w:val="22"/>
                <w:szCs w:val="20"/>
              </w:rPr>
              <w:t>是否等于各单位工程造价之和</w:t>
            </w:r>
          </w:p>
        </w:tc>
        <w:tc>
          <w:tcPr>
            <w:tcW w:w="698" w:type="dxa"/>
            <w:tcBorders>
              <w:top w:val="single" w:color="auto" w:sz="4" w:space="0"/>
              <w:left w:val="nil"/>
              <w:bottom w:val="single" w:color="auto" w:sz="4" w:space="0"/>
              <w:right w:val="single" w:color="auto" w:sz="4" w:space="0"/>
            </w:tcBorders>
            <w:vAlign w:val="center"/>
          </w:tcPr>
          <w:p>
            <w:pPr>
              <w:spacing w:line="360" w:lineRule="auto"/>
              <w:ind w:firstLine="440" w:firstLineChars="200"/>
              <w:jc w:val="center"/>
              <w:rPr>
                <w:rFonts w:ascii="宋体" w:hAnsi="宋体" w:cs="宋体"/>
                <w:sz w:val="22"/>
                <w:szCs w:val="20"/>
              </w:rPr>
            </w:pPr>
          </w:p>
        </w:tc>
        <w:tc>
          <w:tcPr>
            <w:tcW w:w="660" w:type="dxa"/>
            <w:tcBorders>
              <w:top w:val="single" w:color="auto" w:sz="4" w:space="0"/>
              <w:left w:val="nil"/>
              <w:bottom w:val="single" w:color="auto" w:sz="4" w:space="0"/>
              <w:right w:val="single" w:color="auto" w:sz="4" w:space="0"/>
            </w:tcBorders>
            <w:vAlign w:val="center"/>
          </w:tcPr>
          <w:p>
            <w:pPr>
              <w:spacing w:line="360" w:lineRule="auto"/>
              <w:ind w:firstLine="440" w:firstLineChars="200"/>
              <w:jc w:val="center"/>
              <w:rPr>
                <w:rFonts w:ascii="宋体" w:hAnsi="宋体" w:cs="宋体"/>
                <w:sz w:val="22"/>
                <w:szCs w:val="20"/>
              </w:rPr>
            </w:pPr>
          </w:p>
        </w:tc>
      </w:tr>
      <w:tr>
        <w:tblPrEx>
          <w:tblCellMar>
            <w:top w:w="0" w:type="dxa"/>
            <w:left w:w="108" w:type="dxa"/>
            <w:bottom w:w="0" w:type="dxa"/>
            <w:right w:w="108" w:type="dxa"/>
          </w:tblCellMar>
        </w:tblPrEx>
        <w:trPr>
          <w:trHeight w:val="539" w:hRule="atLeast"/>
          <w:jc w:val="center"/>
        </w:trPr>
        <w:tc>
          <w:tcPr>
            <w:tcW w:w="525" w:type="dxa"/>
            <w:vMerge w:val="continue"/>
            <w:tcBorders>
              <w:top w:val="nil"/>
              <w:left w:val="single" w:color="auto" w:sz="4" w:space="0"/>
              <w:bottom w:val="single" w:color="auto" w:sz="4" w:space="0"/>
              <w:right w:val="single" w:color="auto" w:sz="4" w:space="0"/>
            </w:tcBorders>
            <w:vAlign w:val="center"/>
          </w:tcPr>
          <w:p>
            <w:pPr>
              <w:spacing w:line="360" w:lineRule="auto"/>
              <w:ind w:firstLine="440" w:firstLineChars="200"/>
              <w:jc w:val="center"/>
              <w:rPr>
                <w:rFonts w:ascii="宋体" w:hAnsi="宋体" w:cs="宋体"/>
                <w:sz w:val="22"/>
                <w:szCs w:val="20"/>
              </w:rPr>
            </w:pPr>
          </w:p>
        </w:tc>
        <w:tc>
          <w:tcPr>
            <w:tcW w:w="645"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sz w:val="22"/>
                <w:szCs w:val="20"/>
              </w:rPr>
            </w:pPr>
            <w:r>
              <w:rPr>
                <w:rFonts w:hint="eastAsia" w:ascii="宋体" w:hAnsi="宋体" w:cs="宋体"/>
                <w:sz w:val="22"/>
                <w:szCs w:val="20"/>
              </w:rPr>
              <w:t>1.3</w:t>
            </w:r>
          </w:p>
        </w:tc>
        <w:tc>
          <w:tcPr>
            <w:tcW w:w="3698" w:type="dxa"/>
            <w:tcBorders>
              <w:top w:val="single" w:color="auto" w:sz="4" w:space="0"/>
              <w:left w:val="nil"/>
              <w:bottom w:val="single" w:color="auto" w:sz="4" w:space="0"/>
              <w:right w:val="single" w:color="auto" w:sz="4" w:space="0"/>
            </w:tcBorders>
            <w:vAlign w:val="center"/>
          </w:tcPr>
          <w:p>
            <w:pPr>
              <w:spacing w:line="360" w:lineRule="auto"/>
              <w:ind w:firstLine="440" w:firstLineChars="200"/>
              <w:jc w:val="left"/>
              <w:rPr>
                <w:rFonts w:ascii="宋体" w:hAnsi="宋体" w:cs="宋体"/>
                <w:sz w:val="22"/>
                <w:szCs w:val="20"/>
              </w:rPr>
            </w:pPr>
            <w:r>
              <w:rPr>
                <w:rFonts w:hint="eastAsia" w:ascii="宋体" w:hAnsi="宋体" w:cs="宋体"/>
                <w:sz w:val="22"/>
                <w:szCs w:val="20"/>
              </w:rPr>
              <w:t>单位工程费</w:t>
            </w:r>
          </w:p>
        </w:tc>
        <w:tc>
          <w:tcPr>
            <w:tcW w:w="3645" w:type="dxa"/>
            <w:tcBorders>
              <w:top w:val="single" w:color="auto" w:sz="4" w:space="0"/>
              <w:left w:val="nil"/>
              <w:bottom w:val="single" w:color="auto" w:sz="4" w:space="0"/>
              <w:right w:val="single" w:color="auto" w:sz="4" w:space="0"/>
            </w:tcBorders>
            <w:vAlign w:val="center"/>
          </w:tcPr>
          <w:p>
            <w:pPr>
              <w:spacing w:line="360" w:lineRule="auto"/>
              <w:ind w:firstLine="440" w:firstLineChars="200"/>
              <w:jc w:val="center"/>
              <w:rPr>
                <w:rFonts w:ascii="宋体" w:hAnsi="宋体" w:cs="宋体"/>
                <w:sz w:val="22"/>
                <w:szCs w:val="20"/>
              </w:rPr>
            </w:pPr>
            <w:r>
              <w:rPr>
                <w:rFonts w:hint="eastAsia" w:ascii="宋体" w:hAnsi="宋体" w:cs="宋体"/>
                <w:sz w:val="22"/>
                <w:szCs w:val="20"/>
              </w:rPr>
              <w:t>是否等于分部分项工程费+措施项目费+其它项目费+规费+税金之和</w:t>
            </w:r>
          </w:p>
        </w:tc>
        <w:tc>
          <w:tcPr>
            <w:tcW w:w="698" w:type="dxa"/>
            <w:tcBorders>
              <w:top w:val="single" w:color="auto" w:sz="4" w:space="0"/>
              <w:left w:val="nil"/>
              <w:bottom w:val="single" w:color="auto" w:sz="4" w:space="0"/>
              <w:right w:val="single" w:color="auto" w:sz="4" w:space="0"/>
            </w:tcBorders>
            <w:vAlign w:val="center"/>
          </w:tcPr>
          <w:p>
            <w:pPr>
              <w:spacing w:line="360" w:lineRule="auto"/>
              <w:ind w:firstLine="440" w:firstLineChars="200"/>
              <w:jc w:val="center"/>
              <w:rPr>
                <w:rFonts w:ascii="宋体" w:hAnsi="宋体" w:cs="宋体"/>
                <w:sz w:val="22"/>
                <w:szCs w:val="20"/>
              </w:rPr>
            </w:pPr>
          </w:p>
        </w:tc>
        <w:tc>
          <w:tcPr>
            <w:tcW w:w="660" w:type="dxa"/>
            <w:tcBorders>
              <w:top w:val="single" w:color="auto" w:sz="4" w:space="0"/>
              <w:left w:val="nil"/>
              <w:bottom w:val="single" w:color="auto" w:sz="4" w:space="0"/>
              <w:right w:val="single" w:color="auto" w:sz="4" w:space="0"/>
            </w:tcBorders>
            <w:vAlign w:val="center"/>
          </w:tcPr>
          <w:p>
            <w:pPr>
              <w:spacing w:line="360" w:lineRule="auto"/>
              <w:ind w:firstLine="440" w:firstLineChars="200"/>
              <w:jc w:val="center"/>
              <w:rPr>
                <w:rFonts w:ascii="宋体" w:hAnsi="宋体" w:cs="宋体"/>
                <w:sz w:val="22"/>
                <w:szCs w:val="20"/>
              </w:rPr>
            </w:pPr>
          </w:p>
        </w:tc>
      </w:tr>
      <w:tr>
        <w:tblPrEx>
          <w:tblCellMar>
            <w:top w:w="0" w:type="dxa"/>
            <w:left w:w="108" w:type="dxa"/>
            <w:bottom w:w="0" w:type="dxa"/>
            <w:right w:w="108" w:type="dxa"/>
          </w:tblCellMar>
        </w:tblPrEx>
        <w:trPr>
          <w:trHeight w:val="539" w:hRule="atLeast"/>
          <w:jc w:val="center"/>
        </w:trPr>
        <w:tc>
          <w:tcPr>
            <w:tcW w:w="525" w:type="dxa"/>
            <w:vMerge w:val="restart"/>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cs="宋体"/>
                <w:sz w:val="22"/>
                <w:szCs w:val="20"/>
              </w:rPr>
            </w:pPr>
            <w:r>
              <w:rPr>
                <w:rFonts w:hint="eastAsia" w:ascii="宋体" w:hAnsi="宋体" w:cs="宋体"/>
                <w:sz w:val="22"/>
                <w:szCs w:val="20"/>
              </w:rPr>
              <w:t>2</w:t>
            </w:r>
          </w:p>
        </w:tc>
        <w:tc>
          <w:tcPr>
            <w:tcW w:w="645"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sz w:val="22"/>
                <w:szCs w:val="20"/>
              </w:rPr>
            </w:pPr>
            <w:r>
              <w:rPr>
                <w:rFonts w:hint="eastAsia" w:ascii="宋体" w:hAnsi="宋体" w:cs="宋体"/>
                <w:sz w:val="22"/>
                <w:szCs w:val="20"/>
              </w:rPr>
              <w:t>2.1</w:t>
            </w:r>
          </w:p>
        </w:tc>
        <w:tc>
          <w:tcPr>
            <w:tcW w:w="3698" w:type="dxa"/>
            <w:tcBorders>
              <w:top w:val="single" w:color="auto" w:sz="4" w:space="0"/>
              <w:left w:val="nil"/>
              <w:bottom w:val="single" w:color="auto" w:sz="4" w:space="0"/>
              <w:right w:val="single" w:color="auto" w:sz="4" w:space="0"/>
            </w:tcBorders>
            <w:vAlign w:val="center"/>
          </w:tcPr>
          <w:p>
            <w:pPr>
              <w:spacing w:line="360" w:lineRule="auto"/>
              <w:jc w:val="left"/>
              <w:rPr>
                <w:rFonts w:ascii="宋体" w:hAnsi="宋体" w:cs="宋体"/>
                <w:sz w:val="22"/>
                <w:szCs w:val="20"/>
              </w:rPr>
            </w:pPr>
            <w:r>
              <w:rPr>
                <w:rFonts w:hint="eastAsia" w:ascii="宋体" w:hAnsi="宋体" w:cs="宋体"/>
                <w:sz w:val="22"/>
                <w:szCs w:val="20"/>
              </w:rPr>
              <w:t>分部分项工程费及单价措施费</w:t>
            </w:r>
          </w:p>
        </w:tc>
        <w:tc>
          <w:tcPr>
            <w:tcW w:w="3645" w:type="dxa"/>
            <w:tcBorders>
              <w:top w:val="single" w:color="auto" w:sz="4" w:space="0"/>
              <w:left w:val="nil"/>
              <w:bottom w:val="single" w:color="auto" w:sz="4" w:space="0"/>
              <w:right w:val="single" w:color="auto" w:sz="4" w:space="0"/>
            </w:tcBorders>
            <w:vAlign w:val="center"/>
          </w:tcPr>
          <w:p>
            <w:pPr>
              <w:spacing w:line="360" w:lineRule="auto"/>
              <w:ind w:firstLine="440" w:firstLineChars="200"/>
              <w:jc w:val="center"/>
              <w:rPr>
                <w:rFonts w:ascii="宋体" w:hAnsi="宋体" w:cs="宋体"/>
                <w:sz w:val="22"/>
                <w:szCs w:val="20"/>
              </w:rPr>
            </w:pPr>
            <w:r>
              <w:rPr>
                <w:rFonts w:hint="eastAsia" w:ascii="宋体" w:hAnsi="宋体" w:cs="宋体"/>
                <w:sz w:val="22"/>
                <w:szCs w:val="20"/>
              </w:rPr>
              <w:t>是否等于各分部分项清单（含单价措施项目）费之和</w:t>
            </w:r>
          </w:p>
        </w:tc>
        <w:tc>
          <w:tcPr>
            <w:tcW w:w="698" w:type="dxa"/>
            <w:tcBorders>
              <w:top w:val="single" w:color="auto" w:sz="4" w:space="0"/>
              <w:left w:val="nil"/>
              <w:bottom w:val="single" w:color="auto" w:sz="4" w:space="0"/>
              <w:right w:val="single" w:color="auto" w:sz="4" w:space="0"/>
            </w:tcBorders>
            <w:vAlign w:val="center"/>
          </w:tcPr>
          <w:p>
            <w:pPr>
              <w:spacing w:line="360" w:lineRule="auto"/>
              <w:ind w:firstLine="440" w:firstLineChars="200"/>
              <w:jc w:val="center"/>
              <w:rPr>
                <w:rFonts w:ascii="宋体" w:hAnsi="宋体" w:cs="宋体"/>
                <w:sz w:val="22"/>
                <w:szCs w:val="20"/>
              </w:rPr>
            </w:pPr>
          </w:p>
        </w:tc>
        <w:tc>
          <w:tcPr>
            <w:tcW w:w="660" w:type="dxa"/>
            <w:tcBorders>
              <w:top w:val="single" w:color="auto" w:sz="4" w:space="0"/>
              <w:left w:val="nil"/>
              <w:bottom w:val="single" w:color="auto" w:sz="4" w:space="0"/>
              <w:right w:val="single" w:color="auto" w:sz="4" w:space="0"/>
            </w:tcBorders>
            <w:vAlign w:val="center"/>
          </w:tcPr>
          <w:p>
            <w:pPr>
              <w:spacing w:line="360" w:lineRule="auto"/>
              <w:ind w:firstLine="440" w:firstLineChars="200"/>
              <w:jc w:val="center"/>
              <w:rPr>
                <w:rFonts w:ascii="宋体" w:hAnsi="宋体" w:cs="宋体"/>
                <w:sz w:val="22"/>
                <w:szCs w:val="20"/>
              </w:rPr>
            </w:pPr>
          </w:p>
        </w:tc>
      </w:tr>
      <w:tr>
        <w:tblPrEx>
          <w:tblCellMar>
            <w:top w:w="0" w:type="dxa"/>
            <w:left w:w="108" w:type="dxa"/>
            <w:bottom w:w="0" w:type="dxa"/>
            <w:right w:w="108" w:type="dxa"/>
          </w:tblCellMar>
        </w:tblPrEx>
        <w:trPr>
          <w:trHeight w:val="454" w:hRule="exact"/>
          <w:jc w:val="center"/>
        </w:trPr>
        <w:tc>
          <w:tcPr>
            <w:tcW w:w="525" w:type="dxa"/>
            <w:vMerge w:val="continue"/>
            <w:tcBorders>
              <w:top w:val="nil"/>
              <w:left w:val="single" w:color="auto" w:sz="4" w:space="0"/>
              <w:bottom w:val="single" w:color="auto" w:sz="4" w:space="0"/>
              <w:right w:val="single" w:color="auto" w:sz="4" w:space="0"/>
            </w:tcBorders>
            <w:vAlign w:val="center"/>
          </w:tcPr>
          <w:p>
            <w:pPr>
              <w:spacing w:line="360" w:lineRule="auto"/>
              <w:ind w:firstLine="440" w:firstLineChars="200"/>
              <w:jc w:val="center"/>
              <w:rPr>
                <w:rFonts w:ascii="宋体" w:hAnsi="宋体" w:cs="宋体"/>
                <w:sz w:val="22"/>
                <w:szCs w:val="20"/>
              </w:rPr>
            </w:pPr>
          </w:p>
        </w:tc>
        <w:tc>
          <w:tcPr>
            <w:tcW w:w="645"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sz w:val="22"/>
                <w:szCs w:val="20"/>
              </w:rPr>
            </w:pPr>
            <w:r>
              <w:rPr>
                <w:rFonts w:hint="eastAsia" w:ascii="宋体" w:hAnsi="宋体" w:cs="宋体"/>
                <w:sz w:val="22"/>
                <w:szCs w:val="20"/>
              </w:rPr>
              <w:t>2.2</w:t>
            </w:r>
          </w:p>
        </w:tc>
        <w:tc>
          <w:tcPr>
            <w:tcW w:w="3698" w:type="dxa"/>
            <w:tcBorders>
              <w:top w:val="single" w:color="auto" w:sz="4" w:space="0"/>
              <w:left w:val="nil"/>
              <w:bottom w:val="single" w:color="auto" w:sz="4" w:space="0"/>
              <w:right w:val="single" w:color="auto" w:sz="4" w:space="0"/>
            </w:tcBorders>
            <w:vAlign w:val="center"/>
          </w:tcPr>
          <w:p>
            <w:pPr>
              <w:spacing w:line="360" w:lineRule="auto"/>
              <w:jc w:val="left"/>
              <w:rPr>
                <w:rFonts w:ascii="宋体" w:hAnsi="宋体" w:cs="宋体"/>
                <w:sz w:val="22"/>
                <w:szCs w:val="20"/>
              </w:rPr>
            </w:pPr>
            <w:r>
              <w:rPr>
                <w:rFonts w:hint="eastAsia" w:ascii="宋体" w:hAnsi="宋体" w:cs="宋体"/>
                <w:sz w:val="22"/>
                <w:szCs w:val="20"/>
              </w:rPr>
              <w:t>分部分项及单价措施项目编码</w:t>
            </w:r>
          </w:p>
        </w:tc>
        <w:tc>
          <w:tcPr>
            <w:tcW w:w="3645" w:type="dxa"/>
            <w:tcBorders>
              <w:top w:val="single" w:color="auto" w:sz="4" w:space="0"/>
              <w:left w:val="nil"/>
              <w:bottom w:val="single" w:color="auto" w:sz="4" w:space="0"/>
              <w:right w:val="single" w:color="auto" w:sz="4" w:space="0"/>
            </w:tcBorders>
            <w:vAlign w:val="center"/>
          </w:tcPr>
          <w:p>
            <w:pPr>
              <w:spacing w:line="360" w:lineRule="auto"/>
              <w:ind w:firstLine="440" w:firstLineChars="200"/>
              <w:jc w:val="center"/>
              <w:rPr>
                <w:rFonts w:ascii="宋体" w:hAnsi="宋体" w:cs="宋体"/>
                <w:sz w:val="22"/>
                <w:szCs w:val="20"/>
              </w:rPr>
            </w:pPr>
            <w:r>
              <w:rPr>
                <w:rFonts w:hint="eastAsia" w:ascii="宋体" w:hAnsi="宋体" w:cs="宋体"/>
                <w:sz w:val="22"/>
                <w:szCs w:val="20"/>
              </w:rPr>
              <w:t>不得修改招标人清单</w:t>
            </w:r>
          </w:p>
        </w:tc>
        <w:tc>
          <w:tcPr>
            <w:tcW w:w="698" w:type="dxa"/>
            <w:tcBorders>
              <w:top w:val="single" w:color="auto" w:sz="4" w:space="0"/>
              <w:left w:val="nil"/>
              <w:bottom w:val="single" w:color="auto" w:sz="4" w:space="0"/>
              <w:right w:val="single" w:color="auto" w:sz="4" w:space="0"/>
            </w:tcBorders>
            <w:vAlign w:val="center"/>
          </w:tcPr>
          <w:p>
            <w:pPr>
              <w:spacing w:line="360" w:lineRule="auto"/>
              <w:ind w:firstLine="440" w:firstLineChars="200"/>
              <w:jc w:val="center"/>
              <w:rPr>
                <w:rFonts w:ascii="宋体" w:hAnsi="宋体" w:cs="宋体"/>
                <w:sz w:val="22"/>
                <w:szCs w:val="20"/>
              </w:rPr>
            </w:pPr>
          </w:p>
        </w:tc>
        <w:tc>
          <w:tcPr>
            <w:tcW w:w="660" w:type="dxa"/>
            <w:tcBorders>
              <w:top w:val="single" w:color="auto" w:sz="4" w:space="0"/>
              <w:left w:val="nil"/>
              <w:bottom w:val="single" w:color="auto" w:sz="4" w:space="0"/>
              <w:right w:val="single" w:color="auto" w:sz="4" w:space="0"/>
            </w:tcBorders>
            <w:vAlign w:val="center"/>
          </w:tcPr>
          <w:p>
            <w:pPr>
              <w:spacing w:line="360" w:lineRule="auto"/>
              <w:ind w:firstLine="440" w:firstLineChars="200"/>
              <w:jc w:val="center"/>
              <w:rPr>
                <w:rFonts w:ascii="宋体" w:hAnsi="宋体" w:cs="宋体"/>
                <w:sz w:val="22"/>
                <w:szCs w:val="20"/>
              </w:rPr>
            </w:pPr>
          </w:p>
        </w:tc>
      </w:tr>
      <w:tr>
        <w:tblPrEx>
          <w:tblCellMar>
            <w:top w:w="0" w:type="dxa"/>
            <w:left w:w="108" w:type="dxa"/>
            <w:bottom w:w="0" w:type="dxa"/>
            <w:right w:w="108" w:type="dxa"/>
          </w:tblCellMar>
        </w:tblPrEx>
        <w:trPr>
          <w:trHeight w:val="454" w:hRule="exact"/>
          <w:jc w:val="center"/>
        </w:trPr>
        <w:tc>
          <w:tcPr>
            <w:tcW w:w="525" w:type="dxa"/>
            <w:vMerge w:val="continue"/>
            <w:tcBorders>
              <w:top w:val="nil"/>
              <w:left w:val="single" w:color="auto" w:sz="4" w:space="0"/>
              <w:bottom w:val="single" w:color="auto" w:sz="4" w:space="0"/>
              <w:right w:val="single" w:color="auto" w:sz="4" w:space="0"/>
            </w:tcBorders>
            <w:vAlign w:val="center"/>
          </w:tcPr>
          <w:p>
            <w:pPr>
              <w:spacing w:line="360" w:lineRule="auto"/>
              <w:ind w:firstLine="440" w:firstLineChars="200"/>
              <w:jc w:val="center"/>
              <w:rPr>
                <w:rFonts w:ascii="宋体" w:hAnsi="宋体" w:cs="宋体"/>
                <w:sz w:val="22"/>
                <w:szCs w:val="20"/>
              </w:rPr>
            </w:pPr>
          </w:p>
        </w:tc>
        <w:tc>
          <w:tcPr>
            <w:tcW w:w="645"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sz w:val="22"/>
                <w:szCs w:val="20"/>
              </w:rPr>
            </w:pPr>
            <w:r>
              <w:rPr>
                <w:rFonts w:hint="eastAsia" w:ascii="宋体" w:hAnsi="宋体" w:cs="宋体"/>
                <w:sz w:val="22"/>
                <w:szCs w:val="20"/>
              </w:rPr>
              <w:t>2.3</w:t>
            </w:r>
          </w:p>
        </w:tc>
        <w:tc>
          <w:tcPr>
            <w:tcW w:w="3698" w:type="dxa"/>
            <w:tcBorders>
              <w:top w:val="single" w:color="auto" w:sz="4" w:space="0"/>
              <w:left w:val="nil"/>
              <w:bottom w:val="single" w:color="auto" w:sz="4" w:space="0"/>
              <w:right w:val="single" w:color="auto" w:sz="4" w:space="0"/>
            </w:tcBorders>
            <w:vAlign w:val="center"/>
          </w:tcPr>
          <w:p>
            <w:pPr>
              <w:spacing w:line="360" w:lineRule="auto"/>
              <w:jc w:val="left"/>
              <w:rPr>
                <w:rFonts w:ascii="宋体" w:hAnsi="宋体" w:cs="宋体"/>
                <w:sz w:val="22"/>
                <w:szCs w:val="20"/>
              </w:rPr>
            </w:pPr>
            <w:r>
              <w:rPr>
                <w:rFonts w:hint="eastAsia" w:ascii="宋体" w:hAnsi="宋体" w:cs="宋体"/>
                <w:sz w:val="22"/>
                <w:szCs w:val="20"/>
              </w:rPr>
              <w:t>分部分项及单价措施项目名称</w:t>
            </w:r>
          </w:p>
        </w:tc>
        <w:tc>
          <w:tcPr>
            <w:tcW w:w="3645" w:type="dxa"/>
            <w:tcBorders>
              <w:top w:val="single" w:color="auto" w:sz="4" w:space="0"/>
              <w:left w:val="nil"/>
              <w:bottom w:val="single" w:color="auto" w:sz="4" w:space="0"/>
              <w:right w:val="single" w:color="auto" w:sz="4" w:space="0"/>
            </w:tcBorders>
            <w:vAlign w:val="center"/>
          </w:tcPr>
          <w:p>
            <w:pPr>
              <w:spacing w:line="360" w:lineRule="auto"/>
              <w:ind w:firstLine="440" w:firstLineChars="200"/>
              <w:jc w:val="center"/>
              <w:rPr>
                <w:rFonts w:ascii="宋体" w:hAnsi="宋体" w:cs="宋体"/>
                <w:sz w:val="22"/>
                <w:szCs w:val="20"/>
              </w:rPr>
            </w:pPr>
            <w:r>
              <w:rPr>
                <w:rFonts w:hint="eastAsia" w:ascii="宋体" w:hAnsi="宋体" w:cs="宋体"/>
                <w:sz w:val="22"/>
                <w:szCs w:val="20"/>
              </w:rPr>
              <w:t>不得修改招标人清单</w:t>
            </w:r>
          </w:p>
        </w:tc>
        <w:tc>
          <w:tcPr>
            <w:tcW w:w="698" w:type="dxa"/>
            <w:tcBorders>
              <w:top w:val="single" w:color="auto" w:sz="4" w:space="0"/>
              <w:left w:val="nil"/>
              <w:bottom w:val="single" w:color="auto" w:sz="4" w:space="0"/>
              <w:right w:val="single" w:color="auto" w:sz="4" w:space="0"/>
            </w:tcBorders>
            <w:vAlign w:val="center"/>
          </w:tcPr>
          <w:p>
            <w:pPr>
              <w:spacing w:line="360" w:lineRule="auto"/>
              <w:ind w:firstLine="440" w:firstLineChars="200"/>
              <w:jc w:val="center"/>
              <w:rPr>
                <w:rFonts w:ascii="宋体" w:hAnsi="宋体" w:cs="宋体"/>
                <w:sz w:val="22"/>
                <w:szCs w:val="20"/>
              </w:rPr>
            </w:pPr>
          </w:p>
        </w:tc>
        <w:tc>
          <w:tcPr>
            <w:tcW w:w="660" w:type="dxa"/>
            <w:tcBorders>
              <w:top w:val="single" w:color="auto" w:sz="4" w:space="0"/>
              <w:left w:val="nil"/>
              <w:bottom w:val="single" w:color="auto" w:sz="4" w:space="0"/>
              <w:right w:val="single" w:color="auto" w:sz="4" w:space="0"/>
            </w:tcBorders>
            <w:vAlign w:val="center"/>
          </w:tcPr>
          <w:p>
            <w:pPr>
              <w:spacing w:line="360" w:lineRule="auto"/>
              <w:ind w:firstLine="440" w:firstLineChars="200"/>
              <w:jc w:val="center"/>
              <w:rPr>
                <w:rFonts w:ascii="宋体" w:hAnsi="宋体" w:cs="宋体"/>
                <w:sz w:val="22"/>
                <w:szCs w:val="20"/>
              </w:rPr>
            </w:pPr>
          </w:p>
        </w:tc>
      </w:tr>
      <w:tr>
        <w:tblPrEx>
          <w:tblCellMar>
            <w:top w:w="0" w:type="dxa"/>
            <w:left w:w="108" w:type="dxa"/>
            <w:bottom w:w="0" w:type="dxa"/>
            <w:right w:w="108" w:type="dxa"/>
          </w:tblCellMar>
        </w:tblPrEx>
        <w:trPr>
          <w:trHeight w:val="454" w:hRule="exact"/>
          <w:jc w:val="center"/>
        </w:trPr>
        <w:tc>
          <w:tcPr>
            <w:tcW w:w="525" w:type="dxa"/>
            <w:vMerge w:val="continue"/>
            <w:tcBorders>
              <w:top w:val="nil"/>
              <w:left w:val="single" w:color="auto" w:sz="4" w:space="0"/>
              <w:bottom w:val="single" w:color="auto" w:sz="4" w:space="0"/>
              <w:right w:val="single" w:color="auto" w:sz="4" w:space="0"/>
            </w:tcBorders>
            <w:vAlign w:val="center"/>
          </w:tcPr>
          <w:p>
            <w:pPr>
              <w:spacing w:line="360" w:lineRule="auto"/>
              <w:ind w:firstLine="440" w:firstLineChars="200"/>
              <w:jc w:val="center"/>
              <w:rPr>
                <w:rFonts w:ascii="宋体" w:hAnsi="宋体" w:cs="宋体"/>
                <w:sz w:val="22"/>
                <w:szCs w:val="20"/>
              </w:rPr>
            </w:pPr>
          </w:p>
        </w:tc>
        <w:tc>
          <w:tcPr>
            <w:tcW w:w="645"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sz w:val="22"/>
                <w:szCs w:val="20"/>
              </w:rPr>
            </w:pPr>
            <w:r>
              <w:rPr>
                <w:rFonts w:hint="eastAsia" w:ascii="宋体" w:hAnsi="宋体" w:cs="宋体"/>
                <w:sz w:val="22"/>
                <w:szCs w:val="20"/>
              </w:rPr>
              <w:t>2.4</w:t>
            </w:r>
          </w:p>
        </w:tc>
        <w:tc>
          <w:tcPr>
            <w:tcW w:w="3698" w:type="dxa"/>
            <w:tcBorders>
              <w:top w:val="single" w:color="auto" w:sz="4" w:space="0"/>
              <w:left w:val="nil"/>
              <w:bottom w:val="single" w:color="auto" w:sz="4" w:space="0"/>
              <w:right w:val="single" w:color="auto" w:sz="4" w:space="0"/>
            </w:tcBorders>
            <w:vAlign w:val="center"/>
          </w:tcPr>
          <w:p>
            <w:pPr>
              <w:spacing w:line="360" w:lineRule="auto"/>
              <w:jc w:val="left"/>
              <w:rPr>
                <w:rFonts w:ascii="宋体" w:hAnsi="宋体" w:cs="宋体"/>
                <w:sz w:val="22"/>
                <w:szCs w:val="20"/>
              </w:rPr>
            </w:pPr>
            <w:r>
              <w:rPr>
                <w:rFonts w:hint="eastAsia" w:ascii="宋体" w:hAnsi="宋体" w:cs="宋体"/>
                <w:sz w:val="22"/>
                <w:szCs w:val="20"/>
              </w:rPr>
              <w:t>分部分项及单价措施项目特征</w:t>
            </w:r>
          </w:p>
        </w:tc>
        <w:tc>
          <w:tcPr>
            <w:tcW w:w="3645" w:type="dxa"/>
            <w:tcBorders>
              <w:top w:val="single" w:color="auto" w:sz="4" w:space="0"/>
              <w:left w:val="nil"/>
              <w:bottom w:val="single" w:color="auto" w:sz="4" w:space="0"/>
              <w:right w:val="single" w:color="auto" w:sz="4" w:space="0"/>
            </w:tcBorders>
            <w:vAlign w:val="center"/>
          </w:tcPr>
          <w:p>
            <w:pPr>
              <w:spacing w:line="360" w:lineRule="auto"/>
              <w:ind w:firstLine="440" w:firstLineChars="200"/>
              <w:jc w:val="center"/>
              <w:rPr>
                <w:rFonts w:ascii="宋体" w:hAnsi="宋体" w:cs="宋体"/>
                <w:sz w:val="22"/>
                <w:szCs w:val="20"/>
              </w:rPr>
            </w:pPr>
            <w:r>
              <w:rPr>
                <w:rFonts w:hint="eastAsia" w:ascii="宋体" w:hAnsi="宋体" w:cs="宋体"/>
                <w:sz w:val="22"/>
                <w:szCs w:val="20"/>
              </w:rPr>
              <w:t>不得修改招标人清单</w:t>
            </w:r>
          </w:p>
        </w:tc>
        <w:tc>
          <w:tcPr>
            <w:tcW w:w="698" w:type="dxa"/>
            <w:tcBorders>
              <w:top w:val="single" w:color="auto" w:sz="4" w:space="0"/>
              <w:left w:val="nil"/>
              <w:bottom w:val="single" w:color="auto" w:sz="4" w:space="0"/>
              <w:right w:val="single" w:color="auto" w:sz="4" w:space="0"/>
            </w:tcBorders>
            <w:vAlign w:val="center"/>
          </w:tcPr>
          <w:p>
            <w:pPr>
              <w:spacing w:line="360" w:lineRule="auto"/>
              <w:ind w:firstLine="440" w:firstLineChars="200"/>
              <w:jc w:val="center"/>
              <w:rPr>
                <w:rFonts w:ascii="宋体" w:hAnsi="宋体" w:cs="宋体"/>
                <w:sz w:val="22"/>
                <w:szCs w:val="20"/>
              </w:rPr>
            </w:pPr>
          </w:p>
        </w:tc>
        <w:tc>
          <w:tcPr>
            <w:tcW w:w="660" w:type="dxa"/>
            <w:tcBorders>
              <w:top w:val="single" w:color="auto" w:sz="4" w:space="0"/>
              <w:left w:val="nil"/>
              <w:bottom w:val="single" w:color="auto" w:sz="4" w:space="0"/>
              <w:right w:val="single" w:color="auto" w:sz="4" w:space="0"/>
            </w:tcBorders>
            <w:vAlign w:val="center"/>
          </w:tcPr>
          <w:p>
            <w:pPr>
              <w:spacing w:line="360" w:lineRule="auto"/>
              <w:ind w:firstLine="440" w:firstLineChars="200"/>
              <w:jc w:val="center"/>
              <w:rPr>
                <w:rFonts w:ascii="宋体" w:hAnsi="宋体" w:cs="宋体"/>
                <w:sz w:val="22"/>
                <w:szCs w:val="20"/>
              </w:rPr>
            </w:pPr>
          </w:p>
        </w:tc>
      </w:tr>
      <w:tr>
        <w:tblPrEx>
          <w:tblCellMar>
            <w:top w:w="0" w:type="dxa"/>
            <w:left w:w="108" w:type="dxa"/>
            <w:bottom w:w="0" w:type="dxa"/>
            <w:right w:w="108" w:type="dxa"/>
          </w:tblCellMar>
        </w:tblPrEx>
        <w:trPr>
          <w:trHeight w:val="454" w:hRule="exact"/>
          <w:jc w:val="center"/>
        </w:trPr>
        <w:tc>
          <w:tcPr>
            <w:tcW w:w="525" w:type="dxa"/>
            <w:vMerge w:val="continue"/>
            <w:tcBorders>
              <w:top w:val="nil"/>
              <w:left w:val="single" w:color="auto" w:sz="4" w:space="0"/>
              <w:bottom w:val="single" w:color="auto" w:sz="4" w:space="0"/>
              <w:right w:val="single" w:color="auto" w:sz="4" w:space="0"/>
            </w:tcBorders>
            <w:vAlign w:val="center"/>
          </w:tcPr>
          <w:p>
            <w:pPr>
              <w:spacing w:line="360" w:lineRule="auto"/>
              <w:ind w:firstLine="440" w:firstLineChars="200"/>
              <w:jc w:val="center"/>
              <w:rPr>
                <w:rFonts w:ascii="宋体" w:hAnsi="宋体" w:cs="宋体"/>
                <w:sz w:val="22"/>
                <w:szCs w:val="20"/>
              </w:rPr>
            </w:pPr>
          </w:p>
        </w:tc>
        <w:tc>
          <w:tcPr>
            <w:tcW w:w="645"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sz w:val="22"/>
                <w:szCs w:val="20"/>
              </w:rPr>
            </w:pPr>
            <w:r>
              <w:rPr>
                <w:rFonts w:hint="eastAsia" w:ascii="宋体" w:hAnsi="宋体" w:cs="宋体"/>
                <w:sz w:val="22"/>
                <w:szCs w:val="20"/>
              </w:rPr>
              <w:t>2.5</w:t>
            </w:r>
          </w:p>
        </w:tc>
        <w:tc>
          <w:tcPr>
            <w:tcW w:w="3698" w:type="dxa"/>
            <w:tcBorders>
              <w:top w:val="single" w:color="auto" w:sz="4" w:space="0"/>
              <w:left w:val="nil"/>
              <w:bottom w:val="single" w:color="auto" w:sz="4" w:space="0"/>
              <w:right w:val="single" w:color="auto" w:sz="4" w:space="0"/>
            </w:tcBorders>
            <w:vAlign w:val="center"/>
          </w:tcPr>
          <w:p>
            <w:pPr>
              <w:spacing w:line="360" w:lineRule="auto"/>
              <w:jc w:val="left"/>
              <w:rPr>
                <w:rFonts w:ascii="宋体" w:hAnsi="宋体" w:cs="宋体"/>
                <w:sz w:val="22"/>
                <w:szCs w:val="20"/>
              </w:rPr>
            </w:pPr>
            <w:r>
              <w:rPr>
                <w:rFonts w:hint="eastAsia" w:ascii="宋体" w:hAnsi="宋体" w:cs="宋体"/>
                <w:sz w:val="22"/>
                <w:szCs w:val="20"/>
              </w:rPr>
              <w:t>分部分项及单价措施项目计量单位</w:t>
            </w:r>
          </w:p>
        </w:tc>
        <w:tc>
          <w:tcPr>
            <w:tcW w:w="3645" w:type="dxa"/>
            <w:tcBorders>
              <w:top w:val="single" w:color="auto" w:sz="4" w:space="0"/>
              <w:left w:val="nil"/>
              <w:bottom w:val="single" w:color="auto" w:sz="4" w:space="0"/>
              <w:right w:val="single" w:color="auto" w:sz="4" w:space="0"/>
            </w:tcBorders>
            <w:vAlign w:val="center"/>
          </w:tcPr>
          <w:p>
            <w:pPr>
              <w:spacing w:line="360" w:lineRule="auto"/>
              <w:ind w:firstLine="440" w:firstLineChars="200"/>
              <w:jc w:val="center"/>
              <w:rPr>
                <w:rFonts w:ascii="宋体" w:hAnsi="宋体" w:cs="宋体"/>
                <w:sz w:val="22"/>
                <w:szCs w:val="20"/>
              </w:rPr>
            </w:pPr>
            <w:r>
              <w:rPr>
                <w:rFonts w:hint="eastAsia" w:ascii="宋体" w:hAnsi="宋体" w:cs="宋体"/>
                <w:sz w:val="22"/>
                <w:szCs w:val="20"/>
              </w:rPr>
              <w:t>不得修改招标人清单</w:t>
            </w:r>
          </w:p>
        </w:tc>
        <w:tc>
          <w:tcPr>
            <w:tcW w:w="698" w:type="dxa"/>
            <w:tcBorders>
              <w:top w:val="single" w:color="auto" w:sz="4" w:space="0"/>
              <w:left w:val="nil"/>
              <w:bottom w:val="single" w:color="auto" w:sz="4" w:space="0"/>
              <w:right w:val="single" w:color="auto" w:sz="4" w:space="0"/>
            </w:tcBorders>
            <w:vAlign w:val="center"/>
          </w:tcPr>
          <w:p>
            <w:pPr>
              <w:spacing w:line="360" w:lineRule="auto"/>
              <w:ind w:firstLine="440" w:firstLineChars="200"/>
              <w:jc w:val="center"/>
              <w:rPr>
                <w:rFonts w:ascii="宋体" w:hAnsi="宋体" w:cs="宋体"/>
                <w:sz w:val="22"/>
                <w:szCs w:val="20"/>
              </w:rPr>
            </w:pPr>
          </w:p>
        </w:tc>
        <w:tc>
          <w:tcPr>
            <w:tcW w:w="660" w:type="dxa"/>
            <w:tcBorders>
              <w:top w:val="single" w:color="auto" w:sz="4" w:space="0"/>
              <w:left w:val="nil"/>
              <w:bottom w:val="single" w:color="auto" w:sz="4" w:space="0"/>
              <w:right w:val="single" w:color="auto" w:sz="4" w:space="0"/>
            </w:tcBorders>
            <w:vAlign w:val="center"/>
          </w:tcPr>
          <w:p>
            <w:pPr>
              <w:spacing w:line="360" w:lineRule="auto"/>
              <w:ind w:firstLine="440" w:firstLineChars="200"/>
              <w:jc w:val="center"/>
              <w:rPr>
                <w:rFonts w:ascii="宋体" w:hAnsi="宋体" w:cs="宋体"/>
                <w:sz w:val="22"/>
                <w:szCs w:val="20"/>
              </w:rPr>
            </w:pPr>
          </w:p>
        </w:tc>
      </w:tr>
      <w:tr>
        <w:tblPrEx>
          <w:tblCellMar>
            <w:top w:w="0" w:type="dxa"/>
            <w:left w:w="108" w:type="dxa"/>
            <w:bottom w:w="0" w:type="dxa"/>
            <w:right w:w="108" w:type="dxa"/>
          </w:tblCellMar>
        </w:tblPrEx>
        <w:trPr>
          <w:trHeight w:val="454" w:hRule="exact"/>
          <w:jc w:val="center"/>
        </w:trPr>
        <w:tc>
          <w:tcPr>
            <w:tcW w:w="525" w:type="dxa"/>
            <w:vMerge w:val="continue"/>
            <w:tcBorders>
              <w:top w:val="nil"/>
              <w:left w:val="single" w:color="auto" w:sz="4" w:space="0"/>
              <w:bottom w:val="single" w:color="auto" w:sz="4" w:space="0"/>
              <w:right w:val="single" w:color="auto" w:sz="4" w:space="0"/>
            </w:tcBorders>
            <w:vAlign w:val="center"/>
          </w:tcPr>
          <w:p>
            <w:pPr>
              <w:spacing w:line="360" w:lineRule="auto"/>
              <w:ind w:firstLine="440" w:firstLineChars="200"/>
              <w:jc w:val="center"/>
              <w:rPr>
                <w:rFonts w:ascii="宋体" w:hAnsi="宋体" w:cs="宋体"/>
                <w:sz w:val="22"/>
                <w:szCs w:val="20"/>
              </w:rPr>
            </w:pPr>
          </w:p>
        </w:tc>
        <w:tc>
          <w:tcPr>
            <w:tcW w:w="645"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sz w:val="22"/>
                <w:szCs w:val="20"/>
              </w:rPr>
            </w:pPr>
            <w:r>
              <w:rPr>
                <w:rFonts w:hint="eastAsia" w:ascii="宋体" w:hAnsi="宋体" w:cs="宋体"/>
                <w:sz w:val="22"/>
                <w:szCs w:val="20"/>
              </w:rPr>
              <w:t>2.6</w:t>
            </w:r>
          </w:p>
        </w:tc>
        <w:tc>
          <w:tcPr>
            <w:tcW w:w="3698" w:type="dxa"/>
            <w:tcBorders>
              <w:top w:val="single" w:color="auto" w:sz="4" w:space="0"/>
              <w:left w:val="nil"/>
              <w:bottom w:val="single" w:color="auto" w:sz="4" w:space="0"/>
              <w:right w:val="single" w:color="auto" w:sz="4" w:space="0"/>
            </w:tcBorders>
            <w:vAlign w:val="center"/>
          </w:tcPr>
          <w:p>
            <w:pPr>
              <w:spacing w:line="360" w:lineRule="auto"/>
              <w:jc w:val="left"/>
              <w:rPr>
                <w:rFonts w:ascii="宋体" w:hAnsi="宋体" w:cs="宋体"/>
                <w:sz w:val="22"/>
                <w:szCs w:val="20"/>
              </w:rPr>
            </w:pPr>
            <w:r>
              <w:rPr>
                <w:rFonts w:hint="eastAsia" w:ascii="宋体" w:hAnsi="宋体" w:cs="宋体"/>
                <w:sz w:val="22"/>
                <w:szCs w:val="20"/>
              </w:rPr>
              <w:t>分部分项及单价措施项目工程量</w:t>
            </w:r>
          </w:p>
        </w:tc>
        <w:tc>
          <w:tcPr>
            <w:tcW w:w="3645" w:type="dxa"/>
            <w:tcBorders>
              <w:top w:val="single" w:color="auto" w:sz="4" w:space="0"/>
              <w:left w:val="nil"/>
              <w:bottom w:val="single" w:color="auto" w:sz="4" w:space="0"/>
              <w:right w:val="single" w:color="auto" w:sz="4" w:space="0"/>
            </w:tcBorders>
            <w:vAlign w:val="center"/>
          </w:tcPr>
          <w:p>
            <w:pPr>
              <w:spacing w:line="360" w:lineRule="auto"/>
              <w:ind w:firstLine="440" w:firstLineChars="200"/>
              <w:jc w:val="center"/>
              <w:rPr>
                <w:rFonts w:ascii="宋体" w:hAnsi="宋体" w:cs="宋体"/>
                <w:sz w:val="22"/>
                <w:szCs w:val="20"/>
              </w:rPr>
            </w:pPr>
            <w:r>
              <w:rPr>
                <w:rFonts w:hint="eastAsia" w:ascii="宋体" w:hAnsi="宋体" w:cs="宋体"/>
                <w:sz w:val="22"/>
                <w:szCs w:val="20"/>
              </w:rPr>
              <w:t>不得修改招标人清单</w:t>
            </w:r>
          </w:p>
        </w:tc>
        <w:tc>
          <w:tcPr>
            <w:tcW w:w="698" w:type="dxa"/>
            <w:tcBorders>
              <w:top w:val="single" w:color="auto" w:sz="4" w:space="0"/>
              <w:left w:val="nil"/>
              <w:bottom w:val="single" w:color="auto" w:sz="4" w:space="0"/>
              <w:right w:val="single" w:color="auto" w:sz="4" w:space="0"/>
            </w:tcBorders>
            <w:vAlign w:val="center"/>
          </w:tcPr>
          <w:p>
            <w:pPr>
              <w:spacing w:line="360" w:lineRule="auto"/>
              <w:ind w:firstLine="440" w:firstLineChars="200"/>
              <w:jc w:val="center"/>
              <w:rPr>
                <w:rFonts w:ascii="宋体" w:hAnsi="宋体" w:cs="宋体"/>
                <w:sz w:val="22"/>
                <w:szCs w:val="20"/>
              </w:rPr>
            </w:pPr>
          </w:p>
        </w:tc>
        <w:tc>
          <w:tcPr>
            <w:tcW w:w="660" w:type="dxa"/>
            <w:tcBorders>
              <w:top w:val="single" w:color="auto" w:sz="4" w:space="0"/>
              <w:left w:val="nil"/>
              <w:bottom w:val="single" w:color="auto" w:sz="4" w:space="0"/>
              <w:right w:val="single" w:color="auto" w:sz="4" w:space="0"/>
            </w:tcBorders>
            <w:vAlign w:val="center"/>
          </w:tcPr>
          <w:p>
            <w:pPr>
              <w:spacing w:line="360" w:lineRule="auto"/>
              <w:ind w:firstLine="440" w:firstLineChars="200"/>
              <w:jc w:val="center"/>
              <w:rPr>
                <w:rFonts w:ascii="宋体" w:hAnsi="宋体" w:cs="宋体"/>
                <w:sz w:val="22"/>
                <w:szCs w:val="20"/>
              </w:rPr>
            </w:pPr>
          </w:p>
        </w:tc>
      </w:tr>
      <w:tr>
        <w:tblPrEx>
          <w:tblCellMar>
            <w:top w:w="0" w:type="dxa"/>
            <w:left w:w="108" w:type="dxa"/>
            <w:bottom w:w="0" w:type="dxa"/>
            <w:right w:w="108" w:type="dxa"/>
          </w:tblCellMar>
        </w:tblPrEx>
        <w:trPr>
          <w:trHeight w:val="539" w:hRule="atLeast"/>
          <w:jc w:val="center"/>
        </w:trPr>
        <w:tc>
          <w:tcPr>
            <w:tcW w:w="525" w:type="dxa"/>
            <w:vMerge w:val="continue"/>
            <w:tcBorders>
              <w:top w:val="nil"/>
              <w:left w:val="single" w:color="auto" w:sz="4" w:space="0"/>
              <w:bottom w:val="single" w:color="auto" w:sz="4" w:space="0"/>
              <w:right w:val="single" w:color="auto" w:sz="4" w:space="0"/>
            </w:tcBorders>
            <w:vAlign w:val="center"/>
          </w:tcPr>
          <w:p>
            <w:pPr>
              <w:spacing w:line="360" w:lineRule="auto"/>
              <w:ind w:firstLine="440" w:firstLineChars="200"/>
              <w:jc w:val="center"/>
              <w:rPr>
                <w:rFonts w:ascii="宋体" w:hAnsi="宋体" w:cs="宋体"/>
                <w:sz w:val="22"/>
                <w:szCs w:val="20"/>
              </w:rPr>
            </w:pPr>
          </w:p>
        </w:tc>
        <w:tc>
          <w:tcPr>
            <w:tcW w:w="645"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sz w:val="22"/>
                <w:szCs w:val="20"/>
              </w:rPr>
            </w:pPr>
            <w:r>
              <w:rPr>
                <w:rFonts w:hint="eastAsia" w:ascii="宋体" w:hAnsi="宋体" w:cs="宋体"/>
                <w:sz w:val="22"/>
                <w:szCs w:val="20"/>
              </w:rPr>
              <w:t>2.7</w:t>
            </w:r>
          </w:p>
        </w:tc>
        <w:tc>
          <w:tcPr>
            <w:tcW w:w="3698" w:type="dxa"/>
            <w:tcBorders>
              <w:top w:val="single" w:color="auto" w:sz="4" w:space="0"/>
              <w:left w:val="nil"/>
              <w:bottom w:val="single" w:color="auto" w:sz="4" w:space="0"/>
              <w:right w:val="single" w:color="auto" w:sz="4" w:space="0"/>
            </w:tcBorders>
            <w:vAlign w:val="center"/>
          </w:tcPr>
          <w:p>
            <w:pPr>
              <w:spacing w:line="360" w:lineRule="auto"/>
              <w:jc w:val="left"/>
              <w:rPr>
                <w:rFonts w:ascii="宋体" w:hAnsi="宋体" w:cs="宋体"/>
                <w:sz w:val="22"/>
                <w:szCs w:val="20"/>
              </w:rPr>
            </w:pPr>
            <w:r>
              <w:rPr>
                <w:rFonts w:hint="eastAsia" w:ascii="宋体" w:hAnsi="宋体" w:cs="宋体"/>
                <w:sz w:val="22"/>
                <w:szCs w:val="20"/>
              </w:rPr>
              <w:t>分部分项工程费及单价措施费清单综合单价</w:t>
            </w:r>
          </w:p>
        </w:tc>
        <w:tc>
          <w:tcPr>
            <w:tcW w:w="3645" w:type="dxa"/>
            <w:tcBorders>
              <w:top w:val="single" w:color="auto" w:sz="4" w:space="0"/>
              <w:left w:val="nil"/>
              <w:bottom w:val="single" w:color="auto" w:sz="4" w:space="0"/>
              <w:right w:val="single" w:color="auto" w:sz="4" w:space="0"/>
            </w:tcBorders>
            <w:vAlign w:val="center"/>
          </w:tcPr>
          <w:p>
            <w:pPr>
              <w:spacing w:line="360" w:lineRule="auto"/>
              <w:ind w:firstLine="440" w:firstLineChars="200"/>
              <w:jc w:val="center"/>
              <w:rPr>
                <w:rFonts w:ascii="宋体" w:hAnsi="宋体" w:cs="宋体"/>
                <w:sz w:val="22"/>
                <w:szCs w:val="20"/>
              </w:rPr>
            </w:pPr>
            <w:r>
              <w:rPr>
                <w:rFonts w:hint="eastAsia" w:ascii="宋体" w:hAnsi="宋体" w:cs="宋体"/>
                <w:sz w:val="22"/>
                <w:szCs w:val="20"/>
              </w:rPr>
              <w:t>综合单价＝人工费+材料费+机械费+管理费+利润之和</w:t>
            </w:r>
          </w:p>
        </w:tc>
        <w:tc>
          <w:tcPr>
            <w:tcW w:w="698" w:type="dxa"/>
            <w:tcBorders>
              <w:top w:val="single" w:color="auto" w:sz="4" w:space="0"/>
              <w:left w:val="nil"/>
              <w:bottom w:val="single" w:color="auto" w:sz="4" w:space="0"/>
              <w:right w:val="single" w:color="auto" w:sz="4" w:space="0"/>
            </w:tcBorders>
            <w:vAlign w:val="center"/>
          </w:tcPr>
          <w:p>
            <w:pPr>
              <w:spacing w:line="360" w:lineRule="auto"/>
              <w:ind w:firstLine="440" w:firstLineChars="200"/>
              <w:jc w:val="center"/>
              <w:rPr>
                <w:rFonts w:ascii="宋体" w:hAnsi="宋体" w:cs="宋体"/>
                <w:sz w:val="22"/>
                <w:szCs w:val="20"/>
              </w:rPr>
            </w:pPr>
          </w:p>
        </w:tc>
        <w:tc>
          <w:tcPr>
            <w:tcW w:w="660" w:type="dxa"/>
            <w:tcBorders>
              <w:top w:val="single" w:color="auto" w:sz="4" w:space="0"/>
              <w:left w:val="nil"/>
              <w:bottom w:val="single" w:color="auto" w:sz="4" w:space="0"/>
              <w:right w:val="single" w:color="auto" w:sz="4" w:space="0"/>
            </w:tcBorders>
            <w:vAlign w:val="center"/>
          </w:tcPr>
          <w:p>
            <w:pPr>
              <w:spacing w:line="360" w:lineRule="auto"/>
              <w:ind w:firstLine="440" w:firstLineChars="200"/>
              <w:jc w:val="center"/>
              <w:rPr>
                <w:rFonts w:ascii="宋体" w:hAnsi="宋体" w:cs="宋体"/>
                <w:sz w:val="22"/>
                <w:szCs w:val="20"/>
              </w:rPr>
            </w:pPr>
          </w:p>
        </w:tc>
      </w:tr>
      <w:tr>
        <w:tblPrEx>
          <w:tblCellMar>
            <w:top w:w="0" w:type="dxa"/>
            <w:left w:w="108" w:type="dxa"/>
            <w:bottom w:w="0" w:type="dxa"/>
            <w:right w:w="108" w:type="dxa"/>
          </w:tblCellMar>
        </w:tblPrEx>
        <w:trPr>
          <w:trHeight w:val="539" w:hRule="atLeast"/>
          <w:jc w:val="center"/>
        </w:trPr>
        <w:tc>
          <w:tcPr>
            <w:tcW w:w="525" w:type="dxa"/>
            <w:vMerge w:val="continue"/>
            <w:tcBorders>
              <w:top w:val="nil"/>
              <w:left w:val="single" w:color="auto" w:sz="4" w:space="0"/>
              <w:bottom w:val="single" w:color="auto" w:sz="4" w:space="0"/>
              <w:right w:val="single" w:color="auto" w:sz="4" w:space="0"/>
            </w:tcBorders>
            <w:vAlign w:val="center"/>
          </w:tcPr>
          <w:p>
            <w:pPr>
              <w:spacing w:line="360" w:lineRule="auto"/>
              <w:ind w:firstLine="440" w:firstLineChars="200"/>
              <w:jc w:val="center"/>
              <w:rPr>
                <w:rFonts w:ascii="宋体" w:hAnsi="宋体" w:cs="宋体"/>
                <w:sz w:val="22"/>
                <w:szCs w:val="20"/>
              </w:rPr>
            </w:pPr>
          </w:p>
        </w:tc>
        <w:tc>
          <w:tcPr>
            <w:tcW w:w="645"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sz w:val="22"/>
                <w:szCs w:val="20"/>
              </w:rPr>
            </w:pPr>
            <w:r>
              <w:rPr>
                <w:rFonts w:hint="eastAsia" w:ascii="宋体" w:hAnsi="宋体" w:cs="宋体"/>
                <w:sz w:val="22"/>
                <w:szCs w:val="20"/>
              </w:rPr>
              <w:t>2.8</w:t>
            </w:r>
          </w:p>
        </w:tc>
        <w:tc>
          <w:tcPr>
            <w:tcW w:w="3698" w:type="dxa"/>
            <w:tcBorders>
              <w:top w:val="single" w:color="auto" w:sz="4" w:space="0"/>
              <w:left w:val="nil"/>
              <w:bottom w:val="single" w:color="auto" w:sz="4" w:space="0"/>
              <w:right w:val="single" w:color="auto" w:sz="4" w:space="0"/>
            </w:tcBorders>
            <w:vAlign w:val="center"/>
          </w:tcPr>
          <w:p>
            <w:pPr>
              <w:spacing w:line="360" w:lineRule="auto"/>
              <w:ind w:firstLine="440" w:firstLineChars="200"/>
              <w:jc w:val="left"/>
              <w:rPr>
                <w:rFonts w:ascii="宋体" w:hAnsi="宋体" w:cs="宋体"/>
                <w:sz w:val="22"/>
                <w:szCs w:val="20"/>
              </w:rPr>
            </w:pPr>
            <w:r>
              <w:rPr>
                <w:rFonts w:hint="eastAsia" w:ascii="宋体" w:hAnsi="宋体" w:cs="宋体"/>
                <w:sz w:val="22"/>
                <w:szCs w:val="20"/>
              </w:rPr>
              <w:t>材料单价</w:t>
            </w:r>
          </w:p>
        </w:tc>
        <w:tc>
          <w:tcPr>
            <w:tcW w:w="3645" w:type="dxa"/>
            <w:tcBorders>
              <w:top w:val="single" w:color="auto" w:sz="4" w:space="0"/>
              <w:left w:val="nil"/>
              <w:bottom w:val="single" w:color="auto" w:sz="4" w:space="0"/>
              <w:right w:val="single" w:color="auto" w:sz="4" w:space="0"/>
            </w:tcBorders>
            <w:vAlign w:val="center"/>
          </w:tcPr>
          <w:p>
            <w:pPr>
              <w:spacing w:line="360" w:lineRule="auto"/>
              <w:ind w:firstLine="440" w:firstLineChars="200"/>
              <w:jc w:val="center"/>
              <w:rPr>
                <w:rFonts w:ascii="宋体" w:hAnsi="宋体" w:cs="宋体"/>
                <w:sz w:val="22"/>
                <w:szCs w:val="20"/>
              </w:rPr>
            </w:pPr>
            <w:r>
              <w:rPr>
                <w:rFonts w:hint="eastAsia" w:ascii="宋体" w:hAnsi="宋体" w:cs="宋体"/>
                <w:sz w:val="22"/>
                <w:szCs w:val="20"/>
              </w:rPr>
              <w:t>材料表中的单价与组成清单单价中的综合单价必须一致</w:t>
            </w:r>
          </w:p>
        </w:tc>
        <w:tc>
          <w:tcPr>
            <w:tcW w:w="698" w:type="dxa"/>
            <w:tcBorders>
              <w:top w:val="single" w:color="auto" w:sz="4" w:space="0"/>
              <w:left w:val="nil"/>
              <w:bottom w:val="single" w:color="auto" w:sz="4" w:space="0"/>
              <w:right w:val="single" w:color="auto" w:sz="4" w:space="0"/>
            </w:tcBorders>
            <w:vAlign w:val="center"/>
          </w:tcPr>
          <w:p>
            <w:pPr>
              <w:spacing w:line="360" w:lineRule="auto"/>
              <w:ind w:firstLine="440" w:firstLineChars="200"/>
              <w:jc w:val="center"/>
              <w:rPr>
                <w:rFonts w:ascii="宋体" w:hAnsi="宋体" w:cs="宋体"/>
                <w:sz w:val="22"/>
                <w:szCs w:val="20"/>
              </w:rPr>
            </w:pPr>
          </w:p>
        </w:tc>
        <w:tc>
          <w:tcPr>
            <w:tcW w:w="660" w:type="dxa"/>
            <w:tcBorders>
              <w:top w:val="single" w:color="auto" w:sz="4" w:space="0"/>
              <w:left w:val="nil"/>
              <w:bottom w:val="single" w:color="auto" w:sz="4" w:space="0"/>
              <w:right w:val="single" w:color="auto" w:sz="4" w:space="0"/>
            </w:tcBorders>
            <w:vAlign w:val="center"/>
          </w:tcPr>
          <w:p>
            <w:pPr>
              <w:spacing w:line="360" w:lineRule="auto"/>
              <w:ind w:firstLine="440" w:firstLineChars="200"/>
              <w:jc w:val="center"/>
              <w:rPr>
                <w:rFonts w:ascii="宋体" w:hAnsi="宋体" w:cs="宋体"/>
                <w:sz w:val="22"/>
                <w:szCs w:val="20"/>
              </w:rPr>
            </w:pPr>
          </w:p>
        </w:tc>
      </w:tr>
      <w:tr>
        <w:tblPrEx>
          <w:tblCellMar>
            <w:top w:w="0" w:type="dxa"/>
            <w:left w:w="108" w:type="dxa"/>
            <w:bottom w:w="0" w:type="dxa"/>
            <w:right w:w="108" w:type="dxa"/>
          </w:tblCellMar>
        </w:tblPrEx>
        <w:trPr>
          <w:trHeight w:val="539" w:hRule="atLeast"/>
          <w:jc w:val="center"/>
        </w:trPr>
        <w:tc>
          <w:tcPr>
            <w:tcW w:w="525" w:type="dxa"/>
            <w:vMerge w:val="restart"/>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cs="宋体"/>
                <w:sz w:val="22"/>
                <w:szCs w:val="20"/>
              </w:rPr>
            </w:pPr>
            <w:r>
              <w:rPr>
                <w:rFonts w:hint="eastAsia" w:ascii="宋体" w:hAnsi="宋体" w:cs="宋体"/>
                <w:sz w:val="22"/>
                <w:szCs w:val="20"/>
              </w:rPr>
              <w:t>3</w:t>
            </w:r>
          </w:p>
        </w:tc>
        <w:tc>
          <w:tcPr>
            <w:tcW w:w="645"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sz w:val="22"/>
                <w:szCs w:val="20"/>
              </w:rPr>
            </w:pPr>
            <w:r>
              <w:rPr>
                <w:rFonts w:hint="eastAsia" w:ascii="宋体" w:hAnsi="宋体" w:cs="宋体"/>
                <w:sz w:val="22"/>
                <w:szCs w:val="20"/>
              </w:rPr>
              <w:t>3.1</w:t>
            </w:r>
          </w:p>
        </w:tc>
        <w:tc>
          <w:tcPr>
            <w:tcW w:w="3698" w:type="dxa"/>
            <w:tcBorders>
              <w:top w:val="single" w:color="auto" w:sz="4" w:space="0"/>
              <w:left w:val="nil"/>
              <w:bottom w:val="single" w:color="auto" w:sz="4" w:space="0"/>
              <w:right w:val="single" w:color="auto" w:sz="4" w:space="0"/>
            </w:tcBorders>
            <w:vAlign w:val="center"/>
          </w:tcPr>
          <w:p>
            <w:pPr>
              <w:spacing w:line="360" w:lineRule="auto"/>
              <w:ind w:firstLine="440" w:firstLineChars="200"/>
              <w:jc w:val="left"/>
              <w:rPr>
                <w:rFonts w:ascii="宋体" w:hAnsi="宋体" w:cs="宋体"/>
                <w:sz w:val="22"/>
                <w:szCs w:val="20"/>
              </w:rPr>
            </w:pPr>
            <w:r>
              <w:rPr>
                <w:rFonts w:hint="eastAsia" w:ascii="宋体" w:hAnsi="宋体" w:cs="宋体"/>
                <w:sz w:val="22"/>
                <w:szCs w:val="20"/>
              </w:rPr>
              <w:t>安全文明施工费</w:t>
            </w:r>
          </w:p>
        </w:tc>
        <w:tc>
          <w:tcPr>
            <w:tcW w:w="3645" w:type="dxa"/>
            <w:tcBorders>
              <w:top w:val="single" w:color="auto" w:sz="4" w:space="0"/>
              <w:left w:val="nil"/>
              <w:bottom w:val="single" w:color="auto" w:sz="4" w:space="0"/>
              <w:right w:val="single" w:color="auto" w:sz="4" w:space="0"/>
            </w:tcBorders>
            <w:vAlign w:val="center"/>
          </w:tcPr>
          <w:p>
            <w:pPr>
              <w:spacing w:line="360" w:lineRule="auto"/>
              <w:ind w:firstLine="440" w:firstLineChars="200"/>
              <w:jc w:val="center"/>
              <w:rPr>
                <w:rFonts w:ascii="宋体" w:hAnsi="宋体" w:cs="宋体"/>
                <w:sz w:val="22"/>
                <w:szCs w:val="20"/>
              </w:rPr>
            </w:pPr>
            <w:r>
              <w:rPr>
                <w:rFonts w:hint="eastAsia" w:ascii="宋体" w:hAnsi="宋体" w:cs="宋体"/>
                <w:sz w:val="22"/>
                <w:szCs w:val="20"/>
              </w:rPr>
              <w:t>根据河南省计价依据规定计算</w:t>
            </w:r>
          </w:p>
        </w:tc>
        <w:tc>
          <w:tcPr>
            <w:tcW w:w="698" w:type="dxa"/>
            <w:tcBorders>
              <w:top w:val="single" w:color="auto" w:sz="4" w:space="0"/>
              <w:left w:val="nil"/>
              <w:bottom w:val="single" w:color="auto" w:sz="4" w:space="0"/>
              <w:right w:val="single" w:color="auto" w:sz="4" w:space="0"/>
            </w:tcBorders>
            <w:vAlign w:val="center"/>
          </w:tcPr>
          <w:p>
            <w:pPr>
              <w:spacing w:line="360" w:lineRule="auto"/>
              <w:ind w:firstLine="440" w:firstLineChars="200"/>
              <w:jc w:val="center"/>
              <w:rPr>
                <w:rFonts w:ascii="宋体" w:hAnsi="宋体" w:cs="宋体"/>
                <w:sz w:val="22"/>
                <w:szCs w:val="20"/>
              </w:rPr>
            </w:pPr>
          </w:p>
        </w:tc>
        <w:tc>
          <w:tcPr>
            <w:tcW w:w="660" w:type="dxa"/>
            <w:tcBorders>
              <w:top w:val="single" w:color="auto" w:sz="4" w:space="0"/>
              <w:left w:val="nil"/>
              <w:bottom w:val="single" w:color="auto" w:sz="4" w:space="0"/>
              <w:right w:val="single" w:color="auto" w:sz="4" w:space="0"/>
            </w:tcBorders>
            <w:vAlign w:val="center"/>
          </w:tcPr>
          <w:p>
            <w:pPr>
              <w:spacing w:line="360" w:lineRule="auto"/>
              <w:ind w:firstLine="440" w:firstLineChars="200"/>
              <w:jc w:val="center"/>
              <w:rPr>
                <w:rFonts w:ascii="宋体" w:hAnsi="宋体" w:cs="宋体"/>
                <w:sz w:val="22"/>
                <w:szCs w:val="20"/>
              </w:rPr>
            </w:pPr>
          </w:p>
        </w:tc>
      </w:tr>
      <w:tr>
        <w:tblPrEx>
          <w:tblCellMar>
            <w:top w:w="0" w:type="dxa"/>
            <w:left w:w="108" w:type="dxa"/>
            <w:bottom w:w="0" w:type="dxa"/>
            <w:right w:w="108" w:type="dxa"/>
          </w:tblCellMar>
        </w:tblPrEx>
        <w:trPr>
          <w:trHeight w:val="539" w:hRule="atLeast"/>
          <w:jc w:val="center"/>
        </w:trPr>
        <w:tc>
          <w:tcPr>
            <w:tcW w:w="525" w:type="dxa"/>
            <w:vMerge w:val="continue"/>
            <w:tcBorders>
              <w:top w:val="nil"/>
              <w:left w:val="single" w:color="auto" w:sz="4" w:space="0"/>
              <w:bottom w:val="single" w:color="auto" w:sz="4" w:space="0"/>
              <w:right w:val="single" w:color="auto" w:sz="4" w:space="0"/>
            </w:tcBorders>
            <w:vAlign w:val="center"/>
          </w:tcPr>
          <w:p>
            <w:pPr>
              <w:spacing w:line="360" w:lineRule="auto"/>
              <w:ind w:firstLine="440" w:firstLineChars="200"/>
              <w:jc w:val="center"/>
              <w:rPr>
                <w:rFonts w:ascii="宋体" w:hAnsi="宋体" w:cs="宋体"/>
                <w:sz w:val="22"/>
                <w:szCs w:val="20"/>
              </w:rPr>
            </w:pPr>
          </w:p>
        </w:tc>
        <w:tc>
          <w:tcPr>
            <w:tcW w:w="645"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sz w:val="22"/>
                <w:szCs w:val="20"/>
              </w:rPr>
            </w:pPr>
            <w:r>
              <w:rPr>
                <w:rFonts w:hint="eastAsia" w:ascii="宋体" w:hAnsi="宋体" w:cs="宋体"/>
                <w:sz w:val="22"/>
                <w:szCs w:val="20"/>
              </w:rPr>
              <w:t>3.2</w:t>
            </w:r>
          </w:p>
        </w:tc>
        <w:tc>
          <w:tcPr>
            <w:tcW w:w="3698" w:type="dxa"/>
            <w:tcBorders>
              <w:top w:val="single" w:color="auto" w:sz="4" w:space="0"/>
              <w:left w:val="nil"/>
              <w:bottom w:val="single" w:color="auto" w:sz="4" w:space="0"/>
              <w:right w:val="single" w:color="auto" w:sz="4" w:space="0"/>
            </w:tcBorders>
            <w:vAlign w:val="center"/>
          </w:tcPr>
          <w:p>
            <w:pPr>
              <w:spacing w:line="360" w:lineRule="auto"/>
              <w:jc w:val="left"/>
              <w:rPr>
                <w:rFonts w:ascii="宋体" w:hAnsi="宋体" w:cs="宋体"/>
                <w:sz w:val="22"/>
                <w:szCs w:val="20"/>
              </w:rPr>
            </w:pPr>
            <w:r>
              <w:rPr>
                <w:rFonts w:hint="eastAsia" w:ascii="宋体" w:hAnsi="宋体" w:cs="宋体"/>
                <w:sz w:val="22"/>
                <w:szCs w:val="20"/>
              </w:rPr>
              <w:t>其他措施费（费率类）项目</w:t>
            </w:r>
          </w:p>
        </w:tc>
        <w:tc>
          <w:tcPr>
            <w:tcW w:w="3645" w:type="dxa"/>
            <w:tcBorders>
              <w:top w:val="single" w:color="auto" w:sz="4" w:space="0"/>
              <w:left w:val="nil"/>
              <w:bottom w:val="single" w:color="auto" w:sz="4" w:space="0"/>
              <w:right w:val="single" w:color="auto" w:sz="4" w:space="0"/>
            </w:tcBorders>
            <w:vAlign w:val="center"/>
          </w:tcPr>
          <w:p>
            <w:pPr>
              <w:spacing w:line="360" w:lineRule="auto"/>
              <w:ind w:firstLine="440" w:firstLineChars="200"/>
              <w:jc w:val="center"/>
              <w:rPr>
                <w:rFonts w:ascii="宋体" w:hAnsi="宋体" w:cs="宋体"/>
                <w:sz w:val="22"/>
                <w:szCs w:val="20"/>
              </w:rPr>
            </w:pPr>
            <w:r>
              <w:rPr>
                <w:rFonts w:hint="eastAsia" w:ascii="宋体" w:hAnsi="宋体" w:cs="宋体"/>
                <w:sz w:val="22"/>
                <w:szCs w:val="20"/>
              </w:rPr>
              <w:t>根据招标文件要求自主报价</w:t>
            </w:r>
          </w:p>
        </w:tc>
        <w:tc>
          <w:tcPr>
            <w:tcW w:w="698" w:type="dxa"/>
            <w:tcBorders>
              <w:top w:val="single" w:color="auto" w:sz="4" w:space="0"/>
              <w:left w:val="nil"/>
              <w:bottom w:val="single" w:color="auto" w:sz="4" w:space="0"/>
              <w:right w:val="single" w:color="auto" w:sz="4" w:space="0"/>
            </w:tcBorders>
            <w:vAlign w:val="center"/>
          </w:tcPr>
          <w:p>
            <w:pPr>
              <w:spacing w:line="360" w:lineRule="auto"/>
              <w:ind w:firstLine="440" w:firstLineChars="200"/>
              <w:jc w:val="center"/>
              <w:rPr>
                <w:rFonts w:ascii="宋体" w:hAnsi="宋体" w:cs="宋体"/>
                <w:sz w:val="22"/>
                <w:szCs w:val="20"/>
              </w:rPr>
            </w:pPr>
          </w:p>
        </w:tc>
        <w:tc>
          <w:tcPr>
            <w:tcW w:w="660" w:type="dxa"/>
            <w:tcBorders>
              <w:top w:val="single" w:color="auto" w:sz="4" w:space="0"/>
              <w:left w:val="nil"/>
              <w:bottom w:val="single" w:color="auto" w:sz="4" w:space="0"/>
              <w:right w:val="single" w:color="auto" w:sz="4" w:space="0"/>
            </w:tcBorders>
            <w:vAlign w:val="center"/>
          </w:tcPr>
          <w:p>
            <w:pPr>
              <w:spacing w:line="360" w:lineRule="auto"/>
              <w:ind w:firstLine="440" w:firstLineChars="200"/>
              <w:jc w:val="center"/>
              <w:rPr>
                <w:rFonts w:ascii="宋体" w:hAnsi="宋体" w:cs="宋体"/>
                <w:sz w:val="22"/>
                <w:szCs w:val="20"/>
              </w:rPr>
            </w:pPr>
          </w:p>
        </w:tc>
      </w:tr>
      <w:tr>
        <w:tblPrEx>
          <w:tblCellMar>
            <w:top w:w="0" w:type="dxa"/>
            <w:left w:w="108" w:type="dxa"/>
            <w:bottom w:w="0" w:type="dxa"/>
            <w:right w:w="108" w:type="dxa"/>
          </w:tblCellMar>
        </w:tblPrEx>
        <w:trPr>
          <w:trHeight w:val="539" w:hRule="atLeast"/>
          <w:jc w:val="center"/>
        </w:trPr>
        <w:tc>
          <w:tcPr>
            <w:tcW w:w="525" w:type="dxa"/>
            <w:vMerge w:val="restart"/>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cs="宋体"/>
                <w:sz w:val="22"/>
                <w:szCs w:val="20"/>
              </w:rPr>
            </w:pPr>
            <w:r>
              <w:rPr>
                <w:rFonts w:hint="eastAsia" w:ascii="宋体" w:hAnsi="宋体" w:cs="宋体"/>
                <w:sz w:val="22"/>
                <w:szCs w:val="20"/>
              </w:rPr>
              <w:t>4</w:t>
            </w:r>
          </w:p>
        </w:tc>
        <w:tc>
          <w:tcPr>
            <w:tcW w:w="645"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sz w:val="22"/>
                <w:szCs w:val="20"/>
              </w:rPr>
            </w:pPr>
            <w:r>
              <w:rPr>
                <w:rFonts w:hint="eastAsia" w:ascii="宋体" w:hAnsi="宋体" w:cs="宋体"/>
                <w:sz w:val="22"/>
                <w:szCs w:val="20"/>
              </w:rPr>
              <w:t>4.1</w:t>
            </w:r>
          </w:p>
        </w:tc>
        <w:tc>
          <w:tcPr>
            <w:tcW w:w="3698" w:type="dxa"/>
            <w:tcBorders>
              <w:top w:val="single" w:color="auto" w:sz="4" w:space="0"/>
              <w:left w:val="nil"/>
              <w:bottom w:val="single" w:color="auto" w:sz="4" w:space="0"/>
              <w:right w:val="single" w:color="auto" w:sz="4" w:space="0"/>
            </w:tcBorders>
            <w:vAlign w:val="center"/>
          </w:tcPr>
          <w:p>
            <w:pPr>
              <w:spacing w:line="360" w:lineRule="auto"/>
              <w:ind w:firstLine="440" w:firstLineChars="200"/>
              <w:jc w:val="left"/>
              <w:rPr>
                <w:rFonts w:ascii="宋体" w:hAnsi="宋体" w:cs="宋体"/>
                <w:sz w:val="22"/>
                <w:szCs w:val="20"/>
              </w:rPr>
            </w:pPr>
            <w:r>
              <w:rPr>
                <w:rFonts w:hint="eastAsia" w:ascii="宋体" w:hAnsi="宋体" w:cs="宋体"/>
                <w:sz w:val="22"/>
                <w:szCs w:val="20"/>
              </w:rPr>
              <w:t>其它项目费</w:t>
            </w:r>
          </w:p>
        </w:tc>
        <w:tc>
          <w:tcPr>
            <w:tcW w:w="3645" w:type="dxa"/>
            <w:tcBorders>
              <w:top w:val="single" w:color="auto" w:sz="4" w:space="0"/>
              <w:left w:val="nil"/>
              <w:bottom w:val="single" w:color="auto" w:sz="4" w:space="0"/>
              <w:right w:val="single" w:color="auto" w:sz="4" w:space="0"/>
            </w:tcBorders>
            <w:vAlign w:val="center"/>
          </w:tcPr>
          <w:p>
            <w:pPr>
              <w:spacing w:line="360" w:lineRule="auto"/>
              <w:ind w:firstLine="440" w:firstLineChars="200"/>
              <w:jc w:val="center"/>
              <w:rPr>
                <w:rFonts w:ascii="宋体" w:hAnsi="宋体" w:cs="宋体"/>
                <w:sz w:val="22"/>
                <w:szCs w:val="20"/>
              </w:rPr>
            </w:pPr>
            <w:r>
              <w:rPr>
                <w:rFonts w:hint="eastAsia" w:ascii="宋体" w:hAnsi="宋体" w:cs="宋体"/>
                <w:sz w:val="22"/>
                <w:szCs w:val="20"/>
              </w:rPr>
              <w:t>各组成部分之和（暂列金额+专业暂估价+计日工费+总承包服务费）</w:t>
            </w:r>
          </w:p>
        </w:tc>
        <w:tc>
          <w:tcPr>
            <w:tcW w:w="698" w:type="dxa"/>
            <w:tcBorders>
              <w:top w:val="single" w:color="auto" w:sz="4" w:space="0"/>
              <w:left w:val="nil"/>
              <w:bottom w:val="single" w:color="auto" w:sz="4" w:space="0"/>
              <w:right w:val="single" w:color="auto" w:sz="4" w:space="0"/>
            </w:tcBorders>
            <w:vAlign w:val="center"/>
          </w:tcPr>
          <w:p>
            <w:pPr>
              <w:spacing w:line="360" w:lineRule="auto"/>
              <w:ind w:firstLine="440" w:firstLineChars="200"/>
              <w:jc w:val="center"/>
              <w:rPr>
                <w:rFonts w:ascii="宋体" w:hAnsi="宋体" w:cs="宋体"/>
                <w:sz w:val="22"/>
                <w:szCs w:val="20"/>
              </w:rPr>
            </w:pPr>
          </w:p>
        </w:tc>
        <w:tc>
          <w:tcPr>
            <w:tcW w:w="660" w:type="dxa"/>
            <w:tcBorders>
              <w:top w:val="single" w:color="auto" w:sz="4" w:space="0"/>
              <w:left w:val="nil"/>
              <w:bottom w:val="single" w:color="auto" w:sz="4" w:space="0"/>
              <w:right w:val="single" w:color="auto" w:sz="4" w:space="0"/>
            </w:tcBorders>
            <w:vAlign w:val="center"/>
          </w:tcPr>
          <w:p>
            <w:pPr>
              <w:spacing w:line="360" w:lineRule="auto"/>
              <w:ind w:firstLine="440" w:firstLineChars="200"/>
              <w:jc w:val="center"/>
              <w:rPr>
                <w:rFonts w:ascii="宋体" w:hAnsi="宋体" w:cs="宋体"/>
                <w:sz w:val="22"/>
                <w:szCs w:val="20"/>
              </w:rPr>
            </w:pPr>
          </w:p>
        </w:tc>
      </w:tr>
      <w:tr>
        <w:tblPrEx>
          <w:tblCellMar>
            <w:top w:w="0" w:type="dxa"/>
            <w:left w:w="108" w:type="dxa"/>
            <w:bottom w:w="0" w:type="dxa"/>
            <w:right w:w="108" w:type="dxa"/>
          </w:tblCellMar>
        </w:tblPrEx>
        <w:trPr>
          <w:trHeight w:val="454" w:hRule="exact"/>
          <w:jc w:val="center"/>
        </w:trPr>
        <w:tc>
          <w:tcPr>
            <w:tcW w:w="525" w:type="dxa"/>
            <w:vMerge w:val="continue"/>
            <w:tcBorders>
              <w:top w:val="nil"/>
              <w:left w:val="single" w:color="auto" w:sz="4" w:space="0"/>
              <w:bottom w:val="single" w:color="auto" w:sz="4" w:space="0"/>
              <w:right w:val="single" w:color="auto" w:sz="4" w:space="0"/>
            </w:tcBorders>
            <w:vAlign w:val="center"/>
          </w:tcPr>
          <w:p>
            <w:pPr>
              <w:spacing w:line="360" w:lineRule="auto"/>
              <w:ind w:firstLine="440" w:firstLineChars="200"/>
              <w:jc w:val="center"/>
              <w:rPr>
                <w:rFonts w:ascii="宋体" w:hAnsi="宋体" w:cs="宋体"/>
                <w:sz w:val="22"/>
                <w:szCs w:val="20"/>
              </w:rPr>
            </w:pPr>
          </w:p>
        </w:tc>
        <w:tc>
          <w:tcPr>
            <w:tcW w:w="645"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sz w:val="22"/>
                <w:szCs w:val="20"/>
              </w:rPr>
            </w:pPr>
            <w:r>
              <w:rPr>
                <w:rFonts w:hint="eastAsia" w:ascii="宋体" w:hAnsi="宋体" w:cs="宋体"/>
                <w:sz w:val="22"/>
                <w:szCs w:val="20"/>
              </w:rPr>
              <w:t>4.2</w:t>
            </w:r>
          </w:p>
        </w:tc>
        <w:tc>
          <w:tcPr>
            <w:tcW w:w="3698" w:type="dxa"/>
            <w:tcBorders>
              <w:top w:val="single" w:color="auto" w:sz="4" w:space="0"/>
              <w:left w:val="nil"/>
              <w:bottom w:val="single" w:color="auto" w:sz="4" w:space="0"/>
              <w:right w:val="single" w:color="auto" w:sz="4" w:space="0"/>
            </w:tcBorders>
            <w:vAlign w:val="center"/>
          </w:tcPr>
          <w:p>
            <w:pPr>
              <w:spacing w:line="360" w:lineRule="auto"/>
              <w:ind w:firstLine="440" w:firstLineChars="200"/>
              <w:jc w:val="left"/>
              <w:rPr>
                <w:rFonts w:ascii="宋体" w:hAnsi="宋体" w:cs="宋体"/>
                <w:sz w:val="22"/>
                <w:szCs w:val="20"/>
              </w:rPr>
            </w:pPr>
            <w:r>
              <w:rPr>
                <w:rFonts w:hint="eastAsia" w:ascii="宋体" w:hAnsi="宋体" w:cs="宋体"/>
                <w:sz w:val="22"/>
                <w:szCs w:val="20"/>
              </w:rPr>
              <w:t>暂列金额</w:t>
            </w:r>
          </w:p>
        </w:tc>
        <w:tc>
          <w:tcPr>
            <w:tcW w:w="3645" w:type="dxa"/>
            <w:tcBorders>
              <w:top w:val="single" w:color="auto" w:sz="4" w:space="0"/>
              <w:left w:val="nil"/>
              <w:bottom w:val="single" w:color="auto" w:sz="4" w:space="0"/>
              <w:right w:val="single" w:color="auto" w:sz="4" w:space="0"/>
            </w:tcBorders>
            <w:vAlign w:val="center"/>
          </w:tcPr>
          <w:p>
            <w:pPr>
              <w:spacing w:line="360" w:lineRule="auto"/>
              <w:ind w:firstLine="440" w:firstLineChars="200"/>
              <w:jc w:val="center"/>
              <w:rPr>
                <w:rFonts w:ascii="宋体" w:hAnsi="宋体" w:cs="宋体"/>
                <w:sz w:val="22"/>
                <w:szCs w:val="20"/>
              </w:rPr>
            </w:pPr>
            <w:r>
              <w:rPr>
                <w:rFonts w:hint="eastAsia" w:ascii="宋体" w:hAnsi="宋体" w:cs="宋体"/>
                <w:sz w:val="22"/>
                <w:szCs w:val="20"/>
              </w:rPr>
              <w:t>应与招标人价格一致</w:t>
            </w:r>
          </w:p>
        </w:tc>
        <w:tc>
          <w:tcPr>
            <w:tcW w:w="698" w:type="dxa"/>
            <w:tcBorders>
              <w:top w:val="single" w:color="auto" w:sz="4" w:space="0"/>
              <w:left w:val="nil"/>
              <w:bottom w:val="single" w:color="auto" w:sz="4" w:space="0"/>
              <w:right w:val="single" w:color="auto" w:sz="4" w:space="0"/>
            </w:tcBorders>
            <w:vAlign w:val="center"/>
          </w:tcPr>
          <w:p>
            <w:pPr>
              <w:spacing w:line="360" w:lineRule="auto"/>
              <w:ind w:firstLine="440" w:firstLineChars="200"/>
              <w:jc w:val="center"/>
              <w:rPr>
                <w:rFonts w:ascii="宋体" w:hAnsi="宋体" w:cs="宋体"/>
                <w:sz w:val="22"/>
                <w:szCs w:val="20"/>
              </w:rPr>
            </w:pPr>
          </w:p>
        </w:tc>
        <w:tc>
          <w:tcPr>
            <w:tcW w:w="660" w:type="dxa"/>
            <w:tcBorders>
              <w:top w:val="single" w:color="auto" w:sz="4" w:space="0"/>
              <w:left w:val="nil"/>
              <w:bottom w:val="single" w:color="auto" w:sz="4" w:space="0"/>
              <w:right w:val="single" w:color="auto" w:sz="4" w:space="0"/>
            </w:tcBorders>
            <w:vAlign w:val="center"/>
          </w:tcPr>
          <w:p>
            <w:pPr>
              <w:spacing w:line="360" w:lineRule="auto"/>
              <w:ind w:firstLine="440" w:firstLineChars="200"/>
              <w:jc w:val="center"/>
              <w:rPr>
                <w:rFonts w:ascii="宋体" w:hAnsi="宋体" w:cs="宋体"/>
                <w:sz w:val="22"/>
                <w:szCs w:val="20"/>
              </w:rPr>
            </w:pPr>
          </w:p>
        </w:tc>
      </w:tr>
      <w:tr>
        <w:tblPrEx>
          <w:tblCellMar>
            <w:top w:w="0" w:type="dxa"/>
            <w:left w:w="108" w:type="dxa"/>
            <w:bottom w:w="0" w:type="dxa"/>
            <w:right w:w="108" w:type="dxa"/>
          </w:tblCellMar>
        </w:tblPrEx>
        <w:trPr>
          <w:trHeight w:val="454" w:hRule="exact"/>
          <w:jc w:val="center"/>
        </w:trPr>
        <w:tc>
          <w:tcPr>
            <w:tcW w:w="525" w:type="dxa"/>
            <w:vMerge w:val="continue"/>
            <w:tcBorders>
              <w:top w:val="nil"/>
              <w:left w:val="single" w:color="auto" w:sz="4" w:space="0"/>
              <w:bottom w:val="single" w:color="auto" w:sz="4" w:space="0"/>
              <w:right w:val="single" w:color="auto" w:sz="4" w:space="0"/>
            </w:tcBorders>
            <w:vAlign w:val="center"/>
          </w:tcPr>
          <w:p>
            <w:pPr>
              <w:spacing w:line="360" w:lineRule="auto"/>
              <w:ind w:firstLine="440" w:firstLineChars="200"/>
              <w:jc w:val="center"/>
              <w:rPr>
                <w:rFonts w:ascii="宋体" w:hAnsi="宋体" w:cs="宋体"/>
                <w:sz w:val="22"/>
                <w:szCs w:val="20"/>
              </w:rPr>
            </w:pPr>
          </w:p>
        </w:tc>
        <w:tc>
          <w:tcPr>
            <w:tcW w:w="645"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sz w:val="22"/>
                <w:szCs w:val="20"/>
              </w:rPr>
            </w:pPr>
            <w:r>
              <w:rPr>
                <w:rFonts w:hint="eastAsia" w:ascii="宋体" w:hAnsi="宋体" w:cs="宋体"/>
                <w:sz w:val="22"/>
                <w:szCs w:val="20"/>
              </w:rPr>
              <w:t>4.3</w:t>
            </w:r>
          </w:p>
        </w:tc>
        <w:tc>
          <w:tcPr>
            <w:tcW w:w="3698" w:type="dxa"/>
            <w:tcBorders>
              <w:top w:val="single" w:color="auto" w:sz="4" w:space="0"/>
              <w:left w:val="nil"/>
              <w:bottom w:val="single" w:color="auto" w:sz="4" w:space="0"/>
              <w:right w:val="single" w:color="auto" w:sz="4" w:space="0"/>
            </w:tcBorders>
            <w:vAlign w:val="center"/>
          </w:tcPr>
          <w:p>
            <w:pPr>
              <w:spacing w:line="360" w:lineRule="auto"/>
              <w:ind w:firstLine="440" w:firstLineChars="200"/>
              <w:jc w:val="left"/>
              <w:rPr>
                <w:rFonts w:ascii="宋体" w:hAnsi="宋体" w:cs="宋体"/>
                <w:sz w:val="22"/>
                <w:szCs w:val="20"/>
              </w:rPr>
            </w:pPr>
            <w:r>
              <w:rPr>
                <w:rFonts w:hint="eastAsia" w:ascii="宋体" w:hAnsi="宋体" w:cs="宋体"/>
                <w:sz w:val="22"/>
                <w:szCs w:val="20"/>
              </w:rPr>
              <w:t>专业工程暂估价</w:t>
            </w:r>
          </w:p>
        </w:tc>
        <w:tc>
          <w:tcPr>
            <w:tcW w:w="3645" w:type="dxa"/>
            <w:tcBorders>
              <w:top w:val="single" w:color="auto" w:sz="4" w:space="0"/>
              <w:left w:val="nil"/>
              <w:bottom w:val="single" w:color="auto" w:sz="4" w:space="0"/>
              <w:right w:val="single" w:color="auto" w:sz="4" w:space="0"/>
            </w:tcBorders>
            <w:vAlign w:val="center"/>
          </w:tcPr>
          <w:p>
            <w:pPr>
              <w:spacing w:line="360" w:lineRule="auto"/>
              <w:ind w:firstLine="440" w:firstLineChars="200"/>
              <w:jc w:val="center"/>
              <w:rPr>
                <w:rFonts w:ascii="宋体" w:hAnsi="宋体" w:cs="宋体"/>
                <w:sz w:val="22"/>
                <w:szCs w:val="20"/>
              </w:rPr>
            </w:pPr>
            <w:r>
              <w:rPr>
                <w:rFonts w:hint="eastAsia" w:ascii="宋体" w:hAnsi="宋体" w:cs="宋体"/>
                <w:sz w:val="22"/>
                <w:szCs w:val="20"/>
              </w:rPr>
              <w:t>应与招标人价格一致</w:t>
            </w:r>
          </w:p>
        </w:tc>
        <w:tc>
          <w:tcPr>
            <w:tcW w:w="698" w:type="dxa"/>
            <w:tcBorders>
              <w:top w:val="single" w:color="auto" w:sz="4" w:space="0"/>
              <w:left w:val="nil"/>
              <w:bottom w:val="single" w:color="auto" w:sz="4" w:space="0"/>
              <w:right w:val="single" w:color="auto" w:sz="4" w:space="0"/>
            </w:tcBorders>
            <w:vAlign w:val="center"/>
          </w:tcPr>
          <w:p>
            <w:pPr>
              <w:spacing w:line="360" w:lineRule="auto"/>
              <w:ind w:firstLine="440" w:firstLineChars="200"/>
              <w:jc w:val="center"/>
              <w:rPr>
                <w:rFonts w:ascii="宋体" w:hAnsi="宋体" w:cs="宋体"/>
                <w:sz w:val="22"/>
                <w:szCs w:val="20"/>
              </w:rPr>
            </w:pPr>
          </w:p>
        </w:tc>
        <w:tc>
          <w:tcPr>
            <w:tcW w:w="660" w:type="dxa"/>
            <w:tcBorders>
              <w:top w:val="single" w:color="auto" w:sz="4" w:space="0"/>
              <w:left w:val="nil"/>
              <w:bottom w:val="single" w:color="auto" w:sz="4" w:space="0"/>
              <w:right w:val="single" w:color="auto" w:sz="4" w:space="0"/>
            </w:tcBorders>
            <w:vAlign w:val="center"/>
          </w:tcPr>
          <w:p>
            <w:pPr>
              <w:spacing w:line="360" w:lineRule="auto"/>
              <w:ind w:firstLine="440" w:firstLineChars="200"/>
              <w:jc w:val="center"/>
              <w:rPr>
                <w:rFonts w:ascii="宋体" w:hAnsi="宋体" w:cs="宋体"/>
                <w:sz w:val="22"/>
                <w:szCs w:val="20"/>
              </w:rPr>
            </w:pPr>
          </w:p>
        </w:tc>
      </w:tr>
      <w:tr>
        <w:tblPrEx>
          <w:tblCellMar>
            <w:top w:w="0" w:type="dxa"/>
            <w:left w:w="108" w:type="dxa"/>
            <w:bottom w:w="0" w:type="dxa"/>
            <w:right w:w="108" w:type="dxa"/>
          </w:tblCellMar>
        </w:tblPrEx>
        <w:trPr>
          <w:trHeight w:val="454" w:hRule="exact"/>
          <w:jc w:val="center"/>
        </w:trPr>
        <w:tc>
          <w:tcPr>
            <w:tcW w:w="525" w:type="dxa"/>
            <w:vMerge w:val="continue"/>
            <w:tcBorders>
              <w:top w:val="nil"/>
              <w:left w:val="single" w:color="auto" w:sz="4" w:space="0"/>
              <w:bottom w:val="single" w:color="auto" w:sz="4" w:space="0"/>
              <w:right w:val="single" w:color="auto" w:sz="4" w:space="0"/>
            </w:tcBorders>
            <w:vAlign w:val="center"/>
          </w:tcPr>
          <w:p>
            <w:pPr>
              <w:spacing w:line="360" w:lineRule="auto"/>
              <w:ind w:firstLine="440" w:firstLineChars="200"/>
              <w:jc w:val="center"/>
              <w:rPr>
                <w:rFonts w:ascii="宋体" w:hAnsi="宋体" w:cs="宋体"/>
                <w:sz w:val="22"/>
                <w:szCs w:val="20"/>
              </w:rPr>
            </w:pPr>
          </w:p>
        </w:tc>
        <w:tc>
          <w:tcPr>
            <w:tcW w:w="645"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sz w:val="22"/>
                <w:szCs w:val="20"/>
              </w:rPr>
            </w:pPr>
            <w:r>
              <w:rPr>
                <w:rFonts w:hint="eastAsia" w:ascii="宋体" w:hAnsi="宋体" w:cs="宋体"/>
                <w:sz w:val="22"/>
                <w:szCs w:val="20"/>
              </w:rPr>
              <w:t>4.4</w:t>
            </w:r>
          </w:p>
        </w:tc>
        <w:tc>
          <w:tcPr>
            <w:tcW w:w="3698" w:type="dxa"/>
            <w:tcBorders>
              <w:top w:val="single" w:color="auto" w:sz="4" w:space="0"/>
              <w:left w:val="nil"/>
              <w:bottom w:val="single" w:color="auto" w:sz="4" w:space="0"/>
              <w:right w:val="single" w:color="auto" w:sz="4" w:space="0"/>
            </w:tcBorders>
            <w:vAlign w:val="center"/>
          </w:tcPr>
          <w:p>
            <w:pPr>
              <w:spacing w:line="360" w:lineRule="auto"/>
              <w:ind w:firstLine="440" w:firstLineChars="200"/>
              <w:jc w:val="left"/>
              <w:rPr>
                <w:rFonts w:ascii="宋体" w:hAnsi="宋体" w:cs="宋体"/>
                <w:sz w:val="22"/>
                <w:szCs w:val="20"/>
              </w:rPr>
            </w:pPr>
            <w:r>
              <w:rPr>
                <w:rFonts w:hint="eastAsia" w:ascii="宋体" w:hAnsi="宋体" w:cs="宋体"/>
                <w:sz w:val="22"/>
                <w:szCs w:val="20"/>
              </w:rPr>
              <w:t>计日工</w:t>
            </w:r>
          </w:p>
        </w:tc>
        <w:tc>
          <w:tcPr>
            <w:tcW w:w="3645" w:type="dxa"/>
            <w:tcBorders>
              <w:top w:val="single" w:color="auto" w:sz="4" w:space="0"/>
              <w:left w:val="nil"/>
              <w:bottom w:val="single" w:color="auto" w:sz="4" w:space="0"/>
              <w:right w:val="single" w:color="auto" w:sz="4" w:space="0"/>
            </w:tcBorders>
            <w:vAlign w:val="center"/>
          </w:tcPr>
          <w:p>
            <w:pPr>
              <w:spacing w:line="360" w:lineRule="auto"/>
              <w:ind w:firstLine="440" w:firstLineChars="200"/>
              <w:jc w:val="center"/>
              <w:rPr>
                <w:rFonts w:ascii="宋体" w:hAnsi="宋体" w:cs="宋体"/>
                <w:sz w:val="22"/>
                <w:szCs w:val="20"/>
              </w:rPr>
            </w:pPr>
            <w:r>
              <w:rPr>
                <w:rFonts w:hint="eastAsia" w:ascii="宋体" w:hAnsi="宋体" w:cs="宋体"/>
                <w:sz w:val="22"/>
                <w:szCs w:val="20"/>
              </w:rPr>
              <w:t>应与招标人数量一致</w:t>
            </w:r>
          </w:p>
        </w:tc>
        <w:tc>
          <w:tcPr>
            <w:tcW w:w="698" w:type="dxa"/>
            <w:tcBorders>
              <w:top w:val="single" w:color="auto" w:sz="4" w:space="0"/>
              <w:left w:val="nil"/>
              <w:bottom w:val="single" w:color="auto" w:sz="4" w:space="0"/>
              <w:right w:val="single" w:color="auto" w:sz="4" w:space="0"/>
            </w:tcBorders>
            <w:vAlign w:val="center"/>
          </w:tcPr>
          <w:p>
            <w:pPr>
              <w:spacing w:line="360" w:lineRule="auto"/>
              <w:ind w:firstLine="440" w:firstLineChars="200"/>
              <w:jc w:val="center"/>
              <w:rPr>
                <w:rFonts w:ascii="宋体" w:hAnsi="宋体" w:cs="宋体"/>
                <w:sz w:val="22"/>
                <w:szCs w:val="20"/>
              </w:rPr>
            </w:pPr>
          </w:p>
        </w:tc>
        <w:tc>
          <w:tcPr>
            <w:tcW w:w="660" w:type="dxa"/>
            <w:tcBorders>
              <w:top w:val="single" w:color="auto" w:sz="4" w:space="0"/>
              <w:left w:val="nil"/>
              <w:bottom w:val="single" w:color="auto" w:sz="4" w:space="0"/>
              <w:right w:val="single" w:color="auto" w:sz="4" w:space="0"/>
            </w:tcBorders>
            <w:vAlign w:val="center"/>
          </w:tcPr>
          <w:p>
            <w:pPr>
              <w:spacing w:line="360" w:lineRule="auto"/>
              <w:ind w:firstLine="440" w:firstLineChars="200"/>
              <w:jc w:val="center"/>
              <w:rPr>
                <w:rFonts w:ascii="宋体" w:hAnsi="宋体" w:cs="宋体"/>
                <w:sz w:val="22"/>
                <w:szCs w:val="20"/>
              </w:rPr>
            </w:pPr>
          </w:p>
        </w:tc>
      </w:tr>
      <w:tr>
        <w:tblPrEx>
          <w:tblCellMar>
            <w:top w:w="0" w:type="dxa"/>
            <w:left w:w="108" w:type="dxa"/>
            <w:bottom w:w="0" w:type="dxa"/>
            <w:right w:w="108" w:type="dxa"/>
          </w:tblCellMar>
        </w:tblPrEx>
        <w:trPr>
          <w:trHeight w:val="454" w:hRule="exact"/>
          <w:jc w:val="center"/>
        </w:trPr>
        <w:tc>
          <w:tcPr>
            <w:tcW w:w="525" w:type="dxa"/>
            <w:vMerge w:val="continue"/>
            <w:tcBorders>
              <w:top w:val="nil"/>
              <w:left w:val="single" w:color="auto" w:sz="4" w:space="0"/>
              <w:bottom w:val="single" w:color="auto" w:sz="4" w:space="0"/>
              <w:right w:val="single" w:color="auto" w:sz="4" w:space="0"/>
            </w:tcBorders>
            <w:vAlign w:val="center"/>
          </w:tcPr>
          <w:p>
            <w:pPr>
              <w:spacing w:line="360" w:lineRule="auto"/>
              <w:ind w:firstLine="440" w:firstLineChars="200"/>
              <w:jc w:val="center"/>
              <w:rPr>
                <w:rFonts w:ascii="宋体" w:hAnsi="宋体" w:cs="宋体"/>
                <w:sz w:val="22"/>
                <w:szCs w:val="20"/>
              </w:rPr>
            </w:pPr>
          </w:p>
        </w:tc>
        <w:tc>
          <w:tcPr>
            <w:tcW w:w="645"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sz w:val="22"/>
                <w:szCs w:val="20"/>
              </w:rPr>
            </w:pPr>
            <w:r>
              <w:rPr>
                <w:rFonts w:hint="eastAsia" w:ascii="宋体" w:hAnsi="宋体" w:cs="宋体"/>
                <w:sz w:val="22"/>
                <w:szCs w:val="20"/>
              </w:rPr>
              <w:t>4.5</w:t>
            </w:r>
          </w:p>
        </w:tc>
        <w:tc>
          <w:tcPr>
            <w:tcW w:w="3698" w:type="dxa"/>
            <w:tcBorders>
              <w:top w:val="single" w:color="auto" w:sz="4" w:space="0"/>
              <w:left w:val="nil"/>
              <w:bottom w:val="single" w:color="auto" w:sz="4" w:space="0"/>
              <w:right w:val="single" w:color="auto" w:sz="4" w:space="0"/>
            </w:tcBorders>
            <w:vAlign w:val="center"/>
          </w:tcPr>
          <w:p>
            <w:pPr>
              <w:spacing w:line="360" w:lineRule="auto"/>
              <w:ind w:firstLine="440" w:firstLineChars="200"/>
              <w:jc w:val="left"/>
              <w:rPr>
                <w:rFonts w:ascii="宋体" w:hAnsi="宋体" w:cs="宋体"/>
                <w:sz w:val="22"/>
                <w:szCs w:val="20"/>
              </w:rPr>
            </w:pPr>
            <w:r>
              <w:rPr>
                <w:rFonts w:hint="eastAsia" w:ascii="宋体" w:hAnsi="宋体" w:cs="宋体"/>
                <w:sz w:val="22"/>
                <w:szCs w:val="20"/>
              </w:rPr>
              <w:t>总承包服务费</w:t>
            </w:r>
          </w:p>
        </w:tc>
        <w:tc>
          <w:tcPr>
            <w:tcW w:w="3645" w:type="dxa"/>
            <w:tcBorders>
              <w:top w:val="single" w:color="auto" w:sz="4" w:space="0"/>
              <w:left w:val="nil"/>
              <w:bottom w:val="single" w:color="auto" w:sz="4" w:space="0"/>
              <w:right w:val="single" w:color="auto" w:sz="4" w:space="0"/>
            </w:tcBorders>
            <w:vAlign w:val="center"/>
          </w:tcPr>
          <w:p>
            <w:pPr>
              <w:spacing w:line="360" w:lineRule="auto"/>
              <w:ind w:firstLine="440" w:firstLineChars="200"/>
              <w:jc w:val="center"/>
              <w:rPr>
                <w:rFonts w:ascii="宋体" w:hAnsi="宋体" w:cs="宋体"/>
                <w:sz w:val="22"/>
                <w:szCs w:val="20"/>
              </w:rPr>
            </w:pPr>
            <w:r>
              <w:rPr>
                <w:rFonts w:hint="eastAsia" w:ascii="宋体" w:hAnsi="宋体" w:cs="宋体"/>
                <w:sz w:val="22"/>
                <w:szCs w:val="20"/>
              </w:rPr>
              <w:t>是否按招标文件要求计算</w:t>
            </w:r>
          </w:p>
        </w:tc>
        <w:tc>
          <w:tcPr>
            <w:tcW w:w="698" w:type="dxa"/>
            <w:tcBorders>
              <w:top w:val="single" w:color="auto" w:sz="4" w:space="0"/>
              <w:left w:val="nil"/>
              <w:bottom w:val="single" w:color="auto" w:sz="4" w:space="0"/>
              <w:right w:val="single" w:color="auto" w:sz="4" w:space="0"/>
            </w:tcBorders>
            <w:vAlign w:val="center"/>
          </w:tcPr>
          <w:p>
            <w:pPr>
              <w:spacing w:line="360" w:lineRule="auto"/>
              <w:ind w:firstLine="440" w:firstLineChars="200"/>
              <w:jc w:val="center"/>
              <w:rPr>
                <w:rFonts w:ascii="宋体" w:hAnsi="宋体" w:cs="宋体"/>
                <w:sz w:val="22"/>
                <w:szCs w:val="20"/>
              </w:rPr>
            </w:pPr>
          </w:p>
        </w:tc>
        <w:tc>
          <w:tcPr>
            <w:tcW w:w="660" w:type="dxa"/>
            <w:tcBorders>
              <w:top w:val="single" w:color="auto" w:sz="4" w:space="0"/>
              <w:left w:val="nil"/>
              <w:bottom w:val="single" w:color="auto" w:sz="4" w:space="0"/>
              <w:right w:val="single" w:color="auto" w:sz="4" w:space="0"/>
            </w:tcBorders>
            <w:vAlign w:val="center"/>
          </w:tcPr>
          <w:p>
            <w:pPr>
              <w:spacing w:line="360" w:lineRule="auto"/>
              <w:ind w:firstLine="440" w:firstLineChars="200"/>
              <w:jc w:val="center"/>
              <w:rPr>
                <w:rFonts w:ascii="宋体" w:hAnsi="宋体" w:cs="宋体"/>
                <w:sz w:val="22"/>
                <w:szCs w:val="20"/>
              </w:rPr>
            </w:pPr>
          </w:p>
        </w:tc>
      </w:tr>
      <w:tr>
        <w:tblPrEx>
          <w:tblCellMar>
            <w:top w:w="0" w:type="dxa"/>
            <w:left w:w="108" w:type="dxa"/>
            <w:bottom w:w="0" w:type="dxa"/>
            <w:right w:w="108" w:type="dxa"/>
          </w:tblCellMar>
        </w:tblPrEx>
        <w:trPr>
          <w:trHeight w:val="454" w:hRule="exact"/>
          <w:jc w:val="center"/>
        </w:trPr>
        <w:tc>
          <w:tcPr>
            <w:tcW w:w="52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2"/>
                <w:szCs w:val="20"/>
              </w:rPr>
            </w:pPr>
            <w:r>
              <w:rPr>
                <w:rFonts w:hint="eastAsia" w:ascii="宋体" w:hAnsi="宋体" w:cs="宋体"/>
                <w:sz w:val="22"/>
                <w:szCs w:val="20"/>
              </w:rPr>
              <w:t>5</w:t>
            </w:r>
          </w:p>
        </w:tc>
        <w:tc>
          <w:tcPr>
            <w:tcW w:w="645" w:type="dxa"/>
            <w:tcBorders>
              <w:top w:val="single" w:color="auto" w:sz="4" w:space="0"/>
              <w:left w:val="nil"/>
              <w:bottom w:val="single" w:color="auto" w:sz="4" w:space="0"/>
              <w:right w:val="single" w:color="auto" w:sz="4" w:space="0"/>
            </w:tcBorders>
            <w:vAlign w:val="center"/>
          </w:tcPr>
          <w:p>
            <w:pPr>
              <w:spacing w:line="360" w:lineRule="auto"/>
              <w:ind w:firstLine="440" w:firstLineChars="200"/>
              <w:jc w:val="center"/>
              <w:rPr>
                <w:rFonts w:ascii="宋体" w:hAnsi="宋体" w:cs="宋体"/>
                <w:sz w:val="22"/>
                <w:szCs w:val="20"/>
              </w:rPr>
            </w:pPr>
          </w:p>
        </w:tc>
        <w:tc>
          <w:tcPr>
            <w:tcW w:w="3698" w:type="dxa"/>
            <w:tcBorders>
              <w:top w:val="single" w:color="auto" w:sz="4" w:space="0"/>
              <w:left w:val="nil"/>
              <w:bottom w:val="single" w:color="auto" w:sz="4" w:space="0"/>
              <w:right w:val="single" w:color="auto" w:sz="4" w:space="0"/>
            </w:tcBorders>
            <w:vAlign w:val="center"/>
          </w:tcPr>
          <w:p>
            <w:pPr>
              <w:spacing w:line="360" w:lineRule="auto"/>
              <w:ind w:firstLine="440" w:firstLineChars="200"/>
              <w:jc w:val="left"/>
              <w:rPr>
                <w:rFonts w:ascii="宋体" w:hAnsi="宋体" w:cs="宋体"/>
                <w:sz w:val="22"/>
                <w:szCs w:val="20"/>
              </w:rPr>
            </w:pPr>
            <w:r>
              <w:rPr>
                <w:rFonts w:hint="eastAsia" w:ascii="宋体" w:hAnsi="宋体" w:cs="宋体"/>
                <w:sz w:val="22"/>
                <w:szCs w:val="20"/>
              </w:rPr>
              <w:t>规费</w:t>
            </w:r>
          </w:p>
        </w:tc>
        <w:tc>
          <w:tcPr>
            <w:tcW w:w="3645" w:type="dxa"/>
            <w:tcBorders>
              <w:top w:val="single" w:color="auto" w:sz="4" w:space="0"/>
              <w:left w:val="nil"/>
              <w:bottom w:val="single" w:color="auto" w:sz="4" w:space="0"/>
              <w:right w:val="single" w:color="auto" w:sz="4" w:space="0"/>
            </w:tcBorders>
            <w:vAlign w:val="center"/>
          </w:tcPr>
          <w:p>
            <w:pPr>
              <w:spacing w:line="360" w:lineRule="auto"/>
              <w:ind w:firstLine="440" w:firstLineChars="200"/>
              <w:jc w:val="center"/>
              <w:rPr>
                <w:rFonts w:ascii="宋体" w:hAnsi="宋体" w:cs="宋体"/>
                <w:sz w:val="22"/>
                <w:szCs w:val="20"/>
              </w:rPr>
            </w:pPr>
            <w:r>
              <w:rPr>
                <w:rFonts w:hint="eastAsia" w:ascii="宋体" w:hAnsi="宋体" w:cs="宋体"/>
                <w:sz w:val="22"/>
                <w:szCs w:val="20"/>
              </w:rPr>
              <w:t>根据河南省计价依据规定计算</w:t>
            </w:r>
          </w:p>
        </w:tc>
        <w:tc>
          <w:tcPr>
            <w:tcW w:w="698" w:type="dxa"/>
            <w:tcBorders>
              <w:top w:val="single" w:color="auto" w:sz="4" w:space="0"/>
              <w:left w:val="nil"/>
              <w:bottom w:val="single" w:color="auto" w:sz="4" w:space="0"/>
              <w:right w:val="single" w:color="auto" w:sz="4" w:space="0"/>
            </w:tcBorders>
            <w:vAlign w:val="center"/>
          </w:tcPr>
          <w:p>
            <w:pPr>
              <w:spacing w:line="360" w:lineRule="auto"/>
              <w:ind w:firstLine="440" w:firstLineChars="200"/>
              <w:jc w:val="center"/>
              <w:rPr>
                <w:rFonts w:ascii="宋体" w:hAnsi="宋体" w:cs="宋体"/>
                <w:sz w:val="22"/>
                <w:szCs w:val="20"/>
              </w:rPr>
            </w:pPr>
          </w:p>
        </w:tc>
        <w:tc>
          <w:tcPr>
            <w:tcW w:w="660" w:type="dxa"/>
            <w:tcBorders>
              <w:top w:val="single" w:color="auto" w:sz="4" w:space="0"/>
              <w:left w:val="nil"/>
              <w:bottom w:val="single" w:color="auto" w:sz="4" w:space="0"/>
              <w:right w:val="single" w:color="auto" w:sz="4" w:space="0"/>
            </w:tcBorders>
            <w:vAlign w:val="center"/>
          </w:tcPr>
          <w:p>
            <w:pPr>
              <w:spacing w:line="360" w:lineRule="auto"/>
              <w:ind w:firstLine="440" w:firstLineChars="200"/>
              <w:jc w:val="center"/>
              <w:rPr>
                <w:rFonts w:ascii="宋体" w:hAnsi="宋体" w:cs="宋体"/>
                <w:sz w:val="22"/>
                <w:szCs w:val="20"/>
              </w:rPr>
            </w:pPr>
          </w:p>
        </w:tc>
      </w:tr>
      <w:tr>
        <w:tblPrEx>
          <w:tblCellMar>
            <w:top w:w="0" w:type="dxa"/>
            <w:left w:w="108" w:type="dxa"/>
            <w:bottom w:w="0" w:type="dxa"/>
            <w:right w:w="108" w:type="dxa"/>
          </w:tblCellMar>
        </w:tblPrEx>
        <w:trPr>
          <w:trHeight w:val="454" w:hRule="exact"/>
          <w:jc w:val="center"/>
        </w:trPr>
        <w:tc>
          <w:tcPr>
            <w:tcW w:w="52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2"/>
                <w:szCs w:val="20"/>
              </w:rPr>
            </w:pPr>
            <w:r>
              <w:rPr>
                <w:rFonts w:hint="eastAsia" w:ascii="宋体" w:hAnsi="宋体" w:cs="宋体"/>
                <w:sz w:val="22"/>
                <w:szCs w:val="20"/>
              </w:rPr>
              <w:t>6</w:t>
            </w:r>
          </w:p>
        </w:tc>
        <w:tc>
          <w:tcPr>
            <w:tcW w:w="645" w:type="dxa"/>
            <w:tcBorders>
              <w:top w:val="single" w:color="auto" w:sz="4" w:space="0"/>
              <w:left w:val="nil"/>
              <w:bottom w:val="single" w:color="auto" w:sz="4" w:space="0"/>
              <w:right w:val="single" w:color="auto" w:sz="4" w:space="0"/>
            </w:tcBorders>
            <w:vAlign w:val="center"/>
          </w:tcPr>
          <w:p>
            <w:pPr>
              <w:spacing w:line="360" w:lineRule="auto"/>
              <w:ind w:firstLine="440" w:firstLineChars="200"/>
              <w:jc w:val="center"/>
              <w:rPr>
                <w:rFonts w:ascii="宋体" w:hAnsi="宋体" w:cs="宋体"/>
                <w:sz w:val="22"/>
                <w:szCs w:val="20"/>
              </w:rPr>
            </w:pPr>
          </w:p>
        </w:tc>
        <w:tc>
          <w:tcPr>
            <w:tcW w:w="3698" w:type="dxa"/>
            <w:tcBorders>
              <w:top w:val="single" w:color="auto" w:sz="4" w:space="0"/>
              <w:left w:val="nil"/>
              <w:bottom w:val="single" w:color="auto" w:sz="4" w:space="0"/>
              <w:right w:val="single" w:color="auto" w:sz="4" w:space="0"/>
            </w:tcBorders>
            <w:vAlign w:val="center"/>
          </w:tcPr>
          <w:p>
            <w:pPr>
              <w:spacing w:line="360" w:lineRule="auto"/>
              <w:ind w:firstLine="440" w:firstLineChars="200"/>
              <w:jc w:val="left"/>
              <w:rPr>
                <w:rFonts w:ascii="宋体" w:hAnsi="宋体" w:cs="宋体"/>
                <w:sz w:val="22"/>
                <w:szCs w:val="20"/>
              </w:rPr>
            </w:pPr>
            <w:r>
              <w:rPr>
                <w:rFonts w:hint="eastAsia" w:ascii="宋体" w:hAnsi="宋体" w:cs="宋体"/>
                <w:sz w:val="22"/>
                <w:szCs w:val="20"/>
              </w:rPr>
              <w:t>增值税</w:t>
            </w:r>
          </w:p>
        </w:tc>
        <w:tc>
          <w:tcPr>
            <w:tcW w:w="3645" w:type="dxa"/>
            <w:tcBorders>
              <w:top w:val="single" w:color="auto" w:sz="4" w:space="0"/>
              <w:left w:val="nil"/>
              <w:bottom w:val="single" w:color="auto" w:sz="4" w:space="0"/>
              <w:right w:val="single" w:color="auto" w:sz="4" w:space="0"/>
            </w:tcBorders>
            <w:vAlign w:val="center"/>
          </w:tcPr>
          <w:p>
            <w:pPr>
              <w:spacing w:line="360" w:lineRule="auto"/>
              <w:ind w:firstLine="440" w:firstLineChars="200"/>
              <w:jc w:val="center"/>
              <w:rPr>
                <w:rFonts w:ascii="宋体" w:hAnsi="宋体" w:cs="宋体"/>
                <w:sz w:val="22"/>
                <w:szCs w:val="20"/>
              </w:rPr>
            </w:pPr>
            <w:r>
              <w:rPr>
                <w:rFonts w:hint="eastAsia" w:ascii="宋体" w:hAnsi="宋体" w:cs="宋体"/>
                <w:sz w:val="22"/>
                <w:szCs w:val="20"/>
              </w:rPr>
              <w:t>根据河南省计价依据规定计算</w:t>
            </w:r>
          </w:p>
        </w:tc>
        <w:tc>
          <w:tcPr>
            <w:tcW w:w="698" w:type="dxa"/>
            <w:tcBorders>
              <w:top w:val="single" w:color="auto" w:sz="4" w:space="0"/>
              <w:left w:val="nil"/>
              <w:bottom w:val="single" w:color="auto" w:sz="4" w:space="0"/>
              <w:right w:val="single" w:color="auto" w:sz="4" w:space="0"/>
            </w:tcBorders>
            <w:vAlign w:val="center"/>
          </w:tcPr>
          <w:p>
            <w:pPr>
              <w:spacing w:line="360" w:lineRule="auto"/>
              <w:ind w:firstLine="440" w:firstLineChars="200"/>
              <w:jc w:val="center"/>
              <w:rPr>
                <w:rFonts w:ascii="宋体" w:hAnsi="宋体" w:cs="宋体"/>
                <w:sz w:val="22"/>
                <w:szCs w:val="20"/>
              </w:rPr>
            </w:pPr>
          </w:p>
        </w:tc>
        <w:tc>
          <w:tcPr>
            <w:tcW w:w="660" w:type="dxa"/>
            <w:tcBorders>
              <w:top w:val="single" w:color="auto" w:sz="4" w:space="0"/>
              <w:left w:val="nil"/>
              <w:bottom w:val="single" w:color="auto" w:sz="4" w:space="0"/>
              <w:right w:val="single" w:color="auto" w:sz="4" w:space="0"/>
            </w:tcBorders>
            <w:vAlign w:val="center"/>
          </w:tcPr>
          <w:p>
            <w:pPr>
              <w:spacing w:line="360" w:lineRule="auto"/>
              <w:ind w:firstLine="440" w:firstLineChars="200"/>
              <w:jc w:val="center"/>
              <w:rPr>
                <w:rFonts w:ascii="宋体" w:hAnsi="宋体" w:cs="宋体"/>
                <w:sz w:val="22"/>
                <w:szCs w:val="20"/>
              </w:rPr>
            </w:pPr>
          </w:p>
        </w:tc>
      </w:tr>
      <w:tr>
        <w:tblPrEx>
          <w:tblCellMar>
            <w:top w:w="0" w:type="dxa"/>
            <w:left w:w="108" w:type="dxa"/>
            <w:bottom w:w="0" w:type="dxa"/>
            <w:right w:w="108" w:type="dxa"/>
          </w:tblCellMar>
        </w:tblPrEx>
        <w:trPr>
          <w:trHeight w:val="471" w:hRule="exact"/>
          <w:jc w:val="center"/>
        </w:trPr>
        <w:tc>
          <w:tcPr>
            <w:tcW w:w="52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2"/>
                <w:szCs w:val="20"/>
              </w:rPr>
            </w:pPr>
            <w:r>
              <w:rPr>
                <w:rFonts w:hint="eastAsia" w:ascii="宋体" w:hAnsi="宋体" w:cs="宋体"/>
                <w:sz w:val="22"/>
                <w:szCs w:val="20"/>
              </w:rPr>
              <w:t>7</w:t>
            </w:r>
          </w:p>
        </w:tc>
        <w:tc>
          <w:tcPr>
            <w:tcW w:w="645" w:type="dxa"/>
            <w:tcBorders>
              <w:top w:val="single" w:color="auto" w:sz="4" w:space="0"/>
              <w:left w:val="nil"/>
              <w:bottom w:val="single" w:color="auto" w:sz="4" w:space="0"/>
              <w:right w:val="single" w:color="auto" w:sz="4" w:space="0"/>
            </w:tcBorders>
            <w:vAlign w:val="center"/>
          </w:tcPr>
          <w:p>
            <w:pPr>
              <w:spacing w:line="360" w:lineRule="auto"/>
              <w:ind w:firstLine="440" w:firstLineChars="200"/>
              <w:jc w:val="center"/>
              <w:rPr>
                <w:rFonts w:ascii="宋体" w:hAnsi="宋体" w:cs="宋体"/>
                <w:sz w:val="22"/>
                <w:szCs w:val="20"/>
              </w:rPr>
            </w:pPr>
          </w:p>
        </w:tc>
        <w:tc>
          <w:tcPr>
            <w:tcW w:w="7343" w:type="dxa"/>
            <w:gridSpan w:val="2"/>
            <w:tcBorders>
              <w:top w:val="single" w:color="auto" w:sz="4" w:space="0"/>
              <w:left w:val="nil"/>
              <w:bottom w:val="single" w:color="auto" w:sz="4" w:space="0"/>
              <w:right w:val="single" w:color="auto" w:sz="4" w:space="0"/>
            </w:tcBorders>
            <w:vAlign w:val="center"/>
          </w:tcPr>
          <w:p>
            <w:pPr>
              <w:spacing w:line="360" w:lineRule="auto"/>
              <w:ind w:firstLine="440" w:firstLineChars="200"/>
              <w:jc w:val="center"/>
              <w:rPr>
                <w:rFonts w:ascii="宋体" w:hAnsi="宋体" w:cs="宋体"/>
                <w:sz w:val="22"/>
                <w:szCs w:val="20"/>
              </w:rPr>
            </w:pPr>
            <w:r>
              <w:rPr>
                <w:rFonts w:hint="eastAsia" w:ascii="宋体" w:hAnsi="宋体" w:cs="宋体"/>
                <w:sz w:val="22"/>
                <w:szCs w:val="20"/>
              </w:rPr>
              <w:t>不违反法律、法规、规章、规范性文件规定的其它情况</w:t>
            </w:r>
          </w:p>
        </w:tc>
        <w:tc>
          <w:tcPr>
            <w:tcW w:w="698" w:type="dxa"/>
            <w:tcBorders>
              <w:top w:val="single" w:color="auto" w:sz="4" w:space="0"/>
              <w:left w:val="nil"/>
              <w:bottom w:val="single" w:color="auto" w:sz="4" w:space="0"/>
              <w:right w:val="single" w:color="auto" w:sz="4" w:space="0"/>
            </w:tcBorders>
            <w:vAlign w:val="center"/>
          </w:tcPr>
          <w:p>
            <w:pPr>
              <w:spacing w:line="360" w:lineRule="auto"/>
              <w:ind w:firstLine="440" w:firstLineChars="200"/>
              <w:jc w:val="center"/>
              <w:rPr>
                <w:rFonts w:ascii="宋体" w:hAnsi="宋体" w:cs="宋体"/>
                <w:sz w:val="22"/>
                <w:szCs w:val="20"/>
              </w:rPr>
            </w:pPr>
          </w:p>
        </w:tc>
        <w:tc>
          <w:tcPr>
            <w:tcW w:w="660" w:type="dxa"/>
            <w:tcBorders>
              <w:top w:val="single" w:color="auto" w:sz="4" w:space="0"/>
              <w:left w:val="nil"/>
              <w:bottom w:val="single" w:color="auto" w:sz="4" w:space="0"/>
              <w:right w:val="single" w:color="auto" w:sz="4" w:space="0"/>
            </w:tcBorders>
            <w:vAlign w:val="center"/>
          </w:tcPr>
          <w:p>
            <w:pPr>
              <w:spacing w:line="360" w:lineRule="auto"/>
              <w:ind w:firstLine="440" w:firstLineChars="200"/>
              <w:jc w:val="center"/>
              <w:rPr>
                <w:rFonts w:ascii="宋体" w:hAnsi="宋体" w:cs="宋体"/>
                <w:sz w:val="22"/>
                <w:szCs w:val="20"/>
              </w:rPr>
            </w:pPr>
          </w:p>
        </w:tc>
      </w:tr>
    </w:tbl>
    <w:p>
      <w:pPr>
        <w:autoSpaceDE w:val="0"/>
        <w:autoSpaceDN w:val="0"/>
        <w:spacing w:line="360" w:lineRule="auto"/>
        <w:ind w:firstLine="482" w:firstLineChars="200"/>
        <w:contextualSpacing/>
        <w:jc w:val="left"/>
        <w:outlineLvl w:val="0"/>
        <w:rPr>
          <w:rFonts w:ascii="宋体" w:hAnsi="宋体" w:cs="宋体"/>
          <w:b/>
          <w:bCs/>
          <w:sz w:val="24"/>
          <w:szCs w:val="24"/>
        </w:rPr>
      </w:pPr>
      <w:r>
        <w:rPr>
          <w:rFonts w:hint="eastAsia" w:ascii="宋体" w:hAnsi="宋体" w:cs="宋体"/>
          <w:b/>
          <w:bCs/>
          <w:sz w:val="24"/>
          <w:szCs w:val="24"/>
        </w:rPr>
        <w:t>注：不在上述范围内且不具有实质性影响的内容，均不能作为清标的依据或理由。</w:t>
      </w:r>
    </w:p>
    <w:bookmarkEnd w:id="212"/>
    <w:p>
      <w:pPr>
        <w:adjustRightInd w:val="0"/>
        <w:snapToGrid w:val="0"/>
        <w:spacing w:line="360" w:lineRule="auto"/>
        <w:ind w:firstLine="482" w:firstLineChars="200"/>
        <w:rPr>
          <w:rFonts w:ascii="宋体" w:hAnsi="宋体" w:cs="宋体"/>
          <w:b/>
          <w:sz w:val="24"/>
        </w:rPr>
      </w:pPr>
      <w:r>
        <w:rPr>
          <w:rFonts w:hint="eastAsia" w:ascii="宋体" w:hAnsi="宋体" w:cs="宋体"/>
          <w:b/>
          <w:sz w:val="24"/>
        </w:rPr>
        <w:t>五、初步评审</w:t>
      </w:r>
    </w:p>
    <w:p>
      <w:pPr>
        <w:autoSpaceDE w:val="0"/>
        <w:autoSpaceDN w:val="0"/>
        <w:spacing w:line="360" w:lineRule="auto"/>
        <w:ind w:firstLine="480" w:firstLineChars="200"/>
        <w:contextualSpacing/>
        <w:jc w:val="left"/>
        <w:outlineLvl w:val="0"/>
        <w:rPr>
          <w:rFonts w:ascii="宋体" w:hAnsi="宋体" w:cs="宋体"/>
          <w:kern w:val="0"/>
          <w:sz w:val="24"/>
          <w:szCs w:val="24"/>
        </w:rPr>
      </w:pPr>
      <w:bookmarkStart w:id="213" w:name="_Toc21112"/>
      <w:r>
        <w:rPr>
          <w:rFonts w:hint="eastAsia" w:ascii="宋体" w:hAnsi="宋体" w:cs="宋体"/>
          <w:kern w:val="0"/>
          <w:sz w:val="24"/>
          <w:szCs w:val="24"/>
        </w:rPr>
        <w:t>招标人依法组织的评标委员会首先对投标人进行初步评审，只有通过初步评审的投标人才能进入下步评审。</w:t>
      </w:r>
      <w:bookmarkEnd w:id="213"/>
      <w:bookmarkStart w:id="214" w:name="_Toc464824723"/>
      <w:bookmarkEnd w:id="214"/>
      <w:bookmarkStart w:id="215" w:name="_Toc27484"/>
      <w:bookmarkEnd w:id="215"/>
    </w:p>
    <w:p>
      <w:pPr>
        <w:snapToGrid w:val="0"/>
        <w:spacing w:line="360" w:lineRule="auto"/>
        <w:ind w:firstLine="480" w:firstLineChars="200"/>
        <w:rPr>
          <w:rFonts w:ascii="宋体" w:hAnsi="宋体" w:cs="宋体"/>
          <w:sz w:val="24"/>
        </w:rPr>
      </w:pPr>
      <w:r>
        <w:rPr>
          <w:rFonts w:hint="eastAsia" w:ascii="宋体" w:hAnsi="宋体" w:cs="宋体"/>
          <w:sz w:val="24"/>
        </w:rPr>
        <w:t>初步评审主要包括以下内容：</w:t>
      </w:r>
    </w:p>
    <w:p>
      <w:pPr>
        <w:numPr>
          <w:ilvl w:val="0"/>
          <w:numId w:val="1"/>
        </w:numPr>
        <w:snapToGrid w:val="0"/>
        <w:spacing w:line="360" w:lineRule="auto"/>
        <w:ind w:firstLine="480" w:firstLineChars="200"/>
        <w:rPr>
          <w:rFonts w:ascii="宋体" w:hAnsi="宋体" w:cs="宋体"/>
          <w:sz w:val="24"/>
        </w:rPr>
      </w:pPr>
      <w:r>
        <w:rPr>
          <w:rFonts w:hint="eastAsia" w:ascii="宋体" w:hAnsi="宋体" w:cs="宋体"/>
          <w:sz w:val="24"/>
        </w:rPr>
        <w:t>投标文件未按前附表要求签字盖章；</w:t>
      </w:r>
    </w:p>
    <w:p>
      <w:pPr>
        <w:snapToGrid w:val="0"/>
        <w:spacing w:line="360" w:lineRule="auto"/>
        <w:ind w:firstLine="480" w:firstLineChars="200"/>
        <w:rPr>
          <w:rFonts w:ascii="宋体" w:hAnsi="宋体" w:cs="宋体"/>
          <w:sz w:val="24"/>
          <w:szCs w:val="24"/>
        </w:rPr>
      </w:pPr>
      <w:r>
        <w:rPr>
          <w:rFonts w:hint="eastAsia" w:ascii="宋体" w:hAnsi="宋体" w:cs="宋体"/>
          <w:sz w:val="24"/>
        </w:rPr>
        <w:t>2.</w:t>
      </w:r>
      <w:r>
        <w:rPr>
          <w:rFonts w:hint="eastAsia" w:ascii="宋体" w:hAnsi="宋体" w:cs="宋体"/>
          <w:sz w:val="24"/>
          <w:szCs w:val="24"/>
        </w:rPr>
        <w:t>投标人名称与营业执照、资质证书等证件名称不一致；</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3.投标文件没有对招标文件的实质性要求和条件作出响应（包括是否按规定缴纳投标担保）。</w:t>
      </w:r>
    </w:p>
    <w:p>
      <w:pPr>
        <w:snapToGrid w:val="0"/>
        <w:spacing w:line="360" w:lineRule="auto"/>
        <w:ind w:firstLine="480" w:firstLineChars="200"/>
        <w:rPr>
          <w:rFonts w:ascii="宋体" w:hAnsi="宋体" w:cs="宋体"/>
          <w:sz w:val="24"/>
        </w:rPr>
      </w:pPr>
      <w:r>
        <w:rPr>
          <w:rFonts w:hint="eastAsia" w:ascii="宋体" w:hAnsi="宋体" w:cs="宋体"/>
          <w:sz w:val="24"/>
        </w:rPr>
        <w:t>4.投标人不符合国家或者招标文件规定的资格条件；（投标人须知前附表1.4.1）</w:t>
      </w:r>
    </w:p>
    <w:p>
      <w:pPr>
        <w:snapToGrid w:val="0"/>
        <w:spacing w:line="360" w:lineRule="auto"/>
        <w:ind w:firstLine="480" w:firstLineChars="200"/>
        <w:rPr>
          <w:rFonts w:ascii="宋体" w:hAnsi="宋体" w:cs="宋体"/>
          <w:sz w:val="24"/>
        </w:rPr>
      </w:pPr>
      <w:r>
        <w:rPr>
          <w:rFonts w:hint="eastAsia" w:ascii="宋体" w:hAnsi="宋体" w:cs="宋体"/>
          <w:sz w:val="24"/>
        </w:rPr>
        <w:t>5.同一投标人提交两个以上不同的投标文件或者投标报价，但招标文件要求提交备选投标的除外；</w:t>
      </w:r>
    </w:p>
    <w:p>
      <w:pPr>
        <w:snapToGrid w:val="0"/>
        <w:spacing w:line="360" w:lineRule="auto"/>
        <w:ind w:firstLine="480" w:firstLineChars="200"/>
        <w:rPr>
          <w:rFonts w:ascii="宋体" w:hAnsi="宋体" w:cs="宋体"/>
          <w:sz w:val="24"/>
        </w:rPr>
      </w:pPr>
      <w:r>
        <w:rPr>
          <w:rFonts w:hint="eastAsia" w:ascii="宋体" w:hAnsi="宋体" w:cs="宋体"/>
          <w:sz w:val="24"/>
        </w:rPr>
        <w:t>6.投标报价高于招标文件设定的最高投标限价；</w:t>
      </w:r>
    </w:p>
    <w:p>
      <w:pPr>
        <w:snapToGrid w:val="0"/>
        <w:spacing w:line="360" w:lineRule="auto"/>
        <w:ind w:firstLine="480" w:firstLineChars="200"/>
        <w:rPr>
          <w:rFonts w:ascii="宋体" w:hAnsi="宋体" w:cs="宋体"/>
          <w:sz w:val="24"/>
        </w:rPr>
      </w:pPr>
      <w:r>
        <w:rPr>
          <w:rFonts w:hint="eastAsia" w:ascii="宋体" w:hAnsi="宋体" w:cs="宋体"/>
          <w:sz w:val="24"/>
        </w:rPr>
        <w:t>7.投标范围、工期、工程质量、投标有效期、付款方式不符合招标文件规定；</w:t>
      </w:r>
    </w:p>
    <w:p>
      <w:pPr>
        <w:snapToGrid w:val="0"/>
        <w:spacing w:line="360" w:lineRule="auto"/>
        <w:ind w:firstLine="480" w:firstLineChars="200"/>
        <w:rPr>
          <w:rFonts w:ascii="宋体" w:hAnsi="宋体" w:cs="宋体"/>
          <w:sz w:val="24"/>
        </w:rPr>
      </w:pPr>
      <w:r>
        <w:rPr>
          <w:rFonts w:hint="eastAsia" w:ascii="宋体" w:hAnsi="宋体" w:cs="宋体"/>
          <w:sz w:val="24"/>
        </w:rPr>
        <w:t>8.投标人有串通投标、弄虚作假等违法行为。</w:t>
      </w:r>
    </w:p>
    <w:p>
      <w:pPr>
        <w:snapToGrid w:val="0"/>
        <w:spacing w:line="360" w:lineRule="auto"/>
        <w:ind w:firstLine="482" w:firstLineChars="200"/>
        <w:rPr>
          <w:rFonts w:ascii="宋体" w:hAnsi="宋体" w:cs="宋体"/>
          <w:b/>
          <w:sz w:val="24"/>
        </w:rPr>
      </w:pPr>
      <w:r>
        <w:rPr>
          <w:rFonts w:hint="eastAsia" w:ascii="宋体" w:hAnsi="宋体" w:cs="宋体"/>
          <w:b/>
          <w:sz w:val="24"/>
        </w:rPr>
        <w:t xml:space="preserve">9. </w:t>
      </w:r>
      <w:r>
        <w:rPr>
          <w:rFonts w:hint="eastAsia" w:ascii="宋体" w:hAnsi="宋体" w:cs="宋体"/>
          <w:b/>
          <w:bCs/>
          <w:sz w:val="24"/>
          <w:szCs w:val="24"/>
          <w:lang w:val="zh-CN"/>
        </w:rPr>
        <w:t>按照《关于推进全流程电子化交易和在线监管工作有关问题的通知》（许公管办[2019]3号）规定：</w:t>
      </w:r>
      <w:r>
        <w:rPr>
          <w:rFonts w:hint="eastAsia" w:ascii="宋体" w:hAnsi="宋体" w:cs="宋体"/>
          <w:b/>
          <w:sz w:val="24"/>
        </w:rPr>
        <w:t>不同投标人电子投标文件记录的网卡MAC地址、CPU序号、硬盘序列号等硬件特征码均相同时，视为‘不同投标人的投标文件由同一单位或者个人编制’或‘不同投标人委托同一单位或者个人办理投标事宜’，其‘投标无效’的条款；评标专家应严格按照招标文件要求查看“硬件特征码”相关信息并进行评审，在评标报告中显示“不同投标人电子投标文件制作硬件特征码”是否均一致的分析及判定结果。</w:t>
      </w:r>
    </w:p>
    <w:p>
      <w:pPr>
        <w:snapToGrid w:val="0"/>
        <w:spacing w:line="360" w:lineRule="auto"/>
        <w:ind w:firstLine="480" w:firstLineChars="200"/>
        <w:rPr>
          <w:rFonts w:ascii="宋体" w:hAnsi="宋体" w:cs="宋体"/>
          <w:sz w:val="24"/>
          <w:szCs w:val="24"/>
        </w:rPr>
      </w:pPr>
      <w:r>
        <w:rPr>
          <w:rFonts w:hint="eastAsia" w:ascii="宋体" w:hAnsi="宋体" w:cs="宋体"/>
          <w:sz w:val="24"/>
        </w:rPr>
        <w:t>10.被列入失信被执行人名单的投标人，其投标将被拒绝。（</w:t>
      </w:r>
      <w:bookmarkStart w:id="216" w:name="_Hlk534616277"/>
      <w:r>
        <w:rPr>
          <w:rFonts w:hint="eastAsia" w:ascii="宋体" w:hAnsi="宋体" w:cs="宋体"/>
          <w:sz w:val="24"/>
        </w:rPr>
        <w:t>招标项目开标结束后、评标开始前，招标人（或招标代理机构）对投标人信用记录进行现场查询，并将查询结果随项目开标资料一并送入评标室，由专家进行评判。</w:t>
      </w:r>
      <w:r>
        <w:rPr>
          <w:rFonts w:hint="eastAsia" w:ascii="宋体" w:hAnsi="宋体" w:cs="宋体"/>
          <w:b/>
          <w:bCs/>
          <w:sz w:val="24"/>
        </w:rPr>
        <w:t>投标人无须提供信用记录查询结果网页截图，</w:t>
      </w:r>
      <w:r>
        <w:rPr>
          <w:rFonts w:hint="eastAsia" w:ascii="宋体" w:hAnsi="宋体" w:cs="宋体"/>
          <w:sz w:val="24"/>
        </w:rPr>
        <w:t>信用信息查询记录和证据留存具体方式：经评标委员会确认的查询结果网页截图作为查询记录和证据，与其他文件一并存档）</w:t>
      </w:r>
      <w:bookmarkEnd w:id="216"/>
      <w:r>
        <w:rPr>
          <w:rFonts w:hint="eastAsia" w:ascii="宋体" w:hAnsi="宋体" w:cs="宋体"/>
          <w:sz w:val="24"/>
        </w:rPr>
        <w:t>。</w:t>
      </w:r>
    </w:p>
    <w:p>
      <w:pPr>
        <w:snapToGrid w:val="0"/>
        <w:spacing w:line="360" w:lineRule="auto"/>
        <w:ind w:firstLine="480" w:firstLineChars="200"/>
        <w:rPr>
          <w:rFonts w:ascii="宋体" w:hAnsi="宋体" w:cs="宋体"/>
          <w:sz w:val="24"/>
        </w:rPr>
      </w:pPr>
      <w:r>
        <w:rPr>
          <w:rFonts w:hint="eastAsia" w:ascii="宋体" w:hAnsi="宋体" w:cs="宋体"/>
          <w:sz w:val="24"/>
        </w:rPr>
        <w:t>（1）“信用中国”（www.creditchina.gov.cn）“失信被执行人”、“重大税收违法案件当事人名单”网页查询结果截图，查询对象为投标人；</w:t>
      </w:r>
    </w:p>
    <w:p>
      <w:pPr>
        <w:snapToGrid w:val="0"/>
        <w:spacing w:line="360" w:lineRule="auto"/>
        <w:ind w:firstLine="480" w:firstLineChars="200"/>
        <w:rPr>
          <w:rFonts w:ascii="宋体" w:hAnsi="宋体" w:cs="宋体"/>
          <w:sz w:val="24"/>
        </w:rPr>
      </w:pPr>
      <w:r>
        <w:rPr>
          <w:rFonts w:hint="eastAsia" w:ascii="宋体" w:hAnsi="宋体" w:cs="宋体"/>
          <w:sz w:val="24"/>
        </w:rPr>
        <w:t>“信用河南”（www.xyhn.gov.cn）黑名单查询截图。查询内容包括：失信被执行人，河南省拖欠农民工工资，查询对象为投标人；</w:t>
      </w:r>
    </w:p>
    <w:p>
      <w:pPr>
        <w:snapToGrid w:val="0"/>
        <w:spacing w:line="360" w:lineRule="auto"/>
        <w:ind w:firstLine="480" w:firstLineChars="200"/>
        <w:rPr>
          <w:rFonts w:ascii="宋体" w:hAnsi="宋体" w:cs="宋体"/>
          <w:sz w:val="24"/>
        </w:rPr>
      </w:pPr>
      <w:r>
        <w:rPr>
          <w:rFonts w:hint="eastAsia" w:ascii="宋体" w:hAnsi="宋体" w:cs="宋体"/>
          <w:sz w:val="24"/>
        </w:rPr>
        <w:t>（2）“全国企业信用信息公示系统”（www.gsxt.gov.cn）“经营异常名录和严重违法失信企业名单”网页查询结果截图；查询对象为投标人。</w:t>
      </w:r>
    </w:p>
    <w:p>
      <w:pPr>
        <w:snapToGrid w:val="0"/>
        <w:spacing w:line="360" w:lineRule="auto"/>
        <w:ind w:firstLine="480" w:firstLineChars="200"/>
        <w:rPr>
          <w:rFonts w:ascii="宋体" w:hAnsi="宋体" w:cs="宋体"/>
          <w:sz w:val="24"/>
        </w:rPr>
      </w:pPr>
      <w:r>
        <w:rPr>
          <w:rFonts w:hint="eastAsia" w:ascii="宋体" w:hAnsi="宋体" w:cs="宋体"/>
          <w:sz w:val="24"/>
        </w:rPr>
        <w:t>（3）“中国裁判文书网”（wenshu.court.gov.cn）行贿犯罪网页查询结果截图。查询对象为投标人。</w:t>
      </w:r>
    </w:p>
    <w:p>
      <w:pPr>
        <w:snapToGrid w:val="0"/>
        <w:spacing w:line="360" w:lineRule="auto"/>
        <w:ind w:firstLine="480" w:firstLineChars="200"/>
        <w:rPr>
          <w:rFonts w:ascii="宋体" w:hAnsi="宋体" w:cs="宋体"/>
          <w:sz w:val="24"/>
        </w:rPr>
      </w:pPr>
      <w:r>
        <w:rPr>
          <w:rFonts w:hint="eastAsia" w:ascii="宋体" w:hAnsi="宋体" w:cs="宋体"/>
          <w:sz w:val="24"/>
        </w:rPr>
        <w:t>11.招标人在招标文件列入的其它内容：</w:t>
      </w:r>
    </w:p>
    <w:p>
      <w:pPr>
        <w:spacing w:line="360" w:lineRule="auto"/>
        <w:ind w:firstLine="240" w:firstLineChars="100"/>
        <w:contextualSpacing/>
        <w:rPr>
          <w:rFonts w:ascii="宋体" w:hAnsi="宋体" w:cs="宋体"/>
          <w:sz w:val="24"/>
          <w:szCs w:val="24"/>
        </w:rPr>
      </w:pPr>
      <w:r>
        <w:rPr>
          <w:rFonts w:hint="eastAsia" w:ascii="宋体" w:hAnsi="宋体" w:cs="宋体"/>
          <w:sz w:val="24"/>
          <w:szCs w:val="24"/>
        </w:rPr>
        <w:t>（1）近三年财务是否无亏损(至少有一年盈利），且没有被接管、冻结、破产状态（以经会计师事务所或审计机构审计的有效的财务会计报表扫描件为准。若公司成立未满三年，需提供从成立至今的年度财务状况）；</w:t>
      </w:r>
    </w:p>
    <w:p>
      <w:pPr>
        <w:spacing w:line="360" w:lineRule="auto"/>
        <w:ind w:firstLine="240" w:firstLineChars="100"/>
        <w:contextualSpacing/>
        <w:rPr>
          <w:rFonts w:ascii="宋体" w:hAnsi="宋体" w:cs="宋体"/>
          <w:sz w:val="24"/>
          <w:szCs w:val="24"/>
        </w:rPr>
      </w:pPr>
      <w:r>
        <w:rPr>
          <w:rFonts w:hint="eastAsia" w:ascii="宋体" w:hAnsi="宋体" w:cs="宋体"/>
          <w:sz w:val="24"/>
          <w:szCs w:val="24"/>
        </w:rPr>
        <w:t>（2）是否提供授权委托人、项目经理（项目负责人）劳动合同和由人社部门出具的截止开标时间前一年内任意连续三个月的社会保险缴纳证明或网上打印的社保缴纳凭证；</w:t>
      </w:r>
    </w:p>
    <w:p>
      <w:pPr>
        <w:snapToGrid w:val="0"/>
        <w:spacing w:line="360" w:lineRule="auto"/>
        <w:ind w:firstLine="240" w:firstLineChars="100"/>
        <w:rPr>
          <w:rFonts w:ascii="宋体" w:hAnsi="宋体" w:cs="宋体"/>
          <w:sz w:val="24"/>
          <w:szCs w:val="24"/>
        </w:rPr>
      </w:pPr>
      <w:r>
        <w:rPr>
          <w:rFonts w:hint="eastAsia" w:ascii="宋体" w:hAnsi="宋体" w:cs="宋体"/>
          <w:sz w:val="24"/>
          <w:szCs w:val="24"/>
        </w:rPr>
        <w:t>（3）项目经理（项目负责人）证书与投标文件中拟派的项目经理（项目负责人）姓名是否一致；是否有项目经理（项目负责人）无在建承诺书；</w:t>
      </w:r>
    </w:p>
    <w:p>
      <w:pPr>
        <w:snapToGrid w:val="0"/>
        <w:spacing w:line="360" w:lineRule="auto"/>
        <w:ind w:firstLine="240" w:firstLineChars="100"/>
        <w:rPr>
          <w:rFonts w:ascii="宋体" w:hAnsi="宋体" w:cs="宋体"/>
          <w:sz w:val="24"/>
        </w:rPr>
      </w:pPr>
      <w:r>
        <w:rPr>
          <w:rFonts w:hint="eastAsia" w:ascii="宋体" w:hAnsi="宋体" w:cs="宋体"/>
          <w:sz w:val="24"/>
          <w:szCs w:val="24"/>
        </w:rPr>
        <w:t>（4）</w:t>
      </w:r>
      <w:r>
        <w:rPr>
          <w:rFonts w:hint="eastAsia" w:ascii="宋体" w:hAnsi="宋体" w:cs="宋体"/>
          <w:sz w:val="24"/>
        </w:rPr>
        <w:t>是否有专项承诺：</w:t>
      </w:r>
    </w:p>
    <w:p>
      <w:pPr>
        <w:snapToGrid w:val="0"/>
        <w:spacing w:line="360" w:lineRule="auto"/>
        <w:ind w:firstLine="480" w:firstLineChars="200"/>
        <w:rPr>
          <w:rFonts w:ascii="宋体" w:hAnsi="宋体" w:cs="宋体"/>
          <w:sz w:val="24"/>
        </w:rPr>
      </w:pPr>
      <w:r>
        <w:rPr>
          <w:rFonts w:hint="eastAsia" w:ascii="宋体" w:hAnsi="宋体" w:cs="宋体"/>
          <w:sz w:val="24"/>
        </w:rPr>
        <w:t>①投标文件中投标企业是否有农民工工资保障金的承诺。</w:t>
      </w:r>
    </w:p>
    <w:p>
      <w:pPr>
        <w:snapToGrid w:val="0"/>
        <w:spacing w:line="360" w:lineRule="auto"/>
        <w:ind w:firstLine="480" w:firstLineChars="200"/>
        <w:rPr>
          <w:rFonts w:ascii="宋体" w:hAnsi="宋体" w:cs="宋体"/>
          <w:sz w:val="24"/>
        </w:rPr>
      </w:pPr>
      <w:r>
        <w:rPr>
          <w:rFonts w:hint="eastAsia" w:ascii="宋体" w:hAnsi="宋体" w:cs="宋体"/>
          <w:sz w:val="24"/>
        </w:rPr>
        <w:t>②投标单位是否出具“不挂靠、不转包、不违法分包”的专项承诺。</w:t>
      </w:r>
    </w:p>
    <w:p>
      <w:pPr>
        <w:snapToGrid w:val="0"/>
        <w:spacing w:line="360" w:lineRule="auto"/>
        <w:ind w:firstLine="480" w:firstLineChars="200"/>
        <w:rPr>
          <w:rFonts w:ascii="宋体" w:hAnsi="宋体" w:cs="宋体"/>
          <w:sz w:val="24"/>
        </w:rPr>
      </w:pPr>
      <w:r>
        <w:rPr>
          <w:rFonts w:hint="eastAsia" w:ascii="宋体" w:hAnsi="宋体" w:cs="宋体"/>
          <w:sz w:val="24"/>
        </w:rPr>
        <w:t>③投标单位是否出具“施工工地扬尘污染整治”的专项承诺。</w:t>
      </w:r>
    </w:p>
    <w:p>
      <w:pPr>
        <w:spacing w:line="360" w:lineRule="auto"/>
        <w:contextualSpacing/>
        <w:rPr>
          <w:rFonts w:ascii="宋体" w:hAnsi="宋体" w:cs="宋体"/>
          <w:b/>
          <w:sz w:val="24"/>
          <w:szCs w:val="24"/>
        </w:rPr>
      </w:pPr>
      <w:r>
        <w:rPr>
          <w:rFonts w:hint="eastAsia" w:ascii="宋体" w:hAnsi="宋体" w:cs="宋体"/>
          <w:b/>
          <w:sz w:val="24"/>
          <w:szCs w:val="24"/>
        </w:rPr>
        <w:t>注：开标不再接收原件，一律以投标文件电子档中电子扫描件为准。</w:t>
      </w:r>
    </w:p>
    <w:p>
      <w:pPr>
        <w:spacing w:line="360" w:lineRule="auto"/>
        <w:ind w:firstLine="241" w:firstLineChars="100"/>
        <w:contextualSpacing/>
        <w:rPr>
          <w:rFonts w:ascii="宋体" w:hAnsi="宋体" w:cs="宋体"/>
          <w:kern w:val="0"/>
          <w:sz w:val="24"/>
          <w:szCs w:val="24"/>
        </w:rPr>
      </w:pPr>
      <w:r>
        <w:rPr>
          <w:rFonts w:hint="eastAsia" w:ascii="宋体" w:hAnsi="宋体" w:cs="宋体"/>
          <w:b/>
          <w:bCs/>
          <w:kern w:val="0"/>
          <w:sz w:val="24"/>
          <w:szCs w:val="24"/>
        </w:rPr>
        <w:t>六、详细评审</w:t>
      </w:r>
    </w:p>
    <w:p>
      <w:pPr>
        <w:autoSpaceDE w:val="0"/>
        <w:autoSpaceDN w:val="0"/>
        <w:spacing w:line="360" w:lineRule="auto"/>
        <w:ind w:firstLine="480" w:firstLineChars="200"/>
        <w:contextualSpacing/>
        <w:jc w:val="left"/>
        <w:outlineLvl w:val="0"/>
        <w:rPr>
          <w:rFonts w:ascii="宋体" w:hAnsi="宋体" w:cs="宋体"/>
          <w:kern w:val="0"/>
          <w:sz w:val="24"/>
          <w:szCs w:val="24"/>
        </w:rPr>
      </w:pPr>
      <w:bookmarkStart w:id="217" w:name="_Toc9786"/>
      <w:bookmarkEnd w:id="217"/>
      <w:r>
        <w:rPr>
          <w:rFonts w:hint="eastAsia" w:ascii="宋体" w:hAnsi="宋体" w:cs="宋体"/>
          <w:kern w:val="0"/>
          <w:sz w:val="24"/>
          <w:szCs w:val="24"/>
        </w:rPr>
        <w:t>评标委员会根据招标文件要求对技术标、商务标、综合（信用）标三部分进行综合评审。技术标的权重占25%，商务标的权重占50%，综合（信用）标的权重占25%。</w:t>
      </w:r>
    </w:p>
    <w:p>
      <w:pPr>
        <w:autoSpaceDE w:val="0"/>
        <w:autoSpaceDN w:val="0"/>
        <w:spacing w:line="360" w:lineRule="auto"/>
        <w:ind w:firstLine="480" w:firstLineChars="200"/>
        <w:contextualSpacing/>
        <w:jc w:val="left"/>
        <w:outlineLvl w:val="0"/>
        <w:rPr>
          <w:rFonts w:ascii="宋体" w:hAnsi="宋体" w:cs="宋体"/>
          <w:kern w:val="0"/>
          <w:sz w:val="24"/>
          <w:szCs w:val="24"/>
        </w:rPr>
      </w:pPr>
      <w:bookmarkStart w:id="218" w:name="_Toc10320"/>
      <w:bookmarkEnd w:id="218"/>
      <w:r>
        <w:rPr>
          <w:rFonts w:hint="eastAsia" w:ascii="宋体" w:hAnsi="宋体" w:cs="宋体"/>
          <w:kern w:val="0"/>
          <w:sz w:val="24"/>
          <w:szCs w:val="24"/>
        </w:rPr>
        <w:t>（一）工程量清单报价评标基准价计算公式为：</w:t>
      </w:r>
    </w:p>
    <w:p>
      <w:pPr>
        <w:autoSpaceDE w:val="0"/>
        <w:autoSpaceDN w:val="0"/>
        <w:spacing w:line="360" w:lineRule="auto"/>
        <w:ind w:firstLine="480" w:firstLineChars="200"/>
        <w:contextualSpacing/>
        <w:jc w:val="left"/>
        <w:outlineLvl w:val="0"/>
        <w:rPr>
          <w:rFonts w:ascii="宋体" w:hAnsi="宋体" w:cs="宋体"/>
          <w:kern w:val="0"/>
          <w:sz w:val="24"/>
          <w:szCs w:val="24"/>
        </w:rPr>
      </w:pPr>
      <w:bookmarkStart w:id="219" w:name="_Toc280"/>
      <w:bookmarkEnd w:id="219"/>
      <w:bookmarkStart w:id="220" w:name="_Toc27922"/>
      <w:bookmarkEnd w:id="220"/>
      <w:r>
        <w:rPr>
          <w:rFonts w:hint="eastAsia" w:ascii="宋体" w:hAnsi="宋体" w:cs="宋体"/>
          <w:kern w:val="0"/>
          <w:sz w:val="24"/>
          <w:szCs w:val="24"/>
        </w:rPr>
        <w:t>评标基准价＝最高投标限价×K+投标报价×（1－K）</w:t>
      </w:r>
    </w:p>
    <w:p>
      <w:pPr>
        <w:autoSpaceDE w:val="0"/>
        <w:autoSpaceDN w:val="0"/>
        <w:spacing w:line="360" w:lineRule="auto"/>
        <w:ind w:left="210" w:leftChars="100" w:firstLine="240" w:firstLineChars="100"/>
        <w:contextualSpacing/>
        <w:jc w:val="left"/>
        <w:outlineLvl w:val="0"/>
        <w:rPr>
          <w:rFonts w:ascii="宋体" w:hAnsi="宋体" w:cs="宋体"/>
          <w:kern w:val="0"/>
          <w:sz w:val="24"/>
          <w:szCs w:val="24"/>
        </w:rPr>
      </w:pPr>
      <w:bookmarkStart w:id="221" w:name="_Toc5078"/>
      <w:bookmarkEnd w:id="221"/>
      <w:r>
        <w:rPr>
          <w:rFonts w:hint="eastAsia" w:ascii="宋体" w:hAnsi="宋体" w:cs="宋体"/>
          <w:kern w:val="0"/>
          <w:sz w:val="24"/>
          <w:szCs w:val="24"/>
        </w:rPr>
        <w:t>其中：K为最高投标限价权重系数，取值范围为0.3≤K≤0.5,在开标现场随机抽取。投标报价为各投标人有效投标报价去掉一个最高和最低报价后的算术平均值。当有效投标报价少于5家时（不含5家），则以所有有效投标报价的算术平均值作为投标报价。上述最高投标限价、投标报价、有效投标报价在参与评标基准价计算时，均不含：规费、安全文明施工措施费、暂列金额与专业暂估价、增值税。</w:t>
      </w:r>
    </w:p>
    <w:p>
      <w:pPr>
        <w:autoSpaceDE w:val="0"/>
        <w:autoSpaceDN w:val="0"/>
        <w:spacing w:line="360" w:lineRule="auto"/>
        <w:ind w:firstLine="480" w:firstLineChars="200"/>
        <w:contextualSpacing/>
        <w:jc w:val="left"/>
        <w:outlineLvl w:val="0"/>
        <w:rPr>
          <w:rFonts w:ascii="宋体" w:hAnsi="宋体" w:cs="宋体"/>
          <w:kern w:val="0"/>
          <w:sz w:val="24"/>
          <w:szCs w:val="24"/>
        </w:rPr>
      </w:pPr>
      <w:bookmarkStart w:id="222" w:name="_Toc5578"/>
      <w:bookmarkEnd w:id="222"/>
      <w:r>
        <w:rPr>
          <w:rFonts w:hint="eastAsia" w:ascii="宋体" w:hAnsi="宋体" w:cs="宋体"/>
          <w:kern w:val="0"/>
          <w:sz w:val="24"/>
          <w:szCs w:val="24"/>
        </w:rPr>
        <w:t>K为最高投标限价权重系数，K值为0.3、0.35、0.4、0.45、0.5，在开标现场随机抽取。</w:t>
      </w:r>
    </w:p>
    <w:p>
      <w:pPr>
        <w:autoSpaceDE w:val="0"/>
        <w:autoSpaceDN w:val="0"/>
        <w:spacing w:line="360" w:lineRule="auto"/>
        <w:ind w:firstLine="482" w:firstLineChars="200"/>
        <w:contextualSpacing/>
        <w:jc w:val="left"/>
        <w:outlineLvl w:val="0"/>
        <w:rPr>
          <w:rFonts w:ascii="宋体" w:hAnsi="宋体" w:cs="宋体"/>
          <w:b/>
          <w:bCs/>
          <w:kern w:val="0"/>
          <w:sz w:val="24"/>
          <w:szCs w:val="24"/>
        </w:rPr>
      </w:pPr>
      <w:r>
        <w:rPr>
          <w:rFonts w:hint="eastAsia" w:ascii="宋体" w:hAnsi="宋体" w:cs="宋体"/>
          <w:b/>
          <w:bCs/>
          <w:kern w:val="0"/>
          <w:sz w:val="24"/>
          <w:szCs w:val="24"/>
        </w:rPr>
        <w:t>（二）商务标的评标分值50分</w:t>
      </w:r>
    </w:p>
    <w:p>
      <w:pPr>
        <w:autoSpaceDE w:val="0"/>
        <w:autoSpaceDN w:val="0"/>
        <w:spacing w:line="360" w:lineRule="auto"/>
        <w:ind w:firstLine="480" w:firstLineChars="200"/>
        <w:contextualSpacing/>
        <w:jc w:val="left"/>
        <w:outlineLvl w:val="0"/>
        <w:rPr>
          <w:rFonts w:ascii="宋体" w:hAnsi="宋体" w:cs="宋体"/>
          <w:kern w:val="0"/>
          <w:sz w:val="24"/>
          <w:szCs w:val="24"/>
        </w:rPr>
      </w:pPr>
      <w:r>
        <w:rPr>
          <w:rFonts w:hint="eastAsia" w:ascii="宋体" w:hAnsi="宋体" w:cs="宋体"/>
          <w:kern w:val="0"/>
          <w:sz w:val="24"/>
          <w:szCs w:val="24"/>
        </w:rPr>
        <w:t>1.投标报价的评审，共计30分。</w:t>
      </w:r>
    </w:p>
    <w:p>
      <w:pPr>
        <w:autoSpaceDE w:val="0"/>
        <w:autoSpaceDN w:val="0"/>
        <w:spacing w:line="360" w:lineRule="auto"/>
        <w:ind w:firstLine="480" w:firstLineChars="200"/>
        <w:contextualSpacing/>
        <w:jc w:val="left"/>
        <w:outlineLvl w:val="0"/>
        <w:rPr>
          <w:rFonts w:ascii="宋体" w:hAnsi="宋体" w:cs="宋体"/>
          <w:kern w:val="0"/>
          <w:sz w:val="24"/>
          <w:szCs w:val="24"/>
        </w:rPr>
      </w:pPr>
      <w:r>
        <w:rPr>
          <w:rFonts w:hint="eastAsia" w:ascii="宋体" w:hAnsi="宋体" w:cs="宋体"/>
          <w:kern w:val="0"/>
          <w:sz w:val="24"/>
          <w:szCs w:val="24"/>
        </w:rPr>
        <w:t>投标报价与评标基准价相等时，得基本分20分。当投标报价低于评标基准价时，每低1%范围内在基本分20分的基础上加2分，最多加10分；当投标报价低于评标基准价5%以上（不含5%）时，每再低1%范围内在满分30分的基础上扣3分，扣完为止；当投标报价高于评标基准价时，每高1%范围内在基本分20分的基础上扣2分，扣完为止。</w:t>
      </w:r>
    </w:p>
    <w:p>
      <w:pPr>
        <w:autoSpaceDE w:val="0"/>
        <w:autoSpaceDN w:val="0"/>
        <w:spacing w:line="360" w:lineRule="auto"/>
        <w:ind w:firstLine="480" w:firstLineChars="200"/>
        <w:contextualSpacing/>
        <w:jc w:val="left"/>
        <w:outlineLvl w:val="0"/>
        <w:rPr>
          <w:rFonts w:ascii="宋体" w:hAnsi="宋体" w:cs="宋体"/>
          <w:kern w:val="0"/>
          <w:sz w:val="24"/>
          <w:szCs w:val="24"/>
        </w:rPr>
      </w:pPr>
      <w:r>
        <w:rPr>
          <w:rFonts w:hint="eastAsia" w:ascii="宋体" w:hAnsi="宋体" w:cs="宋体"/>
          <w:kern w:val="0"/>
          <w:sz w:val="24"/>
          <w:szCs w:val="24"/>
        </w:rPr>
        <w:t>2.分部分项工程项目清单单价的评审，共计10分。</w:t>
      </w:r>
    </w:p>
    <w:p>
      <w:pPr>
        <w:autoSpaceDE w:val="0"/>
        <w:autoSpaceDN w:val="0"/>
        <w:spacing w:line="360" w:lineRule="auto"/>
        <w:ind w:firstLine="480" w:firstLineChars="200"/>
        <w:contextualSpacing/>
        <w:jc w:val="left"/>
        <w:outlineLvl w:val="0"/>
        <w:rPr>
          <w:rFonts w:ascii="宋体" w:hAnsi="宋体" w:cs="宋体"/>
          <w:kern w:val="0"/>
          <w:sz w:val="24"/>
          <w:szCs w:val="24"/>
        </w:rPr>
      </w:pPr>
      <w:r>
        <w:rPr>
          <w:rFonts w:hint="eastAsia" w:ascii="宋体" w:hAnsi="宋体" w:cs="宋体"/>
          <w:kern w:val="0"/>
          <w:sz w:val="24"/>
          <w:szCs w:val="24"/>
        </w:rPr>
        <w:t>从最高投标限价中分部分项工程项目权重最大的前10-30项清单项目中抽取15项，在剩余的分部分项工程项目清单项目中抽取5项。</w:t>
      </w:r>
    </w:p>
    <w:p>
      <w:pPr>
        <w:autoSpaceDE w:val="0"/>
        <w:autoSpaceDN w:val="0"/>
        <w:spacing w:line="360" w:lineRule="auto"/>
        <w:ind w:firstLine="480" w:firstLineChars="200"/>
        <w:contextualSpacing/>
        <w:jc w:val="left"/>
        <w:outlineLvl w:val="0"/>
        <w:rPr>
          <w:rFonts w:ascii="宋体" w:hAnsi="宋体" w:cs="宋体"/>
          <w:kern w:val="0"/>
          <w:sz w:val="24"/>
          <w:szCs w:val="24"/>
        </w:rPr>
      </w:pPr>
      <w:r>
        <w:rPr>
          <w:rFonts w:hint="eastAsia" w:ascii="宋体" w:hAnsi="宋体" w:cs="宋体"/>
          <w:kern w:val="0"/>
          <w:sz w:val="24"/>
          <w:szCs w:val="24"/>
        </w:rPr>
        <w:t>综合单价基准值是以各有效投标报价中（当有效投标人5名及以上时，去掉1个最高、1个最低值）对应抽取清单项目综合单价的算术平均值。</w:t>
      </w:r>
    </w:p>
    <w:p>
      <w:pPr>
        <w:autoSpaceDE w:val="0"/>
        <w:autoSpaceDN w:val="0"/>
        <w:spacing w:line="360" w:lineRule="auto"/>
        <w:ind w:firstLine="480" w:firstLineChars="200"/>
        <w:contextualSpacing/>
        <w:jc w:val="left"/>
        <w:outlineLvl w:val="0"/>
        <w:rPr>
          <w:rFonts w:ascii="宋体" w:hAnsi="宋体" w:cs="宋体"/>
          <w:kern w:val="0"/>
          <w:sz w:val="24"/>
          <w:szCs w:val="24"/>
        </w:rPr>
      </w:pPr>
      <w:r>
        <w:rPr>
          <w:rFonts w:hint="eastAsia" w:ascii="宋体" w:hAnsi="宋体" w:cs="宋体"/>
          <w:kern w:val="0"/>
          <w:sz w:val="24"/>
          <w:szCs w:val="24"/>
        </w:rPr>
        <w:t>投标人报价在综合单价基准值95%—103%范围内（不含95%和103%）的，每项得0.5分；在综合单价评标基准值90%—95%范围内（含90%和95%）每项得0.25分；满分共计10分。超出该范围的不得分。</w:t>
      </w:r>
    </w:p>
    <w:p>
      <w:pPr>
        <w:autoSpaceDE w:val="0"/>
        <w:autoSpaceDN w:val="0"/>
        <w:spacing w:line="360" w:lineRule="auto"/>
        <w:ind w:firstLine="480" w:firstLineChars="200"/>
        <w:contextualSpacing/>
        <w:jc w:val="left"/>
        <w:outlineLvl w:val="0"/>
        <w:rPr>
          <w:rFonts w:ascii="宋体" w:hAnsi="宋体" w:cs="宋体"/>
          <w:kern w:val="0"/>
          <w:sz w:val="24"/>
          <w:szCs w:val="24"/>
        </w:rPr>
      </w:pPr>
      <w:r>
        <w:rPr>
          <w:rFonts w:hint="eastAsia" w:ascii="宋体" w:hAnsi="宋体" w:cs="宋体"/>
          <w:kern w:val="0"/>
          <w:sz w:val="24"/>
          <w:szCs w:val="24"/>
        </w:rPr>
        <w:t>3.措施项目费的评审（不含安全文明措施费），共计5分。</w:t>
      </w:r>
    </w:p>
    <w:p>
      <w:pPr>
        <w:autoSpaceDE w:val="0"/>
        <w:autoSpaceDN w:val="0"/>
        <w:spacing w:line="360" w:lineRule="auto"/>
        <w:ind w:firstLine="480" w:firstLineChars="200"/>
        <w:contextualSpacing/>
        <w:jc w:val="left"/>
        <w:outlineLvl w:val="0"/>
        <w:rPr>
          <w:rFonts w:ascii="宋体" w:hAnsi="宋体" w:cs="宋体"/>
          <w:kern w:val="0"/>
          <w:sz w:val="24"/>
          <w:szCs w:val="24"/>
        </w:rPr>
      </w:pPr>
      <w:r>
        <w:rPr>
          <w:rFonts w:hint="eastAsia" w:ascii="宋体" w:hAnsi="宋体" w:cs="宋体"/>
          <w:kern w:val="0"/>
          <w:sz w:val="24"/>
          <w:szCs w:val="24"/>
        </w:rPr>
        <w:t>措施项目费基准值是在最高投标限价中措施项目费用的80%-110%范围之间的有效投标人所报措施项目费的算术平均值。投标所报措施费与措施项目基准值相等得基本分3分。当投标报价低于措施项目基准值时，每低1%在基本分3分的基础上加0.1分,最多加至5分为止；当高于措施项目基准值时，每高于1%时，基本分3分基础上扣0.2分，扣完为止。</w:t>
      </w:r>
    </w:p>
    <w:p>
      <w:pPr>
        <w:autoSpaceDE w:val="0"/>
        <w:autoSpaceDN w:val="0"/>
        <w:spacing w:line="360" w:lineRule="auto"/>
        <w:ind w:firstLine="480" w:firstLineChars="200"/>
        <w:contextualSpacing/>
        <w:jc w:val="left"/>
        <w:outlineLvl w:val="0"/>
        <w:rPr>
          <w:rFonts w:ascii="宋体" w:hAnsi="宋体" w:cs="宋体"/>
          <w:kern w:val="0"/>
          <w:sz w:val="24"/>
          <w:szCs w:val="24"/>
        </w:rPr>
      </w:pPr>
      <w:r>
        <w:rPr>
          <w:rFonts w:hint="eastAsia" w:ascii="宋体" w:hAnsi="宋体" w:cs="宋体"/>
          <w:kern w:val="0"/>
          <w:sz w:val="24"/>
          <w:szCs w:val="24"/>
        </w:rPr>
        <w:t>4.主要材料单价的评审，共计5分。</w:t>
      </w:r>
    </w:p>
    <w:p>
      <w:pPr>
        <w:autoSpaceDE w:val="0"/>
        <w:autoSpaceDN w:val="0"/>
        <w:spacing w:line="360" w:lineRule="auto"/>
        <w:ind w:firstLine="480" w:firstLineChars="200"/>
        <w:contextualSpacing/>
        <w:jc w:val="left"/>
        <w:outlineLvl w:val="0"/>
        <w:rPr>
          <w:rFonts w:ascii="宋体" w:hAnsi="宋体" w:cs="宋体"/>
          <w:kern w:val="0"/>
          <w:sz w:val="24"/>
          <w:szCs w:val="24"/>
        </w:rPr>
      </w:pPr>
      <w:r>
        <w:rPr>
          <w:rFonts w:hint="eastAsia" w:ascii="宋体" w:hAnsi="宋体" w:cs="宋体"/>
          <w:kern w:val="0"/>
          <w:sz w:val="24"/>
          <w:szCs w:val="24"/>
        </w:rPr>
        <w:t>从最高投标限价中材料总价权重最大的前10-20项材料中抽取6项，在剩余材料中抽取4项。</w:t>
      </w:r>
    </w:p>
    <w:p>
      <w:pPr>
        <w:autoSpaceDE w:val="0"/>
        <w:autoSpaceDN w:val="0"/>
        <w:spacing w:line="360" w:lineRule="auto"/>
        <w:ind w:firstLine="480" w:firstLineChars="200"/>
        <w:contextualSpacing/>
        <w:jc w:val="left"/>
        <w:outlineLvl w:val="0"/>
        <w:rPr>
          <w:rFonts w:ascii="宋体" w:hAnsi="宋体" w:cs="宋体"/>
          <w:kern w:val="0"/>
          <w:sz w:val="24"/>
          <w:szCs w:val="24"/>
        </w:rPr>
      </w:pPr>
      <w:r>
        <w:rPr>
          <w:rFonts w:hint="eastAsia" w:ascii="宋体" w:hAnsi="宋体" w:cs="宋体"/>
          <w:kern w:val="0"/>
          <w:sz w:val="24"/>
          <w:szCs w:val="24"/>
        </w:rPr>
        <w:t>主要材料单价基准值是以各有效投标报价中（当有效投标人5名及以上时，去掉1个最高、1个最低值）对应抽取材料单价的算术平均值。</w:t>
      </w:r>
    </w:p>
    <w:p>
      <w:pPr>
        <w:autoSpaceDE w:val="0"/>
        <w:autoSpaceDN w:val="0"/>
        <w:spacing w:line="360" w:lineRule="auto"/>
        <w:ind w:firstLine="480" w:firstLineChars="200"/>
        <w:contextualSpacing/>
        <w:jc w:val="left"/>
        <w:outlineLvl w:val="0"/>
        <w:rPr>
          <w:rFonts w:hint="eastAsia" w:ascii="宋体" w:hAnsi="宋体" w:cs="宋体"/>
          <w:kern w:val="0"/>
          <w:sz w:val="24"/>
          <w:szCs w:val="24"/>
        </w:rPr>
      </w:pPr>
      <w:r>
        <w:rPr>
          <w:rFonts w:hint="eastAsia" w:ascii="宋体" w:hAnsi="宋体" w:cs="宋体"/>
          <w:kern w:val="0"/>
          <w:sz w:val="24"/>
          <w:szCs w:val="24"/>
        </w:rPr>
        <w:t>当投标人报价在材料单价基准值95%—103%范围内（不含95%和103%）每项得0.5分，在材料单价基准值90%—95%范围内（含90%和95%）每项得0.25分。超出该范围的不得分。</w:t>
      </w:r>
    </w:p>
    <w:p>
      <w:pPr>
        <w:pStyle w:val="2"/>
        <w:rPr>
          <w:rFonts w:hint="eastAsia"/>
        </w:rPr>
      </w:pPr>
    </w:p>
    <w:p>
      <w:pPr>
        <w:bidi w:val="0"/>
      </w:pPr>
    </w:p>
    <w:p>
      <w:pPr>
        <w:autoSpaceDE w:val="0"/>
        <w:autoSpaceDN w:val="0"/>
        <w:spacing w:line="360" w:lineRule="auto"/>
        <w:ind w:firstLine="482" w:firstLineChars="200"/>
        <w:contextualSpacing/>
        <w:jc w:val="left"/>
        <w:outlineLvl w:val="0"/>
        <w:rPr>
          <w:rFonts w:ascii="宋体" w:hAnsi="宋体" w:cs="宋体"/>
          <w:b/>
          <w:bCs/>
          <w:sz w:val="24"/>
          <w:szCs w:val="24"/>
        </w:rPr>
      </w:pPr>
      <w:r>
        <w:rPr>
          <w:rFonts w:hint="eastAsia" w:ascii="宋体" w:hAnsi="宋体" w:cs="宋体"/>
          <w:b/>
          <w:bCs/>
          <w:kern w:val="0"/>
          <w:sz w:val="24"/>
          <w:szCs w:val="24"/>
        </w:rPr>
        <w:t>（三）技术标的评标分值25分</w:t>
      </w:r>
    </w:p>
    <w:tbl>
      <w:tblPr>
        <w:tblStyle w:val="16"/>
        <w:tblW w:w="96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551"/>
        <w:gridCol w:w="1239"/>
        <w:gridCol w:w="1141"/>
        <w:gridCol w:w="5054"/>
        <w:gridCol w:w="16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78" w:hRule="atLeast"/>
          <w:jc w:val="center"/>
        </w:trPr>
        <w:tc>
          <w:tcPr>
            <w:tcW w:w="551" w:type="dxa"/>
            <w:vAlign w:val="center"/>
          </w:tcPr>
          <w:p>
            <w:pPr>
              <w:spacing w:line="360" w:lineRule="auto"/>
              <w:jc w:val="center"/>
              <w:rPr>
                <w:rFonts w:ascii="宋体" w:hAnsi="宋体" w:cs="宋体"/>
                <w:sz w:val="24"/>
                <w:szCs w:val="24"/>
              </w:rPr>
            </w:pPr>
            <w:r>
              <w:rPr>
                <w:rFonts w:hint="eastAsia" w:ascii="宋体" w:hAnsi="宋体" w:cs="宋体"/>
                <w:sz w:val="24"/>
                <w:szCs w:val="24"/>
              </w:rPr>
              <w:t>序号</w:t>
            </w:r>
          </w:p>
        </w:tc>
        <w:tc>
          <w:tcPr>
            <w:tcW w:w="1239" w:type="dxa"/>
            <w:vAlign w:val="center"/>
          </w:tcPr>
          <w:p>
            <w:pPr>
              <w:spacing w:line="360" w:lineRule="auto"/>
              <w:jc w:val="center"/>
              <w:rPr>
                <w:rFonts w:ascii="宋体" w:hAnsi="宋体" w:cs="宋体"/>
                <w:sz w:val="24"/>
                <w:szCs w:val="24"/>
              </w:rPr>
            </w:pPr>
            <w:r>
              <w:rPr>
                <w:rFonts w:hint="eastAsia" w:ascii="宋体" w:hAnsi="宋体" w:cs="宋体"/>
                <w:sz w:val="24"/>
                <w:szCs w:val="24"/>
              </w:rPr>
              <w:t>内容</w:t>
            </w:r>
          </w:p>
        </w:tc>
        <w:tc>
          <w:tcPr>
            <w:tcW w:w="1141" w:type="dxa"/>
            <w:vAlign w:val="center"/>
          </w:tcPr>
          <w:p>
            <w:pPr>
              <w:spacing w:line="360" w:lineRule="auto"/>
              <w:jc w:val="center"/>
              <w:rPr>
                <w:rFonts w:ascii="宋体" w:hAnsi="宋体" w:cs="宋体"/>
                <w:sz w:val="24"/>
                <w:szCs w:val="24"/>
              </w:rPr>
            </w:pPr>
            <w:r>
              <w:rPr>
                <w:rFonts w:hint="eastAsia" w:ascii="宋体" w:hAnsi="宋体" w:cs="宋体"/>
                <w:sz w:val="24"/>
                <w:szCs w:val="24"/>
              </w:rPr>
              <w:t>分值</w:t>
            </w:r>
          </w:p>
        </w:tc>
        <w:tc>
          <w:tcPr>
            <w:tcW w:w="5054" w:type="dxa"/>
            <w:vAlign w:val="center"/>
          </w:tcPr>
          <w:p>
            <w:pPr>
              <w:spacing w:line="360" w:lineRule="auto"/>
              <w:jc w:val="center"/>
              <w:rPr>
                <w:rFonts w:ascii="宋体" w:hAnsi="宋体" w:cs="宋体"/>
                <w:sz w:val="24"/>
                <w:szCs w:val="24"/>
              </w:rPr>
            </w:pPr>
            <w:r>
              <w:rPr>
                <w:rFonts w:hint="eastAsia" w:ascii="宋体" w:hAnsi="宋体" w:cs="宋体"/>
                <w:sz w:val="24"/>
                <w:szCs w:val="24"/>
              </w:rPr>
              <w:t>评审标准</w:t>
            </w:r>
          </w:p>
        </w:tc>
        <w:tc>
          <w:tcPr>
            <w:tcW w:w="1635" w:type="dxa"/>
            <w:vAlign w:val="center"/>
          </w:tcPr>
          <w:p>
            <w:pPr>
              <w:spacing w:line="360" w:lineRule="auto"/>
              <w:jc w:val="center"/>
              <w:rPr>
                <w:rFonts w:ascii="宋体" w:hAnsi="宋体" w:cs="宋体"/>
                <w:sz w:val="24"/>
                <w:szCs w:val="24"/>
              </w:rPr>
            </w:pPr>
            <w:r>
              <w:rPr>
                <w:rFonts w:hint="eastAsia" w:ascii="宋体" w:hAnsi="宋体" w:cs="宋体"/>
                <w:sz w:val="24"/>
                <w:szCs w:val="24"/>
              </w:rPr>
              <w:t>评审得分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35" w:hRule="atLeast"/>
          <w:jc w:val="center"/>
        </w:trPr>
        <w:tc>
          <w:tcPr>
            <w:tcW w:w="551" w:type="dxa"/>
            <w:vMerge w:val="restart"/>
            <w:vAlign w:val="center"/>
          </w:tcPr>
          <w:p>
            <w:pPr>
              <w:spacing w:line="360" w:lineRule="auto"/>
              <w:jc w:val="center"/>
              <w:rPr>
                <w:rFonts w:ascii="宋体" w:hAnsi="宋体" w:cs="宋体"/>
                <w:sz w:val="24"/>
                <w:szCs w:val="24"/>
              </w:rPr>
            </w:pPr>
            <w:r>
              <w:rPr>
                <w:rFonts w:hint="eastAsia" w:ascii="宋体" w:hAnsi="宋体" w:cs="宋体"/>
                <w:sz w:val="24"/>
                <w:szCs w:val="24"/>
              </w:rPr>
              <w:t>1</w:t>
            </w:r>
          </w:p>
        </w:tc>
        <w:tc>
          <w:tcPr>
            <w:tcW w:w="1239" w:type="dxa"/>
            <w:vMerge w:val="restart"/>
            <w:vAlign w:val="center"/>
          </w:tcPr>
          <w:p>
            <w:pPr>
              <w:spacing w:line="360" w:lineRule="auto"/>
              <w:jc w:val="center"/>
              <w:rPr>
                <w:rFonts w:ascii="宋体" w:hAnsi="宋体" w:cs="宋体"/>
                <w:sz w:val="24"/>
                <w:szCs w:val="24"/>
              </w:rPr>
            </w:pPr>
            <w:r>
              <w:rPr>
                <w:rFonts w:hint="eastAsia" w:ascii="宋体" w:hAnsi="宋体" w:cs="宋体"/>
                <w:sz w:val="24"/>
                <w:szCs w:val="24"/>
              </w:rPr>
              <w:t>内容完整性</w:t>
            </w:r>
          </w:p>
        </w:tc>
        <w:tc>
          <w:tcPr>
            <w:tcW w:w="1141" w:type="dxa"/>
            <w:vMerge w:val="restart"/>
            <w:vAlign w:val="center"/>
          </w:tcPr>
          <w:p>
            <w:pPr>
              <w:spacing w:line="360" w:lineRule="auto"/>
              <w:jc w:val="center"/>
              <w:rPr>
                <w:rFonts w:ascii="宋体" w:hAnsi="宋体" w:cs="宋体"/>
                <w:sz w:val="24"/>
                <w:szCs w:val="24"/>
              </w:rPr>
            </w:pPr>
            <w:r>
              <w:rPr>
                <w:rFonts w:hint="eastAsia" w:ascii="宋体" w:hAnsi="宋体" w:cs="宋体"/>
                <w:sz w:val="24"/>
                <w:szCs w:val="24"/>
              </w:rPr>
              <w:t>0-0.5分</w:t>
            </w:r>
          </w:p>
        </w:tc>
        <w:tc>
          <w:tcPr>
            <w:tcW w:w="5054" w:type="dxa"/>
            <w:vAlign w:val="center"/>
          </w:tcPr>
          <w:p>
            <w:pPr>
              <w:spacing w:line="360" w:lineRule="auto"/>
              <w:jc w:val="center"/>
              <w:rPr>
                <w:rFonts w:ascii="宋体" w:hAnsi="宋体" w:cs="宋体"/>
                <w:sz w:val="24"/>
                <w:szCs w:val="24"/>
              </w:rPr>
            </w:pPr>
            <w:r>
              <w:rPr>
                <w:rFonts w:hint="eastAsia" w:ascii="宋体" w:hAnsi="宋体" w:cs="宋体"/>
                <w:sz w:val="24"/>
                <w:szCs w:val="24"/>
              </w:rPr>
              <w:t>技术标的主要内容具有完整性，符合招标文件的要求。</w:t>
            </w:r>
          </w:p>
        </w:tc>
        <w:tc>
          <w:tcPr>
            <w:tcW w:w="1635" w:type="dxa"/>
            <w:vAlign w:val="center"/>
          </w:tcPr>
          <w:p>
            <w:pPr>
              <w:spacing w:line="360" w:lineRule="auto"/>
              <w:jc w:val="center"/>
              <w:rPr>
                <w:rFonts w:ascii="宋体" w:hAnsi="宋体" w:cs="宋体"/>
                <w:sz w:val="24"/>
                <w:szCs w:val="24"/>
              </w:rPr>
            </w:pPr>
            <w:r>
              <w:rPr>
                <w:rFonts w:hint="eastAsia" w:ascii="宋体" w:hAnsi="宋体" w:cs="宋体"/>
                <w:sz w:val="24"/>
                <w:szCs w:val="24"/>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78" w:hRule="atLeast"/>
          <w:jc w:val="center"/>
        </w:trPr>
        <w:tc>
          <w:tcPr>
            <w:tcW w:w="551" w:type="dxa"/>
            <w:vMerge w:val="continue"/>
            <w:vAlign w:val="center"/>
          </w:tcPr>
          <w:p>
            <w:pPr>
              <w:spacing w:line="360" w:lineRule="auto"/>
              <w:jc w:val="left"/>
              <w:rPr>
                <w:rFonts w:ascii="宋体" w:hAnsi="宋体" w:cs="宋体"/>
                <w:sz w:val="24"/>
                <w:szCs w:val="24"/>
              </w:rPr>
            </w:pPr>
          </w:p>
        </w:tc>
        <w:tc>
          <w:tcPr>
            <w:tcW w:w="1239" w:type="dxa"/>
            <w:vMerge w:val="continue"/>
            <w:vAlign w:val="center"/>
          </w:tcPr>
          <w:p>
            <w:pPr>
              <w:spacing w:line="360" w:lineRule="auto"/>
              <w:jc w:val="left"/>
              <w:rPr>
                <w:rFonts w:ascii="宋体" w:hAnsi="宋体" w:cs="宋体"/>
                <w:sz w:val="24"/>
                <w:szCs w:val="24"/>
              </w:rPr>
            </w:pPr>
          </w:p>
        </w:tc>
        <w:tc>
          <w:tcPr>
            <w:tcW w:w="1141" w:type="dxa"/>
            <w:vMerge w:val="continue"/>
            <w:vAlign w:val="center"/>
          </w:tcPr>
          <w:p>
            <w:pPr>
              <w:spacing w:line="360" w:lineRule="auto"/>
              <w:jc w:val="left"/>
              <w:rPr>
                <w:rFonts w:ascii="宋体" w:hAnsi="宋体" w:cs="宋体"/>
                <w:sz w:val="24"/>
                <w:szCs w:val="24"/>
              </w:rPr>
            </w:pPr>
          </w:p>
        </w:tc>
        <w:tc>
          <w:tcPr>
            <w:tcW w:w="5054" w:type="dxa"/>
            <w:vAlign w:val="center"/>
          </w:tcPr>
          <w:p>
            <w:pPr>
              <w:spacing w:line="360" w:lineRule="auto"/>
              <w:jc w:val="center"/>
              <w:rPr>
                <w:rFonts w:ascii="宋体" w:hAnsi="宋体" w:cs="宋体"/>
                <w:sz w:val="24"/>
                <w:szCs w:val="24"/>
              </w:rPr>
            </w:pPr>
            <w:r>
              <w:rPr>
                <w:rFonts w:hint="eastAsia" w:ascii="宋体" w:hAnsi="宋体" w:cs="宋体"/>
                <w:sz w:val="24"/>
                <w:szCs w:val="24"/>
              </w:rPr>
              <w:t>技术标不符合招标文件要求。</w:t>
            </w:r>
          </w:p>
        </w:tc>
        <w:tc>
          <w:tcPr>
            <w:tcW w:w="1635" w:type="dxa"/>
            <w:vAlign w:val="center"/>
          </w:tcPr>
          <w:p>
            <w:pPr>
              <w:spacing w:line="360" w:lineRule="auto"/>
              <w:jc w:val="center"/>
              <w:rPr>
                <w:rFonts w:ascii="宋体" w:hAnsi="宋体" w:cs="宋体"/>
                <w:sz w:val="24"/>
                <w:szCs w:val="24"/>
              </w:rPr>
            </w:pPr>
            <w:r>
              <w:rPr>
                <w:rFonts w:hint="eastAsia" w:ascii="宋体" w:hAnsi="宋体" w:cs="宋体"/>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392" w:hRule="atLeast"/>
          <w:jc w:val="center"/>
        </w:trPr>
        <w:tc>
          <w:tcPr>
            <w:tcW w:w="551" w:type="dxa"/>
            <w:vMerge w:val="restart"/>
            <w:vAlign w:val="center"/>
          </w:tcPr>
          <w:p>
            <w:pPr>
              <w:spacing w:line="360" w:lineRule="auto"/>
              <w:jc w:val="center"/>
              <w:rPr>
                <w:rFonts w:ascii="宋体" w:hAnsi="宋体" w:cs="宋体"/>
                <w:sz w:val="24"/>
                <w:szCs w:val="24"/>
              </w:rPr>
            </w:pPr>
            <w:r>
              <w:rPr>
                <w:rFonts w:hint="eastAsia" w:ascii="宋体" w:hAnsi="宋体" w:cs="宋体"/>
                <w:sz w:val="24"/>
                <w:szCs w:val="24"/>
              </w:rPr>
              <w:t>2</w:t>
            </w:r>
          </w:p>
        </w:tc>
        <w:tc>
          <w:tcPr>
            <w:tcW w:w="1239" w:type="dxa"/>
            <w:vMerge w:val="restart"/>
            <w:vAlign w:val="center"/>
          </w:tcPr>
          <w:p>
            <w:pPr>
              <w:spacing w:line="360" w:lineRule="auto"/>
              <w:jc w:val="left"/>
              <w:rPr>
                <w:rFonts w:ascii="宋体" w:hAnsi="宋体" w:cs="宋体"/>
                <w:sz w:val="24"/>
                <w:szCs w:val="24"/>
              </w:rPr>
            </w:pPr>
            <w:r>
              <w:rPr>
                <w:rFonts w:hint="eastAsia" w:ascii="宋体" w:hAnsi="宋体" w:cs="宋体"/>
                <w:sz w:val="24"/>
                <w:szCs w:val="24"/>
              </w:rPr>
              <w:t>主要施工方案与技术措施</w:t>
            </w:r>
          </w:p>
        </w:tc>
        <w:tc>
          <w:tcPr>
            <w:tcW w:w="1141" w:type="dxa"/>
            <w:vMerge w:val="restart"/>
            <w:vAlign w:val="center"/>
          </w:tcPr>
          <w:p>
            <w:pPr>
              <w:spacing w:line="360" w:lineRule="auto"/>
              <w:jc w:val="center"/>
              <w:rPr>
                <w:rFonts w:ascii="宋体" w:hAnsi="宋体" w:cs="宋体"/>
                <w:sz w:val="24"/>
                <w:szCs w:val="24"/>
              </w:rPr>
            </w:pPr>
            <w:r>
              <w:rPr>
                <w:rFonts w:hint="eastAsia" w:ascii="宋体" w:hAnsi="宋体" w:cs="宋体"/>
                <w:sz w:val="24"/>
                <w:szCs w:val="24"/>
              </w:rPr>
              <w:t xml:space="preserve"> 1-3分</w:t>
            </w:r>
          </w:p>
        </w:tc>
        <w:tc>
          <w:tcPr>
            <w:tcW w:w="5054" w:type="dxa"/>
            <w:vAlign w:val="center"/>
          </w:tcPr>
          <w:p>
            <w:pPr>
              <w:spacing w:line="360" w:lineRule="auto"/>
              <w:rPr>
                <w:rFonts w:ascii="宋体" w:hAnsi="宋体" w:cs="宋体"/>
                <w:sz w:val="24"/>
                <w:szCs w:val="24"/>
              </w:rPr>
            </w:pPr>
            <w:r>
              <w:rPr>
                <w:rFonts w:hint="eastAsia" w:ascii="宋体" w:hAnsi="宋体" w:cs="宋体"/>
                <w:sz w:val="24"/>
                <w:szCs w:val="24"/>
              </w:rPr>
              <w:t>施工方案（含工程特点、施工重点与难点及绿色施工）总体安排合理，运用先进、合理的施工工艺、施工机械；对施工难点有先进和合理的建议。</w:t>
            </w:r>
          </w:p>
        </w:tc>
        <w:tc>
          <w:tcPr>
            <w:tcW w:w="1635" w:type="dxa"/>
            <w:vAlign w:val="center"/>
          </w:tcPr>
          <w:p>
            <w:pPr>
              <w:spacing w:line="360" w:lineRule="auto"/>
              <w:jc w:val="center"/>
              <w:rPr>
                <w:rFonts w:ascii="宋体" w:hAnsi="宋体" w:cs="宋体"/>
                <w:sz w:val="24"/>
                <w:szCs w:val="24"/>
              </w:rPr>
            </w:pPr>
            <w:r>
              <w:rPr>
                <w:rFonts w:hint="eastAsia" w:ascii="宋体" w:hAnsi="宋体" w:cs="宋体"/>
                <w:sz w:val="24"/>
                <w:szCs w:val="24"/>
              </w:rPr>
              <w:t>2＜得分≤3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392" w:hRule="atLeast"/>
          <w:jc w:val="center"/>
        </w:trPr>
        <w:tc>
          <w:tcPr>
            <w:tcW w:w="551" w:type="dxa"/>
            <w:vMerge w:val="continue"/>
            <w:vAlign w:val="center"/>
          </w:tcPr>
          <w:p>
            <w:pPr>
              <w:spacing w:line="360" w:lineRule="auto"/>
              <w:jc w:val="left"/>
              <w:rPr>
                <w:rFonts w:ascii="宋体" w:hAnsi="宋体" w:cs="宋体"/>
                <w:sz w:val="24"/>
                <w:szCs w:val="24"/>
              </w:rPr>
            </w:pPr>
          </w:p>
        </w:tc>
        <w:tc>
          <w:tcPr>
            <w:tcW w:w="1239" w:type="dxa"/>
            <w:vMerge w:val="continue"/>
            <w:vAlign w:val="center"/>
          </w:tcPr>
          <w:p>
            <w:pPr>
              <w:spacing w:line="360" w:lineRule="auto"/>
              <w:jc w:val="left"/>
              <w:rPr>
                <w:rFonts w:ascii="宋体" w:hAnsi="宋体" w:cs="宋体"/>
                <w:sz w:val="24"/>
                <w:szCs w:val="24"/>
              </w:rPr>
            </w:pPr>
          </w:p>
        </w:tc>
        <w:tc>
          <w:tcPr>
            <w:tcW w:w="1141" w:type="dxa"/>
            <w:vMerge w:val="continue"/>
            <w:vAlign w:val="center"/>
          </w:tcPr>
          <w:p>
            <w:pPr>
              <w:spacing w:line="360" w:lineRule="auto"/>
              <w:jc w:val="left"/>
              <w:rPr>
                <w:rFonts w:ascii="宋体" w:hAnsi="宋体" w:cs="宋体"/>
                <w:sz w:val="24"/>
                <w:szCs w:val="24"/>
              </w:rPr>
            </w:pPr>
          </w:p>
        </w:tc>
        <w:tc>
          <w:tcPr>
            <w:tcW w:w="5054" w:type="dxa"/>
            <w:vAlign w:val="center"/>
          </w:tcPr>
          <w:p>
            <w:pPr>
              <w:spacing w:line="360" w:lineRule="auto"/>
              <w:rPr>
                <w:rFonts w:ascii="宋体" w:hAnsi="宋体" w:cs="宋体"/>
                <w:sz w:val="24"/>
                <w:szCs w:val="24"/>
              </w:rPr>
            </w:pPr>
            <w:r>
              <w:rPr>
                <w:rFonts w:hint="eastAsia" w:ascii="宋体" w:hAnsi="宋体" w:cs="宋体"/>
                <w:sz w:val="24"/>
                <w:szCs w:val="24"/>
              </w:rPr>
              <w:t>施工方案（含工程特点、施工重点与难点及绿色施工）总体安排合理，施工工艺、施工机械合理、可行；对施工难点有合理的建议。</w:t>
            </w:r>
          </w:p>
        </w:tc>
        <w:tc>
          <w:tcPr>
            <w:tcW w:w="1635" w:type="dxa"/>
            <w:vAlign w:val="center"/>
          </w:tcPr>
          <w:p>
            <w:pPr>
              <w:spacing w:line="360" w:lineRule="auto"/>
              <w:jc w:val="center"/>
              <w:rPr>
                <w:rFonts w:ascii="宋体" w:hAnsi="宋体" w:cs="宋体"/>
                <w:sz w:val="24"/>
                <w:szCs w:val="24"/>
              </w:rPr>
            </w:pPr>
            <w:r>
              <w:rPr>
                <w:rFonts w:hint="eastAsia" w:ascii="宋体" w:hAnsi="宋体" w:cs="宋体"/>
                <w:sz w:val="24"/>
                <w:szCs w:val="24"/>
              </w:rPr>
              <w:t xml:space="preserve"> 1≤得分≤2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765" w:hRule="atLeast"/>
          <w:jc w:val="center"/>
        </w:trPr>
        <w:tc>
          <w:tcPr>
            <w:tcW w:w="551" w:type="dxa"/>
            <w:vMerge w:val="restart"/>
            <w:vAlign w:val="center"/>
          </w:tcPr>
          <w:p>
            <w:pPr>
              <w:spacing w:line="360" w:lineRule="auto"/>
              <w:jc w:val="center"/>
              <w:rPr>
                <w:rFonts w:ascii="宋体" w:hAnsi="宋体" w:cs="宋体"/>
                <w:sz w:val="24"/>
                <w:szCs w:val="24"/>
              </w:rPr>
            </w:pPr>
            <w:r>
              <w:rPr>
                <w:rFonts w:hint="eastAsia" w:ascii="宋体" w:hAnsi="宋体" w:cs="宋体"/>
                <w:sz w:val="24"/>
                <w:szCs w:val="24"/>
              </w:rPr>
              <w:t>3</w:t>
            </w:r>
          </w:p>
        </w:tc>
        <w:tc>
          <w:tcPr>
            <w:tcW w:w="1239" w:type="dxa"/>
            <w:vMerge w:val="restart"/>
            <w:vAlign w:val="center"/>
          </w:tcPr>
          <w:p>
            <w:pPr>
              <w:spacing w:line="360" w:lineRule="auto"/>
              <w:jc w:val="left"/>
              <w:rPr>
                <w:rFonts w:ascii="宋体" w:hAnsi="宋体" w:cs="宋体"/>
                <w:sz w:val="24"/>
                <w:szCs w:val="24"/>
              </w:rPr>
            </w:pPr>
            <w:r>
              <w:rPr>
                <w:rFonts w:hint="eastAsia" w:ascii="宋体" w:hAnsi="宋体" w:cs="宋体"/>
                <w:sz w:val="24"/>
                <w:szCs w:val="24"/>
              </w:rPr>
              <w:t>质量管理体系与措施</w:t>
            </w:r>
          </w:p>
        </w:tc>
        <w:tc>
          <w:tcPr>
            <w:tcW w:w="1141" w:type="dxa"/>
            <w:vMerge w:val="restart"/>
            <w:vAlign w:val="center"/>
          </w:tcPr>
          <w:p>
            <w:pPr>
              <w:spacing w:line="360" w:lineRule="auto"/>
              <w:jc w:val="center"/>
              <w:rPr>
                <w:rFonts w:ascii="宋体" w:hAnsi="宋体" w:cs="宋体"/>
                <w:sz w:val="24"/>
                <w:szCs w:val="24"/>
              </w:rPr>
            </w:pPr>
            <w:r>
              <w:rPr>
                <w:rFonts w:hint="eastAsia" w:ascii="宋体" w:hAnsi="宋体" w:cs="宋体"/>
                <w:sz w:val="24"/>
                <w:szCs w:val="24"/>
              </w:rPr>
              <w:t>1-2分</w:t>
            </w:r>
          </w:p>
        </w:tc>
        <w:tc>
          <w:tcPr>
            <w:tcW w:w="5054" w:type="dxa"/>
            <w:vAlign w:val="center"/>
          </w:tcPr>
          <w:p>
            <w:pPr>
              <w:spacing w:line="360" w:lineRule="auto"/>
              <w:rPr>
                <w:rFonts w:ascii="宋体" w:hAnsi="宋体" w:cs="宋体"/>
                <w:sz w:val="24"/>
                <w:szCs w:val="24"/>
              </w:rPr>
            </w:pPr>
            <w:r>
              <w:rPr>
                <w:rFonts w:hint="eastAsia" w:ascii="宋体" w:hAnsi="宋体" w:cs="宋体"/>
                <w:sz w:val="24"/>
                <w:szCs w:val="24"/>
              </w:rPr>
              <w:t>组织机构形式合理，有完善的指挥系统、质量监控系统、联络协调系统，对项目提出先进、可行、具体的保证措施。主体结构质量保证措施完整得力、经济、安全、切实可行。主体结构、装饰装修按照工程建设强制性标准和其他技术标准施工，不得偷工减料。</w:t>
            </w:r>
          </w:p>
        </w:tc>
        <w:tc>
          <w:tcPr>
            <w:tcW w:w="1635" w:type="dxa"/>
            <w:vAlign w:val="center"/>
          </w:tcPr>
          <w:p>
            <w:pPr>
              <w:spacing w:line="360" w:lineRule="auto"/>
              <w:jc w:val="center"/>
              <w:rPr>
                <w:rFonts w:ascii="宋体" w:hAnsi="宋体" w:cs="宋体"/>
                <w:sz w:val="24"/>
                <w:szCs w:val="24"/>
              </w:rPr>
            </w:pPr>
            <w:r>
              <w:rPr>
                <w:rFonts w:hint="eastAsia" w:ascii="宋体" w:hAnsi="宋体" w:cs="宋体"/>
                <w:sz w:val="24"/>
                <w:szCs w:val="24"/>
              </w:rPr>
              <w:t>1.5＜得分≤2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306" w:hRule="atLeast"/>
          <w:jc w:val="center"/>
        </w:trPr>
        <w:tc>
          <w:tcPr>
            <w:tcW w:w="551" w:type="dxa"/>
            <w:vMerge w:val="continue"/>
            <w:vAlign w:val="center"/>
          </w:tcPr>
          <w:p>
            <w:pPr>
              <w:spacing w:line="360" w:lineRule="auto"/>
              <w:jc w:val="left"/>
              <w:rPr>
                <w:rFonts w:ascii="宋体" w:hAnsi="宋体" w:cs="宋体"/>
                <w:sz w:val="24"/>
                <w:szCs w:val="24"/>
              </w:rPr>
            </w:pPr>
          </w:p>
        </w:tc>
        <w:tc>
          <w:tcPr>
            <w:tcW w:w="1239" w:type="dxa"/>
            <w:vMerge w:val="continue"/>
            <w:vAlign w:val="center"/>
          </w:tcPr>
          <w:p>
            <w:pPr>
              <w:spacing w:line="360" w:lineRule="auto"/>
              <w:jc w:val="left"/>
              <w:rPr>
                <w:rFonts w:ascii="宋体" w:hAnsi="宋体" w:cs="宋体"/>
                <w:sz w:val="24"/>
                <w:szCs w:val="24"/>
              </w:rPr>
            </w:pPr>
          </w:p>
        </w:tc>
        <w:tc>
          <w:tcPr>
            <w:tcW w:w="1141" w:type="dxa"/>
            <w:vMerge w:val="continue"/>
            <w:vAlign w:val="center"/>
          </w:tcPr>
          <w:p>
            <w:pPr>
              <w:spacing w:line="360" w:lineRule="auto"/>
              <w:jc w:val="left"/>
              <w:rPr>
                <w:rFonts w:ascii="宋体" w:hAnsi="宋体" w:cs="宋体"/>
                <w:sz w:val="24"/>
                <w:szCs w:val="24"/>
              </w:rPr>
            </w:pPr>
          </w:p>
        </w:tc>
        <w:tc>
          <w:tcPr>
            <w:tcW w:w="5054" w:type="dxa"/>
            <w:vAlign w:val="center"/>
          </w:tcPr>
          <w:p>
            <w:pPr>
              <w:spacing w:line="360" w:lineRule="auto"/>
              <w:rPr>
                <w:rFonts w:ascii="宋体" w:hAnsi="宋体" w:cs="宋体"/>
                <w:sz w:val="24"/>
                <w:szCs w:val="24"/>
              </w:rPr>
            </w:pPr>
            <w:r>
              <w:rPr>
                <w:rFonts w:hint="eastAsia" w:ascii="宋体" w:hAnsi="宋体" w:cs="宋体"/>
                <w:sz w:val="24"/>
                <w:szCs w:val="24"/>
              </w:rPr>
              <w:t>组织机构形式基本合理，指挥系统、质量监控系统、联络协调系统，具体措施可行。主体结构质量保证措施经济、安全、基本可行。主体结构、装饰装修符合工程建设强制性标准，不得偷工减料。</w:t>
            </w:r>
          </w:p>
        </w:tc>
        <w:tc>
          <w:tcPr>
            <w:tcW w:w="1635" w:type="dxa"/>
            <w:vAlign w:val="center"/>
          </w:tcPr>
          <w:p>
            <w:pPr>
              <w:spacing w:line="360" w:lineRule="auto"/>
              <w:jc w:val="center"/>
              <w:rPr>
                <w:rFonts w:ascii="宋体" w:hAnsi="宋体" w:cs="宋体"/>
                <w:sz w:val="24"/>
                <w:szCs w:val="24"/>
              </w:rPr>
            </w:pPr>
            <w:r>
              <w:rPr>
                <w:rFonts w:hint="eastAsia" w:ascii="宋体" w:hAnsi="宋体" w:cs="宋体"/>
                <w:sz w:val="24"/>
                <w:szCs w:val="24"/>
              </w:rPr>
              <w:t>1≤得分≤1.5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224" w:hRule="atLeast"/>
          <w:jc w:val="center"/>
        </w:trPr>
        <w:tc>
          <w:tcPr>
            <w:tcW w:w="551" w:type="dxa"/>
            <w:vMerge w:val="restart"/>
            <w:vAlign w:val="center"/>
          </w:tcPr>
          <w:p>
            <w:pPr>
              <w:spacing w:line="360" w:lineRule="auto"/>
              <w:jc w:val="center"/>
              <w:rPr>
                <w:rFonts w:ascii="宋体" w:hAnsi="宋体" w:cs="宋体"/>
                <w:sz w:val="24"/>
                <w:szCs w:val="24"/>
              </w:rPr>
            </w:pPr>
            <w:r>
              <w:rPr>
                <w:rFonts w:hint="eastAsia" w:ascii="宋体" w:hAnsi="宋体" w:cs="宋体"/>
                <w:sz w:val="24"/>
                <w:szCs w:val="24"/>
              </w:rPr>
              <w:t>4</w:t>
            </w:r>
          </w:p>
        </w:tc>
        <w:tc>
          <w:tcPr>
            <w:tcW w:w="1239" w:type="dxa"/>
            <w:vMerge w:val="restart"/>
            <w:vAlign w:val="center"/>
          </w:tcPr>
          <w:p>
            <w:pPr>
              <w:spacing w:line="360" w:lineRule="auto"/>
              <w:jc w:val="left"/>
              <w:rPr>
                <w:rFonts w:ascii="宋体" w:hAnsi="宋体" w:cs="宋体"/>
                <w:sz w:val="24"/>
                <w:szCs w:val="24"/>
              </w:rPr>
            </w:pPr>
            <w:r>
              <w:rPr>
                <w:rFonts w:hint="eastAsia" w:ascii="宋体" w:hAnsi="宋体" w:cs="宋体"/>
                <w:sz w:val="24"/>
                <w:szCs w:val="24"/>
              </w:rPr>
              <w:t>安全管理体系与措施</w:t>
            </w:r>
          </w:p>
        </w:tc>
        <w:tc>
          <w:tcPr>
            <w:tcW w:w="1141" w:type="dxa"/>
            <w:vMerge w:val="restart"/>
            <w:vAlign w:val="center"/>
          </w:tcPr>
          <w:p>
            <w:pPr>
              <w:spacing w:line="360" w:lineRule="auto"/>
              <w:jc w:val="center"/>
              <w:rPr>
                <w:rFonts w:ascii="宋体" w:hAnsi="宋体" w:cs="宋体"/>
                <w:sz w:val="24"/>
                <w:szCs w:val="24"/>
              </w:rPr>
            </w:pPr>
            <w:r>
              <w:rPr>
                <w:rFonts w:hint="eastAsia" w:ascii="宋体" w:hAnsi="宋体" w:cs="宋体"/>
                <w:sz w:val="24"/>
                <w:szCs w:val="24"/>
              </w:rPr>
              <w:t xml:space="preserve"> 1-2分</w:t>
            </w:r>
          </w:p>
        </w:tc>
        <w:tc>
          <w:tcPr>
            <w:tcW w:w="5054" w:type="dxa"/>
            <w:vAlign w:val="center"/>
          </w:tcPr>
          <w:p>
            <w:pPr>
              <w:spacing w:line="360" w:lineRule="auto"/>
              <w:rPr>
                <w:rFonts w:ascii="宋体" w:hAnsi="宋体" w:cs="宋体"/>
                <w:sz w:val="24"/>
                <w:szCs w:val="24"/>
              </w:rPr>
            </w:pPr>
            <w:r>
              <w:rPr>
                <w:rFonts w:hint="eastAsia" w:ascii="宋体" w:hAnsi="宋体" w:cs="宋体"/>
                <w:sz w:val="24"/>
                <w:szCs w:val="24"/>
              </w:rPr>
              <w:t>施工安全生产保障体系健全，安全管理制度完善，安全管理目标具体，全员安全责任制明确，现场安全管理组织机构、人员配备满足国家规定要求。根据工程特点、周边环境和施工工艺，现场重大危险源辨识全面，制定有项目危险性较大的分部分项工程清单并明确有相应的安全管理措施。安全技术方案措施科学合理、先进可行。</w:t>
            </w:r>
          </w:p>
        </w:tc>
        <w:tc>
          <w:tcPr>
            <w:tcW w:w="1635" w:type="dxa"/>
            <w:vAlign w:val="center"/>
          </w:tcPr>
          <w:p>
            <w:pPr>
              <w:spacing w:line="360" w:lineRule="auto"/>
              <w:jc w:val="center"/>
              <w:rPr>
                <w:rFonts w:ascii="宋体" w:hAnsi="宋体" w:cs="宋体"/>
                <w:sz w:val="24"/>
                <w:szCs w:val="24"/>
              </w:rPr>
            </w:pPr>
            <w:r>
              <w:rPr>
                <w:rFonts w:hint="eastAsia" w:ascii="宋体" w:hAnsi="宋体" w:cs="宋体"/>
                <w:sz w:val="24"/>
                <w:szCs w:val="24"/>
              </w:rPr>
              <w:t>1.5＜得分≤2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306" w:hRule="atLeast"/>
          <w:jc w:val="center"/>
        </w:trPr>
        <w:tc>
          <w:tcPr>
            <w:tcW w:w="551" w:type="dxa"/>
            <w:vMerge w:val="continue"/>
            <w:vAlign w:val="center"/>
          </w:tcPr>
          <w:p>
            <w:pPr>
              <w:spacing w:line="360" w:lineRule="auto"/>
              <w:jc w:val="left"/>
              <w:rPr>
                <w:rFonts w:ascii="宋体" w:hAnsi="宋体" w:cs="宋体"/>
                <w:sz w:val="24"/>
                <w:szCs w:val="24"/>
              </w:rPr>
            </w:pPr>
          </w:p>
        </w:tc>
        <w:tc>
          <w:tcPr>
            <w:tcW w:w="1239" w:type="dxa"/>
            <w:vMerge w:val="continue"/>
            <w:vAlign w:val="center"/>
          </w:tcPr>
          <w:p>
            <w:pPr>
              <w:spacing w:line="360" w:lineRule="auto"/>
              <w:jc w:val="left"/>
              <w:rPr>
                <w:rFonts w:ascii="宋体" w:hAnsi="宋体" w:cs="宋体"/>
                <w:sz w:val="24"/>
                <w:szCs w:val="24"/>
              </w:rPr>
            </w:pPr>
          </w:p>
        </w:tc>
        <w:tc>
          <w:tcPr>
            <w:tcW w:w="1141" w:type="dxa"/>
            <w:vMerge w:val="continue"/>
            <w:vAlign w:val="center"/>
          </w:tcPr>
          <w:p>
            <w:pPr>
              <w:spacing w:line="360" w:lineRule="auto"/>
              <w:jc w:val="left"/>
              <w:rPr>
                <w:rFonts w:ascii="宋体" w:hAnsi="宋体" w:cs="宋体"/>
                <w:sz w:val="24"/>
                <w:szCs w:val="24"/>
              </w:rPr>
            </w:pPr>
          </w:p>
        </w:tc>
        <w:tc>
          <w:tcPr>
            <w:tcW w:w="5054" w:type="dxa"/>
            <w:vAlign w:val="center"/>
          </w:tcPr>
          <w:p>
            <w:pPr>
              <w:spacing w:line="360" w:lineRule="auto"/>
              <w:rPr>
                <w:rFonts w:ascii="宋体" w:hAnsi="宋体" w:cs="宋体"/>
                <w:sz w:val="24"/>
                <w:szCs w:val="24"/>
              </w:rPr>
            </w:pPr>
            <w:r>
              <w:rPr>
                <w:rFonts w:hint="eastAsia" w:ascii="宋体" w:hAnsi="宋体" w:cs="宋体"/>
                <w:sz w:val="24"/>
                <w:szCs w:val="24"/>
              </w:rPr>
              <w:t>有施工安全生产保障体系、安全责任制和安全管理制度，现场安全管理机构、人员配备满足国家规定。根据工程特点、周边环境和施工工艺，正确识别现场重大危险源并有相应的安全防护管理措施。制定有本项目危险性较大的分部分项工程清单和相关专项施工方案（或方案计划），安全技术方案、措施基本可行。</w:t>
            </w:r>
          </w:p>
        </w:tc>
        <w:tc>
          <w:tcPr>
            <w:tcW w:w="1635" w:type="dxa"/>
            <w:vAlign w:val="center"/>
          </w:tcPr>
          <w:p>
            <w:pPr>
              <w:spacing w:line="360" w:lineRule="auto"/>
              <w:jc w:val="center"/>
              <w:rPr>
                <w:rFonts w:ascii="宋体" w:hAnsi="宋体" w:cs="宋体"/>
                <w:sz w:val="24"/>
                <w:szCs w:val="24"/>
              </w:rPr>
            </w:pPr>
            <w:r>
              <w:rPr>
                <w:rFonts w:hint="eastAsia" w:ascii="宋体" w:hAnsi="宋体" w:cs="宋体"/>
                <w:sz w:val="24"/>
                <w:szCs w:val="24"/>
              </w:rPr>
              <w:t>1≤得分≤1.5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43" w:hRule="atLeast"/>
          <w:jc w:val="center"/>
        </w:trPr>
        <w:tc>
          <w:tcPr>
            <w:tcW w:w="551" w:type="dxa"/>
            <w:vMerge w:val="restart"/>
            <w:vAlign w:val="center"/>
          </w:tcPr>
          <w:p>
            <w:pPr>
              <w:spacing w:line="360" w:lineRule="auto"/>
              <w:jc w:val="center"/>
              <w:rPr>
                <w:rFonts w:ascii="宋体" w:hAnsi="宋体" w:cs="宋体"/>
                <w:sz w:val="24"/>
                <w:szCs w:val="24"/>
              </w:rPr>
            </w:pPr>
            <w:r>
              <w:rPr>
                <w:rFonts w:hint="eastAsia" w:ascii="宋体" w:hAnsi="宋体" w:cs="宋体"/>
                <w:sz w:val="24"/>
                <w:szCs w:val="24"/>
              </w:rPr>
              <w:t>5</w:t>
            </w:r>
          </w:p>
        </w:tc>
        <w:tc>
          <w:tcPr>
            <w:tcW w:w="1239" w:type="dxa"/>
            <w:vMerge w:val="restart"/>
            <w:vAlign w:val="center"/>
          </w:tcPr>
          <w:p>
            <w:pPr>
              <w:spacing w:line="360" w:lineRule="auto"/>
              <w:jc w:val="left"/>
              <w:rPr>
                <w:rFonts w:ascii="宋体" w:hAnsi="宋体" w:cs="宋体"/>
                <w:sz w:val="24"/>
                <w:szCs w:val="24"/>
              </w:rPr>
            </w:pPr>
            <w:r>
              <w:rPr>
                <w:rFonts w:hint="eastAsia" w:ascii="宋体" w:hAnsi="宋体" w:cs="宋体"/>
                <w:sz w:val="24"/>
                <w:szCs w:val="24"/>
              </w:rPr>
              <w:t>文明施工、环境保护管理体系及施工现场扬尘治理措施</w:t>
            </w:r>
          </w:p>
        </w:tc>
        <w:tc>
          <w:tcPr>
            <w:tcW w:w="1141" w:type="dxa"/>
            <w:vMerge w:val="restart"/>
            <w:vAlign w:val="center"/>
          </w:tcPr>
          <w:p>
            <w:pPr>
              <w:spacing w:line="360" w:lineRule="auto"/>
              <w:jc w:val="center"/>
              <w:rPr>
                <w:rFonts w:ascii="宋体" w:hAnsi="宋体" w:cs="宋体"/>
                <w:sz w:val="24"/>
                <w:szCs w:val="24"/>
              </w:rPr>
            </w:pPr>
            <w:r>
              <w:rPr>
                <w:rFonts w:hint="eastAsia" w:ascii="宋体" w:hAnsi="宋体" w:cs="宋体"/>
                <w:sz w:val="24"/>
                <w:szCs w:val="24"/>
              </w:rPr>
              <w:t>1-3分</w:t>
            </w:r>
          </w:p>
        </w:tc>
        <w:tc>
          <w:tcPr>
            <w:tcW w:w="5054" w:type="dxa"/>
            <w:vAlign w:val="center"/>
          </w:tcPr>
          <w:p>
            <w:pPr>
              <w:spacing w:line="360" w:lineRule="auto"/>
              <w:rPr>
                <w:rFonts w:ascii="宋体" w:hAnsi="宋体" w:cs="宋体"/>
                <w:sz w:val="24"/>
                <w:szCs w:val="24"/>
              </w:rPr>
            </w:pPr>
            <w:r>
              <w:rPr>
                <w:rFonts w:hint="eastAsia" w:ascii="宋体" w:hAnsi="宋体" w:cs="宋体"/>
                <w:sz w:val="24"/>
                <w:szCs w:val="24"/>
              </w:rPr>
              <w:t>创安全文明标准化工地目标明确，有针对项目实际情况，科学可行的创建计划和符合相关标准、规范、规程的创建保证措施和安全文明措施费用投入使用计划，现场施工区、生活区、办公区等设置科学规范，符合有关文明施工、健康卫生的规定。施工现场扬尘治理措施符合河南省《城市房屋建筑和市政基础设施工程及道路扬尘污染防治标准》（DBJ41/174）的规定，防治方案科学、先进。</w:t>
            </w:r>
          </w:p>
        </w:tc>
        <w:tc>
          <w:tcPr>
            <w:tcW w:w="1635" w:type="dxa"/>
            <w:vAlign w:val="center"/>
          </w:tcPr>
          <w:p>
            <w:pPr>
              <w:spacing w:line="360" w:lineRule="auto"/>
              <w:jc w:val="center"/>
              <w:rPr>
                <w:rFonts w:ascii="宋体" w:hAnsi="宋体" w:cs="宋体"/>
                <w:sz w:val="24"/>
                <w:szCs w:val="24"/>
              </w:rPr>
            </w:pPr>
            <w:r>
              <w:rPr>
                <w:rFonts w:hint="eastAsia" w:ascii="宋体" w:hAnsi="宋体" w:cs="宋体"/>
                <w:sz w:val="24"/>
                <w:szCs w:val="24"/>
              </w:rPr>
              <w:t>2＜得分≤3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224" w:hRule="atLeast"/>
          <w:jc w:val="center"/>
        </w:trPr>
        <w:tc>
          <w:tcPr>
            <w:tcW w:w="551" w:type="dxa"/>
            <w:vMerge w:val="continue"/>
            <w:vAlign w:val="center"/>
          </w:tcPr>
          <w:p>
            <w:pPr>
              <w:spacing w:line="360" w:lineRule="auto"/>
              <w:jc w:val="left"/>
              <w:rPr>
                <w:rFonts w:ascii="宋体" w:hAnsi="宋体" w:cs="宋体"/>
                <w:sz w:val="24"/>
                <w:szCs w:val="24"/>
              </w:rPr>
            </w:pPr>
          </w:p>
        </w:tc>
        <w:tc>
          <w:tcPr>
            <w:tcW w:w="1239" w:type="dxa"/>
            <w:vMerge w:val="continue"/>
            <w:vAlign w:val="center"/>
          </w:tcPr>
          <w:p>
            <w:pPr>
              <w:spacing w:line="360" w:lineRule="auto"/>
              <w:jc w:val="left"/>
              <w:rPr>
                <w:rFonts w:ascii="宋体" w:hAnsi="宋体" w:cs="宋体"/>
                <w:sz w:val="24"/>
                <w:szCs w:val="24"/>
              </w:rPr>
            </w:pPr>
          </w:p>
        </w:tc>
        <w:tc>
          <w:tcPr>
            <w:tcW w:w="1141" w:type="dxa"/>
            <w:vMerge w:val="continue"/>
            <w:vAlign w:val="center"/>
          </w:tcPr>
          <w:p>
            <w:pPr>
              <w:spacing w:line="360" w:lineRule="auto"/>
              <w:jc w:val="left"/>
              <w:rPr>
                <w:rFonts w:ascii="宋体" w:hAnsi="宋体" w:cs="宋体"/>
                <w:sz w:val="24"/>
                <w:szCs w:val="24"/>
              </w:rPr>
            </w:pPr>
          </w:p>
        </w:tc>
        <w:tc>
          <w:tcPr>
            <w:tcW w:w="5054" w:type="dxa"/>
            <w:vAlign w:val="center"/>
          </w:tcPr>
          <w:p>
            <w:pPr>
              <w:spacing w:line="360" w:lineRule="auto"/>
              <w:rPr>
                <w:rFonts w:ascii="宋体" w:hAnsi="宋体" w:cs="宋体"/>
                <w:sz w:val="24"/>
                <w:szCs w:val="24"/>
              </w:rPr>
            </w:pPr>
            <w:r>
              <w:rPr>
                <w:rFonts w:hint="eastAsia" w:ascii="宋体" w:hAnsi="宋体" w:cs="宋体"/>
                <w:sz w:val="24"/>
                <w:szCs w:val="24"/>
              </w:rPr>
              <w:t>有安全文明标准化工地创建目标计划和创建措施，有安全文明措施费用投入使用计划，现场施工区、生活区、办公区等设置符合有关文明施工、健康卫生的规定。施工现场扬尘治理措施基本达到河南省《城市房屋建筑和市政基础设施工程及道路扬尘污染防治标准》（DBJ41/174）的规定，有防治方案。</w:t>
            </w:r>
          </w:p>
        </w:tc>
        <w:tc>
          <w:tcPr>
            <w:tcW w:w="1635" w:type="dxa"/>
            <w:vAlign w:val="center"/>
          </w:tcPr>
          <w:p>
            <w:pPr>
              <w:spacing w:line="360" w:lineRule="auto"/>
              <w:jc w:val="center"/>
              <w:rPr>
                <w:rFonts w:ascii="宋体" w:hAnsi="宋体" w:cs="宋体"/>
                <w:sz w:val="24"/>
                <w:szCs w:val="24"/>
              </w:rPr>
            </w:pPr>
            <w:r>
              <w:rPr>
                <w:rFonts w:hint="eastAsia" w:ascii="宋体" w:hAnsi="宋体" w:cs="宋体"/>
                <w:sz w:val="24"/>
                <w:szCs w:val="24"/>
              </w:rPr>
              <w:t>1≤得分≤2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35" w:hRule="atLeast"/>
          <w:jc w:val="center"/>
        </w:trPr>
        <w:tc>
          <w:tcPr>
            <w:tcW w:w="551" w:type="dxa"/>
            <w:vMerge w:val="restart"/>
            <w:vAlign w:val="center"/>
          </w:tcPr>
          <w:p>
            <w:pPr>
              <w:spacing w:line="360" w:lineRule="auto"/>
              <w:jc w:val="center"/>
              <w:rPr>
                <w:rFonts w:ascii="宋体" w:hAnsi="宋体" w:cs="宋体"/>
                <w:sz w:val="24"/>
                <w:szCs w:val="24"/>
              </w:rPr>
            </w:pPr>
            <w:r>
              <w:rPr>
                <w:rFonts w:hint="eastAsia" w:ascii="宋体" w:hAnsi="宋体" w:cs="宋体"/>
                <w:sz w:val="24"/>
                <w:szCs w:val="24"/>
              </w:rPr>
              <w:t>6</w:t>
            </w:r>
          </w:p>
        </w:tc>
        <w:tc>
          <w:tcPr>
            <w:tcW w:w="1239" w:type="dxa"/>
            <w:vMerge w:val="restart"/>
            <w:vAlign w:val="center"/>
          </w:tcPr>
          <w:p>
            <w:pPr>
              <w:spacing w:line="360" w:lineRule="auto"/>
              <w:jc w:val="left"/>
              <w:rPr>
                <w:rFonts w:ascii="宋体" w:hAnsi="宋体" w:cs="宋体"/>
                <w:sz w:val="24"/>
                <w:szCs w:val="24"/>
              </w:rPr>
            </w:pPr>
            <w:r>
              <w:rPr>
                <w:rFonts w:hint="eastAsia" w:ascii="宋体" w:hAnsi="宋体" w:cs="宋体"/>
                <w:sz w:val="24"/>
                <w:szCs w:val="24"/>
              </w:rPr>
              <w:t>工期保证措施</w:t>
            </w:r>
          </w:p>
        </w:tc>
        <w:tc>
          <w:tcPr>
            <w:tcW w:w="1141" w:type="dxa"/>
            <w:vMerge w:val="restart"/>
            <w:vAlign w:val="center"/>
          </w:tcPr>
          <w:p>
            <w:pPr>
              <w:spacing w:line="360" w:lineRule="auto"/>
              <w:jc w:val="center"/>
              <w:rPr>
                <w:rFonts w:ascii="宋体" w:hAnsi="宋体" w:cs="宋体"/>
                <w:sz w:val="24"/>
                <w:szCs w:val="24"/>
              </w:rPr>
            </w:pPr>
            <w:r>
              <w:rPr>
                <w:rFonts w:hint="eastAsia" w:ascii="宋体" w:hAnsi="宋体" w:cs="宋体"/>
                <w:sz w:val="24"/>
                <w:szCs w:val="24"/>
              </w:rPr>
              <w:t>1-2分</w:t>
            </w:r>
          </w:p>
        </w:tc>
        <w:tc>
          <w:tcPr>
            <w:tcW w:w="5054" w:type="dxa"/>
            <w:vAlign w:val="center"/>
          </w:tcPr>
          <w:p>
            <w:pPr>
              <w:spacing w:line="360" w:lineRule="auto"/>
              <w:rPr>
                <w:rFonts w:ascii="宋体" w:hAnsi="宋体" w:cs="宋体"/>
                <w:sz w:val="24"/>
                <w:szCs w:val="24"/>
              </w:rPr>
            </w:pPr>
            <w:r>
              <w:rPr>
                <w:rFonts w:hint="eastAsia" w:ascii="宋体" w:hAnsi="宋体" w:cs="宋体"/>
                <w:sz w:val="24"/>
                <w:szCs w:val="24"/>
              </w:rPr>
              <w:t>工期承诺满足招标文件要求，工期保证措施合理且有针对性，有具体的违约责任承诺。</w:t>
            </w:r>
          </w:p>
        </w:tc>
        <w:tc>
          <w:tcPr>
            <w:tcW w:w="1635" w:type="dxa"/>
            <w:vAlign w:val="center"/>
          </w:tcPr>
          <w:p>
            <w:pPr>
              <w:spacing w:line="360" w:lineRule="auto"/>
              <w:jc w:val="center"/>
              <w:rPr>
                <w:rFonts w:ascii="宋体" w:hAnsi="宋体" w:cs="宋体"/>
                <w:sz w:val="24"/>
                <w:szCs w:val="24"/>
              </w:rPr>
            </w:pPr>
            <w:r>
              <w:rPr>
                <w:rFonts w:hint="eastAsia" w:ascii="宋体" w:hAnsi="宋体" w:cs="宋体"/>
                <w:sz w:val="24"/>
                <w:szCs w:val="24"/>
              </w:rPr>
              <w:t>1.5＜得分≤2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35" w:hRule="atLeast"/>
          <w:jc w:val="center"/>
        </w:trPr>
        <w:tc>
          <w:tcPr>
            <w:tcW w:w="551" w:type="dxa"/>
            <w:vMerge w:val="continue"/>
            <w:vAlign w:val="center"/>
          </w:tcPr>
          <w:p>
            <w:pPr>
              <w:spacing w:line="360" w:lineRule="auto"/>
              <w:jc w:val="left"/>
              <w:rPr>
                <w:rFonts w:ascii="宋体" w:hAnsi="宋体" w:cs="宋体"/>
                <w:sz w:val="24"/>
                <w:szCs w:val="24"/>
              </w:rPr>
            </w:pPr>
          </w:p>
        </w:tc>
        <w:tc>
          <w:tcPr>
            <w:tcW w:w="1239" w:type="dxa"/>
            <w:vMerge w:val="continue"/>
            <w:vAlign w:val="center"/>
          </w:tcPr>
          <w:p>
            <w:pPr>
              <w:spacing w:line="360" w:lineRule="auto"/>
              <w:jc w:val="left"/>
              <w:rPr>
                <w:rFonts w:ascii="宋体" w:hAnsi="宋体" w:cs="宋体"/>
                <w:sz w:val="24"/>
                <w:szCs w:val="24"/>
              </w:rPr>
            </w:pPr>
          </w:p>
        </w:tc>
        <w:tc>
          <w:tcPr>
            <w:tcW w:w="1141" w:type="dxa"/>
            <w:vMerge w:val="continue"/>
            <w:vAlign w:val="center"/>
          </w:tcPr>
          <w:p>
            <w:pPr>
              <w:spacing w:line="360" w:lineRule="auto"/>
              <w:jc w:val="left"/>
              <w:rPr>
                <w:rFonts w:ascii="宋体" w:hAnsi="宋体" w:cs="宋体"/>
                <w:sz w:val="24"/>
                <w:szCs w:val="24"/>
              </w:rPr>
            </w:pPr>
          </w:p>
        </w:tc>
        <w:tc>
          <w:tcPr>
            <w:tcW w:w="5054" w:type="dxa"/>
            <w:vAlign w:val="center"/>
          </w:tcPr>
          <w:p>
            <w:pPr>
              <w:spacing w:line="360" w:lineRule="auto"/>
              <w:rPr>
                <w:rFonts w:ascii="宋体" w:hAnsi="宋体" w:cs="宋体"/>
                <w:sz w:val="24"/>
                <w:szCs w:val="24"/>
              </w:rPr>
            </w:pPr>
            <w:r>
              <w:rPr>
                <w:rFonts w:hint="eastAsia" w:ascii="宋体" w:hAnsi="宋体" w:cs="宋体"/>
                <w:sz w:val="24"/>
                <w:szCs w:val="24"/>
              </w:rPr>
              <w:t>工期承诺满足招标文件要求，工期保证措施基本合理，有具体的违约责任承诺。</w:t>
            </w:r>
          </w:p>
        </w:tc>
        <w:tc>
          <w:tcPr>
            <w:tcW w:w="1635" w:type="dxa"/>
            <w:vAlign w:val="center"/>
          </w:tcPr>
          <w:p>
            <w:pPr>
              <w:spacing w:line="360" w:lineRule="auto"/>
              <w:jc w:val="center"/>
              <w:rPr>
                <w:rFonts w:ascii="宋体" w:hAnsi="宋体" w:cs="宋体"/>
                <w:sz w:val="24"/>
                <w:szCs w:val="24"/>
              </w:rPr>
            </w:pPr>
            <w:r>
              <w:rPr>
                <w:rFonts w:hint="eastAsia" w:ascii="宋体" w:hAnsi="宋体" w:cs="宋体"/>
                <w:sz w:val="24"/>
                <w:szCs w:val="24"/>
              </w:rPr>
              <w:t>1≤得分≤1.5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43" w:hRule="atLeast"/>
          <w:jc w:val="center"/>
        </w:trPr>
        <w:tc>
          <w:tcPr>
            <w:tcW w:w="551" w:type="dxa"/>
            <w:vMerge w:val="restart"/>
            <w:vAlign w:val="center"/>
          </w:tcPr>
          <w:p>
            <w:pPr>
              <w:spacing w:line="360" w:lineRule="auto"/>
              <w:jc w:val="center"/>
              <w:rPr>
                <w:rFonts w:ascii="宋体" w:hAnsi="宋体" w:cs="宋体"/>
                <w:sz w:val="24"/>
                <w:szCs w:val="24"/>
              </w:rPr>
            </w:pPr>
            <w:r>
              <w:rPr>
                <w:rFonts w:hint="eastAsia" w:ascii="宋体" w:hAnsi="宋体" w:cs="宋体"/>
                <w:sz w:val="24"/>
                <w:szCs w:val="24"/>
              </w:rPr>
              <w:t>7</w:t>
            </w:r>
          </w:p>
        </w:tc>
        <w:tc>
          <w:tcPr>
            <w:tcW w:w="1239" w:type="dxa"/>
            <w:vMerge w:val="restart"/>
            <w:vAlign w:val="center"/>
          </w:tcPr>
          <w:p>
            <w:pPr>
              <w:spacing w:line="360" w:lineRule="auto"/>
              <w:jc w:val="center"/>
              <w:rPr>
                <w:rFonts w:ascii="宋体" w:hAnsi="宋体" w:cs="宋体"/>
                <w:sz w:val="24"/>
                <w:szCs w:val="24"/>
              </w:rPr>
            </w:pPr>
            <w:r>
              <w:rPr>
                <w:rFonts w:hint="eastAsia" w:ascii="宋体" w:hAnsi="宋体" w:cs="宋体"/>
                <w:sz w:val="24"/>
                <w:szCs w:val="24"/>
              </w:rPr>
              <w:t>拟投入资源配备计划</w:t>
            </w:r>
          </w:p>
        </w:tc>
        <w:tc>
          <w:tcPr>
            <w:tcW w:w="1141" w:type="dxa"/>
            <w:vMerge w:val="restart"/>
            <w:vAlign w:val="center"/>
          </w:tcPr>
          <w:p>
            <w:pPr>
              <w:spacing w:line="360" w:lineRule="auto"/>
              <w:jc w:val="center"/>
              <w:rPr>
                <w:rFonts w:ascii="宋体" w:hAnsi="宋体" w:cs="宋体"/>
                <w:sz w:val="24"/>
                <w:szCs w:val="24"/>
              </w:rPr>
            </w:pPr>
            <w:r>
              <w:rPr>
                <w:rFonts w:hint="eastAsia" w:ascii="宋体" w:hAnsi="宋体" w:cs="宋体"/>
                <w:sz w:val="24"/>
                <w:szCs w:val="24"/>
              </w:rPr>
              <w:t>0.5-2分</w:t>
            </w:r>
          </w:p>
        </w:tc>
        <w:tc>
          <w:tcPr>
            <w:tcW w:w="5054" w:type="dxa"/>
            <w:vAlign w:val="center"/>
          </w:tcPr>
          <w:p>
            <w:pPr>
              <w:spacing w:line="360" w:lineRule="auto"/>
              <w:rPr>
                <w:rFonts w:ascii="宋体" w:hAnsi="宋体" w:cs="宋体"/>
                <w:sz w:val="24"/>
                <w:szCs w:val="24"/>
              </w:rPr>
            </w:pPr>
            <w:r>
              <w:rPr>
                <w:rFonts w:hint="eastAsia" w:ascii="宋体" w:hAnsi="宋体" w:cs="宋体"/>
                <w:sz w:val="24"/>
                <w:szCs w:val="24"/>
              </w:rPr>
              <w:t>1.机械：投入计划与进度计划呼应，采用先进机械设备且配置合理、先进，满足安全技术规范和施工进度需要；PC构件运输、安装设备满足施工要求；</w:t>
            </w:r>
          </w:p>
          <w:p>
            <w:pPr>
              <w:spacing w:line="360" w:lineRule="auto"/>
              <w:rPr>
                <w:rFonts w:ascii="宋体" w:hAnsi="宋体" w:cs="宋体"/>
                <w:sz w:val="24"/>
                <w:szCs w:val="24"/>
              </w:rPr>
            </w:pPr>
            <w:r>
              <w:rPr>
                <w:rFonts w:hint="eastAsia" w:ascii="宋体" w:hAnsi="宋体" w:cs="宋体"/>
                <w:sz w:val="24"/>
                <w:szCs w:val="24"/>
              </w:rPr>
              <w:t>2.劳动力：投入计划与进度计划呼应，较好满足施工需要，调配投入计划合理、准确；</w:t>
            </w:r>
          </w:p>
          <w:p>
            <w:pPr>
              <w:spacing w:line="360" w:lineRule="auto"/>
              <w:rPr>
                <w:rFonts w:ascii="宋体" w:hAnsi="宋体" w:cs="宋体"/>
                <w:sz w:val="24"/>
                <w:szCs w:val="24"/>
              </w:rPr>
            </w:pPr>
            <w:r>
              <w:rPr>
                <w:rFonts w:hint="eastAsia" w:ascii="宋体" w:hAnsi="宋体" w:cs="宋体"/>
                <w:sz w:val="24"/>
                <w:szCs w:val="24"/>
              </w:rPr>
              <w:t>3.主要物资计划：主要物资（含PC构件的供应需求）投入计划与进度计划呼应，较好满足施工需要，调配投入计划合理、准确。</w:t>
            </w:r>
          </w:p>
        </w:tc>
        <w:tc>
          <w:tcPr>
            <w:tcW w:w="1635" w:type="dxa"/>
            <w:vAlign w:val="center"/>
          </w:tcPr>
          <w:p>
            <w:pPr>
              <w:spacing w:line="360" w:lineRule="auto"/>
              <w:jc w:val="center"/>
              <w:rPr>
                <w:rFonts w:ascii="宋体" w:hAnsi="宋体" w:cs="宋体"/>
                <w:sz w:val="24"/>
                <w:szCs w:val="24"/>
              </w:rPr>
            </w:pPr>
            <w:r>
              <w:rPr>
                <w:rFonts w:hint="eastAsia" w:ascii="宋体" w:hAnsi="宋体" w:cs="宋体"/>
                <w:sz w:val="24"/>
                <w:szCs w:val="24"/>
              </w:rPr>
              <w:t>1＜得分≤2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84" w:hRule="atLeast"/>
          <w:jc w:val="center"/>
        </w:trPr>
        <w:tc>
          <w:tcPr>
            <w:tcW w:w="551" w:type="dxa"/>
            <w:vMerge w:val="continue"/>
            <w:vAlign w:val="center"/>
          </w:tcPr>
          <w:p>
            <w:pPr>
              <w:spacing w:line="360" w:lineRule="auto"/>
              <w:jc w:val="left"/>
              <w:rPr>
                <w:rFonts w:ascii="宋体" w:hAnsi="宋体" w:cs="宋体"/>
                <w:sz w:val="24"/>
                <w:szCs w:val="24"/>
              </w:rPr>
            </w:pPr>
          </w:p>
        </w:tc>
        <w:tc>
          <w:tcPr>
            <w:tcW w:w="1239" w:type="dxa"/>
            <w:vMerge w:val="continue"/>
            <w:vAlign w:val="center"/>
          </w:tcPr>
          <w:p>
            <w:pPr>
              <w:spacing w:line="360" w:lineRule="auto"/>
              <w:jc w:val="left"/>
              <w:rPr>
                <w:rFonts w:ascii="宋体" w:hAnsi="宋体" w:cs="宋体"/>
                <w:sz w:val="24"/>
                <w:szCs w:val="24"/>
              </w:rPr>
            </w:pPr>
          </w:p>
        </w:tc>
        <w:tc>
          <w:tcPr>
            <w:tcW w:w="1141" w:type="dxa"/>
            <w:vMerge w:val="continue"/>
            <w:vAlign w:val="center"/>
          </w:tcPr>
          <w:p>
            <w:pPr>
              <w:spacing w:line="360" w:lineRule="auto"/>
              <w:jc w:val="left"/>
              <w:rPr>
                <w:rFonts w:ascii="宋体" w:hAnsi="宋体" w:cs="宋体"/>
                <w:sz w:val="24"/>
                <w:szCs w:val="24"/>
              </w:rPr>
            </w:pPr>
          </w:p>
        </w:tc>
        <w:tc>
          <w:tcPr>
            <w:tcW w:w="5054" w:type="dxa"/>
            <w:vAlign w:val="center"/>
          </w:tcPr>
          <w:p>
            <w:pPr>
              <w:spacing w:line="360" w:lineRule="auto"/>
              <w:rPr>
                <w:rFonts w:ascii="宋体" w:hAnsi="宋体" w:cs="宋体"/>
                <w:sz w:val="24"/>
                <w:szCs w:val="24"/>
              </w:rPr>
            </w:pPr>
            <w:r>
              <w:rPr>
                <w:rFonts w:hint="eastAsia" w:ascii="宋体" w:hAnsi="宋体" w:cs="宋体"/>
                <w:sz w:val="24"/>
                <w:szCs w:val="24"/>
              </w:rPr>
              <w:t>1.机械：投入计划与进度计划呼应，机械设备配置基本合理，满足安全技术规范和施工进度需要；</w:t>
            </w:r>
          </w:p>
          <w:p>
            <w:pPr>
              <w:spacing w:line="360" w:lineRule="auto"/>
              <w:rPr>
                <w:rFonts w:ascii="宋体" w:hAnsi="宋体" w:cs="宋体"/>
                <w:sz w:val="24"/>
                <w:szCs w:val="24"/>
              </w:rPr>
            </w:pPr>
            <w:r>
              <w:rPr>
                <w:rFonts w:hint="eastAsia" w:ascii="宋体" w:hAnsi="宋体" w:cs="宋体"/>
                <w:sz w:val="24"/>
                <w:szCs w:val="24"/>
              </w:rPr>
              <w:t>2.劳动力：投入计划与进度计划呼应，基本满足施工需要，调配投入计划基本合理；</w:t>
            </w:r>
          </w:p>
          <w:p>
            <w:pPr>
              <w:spacing w:line="360" w:lineRule="auto"/>
              <w:rPr>
                <w:rFonts w:ascii="宋体" w:hAnsi="宋体" w:cs="宋体"/>
                <w:spacing w:val="-4"/>
                <w:sz w:val="24"/>
                <w:szCs w:val="24"/>
              </w:rPr>
            </w:pPr>
            <w:r>
              <w:rPr>
                <w:rFonts w:hint="eastAsia" w:ascii="宋体" w:hAnsi="宋体" w:cs="宋体"/>
                <w:spacing w:val="-4"/>
                <w:sz w:val="24"/>
                <w:szCs w:val="24"/>
              </w:rPr>
              <w:t>3.主要物资计划：主要物资（含PC构件的供应需求）投入计划与进度计划呼应，基本满足施工需要，调配投入计划基本合理。</w:t>
            </w:r>
          </w:p>
        </w:tc>
        <w:tc>
          <w:tcPr>
            <w:tcW w:w="1635" w:type="dxa"/>
            <w:vAlign w:val="center"/>
          </w:tcPr>
          <w:p>
            <w:pPr>
              <w:spacing w:line="360" w:lineRule="auto"/>
              <w:jc w:val="center"/>
              <w:rPr>
                <w:rFonts w:ascii="宋体" w:hAnsi="宋体" w:cs="宋体"/>
                <w:sz w:val="24"/>
                <w:szCs w:val="24"/>
              </w:rPr>
            </w:pPr>
            <w:r>
              <w:rPr>
                <w:rFonts w:hint="eastAsia" w:ascii="宋体" w:hAnsi="宋体" w:cs="宋体"/>
                <w:sz w:val="24"/>
                <w:szCs w:val="24"/>
              </w:rPr>
              <w:t>0.5≤得分≤1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35" w:hRule="atLeast"/>
          <w:jc w:val="center"/>
        </w:trPr>
        <w:tc>
          <w:tcPr>
            <w:tcW w:w="551" w:type="dxa"/>
            <w:vMerge w:val="restart"/>
            <w:vAlign w:val="center"/>
          </w:tcPr>
          <w:p>
            <w:pPr>
              <w:spacing w:line="360" w:lineRule="auto"/>
              <w:jc w:val="center"/>
              <w:rPr>
                <w:rFonts w:ascii="宋体" w:hAnsi="宋体" w:cs="宋体"/>
                <w:sz w:val="24"/>
                <w:szCs w:val="24"/>
              </w:rPr>
            </w:pPr>
            <w:r>
              <w:rPr>
                <w:rFonts w:hint="eastAsia" w:ascii="宋体" w:hAnsi="宋体" w:cs="宋体"/>
                <w:sz w:val="24"/>
                <w:szCs w:val="24"/>
              </w:rPr>
              <w:t>8</w:t>
            </w:r>
          </w:p>
        </w:tc>
        <w:tc>
          <w:tcPr>
            <w:tcW w:w="1239" w:type="dxa"/>
            <w:vMerge w:val="restart"/>
            <w:vAlign w:val="center"/>
          </w:tcPr>
          <w:p>
            <w:pPr>
              <w:spacing w:line="360" w:lineRule="auto"/>
              <w:jc w:val="left"/>
              <w:rPr>
                <w:rFonts w:ascii="宋体" w:hAnsi="宋体" w:cs="宋体"/>
                <w:sz w:val="24"/>
                <w:szCs w:val="24"/>
              </w:rPr>
            </w:pPr>
            <w:r>
              <w:rPr>
                <w:rFonts w:hint="eastAsia" w:ascii="宋体" w:hAnsi="宋体" w:cs="宋体"/>
                <w:sz w:val="24"/>
                <w:szCs w:val="24"/>
              </w:rPr>
              <w:t>施工进度表与网络计划图</w:t>
            </w:r>
          </w:p>
        </w:tc>
        <w:tc>
          <w:tcPr>
            <w:tcW w:w="1141" w:type="dxa"/>
            <w:vMerge w:val="restart"/>
            <w:vAlign w:val="center"/>
          </w:tcPr>
          <w:p>
            <w:pPr>
              <w:spacing w:line="360" w:lineRule="auto"/>
              <w:jc w:val="center"/>
              <w:rPr>
                <w:rFonts w:ascii="宋体" w:hAnsi="宋体" w:cs="宋体"/>
                <w:sz w:val="24"/>
                <w:szCs w:val="24"/>
              </w:rPr>
            </w:pPr>
            <w:r>
              <w:rPr>
                <w:rFonts w:hint="eastAsia" w:ascii="宋体" w:hAnsi="宋体" w:cs="宋体"/>
                <w:sz w:val="24"/>
                <w:szCs w:val="24"/>
              </w:rPr>
              <w:t>0.5-2分</w:t>
            </w:r>
          </w:p>
        </w:tc>
        <w:tc>
          <w:tcPr>
            <w:tcW w:w="5054" w:type="dxa"/>
            <w:vAlign w:val="center"/>
          </w:tcPr>
          <w:p>
            <w:pPr>
              <w:spacing w:line="360" w:lineRule="auto"/>
              <w:rPr>
                <w:rFonts w:ascii="宋体" w:hAnsi="宋体" w:cs="宋体"/>
                <w:sz w:val="24"/>
                <w:szCs w:val="24"/>
              </w:rPr>
            </w:pPr>
            <w:r>
              <w:rPr>
                <w:rFonts w:hint="eastAsia" w:ascii="宋体" w:hAnsi="宋体" w:cs="宋体"/>
                <w:sz w:val="24"/>
                <w:szCs w:val="24"/>
              </w:rPr>
              <w:t>关键线路清晰、准确、完整、计划编制合理、可行、满足招标文件对工期的要求。</w:t>
            </w:r>
          </w:p>
        </w:tc>
        <w:tc>
          <w:tcPr>
            <w:tcW w:w="1635" w:type="dxa"/>
            <w:vAlign w:val="center"/>
          </w:tcPr>
          <w:p>
            <w:pPr>
              <w:spacing w:line="360" w:lineRule="auto"/>
              <w:jc w:val="center"/>
              <w:rPr>
                <w:rFonts w:ascii="宋体" w:hAnsi="宋体" w:cs="宋体"/>
                <w:sz w:val="24"/>
                <w:szCs w:val="24"/>
              </w:rPr>
            </w:pPr>
            <w:r>
              <w:rPr>
                <w:rFonts w:hint="eastAsia" w:ascii="宋体" w:hAnsi="宋体" w:cs="宋体"/>
                <w:sz w:val="24"/>
                <w:szCs w:val="24"/>
              </w:rPr>
              <w:t>1＜得分≤2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78" w:hRule="atLeast"/>
          <w:jc w:val="center"/>
        </w:trPr>
        <w:tc>
          <w:tcPr>
            <w:tcW w:w="551" w:type="dxa"/>
            <w:vMerge w:val="continue"/>
            <w:vAlign w:val="center"/>
          </w:tcPr>
          <w:p>
            <w:pPr>
              <w:spacing w:line="360" w:lineRule="auto"/>
              <w:jc w:val="left"/>
              <w:rPr>
                <w:rFonts w:ascii="宋体" w:hAnsi="宋体" w:cs="宋体"/>
                <w:sz w:val="24"/>
                <w:szCs w:val="24"/>
              </w:rPr>
            </w:pPr>
          </w:p>
        </w:tc>
        <w:tc>
          <w:tcPr>
            <w:tcW w:w="1239" w:type="dxa"/>
            <w:vMerge w:val="continue"/>
            <w:vAlign w:val="center"/>
          </w:tcPr>
          <w:p>
            <w:pPr>
              <w:spacing w:line="360" w:lineRule="auto"/>
              <w:jc w:val="left"/>
              <w:rPr>
                <w:rFonts w:ascii="宋体" w:hAnsi="宋体" w:cs="宋体"/>
                <w:sz w:val="24"/>
                <w:szCs w:val="24"/>
              </w:rPr>
            </w:pPr>
          </w:p>
        </w:tc>
        <w:tc>
          <w:tcPr>
            <w:tcW w:w="1141" w:type="dxa"/>
            <w:vMerge w:val="continue"/>
            <w:vAlign w:val="center"/>
          </w:tcPr>
          <w:p>
            <w:pPr>
              <w:spacing w:line="360" w:lineRule="auto"/>
              <w:jc w:val="left"/>
              <w:rPr>
                <w:rFonts w:ascii="宋体" w:hAnsi="宋体" w:cs="宋体"/>
                <w:sz w:val="24"/>
                <w:szCs w:val="24"/>
              </w:rPr>
            </w:pPr>
          </w:p>
        </w:tc>
        <w:tc>
          <w:tcPr>
            <w:tcW w:w="5054" w:type="dxa"/>
            <w:vAlign w:val="center"/>
          </w:tcPr>
          <w:p>
            <w:pPr>
              <w:spacing w:line="360" w:lineRule="auto"/>
              <w:rPr>
                <w:rFonts w:ascii="宋体" w:hAnsi="宋体" w:cs="宋体"/>
                <w:sz w:val="24"/>
                <w:szCs w:val="24"/>
              </w:rPr>
            </w:pPr>
            <w:r>
              <w:rPr>
                <w:rFonts w:hint="eastAsia" w:ascii="宋体" w:hAnsi="宋体" w:cs="宋体"/>
                <w:sz w:val="24"/>
                <w:szCs w:val="24"/>
              </w:rPr>
              <w:t>关键线路基本准确，计划编制基本可行。</w:t>
            </w:r>
          </w:p>
        </w:tc>
        <w:tc>
          <w:tcPr>
            <w:tcW w:w="1635" w:type="dxa"/>
            <w:vAlign w:val="center"/>
          </w:tcPr>
          <w:p>
            <w:pPr>
              <w:spacing w:line="360" w:lineRule="auto"/>
              <w:jc w:val="center"/>
              <w:rPr>
                <w:rFonts w:ascii="宋体" w:hAnsi="宋体" w:cs="宋体"/>
                <w:sz w:val="24"/>
                <w:szCs w:val="24"/>
              </w:rPr>
            </w:pPr>
            <w:r>
              <w:rPr>
                <w:rFonts w:hint="eastAsia" w:ascii="宋体" w:hAnsi="宋体" w:cs="宋体"/>
                <w:sz w:val="24"/>
                <w:szCs w:val="24"/>
              </w:rPr>
              <w:t>0.5≤得分≤1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35" w:hRule="atLeast"/>
          <w:jc w:val="center"/>
        </w:trPr>
        <w:tc>
          <w:tcPr>
            <w:tcW w:w="551" w:type="dxa"/>
            <w:vMerge w:val="restart"/>
            <w:vAlign w:val="center"/>
          </w:tcPr>
          <w:p>
            <w:pPr>
              <w:spacing w:line="360" w:lineRule="auto"/>
              <w:jc w:val="center"/>
              <w:rPr>
                <w:rFonts w:ascii="宋体" w:hAnsi="宋体" w:cs="宋体"/>
                <w:sz w:val="24"/>
                <w:szCs w:val="24"/>
              </w:rPr>
            </w:pPr>
            <w:r>
              <w:rPr>
                <w:rFonts w:hint="eastAsia" w:ascii="宋体" w:hAnsi="宋体" w:cs="宋体"/>
                <w:sz w:val="24"/>
                <w:szCs w:val="24"/>
              </w:rPr>
              <w:t>9</w:t>
            </w:r>
          </w:p>
        </w:tc>
        <w:tc>
          <w:tcPr>
            <w:tcW w:w="1239" w:type="dxa"/>
            <w:vMerge w:val="restart"/>
            <w:vAlign w:val="center"/>
          </w:tcPr>
          <w:p>
            <w:pPr>
              <w:spacing w:line="360" w:lineRule="auto"/>
              <w:jc w:val="left"/>
              <w:rPr>
                <w:rFonts w:ascii="宋体" w:hAnsi="宋体" w:cs="宋体"/>
                <w:sz w:val="24"/>
                <w:szCs w:val="24"/>
              </w:rPr>
            </w:pPr>
            <w:r>
              <w:rPr>
                <w:rFonts w:hint="eastAsia" w:ascii="宋体" w:hAnsi="宋体" w:cs="宋体"/>
                <w:sz w:val="24"/>
                <w:szCs w:val="24"/>
              </w:rPr>
              <w:t>施工总平面图布置</w:t>
            </w:r>
          </w:p>
        </w:tc>
        <w:tc>
          <w:tcPr>
            <w:tcW w:w="1141" w:type="dxa"/>
            <w:vMerge w:val="restart"/>
            <w:vAlign w:val="center"/>
          </w:tcPr>
          <w:p>
            <w:pPr>
              <w:spacing w:line="360" w:lineRule="auto"/>
              <w:jc w:val="center"/>
              <w:rPr>
                <w:rFonts w:ascii="宋体" w:hAnsi="宋体" w:cs="宋体"/>
                <w:sz w:val="24"/>
                <w:szCs w:val="24"/>
              </w:rPr>
            </w:pPr>
            <w:r>
              <w:rPr>
                <w:rFonts w:hint="eastAsia" w:ascii="宋体" w:hAnsi="宋体" w:cs="宋体"/>
                <w:sz w:val="24"/>
                <w:szCs w:val="24"/>
              </w:rPr>
              <w:t>0.5-1分</w:t>
            </w:r>
          </w:p>
        </w:tc>
        <w:tc>
          <w:tcPr>
            <w:tcW w:w="5054" w:type="dxa"/>
            <w:vAlign w:val="center"/>
          </w:tcPr>
          <w:p>
            <w:pPr>
              <w:spacing w:line="360" w:lineRule="auto"/>
              <w:rPr>
                <w:rFonts w:ascii="宋体" w:hAnsi="宋体" w:cs="宋体"/>
                <w:sz w:val="24"/>
                <w:szCs w:val="24"/>
              </w:rPr>
            </w:pPr>
            <w:r>
              <w:rPr>
                <w:rFonts w:hint="eastAsia" w:ascii="宋体" w:hAnsi="宋体" w:cs="宋体"/>
                <w:sz w:val="24"/>
                <w:szCs w:val="24"/>
              </w:rPr>
              <w:t>总体布置有针对性、合理、能较好满足施工需要，符合安全、文明施工要求；材料堆放有序。</w:t>
            </w:r>
          </w:p>
        </w:tc>
        <w:tc>
          <w:tcPr>
            <w:tcW w:w="1635" w:type="dxa"/>
            <w:vAlign w:val="center"/>
          </w:tcPr>
          <w:p>
            <w:pPr>
              <w:spacing w:line="360" w:lineRule="auto"/>
              <w:jc w:val="center"/>
              <w:rPr>
                <w:rFonts w:ascii="宋体" w:hAnsi="宋体" w:cs="宋体"/>
                <w:sz w:val="24"/>
                <w:szCs w:val="24"/>
              </w:rPr>
            </w:pPr>
            <w:r>
              <w:rPr>
                <w:rFonts w:hint="eastAsia" w:ascii="宋体" w:hAnsi="宋体" w:cs="宋体"/>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78" w:hRule="atLeast"/>
          <w:jc w:val="center"/>
        </w:trPr>
        <w:tc>
          <w:tcPr>
            <w:tcW w:w="551" w:type="dxa"/>
            <w:vMerge w:val="continue"/>
            <w:vAlign w:val="center"/>
          </w:tcPr>
          <w:p>
            <w:pPr>
              <w:spacing w:line="360" w:lineRule="auto"/>
              <w:jc w:val="left"/>
              <w:rPr>
                <w:rFonts w:ascii="宋体" w:hAnsi="宋体" w:cs="宋体"/>
                <w:sz w:val="24"/>
                <w:szCs w:val="24"/>
              </w:rPr>
            </w:pPr>
          </w:p>
        </w:tc>
        <w:tc>
          <w:tcPr>
            <w:tcW w:w="1239" w:type="dxa"/>
            <w:vMerge w:val="continue"/>
            <w:vAlign w:val="center"/>
          </w:tcPr>
          <w:p>
            <w:pPr>
              <w:spacing w:line="360" w:lineRule="auto"/>
              <w:jc w:val="left"/>
              <w:rPr>
                <w:rFonts w:ascii="宋体" w:hAnsi="宋体" w:cs="宋体"/>
                <w:sz w:val="24"/>
                <w:szCs w:val="24"/>
              </w:rPr>
            </w:pPr>
          </w:p>
        </w:tc>
        <w:tc>
          <w:tcPr>
            <w:tcW w:w="1141" w:type="dxa"/>
            <w:vMerge w:val="continue"/>
            <w:vAlign w:val="center"/>
          </w:tcPr>
          <w:p>
            <w:pPr>
              <w:spacing w:line="360" w:lineRule="auto"/>
              <w:jc w:val="left"/>
              <w:rPr>
                <w:rFonts w:ascii="宋体" w:hAnsi="宋体" w:cs="宋体"/>
                <w:sz w:val="24"/>
                <w:szCs w:val="24"/>
              </w:rPr>
            </w:pPr>
          </w:p>
        </w:tc>
        <w:tc>
          <w:tcPr>
            <w:tcW w:w="5054" w:type="dxa"/>
            <w:vAlign w:val="center"/>
          </w:tcPr>
          <w:p>
            <w:pPr>
              <w:spacing w:line="360" w:lineRule="auto"/>
              <w:rPr>
                <w:rFonts w:ascii="宋体" w:hAnsi="宋体" w:cs="宋体"/>
                <w:sz w:val="24"/>
                <w:szCs w:val="24"/>
              </w:rPr>
            </w:pPr>
            <w:r>
              <w:rPr>
                <w:rFonts w:hint="eastAsia" w:ascii="宋体" w:hAnsi="宋体" w:cs="宋体"/>
                <w:sz w:val="24"/>
                <w:szCs w:val="24"/>
              </w:rPr>
              <w:t>总体布置基本合理、基本满足施工需要。</w:t>
            </w:r>
          </w:p>
        </w:tc>
        <w:tc>
          <w:tcPr>
            <w:tcW w:w="1635" w:type="dxa"/>
            <w:vAlign w:val="center"/>
          </w:tcPr>
          <w:p>
            <w:pPr>
              <w:spacing w:line="360" w:lineRule="auto"/>
              <w:jc w:val="center"/>
              <w:rPr>
                <w:rFonts w:ascii="宋体" w:hAnsi="宋体" w:cs="宋体"/>
                <w:sz w:val="24"/>
                <w:szCs w:val="24"/>
              </w:rPr>
            </w:pPr>
            <w:r>
              <w:rPr>
                <w:rFonts w:hint="eastAsia" w:ascii="宋体" w:hAnsi="宋体" w:cs="宋体"/>
                <w:sz w:val="24"/>
                <w:szCs w:val="24"/>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392" w:hRule="atLeast"/>
          <w:jc w:val="center"/>
        </w:trPr>
        <w:tc>
          <w:tcPr>
            <w:tcW w:w="551" w:type="dxa"/>
            <w:vMerge w:val="restart"/>
            <w:vAlign w:val="center"/>
          </w:tcPr>
          <w:p>
            <w:pPr>
              <w:spacing w:line="360" w:lineRule="auto"/>
              <w:jc w:val="center"/>
              <w:rPr>
                <w:rFonts w:ascii="宋体" w:hAnsi="宋体" w:cs="宋体"/>
                <w:sz w:val="24"/>
                <w:szCs w:val="24"/>
              </w:rPr>
            </w:pPr>
            <w:r>
              <w:rPr>
                <w:rFonts w:hint="eastAsia" w:ascii="宋体" w:hAnsi="宋体" w:cs="宋体"/>
                <w:sz w:val="24"/>
                <w:szCs w:val="24"/>
              </w:rPr>
              <w:t>10</w:t>
            </w:r>
          </w:p>
        </w:tc>
        <w:tc>
          <w:tcPr>
            <w:tcW w:w="1239" w:type="dxa"/>
            <w:vMerge w:val="restart"/>
            <w:vAlign w:val="center"/>
          </w:tcPr>
          <w:p>
            <w:pPr>
              <w:spacing w:line="360" w:lineRule="auto"/>
              <w:jc w:val="left"/>
              <w:rPr>
                <w:rFonts w:ascii="宋体" w:hAnsi="宋体" w:cs="宋体"/>
                <w:sz w:val="24"/>
                <w:szCs w:val="24"/>
              </w:rPr>
            </w:pPr>
            <w:r>
              <w:rPr>
                <w:rFonts w:hint="eastAsia" w:ascii="宋体" w:hAnsi="宋体" w:cs="宋体"/>
                <w:sz w:val="24"/>
                <w:szCs w:val="24"/>
              </w:rPr>
              <w:t>技术创新的应用实施措施</w:t>
            </w:r>
          </w:p>
        </w:tc>
        <w:tc>
          <w:tcPr>
            <w:tcW w:w="1141" w:type="dxa"/>
            <w:vMerge w:val="restart"/>
            <w:vAlign w:val="center"/>
          </w:tcPr>
          <w:p>
            <w:pPr>
              <w:spacing w:line="360" w:lineRule="auto"/>
              <w:jc w:val="center"/>
              <w:rPr>
                <w:rFonts w:ascii="宋体" w:hAnsi="宋体" w:cs="宋体"/>
                <w:sz w:val="24"/>
                <w:szCs w:val="24"/>
              </w:rPr>
            </w:pPr>
            <w:r>
              <w:rPr>
                <w:rFonts w:hint="eastAsia" w:ascii="宋体" w:hAnsi="宋体" w:cs="宋体"/>
                <w:sz w:val="24"/>
                <w:szCs w:val="24"/>
              </w:rPr>
              <w:t>1-2分</w:t>
            </w:r>
          </w:p>
        </w:tc>
        <w:tc>
          <w:tcPr>
            <w:tcW w:w="5054" w:type="dxa"/>
            <w:vAlign w:val="center"/>
          </w:tcPr>
          <w:p>
            <w:pPr>
              <w:spacing w:line="360" w:lineRule="auto"/>
              <w:rPr>
                <w:rFonts w:ascii="宋体" w:hAnsi="宋体" w:cs="宋体"/>
                <w:sz w:val="24"/>
                <w:szCs w:val="24"/>
              </w:rPr>
            </w:pPr>
            <w:r>
              <w:rPr>
                <w:rFonts w:hint="eastAsia" w:ascii="宋体" w:hAnsi="宋体" w:cs="宋体"/>
                <w:sz w:val="24"/>
                <w:szCs w:val="24"/>
              </w:rPr>
              <w:t>（1）节能减排、（2）绿色施工、（3）工艺创新、（4）装配式等技术创新的应用实施措施符合工程情况，具有针对性、可行性、经济适用性。</w:t>
            </w:r>
          </w:p>
        </w:tc>
        <w:tc>
          <w:tcPr>
            <w:tcW w:w="1635" w:type="dxa"/>
            <w:vAlign w:val="center"/>
          </w:tcPr>
          <w:p>
            <w:pPr>
              <w:spacing w:line="360" w:lineRule="auto"/>
              <w:jc w:val="center"/>
              <w:rPr>
                <w:rFonts w:ascii="宋体" w:hAnsi="宋体" w:cs="宋体"/>
                <w:sz w:val="24"/>
                <w:szCs w:val="24"/>
              </w:rPr>
            </w:pPr>
            <w:r>
              <w:rPr>
                <w:rFonts w:hint="eastAsia" w:ascii="宋体" w:hAnsi="宋体" w:cs="宋体"/>
                <w:sz w:val="24"/>
                <w:szCs w:val="24"/>
              </w:rPr>
              <w:t>1.5＜得分≤2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392" w:hRule="atLeast"/>
          <w:jc w:val="center"/>
        </w:trPr>
        <w:tc>
          <w:tcPr>
            <w:tcW w:w="551" w:type="dxa"/>
            <w:vMerge w:val="continue"/>
            <w:vAlign w:val="center"/>
          </w:tcPr>
          <w:p>
            <w:pPr>
              <w:spacing w:line="360" w:lineRule="auto"/>
              <w:jc w:val="left"/>
              <w:rPr>
                <w:rFonts w:ascii="宋体" w:hAnsi="宋体" w:cs="宋体"/>
                <w:sz w:val="24"/>
                <w:szCs w:val="24"/>
              </w:rPr>
            </w:pPr>
          </w:p>
        </w:tc>
        <w:tc>
          <w:tcPr>
            <w:tcW w:w="1239" w:type="dxa"/>
            <w:vMerge w:val="continue"/>
            <w:vAlign w:val="center"/>
          </w:tcPr>
          <w:p>
            <w:pPr>
              <w:spacing w:line="360" w:lineRule="auto"/>
              <w:jc w:val="left"/>
              <w:rPr>
                <w:rFonts w:ascii="宋体" w:hAnsi="宋体" w:cs="宋体"/>
                <w:sz w:val="24"/>
                <w:szCs w:val="24"/>
              </w:rPr>
            </w:pPr>
          </w:p>
        </w:tc>
        <w:tc>
          <w:tcPr>
            <w:tcW w:w="1141" w:type="dxa"/>
            <w:vMerge w:val="continue"/>
            <w:vAlign w:val="center"/>
          </w:tcPr>
          <w:p>
            <w:pPr>
              <w:spacing w:line="360" w:lineRule="auto"/>
              <w:jc w:val="left"/>
              <w:rPr>
                <w:rFonts w:ascii="宋体" w:hAnsi="宋体" w:cs="宋体"/>
                <w:sz w:val="24"/>
                <w:szCs w:val="24"/>
              </w:rPr>
            </w:pPr>
          </w:p>
        </w:tc>
        <w:tc>
          <w:tcPr>
            <w:tcW w:w="5054" w:type="dxa"/>
            <w:vAlign w:val="center"/>
          </w:tcPr>
          <w:p>
            <w:pPr>
              <w:spacing w:line="360" w:lineRule="auto"/>
              <w:rPr>
                <w:rFonts w:ascii="宋体" w:hAnsi="宋体" w:cs="宋体"/>
                <w:sz w:val="24"/>
                <w:szCs w:val="24"/>
              </w:rPr>
            </w:pPr>
            <w:r>
              <w:rPr>
                <w:rFonts w:hint="eastAsia" w:ascii="宋体" w:hAnsi="宋体" w:cs="宋体"/>
                <w:spacing w:val="-8"/>
                <w:sz w:val="24"/>
                <w:szCs w:val="24"/>
              </w:rPr>
              <w:t>（1）节能减排、（2）绿色施工、（3）工艺创新、（4）装配式建筑等技术创新的应用实施措施基本符合工程情况，具有针</w:t>
            </w:r>
            <w:r>
              <w:rPr>
                <w:rFonts w:hint="eastAsia" w:ascii="宋体" w:hAnsi="宋体" w:cs="宋体"/>
                <w:sz w:val="24"/>
                <w:szCs w:val="24"/>
              </w:rPr>
              <w:t>对性。</w:t>
            </w:r>
          </w:p>
        </w:tc>
        <w:tc>
          <w:tcPr>
            <w:tcW w:w="1635" w:type="dxa"/>
            <w:vAlign w:val="center"/>
          </w:tcPr>
          <w:p>
            <w:pPr>
              <w:spacing w:line="360" w:lineRule="auto"/>
              <w:jc w:val="center"/>
              <w:rPr>
                <w:rFonts w:ascii="宋体" w:hAnsi="宋体" w:cs="宋体"/>
                <w:sz w:val="24"/>
                <w:szCs w:val="24"/>
              </w:rPr>
            </w:pPr>
            <w:r>
              <w:rPr>
                <w:rFonts w:hint="eastAsia" w:ascii="宋体" w:hAnsi="宋体" w:cs="宋体"/>
                <w:sz w:val="24"/>
                <w:szCs w:val="24"/>
              </w:rPr>
              <w:t>1≤得分≤1.5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392" w:hRule="atLeast"/>
          <w:jc w:val="center"/>
        </w:trPr>
        <w:tc>
          <w:tcPr>
            <w:tcW w:w="551" w:type="dxa"/>
            <w:vMerge w:val="restart"/>
            <w:vAlign w:val="center"/>
          </w:tcPr>
          <w:p>
            <w:pPr>
              <w:spacing w:line="360" w:lineRule="auto"/>
              <w:jc w:val="center"/>
              <w:rPr>
                <w:rFonts w:ascii="宋体" w:hAnsi="宋体" w:cs="宋体"/>
                <w:sz w:val="24"/>
                <w:szCs w:val="24"/>
              </w:rPr>
            </w:pPr>
            <w:r>
              <w:rPr>
                <w:rFonts w:hint="eastAsia" w:ascii="宋体" w:hAnsi="宋体" w:cs="宋体"/>
                <w:sz w:val="24"/>
                <w:szCs w:val="24"/>
              </w:rPr>
              <w:t>11</w:t>
            </w:r>
          </w:p>
        </w:tc>
        <w:tc>
          <w:tcPr>
            <w:tcW w:w="1239" w:type="dxa"/>
            <w:vMerge w:val="restart"/>
            <w:vAlign w:val="center"/>
          </w:tcPr>
          <w:p>
            <w:pPr>
              <w:spacing w:line="360" w:lineRule="auto"/>
              <w:jc w:val="center"/>
              <w:rPr>
                <w:rFonts w:ascii="宋体" w:hAnsi="宋体" w:cs="宋体"/>
                <w:sz w:val="24"/>
                <w:szCs w:val="24"/>
              </w:rPr>
            </w:pPr>
            <w:r>
              <w:rPr>
                <w:rFonts w:hint="eastAsia" w:ascii="宋体" w:hAnsi="宋体" w:cs="宋体"/>
                <w:sz w:val="24"/>
                <w:szCs w:val="24"/>
              </w:rPr>
              <w:t>采用新工艺、新技术、新设备、新材料、BIM等的程度</w:t>
            </w:r>
          </w:p>
        </w:tc>
        <w:tc>
          <w:tcPr>
            <w:tcW w:w="1141" w:type="dxa"/>
            <w:vMerge w:val="restart"/>
            <w:vAlign w:val="center"/>
          </w:tcPr>
          <w:p>
            <w:pPr>
              <w:spacing w:line="360" w:lineRule="auto"/>
              <w:jc w:val="center"/>
              <w:rPr>
                <w:rFonts w:ascii="宋体" w:hAnsi="宋体" w:cs="宋体"/>
                <w:sz w:val="24"/>
                <w:szCs w:val="24"/>
              </w:rPr>
            </w:pPr>
            <w:r>
              <w:rPr>
                <w:rFonts w:hint="eastAsia" w:ascii="宋体" w:hAnsi="宋体" w:cs="宋体"/>
                <w:sz w:val="24"/>
                <w:szCs w:val="24"/>
              </w:rPr>
              <w:t>1-2分</w:t>
            </w:r>
          </w:p>
        </w:tc>
        <w:tc>
          <w:tcPr>
            <w:tcW w:w="5054" w:type="dxa"/>
            <w:vAlign w:val="center"/>
          </w:tcPr>
          <w:p>
            <w:pPr>
              <w:spacing w:line="360" w:lineRule="auto"/>
              <w:rPr>
                <w:rFonts w:ascii="宋体" w:hAnsi="宋体" w:cs="宋体"/>
                <w:sz w:val="24"/>
                <w:szCs w:val="24"/>
              </w:rPr>
            </w:pPr>
            <w:r>
              <w:rPr>
                <w:rFonts w:hint="eastAsia" w:ascii="宋体" w:hAnsi="宋体" w:cs="宋体"/>
                <w:sz w:val="24"/>
                <w:szCs w:val="24"/>
              </w:rPr>
              <w:t>采用新工艺、新技术、新设备、新材料、BIM等的程度满足设计要求，符合施工需要和相应技术标准等规定，经济适用。</w:t>
            </w:r>
          </w:p>
        </w:tc>
        <w:tc>
          <w:tcPr>
            <w:tcW w:w="1635" w:type="dxa"/>
            <w:vAlign w:val="center"/>
          </w:tcPr>
          <w:p>
            <w:pPr>
              <w:spacing w:line="360" w:lineRule="auto"/>
              <w:jc w:val="center"/>
              <w:rPr>
                <w:rFonts w:ascii="宋体" w:hAnsi="宋体" w:cs="宋体"/>
                <w:sz w:val="24"/>
                <w:szCs w:val="24"/>
              </w:rPr>
            </w:pPr>
            <w:r>
              <w:rPr>
                <w:rFonts w:hint="eastAsia" w:ascii="宋体" w:hAnsi="宋体" w:cs="宋体"/>
                <w:sz w:val="24"/>
                <w:szCs w:val="24"/>
              </w:rPr>
              <w:t>1.5≤得分≤2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392" w:hRule="atLeast"/>
          <w:jc w:val="center"/>
        </w:trPr>
        <w:tc>
          <w:tcPr>
            <w:tcW w:w="551" w:type="dxa"/>
            <w:vMerge w:val="continue"/>
            <w:vAlign w:val="center"/>
          </w:tcPr>
          <w:p>
            <w:pPr>
              <w:spacing w:line="360" w:lineRule="auto"/>
              <w:jc w:val="left"/>
              <w:rPr>
                <w:rFonts w:ascii="宋体" w:hAnsi="宋体" w:cs="宋体"/>
                <w:sz w:val="24"/>
                <w:szCs w:val="24"/>
              </w:rPr>
            </w:pPr>
          </w:p>
        </w:tc>
        <w:tc>
          <w:tcPr>
            <w:tcW w:w="1239" w:type="dxa"/>
            <w:vMerge w:val="continue"/>
            <w:vAlign w:val="center"/>
          </w:tcPr>
          <w:p>
            <w:pPr>
              <w:spacing w:line="360" w:lineRule="auto"/>
              <w:jc w:val="left"/>
              <w:rPr>
                <w:rFonts w:ascii="宋体" w:hAnsi="宋体" w:cs="宋体"/>
                <w:sz w:val="24"/>
                <w:szCs w:val="24"/>
              </w:rPr>
            </w:pPr>
          </w:p>
        </w:tc>
        <w:tc>
          <w:tcPr>
            <w:tcW w:w="1141" w:type="dxa"/>
            <w:vMerge w:val="continue"/>
            <w:vAlign w:val="center"/>
          </w:tcPr>
          <w:p>
            <w:pPr>
              <w:spacing w:line="360" w:lineRule="auto"/>
              <w:jc w:val="left"/>
              <w:rPr>
                <w:rFonts w:ascii="宋体" w:hAnsi="宋体" w:cs="宋体"/>
                <w:sz w:val="24"/>
                <w:szCs w:val="24"/>
              </w:rPr>
            </w:pPr>
          </w:p>
        </w:tc>
        <w:tc>
          <w:tcPr>
            <w:tcW w:w="5054" w:type="dxa"/>
            <w:vAlign w:val="center"/>
          </w:tcPr>
          <w:p>
            <w:pPr>
              <w:spacing w:line="360" w:lineRule="auto"/>
              <w:rPr>
                <w:rFonts w:ascii="宋体" w:hAnsi="宋体" w:cs="宋体"/>
                <w:sz w:val="24"/>
                <w:szCs w:val="24"/>
              </w:rPr>
            </w:pPr>
            <w:r>
              <w:rPr>
                <w:rFonts w:hint="eastAsia" w:ascii="宋体" w:hAnsi="宋体" w:cs="宋体"/>
                <w:sz w:val="24"/>
                <w:szCs w:val="24"/>
              </w:rPr>
              <w:t>采用新工艺、新技术、新设备、新材料、BIM等的程度满足设计要求，基本符合施工要求和相应技术标准等规定。</w:t>
            </w:r>
          </w:p>
        </w:tc>
        <w:tc>
          <w:tcPr>
            <w:tcW w:w="1635" w:type="dxa"/>
            <w:vAlign w:val="center"/>
          </w:tcPr>
          <w:p>
            <w:pPr>
              <w:spacing w:line="360" w:lineRule="auto"/>
              <w:jc w:val="center"/>
              <w:rPr>
                <w:rFonts w:ascii="宋体" w:hAnsi="宋体" w:cs="宋体"/>
                <w:sz w:val="24"/>
                <w:szCs w:val="24"/>
              </w:rPr>
            </w:pPr>
            <w:r>
              <w:rPr>
                <w:rFonts w:hint="eastAsia" w:ascii="宋体" w:hAnsi="宋体" w:cs="宋体"/>
                <w:sz w:val="24"/>
                <w:szCs w:val="24"/>
              </w:rPr>
              <w:t>1＜得分≤1.5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35" w:hRule="atLeast"/>
          <w:jc w:val="center"/>
        </w:trPr>
        <w:tc>
          <w:tcPr>
            <w:tcW w:w="551" w:type="dxa"/>
            <w:vMerge w:val="restart"/>
            <w:vAlign w:val="center"/>
          </w:tcPr>
          <w:p>
            <w:pPr>
              <w:spacing w:line="360" w:lineRule="auto"/>
              <w:jc w:val="center"/>
              <w:rPr>
                <w:rFonts w:ascii="宋体" w:hAnsi="宋体" w:cs="宋体"/>
                <w:sz w:val="24"/>
                <w:szCs w:val="24"/>
              </w:rPr>
            </w:pPr>
            <w:r>
              <w:rPr>
                <w:rFonts w:hint="eastAsia" w:ascii="宋体" w:hAnsi="宋体" w:cs="宋体"/>
                <w:sz w:val="24"/>
                <w:szCs w:val="24"/>
              </w:rPr>
              <w:t>12</w:t>
            </w:r>
          </w:p>
        </w:tc>
        <w:tc>
          <w:tcPr>
            <w:tcW w:w="1239" w:type="dxa"/>
            <w:vMerge w:val="restart"/>
            <w:vAlign w:val="center"/>
          </w:tcPr>
          <w:p>
            <w:pPr>
              <w:spacing w:line="360" w:lineRule="auto"/>
              <w:jc w:val="center"/>
              <w:rPr>
                <w:rFonts w:ascii="宋体" w:hAnsi="宋体" w:cs="宋体"/>
                <w:sz w:val="24"/>
                <w:szCs w:val="24"/>
              </w:rPr>
            </w:pPr>
            <w:r>
              <w:rPr>
                <w:rFonts w:hint="eastAsia" w:ascii="宋体" w:hAnsi="宋体" w:cs="宋体"/>
                <w:sz w:val="24"/>
                <w:szCs w:val="24"/>
              </w:rPr>
              <w:t>施工现场实施信息化监控和数据处理</w:t>
            </w:r>
          </w:p>
        </w:tc>
        <w:tc>
          <w:tcPr>
            <w:tcW w:w="1141" w:type="dxa"/>
            <w:vMerge w:val="restart"/>
            <w:vAlign w:val="center"/>
          </w:tcPr>
          <w:p>
            <w:pPr>
              <w:spacing w:line="360" w:lineRule="auto"/>
              <w:jc w:val="center"/>
              <w:rPr>
                <w:rFonts w:ascii="宋体" w:hAnsi="宋体" w:cs="宋体"/>
                <w:sz w:val="24"/>
                <w:szCs w:val="24"/>
              </w:rPr>
            </w:pPr>
            <w:r>
              <w:rPr>
                <w:rFonts w:hint="eastAsia" w:ascii="宋体" w:hAnsi="宋体" w:cs="宋体"/>
                <w:sz w:val="24"/>
                <w:szCs w:val="24"/>
              </w:rPr>
              <w:t>0.5-1.5分</w:t>
            </w:r>
          </w:p>
        </w:tc>
        <w:tc>
          <w:tcPr>
            <w:tcW w:w="5054" w:type="dxa"/>
            <w:vAlign w:val="center"/>
          </w:tcPr>
          <w:p>
            <w:pPr>
              <w:spacing w:line="360" w:lineRule="auto"/>
              <w:rPr>
                <w:rFonts w:ascii="宋体" w:hAnsi="宋体" w:cs="宋体"/>
                <w:sz w:val="24"/>
                <w:szCs w:val="24"/>
              </w:rPr>
            </w:pPr>
            <w:r>
              <w:rPr>
                <w:rFonts w:hint="eastAsia" w:ascii="宋体" w:hAnsi="宋体" w:cs="宋体"/>
                <w:sz w:val="24"/>
                <w:szCs w:val="24"/>
              </w:rPr>
              <w:t>施工现场实施信息化监控和数据处理系统布置合理，满足需要。</w:t>
            </w:r>
          </w:p>
        </w:tc>
        <w:tc>
          <w:tcPr>
            <w:tcW w:w="1635" w:type="dxa"/>
            <w:vAlign w:val="center"/>
          </w:tcPr>
          <w:p>
            <w:pPr>
              <w:spacing w:line="360" w:lineRule="auto"/>
              <w:jc w:val="center"/>
              <w:rPr>
                <w:rFonts w:ascii="宋体" w:hAnsi="宋体" w:cs="宋体"/>
                <w:sz w:val="24"/>
                <w:szCs w:val="24"/>
              </w:rPr>
            </w:pPr>
            <w:r>
              <w:rPr>
                <w:rFonts w:hint="eastAsia" w:ascii="宋体" w:hAnsi="宋体" w:cs="宋体"/>
                <w:sz w:val="24"/>
                <w:szCs w:val="24"/>
              </w:rPr>
              <w:t>1≤得分≤1.5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35" w:hRule="atLeast"/>
          <w:jc w:val="center"/>
        </w:trPr>
        <w:tc>
          <w:tcPr>
            <w:tcW w:w="551" w:type="dxa"/>
            <w:vMerge w:val="continue"/>
            <w:vAlign w:val="center"/>
          </w:tcPr>
          <w:p>
            <w:pPr>
              <w:spacing w:line="360" w:lineRule="auto"/>
              <w:jc w:val="left"/>
              <w:rPr>
                <w:rFonts w:ascii="宋体" w:hAnsi="宋体" w:cs="宋体"/>
                <w:sz w:val="24"/>
                <w:szCs w:val="24"/>
              </w:rPr>
            </w:pPr>
          </w:p>
        </w:tc>
        <w:tc>
          <w:tcPr>
            <w:tcW w:w="1239" w:type="dxa"/>
            <w:vMerge w:val="continue"/>
            <w:vAlign w:val="center"/>
          </w:tcPr>
          <w:p>
            <w:pPr>
              <w:spacing w:line="360" w:lineRule="auto"/>
              <w:jc w:val="left"/>
              <w:rPr>
                <w:rFonts w:ascii="宋体" w:hAnsi="宋体" w:cs="宋体"/>
                <w:sz w:val="24"/>
                <w:szCs w:val="24"/>
              </w:rPr>
            </w:pPr>
          </w:p>
        </w:tc>
        <w:tc>
          <w:tcPr>
            <w:tcW w:w="1141" w:type="dxa"/>
            <w:vMerge w:val="continue"/>
            <w:vAlign w:val="center"/>
          </w:tcPr>
          <w:p>
            <w:pPr>
              <w:spacing w:line="360" w:lineRule="auto"/>
              <w:jc w:val="left"/>
              <w:rPr>
                <w:rFonts w:ascii="宋体" w:hAnsi="宋体" w:cs="宋体"/>
                <w:sz w:val="24"/>
                <w:szCs w:val="24"/>
              </w:rPr>
            </w:pPr>
          </w:p>
        </w:tc>
        <w:tc>
          <w:tcPr>
            <w:tcW w:w="5054" w:type="dxa"/>
            <w:vAlign w:val="center"/>
          </w:tcPr>
          <w:p>
            <w:pPr>
              <w:spacing w:line="360" w:lineRule="auto"/>
              <w:rPr>
                <w:rFonts w:ascii="宋体" w:hAnsi="宋体" w:cs="宋体"/>
                <w:sz w:val="24"/>
                <w:szCs w:val="24"/>
              </w:rPr>
            </w:pPr>
            <w:r>
              <w:rPr>
                <w:rFonts w:hint="eastAsia" w:ascii="宋体" w:hAnsi="宋体" w:cs="宋体"/>
                <w:sz w:val="24"/>
                <w:szCs w:val="24"/>
              </w:rPr>
              <w:t>施工现场实施信息化监控和数据处理系统布置基本符合需要。</w:t>
            </w:r>
          </w:p>
        </w:tc>
        <w:tc>
          <w:tcPr>
            <w:tcW w:w="1635" w:type="dxa"/>
            <w:vAlign w:val="center"/>
          </w:tcPr>
          <w:p>
            <w:pPr>
              <w:spacing w:line="360" w:lineRule="auto"/>
              <w:jc w:val="center"/>
              <w:rPr>
                <w:rFonts w:ascii="宋体" w:hAnsi="宋体" w:cs="宋体"/>
                <w:sz w:val="24"/>
                <w:szCs w:val="24"/>
              </w:rPr>
            </w:pPr>
            <w:r>
              <w:rPr>
                <w:rFonts w:hint="eastAsia" w:ascii="宋体" w:hAnsi="宋体" w:cs="宋体"/>
                <w:sz w:val="24"/>
                <w:szCs w:val="24"/>
              </w:rPr>
              <w:t xml:space="preserve">0.5＜得分≤1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392" w:hRule="atLeast"/>
          <w:jc w:val="center"/>
        </w:trPr>
        <w:tc>
          <w:tcPr>
            <w:tcW w:w="551" w:type="dxa"/>
            <w:vMerge w:val="restart"/>
            <w:vAlign w:val="center"/>
          </w:tcPr>
          <w:p>
            <w:pPr>
              <w:spacing w:line="360" w:lineRule="auto"/>
              <w:jc w:val="center"/>
              <w:rPr>
                <w:rFonts w:ascii="宋体" w:hAnsi="宋体" w:cs="宋体"/>
                <w:sz w:val="24"/>
                <w:szCs w:val="24"/>
              </w:rPr>
            </w:pPr>
            <w:r>
              <w:rPr>
                <w:rFonts w:hint="eastAsia" w:ascii="宋体" w:hAnsi="宋体" w:cs="宋体"/>
                <w:sz w:val="24"/>
                <w:szCs w:val="24"/>
              </w:rPr>
              <w:t>13</w:t>
            </w:r>
          </w:p>
        </w:tc>
        <w:tc>
          <w:tcPr>
            <w:tcW w:w="1239" w:type="dxa"/>
            <w:vMerge w:val="restart"/>
            <w:vAlign w:val="center"/>
          </w:tcPr>
          <w:p>
            <w:pPr>
              <w:spacing w:line="360" w:lineRule="auto"/>
              <w:jc w:val="center"/>
              <w:rPr>
                <w:rFonts w:ascii="宋体" w:hAnsi="宋体" w:cs="宋体"/>
                <w:sz w:val="24"/>
                <w:szCs w:val="24"/>
              </w:rPr>
            </w:pPr>
            <w:r>
              <w:rPr>
                <w:rFonts w:hint="eastAsia" w:ascii="宋体" w:hAnsi="宋体" w:cs="宋体"/>
                <w:sz w:val="24"/>
                <w:szCs w:val="24"/>
              </w:rPr>
              <w:t>风险管理措施</w:t>
            </w:r>
          </w:p>
        </w:tc>
        <w:tc>
          <w:tcPr>
            <w:tcW w:w="1141" w:type="dxa"/>
            <w:vMerge w:val="restart"/>
            <w:vAlign w:val="center"/>
          </w:tcPr>
          <w:p>
            <w:pPr>
              <w:spacing w:line="360" w:lineRule="auto"/>
              <w:jc w:val="center"/>
              <w:rPr>
                <w:rFonts w:ascii="宋体" w:hAnsi="宋体" w:cs="宋体"/>
                <w:sz w:val="24"/>
                <w:szCs w:val="24"/>
              </w:rPr>
            </w:pPr>
            <w:r>
              <w:rPr>
                <w:rFonts w:hint="eastAsia" w:ascii="宋体" w:hAnsi="宋体" w:cs="宋体"/>
                <w:sz w:val="24"/>
                <w:szCs w:val="24"/>
              </w:rPr>
              <w:t>1-2分</w:t>
            </w:r>
          </w:p>
        </w:tc>
        <w:tc>
          <w:tcPr>
            <w:tcW w:w="5054" w:type="dxa"/>
            <w:vAlign w:val="center"/>
          </w:tcPr>
          <w:p>
            <w:pPr>
              <w:spacing w:line="360" w:lineRule="auto"/>
              <w:rPr>
                <w:rFonts w:ascii="宋体" w:hAnsi="宋体" w:cs="宋体"/>
                <w:sz w:val="24"/>
                <w:szCs w:val="24"/>
              </w:rPr>
            </w:pPr>
            <w:r>
              <w:rPr>
                <w:rFonts w:hint="eastAsia" w:ascii="宋体" w:hAnsi="宋体" w:cs="宋体"/>
                <w:sz w:val="24"/>
                <w:szCs w:val="24"/>
              </w:rPr>
              <w:t>风险防控管理措施齐全，风险预控符合规范要求，风险控制要点定位准确，各阶段风险控制及应急措施得力。</w:t>
            </w:r>
          </w:p>
        </w:tc>
        <w:tc>
          <w:tcPr>
            <w:tcW w:w="1635" w:type="dxa"/>
            <w:vAlign w:val="center"/>
          </w:tcPr>
          <w:p>
            <w:pPr>
              <w:spacing w:line="360" w:lineRule="auto"/>
              <w:jc w:val="center"/>
              <w:rPr>
                <w:rFonts w:ascii="宋体" w:hAnsi="宋体" w:cs="宋体"/>
                <w:sz w:val="24"/>
                <w:szCs w:val="24"/>
              </w:rPr>
            </w:pPr>
            <w:r>
              <w:rPr>
                <w:rFonts w:hint="eastAsia" w:ascii="宋体" w:hAnsi="宋体" w:cs="宋体"/>
                <w:sz w:val="24"/>
                <w:szCs w:val="24"/>
              </w:rPr>
              <w:t>1.5＜得分≤2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392" w:hRule="atLeast"/>
          <w:jc w:val="center"/>
        </w:trPr>
        <w:tc>
          <w:tcPr>
            <w:tcW w:w="551" w:type="dxa"/>
            <w:vMerge w:val="continue"/>
            <w:vAlign w:val="center"/>
          </w:tcPr>
          <w:p>
            <w:pPr>
              <w:spacing w:line="360" w:lineRule="auto"/>
              <w:jc w:val="left"/>
              <w:rPr>
                <w:rFonts w:ascii="宋体" w:hAnsi="宋体" w:cs="宋体"/>
                <w:sz w:val="24"/>
                <w:szCs w:val="24"/>
              </w:rPr>
            </w:pPr>
          </w:p>
        </w:tc>
        <w:tc>
          <w:tcPr>
            <w:tcW w:w="1239" w:type="dxa"/>
            <w:vMerge w:val="continue"/>
            <w:vAlign w:val="center"/>
          </w:tcPr>
          <w:p>
            <w:pPr>
              <w:spacing w:line="360" w:lineRule="auto"/>
              <w:jc w:val="left"/>
              <w:rPr>
                <w:rFonts w:ascii="宋体" w:hAnsi="宋体" w:cs="宋体"/>
                <w:sz w:val="24"/>
                <w:szCs w:val="24"/>
              </w:rPr>
            </w:pPr>
          </w:p>
        </w:tc>
        <w:tc>
          <w:tcPr>
            <w:tcW w:w="1141" w:type="dxa"/>
            <w:vMerge w:val="continue"/>
            <w:vAlign w:val="center"/>
          </w:tcPr>
          <w:p>
            <w:pPr>
              <w:spacing w:line="360" w:lineRule="auto"/>
              <w:jc w:val="left"/>
              <w:rPr>
                <w:rFonts w:ascii="宋体" w:hAnsi="宋体" w:cs="宋体"/>
                <w:sz w:val="24"/>
                <w:szCs w:val="24"/>
              </w:rPr>
            </w:pPr>
          </w:p>
        </w:tc>
        <w:tc>
          <w:tcPr>
            <w:tcW w:w="5054" w:type="dxa"/>
            <w:vAlign w:val="center"/>
          </w:tcPr>
          <w:p>
            <w:pPr>
              <w:spacing w:line="360" w:lineRule="auto"/>
              <w:rPr>
                <w:rFonts w:ascii="宋体" w:hAnsi="宋体" w:cs="宋体"/>
                <w:sz w:val="24"/>
                <w:szCs w:val="24"/>
              </w:rPr>
            </w:pPr>
            <w:r>
              <w:rPr>
                <w:rFonts w:hint="eastAsia" w:ascii="宋体" w:hAnsi="宋体" w:cs="宋体"/>
                <w:sz w:val="24"/>
                <w:szCs w:val="24"/>
              </w:rPr>
              <w:t>风险防控管理措施基本齐全，风险预控符合规范要求，风险控制要点定位基本准确，有各阶段风险控制及应急措施。</w:t>
            </w:r>
          </w:p>
        </w:tc>
        <w:tc>
          <w:tcPr>
            <w:tcW w:w="1635" w:type="dxa"/>
            <w:vAlign w:val="center"/>
          </w:tcPr>
          <w:p>
            <w:pPr>
              <w:spacing w:line="360" w:lineRule="auto"/>
              <w:jc w:val="center"/>
              <w:rPr>
                <w:rFonts w:ascii="宋体" w:hAnsi="宋体" w:cs="宋体"/>
                <w:sz w:val="24"/>
                <w:szCs w:val="24"/>
              </w:rPr>
            </w:pPr>
            <w:r>
              <w:rPr>
                <w:rFonts w:hint="eastAsia" w:ascii="宋体" w:hAnsi="宋体" w:cs="宋体"/>
                <w:sz w:val="24"/>
                <w:szCs w:val="24"/>
              </w:rPr>
              <w:t>1≤得分≤1.5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98" w:hRule="atLeast"/>
          <w:jc w:val="center"/>
        </w:trPr>
        <w:tc>
          <w:tcPr>
            <w:tcW w:w="1790" w:type="dxa"/>
            <w:gridSpan w:val="2"/>
            <w:vAlign w:val="center"/>
          </w:tcPr>
          <w:p>
            <w:pPr>
              <w:spacing w:line="360" w:lineRule="auto"/>
              <w:jc w:val="center"/>
              <w:rPr>
                <w:rFonts w:ascii="宋体" w:hAnsi="宋体" w:cs="宋体"/>
                <w:sz w:val="24"/>
                <w:szCs w:val="24"/>
              </w:rPr>
            </w:pPr>
            <w:r>
              <w:rPr>
                <w:rFonts w:hint="eastAsia" w:ascii="宋体" w:hAnsi="宋体" w:cs="宋体"/>
                <w:sz w:val="24"/>
                <w:szCs w:val="24"/>
              </w:rPr>
              <w:t>合计</w:t>
            </w:r>
          </w:p>
        </w:tc>
        <w:tc>
          <w:tcPr>
            <w:tcW w:w="1141" w:type="dxa"/>
            <w:vAlign w:val="center"/>
          </w:tcPr>
          <w:p>
            <w:pPr>
              <w:spacing w:line="360" w:lineRule="auto"/>
              <w:jc w:val="center"/>
              <w:rPr>
                <w:rFonts w:ascii="宋体" w:hAnsi="宋体" w:cs="宋体"/>
                <w:sz w:val="24"/>
                <w:szCs w:val="24"/>
              </w:rPr>
            </w:pPr>
            <w:r>
              <w:rPr>
                <w:rFonts w:hint="eastAsia" w:ascii="宋体" w:hAnsi="宋体" w:cs="宋体"/>
                <w:sz w:val="24"/>
                <w:szCs w:val="24"/>
              </w:rPr>
              <w:t>10-25分</w:t>
            </w:r>
          </w:p>
        </w:tc>
        <w:tc>
          <w:tcPr>
            <w:tcW w:w="5054" w:type="dxa"/>
            <w:vAlign w:val="center"/>
          </w:tcPr>
          <w:p>
            <w:pPr>
              <w:spacing w:line="360" w:lineRule="auto"/>
              <w:rPr>
                <w:rFonts w:ascii="宋体" w:hAnsi="宋体" w:cs="宋体"/>
                <w:sz w:val="24"/>
                <w:szCs w:val="24"/>
              </w:rPr>
            </w:pPr>
          </w:p>
        </w:tc>
        <w:tc>
          <w:tcPr>
            <w:tcW w:w="1635" w:type="dxa"/>
            <w:vAlign w:val="center"/>
          </w:tcPr>
          <w:p>
            <w:pPr>
              <w:spacing w:line="360" w:lineRule="auto"/>
              <w:jc w:val="center"/>
              <w:rPr>
                <w:rFonts w:ascii="宋体" w:hAnsi="宋体" w:cs="宋体"/>
                <w:sz w:val="24"/>
                <w:szCs w:val="24"/>
              </w:rPr>
            </w:pPr>
            <w:r>
              <w:rPr>
                <w:rFonts w:hint="eastAsia" w:ascii="宋体" w:hAnsi="宋体" w:cs="宋体"/>
                <w:sz w:val="24"/>
                <w:szCs w:val="24"/>
              </w:rPr>
              <w:t>10≤得分≤25</w:t>
            </w:r>
          </w:p>
        </w:tc>
      </w:tr>
    </w:tbl>
    <w:p>
      <w:pPr>
        <w:autoSpaceDE w:val="0"/>
        <w:autoSpaceDN w:val="0"/>
        <w:spacing w:line="360" w:lineRule="auto"/>
        <w:ind w:firstLine="482" w:firstLineChars="200"/>
        <w:contextualSpacing/>
        <w:jc w:val="left"/>
        <w:outlineLvl w:val="0"/>
        <w:rPr>
          <w:rFonts w:ascii="宋体" w:hAnsi="宋体" w:cs="宋体"/>
          <w:b/>
          <w:bCs/>
          <w:kern w:val="0"/>
          <w:sz w:val="24"/>
          <w:szCs w:val="24"/>
        </w:rPr>
      </w:pPr>
    </w:p>
    <w:p>
      <w:pPr>
        <w:autoSpaceDE w:val="0"/>
        <w:autoSpaceDN w:val="0"/>
        <w:spacing w:line="360" w:lineRule="auto"/>
        <w:ind w:firstLine="482" w:firstLineChars="200"/>
        <w:contextualSpacing/>
        <w:jc w:val="left"/>
        <w:outlineLvl w:val="0"/>
        <w:rPr>
          <w:rFonts w:ascii="宋体" w:hAnsi="宋体" w:cs="宋体"/>
          <w:b/>
          <w:bCs/>
          <w:kern w:val="0"/>
          <w:sz w:val="24"/>
          <w:szCs w:val="24"/>
        </w:rPr>
      </w:pPr>
      <w:r>
        <w:rPr>
          <w:rFonts w:hint="eastAsia" w:ascii="宋体" w:hAnsi="宋体" w:cs="宋体"/>
          <w:b/>
          <w:bCs/>
          <w:kern w:val="0"/>
          <w:sz w:val="24"/>
          <w:szCs w:val="24"/>
        </w:rPr>
        <w:t>（四）综合（信用）标的评标分值25分</w:t>
      </w:r>
    </w:p>
    <w:tbl>
      <w:tblPr>
        <w:tblStyle w:val="16"/>
        <w:tblW w:w="95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0"/>
        <w:gridCol w:w="1417"/>
        <w:gridCol w:w="5699"/>
        <w:gridCol w:w="16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30" w:type="dxa"/>
            <w:vAlign w:val="center"/>
          </w:tcPr>
          <w:p>
            <w:pPr>
              <w:spacing w:line="360" w:lineRule="auto"/>
              <w:jc w:val="center"/>
              <w:rPr>
                <w:rFonts w:ascii="宋体" w:hAnsi="宋体" w:cs="宋体"/>
                <w:sz w:val="24"/>
                <w:szCs w:val="24"/>
              </w:rPr>
            </w:pPr>
            <w:r>
              <w:rPr>
                <w:rFonts w:hint="eastAsia" w:ascii="宋体" w:hAnsi="宋体" w:cs="宋体"/>
                <w:sz w:val="24"/>
                <w:szCs w:val="24"/>
              </w:rPr>
              <w:t>序号</w:t>
            </w:r>
          </w:p>
        </w:tc>
        <w:tc>
          <w:tcPr>
            <w:tcW w:w="1417" w:type="dxa"/>
            <w:vAlign w:val="center"/>
          </w:tcPr>
          <w:p>
            <w:pPr>
              <w:spacing w:line="360" w:lineRule="auto"/>
              <w:jc w:val="center"/>
              <w:rPr>
                <w:rFonts w:ascii="宋体" w:hAnsi="宋体" w:cs="宋体"/>
                <w:sz w:val="24"/>
                <w:szCs w:val="24"/>
              </w:rPr>
            </w:pPr>
            <w:r>
              <w:rPr>
                <w:rFonts w:hint="eastAsia" w:ascii="宋体" w:hAnsi="宋体" w:cs="宋体"/>
                <w:sz w:val="24"/>
                <w:szCs w:val="24"/>
              </w:rPr>
              <w:t>项目</w:t>
            </w:r>
          </w:p>
        </w:tc>
        <w:tc>
          <w:tcPr>
            <w:tcW w:w="5699" w:type="dxa"/>
            <w:vAlign w:val="center"/>
          </w:tcPr>
          <w:p>
            <w:pPr>
              <w:spacing w:line="360" w:lineRule="auto"/>
              <w:jc w:val="center"/>
              <w:rPr>
                <w:rFonts w:ascii="宋体" w:hAnsi="宋体" w:cs="宋体"/>
                <w:sz w:val="24"/>
                <w:szCs w:val="24"/>
              </w:rPr>
            </w:pPr>
            <w:r>
              <w:rPr>
                <w:rFonts w:hint="eastAsia" w:ascii="宋体" w:hAnsi="宋体" w:cs="宋体"/>
                <w:sz w:val="24"/>
                <w:szCs w:val="24"/>
              </w:rPr>
              <w:t>评审标准</w:t>
            </w:r>
          </w:p>
        </w:tc>
        <w:tc>
          <w:tcPr>
            <w:tcW w:w="1691" w:type="dxa"/>
            <w:vAlign w:val="center"/>
          </w:tcPr>
          <w:p>
            <w:pPr>
              <w:spacing w:line="360" w:lineRule="auto"/>
              <w:jc w:val="center"/>
              <w:rPr>
                <w:rFonts w:ascii="宋体" w:hAnsi="宋体" w:cs="宋体"/>
                <w:sz w:val="24"/>
                <w:szCs w:val="24"/>
              </w:rPr>
            </w:pPr>
            <w:r>
              <w:rPr>
                <w:rFonts w:hint="eastAsia" w:ascii="宋体" w:hAnsi="宋体" w:cs="宋体"/>
                <w:sz w:val="24"/>
                <w:szCs w:val="24"/>
              </w:rPr>
              <w:t>评审计分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730" w:type="dxa"/>
            <w:vAlign w:val="center"/>
          </w:tcPr>
          <w:p>
            <w:pPr>
              <w:spacing w:line="360" w:lineRule="auto"/>
              <w:jc w:val="center"/>
              <w:rPr>
                <w:rFonts w:ascii="宋体" w:hAnsi="宋体" w:cs="宋体"/>
                <w:sz w:val="24"/>
                <w:szCs w:val="24"/>
              </w:rPr>
            </w:pPr>
            <w:r>
              <w:rPr>
                <w:rFonts w:hint="eastAsia" w:ascii="宋体" w:hAnsi="宋体" w:cs="宋体"/>
                <w:sz w:val="24"/>
                <w:szCs w:val="24"/>
              </w:rPr>
              <w:t>1</w:t>
            </w:r>
          </w:p>
        </w:tc>
        <w:tc>
          <w:tcPr>
            <w:tcW w:w="1417" w:type="dxa"/>
            <w:vAlign w:val="center"/>
          </w:tcPr>
          <w:p>
            <w:pPr>
              <w:spacing w:line="360" w:lineRule="auto"/>
              <w:jc w:val="center"/>
              <w:rPr>
                <w:rFonts w:ascii="宋体" w:hAnsi="宋体" w:cs="宋体"/>
                <w:sz w:val="24"/>
                <w:szCs w:val="24"/>
              </w:rPr>
            </w:pPr>
            <w:r>
              <w:rPr>
                <w:rFonts w:hint="eastAsia" w:ascii="宋体" w:hAnsi="宋体" w:cs="宋体"/>
                <w:sz w:val="24"/>
                <w:szCs w:val="24"/>
              </w:rPr>
              <w:t>企业业绩</w:t>
            </w:r>
          </w:p>
        </w:tc>
        <w:tc>
          <w:tcPr>
            <w:tcW w:w="5699" w:type="dxa"/>
            <w:vAlign w:val="center"/>
          </w:tcPr>
          <w:p>
            <w:pPr>
              <w:spacing w:line="360" w:lineRule="auto"/>
              <w:jc w:val="left"/>
              <w:rPr>
                <w:rFonts w:ascii="宋体" w:hAnsi="宋体" w:cs="宋体"/>
                <w:sz w:val="24"/>
                <w:szCs w:val="24"/>
              </w:rPr>
            </w:pPr>
            <w:r>
              <w:rPr>
                <w:rFonts w:hint="eastAsia" w:ascii="宋体" w:hAnsi="宋体" w:cs="宋体"/>
                <w:sz w:val="24"/>
                <w:szCs w:val="24"/>
              </w:rPr>
              <w:t>2019年1月1日以来，投标人承担过的类似项目业绩，每项得2分，本项最高得4分。（应提供法定媒介中标（成交）公示网页截图、合同、中标通知书（或竣工备案表）缺一项不得分。）</w:t>
            </w:r>
          </w:p>
        </w:tc>
        <w:tc>
          <w:tcPr>
            <w:tcW w:w="1691" w:type="dxa"/>
            <w:vAlign w:val="center"/>
          </w:tcPr>
          <w:p>
            <w:pPr>
              <w:spacing w:line="360" w:lineRule="auto"/>
              <w:jc w:val="center"/>
              <w:rPr>
                <w:rFonts w:ascii="宋体" w:hAnsi="宋体" w:cs="宋体"/>
                <w:sz w:val="24"/>
                <w:szCs w:val="24"/>
              </w:rPr>
            </w:pPr>
            <w:r>
              <w:rPr>
                <w:rFonts w:hint="eastAsia" w:ascii="宋体" w:hAnsi="宋体" w:cs="宋体"/>
                <w:sz w:val="24"/>
                <w:szCs w:val="24"/>
              </w:rPr>
              <w:t>0＜得分≤4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730" w:type="dxa"/>
            <w:vAlign w:val="center"/>
          </w:tcPr>
          <w:p>
            <w:pPr>
              <w:spacing w:line="360" w:lineRule="auto"/>
              <w:jc w:val="center"/>
              <w:rPr>
                <w:rFonts w:ascii="宋体" w:hAnsi="宋体" w:cs="宋体"/>
                <w:sz w:val="24"/>
                <w:szCs w:val="24"/>
              </w:rPr>
            </w:pPr>
            <w:r>
              <w:rPr>
                <w:rFonts w:hint="eastAsia" w:ascii="宋体" w:hAnsi="宋体" w:cs="宋体"/>
                <w:sz w:val="24"/>
                <w:szCs w:val="24"/>
              </w:rPr>
              <w:t>2</w:t>
            </w:r>
          </w:p>
        </w:tc>
        <w:tc>
          <w:tcPr>
            <w:tcW w:w="1417" w:type="dxa"/>
            <w:vAlign w:val="center"/>
          </w:tcPr>
          <w:p>
            <w:pPr>
              <w:spacing w:line="360" w:lineRule="auto"/>
              <w:jc w:val="center"/>
              <w:rPr>
                <w:rFonts w:ascii="宋体" w:hAnsi="宋体" w:cs="宋体"/>
                <w:sz w:val="24"/>
                <w:szCs w:val="24"/>
              </w:rPr>
            </w:pPr>
            <w:r>
              <w:rPr>
                <w:rFonts w:hint="eastAsia" w:ascii="宋体" w:hAnsi="宋体" w:cs="宋体"/>
                <w:sz w:val="24"/>
                <w:szCs w:val="24"/>
              </w:rPr>
              <w:t>项目经理业绩</w:t>
            </w:r>
          </w:p>
        </w:tc>
        <w:tc>
          <w:tcPr>
            <w:tcW w:w="5699" w:type="dxa"/>
            <w:vAlign w:val="center"/>
          </w:tcPr>
          <w:p>
            <w:pPr>
              <w:spacing w:line="360" w:lineRule="auto"/>
              <w:jc w:val="left"/>
              <w:rPr>
                <w:rFonts w:ascii="宋体" w:hAnsi="宋体" w:cs="宋体"/>
                <w:sz w:val="24"/>
                <w:szCs w:val="24"/>
              </w:rPr>
            </w:pPr>
            <w:r>
              <w:rPr>
                <w:rFonts w:hint="eastAsia" w:ascii="宋体" w:hAnsi="宋体" w:cs="宋体"/>
                <w:sz w:val="24"/>
                <w:szCs w:val="24"/>
              </w:rPr>
              <w:t>拟派项目经理2019年1月1日以来，承担过类似项目业绩的，得2分，本项最高得6分。（应提供法定媒介中标（成交）公示网页截图、合同、中标通知书（或竣工备案表）缺一项不得分。）</w:t>
            </w:r>
          </w:p>
        </w:tc>
        <w:tc>
          <w:tcPr>
            <w:tcW w:w="1691" w:type="dxa"/>
            <w:vAlign w:val="center"/>
          </w:tcPr>
          <w:p>
            <w:pPr>
              <w:spacing w:line="360" w:lineRule="auto"/>
              <w:jc w:val="center"/>
              <w:rPr>
                <w:rFonts w:ascii="宋体" w:hAnsi="宋体" w:cs="宋体"/>
                <w:sz w:val="24"/>
                <w:szCs w:val="24"/>
              </w:rPr>
            </w:pPr>
            <w:r>
              <w:rPr>
                <w:rFonts w:hint="eastAsia" w:ascii="宋体" w:hAnsi="宋体" w:cs="宋体"/>
                <w:sz w:val="24"/>
                <w:szCs w:val="24"/>
              </w:rPr>
              <w:t>0＜得分≤6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730" w:type="dxa"/>
            <w:vMerge w:val="restart"/>
            <w:vAlign w:val="center"/>
          </w:tcPr>
          <w:p>
            <w:pPr>
              <w:spacing w:line="360" w:lineRule="auto"/>
              <w:jc w:val="center"/>
              <w:rPr>
                <w:rFonts w:ascii="宋体" w:hAnsi="宋体" w:cs="宋体"/>
                <w:sz w:val="24"/>
                <w:szCs w:val="24"/>
              </w:rPr>
            </w:pPr>
            <w:r>
              <w:rPr>
                <w:rFonts w:hint="eastAsia" w:ascii="宋体" w:hAnsi="宋体" w:cs="宋体"/>
                <w:sz w:val="24"/>
                <w:szCs w:val="24"/>
              </w:rPr>
              <w:t>3</w:t>
            </w:r>
          </w:p>
        </w:tc>
        <w:tc>
          <w:tcPr>
            <w:tcW w:w="1417" w:type="dxa"/>
            <w:vMerge w:val="restart"/>
            <w:vAlign w:val="center"/>
          </w:tcPr>
          <w:p>
            <w:pPr>
              <w:spacing w:line="360" w:lineRule="auto"/>
              <w:jc w:val="center"/>
              <w:rPr>
                <w:rFonts w:ascii="宋体" w:hAnsi="宋体" w:cs="宋体"/>
                <w:sz w:val="24"/>
                <w:szCs w:val="24"/>
              </w:rPr>
            </w:pPr>
            <w:r>
              <w:rPr>
                <w:rFonts w:hint="eastAsia" w:ascii="宋体" w:hAnsi="宋体" w:cs="宋体"/>
                <w:sz w:val="24"/>
                <w:szCs w:val="24"/>
              </w:rPr>
              <w:t>优惠承诺</w:t>
            </w:r>
          </w:p>
        </w:tc>
        <w:tc>
          <w:tcPr>
            <w:tcW w:w="5699" w:type="dxa"/>
            <w:vAlign w:val="center"/>
          </w:tcPr>
          <w:p>
            <w:pPr>
              <w:spacing w:line="360" w:lineRule="auto"/>
              <w:jc w:val="left"/>
              <w:rPr>
                <w:rFonts w:ascii="宋体" w:hAnsi="宋体" w:cs="宋体"/>
                <w:sz w:val="24"/>
                <w:szCs w:val="24"/>
              </w:rPr>
            </w:pPr>
            <w:r>
              <w:rPr>
                <w:rFonts w:hint="eastAsia" w:ascii="宋体" w:hAnsi="宋体" w:cs="宋体"/>
                <w:sz w:val="24"/>
                <w:szCs w:val="24"/>
              </w:rPr>
              <w:t xml:space="preserve">优惠承诺应是书面的符合工程实际情况，确保依法依规，优惠合理，详实可行。 </w:t>
            </w:r>
          </w:p>
        </w:tc>
        <w:tc>
          <w:tcPr>
            <w:tcW w:w="1691" w:type="dxa"/>
            <w:vAlign w:val="center"/>
          </w:tcPr>
          <w:p>
            <w:pPr>
              <w:spacing w:line="360" w:lineRule="auto"/>
              <w:jc w:val="center"/>
              <w:rPr>
                <w:rFonts w:ascii="宋体" w:hAnsi="宋体" w:cs="宋体"/>
                <w:sz w:val="24"/>
                <w:szCs w:val="24"/>
              </w:rPr>
            </w:pPr>
            <w:r>
              <w:rPr>
                <w:rFonts w:hint="eastAsia" w:ascii="宋体" w:hAnsi="宋体" w:cs="宋体"/>
                <w:sz w:val="24"/>
                <w:szCs w:val="24"/>
              </w:rPr>
              <w:t>3＜得分≤4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730" w:type="dxa"/>
            <w:vMerge w:val="continue"/>
            <w:vAlign w:val="center"/>
          </w:tcPr>
          <w:p>
            <w:pPr>
              <w:spacing w:line="360" w:lineRule="auto"/>
              <w:jc w:val="left"/>
              <w:rPr>
                <w:rFonts w:ascii="宋体" w:hAnsi="宋体" w:cs="宋体"/>
                <w:sz w:val="24"/>
                <w:szCs w:val="24"/>
              </w:rPr>
            </w:pPr>
          </w:p>
        </w:tc>
        <w:tc>
          <w:tcPr>
            <w:tcW w:w="1417" w:type="dxa"/>
            <w:vMerge w:val="continue"/>
            <w:vAlign w:val="center"/>
          </w:tcPr>
          <w:p>
            <w:pPr>
              <w:spacing w:line="360" w:lineRule="auto"/>
              <w:jc w:val="left"/>
              <w:rPr>
                <w:rFonts w:ascii="宋体" w:hAnsi="宋体" w:cs="宋体"/>
                <w:sz w:val="24"/>
                <w:szCs w:val="24"/>
              </w:rPr>
            </w:pPr>
          </w:p>
        </w:tc>
        <w:tc>
          <w:tcPr>
            <w:tcW w:w="5699" w:type="dxa"/>
            <w:vAlign w:val="center"/>
          </w:tcPr>
          <w:p>
            <w:pPr>
              <w:spacing w:line="360" w:lineRule="auto"/>
              <w:jc w:val="left"/>
              <w:rPr>
                <w:rFonts w:ascii="宋体" w:hAnsi="宋体" w:cs="宋体"/>
                <w:sz w:val="24"/>
                <w:szCs w:val="24"/>
              </w:rPr>
            </w:pPr>
            <w:r>
              <w:rPr>
                <w:rFonts w:hint="eastAsia" w:ascii="宋体" w:hAnsi="宋体" w:cs="宋体"/>
                <w:sz w:val="24"/>
                <w:szCs w:val="24"/>
              </w:rPr>
              <w:t>优惠承诺符合工程实际情况，确保依法依规，优惠基本合理，基本详实可行。</w:t>
            </w:r>
          </w:p>
        </w:tc>
        <w:tc>
          <w:tcPr>
            <w:tcW w:w="1691" w:type="dxa"/>
            <w:vAlign w:val="center"/>
          </w:tcPr>
          <w:p>
            <w:pPr>
              <w:spacing w:line="360" w:lineRule="auto"/>
              <w:jc w:val="center"/>
              <w:rPr>
                <w:rFonts w:ascii="宋体" w:hAnsi="宋体" w:cs="宋体"/>
                <w:sz w:val="24"/>
                <w:szCs w:val="24"/>
              </w:rPr>
            </w:pPr>
            <w:r>
              <w:rPr>
                <w:rFonts w:hint="eastAsia" w:ascii="宋体" w:hAnsi="宋体" w:cs="宋体"/>
                <w:sz w:val="24"/>
                <w:szCs w:val="24"/>
              </w:rPr>
              <w:t>1≤得分≤3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jc w:val="center"/>
        </w:trPr>
        <w:tc>
          <w:tcPr>
            <w:tcW w:w="730" w:type="dxa"/>
            <w:vMerge w:val="restart"/>
            <w:vAlign w:val="center"/>
          </w:tcPr>
          <w:p>
            <w:pPr>
              <w:spacing w:line="360" w:lineRule="auto"/>
              <w:jc w:val="center"/>
              <w:rPr>
                <w:rFonts w:ascii="宋体" w:hAnsi="宋体" w:cs="宋体"/>
                <w:sz w:val="24"/>
                <w:szCs w:val="24"/>
              </w:rPr>
            </w:pPr>
            <w:r>
              <w:rPr>
                <w:rFonts w:hint="eastAsia" w:ascii="宋体" w:hAnsi="宋体" w:cs="宋体"/>
                <w:sz w:val="24"/>
                <w:szCs w:val="24"/>
              </w:rPr>
              <w:t>4</w:t>
            </w:r>
          </w:p>
        </w:tc>
        <w:tc>
          <w:tcPr>
            <w:tcW w:w="1417" w:type="dxa"/>
            <w:vMerge w:val="restart"/>
            <w:vAlign w:val="center"/>
          </w:tcPr>
          <w:p>
            <w:pPr>
              <w:spacing w:line="360" w:lineRule="auto"/>
              <w:jc w:val="center"/>
              <w:rPr>
                <w:rFonts w:ascii="宋体" w:hAnsi="宋体" w:cs="宋体"/>
                <w:sz w:val="24"/>
                <w:szCs w:val="24"/>
              </w:rPr>
            </w:pPr>
            <w:r>
              <w:rPr>
                <w:rFonts w:hint="eastAsia" w:ascii="宋体" w:hAnsi="宋体" w:cs="宋体"/>
                <w:sz w:val="24"/>
                <w:szCs w:val="24"/>
              </w:rPr>
              <w:t>履职尽责承诺</w:t>
            </w:r>
          </w:p>
        </w:tc>
        <w:tc>
          <w:tcPr>
            <w:tcW w:w="5699" w:type="dxa"/>
            <w:vAlign w:val="center"/>
          </w:tcPr>
          <w:p>
            <w:pPr>
              <w:spacing w:line="360" w:lineRule="auto"/>
              <w:jc w:val="left"/>
              <w:rPr>
                <w:rFonts w:ascii="宋体" w:hAnsi="宋体" w:cs="宋体"/>
                <w:sz w:val="24"/>
                <w:szCs w:val="24"/>
              </w:rPr>
            </w:pPr>
            <w:r>
              <w:rPr>
                <w:rFonts w:hint="eastAsia" w:ascii="宋体" w:hAnsi="宋体" w:cs="宋体"/>
                <w:sz w:val="24"/>
                <w:szCs w:val="24"/>
              </w:rPr>
              <w:t>具有全面、详实、可行、合法有效的书面保证技术措施落实到位的承诺和落实不到位的处理承诺，其中包括各关键岗位人员（项目经理、技术负责人及相关技术人员、质量员、安全员、材料员、施工员等）的在岗、更换等履职尽责承诺，提供承包商履约保证。</w:t>
            </w:r>
          </w:p>
        </w:tc>
        <w:tc>
          <w:tcPr>
            <w:tcW w:w="1691" w:type="dxa"/>
            <w:vAlign w:val="center"/>
          </w:tcPr>
          <w:p>
            <w:pPr>
              <w:spacing w:line="360" w:lineRule="auto"/>
              <w:jc w:val="center"/>
              <w:rPr>
                <w:rFonts w:ascii="宋体" w:hAnsi="宋体" w:cs="宋体"/>
                <w:sz w:val="24"/>
                <w:szCs w:val="24"/>
              </w:rPr>
            </w:pPr>
            <w:r>
              <w:rPr>
                <w:rFonts w:hint="eastAsia" w:ascii="宋体" w:hAnsi="宋体" w:cs="宋体"/>
                <w:sz w:val="24"/>
                <w:szCs w:val="24"/>
              </w:rPr>
              <w:t>2＜得分≤3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730" w:type="dxa"/>
            <w:vMerge w:val="continue"/>
            <w:vAlign w:val="center"/>
          </w:tcPr>
          <w:p>
            <w:pPr>
              <w:spacing w:line="360" w:lineRule="auto"/>
              <w:jc w:val="left"/>
              <w:rPr>
                <w:rFonts w:ascii="宋体" w:hAnsi="宋体" w:cs="宋体"/>
                <w:sz w:val="24"/>
                <w:szCs w:val="24"/>
              </w:rPr>
            </w:pPr>
          </w:p>
        </w:tc>
        <w:tc>
          <w:tcPr>
            <w:tcW w:w="1417" w:type="dxa"/>
            <w:vMerge w:val="continue"/>
            <w:vAlign w:val="center"/>
          </w:tcPr>
          <w:p>
            <w:pPr>
              <w:spacing w:line="360" w:lineRule="auto"/>
              <w:jc w:val="left"/>
              <w:rPr>
                <w:rFonts w:ascii="宋体" w:hAnsi="宋体" w:cs="宋体"/>
                <w:sz w:val="24"/>
                <w:szCs w:val="24"/>
              </w:rPr>
            </w:pPr>
          </w:p>
        </w:tc>
        <w:tc>
          <w:tcPr>
            <w:tcW w:w="5699" w:type="dxa"/>
            <w:vAlign w:val="center"/>
          </w:tcPr>
          <w:p>
            <w:pPr>
              <w:spacing w:line="360" w:lineRule="auto"/>
              <w:jc w:val="left"/>
              <w:rPr>
                <w:rFonts w:ascii="宋体" w:hAnsi="宋体" w:cs="宋体"/>
                <w:sz w:val="24"/>
                <w:szCs w:val="24"/>
              </w:rPr>
            </w:pPr>
            <w:r>
              <w:rPr>
                <w:rFonts w:hint="eastAsia" w:ascii="宋体" w:hAnsi="宋体" w:cs="宋体"/>
                <w:sz w:val="24"/>
                <w:szCs w:val="24"/>
              </w:rPr>
              <w:t>具有可行、合法有效的书面保证技术措施落实到位的承诺和落实不到位的处理承诺，其中包括各关键岗位人员（项目经理、技术负责人及相关技术人员、质量员、安全员、材料员、施工员等）的在岗、更换等履职尽责承诺，提供承包商履约保证。</w:t>
            </w:r>
          </w:p>
        </w:tc>
        <w:tc>
          <w:tcPr>
            <w:tcW w:w="1691" w:type="dxa"/>
            <w:vAlign w:val="center"/>
          </w:tcPr>
          <w:p>
            <w:pPr>
              <w:spacing w:line="360" w:lineRule="auto"/>
              <w:jc w:val="center"/>
              <w:rPr>
                <w:rFonts w:ascii="宋体" w:hAnsi="宋体" w:cs="宋体"/>
                <w:sz w:val="24"/>
                <w:szCs w:val="24"/>
              </w:rPr>
            </w:pPr>
            <w:r>
              <w:rPr>
                <w:rFonts w:hint="eastAsia" w:ascii="宋体" w:hAnsi="宋体" w:cs="宋体"/>
                <w:sz w:val="24"/>
                <w:szCs w:val="24"/>
              </w:rPr>
              <w:t>1≤得分≤2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730" w:type="dxa"/>
            <w:vAlign w:val="center"/>
          </w:tcPr>
          <w:p>
            <w:pPr>
              <w:spacing w:line="360" w:lineRule="auto"/>
              <w:jc w:val="center"/>
              <w:rPr>
                <w:rFonts w:ascii="宋体" w:hAnsi="宋体" w:cs="宋体"/>
                <w:sz w:val="24"/>
                <w:szCs w:val="24"/>
              </w:rPr>
            </w:pPr>
            <w:r>
              <w:rPr>
                <w:rFonts w:hint="eastAsia" w:ascii="宋体" w:hAnsi="宋体" w:cs="宋体"/>
                <w:sz w:val="24"/>
                <w:szCs w:val="24"/>
              </w:rPr>
              <w:t>5</w:t>
            </w:r>
          </w:p>
        </w:tc>
        <w:tc>
          <w:tcPr>
            <w:tcW w:w="1417" w:type="dxa"/>
            <w:vAlign w:val="center"/>
          </w:tcPr>
          <w:p>
            <w:pPr>
              <w:spacing w:line="360" w:lineRule="auto"/>
              <w:jc w:val="center"/>
              <w:rPr>
                <w:rFonts w:ascii="宋体" w:hAnsi="宋体" w:cs="宋体"/>
                <w:sz w:val="24"/>
                <w:szCs w:val="24"/>
              </w:rPr>
            </w:pPr>
            <w:r>
              <w:rPr>
                <w:rFonts w:hint="eastAsia" w:ascii="宋体" w:hAnsi="宋体" w:cs="宋体"/>
                <w:sz w:val="24"/>
                <w:szCs w:val="24"/>
              </w:rPr>
              <w:t>企业信用</w:t>
            </w:r>
          </w:p>
        </w:tc>
        <w:tc>
          <w:tcPr>
            <w:tcW w:w="5699" w:type="dxa"/>
            <w:vAlign w:val="center"/>
          </w:tcPr>
          <w:p>
            <w:pPr>
              <w:spacing w:line="360" w:lineRule="auto"/>
              <w:jc w:val="left"/>
              <w:rPr>
                <w:rFonts w:ascii="宋体" w:hAnsi="宋体" w:cs="宋体"/>
                <w:sz w:val="24"/>
                <w:szCs w:val="24"/>
              </w:rPr>
            </w:pPr>
            <w:r>
              <w:rPr>
                <w:rFonts w:hint="eastAsia" w:ascii="宋体" w:hAnsi="宋体" w:cs="宋体"/>
                <w:sz w:val="24"/>
                <w:szCs w:val="24"/>
              </w:rPr>
              <w:t>2019年1月1日以来企业获得过市级安全文明工地，一项得1分；省级及以上安全文明工地，一项得2分，没有不得分，本项最高得4分。</w:t>
            </w:r>
          </w:p>
          <w:p>
            <w:pPr>
              <w:spacing w:line="360" w:lineRule="auto"/>
              <w:jc w:val="left"/>
              <w:rPr>
                <w:rFonts w:ascii="宋体" w:hAnsi="宋体" w:cs="宋体"/>
                <w:sz w:val="24"/>
                <w:szCs w:val="24"/>
              </w:rPr>
            </w:pPr>
            <w:r>
              <w:rPr>
                <w:rFonts w:hint="eastAsia" w:ascii="宋体" w:hAnsi="宋体" w:cs="宋体"/>
                <w:sz w:val="24"/>
                <w:szCs w:val="24"/>
              </w:rPr>
              <w:t>（</w:t>
            </w:r>
            <w:r>
              <w:rPr>
                <w:rFonts w:hint="eastAsia" w:ascii="宋体" w:hAnsi="宋体" w:cs="宋体"/>
                <w:b/>
                <w:bCs/>
                <w:sz w:val="24"/>
                <w:szCs w:val="24"/>
              </w:rPr>
              <w:t>具体企业信用详见本章附件1）</w:t>
            </w:r>
          </w:p>
        </w:tc>
        <w:tc>
          <w:tcPr>
            <w:tcW w:w="1691" w:type="dxa"/>
            <w:vAlign w:val="center"/>
          </w:tcPr>
          <w:p>
            <w:pPr>
              <w:spacing w:line="360" w:lineRule="auto"/>
              <w:jc w:val="center"/>
              <w:rPr>
                <w:rFonts w:ascii="宋体" w:hAnsi="宋体" w:cs="宋体"/>
                <w:sz w:val="24"/>
                <w:szCs w:val="24"/>
              </w:rPr>
            </w:pPr>
            <w:r>
              <w:rPr>
                <w:rFonts w:hint="eastAsia" w:ascii="宋体" w:hAnsi="宋体" w:cs="宋体"/>
                <w:sz w:val="24"/>
                <w:szCs w:val="24"/>
              </w:rPr>
              <w:t>0≤得分≤4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730" w:type="dxa"/>
            <w:vAlign w:val="center"/>
          </w:tcPr>
          <w:p>
            <w:pPr>
              <w:spacing w:line="360" w:lineRule="auto"/>
              <w:jc w:val="center"/>
              <w:rPr>
                <w:rFonts w:ascii="宋体" w:hAnsi="宋体" w:cs="宋体"/>
                <w:sz w:val="24"/>
                <w:szCs w:val="24"/>
              </w:rPr>
            </w:pPr>
            <w:r>
              <w:rPr>
                <w:rFonts w:hint="eastAsia" w:ascii="宋体" w:hAnsi="宋体" w:cs="宋体"/>
                <w:sz w:val="24"/>
                <w:szCs w:val="24"/>
              </w:rPr>
              <w:t>6</w:t>
            </w:r>
          </w:p>
        </w:tc>
        <w:tc>
          <w:tcPr>
            <w:tcW w:w="1417" w:type="dxa"/>
            <w:vAlign w:val="center"/>
          </w:tcPr>
          <w:p>
            <w:pPr>
              <w:spacing w:line="360" w:lineRule="auto"/>
              <w:jc w:val="center"/>
              <w:rPr>
                <w:rFonts w:ascii="宋体" w:hAnsi="宋体" w:cs="宋体"/>
                <w:sz w:val="24"/>
                <w:szCs w:val="24"/>
              </w:rPr>
            </w:pPr>
            <w:r>
              <w:rPr>
                <w:rFonts w:hint="eastAsia" w:ascii="宋体" w:hAnsi="宋体" w:cs="宋体"/>
                <w:sz w:val="24"/>
                <w:szCs w:val="24"/>
              </w:rPr>
              <w:t>项目经理信用</w:t>
            </w:r>
          </w:p>
        </w:tc>
        <w:tc>
          <w:tcPr>
            <w:tcW w:w="5699" w:type="dxa"/>
            <w:vAlign w:val="center"/>
          </w:tcPr>
          <w:p>
            <w:pPr>
              <w:widowControl/>
              <w:spacing w:line="360" w:lineRule="auto"/>
              <w:jc w:val="left"/>
              <w:rPr>
                <w:rFonts w:ascii="宋体" w:hAnsi="宋体" w:cs="宋体"/>
                <w:kern w:val="0"/>
                <w:sz w:val="24"/>
                <w:szCs w:val="24"/>
              </w:rPr>
            </w:pPr>
            <w:r>
              <w:rPr>
                <w:rFonts w:hint="eastAsia" w:ascii="宋体" w:hAnsi="宋体" w:cs="宋体"/>
                <w:kern w:val="0"/>
                <w:sz w:val="24"/>
                <w:szCs w:val="24"/>
              </w:rPr>
              <w:t>2019年1月1日以来项目经理曾获得过市级安全文明工地，一项得1分；省级及以上安全文明工地，一项得2分，没有不得分，本项最高得2分。</w:t>
            </w:r>
          </w:p>
          <w:p>
            <w:pPr>
              <w:widowControl/>
              <w:spacing w:line="360" w:lineRule="auto"/>
              <w:jc w:val="left"/>
              <w:rPr>
                <w:rFonts w:ascii="宋体" w:hAnsi="宋体" w:cs="宋体"/>
                <w:kern w:val="0"/>
                <w:sz w:val="24"/>
                <w:szCs w:val="24"/>
              </w:rPr>
            </w:pPr>
            <w:r>
              <w:rPr>
                <w:rFonts w:hint="eastAsia" w:ascii="宋体" w:hAnsi="宋体" w:cs="宋体"/>
                <w:b/>
                <w:bCs/>
                <w:kern w:val="0"/>
                <w:sz w:val="24"/>
                <w:szCs w:val="24"/>
              </w:rPr>
              <w:t>（具体项目经理信用详见本章附件2）</w:t>
            </w:r>
          </w:p>
        </w:tc>
        <w:tc>
          <w:tcPr>
            <w:tcW w:w="1691" w:type="dxa"/>
            <w:vAlign w:val="center"/>
          </w:tcPr>
          <w:p>
            <w:pPr>
              <w:spacing w:line="360" w:lineRule="auto"/>
              <w:jc w:val="center"/>
              <w:rPr>
                <w:rFonts w:ascii="宋体" w:hAnsi="宋体" w:cs="宋体"/>
                <w:sz w:val="24"/>
                <w:szCs w:val="24"/>
              </w:rPr>
            </w:pPr>
            <w:r>
              <w:rPr>
                <w:rFonts w:hint="eastAsia" w:ascii="宋体" w:hAnsi="宋体" w:cs="宋体"/>
                <w:sz w:val="24"/>
                <w:szCs w:val="24"/>
              </w:rPr>
              <w:t>0≤得分≤2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730" w:type="dxa"/>
          </w:tcPr>
          <w:p>
            <w:pPr>
              <w:spacing w:line="360" w:lineRule="auto"/>
              <w:jc w:val="center"/>
              <w:rPr>
                <w:rFonts w:ascii="宋体" w:hAnsi="宋体" w:cs="宋体"/>
                <w:sz w:val="24"/>
                <w:szCs w:val="24"/>
              </w:rPr>
            </w:pPr>
            <w:r>
              <w:rPr>
                <w:rFonts w:hint="eastAsia" w:ascii="宋体" w:hAnsi="宋体" w:cs="宋体"/>
                <w:sz w:val="24"/>
                <w:szCs w:val="24"/>
              </w:rPr>
              <w:t>7</w:t>
            </w:r>
          </w:p>
        </w:tc>
        <w:tc>
          <w:tcPr>
            <w:tcW w:w="1417" w:type="dxa"/>
            <w:vAlign w:val="center"/>
          </w:tcPr>
          <w:p>
            <w:pPr>
              <w:spacing w:line="360" w:lineRule="auto"/>
              <w:jc w:val="center"/>
              <w:rPr>
                <w:rFonts w:ascii="宋体" w:hAnsi="宋体" w:cs="宋体"/>
                <w:sz w:val="24"/>
                <w:szCs w:val="24"/>
              </w:rPr>
            </w:pPr>
            <w:r>
              <w:rPr>
                <w:rFonts w:hint="eastAsia" w:ascii="宋体" w:hAnsi="宋体" w:cs="宋体"/>
                <w:sz w:val="24"/>
                <w:szCs w:val="24"/>
              </w:rPr>
              <w:t>招标人意见</w:t>
            </w:r>
          </w:p>
        </w:tc>
        <w:tc>
          <w:tcPr>
            <w:tcW w:w="5699" w:type="dxa"/>
            <w:vAlign w:val="center"/>
          </w:tcPr>
          <w:p>
            <w:pPr>
              <w:spacing w:line="360" w:lineRule="auto"/>
              <w:rPr>
                <w:rFonts w:ascii="宋体" w:hAnsi="宋体" w:cs="宋体"/>
                <w:sz w:val="24"/>
                <w:szCs w:val="24"/>
              </w:rPr>
            </w:pPr>
            <w:r>
              <w:rPr>
                <w:rFonts w:hint="eastAsia" w:ascii="宋体" w:hAnsi="宋体" w:cs="宋体"/>
                <w:sz w:val="24"/>
                <w:szCs w:val="24"/>
              </w:rPr>
              <w:t>各投标人得分均按2分计算。</w:t>
            </w:r>
          </w:p>
        </w:tc>
        <w:tc>
          <w:tcPr>
            <w:tcW w:w="1691" w:type="dxa"/>
            <w:vAlign w:val="center"/>
          </w:tcPr>
          <w:p>
            <w:pPr>
              <w:spacing w:line="360" w:lineRule="auto"/>
              <w:jc w:val="center"/>
              <w:rPr>
                <w:rFonts w:ascii="宋体" w:hAnsi="宋体" w:cs="宋体"/>
                <w:sz w:val="24"/>
                <w:szCs w:val="24"/>
              </w:rPr>
            </w:pPr>
            <w:r>
              <w:rPr>
                <w:rFonts w:hint="eastAsia" w:ascii="宋体" w:hAnsi="宋体" w:cs="宋体"/>
                <w:sz w:val="24"/>
                <w:szCs w:val="24"/>
              </w:rPr>
              <w:t>0≤得分≤2分</w:t>
            </w:r>
          </w:p>
        </w:tc>
      </w:tr>
    </w:tbl>
    <w:p>
      <w:pPr>
        <w:autoSpaceDE w:val="0"/>
        <w:autoSpaceDN w:val="0"/>
        <w:spacing w:line="360" w:lineRule="auto"/>
        <w:ind w:firstLine="482" w:firstLineChars="200"/>
        <w:contextualSpacing/>
        <w:jc w:val="left"/>
        <w:outlineLvl w:val="0"/>
        <w:rPr>
          <w:rFonts w:ascii="宋体" w:hAnsi="宋体" w:cs="宋体"/>
          <w:b/>
          <w:kern w:val="0"/>
          <w:sz w:val="24"/>
          <w:szCs w:val="24"/>
        </w:rPr>
      </w:pPr>
      <w:r>
        <w:rPr>
          <w:rFonts w:hint="eastAsia" w:ascii="宋体" w:hAnsi="宋体" w:cs="宋体"/>
          <w:b/>
          <w:kern w:val="0"/>
          <w:sz w:val="24"/>
          <w:szCs w:val="24"/>
        </w:rPr>
        <w:t>注：1）业绩合同以合同签订日期为准。</w:t>
      </w:r>
    </w:p>
    <w:p>
      <w:pPr>
        <w:numPr>
          <w:ilvl w:val="0"/>
          <w:numId w:val="2"/>
        </w:numPr>
        <w:autoSpaceDE w:val="0"/>
        <w:autoSpaceDN w:val="0"/>
        <w:spacing w:line="360" w:lineRule="auto"/>
        <w:ind w:firstLine="480" w:firstLineChars="200"/>
        <w:contextualSpacing/>
        <w:jc w:val="left"/>
        <w:outlineLvl w:val="0"/>
        <w:rPr>
          <w:rFonts w:ascii="宋体" w:hAnsi="宋体" w:cs="宋体"/>
          <w:kern w:val="0"/>
          <w:sz w:val="24"/>
          <w:szCs w:val="24"/>
        </w:rPr>
      </w:pPr>
      <w:bookmarkStart w:id="223" w:name="_Toc21547"/>
      <w:bookmarkEnd w:id="223"/>
      <w:r>
        <w:rPr>
          <w:rFonts w:hint="eastAsia" w:ascii="宋体" w:hAnsi="宋体" w:cs="宋体"/>
          <w:kern w:val="0"/>
          <w:sz w:val="24"/>
          <w:szCs w:val="24"/>
        </w:rPr>
        <w:t>投标人综合得分＝技术标得分＋商务标得分＋综合标得分。分值保留两位小数。</w:t>
      </w:r>
    </w:p>
    <w:p>
      <w:pPr>
        <w:autoSpaceDE w:val="0"/>
        <w:autoSpaceDN w:val="0"/>
        <w:spacing w:line="360" w:lineRule="auto"/>
        <w:ind w:firstLine="480" w:firstLineChars="200"/>
        <w:contextualSpacing/>
        <w:jc w:val="left"/>
        <w:outlineLvl w:val="0"/>
        <w:rPr>
          <w:rFonts w:ascii="宋体" w:hAnsi="宋体" w:cs="宋体"/>
          <w:kern w:val="0"/>
          <w:sz w:val="24"/>
          <w:szCs w:val="24"/>
        </w:rPr>
      </w:pPr>
      <w:r>
        <w:rPr>
          <w:rFonts w:hint="eastAsia" w:ascii="宋体" w:hAnsi="宋体" w:cs="宋体"/>
          <w:kern w:val="0"/>
          <w:sz w:val="24"/>
          <w:szCs w:val="24"/>
        </w:rPr>
        <w:t>（六）投标人的最终得分及中标候选人排序</w:t>
      </w:r>
    </w:p>
    <w:p>
      <w:pPr>
        <w:autoSpaceDE w:val="0"/>
        <w:autoSpaceDN w:val="0"/>
        <w:spacing w:line="360" w:lineRule="auto"/>
        <w:ind w:firstLine="720" w:firstLineChars="300"/>
        <w:contextualSpacing/>
        <w:jc w:val="left"/>
        <w:outlineLvl w:val="0"/>
        <w:rPr>
          <w:rFonts w:ascii="宋体" w:hAnsi="宋体" w:cs="宋体"/>
          <w:kern w:val="0"/>
          <w:sz w:val="24"/>
          <w:szCs w:val="24"/>
        </w:rPr>
      </w:pPr>
      <w:bookmarkStart w:id="224" w:name="_Toc22631"/>
      <w:bookmarkEnd w:id="224"/>
      <w:r>
        <w:rPr>
          <w:rFonts w:hint="eastAsia" w:ascii="宋体" w:hAnsi="宋体" w:cs="宋体"/>
          <w:kern w:val="0"/>
          <w:sz w:val="24"/>
          <w:szCs w:val="24"/>
        </w:rPr>
        <w:t>评标委员会按照投标人的得分，由高到低排序，向招标人推荐1-3名中标候选人。当得分相等时，依次以商务标、综合（信用）标、技术标得分高低进行排序；若三项得分均相等时，可以通过公开随机抽取方式确定中标候选人的排序。评标委员会按规定否决不合格投标后，因有效投标不足三个使得投标明显缺乏竞争的，评标委员会可以否决全部投标。</w:t>
      </w:r>
      <w:bookmarkStart w:id="225" w:name="_Toc397606004"/>
      <w:bookmarkEnd w:id="225"/>
      <w:bookmarkStart w:id="226" w:name="_Toc17480"/>
      <w:bookmarkEnd w:id="226"/>
      <w:bookmarkStart w:id="227" w:name="_Toc272833454"/>
      <w:bookmarkEnd w:id="227"/>
      <w:bookmarkStart w:id="228" w:name="_Toc273546399"/>
      <w:bookmarkEnd w:id="228"/>
      <w:bookmarkStart w:id="229" w:name="_Toc464824745"/>
      <w:bookmarkEnd w:id="229"/>
      <w:bookmarkStart w:id="230" w:name="_Toc270931535"/>
      <w:bookmarkEnd w:id="230"/>
      <w:bookmarkStart w:id="231" w:name="_Toc397507722"/>
      <w:bookmarkEnd w:id="231"/>
      <w:bookmarkStart w:id="232" w:name="_Toc397508135"/>
      <w:bookmarkEnd w:id="232"/>
      <w:bookmarkStart w:id="233" w:name="_Toc295572536"/>
      <w:bookmarkEnd w:id="233"/>
    </w:p>
    <w:p>
      <w:pPr>
        <w:autoSpaceDE w:val="0"/>
        <w:autoSpaceDN w:val="0"/>
        <w:spacing w:line="360" w:lineRule="auto"/>
        <w:contextualSpacing/>
        <w:jc w:val="left"/>
        <w:outlineLvl w:val="0"/>
        <w:rPr>
          <w:rFonts w:ascii="宋体" w:hAnsi="宋体" w:cs="宋体"/>
          <w:kern w:val="0"/>
          <w:sz w:val="24"/>
          <w:szCs w:val="24"/>
        </w:rPr>
      </w:pPr>
      <w:r>
        <w:rPr>
          <w:rFonts w:hint="eastAsia" w:ascii="宋体" w:hAnsi="宋体" w:cs="宋体"/>
          <w:b/>
          <w:bCs/>
          <w:kern w:val="0"/>
          <w:sz w:val="24"/>
          <w:szCs w:val="24"/>
        </w:rPr>
        <w:t>七、澄清和说明</w:t>
      </w:r>
    </w:p>
    <w:p>
      <w:pPr>
        <w:autoSpaceDE w:val="0"/>
        <w:autoSpaceDN w:val="0"/>
        <w:spacing w:line="360" w:lineRule="auto"/>
        <w:ind w:firstLine="480" w:firstLineChars="200"/>
        <w:contextualSpacing/>
        <w:jc w:val="left"/>
        <w:outlineLvl w:val="0"/>
        <w:rPr>
          <w:rFonts w:ascii="宋体" w:hAnsi="宋体" w:cs="宋体"/>
          <w:kern w:val="0"/>
          <w:sz w:val="24"/>
          <w:szCs w:val="24"/>
        </w:rPr>
      </w:pPr>
      <w:bookmarkStart w:id="234" w:name="_Toc464824746"/>
      <w:bookmarkEnd w:id="234"/>
      <w:bookmarkStart w:id="235" w:name="_Toc18189"/>
      <w:r>
        <w:rPr>
          <w:rFonts w:hint="eastAsia" w:ascii="宋体" w:hAnsi="宋体" w:cs="宋体"/>
          <w:kern w:val="0"/>
          <w:sz w:val="24"/>
          <w:szCs w:val="24"/>
        </w:rPr>
        <w:t>评标委员会可以书面方式要求投标人对投标文件中含义不明确、对同类问题表述不一致或者有明显文字和计算错误的内容作必要的澄清、说明或者补正。澄清、说明或者补正应以书面方式进行并不得超出投标文件的范围或者改变投标文件的实质性内容。</w:t>
      </w:r>
      <w:bookmarkEnd w:id="235"/>
    </w:p>
    <w:p>
      <w:pPr>
        <w:autoSpaceDE w:val="0"/>
        <w:autoSpaceDN w:val="0"/>
        <w:spacing w:line="360" w:lineRule="auto"/>
        <w:ind w:firstLine="480" w:firstLineChars="200"/>
        <w:contextualSpacing/>
        <w:jc w:val="left"/>
        <w:outlineLvl w:val="0"/>
        <w:rPr>
          <w:rFonts w:ascii="宋体" w:hAnsi="宋体" w:cs="宋体"/>
          <w:kern w:val="0"/>
          <w:sz w:val="24"/>
          <w:szCs w:val="24"/>
        </w:rPr>
      </w:pPr>
      <w:bookmarkStart w:id="236" w:name="_Toc8308"/>
      <w:bookmarkEnd w:id="236"/>
      <w:bookmarkStart w:id="237" w:name="_Toc464824747"/>
      <w:r>
        <w:rPr>
          <w:rFonts w:hint="eastAsia" w:ascii="宋体" w:hAnsi="宋体" w:cs="宋体"/>
          <w:kern w:val="0"/>
          <w:sz w:val="24"/>
          <w:szCs w:val="24"/>
        </w:rPr>
        <w:t>投标文件中的大写金额和小写金额不一致的，以大写金额为准；总价金额与单价金额不一致的，以单价金额为准，但单价金额小数点有明显错误的除外；对不同文字文本投标文件的解释发生异议的，以中文文本为准。</w:t>
      </w:r>
      <w:bookmarkEnd w:id="237"/>
    </w:p>
    <w:p>
      <w:pPr>
        <w:autoSpaceDE w:val="0"/>
        <w:autoSpaceDN w:val="0"/>
        <w:spacing w:line="360" w:lineRule="auto"/>
        <w:ind w:firstLine="480" w:firstLineChars="200"/>
        <w:contextualSpacing/>
        <w:jc w:val="left"/>
        <w:outlineLvl w:val="0"/>
        <w:rPr>
          <w:rFonts w:ascii="宋体" w:hAnsi="宋体" w:cs="宋体"/>
          <w:kern w:val="0"/>
          <w:sz w:val="24"/>
          <w:szCs w:val="24"/>
        </w:rPr>
      </w:pPr>
      <w:bookmarkStart w:id="238" w:name="_Toc4170"/>
      <w:bookmarkEnd w:id="238"/>
      <w:bookmarkStart w:id="239" w:name="_Toc464824748"/>
      <w:r>
        <w:rPr>
          <w:rFonts w:hint="eastAsia" w:ascii="宋体" w:hAnsi="宋体" w:cs="宋体"/>
          <w:kern w:val="0"/>
          <w:sz w:val="24"/>
          <w:szCs w:val="24"/>
        </w:rPr>
        <w:t>调整后的报价经投标人确认后产生约束力，投标人不接受修正价格的，其投标将被否决。</w:t>
      </w:r>
      <w:bookmarkEnd w:id="239"/>
    </w:p>
    <w:p>
      <w:pPr>
        <w:autoSpaceDE w:val="0"/>
        <w:autoSpaceDN w:val="0"/>
        <w:spacing w:line="360" w:lineRule="auto"/>
        <w:contextualSpacing/>
        <w:jc w:val="left"/>
        <w:outlineLvl w:val="0"/>
        <w:rPr>
          <w:rFonts w:ascii="宋体" w:hAnsi="宋体" w:cs="宋体"/>
          <w:b/>
          <w:bCs/>
          <w:kern w:val="0"/>
          <w:sz w:val="24"/>
          <w:szCs w:val="24"/>
        </w:rPr>
      </w:pPr>
      <w:bookmarkStart w:id="240" w:name="_Toc464824749"/>
      <w:bookmarkEnd w:id="240"/>
      <w:bookmarkStart w:id="241" w:name="_Toc10515"/>
      <w:r>
        <w:rPr>
          <w:rFonts w:hint="eastAsia" w:ascii="宋体" w:hAnsi="宋体" w:cs="宋体"/>
          <w:b/>
          <w:bCs/>
          <w:kern w:val="0"/>
          <w:sz w:val="24"/>
          <w:szCs w:val="24"/>
        </w:rPr>
        <w:t>八、关于低价投标</w:t>
      </w:r>
      <w:bookmarkEnd w:id="241"/>
    </w:p>
    <w:p>
      <w:pPr>
        <w:autoSpaceDE w:val="0"/>
        <w:autoSpaceDN w:val="0"/>
        <w:spacing w:line="360" w:lineRule="auto"/>
        <w:ind w:firstLine="480" w:firstLineChars="200"/>
        <w:contextualSpacing/>
        <w:jc w:val="left"/>
        <w:outlineLvl w:val="0"/>
        <w:rPr>
          <w:rFonts w:ascii="宋体" w:hAnsi="宋体" w:cs="宋体"/>
          <w:kern w:val="0"/>
          <w:sz w:val="24"/>
          <w:szCs w:val="24"/>
        </w:rPr>
      </w:pPr>
      <w:bookmarkStart w:id="242" w:name="_Toc464824750"/>
      <w:bookmarkEnd w:id="242"/>
      <w:bookmarkStart w:id="243" w:name="_Toc20615"/>
      <w:r>
        <w:rPr>
          <w:rFonts w:hint="eastAsia" w:ascii="宋体" w:hAnsi="宋体" w:cs="宋体"/>
          <w:kern w:val="0"/>
          <w:sz w:val="24"/>
          <w:szCs w:val="24"/>
        </w:rPr>
        <w:t>在评标过程中，评标委员会发现投标人的报价明显低于其他投标报价或者在设有标底时明显低于标底，使得其投标报价可能低于其个别成本的，应当要求该投标人作出书面说明并提供相关证明材料。投标人不能合理说明或者不能提供相关证明材料的，由评标委员会认定该投标人以低于成本报价竞标，应当否决其投标。</w:t>
      </w:r>
      <w:bookmarkEnd w:id="243"/>
    </w:p>
    <w:p>
      <w:pPr>
        <w:autoSpaceDE w:val="0"/>
        <w:autoSpaceDN w:val="0"/>
        <w:spacing w:line="360" w:lineRule="auto"/>
        <w:contextualSpacing/>
        <w:jc w:val="left"/>
        <w:outlineLvl w:val="0"/>
        <w:rPr>
          <w:rFonts w:ascii="宋体" w:hAnsi="宋体" w:cs="宋体"/>
          <w:b/>
          <w:bCs/>
          <w:kern w:val="0"/>
          <w:sz w:val="24"/>
          <w:szCs w:val="24"/>
        </w:rPr>
      </w:pPr>
      <w:bookmarkStart w:id="244" w:name="_Toc17583"/>
      <w:bookmarkEnd w:id="244"/>
      <w:bookmarkStart w:id="245" w:name="_Toc464824751"/>
      <w:r>
        <w:rPr>
          <w:rFonts w:hint="eastAsia" w:ascii="宋体" w:hAnsi="宋体" w:cs="宋体"/>
          <w:b/>
          <w:bCs/>
          <w:kern w:val="0"/>
          <w:sz w:val="24"/>
          <w:szCs w:val="24"/>
        </w:rPr>
        <w:t>九、投标文件的修正</w:t>
      </w:r>
      <w:bookmarkEnd w:id="245"/>
    </w:p>
    <w:p>
      <w:pPr>
        <w:autoSpaceDE w:val="0"/>
        <w:autoSpaceDN w:val="0"/>
        <w:spacing w:line="360" w:lineRule="auto"/>
        <w:ind w:firstLine="480" w:firstLineChars="200"/>
        <w:contextualSpacing/>
        <w:jc w:val="left"/>
        <w:outlineLvl w:val="0"/>
        <w:rPr>
          <w:rFonts w:ascii="宋体" w:hAnsi="宋体" w:cs="宋体"/>
          <w:kern w:val="0"/>
          <w:sz w:val="24"/>
          <w:szCs w:val="24"/>
        </w:rPr>
      </w:pPr>
      <w:bookmarkStart w:id="246" w:name="_Toc464824752"/>
      <w:bookmarkEnd w:id="246"/>
      <w:bookmarkStart w:id="247" w:name="_Toc10463"/>
      <w:r>
        <w:rPr>
          <w:rFonts w:hint="eastAsia" w:ascii="宋体" w:hAnsi="宋体" w:cs="宋体"/>
          <w:kern w:val="0"/>
          <w:sz w:val="24"/>
          <w:szCs w:val="24"/>
        </w:rPr>
        <w:t>投标文件不响应招标文件的实质性要求和条件的，评标委员会不得允许投标人通过修正或撤销其不符合要求的差异或保留，使之成为具有响应性的投标。</w:t>
      </w:r>
      <w:bookmarkEnd w:id="247"/>
    </w:p>
    <w:p>
      <w:pPr>
        <w:autoSpaceDE w:val="0"/>
        <w:autoSpaceDN w:val="0"/>
        <w:spacing w:line="360" w:lineRule="auto"/>
        <w:ind w:firstLine="480" w:firstLineChars="200"/>
        <w:contextualSpacing/>
        <w:jc w:val="left"/>
        <w:outlineLvl w:val="0"/>
        <w:rPr>
          <w:rFonts w:ascii="宋体" w:hAnsi="宋体" w:cs="宋体"/>
          <w:kern w:val="0"/>
          <w:sz w:val="24"/>
          <w:szCs w:val="24"/>
        </w:rPr>
      </w:pPr>
      <w:bookmarkStart w:id="248" w:name="_Toc31173"/>
      <w:bookmarkEnd w:id="248"/>
      <w:bookmarkStart w:id="249" w:name="_Toc464824753"/>
      <w:r>
        <w:rPr>
          <w:rFonts w:hint="eastAsia" w:ascii="宋体" w:hAnsi="宋体" w:cs="宋体"/>
          <w:kern w:val="0"/>
          <w:sz w:val="24"/>
          <w:szCs w:val="24"/>
        </w:rPr>
        <w:t>投标报价有算术错误的，评标委员会按以下原则进行修正：</w:t>
      </w:r>
      <w:bookmarkEnd w:id="249"/>
    </w:p>
    <w:p>
      <w:pPr>
        <w:autoSpaceDE w:val="0"/>
        <w:autoSpaceDN w:val="0"/>
        <w:spacing w:line="360" w:lineRule="auto"/>
        <w:ind w:firstLine="480" w:firstLineChars="200"/>
        <w:contextualSpacing/>
        <w:jc w:val="left"/>
        <w:outlineLvl w:val="0"/>
        <w:rPr>
          <w:rFonts w:ascii="宋体" w:hAnsi="宋体" w:cs="宋体"/>
          <w:kern w:val="0"/>
          <w:sz w:val="24"/>
          <w:szCs w:val="24"/>
        </w:rPr>
      </w:pPr>
      <w:bookmarkStart w:id="250" w:name="_Toc464824754"/>
      <w:bookmarkEnd w:id="250"/>
      <w:bookmarkStart w:id="251" w:name="_Toc4197"/>
      <w:r>
        <w:rPr>
          <w:rFonts w:hint="eastAsia" w:ascii="宋体" w:hAnsi="宋体" w:cs="宋体"/>
          <w:kern w:val="0"/>
          <w:sz w:val="24"/>
          <w:szCs w:val="24"/>
        </w:rPr>
        <w:t>（一）用数字表示的数额与用文字表示的数额不一致时，以文字数额为准；</w:t>
      </w:r>
      <w:bookmarkEnd w:id="251"/>
    </w:p>
    <w:p>
      <w:pPr>
        <w:autoSpaceDE w:val="0"/>
        <w:autoSpaceDN w:val="0"/>
        <w:spacing w:line="360" w:lineRule="auto"/>
        <w:ind w:firstLine="480" w:firstLineChars="200"/>
        <w:contextualSpacing/>
        <w:jc w:val="left"/>
        <w:outlineLvl w:val="0"/>
        <w:rPr>
          <w:rFonts w:ascii="宋体" w:hAnsi="宋体" w:cs="宋体"/>
          <w:kern w:val="0"/>
          <w:sz w:val="24"/>
          <w:szCs w:val="24"/>
        </w:rPr>
      </w:pPr>
      <w:bookmarkStart w:id="252" w:name="_Toc27518"/>
      <w:bookmarkEnd w:id="252"/>
      <w:bookmarkStart w:id="253" w:name="_Toc464824755"/>
      <w:r>
        <w:rPr>
          <w:rFonts w:hint="eastAsia" w:ascii="宋体" w:hAnsi="宋体" w:cs="宋体"/>
          <w:kern w:val="0"/>
          <w:sz w:val="24"/>
          <w:szCs w:val="24"/>
        </w:rPr>
        <w:t>（二）单价与工程量的乘积与总价之间不一致时，以单价为准。若单价有明显的小数点错位，应以总价为准，并修改单价。</w:t>
      </w:r>
      <w:bookmarkEnd w:id="253"/>
    </w:p>
    <w:p>
      <w:pPr>
        <w:autoSpaceDE w:val="0"/>
        <w:autoSpaceDN w:val="0"/>
        <w:spacing w:line="360" w:lineRule="auto"/>
        <w:ind w:firstLine="480" w:firstLineChars="200"/>
        <w:contextualSpacing/>
        <w:jc w:val="left"/>
        <w:outlineLvl w:val="0"/>
        <w:rPr>
          <w:rFonts w:ascii="宋体" w:hAnsi="宋体" w:cs="宋体"/>
          <w:kern w:val="0"/>
          <w:sz w:val="24"/>
          <w:szCs w:val="24"/>
        </w:rPr>
      </w:pPr>
      <w:bookmarkStart w:id="254" w:name="_Toc464824756"/>
      <w:bookmarkEnd w:id="254"/>
      <w:bookmarkStart w:id="255" w:name="_Toc3190"/>
      <w:r>
        <w:rPr>
          <w:rFonts w:hint="eastAsia" w:ascii="宋体" w:hAnsi="宋体" w:cs="宋体"/>
          <w:kern w:val="0"/>
          <w:sz w:val="24"/>
          <w:szCs w:val="24"/>
        </w:rPr>
        <w:t>调整后的报价经投标人确认后产生约束力，投标人不接受修正价格的，其投标将被否决。</w:t>
      </w:r>
      <w:bookmarkEnd w:id="255"/>
    </w:p>
    <w:p>
      <w:pPr>
        <w:autoSpaceDE w:val="0"/>
        <w:autoSpaceDN w:val="0"/>
        <w:spacing w:line="360" w:lineRule="auto"/>
        <w:contextualSpacing/>
        <w:jc w:val="left"/>
        <w:outlineLvl w:val="0"/>
        <w:rPr>
          <w:rFonts w:ascii="宋体" w:hAnsi="宋体" w:cs="宋体"/>
          <w:b/>
          <w:bCs/>
          <w:kern w:val="0"/>
          <w:sz w:val="24"/>
          <w:szCs w:val="24"/>
        </w:rPr>
      </w:pPr>
      <w:bookmarkStart w:id="256" w:name="_Toc9528"/>
      <w:bookmarkEnd w:id="256"/>
      <w:bookmarkStart w:id="257" w:name="_Toc464824757"/>
      <w:r>
        <w:rPr>
          <w:rFonts w:hint="eastAsia" w:ascii="宋体" w:hAnsi="宋体" w:cs="宋体"/>
          <w:b/>
          <w:bCs/>
          <w:kern w:val="0"/>
          <w:sz w:val="24"/>
          <w:szCs w:val="24"/>
        </w:rPr>
        <w:t>十、投标文件的偏差</w:t>
      </w:r>
      <w:bookmarkEnd w:id="257"/>
    </w:p>
    <w:p>
      <w:pPr>
        <w:autoSpaceDE w:val="0"/>
        <w:autoSpaceDN w:val="0"/>
        <w:spacing w:line="360" w:lineRule="auto"/>
        <w:ind w:firstLine="480" w:firstLineChars="200"/>
        <w:contextualSpacing/>
        <w:jc w:val="left"/>
        <w:outlineLvl w:val="0"/>
        <w:rPr>
          <w:rFonts w:ascii="宋体" w:hAnsi="宋体" w:cs="宋体"/>
          <w:kern w:val="0"/>
          <w:sz w:val="24"/>
          <w:szCs w:val="24"/>
        </w:rPr>
      </w:pPr>
      <w:bookmarkStart w:id="258" w:name="_Toc464824758"/>
      <w:bookmarkEnd w:id="258"/>
      <w:bookmarkStart w:id="259" w:name="_Toc28835"/>
      <w:r>
        <w:rPr>
          <w:rFonts w:hint="eastAsia" w:ascii="宋体" w:hAnsi="宋体" w:cs="宋体"/>
          <w:kern w:val="0"/>
          <w:sz w:val="24"/>
          <w:szCs w:val="24"/>
        </w:rPr>
        <w:t>评标委员会应当根据招标文件，审查并逐项列出投标文件的全部投标偏差。投标偏差分为重大偏差和细微偏差。</w:t>
      </w:r>
      <w:bookmarkEnd w:id="259"/>
    </w:p>
    <w:p>
      <w:pPr>
        <w:autoSpaceDE w:val="0"/>
        <w:autoSpaceDN w:val="0"/>
        <w:spacing w:line="360" w:lineRule="auto"/>
        <w:ind w:firstLine="480" w:firstLineChars="200"/>
        <w:contextualSpacing/>
        <w:jc w:val="left"/>
        <w:outlineLvl w:val="0"/>
        <w:rPr>
          <w:rFonts w:ascii="宋体" w:hAnsi="宋体" w:cs="宋体"/>
          <w:kern w:val="0"/>
          <w:sz w:val="24"/>
          <w:szCs w:val="24"/>
        </w:rPr>
      </w:pPr>
      <w:bookmarkStart w:id="260" w:name="_Toc29503"/>
      <w:bookmarkEnd w:id="260"/>
      <w:bookmarkStart w:id="261" w:name="_Toc464824759"/>
      <w:r>
        <w:rPr>
          <w:rFonts w:hint="eastAsia" w:ascii="宋体" w:hAnsi="宋体" w:cs="宋体"/>
          <w:kern w:val="0"/>
          <w:sz w:val="24"/>
          <w:szCs w:val="24"/>
        </w:rPr>
        <w:t>下列情况属于重大偏差：</w:t>
      </w:r>
      <w:bookmarkEnd w:id="261"/>
    </w:p>
    <w:p>
      <w:pPr>
        <w:autoSpaceDE w:val="0"/>
        <w:autoSpaceDN w:val="0"/>
        <w:spacing w:line="360" w:lineRule="auto"/>
        <w:ind w:firstLine="480" w:firstLineChars="200"/>
        <w:contextualSpacing/>
        <w:jc w:val="left"/>
        <w:outlineLvl w:val="0"/>
        <w:rPr>
          <w:rFonts w:ascii="宋体" w:hAnsi="宋体" w:cs="宋体"/>
          <w:kern w:val="0"/>
          <w:sz w:val="24"/>
          <w:szCs w:val="24"/>
        </w:rPr>
      </w:pPr>
      <w:bookmarkStart w:id="262" w:name="_Toc464824760"/>
      <w:bookmarkEnd w:id="262"/>
      <w:bookmarkStart w:id="263" w:name="_Toc2817"/>
      <w:r>
        <w:rPr>
          <w:rFonts w:hint="eastAsia" w:ascii="宋体" w:hAnsi="宋体" w:cs="宋体"/>
          <w:kern w:val="0"/>
          <w:sz w:val="24"/>
          <w:szCs w:val="24"/>
        </w:rPr>
        <w:t>(一)没有按照招标文件要求提供投标</w:t>
      </w:r>
      <w:r>
        <w:rPr>
          <w:rFonts w:hint="eastAsia" w:ascii="宋体" w:hAnsi="宋体" w:cs="宋体"/>
          <w:sz w:val="24"/>
          <w:szCs w:val="24"/>
        </w:rPr>
        <w:t>保证金</w:t>
      </w:r>
      <w:r>
        <w:rPr>
          <w:rFonts w:hint="eastAsia" w:ascii="宋体" w:hAnsi="宋体" w:cs="宋体"/>
          <w:kern w:val="0"/>
          <w:sz w:val="24"/>
          <w:szCs w:val="24"/>
        </w:rPr>
        <w:t>或者所提供的投标</w:t>
      </w:r>
      <w:r>
        <w:rPr>
          <w:rFonts w:hint="eastAsia" w:ascii="宋体" w:hAnsi="宋体" w:cs="宋体"/>
          <w:sz w:val="24"/>
          <w:szCs w:val="24"/>
        </w:rPr>
        <w:t>保证金</w:t>
      </w:r>
      <w:r>
        <w:rPr>
          <w:rFonts w:hint="eastAsia" w:ascii="宋体" w:hAnsi="宋体" w:cs="宋体"/>
          <w:kern w:val="0"/>
          <w:sz w:val="24"/>
          <w:szCs w:val="24"/>
        </w:rPr>
        <w:t>有瑕疵；</w:t>
      </w:r>
      <w:bookmarkEnd w:id="263"/>
    </w:p>
    <w:p>
      <w:pPr>
        <w:autoSpaceDE w:val="0"/>
        <w:autoSpaceDN w:val="0"/>
        <w:spacing w:line="360" w:lineRule="auto"/>
        <w:ind w:firstLine="480" w:firstLineChars="200"/>
        <w:contextualSpacing/>
        <w:jc w:val="left"/>
        <w:outlineLvl w:val="0"/>
        <w:rPr>
          <w:rFonts w:ascii="宋体" w:hAnsi="宋体" w:cs="宋体"/>
          <w:kern w:val="0"/>
          <w:sz w:val="24"/>
          <w:szCs w:val="24"/>
        </w:rPr>
      </w:pPr>
      <w:bookmarkStart w:id="264" w:name="_Toc14952"/>
      <w:bookmarkEnd w:id="264"/>
      <w:bookmarkStart w:id="265" w:name="_Toc464824761"/>
      <w:r>
        <w:rPr>
          <w:rFonts w:hint="eastAsia" w:ascii="宋体" w:hAnsi="宋体" w:cs="宋体"/>
          <w:kern w:val="0"/>
          <w:sz w:val="24"/>
          <w:szCs w:val="24"/>
        </w:rPr>
        <w:t>(二)投标文件没有法定代表人或其委托代理人签字或盖章，并加盖单位公章；</w:t>
      </w:r>
      <w:bookmarkEnd w:id="265"/>
    </w:p>
    <w:p>
      <w:pPr>
        <w:autoSpaceDE w:val="0"/>
        <w:autoSpaceDN w:val="0"/>
        <w:spacing w:line="360" w:lineRule="auto"/>
        <w:ind w:firstLine="480" w:firstLineChars="200"/>
        <w:contextualSpacing/>
        <w:jc w:val="left"/>
        <w:outlineLvl w:val="0"/>
        <w:rPr>
          <w:rFonts w:ascii="宋体" w:hAnsi="宋体" w:cs="宋体"/>
          <w:kern w:val="0"/>
          <w:sz w:val="24"/>
          <w:szCs w:val="24"/>
        </w:rPr>
      </w:pPr>
      <w:bookmarkStart w:id="266" w:name="_Toc2013"/>
      <w:bookmarkEnd w:id="266"/>
      <w:bookmarkStart w:id="267" w:name="_Toc464824762"/>
      <w:r>
        <w:rPr>
          <w:rFonts w:hint="eastAsia" w:ascii="宋体" w:hAnsi="宋体" w:cs="宋体"/>
          <w:kern w:val="0"/>
          <w:sz w:val="24"/>
          <w:szCs w:val="24"/>
        </w:rPr>
        <w:t>(三)投标文件载明的招标项目完成期限超过招标文件规定的期限；</w:t>
      </w:r>
      <w:bookmarkEnd w:id="267"/>
    </w:p>
    <w:p>
      <w:pPr>
        <w:autoSpaceDE w:val="0"/>
        <w:autoSpaceDN w:val="0"/>
        <w:spacing w:line="360" w:lineRule="auto"/>
        <w:ind w:firstLine="480" w:firstLineChars="200"/>
        <w:contextualSpacing/>
        <w:jc w:val="left"/>
        <w:outlineLvl w:val="0"/>
        <w:rPr>
          <w:rFonts w:ascii="宋体" w:hAnsi="宋体" w:cs="宋体"/>
          <w:kern w:val="0"/>
          <w:sz w:val="24"/>
          <w:szCs w:val="24"/>
        </w:rPr>
      </w:pPr>
      <w:bookmarkStart w:id="268" w:name="_Toc3437"/>
      <w:bookmarkEnd w:id="268"/>
      <w:bookmarkStart w:id="269" w:name="_Toc464824763"/>
      <w:r>
        <w:rPr>
          <w:rFonts w:hint="eastAsia" w:ascii="宋体" w:hAnsi="宋体" w:cs="宋体"/>
          <w:kern w:val="0"/>
          <w:sz w:val="24"/>
          <w:szCs w:val="24"/>
        </w:rPr>
        <w:t>(四)明显不符合技术规格、技术标准的要求；</w:t>
      </w:r>
      <w:bookmarkEnd w:id="269"/>
    </w:p>
    <w:p>
      <w:pPr>
        <w:autoSpaceDE w:val="0"/>
        <w:autoSpaceDN w:val="0"/>
        <w:spacing w:line="360" w:lineRule="auto"/>
        <w:ind w:firstLine="480" w:firstLineChars="200"/>
        <w:contextualSpacing/>
        <w:jc w:val="left"/>
        <w:outlineLvl w:val="0"/>
        <w:rPr>
          <w:rFonts w:ascii="宋体" w:hAnsi="宋体" w:cs="宋体"/>
          <w:kern w:val="0"/>
          <w:sz w:val="24"/>
          <w:szCs w:val="24"/>
        </w:rPr>
      </w:pPr>
      <w:bookmarkStart w:id="270" w:name="_Toc28709"/>
      <w:bookmarkEnd w:id="270"/>
      <w:bookmarkStart w:id="271" w:name="_Toc464824764"/>
      <w:r>
        <w:rPr>
          <w:rFonts w:hint="eastAsia" w:ascii="宋体" w:hAnsi="宋体" w:cs="宋体"/>
          <w:kern w:val="0"/>
          <w:sz w:val="24"/>
          <w:szCs w:val="24"/>
        </w:rPr>
        <w:t>(五)投标文件载明的货物包装方式、检验标准和方法等不符合招标文件的要求；</w:t>
      </w:r>
      <w:bookmarkEnd w:id="271"/>
      <w:bookmarkStart w:id="272" w:name="_Toc464824765"/>
      <w:bookmarkEnd w:id="272"/>
      <w:bookmarkStart w:id="273" w:name="_Toc30262"/>
    </w:p>
    <w:p>
      <w:pPr>
        <w:autoSpaceDE w:val="0"/>
        <w:autoSpaceDN w:val="0"/>
        <w:spacing w:line="360" w:lineRule="auto"/>
        <w:ind w:firstLine="480" w:firstLineChars="200"/>
        <w:contextualSpacing/>
        <w:jc w:val="left"/>
        <w:outlineLvl w:val="0"/>
        <w:rPr>
          <w:rFonts w:ascii="宋体" w:hAnsi="宋体" w:cs="宋体"/>
          <w:kern w:val="0"/>
          <w:sz w:val="24"/>
          <w:szCs w:val="24"/>
        </w:rPr>
      </w:pPr>
      <w:r>
        <w:rPr>
          <w:rFonts w:hint="eastAsia" w:ascii="宋体" w:hAnsi="宋体" w:cs="宋体"/>
          <w:kern w:val="0"/>
          <w:sz w:val="24"/>
          <w:szCs w:val="24"/>
        </w:rPr>
        <w:t>(六)投标文件附有招标人不能接受的条件；</w:t>
      </w:r>
      <w:bookmarkEnd w:id="273"/>
    </w:p>
    <w:p>
      <w:pPr>
        <w:autoSpaceDE w:val="0"/>
        <w:autoSpaceDN w:val="0"/>
        <w:spacing w:line="360" w:lineRule="auto"/>
        <w:ind w:firstLine="480" w:firstLineChars="200"/>
        <w:contextualSpacing/>
        <w:jc w:val="left"/>
        <w:outlineLvl w:val="0"/>
        <w:rPr>
          <w:rFonts w:ascii="宋体" w:hAnsi="宋体" w:cs="宋体"/>
          <w:kern w:val="0"/>
          <w:sz w:val="24"/>
          <w:szCs w:val="24"/>
        </w:rPr>
      </w:pPr>
      <w:bookmarkStart w:id="274" w:name="_Toc7"/>
      <w:bookmarkEnd w:id="274"/>
      <w:bookmarkStart w:id="275" w:name="_Toc464824766"/>
      <w:r>
        <w:rPr>
          <w:rFonts w:hint="eastAsia" w:ascii="宋体" w:hAnsi="宋体" w:cs="宋体"/>
          <w:kern w:val="0"/>
          <w:sz w:val="24"/>
          <w:szCs w:val="24"/>
        </w:rPr>
        <w:t>(七)不符合招标文件中规定的其他实质性要求。</w:t>
      </w:r>
      <w:bookmarkEnd w:id="275"/>
    </w:p>
    <w:p>
      <w:pPr>
        <w:autoSpaceDE w:val="0"/>
        <w:autoSpaceDN w:val="0"/>
        <w:spacing w:line="360" w:lineRule="auto"/>
        <w:ind w:firstLine="480" w:firstLineChars="200"/>
        <w:contextualSpacing/>
        <w:jc w:val="left"/>
        <w:outlineLvl w:val="0"/>
        <w:rPr>
          <w:rFonts w:ascii="宋体" w:hAnsi="宋体" w:cs="宋体"/>
          <w:kern w:val="0"/>
          <w:sz w:val="24"/>
          <w:szCs w:val="24"/>
        </w:rPr>
      </w:pPr>
      <w:bookmarkStart w:id="276" w:name="_Toc464824767"/>
      <w:bookmarkEnd w:id="276"/>
      <w:bookmarkStart w:id="277" w:name="_Toc23164"/>
      <w:r>
        <w:rPr>
          <w:rFonts w:hint="eastAsia" w:ascii="宋体" w:hAnsi="宋体" w:cs="宋体"/>
          <w:kern w:val="0"/>
          <w:sz w:val="24"/>
          <w:szCs w:val="24"/>
        </w:rPr>
        <w:t>投标文件有上述情形之一的，为未能对招标文件作出实质性响应，并作否决投标处理。招标文件初审列明的内容均为重大偏差。</w:t>
      </w:r>
      <w:bookmarkEnd w:id="277"/>
    </w:p>
    <w:p>
      <w:pPr>
        <w:autoSpaceDE w:val="0"/>
        <w:autoSpaceDN w:val="0"/>
        <w:spacing w:line="360" w:lineRule="auto"/>
        <w:ind w:firstLine="480" w:firstLineChars="200"/>
        <w:contextualSpacing/>
        <w:jc w:val="left"/>
        <w:outlineLvl w:val="0"/>
        <w:rPr>
          <w:rFonts w:ascii="宋体" w:hAnsi="宋体" w:cs="宋体"/>
          <w:kern w:val="0"/>
          <w:sz w:val="24"/>
          <w:szCs w:val="24"/>
        </w:rPr>
      </w:pPr>
      <w:bookmarkStart w:id="278" w:name="_Toc464824768"/>
      <w:bookmarkEnd w:id="278"/>
      <w:bookmarkStart w:id="279" w:name="_Toc16273"/>
      <w:r>
        <w:rPr>
          <w:rFonts w:hint="eastAsia" w:ascii="宋体" w:hAnsi="宋体" w:cs="宋体"/>
          <w:kern w:val="0"/>
          <w:sz w:val="24"/>
          <w:szCs w:val="24"/>
        </w:rPr>
        <w:t>细微偏差是指投标文件在实质上响应招标文件要求，但在个别地方存在漏项或者提供了不完整的技术信息和数据等情况，并且补正这些遗漏或者不完整不会对其他投标人造成不公平的结果。细微偏差不影响投标文件的有效性。</w:t>
      </w:r>
      <w:bookmarkEnd w:id="279"/>
    </w:p>
    <w:p>
      <w:pPr>
        <w:autoSpaceDE w:val="0"/>
        <w:autoSpaceDN w:val="0"/>
        <w:spacing w:line="360" w:lineRule="auto"/>
        <w:ind w:firstLine="480" w:firstLineChars="200"/>
        <w:contextualSpacing/>
        <w:jc w:val="left"/>
        <w:outlineLvl w:val="0"/>
        <w:rPr>
          <w:rFonts w:ascii="宋体" w:hAnsi="宋体" w:cs="宋体"/>
          <w:kern w:val="0"/>
          <w:sz w:val="24"/>
          <w:szCs w:val="24"/>
        </w:rPr>
      </w:pPr>
      <w:bookmarkStart w:id="280" w:name="_Toc464824769"/>
      <w:bookmarkEnd w:id="280"/>
      <w:bookmarkStart w:id="281" w:name="_Toc24165"/>
      <w:r>
        <w:rPr>
          <w:rFonts w:hint="eastAsia" w:ascii="宋体" w:hAnsi="宋体" w:cs="宋体"/>
          <w:kern w:val="0"/>
          <w:sz w:val="24"/>
          <w:szCs w:val="24"/>
        </w:rPr>
        <w:t>评标委员会应当书面要求存在细微偏差的投标人在评标结束前予以补正。</w:t>
      </w:r>
      <w:bookmarkEnd w:id="281"/>
    </w:p>
    <w:p>
      <w:pPr>
        <w:spacing w:line="360" w:lineRule="auto"/>
        <w:contextualSpacing/>
        <w:rPr>
          <w:rFonts w:ascii="宋体" w:hAnsi="宋体" w:cs="宋体"/>
          <w:b/>
          <w:bCs/>
          <w:color w:val="000000"/>
          <w:sz w:val="24"/>
          <w:szCs w:val="24"/>
        </w:rPr>
      </w:pPr>
      <w:r>
        <w:rPr>
          <w:rFonts w:hint="eastAsia" w:ascii="宋体" w:hAnsi="宋体" w:cs="宋体"/>
          <w:b/>
          <w:bCs/>
          <w:color w:val="000000"/>
          <w:sz w:val="24"/>
          <w:szCs w:val="24"/>
        </w:rPr>
        <w:t>十一、评标报告</w:t>
      </w:r>
    </w:p>
    <w:p>
      <w:pPr>
        <w:autoSpaceDE w:val="0"/>
        <w:autoSpaceDN w:val="0"/>
        <w:spacing w:line="360" w:lineRule="auto"/>
        <w:ind w:firstLine="480" w:firstLineChars="200"/>
        <w:contextualSpacing/>
        <w:jc w:val="left"/>
        <w:outlineLvl w:val="0"/>
        <w:rPr>
          <w:rFonts w:ascii="宋体" w:hAnsi="宋体" w:cs="宋体"/>
          <w:kern w:val="0"/>
          <w:sz w:val="24"/>
          <w:szCs w:val="24"/>
        </w:rPr>
      </w:pPr>
      <w:r>
        <w:rPr>
          <w:rFonts w:hint="eastAsia" w:ascii="宋体" w:hAnsi="宋体" w:cs="宋体"/>
          <w:kern w:val="0"/>
          <w:sz w:val="24"/>
          <w:szCs w:val="24"/>
        </w:rPr>
        <w:t>评标报告由评标委员会全体成员签字。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pPr>
        <w:spacing w:line="360" w:lineRule="auto"/>
        <w:ind w:firstLine="480" w:firstLineChars="200"/>
        <w:contextualSpacing/>
        <w:rPr>
          <w:rFonts w:ascii="宋体" w:hAnsi="宋体" w:cs="宋体"/>
          <w:color w:val="000000"/>
          <w:sz w:val="24"/>
          <w:szCs w:val="24"/>
        </w:rPr>
      </w:pPr>
      <w:r>
        <w:rPr>
          <w:rFonts w:hint="eastAsia" w:ascii="宋体" w:hAnsi="宋体" w:cs="宋体"/>
          <w:color w:val="000000"/>
          <w:sz w:val="24"/>
          <w:szCs w:val="24"/>
        </w:rPr>
        <w:t>评标委员会根据投标人须知前附表7.1条的规定向招标人提交评标报告。评标报告应当由全体评标委员会成员签字，并于评标结束时抄送有关行政监督部门。</w:t>
      </w:r>
    </w:p>
    <w:p>
      <w:pPr>
        <w:spacing w:line="360" w:lineRule="auto"/>
        <w:ind w:firstLine="480" w:firstLineChars="200"/>
        <w:contextualSpacing/>
        <w:rPr>
          <w:rFonts w:ascii="宋体" w:hAnsi="宋体" w:cs="宋体"/>
          <w:sz w:val="24"/>
          <w:szCs w:val="24"/>
        </w:rPr>
      </w:pPr>
      <w:bookmarkStart w:id="282" w:name="_Toc270931536"/>
      <w:bookmarkEnd w:id="282"/>
      <w:bookmarkStart w:id="283" w:name="_Toc273546400"/>
      <w:bookmarkEnd w:id="283"/>
      <w:bookmarkStart w:id="284" w:name="_Toc295572537"/>
      <w:bookmarkEnd w:id="284"/>
      <w:bookmarkStart w:id="285" w:name="_Toc272833455"/>
      <w:r>
        <w:rPr>
          <w:rFonts w:hint="eastAsia" w:ascii="宋体" w:hAnsi="宋体" w:cs="宋体"/>
          <w:sz w:val="24"/>
          <w:szCs w:val="24"/>
        </w:rPr>
        <w:t>招标人应当自确定中标人之日起15日内，向有关行政监督部门提交招标投标情况的书面报告。书面报告应当包括以下内容：</w:t>
      </w:r>
      <w:bookmarkEnd w:id="285"/>
    </w:p>
    <w:p>
      <w:pPr>
        <w:spacing w:line="360" w:lineRule="auto"/>
        <w:contextualSpacing/>
        <w:rPr>
          <w:rFonts w:ascii="宋体" w:hAnsi="宋体" w:cs="宋体"/>
          <w:kern w:val="0"/>
          <w:sz w:val="24"/>
          <w:szCs w:val="24"/>
        </w:rPr>
      </w:pPr>
      <w:r>
        <w:rPr>
          <w:rFonts w:hint="eastAsia" w:ascii="宋体" w:hAnsi="宋体" w:cs="宋体"/>
          <w:kern w:val="0"/>
          <w:sz w:val="24"/>
          <w:szCs w:val="24"/>
        </w:rPr>
        <w:t>（1）基本情况和数据表；</w:t>
      </w:r>
    </w:p>
    <w:p>
      <w:pPr>
        <w:spacing w:line="360" w:lineRule="auto"/>
        <w:contextualSpacing/>
        <w:rPr>
          <w:rFonts w:ascii="宋体" w:hAnsi="宋体" w:cs="宋体"/>
          <w:kern w:val="0"/>
          <w:sz w:val="24"/>
          <w:szCs w:val="24"/>
        </w:rPr>
      </w:pPr>
      <w:r>
        <w:rPr>
          <w:rFonts w:hint="eastAsia" w:ascii="宋体" w:hAnsi="宋体" w:cs="宋体"/>
          <w:kern w:val="0"/>
          <w:sz w:val="24"/>
          <w:szCs w:val="24"/>
        </w:rPr>
        <w:t>（2）评标委员会成员名单，负责人姓名；</w:t>
      </w:r>
    </w:p>
    <w:p>
      <w:pPr>
        <w:spacing w:line="360" w:lineRule="auto"/>
        <w:contextualSpacing/>
        <w:rPr>
          <w:rFonts w:ascii="宋体" w:hAnsi="宋体" w:cs="宋体"/>
          <w:kern w:val="0"/>
          <w:sz w:val="24"/>
          <w:szCs w:val="24"/>
        </w:rPr>
      </w:pPr>
      <w:r>
        <w:rPr>
          <w:rFonts w:hint="eastAsia" w:ascii="宋体" w:hAnsi="宋体" w:cs="宋体"/>
          <w:kern w:val="0"/>
          <w:sz w:val="24"/>
          <w:szCs w:val="24"/>
        </w:rPr>
        <w:t>（3）开标记录；</w:t>
      </w:r>
    </w:p>
    <w:p>
      <w:pPr>
        <w:spacing w:line="360" w:lineRule="auto"/>
        <w:contextualSpacing/>
        <w:rPr>
          <w:rFonts w:ascii="宋体" w:hAnsi="宋体" w:cs="宋体"/>
          <w:kern w:val="0"/>
          <w:sz w:val="24"/>
          <w:szCs w:val="24"/>
        </w:rPr>
      </w:pPr>
      <w:r>
        <w:rPr>
          <w:rFonts w:hint="eastAsia" w:ascii="宋体" w:hAnsi="宋体" w:cs="宋体"/>
          <w:kern w:val="0"/>
          <w:sz w:val="24"/>
          <w:szCs w:val="24"/>
        </w:rPr>
        <w:t>（4）符合要求的投标一览表；</w:t>
      </w:r>
    </w:p>
    <w:p>
      <w:pPr>
        <w:spacing w:line="360" w:lineRule="auto"/>
        <w:contextualSpacing/>
        <w:rPr>
          <w:rFonts w:ascii="宋体" w:hAnsi="宋体" w:cs="宋体"/>
          <w:kern w:val="0"/>
          <w:sz w:val="24"/>
          <w:szCs w:val="24"/>
        </w:rPr>
      </w:pPr>
      <w:r>
        <w:rPr>
          <w:rFonts w:hint="eastAsia" w:ascii="宋体" w:hAnsi="宋体" w:cs="宋体"/>
          <w:kern w:val="0"/>
          <w:sz w:val="24"/>
          <w:szCs w:val="24"/>
        </w:rPr>
        <w:t>（5）否决投标情况说明；</w:t>
      </w:r>
    </w:p>
    <w:p>
      <w:pPr>
        <w:spacing w:line="360" w:lineRule="auto"/>
        <w:contextualSpacing/>
        <w:rPr>
          <w:rFonts w:ascii="宋体" w:hAnsi="宋体" w:cs="宋体"/>
          <w:kern w:val="0"/>
          <w:sz w:val="24"/>
          <w:szCs w:val="24"/>
        </w:rPr>
      </w:pPr>
      <w:r>
        <w:rPr>
          <w:rFonts w:hint="eastAsia" w:ascii="宋体" w:hAnsi="宋体" w:cs="宋体"/>
          <w:kern w:val="0"/>
          <w:sz w:val="24"/>
          <w:szCs w:val="24"/>
        </w:rPr>
        <w:t>（6）评标标准、评标办法或者评标因素一览表；</w:t>
      </w:r>
    </w:p>
    <w:p>
      <w:pPr>
        <w:spacing w:line="360" w:lineRule="auto"/>
        <w:contextualSpacing/>
        <w:rPr>
          <w:rFonts w:ascii="宋体" w:hAnsi="宋体" w:cs="宋体"/>
          <w:kern w:val="0"/>
          <w:sz w:val="24"/>
          <w:szCs w:val="24"/>
        </w:rPr>
      </w:pPr>
      <w:r>
        <w:rPr>
          <w:rFonts w:hint="eastAsia" w:ascii="宋体" w:hAnsi="宋体" w:cs="宋体"/>
          <w:kern w:val="0"/>
          <w:sz w:val="24"/>
          <w:szCs w:val="24"/>
        </w:rPr>
        <w:t>（7）经评审的评标表格（包括评标委员会在评标过程中所形成的所有记载评标结果、结论的表格、说明、记录等文件）</w:t>
      </w:r>
    </w:p>
    <w:p>
      <w:pPr>
        <w:spacing w:line="360" w:lineRule="auto"/>
        <w:contextualSpacing/>
        <w:rPr>
          <w:rFonts w:ascii="宋体" w:hAnsi="宋体" w:cs="宋体"/>
          <w:kern w:val="0"/>
          <w:sz w:val="24"/>
          <w:szCs w:val="24"/>
        </w:rPr>
      </w:pPr>
      <w:r>
        <w:rPr>
          <w:rFonts w:hint="eastAsia" w:ascii="宋体" w:hAnsi="宋体" w:cs="宋体"/>
          <w:kern w:val="0"/>
          <w:sz w:val="24"/>
          <w:szCs w:val="24"/>
        </w:rPr>
        <w:t>（8）经评审的投标人排序；</w:t>
      </w:r>
    </w:p>
    <w:p>
      <w:pPr>
        <w:spacing w:line="360" w:lineRule="auto"/>
        <w:contextualSpacing/>
        <w:rPr>
          <w:rFonts w:ascii="宋体" w:hAnsi="宋体" w:cs="宋体"/>
          <w:kern w:val="0"/>
          <w:sz w:val="24"/>
          <w:szCs w:val="24"/>
        </w:rPr>
      </w:pPr>
      <w:r>
        <w:rPr>
          <w:rFonts w:hint="eastAsia" w:ascii="宋体" w:hAnsi="宋体" w:cs="宋体"/>
          <w:kern w:val="0"/>
          <w:sz w:val="24"/>
          <w:szCs w:val="24"/>
        </w:rPr>
        <w:t>（9）推荐的中标候选人名单与签订合同前要处理的事宜；</w:t>
      </w:r>
    </w:p>
    <w:p>
      <w:pPr>
        <w:spacing w:line="360" w:lineRule="auto"/>
        <w:contextualSpacing/>
        <w:rPr>
          <w:rFonts w:ascii="宋体" w:hAnsi="宋体" w:cs="宋体"/>
          <w:kern w:val="0"/>
          <w:sz w:val="24"/>
          <w:szCs w:val="24"/>
        </w:rPr>
      </w:pPr>
      <w:r>
        <w:rPr>
          <w:rFonts w:hint="eastAsia" w:ascii="宋体" w:hAnsi="宋体" w:cs="宋体"/>
          <w:kern w:val="0"/>
          <w:sz w:val="24"/>
          <w:szCs w:val="24"/>
        </w:rPr>
        <w:t>（10）澄清、说明、补正事项纪要。</w:t>
      </w:r>
    </w:p>
    <w:p>
      <w:pPr>
        <w:autoSpaceDE w:val="0"/>
        <w:autoSpaceDN w:val="0"/>
        <w:spacing w:line="360" w:lineRule="auto"/>
        <w:contextualSpacing/>
        <w:jc w:val="left"/>
        <w:outlineLvl w:val="0"/>
        <w:rPr>
          <w:rFonts w:ascii="宋体" w:hAnsi="宋体" w:cs="宋体"/>
          <w:b/>
          <w:bCs/>
          <w:kern w:val="0"/>
          <w:sz w:val="24"/>
          <w:szCs w:val="24"/>
        </w:rPr>
      </w:pPr>
      <w:bookmarkStart w:id="286" w:name="_Toc464824770"/>
      <w:bookmarkEnd w:id="286"/>
      <w:bookmarkStart w:id="287" w:name="_Toc21854"/>
      <w:r>
        <w:rPr>
          <w:rFonts w:hint="eastAsia" w:ascii="宋体" w:hAnsi="宋体" w:cs="宋体"/>
          <w:b/>
          <w:bCs/>
          <w:kern w:val="0"/>
          <w:sz w:val="24"/>
          <w:szCs w:val="24"/>
        </w:rPr>
        <w:t>十二、中标人的确立</w:t>
      </w:r>
      <w:bookmarkEnd w:id="287"/>
    </w:p>
    <w:p>
      <w:pPr>
        <w:autoSpaceDE w:val="0"/>
        <w:autoSpaceDN w:val="0"/>
        <w:spacing w:line="360" w:lineRule="auto"/>
        <w:ind w:firstLine="480" w:firstLineChars="200"/>
        <w:contextualSpacing/>
        <w:jc w:val="left"/>
        <w:outlineLvl w:val="0"/>
        <w:rPr>
          <w:rFonts w:ascii="宋体" w:hAnsi="宋体" w:cs="宋体"/>
          <w:kern w:val="0"/>
          <w:sz w:val="24"/>
          <w:szCs w:val="24"/>
        </w:rPr>
      </w:pPr>
      <w:bookmarkStart w:id="288" w:name="_Toc32004"/>
      <w:bookmarkEnd w:id="288"/>
      <w:bookmarkStart w:id="289" w:name="_Toc464824771"/>
      <w:r>
        <w:rPr>
          <w:rFonts w:hint="eastAsia" w:ascii="宋体" w:hAnsi="宋体" w:cs="宋体"/>
          <w:kern w:val="0"/>
          <w:sz w:val="24"/>
          <w:szCs w:val="24"/>
        </w:rPr>
        <w:t>国有资金占控股或者主导地位的依法必须进行招标的项目，招标人应当确定排名第一的中标候选人为中标人。排名第一的中标候选人放弃中标、因不可抗力提出不能履行合同、不按照招标文件的要求提交履约担保，或者被查实存在影响中标结果的违法行为等情形，不符合中标条件的，招标人可以按照评标委员会提出的中标候选人名单排序依次确定其他中标候选人为中标人。依次确定其他中标候选人与招标人预期差距较大，或者对招标人明显不利的，招标人可以重新招标。</w:t>
      </w:r>
      <w:bookmarkEnd w:id="289"/>
    </w:p>
    <w:p>
      <w:pPr>
        <w:spacing w:line="360" w:lineRule="auto"/>
        <w:contextualSpacing/>
        <w:rPr>
          <w:rFonts w:ascii="宋体" w:hAnsi="宋体" w:cs="宋体"/>
          <w:color w:val="000000"/>
          <w:spacing w:val="-3"/>
          <w:sz w:val="24"/>
          <w:szCs w:val="24"/>
        </w:rPr>
      </w:pPr>
      <w:r>
        <w:rPr>
          <w:rFonts w:hint="eastAsia" w:ascii="宋体" w:hAnsi="宋体" w:cs="宋体"/>
          <w:b/>
          <w:bCs/>
          <w:sz w:val="24"/>
          <w:szCs w:val="24"/>
        </w:rPr>
        <w:t>十三、公示</w:t>
      </w:r>
    </w:p>
    <w:p>
      <w:pPr>
        <w:spacing w:line="360" w:lineRule="auto"/>
        <w:ind w:firstLine="352" w:firstLineChars="147"/>
        <w:contextualSpacing/>
        <w:outlineLvl w:val="0"/>
        <w:rPr>
          <w:rFonts w:ascii="宋体" w:hAnsi="宋体" w:cs="宋体"/>
          <w:color w:val="000000"/>
          <w:sz w:val="24"/>
          <w:szCs w:val="24"/>
        </w:rPr>
      </w:pPr>
      <w:bookmarkStart w:id="290" w:name="_Toc397507724"/>
      <w:bookmarkEnd w:id="290"/>
      <w:bookmarkStart w:id="291" w:name="_Toc2959"/>
      <w:bookmarkEnd w:id="291"/>
      <w:bookmarkStart w:id="292" w:name="_Toc397508137"/>
      <w:bookmarkEnd w:id="292"/>
      <w:bookmarkStart w:id="293" w:name="_Toc414"/>
      <w:bookmarkEnd w:id="293"/>
      <w:bookmarkStart w:id="294" w:name="_Toc464824774"/>
      <w:bookmarkEnd w:id="294"/>
      <w:bookmarkStart w:id="295" w:name="_Toc397606006"/>
      <w:bookmarkEnd w:id="295"/>
      <w:bookmarkStart w:id="296" w:name="_Toc464824772"/>
      <w:r>
        <w:rPr>
          <w:rFonts w:hint="eastAsia" w:ascii="宋体" w:hAnsi="宋体" w:cs="宋体"/>
          <w:color w:val="000000"/>
          <w:sz w:val="24"/>
          <w:szCs w:val="24"/>
        </w:rPr>
        <w:t>中标人确定后，应当在招标公告发布的同一媒介上进行公示，</w:t>
      </w:r>
      <w:bookmarkEnd w:id="296"/>
      <w:r>
        <w:rPr>
          <w:rFonts w:hint="eastAsia" w:ascii="宋体" w:hAnsi="宋体" w:cs="宋体"/>
          <w:color w:val="000000"/>
          <w:sz w:val="24"/>
          <w:szCs w:val="24"/>
        </w:rPr>
        <w:t>公示期不得少于3日。公示期满后，招标人应当将招标投标情况书面报告提交行政主管部门备案，向中标人发出中标通知书，并向所有合格投标人告知中标结果。</w:t>
      </w:r>
    </w:p>
    <w:p>
      <w:pPr>
        <w:spacing w:line="360" w:lineRule="auto"/>
        <w:ind w:firstLine="352" w:firstLineChars="147"/>
        <w:contextualSpacing/>
        <w:outlineLvl w:val="0"/>
        <w:rPr>
          <w:rFonts w:ascii="宋体" w:hAnsi="宋体" w:cs="宋体"/>
          <w:color w:val="000000"/>
          <w:sz w:val="24"/>
          <w:szCs w:val="24"/>
        </w:rPr>
      </w:pPr>
      <w:bookmarkStart w:id="297" w:name="_Toc464824773"/>
      <w:bookmarkEnd w:id="297"/>
      <w:bookmarkStart w:id="298" w:name="_Toc3561"/>
      <w:r>
        <w:rPr>
          <w:rFonts w:hint="eastAsia" w:ascii="宋体" w:hAnsi="宋体" w:cs="宋体"/>
          <w:color w:val="000000"/>
          <w:sz w:val="24"/>
          <w:szCs w:val="24"/>
        </w:rPr>
        <w:t>依法必须进行招标的项目，中标候选人公示时，应当同时公示以下信息：项目概况、开标时间、开标记录、评审情况、中标候选人排名、公示期、联系方式、评标委员会成员对中标候选人的综合评估分和各分项评估分、投标文件中填报的项目负责人业绩名称及</w:t>
      </w:r>
      <w:bookmarkEnd w:id="298"/>
      <w:r>
        <w:rPr>
          <w:rFonts w:hint="eastAsia" w:ascii="宋体" w:hAnsi="宋体" w:cs="宋体"/>
          <w:color w:val="000000"/>
          <w:sz w:val="24"/>
          <w:szCs w:val="24"/>
        </w:rPr>
        <w:t>填报的单位项目业绩名称。</w:t>
      </w:r>
    </w:p>
    <w:p>
      <w:pPr>
        <w:spacing w:line="360" w:lineRule="auto"/>
        <w:contextualSpacing/>
        <w:outlineLvl w:val="0"/>
        <w:rPr>
          <w:rFonts w:ascii="宋体" w:hAnsi="宋体" w:cs="宋体"/>
          <w:b/>
          <w:bCs/>
          <w:sz w:val="24"/>
          <w:szCs w:val="24"/>
        </w:rPr>
      </w:pPr>
      <w:r>
        <w:rPr>
          <w:rFonts w:hint="eastAsia" w:ascii="宋体" w:hAnsi="宋体" w:cs="宋体"/>
          <w:b/>
          <w:bCs/>
          <w:sz w:val="24"/>
          <w:szCs w:val="24"/>
        </w:rPr>
        <w:t>十四、特殊情况的处置程序</w:t>
      </w:r>
    </w:p>
    <w:p>
      <w:pPr>
        <w:spacing w:line="360" w:lineRule="auto"/>
        <w:ind w:firstLine="354" w:firstLineChars="147"/>
        <w:contextualSpacing/>
        <w:outlineLvl w:val="0"/>
        <w:rPr>
          <w:rFonts w:ascii="宋体" w:hAnsi="宋体" w:cs="宋体"/>
          <w:b/>
          <w:bCs/>
          <w:sz w:val="24"/>
          <w:szCs w:val="24"/>
        </w:rPr>
      </w:pPr>
      <w:bookmarkStart w:id="299" w:name="_Toc464824775"/>
      <w:bookmarkEnd w:id="299"/>
      <w:bookmarkStart w:id="300" w:name="_Toc26658"/>
      <w:bookmarkEnd w:id="300"/>
      <w:bookmarkStart w:id="301" w:name="_Toc397606007"/>
      <w:bookmarkEnd w:id="301"/>
      <w:bookmarkStart w:id="302" w:name="_Toc397508138"/>
      <w:bookmarkEnd w:id="302"/>
      <w:bookmarkStart w:id="303" w:name="_Toc397507725"/>
      <w:r>
        <w:rPr>
          <w:rFonts w:hint="eastAsia" w:ascii="宋体" w:hAnsi="宋体" w:cs="宋体"/>
          <w:b/>
          <w:bCs/>
          <w:sz w:val="24"/>
          <w:szCs w:val="24"/>
        </w:rPr>
        <w:t>14.1关于评标活动暂停</w:t>
      </w:r>
      <w:bookmarkEnd w:id="303"/>
    </w:p>
    <w:p>
      <w:pPr>
        <w:spacing w:line="360" w:lineRule="auto"/>
        <w:ind w:firstLine="480" w:firstLineChars="200"/>
        <w:contextualSpacing/>
        <w:rPr>
          <w:rFonts w:ascii="宋体" w:hAnsi="宋体" w:cs="宋体"/>
          <w:sz w:val="24"/>
          <w:szCs w:val="24"/>
        </w:rPr>
      </w:pPr>
      <w:r>
        <w:rPr>
          <w:rFonts w:hint="eastAsia" w:ascii="宋体" w:hAnsi="宋体" w:cs="宋体"/>
          <w:sz w:val="24"/>
          <w:szCs w:val="24"/>
        </w:rPr>
        <w:t>14.1.1评标委员会应当执行连续评标的原则，按评标办法中规定的程序、内容、方法、标准完成全部评标工作。只有发生不可抗力导致评标工作无法继续时，评标活动方可暂停。</w:t>
      </w:r>
    </w:p>
    <w:p>
      <w:pPr>
        <w:spacing w:line="360" w:lineRule="auto"/>
        <w:ind w:firstLine="480" w:firstLineChars="200"/>
        <w:contextualSpacing/>
        <w:rPr>
          <w:rFonts w:ascii="宋体" w:hAnsi="宋体" w:cs="宋体"/>
          <w:sz w:val="24"/>
          <w:szCs w:val="24"/>
        </w:rPr>
      </w:pPr>
      <w:r>
        <w:rPr>
          <w:rFonts w:hint="eastAsia" w:ascii="宋体" w:hAnsi="宋体" w:cs="宋体"/>
          <w:sz w:val="24"/>
          <w:szCs w:val="24"/>
        </w:rPr>
        <w:t>14.1.2发生评标暂停情况时，评标委员会应当封存全部投标文件和评标记录，待不可抗力的影响结束且具备继续评标的条件时，由原评标委员会继续评标。</w:t>
      </w:r>
    </w:p>
    <w:p>
      <w:pPr>
        <w:spacing w:line="360" w:lineRule="auto"/>
        <w:ind w:firstLine="354" w:firstLineChars="147"/>
        <w:contextualSpacing/>
        <w:outlineLvl w:val="0"/>
        <w:rPr>
          <w:rFonts w:ascii="宋体" w:hAnsi="宋体" w:cs="宋体"/>
          <w:b/>
          <w:bCs/>
          <w:sz w:val="24"/>
          <w:szCs w:val="24"/>
        </w:rPr>
      </w:pPr>
      <w:bookmarkStart w:id="304" w:name="_Toc397508139"/>
      <w:bookmarkEnd w:id="304"/>
      <w:bookmarkStart w:id="305" w:name="_Toc6616"/>
      <w:bookmarkEnd w:id="305"/>
      <w:bookmarkStart w:id="306" w:name="_Toc464824776"/>
      <w:bookmarkEnd w:id="306"/>
      <w:bookmarkStart w:id="307" w:name="_Toc397606008"/>
      <w:bookmarkEnd w:id="307"/>
      <w:bookmarkStart w:id="308" w:name="_Toc397507726"/>
      <w:r>
        <w:rPr>
          <w:rFonts w:hint="eastAsia" w:ascii="宋体" w:hAnsi="宋体" w:cs="宋体"/>
          <w:b/>
          <w:bCs/>
          <w:sz w:val="24"/>
          <w:szCs w:val="24"/>
        </w:rPr>
        <w:t>14.2关于评标中途更换评标委员会成员</w:t>
      </w:r>
      <w:bookmarkEnd w:id="308"/>
    </w:p>
    <w:p>
      <w:pPr>
        <w:spacing w:line="360" w:lineRule="auto"/>
        <w:ind w:firstLine="480" w:firstLineChars="200"/>
        <w:contextualSpacing/>
        <w:rPr>
          <w:rFonts w:ascii="宋体" w:hAnsi="宋体" w:cs="宋体"/>
          <w:sz w:val="24"/>
          <w:szCs w:val="24"/>
        </w:rPr>
      </w:pPr>
      <w:r>
        <w:rPr>
          <w:rFonts w:hint="eastAsia" w:ascii="宋体" w:hAnsi="宋体" w:cs="宋体"/>
          <w:sz w:val="24"/>
          <w:szCs w:val="24"/>
        </w:rPr>
        <w:t>14.2.1  除非发生下列情况之一，评标委员会成员不得在评标中途更换：</w:t>
      </w:r>
    </w:p>
    <w:p>
      <w:pPr>
        <w:spacing w:line="360" w:lineRule="auto"/>
        <w:ind w:firstLine="480" w:firstLineChars="200"/>
        <w:contextualSpacing/>
        <w:rPr>
          <w:rFonts w:ascii="宋体" w:hAnsi="宋体" w:cs="宋体"/>
          <w:sz w:val="24"/>
          <w:szCs w:val="24"/>
        </w:rPr>
      </w:pPr>
      <w:r>
        <w:rPr>
          <w:rFonts w:hint="eastAsia" w:ascii="宋体" w:hAnsi="宋体" w:cs="宋体"/>
          <w:sz w:val="24"/>
          <w:szCs w:val="24"/>
        </w:rPr>
        <w:t>（1）因不可抗拒的客观原因，不能到场或需在评标中途退出评标活动。</w:t>
      </w:r>
    </w:p>
    <w:p>
      <w:pPr>
        <w:spacing w:line="360" w:lineRule="auto"/>
        <w:ind w:firstLine="480" w:firstLineChars="200"/>
        <w:contextualSpacing/>
        <w:rPr>
          <w:rFonts w:ascii="宋体" w:hAnsi="宋体" w:cs="宋体"/>
          <w:sz w:val="24"/>
          <w:szCs w:val="24"/>
        </w:rPr>
      </w:pPr>
      <w:r>
        <w:rPr>
          <w:rFonts w:hint="eastAsia" w:ascii="宋体" w:hAnsi="宋体" w:cs="宋体"/>
          <w:sz w:val="24"/>
          <w:szCs w:val="24"/>
        </w:rPr>
        <w:t>（2）根据法律法规规定，某个或某几个评标委员会成员需要回避。</w:t>
      </w:r>
    </w:p>
    <w:p>
      <w:pPr>
        <w:spacing w:line="360" w:lineRule="auto"/>
        <w:ind w:firstLine="480" w:firstLineChars="200"/>
        <w:contextualSpacing/>
        <w:rPr>
          <w:rFonts w:ascii="宋体" w:hAnsi="宋体" w:cs="宋体"/>
          <w:sz w:val="24"/>
          <w:szCs w:val="24"/>
        </w:rPr>
      </w:pPr>
      <w:r>
        <w:rPr>
          <w:rFonts w:hint="eastAsia" w:ascii="宋体" w:hAnsi="宋体" w:cs="宋体"/>
          <w:sz w:val="24"/>
          <w:szCs w:val="24"/>
        </w:rPr>
        <w:t>14.2.2  退出评标的评标委员会成员，其已完成的评标行为无效。由招标人根据本招标文件规定的评标委员会成员产生方式另行确定替代者进行评标。</w:t>
      </w:r>
    </w:p>
    <w:p>
      <w:pPr>
        <w:spacing w:line="360" w:lineRule="auto"/>
        <w:ind w:firstLine="354" w:firstLineChars="147"/>
        <w:contextualSpacing/>
        <w:outlineLvl w:val="0"/>
        <w:rPr>
          <w:rFonts w:ascii="宋体" w:hAnsi="宋体" w:cs="宋体"/>
          <w:b/>
          <w:bCs/>
          <w:sz w:val="24"/>
          <w:szCs w:val="24"/>
        </w:rPr>
      </w:pPr>
      <w:bookmarkStart w:id="309" w:name="_Toc397508140"/>
      <w:bookmarkEnd w:id="309"/>
      <w:bookmarkStart w:id="310" w:name="_Toc397507727"/>
      <w:bookmarkEnd w:id="310"/>
      <w:bookmarkStart w:id="311" w:name="_Toc464824777"/>
      <w:bookmarkEnd w:id="311"/>
      <w:bookmarkStart w:id="312" w:name="_Toc5729"/>
      <w:bookmarkEnd w:id="312"/>
      <w:bookmarkStart w:id="313" w:name="_Toc397606009"/>
      <w:r>
        <w:rPr>
          <w:rFonts w:hint="eastAsia" w:ascii="宋体" w:hAnsi="宋体" w:cs="宋体"/>
          <w:b/>
          <w:bCs/>
          <w:sz w:val="24"/>
          <w:szCs w:val="24"/>
        </w:rPr>
        <w:t>14.3记名投票</w:t>
      </w:r>
      <w:bookmarkEnd w:id="313"/>
    </w:p>
    <w:p>
      <w:pPr>
        <w:spacing w:line="360" w:lineRule="auto"/>
        <w:ind w:firstLine="480" w:firstLineChars="200"/>
        <w:contextualSpacing/>
        <w:rPr>
          <w:rFonts w:ascii="宋体" w:hAnsi="宋体" w:cs="宋体"/>
          <w:sz w:val="24"/>
          <w:szCs w:val="24"/>
        </w:rPr>
      </w:pPr>
      <w:r>
        <w:rPr>
          <w:rFonts w:hint="eastAsia" w:ascii="宋体" w:hAnsi="宋体" w:cs="宋体"/>
          <w:sz w:val="24"/>
          <w:szCs w:val="24"/>
        </w:rPr>
        <w:t>在任何评标环节中，需评标委员会就某项定性的评审结论做出表决的，由评标委员会全体成员按照少数服从多数的原则，以记名投票方式表决。</w:t>
      </w:r>
    </w:p>
    <w:p>
      <w:pPr>
        <w:spacing w:line="360" w:lineRule="auto"/>
        <w:ind w:firstLine="482" w:firstLineChars="200"/>
        <w:contextualSpacing/>
        <w:rPr>
          <w:rFonts w:ascii="宋体" w:hAnsi="宋体" w:cs="宋体"/>
          <w:b/>
          <w:bCs/>
          <w:sz w:val="24"/>
          <w:szCs w:val="24"/>
        </w:rPr>
      </w:pPr>
      <w:r>
        <w:rPr>
          <w:rFonts w:hint="eastAsia" w:ascii="宋体" w:hAnsi="宋体" w:cs="宋体"/>
          <w:b/>
          <w:bCs/>
          <w:sz w:val="24"/>
          <w:szCs w:val="24"/>
        </w:rPr>
        <w:t>14.4评标委员会成员对评标结论持有异议的</w:t>
      </w:r>
    </w:p>
    <w:p>
      <w:pPr>
        <w:rPr>
          <w:rFonts w:ascii="宋体" w:hAnsi="宋体"/>
          <w:b/>
          <w:bCs/>
          <w:sz w:val="32"/>
          <w:szCs w:val="32"/>
        </w:rPr>
      </w:pPr>
      <w:r>
        <w:rPr>
          <w:rFonts w:hint="eastAsia" w:ascii="宋体" w:hAnsi="宋体" w:cs="宋体"/>
          <w:sz w:val="24"/>
          <w:szCs w:val="24"/>
        </w:rPr>
        <w:t>评标委员会成员对评标结论持有异议的，可以书面方式阐述其不同意见和理由。评标委员会成员拒绝在评标报告上签字且不陈述其不同意见和理由的，视为同意评标结论。评标委员会应当对此作出书面说明并记录在案。</w:t>
      </w:r>
      <w:r>
        <w:br w:type="page"/>
      </w:r>
      <w:r>
        <w:rPr>
          <w:rFonts w:hint="eastAsia" w:ascii="宋体" w:hAnsi="宋体"/>
          <w:b/>
          <w:bCs/>
          <w:sz w:val="32"/>
          <w:szCs w:val="32"/>
        </w:rPr>
        <w:t>附件1</w:t>
      </w:r>
    </w:p>
    <w:p>
      <w:pPr>
        <w:jc w:val="center"/>
        <w:rPr>
          <w:rFonts w:ascii="宋体" w:hAnsi="宋体"/>
          <w:b/>
          <w:bCs/>
          <w:sz w:val="32"/>
          <w:szCs w:val="32"/>
        </w:rPr>
      </w:pPr>
      <w:r>
        <w:rPr>
          <w:rFonts w:hint="eastAsia" w:ascii="宋体" w:hAnsi="宋体"/>
          <w:b/>
          <w:bCs/>
          <w:sz w:val="32"/>
          <w:szCs w:val="32"/>
        </w:rPr>
        <w:t>投标企业良好信用信息采集项</w:t>
      </w:r>
    </w:p>
    <w:tbl>
      <w:tblPr>
        <w:tblStyle w:val="16"/>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17"/>
        <w:gridCol w:w="5910"/>
        <w:gridCol w:w="1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17" w:type="dxa"/>
          </w:tcPr>
          <w:p>
            <w:pPr>
              <w:spacing w:line="460" w:lineRule="exact"/>
              <w:jc w:val="center"/>
              <w:rPr>
                <w:rFonts w:ascii="宋体" w:hAnsi="宋体"/>
                <w:sz w:val="24"/>
                <w:szCs w:val="24"/>
              </w:rPr>
            </w:pPr>
            <w:r>
              <w:rPr>
                <w:rFonts w:hint="eastAsia" w:ascii="宋体" w:hAnsi="宋体"/>
                <w:sz w:val="24"/>
                <w:szCs w:val="24"/>
              </w:rPr>
              <w:t>信用类别</w:t>
            </w:r>
          </w:p>
        </w:tc>
        <w:tc>
          <w:tcPr>
            <w:tcW w:w="5910" w:type="dxa"/>
          </w:tcPr>
          <w:p>
            <w:pPr>
              <w:spacing w:line="460" w:lineRule="exact"/>
              <w:jc w:val="center"/>
              <w:rPr>
                <w:rFonts w:ascii="宋体" w:hAnsi="宋体"/>
                <w:sz w:val="24"/>
                <w:szCs w:val="24"/>
              </w:rPr>
            </w:pPr>
            <w:r>
              <w:rPr>
                <w:rFonts w:hint="eastAsia" w:ascii="宋体" w:hAnsi="宋体"/>
                <w:sz w:val="24"/>
                <w:szCs w:val="24"/>
              </w:rPr>
              <w:t>良好信用</w:t>
            </w:r>
          </w:p>
        </w:tc>
        <w:tc>
          <w:tcPr>
            <w:tcW w:w="1253" w:type="dxa"/>
          </w:tcPr>
          <w:p>
            <w:pPr>
              <w:spacing w:line="460" w:lineRule="exact"/>
              <w:jc w:val="center"/>
              <w:rPr>
                <w:rFonts w:ascii="宋体" w:hAnsi="宋体"/>
                <w:sz w:val="24"/>
                <w:szCs w:val="24"/>
              </w:rPr>
            </w:pPr>
            <w:r>
              <w:rPr>
                <w:rFonts w:hint="eastAsia" w:ascii="宋体" w:hAnsi="宋体"/>
                <w:sz w:val="24"/>
                <w:szCs w:val="24"/>
              </w:rPr>
              <w:t>周期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17" w:type="dxa"/>
            <w:vMerge w:val="restart"/>
            <w:vAlign w:val="center"/>
          </w:tcPr>
          <w:p>
            <w:pPr>
              <w:spacing w:line="460" w:lineRule="exact"/>
              <w:jc w:val="center"/>
              <w:rPr>
                <w:rFonts w:ascii="宋体" w:hAnsi="宋体"/>
                <w:sz w:val="24"/>
                <w:szCs w:val="24"/>
              </w:rPr>
            </w:pPr>
            <w:r>
              <w:rPr>
                <w:rFonts w:hint="eastAsia" w:ascii="宋体" w:hAnsi="宋体"/>
                <w:sz w:val="24"/>
                <w:szCs w:val="24"/>
              </w:rPr>
              <w:t>工程质量获奖</w:t>
            </w:r>
          </w:p>
        </w:tc>
        <w:tc>
          <w:tcPr>
            <w:tcW w:w="5910" w:type="dxa"/>
          </w:tcPr>
          <w:p>
            <w:pPr>
              <w:spacing w:line="460" w:lineRule="exact"/>
              <w:jc w:val="left"/>
              <w:rPr>
                <w:rFonts w:ascii="宋体" w:hAnsi="宋体"/>
                <w:sz w:val="24"/>
                <w:szCs w:val="24"/>
              </w:rPr>
            </w:pPr>
            <w:r>
              <w:rPr>
                <w:rFonts w:hint="eastAsia" w:ascii="宋体" w:hAnsi="宋体"/>
                <w:sz w:val="24"/>
                <w:szCs w:val="24"/>
              </w:rPr>
              <w:t>中国建设工程鲁班奖(国家优质工程)、中国钢结构金奖、中国土木工程詹天佑奖</w:t>
            </w:r>
          </w:p>
        </w:tc>
        <w:tc>
          <w:tcPr>
            <w:tcW w:w="1253" w:type="dxa"/>
            <w:vAlign w:val="center"/>
          </w:tcPr>
          <w:p>
            <w:pPr>
              <w:spacing w:line="460" w:lineRule="exact"/>
              <w:jc w:val="center"/>
              <w:rPr>
                <w:rFonts w:ascii="宋体" w:hAnsi="宋体"/>
                <w:sz w:val="24"/>
                <w:szCs w:val="24"/>
              </w:rPr>
            </w:pPr>
            <w:r>
              <w:rPr>
                <w:rFonts w:hint="eastAsia" w:ascii="宋体" w:hAnsi="宋体"/>
                <w:sz w:val="24"/>
                <w:szCs w:val="24"/>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17" w:type="dxa"/>
            <w:vMerge w:val="continue"/>
          </w:tcPr>
          <w:p>
            <w:pPr>
              <w:spacing w:line="460" w:lineRule="exact"/>
              <w:jc w:val="center"/>
              <w:rPr>
                <w:rFonts w:ascii="宋体" w:hAnsi="宋体"/>
                <w:sz w:val="24"/>
                <w:szCs w:val="24"/>
              </w:rPr>
            </w:pPr>
          </w:p>
        </w:tc>
        <w:tc>
          <w:tcPr>
            <w:tcW w:w="5910" w:type="dxa"/>
          </w:tcPr>
          <w:p>
            <w:pPr>
              <w:spacing w:line="460" w:lineRule="exact"/>
              <w:jc w:val="left"/>
              <w:rPr>
                <w:rFonts w:ascii="宋体" w:hAnsi="宋体"/>
                <w:sz w:val="24"/>
                <w:szCs w:val="24"/>
              </w:rPr>
            </w:pPr>
            <w:r>
              <w:rPr>
                <w:rFonts w:hint="eastAsia" w:ascii="宋体" w:hAnsi="宋体"/>
                <w:sz w:val="24"/>
                <w:szCs w:val="24"/>
              </w:rPr>
              <w:t>中国建筑工程装饰奖(公共建筑装饰、建筑幕墙、公共建获奖筑装饰设计)</w:t>
            </w:r>
          </w:p>
        </w:tc>
        <w:tc>
          <w:tcPr>
            <w:tcW w:w="1253" w:type="dxa"/>
            <w:vAlign w:val="center"/>
          </w:tcPr>
          <w:p>
            <w:pPr>
              <w:jc w:val="center"/>
            </w:pPr>
            <w:r>
              <w:rPr>
                <w:rFonts w:hint="eastAsia" w:ascii="宋体" w:hAnsi="宋体"/>
                <w:sz w:val="24"/>
                <w:szCs w:val="24"/>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017" w:type="dxa"/>
            <w:vMerge w:val="continue"/>
          </w:tcPr>
          <w:p>
            <w:pPr>
              <w:spacing w:line="460" w:lineRule="exact"/>
              <w:jc w:val="center"/>
              <w:rPr>
                <w:rFonts w:ascii="宋体" w:hAnsi="宋体"/>
                <w:sz w:val="24"/>
                <w:szCs w:val="24"/>
              </w:rPr>
            </w:pPr>
          </w:p>
        </w:tc>
        <w:tc>
          <w:tcPr>
            <w:tcW w:w="5910" w:type="dxa"/>
          </w:tcPr>
          <w:p>
            <w:pPr>
              <w:spacing w:line="460" w:lineRule="exact"/>
              <w:jc w:val="left"/>
              <w:rPr>
                <w:rFonts w:ascii="宋体" w:hAnsi="宋体"/>
                <w:sz w:val="24"/>
                <w:szCs w:val="24"/>
              </w:rPr>
            </w:pPr>
            <w:r>
              <w:rPr>
                <w:rFonts w:hint="eastAsia" w:ascii="宋体" w:hAnsi="宋体"/>
                <w:sz w:val="24"/>
                <w:szCs w:val="24"/>
              </w:rPr>
              <w:t>省长质量奖</w:t>
            </w:r>
          </w:p>
        </w:tc>
        <w:tc>
          <w:tcPr>
            <w:tcW w:w="1253" w:type="dxa"/>
            <w:vAlign w:val="center"/>
          </w:tcPr>
          <w:p>
            <w:pPr>
              <w:jc w:val="center"/>
            </w:pPr>
            <w:r>
              <w:rPr>
                <w:rFonts w:hint="eastAsia" w:ascii="宋体" w:hAnsi="宋体"/>
                <w:sz w:val="24"/>
                <w:szCs w:val="24"/>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17" w:type="dxa"/>
            <w:vMerge w:val="continue"/>
          </w:tcPr>
          <w:p>
            <w:pPr>
              <w:spacing w:line="460" w:lineRule="exact"/>
              <w:jc w:val="center"/>
              <w:rPr>
                <w:rFonts w:ascii="宋体" w:hAnsi="宋体"/>
                <w:sz w:val="24"/>
                <w:szCs w:val="24"/>
              </w:rPr>
            </w:pPr>
          </w:p>
        </w:tc>
        <w:tc>
          <w:tcPr>
            <w:tcW w:w="5910" w:type="dxa"/>
          </w:tcPr>
          <w:p>
            <w:pPr>
              <w:spacing w:line="460" w:lineRule="exact"/>
              <w:jc w:val="left"/>
              <w:rPr>
                <w:rFonts w:ascii="宋体" w:hAnsi="宋体"/>
                <w:sz w:val="24"/>
                <w:szCs w:val="24"/>
              </w:rPr>
            </w:pPr>
            <w:r>
              <w:rPr>
                <w:rFonts w:hint="eastAsia" w:ascii="宋体" w:hAnsi="宋体"/>
                <w:sz w:val="24"/>
                <w:szCs w:val="24"/>
              </w:rPr>
              <w:t>省级建设主管部门颁发的工程质量奖项</w:t>
            </w:r>
          </w:p>
        </w:tc>
        <w:tc>
          <w:tcPr>
            <w:tcW w:w="1253" w:type="dxa"/>
            <w:vAlign w:val="center"/>
          </w:tcPr>
          <w:p>
            <w:pPr>
              <w:jc w:val="center"/>
            </w:pPr>
            <w:r>
              <w:rPr>
                <w:rFonts w:hint="eastAsia" w:ascii="宋体" w:hAnsi="宋体"/>
                <w:sz w:val="24"/>
                <w:szCs w:val="24"/>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17" w:type="dxa"/>
            <w:vMerge w:val="restart"/>
            <w:vAlign w:val="center"/>
          </w:tcPr>
          <w:p>
            <w:pPr>
              <w:spacing w:line="460" w:lineRule="exact"/>
              <w:jc w:val="center"/>
              <w:rPr>
                <w:rFonts w:ascii="宋体" w:hAnsi="宋体"/>
                <w:sz w:val="24"/>
                <w:szCs w:val="24"/>
              </w:rPr>
            </w:pPr>
            <w:r>
              <w:rPr>
                <w:rFonts w:hint="eastAsia" w:ascii="宋体" w:hAnsi="宋体"/>
                <w:sz w:val="24"/>
                <w:szCs w:val="24"/>
              </w:rPr>
              <w:t>一般性通报表彰</w:t>
            </w:r>
          </w:p>
        </w:tc>
        <w:tc>
          <w:tcPr>
            <w:tcW w:w="5910" w:type="dxa"/>
          </w:tcPr>
          <w:p>
            <w:pPr>
              <w:spacing w:line="460" w:lineRule="exact"/>
              <w:jc w:val="left"/>
              <w:rPr>
                <w:rFonts w:ascii="宋体" w:hAnsi="宋体"/>
                <w:sz w:val="24"/>
                <w:szCs w:val="24"/>
              </w:rPr>
            </w:pPr>
            <w:r>
              <w:rPr>
                <w:rFonts w:hint="eastAsia" w:ascii="宋体" w:hAnsi="宋体"/>
                <w:sz w:val="24"/>
                <w:szCs w:val="24"/>
              </w:rPr>
              <w:t>住房城乡建设部、省人民政府的表彰</w:t>
            </w:r>
          </w:p>
        </w:tc>
        <w:tc>
          <w:tcPr>
            <w:tcW w:w="1253" w:type="dxa"/>
            <w:vAlign w:val="center"/>
          </w:tcPr>
          <w:p>
            <w:pPr>
              <w:jc w:val="center"/>
            </w:pPr>
            <w:r>
              <w:rPr>
                <w:rFonts w:hint="eastAsia" w:ascii="宋体" w:hAnsi="宋体"/>
                <w:sz w:val="24"/>
                <w:szCs w:val="24"/>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17" w:type="dxa"/>
            <w:vMerge w:val="continue"/>
          </w:tcPr>
          <w:p>
            <w:pPr>
              <w:spacing w:line="460" w:lineRule="exact"/>
              <w:jc w:val="center"/>
              <w:rPr>
                <w:rFonts w:ascii="宋体" w:hAnsi="宋体"/>
                <w:sz w:val="24"/>
                <w:szCs w:val="24"/>
              </w:rPr>
            </w:pPr>
          </w:p>
        </w:tc>
        <w:tc>
          <w:tcPr>
            <w:tcW w:w="5910" w:type="dxa"/>
          </w:tcPr>
          <w:p>
            <w:pPr>
              <w:spacing w:line="460" w:lineRule="exact"/>
              <w:jc w:val="left"/>
              <w:rPr>
                <w:rFonts w:ascii="宋体" w:hAnsi="宋体"/>
                <w:sz w:val="24"/>
                <w:szCs w:val="24"/>
              </w:rPr>
            </w:pPr>
            <w:r>
              <w:rPr>
                <w:rFonts w:hint="eastAsia" w:ascii="宋体" w:hAnsi="宋体"/>
                <w:sz w:val="24"/>
                <w:szCs w:val="24"/>
              </w:rPr>
              <w:t>县级以上人民政府或住房城乡建设主管部门的表彰</w:t>
            </w:r>
          </w:p>
        </w:tc>
        <w:tc>
          <w:tcPr>
            <w:tcW w:w="1253" w:type="dxa"/>
            <w:vAlign w:val="center"/>
          </w:tcPr>
          <w:p>
            <w:pPr>
              <w:jc w:val="center"/>
            </w:pPr>
            <w:r>
              <w:rPr>
                <w:rFonts w:hint="eastAsia" w:ascii="宋体" w:hAnsi="宋体"/>
                <w:sz w:val="24"/>
                <w:szCs w:val="24"/>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017" w:type="dxa"/>
            <w:vMerge w:val="restart"/>
            <w:vAlign w:val="center"/>
          </w:tcPr>
          <w:p>
            <w:pPr>
              <w:spacing w:line="460" w:lineRule="exact"/>
              <w:jc w:val="center"/>
              <w:rPr>
                <w:rFonts w:ascii="宋体" w:hAnsi="宋体"/>
                <w:sz w:val="24"/>
                <w:szCs w:val="24"/>
              </w:rPr>
            </w:pPr>
            <w:r>
              <w:rPr>
                <w:rFonts w:hint="eastAsia" w:ascii="宋体" w:hAnsi="宋体"/>
                <w:sz w:val="24"/>
                <w:szCs w:val="24"/>
              </w:rPr>
              <w:t>科技创新</w:t>
            </w:r>
          </w:p>
          <w:p>
            <w:pPr>
              <w:spacing w:line="460" w:lineRule="exact"/>
              <w:jc w:val="center"/>
              <w:rPr>
                <w:rFonts w:ascii="宋体" w:hAnsi="宋体"/>
                <w:sz w:val="24"/>
                <w:szCs w:val="24"/>
              </w:rPr>
            </w:pPr>
            <w:r>
              <w:rPr>
                <w:rFonts w:hint="eastAsia" w:ascii="宋体" w:hAnsi="宋体"/>
                <w:sz w:val="24"/>
                <w:szCs w:val="24"/>
              </w:rPr>
              <w:t>（建筑类）</w:t>
            </w:r>
          </w:p>
        </w:tc>
        <w:tc>
          <w:tcPr>
            <w:tcW w:w="5910" w:type="dxa"/>
          </w:tcPr>
          <w:p>
            <w:pPr>
              <w:spacing w:line="460" w:lineRule="exact"/>
              <w:jc w:val="left"/>
              <w:rPr>
                <w:rFonts w:ascii="宋体" w:hAnsi="宋体"/>
                <w:sz w:val="24"/>
                <w:szCs w:val="24"/>
              </w:rPr>
            </w:pPr>
            <w:r>
              <w:rPr>
                <w:rFonts w:hint="eastAsia" w:ascii="宋体" w:hAnsi="宋体"/>
                <w:sz w:val="24"/>
                <w:szCs w:val="24"/>
              </w:rPr>
              <w:t>企业参与标准、定额、工法编制：(1)国家级；(2)省级。</w:t>
            </w:r>
          </w:p>
        </w:tc>
        <w:tc>
          <w:tcPr>
            <w:tcW w:w="1253" w:type="dxa"/>
            <w:vAlign w:val="center"/>
          </w:tcPr>
          <w:p>
            <w:pPr>
              <w:jc w:val="center"/>
            </w:pPr>
            <w:r>
              <w:rPr>
                <w:rFonts w:hint="eastAsia" w:ascii="宋体" w:hAnsi="宋体"/>
                <w:sz w:val="24"/>
                <w:szCs w:val="24"/>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17" w:type="dxa"/>
            <w:vMerge w:val="continue"/>
          </w:tcPr>
          <w:p>
            <w:pPr>
              <w:spacing w:line="460" w:lineRule="exact"/>
              <w:jc w:val="center"/>
              <w:rPr>
                <w:rFonts w:ascii="宋体" w:hAnsi="宋体"/>
                <w:sz w:val="24"/>
                <w:szCs w:val="24"/>
              </w:rPr>
            </w:pPr>
          </w:p>
        </w:tc>
        <w:tc>
          <w:tcPr>
            <w:tcW w:w="5910" w:type="dxa"/>
          </w:tcPr>
          <w:p>
            <w:pPr>
              <w:spacing w:line="460" w:lineRule="exact"/>
              <w:jc w:val="left"/>
              <w:rPr>
                <w:rFonts w:ascii="宋体" w:hAnsi="宋体"/>
                <w:sz w:val="24"/>
                <w:szCs w:val="24"/>
              </w:rPr>
            </w:pPr>
            <w:r>
              <w:rPr>
                <w:rFonts w:hint="eastAsia" w:ascii="宋体" w:hAnsi="宋体"/>
                <w:sz w:val="24"/>
                <w:szCs w:val="24"/>
              </w:rPr>
              <w:t>科技示范工程:(1)住房城乡建设部；(2)省级。</w:t>
            </w:r>
          </w:p>
        </w:tc>
        <w:tc>
          <w:tcPr>
            <w:tcW w:w="1253" w:type="dxa"/>
            <w:vAlign w:val="center"/>
          </w:tcPr>
          <w:p>
            <w:pPr>
              <w:jc w:val="center"/>
            </w:pPr>
            <w:r>
              <w:rPr>
                <w:rFonts w:hint="eastAsia" w:ascii="宋体" w:hAnsi="宋体"/>
                <w:sz w:val="24"/>
                <w:szCs w:val="24"/>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17" w:type="dxa"/>
            <w:vMerge w:val="continue"/>
          </w:tcPr>
          <w:p>
            <w:pPr>
              <w:spacing w:line="460" w:lineRule="exact"/>
              <w:jc w:val="center"/>
              <w:rPr>
                <w:rFonts w:ascii="宋体" w:hAnsi="宋体"/>
                <w:sz w:val="24"/>
                <w:szCs w:val="24"/>
              </w:rPr>
            </w:pPr>
          </w:p>
        </w:tc>
        <w:tc>
          <w:tcPr>
            <w:tcW w:w="5910" w:type="dxa"/>
          </w:tcPr>
          <w:p>
            <w:pPr>
              <w:spacing w:line="460" w:lineRule="exact"/>
              <w:jc w:val="left"/>
              <w:rPr>
                <w:rFonts w:ascii="宋体" w:hAnsi="宋体"/>
                <w:sz w:val="24"/>
                <w:szCs w:val="24"/>
              </w:rPr>
            </w:pPr>
            <w:r>
              <w:rPr>
                <w:rFonts w:hint="eastAsia" w:ascii="宋体" w:hAnsi="宋体"/>
                <w:sz w:val="24"/>
                <w:szCs w:val="24"/>
              </w:rPr>
              <w:t>企业专利:(1)发明专利；(2)实用新型专利。</w:t>
            </w:r>
          </w:p>
        </w:tc>
        <w:tc>
          <w:tcPr>
            <w:tcW w:w="1253" w:type="dxa"/>
            <w:vAlign w:val="center"/>
          </w:tcPr>
          <w:p>
            <w:pPr>
              <w:jc w:val="center"/>
            </w:pPr>
            <w:r>
              <w:rPr>
                <w:rFonts w:hint="eastAsia" w:ascii="宋体" w:hAnsi="宋体"/>
                <w:sz w:val="24"/>
                <w:szCs w:val="24"/>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17" w:type="dxa"/>
            <w:vMerge w:val="continue"/>
          </w:tcPr>
          <w:p>
            <w:pPr>
              <w:spacing w:line="460" w:lineRule="exact"/>
              <w:jc w:val="center"/>
              <w:rPr>
                <w:rFonts w:ascii="宋体" w:hAnsi="宋体"/>
                <w:sz w:val="24"/>
                <w:szCs w:val="24"/>
              </w:rPr>
            </w:pPr>
          </w:p>
        </w:tc>
        <w:tc>
          <w:tcPr>
            <w:tcW w:w="5910" w:type="dxa"/>
          </w:tcPr>
          <w:p>
            <w:pPr>
              <w:spacing w:line="460" w:lineRule="exact"/>
              <w:jc w:val="left"/>
              <w:rPr>
                <w:rFonts w:ascii="宋体" w:hAnsi="宋体"/>
                <w:sz w:val="24"/>
                <w:szCs w:val="24"/>
              </w:rPr>
            </w:pPr>
            <w:r>
              <w:rPr>
                <w:rFonts w:hint="eastAsia" w:ascii="宋体" w:hAnsi="宋体"/>
                <w:sz w:val="24"/>
                <w:szCs w:val="24"/>
              </w:rPr>
              <w:t>企业科技开发或科技进步奖：(1)国家级；(2)省级科</w:t>
            </w:r>
          </w:p>
          <w:p>
            <w:pPr>
              <w:spacing w:line="460" w:lineRule="exact"/>
              <w:jc w:val="left"/>
              <w:rPr>
                <w:rFonts w:ascii="宋体" w:hAnsi="宋体"/>
                <w:sz w:val="24"/>
                <w:szCs w:val="24"/>
              </w:rPr>
            </w:pPr>
            <w:r>
              <w:rPr>
                <w:rFonts w:hint="eastAsia" w:ascii="宋体" w:hAnsi="宋体"/>
                <w:sz w:val="24"/>
                <w:szCs w:val="24"/>
              </w:rPr>
              <w:t>技成果或科技进步奖。</w:t>
            </w:r>
          </w:p>
        </w:tc>
        <w:tc>
          <w:tcPr>
            <w:tcW w:w="1253" w:type="dxa"/>
            <w:vAlign w:val="center"/>
          </w:tcPr>
          <w:p>
            <w:pPr>
              <w:jc w:val="center"/>
            </w:pPr>
            <w:r>
              <w:rPr>
                <w:rFonts w:hint="eastAsia" w:ascii="宋体" w:hAnsi="宋体"/>
                <w:sz w:val="24"/>
                <w:szCs w:val="24"/>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017" w:type="dxa"/>
            <w:vMerge w:val="continue"/>
          </w:tcPr>
          <w:p>
            <w:pPr>
              <w:spacing w:line="460" w:lineRule="exact"/>
              <w:jc w:val="center"/>
              <w:rPr>
                <w:rFonts w:ascii="宋体" w:hAnsi="宋体"/>
                <w:sz w:val="24"/>
                <w:szCs w:val="24"/>
              </w:rPr>
            </w:pPr>
          </w:p>
        </w:tc>
        <w:tc>
          <w:tcPr>
            <w:tcW w:w="5910" w:type="dxa"/>
          </w:tcPr>
          <w:p>
            <w:pPr>
              <w:spacing w:line="460" w:lineRule="exact"/>
              <w:jc w:val="left"/>
              <w:rPr>
                <w:rFonts w:ascii="宋体" w:hAnsi="宋体"/>
                <w:sz w:val="24"/>
                <w:szCs w:val="24"/>
              </w:rPr>
            </w:pPr>
            <w:r>
              <w:rPr>
                <w:rFonts w:hint="eastAsia" w:ascii="宋体" w:hAnsi="宋体"/>
                <w:sz w:val="24"/>
                <w:szCs w:val="24"/>
              </w:rPr>
              <w:t>企业科技项目：(1)国家级；(2)省级。</w:t>
            </w:r>
          </w:p>
        </w:tc>
        <w:tc>
          <w:tcPr>
            <w:tcW w:w="1253" w:type="dxa"/>
            <w:vAlign w:val="center"/>
          </w:tcPr>
          <w:p>
            <w:pPr>
              <w:jc w:val="center"/>
            </w:pPr>
            <w:r>
              <w:rPr>
                <w:rFonts w:hint="eastAsia" w:ascii="宋体" w:hAnsi="宋体"/>
                <w:sz w:val="24"/>
                <w:szCs w:val="24"/>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17" w:type="dxa"/>
            <w:vMerge w:val="continue"/>
          </w:tcPr>
          <w:p>
            <w:pPr>
              <w:spacing w:line="460" w:lineRule="exact"/>
              <w:jc w:val="center"/>
              <w:rPr>
                <w:rFonts w:ascii="宋体" w:hAnsi="宋体"/>
                <w:sz w:val="24"/>
                <w:szCs w:val="24"/>
              </w:rPr>
            </w:pPr>
          </w:p>
        </w:tc>
        <w:tc>
          <w:tcPr>
            <w:tcW w:w="5910" w:type="dxa"/>
          </w:tcPr>
          <w:p>
            <w:pPr>
              <w:spacing w:line="460" w:lineRule="exact"/>
              <w:rPr>
                <w:rFonts w:ascii="宋体" w:hAnsi="宋体"/>
                <w:sz w:val="24"/>
                <w:szCs w:val="24"/>
              </w:rPr>
            </w:pPr>
            <w:r>
              <w:rPr>
                <w:rFonts w:hint="eastAsia" w:ascii="宋体" w:hAnsi="宋体"/>
                <w:sz w:val="24"/>
                <w:szCs w:val="24"/>
              </w:rPr>
              <w:t>科研平台或企业技术中心：(1)国家级；(2)省级。</w:t>
            </w:r>
          </w:p>
        </w:tc>
        <w:tc>
          <w:tcPr>
            <w:tcW w:w="1253" w:type="dxa"/>
            <w:vAlign w:val="center"/>
          </w:tcPr>
          <w:p>
            <w:pPr>
              <w:jc w:val="center"/>
            </w:pPr>
            <w:r>
              <w:rPr>
                <w:rFonts w:ascii="宋体" w:hAnsi="宋体"/>
                <w:sz w:val="24"/>
                <w:szCs w:val="24"/>
              </w:rPr>
              <w:t>1</w:t>
            </w:r>
            <w:r>
              <w:rPr>
                <w:rFonts w:hint="eastAsia" w:ascii="宋体" w:hAnsi="宋体"/>
                <w:sz w:val="24"/>
                <w:szCs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17" w:type="dxa"/>
          </w:tcPr>
          <w:p>
            <w:pPr>
              <w:spacing w:line="460" w:lineRule="exact"/>
              <w:jc w:val="center"/>
              <w:rPr>
                <w:rFonts w:ascii="宋体" w:hAnsi="宋体"/>
                <w:sz w:val="24"/>
                <w:szCs w:val="24"/>
              </w:rPr>
            </w:pPr>
            <w:r>
              <w:rPr>
                <w:rFonts w:hint="eastAsia" w:ascii="宋体" w:hAnsi="宋体"/>
                <w:sz w:val="24"/>
                <w:szCs w:val="24"/>
              </w:rPr>
              <w:t>安全文明工地</w:t>
            </w:r>
          </w:p>
        </w:tc>
        <w:tc>
          <w:tcPr>
            <w:tcW w:w="5910" w:type="dxa"/>
          </w:tcPr>
          <w:p>
            <w:pPr>
              <w:spacing w:line="460" w:lineRule="exact"/>
              <w:jc w:val="left"/>
              <w:rPr>
                <w:rFonts w:ascii="宋体" w:hAnsi="宋体"/>
                <w:sz w:val="24"/>
                <w:szCs w:val="24"/>
              </w:rPr>
            </w:pPr>
            <w:r>
              <w:rPr>
                <w:rFonts w:hint="eastAsia" w:ascii="宋体" w:hAnsi="宋体"/>
                <w:sz w:val="24"/>
                <w:szCs w:val="24"/>
              </w:rPr>
              <w:t>(1)国家AAA级安全文明标准化工地；(2)省级安全文明工地；(3)市级安全文明工地</w:t>
            </w:r>
          </w:p>
        </w:tc>
        <w:tc>
          <w:tcPr>
            <w:tcW w:w="1253" w:type="dxa"/>
            <w:vAlign w:val="center"/>
          </w:tcPr>
          <w:p>
            <w:pPr>
              <w:jc w:val="center"/>
            </w:pPr>
            <w:r>
              <w:rPr>
                <w:rFonts w:hint="eastAsia" w:ascii="宋体" w:hAnsi="宋体"/>
                <w:sz w:val="24"/>
                <w:szCs w:val="24"/>
              </w:rPr>
              <w:t>3年</w:t>
            </w:r>
          </w:p>
        </w:tc>
      </w:tr>
    </w:tbl>
    <w:p/>
    <w:p>
      <w:pPr>
        <w:rPr>
          <w:b/>
          <w:bCs/>
          <w:sz w:val="32"/>
          <w:szCs w:val="32"/>
        </w:rPr>
      </w:pPr>
      <w:r>
        <w:br w:type="page"/>
      </w:r>
      <w:r>
        <w:rPr>
          <w:rFonts w:hint="eastAsia"/>
          <w:b/>
          <w:bCs/>
          <w:sz w:val="32"/>
          <w:szCs w:val="32"/>
        </w:rPr>
        <w:t>附件2</w:t>
      </w:r>
    </w:p>
    <w:p>
      <w:pPr>
        <w:jc w:val="center"/>
        <w:rPr>
          <w:b/>
          <w:bCs/>
          <w:sz w:val="32"/>
          <w:szCs w:val="32"/>
        </w:rPr>
      </w:pPr>
      <w:r>
        <w:rPr>
          <w:rFonts w:hint="eastAsia"/>
          <w:b/>
          <w:bCs/>
          <w:sz w:val="32"/>
          <w:szCs w:val="32"/>
        </w:rPr>
        <w:t>项目经理良好信用信息采集项</w:t>
      </w:r>
    </w:p>
    <w:tbl>
      <w:tblPr>
        <w:tblStyle w:val="16"/>
        <w:tblW w:w="93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6379"/>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1809" w:type="dxa"/>
            <w:vAlign w:val="center"/>
          </w:tcPr>
          <w:p>
            <w:pPr>
              <w:spacing w:line="460" w:lineRule="exact"/>
              <w:jc w:val="center"/>
              <w:rPr>
                <w:rFonts w:ascii="宋体" w:hAnsi="宋体"/>
                <w:sz w:val="24"/>
                <w:szCs w:val="24"/>
              </w:rPr>
            </w:pPr>
            <w:r>
              <w:rPr>
                <w:rFonts w:hint="eastAsia" w:ascii="宋体" w:hAnsi="宋体"/>
                <w:sz w:val="24"/>
                <w:szCs w:val="24"/>
              </w:rPr>
              <w:t>信用类别</w:t>
            </w:r>
          </w:p>
        </w:tc>
        <w:tc>
          <w:tcPr>
            <w:tcW w:w="6379" w:type="dxa"/>
            <w:vAlign w:val="center"/>
          </w:tcPr>
          <w:p>
            <w:pPr>
              <w:spacing w:line="460" w:lineRule="exact"/>
              <w:jc w:val="center"/>
              <w:rPr>
                <w:rFonts w:ascii="宋体" w:hAnsi="宋体"/>
                <w:sz w:val="24"/>
                <w:szCs w:val="24"/>
              </w:rPr>
            </w:pPr>
            <w:r>
              <w:rPr>
                <w:rFonts w:hint="eastAsia" w:ascii="宋体" w:hAnsi="宋体"/>
                <w:sz w:val="24"/>
                <w:szCs w:val="24"/>
              </w:rPr>
              <w:t>良好信用</w:t>
            </w:r>
          </w:p>
        </w:tc>
        <w:tc>
          <w:tcPr>
            <w:tcW w:w="1134" w:type="dxa"/>
            <w:vAlign w:val="center"/>
          </w:tcPr>
          <w:p>
            <w:pPr>
              <w:spacing w:line="460" w:lineRule="exact"/>
              <w:jc w:val="center"/>
              <w:rPr>
                <w:rFonts w:ascii="宋体" w:hAnsi="宋体"/>
                <w:sz w:val="24"/>
                <w:szCs w:val="24"/>
              </w:rPr>
            </w:pPr>
            <w:r>
              <w:rPr>
                <w:rFonts w:hint="eastAsia" w:ascii="宋体" w:hAnsi="宋体"/>
                <w:sz w:val="24"/>
                <w:szCs w:val="24"/>
              </w:rPr>
              <w:t>周期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9" w:type="dxa"/>
            <w:vMerge w:val="restart"/>
            <w:vAlign w:val="center"/>
          </w:tcPr>
          <w:p>
            <w:pPr>
              <w:spacing w:line="460" w:lineRule="exact"/>
              <w:jc w:val="center"/>
              <w:rPr>
                <w:rFonts w:ascii="宋体" w:hAnsi="宋体"/>
                <w:sz w:val="24"/>
                <w:szCs w:val="24"/>
              </w:rPr>
            </w:pPr>
            <w:r>
              <w:rPr>
                <w:rFonts w:hint="eastAsia" w:ascii="宋体" w:hAnsi="宋体"/>
                <w:sz w:val="24"/>
                <w:szCs w:val="24"/>
              </w:rPr>
              <w:t>奖励荣誉</w:t>
            </w:r>
          </w:p>
        </w:tc>
        <w:tc>
          <w:tcPr>
            <w:tcW w:w="6379" w:type="dxa"/>
          </w:tcPr>
          <w:p>
            <w:pPr>
              <w:widowControl/>
              <w:spacing w:line="420" w:lineRule="exact"/>
              <w:jc w:val="left"/>
              <w:rPr>
                <w:rFonts w:ascii="宋体" w:hAnsi="宋体" w:cs="宋体"/>
                <w:kern w:val="0"/>
                <w:sz w:val="24"/>
                <w:szCs w:val="24"/>
              </w:rPr>
            </w:pPr>
            <w:r>
              <w:rPr>
                <w:rFonts w:ascii="宋体" w:hAnsi="宋体" w:cs="宋体"/>
                <w:kern w:val="0"/>
                <w:sz w:val="24"/>
                <w:szCs w:val="24"/>
              </w:rPr>
              <w:t>国家级奖项</w:t>
            </w:r>
            <w:r>
              <w:rPr>
                <w:rFonts w:hint="eastAsia" w:ascii="宋体" w:hAnsi="宋体" w:cs="宋体"/>
                <w:kern w:val="0"/>
                <w:sz w:val="24"/>
                <w:szCs w:val="24"/>
              </w:rPr>
              <w:t>/</w:t>
            </w:r>
            <w:r>
              <w:rPr>
                <w:rFonts w:ascii="宋体" w:hAnsi="宋体" w:cs="宋体"/>
                <w:kern w:val="0"/>
                <w:sz w:val="24"/>
                <w:szCs w:val="24"/>
              </w:rPr>
              <w:t>荣誉(包括鲁班奖、詹天佑奖、梁思成奖、华夏建设科学技术奖、绿色建筑创新奖、全国建筑工程装饰奖、中国建筑工程“钢结构金奖”、工程项目管理优秀奖、工程总承包奖等)、国家AAA级安全文明工地奖</w:t>
            </w:r>
            <w:r>
              <w:rPr>
                <w:rFonts w:hint="eastAsia" w:ascii="宋体" w:hAnsi="宋体" w:cs="宋体"/>
                <w:kern w:val="0"/>
                <w:sz w:val="24"/>
                <w:szCs w:val="24"/>
              </w:rPr>
              <w:t>。</w:t>
            </w:r>
          </w:p>
        </w:tc>
        <w:tc>
          <w:tcPr>
            <w:tcW w:w="1134" w:type="dxa"/>
          </w:tcPr>
          <w:p>
            <w:pPr>
              <w:spacing w:line="460" w:lineRule="exact"/>
              <w:jc w:val="center"/>
              <w:rPr>
                <w:rFonts w:ascii="宋体" w:hAnsi="宋体"/>
                <w:sz w:val="24"/>
                <w:szCs w:val="24"/>
              </w:rPr>
            </w:pPr>
            <w:r>
              <w:rPr>
                <w:rFonts w:ascii="宋体" w:hAnsi="宋体"/>
                <w:sz w:val="24"/>
                <w:szCs w:val="24"/>
              </w:rPr>
              <w:t>3</w:t>
            </w:r>
            <w:r>
              <w:rPr>
                <w:rFonts w:hint="eastAsia" w:ascii="宋体" w:hAnsi="宋体"/>
                <w:sz w:val="24"/>
                <w:szCs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9" w:type="dxa"/>
            <w:vMerge w:val="continue"/>
            <w:vAlign w:val="center"/>
          </w:tcPr>
          <w:p>
            <w:pPr>
              <w:spacing w:line="460" w:lineRule="exact"/>
              <w:jc w:val="center"/>
              <w:rPr>
                <w:rFonts w:ascii="宋体" w:hAnsi="宋体"/>
                <w:sz w:val="24"/>
                <w:szCs w:val="24"/>
              </w:rPr>
            </w:pPr>
          </w:p>
        </w:tc>
        <w:tc>
          <w:tcPr>
            <w:tcW w:w="6379" w:type="dxa"/>
          </w:tcPr>
          <w:p>
            <w:pPr>
              <w:spacing w:line="460" w:lineRule="exact"/>
              <w:jc w:val="left"/>
              <w:rPr>
                <w:rFonts w:ascii="宋体" w:hAnsi="宋体"/>
                <w:sz w:val="24"/>
                <w:szCs w:val="24"/>
              </w:rPr>
            </w:pPr>
            <w:r>
              <w:rPr>
                <w:rFonts w:hint="eastAsia" w:ascii="宋体" w:hAnsi="宋体"/>
                <w:sz w:val="24"/>
                <w:szCs w:val="24"/>
              </w:rPr>
              <w:t>省部级奖项/荣誉(中州杯等)、省安全文明标准化工地奖。</w:t>
            </w:r>
          </w:p>
        </w:tc>
        <w:tc>
          <w:tcPr>
            <w:tcW w:w="1134" w:type="dxa"/>
            <w:vAlign w:val="center"/>
          </w:tcPr>
          <w:p>
            <w:pPr>
              <w:jc w:val="center"/>
            </w:pPr>
            <w:r>
              <w:rPr>
                <w:rFonts w:ascii="宋体" w:hAnsi="宋体"/>
                <w:sz w:val="24"/>
                <w:szCs w:val="24"/>
              </w:rPr>
              <w:t>3</w:t>
            </w:r>
            <w:r>
              <w:rPr>
                <w:rFonts w:hint="eastAsia" w:ascii="宋体" w:hAnsi="宋体"/>
                <w:sz w:val="24"/>
                <w:szCs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9" w:type="dxa"/>
            <w:vMerge w:val="continue"/>
            <w:vAlign w:val="center"/>
          </w:tcPr>
          <w:p>
            <w:pPr>
              <w:spacing w:line="460" w:lineRule="exact"/>
              <w:jc w:val="center"/>
              <w:rPr>
                <w:rFonts w:ascii="宋体" w:hAnsi="宋体"/>
                <w:sz w:val="24"/>
                <w:szCs w:val="24"/>
              </w:rPr>
            </w:pPr>
          </w:p>
        </w:tc>
        <w:tc>
          <w:tcPr>
            <w:tcW w:w="6379" w:type="dxa"/>
          </w:tcPr>
          <w:p>
            <w:pPr>
              <w:spacing w:line="460" w:lineRule="exact"/>
              <w:jc w:val="left"/>
              <w:rPr>
                <w:rFonts w:ascii="宋体" w:hAnsi="宋体"/>
                <w:sz w:val="24"/>
                <w:szCs w:val="24"/>
              </w:rPr>
            </w:pPr>
            <w:r>
              <w:rPr>
                <w:rFonts w:hint="eastAsia" w:ascii="宋体" w:hAnsi="宋体"/>
                <w:sz w:val="24"/>
                <w:szCs w:val="24"/>
              </w:rPr>
              <w:t>市级奖项/荣誉(商鼎杯等)、安全文明标准化工地奖。</w:t>
            </w:r>
          </w:p>
        </w:tc>
        <w:tc>
          <w:tcPr>
            <w:tcW w:w="1134" w:type="dxa"/>
            <w:vAlign w:val="center"/>
          </w:tcPr>
          <w:p>
            <w:pPr>
              <w:jc w:val="center"/>
            </w:pPr>
            <w:r>
              <w:rPr>
                <w:rFonts w:ascii="宋体" w:hAnsi="宋体"/>
                <w:sz w:val="24"/>
                <w:szCs w:val="24"/>
              </w:rPr>
              <w:t>3</w:t>
            </w:r>
            <w:r>
              <w:rPr>
                <w:rFonts w:hint="eastAsia" w:ascii="宋体" w:hAnsi="宋体"/>
                <w:sz w:val="24"/>
                <w:szCs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9" w:type="dxa"/>
            <w:vMerge w:val="restart"/>
            <w:vAlign w:val="center"/>
          </w:tcPr>
          <w:p>
            <w:pPr>
              <w:spacing w:line="460" w:lineRule="exact"/>
              <w:jc w:val="center"/>
              <w:rPr>
                <w:rFonts w:ascii="宋体" w:hAnsi="宋体"/>
                <w:sz w:val="24"/>
                <w:szCs w:val="24"/>
              </w:rPr>
            </w:pPr>
            <w:r>
              <w:rPr>
                <w:rFonts w:hint="eastAsia" w:ascii="宋体" w:hAnsi="宋体"/>
                <w:sz w:val="24"/>
                <w:szCs w:val="24"/>
              </w:rPr>
              <w:t>科技创新</w:t>
            </w:r>
          </w:p>
          <w:p>
            <w:pPr>
              <w:spacing w:line="460" w:lineRule="exact"/>
              <w:jc w:val="center"/>
              <w:rPr>
                <w:rFonts w:ascii="宋体" w:hAnsi="宋体"/>
                <w:sz w:val="24"/>
                <w:szCs w:val="24"/>
              </w:rPr>
            </w:pPr>
            <w:r>
              <w:rPr>
                <w:rFonts w:hint="eastAsia" w:ascii="宋体" w:hAnsi="宋体"/>
                <w:sz w:val="24"/>
                <w:szCs w:val="24"/>
              </w:rPr>
              <w:t>（建筑类）</w:t>
            </w:r>
          </w:p>
        </w:tc>
        <w:tc>
          <w:tcPr>
            <w:tcW w:w="6379" w:type="dxa"/>
          </w:tcPr>
          <w:p>
            <w:pPr>
              <w:spacing w:line="460" w:lineRule="exact"/>
              <w:jc w:val="left"/>
              <w:rPr>
                <w:rFonts w:ascii="宋体" w:hAnsi="宋体"/>
                <w:sz w:val="24"/>
                <w:szCs w:val="24"/>
              </w:rPr>
            </w:pPr>
            <w:r>
              <w:rPr>
                <w:rFonts w:hint="eastAsia" w:ascii="宋体" w:hAnsi="宋体"/>
                <w:sz w:val="24"/>
                <w:szCs w:val="24"/>
              </w:rPr>
              <w:t>发明专利，包括发明型专利、实用新型专利。</w:t>
            </w:r>
          </w:p>
        </w:tc>
        <w:tc>
          <w:tcPr>
            <w:tcW w:w="1134" w:type="dxa"/>
            <w:vAlign w:val="center"/>
          </w:tcPr>
          <w:p>
            <w:pPr>
              <w:jc w:val="center"/>
            </w:pPr>
            <w:r>
              <w:rPr>
                <w:rFonts w:ascii="宋体" w:hAnsi="宋体"/>
                <w:sz w:val="24"/>
                <w:szCs w:val="24"/>
              </w:rPr>
              <w:t>3</w:t>
            </w:r>
            <w:r>
              <w:rPr>
                <w:rFonts w:hint="eastAsia" w:ascii="宋体" w:hAnsi="宋体"/>
                <w:sz w:val="24"/>
                <w:szCs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9" w:type="dxa"/>
            <w:vMerge w:val="continue"/>
          </w:tcPr>
          <w:p>
            <w:pPr>
              <w:spacing w:line="460" w:lineRule="exact"/>
              <w:jc w:val="center"/>
              <w:rPr>
                <w:rFonts w:ascii="宋体" w:hAnsi="宋体"/>
                <w:sz w:val="24"/>
                <w:szCs w:val="24"/>
              </w:rPr>
            </w:pPr>
          </w:p>
        </w:tc>
        <w:tc>
          <w:tcPr>
            <w:tcW w:w="6379" w:type="dxa"/>
          </w:tcPr>
          <w:p>
            <w:pPr>
              <w:spacing w:line="460" w:lineRule="exact"/>
              <w:jc w:val="left"/>
              <w:rPr>
                <w:rFonts w:ascii="宋体" w:hAnsi="宋体"/>
                <w:sz w:val="24"/>
                <w:szCs w:val="24"/>
              </w:rPr>
            </w:pPr>
            <w:r>
              <w:rPr>
                <w:rFonts w:hint="eastAsia" w:ascii="宋体" w:hAnsi="宋体"/>
                <w:sz w:val="24"/>
                <w:szCs w:val="24"/>
              </w:rPr>
              <w:t>参与工法编制，包括国家级和省部级。</w:t>
            </w:r>
          </w:p>
        </w:tc>
        <w:tc>
          <w:tcPr>
            <w:tcW w:w="1134" w:type="dxa"/>
            <w:vAlign w:val="center"/>
          </w:tcPr>
          <w:p>
            <w:pPr>
              <w:jc w:val="center"/>
            </w:pPr>
            <w:r>
              <w:rPr>
                <w:rFonts w:ascii="宋体" w:hAnsi="宋体"/>
                <w:sz w:val="24"/>
                <w:szCs w:val="24"/>
              </w:rPr>
              <w:t>3</w:t>
            </w:r>
            <w:r>
              <w:rPr>
                <w:rFonts w:hint="eastAsia" w:ascii="宋体" w:hAnsi="宋体"/>
                <w:sz w:val="24"/>
                <w:szCs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9" w:type="dxa"/>
            <w:vMerge w:val="continue"/>
          </w:tcPr>
          <w:p>
            <w:pPr>
              <w:spacing w:line="460" w:lineRule="exact"/>
              <w:rPr>
                <w:rFonts w:ascii="宋体" w:hAnsi="宋体"/>
                <w:sz w:val="24"/>
                <w:szCs w:val="24"/>
              </w:rPr>
            </w:pPr>
          </w:p>
        </w:tc>
        <w:tc>
          <w:tcPr>
            <w:tcW w:w="6379" w:type="dxa"/>
          </w:tcPr>
          <w:p>
            <w:pPr>
              <w:spacing w:line="460" w:lineRule="exact"/>
              <w:jc w:val="left"/>
              <w:rPr>
                <w:rFonts w:ascii="宋体" w:hAnsi="宋体"/>
                <w:sz w:val="24"/>
                <w:szCs w:val="24"/>
              </w:rPr>
            </w:pPr>
            <w:r>
              <w:rPr>
                <w:rFonts w:hint="eastAsia" w:ascii="宋体" w:hAnsi="宋体"/>
                <w:sz w:val="24"/>
                <w:szCs w:val="24"/>
              </w:rPr>
              <w:t>参与工程建设标准、定额制定，包括国家或行业标准、定额地方(省级)标准、定额。</w:t>
            </w:r>
          </w:p>
        </w:tc>
        <w:tc>
          <w:tcPr>
            <w:tcW w:w="1134" w:type="dxa"/>
            <w:vAlign w:val="center"/>
          </w:tcPr>
          <w:p>
            <w:pPr>
              <w:jc w:val="center"/>
            </w:pPr>
            <w:r>
              <w:rPr>
                <w:rFonts w:ascii="宋体" w:hAnsi="宋体"/>
                <w:sz w:val="24"/>
                <w:szCs w:val="24"/>
              </w:rPr>
              <w:t>3</w:t>
            </w:r>
            <w:r>
              <w:rPr>
                <w:rFonts w:hint="eastAsia" w:ascii="宋体" w:hAnsi="宋体"/>
                <w:sz w:val="24"/>
                <w:szCs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9" w:type="dxa"/>
            <w:vMerge w:val="continue"/>
          </w:tcPr>
          <w:p>
            <w:pPr>
              <w:spacing w:line="460" w:lineRule="exact"/>
              <w:rPr>
                <w:rFonts w:ascii="宋体" w:hAnsi="宋体"/>
                <w:sz w:val="24"/>
                <w:szCs w:val="24"/>
              </w:rPr>
            </w:pPr>
          </w:p>
        </w:tc>
        <w:tc>
          <w:tcPr>
            <w:tcW w:w="6379" w:type="dxa"/>
          </w:tcPr>
          <w:p>
            <w:pPr>
              <w:spacing w:line="460" w:lineRule="exact"/>
              <w:jc w:val="left"/>
              <w:rPr>
                <w:rFonts w:ascii="宋体" w:hAnsi="宋体"/>
                <w:sz w:val="24"/>
                <w:szCs w:val="24"/>
              </w:rPr>
            </w:pPr>
            <w:r>
              <w:rPr>
                <w:rFonts w:hint="eastAsia" w:ascii="宋体" w:hAnsi="宋体"/>
                <w:sz w:val="24"/>
                <w:szCs w:val="24"/>
              </w:rPr>
              <w:t>个人获得科技进步奖，包括国家级科技进步奖一等奖、二等奖，省级科技进步奖一等奖、二等奖、厅级科技进步奖等。</w:t>
            </w:r>
          </w:p>
        </w:tc>
        <w:tc>
          <w:tcPr>
            <w:tcW w:w="1134" w:type="dxa"/>
            <w:vAlign w:val="center"/>
          </w:tcPr>
          <w:p>
            <w:pPr>
              <w:jc w:val="center"/>
            </w:pPr>
            <w:r>
              <w:rPr>
                <w:rFonts w:ascii="宋体" w:hAnsi="宋体"/>
                <w:sz w:val="24"/>
                <w:szCs w:val="24"/>
              </w:rPr>
              <w:t>3</w:t>
            </w:r>
            <w:r>
              <w:rPr>
                <w:rFonts w:hint="eastAsia" w:ascii="宋体" w:hAnsi="宋体"/>
                <w:sz w:val="24"/>
                <w:szCs w:val="24"/>
              </w:rPr>
              <w:t>年</w:t>
            </w:r>
          </w:p>
        </w:tc>
      </w:tr>
    </w:tbl>
    <w:p/>
    <w:p>
      <w:pPr>
        <w:spacing w:line="460" w:lineRule="exact"/>
        <w:ind w:firstLine="482" w:firstLineChars="200"/>
        <w:contextualSpacing/>
        <w:jc w:val="center"/>
        <w:rPr>
          <w:b/>
          <w:bCs/>
          <w:kern w:val="0"/>
          <w:sz w:val="36"/>
          <w:szCs w:val="36"/>
        </w:rPr>
      </w:pPr>
      <w:bookmarkStart w:id="314" w:name="_Toc26486"/>
      <w:bookmarkEnd w:id="314"/>
      <w:r>
        <w:rPr>
          <w:rFonts w:hint="eastAsia"/>
          <w:b/>
          <w:bCs/>
          <w:kern w:val="0"/>
          <w:sz w:val="24"/>
          <w:szCs w:val="24"/>
        </w:rPr>
        <w:br w:type="page"/>
      </w:r>
      <w:r>
        <w:rPr>
          <w:rFonts w:hint="eastAsia" w:ascii="宋体" w:hAnsi="宋体"/>
          <w:b/>
          <w:bCs/>
          <w:kern w:val="0"/>
          <w:sz w:val="36"/>
          <w:szCs w:val="36"/>
        </w:rPr>
        <w:t>第四章合同条款及格式</w:t>
      </w:r>
    </w:p>
    <w:p>
      <w:pPr>
        <w:jc w:val="right"/>
        <w:rPr>
          <w:rFonts w:ascii="宋体" w:hAnsi="宋体"/>
          <w:color w:val="000000"/>
          <w:sz w:val="32"/>
          <w:szCs w:val="32"/>
        </w:rPr>
      </w:pPr>
      <w:r>
        <w:rPr>
          <w:rFonts w:hint="eastAsia" w:ascii="宋体" w:hAnsi="宋体"/>
          <w:color w:val="000000"/>
          <w:sz w:val="32"/>
          <w:szCs w:val="32"/>
        </w:rPr>
        <w:t>（GF—2017—0201）</w:t>
      </w:r>
    </w:p>
    <w:p>
      <w:pPr>
        <w:rPr>
          <w:rFonts w:ascii="宋体" w:hAnsi="宋体"/>
          <w:b/>
          <w:bCs/>
          <w:color w:val="000000"/>
        </w:rPr>
      </w:pPr>
    </w:p>
    <w:p>
      <w:pPr>
        <w:jc w:val="center"/>
        <w:rPr>
          <w:rFonts w:eastAsia="华文中宋"/>
          <w:b/>
          <w:bCs/>
          <w:color w:val="000000"/>
          <w:sz w:val="52"/>
          <w:szCs w:val="52"/>
        </w:rPr>
      </w:pPr>
    </w:p>
    <w:p>
      <w:pPr>
        <w:jc w:val="center"/>
        <w:rPr>
          <w:rFonts w:hint="eastAsia" w:ascii="华文中宋" w:hAnsi="华文中宋" w:eastAsia="华文中宋"/>
          <w:b/>
          <w:bCs/>
          <w:color w:val="000000"/>
          <w:sz w:val="72"/>
          <w:szCs w:val="72"/>
          <w:lang w:eastAsia="zh-CN"/>
        </w:rPr>
      </w:pPr>
      <w:r>
        <w:rPr>
          <w:rFonts w:ascii="华文中宋" w:hAnsi="华文中宋" w:eastAsia="华文中宋"/>
          <w:b/>
          <w:bCs/>
          <w:color w:val="000000"/>
          <w:sz w:val="72"/>
          <w:szCs w:val="72"/>
        </w:rPr>
        <w:t>建设工程施工合同</w:t>
      </w:r>
    </w:p>
    <w:p>
      <w:pPr>
        <w:jc w:val="center"/>
        <w:rPr>
          <w:rFonts w:eastAsia="华文中宋"/>
          <w:b/>
          <w:bCs/>
          <w:color w:val="000000"/>
          <w:sz w:val="52"/>
          <w:szCs w:val="52"/>
        </w:rPr>
      </w:pPr>
      <w:r>
        <w:rPr>
          <w:rFonts w:ascii="华文中宋" w:hAnsi="华文中宋" w:eastAsia="华文中宋"/>
          <w:b/>
          <w:bCs/>
          <w:color w:val="000000"/>
          <w:sz w:val="52"/>
          <w:szCs w:val="52"/>
        </w:rPr>
        <w:t>（示范文本）</w:t>
      </w:r>
    </w:p>
    <w:p>
      <w:pPr>
        <w:jc w:val="center"/>
        <w:rPr>
          <w:rFonts w:eastAsia="华文中宋"/>
          <w:b/>
          <w:bCs/>
          <w:color w:val="000000"/>
          <w:sz w:val="52"/>
          <w:szCs w:val="52"/>
        </w:rPr>
      </w:pPr>
    </w:p>
    <w:p>
      <w:pPr>
        <w:jc w:val="center"/>
        <w:rPr>
          <w:rFonts w:eastAsia="黑体"/>
          <w:b/>
          <w:bCs/>
          <w:color w:val="000000"/>
          <w:sz w:val="72"/>
          <w:szCs w:val="72"/>
        </w:rPr>
      </w:pPr>
    </w:p>
    <w:p>
      <w:pPr>
        <w:jc w:val="center"/>
        <w:rPr>
          <w:b/>
          <w:bCs/>
          <w:color w:val="000000"/>
          <w:sz w:val="28"/>
          <w:szCs w:val="28"/>
        </w:rPr>
      </w:pPr>
    </w:p>
    <w:p>
      <w:pPr>
        <w:jc w:val="center"/>
        <w:rPr>
          <w:b/>
          <w:bCs/>
          <w:color w:val="000000"/>
          <w:sz w:val="28"/>
          <w:szCs w:val="28"/>
        </w:rPr>
      </w:pPr>
    </w:p>
    <w:p>
      <w:pPr>
        <w:jc w:val="center"/>
        <w:rPr>
          <w:b/>
          <w:bCs/>
          <w:color w:val="000000"/>
          <w:sz w:val="28"/>
          <w:szCs w:val="28"/>
        </w:rPr>
      </w:pPr>
    </w:p>
    <w:p>
      <w:pPr>
        <w:jc w:val="center"/>
        <w:rPr>
          <w:b/>
          <w:bCs/>
          <w:color w:val="000000"/>
          <w:sz w:val="28"/>
          <w:szCs w:val="28"/>
        </w:rPr>
      </w:pPr>
    </w:p>
    <w:p>
      <w:pPr>
        <w:jc w:val="center"/>
        <w:rPr>
          <w:b/>
          <w:bCs/>
          <w:color w:val="000000"/>
          <w:sz w:val="28"/>
          <w:szCs w:val="28"/>
        </w:rPr>
      </w:pPr>
    </w:p>
    <w:p>
      <w:pPr>
        <w:ind w:right="2719" w:rightChars="1295"/>
        <w:jc w:val="center"/>
        <w:rPr>
          <w:b/>
          <w:bCs/>
          <w:color w:val="000000"/>
          <w:sz w:val="32"/>
          <w:szCs w:val="32"/>
        </w:rPr>
      </w:pPr>
      <w:r>
        <w:drawing>
          <wp:anchor distT="0" distB="0" distL="114300" distR="114300" simplePos="0" relativeHeight="251659264" behindDoc="0" locked="0" layoutInCell="1" allowOverlap="1">
            <wp:simplePos x="0" y="0"/>
            <wp:positionH relativeFrom="column">
              <wp:posOffset>3857625</wp:posOffset>
            </wp:positionH>
            <wp:positionV relativeFrom="paragraph">
              <wp:posOffset>96520</wp:posOffset>
            </wp:positionV>
            <wp:extent cx="733425" cy="466725"/>
            <wp:effectExtent l="19050" t="0" r="9525" b="0"/>
            <wp:wrapSquare wrapText="bothSides"/>
            <wp:docPr id="2" name="图片 1" descr="wpsCC8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wpsCC8A"/>
                    <pic:cNvPicPr>
                      <a:picLocks noChangeAspect="1" noChangeArrowheads="1"/>
                    </pic:cNvPicPr>
                  </pic:nvPicPr>
                  <pic:blipFill>
                    <a:blip r:embed="rId8"/>
                    <a:srcRect/>
                    <a:stretch>
                      <a:fillRect/>
                    </a:stretch>
                  </pic:blipFill>
                  <pic:spPr>
                    <a:xfrm>
                      <a:off x="0" y="0"/>
                      <a:ext cx="733425" cy="466725"/>
                    </a:xfrm>
                    <a:prstGeom prst="rect">
                      <a:avLst/>
                    </a:prstGeom>
                    <a:noFill/>
                    <a:ln w="9525" cmpd="sng">
                      <a:noFill/>
                      <a:miter lim="800000"/>
                      <a:headEnd/>
                      <a:tailEnd/>
                    </a:ln>
                  </pic:spPr>
                </pic:pic>
              </a:graphicData>
            </a:graphic>
          </wp:anchor>
        </w:drawing>
      </w:r>
      <w:r>
        <w:rPr>
          <w:rFonts w:ascii="宋体" w:hAnsi="宋体"/>
          <w:b/>
          <w:bCs/>
          <w:color w:val="000000"/>
          <w:sz w:val="32"/>
          <w:szCs w:val="32"/>
        </w:rPr>
        <w:t>住房城乡建设部</w:t>
      </w:r>
    </w:p>
    <w:p>
      <w:pPr>
        <w:ind w:right="2719" w:rightChars="1295"/>
        <w:jc w:val="center"/>
        <w:rPr>
          <w:b/>
          <w:bCs/>
          <w:color w:val="000000"/>
          <w:sz w:val="32"/>
          <w:szCs w:val="32"/>
        </w:rPr>
      </w:pPr>
      <w:r>
        <w:rPr>
          <w:rFonts w:ascii="宋体" w:hAnsi="宋体"/>
          <w:b/>
          <w:bCs/>
          <w:color w:val="000000"/>
          <w:sz w:val="32"/>
          <w:szCs w:val="32"/>
        </w:rPr>
        <w:t>国家工商行政管理总局</w:t>
      </w:r>
    </w:p>
    <w:p>
      <w:pPr>
        <w:autoSpaceDE w:val="0"/>
        <w:autoSpaceDN w:val="0"/>
        <w:adjustRightInd w:val="0"/>
        <w:spacing w:afterLines="50"/>
        <w:jc w:val="center"/>
        <w:outlineLvl w:val="0"/>
        <w:rPr>
          <w:b/>
          <w:bCs/>
          <w:color w:val="FF0000"/>
          <w:kern w:val="0"/>
          <w:sz w:val="36"/>
          <w:szCs w:val="36"/>
        </w:rPr>
      </w:pPr>
      <w:bookmarkStart w:id="315" w:name="_Toc464824784"/>
      <w:bookmarkEnd w:id="315"/>
      <w:bookmarkStart w:id="316" w:name="_Toc397606011"/>
      <w:bookmarkEnd w:id="316"/>
      <w:bookmarkStart w:id="317" w:name="_Toc397507815"/>
      <w:r>
        <w:rPr>
          <w:b/>
          <w:bCs/>
          <w:kern w:val="0"/>
          <w:sz w:val="36"/>
          <w:szCs w:val="36"/>
        </w:rPr>
        <w:br w:type="page"/>
      </w:r>
      <w:bookmarkEnd w:id="317"/>
      <w:bookmarkStart w:id="318" w:name="_Toc8159"/>
      <w:bookmarkEnd w:id="318"/>
      <w:r>
        <w:rPr>
          <w:rFonts w:hint="eastAsia" w:ascii="宋体" w:hAnsi="宋体"/>
          <w:b/>
          <w:bCs/>
          <w:color w:val="000000" w:themeColor="text1"/>
          <w:kern w:val="0"/>
          <w:sz w:val="36"/>
          <w:szCs w:val="36"/>
          <w14:textFill>
            <w14:solidFill>
              <w14:schemeClr w14:val="tx1"/>
            </w14:solidFill>
          </w14:textFill>
        </w:rPr>
        <w:t>第五章工程量清单</w:t>
      </w:r>
      <w:bookmarkStart w:id="319" w:name="_Toc213230750"/>
      <w:bookmarkEnd w:id="319"/>
    </w:p>
    <w:p>
      <w:pPr>
        <w:spacing w:line="440" w:lineRule="exact"/>
        <w:rPr>
          <w:rFonts w:hAnsi="宋体" w:eastAsia="宋体" w:cs="宋体"/>
          <w:b/>
          <w:color w:val="000000" w:themeColor="text1"/>
          <w:sz w:val="24"/>
          <w14:textFill>
            <w14:solidFill>
              <w14:schemeClr w14:val="tx1"/>
            </w14:solidFill>
          </w14:textFill>
        </w:rPr>
      </w:pPr>
      <w:bookmarkStart w:id="320" w:name="_Toc464824791"/>
      <w:bookmarkEnd w:id="320"/>
      <w:bookmarkStart w:id="321" w:name="_Toc344934500"/>
      <w:bookmarkEnd w:id="321"/>
      <w:bookmarkStart w:id="322" w:name="_Toc397606012"/>
      <w:bookmarkEnd w:id="322"/>
      <w:bookmarkStart w:id="323" w:name="_Toc397507816"/>
      <w:bookmarkEnd w:id="323"/>
      <w:bookmarkStart w:id="324" w:name="_Toc215282225"/>
      <w:bookmarkEnd w:id="324"/>
      <w:bookmarkStart w:id="325" w:name="_Toc397507820"/>
      <w:bookmarkEnd w:id="325"/>
      <w:bookmarkStart w:id="326" w:name="_Toc397508143"/>
      <w:bookmarkEnd w:id="326"/>
      <w:bookmarkStart w:id="327" w:name="_Toc464824788"/>
      <w:bookmarkEnd w:id="327"/>
      <w:bookmarkStart w:id="328" w:name="_Toc464824785"/>
      <w:bookmarkEnd w:id="328"/>
      <w:bookmarkStart w:id="329" w:name="_Toc397606016"/>
      <w:bookmarkEnd w:id="329"/>
      <w:bookmarkStart w:id="330" w:name="_Toc32164"/>
      <w:r>
        <w:rPr>
          <w:rFonts w:hint="eastAsia" w:hAnsi="宋体" w:eastAsia="宋体" w:cs="宋体"/>
          <w:b/>
          <w:color w:val="000000" w:themeColor="text1"/>
          <w:sz w:val="24"/>
          <w14:textFill>
            <w14:solidFill>
              <w14:schemeClr w14:val="tx1"/>
            </w14:solidFill>
          </w14:textFill>
        </w:rPr>
        <w:t>1、工程量清单说明</w:t>
      </w:r>
    </w:p>
    <w:p>
      <w:pPr>
        <w:spacing w:line="440" w:lineRule="exact"/>
        <w:ind w:left="1" w:firstLine="480" w:firstLineChars="200"/>
        <w:rPr>
          <w:rFonts w:hAnsi="宋体" w:eastAsia="宋体" w:cs="宋体"/>
          <w:color w:val="000000" w:themeColor="text1"/>
          <w:sz w:val="24"/>
          <w14:textFill>
            <w14:solidFill>
              <w14:schemeClr w14:val="tx1"/>
            </w14:solidFill>
          </w14:textFill>
        </w:rPr>
      </w:pPr>
      <w:r>
        <w:rPr>
          <w:rFonts w:hint="eastAsia" w:hAnsi="宋体" w:eastAsia="宋体" w:cs="宋体"/>
          <w:color w:val="000000" w:themeColor="text1"/>
          <w:sz w:val="24"/>
          <w14:textFill>
            <w14:solidFill>
              <w14:schemeClr w14:val="tx1"/>
            </w14:solidFill>
          </w14:textFill>
        </w:rPr>
        <w:t>1.1 本工程量清单是依据中华人民共和国国家标准《建设工程工程量清单计价规范》(以下简称“计价规范”)以及招标文件中包括的图纸等编制。计价规范中规定的工程量计算规则中没有的子目，应在本章第1.4款约定；计价规范中规定的工程量计算规则中没有且本章第1.4款也未约定的，双方协商确定；协商不成的，可向省级或行业工程造价管理机构申请裁定或按照有合同约束力的图纸所标示尺寸的理论净量计算。计量采用中华人民共和国法定的基本计量单位。</w:t>
      </w:r>
    </w:p>
    <w:p>
      <w:pPr>
        <w:spacing w:line="440" w:lineRule="exact"/>
        <w:ind w:left="1" w:firstLine="480" w:firstLineChars="200"/>
        <w:rPr>
          <w:rFonts w:hAnsi="宋体" w:eastAsia="宋体" w:cs="宋体"/>
          <w:color w:val="000000" w:themeColor="text1"/>
          <w:sz w:val="24"/>
          <w14:textFill>
            <w14:solidFill>
              <w14:schemeClr w14:val="tx1"/>
            </w14:solidFill>
          </w14:textFill>
        </w:rPr>
      </w:pPr>
      <w:r>
        <w:rPr>
          <w:rFonts w:hint="eastAsia" w:hAnsi="宋体" w:eastAsia="宋体" w:cs="宋体"/>
          <w:color w:val="000000" w:themeColor="text1"/>
          <w:sz w:val="24"/>
          <w14:textFill>
            <w14:solidFill>
              <w14:schemeClr w14:val="tx1"/>
            </w14:solidFill>
          </w14:textFill>
        </w:rPr>
        <w:t>1.2 本工程量清单应与招标文件中的投标人须知、通用合同条款、专用合同条款、技术标准和要求及图纸等章节内容一起阅读和理解。</w:t>
      </w:r>
    </w:p>
    <w:p>
      <w:pPr>
        <w:spacing w:line="440" w:lineRule="exact"/>
        <w:ind w:left="1" w:firstLine="480" w:firstLineChars="200"/>
        <w:rPr>
          <w:rFonts w:hAnsi="宋体" w:eastAsia="宋体" w:cs="宋体"/>
          <w:color w:val="000000" w:themeColor="text1"/>
          <w:sz w:val="24"/>
          <w14:textFill>
            <w14:solidFill>
              <w14:schemeClr w14:val="tx1"/>
            </w14:solidFill>
          </w14:textFill>
        </w:rPr>
      </w:pPr>
      <w:r>
        <w:rPr>
          <w:rFonts w:hint="eastAsia" w:hAnsi="宋体" w:eastAsia="宋体" w:cs="宋体"/>
          <w:color w:val="000000" w:themeColor="text1"/>
          <w:sz w:val="24"/>
          <w14:textFill>
            <w14:solidFill>
              <w14:schemeClr w14:val="tx1"/>
            </w14:solidFill>
          </w14:textFill>
        </w:rPr>
        <w:t>1.3 本工程量清单仅是投标报价的共同基础，竣工结算的工程量按合同约定确定。合同价格的确定以及价款支付应遵循合同条款(包括通用合同条款和专用合同条款)、技术标准和要求以及本章的有关约定。</w:t>
      </w:r>
    </w:p>
    <w:p>
      <w:pPr>
        <w:spacing w:line="440" w:lineRule="exact"/>
        <w:ind w:left="1" w:firstLine="480" w:firstLineChars="200"/>
        <w:rPr>
          <w:rFonts w:hAnsi="宋体" w:eastAsia="宋体" w:cs="宋体"/>
          <w:color w:val="000000" w:themeColor="text1"/>
          <w:sz w:val="24"/>
          <w:u w:val="single"/>
          <w14:textFill>
            <w14:solidFill>
              <w14:schemeClr w14:val="tx1"/>
            </w14:solidFill>
          </w14:textFill>
        </w:rPr>
      </w:pPr>
      <w:r>
        <w:rPr>
          <w:rFonts w:hint="eastAsia" w:hAnsi="宋体" w:eastAsia="宋体" w:cs="宋体"/>
          <w:color w:val="000000" w:themeColor="text1"/>
          <w:sz w:val="24"/>
          <w14:textFill>
            <w14:solidFill>
              <w14:schemeClr w14:val="tx1"/>
            </w14:solidFill>
          </w14:textFill>
        </w:rPr>
        <w:t>1.4补充子目的子目特征、计量单位、工程量计算规则及工作内容说明如下：</w:t>
      </w:r>
      <w:r>
        <w:rPr>
          <w:rFonts w:hint="eastAsia" w:hAnsi="宋体" w:eastAsia="宋体" w:cs="宋体"/>
          <w:color w:val="000000" w:themeColor="text1"/>
          <w:sz w:val="24"/>
          <w:u w:val="single"/>
          <w14:textFill>
            <w14:solidFill>
              <w14:schemeClr w14:val="tx1"/>
            </w14:solidFill>
          </w14:textFill>
        </w:rPr>
        <w:t>本工程使用《建设工程工程量清单计价规范》（GB50500-2013）</w:t>
      </w:r>
    </w:p>
    <w:p>
      <w:pPr>
        <w:spacing w:line="440" w:lineRule="exact"/>
        <w:ind w:left="1" w:firstLine="480" w:firstLineChars="200"/>
        <w:rPr>
          <w:rFonts w:hAnsi="宋体" w:eastAsia="宋体" w:cs="宋体"/>
          <w:color w:val="000000" w:themeColor="text1"/>
          <w:sz w:val="24"/>
          <w14:textFill>
            <w14:solidFill>
              <w14:schemeClr w14:val="tx1"/>
            </w14:solidFill>
          </w14:textFill>
        </w:rPr>
      </w:pPr>
      <w:r>
        <w:rPr>
          <w:rFonts w:hint="eastAsia" w:hAnsi="宋体" w:eastAsia="宋体" w:cs="宋体"/>
          <w:color w:val="000000" w:themeColor="text1"/>
          <w:sz w:val="24"/>
          <w14:textFill>
            <w14:solidFill>
              <w14:schemeClr w14:val="tx1"/>
            </w14:solidFill>
          </w14:textFill>
        </w:rPr>
        <w:t>1.5 本条第1.1款中约定的计量和计价规则适用于合同履约过程中工程量计量与价款支付、工程变更、索赔和工程结算。</w:t>
      </w:r>
    </w:p>
    <w:p>
      <w:pPr>
        <w:spacing w:line="440" w:lineRule="exact"/>
        <w:ind w:left="1" w:firstLine="480" w:firstLineChars="200"/>
        <w:rPr>
          <w:rFonts w:hAnsi="宋体" w:eastAsia="宋体" w:cs="宋体"/>
          <w:color w:val="000000" w:themeColor="text1"/>
          <w:sz w:val="24"/>
          <w14:textFill>
            <w14:solidFill>
              <w14:schemeClr w14:val="tx1"/>
            </w14:solidFill>
          </w14:textFill>
        </w:rPr>
      </w:pPr>
      <w:r>
        <w:rPr>
          <w:rFonts w:hint="eastAsia" w:hAnsi="宋体" w:eastAsia="宋体" w:cs="宋体"/>
          <w:color w:val="000000" w:themeColor="text1"/>
          <w:sz w:val="24"/>
          <w14:textFill>
            <w14:solidFill>
              <w14:schemeClr w14:val="tx1"/>
            </w14:solidFill>
          </w14:textFill>
        </w:rPr>
        <w:t>1.6 本条与下述第2条和第3条的说明内容是构成合同文件的已标价工程量清单的组成部分。</w:t>
      </w:r>
    </w:p>
    <w:p>
      <w:pPr>
        <w:spacing w:line="360" w:lineRule="auto"/>
        <w:rPr>
          <w:rFonts w:hAnsi="宋体" w:eastAsia="宋体" w:cs="宋体"/>
          <w:b/>
          <w:color w:val="000000" w:themeColor="text1"/>
          <w:sz w:val="24"/>
          <w14:textFill>
            <w14:solidFill>
              <w14:schemeClr w14:val="tx1"/>
            </w14:solidFill>
          </w14:textFill>
        </w:rPr>
      </w:pPr>
      <w:r>
        <w:rPr>
          <w:rFonts w:hint="eastAsia" w:hAnsi="宋体" w:eastAsia="宋体" w:cs="宋体"/>
          <w:b/>
          <w:color w:val="000000" w:themeColor="text1"/>
          <w:sz w:val="24"/>
          <w14:textFill>
            <w14:solidFill>
              <w14:schemeClr w14:val="tx1"/>
            </w14:solidFill>
          </w14:textFill>
        </w:rPr>
        <w:t>2、投标报价说明</w:t>
      </w:r>
    </w:p>
    <w:p>
      <w:pPr>
        <w:spacing w:line="360" w:lineRule="auto"/>
        <w:ind w:left="1" w:firstLine="480" w:firstLineChars="200"/>
        <w:rPr>
          <w:rFonts w:hAnsi="宋体" w:eastAsia="宋体" w:cs="宋体"/>
          <w:color w:val="000000" w:themeColor="text1"/>
          <w:sz w:val="24"/>
          <w14:textFill>
            <w14:solidFill>
              <w14:schemeClr w14:val="tx1"/>
            </w14:solidFill>
          </w14:textFill>
        </w:rPr>
      </w:pPr>
      <w:r>
        <w:rPr>
          <w:rFonts w:hint="eastAsia" w:hAnsi="宋体" w:eastAsia="宋体" w:cs="宋体"/>
          <w:color w:val="000000" w:themeColor="text1"/>
          <w:sz w:val="24"/>
          <w14:textFill>
            <w14:solidFill>
              <w14:schemeClr w14:val="tx1"/>
            </w14:solidFill>
          </w14:textFill>
        </w:rPr>
        <w:t>2.1 投标报价应根据招标文件中的有关计价要求，并按照下列依据自主报价。</w:t>
      </w:r>
    </w:p>
    <w:p>
      <w:pPr>
        <w:spacing w:line="360" w:lineRule="auto"/>
        <w:ind w:left="1" w:firstLine="480" w:firstLineChars="200"/>
        <w:rPr>
          <w:rFonts w:hAnsi="宋体" w:eastAsia="宋体" w:cs="宋体"/>
          <w:color w:val="000000" w:themeColor="text1"/>
          <w:sz w:val="24"/>
          <w14:textFill>
            <w14:solidFill>
              <w14:schemeClr w14:val="tx1"/>
            </w14:solidFill>
          </w14:textFill>
        </w:rPr>
      </w:pPr>
      <w:r>
        <w:rPr>
          <w:rFonts w:hint="eastAsia" w:hAnsi="宋体" w:eastAsia="宋体" w:cs="宋体"/>
          <w:color w:val="000000" w:themeColor="text1"/>
          <w:sz w:val="24"/>
          <w14:textFill>
            <w14:solidFill>
              <w14:schemeClr w14:val="tx1"/>
            </w14:solidFill>
          </w14:textFill>
        </w:rPr>
        <w:t>(1) 本招标文件；</w:t>
      </w:r>
    </w:p>
    <w:p>
      <w:pPr>
        <w:spacing w:line="360" w:lineRule="auto"/>
        <w:ind w:left="1" w:firstLine="480" w:firstLineChars="200"/>
        <w:rPr>
          <w:rFonts w:hAnsi="宋体" w:eastAsia="宋体" w:cs="宋体"/>
          <w:color w:val="000000" w:themeColor="text1"/>
          <w:sz w:val="24"/>
          <w14:textFill>
            <w14:solidFill>
              <w14:schemeClr w14:val="tx1"/>
            </w14:solidFill>
          </w14:textFill>
        </w:rPr>
      </w:pPr>
      <w:r>
        <w:rPr>
          <w:rFonts w:hint="eastAsia" w:hAnsi="宋体" w:eastAsia="宋体" w:cs="宋体"/>
          <w:color w:val="000000" w:themeColor="text1"/>
          <w:sz w:val="24"/>
          <w14:textFill>
            <w14:solidFill>
              <w14:schemeClr w14:val="tx1"/>
            </w14:solidFill>
          </w14:textFill>
        </w:rPr>
        <w:t>(2) 《建设工程工程量清单计价规范》；</w:t>
      </w:r>
    </w:p>
    <w:p>
      <w:pPr>
        <w:spacing w:line="360" w:lineRule="auto"/>
        <w:ind w:left="1" w:firstLine="480" w:firstLineChars="200"/>
        <w:rPr>
          <w:rFonts w:hAnsi="宋体" w:eastAsia="宋体" w:cs="宋体"/>
          <w:color w:val="000000" w:themeColor="text1"/>
          <w:sz w:val="24"/>
          <w14:textFill>
            <w14:solidFill>
              <w14:schemeClr w14:val="tx1"/>
            </w14:solidFill>
          </w14:textFill>
        </w:rPr>
      </w:pPr>
      <w:r>
        <w:rPr>
          <w:rFonts w:hint="eastAsia" w:hAnsi="宋体" w:eastAsia="宋体" w:cs="宋体"/>
          <w:color w:val="000000" w:themeColor="text1"/>
          <w:sz w:val="24"/>
          <w14:textFill>
            <w14:solidFill>
              <w14:schemeClr w14:val="tx1"/>
            </w14:solidFill>
          </w14:textFill>
        </w:rPr>
        <w:t>(3) 国家或省级、行业建设主管部门颁发的计价办法；</w:t>
      </w:r>
    </w:p>
    <w:p>
      <w:pPr>
        <w:spacing w:line="360" w:lineRule="auto"/>
        <w:ind w:left="1" w:firstLine="480" w:firstLineChars="200"/>
        <w:rPr>
          <w:rFonts w:hAnsi="宋体" w:eastAsia="宋体" w:cs="宋体"/>
          <w:color w:val="000000" w:themeColor="text1"/>
          <w:sz w:val="24"/>
          <w14:textFill>
            <w14:solidFill>
              <w14:schemeClr w14:val="tx1"/>
            </w14:solidFill>
          </w14:textFill>
        </w:rPr>
      </w:pPr>
      <w:r>
        <w:rPr>
          <w:rFonts w:hint="eastAsia" w:hAnsi="宋体" w:eastAsia="宋体" w:cs="宋体"/>
          <w:color w:val="000000" w:themeColor="text1"/>
          <w:sz w:val="24"/>
          <w14:textFill>
            <w14:solidFill>
              <w14:schemeClr w14:val="tx1"/>
            </w14:solidFill>
          </w14:textFill>
        </w:rPr>
        <w:t>(4) 企业定额，国家或省级、行业建设主管部门颁发的计价定额；</w:t>
      </w:r>
    </w:p>
    <w:p>
      <w:pPr>
        <w:spacing w:line="360" w:lineRule="auto"/>
        <w:ind w:left="1" w:firstLine="480" w:firstLineChars="200"/>
        <w:rPr>
          <w:rFonts w:hAnsi="宋体" w:eastAsia="宋体" w:cs="宋体"/>
          <w:color w:val="000000" w:themeColor="text1"/>
          <w:sz w:val="24"/>
          <w14:textFill>
            <w14:solidFill>
              <w14:schemeClr w14:val="tx1"/>
            </w14:solidFill>
          </w14:textFill>
        </w:rPr>
      </w:pPr>
      <w:r>
        <w:rPr>
          <w:rFonts w:hint="eastAsia" w:hAnsi="宋体" w:eastAsia="宋体" w:cs="宋体"/>
          <w:color w:val="000000" w:themeColor="text1"/>
          <w:sz w:val="24"/>
          <w14:textFill>
            <w14:solidFill>
              <w14:schemeClr w14:val="tx1"/>
            </w14:solidFill>
          </w14:textFill>
        </w:rPr>
        <w:t>(5) 招标文件(包括工程量清单)的澄清、补充和修改文件；</w:t>
      </w:r>
    </w:p>
    <w:p>
      <w:pPr>
        <w:spacing w:line="360" w:lineRule="auto"/>
        <w:ind w:left="1" w:firstLine="480" w:firstLineChars="200"/>
        <w:rPr>
          <w:rFonts w:hAnsi="宋体" w:eastAsia="宋体" w:cs="宋体"/>
          <w:color w:val="000000" w:themeColor="text1"/>
          <w:sz w:val="24"/>
          <w14:textFill>
            <w14:solidFill>
              <w14:schemeClr w14:val="tx1"/>
            </w14:solidFill>
          </w14:textFill>
        </w:rPr>
      </w:pPr>
      <w:r>
        <w:rPr>
          <w:rFonts w:hint="eastAsia" w:hAnsi="宋体" w:eastAsia="宋体" w:cs="宋体"/>
          <w:color w:val="000000" w:themeColor="text1"/>
          <w:sz w:val="24"/>
          <w14:textFill>
            <w14:solidFill>
              <w14:schemeClr w14:val="tx1"/>
            </w14:solidFill>
          </w14:textFill>
        </w:rPr>
        <w:t>(6) 建设工程设计文件及相关资料；</w:t>
      </w:r>
    </w:p>
    <w:p>
      <w:pPr>
        <w:spacing w:line="360" w:lineRule="auto"/>
        <w:ind w:left="1" w:firstLine="480" w:firstLineChars="200"/>
        <w:rPr>
          <w:rFonts w:hAnsi="宋体" w:eastAsia="宋体" w:cs="宋体"/>
          <w:color w:val="000000" w:themeColor="text1"/>
          <w:sz w:val="24"/>
          <w14:textFill>
            <w14:solidFill>
              <w14:schemeClr w14:val="tx1"/>
            </w14:solidFill>
          </w14:textFill>
        </w:rPr>
      </w:pPr>
      <w:r>
        <w:rPr>
          <w:rFonts w:hint="eastAsia" w:hAnsi="宋体" w:eastAsia="宋体" w:cs="宋体"/>
          <w:color w:val="000000" w:themeColor="text1"/>
          <w:sz w:val="24"/>
          <w14:textFill>
            <w14:solidFill>
              <w14:schemeClr w14:val="tx1"/>
            </w14:solidFill>
          </w14:textFill>
        </w:rPr>
        <w:t>(7) 施工现场情况、工程特点及拟定的投标施工组织设计或施工方案；</w:t>
      </w:r>
    </w:p>
    <w:p>
      <w:pPr>
        <w:spacing w:line="360" w:lineRule="auto"/>
        <w:ind w:left="1" w:firstLine="480" w:firstLineChars="200"/>
        <w:rPr>
          <w:rFonts w:hAnsi="宋体" w:eastAsia="宋体" w:cs="宋体"/>
          <w:color w:val="000000" w:themeColor="text1"/>
          <w:sz w:val="24"/>
          <w14:textFill>
            <w14:solidFill>
              <w14:schemeClr w14:val="tx1"/>
            </w14:solidFill>
          </w14:textFill>
        </w:rPr>
      </w:pPr>
      <w:r>
        <w:rPr>
          <w:rFonts w:hint="eastAsia" w:hAnsi="宋体" w:eastAsia="宋体" w:cs="宋体"/>
          <w:color w:val="000000" w:themeColor="text1"/>
          <w:sz w:val="24"/>
          <w14:textFill>
            <w14:solidFill>
              <w14:schemeClr w14:val="tx1"/>
            </w14:solidFill>
          </w14:textFill>
        </w:rPr>
        <w:t>(8) 与建设项目相关的标准、规定等技术资料；</w:t>
      </w:r>
    </w:p>
    <w:p>
      <w:pPr>
        <w:autoSpaceDE w:val="0"/>
        <w:autoSpaceDN w:val="0"/>
        <w:spacing w:line="360" w:lineRule="auto"/>
        <w:ind w:firstLine="480" w:firstLineChars="200"/>
        <w:jc w:val="left"/>
        <w:rPr>
          <w:rFonts w:hAnsi="宋体" w:eastAsia="宋体" w:cs="宋体"/>
          <w:color w:val="000000" w:themeColor="text1"/>
          <w:sz w:val="24"/>
          <w14:textFill>
            <w14:solidFill>
              <w14:schemeClr w14:val="tx1"/>
            </w14:solidFill>
          </w14:textFill>
        </w:rPr>
      </w:pPr>
      <w:r>
        <w:rPr>
          <w:rFonts w:hint="eastAsia" w:hAnsi="宋体" w:eastAsia="宋体" w:cs="宋体"/>
          <w:color w:val="000000" w:themeColor="text1"/>
          <w:sz w:val="24"/>
          <w14:textFill>
            <w14:solidFill>
              <w14:schemeClr w14:val="tx1"/>
            </w14:solidFill>
          </w14:textFill>
        </w:rPr>
        <w:t>(9) 市场价格信息或工程造价管理机构发布的工程造价信息；</w:t>
      </w:r>
    </w:p>
    <w:p>
      <w:pPr>
        <w:autoSpaceDE w:val="0"/>
        <w:autoSpaceDN w:val="0"/>
        <w:spacing w:line="360" w:lineRule="auto"/>
        <w:ind w:firstLine="480" w:firstLineChars="200"/>
        <w:jc w:val="left"/>
        <w:rPr>
          <w:rFonts w:hAnsi="宋体" w:eastAsia="宋体" w:cs="宋体"/>
          <w:color w:val="000000" w:themeColor="text1"/>
          <w:sz w:val="24"/>
          <w14:textFill>
            <w14:solidFill>
              <w14:schemeClr w14:val="tx1"/>
            </w14:solidFill>
          </w14:textFill>
        </w:rPr>
      </w:pPr>
      <w:r>
        <w:rPr>
          <w:rFonts w:hint="eastAsia" w:hAnsi="宋体" w:eastAsia="宋体" w:cs="宋体"/>
          <w:color w:val="000000" w:themeColor="text1"/>
          <w:sz w:val="24"/>
          <w14:textFill>
            <w14:solidFill>
              <w14:schemeClr w14:val="tx1"/>
            </w14:solidFill>
          </w14:textFill>
        </w:rPr>
        <w:t>(10)其他的相关资料。</w:t>
      </w:r>
    </w:p>
    <w:p>
      <w:pPr>
        <w:autoSpaceDE w:val="0"/>
        <w:autoSpaceDN w:val="0"/>
        <w:spacing w:line="360" w:lineRule="auto"/>
        <w:ind w:firstLine="480" w:firstLineChars="200"/>
        <w:jc w:val="left"/>
        <w:outlineLvl w:val="0"/>
        <w:rPr>
          <w:rFonts w:hAnsi="宋体" w:eastAsia="宋体" w:cs="宋体"/>
          <w:color w:val="000000" w:themeColor="text1"/>
          <w:sz w:val="24"/>
          <w14:textFill>
            <w14:solidFill>
              <w14:schemeClr w14:val="tx1"/>
            </w14:solidFill>
          </w14:textFill>
        </w:rPr>
      </w:pPr>
      <w:r>
        <w:rPr>
          <w:rFonts w:hint="eastAsia" w:hAnsi="宋体" w:eastAsia="宋体" w:cs="宋体"/>
          <w:color w:val="000000" w:themeColor="text1"/>
          <w:sz w:val="24"/>
          <w14:textFill>
            <w14:solidFill>
              <w14:schemeClr w14:val="tx1"/>
            </w14:solidFill>
          </w14:textFill>
        </w:rPr>
        <w:t>2.2 工程量清单中的每一子目须填入单价或价格，且只允许有一个报价。</w:t>
      </w:r>
    </w:p>
    <w:p>
      <w:pPr>
        <w:spacing w:line="430" w:lineRule="exact"/>
        <w:ind w:left="1" w:firstLine="480" w:firstLineChars="200"/>
        <w:rPr>
          <w:rFonts w:hAnsi="宋体" w:eastAsia="宋体" w:cs="宋体"/>
          <w:color w:val="000000" w:themeColor="text1"/>
          <w:sz w:val="24"/>
          <w14:textFill>
            <w14:solidFill>
              <w14:schemeClr w14:val="tx1"/>
            </w14:solidFill>
          </w14:textFill>
        </w:rPr>
      </w:pPr>
      <w:r>
        <w:rPr>
          <w:rFonts w:hint="eastAsia" w:hAnsi="宋体" w:eastAsia="宋体" w:cs="宋体"/>
          <w:color w:val="000000" w:themeColor="text1"/>
          <w:sz w:val="24"/>
          <w14:textFill>
            <w14:solidFill>
              <w14:schemeClr w14:val="tx1"/>
            </w14:solidFill>
          </w14:textFill>
        </w:rPr>
        <w:t>2.3 工程量清单中标价的单价或金额，应包括所需人工费、材料费、施工机械使用费和管理费及利润，以及一定范围内的风险费用。所谓“一定范围内的风险”是指合同约定的风险。</w:t>
      </w:r>
    </w:p>
    <w:p>
      <w:pPr>
        <w:spacing w:line="430" w:lineRule="exact"/>
        <w:ind w:left="1" w:firstLine="480" w:firstLineChars="200"/>
        <w:rPr>
          <w:rFonts w:hAnsi="宋体" w:eastAsia="宋体" w:cs="宋体"/>
          <w:color w:val="000000" w:themeColor="text1"/>
          <w:sz w:val="24"/>
          <w14:textFill>
            <w14:solidFill>
              <w14:schemeClr w14:val="tx1"/>
            </w14:solidFill>
          </w14:textFill>
        </w:rPr>
      </w:pPr>
      <w:r>
        <w:rPr>
          <w:rFonts w:hint="eastAsia" w:hAnsi="宋体" w:eastAsia="宋体" w:cs="宋体"/>
          <w:color w:val="000000" w:themeColor="text1"/>
          <w:sz w:val="24"/>
          <w14:textFill>
            <w14:solidFill>
              <w14:schemeClr w14:val="tx1"/>
            </w14:solidFill>
          </w14:textFill>
        </w:rPr>
        <w:t>2.4 已标价工程量清单中投标人没有填入单价或价格的子目，其费用视为已分摊在工程量清单中其他已标价的相关子目的单价或价格之中。</w:t>
      </w:r>
    </w:p>
    <w:p>
      <w:pPr>
        <w:spacing w:line="430" w:lineRule="exact"/>
        <w:ind w:left="1" w:firstLine="480" w:firstLineChars="200"/>
        <w:rPr>
          <w:rFonts w:hAnsi="宋体" w:eastAsia="宋体" w:cs="宋体"/>
          <w:color w:val="000000" w:themeColor="text1"/>
          <w:sz w:val="24"/>
          <w14:textFill>
            <w14:solidFill>
              <w14:schemeClr w14:val="tx1"/>
            </w14:solidFill>
          </w14:textFill>
        </w:rPr>
      </w:pPr>
      <w:r>
        <w:rPr>
          <w:rFonts w:hint="eastAsia" w:hAnsi="宋体" w:eastAsia="宋体" w:cs="宋体"/>
          <w:color w:val="000000" w:themeColor="text1"/>
          <w:sz w:val="24"/>
          <w14:textFill>
            <w14:solidFill>
              <w14:schemeClr w14:val="tx1"/>
            </w14:solidFill>
          </w14:textFill>
        </w:rPr>
        <w:t>2.5 “投标报价汇总表”中的投标总价由分部分项工程费、措施项目费、其他项目费、规费和税金组成，并且“投标报价汇总表”中的投标总价应当与构成已标价工程量清单的分部分项工程费、措施项目费、其他项目费、规费、税金的合计金额一致。</w:t>
      </w:r>
    </w:p>
    <w:p>
      <w:pPr>
        <w:spacing w:line="430" w:lineRule="exact"/>
        <w:ind w:left="1" w:firstLine="480" w:firstLineChars="200"/>
        <w:rPr>
          <w:rFonts w:hAnsi="宋体" w:eastAsia="宋体" w:cs="宋体"/>
          <w:color w:val="000000" w:themeColor="text1"/>
          <w:sz w:val="24"/>
          <w14:textFill>
            <w14:solidFill>
              <w14:schemeClr w14:val="tx1"/>
            </w14:solidFill>
          </w14:textFill>
        </w:rPr>
      </w:pPr>
      <w:r>
        <w:rPr>
          <w:rFonts w:hint="eastAsia" w:hAnsi="宋体" w:eastAsia="宋体" w:cs="宋体"/>
          <w:color w:val="000000" w:themeColor="text1"/>
          <w:sz w:val="24"/>
          <w14:textFill>
            <w14:solidFill>
              <w14:schemeClr w14:val="tx1"/>
            </w14:solidFill>
          </w14:textFill>
        </w:rPr>
        <w:t>2.6 分部分项工程项目按下列要求报价：</w:t>
      </w:r>
    </w:p>
    <w:p>
      <w:pPr>
        <w:spacing w:line="430" w:lineRule="exact"/>
        <w:ind w:left="1" w:firstLine="480" w:firstLineChars="200"/>
        <w:rPr>
          <w:rFonts w:hAnsi="宋体" w:eastAsia="宋体" w:cs="宋体"/>
          <w:color w:val="000000" w:themeColor="text1"/>
          <w:sz w:val="24"/>
          <w14:textFill>
            <w14:solidFill>
              <w14:schemeClr w14:val="tx1"/>
            </w14:solidFill>
          </w14:textFill>
        </w:rPr>
      </w:pPr>
      <w:r>
        <w:rPr>
          <w:rFonts w:hint="eastAsia" w:hAnsi="宋体" w:eastAsia="宋体" w:cs="宋体"/>
          <w:color w:val="000000" w:themeColor="text1"/>
          <w:sz w:val="24"/>
          <w14:textFill>
            <w14:solidFill>
              <w14:schemeClr w14:val="tx1"/>
            </w14:solidFill>
          </w14:textFill>
        </w:rPr>
        <w:t>2.6.1 分部分项工程量清单计价应依据计价规范中关于综合单价的组成内容确定报价。</w:t>
      </w:r>
    </w:p>
    <w:p>
      <w:pPr>
        <w:spacing w:line="430" w:lineRule="exact"/>
        <w:ind w:left="1" w:firstLine="480" w:firstLineChars="200"/>
        <w:rPr>
          <w:rFonts w:hAnsi="宋体" w:eastAsia="宋体" w:cs="宋体"/>
          <w:color w:val="000000" w:themeColor="text1"/>
          <w:sz w:val="24"/>
          <w14:textFill>
            <w14:solidFill>
              <w14:schemeClr w14:val="tx1"/>
            </w14:solidFill>
          </w14:textFill>
        </w:rPr>
      </w:pPr>
      <w:r>
        <w:rPr>
          <w:rFonts w:hint="eastAsia" w:hAnsi="宋体" w:eastAsia="宋体" w:cs="宋体"/>
          <w:color w:val="000000" w:themeColor="text1"/>
          <w:sz w:val="24"/>
          <w14:textFill>
            <w14:solidFill>
              <w14:schemeClr w14:val="tx1"/>
            </w14:solidFill>
          </w14:textFill>
        </w:rPr>
        <w:t>2.6.2 如果分部分项工程量清单中涉及“材料和工程设备暂估单价表”中列出的材料和工程设备，则按照本节第3.3.2项的报价原则，将该类材料和工程设备的暂估单价本身以及除对应的规费及税金以外的费用计入分部分项工程量清单相应子目的综合单价。</w:t>
      </w:r>
    </w:p>
    <w:p>
      <w:pPr>
        <w:spacing w:line="430" w:lineRule="exact"/>
        <w:ind w:left="1" w:firstLine="480" w:firstLineChars="200"/>
        <w:rPr>
          <w:rFonts w:hAnsi="宋体" w:eastAsia="宋体" w:cs="宋体"/>
          <w:color w:val="000000" w:themeColor="text1"/>
          <w:sz w:val="24"/>
          <w14:textFill>
            <w14:solidFill>
              <w14:schemeClr w14:val="tx1"/>
            </w14:solidFill>
          </w14:textFill>
        </w:rPr>
      </w:pPr>
      <w:r>
        <w:rPr>
          <w:rFonts w:hint="eastAsia" w:hAnsi="宋体" w:eastAsia="宋体" w:cs="宋体"/>
          <w:color w:val="000000" w:themeColor="text1"/>
          <w:sz w:val="24"/>
          <w14:textFill>
            <w14:solidFill>
              <w14:schemeClr w14:val="tx1"/>
            </w14:solidFill>
          </w14:textFill>
        </w:rPr>
        <w:t>2.6.3 如果分部分项工程量清单中涉及“发包人提供的材料和工程设备一览表”(见第三章合同条款及格式第三节附件三)中列出的材料和工程设备，则该类材料和工程设备供应至现场指定位置的采购供应价本身不计入投标报价，但应将该类材料和工程设备的安装、安装所需要的辅助材料、安装损耗以及其他必要的辅助工作及其对应的管理费及利润计入分部分项工程量清单相应子目的综合单价，并其他项目清单报价中计取与合同约定服务内容相对应的总承包服务费。</w:t>
      </w:r>
    </w:p>
    <w:p>
      <w:pPr>
        <w:spacing w:line="430" w:lineRule="exact"/>
        <w:ind w:left="1" w:firstLine="480" w:firstLineChars="200"/>
        <w:rPr>
          <w:rFonts w:hAnsi="宋体" w:eastAsia="宋体" w:cs="宋体"/>
          <w:color w:val="000000" w:themeColor="text1"/>
          <w:sz w:val="24"/>
          <w14:textFill>
            <w14:solidFill>
              <w14:schemeClr w14:val="tx1"/>
            </w14:solidFill>
          </w14:textFill>
        </w:rPr>
      </w:pPr>
      <w:r>
        <w:rPr>
          <w:rFonts w:hint="eastAsia" w:hAnsi="宋体" w:eastAsia="宋体" w:cs="宋体"/>
          <w:color w:val="000000" w:themeColor="text1"/>
          <w:sz w:val="24"/>
          <w14:textFill>
            <w14:solidFill>
              <w14:schemeClr w14:val="tx1"/>
            </w14:solidFill>
          </w14:textFill>
        </w:rPr>
        <w:t>2.6.4 “分部分项工程量清单与计价表”所列各子目的综合单价组成中，各子目的人工、材料和机械台班消耗量由投标人按照其自身情况做充分的、竞争性考虑。材料消耗量包括损耗量。</w:t>
      </w:r>
    </w:p>
    <w:p>
      <w:pPr>
        <w:spacing w:line="430" w:lineRule="exact"/>
        <w:ind w:left="1" w:firstLine="480" w:firstLineChars="200"/>
        <w:rPr>
          <w:rFonts w:hAnsi="宋体" w:eastAsia="宋体" w:cs="宋体"/>
          <w:color w:val="000000" w:themeColor="text1"/>
          <w:sz w:val="24"/>
          <w14:textFill>
            <w14:solidFill>
              <w14:schemeClr w14:val="tx1"/>
            </w14:solidFill>
          </w14:textFill>
        </w:rPr>
      </w:pPr>
      <w:r>
        <w:rPr>
          <w:rFonts w:hint="eastAsia" w:hAnsi="宋体" w:eastAsia="宋体" w:cs="宋体"/>
          <w:color w:val="000000" w:themeColor="text1"/>
          <w:sz w:val="24"/>
          <w14:textFill>
            <w14:solidFill>
              <w14:schemeClr w14:val="tx1"/>
            </w14:solidFill>
          </w14:textFill>
        </w:rPr>
        <w:t>2.6.5 投标人在投标文件中提交并构成合同文件的“主要材料和工程设备选用表”中所列的材料和工程设备的价格是指此类材料和工程设备到达施工现场指定堆放地点的落地价格，即包括采购、包装、运输、装卸、堆放等到达施工现场指定落地或堆放地点之前的全部费用，但不包括落地之后发生的仓储、保管、库损以及从堆放地点运至安装地点的二次搬运费用。“主要材料和工程设备选用表”中所列材料和工程设备的价格应与构成综合单价相应材料或工程设备的价格一致。落地之后发生的仓储、保管、库损以及从堆放地点运至安装地点的二次搬运等其他费用均应在投标报价中考虑。</w:t>
      </w:r>
    </w:p>
    <w:p>
      <w:pPr>
        <w:spacing w:line="430" w:lineRule="exact"/>
        <w:ind w:left="1" w:firstLine="480" w:firstLineChars="200"/>
        <w:rPr>
          <w:rFonts w:hAnsi="宋体" w:eastAsia="宋体" w:cs="宋体"/>
          <w:color w:val="000000" w:themeColor="text1"/>
          <w:sz w:val="24"/>
          <w14:textFill>
            <w14:solidFill>
              <w14:schemeClr w14:val="tx1"/>
            </w14:solidFill>
          </w14:textFill>
        </w:rPr>
      </w:pPr>
      <w:r>
        <w:rPr>
          <w:rFonts w:hint="eastAsia" w:hAnsi="宋体" w:eastAsia="宋体" w:cs="宋体"/>
          <w:color w:val="000000" w:themeColor="text1"/>
          <w:sz w:val="24"/>
          <w14:textFill>
            <w14:solidFill>
              <w14:schemeClr w14:val="tx1"/>
            </w14:solidFill>
          </w14:textFill>
        </w:rPr>
        <w:t>2.7 措施项目按下列要求报价：</w:t>
      </w:r>
    </w:p>
    <w:p>
      <w:pPr>
        <w:spacing w:line="430" w:lineRule="exact"/>
        <w:ind w:left="1" w:firstLine="480" w:firstLineChars="200"/>
        <w:rPr>
          <w:rFonts w:hAnsi="宋体" w:eastAsia="宋体" w:cs="宋体"/>
          <w:color w:val="000000" w:themeColor="text1"/>
          <w:sz w:val="24"/>
          <w14:textFill>
            <w14:solidFill>
              <w14:schemeClr w14:val="tx1"/>
            </w14:solidFill>
          </w14:textFill>
        </w:rPr>
      </w:pPr>
      <w:r>
        <w:rPr>
          <w:rFonts w:hint="eastAsia" w:hAnsi="宋体" w:eastAsia="宋体" w:cs="宋体"/>
          <w:color w:val="000000" w:themeColor="text1"/>
          <w:sz w:val="24"/>
          <w14:textFill>
            <w14:solidFill>
              <w14:schemeClr w14:val="tx1"/>
            </w14:solidFill>
          </w14:textFill>
        </w:rPr>
        <w:t>2.7.1 措施项目清单计价应根据投标人的施工组织设计进行报价。可以计量工程量的措施项目，应按分部分项工程量清单的方式采用综合单价计价；其余的措施项目可以“项”为单位的方式计价。投标人所填报价格应包括除规费、税金外的全部费用。</w:t>
      </w:r>
    </w:p>
    <w:p>
      <w:pPr>
        <w:spacing w:line="430" w:lineRule="exact"/>
        <w:ind w:left="1" w:firstLine="480" w:firstLineChars="200"/>
        <w:rPr>
          <w:rFonts w:hAnsi="宋体" w:eastAsia="宋体" w:cs="宋体"/>
          <w:color w:val="000000" w:themeColor="text1"/>
          <w:sz w:val="24"/>
          <w14:textFill>
            <w14:solidFill>
              <w14:schemeClr w14:val="tx1"/>
            </w14:solidFill>
          </w14:textFill>
        </w:rPr>
      </w:pPr>
      <w:r>
        <w:rPr>
          <w:rFonts w:hint="eastAsia" w:hAnsi="宋体" w:eastAsia="宋体" w:cs="宋体"/>
          <w:color w:val="000000" w:themeColor="text1"/>
          <w:sz w:val="24"/>
          <w14:textFill>
            <w14:solidFill>
              <w14:schemeClr w14:val="tx1"/>
            </w14:solidFill>
          </w14:textFill>
        </w:rPr>
        <w:t>2.7.2 招标人提供的措施项目清单中所列项目仅指一般的通用项目，投标人在报价时应充分、全面地阅读和理解招标文件的相关内容和约定，包括第七章“技术标准和要求”的相关约定，详实了解工程场地及其周围环境，充分考虑招标工程特点及拟定的施工方案和施工组织设计，对招标人给出的措施项目清单的内容进行细化或增减。</w:t>
      </w:r>
    </w:p>
    <w:p>
      <w:pPr>
        <w:spacing w:line="430" w:lineRule="exact"/>
        <w:ind w:left="1" w:firstLine="480" w:firstLineChars="200"/>
        <w:rPr>
          <w:rFonts w:hAnsi="宋体" w:eastAsia="宋体" w:cs="宋体"/>
          <w:color w:val="000000" w:themeColor="text1"/>
          <w:sz w:val="24"/>
          <w14:textFill>
            <w14:solidFill>
              <w14:schemeClr w14:val="tx1"/>
            </w14:solidFill>
          </w14:textFill>
        </w:rPr>
      </w:pPr>
      <w:r>
        <w:rPr>
          <w:rFonts w:hint="eastAsia" w:hAnsi="宋体" w:eastAsia="宋体" w:cs="宋体"/>
          <w:color w:val="000000" w:themeColor="text1"/>
          <w:sz w:val="24"/>
          <w14:textFill>
            <w14:solidFill>
              <w14:schemeClr w14:val="tx1"/>
            </w14:solidFill>
          </w14:textFill>
        </w:rPr>
        <w:t>2.7.3 “措施项目清单与计价表”中所填写的报价金额，应全面涵盖招标文件约定的投标人中标后施工、竣工、交付本工程并维修其任何缺陷所需要履行的责任和义务的全部费用。</w:t>
      </w:r>
    </w:p>
    <w:p>
      <w:pPr>
        <w:spacing w:line="430" w:lineRule="exact"/>
        <w:ind w:left="1" w:firstLine="480" w:firstLineChars="200"/>
        <w:rPr>
          <w:rFonts w:hAnsi="宋体" w:eastAsia="宋体" w:cs="宋体"/>
          <w:color w:val="000000" w:themeColor="text1"/>
          <w:sz w:val="24"/>
          <w14:textFill>
            <w14:solidFill>
              <w14:schemeClr w14:val="tx1"/>
            </w14:solidFill>
          </w14:textFill>
        </w:rPr>
      </w:pPr>
      <w:r>
        <w:rPr>
          <w:rFonts w:hint="eastAsia" w:hAnsi="宋体" w:eastAsia="宋体" w:cs="宋体"/>
          <w:color w:val="000000" w:themeColor="text1"/>
          <w:sz w:val="24"/>
          <w14:textFill>
            <w14:solidFill>
              <w14:schemeClr w14:val="tx1"/>
            </w14:solidFill>
          </w14:textFill>
        </w:rPr>
        <w:t>2.7.4 对于“措施项目清单与计价表”中所填写的报价金额，应按照“措施项目清单报价分析表”对措施项目报价的组成进行详细的列项和分析。</w:t>
      </w:r>
    </w:p>
    <w:p>
      <w:pPr>
        <w:spacing w:line="430" w:lineRule="exact"/>
        <w:ind w:left="1" w:firstLine="480" w:firstLineChars="200"/>
        <w:rPr>
          <w:rFonts w:hAnsi="宋体" w:eastAsia="宋体" w:cs="宋体"/>
          <w:color w:val="000000" w:themeColor="text1"/>
          <w:sz w:val="24"/>
          <w14:textFill>
            <w14:solidFill>
              <w14:schemeClr w14:val="tx1"/>
            </w14:solidFill>
          </w14:textFill>
        </w:rPr>
      </w:pPr>
      <w:r>
        <w:rPr>
          <w:rFonts w:hint="eastAsia" w:hAnsi="宋体" w:eastAsia="宋体" w:cs="宋体"/>
          <w:color w:val="000000" w:themeColor="text1"/>
          <w:sz w:val="24"/>
          <w14:textFill>
            <w14:solidFill>
              <w14:schemeClr w14:val="tx1"/>
            </w14:solidFill>
          </w14:textFill>
        </w:rPr>
        <w:t>2.8 其他项目清单费应按下列规定报价：</w:t>
      </w:r>
    </w:p>
    <w:p>
      <w:pPr>
        <w:spacing w:line="430" w:lineRule="exact"/>
        <w:ind w:left="1" w:firstLine="480" w:firstLineChars="200"/>
        <w:rPr>
          <w:rFonts w:hAnsi="宋体" w:eastAsia="宋体" w:cs="宋体"/>
          <w:color w:val="000000" w:themeColor="text1"/>
          <w:sz w:val="24"/>
          <w14:textFill>
            <w14:solidFill>
              <w14:schemeClr w14:val="tx1"/>
            </w14:solidFill>
          </w14:textFill>
        </w:rPr>
      </w:pPr>
      <w:r>
        <w:rPr>
          <w:rFonts w:hint="eastAsia" w:hAnsi="宋体" w:eastAsia="宋体" w:cs="宋体"/>
          <w:color w:val="000000" w:themeColor="text1"/>
          <w:sz w:val="24"/>
          <w14:textFill>
            <w14:solidFill>
              <w14:schemeClr w14:val="tx1"/>
            </w14:solidFill>
          </w14:textFill>
        </w:rPr>
        <w:t>2.8.1 暂列金额按“暂列金额明细表”中列出的金额报价，此处的暂列金额是招标人在招标文件中统一给定的，并不包括本章第2.8.3项的计日工金额。</w:t>
      </w:r>
    </w:p>
    <w:p>
      <w:pPr>
        <w:spacing w:line="430" w:lineRule="exact"/>
        <w:ind w:left="1" w:firstLine="480" w:firstLineChars="200"/>
        <w:rPr>
          <w:rFonts w:hAnsi="宋体" w:eastAsia="宋体" w:cs="宋体"/>
          <w:color w:val="000000" w:themeColor="text1"/>
          <w:sz w:val="24"/>
          <w14:textFill>
            <w14:solidFill>
              <w14:schemeClr w14:val="tx1"/>
            </w14:solidFill>
          </w14:textFill>
        </w:rPr>
      </w:pPr>
      <w:r>
        <w:rPr>
          <w:rFonts w:hint="eastAsia" w:hAnsi="宋体" w:eastAsia="宋体" w:cs="宋体"/>
          <w:color w:val="000000" w:themeColor="text1"/>
          <w:sz w:val="24"/>
          <w14:textFill>
            <w14:solidFill>
              <w14:schemeClr w14:val="tx1"/>
            </w14:solidFill>
          </w14:textFill>
        </w:rPr>
        <w:t>2.8.2 暂估价分为材料和工程设备暂估单价和专业工程暂估价两类。其中的材料和工程设备暂估单价按本节第3.3.2项的报价原则进入分部分项工程量清单之综合单价，不在其他项目清单中汇总；专业工程暂估价直接按“专业工程暂估价表”中列出的金额和本节第3.3.3项的报价原则计入其他项目清单报价。</w:t>
      </w:r>
    </w:p>
    <w:p>
      <w:pPr>
        <w:spacing w:line="430" w:lineRule="exact"/>
        <w:ind w:left="1" w:firstLine="480" w:firstLineChars="200"/>
        <w:rPr>
          <w:rFonts w:hAnsi="宋体" w:eastAsia="宋体" w:cs="宋体"/>
          <w:color w:val="000000" w:themeColor="text1"/>
          <w:sz w:val="24"/>
          <w14:textFill>
            <w14:solidFill>
              <w14:schemeClr w14:val="tx1"/>
            </w14:solidFill>
          </w14:textFill>
        </w:rPr>
      </w:pPr>
      <w:r>
        <w:rPr>
          <w:rFonts w:hint="eastAsia" w:hAnsi="宋体" w:eastAsia="宋体" w:cs="宋体"/>
          <w:color w:val="000000" w:themeColor="text1"/>
          <w:sz w:val="24"/>
          <w14:textFill>
            <w14:solidFill>
              <w14:schemeClr w14:val="tx1"/>
            </w14:solidFill>
          </w14:textFill>
        </w:rPr>
        <w:t>2.8.3 计日工按“计日工表”中列出的子目和估算数量，自主确定综合单价并计算计日工金额。计日工综合单价均不包括规费和税金，其中：</w:t>
      </w:r>
    </w:p>
    <w:p>
      <w:pPr>
        <w:spacing w:line="430" w:lineRule="exact"/>
        <w:ind w:left="1" w:firstLine="480" w:firstLineChars="200"/>
        <w:rPr>
          <w:rFonts w:hAnsi="宋体" w:eastAsia="宋体" w:cs="宋体"/>
          <w:color w:val="000000" w:themeColor="text1"/>
          <w:sz w:val="24"/>
          <w14:textFill>
            <w14:solidFill>
              <w14:schemeClr w14:val="tx1"/>
            </w14:solidFill>
          </w14:textFill>
        </w:rPr>
      </w:pPr>
      <w:r>
        <w:rPr>
          <w:rFonts w:hint="eastAsia" w:hAnsi="宋体" w:eastAsia="宋体" w:cs="宋体"/>
          <w:color w:val="000000" w:themeColor="text1"/>
          <w:sz w:val="24"/>
          <w14:textFill>
            <w14:solidFill>
              <w14:schemeClr w14:val="tx1"/>
            </w14:solidFill>
          </w14:textFill>
        </w:rPr>
        <w:t>(1) 劳务单价应当包括工人工资、交通费用、各种补贴、劳动安全保护、社保费用、手提手动和电动工器具、施工场地内已经搭设的脚手架、水电和低值易耗品费用、现场管理费用、企业管理费和利润；</w:t>
      </w:r>
    </w:p>
    <w:p>
      <w:pPr>
        <w:spacing w:line="430" w:lineRule="exact"/>
        <w:ind w:left="1" w:firstLine="480" w:firstLineChars="200"/>
        <w:rPr>
          <w:rFonts w:hAnsi="宋体" w:eastAsia="宋体" w:cs="宋体"/>
          <w:color w:val="000000" w:themeColor="text1"/>
          <w:sz w:val="24"/>
          <w14:textFill>
            <w14:solidFill>
              <w14:schemeClr w14:val="tx1"/>
            </w14:solidFill>
          </w14:textFill>
        </w:rPr>
      </w:pPr>
      <w:r>
        <w:rPr>
          <w:rFonts w:hint="eastAsia" w:hAnsi="宋体" w:eastAsia="宋体" w:cs="宋体"/>
          <w:color w:val="000000" w:themeColor="text1"/>
          <w:sz w:val="24"/>
          <w14:textFill>
            <w14:solidFill>
              <w14:schemeClr w14:val="tx1"/>
            </w14:solidFill>
          </w14:textFill>
        </w:rPr>
        <w:t>(2) 材料价格包括材料运到现场的价格以及现场搬运、仓储、二次搬运、损耗、保险、企业管理费和利润；</w:t>
      </w:r>
    </w:p>
    <w:p>
      <w:pPr>
        <w:spacing w:line="430" w:lineRule="exact"/>
        <w:ind w:left="1" w:firstLine="480" w:firstLineChars="200"/>
        <w:rPr>
          <w:rFonts w:hAnsi="宋体" w:eastAsia="宋体" w:cs="宋体"/>
          <w:color w:val="000000" w:themeColor="text1"/>
          <w:sz w:val="24"/>
          <w14:textFill>
            <w14:solidFill>
              <w14:schemeClr w14:val="tx1"/>
            </w14:solidFill>
          </w14:textFill>
        </w:rPr>
      </w:pPr>
      <w:r>
        <w:rPr>
          <w:rFonts w:hint="eastAsia" w:hAnsi="宋体" w:eastAsia="宋体" w:cs="宋体"/>
          <w:color w:val="000000" w:themeColor="text1"/>
          <w:sz w:val="24"/>
          <w14:textFill>
            <w14:solidFill>
              <w14:schemeClr w14:val="tx1"/>
            </w14:solidFill>
          </w14:textFill>
        </w:rPr>
        <w:t>(3) 施工机械限于在施工场地(现场)的机械设备，其价格包括租赁或折旧、维修、维护和燃油等消耗品以及操作人员费用，包括承包人企业管理费和利润，但不包括规费和税金。辅助人员按劳务价格另计。</w:t>
      </w:r>
    </w:p>
    <w:p>
      <w:pPr>
        <w:spacing w:line="430" w:lineRule="exact"/>
        <w:ind w:left="1" w:firstLine="480" w:firstLineChars="200"/>
        <w:rPr>
          <w:rFonts w:hAnsi="宋体" w:eastAsia="宋体" w:cs="宋体"/>
          <w:color w:val="000000" w:themeColor="text1"/>
          <w:sz w:val="24"/>
          <w14:textFill>
            <w14:solidFill>
              <w14:schemeClr w14:val="tx1"/>
            </w14:solidFill>
          </w14:textFill>
        </w:rPr>
      </w:pPr>
      <w:r>
        <w:rPr>
          <w:rFonts w:hint="eastAsia" w:hAnsi="宋体" w:eastAsia="宋体" w:cs="宋体"/>
          <w:color w:val="000000" w:themeColor="text1"/>
          <w:sz w:val="24"/>
          <w14:textFill>
            <w14:solidFill>
              <w14:schemeClr w14:val="tx1"/>
            </w14:solidFill>
          </w14:textFill>
        </w:rPr>
        <w:t>2.8.4总承包服务费根据招标文件中列出的内容和要求，按“总承包服务费计价表”所列格式自主报价。</w:t>
      </w:r>
    </w:p>
    <w:p>
      <w:pPr>
        <w:spacing w:line="430" w:lineRule="exact"/>
        <w:rPr>
          <w:rFonts w:hAnsi="宋体" w:eastAsia="宋体" w:cs="宋体"/>
          <w:color w:val="000000" w:themeColor="text1"/>
          <w:sz w:val="24"/>
          <w14:textFill>
            <w14:solidFill>
              <w14:schemeClr w14:val="tx1"/>
            </w14:solidFill>
          </w14:textFill>
        </w:rPr>
      </w:pPr>
      <w:r>
        <w:rPr>
          <w:rFonts w:hint="eastAsia" w:hAnsi="宋体" w:eastAsia="宋体" w:cs="宋体"/>
          <w:color w:val="000000" w:themeColor="text1"/>
          <w:sz w:val="24"/>
          <w14:textFill>
            <w14:solidFill>
              <w14:schemeClr w14:val="tx1"/>
            </w14:solidFill>
          </w14:textFill>
        </w:rPr>
        <w:t xml:space="preserve">    2.9 规费和税金应按“规费、税金项目清单与计价表”所列项目并根据国家、省级或行业建设主管部门的有关规定列项和计算，不得作为竞争性费用。</w:t>
      </w:r>
    </w:p>
    <w:p>
      <w:pPr>
        <w:spacing w:line="430" w:lineRule="exact"/>
        <w:ind w:left="1" w:firstLine="480" w:firstLineChars="200"/>
        <w:rPr>
          <w:rFonts w:hAnsi="宋体" w:eastAsia="宋体" w:cs="宋体"/>
          <w:color w:val="000000" w:themeColor="text1"/>
          <w:sz w:val="24"/>
          <w14:textFill>
            <w14:solidFill>
              <w14:schemeClr w14:val="tx1"/>
            </w14:solidFill>
          </w14:textFill>
        </w:rPr>
      </w:pPr>
      <w:r>
        <w:rPr>
          <w:rFonts w:hint="eastAsia" w:hAnsi="宋体" w:eastAsia="宋体" w:cs="宋体"/>
          <w:color w:val="000000" w:themeColor="text1"/>
          <w:sz w:val="24"/>
          <w14:textFill>
            <w14:solidFill>
              <w14:schemeClr w14:val="tx1"/>
            </w14:solidFill>
          </w14:textFill>
        </w:rPr>
        <w:t>2.10 除招标文件有强制性规定外，投标报价由投标人自主确定，但不得低于其成本。</w:t>
      </w:r>
    </w:p>
    <w:p>
      <w:pPr>
        <w:spacing w:line="430" w:lineRule="exact"/>
        <w:ind w:left="1" w:firstLine="480" w:firstLineChars="200"/>
        <w:rPr>
          <w:rFonts w:hAnsi="宋体" w:eastAsia="宋体" w:cs="宋体"/>
          <w:color w:val="000000" w:themeColor="text1"/>
          <w:sz w:val="24"/>
          <w14:textFill>
            <w14:solidFill>
              <w14:schemeClr w14:val="tx1"/>
            </w14:solidFill>
          </w14:textFill>
        </w:rPr>
      </w:pPr>
      <w:r>
        <w:rPr>
          <w:rFonts w:hint="eastAsia" w:hAnsi="宋体" w:eastAsia="宋体" w:cs="宋体"/>
          <w:color w:val="000000" w:themeColor="text1"/>
          <w:sz w:val="24"/>
          <w14:textFill>
            <w14:solidFill>
              <w14:schemeClr w14:val="tx1"/>
            </w14:solidFill>
          </w14:textFill>
        </w:rPr>
        <w:t>2.11 工程量清单计价所涉及的生产资源(包括各类人工、材料、工程设备、施工设备、临时设施、临时用水、临时用电等)的投标价格，应根据自身的信息渠道和采购渠道，分析其市场价格水平并判断其整个施工周期内的变化趋势，体现投标人自身的管理水平、技术水平和综合实力。</w:t>
      </w:r>
    </w:p>
    <w:p>
      <w:pPr>
        <w:spacing w:line="430" w:lineRule="exact"/>
        <w:ind w:left="1" w:firstLine="480" w:firstLineChars="200"/>
        <w:rPr>
          <w:rFonts w:hAnsi="宋体" w:eastAsia="宋体" w:cs="宋体"/>
          <w:color w:val="000000" w:themeColor="text1"/>
          <w:sz w:val="24"/>
          <w14:textFill>
            <w14:solidFill>
              <w14:schemeClr w14:val="tx1"/>
            </w14:solidFill>
          </w14:textFill>
        </w:rPr>
      </w:pPr>
      <w:r>
        <w:rPr>
          <w:rFonts w:hint="eastAsia" w:hAnsi="宋体" w:eastAsia="宋体" w:cs="宋体"/>
          <w:color w:val="000000" w:themeColor="text1"/>
          <w:sz w:val="24"/>
          <w14:textFill>
            <w14:solidFill>
              <w14:schemeClr w14:val="tx1"/>
            </w14:solidFill>
          </w14:textFill>
        </w:rPr>
        <w:t>2.12 管理费应由投标人在保证不低于其成本的基础上做竞争性考虑；利润由投标人根据自身情况和综合实力做竞争性考虑。</w:t>
      </w:r>
    </w:p>
    <w:p>
      <w:pPr>
        <w:spacing w:line="430" w:lineRule="exact"/>
        <w:ind w:left="1" w:firstLine="480" w:firstLineChars="200"/>
        <w:rPr>
          <w:rFonts w:hAnsi="宋体" w:eastAsia="宋体" w:cs="宋体"/>
          <w:color w:val="000000" w:themeColor="text1"/>
          <w:sz w:val="24"/>
          <w14:textFill>
            <w14:solidFill>
              <w14:schemeClr w14:val="tx1"/>
            </w14:solidFill>
          </w14:textFill>
        </w:rPr>
      </w:pPr>
      <w:r>
        <w:rPr>
          <w:rFonts w:hint="eastAsia" w:hAnsi="宋体" w:eastAsia="宋体" w:cs="宋体"/>
          <w:color w:val="000000" w:themeColor="text1"/>
          <w:sz w:val="24"/>
          <w14:textFill>
            <w14:solidFill>
              <w14:schemeClr w14:val="tx1"/>
            </w14:solidFill>
          </w14:textFill>
        </w:rPr>
        <w:t>2.13 投标报价中应考虑招标文件中要求投标人承担的风险范围以及相关的费用。</w:t>
      </w:r>
    </w:p>
    <w:p>
      <w:pPr>
        <w:spacing w:line="430" w:lineRule="exact"/>
        <w:ind w:left="1" w:firstLine="480" w:firstLineChars="200"/>
        <w:rPr>
          <w:rFonts w:hAnsi="宋体" w:eastAsia="宋体" w:cs="宋体"/>
          <w:color w:val="000000" w:themeColor="text1"/>
          <w:sz w:val="24"/>
          <w14:textFill>
            <w14:solidFill>
              <w14:schemeClr w14:val="tx1"/>
            </w14:solidFill>
          </w14:textFill>
        </w:rPr>
      </w:pPr>
      <w:r>
        <w:rPr>
          <w:rFonts w:hint="eastAsia" w:hAnsi="宋体" w:eastAsia="宋体" w:cs="宋体"/>
          <w:color w:val="000000" w:themeColor="text1"/>
          <w:sz w:val="24"/>
          <w14:textFill>
            <w14:solidFill>
              <w14:schemeClr w14:val="tx1"/>
            </w14:solidFill>
          </w14:textFill>
        </w:rPr>
        <w:t>2.14 投标总价为投标人在投标文件中提出的各项支付金额的总和，为实施、完成招标工程并修补缺陷以及履行招标文件中约定的风险范围内的所有责任和义务所发生的全部费用。</w:t>
      </w:r>
    </w:p>
    <w:p>
      <w:pPr>
        <w:spacing w:line="430" w:lineRule="exact"/>
        <w:ind w:left="1" w:firstLine="482" w:firstLineChars="200"/>
        <w:rPr>
          <w:rFonts w:hAnsi="宋体" w:eastAsia="宋体" w:cs="宋体"/>
          <w:b/>
          <w:color w:val="000000" w:themeColor="text1"/>
          <w:sz w:val="24"/>
          <w14:textFill>
            <w14:solidFill>
              <w14:schemeClr w14:val="tx1"/>
            </w14:solidFill>
          </w14:textFill>
        </w:rPr>
      </w:pPr>
      <w:r>
        <w:rPr>
          <w:rFonts w:hint="eastAsia" w:hAnsi="宋体" w:eastAsia="宋体" w:cs="宋体"/>
          <w:b/>
          <w:color w:val="000000" w:themeColor="text1"/>
          <w:sz w:val="24"/>
          <w14:textFill>
            <w14:solidFill>
              <w14:schemeClr w14:val="tx1"/>
            </w14:solidFill>
          </w14:textFill>
        </w:rPr>
        <w:t>2.15 有关投标报价的其他说明：</w:t>
      </w:r>
    </w:p>
    <w:p>
      <w:pPr>
        <w:tabs>
          <w:tab w:val="left" w:pos="1260"/>
        </w:tabs>
        <w:autoSpaceDE w:val="0"/>
        <w:autoSpaceDN w:val="0"/>
        <w:adjustRightInd w:val="0"/>
        <w:spacing w:line="460" w:lineRule="exact"/>
        <w:ind w:firstLine="482" w:firstLineChars="200"/>
        <w:jc w:val="left"/>
        <w:rPr>
          <w:rFonts w:hAnsi="宋体" w:eastAsia="宋体" w:cs="宋体"/>
          <w:b/>
          <w:color w:val="000000" w:themeColor="text1"/>
          <w:sz w:val="24"/>
          <w:szCs w:val="24"/>
          <w14:textFill>
            <w14:solidFill>
              <w14:schemeClr w14:val="tx1"/>
            </w14:solidFill>
          </w14:textFill>
        </w:rPr>
      </w:pPr>
      <w:r>
        <w:rPr>
          <w:rFonts w:hint="eastAsia" w:hAnsi="宋体" w:eastAsia="宋体" w:cs="宋体"/>
          <w:b/>
          <w:color w:val="000000" w:themeColor="text1"/>
          <w:sz w:val="24"/>
          <w:szCs w:val="24"/>
          <w14:textFill>
            <w14:solidFill>
              <w14:schemeClr w14:val="tx1"/>
            </w14:solidFill>
          </w14:textFill>
        </w:rPr>
        <w:t>2.15.1“规费和税金”的规定按照住建部《建设工程工程量清单计价规范》（GB50500-2013）及省住建厅有关规定，规费和税金应按规定费（税）率足额计取，即费（税）率不可竞争。</w:t>
      </w:r>
    </w:p>
    <w:p>
      <w:pPr>
        <w:tabs>
          <w:tab w:val="left" w:pos="1260"/>
        </w:tabs>
        <w:autoSpaceDE w:val="0"/>
        <w:autoSpaceDN w:val="0"/>
        <w:adjustRightInd w:val="0"/>
        <w:spacing w:line="460" w:lineRule="exact"/>
        <w:ind w:firstLine="482" w:firstLineChars="200"/>
        <w:jc w:val="left"/>
        <w:rPr>
          <w:rFonts w:hAnsi="宋体" w:eastAsia="宋体" w:cs="宋体"/>
          <w:b/>
          <w:color w:val="000000" w:themeColor="text1"/>
          <w:sz w:val="24"/>
          <w:szCs w:val="24"/>
          <w14:textFill>
            <w14:solidFill>
              <w14:schemeClr w14:val="tx1"/>
            </w14:solidFill>
          </w14:textFill>
        </w:rPr>
      </w:pPr>
      <w:r>
        <w:rPr>
          <w:rFonts w:hint="eastAsia" w:hAnsi="宋体" w:eastAsia="宋体" w:cs="宋体"/>
          <w:b/>
          <w:color w:val="000000" w:themeColor="text1"/>
          <w:sz w:val="24"/>
          <w:szCs w:val="24"/>
          <w14:textFill>
            <w14:solidFill>
              <w14:schemeClr w14:val="tx1"/>
            </w14:solidFill>
          </w14:textFill>
        </w:rPr>
        <w:t>规费、税金、安全文明施工措施费计入投标总报价，并在投标函、投标函附录中单列，不参与商务标评审。</w:t>
      </w:r>
    </w:p>
    <w:p>
      <w:pPr>
        <w:tabs>
          <w:tab w:val="left" w:pos="1260"/>
        </w:tabs>
        <w:autoSpaceDE w:val="0"/>
        <w:autoSpaceDN w:val="0"/>
        <w:adjustRightInd w:val="0"/>
        <w:spacing w:line="460" w:lineRule="exact"/>
        <w:ind w:firstLine="482" w:firstLineChars="200"/>
        <w:jc w:val="left"/>
        <w:rPr>
          <w:rFonts w:hAnsi="宋体" w:eastAsia="宋体" w:cs="宋体"/>
          <w:b/>
          <w:color w:val="000000" w:themeColor="text1"/>
          <w:sz w:val="24"/>
          <w:szCs w:val="24"/>
          <w14:textFill>
            <w14:solidFill>
              <w14:schemeClr w14:val="tx1"/>
            </w14:solidFill>
          </w14:textFill>
        </w:rPr>
      </w:pPr>
      <w:r>
        <w:rPr>
          <w:rFonts w:hint="eastAsia" w:hAnsi="宋体" w:eastAsia="宋体" w:cs="宋体"/>
          <w:b/>
          <w:color w:val="000000" w:themeColor="text1"/>
          <w:sz w:val="24"/>
          <w:szCs w:val="24"/>
          <w14:textFill>
            <w14:solidFill>
              <w14:schemeClr w14:val="tx1"/>
            </w14:solidFill>
          </w14:textFill>
        </w:rPr>
        <w:t>2.15.2 根据《关于调整河南省建设工程安全文明施工措施费计取办法的通知》（豫建设标【2014】57号）规定，“安全文明施工措施费”是不可竞争费，即费率不可竞争；投标人编制投标报价时，应按省级主管部门规定的计价标准计取。</w:t>
      </w:r>
    </w:p>
    <w:p>
      <w:pPr>
        <w:tabs>
          <w:tab w:val="left" w:pos="1260"/>
        </w:tabs>
        <w:autoSpaceDE w:val="0"/>
        <w:autoSpaceDN w:val="0"/>
        <w:adjustRightInd w:val="0"/>
        <w:spacing w:line="460" w:lineRule="exact"/>
        <w:ind w:firstLine="482" w:firstLineChars="200"/>
        <w:jc w:val="left"/>
        <w:rPr>
          <w:rFonts w:hAnsi="宋体" w:eastAsia="宋体" w:cs="宋体"/>
          <w:b/>
          <w:color w:val="000000" w:themeColor="text1"/>
          <w:sz w:val="24"/>
          <w:szCs w:val="24"/>
          <w14:textFill>
            <w14:solidFill>
              <w14:schemeClr w14:val="tx1"/>
            </w14:solidFill>
          </w14:textFill>
        </w:rPr>
      </w:pPr>
      <w:r>
        <w:rPr>
          <w:rFonts w:hint="eastAsia" w:hAnsi="宋体" w:eastAsia="宋体" w:cs="宋体"/>
          <w:b/>
          <w:color w:val="000000" w:themeColor="text1"/>
          <w:sz w:val="24"/>
          <w:szCs w:val="24"/>
          <w14:textFill>
            <w14:solidFill>
              <w14:schemeClr w14:val="tx1"/>
            </w14:solidFill>
          </w14:textFill>
        </w:rPr>
        <w:t>投标人编制投标报价时，同一投标文件综合工日应前后保持一致。</w:t>
      </w:r>
    </w:p>
    <w:p>
      <w:pPr>
        <w:spacing w:line="440" w:lineRule="exact"/>
        <w:ind w:firstLine="481"/>
        <w:rPr>
          <w:rFonts w:hAnsi="宋体" w:eastAsia="宋体" w:cs="宋体"/>
          <w:bCs/>
          <w:color w:val="000000" w:themeColor="text1"/>
          <w:sz w:val="24"/>
          <w14:textFill>
            <w14:solidFill>
              <w14:schemeClr w14:val="tx1"/>
            </w14:solidFill>
          </w14:textFill>
        </w:rPr>
      </w:pPr>
      <w:r>
        <w:rPr>
          <w:rFonts w:hint="eastAsia" w:hAnsi="宋体" w:eastAsia="宋体" w:cs="宋体"/>
          <w:bCs/>
          <w:color w:val="000000" w:themeColor="text1"/>
          <w:sz w:val="24"/>
          <w14:textFill>
            <w14:solidFill>
              <w14:schemeClr w14:val="tx1"/>
            </w14:solidFill>
          </w14:textFill>
        </w:rPr>
        <w:t>3、其他说明</w:t>
      </w:r>
    </w:p>
    <w:p>
      <w:pPr>
        <w:spacing w:line="430" w:lineRule="exact"/>
        <w:ind w:left="1" w:firstLine="480" w:firstLineChars="200"/>
        <w:rPr>
          <w:rFonts w:hAnsi="宋体" w:eastAsia="宋体" w:cs="宋体"/>
          <w:color w:val="000000" w:themeColor="text1"/>
          <w:sz w:val="24"/>
          <w14:textFill>
            <w14:solidFill>
              <w14:schemeClr w14:val="tx1"/>
            </w14:solidFill>
          </w14:textFill>
        </w:rPr>
      </w:pPr>
      <w:r>
        <w:rPr>
          <w:rFonts w:hint="eastAsia" w:hAnsi="宋体" w:eastAsia="宋体" w:cs="宋体"/>
          <w:color w:val="000000" w:themeColor="text1"/>
          <w:sz w:val="24"/>
          <w14:textFill>
            <w14:solidFill>
              <w14:schemeClr w14:val="tx1"/>
            </w14:solidFill>
          </w14:textFill>
        </w:rPr>
        <w:t>3.1词语和定义</w:t>
      </w:r>
    </w:p>
    <w:p>
      <w:pPr>
        <w:spacing w:line="430" w:lineRule="exact"/>
        <w:ind w:left="1" w:firstLine="480" w:firstLineChars="200"/>
        <w:rPr>
          <w:rFonts w:hAnsi="宋体" w:eastAsia="宋体" w:cs="宋体"/>
          <w:color w:val="000000" w:themeColor="text1"/>
          <w:sz w:val="24"/>
          <w14:textFill>
            <w14:solidFill>
              <w14:schemeClr w14:val="tx1"/>
            </w14:solidFill>
          </w14:textFill>
        </w:rPr>
      </w:pPr>
      <w:r>
        <w:rPr>
          <w:rFonts w:hint="eastAsia" w:hAnsi="宋体" w:eastAsia="宋体" w:cs="宋体"/>
          <w:color w:val="000000" w:themeColor="text1"/>
          <w:sz w:val="24"/>
          <w14:textFill>
            <w14:solidFill>
              <w14:schemeClr w14:val="tx1"/>
            </w14:solidFill>
          </w14:textFill>
        </w:rPr>
        <w:t>3.1.1 工程量清单</w:t>
      </w:r>
    </w:p>
    <w:p>
      <w:pPr>
        <w:spacing w:line="430" w:lineRule="exact"/>
        <w:ind w:left="1" w:firstLine="480" w:firstLineChars="200"/>
        <w:rPr>
          <w:rFonts w:hAnsi="宋体" w:eastAsia="宋体" w:cs="宋体"/>
          <w:color w:val="000000" w:themeColor="text1"/>
          <w:sz w:val="24"/>
          <w14:textFill>
            <w14:solidFill>
              <w14:schemeClr w14:val="tx1"/>
            </w14:solidFill>
          </w14:textFill>
        </w:rPr>
      </w:pPr>
      <w:r>
        <w:rPr>
          <w:rFonts w:hint="eastAsia" w:hAnsi="宋体" w:eastAsia="宋体" w:cs="宋体"/>
          <w:color w:val="000000" w:themeColor="text1"/>
          <w:sz w:val="24"/>
          <w14:textFill>
            <w14:solidFill>
              <w14:schemeClr w14:val="tx1"/>
            </w14:solidFill>
          </w14:textFill>
        </w:rPr>
        <w:t>是表现本工程分部分项工程项目、措施项目、其他项目、规费项目和税金的名称和相应数量等的明细清单。</w:t>
      </w:r>
    </w:p>
    <w:p>
      <w:pPr>
        <w:spacing w:line="430" w:lineRule="exact"/>
        <w:ind w:left="1" w:firstLine="480" w:firstLineChars="200"/>
        <w:rPr>
          <w:rFonts w:hAnsi="宋体" w:eastAsia="宋体" w:cs="宋体"/>
          <w:color w:val="000000" w:themeColor="text1"/>
          <w:sz w:val="24"/>
          <w14:textFill>
            <w14:solidFill>
              <w14:schemeClr w14:val="tx1"/>
            </w14:solidFill>
          </w14:textFill>
        </w:rPr>
      </w:pPr>
      <w:r>
        <w:rPr>
          <w:rFonts w:hint="eastAsia" w:hAnsi="宋体" w:eastAsia="宋体" w:cs="宋体"/>
          <w:color w:val="000000" w:themeColor="text1"/>
          <w:sz w:val="24"/>
          <w14:textFill>
            <w14:solidFill>
              <w14:schemeClr w14:val="tx1"/>
            </w14:solidFill>
          </w14:textFill>
        </w:rPr>
        <w:t>3.1.2 总价子目</w:t>
      </w:r>
    </w:p>
    <w:p>
      <w:pPr>
        <w:spacing w:line="430" w:lineRule="exact"/>
        <w:ind w:left="1" w:firstLine="480" w:firstLineChars="200"/>
        <w:rPr>
          <w:rFonts w:hAnsi="宋体" w:eastAsia="宋体" w:cs="宋体"/>
          <w:color w:val="000000" w:themeColor="text1"/>
          <w:sz w:val="24"/>
          <w14:textFill>
            <w14:solidFill>
              <w14:schemeClr w14:val="tx1"/>
            </w14:solidFill>
          </w14:textFill>
        </w:rPr>
      </w:pPr>
      <w:r>
        <w:rPr>
          <w:rFonts w:hint="eastAsia" w:hAnsi="宋体" w:eastAsia="宋体" w:cs="宋体"/>
          <w:color w:val="000000" w:themeColor="text1"/>
          <w:sz w:val="24"/>
          <w14:textFill>
            <w14:solidFill>
              <w14:schemeClr w14:val="tx1"/>
            </w14:solidFill>
          </w14:textFill>
        </w:rPr>
        <w:t>工程量清单中以总价计价，以“项”为计量单位，工程量为整数1的子目，除专用合同条款另有约定外，总价固定包干。采用总价合同形式时，合同订立后，已标价工程量清单中的工程量均没有合同约束力，所有子目均是总价子目，视同按项计量(合同条款第15条约定的变更除外)。</w:t>
      </w:r>
    </w:p>
    <w:p>
      <w:pPr>
        <w:spacing w:line="430" w:lineRule="exact"/>
        <w:ind w:left="1" w:firstLine="480" w:firstLineChars="200"/>
        <w:rPr>
          <w:rFonts w:hAnsi="宋体" w:eastAsia="宋体" w:cs="宋体"/>
          <w:color w:val="000000" w:themeColor="text1"/>
          <w:sz w:val="24"/>
          <w14:textFill>
            <w14:solidFill>
              <w14:schemeClr w14:val="tx1"/>
            </w14:solidFill>
          </w14:textFill>
        </w:rPr>
      </w:pPr>
      <w:r>
        <w:rPr>
          <w:rFonts w:hint="eastAsia" w:hAnsi="宋体" w:eastAsia="宋体" w:cs="宋体"/>
          <w:color w:val="000000" w:themeColor="text1"/>
          <w:sz w:val="24"/>
          <w14:textFill>
            <w14:solidFill>
              <w14:schemeClr w14:val="tx1"/>
            </w14:solidFill>
          </w14:textFill>
        </w:rPr>
        <w:t>3.1.3 单价子目</w:t>
      </w:r>
    </w:p>
    <w:p>
      <w:pPr>
        <w:spacing w:line="430" w:lineRule="exact"/>
        <w:ind w:left="1" w:firstLine="480" w:firstLineChars="200"/>
        <w:rPr>
          <w:rFonts w:hAnsi="宋体" w:eastAsia="宋体" w:cs="宋体"/>
          <w:color w:val="000000" w:themeColor="text1"/>
          <w:sz w:val="24"/>
          <w14:textFill>
            <w14:solidFill>
              <w14:schemeClr w14:val="tx1"/>
            </w14:solidFill>
          </w14:textFill>
        </w:rPr>
      </w:pPr>
      <w:r>
        <w:rPr>
          <w:rFonts w:hint="eastAsia" w:hAnsi="宋体" w:eastAsia="宋体" w:cs="宋体"/>
          <w:color w:val="000000" w:themeColor="text1"/>
          <w:sz w:val="24"/>
          <w14:textFill>
            <w14:solidFill>
              <w14:schemeClr w14:val="tx1"/>
            </w14:solidFill>
          </w14:textFill>
        </w:rPr>
        <w:t>工程量清单中以单价计价，根据有合同约束力的图纸和工程量计算规则进行计量，以实际完成数量乘以相应单价进行结算的子目。</w:t>
      </w:r>
    </w:p>
    <w:p>
      <w:pPr>
        <w:spacing w:line="430" w:lineRule="exact"/>
        <w:ind w:left="1" w:firstLine="480" w:firstLineChars="200"/>
        <w:rPr>
          <w:rFonts w:hAnsi="宋体" w:eastAsia="宋体" w:cs="宋体"/>
          <w:color w:val="000000" w:themeColor="text1"/>
          <w:sz w:val="24"/>
          <w14:textFill>
            <w14:solidFill>
              <w14:schemeClr w14:val="tx1"/>
            </w14:solidFill>
          </w14:textFill>
        </w:rPr>
      </w:pPr>
      <w:r>
        <w:rPr>
          <w:rFonts w:hint="eastAsia" w:hAnsi="宋体" w:eastAsia="宋体" w:cs="宋体"/>
          <w:color w:val="000000" w:themeColor="text1"/>
          <w:sz w:val="24"/>
          <w14:textFill>
            <w14:solidFill>
              <w14:schemeClr w14:val="tx1"/>
            </w14:solidFill>
          </w14:textFill>
        </w:rPr>
        <w:t>3.1.4 子目编码</w:t>
      </w:r>
    </w:p>
    <w:p>
      <w:pPr>
        <w:spacing w:line="430" w:lineRule="exact"/>
        <w:ind w:left="1" w:firstLine="480" w:firstLineChars="200"/>
        <w:rPr>
          <w:rFonts w:hAnsi="宋体" w:eastAsia="宋体" w:cs="宋体"/>
          <w:color w:val="000000" w:themeColor="text1"/>
          <w:sz w:val="24"/>
          <w14:textFill>
            <w14:solidFill>
              <w14:schemeClr w14:val="tx1"/>
            </w14:solidFill>
          </w14:textFill>
        </w:rPr>
      </w:pPr>
      <w:r>
        <w:rPr>
          <w:rFonts w:hint="eastAsia" w:hAnsi="宋体" w:eastAsia="宋体" w:cs="宋体"/>
          <w:color w:val="000000" w:themeColor="text1"/>
          <w:sz w:val="24"/>
          <w14:textFill>
            <w14:solidFill>
              <w14:schemeClr w14:val="tx1"/>
            </w14:solidFill>
          </w14:textFill>
        </w:rPr>
        <w:t>分部分项工程项目清单中所列的子目名称的数字标识和代码，子目编码与项目编码同义。</w:t>
      </w:r>
    </w:p>
    <w:p>
      <w:pPr>
        <w:spacing w:line="430" w:lineRule="exact"/>
        <w:ind w:left="1" w:firstLine="480" w:firstLineChars="200"/>
        <w:rPr>
          <w:rFonts w:hAnsi="宋体" w:eastAsia="宋体" w:cs="宋体"/>
          <w:color w:val="000000" w:themeColor="text1"/>
          <w:sz w:val="24"/>
          <w14:textFill>
            <w14:solidFill>
              <w14:schemeClr w14:val="tx1"/>
            </w14:solidFill>
          </w14:textFill>
        </w:rPr>
      </w:pPr>
      <w:r>
        <w:rPr>
          <w:rFonts w:hint="eastAsia" w:hAnsi="宋体" w:eastAsia="宋体" w:cs="宋体"/>
          <w:color w:val="000000" w:themeColor="text1"/>
          <w:sz w:val="24"/>
          <w14:textFill>
            <w14:solidFill>
              <w14:schemeClr w14:val="tx1"/>
            </w14:solidFill>
          </w14:textFill>
        </w:rPr>
        <w:t>3.1.5 子目特征</w:t>
      </w:r>
    </w:p>
    <w:p>
      <w:pPr>
        <w:spacing w:line="430" w:lineRule="exact"/>
        <w:ind w:left="1" w:firstLine="480" w:firstLineChars="200"/>
        <w:rPr>
          <w:rFonts w:hAnsi="宋体" w:eastAsia="宋体" w:cs="宋体"/>
          <w:color w:val="000000" w:themeColor="text1"/>
          <w:sz w:val="24"/>
          <w14:textFill>
            <w14:solidFill>
              <w14:schemeClr w14:val="tx1"/>
            </w14:solidFill>
          </w14:textFill>
        </w:rPr>
      </w:pPr>
      <w:r>
        <w:rPr>
          <w:rFonts w:hint="eastAsia" w:hAnsi="宋体" w:eastAsia="宋体" w:cs="宋体"/>
          <w:color w:val="000000" w:themeColor="text1"/>
          <w:sz w:val="24"/>
          <w14:textFill>
            <w14:solidFill>
              <w14:schemeClr w14:val="tx1"/>
            </w14:solidFill>
          </w14:textFill>
        </w:rPr>
        <w:t>构成分部分项工程项目清单子目、措施项目的实质内容、决定其自身价值的本质特征，子目特征与项目特征同义。</w:t>
      </w:r>
    </w:p>
    <w:p>
      <w:pPr>
        <w:spacing w:line="430" w:lineRule="exact"/>
        <w:ind w:left="1" w:firstLine="480" w:firstLineChars="200"/>
        <w:rPr>
          <w:rFonts w:hAnsi="宋体" w:eastAsia="宋体" w:cs="宋体"/>
          <w:color w:val="000000" w:themeColor="text1"/>
          <w:sz w:val="24"/>
          <w14:textFill>
            <w14:solidFill>
              <w14:schemeClr w14:val="tx1"/>
            </w14:solidFill>
          </w14:textFill>
        </w:rPr>
      </w:pPr>
      <w:r>
        <w:rPr>
          <w:rFonts w:hint="eastAsia" w:hAnsi="宋体" w:eastAsia="宋体" w:cs="宋体"/>
          <w:color w:val="000000" w:themeColor="text1"/>
          <w:sz w:val="24"/>
          <w14:textFill>
            <w14:solidFill>
              <w14:schemeClr w14:val="tx1"/>
            </w14:solidFill>
          </w14:textFill>
        </w:rPr>
        <w:t>3.1.6 规费</w:t>
      </w:r>
    </w:p>
    <w:p>
      <w:pPr>
        <w:spacing w:line="430" w:lineRule="exact"/>
        <w:ind w:left="1" w:firstLine="480" w:firstLineChars="200"/>
        <w:rPr>
          <w:rFonts w:hAnsi="宋体" w:eastAsia="宋体" w:cs="宋体"/>
          <w:color w:val="000000" w:themeColor="text1"/>
          <w:sz w:val="24"/>
          <w14:textFill>
            <w14:solidFill>
              <w14:schemeClr w14:val="tx1"/>
            </w14:solidFill>
          </w14:textFill>
        </w:rPr>
      </w:pPr>
      <w:r>
        <w:rPr>
          <w:rFonts w:hint="eastAsia" w:hAnsi="宋体" w:eastAsia="宋体" w:cs="宋体"/>
          <w:color w:val="000000" w:themeColor="text1"/>
          <w:sz w:val="24"/>
          <w14:textFill>
            <w14:solidFill>
              <w14:schemeClr w14:val="tx1"/>
            </w14:solidFill>
          </w14:textFill>
        </w:rPr>
        <w:t>承包人根据省级政府或省级有关权力部门规定必须缴纳的，应计入建筑安装工程造价的费用。</w:t>
      </w:r>
    </w:p>
    <w:p>
      <w:pPr>
        <w:spacing w:line="430" w:lineRule="exact"/>
        <w:ind w:left="1" w:firstLine="480" w:firstLineChars="200"/>
        <w:rPr>
          <w:rFonts w:hAnsi="宋体" w:eastAsia="宋体" w:cs="宋体"/>
          <w:color w:val="000000" w:themeColor="text1"/>
          <w:sz w:val="24"/>
          <w14:textFill>
            <w14:solidFill>
              <w14:schemeClr w14:val="tx1"/>
            </w14:solidFill>
          </w14:textFill>
        </w:rPr>
      </w:pPr>
      <w:r>
        <w:rPr>
          <w:rFonts w:hint="eastAsia" w:hAnsi="宋体" w:eastAsia="宋体" w:cs="宋体"/>
          <w:color w:val="000000" w:themeColor="text1"/>
          <w:sz w:val="24"/>
          <w14:textFill>
            <w14:solidFill>
              <w14:schemeClr w14:val="tx1"/>
            </w14:solidFill>
          </w14:textFill>
        </w:rPr>
        <w:t>3.1.7 税金</w:t>
      </w:r>
    </w:p>
    <w:p>
      <w:pPr>
        <w:spacing w:line="430" w:lineRule="exact"/>
        <w:ind w:left="1" w:firstLine="480" w:firstLineChars="200"/>
        <w:rPr>
          <w:rFonts w:hAnsi="宋体" w:eastAsia="宋体" w:cs="宋体"/>
          <w:color w:val="000000" w:themeColor="text1"/>
          <w:sz w:val="24"/>
          <w14:textFill>
            <w14:solidFill>
              <w14:schemeClr w14:val="tx1"/>
            </w14:solidFill>
          </w14:textFill>
        </w:rPr>
      </w:pPr>
      <w:r>
        <w:rPr>
          <w:rFonts w:hint="eastAsia" w:hAnsi="宋体" w:eastAsia="宋体" w:cs="宋体"/>
          <w:color w:val="000000" w:themeColor="text1"/>
          <w:sz w:val="24"/>
          <w14:textFill>
            <w14:solidFill>
              <w14:schemeClr w14:val="tx1"/>
            </w14:solidFill>
          </w14:textFill>
        </w:rPr>
        <w:t>国家税法规定的应计入建筑安装工程造价内的增值税、城市维护建设税及教育费附加等。</w:t>
      </w:r>
    </w:p>
    <w:p>
      <w:pPr>
        <w:spacing w:line="430" w:lineRule="exact"/>
        <w:ind w:left="1" w:firstLine="480" w:firstLineChars="200"/>
        <w:rPr>
          <w:rFonts w:hAnsi="宋体" w:eastAsia="宋体" w:cs="宋体"/>
          <w:color w:val="000000" w:themeColor="text1"/>
          <w:sz w:val="24"/>
          <w14:textFill>
            <w14:solidFill>
              <w14:schemeClr w14:val="tx1"/>
            </w14:solidFill>
          </w14:textFill>
        </w:rPr>
      </w:pPr>
      <w:r>
        <w:rPr>
          <w:rFonts w:hint="eastAsia" w:hAnsi="宋体" w:eastAsia="宋体" w:cs="宋体"/>
          <w:color w:val="000000" w:themeColor="text1"/>
          <w:sz w:val="24"/>
          <w14:textFill>
            <w14:solidFill>
              <w14:schemeClr w14:val="tx1"/>
            </w14:solidFill>
          </w14:textFill>
        </w:rPr>
        <w:t>3.1.8 总承包服务费</w:t>
      </w:r>
    </w:p>
    <w:p>
      <w:pPr>
        <w:spacing w:line="430" w:lineRule="exact"/>
        <w:ind w:left="1" w:firstLine="480" w:firstLineChars="200"/>
        <w:rPr>
          <w:rFonts w:hAnsi="宋体" w:eastAsia="宋体" w:cs="宋体"/>
          <w:color w:val="000000" w:themeColor="text1"/>
          <w:sz w:val="24"/>
          <w14:textFill>
            <w14:solidFill>
              <w14:schemeClr w14:val="tx1"/>
            </w14:solidFill>
          </w14:textFill>
        </w:rPr>
      </w:pPr>
      <w:r>
        <w:rPr>
          <w:rFonts w:hint="eastAsia" w:hAnsi="宋体" w:eastAsia="宋体" w:cs="宋体"/>
          <w:color w:val="000000" w:themeColor="text1"/>
          <w:sz w:val="24"/>
          <w14:textFill>
            <w14:solidFill>
              <w14:schemeClr w14:val="tx1"/>
            </w14:solidFill>
          </w14:textFill>
        </w:rPr>
        <w:t>总承包人为配合协调发包人发包的专业工程以及发包人采购的材料和工程设备等进行管理、服务以及施工现场管理、竣工资料汇总整理等所需的费用。</w:t>
      </w:r>
    </w:p>
    <w:p>
      <w:pPr>
        <w:spacing w:line="430" w:lineRule="exact"/>
        <w:ind w:left="1" w:firstLine="480" w:firstLineChars="200"/>
        <w:rPr>
          <w:rFonts w:hAnsi="宋体" w:eastAsia="宋体" w:cs="宋体"/>
          <w:color w:val="000000" w:themeColor="text1"/>
          <w:sz w:val="24"/>
          <w14:textFill>
            <w14:solidFill>
              <w14:schemeClr w14:val="tx1"/>
            </w14:solidFill>
          </w14:textFill>
        </w:rPr>
      </w:pPr>
      <w:r>
        <w:rPr>
          <w:rFonts w:hint="eastAsia" w:hAnsi="宋体" w:eastAsia="宋体" w:cs="宋体"/>
          <w:color w:val="000000" w:themeColor="text1"/>
          <w:sz w:val="24"/>
          <w14:textFill>
            <w14:solidFill>
              <w14:schemeClr w14:val="tx1"/>
            </w14:solidFill>
          </w14:textFill>
        </w:rPr>
        <w:t>3.1.9 同义词语</w:t>
      </w:r>
    </w:p>
    <w:p>
      <w:pPr>
        <w:spacing w:line="430" w:lineRule="exact"/>
        <w:ind w:left="1" w:firstLine="480" w:firstLineChars="200"/>
        <w:rPr>
          <w:rFonts w:hAnsi="宋体" w:eastAsia="宋体" w:cs="宋体"/>
          <w:color w:val="000000" w:themeColor="text1"/>
          <w:sz w:val="24"/>
          <w14:textFill>
            <w14:solidFill>
              <w14:schemeClr w14:val="tx1"/>
            </w14:solidFill>
          </w14:textFill>
        </w:rPr>
      </w:pPr>
      <w:r>
        <w:rPr>
          <w:rFonts w:hint="eastAsia" w:hAnsi="宋体" w:eastAsia="宋体" w:cs="宋体"/>
          <w:color w:val="000000" w:themeColor="text1"/>
          <w:sz w:val="24"/>
          <w14:textFill>
            <w14:solidFill>
              <w14:schemeClr w14:val="tx1"/>
            </w14:solidFill>
          </w14:textFill>
        </w:rPr>
        <w:t>本章中使用的词语“招标人”和“投标人”分别与合同条款中定义的“发包人”和“承包人”同义；就工程量清单而言，“子目”与“项目”同义。</w:t>
      </w:r>
    </w:p>
    <w:p>
      <w:pPr>
        <w:spacing w:line="430" w:lineRule="exact"/>
        <w:ind w:left="1" w:firstLine="480" w:firstLineChars="200"/>
        <w:rPr>
          <w:rFonts w:hAnsi="宋体" w:eastAsia="宋体" w:cs="宋体"/>
          <w:b/>
          <w:color w:val="000000" w:themeColor="text1"/>
          <w:sz w:val="24"/>
          <w14:textFill>
            <w14:solidFill>
              <w14:schemeClr w14:val="tx1"/>
            </w14:solidFill>
          </w14:textFill>
        </w:rPr>
      </w:pPr>
      <w:r>
        <w:rPr>
          <w:rFonts w:hint="eastAsia" w:hAnsi="宋体" w:eastAsia="宋体" w:cs="宋体"/>
          <w:color w:val="000000" w:themeColor="text1"/>
          <w:sz w:val="24"/>
          <w14:textFill>
            <w14:solidFill>
              <w14:schemeClr w14:val="tx1"/>
            </w14:solidFill>
          </w14:textFill>
        </w:rPr>
        <w:t>3.2工程量差异调整</w:t>
      </w:r>
    </w:p>
    <w:p>
      <w:pPr>
        <w:spacing w:line="430" w:lineRule="exact"/>
        <w:ind w:left="1" w:firstLine="480" w:firstLineChars="200"/>
        <w:rPr>
          <w:rFonts w:hAnsi="宋体" w:eastAsia="宋体" w:cs="宋体"/>
          <w:color w:val="000000" w:themeColor="text1"/>
          <w:sz w:val="24"/>
          <w14:textFill>
            <w14:solidFill>
              <w14:schemeClr w14:val="tx1"/>
            </w14:solidFill>
          </w14:textFill>
        </w:rPr>
      </w:pPr>
      <w:r>
        <w:rPr>
          <w:rFonts w:hint="eastAsia" w:hAnsi="宋体" w:eastAsia="宋体" w:cs="宋体"/>
          <w:color w:val="000000" w:themeColor="text1"/>
          <w:sz w:val="24"/>
          <w14:textFill>
            <w14:solidFill>
              <w14:schemeClr w14:val="tx1"/>
            </w14:solidFill>
          </w14:textFill>
        </w:rPr>
        <w:t>3.2.1 工程量清单中的工作内容分类、子目列项、特征描述以及“分部分项工程量清单与计价表”中附带的工程量都不应理解为是对承包(招标)范围以及合同工作内容的唯一的、最终的或全部的定义。</w:t>
      </w:r>
    </w:p>
    <w:p>
      <w:pPr>
        <w:spacing w:line="430" w:lineRule="exact"/>
        <w:ind w:left="1" w:firstLine="480" w:firstLineChars="200"/>
        <w:rPr>
          <w:rFonts w:hAnsi="宋体" w:eastAsia="宋体" w:cs="宋体"/>
          <w:color w:val="000000" w:themeColor="text1"/>
          <w:sz w:val="24"/>
          <w14:textFill>
            <w14:solidFill>
              <w14:schemeClr w14:val="tx1"/>
            </w14:solidFill>
          </w14:textFill>
        </w:rPr>
      </w:pPr>
      <w:r>
        <w:rPr>
          <w:rFonts w:hint="eastAsia" w:hAnsi="宋体" w:eastAsia="宋体" w:cs="宋体"/>
          <w:color w:val="000000" w:themeColor="text1"/>
          <w:sz w:val="24"/>
          <w14:textFill>
            <w14:solidFill>
              <w14:schemeClr w14:val="tx1"/>
            </w14:solidFill>
          </w14:textFill>
        </w:rPr>
        <w:t>3.2.2 投标人应对招标人提供的工程量清单进行认真细致的复核。这种复核包括对招标人提供的工程量清单中的子目编码、子目名称、子目特征描述、计量单位、工程量的准确性以及可能存在的任何书写、打印错误进行检查和复核，特别是对“分部分项工程量清单与计价表”中每个工作子目的工程量进行重新计算和校核。如果投标人经过检查和复核以后认为招标人提供的工程量清单存在差异，则投标人应将此类差异的详细情况连同按投标人须知规定提交的要求招标人澄清的其他问题一起提交给招标人，招标人将根据实际情况决定是否颁发工程量清单的补充和(或)修改文件。</w:t>
      </w:r>
    </w:p>
    <w:p>
      <w:pPr>
        <w:spacing w:line="430" w:lineRule="exact"/>
        <w:ind w:left="1" w:firstLine="480" w:firstLineChars="200"/>
        <w:rPr>
          <w:rFonts w:hAnsi="宋体" w:eastAsia="宋体" w:cs="宋体"/>
          <w:color w:val="000000" w:themeColor="text1"/>
          <w:sz w:val="24"/>
          <w14:textFill>
            <w14:solidFill>
              <w14:schemeClr w14:val="tx1"/>
            </w14:solidFill>
          </w14:textFill>
        </w:rPr>
      </w:pPr>
      <w:r>
        <w:rPr>
          <w:rFonts w:hint="eastAsia" w:hAnsi="宋体" w:eastAsia="宋体" w:cs="宋体"/>
          <w:color w:val="000000" w:themeColor="text1"/>
          <w:sz w:val="24"/>
          <w14:textFill>
            <w14:solidFill>
              <w14:schemeClr w14:val="tx1"/>
            </w14:solidFill>
          </w14:textFill>
        </w:rPr>
        <w:t>3.2.3 如果招标人在检查投标人根据上文第3.2.2项提交的工程量差异问题后认为没有必要对工程量清单进行补充和(或)修改，或者招标人根据上文第3.2.2项对工程量清单进行了补充和(或)修改，但投标人认为工程量清单中的工程量依然存在差异，则此类差异不再提交招标人答疑和修正，而是直接按招标人提供的工程量清单(包括招标人可能的补充和(或)修改)进行投标报价。投标人在按照工程量清单进行报价时，除按照本节2.7.3项要求对招标人提供的措施项目清单的内容进行细化或增减外，不得改变(包括对工程量清单子目的子目名称、子目特征描述、计量单位以及工程量的任何修改、增加或减少)招标人提供的分部分项工程量清单和其他项目清单。即使按照图纸和招标范围的约定并不存在的子目，只要在招标人提供的分部分项工程量清单中已经列明，投标人都需要对其报价，并纳入投标总价的计算。</w:t>
      </w:r>
    </w:p>
    <w:p>
      <w:pPr>
        <w:spacing w:line="430" w:lineRule="exact"/>
        <w:ind w:left="1" w:firstLine="480" w:firstLineChars="200"/>
        <w:rPr>
          <w:rFonts w:hAnsi="宋体" w:eastAsia="宋体" w:cs="宋体"/>
          <w:color w:val="000000" w:themeColor="text1"/>
          <w:sz w:val="24"/>
          <w14:textFill>
            <w14:solidFill>
              <w14:schemeClr w14:val="tx1"/>
            </w14:solidFill>
          </w14:textFill>
        </w:rPr>
      </w:pPr>
      <w:r>
        <w:rPr>
          <w:rFonts w:hint="eastAsia" w:hAnsi="宋体" w:eastAsia="宋体" w:cs="宋体"/>
          <w:color w:val="000000" w:themeColor="text1"/>
          <w:sz w:val="24"/>
          <w14:textFill>
            <w14:solidFill>
              <w14:schemeClr w14:val="tx1"/>
            </w14:solidFill>
          </w14:textFill>
        </w:rPr>
        <w:t>3.3暂列金额和暂估价</w:t>
      </w:r>
    </w:p>
    <w:p>
      <w:pPr>
        <w:spacing w:line="430" w:lineRule="exact"/>
        <w:ind w:left="1" w:firstLine="480" w:firstLineChars="200"/>
        <w:rPr>
          <w:rFonts w:hAnsi="宋体" w:eastAsia="宋体" w:cs="宋体"/>
          <w:color w:val="000000" w:themeColor="text1"/>
          <w:sz w:val="24"/>
          <w14:textFill>
            <w14:solidFill>
              <w14:schemeClr w14:val="tx1"/>
            </w14:solidFill>
          </w14:textFill>
        </w:rPr>
      </w:pPr>
      <w:r>
        <w:rPr>
          <w:rFonts w:hint="eastAsia" w:hAnsi="宋体" w:eastAsia="宋体" w:cs="宋体"/>
          <w:color w:val="000000" w:themeColor="text1"/>
          <w:sz w:val="24"/>
          <w14:textFill>
            <w14:solidFill>
              <w14:schemeClr w14:val="tx1"/>
            </w14:solidFill>
          </w14:textFill>
        </w:rPr>
        <w:t>3.3.1 “暂列金额明细表”中所列暂列金额(不包括计日工金额)中已经包含与其对应的管理费、利润和规费，但不含税金。投标人应按本招标文件规定将此类暂列金额直接纳入其他项目清单的投标价格并计取相应的税金，不需要考虑除税金以外的其他任何费用。</w:t>
      </w:r>
    </w:p>
    <w:p>
      <w:pPr>
        <w:spacing w:line="430" w:lineRule="exact"/>
        <w:ind w:left="1" w:firstLine="480" w:firstLineChars="200"/>
        <w:rPr>
          <w:rFonts w:hAnsi="宋体" w:eastAsia="宋体" w:cs="宋体"/>
          <w:color w:val="000000" w:themeColor="text1"/>
          <w:sz w:val="24"/>
          <w14:textFill>
            <w14:solidFill>
              <w14:schemeClr w14:val="tx1"/>
            </w14:solidFill>
          </w14:textFill>
        </w:rPr>
      </w:pPr>
      <w:r>
        <w:rPr>
          <w:rFonts w:hint="eastAsia" w:hAnsi="宋体" w:eastAsia="宋体" w:cs="宋体"/>
          <w:color w:val="000000" w:themeColor="text1"/>
          <w:sz w:val="24"/>
          <w14:textFill>
            <w14:solidFill>
              <w14:schemeClr w14:val="tx1"/>
            </w14:solidFill>
          </w14:textFill>
        </w:rPr>
        <w:t>3.3.2 “材料和工程设备暂估价表”中所列的材料和工程设备暂估价是此类材料、工程设备本身运至施工现场内的工地地面价，不包括其本身所对应的管理费、利润、规费、税金以及这些材料和工程设备的安装、安装所需要的辅助材料、安装损耗、驻厂监造以及发生在现场内的验收、存储、保管、开箱、二次倒运、从存放地点运至安装地点以及其他任何必要的辅助工作(以下简称“暂估价材料和工程设备的安装及辅助工作”)所发生的费用及其对应的管理费、利润、规费和税金。除应按本招标文件规定将此类暂估价本身纳入分部分项工程量清单相应子目的综合单价以外，投标人还应将上述材料和工程设备的安装及辅助工作所发生的费用以及与此类费用有关的管理费和利润包含在分部分项工程量清单相应子目的综合单价中，并计取相应的规费和税金。</w:t>
      </w:r>
    </w:p>
    <w:p>
      <w:pPr>
        <w:spacing w:line="430" w:lineRule="exact"/>
        <w:ind w:left="1" w:firstLine="480" w:firstLineChars="200"/>
        <w:rPr>
          <w:rFonts w:hAnsi="宋体" w:eastAsia="宋体" w:cs="宋体"/>
          <w:color w:val="000000" w:themeColor="text1"/>
          <w:sz w:val="24"/>
          <w14:textFill>
            <w14:solidFill>
              <w14:schemeClr w14:val="tx1"/>
            </w14:solidFill>
          </w14:textFill>
        </w:rPr>
      </w:pPr>
      <w:r>
        <w:rPr>
          <w:rFonts w:hint="eastAsia" w:hAnsi="宋体" w:eastAsia="宋体" w:cs="宋体"/>
          <w:color w:val="000000" w:themeColor="text1"/>
          <w:sz w:val="24"/>
          <w14:textFill>
            <w14:solidFill>
              <w14:schemeClr w14:val="tx1"/>
            </w14:solidFill>
          </w14:textFill>
        </w:rPr>
        <w:t>3.3.3 专业工程暂估价表中所列的专业工程暂估价已经包含与其对应的管理费、利润和规费，但不含税金。投标人应按本招标文件规定将此类暂估价直接纳入其他项目清单的投标价格并计取相应的税金。除按本招标文件规定将此类暂估价纳入其他项目清单的投标价格并计取相应的税金以外，投标人还需要根据招标文件规定的内容考虑相应的总承包服务费以及与总承包服务费有关的规费和税金。</w:t>
      </w:r>
    </w:p>
    <w:p>
      <w:pPr>
        <w:spacing w:line="430" w:lineRule="exact"/>
        <w:ind w:left="1" w:firstLine="480" w:firstLineChars="200"/>
        <w:rPr>
          <w:rFonts w:hAnsi="宋体" w:eastAsia="宋体" w:cs="宋体"/>
          <w:color w:val="000000" w:themeColor="text1"/>
          <w:sz w:val="24"/>
          <w:u w:val="single"/>
          <w14:textFill>
            <w14:solidFill>
              <w14:schemeClr w14:val="tx1"/>
            </w14:solidFill>
          </w14:textFill>
        </w:rPr>
      </w:pPr>
      <w:r>
        <w:rPr>
          <w:rFonts w:hint="eastAsia" w:hAnsi="宋体" w:eastAsia="宋体" w:cs="宋体"/>
          <w:color w:val="000000" w:themeColor="text1"/>
          <w:sz w:val="24"/>
          <w14:textFill>
            <w14:solidFill>
              <w14:schemeClr w14:val="tx1"/>
            </w14:solidFill>
          </w14:textFill>
        </w:rPr>
        <w:t>3.4其他补充说明</w:t>
      </w:r>
      <w:r>
        <w:rPr>
          <w:rFonts w:hint="eastAsia" w:hAnsi="宋体" w:eastAsia="宋体" w:cs="宋体"/>
          <w:color w:val="000000" w:themeColor="text1"/>
          <w:sz w:val="24"/>
          <w:u w:val="single"/>
          <w14:textFill>
            <w14:solidFill>
              <w14:schemeClr w14:val="tx1"/>
            </w14:solidFill>
          </w14:textFill>
        </w:rPr>
        <w:t xml:space="preserve">     /  ；</w:t>
      </w:r>
    </w:p>
    <w:p>
      <w:pPr>
        <w:spacing w:line="440" w:lineRule="exact"/>
        <w:rPr>
          <w:rFonts w:hAnsi="宋体" w:eastAsia="宋体" w:cs="宋体"/>
          <w:b/>
          <w:color w:val="000000" w:themeColor="text1"/>
          <w:sz w:val="24"/>
          <w14:textFill>
            <w14:solidFill>
              <w14:schemeClr w14:val="tx1"/>
            </w14:solidFill>
          </w14:textFill>
        </w:rPr>
      </w:pPr>
      <w:r>
        <w:rPr>
          <w:rFonts w:hint="eastAsia" w:hAnsi="宋体" w:eastAsia="宋体" w:cs="宋体"/>
          <w:b/>
          <w:color w:val="000000" w:themeColor="text1"/>
          <w:sz w:val="24"/>
          <w14:textFill>
            <w14:solidFill>
              <w14:schemeClr w14:val="tx1"/>
            </w14:solidFill>
          </w14:textFill>
        </w:rPr>
        <w:t>4．工程量清单</w:t>
      </w:r>
    </w:p>
    <w:p>
      <w:pPr>
        <w:spacing w:line="440" w:lineRule="exact"/>
        <w:ind w:firstLine="480" w:firstLineChars="200"/>
        <w:rPr>
          <w:rFonts w:hAnsi="宋体" w:eastAsia="宋体" w:cs="宋体"/>
          <w:color w:val="000000" w:themeColor="text1"/>
          <w:sz w:val="24"/>
          <w:u w:val="single"/>
          <w14:textFill>
            <w14:solidFill>
              <w14:schemeClr w14:val="tx1"/>
            </w14:solidFill>
          </w14:textFill>
        </w:rPr>
      </w:pPr>
      <w:r>
        <w:rPr>
          <w:rFonts w:hint="eastAsia" w:hAnsi="宋体" w:eastAsia="宋体" w:cs="宋体"/>
          <w:color w:val="000000" w:themeColor="text1"/>
          <w:sz w:val="24"/>
          <w:u w:val="single"/>
          <w14:textFill>
            <w14:solidFill>
              <w14:schemeClr w14:val="tx1"/>
            </w14:solidFill>
          </w14:textFill>
        </w:rPr>
        <w:t>工程量清单在【全国公共资源交易平台（河南省·许昌市）】上自行下载。</w:t>
      </w:r>
    </w:p>
    <w:p>
      <w:pPr>
        <w:autoSpaceDE w:val="0"/>
        <w:autoSpaceDN w:val="0"/>
        <w:adjustRightInd w:val="0"/>
        <w:spacing w:afterLines="50"/>
        <w:jc w:val="center"/>
        <w:outlineLvl w:val="0"/>
        <w:rPr>
          <w:rFonts w:hint="eastAsia"/>
          <w:b/>
          <w:bCs/>
          <w:color w:val="000000" w:themeColor="text1"/>
          <w:kern w:val="0"/>
          <w:sz w:val="36"/>
          <w:szCs w:val="36"/>
          <w14:textFill>
            <w14:solidFill>
              <w14:schemeClr w14:val="tx1"/>
            </w14:solidFill>
          </w14:textFill>
        </w:rPr>
      </w:pPr>
      <w:r>
        <w:rPr>
          <w:rFonts w:hint="eastAsia"/>
          <w:b/>
          <w:bCs/>
          <w:color w:val="FF0000"/>
          <w:kern w:val="0"/>
          <w:sz w:val="36"/>
          <w:szCs w:val="36"/>
        </w:rPr>
        <w:br w:type="page"/>
      </w:r>
      <w:bookmarkEnd w:id="330"/>
      <w:r>
        <w:rPr>
          <w:rFonts w:hint="eastAsia"/>
          <w:b/>
          <w:bCs/>
          <w:color w:val="000000" w:themeColor="text1"/>
          <w:kern w:val="0"/>
          <w:sz w:val="36"/>
          <w:szCs w:val="36"/>
          <w14:textFill>
            <w14:solidFill>
              <w14:schemeClr w14:val="tx1"/>
            </w14:solidFill>
          </w14:textFill>
        </w:rPr>
        <w:t>第六章   图  纸</w:t>
      </w:r>
    </w:p>
    <w:p>
      <w:pPr>
        <w:autoSpaceDE w:val="0"/>
        <w:autoSpaceDN w:val="0"/>
        <w:adjustRightInd w:val="0"/>
        <w:spacing w:afterLines="50"/>
        <w:jc w:val="center"/>
        <w:outlineLvl w:val="0"/>
        <w:rPr>
          <w:rFonts w:hint="eastAsia"/>
          <w:b/>
          <w:bCs/>
          <w:color w:val="000000" w:themeColor="text1"/>
          <w:kern w:val="0"/>
          <w:sz w:val="30"/>
          <w:szCs w:val="30"/>
          <w14:textFill>
            <w14:solidFill>
              <w14:schemeClr w14:val="tx1"/>
            </w14:solidFill>
          </w14:textFill>
        </w:rPr>
      </w:pPr>
      <w:r>
        <w:rPr>
          <w:rFonts w:hint="eastAsia"/>
          <w:b/>
          <w:bCs/>
          <w:color w:val="000000" w:themeColor="text1"/>
          <w:kern w:val="0"/>
          <w:sz w:val="30"/>
          <w:szCs w:val="30"/>
          <w14:textFill>
            <w14:solidFill>
              <w14:schemeClr w14:val="tx1"/>
            </w14:solidFill>
          </w14:textFill>
        </w:rPr>
        <w:t>按照招标文件中第二章投标人须知前附表第2.1项下载。</w:t>
      </w:r>
    </w:p>
    <w:p>
      <w:pPr>
        <w:autoSpaceDE w:val="0"/>
        <w:autoSpaceDN w:val="0"/>
        <w:adjustRightInd w:val="0"/>
        <w:spacing w:afterLines="50"/>
        <w:jc w:val="center"/>
        <w:outlineLvl w:val="9"/>
        <w:rPr>
          <w:rFonts w:hint="eastAsia" w:eastAsia="宋体"/>
          <w:b/>
          <w:bCs/>
          <w:color w:val="FF0000"/>
          <w:kern w:val="0"/>
          <w:sz w:val="36"/>
          <w:szCs w:val="36"/>
          <w:lang w:eastAsia="zh-CN"/>
        </w:rPr>
      </w:pPr>
    </w:p>
    <w:p>
      <w:pPr>
        <w:pStyle w:val="2"/>
        <w:outlineLvl w:val="9"/>
        <w:rPr>
          <w:rFonts w:hint="eastAsia"/>
          <w:lang w:eastAsia="zh-CN"/>
        </w:rPr>
      </w:pPr>
    </w:p>
    <w:p>
      <w:pPr>
        <w:autoSpaceDE w:val="0"/>
        <w:autoSpaceDN w:val="0"/>
        <w:adjustRightInd w:val="0"/>
        <w:spacing w:afterLines="50"/>
        <w:jc w:val="center"/>
        <w:outlineLvl w:val="9"/>
        <w:rPr>
          <w:rFonts w:hint="eastAsia"/>
          <w:b/>
          <w:bCs/>
          <w:color w:val="FF0000"/>
          <w:kern w:val="0"/>
          <w:sz w:val="36"/>
          <w:szCs w:val="36"/>
        </w:rPr>
      </w:pPr>
    </w:p>
    <w:p>
      <w:pPr>
        <w:autoSpaceDE w:val="0"/>
        <w:autoSpaceDN w:val="0"/>
        <w:adjustRightInd w:val="0"/>
        <w:spacing w:afterLines="50"/>
        <w:jc w:val="center"/>
        <w:outlineLvl w:val="9"/>
        <w:rPr>
          <w:rFonts w:hint="eastAsia"/>
          <w:b/>
          <w:bCs/>
          <w:color w:val="FF0000"/>
          <w:kern w:val="0"/>
          <w:sz w:val="36"/>
          <w:szCs w:val="36"/>
        </w:rPr>
      </w:pPr>
    </w:p>
    <w:p>
      <w:pPr>
        <w:autoSpaceDE w:val="0"/>
        <w:autoSpaceDN w:val="0"/>
        <w:adjustRightInd w:val="0"/>
        <w:spacing w:afterLines="50"/>
        <w:jc w:val="center"/>
        <w:outlineLvl w:val="9"/>
        <w:rPr>
          <w:rFonts w:hint="eastAsia"/>
          <w:b/>
          <w:bCs/>
          <w:color w:val="FF0000"/>
          <w:kern w:val="0"/>
          <w:sz w:val="36"/>
          <w:szCs w:val="36"/>
        </w:rPr>
      </w:pPr>
    </w:p>
    <w:p>
      <w:pPr>
        <w:autoSpaceDE w:val="0"/>
        <w:autoSpaceDN w:val="0"/>
        <w:adjustRightInd w:val="0"/>
        <w:spacing w:afterLines="50"/>
        <w:jc w:val="center"/>
        <w:outlineLvl w:val="9"/>
        <w:rPr>
          <w:rFonts w:hint="eastAsia"/>
          <w:b/>
          <w:bCs/>
          <w:color w:val="FF0000"/>
          <w:kern w:val="0"/>
          <w:sz w:val="36"/>
          <w:szCs w:val="36"/>
        </w:rPr>
      </w:pPr>
    </w:p>
    <w:p>
      <w:pPr>
        <w:autoSpaceDE w:val="0"/>
        <w:autoSpaceDN w:val="0"/>
        <w:adjustRightInd w:val="0"/>
        <w:spacing w:afterLines="50"/>
        <w:jc w:val="center"/>
        <w:outlineLvl w:val="9"/>
        <w:rPr>
          <w:rFonts w:hint="eastAsia"/>
          <w:b/>
          <w:bCs/>
          <w:color w:val="FF0000"/>
          <w:kern w:val="0"/>
          <w:sz w:val="36"/>
          <w:szCs w:val="36"/>
        </w:rPr>
      </w:pPr>
    </w:p>
    <w:p>
      <w:pPr>
        <w:autoSpaceDE w:val="0"/>
        <w:autoSpaceDN w:val="0"/>
        <w:adjustRightInd w:val="0"/>
        <w:spacing w:afterLines="50"/>
        <w:jc w:val="center"/>
        <w:outlineLvl w:val="9"/>
        <w:rPr>
          <w:rFonts w:hint="eastAsia"/>
          <w:b/>
          <w:bCs/>
          <w:color w:val="FF0000"/>
          <w:kern w:val="0"/>
          <w:sz w:val="36"/>
          <w:szCs w:val="36"/>
        </w:rPr>
      </w:pPr>
    </w:p>
    <w:p>
      <w:pPr>
        <w:autoSpaceDE w:val="0"/>
        <w:autoSpaceDN w:val="0"/>
        <w:adjustRightInd w:val="0"/>
        <w:spacing w:afterLines="50"/>
        <w:jc w:val="center"/>
        <w:outlineLvl w:val="9"/>
        <w:rPr>
          <w:rFonts w:hint="eastAsia"/>
          <w:b/>
          <w:bCs/>
          <w:color w:val="FF0000"/>
          <w:kern w:val="0"/>
          <w:sz w:val="36"/>
          <w:szCs w:val="36"/>
        </w:rPr>
      </w:pPr>
    </w:p>
    <w:p>
      <w:pPr>
        <w:autoSpaceDE w:val="0"/>
        <w:autoSpaceDN w:val="0"/>
        <w:adjustRightInd w:val="0"/>
        <w:spacing w:afterLines="50"/>
        <w:jc w:val="center"/>
        <w:outlineLvl w:val="9"/>
        <w:rPr>
          <w:rFonts w:hint="eastAsia"/>
          <w:b/>
          <w:bCs/>
          <w:color w:val="FF0000"/>
          <w:kern w:val="0"/>
          <w:sz w:val="36"/>
          <w:szCs w:val="36"/>
        </w:rPr>
      </w:pPr>
    </w:p>
    <w:p>
      <w:pPr>
        <w:autoSpaceDE w:val="0"/>
        <w:autoSpaceDN w:val="0"/>
        <w:adjustRightInd w:val="0"/>
        <w:spacing w:afterLines="50"/>
        <w:jc w:val="center"/>
        <w:outlineLvl w:val="9"/>
        <w:rPr>
          <w:rFonts w:hint="eastAsia"/>
          <w:b/>
          <w:bCs/>
          <w:color w:val="FF0000"/>
          <w:kern w:val="0"/>
          <w:sz w:val="36"/>
          <w:szCs w:val="36"/>
        </w:rPr>
      </w:pPr>
    </w:p>
    <w:p>
      <w:pPr>
        <w:autoSpaceDE w:val="0"/>
        <w:autoSpaceDN w:val="0"/>
        <w:adjustRightInd w:val="0"/>
        <w:spacing w:afterLines="50"/>
        <w:jc w:val="center"/>
        <w:outlineLvl w:val="9"/>
        <w:rPr>
          <w:rFonts w:hint="eastAsia"/>
          <w:b/>
          <w:bCs/>
          <w:color w:val="FF0000"/>
          <w:kern w:val="0"/>
          <w:sz w:val="36"/>
          <w:szCs w:val="36"/>
        </w:rPr>
      </w:pPr>
    </w:p>
    <w:p>
      <w:pPr>
        <w:autoSpaceDE w:val="0"/>
        <w:autoSpaceDN w:val="0"/>
        <w:adjustRightInd w:val="0"/>
        <w:spacing w:afterLines="50"/>
        <w:jc w:val="center"/>
        <w:outlineLvl w:val="9"/>
        <w:rPr>
          <w:rFonts w:hint="eastAsia"/>
          <w:b/>
          <w:bCs/>
          <w:color w:val="FF0000"/>
          <w:kern w:val="0"/>
          <w:sz w:val="36"/>
          <w:szCs w:val="36"/>
        </w:rPr>
      </w:pPr>
    </w:p>
    <w:p>
      <w:pPr>
        <w:autoSpaceDE w:val="0"/>
        <w:autoSpaceDN w:val="0"/>
        <w:adjustRightInd w:val="0"/>
        <w:spacing w:afterLines="50"/>
        <w:jc w:val="center"/>
        <w:outlineLvl w:val="9"/>
        <w:rPr>
          <w:rFonts w:hint="eastAsia"/>
          <w:b/>
          <w:bCs/>
          <w:color w:val="FF0000"/>
          <w:kern w:val="0"/>
          <w:sz w:val="36"/>
          <w:szCs w:val="36"/>
        </w:rPr>
      </w:pPr>
    </w:p>
    <w:p>
      <w:pPr>
        <w:autoSpaceDE w:val="0"/>
        <w:autoSpaceDN w:val="0"/>
        <w:adjustRightInd w:val="0"/>
        <w:spacing w:afterLines="50"/>
        <w:jc w:val="center"/>
        <w:outlineLvl w:val="9"/>
        <w:rPr>
          <w:rFonts w:hint="eastAsia"/>
          <w:b/>
          <w:bCs/>
          <w:color w:val="FF0000"/>
          <w:kern w:val="0"/>
          <w:sz w:val="36"/>
          <w:szCs w:val="36"/>
        </w:rPr>
      </w:pPr>
    </w:p>
    <w:p>
      <w:pPr>
        <w:autoSpaceDE w:val="0"/>
        <w:autoSpaceDN w:val="0"/>
        <w:adjustRightInd w:val="0"/>
        <w:spacing w:afterLines="50"/>
        <w:jc w:val="both"/>
        <w:outlineLvl w:val="9"/>
        <w:rPr>
          <w:rFonts w:hint="eastAsia"/>
          <w:b/>
          <w:bCs/>
          <w:color w:val="FF0000"/>
          <w:kern w:val="0"/>
          <w:sz w:val="36"/>
          <w:szCs w:val="36"/>
        </w:rPr>
      </w:pPr>
    </w:p>
    <w:p>
      <w:pPr>
        <w:autoSpaceDE w:val="0"/>
        <w:autoSpaceDN w:val="0"/>
        <w:adjustRightInd w:val="0"/>
        <w:spacing w:afterLines="50"/>
        <w:jc w:val="center"/>
        <w:outlineLvl w:val="0"/>
        <w:rPr>
          <w:b/>
          <w:bCs/>
          <w:kern w:val="0"/>
          <w:sz w:val="36"/>
          <w:szCs w:val="36"/>
        </w:rPr>
      </w:pPr>
      <w:r>
        <w:rPr>
          <w:rFonts w:hint="eastAsia" w:ascii="宋体" w:hAnsi="宋体"/>
          <w:b/>
          <w:bCs/>
          <w:kern w:val="0"/>
          <w:sz w:val="36"/>
          <w:szCs w:val="36"/>
        </w:rPr>
        <w:t>第</w:t>
      </w:r>
      <w:r>
        <w:rPr>
          <w:rFonts w:hint="eastAsia" w:ascii="宋体" w:hAnsi="宋体"/>
          <w:b/>
          <w:bCs/>
          <w:kern w:val="0"/>
          <w:sz w:val="36"/>
          <w:szCs w:val="36"/>
          <w:lang w:val="en-US" w:eastAsia="zh-CN"/>
        </w:rPr>
        <w:t>七</w:t>
      </w:r>
      <w:r>
        <w:rPr>
          <w:rFonts w:hint="eastAsia" w:ascii="宋体" w:hAnsi="宋体"/>
          <w:b/>
          <w:bCs/>
          <w:kern w:val="0"/>
          <w:sz w:val="36"/>
          <w:szCs w:val="36"/>
        </w:rPr>
        <w:t>章</w:t>
      </w:r>
      <w:bookmarkStart w:id="331" w:name="_Toc278443522"/>
      <w:bookmarkEnd w:id="331"/>
      <w:r>
        <w:rPr>
          <w:rFonts w:hint="eastAsia" w:ascii="宋体" w:hAnsi="宋体"/>
          <w:b/>
          <w:bCs/>
          <w:kern w:val="0"/>
          <w:sz w:val="36"/>
          <w:szCs w:val="36"/>
        </w:rPr>
        <w:t>技术标准和要求</w:t>
      </w:r>
    </w:p>
    <w:p>
      <w:pPr>
        <w:ind w:firstLine="562" w:firstLineChars="200"/>
        <w:jc w:val="left"/>
        <w:rPr>
          <w:rFonts w:hint="eastAsia" w:ascii="宋体" w:hAnsi="宋体" w:eastAsia="宋体" w:cs="宋体"/>
          <w:b/>
          <w:bCs/>
          <w:sz w:val="28"/>
          <w:szCs w:val="28"/>
        </w:rPr>
      </w:pPr>
      <w:bookmarkStart w:id="332" w:name="_Toc278443525"/>
      <w:bookmarkEnd w:id="332"/>
      <w:r>
        <w:rPr>
          <w:rFonts w:hint="eastAsia" w:ascii="宋体" w:hAnsi="宋体" w:eastAsia="宋体" w:cs="宋体"/>
          <w:b/>
          <w:bCs/>
          <w:sz w:val="28"/>
          <w:szCs w:val="28"/>
        </w:rPr>
        <w:t>本工程技术标准和要求以本工程施工图纸和适用的国家、行业以及地方规范、标准和规程为准。</w:t>
      </w:r>
    </w:p>
    <w:p>
      <w:pPr>
        <w:ind w:firstLine="551" w:firstLineChars="196"/>
        <w:jc w:val="left"/>
        <w:rPr>
          <w:rFonts w:hint="eastAsia" w:ascii="宋体" w:hAnsi="宋体" w:eastAsia="宋体" w:cs="宋体"/>
          <w:sz w:val="28"/>
          <w:szCs w:val="28"/>
        </w:rPr>
      </w:pPr>
      <w:r>
        <w:rPr>
          <w:rFonts w:hint="eastAsia" w:ascii="宋体" w:hAnsi="宋体" w:eastAsia="宋体" w:cs="宋体"/>
          <w:b/>
          <w:bCs/>
          <w:sz w:val="28"/>
          <w:szCs w:val="28"/>
        </w:rPr>
        <w:t>除非另有说明，本工程适用所有现行有效的相关国家、行业以及地方规范、规程和标准。上述规范、规程和标准均指它们各自的最新版本。如果上述规范、规程和标准之间出现矛盾或与合同其他内容存在不一致，承包人应书面请求发包人澄清，发包人未予澄清者，按其中最高的要求或最严格的标准执行。</w:t>
      </w:r>
    </w:p>
    <w:p>
      <w:pPr>
        <w:ind w:firstLine="422" w:firstLineChars="200"/>
        <w:jc w:val="left"/>
        <w:rPr>
          <w:rFonts w:ascii="新宋体" w:hAnsi="新宋体" w:eastAsia="新宋体"/>
          <w:b/>
          <w:bCs/>
        </w:rPr>
      </w:pPr>
    </w:p>
    <w:p>
      <w:pPr>
        <w:ind w:firstLine="422" w:firstLineChars="200"/>
        <w:jc w:val="left"/>
        <w:rPr>
          <w:rFonts w:ascii="新宋体" w:hAnsi="新宋体" w:eastAsia="新宋体"/>
          <w:b/>
          <w:bCs/>
        </w:rPr>
      </w:pPr>
    </w:p>
    <w:p>
      <w:pPr>
        <w:ind w:firstLine="422" w:firstLineChars="200"/>
        <w:jc w:val="left"/>
        <w:rPr>
          <w:rFonts w:ascii="新宋体" w:hAnsi="新宋体" w:eastAsia="新宋体"/>
          <w:b/>
          <w:bCs/>
        </w:rPr>
      </w:pPr>
    </w:p>
    <w:p>
      <w:pPr>
        <w:pStyle w:val="2"/>
        <w:spacing w:line="240" w:lineRule="auto"/>
        <w:outlineLvl w:val="9"/>
        <w:rPr>
          <w:kern w:val="0"/>
        </w:rPr>
      </w:pPr>
      <w:bookmarkStart w:id="333" w:name="_Toc397606017"/>
      <w:bookmarkEnd w:id="333"/>
      <w:bookmarkStart w:id="334" w:name="_Toc397507821"/>
      <w:bookmarkEnd w:id="334"/>
    </w:p>
    <w:p/>
    <w:p>
      <w:r>
        <w:rPr>
          <w:b/>
          <w:bCs/>
          <w:kern w:val="0"/>
          <w:sz w:val="36"/>
          <w:szCs w:val="36"/>
        </w:rPr>
        <w:br w:type="page"/>
      </w:r>
      <w:bookmarkStart w:id="335" w:name="_Toc464824792"/>
      <w:bookmarkEnd w:id="335"/>
    </w:p>
    <w:p>
      <w:pPr>
        <w:ind w:left="180"/>
        <w:jc w:val="right"/>
      </w:pPr>
    </w:p>
    <w:p>
      <w:pPr>
        <w:autoSpaceDE w:val="0"/>
        <w:autoSpaceDN w:val="0"/>
        <w:adjustRightInd w:val="0"/>
        <w:snapToGrid w:val="0"/>
        <w:spacing w:line="360" w:lineRule="auto"/>
        <w:jc w:val="center"/>
        <w:outlineLvl w:val="0"/>
        <w:rPr>
          <w:rFonts w:asciiTheme="minorEastAsia" w:hAnsiTheme="minorEastAsia"/>
          <w:b/>
          <w:bCs/>
          <w:kern w:val="0"/>
          <w:sz w:val="36"/>
          <w:szCs w:val="36"/>
        </w:rPr>
      </w:pPr>
      <w:bookmarkStart w:id="336" w:name="_Toc7581"/>
      <w:r>
        <w:rPr>
          <w:rFonts w:hint="eastAsia" w:hAnsi="宋体" w:cs="宋体"/>
          <w:b/>
          <w:sz w:val="44"/>
          <w:szCs w:val="44"/>
        </w:rPr>
        <w:t>第</w:t>
      </w:r>
      <w:r>
        <w:rPr>
          <w:rFonts w:hint="eastAsia" w:hAnsi="宋体" w:cs="宋体"/>
          <w:b/>
          <w:sz w:val="44"/>
          <w:szCs w:val="44"/>
          <w:lang w:val="en-US" w:eastAsia="zh-CN"/>
        </w:rPr>
        <w:t>八</w:t>
      </w:r>
      <w:r>
        <w:rPr>
          <w:rFonts w:hint="eastAsia" w:hAnsi="宋体" w:cs="宋体"/>
          <w:b/>
          <w:sz w:val="44"/>
          <w:szCs w:val="44"/>
        </w:rPr>
        <w:t>章</w:t>
      </w:r>
      <w:bookmarkEnd w:id="336"/>
      <w:r>
        <w:rPr>
          <w:rFonts w:hint="eastAsia" w:hAnsi="宋体" w:cs="宋体"/>
          <w:b/>
          <w:sz w:val="44"/>
          <w:szCs w:val="44"/>
        </w:rPr>
        <w:t>投标文件格式</w:t>
      </w:r>
    </w:p>
    <w:p>
      <w:pPr>
        <w:autoSpaceDE w:val="0"/>
        <w:autoSpaceDN w:val="0"/>
        <w:adjustRightInd w:val="0"/>
        <w:ind w:firstLine="1608" w:firstLineChars="445"/>
        <w:rPr>
          <w:rFonts w:ascii="宋体" w:hAnsi="宋体"/>
          <w:b/>
          <w:bCs/>
          <w:sz w:val="36"/>
          <w:szCs w:val="36"/>
          <w:u w:val="single"/>
        </w:rPr>
      </w:pPr>
    </w:p>
    <w:p>
      <w:pPr>
        <w:autoSpaceDE w:val="0"/>
        <w:autoSpaceDN w:val="0"/>
        <w:adjustRightInd w:val="0"/>
        <w:ind w:firstLine="1608" w:firstLineChars="445"/>
        <w:rPr>
          <w:rFonts w:ascii="宋体" w:hAnsi="宋体"/>
          <w:b/>
          <w:bCs/>
          <w:spacing w:val="60"/>
          <w:sz w:val="36"/>
          <w:szCs w:val="36"/>
        </w:rPr>
      </w:pPr>
      <w:r>
        <w:rPr>
          <w:rFonts w:hint="eastAsia" w:ascii="宋体" w:hAnsi="宋体"/>
          <w:b/>
          <w:bCs/>
          <w:sz w:val="36"/>
          <w:szCs w:val="36"/>
          <w:u w:val="single"/>
        </w:rPr>
        <w:t xml:space="preserve">           (项目名称)</w:t>
      </w:r>
      <w:r>
        <w:rPr>
          <w:rFonts w:hint="eastAsia" w:ascii="宋体" w:hAnsi="宋体"/>
          <w:b/>
          <w:bCs/>
          <w:sz w:val="36"/>
          <w:szCs w:val="36"/>
          <w:u w:val="single"/>
          <w:lang w:val="en-US" w:eastAsia="zh-CN"/>
        </w:rPr>
        <w:t xml:space="preserve"> </w:t>
      </w:r>
      <w:r>
        <w:rPr>
          <w:rFonts w:hint="eastAsia" w:ascii="宋体" w:hAnsi="宋体"/>
          <w:b/>
          <w:bCs/>
          <w:sz w:val="36"/>
          <w:szCs w:val="36"/>
          <w:u w:val="single"/>
        </w:rPr>
        <w:t xml:space="preserve">         </w:t>
      </w:r>
    </w:p>
    <w:p>
      <w:pPr>
        <w:ind w:left="180"/>
        <w:jc w:val="center"/>
        <w:rPr>
          <w:rFonts w:ascii="宋体" w:hAnsi="宋体"/>
          <w:b/>
          <w:bCs/>
          <w:sz w:val="36"/>
          <w:szCs w:val="36"/>
        </w:rPr>
      </w:pPr>
      <w:r>
        <w:rPr>
          <w:rFonts w:hint="eastAsia" w:ascii="宋体" w:hAnsi="宋体"/>
          <w:b/>
          <w:bCs/>
          <w:sz w:val="36"/>
          <w:szCs w:val="36"/>
        </w:rPr>
        <w:t>项目编号：</w:t>
      </w:r>
    </w:p>
    <w:p>
      <w:pPr>
        <w:ind w:left="180"/>
        <w:rPr>
          <w:rFonts w:ascii="宋体" w:hAnsi="宋体"/>
          <w:sz w:val="36"/>
          <w:szCs w:val="36"/>
        </w:rPr>
      </w:pPr>
    </w:p>
    <w:p>
      <w:pPr>
        <w:ind w:left="180"/>
        <w:jc w:val="center"/>
        <w:rPr>
          <w:rFonts w:ascii="宋体" w:hAnsi="宋体"/>
          <w:b/>
          <w:bCs/>
          <w:sz w:val="52"/>
          <w:szCs w:val="52"/>
        </w:rPr>
      </w:pPr>
      <w:r>
        <w:rPr>
          <w:rFonts w:hint="eastAsia" w:ascii="宋体" w:hAnsi="宋体"/>
          <w:b/>
          <w:bCs/>
          <w:sz w:val="52"/>
          <w:szCs w:val="52"/>
        </w:rPr>
        <w:t>投 标 文 件</w:t>
      </w:r>
    </w:p>
    <w:p>
      <w:pPr>
        <w:ind w:left="180"/>
        <w:jc w:val="center"/>
        <w:rPr>
          <w:rFonts w:ascii="宋体" w:hAnsi="宋体"/>
          <w:sz w:val="36"/>
          <w:szCs w:val="36"/>
        </w:rPr>
      </w:pPr>
      <w:r>
        <w:rPr>
          <w:rFonts w:hint="eastAsia" w:ascii="宋体" w:hAnsi="宋体"/>
          <w:b/>
          <w:bCs/>
          <w:sz w:val="36"/>
          <w:szCs w:val="36"/>
        </w:rPr>
        <w:t>（商务标）</w:t>
      </w:r>
    </w:p>
    <w:p>
      <w:pPr>
        <w:ind w:left="180"/>
        <w:rPr>
          <w:rFonts w:ascii="宋体" w:hAnsi="宋体"/>
          <w:b/>
          <w:bCs/>
          <w:sz w:val="36"/>
          <w:szCs w:val="36"/>
        </w:rPr>
      </w:pPr>
    </w:p>
    <w:p>
      <w:pPr>
        <w:ind w:left="180"/>
        <w:rPr>
          <w:rFonts w:ascii="宋体" w:hAnsi="宋体"/>
          <w:sz w:val="36"/>
          <w:szCs w:val="36"/>
        </w:rPr>
      </w:pPr>
    </w:p>
    <w:p>
      <w:pPr>
        <w:ind w:left="180"/>
        <w:rPr>
          <w:rFonts w:ascii="宋体" w:hAnsi="宋体"/>
          <w:sz w:val="36"/>
          <w:szCs w:val="36"/>
        </w:rPr>
      </w:pPr>
    </w:p>
    <w:p>
      <w:pPr>
        <w:pStyle w:val="2"/>
      </w:pPr>
    </w:p>
    <w:p/>
    <w:p>
      <w:pPr>
        <w:pStyle w:val="2"/>
      </w:pPr>
    </w:p>
    <w:p>
      <w:pPr>
        <w:ind w:left="180"/>
        <w:rPr>
          <w:rFonts w:ascii="宋体" w:hAnsi="宋体"/>
          <w:sz w:val="36"/>
          <w:szCs w:val="36"/>
        </w:rPr>
      </w:pPr>
    </w:p>
    <w:p>
      <w:pPr>
        <w:spacing w:line="360" w:lineRule="auto"/>
        <w:ind w:firstLine="1506" w:firstLineChars="500"/>
        <w:rPr>
          <w:rFonts w:ascii="宋体" w:hAnsi="宋体"/>
          <w:b/>
          <w:bCs/>
          <w:sz w:val="30"/>
          <w:szCs w:val="30"/>
        </w:rPr>
      </w:pPr>
      <w:r>
        <w:rPr>
          <w:rFonts w:hint="eastAsia" w:ascii="宋体" w:hAnsi="宋体"/>
          <w:b/>
          <w:bCs/>
          <w:sz w:val="30"/>
          <w:szCs w:val="30"/>
        </w:rPr>
        <w:t>投标人:(盖单位章)</w:t>
      </w:r>
    </w:p>
    <w:p>
      <w:pPr>
        <w:tabs>
          <w:tab w:val="center" w:pos="4739"/>
        </w:tabs>
        <w:spacing w:line="360" w:lineRule="auto"/>
        <w:ind w:left="181" w:leftChars="86" w:firstLine="1202" w:firstLineChars="399"/>
        <w:rPr>
          <w:rFonts w:ascii="黑体" w:eastAsia="黑体"/>
          <w:b/>
          <w:sz w:val="30"/>
          <w:szCs w:val="30"/>
        </w:rPr>
      </w:pPr>
      <w:r>
        <w:rPr>
          <w:rFonts w:hint="eastAsia" w:ascii="宋体" w:hAnsi="宋体"/>
          <w:b/>
          <w:bCs/>
          <w:sz w:val="30"/>
          <w:szCs w:val="30"/>
        </w:rPr>
        <w:t>法定代表人或其委托代理人:(签字</w:t>
      </w:r>
      <w:r>
        <w:rPr>
          <w:rFonts w:hint="eastAsia" w:ascii="黑体" w:eastAsia="黑体"/>
          <w:b/>
          <w:sz w:val="30"/>
          <w:szCs w:val="30"/>
        </w:rPr>
        <w:t>)</w:t>
      </w:r>
    </w:p>
    <w:p>
      <w:pPr>
        <w:tabs>
          <w:tab w:val="center" w:pos="4739"/>
        </w:tabs>
        <w:ind w:left="180"/>
        <w:jc w:val="center"/>
        <w:rPr>
          <w:rFonts w:ascii="宋体" w:hAnsi="宋体"/>
          <w:b/>
          <w:bCs/>
          <w:sz w:val="30"/>
          <w:szCs w:val="30"/>
        </w:rPr>
      </w:pPr>
    </w:p>
    <w:p>
      <w:pPr>
        <w:ind w:left="180"/>
        <w:jc w:val="center"/>
        <w:rPr>
          <w:rFonts w:ascii="宋体" w:hAnsi="宋体"/>
          <w:b/>
          <w:bCs/>
          <w:sz w:val="30"/>
          <w:szCs w:val="30"/>
        </w:rPr>
      </w:pPr>
      <w:r>
        <w:rPr>
          <w:rFonts w:hint="eastAsia" w:ascii="宋体" w:hAnsi="宋体"/>
          <w:b/>
          <w:bCs/>
          <w:sz w:val="30"/>
          <w:szCs w:val="30"/>
        </w:rPr>
        <w:t>年月日</w:t>
      </w:r>
    </w:p>
    <w:p>
      <w:pPr>
        <w:autoSpaceDE w:val="0"/>
        <w:autoSpaceDN w:val="0"/>
        <w:adjustRightInd w:val="0"/>
        <w:spacing w:line="420" w:lineRule="exact"/>
        <w:jc w:val="center"/>
        <w:rPr>
          <w:rFonts w:ascii="宋体" w:hAnsi="宋体"/>
          <w:b/>
          <w:bCs/>
          <w:sz w:val="24"/>
          <w:szCs w:val="24"/>
        </w:rPr>
      </w:pPr>
      <w:r>
        <w:rPr>
          <w:rFonts w:hint="eastAsia" w:ascii="宋体" w:hAnsi="宋体"/>
          <w:b/>
          <w:bCs/>
          <w:sz w:val="24"/>
          <w:szCs w:val="24"/>
        </w:rPr>
        <w:br w:type="page"/>
      </w:r>
      <w:r>
        <w:rPr>
          <w:rFonts w:hint="eastAsia" w:ascii="宋体" w:hAnsi="宋体" w:cs="仿宋"/>
          <w:b/>
          <w:sz w:val="32"/>
          <w:szCs w:val="32"/>
        </w:rPr>
        <w:t>已标价工程量清单</w:t>
      </w:r>
    </w:p>
    <w:p>
      <w:pPr>
        <w:spacing w:line="600" w:lineRule="exact"/>
        <w:jc w:val="center"/>
        <w:rPr>
          <w:rFonts w:ascii="宋体" w:hAnsi="宋体" w:cs="仿宋"/>
          <w:b/>
          <w:sz w:val="24"/>
          <w:szCs w:val="24"/>
        </w:rPr>
      </w:pPr>
      <w:r>
        <w:rPr>
          <w:rFonts w:hint="eastAsia" w:ascii="宋体" w:hAnsi="宋体" w:cs="仿宋"/>
          <w:b/>
          <w:sz w:val="24"/>
          <w:szCs w:val="24"/>
        </w:rPr>
        <w:t>（按所发放的工程量清单编制）</w:t>
      </w:r>
    </w:p>
    <w:p>
      <w:pPr>
        <w:autoSpaceDE w:val="0"/>
        <w:autoSpaceDN w:val="0"/>
        <w:adjustRightInd w:val="0"/>
        <w:spacing w:line="420" w:lineRule="exact"/>
        <w:ind w:firstLine="3795" w:firstLineChars="1050"/>
        <w:jc w:val="left"/>
        <w:rPr>
          <w:rFonts w:ascii="宋体" w:hAnsi="宋体" w:cs="黑体"/>
          <w:b/>
          <w:kern w:val="0"/>
          <w:sz w:val="36"/>
          <w:szCs w:val="36"/>
        </w:rPr>
      </w:pPr>
    </w:p>
    <w:p>
      <w:pPr>
        <w:autoSpaceDE w:val="0"/>
        <w:autoSpaceDN w:val="0"/>
        <w:adjustRightInd w:val="0"/>
        <w:spacing w:line="420" w:lineRule="exact"/>
        <w:jc w:val="center"/>
        <w:rPr>
          <w:rFonts w:ascii="宋体" w:hAnsi="宋体"/>
          <w:b/>
          <w:bCs/>
          <w:sz w:val="24"/>
          <w:szCs w:val="24"/>
        </w:rPr>
      </w:pPr>
    </w:p>
    <w:p>
      <w:pPr>
        <w:autoSpaceDE w:val="0"/>
        <w:autoSpaceDN w:val="0"/>
        <w:adjustRightInd w:val="0"/>
        <w:spacing w:line="420" w:lineRule="exact"/>
        <w:jc w:val="center"/>
        <w:rPr>
          <w:rFonts w:ascii="宋体" w:hAnsi="宋体"/>
          <w:b/>
          <w:bCs/>
          <w:sz w:val="24"/>
          <w:szCs w:val="24"/>
        </w:rPr>
      </w:pPr>
    </w:p>
    <w:p>
      <w:pPr>
        <w:autoSpaceDE w:val="0"/>
        <w:autoSpaceDN w:val="0"/>
        <w:adjustRightInd w:val="0"/>
        <w:spacing w:line="420" w:lineRule="exact"/>
        <w:jc w:val="center"/>
        <w:rPr>
          <w:rFonts w:ascii="宋体" w:hAnsi="宋体"/>
          <w:b/>
          <w:bCs/>
          <w:sz w:val="24"/>
          <w:szCs w:val="24"/>
        </w:rPr>
      </w:pPr>
    </w:p>
    <w:p>
      <w:pPr>
        <w:autoSpaceDE w:val="0"/>
        <w:autoSpaceDN w:val="0"/>
        <w:adjustRightInd w:val="0"/>
        <w:spacing w:line="420" w:lineRule="exact"/>
        <w:jc w:val="center"/>
        <w:rPr>
          <w:rFonts w:ascii="宋体" w:hAnsi="宋体"/>
          <w:b/>
          <w:bCs/>
          <w:sz w:val="24"/>
          <w:szCs w:val="24"/>
        </w:rPr>
      </w:pPr>
    </w:p>
    <w:p>
      <w:pPr>
        <w:autoSpaceDE w:val="0"/>
        <w:autoSpaceDN w:val="0"/>
        <w:adjustRightInd w:val="0"/>
        <w:spacing w:line="420" w:lineRule="exact"/>
        <w:jc w:val="center"/>
        <w:rPr>
          <w:rFonts w:ascii="宋体" w:hAnsi="宋体"/>
          <w:b/>
          <w:bCs/>
          <w:sz w:val="24"/>
          <w:szCs w:val="24"/>
        </w:rPr>
      </w:pPr>
    </w:p>
    <w:p>
      <w:pPr>
        <w:autoSpaceDE w:val="0"/>
        <w:autoSpaceDN w:val="0"/>
        <w:adjustRightInd w:val="0"/>
        <w:spacing w:line="420" w:lineRule="exact"/>
        <w:jc w:val="center"/>
        <w:rPr>
          <w:rFonts w:ascii="宋体" w:hAnsi="宋体"/>
          <w:b/>
          <w:bCs/>
          <w:sz w:val="24"/>
          <w:szCs w:val="24"/>
        </w:rPr>
      </w:pPr>
    </w:p>
    <w:p>
      <w:pPr>
        <w:autoSpaceDE w:val="0"/>
        <w:autoSpaceDN w:val="0"/>
        <w:adjustRightInd w:val="0"/>
        <w:spacing w:line="420" w:lineRule="exact"/>
        <w:jc w:val="center"/>
        <w:rPr>
          <w:rFonts w:ascii="宋体" w:hAnsi="宋体"/>
          <w:b/>
          <w:bCs/>
          <w:sz w:val="24"/>
          <w:szCs w:val="24"/>
        </w:rPr>
      </w:pPr>
    </w:p>
    <w:p>
      <w:pPr>
        <w:autoSpaceDE w:val="0"/>
        <w:autoSpaceDN w:val="0"/>
        <w:adjustRightInd w:val="0"/>
        <w:spacing w:line="420" w:lineRule="exact"/>
        <w:jc w:val="center"/>
        <w:rPr>
          <w:rFonts w:ascii="宋体" w:hAnsi="宋体"/>
          <w:b/>
          <w:bCs/>
          <w:sz w:val="24"/>
          <w:szCs w:val="24"/>
        </w:rPr>
      </w:pPr>
    </w:p>
    <w:p>
      <w:pPr>
        <w:autoSpaceDE w:val="0"/>
        <w:autoSpaceDN w:val="0"/>
        <w:adjustRightInd w:val="0"/>
        <w:spacing w:line="420" w:lineRule="exact"/>
        <w:jc w:val="center"/>
        <w:rPr>
          <w:rFonts w:ascii="宋体" w:hAnsi="宋体"/>
          <w:b/>
          <w:bCs/>
          <w:sz w:val="24"/>
          <w:szCs w:val="24"/>
        </w:rPr>
      </w:pPr>
    </w:p>
    <w:p>
      <w:pPr>
        <w:autoSpaceDE w:val="0"/>
        <w:autoSpaceDN w:val="0"/>
        <w:adjustRightInd w:val="0"/>
        <w:spacing w:line="420" w:lineRule="exact"/>
        <w:jc w:val="center"/>
        <w:rPr>
          <w:rFonts w:ascii="宋体" w:hAnsi="宋体"/>
          <w:b/>
          <w:bCs/>
          <w:sz w:val="24"/>
          <w:szCs w:val="24"/>
        </w:rPr>
      </w:pPr>
    </w:p>
    <w:p>
      <w:pPr>
        <w:autoSpaceDE w:val="0"/>
        <w:autoSpaceDN w:val="0"/>
        <w:adjustRightInd w:val="0"/>
        <w:spacing w:line="420" w:lineRule="exact"/>
        <w:jc w:val="center"/>
        <w:rPr>
          <w:rFonts w:ascii="宋体" w:hAnsi="宋体"/>
          <w:b/>
          <w:bCs/>
          <w:sz w:val="24"/>
          <w:szCs w:val="24"/>
        </w:rPr>
      </w:pPr>
    </w:p>
    <w:p>
      <w:pPr>
        <w:autoSpaceDE w:val="0"/>
        <w:autoSpaceDN w:val="0"/>
        <w:adjustRightInd w:val="0"/>
        <w:spacing w:line="420" w:lineRule="exact"/>
        <w:jc w:val="center"/>
        <w:rPr>
          <w:rFonts w:ascii="宋体" w:hAnsi="宋体"/>
          <w:b/>
          <w:bCs/>
          <w:sz w:val="24"/>
          <w:szCs w:val="24"/>
        </w:rPr>
      </w:pPr>
    </w:p>
    <w:p>
      <w:pPr>
        <w:autoSpaceDE w:val="0"/>
        <w:autoSpaceDN w:val="0"/>
        <w:adjustRightInd w:val="0"/>
        <w:spacing w:line="420" w:lineRule="exact"/>
        <w:jc w:val="center"/>
        <w:rPr>
          <w:rFonts w:ascii="宋体" w:hAnsi="宋体"/>
          <w:b/>
          <w:bCs/>
          <w:sz w:val="24"/>
          <w:szCs w:val="24"/>
        </w:rPr>
      </w:pPr>
    </w:p>
    <w:p>
      <w:pPr>
        <w:autoSpaceDE w:val="0"/>
        <w:autoSpaceDN w:val="0"/>
        <w:adjustRightInd w:val="0"/>
        <w:spacing w:line="420" w:lineRule="exact"/>
        <w:jc w:val="center"/>
        <w:rPr>
          <w:rFonts w:ascii="宋体" w:hAnsi="宋体"/>
          <w:b/>
          <w:bCs/>
          <w:sz w:val="24"/>
          <w:szCs w:val="24"/>
        </w:rPr>
      </w:pPr>
    </w:p>
    <w:p>
      <w:pPr>
        <w:autoSpaceDE w:val="0"/>
        <w:autoSpaceDN w:val="0"/>
        <w:adjustRightInd w:val="0"/>
        <w:spacing w:line="420" w:lineRule="exact"/>
        <w:jc w:val="center"/>
        <w:rPr>
          <w:rFonts w:ascii="宋体" w:hAnsi="宋体"/>
          <w:b/>
          <w:bCs/>
          <w:sz w:val="24"/>
          <w:szCs w:val="24"/>
        </w:rPr>
      </w:pPr>
    </w:p>
    <w:p>
      <w:pPr>
        <w:autoSpaceDE w:val="0"/>
        <w:autoSpaceDN w:val="0"/>
        <w:adjustRightInd w:val="0"/>
        <w:spacing w:line="420" w:lineRule="exact"/>
        <w:jc w:val="center"/>
        <w:rPr>
          <w:rFonts w:ascii="宋体" w:hAnsi="宋体"/>
          <w:b/>
          <w:bCs/>
          <w:sz w:val="24"/>
          <w:szCs w:val="24"/>
        </w:rPr>
      </w:pPr>
    </w:p>
    <w:p>
      <w:pPr>
        <w:autoSpaceDE w:val="0"/>
        <w:autoSpaceDN w:val="0"/>
        <w:adjustRightInd w:val="0"/>
        <w:spacing w:line="420" w:lineRule="exact"/>
        <w:jc w:val="center"/>
        <w:rPr>
          <w:rFonts w:ascii="宋体" w:hAnsi="宋体"/>
          <w:b/>
          <w:bCs/>
          <w:sz w:val="24"/>
          <w:szCs w:val="24"/>
        </w:rPr>
      </w:pPr>
    </w:p>
    <w:p>
      <w:pPr>
        <w:autoSpaceDE w:val="0"/>
        <w:autoSpaceDN w:val="0"/>
        <w:adjustRightInd w:val="0"/>
        <w:spacing w:line="420" w:lineRule="exact"/>
        <w:jc w:val="center"/>
        <w:rPr>
          <w:rFonts w:ascii="宋体" w:hAnsi="宋体"/>
          <w:b/>
          <w:bCs/>
          <w:sz w:val="24"/>
          <w:szCs w:val="24"/>
        </w:rPr>
      </w:pPr>
    </w:p>
    <w:p>
      <w:pPr>
        <w:autoSpaceDE w:val="0"/>
        <w:autoSpaceDN w:val="0"/>
        <w:adjustRightInd w:val="0"/>
        <w:spacing w:line="420" w:lineRule="exact"/>
        <w:jc w:val="center"/>
        <w:rPr>
          <w:rFonts w:ascii="宋体" w:hAnsi="宋体"/>
          <w:b/>
          <w:bCs/>
          <w:sz w:val="24"/>
          <w:szCs w:val="24"/>
        </w:rPr>
      </w:pPr>
    </w:p>
    <w:p>
      <w:pPr>
        <w:autoSpaceDE w:val="0"/>
        <w:autoSpaceDN w:val="0"/>
        <w:adjustRightInd w:val="0"/>
        <w:spacing w:line="420" w:lineRule="exact"/>
        <w:jc w:val="center"/>
        <w:rPr>
          <w:rFonts w:ascii="宋体" w:hAnsi="宋体"/>
          <w:b/>
          <w:bCs/>
          <w:sz w:val="24"/>
          <w:szCs w:val="24"/>
        </w:rPr>
      </w:pPr>
    </w:p>
    <w:p>
      <w:pPr>
        <w:autoSpaceDE w:val="0"/>
        <w:autoSpaceDN w:val="0"/>
        <w:adjustRightInd w:val="0"/>
        <w:spacing w:line="420" w:lineRule="exact"/>
        <w:jc w:val="center"/>
        <w:rPr>
          <w:rFonts w:ascii="宋体" w:hAnsi="宋体"/>
          <w:b/>
          <w:bCs/>
          <w:sz w:val="24"/>
          <w:szCs w:val="24"/>
        </w:rPr>
      </w:pPr>
    </w:p>
    <w:p>
      <w:pPr>
        <w:pStyle w:val="2"/>
      </w:pPr>
    </w:p>
    <w:p/>
    <w:p>
      <w:pPr>
        <w:spacing w:beforeLines="100" w:afterLines="100"/>
        <w:jc w:val="right"/>
        <w:rPr>
          <w:rFonts w:ascii="宋体" w:hAnsi="宋体" w:cs="Times New Roman"/>
          <w:b/>
          <w:bCs/>
          <w:sz w:val="24"/>
          <w:szCs w:val="24"/>
        </w:rPr>
      </w:pPr>
    </w:p>
    <w:p>
      <w:pPr>
        <w:spacing w:beforeLines="100" w:afterLines="100"/>
        <w:jc w:val="right"/>
        <w:rPr>
          <w:rFonts w:ascii="宋体" w:hAnsi="宋体"/>
          <w:b/>
          <w:sz w:val="32"/>
          <w:szCs w:val="32"/>
        </w:rPr>
      </w:pPr>
    </w:p>
    <w:p>
      <w:pPr>
        <w:autoSpaceDE w:val="0"/>
        <w:autoSpaceDN w:val="0"/>
        <w:adjustRightInd w:val="0"/>
        <w:ind w:firstLine="1446" w:firstLineChars="400"/>
        <w:rPr>
          <w:rFonts w:ascii="宋体" w:hAnsi="宋体"/>
          <w:b/>
          <w:bCs/>
          <w:spacing w:val="60"/>
          <w:sz w:val="36"/>
          <w:szCs w:val="36"/>
        </w:rPr>
      </w:pPr>
      <w:r>
        <w:rPr>
          <w:rFonts w:hint="eastAsia" w:ascii="宋体" w:hAnsi="宋体"/>
          <w:b/>
          <w:bCs/>
          <w:sz w:val="36"/>
          <w:szCs w:val="36"/>
          <w:u w:val="single"/>
        </w:rPr>
        <w:t xml:space="preserve">             (项目名称) 标段          </w:t>
      </w:r>
    </w:p>
    <w:p>
      <w:pPr>
        <w:ind w:left="180"/>
        <w:jc w:val="center"/>
        <w:rPr>
          <w:rFonts w:ascii="宋体" w:hAnsi="宋体"/>
          <w:sz w:val="36"/>
          <w:szCs w:val="36"/>
        </w:rPr>
      </w:pPr>
      <w:r>
        <w:rPr>
          <w:rFonts w:hint="eastAsia" w:ascii="宋体" w:hAnsi="宋体"/>
          <w:b/>
          <w:bCs/>
          <w:sz w:val="36"/>
          <w:szCs w:val="36"/>
        </w:rPr>
        <w:t>项目编号：</w:t>
      </w:r>
    </w:p>
    <w:p>
      <w:pPr>
        <w:ind w:left="180"/>
        <w:rPr>
          <w:rFonts w:ascii="宋体" w:hAnsi="宋体"/>
          <w:sz w:val="32"/>
          <w:szCs w:val="32"/>
        </w:rPr>
      </w:pPr>
    </w:p>
    <w:p>
      <w:pPr>
        <w:ind w:left="180"/>
        <w:rPr>
          <w:rFonts w:ascii="宋体" w:hAnsi="宋体"/>
          <w:sz w:val="32"/>
          <w:szCs w:val="32"/>
        </w:rPr>
      </w:pPr>
    </w:p>
    <w:p>
      <w:pPr>
        <w:ind w:left="180"/>
        <w:rPr>
          <w:rFonts w:ascii="宋体" w:hAnsi="宋体"/>
          <w:sz w:val="32"/>
          <w:szCs w:val="32"/>
        </w:rPr>
      </w:pPr>
    </w:p>
    <w:p>
      <w:pPr>
        <w:ind w:left="180"/>
        <w:rPr>
          <w:rFonts w:ascii="宋体" w:hAnsi="宋体"/>
          <w:sz w:val="32"/>
          <w:szCs w:val="32"/>
        </w:rPr>
      </w:pPr>
    </w:p>
    <w:p>
      <w:pPr>
        <w:ind w:left="180"/>
        <w:jc w:val="center"/>
        <w:rPr>
          <w:rFonts w:ascii="宋体" w:hAnsi="宋体"/>
          <w:b/>
          <w:bCs/>
          <w:sz w:val="52"/>
          <w:szCs w:val="52"/>
        </w:rPr>
      </w:pPr>
      <w:r>
        <w:rPr>
          <w:rFonts w:hint="eastAsia" w:ascii="宋体" w:hAnsi="宋体"/>
          <w:b/>
          <w:bCs/>
          <w:sz w:val="52"/>
          <w:szCs w:val="52"/>
        </w:rPr>
        <w:t>投 标 文 件</w:t>
      </w:r>
    </w:p>
    <w:p>
      <w:pPr>
        <w:ind w:left="180"/>
        <w:jc w:val="center"/>
        <w:rPr>
          <w:rFonts w:ascii="宋体" w:hAnsi="宋体"/>
          <w:b/>
          <w:bCs/>
          <w:sz w:val="32"/>
          <w:szCs w:val="32"/>
        </w:rPr>
      </w:pPr>
      <w:r>
        <w:rPr>
          <w:rFonts w:hint="eastAsia" w:ascii="宋体" w:hAnsi="宋体"/>
          <w:b/>
          <w:bCs/>
          <w:sz w:val="32"/>
          <w:szCs w:val="32"/>
        </w:rPr>
        <w:t>（综合信用标）</w:t>
      </w:r>
    </w:p>
    <w:p>
      <w:pPr>
        <w:ind w:left="180"/>
        <w:rPr>
          <w:rFonts w:ascii="宋体" w:hAnsi="宋体"/>
          <w:sz w:val="24"/>
          <w:szCs w:val="24"/>
        </w:rPr>
      </w:pPr>
    </w:p>
    <w:p>
      <w:pPr>
        <w:ind w:left="180"/>
        <w:rPr>
          <w:rFonts w:ascii="宋体" w:hAnsi="宋体"/>
          <w:sz w:val="24"/>
          <w:szCs w:val="24"/>
        </w:rPr>
      </w:pPr>
    </w:p>
    <w:p>
      <w:pPr>
        <w:pStyle w:val="14"/>
        <w:ind w:firstLine="240"/>
        <w:rPr>
          <w:rFonts w:ascii="宋体" w:hAnsi="宋体"/>
          <w:sz w:val="24"/>
          <w:szCs w:val="24"/>
        </w:rPr>
      </w:pPr>
    </w:p>
    <w:p>
      <w:pPr>
        <w:pStyle w:val="14"/>
        <w:ind w:firstLine="240"/>
        <w:rPr>
          <w:rFonts w:ascii="宋体" w:hAnsi="宋体"/>
          <w:sz w:val="24"/>
          <w:szCs w:val="24"/>
        </w:rPr>
      </w:pPr>
    </w:p>
    <w:p>
      <w:pPr>
        <w:ind w:left="180"/>
        <w:rPr>
          <w:rFonts w:ascii="宋体" w:hAnsi="宋体"/>
          <w:sz w:val="24"/>
          <w:szCs w:val="24"/>
        </w:rPr>
      </w:pPr>
    </w:p>
    <w:p>
      <w:pPr>
        <w:pStyle w:val="2"/>
      </w:pPr>
    </w:p>
    <w:p>
      <w:pPr>
        <w:ind w:left="180"/>
        <w:rPr>
          <w:rFonts w:ascii="宋体" w:hAnsi="宋体"/>
          <w:sz w:val="24"/>
          <w:szCs w:val="24"/>
        </w:rPr>
      </w:pPr>
    </w:p>
    <w:p>
      <w:pPr>
        <w:ind w:left="180"/>
        <w:rPr>
          <w:rFonts w:ascii="宋体" w:hAnsi="宋体"/>
          <w:sz w:val="24"/>
          <w:szCs w:val="24"/>
        </w:rPr>
      </w:pPr>
    </w:p>
    <w:p>
      <w:pPr>
        <w:ind w:left="180"/>
        <w:rPr>
          <w:rFonts w:ascii="宋体" w:hAnsi="宋体"/>
          <w:sz w:val="24"/>
          <w:szCs w:val="24"/>
        </w:rPr>
      </w:pPr>
    </w:p>
    <w:p>
      <w:pPr>
        <w:spacing w:line="360" w:lineRule="auto"/>
        <w:ind w:left="181"/>
        <w:jc w:val="center"/>
        <w:rPr>
          <w:rFonts w:ascii="宋体" w:hAnsi="宋体"/>
          <w:b/>
          <w:bCs/>
          <w:sz w:val="30"/>
          <w:szCs w:val="30"/>
        </w:rPr>
      </w:pPr>
      <w:r>
        <w:rPr>
          <w:rFonts w:hint="eastAsia" w:ascii="宋体" w:hAnsi="宋体"/>
          <w:b/>
          <w:bCs/>
          <w:sz w:val="30"/>
          <w:szCs w:val="30"/>
        </w:rPr>
        <w:t xml:space="preserve"> 投标人:(盖单位章)</w:t>
      </w:r>
    </w:p>
    <w:p>
      <w:pPr>
        <w:spacing w:line="360" w:lineRule="auto"/>
        <w:ind w:left="181"/>
        <w:jc w:val="center"/>
        <w:rPr>
          <w:rFonts w:ascii="宋体" w:hAnsi="宋体"/>
          <w:b/>
          <w:bCs/>
          <w:sz w:val="30"/>
          <w:szCs w:val="30"/>
        </w:rPr>
      </w:pPr>
      <w:r>
        <w:rPr>
          <w:rFonts w:hint="eastAsia" w:ascii="宋体" w:hAnsi="宋体"/>
          <w:b/>
          <w:bCs/>
          <w:sz w:val="30"/>
          <w:szCs w:val="30"/>
        </w:rPr>
        <w:t xml:space="preserve">法定代表人或其委托代理人:(签字) </w:t>
      </w:r>
    </w:p>
    <w:p>
      <w:pPr>
        <w:ind w:left="180"/>
        <w:jc w:val="center"/>
        <w:rPr>
          <w:rFonts w:ascii="宋体" w:hAnsi="宋体"/>
          <w:b/>
          <w:bCs/>
          <w:sz w:val="30"/>
          <w:szCs w:val="30"/>
        </w:rPr>
      </w:pPr>
      <w:r>
        <w:rPr>
          <w:rFonts w:hint="eastAsia" w:ascii="宋体" w:hAnsi="宋体"/>
          <w:b/>
          <w:bCs/>
          <w:sz w:val="30"/>
          <w:szCs w:val="30"/>
        </w:rPr>
        <w:t>年月日</w:t>
      </w:r>
    </w:p>
    <w:p>
      <w:pPr>
        <w:autoSpaceDE w:val="0"/>
        <w:autoSpaceDN w:val="0"/>
        <w:adjustRightInd w:val="0"/>
        <w:spacing w:line="420" w:lineRule="exact"/>
        <w:rPr>
          <w:rFonts w:ascii="宋体" w:hAnsi="宋体"/>
          <w:b/>
          <w:bCs/>
          <w:sz w:val="24"/>
          <w:szCs w:val="24"/>
        </w:rPr>
      </w:pPr>
    </w:p>
    <w:p>
      <w:pPr>
        <w:autoSpaceDE w:val="0"/>
        <w:autoSpaceDN w:val="0"/>
        <w:adjustRightInd w:val="0"/>
        <w:spacing w:line="420" w:lineRule="exact"/>
      </w:pPr>
    </w:p>
    <w:p>
      <w:pPr>
        <w:autoSpaceDE w:val="0"/>
        <w:autoSpaceDN w:val="0"/>
        <w:adjustRightInd w:val="0"/>
        <w:spacing w:line="420" w:lineRule="exact"/>
        <w:jc w:val="center"/>
        <w:rPr>
          <w:rFonts w:ascii="宋体" w:hAnsi="宋体"/>
          <w:b/>
          <w:bCs/>
          <w:sz w:val="32"/>
          <w:szCs w:val="32"/>
        </w:rPr>
      </w:pPr>
    </w:p>
    <w:p>
      <w:pPr>
        <w:pStyle w:val="2"/>
      </w:pPr>
    </w:p>
    <w:p>
      <w:pPr>
        <w:autoSpaceDE w:val="0"/>
        <w:autoSpaceDN w:val="0"/>
        <w:adjustRightInd w:val="0"/>
        <w:spacing w:line="420" w:lineRule="exact"/>
        <w:jc w:val="center"/>
        <w:rPr>
          <w:rFonts w:ascii="宋体" w:hAnsi="宋体"/>
          <w:b/>
          <w:bCs/>
          <w:sz w:val="32"/>
          <w:szCs w:val="32"/>
        </w:rPr>
      </w:pPr>
    </w:p>
    <w:p>
      <w:pPr>
        <w:autoSpaceDE w:val="0"/>
        <w:autoSpaceDN w:val="0"/>
        <w:adjustRightInd w:val="0"/>
        <w:spacing w:line="420" w:lineRule="exact"/>
        <w:jc w:val="center"/>
        <w:rPr>
          <w:rFonts w:ascii="宋体" w:hAnsi="宋体"/>
          <w:b/>
          <w:bCs/>
          <w:sz w:val="32"/>
          <w:szCs w:val="32"/>
        </w:rPr>
      </w:pPr>
    </w:p>
    <w:p>
      <w:pPr>
        <w:autoSpaceDE w:val="0"/>
        <w:autoSpaceDN w:val="0"/>
        <w:adjustRightInd w:val="0"/>
        <w:spacing w:line="420" w:lineRule="exact"/>
        <w:jc w:val="center"/>
        <w:rPr>
          <w:rFonts w:ascii="宋体" w:hAnsi="宋体"/>
          <w:sz w:val="32"/>
          <w:szCs w:val="32"/>
        </w:rPr>
      </w:pPr>
      <w:r>
        <w:rPr>
          <w:rFonts w:hint="eastAsia" w:ascii="宋体" w:hAnsi="宋体"/>
          <w:b/>
          <w:bCs/>
          <w:sz w:val="32"/>
          <w:szCs w:val="32"/>
        </w:rPr>
        <w:t xml:space="preserve">综合信用标目录 </w:t>
      </w:r>
    </w:p>
    <w:p>
      <w:pPr>
        <w:autoSpaceDE w:val="0"/>
        <w:autoSpaceDN w:val="0"/>
        <w:adjustRightInd w:val="0"/>
        <w:spacing w:line="420" w:lineRule="exact"/>
        <w:jc w:val="left"/>
        <w:rPr>
          <w:rFonts w:ascii="宋体" w:hAnsi="宋体" w:cs="黑体"/>
          <w:kern w:val="0"/>
          <w:sz w:val="28"/>
          <w:szCs w:val="28"/>
        </w:rPr>
      </w:pPr>
    </w:p>
    <w:p>
      <w:pPr>
        <w:autoSpaceDE w:val="0"/>
        <w:autoSpaceDN w:val="0"/>
        <w:adjustRightInd w:val="0"/>
        <w:spacing w:line="420" w:lineRule="exact"/>
        <w:jc w:val="center"/>
        <w:rPr>
          <w:rFonts w:ascii="宋体" w:hAnsi="宋体" w:cs="黑体"/>
          <w:kern w:val="0"/>
          <w:sz w:val="28"/>
          <w:szCs w:val="28"/>
        </w:rPr>
      </w:pPr>
    </w:p>
    <w:p>
      <w:pPr>
        <w:numPr>
          <w:ilvl w:val="0"/>
          <w:numId w:val="3"/>
        </w:numPr>
        <w:autoSpaceDE w:val="0"/>
        <w:autoSpaceDN w:val="0"/>
        <w:spacing w:line="440" w:lineRule="exact"/>
        <w:ind w:firstLine="840" w:firstLineChars="300"/>
        <w:outlineLvl w:val="0"/>
        <w:rPr>
          <w:rFonts w:ascii="宋体" w:hAnsi="宋体"/>
          <w:kern w:val="0"/>
          <w:sz w:val="28"/>
          <w:szCs w:val="28"/>
        </w:rPr>
      </w:pPr>
      <w:r>
        <w:rPr>
          <w:rFonts w:hint="eastAsia" w:ascii="宋体" w:hAnsi="宋体"/>
          <w:kern w:val="0"/>
          <w:sz w:val="28"/>
          <w:szCs w:val="28"/>
        </w:rPr>
        <w:t>投标函</w:t>
      </w:r>
    </w:p>
    <w:p>
      <w:pPr>
        <w:autoSpaceDE w:val="0"/>
        <w:autoSpaceDN w:val="0"/>
        <w:spacing w:line="440" w:lineRule="exact"/>
        <w:ind w:firstLine="840" w:firstLineChars="300"/>
        <w:outlineLvl w:val="0"/>
        <w:rPr>
          <w:rFonts w:ascii="宋体" w:hAnsi="宋体"/>
          <w:kern w:val="0"/>
          <w:sz w:val="28"/>
          <w:szCs w:val="28"/>
        </w:rPr>
      </w:pPr>
      <w:r>
        <w:rPr>
          <w:rFonts w:hint="eastAsia" w:ascii="宋体" w:hAnsi="宋体"/>
          <w:kern w:val="0"/>
          <w:sz w:val="28"/>
          <w:szCs w:val="28"/>
        </w:rPr>
        <w:t>二、投标函附录</w:t>
      </w:r>
    </w:p>
    <w:p>
      <w:pPr>
        <w:autoSpaceDE w:val="0"/>
        <w:autoSpaceDN w:val="0"/>
        <w:spacing w:line="440" w:lineRule="exact"/>
        <w:ind w:firstLine="840" w:firstLineChars="300"/>
        <w:outlineLvl w:val="0"/>
        <w:rPr>
          <w:rFonts w:ascii="宋体" w:hAnsi="宋体"/>
          <w:kern w:val="0"/>
          <w:sz w:val="28"/>
          <w:szCs w:val="28"/>
        </w:rPr>
      </w:pPr>
      <w:r>
        <w:rPr>
          <w:rFonts w:hint="eastAsia" w:ascii="宋体" w:hAnsi="宋体"/>
          <w:kern w:val="0"/>
          <w:sz w:val="28"/>
          <w:szCs w:val="28"/>
        </w:rPr>
        <w:t>三、</w:t>
      </w:r>
      <w:r>
        <w:rPr>
          <w:rFonts w:hint="eastAsia" w:ascii="宋体" w:hAnsi="宋体" w:cs="仿宋_GB2312"/>
          <w:kern w:val="0"/>
          <w:sz w:val="28"/>
          <w:szCs w:val="28"/>
        </w:rPr>
        <w:t>法定代表人身份证明或授权委托书</w:t>
      </w:r>
    </w:p>
    <w:p>
      <w:pPr>
        <w:autoSpaceDE w:val="0"/>
        <w:autoSpaceDN w:val="0"/>
        <w:spacing w:line="440" w:lineRule="exact"/>
        <w:ind w:firstLine="840" w:firstLineChars="300"/>
        <w:outlineLvl w:val="0"/>
        <w:rPr>
          <w:rFonts w:hint="eastAsia" w:ascii="宋体" w:hAnsi="宋体"/>
          <w:kern w:val="0"/>
          <w:sz w:val="28"/>
          <w:szCs w:val="28"/>
        </w:rPr>
      </w:pPr>
      <w:r>
        <w:rPr>
          <w:rFonts w:hint="eastAsia" w:ascii="宋体" w:hAnsi="宋体"/>
          <w:kern w:val="0"/>
          <w:sz w:val="28"/>
          <w:szCs w:val="28"/>
        </w:rPr>
        <w:t>四、联合体协议书（如有）</w:t>
      </w:r>
    </w:p>
    <w:p>
      <w:pPr>
        <w:autoSpaceDE w:val="0"/>
        <w:autoSpaceDN w:val="0"/>
        <w:spacing w:line="440" w:lineRule="exact"/>
        <w:ind w:firstLine="840" w:firstLineChars="300"/>
        <w:outlineLvl w:val="0"/>
        <w:rPr>
          <w:rFonts w:ascii="宋体" w:hAnsi="宋体"/>
          <w:kern w:val="0"/>
          <w:sz w:val="28"/>
          <w:szCs w:val="28"/>
        </w:rPr>
      </w:pPr>
      <w:r>
        <w:rPr>
          <w:rFonts w:hint="eastAsia" w:ascii="宋体" w:hAnsi="宋体"/>
          <w:kern w:val="0"/>
          <w:sz w:val="28"/>
          <w:szCs w:val="28"/>
        </w:rPr>
        <w:t>五、投标担保</w:t>
      </w:r>
    </w:p>
    <w:p>
      <w:pPr>
        <w:autoSpaceDE w:val="0"/>
        <w:autoSpaceDN w:val="0"/>
        <w:spacing w:line="440" w:lineRule="exact"/>
        <w:ind w:left="840"/>
        <w:outlineLvl w:val="0"/>
        <w:rPr>
          <w:rFonts w:ascii="宋体" w:hAnsi="宋体"/>
          <w:kern w:val="0"/>
          <w:sz w:val="28"/>
          <w:szCs w:val="28"/>
        </w:rPr>
      </w:pPr>
      <w:r>
        <w:rPr>
          <w:rFonts w:hint="eastAsia" w:ascii="宋体" w:hAnsi="宋体"/>
          <w:kern w:val="0"/>
          <w:sz w:val="28"/>
          <w:szCs w:val="28"/>
        </w:rPr>
        <w:t>六、项目管理机构配备情况</w:t>
      </w:r>
    </w:p>
    <w:p>
      <w:pPr>
        <w:autoSpaceDE w:val="0"/>
        <w:autoSpaceDN w:val="0"/>
        <w:spacing w:line="440" w:lineRule="exact"/>
        <w:ind w:left="840"/>
        <w:outlineLvl w:val="0"/>
        <w:rPr>
          <w:rFonts w:ascii="宋体" w:hAnsi="宋体"/>
          <w:kern w:val="0"/>
          <w:sz w:val="28"/>
          <w:szCs w:val="28"/>
        </w:rPr>
      </w:pPr>
      <w:r>
        <w:rPr>
          <w:rFonts w:hint="eastAsia" w:ascii="宋体" w:hAnsi="宋体"/>
          <w:kern w:val="0"/>
          <w:sz w:val="28"/>
          <w:szCs w:val="28"/>
        </w:rPr>
        <w:t>七、投标单位基本信息表</w:t>
      </w:r>
    </w:p>
    <w:p>
      <w:pPr>
        <w:autoSpaceDE w:val="0"/>
        <w:autoSpaceDN w:val="0"/>
        <w:spacing w:line="440" w:lineRule="exact"/>
        <w:ind w:left="840"/>
        <w:outlineLvl w:val="0"/>
        <w:rPr>
          <w:rFonts w:ascii="宋体" w:hAnsi="宋体"/>
          <w:kern w:val="0"/>
          <w:sz w:val="28"/>
          <w:szCs w:val="28"/>
        </w:rPr>
      </w:pPr>
      <w:r>
        <w:rPr>
          <w:rFonts w:hint="eastAsia" w:ascii="宋体" w:hAnsi="宋体"/>
          <w:kern w:val="0"/>
          <w:sz w:val="28"/>
          <w:szCs w:val="28"/>
          <w:lang w:eastAsia="zh-CN"/>
        </w:rPr>
        <w:t>八、</w:t>
      </w:r>
      <w:r>
        <w:rPr>
          <w:rFonts w:hint="eastAsia" w:ascii="宋体" w:hAnsi="宋体"/>
          <w:kern w:val="0"/>
          <w:sz w:val="28"/>
          <w:szCs w:val="28"/>
        </w:rPr>
        <w:t>资格证明文件</w:t>
      </w:r>
    </w:p>
    <w:p>
      <w:pPr>
        <w:numPr>
          <w:ilvl w:val="0"/>
          <w:numId w:val="0"/>
        </w:numPr>
        <w:autoSpaceDE w:val="0"/>
        <w:autoSpaceDN w:val="0"/>
        <w:spacing w:line="440" w:lineRule="exact"/>
        <w:ind w:left="840" w:leftChars="0"/>
        <w:outlineLvl w:val="0"/>
        <w:rPr>
          <w:rFonts w:ascii="宋体" w:hAnsi="宋体"/>
          <w:kern w:val="0"/>
          <w:sz w:val="28"/>
          <w:szCs w:val="28"/>
        </w:rPr>
      </w:pPr>
      <w:r>
        <w:rPr>
          <w:rFonts w:hint="eastAsia" w:ascii="宋体" w:hAnsi="宋体"/>
          <w:kern w:val="0"/>
          <w:sz w:val="28"/>
          <w:szCs w:val="28"/>
          <w:lang w:eastAsia="zh-CN"/>
        </w:rPr>
        <w:t>九、</w:t>
      </w:r>
      <w:r>
        <w:rPr>
          <w:rFonts w:hint="eastAsia" w:ascii="宋体" w:hAnsi="宋体"/>
          <w:kern w:val="0"/>
          <w:sz w:val="28"/>
          <w:szCs w:val="28"/>
        </w:rPr>
        <w:t>正在施工的和新承接的项目情况</w:t>
      </w:r>
    </w:p>
    <w:p>
      <w:pPr>
        <w:autoSpaceDE w:val="0"/>
        <w:autoSpaceDN w:val="0"/>
        <w:spacing w:line="440" w:lineRule="exact"/>
        <w:ind w:firstLine="840" w:firstLineChars="300"/>
        <w:outlineLvl w:val="0"/>
        <w:rPr>
          <w:rFonts w:ascii="宋体" w:hAnsi="宋体"/>
          <w:kern w:val="0"/>
          <w:sz w:val="28"/>
          <w:szCs w:val="28"/>
        </w:rPr>
      </w:pPr>
      <w:r>
        <w:rPr>
          <w:rFonts w:hint="eastAsia" w:ascii="宋体" w:hAnsi="宋体"/>
          <w:kern w:val="0"/>
          <w:sz w:val="28"/>
          <w:szCs w:val="28"/>
          <w:lang w:eastAsia="zh-CN"/>
        </w:rPr>
        <w:t>十</w:t>
      </w:r>
      <w:r>
        <w:rPr>
          <w:rFonts w:hint="eastAsia" w:ascii="宋体" w:hAnsi="宋体"/>
          <w:kern w:val="0"/>
          <w:sz w:val="28"/>
          <w:szCs w:val="28"/>
        </w:rPr>
        <w:t>、承诺书</w:t>
      </w:r>
    </w:p>
    <w:p>
      <w:pPr>
        <w:autoSpaceDE w:val="0"/>
        <w:autoSpaceDN w:val="0"/>
        <w:spacing w:line="440" w:lineRule="exact"/>
        <w:ind w:left="840"/>
        <w:outlineLvl w:val="0"/>
        <w:rPr>
          <w:rFonts w:ascii="宋体" w:hAnsi="宋体"/>
          <w:kern w:val="0"/>
          <w:sz w:val="28"/>
          <w:szCs w:val="28"/>
        </w:rPr>
      </w:pPr>
      <w:r>
        <w:rPr>
          <w:rFonts w:hint="eastAsia" w:ascii="宋体" w:hAnsi="宋体"/>
          <w:kern w:val="0"/>
          <w:sz w:val="28"/>
          <w:szCs w:val="28"/>
        </w:rPr>
        <w:t>十</w:t>
      </w:r>
      <w:r>
        <w:rPr>
          <w:rFonts w:hint="eastAsia" w:ascii="宋体" w:hAnsi="宋体"/>
          <w:kern w:val="0"/>
          <w:sz w:val="28"/>
          <w:szCs w:val="28"/>
          <w:lang w:eastAsia="zh-CN"/>
        </w:rPr>
        <w:t>一</w:t>
      </w:r>
      <w:r>
        <w:rPr>
          <w:rFonts w:hint="eastAsia" w:ascii="宋体" w:hAnsi="宋体"/>
          <w:kern w:val="0"/>
          <w:sz w:val="28"/>
          <w:szCs w:val="28"/>
        </w:rPr>
        <w:t>、其它需要提供的材料（如有）</w:t>
      </w:r>
    </w:p>
    <w:p>
      <w:pPr>
        <w:spacing w:line="600" w:lineRule="exact"/>
        <w:ind w:firstLine="1205" w:firstLineChars="500"/>
        <w:rPr>
          <w:rFonts w:ascii="宋体" w:hAnsi="宋体"/>
          <w:b/>
          <w:bCs/>
          <w:sz w:val="24"/>
          <w:szCs w:val="24"/>
        </w:rPr>
      </w:pPr>
      <w:r>
        <w:rPr>
          <w:rFonts w:hint="eastAsia" w:ascii="宋体" w:hAnsi="宋体"/>
          <w:b/>
          <w:bCs/>
          <w:sz w:val="24"/>
          <w:szCs w:val="24"/>
        </w:rPr>
        <w:t>投标文件编制过程中应按本章提供的格式填报。</w:t>
      </w:r>
    </w:p>
    <w:p>
      <w:pPr>
        <w:spacing w:line="600" w:lineRule="exact"/>
        <w:ind w:firstLine="1325" w:firstLineChars="550"/>
        <w:rPr>
          <w:rFonts w:ascii="宋体" w:hAnsi="宋体"/>
          <w:b/>
          <w:bCs/>
          <w:sz w:val="24"/>
          <w:szCs w:val="24"/>
        </w:rPr>
      </w:pPr>
      <w:r>
        <w:rPr>
          <w:rFonts w:hint="eastAsia" w:ascii="宋体" w:hAnsi="宋体"/>
          <w:b/>
          <w:bCs/>
          <w:sz w:val="24"/>
          <w:szCs w:val="24"/>
        </w:rPr>
        <w:t>如有本章未提供的格式，投标人可自行编制。</w:t>
      </w:r>
    </w:p>
    <w:p>
      <w:pPr>
        <w:autoSpaceDE w:val="0"/>
        <w:autoSpaceDN w:val="0"/>
        <w:adjustRightInd w:val="0"/>
        <w:spacing w:line="600" w:lineRule="exact"/>
        <w:ind w:firstLine="708" w:firstLineChars="294"/>
        <w:rPr>
          <w:rFonts w:ascii="宋体" w:hAnsi="宋体" w:cs="仿宋_GB2312"/>
          <w:b/>
          <w:kern w:val="0"/>
          <w:sz w:val="24"/>
        </w:rPr>
      </w:pPr>
    </w:p>
    <w:p>
      <w:pPr>
        <w:tabs>
          <w:tab w:val="center" w:pos="4739"/>
        </w:tabs>
        <w:rPr>
          <w:rFonts w:ascii="宋体" w:hAnsi="宋体"/>
          <w:b/>
          <w:sz w:val="32"/>
        </w:rPr>
      </w:pPr>
    </w:p>
    <w:p>
      <w:pPr>
        <w:tabs>
          <w:tab w:val="center" w:pos="4739"/>
        </w:tabs>
        <w:rPr>
          <w:rFonts w:ascii="宋体" w:hAnsi="宋体"/>
          <w:b/>
          <w:sz w:val="32"/>
        </w:rPr>
      </w:pPr>
    </w:p>
    <w:p>
      <w:pPr>
        <w:tabs>
          <w:tab w:val="center" w:pos="4739"/>
        </w:tabs>
        <w:rPr>
          <w:rFonts w:ascii="宋体" w:hAnsi="宋体"/>
          <w:b/>
          <w:sz w:val="32"/>
        </w:rPr>
      </w:pPr>
    </w:p>
    <w:p>
      <w:pPr>
        <w:tabs>
          <w:tab w:val="center" w:pos="4739"/>
        </w:tabs>
        <w:rPr>
          <w:rFonts w:ascii="宋体" w:hAnsi="宋体"/>
          <w:b/>
          <w:sz w:val="32"/>
        </w:rPr>
      </w:pPr>
    </w:p>
    <w:p>
      <w:pPr>
        <w:tabs>
          <w:tab w:val="center" w:pos="4739"/>
        </w:tabs>
        <w:rPr>
          <w:rFonts w:ascii="宋体" w:hAnsi="宋体"/>
          <w:bCs/>
        </w:rPr>
      </w:pPr>
    </w:p>
    <w:p>
      <w:pPr>
        <w:tabs>
          <w:tab w:val="center" w:pos="4739"/>
        </w:tabs>
        <w:ind w:left="180"/>
        <w:jc w:val="center"/>
        <w:rPr>
          <w:rFonts w:ascii="宋体" w:hAnsi="宋体"/>
          <w:b/>
          <w:sz w:val="32"/>
        </w:rPr>
      </w:pPr>
      <w:r>
        <w:rPr>
          <w:rFonts w:ascii="宋体" w:hAnsi="宋体"/>
          <w:b/>
          <w:sz w:val="32"/>
        </w:rPr>
        <w:br w:type="page"/>
      </w:r>
    </w:p>
    <w:p>
      <w:pPr>
        <w:tabs>
          <w:tab w:val="center" w:pos="4739"/>
        </w:tabs>
        <w:ind w:left="180"/>
        <w:jc w:val="center"/>
        <w:rPr>
          <w:rFonts w:ascii="宋体" w:hAnsi="宋体"/>
          <w:sz w:val="28"/>
          <w:szCs w:val="28"/>
        </w:rPr>
      </w:pPr>
      <w:r>
        <w:rPr>
          <w:rFonts w:hint="eastAsia" w:ascii="宋体" w:hAnsi="宋体"/>
          <w:b/>
          <w:sz w:val="32"/>
        </w:rPr>
        <w:t>一、投标函</w:t>
      </w:r>
    </w:p>
    <w:p>
      <w:pPr>
        <w:spacing w:line="440" w:lineRule="exact"/>
        <w:rPr>
          <w:rFonts w:ascii="宋体" w:hAnsi="宋体"/>
          <w:sz w:val="24"/>
          <w:szCs w:val="24"/>
        </w:rPr>
      </w:pPr>
      <w:r>
        <w:rPr>
          <w:rFonts w:hint="eastAsia" w:ascii="宋体" w:hAnsi="宋体"/>
          <w:sz w:val="24"/>
          <w:szCs w:val="24"/>
        </w:rPr>
        <w:t>致：（招标人名称）</w:t>
      </w:r>
    </w:p>
    <w:p>
      <w:pPr>
        <w:spacing w:line="440" w:lineRule="exact"/>
        <w:ind w:firstLine="480" w:firstLineChars="200"/>
        <w:rPr>
          <w:rFonts w:ascii="宋体" w:hAnsi="宋体"/>
          <w:sz w:val="24"/>
          <w:szCs w:val="24"/>
        </w:rPr>
      </w:pPr>
      <w:r>
        <w:rPr>
          <w:rFonts w:hint="eastAsia" w:ascii="宋体" w:hAnsi="宋体"/>
          <w:sz w:val="24"/>
          <w:szCs w:val="24"/>
        </w:rPr>
        <w:t>在考察现场并充分研究（项目名称）（以下简称“本工程”）施工招标文件的全部内容后，我方兹以：</w:t>
      </w:r>
    </w:p>
    <w:p>
      <w:pPr>
        <w:spacing w:line="440" w:lineRule="exact"/>
        <w:ind w:left="540" w:leftChars="257"/>
        <w:rPr>
          <w:rFonts w:ascii="宋体" w:hAnsi="宋体"/>
          <w:sz w:val="24"/>
          <w:szCs w:val="24"/>
        </w:rPr>
      </w:pPr>
      <w:r>
        <w:rPr>
          <w:rFonts w:hint="eastAsia" w:ascii="宋体" w:hAnsi="宋体"/>
          <w:sz w:val="24"/>
          <w:szCs w:val="24"/>
        </w:rPr>
        <w:t xml:space="preserve">人民币（大写）：元 </w:t>
      </w:r>
    </w:p>
    <w:p>
      <w:pPr>
        <w:spacing w:line="440" w:lineRule="exact"/>
        <w:ind w:left="540" w:leftChars="257"/>
        <w:rPr>
          <w:rFonts w:ascii="宋体" w:hAnsi="宋体"/>
          <w:sz w:val="24"/>
          <w:szCs w:val="24"/>
        </w:rPr>
      </w:pPr>
      <w:r>
        <w:rPr>
          <w:rFonts w:hint="eastAsia" w:ascii="宋体" w:hAnsi="宋体"/>
          <w:sz w:val="24"/>
          <w:szCs w:val="24"/>
        </w:rPr>
        <w:t>RMB￥：元</w:t>
      </w:r>
    </w:p>
    <w:p>
      <w:pPr>
        <w:spacing w:line="440" w:lineRule="exact"/>
        <w:rPr>
          <w:rFonts w:ascii="宋体" w:hAnsi="宋体"/>
          <w:sz w:val="24"/>
          <w:szCs w:val="24"/>
        </w:rPr>
      </w:pPr>
      <w:r>
        <w:rPr>
          <w:rFonts w:hint="eastAsia" w:ascii="宋体" w:hAnsi="宋体"/>
          <w:sz w:val="24"/>
          <w:szCs w:val="24"/>
        </w:rPr>
        <w:t>的投标价格和按合同约定有权得到的其它金额，并严格按照合同约定，施工、竣工和交付本工程并维修其中的任何缺陷。</w:t>
      </w:r>
    </w:p>
    <w:p>
      <w:pPr>
        <w:spacing w:line="480" w:lineRule="exact"/>
        <w:ind w:firstLine="480" w:firstLineChars="200"/>
        <w:rPr>
          <w:rFonts w:ascii="宋体" w:hAnsi="宋体"/>
          <w:sz w:val="24"/>
          <w:szCs w:val="24"/>
        </w:rPr>
      </w:pPr>
      <w:r>
        <w:rPr>
          <w:rFonts w:hint="eastAsia" w:ascii="宋体" w:hAnsi="宋体"/>
          <w:sz w:val="24"/>
          <w:szCs w:val="24"/>
        </w:rPr>
        <w:t>在我方的上述投标总报价中，包括：</w:t>
      </w:r>
    </w:p>
    <w:p>
      <w:pPr>
        <w:spacing w:line="480" w:lineRule="exact"/>
        <w:ind w:firstLine="480" w:firstLineChars="200"/>
        <w:rPr>
          <w:rFonts w:ascii="宋体" w:hAnsi="宋体"/>
          <w:sz w:val="24"/>
          <w:szCs w:val="24"/>
        </w:rPr>
      </w:pPr>
      <w:r>
        <w:rPr>
          <w:rFonts w:hint="eastAsia" w:ascii="宋体" w:hAnsi="宋体"/>
          <w:sz w:val="24"/>
          <w:szCs w:val="24"/>
        </w:rPr>
        <w:t>规费RMB￥：元</w:t>
      </w:r>
    </w:p>
    <w:p>
      <w:pPr>
        <w:spacing w:line="480" w:lineRule="exact"/>
        <w:ind w:firstLine="480" w:firstLineChars="200"/>
        <w:rPr>
          <w:rFonts w:ascii="宋体" w:hAnsi="宋体"/>
          <w:sz w:val="24"/>
          <w:szCs w:val="24"/>
        </w:rPr>
      </w:pPr>
      <w:r>
        <w:rPr>
          <w:rFonts w:hint="eastAsia" w:ascii="宋体" w:hAnsi="宋体"/>
          <w:sz w:val="24"/>
          <w:szCs w:val="24"/>
        </w:rPr>
        <w:t>税金RMB￥：元</w:t>
      </w:r>
    </w:p>
    <w:p>
      <w:pPr>
        <w:spacing w:line="480" w:lineRule="exact"/>
        <w:ind w:firstLine="480" w:firstLineChars="200"/>
        <w:rPr>
          <w:rFonts w:ascii="宋体" w:hAnsi="宋体"/>
          <w:sz w:val="24"/>
          <w:szCs w:val="24"/>
        </w:rPr>
      </w:pPr>
      <w:r>
        <w:rPr>
          <w:rFonts w:hint="eastAsia" w:ascii="宋体" w:hAnsi="宋体"/>
          <w:sz w:val="24"/>
          <w:szCs w:val="24"/>
        </w:rPr>
        <w:t>安全文明措施费RMB￥：元</w:t>
      </w:r>
    </w:p>
    <w:p>
      <w:pPr>
        <w:spacing w:line="440" w:lineRule="exact"/>
        <w:ind w:firstLine="480" w:firstLineChars="200"/>
        <w:rPr>
          <w:rFonts w:ascii="宋体" w:hAnsi="宋体"/>
          <w:sz w:val="24"/>
          <w:szCs w:val="24"/>
        </w:rPr>
      </w:pPr>
      <w:r>
        <w:rPr>
          <w:rFonts w:hint="eastAsia" w:ascii="宋体" w:hAnsi="宋体"/>
          <w:sz w:val="24"/>
          <w:szCs w:val="24"/>
        </w:rPr>
        <w:t>如果我方中标，我方保证按照合同约定的开工日期开始本工程的施工，  天（日历天）内竣工，并确保工程质量达到     标准。我方同意本投标函在招标文件规定的提交投标文件截止时间后，在招标文件规定的投标有效期期满前对我方具有约束力，且随时准备接受你方发出的中标通知书。</w:t>
      </w:r>
    </w:p>
    <w:p>
      <w:pPr>
        <w:spacing w:line="440" w:lineRule="exact"/>
        <w:ind w:firstLine="480" w:firstLineChars="200"/>
        <w:rPr>
          <w:rFonts w:ascii="宋体" w:hAnsi="宋体"/>
          <w:sz w:val="24"/>
          <w:szCs w:val="24"/>
        </w:rPr>
      </w:pPr>
      <w:r>
        <w:rPr>
          <w:rFonts w:hint="eastAsia" w:ascii="宋体" w:hAnsi="宋体"/>
          <w:sz w:val="24"/>
          <w:szCs w:val="24"/>
        </w:rPr>
        <w:t>随本投标函递交的投标函附录是本投标函的组成部分，对我方构成约束力。</w:t>
      </w:r>
    </w:p>
    <w:p>
      <w:pPr>
        <w:spacing w:line="440" w:lineRule="exact"/>
        <w:ind w:firstLine="480" w:firstLineChars="200"/>
        <w:rPr>
          <w:rFonts w:ascii="宋体" w:hAnsi="宋体"/>
          <w:sz w:val="24"/>
          <w:szCs w:val="24"/>
        </w:rPr>
      </w:pPr>
      <w:r>
        <w:rPr>
          <w:rFonts w:hint="eastAsia" w:ascii="宋体" w:hAnsi="宋体"/>
          <w:sz w:val="24"/>
          <w:szCs w:val="24"/>
        </w:rPr>
        <w:t>随同本投标函递交投标保证金一份，金额为人民币（大写）：     元。</w:t>
      </w:r>
    </w:p>
    <w:p>
      <w:pPr>
        <w:spacing w:line="440" w:lineRule="exact"/>
        <w:ind w:firstLine="480" w:firstLineChars="200"/>
        <w:rPr>
          <w:rFonts w:ascii="宋体" w:hAnsi="宋体"/>
          <w:sz w:val="24"/>
          <w:szCs w:val="24"/>
        </w:rPr>
      </w:pPr>
      <w:r>
        <w:rPr>
          <w:rFonts w:hint="eastAsia" w:ascii="宋体" w:hAnsi="宋体"/>
          <w:sz w:val="24"/>
          <w:szCs w:val="24"/>
        </w:rPr>
        <w:t>在签署协议书之前，你方的中标通知书连同本投标函，包括投标函附录，对双方具有约束力。</w:t>
      </w:r>
    </w:p>
    <w:p>
      <w:pPr>
        <w:spacing w:line="440" w:lineRule="exact"/>
        <w:ind w:firstLine="480" w:firstLineChars="200"/>
        <w:rPr>
          <w:rFonts w:ascii="宋体" w:hAnsi="宋体"/>
          <w:sz w:val="24"/>
          <w:szCs w:val="24"/>
        </w:rPr>
      </w:pPr>
    </w:p>
    <w:p>
      <w:pPr>
        <w:spacing w:line="440" w:lineRule="exact"/>
        <w:ind w:firstLine="480" w:firstLineChars="200"/>
        <w:rPr>
          <w:rFonts w:ascii="宋体" w:hAnsi="宋体"/>
          <w:sz w:val="24"/>
          <w:szCs w:val="24"/>
        </w:rPr>
      </w:pPr>
    </w:p>
    <w:p>
      <w:pPr>
        <w:spacing w:line="440" w:lineRule="exact"/>
        <w:ind w:firstLine="480" w:firstLineChars="200"/>
        <w:rPr>
          <w:rFonts w:ascii="宋体" w:hAnsi="宋体"/>
          <w:sz w:val="24"/>
          <w:szCs w:val="24"/>
        </w:rPr>
      </w:pPr>
    </w:p>
    <w:p>
      <w:pPr>
        <w:spacing w:line="440" w:lineRule="exact"/>
        <w:ind w:firstLine="3360" w:firstLineChars="1400"/>
        <w:rPr>
          <w:rFonts w:ascii="宋体" w:hAnsi="宋体"/>
          <w:sz w:val="24"/>
          <w:szCs w:val="24"/>
        </w:rPr>
      </w:pPr>
      <w:r>
        <w:rPr>
          <w:rFonts w:hint="eastAsia" w:ascii="宋体" w:hAnsi="宋体"/>
          <w:sz w:val="24"/>
          <w:szCs w:val="24"/>
        </w:rPr>
        <w:t>投标人（盖章）：</w:t>
      </w:r>
    </w:p>
    <w:p>
      <w:pPr>
        <w:spacing w:line="440" w:lineRule="exact"/>
        <w:ind w:firstLine="3240" w:firstLineChars="1350"/>
        <w:rPr>
          <w:rFonts w:ascii="宋体" w:hAnsi="宋体"/>
          <w:sz w:val="24"/>
          <w:szCs w:val="24"/>
        </w:rPr>
      </w:pPr>
      <w:r>
        <w:rPr>
          <w:rFonts w:hint="eastAsia" w:ascii="宋体" w:hAnsi="宋体"/>
          <w:sz w:val="24"/>
          <w:szCs w:val="24"/>
        </w:rPr>
        <w:t>法定代表人或委托代理人（</w:t>
      </w:r>
      <w:r>
        <w:rPr>
          <w:rFonts w:hint="eastAsia" w:ascii="宋体" w:hAnsi="宋体" w:cs="宋体"/>
          <w:kern w:val="0"/>
          <w:sz w:val="24"/>
          <w:szCs w:val="24"/>
        </w:rPr>
        <w:t>签字</w:t>
      </w:r>
      <w:r>
        <w:rPr>
          <w:rFonts w:hint="eastAsia" w:ascii="宋体" w:hAnsi="宋体"/>
          <w:sz w:val="24"/>
          <w:szCs w:val="24"/>
        </w:rPr>
        <w:t>）：</w:t>
      </w:r>
    </w:p>
    <w:p>
      <w:pPr>
        <w:spacing w:line="440" w:lineRule="exact"/>
        <w:ind w:firstLine="3360" w:firstLineChars="1400"/>
        <w:rPr>
          <w:rFonts w:ascii="宋体" w:hAnsi="宋体"/>
          <w:sz w:val="24"/>
          <w:szCs w:val="24"/>
        </w:rPr>
      </w:pPr>
      <w:r>
        <w:rPr>
          <w:rFonts w:hint="eastAsia" w:ascii="宋体" w:hAnsi="宋体"/>
          <w:sz w:val="24"/>
          <w:szCs w:val="24"/>
        </w:rPr>
        <w:t>日期：年月日</w:t>
      </w:r>
    </w:p>
    <w:p>
      <w:pPr>
        <w:tabs>
          <w:tab w:val="center" w:pos="4739"/>
        </w:tabs>
        <w:jc w:val="center"/>
        <w:rPr>
          <w:rFonts w:ascii="新宋体" w:hAnsi="新宋体" w:eastAsia="新宋体" w:cs="黑体"/>
          <w:b/>
          <w:kern w:val="0"/>
        </w:rPr>
      </w:pPr>
      <w:r>
        <w:rPr>
          <w:rFonts w:ascii="新宋体" w:hAnsi="新宋体" w:eastAsia="新宋体" w:cs="黑体"/>
          <w:b/>
          <w:kern w:val="0"/>
        </w:rPr>
        <w:br w:type="page"/>
      </w:r>
    </w:p>
    <w:p>
      <w:pPr>
        <w:tabs>
          <w:tab w:val="center" w:pos="4739"/>
        </w:tabs>
        <w:jc w:val="center"/>
        <w:rPr>
          <w:rFonts w:ascii="新宋体" w:hAnsi="新宋体" w:eastAsia="新宋体" w:cs="黑体"/>
          <w:b/>
          <w:kern w:val="0"/>
        </w:rPr>
      </w:pPr>
    </w:p>
    <w:p>
      <w:pPr>
        <w:tabs>
          <w:tab w:val="center" w:pos="4739"/>
        </w:tabs>
        <w:jc w:val="center"/>
        <w:rPr>
          <w:rFonts w:ascii="黑体" w:hAnsi="新宋体" w:eastAsia="黑体" w:cs="黑体"/>
          <w:kern w:val="0"/>
          <w:sz w:val="28"/>
          <w:szCs w:val="28"/>
        </w:rPr>
      </w:pPr>
      <w:r>
        <w:rPr>
          <w:rFonts w:hint="eastAsia" w:ascii="宋体" w:hAnsi="宋体"/>
          <w:b/>
          <w:sz w:val="32"/>
        </w:rPr>
        <w:t>二、投标函附录</w:t>
      </w:r>
    </w:p>
    <w:tbl>
      <w:tblPr>
        <w:tblStyle w:val="16"/>
        <w:tblW w:w="83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6"/>
        <w:gridCol w:w="1488"/>
        <w:gridCol w:w="709"/>
        <w:gridCol w:w="1165"/>
        <w:gridCol w:w="1188"/>
        <w:gridCol w:w="20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1736" w:type="dxa"/>
            <w:noWrap/>
            <w:vAlign w:val="center"/>
          </w:tcPr>
          <w:p>
            <w:pPr>
              <w:jc w:val="center"/>
              <w:rPr>
                <w:rFonts w:ascii="宋体" w:hAnsi="宋体"/>
                <w:sz w:val="24"/>
                <w:szCs w:val="24"/>
              </w:rPr>
            </w:pPr>
            <w:r>
              <w:rPr>
                <w:rFonts w:hint="eastAsia" w:ascii="宋体" w:hAnsi="宋体"/>
                <w:sz w:val="24"/>
                <w:szCs w:val="24"/>
              </w:rPr>
              <w:t>工程名称</w:t>
            </w:r>
          </w:p>
        </w:tc>
        <w:tc>
          <w:tcPr>
            <w:tcW w:w="6607" w:type="dxa"/>
            <w:gridSpan w:val="5"/>
            <w:noWrap/>
            <w:vAlign w:val="center"/>
          </w:tcPr>
          <w:p>
            <w:pPr>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jc w:val="center"/>
        </w:trPr>
        <w:tc>
          <w:tcPr>
            <w:tcW w:w="1736" w:type="dxa"/>
            <w:noWrap/>
            <w:vAlign w:val="center"/>
          </w:tcPr>
          <w:p>
            <w:pPr>
              <w:jc w:val="center"/>
              <w:rPr>
                <w:rFonts w:ascii="宋体" w:hAnsi="宋体"/>
                <w:sz w:val="24"/>
                <w:szCs w:val="24"/>
              </w:rPr>
            </w:pPr>
            <w:r>
              <w:rPr>
                <w:rFonts w:hint="eastAsia" w:ascii="宋体" w:hAnsi="宋体"/>
                <w:sz w:val="24"/>
                <w:szCs w:val="24"/>
              </w:rPr>
              <w:t>投标人</w:t>
            </w:r>
          </w:p>
        </w:tc>
        <w:tc>
          <w:tcPr>
            <w:tcW w:w="6607" w:type="dxa"/>
            <w:gridSpan w:val="5"/>
            <w:noWrap/>
            <w:vAlign w:val="center"/>
          </w:tcPr>
          <w:p>
            <w:pPr>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jc w:val="center"/>
        </w:trPr>
        <w:tc>
          <w:tcPr>
            <w:tcW w:w="1736" w:type="dxa"/>
            <w:noWrap/>
            <w:vAlign w:val="center"/>
          </w:tcPr>
          <w:p>
            <w:pPr>
              <w:jc w:val="center"/>
              <w:rPr>
                <w:rFonts w:ascii="宋体" w:hAnsi="宋体"/>
                <w:sz w:val="24"/>
                <w:szCs w:val="24"/>
              </w:rPr>
            </w:pPr>
            <w:r>
              <w:rPr>
                <w:rFonts w:hint="eastAsia" w:ascii="宋体" w:hAnsi="宋体"/>
                <w:sz w:val="24"/>
                <w:szCs w:val="24"/>
              </w:rPr>
              <w:t>项目经理</w:t>
            </w:r>
          </w:p>
        </w:tc>
        <w:tc>
          <w:tcPr>
            <w:tcW w:w="1488" w:type="dxa"/>
            <w:noWrap/>
            <w:vAlign w:val="center"/>
          </w:tcPr>
          <w:p>
            <w:pPr>
              <w:jc w:val="center"/>
              <w:rPr>
                <w:rFonts w:ascii="宋体" w:hAnsi="宋体"/>
                <w:sz w:val="24"/>
                <w:szCs w:val="24"/>
              </w:rPr>
            </w:pPr>
          </w:p>
        </w:tc>
        <w:tc>
          <w:tcPr>
            <w:tcW w:w="709" w:type="dxa"/>
            <w:noWrap/>
            <w:vAlign w:val="center"/>
          </w:tcPr>
          <w:p>
            <w:pPr>
              <w:jc w:val="center"/>
              <w:rPr>
                <w:rFonts w:ascii="宋体" w:hAnsi="宋体"/>
                <w:sz w:val="24"/>
                <w:szCs w:val="24"/>
              </w:rPr>
            </w:pPr>
            <w:r>
              <w:rPr>
                <w:rFonts w:hint="eastAsia" w:ascii="宋体" w:hAnsi="宋体"/>
                <w:sz w:val="24"/>
                <w:szCs w:val="24"/>
              </w:rPr>
              <w:t>级别</w:t>
            </w:r>
          </w:p>
        </w:tc>
        <w:tc>
          <w:tcPr>
            <w:tcW w:w="1165" w:type="dxa"/>
            <w:noWrap/>
            <w:vAlign w:val="center"/>
          </w:tcPr>
          <w:p>
            <w:pPr>
              <w:jc w:val="center"/>
              <w:rPr>
                <w:rFonts w:ascii="宋体" w:hAnsi="宋体"/>
                <w:sz w:val="24"/>
                <w:szCs w:val="24"/>
              </w:rPr>
            </w:pPr>
          </w:p>
        </w:tc>
        <w:tc>
          <w:tcPr>
            <w:tcW w:w="1188" w:type="dxa"/>
            <w:noWrap/>
            <w:vAlign w:val="center"/>
          </w:tcPr>
          <w:p>
            <w:pPr>
              <w:jc w:val="center"/>
              <w:rPr>
                <w:rFonts w:ascii="宋体" w:hAnsi="宋体"/>
                <w:sz w:val="24"/>
                <w:szCs w:val="24"/>
              </w:rPr>
            </w:pPr>
            <w:r>
              <w:rPr>
                <w:rFonts w:hint="eastAsia" w:ascii="宋体" w:hAnsi="宋体"/>
                <w:sz w:val="24"/>
                <w:szCs w:val="24"/>
              </w:rPr>
              <w:t>证书编号</w:t>
            </w:r>
          </w:p>
        </w:tc>
        <w:tc>
          <w:tcPr>
            <w:tcW w:w="2057" w:type="dxa"/>
            <w:noWrap/>
            <w:vAlign w:val="center"/>
          </w:tcPr>
          <w:p>
            <w:pPr>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jc w:val="center"/>
        </w:trPr>
        <w:tc>
          <w:tcPr>
            <w:tcW w:w="1736" w:type="dxa"/>
            <w:noWrap/>
            <w:vAlign w:val="center"/>
          </w:tcPr>
          <w:p>
            <w:pPr>
              <w:jc w:val="center"/>
              <w:rPr>
                <w:rFonts w:ascii="宋体" w:hAnsi="宋体"/>
                <w:sz w:val="24"/>
                <w:szCs w:val="24"/>
              </w:rPr>
            </w:pPr>
            <w:r>
              <w:rPr>
                <w:rFonts w:hint="eastAsia" w:ascii="宋体" w:hAnsi="宋体"/>
                <w:sz w:val="24"/>
                <w:szCs w:val="24"/>
              </w:rPr>
              <w:t>技术负责人</w:t>
            </w:r>
          </w:p>
        </w:tc>
        <w:tc>
          <w:tcPr>
            <w:tcW w:w="1488" w:type="dxa"/>
            <w:noWrap/>
            <w:vAlign w:val="center"/>
          </w:tcPr>
          <w:p>
            <w:pPr>
              <w:jc w:val="center"/>
              <w:rPr>
                <w:rFonts w:ascii="宋体" w:hAnsi="宋体"/>
                <w:sz w:val="24"/>
                <w:szCs w:val="24"/>
              </w:rPr>
            </w:pPr>
          </w:p>
        </w:tc>
        <w:tc>
          <w:tcPr>
            <w:tcW w:w="709" w:type="dxa"/>
            <w:noWrap/>
            <w:vAlign w:val="center"/>
          </w:tcPr>
          <w:p>
            <w:pPr>
              <w:jc w:val="center"/>
              <w:rPr>
                <w:rFonts w:ascii="宋体" w:hAnsi="宋体"/>
                <w:sz w:val="24"/>
                <w:szCs w:val="24"/>
              </w:rPr>
            </w:pPr>
            <w:r>
              <w:rPr>
                <w:rFonts w:hint="eastAsia" w:ascii="宋体" w:hAnsi="宋体"/>
                <w:sz w:val="24"/>
                <w:szCs w:val="24"/>
              </w:rPr>
              <w:t>级别</w:t>
            </w:r>
          </w:p>
        </w:tc>
        <w:tc>
          <w:tcPr>
            <w:tcW w:w="1165" w:type="dxa"/>
            <w:noWrap/>
            <w:vAlign w:val="center"/>
          </w:tcPr>
          <w:p>
            <w:pPr>
              <w:jc w:val="center"/>
              <w:rPr>
                <w:rFonts w:ascii="宋体" w:hAnsi="宋体"/>
                <w:sz w:val="24"/>
                <w:szCs w:val="24"/>
              </w:rPr>
            </w:pPr>
          </w:p>
        </w:tc>
        <w:tc>
          <w:tcPr>
            <w:tcW w:w="1188" w:type="dxa"/>
            <w:noWrap/>
            <w:vAlign w:val="center"/>
          </w:tcPr>
          <w:p>
            <w:pPr>
              <w:jc w:val="center"/>
              <w:rPr>
                <w:rFonts w:ascii="宋体" w:hAnsi="宋体"/>
                <w:sz w:val="24"/>
                <w:szCs w:val="24"/>
              </w:rPr>
            </w:pPr>
            <w:r>
              <w:rPr>
                <w:rFonts w:hint="eastAsia" w:ascii="宋体" w:hAnsi="宋体"/>
                <w:sz w:val="24"/>
                <w:szCs w:val="24"/>
              </w:rPr>
              <w:t>证书编号</w:t>
            </w:r>
          </w:p>
        </w:tc>
        <w:tc>
          <w:tcPr>
            <w:tcW w:w="2057" w:type="dxa"/>
            <w:noWrap/>
            <w:vAlign w:val="center"/>
          </w:tcPr>
          <w:p>
            <w:pPr>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jc w:val="center"/>
        </w:trPr>
        <w:tc>
          <w:tcPr>
            <w:tcW w:w="1736" w:type="dxa"/>
            <w:vMerge w:val="restart"/>
            <w:noWrap/>
            <w:vAlign w:val="center"/>
          </w:tcPr>
          <w:p>
            <w:pPr>
              <w:jc w:val="center"/>
              <w:rPr>
                <w:rFonts w:ascii="宋体" w:hAnsi="宋体"/>
                <w:sz w:val="24"/>
                <w:szCs w:val="24"/>
              </w:rPr>
            </w:pPr>
            <w:r>
              <w:rPr>
                <w:rFonts w:hint="eastAsia" w:ascii="宋体" w:hAnsi="宋体"/>
                <w:sz w:val="24"/>
                <w:szCs w:val="24"/>
              </w:rPr>
              <w:t>投标总报价</w:t>
            </w:r>
          </w:p>
        </w:tc>
        <w:tc>
          <w:tcPr>
            <w:tcW w:w="3362" w:type="dxa"/>
            <w:gridSpan w:val="3"/>
            <w:noWrap/>
            <w:vAlign w:val="center"/>
          </w:tcPr>
          <w:p>
            <w:pPr>
              <w:pStyle w:val="14"/>
              <w:ind w:firstLine="0" w:firstLineChars="0"/>
              <w:rPr>
                <w:rFonts w:ascii="宋体" w:hAnsi="宋体"/>
                <w:sz w:val="24"/>
                <w:szCs w:val="24"/>
              </w:rPr>
            </w:pPr>
            <w:r>
              <w:rPr>
                <w:rFonts w:hint="eastAsia" w:ascii="宋体" w:hAnsi="宋体"/>
                <w:sz w:val="24"/>
                <w:szCs w:val="24"/>
              </w:rPr>
              <w:t>（大写）</w:t>
            </w:r>
          </w:p>
          <w:p>
            <w:pPr>
              <w:pStyle w:val="14"/>
              <w:ind w:firstLine="0" w:firstLineChars="0"/>
              <w:rPr>
                <w:rFonts w:ascii="宋体" w:hAnsi="宋体"/>
                <w:sz w:val="24"/>
                <w:szCs w:val="24"/>
              </w:rPr>
            </w:pPr>
          </w:p>
        </w:tc>
        <w:tc>
          <w:tcPr>
            <w:tcW w:w="3245" w:type="dxa"/>
            <w:gridSpan w:val="2"/>
            <w:noWrap/>
            <w:vAlign w:val="center"/>
          </w:tcPr>
          <w:p>
            <w:pPr>
              <w:widowControl/>
              <w:jc w:val="left"/>
              <w:rPr>
                <w:rFonts w:ascii="宋体" w:hAnsi="宋体"/>
                <w:sz w:val="24"/>
                <w:szCs w:val="24"/>
              </w:rPr>
            </w:pPr>
            <w:r>
              <w:rPr>
                <w:rFonts w:hint="eastAsia" w:ascii="宋体" w:hAnsi="宋体"/>
                <w:sz w:val="24"/>
                <w:szCs w:val="24"/>
              </w:rPr>
              <w:t>（小写）</w:t>
            </w:r>
          </w:p>
          <w:p>
            <w:pPr>
              <w:pStyle w:val="14"/>
              <w:ind w:firstLine="21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jc w:val="center"/>
        </w:trPr>
        <w:tc>
          <w:tcPr>
            <w:tcW w:w="1736" w:type="dxa"/>
            <w:vMerge w:val="continue"/>
            <w:noWrap/>
            <w:vAlign w:val="center"/>
          </w:tcPr>
          <w:p>
            <w:pPr>
              <w:jc w:val="center"/>
              <w:rPr>
                <w:rFonts w:ascii="宋体" w:hAnsi="宋体"/>
                <w:sz w:val="24"/>
                <w:szCs w:val="24"/>
              </w:rPr>
            </w:pPr>
          </w:p>
        </w:tc>
        <w:tc>
          <w:tcPr>
            <w:tcW w:w="6607" w:type="dxa"/>
            <w:gridSpan w:val="5"/>
            <w:noWrap/>
            <w:vAlign w:val="center"/>
          </w:tcPr>
          <w:p>
            <w:pPr>
              <w:rPr>
                <w:rFonts w:ascii="宋体" w:hAnsi="宋体"/>
                <w:sz w:val="24"/>
                <w:szCs w:val="24"/>
              </w:rPr>
            </w:pPr>
            <w:r>
              <w:rPr>
                <w:rFonts w:hint="eastAsia" w:ascii="宋体" w:hAnsi="宋体"/>
                <w:sz w:val="24"/>
                <w:szCs w:val="24"/>
              </w:rPr>
              <w:t>其中：</w:t>
            </w:r>
          </w:p>
          <w:p>
            <w:pPr>
              <w:rPr>
                <w:rFonts w:ascii="宋体" w:hAnsi="宋体"/>
                <w:sz w:val="24"/>
                <w:szCs w:val="24"/>
              </w:rPr>
            </w:pPr>
            <w:r>
              <w:rPr>
                <w:rFonts w:hint="eastAsia" w:ascii="宋体" w:hAnsi="宋体"/>
                <w:sz w:val="24"/>
                <w:szCs w:val="24"/>
              </w:rPr>
              <w:t>规费RMB￥：               元</w:t>
            </w:r>
          </w:p>
          <w:p>
            <w:pPr>
              <w:rPr>
                <w:rFonts w:ascii="宋体" w:hAnsi="宋体"/>
                <w:sz w:val="24"/>
                <w:szCs w:val="24"/>
              </w:rPr>
            </w:pPr>
            <w:r>
              <w:rPr>
                <w:rFonts w:hint="eastAsia" w:ascii="宋体" w:hAnsi="宋体"/>
                <w:sz w:val="24"/>
                <w:szCs w:val="24"/>
              </w:rPr>
              <w:t xml:space="preserve">税金RMB￥：               元    </w:t>
            </w:r>
          </w:p>
          <w:p>
            <w:pPr>
              <w:rPr>
                <w:rFonts w:ascii="宋体" w:hAnsi="宋体"/>
                <w:sz w:val="24"/>
                <w:szCs w:val="24"/>
              </w:rPr>
            </w:pPr>
            <w:r>
              <w:rPr>
                <w:rFonts w:hint="eastAsia" w:ascii="宋体" w:hAnsi="宋体"/>
                <w:sz w:val="24"/>
                <w:szCs w:val="24"/>
              </w:rPr>
              <w:t>安全文明措施费RMB￥：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jc w:val="center"/>
        </w:trPr>
        <w:tc>
          <w:tcPr>
            <w:tcW w:w="1736" w:type="dxa"/>
            <w:noWrap/>
            <w:vAlign w:val="center"/>
          </w:tcPr>
          <w:p>
            <w:pPr>
              <w:jc w:val="center"/>
              <w:rPr>
                <w:rFonts w:ascii="宋体" w:hAnsi="宋体"/>
                <w:sz w:val="24"/>
                <w:szCs w:val="24"/>
              </w:rPr>
            </w:pPr>
            <w:r>
              <w:rPr>
                <w:rFonts w:hint="eastAsia" w:ascii="宋体" w:hAnsi="宋体"/>
                <w:sz w:val="24"/>
                <w:szCs w:val="24"/>
              </w:rPr>
              <w:t>投标质量等级</w:t>
            </w:r>
          </w:p>
        </w:tc>
        <w:tc>
          <w:tcPr>
            <w:tcW w:w="6607" w:type="dxa"/>
            <w:gridSpan w:val="5"/>
            <w:noWrap/>
            <w:vAlign w:val="center"/>
          </w:tcPr>
          <w:p>
            <w:pP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jc w:val="center"/>
        </w:trPr>
        <w:tc>
          <w:tcPr>
            <w:tcW w:w="1736" w:type="dxa"/>
            <w:noWrap/>
            <w:vAlign w:val="center"/>
          </w:tcPr>
          <w:p>
            <w:pPr>
              <w:jc w:val="center"/>
              <w:rPr>
                <w:rFonts w:ascii="宋体" w:hAnsi="宋体"/>
                <w:sz w:val="24"/>
                <w:szCs w:val="24"/>
              </w:rPr>
            </w:pPr>
            <w:r>
              <w:rPr>
                <w:rFonts w:hint="eastAsia" w:ascii="宋体" w:hAnsi="宋体"/>
                <w:sz w:val="24"/>
                <w:szCs w:val="24"/>
              </w:rPr>
              <w:t>投标工期</w:t>
            </w:r>
          </w:p>
        </w:tc>
        <w:tc>
          <w:tcPr>
            <w:tcW w:w="6607" w:type="dxa"/>
            <w:gridSpan w:val="5"/>
            <w:noWrap/>
            <w:vAlign w:val="center"/>
          </w:tcPr>
          <w:p>
            <w:pPr>
              <w:jc w:val="center"/>
              <w:rPr>
                <w:rFonts w:ascii="宋体" w:hAnsi="宋体"/>
                <w:sz w:val="24"/>
                <w:szCs w:val="24"/>
              </w:rPr>
            </w:pPr>
            <w:r>
              <w:rPr>
                <w:rFonts w:hint="eastAsia" w:ascii="宋体" w:hAnsi="宋体"/>
                <w:sz w:val="24"/>
                <w:szCs w:val="24"/>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jc w:val="center"/>
        </w:trPr>
        <w:tc>
          <w:tcPr>
            <w:tcW w:w="1736" w:type="dxa"/>
            <w:noWrap/>
            <w:vAlign w:val="center"/>
          </w:tcPr>
          <w:p>
            <w:pPr>
              <w:jc w:val="center"/>
              <w:rPr>
                <w:rFonts w:ascii="宋体" w:hAnsi="宋体"/>
                <w:sz w:val="24"/>
                <w:szCs w:val="24"/>
              </w:rPr>
            </w:pPr>
            <w:r>
              <w:rPr>
                <w:rFonts w:hint="eastAsia" w:ascii="宋体" w:hAnsi="宋体"/>
                <w:sz w:val="24"/>
                <w:szCs w:val="24"/>
              </w:rPr>
              <w:t>投标有效期</w:t>
            </w:r>
          </w:p>
        </w:tc>
        <w:tc>
          <w:tcPr>
            <w:tcW w:w="6607" w:type="dxa"/>
            <w:gridSpan w:val="5"/>
            <w:noWrap/>
            <w:vAlign w:val="center"/>
          </w:tcPr>
          <w:p>
            <w:pPr>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8343" w:type="dxa"/>
            <w:gridSpan w:val="6"/>
            <w:noWrap/>
          </w:tcPr>
          <w:p>
            <w:pPr>
              <w:rPr>
                <w:rFonts w:ascii="宋体" w:hAnsi="宋体" w:cs="宋体"/>
                <w:sz w:val="24"/>
              </w:rPr>
            </w:pPr>
            <w:r>
              <w:rPr>
                <w:rFonts w:hint="eastAsia" w:ascii="宋体" w:hAnsi="宋体" w:cs="宋体"/>
                <w:sz w:val="24"/>
              </w:rPr>
              <w:t xml:space="preserve"> 优惠与服务承诺：</w:t>
            </w:r>
          </w:p>
          <w:p>
            <w:pPr>
              <w:rPr>
                <w:rFonts w:ascii="宋体" w:hAnsi="宋体"/>
                <w:sz w:val="24"/>
                <w:szCs w:val="24"/>
              </w:rPr>
            </w:pPr>
          </w:p>
          <w:p>
            <w:pPr>
              <w:rPr>
                <w:rFonts w:ascii="宋体" w:hAnsi="宋体"/>
                <w:sz w:val="24"/>
                <w:szCs w:val="24"/>
              </w:rPr>
            </w:pPr>
          </w:p>
          <w:p>
            <w:pPr>
              <w:rPr>
                <w:rFonts w:ascii="宋体" w:hAnsi="宋体"/>
                <w:sz w:val="24"/>
                <w:szCs w:val="24"/>
              </w:rPr>
            </w:pPr>
          </w:p>
        </w:tc>
      </w:tr>
    </w:tbl>
    <w:p>
      <w:pPr>
        <w:ind w:right="895"/>
        <w:jc w:val="center"/>
        <w:rPr>
          <w:rFonts w:ascii="新宋体" w:hAnsi="新宋体" w:eastAsia="新宋体"/>
        </w:rPr>
      </w:pPr>
    </w:p>
    <w:p>
      <w:pPr>
        <w:ind w:right="895"/>
        <w:jc w:val="center"/>
        <w:rPr>
          <w:rFonts w:ascii="新宋体" w:hAnsi="新宋体" w:eastAsia="新宋体"/>
          <w:sz w:val="24"/>
          <w:szCs w:val="24"/>
        </w:rPr>
      </w:pPr>
      <w:r>
        <w:rPr>
          <w:rFonts w:hint="eastAsia" w:ascii="新宋体" w:hAnsi="新宋体" w:eastAsia="新宋体"/>
          <w:sz w:val="24"/>
          <w:szCs w:val="24"/>
        </w:rPr>
        <w:t>投标单位（盖章）：</w:t>
      </w:r>
    </w:p>
    <w:p>
      <w:pPr>
        <w:ind w:right="735"/>
        <w:jc w:val="center"/>
        <w:rPr>
          <w:rFonts w:ascii="新宋体" w:hAnsi="新宋体" w:eastAsia="新宋体"/>
          <w:sz w:val="24"/>
          <w:szCs w:val="24"/>
        </w:rPr>
      </w:pPr>
      <w:r>
        <w:rPr>
          <w:rFonts w:hint="eastAsia" w:ascii="新宋体" w:hAnsi="新宋体" w:eastAsia="新宋体"/>
          <w:sz w:val="24"/>
          <w:szCs w:val="24"/>
        </w:rPr>
        <w:t xml:space="preserve">                                法定代表人或委托代理人（</w:t>
      </w:r>
      <w:r>
        <w:rPr>
          <w:rFonts w:hint="eastAsia" w:ascii="宋体" w:hAnsi="宋体" w:cs="宋体"/>
          <w:kern w:val="0"/>
          <w:sz w:val="24"/>
          <w:szCs w:val="24"/>
        </w:rPr>
        <w:t>签字</w:t>
      </w:r>
      <w:r>
        <w:rPr>
          <w:rFonts w:hint="eastAsia" w:ascii="新宋体" w:hAnsi="新宋体" w:eastAsia="新宋体"/>
          <w:sz w:val="24"/>
          <w:szCs w:val="24"/>
        </w:rPr>
        <w:t>）：</w:t>
      </w:r>
    </w:p>
    <w:p>
      <w:pPr>
        <w:ind w:right="1695"/>
        <w:jc w:val="right"/>
        <w:rPr>
          <w:rFonts w:ascii="新宋体" w:hAnsi="新宋体" w:eastAsia="新宋体"/>
          <w:sz w:val="24"/>
          <w:szCs w:val="24"/>
        </w:rPr>
      </w:pPr>
      <w:r>
        <w:rPr>
          <w:rFonts w:hint="eastAsia" w:ascii="新宋体" w:hAnsi="新宋体" w:eastAsia="新宋体"/>
          <w:sz w:val="24"/>
          <w:szCs w:val="24"/>
        </w:rPr>
        <w:t>年 月 日</w:t>
      </w:r>
    </w:p>
    <w:p>
      <w:pPr>
        <w:tabs>
          <w:tab w:val="center" w:pos="4739"/>
        </w:tabs>
        <w:jc w:val="center"/>
        <w:rPr>
          <w:rFonts w:ascii="黑体" w:hAnsi="新宋体" w:eastAsia="黑体" w:cs="黑体"/>
          <w:kern w:val="0"/>
          <w:sz w:val="24"/>
          <w:szCs w:val="24"/>
        </w:rPr>
      </w:pPr>
      <w:r>
        <w:rPr>
          <w:rFonts w:ascii="黑体" w:hAnsi="新宋体" w:eastAsia="黑体" w:cs="黑体"/>
          <w:kern w:val="0"/>
          <w:sz w:val="24"/>
          <w:szCs w:val="24"/>
        </w:rPr>
        <w:br w:type="page"/>
      </w:r>
    </w:p>
    <w:p>
      <w:pPr>
        <w:tabs>
          <w:tab w:val="center" w:pos="4739"/>
        </w:tabs>
        <w:jc w:val="center"/>
        <w:rPr>
          <w:rFonts w:ascii="黑体" w:hAnsi="新宋体" w:eastAsia="黑体" w:cs="黑体"/>
          <w:kern w:val="0"/>
          <w:sz w:val="24"/>
          <w:szCs w:val="24"/>
        </w:rPr>
      </w:pPr>
    </w:p>
    <w:p>
      <w:pPr>
        <w:tabs>
          <w:tab w:val="center" w:pos="4739"/>
        </w:tabs>
        <w:jc w:val="center"/>
        <w:rPr>
          <w:rFonts w:ascii="宋体" w:hAnsi="宋体" w:cs="仿宋_GB2312"/>
          <w:b/>
          <w:kern w:val="0"/>
          <w:sz w:val="28"/>
          <w:szCs w:val="28"/>
        </w:rPr>
      </w:pPr>
      <w:r>
        <w:rPr>
          <w:rFonts w:hint="eastAsia" w:ascii="宋体" w:hAnsi="宋体"/>
          <w:b/>
          <w:sz w:val="32"/>
        </w:rPr>
        <w:t>三、法定代表人身份证明或授权委托书</w:t>
      </w:r>
    </w:p>
    <w:p>
      <w:pPr>
        <w:autoSpaceDE w:val="0"/>
        <w:autoSpaceDN w:val="0"/>
        <w:adjustRightInd w:val="0"/>
        <w:spacing w:line="420" w:lineRule="exact"/>
        <w:jc w:val="center"/>
        <w:outlineLvl w:val="0"/>
        <w:rPr>
          <w:rFonts w:ascii="黑体" w:hAnsi="新宋体" w:eastAsia="黑体" w:cs="黑体"/>
          <w:kern w:val="0"/>
          <w:sz w:val="28"/>
          <w:szCs w:val="28"/>
        </w:rPr>
      </w:pPr>
    </w:p>
    <w:p>
      <w:pPr>
        <w:autoSpaceDE w:val="0"/>
        <w:autoSpaceDN w:val="0"/>
        <w:adjustRightInd w:val="0"/>
        <w:spacing w:line="420" w:lineRule="exact"/>
        <w:jc w:val="center"/>
        <w:outlineLvl w:val="0"/>
        <w:rPr>
          <w:rFonts w:ascii="黑体" w:hAnsi="新宋体" w:eastAsia="黑体" w:cs="黑体"/>
          <w:kern w:val="0"/>
          <w:sz w:val="28"/>
          <w:szCs w:val="28"/>
        </w:rPr>
      </w:pPr>
      <w:r>
        <w:rPr>
          <w:rFonts w:hint="eastAsia" w:ascii="黑体" w:hAnsi="新宋体" w:eastAsia="黑体" w:cs="黑体"/>
          <w:kern w:val="0"/>
          <w:sz w:val="28"/>
          <w:szCs w:val="28"/>
        </w:rPr>
        <w:t>（一）法定代表人身份证明</w:t>
      </w:r>
    </w:p>
    <w:p>
      <w:pPr>
        <w:autoSpaceDE w:val="0"/>
        <w:autoSpaceDN w:val="0"/>
        <w:adjustRightInd w:val="0"/>
        <w:spacing w:line="420" w:lineRule="exact"/>
        <w:jc w:val="center"/>
        <w:rPr>
          <w:rFonts w:ascii="宋体" w:hAnsi="宋体" w:cs="黑体"/>
          <w:kern w:val="0"/>
          <w:sz w:val="28"/>
          <w:szCs w:val="28"/>
        </w:rPr>
      </w:pPr>
    </w:p>
    <w:p>
      <w:pPr>
        <w:autoSpaceDE w:val="0"/>
        <w:autoSpaceDN w:val="0"/>
        <w:adjustRightInd w:val="0"/>
        <w:spacing w:line="420" w:lineRule="exact"/>
        <w:ind w:firstLine="480" w:firstLineChars="200"/>
        <w:jc w:val="left"/>
        <w:rPr>
          <w:rFonts w:ascii="宋体" w:hAnsi="宋体" w:cs="仿宋_GB2312"/>
          <w:kern w:val="0"/>
          <w:sz w:val="24"/>
          <w:szCs w:val="24"/>
        </w:rPr>
      </w:pPr>
      <w:r>
        <w:rPr>
          <w:rFonts w:hint="eastAsia" w:ascii="宋体" w:hAnsi="宋体" w:cs="仿宋_GB2312"/>
          <w:kern w:val="0"/>
          <w:sz w:val="24"/>
          <w:szCs w:val="24"/>
        </w:rPr>
        <w:t>投标人名称：</w:t>
      </w:r>
    </w:p>
    <w:p>
      <w:pPr>
        <w:autoSpaceDE w:val="0"/>
        <w:autoSpaceDN w:val="0"/>
        <w:adjustRightInd w:val="0"/>
        <w:spacing w:line="420" w:lineRule="exact"/>
        <w:ind w:firstLine="480" w:firstLineChars="200"/>
        <w:jc w:val="left"/>
        <w:rPr>
          <w:rFonts w:ascii="宋体" w:hAnsi="宋体" w:cs="仿宋_GB2312"/>
          <w:kern w:val="0"/>
          <w:sz w:val="24"/>
          <w:szCs w:val="24"/>
        </w:rPr>
      </w:pPr>
      <w:r>
        <w:rPr>
          <w:rFonts w:hint="eastAsia" w:ascii="宋体" w:hAnsi="宋体" w:cs="仿宋_GB2312"/>
          <w:kern w:val="0"/>
          <w:sz w:val="24"/>
          <w:szCs w:val="24"/>
        </w:rPr>
        <w:t>单位性质：</w:t>
      </w:r>
    </w:p>
    <w:p>
      <w:pPr>
        <w:autoSpaceDE w:val="0"/>
        <w:autoSpaceDN w:val="0"/>
        <w:adjustRightInd w:val="0"/>
        <w:spacing w:line="420" w:lineRule="exact"/>
        <w:ind w:firstLine="480" w:firstLineChars="200"/>
        <w:jc w:val="left"/>
        <w:rPr>
          <w:rFonts w:ascii="宋体" w:hAnsi="宋体" w:cs="仿宋_GB2312"/>
          <w:kern w:val="0"/>
          <w:sz w:val="24"/>
          <w:szCs w:val="24"/>
        </w:rPr>
      </w:pPr>
      <w:r>
        <w:rPr>
          <w:rFonts w:hint="eastAsia" w:ascii="宋体" w:hAnsi="宋体" w:cs="仿宋_GB2312"/>
          <w:kern w:val="0"/>
          <w:sz w:val="24"/>
          <w:szCs w:val="24"/>
        </w:rPr>
        <w:t>地址：</w:t>
      </w:r>
    </w:p>
    <w:p>
      <w:pPr>
        <w:autoSpaceDE w:val="0"/>
        <w:autoSpaceDN w:val="0"/>
        <w:adjustRightInd w:val="0"/>
        <w:spacing w:line="420" w:lineRule="exact"/>
        <w:ind w:firstLine="480" w:firstLineChars="200"/>
        <w:jc w:val="left"/>
        <w:rPr>
          <w:rFonts w:ascii="宋体" w:hAnsi="宋体" w:cs="仿宋_GB2312"/>
          <w:kern w:val="0"/>
          <w:sz w:val="24"/>
          <w:szCs w:val="24"/>
        </w:rPr>
      </w:pPr>
      <w:r>
        <w:rPr>
          <w:rFonts w:hint="eastAsia" w:ascii="宋体" w:hAnsi="宋体" w:cs="仿宋_GB2312"/>
          <w:kern w:val="0"/>
          <w:sz w:val="24"/>
          <w:szCs w:val="24"/>
        </w:rPr>
        <w:t>成立时间：年月日</w:t>
      </w:r>
    </w:p>
    <w:p>
      <w:pPr>
        <w:autoSpaceDE w:val="0"/>
        <w:autoSpaceDN w:val="0"/>
        <w:adjustRightInd w:val="0"/>
        <w:spacing w:line="420" w:lineRule="exact"/>
        <w:ind w:firstLine="480" w:firstLineChars="200"/>
        <w:jc w:val="left"/>
        <w:rPr>
          <w:rFonts w:ascii="宋体" w:hAnsi="宋体" w:cs="仿宋_GB2312"/>
          <w:kern w:val="0"/>
          <w:sz w:val="24"/>
          <w:szCs w:val="24"/>
        </w:rPr>
      </w:pPr>
      <w:r>
        <w:rPr>
          <w:rFonts w:hint="eastAsia" w:ascii="宋体" w:hAnsi="宋体" w:cs="仿宋_GB2312"/>
          <w:kern w:val="0"/>
          <w:sz w:val="24"/>
          <w:szCs w:val="24"/>
        </w:rPr>
        <w:t>经营期限：</w:t>
      </w:r>
    </w:p>
    <w:p>
      <w:pPr>
        <w:autoSpaceDE w:val="0"/>
        <w:autoSpaceDN w:val="0"/>
        <w:adjustRightInd w:val="0"/>
        <w:spacing w:line="420" w:lineRule="exact"/>
        <w:ind w:firstLine="480" w:firstLineChars="200"/>
        <w:jc w:val="left"/>
        <w:rPr>
          <w:rFonts w:ascii="宋体" w:hAnsi="宋体" w:cs="仿宋_GB2312"/>
          <w:kern w:val="0"/>
          <w:sz w:val="24"/>
          <w:szCs w:val="24"/>
        </w:rPr>
      </w:pPr>
      <w:r>
        <w:rPr>
          <w:rFonts w:hint="eastAsia" w:ascii="宋体" w:hAnsi="宋体" w:cs="仿宋_GB2312"/>
          <w:kern w:val="0"/>
          <w:sz w:val="24"/>
          <w:szCs w:val="24"/>
        </w:rPr>
        <w:t>姓名：性别：年龄：职务：</w:t>
      </w:r>
    </w:p>
    <w:p>
      <w:pPr>
        <w:autoSpaceDE w:val="0"/>
        <w:autoSpaceDN w:val="0"/>
        <w:adjustRightInd w:val="0"/>
        <w:spacing w:line="420" w:lineRule="exact"/>
        <w:ind w:firstLine="480" w:firstLineChars="200"/>
        <w:jc w:val="left"/>
        <w:rPr>
          <w:rFonts w:ascii="宋体" w:hAnsi="宋体" w:cs="仿宋_GB2312"/>
          <w:kern w:val="0"/>
          <w:sz w:val="24"/>
          <w:szCs w:val="24"/>
        </w:rPr>
      </w:pPr>
      <w:r>
        <w:rPr>
          <w:rFonts w:hint="eastAsia" w:ascii="宋体" w:hAnsi="宋体" w:cs="仿宋_GB2312"/>
          <w:kern w:val="0"/>
          <w:sz w:val="24"/>
          <w:szCs w:val="24"/>
        </w:rPr>
        <w:t>系（投标人名称）的法定代表人。</w:t>
      </w:r>
    </w:p>
    <w:p>
      <w:pPr>
        <w:autoSpaceDE w:val="0"/>
        <w:autoSpaceDN w:val="0"/>
        <w:adjustRightInd w:val="0"/>
        <w:spacing w:line="420" w:lineRule="exact"/>
        <w:ind w:firstLine="480" w:firstLineChars="200"/>
        <w:jc w:val="left"/>
        <w:rPr>
          <w:rFonts w:ascii="宋体" w:hAnsi="宋体" w:cs="仿宋_GB2312"/>
          <w:kern w:val="0"/>
          <w:sz w:val="24"/>
          <w:szCs w:val="24"/>
        </w:rPr>
      </w:pPr>
    </w:p>
    <w:p>
      <w:pPr>
        <w:autoSpaceDE w:val="0"/>
        <w:autoSpaceDN w:val="0"/>
        <w:adjustRightInd w:val="0"/>
        <w:spacing w:line="420" w:lineRule="exact"/>
        <w:ind w:firstLine="480" w:firstLineChars="200"/>
        <w:jc w:val="left"/>
        <w:rPr>
          <w:rFonts w:ascii="宋体" w:hAnsi="宋体" w:cs="仿宋_GB2312"/>
          <w:kern w:val="0"/>
          <w:sz w:val="24"/>
          <w:szCs w:val="24"/>
        </w:rPr>
      </w:pPr>
      <w:r>
        <w:rPr>
          <w:rFonts w:hint="eastAsia" w:ascii="宋体" w:hAnsi="宋体" w:cs="仿宋_GB2312"/>
          <w:kern w:val="0"/>
          <w:sz w:val="24"/>
          <w:szCs w:val="24"/>
        </w:rPr>
        <w:t>特此证明。</w:t>
      </w:r>
    </w:p>
    <w:p>
      <w:pPr>
        <w:autoSpaceDE w:val="0"/>
        <w:autoSpaceDN w:val="0"/>
        <w:adjustRightInd w:val="0"/>
        <w:spacing w:line="420" w:lineRule="exact"/>
        <w:ind w:firstLine="480" w:firstLineChars="200"/>
        <w:jc w:val="right"/>
        <w:rPr>
          <w:rFonts w:ascii="宋体" w:hAnsi="宋体" w:cs="仿宋_GB2312"/>
          <w:kern w:val="0"/>
          <w:sz w:val="24"/>
          <w:szCs w:val="24"/>
        </w:rPr>
      </w:pPr>
    </w:p>
    <w:p>
      <w:pPr>
        <w:autoSpaceDE w:val="0"/>
        <w:autoSpaceDN w:val="0"/>
        <w:adjustRightInd w:val="0"/>
        <w:spacing w:line="420" w:lineRule="exact"/>
        <w:ind w:firstLine="480" w:firstLineChars="200"/>
        <w:jc w:val="right"/>
        <w:rPr>
          <w:rFonts w:ascii="宋体" w:hAnsi="宋体" w:cs="仿宋_GB2312"/>
          <w:kern w:val="0"/>
          <w:sz w:val="24"/>
          <w:szCs w:val="24"/>
        </w:rPr>
      </w:pPr>
      <w:r>
        <w:rPr>
          <w:rFonts w:hint="eastAsia" w:ascii="宋体" w:hAnsi="宋体" w:cs="仿宋_GB2312"/>
          <w:kern w:val="0"/>
          <w:sz w:val="24"/>
          <w:szCs w:val="24"/>
        </w:rPr>
        <w:t>投标人：（盖单位章）</w:t>
      </w:r>
    </w:p>
    <w:p>
      <w:pPr>
        <w:autoSpaceDE w:val="0"/>
        <w:autoSpaceDN w:val="0"/>
        <w:adjustRightInd w:val="0"/>
        <w:spacing w:line="420" w:lineRule="exact"/>
        <w:ind w:firstLine="480" w:firstLineChars="200"/>
        <w:jc w:val="right"/>
        <w:rPr>
          <w:rFonts w:ascii="宋体" w:hAnsi="宋体" w:cs="仿宋_GB2312"/>
          <w:kern w:val="0"/>
          <w:sz w:val="24"/>
          <w:szCs w:val="24"/>
        </w:rPr>
      </w:pPr>
      <w:r>
        <w:rPr>
          <w:rFonts w:hint="eastAsia" w:ascii="宋体" w:hAnsi="宋体" w:cs="仿宋_GB2312"/>
          <w:kern w:val="0"/>
          <w:sz w:val="24"/>
          <w:szCs w:val="24"/>
        </w:rPr>
        <w:t>年月日</w:t>
      </w:r>
    </w:p>
    <w:p>
      <w:pPr>
        <w:autoSpaceDE w:val="0"/>
        <w:autoSpaceDN w:val="0"/>
        <w:adjustRightInd w:val="0"/>
        <w:spacing w:line="420" w:lineRule="exact"/>
        <w:jc w:val="center"/>
        <w:outlineLvl w:val="0"/>
        <w:rPr>
          <w:rFonts w:ascii="黑体" w:hAnsi="新宋体" w:eastAsia="黑体" w:cs="黑体"/>
          <w:kern w:val="0"/>
          <w:sz w:val="24"/>
          <w:szCs w:val="24"/>
        </w:rPr>
      </w:pPr>
    </w:p>
    <w:p>
      <w:pPr>
        <w:autoSpaceDE w:val="0"/>
        <w:autoSpaceDN w:val="0"/>
        <w:adjustRightInd w:val="0"/>
        <w:spacing w:line="420" w:lineRule="exact"/>
        <w:jc w:val="center"/>
        <w:outlineLvl w:val="0"/>
        <w:rPr>
          <w:rFonts w:ascii="黑体" w:hAnsi="新宋体" w:eastAsia="黑体" w:cs="黑体"/>
          <w:kern w:val="0"/>
          <w:sz w:val="28"/>
          <w:szCs w:val="28"/>
        </w:rPr>
      </w:pPr>
    </w:p>
    <w:p>
      <w:pPr>
        <w:autoSpaceDE w:val="0"/>
        <w:autoSpaceDN w:val="0"/>
        <w:adjustRightInd w:val="0"/>
        <w:spacing w:line="420" w:lineRule="exact"/>
        <w:jc w:val="center"/>
        <w:outlineLvl w:val="0"/>
        <w:rPr>
          <w:rFonts w:ascii="黑体" w:hAnsi="新宋体" w:eastAsia="黑体" w:cs="黑体"/>
          <w:kern w:val="0"/>
          <w:sz w:val="28"/>
          <w:szCs w:val="28"/>
        </w:rPr>
      </w:pPr>
    </w:p>
    <w:p>
      <w:pPr>
        <w:autoSpaceDE w:val="0"/>
        <w:autoSpaceDN w:val="0"/>
        <w:adjustRightInd w:val="0"/>
        <w:spacing w:line="420" w:lineRule="exact"/>
        <w:jc w:val="center"/>
        <w:outlineLvl w:val="0"/>
        <w:rPr>
          <w:rFonts w:ascii="黑体" w:hAnsi="新宋体" w:eastAsia="黑体" w:cs="黑体"/>
          <w:kern w:val="0"/>
          <w:sz w:val="28"/>
          <w:szCs w:val="28"/>
        </w:rPr>
      </w:pPr>
    </w:p>
    <w:p>
      <w:pPr>
        <w:autoSpaceDE w:val="0"/>
        <w:autoSpaceDN w:val="0"/>
        <w:adjustRightInd w:val="0"/>
        <w:spacing w:line="420" w:lineRule="exact"/>
        <w:jc w:val="center"/>
        <w:outlineLvl w:val="0"/>
        <w:rPr>
          <w:rFonts w:ascii="黑体" w:hAnsi="新宋体" w:eastAsia="黑体" w:cs="黑体"/>
          <w:kern w:val="0"/>
          <w:sz w:val="28"/>
          <w:szCs w:val="28"/>
        </w:rPr>
      </w:pPr>
    </w:p>
    <w:p>
      <w:pPr>
        <w:autoSpaceDE w:val="0"/>
        <w:autoSpaceDN w:val="0"/>
        <w:adjustRightInd w:val="0"/>
        <w:spacing w:line="420" w:lineRule="exact"/>
        <w:jc w:val="center"/>
        <w:outlineLvl w:val="0"/>
        <w:rPr>
          <w:rFonts w:ascii="黑体" w:hAnsi="新宋体" w:eastAsia="黑体" w:cs="黑体"/>
          <w:kern w:val="0"/>
          <w:sz w:val="28"/>
          <w:szCs w:val="28"/>
        </w:rPr>
      </w:pPr>
    </w:p>
    <w:p>
      <w:pPr>
        <w:autoSpaceDE w:val="0"/>
        <w:autoSpaceDN w:val="0"/>
        <w:adjustRightInd w:val="0"/>
        <w:spacing w:line="420" w:lineRule="exact"/>
        <w:jc w:val="center"/>
        <w:outlineLvl w:val="0"/>
        <w:rPr>
          <w:rFonts w:ascii="黑体" w:hAnsi="新宋体" w:eastAsia="黑体" w:cs="黑体"/>
          <w:kern w:val="0"/>
          <w:sz w:val="28"/>
          <w:szCs w:val="28"/>
        </w:rPr>
      </w:pPr>
    </w:p>
    <w:p>
      <w:pPr>
        <w:autoSpaceDE w:val="0"/>
        <w:autoSpaceDN w:val="0"/>
        <w:adjustRightInd w:val="0"/>
        <w:spacing w:line="420" w:lineRule="exact"/>
        <w:jc w:val="center"/>
        <w:outlineLvl w:val="0"/>
        <w:rPr>
          <w:rFonts w:ascii="黑体" w:hAnsi="新宋体" w:eastAsia="黑体" w:cs="黑体"/>
          <w:kern w:val="0"/>
          <w:sz w:val="28"/>
          <w:szCs w:val="28"/>
        </w:rPr>
      </w:pPr>
    </w:p>
    <w:p>
      <w:pPr>
        <w:autoSpaceDE w:val="0"/>
        <w:autoSpaceDN w:val="0"/>
        <w:adjustRightInd w:val="0"/>
        <w:spacing w:line="420" w:lineRule="exact"/>
        <w:jc w:val="center"/>
        <w:outlineLvl w:val="0"/>
        <w:rPr>
          <w:rFonts w:ascii="黑体" w:hAnsi="新宋体" w:eastAsia="黑体" w:cs="黑体"/>
          <w:kern w:val="0"/>
          <w:sz w:val="28"/>
          <w:szCs w:val="28"/>
        </w:rPr>
      </w:pPr>
    </w:p>
    <w:p>
      <w:pPr>
        <w:autoSpaceDE w:val="0"/>
        <w:autoSpaceDN w:val="0"/>
        <w:adjustRightInd w:val="0"/>
        <w:spacing w:line="420" w:lineRule="exact"/>
        <w:jc w:val="center"/>
        <w:outlineLvl w:val="0"/>
        <w:rPr>
          <w:rFonts w:ascii="黑体" w:hAnsi="新宋体" w:eastAsia="黑体" w:cs="黑体"/>
          <w:kern w:val="0"/>
          <w:sz w:val="28"/>
          <w:szCs w:val="28"/>
        </w:rPr>
      </w:pPr>
    </w:p>
    <w:p>
      <w:pPr>
        <w:autoSpaceDE w:val="0"/>
        <w:autoSpaceDN w:val="0"/>
        <w:adjustRightInd w:val="0"/>
        <w:spacing w:line="420" w:lineRule="exact"/>
        <w:jc w:val="center"/>
        <w:outlineLvl w:val="0"/>
        <w:rPr>
          <w:rFonts w:ascii="黑体" w:hAnsi="新宋体" w:eastAsia="黑体" w:cs="黑体"/>
          <w:kern w:val="0"/>
          <w:sz w:val="28"/>
          <w:szCs w:val="28"/>
        </w:rPr>
      </w:pPr>
    </w:p>
    <w:p>
      <w:pPr>
        <w:autoSpaceDE w:val="0"/>
        <w:autoSpaceDN w:val="0"/>
        <w:adjustRightInd w:val="0"/>
        <w:spacing w:line="420" w:lineRule="exact"/>
        <w:jc w:val="center"/>
        <w:outlineLvl w:val="0"/>
        <w:rPr>
          <w:rFonts w:ascii="黑体" w:hAnsi="新宋体" w:eastAsia="黑体" w:cs="黑体"/>
          <w:kern w:val="0"/>
          <w:sz w:val="28"/>
          <w:szCs w:val="28"/>
        </w:rPr>
      </w:pPr>
    </w:p>
    <w:p>
      <w:pPr>
        <w:autoSpaceDE w:val="0"/>
        <w:autoSpaceDN w:val="0"/>
        <w:adjustRightInd w:val="0"/>
        <w:spacing w:line="420" w:lineRule="exact"/>
        <w:jc w:val="center"/>
        <w:outlineLvl w:val="0"/>
        <w:rPr>
          <w:rFonts w:ascii="黑体" w:hAnsi="新宋体" w:eastAsia="黑体" w:cs="黑体"/>
          <w:kern w:val="0"/>
          <w:sz w:val="28"/>
          <w:szCs w:val="28"/>
        </w:rPr>
      </w:pPr>
    </w:p>
    <w:p>
      <w:pPr>
        <w:autoSpaceDE w:val="0"/>
        <w:autoSpaceDN w:val="0"/>
        <w:adjustRightInd w:val="0"/>
        <w:spacing w:line="420" w:lineRule="exact"/>
        <w:jc w:val="center"/>
        <w:outlineLvl w:val="0"/>
        <w:rPr>
          <w:rFonts w:ascii="黑体" w:hAnsi="新宋体" w:eastAsia="黑体" w:cs="黑体"/>
          <w:kern w:val="0"/>
          <w:sz w:val="28"/>
          <w:szCs w:val="28"/>
        </w:rPr>
      </w:pPr>
    </w:p>
    <w:p>
      <w:pPr>
        <w:autoSpaceDE w:val="0"/>
        <w:autoSpaceDN w:val="0"/>
        <w:adjustRightInd w:val="0"/>
        <w:spacing w:line="420" w:lineRule="exact"/>
        <w:jc w:val="center"/>
        <w:outlineLvl w:val="0"/>
        <w:rPr>
          <w:rFonts w:ascii="黑体" w:hAnsi="新宋体" w:eastAsia="黑体" w:cs="黑体"/>
          <w:kern w:val="0"/>
          <w:sz w:val="28"/>
          <w:szCs w:val="28"/>
        </w:rPr>
      </w:pPr>
    </w:p>
    <w:p>
      <w:pPr>
        <w:autoSpaceDE w:val="0"/>
        <w:autoSpaceDN w:val="0"/>
        <w:adjustRightInd w:val="0"/>
        <w:spacing w:line="420" w:lineRule="exact"/>
        <w:jc w:val="center"/>
        <w:outlineLvl w:val="0"/>
        <w:rPr>
          <w:rFonts w:ascii="黑体" w:hAnsi="新宋体" w:eastAsia="黑体" w:cs="黑体"/>
          <w:kern w:val="0"/>
          <w:sz w:val="28"/>
          <w:szCs w:val="28"/>
        </w:rPr>
      </w:pPr>
      <w:r>
        <w:rPr>
          <w:rFonts w:hint="eastAsia" w:ascii="黑体" w:hAnsi="新宋体" w:eastAsia="黑体" w:cs="黑体"/>
          <w:kern w:val="0"/>
          <w:sz w:val="28"/>
          <w:szCs w:val="28"/>
        </w:rPr>
        <w:t>（二）授权委托书</w:t>
      </w:r>
    </w:p>
    <w:p>
      <w:pPr>
        <w:autoSpaceDE w:val="0"/>
        <w:autoSpaceDN w:val="0"/>
        <w:adjustRightInd w:val="0"/>
        <w:spacing w:line="420" w:lineRule="exact"/>
        <w:jc w:val="center"/>
        <w:outlineLvl w:val="0"/>
        <w:rPr>
          <w:rFonts w:ascii="黑体" w:hAnsi="新宋体" w:eastAsia="黑体" w:cs="黑体"/>
          <w:kern w:val="0"/>
          <w:sz w:val="24"/>
          <w:szCs w:val="24"/>
        </w:rPr>
      </w:pPr>
    </w:p>
    <w:p>
      <w:pPr>
        <w:spacing w:line="360" w:lineRule="auto"/>
        <w:ind w:firstLine="480" w:firstLineChars="200"/>
        <w:rPr>
          <w:rFonts w:ascii="宋体" w:hAnsi="宋体" w:cs="宋体"/>
          <w:sz w:val="24"/>
          <w:szCs w:val="24"/>
        </w:rPr>
      </w:pPr>
      <w:r>
        <w:rPr>
          <w:rFonts w:hint="eastAsia" w:ascii="宋体" w:hAnsi="宋体" w:cs="宋体"/>
          <w:sz w:val="24"/>
          <w:szCs w:val="24"/>
        </w:rPr>
        <w:t xml:space="preserve"> 我系的法定代表人，现授权委托（身份证号： ，联系电话：)为我公司处理</w:t>
      </w:r>
      <w:r>
        <w:rPr>
          <w:rFonts w:hint="eastAsia" w:ascii="宋体" w:hAnsi="宋体"/>
          <w:sz w:val="24"/>
          <w:szCs w:val="24"/>
        </w:rPr>
        <w:t>（</w:t>
      </w:r>
      <w:r>
        <w:rPr>
          <w:rFonts w:hint="eastAsia" w:ascii="宋体" w:hAnsi="宋体"/>
          <w:sz w:val="24"/>
          <w:szCs w:val="24"/>
          <w:u w:val="single"/>
        </w:rPr>
        <w:t>项目名称）</w:t>
      </w:r>
      <w:r>
        <w:rPr>
          <w:rFonts w:hint="eastAsia" w:ascii="宋体" w:hAnsi="宋体" w:cs="宋体"/>
          <w:sz w:val="24"/>
          <w:szCs w:val="24"/>
        </w:rPr>
        <w:t>项目投标事宜的唯一授权委托人，该项委托权不得转让。</w:t>
      </w:r>
    </w:p>
    <w:p>
      <w:pPr>
        <w:spacing w:line="360" w:lineRule="auto"/>
        <w:ind w:firstLine="480" w:firstLineChars="200"/>
        <w:rPr>
          <w:rFonts w:ascii="宋体" w:hAnsi="宋体" w:cs="宋体"/>
          <w:sz w:val="24"/>
          <w:szCs w:val="24"/>
        </w:rPr>
      </w:pPr>
      <w:r>
        <w:rPr>
          <w:rFonts w:hint="eastAsia" w:ascii="宋体" w:hAnsi="宋体" w:cs="宋体"/>
          <w:sz w:val="24"/>
          <w:szCs w:val="24"/>
        </w:rPr>
        <w:t>我承诺：该授权委托人系我单位在职人员，所提供的资料中如有虚假内容，愿意被否决或中标无效处理，并作为不良失信行为接受行政监管部门处罚。其参加本项目的投标活动，有权当场作出承诺及对投标书作出技术性补充，在开标、评标过程中所签署的一切文件和处理与之有关的一切事务，我均予以承认。</w:t>
      </w:r>
    </w:p>
    <w:p>
      <w:pPr>
        <w:autoSpaceDE w:val="0"/>
        <w:autoSpaceDN w:val="0"/>
        <w:adjustRightInd w:val="0"/>
        <w:spacing w:line="360" w:lineRule="auto"/>
        <w:ind w:firstLine="480" w:firstLineChars="200"/>
        <w:jc w:val="left"/>
        <w:rPr>
          <w:rFonts w:ascii="宋体" w:hAnsi="宋体" w:cs="仿宋_GB2312"/>
          <w:color w:val="000000"/>
          <w:kern w:val="0"/>
          <w:sz w:val="24"/>
          <w:szCs w:val="24"/>
        </w:rPr>
      </w:pPr>
      <w:r>
        <w:rPr>
          <w:rFonts w:hint="eastAsia" w:ascii="宋体" w:hAnsi="宋体" w:cs="仿宋_GB2312"/>
          <w:color w:val="000000"/>
          <w:kern w:val="0"/>
          <w:sz w:val="24"/>
          <w:szCs w:val="24"/>
        </w:rPr>
        <w:t xml:space="preserve"> 附：法定代表人（单位负责人）及授权委托人身份证复印件（正反面）</w:t>
      </w:r>
    </w:p>
    <w:p>
      <w:pPr>
        <w:spacing w:line="360" w:lineRule="auto"/>
        <w:ind w:firstLine="480" w:firstLineChars="200"/>
        <w:rPr>
          <w:rFonts w:ascii="宋体" w:hAnsi="宋体" w:cs="宋体"/>
          <w:sz w:val="24"/>
          <w:szCs w:val="24"/>
        </w:rPr>
      </w:pPr>
    </w:p>
    <w:p>
      <w:pPr>
        <w:spacing w:line="360" w:lineRule="auto"/>
        <w:ind w:firstLine="480" w:firstLineChars="200"/>
        <w:rPr>
          <w:rFonts w:ascii="宋体" w:hAnsi="宋体" w:cs="宋体"/>
          <w:sz w:val="24"/>
          <w:szCs w:val="24"/>
        </w:rPr>
      </w:pPr>
      <w:r>
        <w:rPr>
          <w:rFonts w:hint="eastAsia" w:ascii="宋体" w:hAnsi="宋体" w:cs="宋体"/>
          <w:sz w:val="24"/>
          <w:szCs w:val="24"/>
        </w:rPr>
        <w:t>投标单位：                       （盖章）</w:t>
      </w:r>
    </w:p>
    <w:p>
      <w:pPr>
        <w:spacing w:line="360" w:lineRule="auto"/>
        <w:ind w:firstLine="480" w:firstLineChars="200"/>
        <w:rPr>
          <w:rFonts w:ascii="宋体" w:hAnsi="宋体" w:cs="宋体"/>
          <w:sz w:val="24"/>
          <w:szCs w:val="24"/>
        </w:rPr>
      </w:pPr>
      <w:r>
        <w:rPr>
          <w:rFonts w:hint="eastAsia" w:ascii="宋体" w:hAnsi="宋体" w:cs="宋体"/>
          <w:sz w:val="24"/>
          <w:szCs w:val="24"/>
        </w:rPr>
        <w:t>法定代表人：                     （签字）</w:t>
      </w:r>
    </w:p>
    <w:p>
      <w:pPr>
        <w:spacing w:line="360" w:lineRule="auto"/>
        <w:ind w:firstLine="480" w:firstLineChars="200"/>
        <w:rPr>
          <w:rFonts w:ascii="宋体" w:hAnsi="宋体" w:cs="宋体"/>
          <w:sz w:val="24"/>
          <w:szCs w:val="24"/>
        </w:rPr>
      </w:pPr>
      <w:r>
        <w:rPr>
          <w:rFonts w:hint="eastAsia" w:ascii="宋体" w:hAnsi="宋体" w:cs="宋体"/>
          <w:sz w:val="24"/>
          <w:szCs w:val="24"/>
        </w:rPr>
        <w:t>受委托人：                       （签字）</w:t>
      </w:r>
    </w:p>
    <w:p>
      <w:pPr>
        <w:spacing w:line="360" w:lineRule="auto"/>
        <w:ind w:firstLine="480" w:firstLineChars="200"/>
        <w:rPr>
          <w:rFonts w:ascii="宋体" w:hAnsi="宋体"/>
          <w:bCs/>
          <w:sz w:val="24"/>
          <w:szCs w:val="24"/>
        </w:rPr>
      </w:pPr>
      <w:r>
        <w:rPr>
          <w:rFonts w:hint="eastAsia" w:ascii="宋体" w:hAnsi="宋体" w:cs="宋体"/>
          <w:sz w:val="24"/>
          <w:szCs w:val="24"/>
        </w:rPr>
        <w:t xml:space="preserve">                                                年   月   日</w:t>
      </w:r>
    </w:p>
    <w:p/>
    <w:p/>
    <w:p/>
    <w:p/>
    <w:p/>
    <w:p/>
    <w:p/>
    <w:p/>
    <w:p>
      <w:pPr>
        <w:tabs>
          <w:tab w:val="center" w:pos="4739"/>
        </w:tabs>
        <w:rPr>
          <w:rFonts w:ascii="宋体" w:hAnsi="宋体"/>
          <w:b/>
          <w:kern w:val="0"/>
          <w:sz w:val="32"/>
        </w:rPr>
      </w:pPr>
    </w:p>
    <w:p>
      <w:pPr>
        <w:tabs>
          <w:tab w:val="center" w:pos="4739"/>
        </w:tabs>
        <w:rPr>
          <w:rFonts w:ascii="宋体" w:hAnsi="宋体"/>
          <w:b/>
          <w:kern w:val="0"/>
          <w:sz w:val="32"/>
        </w:rPr>
      </w:pPr>
    </w:p>
    <w:p>
      <w:pPr>
        <w:tabs>
          <w:tab w:val="center" w:pos="4739"/>
        </w:tabs>
        <w:rPr>
          <w:rFonts w:ascii="宋体" w:hAnsi="宋体"/>
          <w:b/>
          <w:kern w:val="0"/>
          <w:sz w:val="32"/>
        </w:rPr>
      </w:pPr>
    </w:p>
    <w:p>
      <w:pPr>
        <w:tabs>
          <w:tab w:val="center" w:pos="4739"/>
        </w:tabs>
        <w:rPr>
          <w:rFonts w:ascii="宋体" w:hAnsi="宋体"/>
          <w:b/>
          <w:kern w:val="0"/>
          <w:sz w:val="32"/>
        </w:rPr>
      </w:pPr>
    </w:p>
    <w:p>
      <w:pPr>
        <w:tabs>
          <w:tab w:val="center" w:pos="4739"/>
        </w:tabs>
        <w:rPr>
          <w:rFonts w:ascii="宋体" w:hAnsi="宋体"/>
          <w:b/>
          <w:kern w:val="0"/>
          <w:sz w:val="32"/>
        </w:rPr>
      </w:pPr>
    </w:p>
    <w:p>
      <w:pPr>
        <w:tabs>
          <w:tab w:val="center" w:pos="4739"/>
        </w:tabs>
        <w:rPr>
          <w:rFonts w:ascii="宋体" w:hAnsi="宋体"/>
          <w:b/>
          <w:kern w:val="0"/>
          <w:sz w:val="32"/>
        </w:rPr>
      </w:pPr>
    </w:p>
    <w:p>
      <w:pPr>
        <w:tabs>
          <w:tab w:val="center" w:pos="4739"/>
        </w:tabs>
        <w:rPr>
          <w:rFonts w:ascii="宋体" w:hAnsi="宋体"/>
          <w:b/>
          <w:kern w:val="0"/>
          <w:sz w:val="32"/>
        </w:rPr>
      </w:pPr>
    </w:p>
    <w:p>
      <w:pPr>
        <w:tabs>
          <w:tab w:val="center" w:pos="4739"/>
        </w:tabs>
        <w:rPr>
          <w:rFonts w:ascii="宋体" w:hAnsi="宋体"/>
          <w:b/>
          <w:kern w:val="0"/>
          <w:sz w:val="32"/>
        </w:rPr>
      </w:pPr>
    </w:p>
    <w:p>
      <w:pPr>
        <w:pStyle w:val="4"/>
        <w:spacing w:line="460" w:lineRule="exact"/>
        <w:ind w:firstLine="138"/>
        <w:jc w:val="center"/>
        <w:rPr>
          <w:rFonts w:hint="eastAsia" w:hAnsi="Times New Roman" w:eastAsia="宋体" w:cs="Times New Roman"/>
          <w:b/>
        </w:rPr>
      </w:pPr>
      <w:r>
        <w:rPr>
          <w:rFonts w:hint="eastAsia" w:ascii="宋体" w:hAnsi="宋体"/>
          <w:b/>
          <w:sz w:val="32"/>
        </w:rPr>
        <w:t>四</w:t>
      </w:r>
      <w:r>
        <w:rPr>
          <w:rFonts w:hint="eastAsia" w:ascii="宋体" w:hAnsi="宋体"/>
          <w:b/>
          <w:sz w:val="32"/>
          <w:lang w:eastAsia="zh-CN"/>
        </w:rPr>
        <w:t>、</w:t>
      </w:r>
      <w:r>
        <w:rPr>
          <w:rFonts w:hint="eastAsia" w:hAnsi="Times New Roman" w:eastAsia="宋体" w:cs="Times New Roman"/>
          <w:b/>
        </w:rPr>
        <w:t>联合体协议书（如有）</w:t>
      </w:r>
    </w:p>
    <w:p>
      <w:pPr>
        <w:topLinePunct/>
        <w:spacing w:line="460" w:lineRule="exact"/>
        <w:ind w:left="210" w:leftChars="100" w:firstLine="210" w:firstLineChars="100"/>
        <w:contextualSpacing/>
        <w:rPr>
          <w:rFonts w:hAnsi="宋体" w:cs="宋体"/>
        </w:rPr>
      </w:pPr>
      <w:r>
        <w:rPr>
          <w:rFonts w:hint="eastAsia" w:hAnsi="宋体" w:cs="宋体"/>
          <w:szCs w:val="21"/>
          <w:u w:val="single"/>
        </w:rPr>
        <w:t xml:space="preserve">                     </w:t>
      </w:r>
      <w:r>
        <w:rPr>
          <w:rFonts w:hint="eastAsia" w:hAnsi="宋体" w:cs="宋体"/>
          <w:szCs w:val="21"/>
        </w:rPr>
        <w:t>（所有成员单位名称）自愿组成</w:t>
      </w:r>
      <w:r>
        <w:rPr>
          <w:rFonts w:hint="eastAsia" w:hAnsi="宋体" w:cs="宋体"/>
          <w:szCs w:val="21"/>
          <w:u w:val="single"/>
        </w:rPr>
        <w:t xml:space="preserve">         </w:t>
      </w:r>
      <w:r>
        <w:rPr>
          <w:rFonts w:hint="eastAsia" w:hAnsi="宋体" w:cs="宋体"/>
          <w:szCs w:val="21"/>
        </w:rPr>
        <w:t>（联合体名称）联合体，共同参加</w:t>
      </w:r>
      <w:r>
        <w:rPr>
          <w:rFonts w:hint="eastAsia" w:hAnsi="宋体" w:cs="宋体"/>
          <w:szCs w:val="21"/>
          <w:u w:val="single"/>
        </w:rPr>
        <w:t xml:space="preserve">                </w:t>
      </w:r>
      <w:r>
        <w:rPr>
          <w:rFonts w:hint="eastAsia" w:hAnsi="宋体" w:cs="宋体"/>
          <w:szCs w:val="21"/>
        </w:rPr>
        <w:t>（项目名称/标段）投标。现就联合体投标事宜订立如下协议。</w:t>
      </w:r>
    </w:p>
    <w:p>
      <w:pPr>
        <w:topLinePunct/>
        <w:spacing w:line="460" w:lineRule="exact"/>
        <w:ind w:firstLine="420" w:firstLineChars="200"/>
        <w:contextualSpacing/>
        <w:rPr>
          <w:rFonts w:hAnsi="宋体" w:cs="宋体"/>
        </w:rPr>
      </w:pPr>
      <w:r>
        <w:rPr>
          <w:rFonts w:hint="eastAsia" w:hAnsi="宋体" w:cs="宋体"/>
          <w:szCs w:val="21"/>
        </w:rPr>
        <w:t>1、</w:t>
      </w:r>
      <w:r>
        <w:rPr>
          <w:rFonts w:hint="eastAsia" w:hAnsi="宋体" w:cs="宋体"/>
          <w:szCs w:val="21"/>
          <w:u w:val="single"/>
        </w:rPr>
        <w:t xml:space="preserve">       </w:t>
      </w:r>
      <w:r>
        <w:rPr>
          <w:rFonts w:hint="eastAsia" w:hAnsi="宋体" w:cs="宋体"/>
          <w:szCs w:val="21"/>
        </w:rPr>
        <w:t>（某成员单位名称）为</w:t>
      </w:r>
      <w:r>
        <w:rPr>
          <w:rFonts w:hint="eastAsia" w:hAnsi="宋体" w:cs="宋体"/>
          <w:szCs w:val="21"/>
          <w:u w:val="single"/>
        </w:rPr>
        <w:t xml:space="preserve">        </w:t>
      </w:r>
      <w:r>
        <w:rPr>
          <w:rFonts w:hint="eastAsia" w:hAnsi="宋体" w:cs="宋体"/>
          <w:szCs w:val="21"/>
        </w:rPr>
        <w:t>（联合体名称）牵头人。</w:t>
      </w:r>
    </w:p>
    <w:p>
      <w:pPr>
        <w:topLinePunct/>
        <w:spacing w:line="460" w:lineRule="exact"/>
        <w:ind w:firstLine="420" w:firstLineChars="200"/>
        <w:contextualSpacing/>
        <w:rPr>
          <w:rFonts w:hAnsi="宋体" w:cs="宋体"/>
        </w:rPr>
      </w:pPr>
      <w:r>
        <w:rPr>
          <w:rFonts w:hint="eastAsia" w:hAnsi="宋体" w:cs="宋体"/>
          <w:szCs w:val="21"/>
        </w:rPr>
        <w:t>2、联合体牵头人合法代表联合体各成员负责本招标项目投标文件编制和合同谈判活动，牵头人法定代表人或其授权的委托代理人负责签署本次投标文件相关资料，并代表联合体提交和接收相关的资料、信息及指示，并处理与之有关的一切事务，负责合同实施阶段的主办、组织和协调工作。</w:t>
      </w:r>
    </w:p>
    <w:p>
      <w:pPr>
        <w:topLinePunct/>
        <w:spacing w:line="460" w:lineRule="exact"/>
        <w:ind w:firstLine="420" w:firstLineChars="200"/>
        <w:contextualSpacing/>
        <w:rPr>
          <w:rFonts w:hAnsi="宋体" w:cs="宋体"/>
        </w:rPr>
      </w:pPr>
      <w:r>
        <w:rPr>
          <w:rFonts w:hint="eastAsia" w:hAnsi="宋体" w:cs="宋体"/>
          <w:szCs w:val="21"/>
        </w:rPr>
        <w:t>3、联合体将严格按照招标文件的各项要求，递交投标文件，履行合同，并对招标人承担连带责任。</w:t>
      </w:r>
    </w:p>
    <w:p>
      <w:pPr>
        <w:topLinePunct/>
        <w:spacing w:line="460" w:lineRule="exact"/>
        <w:ind w:firstLine="420" w:firstLineChars="200"/>
        <w:contextualSpacing/>
        <w:rPr>
          <w:rFonts w:hAnsi="宋体" w:cs="宋体"/>
        </w:rPr>
      </w:pPr>
      <w:r>
        <w:rPr>
          <w:rFonts w:hint="eastAsia" w:hAnsi="宋体" w:cs="宋体"/>
          <w:szCs w:val="21"/>
        </w:rPr>
        <w:t>4、联合体各成员单位内部的职责分工如下：</w:t>
      </w:r>
      <w:r>
        <w:rPr>
          <w:rFonts w:hint="eastAsia" w:hAnsi="宋体" w:cs="宋体"/>
          <w:szCs w:val="21"/>
          <w:u w:val="single"/>
        </w:rPr>
        <w:t xml:space="preserve">                 </w:t>
      </w:r>
      <w:r>
        <w:rPr>
          <w:rFonts w:hint="eastAsia" w:hAnsi="宋体" w:cs="宋体"/>
          <w:szCs w:val="21"/>
        </w:rPr>
        <w:t xml:space="preserve"> 。</w:t>
      </w:r>
    </w:p>
    <w:p>
      <w:pPr>
        <w:topLinePunct/>
        <w:spacing w:line="460" w:lineRule="exact"/>
        <w:ind w:firstLine="420" w:firstLineChars="200"/>
        <w:contextualSpacing/>
        <w:rPr>
          <w:rFonts w:hAnsi="宋体" w:cs="宋体"/>
        </w:rPr>
      </w:pPr>
      <w:r>
        <w:rPr>
          <w:rFonts w:hint="eastAsia" w:hAnsi="宋体" w:cs="宋体"/>
          <w:szCs w:val="21"/>
        </w:rPr>
        <w:t xml:space="preserve">5、本协议书自签署之日起生效，合同履行完毕后自动失效。 </w:t>
      </w:r>
    </w:p>
    <w:p>
      <w:pPr>
        <w:topLinePunct/>
        <w:spacing w:line="460" w:lineRule="exact"/>
        <w:ind w:firstLine="420" w:firstLineChars="200"/>
        <w:contextualSpacing/>
        <w:rPr>
          <w:rFonts w:hAnsi="宋体" w:cs="宋体"/>
        </w:rPr>
      </w:pPr>
      <w:r>
        <w:rPr>
          <w:rFonts w:hint="eastAsia" w:hAnsi="宋体" w:cs="宋体"/>
          <w:szCs w:val="21"/>
        </w:rPr>
        <w:t>6、本协议书一式</w:t>
      </w:r>
      <w:r>
        <w:rPr>
          <w:rFonts w:hint="eastAsia" w:hAnsi="宋体" w:cs="宋体"/>
          <w:szCs w:val="21"/>
          <w:u w:val="single"/>
        </w:rPr>
        <w:t xml:space="preserve">     </w:t>
      </w:r>
      <w:r>
        <w:rPr>
          <w:rFonts w:hint="eastAsia" w:hAnsi="宋体" w:cs="宋体"/>
          <w:szCs w:val="21"/>
        </w:rPr>
        <w:t>份，联合体成员和招标人各执一份。</w:t>
      </w:r>
    </w:p>
    <w:p>
      <w:pPr>
        <w:topLinePunct/>
        <w:spacing w:line="460" w:lineRule="exact"/>
        <w:contextualSpacing/>
        <w:rPr>
          <w:rFonts w:hAnsi="宋体" w:cs="宋体"/>
        </w:rPr>
      </w:pPr>
    </w:p>
    <w:p>
      <w:pPr>
        <w:topLinePunct/>
        <w:spacing w:line="460" w:lineRule="exact"/>
        <w:ind w:firstLine="420" w:firstLineChars="200"/>
        <w:contextualSpacing/>
        <w:rPr>
          <w:rFonts w:hAnsi="宋体" w:cs="宋体"/>
        </w:rPr>
      </w:pPr>
      <w:r>
        <w:rPr>
          <w:rFonts w:hint="eastAsia" w:hAnsi="宋体" w:cs="宋体"/>
          <w:szCs w:val="21"/>
        </w:rPr>
        <w:t>注：本协议书由委托代理人签字的，应附法定代表人签字的授权委托书。</w:t>
      </w:r>
    </w:p>
    <w:p>
      <w:pPr>
        <w:topLinePunct/>
        <w:spacing w:line="460" w:lineRule="exact"/>
        <w:contextualSpacing/>
        <w:rPr>
          <w:rFonts w:hAnsi="宋体" w:cs="宋体"/>
        </w:rPr>
      </w:pPr>
    </w:p>
    <w:p>
      <w:pPr>
        <w:topLinePunct/>
        <w:spacing w:line="460" w:lineRule="exact"/>
        <w:contextualSpacing/>
        <w:rPr>
          <w:rFonts w:hAnsi="宋体" w:cs="宋体"/>
        </w:rPr>
      </w:pPr>
      <w:r>
        <w:rPr>
          <w:rFonts w:hint="eastAsia" w:hAnsi="宋体" w:cs="宋体"/>
          <w:szCs w:val="21"/>
        </w:rPr>
        <w:t>牵头人名称：</w:t>
      </w:r>
      <w:r>
        <w:rPr>
          <w:rFonts w:hint="eastAsia" w:hAnsi="宋体" w:cs="宋体"/>
          <w:szCs w:val="21"/>
          <w:u w:val="single"/>
        </w:rPr>
        <w:t xml:space="preserve">                                 </w:t>
      </w:r>
      <w:r>
        <w:rPr>
          <w:rFonts w:hint="eastAsia" w:hAnsi="宋体" w:cs="宋体"/>
          <w:szCs w:val="21"/>
        </w:rPr>
        <w:t>（盖单位章）</w:t>
      </w:r>
    </w:p>
    <w:p>
      <w:pPr>
        <w:topLinePunct/>
        <w:spacing w:line="460" w:lineRule="exact"/>
        <w:contextualSpacing/>
        <w:rPr>
          <w:rFonts w:hAnsi="宋体" w:cs="宋体"/>
        </w:rPr>
      </w:pPr>
      <w:r>
        <w:rPr>
          <w:rFonts w:hint="eastAsia" w:hAnsi="宋体" w:cs="宋体"/>
          <w:szCs w:val="21"/>
        </w:rPr>
        <w:t>法定代表人或其委托代理人：</w:t>
      </w:r>
      <w:r>
        <w:rPr>
          <w:rFonts w:hint="eastAsia" w:hAnsi="宋体" w:cs="宋体"/>
          <w:szCs w:val="21"/>
          <w:u w:val="single"/>
        </w:rPr>
        <w:t xml:space="preserve">                       </w:t>
      </w:r>
      <w:r>
        <w:rPr>
          <w:rFonts w:hint="eastAsia" w:hAnsi="宋体" w:cs="宋体"/>
          <w:szCs w:val="21"/>
        </w:rPr>
        <w:t>（签字或盖章）</w:t>
      </w:r>
    </w:p>
    <w:p>
      <w:pPr>
        <w:topLinePunct/>
        <w:spacing w:line="460" w:lineRule="exact"/>
        <w:contextualSpacing/>
        <w:rPr>
          <w:rFonts w:hAnsi="宋体" w:cs="宋体"/>
        </w:rPr>
      </w:pPr>
    </w:p>
    <w:p>
      <w:pPr>
        <w:topLinePunct/>
        <w:spacing w:line="460" w:lineRule="exact"/>
        <w:contextualSpacing/>
        <w:rPr>
          <w:rFonts w:hAnsi="宋体" w:cs="宋体"/>
        </w:rPr>
      </w:pPr>
      <w:r>
        <w:rPr>
          <w:rFonts w:hint="eastAsia" w:hAnsi="宋体" w:cs="宋体"/>
          <w:szCs w:val="21"/>
        </w:rPr>
        <w:t>成员一名称：</w:t>
      </w:r>
      <w:r>
        <w:rPr>
          <w:rFonts w:hint="eastAsia" w:hAnsi="宋体" w:cs="宋体"/>
          <w:szCs w:val="21"/>
          <w:u w:val="single"/>
        </w:rPr>
        <w:t xml:space="preserve">                                 </w:t>
      </w:r>
      <w:r>
        <w:rPr>
          <w:rFonts w:hint="eastAsia" w:hAnsi="宋体" w:cs="宋体"/>
          <w:szCs w:val="21"/>
        </w:rPr>
        <w:t>（盖单位章）</w:t>
      </w:r>
    </w:p>
    <w:p>
      <w:pPr>
        <w:topLinePunct/>
        <w:spacing w:line="460" w:lineRule="exact"/>
        <w:contextualSpacing/>
        <w:rPr>
          <w:rFonts w:hAnsi="宋体" w:cs="宋体"/>
        </w:rPr>
      </w:pPr>
      <w:r>
        <w:rPr>
          <w:rFonts w:hint="eastAsia" w:hAnsi="宋体" w:cs="宋体"/>
          <w:szCs w:val="21"/>
        </w:rPr>
        <w:t>法定代表人或其委托代理人：</w:t>
      </w:r>
      <w:r>
        <w:rPr>
          <w:rFonts w:hint="eastAsia" w:hAnsi="宋体" w:cs="宋体"/>
          <w:szCs w:val="21"/>
          <w:u w:val="single"/>
        </w:rPr>
        <w:t xml:space="preserve">                       </w:t>
      </w:r>
      <w:r>
        <w:rPr>
          <w:rFonts w:hint="eastAsia" w:hAnsi="宋体" w:cs="宋体"/>
          <w:szCs w:val="21"/>
        </w:rPr>
        <w:t>（签字或盖章）</w:t>
      </w:r>
    </w:p>
    <w:p>
      <w:pPr>
        <w:topLinePunct/>
        <w:spacing w:line="460" w:lineRule="exact"/>
        <w:contextualSpacing/>
        <w:rPr>
          <w:rFonts w:hAnsi="宋体" w:cs="宋体"/>
        </w:rPr>
      </w:pPr>
    </w:p>
    <w:p>
      <w:pPr>
        <w:topLinePunct/>
        <w:spacing w:line="460" w:lineRule="exact"/>
        <w:contextualSpacing/>
        <w:rPr>
          <w:rFonts w:hAnsi="宋体" w:cs="宋体"/>
        </w:rPr>
      </w:pPr>
    </w:p>
    <w:p>
      <w:pPr>
        <w:topLinePunct/>
        <w:spacing w:line="460" w:lineRule="exact"/>
        <w:contextualSpacing/>
        <w:rPr>
          <w:rFonts w:hAnsi="宋体" w:cs="宋体"/>
        </w:rPr>
      </w:pPr>
    </w:p>
    <w:p>
      <w:pPr>
        <w:widowControl/>
        <w:jc w:val="center"/>
        <w:rPr>
          <w:rFonts w:hint="eastAsia" w:hAnsi="宋体"/>
          <w:b/>
          <w:sz w:val="24"/>
          <w:lang w:bidi="ar"/>
        </w:rPr>
      </w:pPr>
      <w:r>
        <w:rPr>
          <w:rFonts w:hint="eastAsia" w:hAnsi="宋体" w:cs="宋体"/>
          <w:szCs w:val="21"/>
          <w:u w:val="single"/>
        </w:rPr>
        <w:t xml:space="preserve">        </w:t>
      </w:r>
      <w:r>
        <w:rPr>
          <w:rFonts w:hint="eastAsia" w:hAnsi="宋体" w:cs="宋体"/>
          <w:szCs w:val="21"/>
        </w:rPr>
        <w:t>年</w:t>
      </w:r>
      <w:r>
        <w:rPr>
          <w:rFonts w:hint="eastAsia" w:hAnsi="宋体" w:cs="宋体"/>
          <w:szCs w:val="21"/>
          <w:u w:val="single"/>
        </w:rPr>
        <w:t xml:space="preserve">       </w:t>
      </w:r>
      <w:r>
        <w:rPr>
          <w:rFonts w:hint="eastAsia" w:hAnsi="宋体" w:cs="宋体"/>
          <w:szCs w:val="21"/>
        </w:rPr>
        <w:t>月</w:t>
      </w:r>
      <w:r>
        <w:rPr>
          <w:rFonts w:hint="eastAsia" w:hAnsi="宋体" w:cs="宋体"/>
          <w:szCs w:val="21"/>
          <w:u w:val="single"/>
        </w:rPr>
        <w:t xml:space="preserve">       </w:t>
      </w:r>
      <w:r>
        <w:rPr>
          <w:rFonts w:hint="eastAsia" w:hAnsi="宋体" w:cs="宋体"/>
          <w:szCs w:val="21"/>
        </w:rPr>
        <w:t>日</w:t>
      </w:r>
    </w:p>
    <w:p>
      <w:pPr>
        <w:jc w:val="center"/>
        <w:rPr>
          <w:rFonts w:ascii="宋体" w:hAnsi="宋体"/>
          <w:b/>
          <w:kern w:val="0"/>
          <w:sz w:val="32"/>
        </w:rPr>
      </w:pPr>
      <w:r>
        <w:rPr>
          <w:rFonts w:ascii="宋体" w:hAnsi="宋体"/>
          <w:b/>
          <w:kern w:val="0"/>
          <w:sz w:val="32"/>
        </w:rPr>
        <w:br w:type="page"/>
      </w:r>
      <w:r>
        <w:rPr>
          <w:rFonts w:hint="eastAsia" w:ascii="宋体" w:hAnsi="宋体"/>
          <w:b/>
          <w:kern w:val="0"/>
          <w:sz w:val="32"/>
          <w:lang w:eastAsia="zh-CN"/>
        </w:rPr>
        <w:t>五</w:t>
      </w:r>
      <w:r>
        <w:rPr>
          <w:rFonts w:hint="eastAsia" w:ascii="宋体" w:hAnsi="宋体"/>
          <w:b/>
          <w:sz w:val="32"/>
        </w:rPr>
        <w:t>、投标担保</w:t>
      </w:r>
    </w:p>
    <w:p>
      <w:pPr>
        <w:pStyle w:val="7"/>
        <w:spacing w:line="360" w:lineRule="auto"/>
        <w:contextualSpacing/>
        <w:rPr>
          <w:rFonts w:hAnsi="宋体" w:cs="Calibri"/>
          <w:kern w:val="2"/>
        </w:rPr>
      </w:pPr>
      <w:r>
        <w:rPr>
          <w:rFonts w:hint="eastAsia" w:hAnsi="宋体" w:cs="Calibri"/>
          <w:kern w:val="2"/>
        </w:rPr>
        <w:t>1.如使用基本账户转账递交投标担保的，附有效银行转账凭证及缴纳成功回执单；</w:t>
      </w:r>
    </w:p>
    <w:p>
      <w:pPr>
        <w:pStyle w:val="7"/>
        <w:spacing w:line="360" w:lineRule="auto"/>
        <w:contextualSpacing/>
        <w:rPr>
          <w:rFonts w:hAnsi="宋体" w:cs="Calibri"/>
          <w:kern w:val="2"/>
        </w:rPr>
      </w:pPr>
      <w:r>
        <w:rPr>
          <w:rFonts w:hint="eastAsia" w:hAnsi="宋体" w:cs="Calibri"/>
          <w:kern w:val="2"/>
        </w:rPr>
        <w:t>2.如使用保函递交投标担保的，附保函原件扫描件（或图片），保函格式按住建部：</w:t>
      </w:r>
    </w:p>
    <w:p>
      <w:pPr>
        <w:pStyle w:val="7"/>
        <w:spacing w:line="360" w:lineRule="auto"/>
        <w:contextualSpacing/>
        <w:rPr>
          <w:rFonts w:hAnsi="宋体" w:cs="Calibri"/>
          <w:kern w:val="2"/>
        </w:rPr>
      </w:pPr>
      <w:r>
        <w:rPr>
          <w:rFonts w:hint="eastAsia" w:hAnsi="宋体" w:cs="Calibri"/>
          <w:kern w:val="2"/>
        </w:rPr>
        <w:t>建市（2021）11号文附件1：</w:t>
      </w:r>
    </w:p>
    <w:p>
      <w:pPr>
        <w:pStyle w:val="7"/>
        <w:keepNext w:val="0"/>
        <w:keepLines w:val="0"/>
        <w:pageBreakBefore w:val="0"/>
        <w:widowControl w:val="0"/>
        <w:kinsoku/>
        <w:wordWrap/>
        <w:overflowPunct/>
        <w:topLinePunct w:val="0"/>
        <w:bidi w:val="0"/>
        <w:snapToGrid/>
        <w:spacing w:line="336" w:lineRule="auto"/>
        <w:contextualSpacing/>
        <w:jc w:val="center"/>
        <w:textAlignment w:val="auto"/>
        <w:outlineLvl w:val="9"/>
        <w:rPr>
          <w:rFonts w:hAnsi="宋体" w:cs="Calibri"/>
          <w:kern w:val="2"/>
        </w:rPr>
      </w:pPr>
      <w:r>
        <w:rPr>
          <w:rFonts w:hint="eastAsia" w:hAnsi="宋体" w:cs="Calibri"/>
          <w:kern w:val="2"/>
        </w:rPr>
        <w:t>投标保函示范文本</w:t>
      </w:r>
    </w:p>
    <w:p>
      <w:pPr>
        <w:pStyle w:val="7"/>
        <w:keepNext w:val="0"/>
        <w:keepLines w:val="0"/>
        <w:pageBreakBefore w:val="0"/>
        <w:widowControl w:val="0"/>
        <w:kinsoku/>
        <w:wordWrap/>
        <w:overflowPunct/>
        <w:topLinePunct w:val="0"/>
        <w:bidi w:val="0"/>
        <w:snapToGrid/>
        <w:spacing w:line="336" w:lineRule="auto"/>
        <w:contextualSpacing/>
        <w:jc w:val="center"/>
        <w:textAlignment w:val="auto"/>
        <w:outlineLvl w:val="9"/>
        <w:rPr>
          <w:rFonts w:hAnsi="宋体" w:cs="Calibri"/>
          <w:kern w:val="2"/>
        </w:rPr>
      </w:pPr>
      <w:r>
        <w:rPr>
          <w:rFonts w:hint="eastAsia" w:hAnsi="宋体" w:cs="Calibri"/>
          <w:kern w:val="2"/>
        </w:rPr>
        <w:t>（独立保函）</w:t>
      </w:r>
    </w:p>
    <w:p>
      <w:pPr>
        <w:pStyle w:val="7"/>
        <w:keepNext w:val="0"/>
        <w:keepLines w:val="0"/>
        <w:pageBreakBefore w:val="0"/>
        <w:widowControl w:val="0"/>
        <w:kinsoku/>
        <w:wordWrap/>
        <w:overflowPunct/>
        <w:topLinePunct w:val="0"/>
        <w:bidi w:val="0"/>
        <w:snapToGrid/>
        <w:spacing w:line="336" w:lineRule="auto"/>
        <w:contextualSpacing/>
        <w:jc w:val="center"/>
        <w:textAlignment w:val="auto"/>
        <w:outlineLvl w:val="9"/>
        <w:rPr>
          <w:rFonts w:hAnsi="宋体" w:cs="Calibri"/>
          <w:kern w:val="2"/>
        </w:rPr>
      </w:pPr>
      <w:r>
        <w:rPr>
          <w:rFonts w:hint="eastAsia" w:hAnsi="宋体" w:cs="Calibri"/>
          <w:kern w:val="2"/>
        </w:rPr>
        <w:t xml:space="preserve">                                                      编号：           </w:t>
      </w:r>
    </w:p>
    <w:p>
      <w:pPr>
        <w:keepNext w:val="0"/>
        <w:keepLines w:val="0"/>
        <w:pageBreakBefore w:val="0"/>
        <w:widowControl w:val="0"/>
        <w:kinsoku/>
        <w:wordWrap/>
        <w:overflowPunct/>
        <w:topLinePunct w:val="0"/>
        <w:bidi w:val="0"/>
        <w:snapToGrid/>
        <w:spacing w:line="336" w:lineRule="auto"/>
        <w:textAlignment w:val="auto"/>
        <w:outlineLvl w:val="9"/>
        <w:rPr>
          <w:rFonts w:ascii="宋体" w:hAnsi="宋体"/>
          <w:sz w:val="24"/>
          <w:szCs w:val="24"/>
        </w:rPr>
      </w:pPr>
      <w:r>
        <w:rPr>
          <w:rFonts w:hint="eastAsia" w:ascii="宋体" w:hAnsi="宋体"/>
          <w:sz w:val="24"/>
          <w:szCs w:val="24"/>
        </w:rPr>
        <w:t>申请人：</w:t>
      </w:r>
    </w:p>
    <w:p>
      <w:pPr>
        <w:keepNext w:val="0"/>
        <w:keepLines w:val="0"/>
        <w:pageBreakBefore w:val="0"/>
        <w:widowControl w:val="0"/>
        <w:kinsoku/>
        <w:wordWrap/>
        <w:overflowPunct/>
        <w:topLinePunct w:val="0"/>
        <w:bidi w:val="0"/>
        <w:snapToGrid/>
        <w:spacing w:line="336" w:lineRule="auto"/>
        <w:textAlignment w:val="auto"/>
        <w:outlineLvl w:val="9"/>
        <w:rPr>
          <w:rFonts w:ascii="宋体" w:hAnsi="宋体"/>
          <w:sz w:val="24"/>
          <w:szCs w:val="24"/>
        </w:rPr>
      </w:pPr>
      <w:r>
        <w:rPr>
          <w:rFonts w:hint="eastAsia" w:ascii="宋体" w:hAnsi="宋体"/>
          <w:sz w:val="24"/>
          <w:szCs w:val="24"/>
        </w:rPr>
        <w:t>地址</w:t>
      </w:r>
      <w:r>
        <w:rPr>
          <w:rFonts w:ascii="宋体" w:hAnsi="宋体"/>
          <w:sz w:val="24"/>
          <w:szCs w:val="24"/>
        </w:rPr>
        <w:t>：</w:t>
      </w:r>
    </w:p>
    <w:p>
      <w:pPr>
        <w:keepNext w:val="0"/>
        <w:keepLines w:val="0"/>
        <w:pageBreakBefore w:val="0"/>
        <w:widowControl w:val="0"/>
        <w:kinsoku/>
        <w:wordWrap/>
        <w:overflowPunct/>
        <w:topLinePunct w:val="0"/>
        <w:bidi w:val="0"/>
        <w:snapToGrid/>
        <w:spacing w:line="336" w:lineRule="auto"/>
        <w:textAlignment w:val="auto"/>
        <w:outlineLvl w:val="9"/>
        <w:rPr>
          <w:rFonts w:ascii="宋体" w:hAnsi="宋体"/>
          <w:sz w:val="24"/>
          <w:szCs w:val="24"/>
        </w:rPr>
      </w:pPr>
      <w:r>
        <w:rPr>
          <w:rFonts w:hint="eastAsia" w:ascii="宋体" w:hAnsi="宋体"/>
          <w:sz w:val="24"/>
          <w:szCs w:val="24"/>
        </w:rPr>
        <w:t>受益人：</w:t>
      </w:r>
    </w:p>
    <w:p>
      <w:pPr>
        <w:keepNext w:val="0"/>
        <w:keepLines w:val="0"/>
        <w:pageBreakBefore w:val="0"/>
        <w:widowControl w:val="0"/>
        <w:kinsoku/>
        <w:wordWrap/>
        <w:overflowPunct/>
        <w:topLinePunct w:val="0"/>
        <w:bidi w:val="0"/>
        <w:snapToGrid/>
        <w:spacing w:line="336" w:lineRule="auto"/>
        <w:textAlignment w:val="auto"/>
        <w:outlineLvl w:val="9"/>
        <w:rPr>
          <w:rFonts w:ascii="宋体" w:hAnsi="宋体"/>
          <w:sz w:val="24"/>
          <w:szCs w:val="24"/>
        </w:rPr>
      </w:pPr>
      <w:r>
        <w:rPr>
          <w:rFonts w:hint="eastAsia" w:ascii="宋体" w:hAnsi="宋体"/>
          <w:sz w:val="24"/>
          <w:szCs w:val="24"/>
        </w:rPr>
        <w:t>地址：</w:t>
      </w:r>
    </w:p>
    <w:p>
      <w:pPr>
        <w:keepNext w:val="0"/>
        <w:keepLines w:val="0"/>
        <w:pageBreakBefore w:val="0"/>
        <w:widowControl w:val="0"/>
        <w:kinsoku/>
        <w:wordWrap/>
        <w:overflowPunct/>
        <w:topLinePunct w:val="0"/>
        <w:bidi w:val="0"/>
        <w:snapToGrid/>
        <w:spacing w:line="336" w:lineRule="auto"/>
        <w:textAlignment w:val="auto"/>
        <w:outlineLvl w:val="9"/>
        <w:rPr>
          <w:rFonts w:ascii="宋体" w:hAnsi="宋体"/>
          <w:sz w:val="24"/>
          <w:szCs w:val="24"/>
        </w:rPr>
      </w:pPr>
      <w:r>
        <w:rPr>
          <w:rFonts w:hint="eastAsia" w:ascii="宋体" w:hAnsi="宋体"/>
          <w:sz w:val="24"/>
          <w:szCs w:val="24"/>
        </w:rPr>
        <w:t>开立人：</w:t>
      </w:r>
    </w:p>
    <w:p>
      <w:pPr>
        <w:keepNext w:val="0"/>
        <w:keepLines w:val="0"/>
        <w:pageBreakBefore w:val="0"/>
        <w:widowControl w:val="0"/>
        <w:kinsoku/>
        <w:wordWrap/>
        <w:overflowPunct/>
        <w:topLinePunct w:val="0"/>
        <w:bidi w:val="0"/>
        <w:snapToGrid/>
        <w:spacing w:line="336" w:lineRule="auto"/>
        <w:textAlignment w:val="auto"/>
        <w:outlineLvl w:val="9"/>
        <w:rPr>
          <w:rFonts w:ascii="宋体" w:hAnsi="宋体"/>
          <w:sz w:val="24"/>
          <w:szCs w:val="24"/>
        </w:rPr>
      </w:pPr>
      <w:r>
        <w:rPr>
          <w:rFonts w:hint="eastAsia" w:ascii="宋体" w:hAnsi="宋体"/>
          <w:sz w:val="24"/>
          <w:szCs w:val="24"/>
        </w:rPr>
        <w:t>地址：</w:t>
      </w:r>
    </w:p>
    <w:p>
      <w:pPr>
        <w:keepNext w:val="0"/>
        <w:keepLines w:val="0"/>
        <w:pageBreakBefore w:val="0"/>
        <w:widowControl w:val="0"/>
        <w:kinsoku/>
        <w:wordWrap/>
        <w:overflowPunct/>
        <w:topLinePunct w:val="0"/>
        <w:bidi w:val="0"/>
        <w:snapToGrid/>
        <w:spacing w:line="336" w:lineRule="auto"/>
        <w:textAlignment w:val="auto"/>
        <w:outlineLvl w:val="9"/>
        <w:rPr>
          <w:rFonts w:ascii="宋体" w:hAnsi="宋体"/>
          <w:sz w:val="24"/>
          <w:szCs w:val="24"/>
        </w:rPr>
      </w:pPr>
      <w:r>
        <w:rPr>
          <w:rFonts w:hint="eastAsia" w:ascii="宋体" w:hAnsi="宋体"/>
          <w:sz w:val="24"/>
          <w:szCs w:val="24"/>
        </w:rPr>
        <w:t>致：（受益人名称）</w:t>
      </w:r>
    </w:p>
    <w:p>
      <w:pPr>
        <w:keepNext w:val="0"/>
        <w:keepLines w:val="0"/>
        <w:pageBreakBefore w:val="0"/>
        <w:widowControl w:val="0"/>
        <w:kinsoku/>
        <w:wordWrap/>
        <w:overflowPunct/>
        <w:topLinePunct w:val="0"/>
        <w:bidi w:val="0"/>
        <w:snapToGrid/>
        <w:spacing w:line="336" w:lineRule="auto"/>
        <w:ind w:firstLine="480"/>
        <w:textAlignment w:val="auto"/>
        <w:outlineLvl w:val="9"/>
        <w:rPr>
          <w:rFonts w:ascii="宋体" w:hAnsi="宋体"/>
          <w:sz w:val="24"/>
          <w:szCs w:val="24"/>
        </w:rPr>
      </w:pPr>
      <w:r>
        <w:rPr>
          <w:rFonts w:hint="eastAsia" w:ascii="宋体" w:hAnsi="宋体"/>
          <w:sz w:val="24"/>
          <w:szCs w:val="24"/>
        </w:rPr>
        <w:t>我方（即“开立人”）已获得通知，本保函申请人（即“投标人”）已响应贵方于年月日就（以下简称“本工程”）发出的招标文件，并已向招标人（即“受益人”）提交了投标文件（即“基础交易”）。</w:t>
      </w:r>
    </w:p>
    <w:p>
      <w:pPr>
        <w:keepNext w:val="0"/>
        <w:keepLines w:val="0"/>
        <w:pageBreakBefore w:val="0"/>
        <w:widowControl w:val="0"/>
        <w:kinsoku/>
        <w:wordWrap/>
        <w:overflowPunct/>
        <w:topLinePunct w:val="0"/>
        <w:bidi w:val="0"/>
        <w:snapToGrid/>
        <w:spacing w:line="336" w:lineRule="auto"/>
        <w:ind w:firstLine="480" w:firstLineChars="200"/>
        <w:textAlignment w:val="auto"/>
        <w:outlineLvl w:val="9"/>
        <w:rPr>
          <w:rFonts w:ascii="宋体" w:hAnsi="宋体"/>
          <w:sz w:val="24"/>
          <w:szCs w:val="24"/>
        </w:rPr>
      </w:pPr>
      <w:r>
        <w:rPr>
          <w:rFonts w:hint="eastAsia" w:ascii="宋体" w:hAnsi="宋体"/>
          <w:sz w:val="24"/>
          <w:szCs w:val="24"/>
        </w:rPr>
        <w:t>一、我方理解根据招标条件，投标人必须提交一份投标保函（以下简称“本保函”），以担保投标人诚信履行其在上述基础交易中承担的投标人义务。鉴此，应申请人要求，我方在此同意向贵方出具此投标保函，本保函担保金额最高不超过</w:t>
      </w:r>
      <w:r>
        <w:rPr>
          <w:rFonts w:ascii="宋体" w:hAnsi="宋体"/>
          <w:sz w:val="24"/>
          <w:szCs w:val="24"/>
        </w:rPr>
        <w:t>人民币（大写）元（¥）。</w:t>
      </w:r>
    </w:p>
    <w:p>
      <w:pPr>
        <w:keepNext w:val="0"/>
        <w:keepLines w:val="0"/>
        <w:pageBreakBefore w:val="0"/>
        <w:widowControl w:val="0"/>
        <w:kinsoku/>
        <w:wordWrap/>
        <w:overflowPunct/>
        <w:topLinePunct w:val="0"/>
        <w:bidi w:val="0"/>
        <w:snapToGrid/>
        <w:spacing w:line="336" w:lineRule="auto"/>
        <w:ind w:firstLine="480" w:firstLineChars="200"/>
        <w:textAlignment w:val="auto"/>
        <w:outlineLvl w:val="9"/>
        <w:rPr>
          <w:rFonts w:ascii="宋体" w:hAnsi="宋体"/>
          <w:sz w:val="24"/>
          <w:szCs w:val="24"/>
        </w:rPr>
      </w:pPr>
      <w:r>
        <w:rPr>
          <w:rFonts w:hint="eastAsia" w:ascii="宋体" w:hAnsi="宋体"/>
          <w:sz w:val="24"/>
          <w:szCs w:val="24"/>
        </w:rPr>
        <w:t>二、我方在投标人发生以下情形时承担保证担保责任：</w:t>
      </w:r>
    </w:p>
    <w:p>
      <w:pPr>
        <w:pStyle w:val="22"/>
        <w:keepNext w:val="0"/>
        <w:keepLines w:val="0"/>
        <w:pageBreakBefore w:val="0"/>
        <w:widowControl w:val="0"/>
        <w:kinsoku/>
        <w:wordWrap/>
        <w:overflowPunct/>
        <w:topLinePunct w:val="0"/>
        <w:bidi w:val="0"/>
        <w:snapToGrid/>
        <w:spacing w:line="336" w:lineRule="auto"/>
        <w:ind w:left="480" w:firstLine="0" w:firstLineChars="0"/>
        <w:textAlignment w:val="auto"/>
        <w:outlineLvl w:val="9"/>
        <w:rPr>
          <w:rFonts w:ascii="宋体" w:hAnsi="宋体"/>
          <w:sz w:val="24"/>
          <w:szCs w:val="24"/>
        </w:rPr>
      </w:pPr>
      <w:r>
        <w:rPr>
          <w:rFonts w:hint="eastAsia" w:ascii="宋体" w:hAnsi="宋体" w:cs="Times New Roman"/>
          <w:sz w:val="24"/>
          <w:szCs w:val="24"/>
        </w:rPr>
        <w:t>（1）投标</w:t>
      </w:r>
      <w:r>
        <w:rPr>
          <w:rFonts w:ascii="宋体" w:hAnsi="宋体"/>
          <w:sz w:val="24"/>
          <w:szCs w:val="24"/>
        </w:rPr>
        <w:t xml:space="preserve">人在开标后和投标有效期满之前撤销投标的； </w:t>
      </w:r>
    </w:p>
    <w:p>
      <w:pPr>
        <w:pStyle w:val="22"/>
        <w:keepNext w:val="0"/>
        <w:keepLines w:val="0"/>
        <w:pageBreakBefore w:val="0"/>
        <w:widowControl w:val="0"/>
        <w:kinsoku/>
        <w:wordWrap/>
        <w:overflowPunct/>
        <w:topLinePunct w:val="0"/>
        <w:bidi w:val="0"/>
        <w:snapToGrid/>
        <w:spacing w:line="336" w:lineRule="auto"/>
        <w:ind w:firstLine="480" w:firstLineChars="0"/>
        <w:textAlignment w:val="auto"/>
        <w:outlineLvl w:val="9"/>
        <w:rPr>
          <w:rFonts w:ascii="宋体" w:hAnsi="宋体"/>
          <w:sz w:val="24"/>
          <w:szCs w:val="24"/>
        </w:rPr>
      </w:pPr>
      <w:r>
        <w:rPr>
          <w:rFonts w:hint="eastAsia" w:ascii="宋体" w:hAnsi="宋体"/>
          <w:sz w:val="24"/>
          <w:szCs w:val="24"/>
        </w:rPr>
        <w:t>（2）</w:t>
      </w:r>
      <w:r>
        <w:rPr>
          <w:rFonts w:ascii="宋体" w:hAnsi="宋体"/>
          <w:sz w:val="24"/>
          <w:szCs w:val="24"/>
        </w:rPr>
        <w:t>投标人在收到中标通知后，</w:t>
      </w:r>
      <w:r>
        <w:rPr>
          <w:rFonts w:hint="eastAsia" w:ascii="宋体" w:hAnsi="宋体"/>
          <w:sz w:val="24"/>
          <w:szCs w:val="24"/>
        </w:rPr>
        <w:t>不能或拒绝</w:t>
      </w:r>
      <w:r>
        <w:rPr>
          <w:rFonts w:ascii="宋体" w:hAnsi="宋体"/>
          <w:sz w:val="24"/>
          <w:szCs w:val="24"/>
        </w:rPr>
        <w:t xml:space="preserve">在中标通知书规定的时间内与贵方签订合同； </w:t>
      </w:r>
    </w:p>
    <w:p>
      <w:pPr>
        <w:pStyle w:val="22"/>
        <w:keepNext w:val="0"/>
        <w:keepLines w:val="0"/>
        <w:pageBreakBefore w:val="0"/>
        <w:widowControl w:val="0"/>
        <w:kinsoku/>
        <w:wordWrap/>
        <w:overflowPunct/>
        <w:topLinePunct w:val="0"/>
        <w:bidi w:val="0"/>
        <w:snapToGrid/>
        <w:spacing w:line="336" w:lineRule="auto"/>
        <w:ind w:firstLine="480" w:firstLineChars="0"/>
        <w:textAlignment w:val="auto"/>
        <w:outlineLvl w:val="9"/>
        <w:rPr>
          <w:rFonts w:ascii="宋体" w:hAnsi="宋体"/>
          <w:sz w:val="24"/>
          <w:szCs w:val="24"/>
        </w:rPr>
      </w:pPr>
      <w:r>
        <w:rPr>
          <w:rFonts w:hint="eastAsia" w:ascii="宋体" w:hAnsi="宋体"/>
          <w:sz w:val="24"/>
          <w:szCs w:val="24"/>
        </w:rPr>
        <w:t>（3）投标人在与贵方签订合同后，未在规定的时间内提交符合招标文件要求的履约担保；</w:t>
      </w:r>
    </w:p>
    <w:p>
      <w:pPr>
        <w:pStyle w:val="22"/>
        <w:keepNext w:val="0"/>
        <w:keepLines w:val="0"/>
        <w:pageBreakBefore w:val="0"/>
        <w:widowControl w:val="0"/>
        <w:kinsoku/>
        <w:wordWrap/>
        <w:overflowPunct/>
        <w:topLinePunct w:val="0"/>
        <w:bidi w:val="0"/>
        <w:snapToGrid/>
        <w:spacing w:line="336" w:lineRule="auto"/>
        <w:ind w:firstLine="480" w:firstLineChars="0"/>
        <w:textAlignment w:val="auto"/>
        <w:outlineLvl w:val="9"/>
        <w:rPr>
          <w:rFonts w:ascii="宋体" w:hAnsi="宋体"/>
          <w:sz w:val="24"/>
          <w:szCs w:val="24"/>
        </w:rPr>
      </w:pPr>
      <w:r>
        <w:rPr>
          <w:rFonts w:hint="eastAsia" w:ascii="宋体" w:hAnsi="宋体"/>
          <w:sz w:val="24"/>
          <w:szCs w:val="24"/>
        </w:rPr>
        <w:t>（4）投标人违反</w:t>
      </w:r>
      <w:r>
        <w:rPr>
          <w:rFonts w:ascii="宋体" w:hAnsi="宋体"/>
          <w:sz w:val="24"/>
          <w:szCs w:val="24"/>
        </w:rPr>
        <w:t>招标文件规定</w:t>
      </w:r>
      <w:r>
        <w:rPr>
          <w:rFonts w:hint="eastAsia" w:ascii="宋体" w:hAnsi="宋体"/>
          <w:sz w:val="24"/>
          <w:szCs w:val="24"/>
        </w:rPr>
        <w:t>的其他</w:t>
      </w:r>
      <w:r>
        <w:rPr>
          <w:rFonts w:ascii="宋体" w:hAnsi="宋体"/>
          <w:sz w:val="24"/>
          <w:szCs w:val="24"/>
        </w:rPr>
        <w:t>情形。</w:t>
      </w:r>
    </w:p>
    <w:p>
      <w:pPr>
        <w:keepNext w:val="0"/>
        <w:keepLines w:val="0"/>
        <w:pageBreakBefore w:val="0"/>
        <w:widowControl w:val="0"/>
        <w:kinsoku/>
        <w:wordWrap/>
        <w:overflowPunct/>
        <w:topLinePunct w:val="0"/>
        <w:bidi w:val="0"/>
        <w:snapToGrid/>
        <w:spacing w:line="336" w:lineRule="auto"/>
        <w:textAlignment w:val="auto"/>
        <w:outlineLvl w:val="9"/>
        <w:rPr>
          <w:rFonts w:ascii="宋体" w:hAnsi="宋体"/>
          <w:sz w:val="24"/>
          <w:szCs w:val="24"/>
        </w:rPr>
      </w:pPr>
      <w:r>
        <w:rPr>
          <w:rFonts w:hint="eastAsia" w:ascii="宋体" w:hAnsi="宋体"/>
          <w:sz w:val="24"/>
          <w:szCs w:val="24"/>
        </w:rPr>
        <w:t xml:space="preserve">    三、本保函为</w:t>
      </w:r>
      <w:r>
        <w:rPr>
          <w:rFonts w:ascii="宋体" w:hAnsi="宋体"/>
          <w:sz w:val="24"/>
          <w:szCs w:val="24"/>
        </w:rPr>
        <w:t>不可撤销、</w:t>
      </w:r>
      <w:r>
        <w:rPr>
          <w:rFonts w:hint="eastAsia" w:ascii="宋体" w:hAnsi="宋体"/>
          <w:sz w:val="24"/>
          <w:szCs w:val="24"/>
        </w:rPr>
        <w:t>不可转让的见索即付</w:t>
      </w:r>
      <w:r>
        <w:rPr>
          <w:rFonts w:ascii="宋体" w:hAnsi="宋体"/>
          <w:sz w:val="24"/>
          <w:szCs w:val="24"/>
        </w:rPr>
        <w:t>独立</w:t>
      </w:r>
      <w:r>
        <w:rPr>
          <w:rFonts w:hint="eastAsia" w:ascii="宋体" w:hAnsi="宋体"/>
          <w:sz w:val="24"/>
          <w:szCs w:val="24"/>
        </w:rPr>
        <w:t>保函</w:t>
      </w:r>
      <w:r>
        <w:rPr>
          <w:rFonts w:ascii="宋体" w:hAnsi="宋体"/>
          <w:sz w:val="24"/>
          <w:szCs w:val="24"/>
        </w:rPr>
        <w:t>。</w:t>
      </w:r>
      <w:r>
        <w:rPr>
          <w:rFonts w:hint="eastAsia" w:ascii="宋体" w:hAnsi="宋体"/>
          <w:sz w:val="24"/>
          <w:szCs w:val="24"/>
        </w:rPr>
        <w:t>本保函</w:t>
      </w:r>
      <w:r>
        <w:rPr>
          <w:rFonts w:ascii="宋体" w:hAnsi="宋体"/>
          <w:sz w:val="24"/>
          <w:szCs w:val="24"/>
        </w:rPr>
        <w:t>有效期自</w:t>
      </w:r>
      <w:r>
        <w:rPr>
          <w:rFonts w:hint="eastAsia" w:ascii="宋体" w:hAnsi="宋体"/>
          <w:sz w:val="24"/>
          <w:szCs w:val="24"/>
        </w:rPr>
        <w:t>开立之日起</w:t>
      </w:r>
      <w:r>
        <w:rPr>
          <w:rFonts w:ascii="宋体" w:hAnsi="宋体"/>
          <w:sz w:val="24"/>
          <w:szCs w:val="24"/>
        </w:rPr>
        <w:t>至</w:t>
      </w:r>
      <w:r>
        <w:rPr>
          <w:rFonts w:hint="eastAsia" w:ascii="宋体" w:hAnsi="宋体"/>
          <w:sz w:val="24"/>
          <w:szCs w:val="24"/>
        </w:rPr>
        <w:t>投标有效期届满之日后的日</w:t>
      </w:r>
      <w:r>
        <w:rPr>
          <w:rFonts w:ascii="宋体" w:hAnsi="宋体"/>
          <w:sz w:val="24"/>
          <w:szCs w:val="24"/>
        </w:rPr>
        <w:t>。</w:t>
      </w:r>
      <w:r>
        <w:rPr>
          <w:rFonts w:hint="eastAsia" w:ascii="宋体" w:hAnsi="宋体"/>
          <w:sz w:val="24"/>
          <w:szCs w:val="24"/>
        </w:rPr>
        <w:t>投标有效期延长的，本保函有效期相应顺延，最迟不超过年月日。</w:t>
      </w:r>
    </w:p>
    <w:p>
      <w:pPr>
        <w:keepNext w:val="0"/>
        <w:keepLines w:val="0"/>
        <w:pageBreakBefore w:val="0"/>
        <w:widowControl w:val="0"/>
        <w:kinsoku/>
        <w:wordWrap/>
        <w:overflowPunct/>
        <w:topLinePunct w:val="0"/>
        <w:bidi w:val="0"/>
        <w:snapToGrid/>
        <w:spacing w:line="336" w:lineRule="auto"/>
        <w:ind w:firstLine="480"/>
        <w:textAlignment w:val="auto"/>
        <w:outlineLvl w:val="9"/>
        <w:rPr>
          <w:rFonts w:ascii="宋体" w:hAnsi="宋体"/>
          <w:sz w:val="24"/>
          <w:szCs w:val="24"/>
        </w:rPr>
      </w:pPr>
      <w:r>
        <w:rPr>
          <w:rFonts w:hint="eastAsia" w:ascii="宋体" w:hAnsi="宋体"/>
          <w:sz w:val="24"/>
          <w:szCs w:val="24"/>
        </w:rPr>
        <w:t>四、我方承诺，在收到受益人发来的书面付款通知后的日内无条件支付，前述书面付款通知即为付款要求之单据，且应满足以下要求：</w:t>
      </w:r>
    </w:p>
    <w:p>
      <w:pPr>
        <w:keepNext w:val="0"/>
        <w:keepLines w:val="0"/>
        <w:pageBreakBefore w:val="0"/>
        <w:widowControl w:val="0"/>
        <w:kinsoku/>
        <w:wordWrap/>
        <w:overflowPunct/>
        <w:topLinePunct w:val="0"/>
        <w:bidi w:val="0"/>
        <w:snapToGrid/>
        <w:spacing w:line="336" w:lineRule="auto"/>
        <w:ind w:firstLine="480"/>
        <w:textAlignment w:val="auto"/>
        <w:outlineLvl w:val="9"/>
        <w:rPr>
          <w:rFonts w:ascii="宋体" w:hAnsi="宋体"/>
          <w:sz w:val="24"/>
          <w:szCs w:val="24"/>
        </w:rPr>
      </w:pPr>
      <w:r>
        <w:rPr>
          <w:rFonts w:hint="eastAsia" w:ascii="宋体" w:hAnsi="宋体"/>
          <w:sz w:val="24"/>
          <w:szCs w:val="24"/>
        </w:rPr>
        <w:t>（1）付款通知到达的日期在本保函的有效期内；</w:t>
      </w:r>
    </w:p>
    <w:p>
      <w:pPr>
        <w:keepNext w:val="0"/>
        <w:keepLines w:val="0"/>
        <w:pageBreakBefore w:val="0"/>
        <w:widowControl w:val="0"/>
        <w:kinsoku/>
        <w:wordWrap/>
        <w:overflowPunct/>
        <w:topLinePunct w:val="0"/>
        <w:bidi w:val="0"/>
        <w:snapToGrid/>
        <w:spacing w:line="336" w:lineRule="auto"/>
        <w:ind w:firstLine="480"/>
        <w:textAlignment w:val="auto"/>
        <w:outlineLvl w:val="9"/>
        <w:rPr>
          <w:rFonts w:ascii="宋体" w:hAnsi="宋体"/>
          <w:sz w:val="24"/>
          <w:szCs w:val="24"/>
        </w:rPr>
      </w:pPr>
      <w:r>
        <w:rPr>
          <w:rFonts w:hint="eastAsia" w:ascii="宋体" w:hAnsi="宋体"/>
          <w:sz w:val="24"/>
          <w:szCs w:val="24"/>
        </w:rPr>
        <w:t>（2）载明要求支付的金额；</w:t>
      </w:r>
    </w:p>
    <w:p>
      <w:pPr>
        <w:keepNext w:val="0"/>
        <w:keepLines w:val="0"/>
        <w:pageBreakBefore w:val="0"/>
        <w:widowControl w:val="0"/>
        <w:kinsoku/>
        <w:wordWrap/>
        <w:overflowPunct/>
        <w:topLinePunct w:val="0"/>
        <w:bidi w:val="0"/>
        <w:snapToGrid/>
        <w:spacing w:line="336" w:lineRule="auto"/>
        <w:ind w:firstLine="480"/>
        <w:textAlignment w:val="auto"/>
        <w:outlineLvl w:val="9"/>
        <w:rPr>
          <w:rFonts w:ascii="宋体" w:hAnsi="宋体"/>
          <w:sz w:val="24"/>
          <w:szCs w:val="24"/>
        </w:rPr>
      </w:pPr>
      <w:r>
        <w:rPr>
          <w:rFonts w:hint="eastAsia" w:ascii="宋体" w:hAnsi="宋体"/>
          <w:sz w:val="24"/>
          <w:szCs w:val="24"/>
        </w:rPr>
        <w:t>（3）载明申请人违反招投标文件规定的义务内容和具体条款；</w:t>
      </w:r>
    </w:p>
    <w:p>
      <w:pPr>
        <w:keepNext w:val="0"/>
        <w:keepLines w:val="0"/>
        <w:pageBreakBefore w:val="0"/>
        <w:widowControl w:val="0"/>
        <w:kinsoku/>
        <w:wordWrap/>
        <w:overflowPunct/>
        <w:topLinePunct w:val="0"/>
        <w:bidi w:val="0"/>
        <w:snapToGrid/>
        <w:spacing w:line="336" w:lineRule="auto"/>
        <w:ind w:firstLine="480"/>
        <w:textAlignment w:val="auto"/>
        <w:outlineLvl w:val="9"/>
        <w:rPr>
          <w:rFonts w:ascii="宋体" w:hAnsi="宋体"/>
          <w:sz w:val="24"/>
          <w:szCs w:val="24"/>
        </w:rPr>
      </w:pPr>
      <w:r>
        <w:rPr>
          <w:rFonts w:hint="eastAsia" w:ascii="宋体" w:hAnsi="宋体"/>
          <w:sz w:val="24"/>
          <w:szCs w:val="24"/>
        </w:rPr>
        <w:t>（4）声明不存在招标文件规定或我国法律规定免除申请人或我方支付责任的情形；</w:t>
      </w:r>
    </w:p>
    <w:p>
      <w:pPr>
        <w:keepNext w:val="0"/>
        <w:keepLines w:val="0"/>
        <w:pageBreakBefore w:val="0"/>
        <w:widowControl w:val="0"/>
        <w:kinsoku/>
        <w:wordWrap/>
        <w:overflowPunct/>
        <w:topLinePunct w:val="0"/>
        <w:bidi w:val="0"/>
        <w:snapToGrid/>
        <w:spacing w:line="336" w:lineRule="auto"/>
        <w:ind w:firstLine="480"/>
        <w:textAlignment w:val="auto"/>
        <w:outlineLvl w:val="9"/>
        <w:rPr>
          <w:rFonts w:ascii="宋体" w:hAnsi="宋体"/>
          <w:sz w:val="24"/>
          <w:szCs w:val="24"/>
        </w:rPr>
      </w:pPr>
      <w:r>
        <w:rPr>
          <w:rFonts w:hint="eastAsia" w:ascii="宋体" w:hAnsi="宋体"/>
          <w:sz w:val="24"/>
          <w:szCs w:val="24"/>
        </w:rPr>
        <w:t>（5）书面付款通知应在本保函有效期内到达的地址是：。</w:t>
      </w:r>
    </w:p>
    <w:p>
      <w:pPr>
        <w:keepNext w:val="0"/>
        <w:keepLines w:val="0"/>
        <w:pageBreakBefore w:val="0"/>
        <w:widowControl w:val="0"/>
        <w:kinsoku/>
        <w:wordWrap/>
        <w:overflowPunct/>
        <w:topLinePunct w:val="0"/>
        <w:bidi w:val="0"/>
        <w:snapToGrid/>
        <w:spacing w:line="336" w:lineRule="auto"/>
        <w:textAlignment w:val="auto"/>
        <w:outlineLvl w:val="9"/>
        <w:rPr>
          <w:rFonts w:ascii="宋体" w:hAnsi="宋体"/>
          <w:sz w:val="24"/>
          <w:szCs w:val="24"/>
        </w:rPr>
      </w:pPr>
      <w:r>
        <w:rPr>
          <w:rFonts w:hint="eastAsia" w:ascii="宋体" w:hAnsi="宋体"/>
          <w:sz w:val="24"/>
          <w:szCs w:val="24"/>
        </w:rPr>
        <w:t xml:space="preserve">    受益人发出的书面付款通知应由其为鉴明受益人法定代表人（负责人）或授权代理人签字并加盖公章。</w:t>
      </w:r>
    </w:p>
    <w:p>
      <w:pPr>
        <w:keepNext w:val="0"/>
        <w:keepLines w:val="0"/>
        <w:pageBreakBefore w:val="0"/>
        <w:widowControl w:val="0"/>
        <w:kinsoku/>
        <w:wordWrap/>
        <w:overflowPunct/>
        <w:topLinePunct w:val="0"/>
        <w:bidi w:val="0"/>
        <w:snapToGrid/>
        <w:spacing w:line="336" w:lineRule="auto"/>
        <w:ind w:firstLine="480" w:firstLineChars="200"/>
        <w:textAlignment w:val="auto"/>
        <w:outlineLvl w:val="9"/>
        <w:rPr>
          <w:rFonts w:ascii="宋体" w:hAnsi="宋体"/>
          <w:sz w:val="24"/>
          <w:szCs w:val="24"/>
        </w:rPr>
      </w:pPr>
      <w:r>
        <w:rPr>
          <w:rFonts w:hint="eastAsia" w:ascii="宋体" w:hAnsi="宋体"/>
          <w:sz w:val="24"/>
          <w:szCs w:val="24"/>
        </w:rPr>
        <w:t>五、</w:t>
      </w:r>
      <w:r>
        <w:rPr>
          <w:rFonts w:ascii="宋体" w:hAnsi="宋体"/>
          <w:sz w:val="24"/>
          <w:szCs w:val="24"/>
        </w:rPr>
        <w:t>本保函项下的权利不得转让，不得设定担保。</w:t>
      </w:r>
      <w:r>
        <w:rPr>
          <w:rFonts w:hint="eastAsia" w:ascii="宋体" w:hAnsi="宋体"/>
          <w:sz w:val="24"/>
          <w:szCs w:val="24"/>
        </w:rPr>
        <w:t>贵方</w:t>
      </w:r>
      <w:r>
        <w:rPr>
          <w:rFonts w:ascii="宋体" w:hAnsi="宋体"/>
          <w:sz w:val="24"/>
          <w:szCs w:val="24"/>
        </w:rPr>
        <w:t>未经我方书面同意转让本保函或其项下任何权利，</w:t>
      </w:r>
      <w:r>
        <w:rPr>
          <w:rFonts w:hint="eastAsia" w:ascii="宋体" w:hAnsi="宋体"/>
          <w:sz w:val="24"/>
          <w:szCs w:val="24"/>
        </w:rPr>
        <w:t>对我方不发生法律效力</w:t>
      </w:r>
      <w:r>
        <w:rPr>
          <w:rFonts w:ascii="宋体" w:hAnsi="宋体"/>
          <w:sz w:val="24"/>
          <w:szCs w:val="24"/>
        </w:rPr>
        <w:t xml:space="preserve">。 </w:t>
      </w:r>
    </w:p>
    <w:p>
      <w:pPr>
        <w:keepNext w:val="0"/>
        <w:keepLines w:val="0"/>
        <w:pageBreakBefore w:val="0"/>
        <w:widowControl w:val="0"/>
        <w:kinsoku/>
        <w:wordWrap/>
        <w:overflowPunct/>
        <w:topLinePunct w:val="0"/>
        <w:bidi w:val="0"/>
        <w:snapToGrid/>
        <w:spacing w:line="336" w:lineRule="auto"/>
        <w:ind w:firstLine="480" w:firstLineChars="200"/>
        <w:textAlignment w:val="auto"/>
        <w:outlineLvl w:val="9"/>
        <w:rPr>
          <w:rFonts w:ascii="宋体" w:hAnsi="宋体"/>
          <w:sz w:val="24"/>
          <w:szCs w:val="24"/>
        </w:rPr>
      </w:pPr>
      <w:r>
        <w:rPr>
          <w:rFonts w:hint="eastAsia" w:ascii="宋体" w:hAnsi="宋体"/>
          <w:sz w:val="24"/>
          <w:szCs w:val="24"/>
        </w:rPr>
        <w:t>六、</w:t>
      </w:r>
      <w:r>
        <w:rPr>
          <w:rFonts w:ascii="宋体" w:hAnsi="宋体"/>
          <w:sz w:val="24"/>
          <w:szCs w:val="24"/>
        </w:rPr>
        <w:t xml:space="preserve">本保函项下的基础交易不成立、不生效、无效、被撤销、被解除，不影响本保函的独立有效。 </w:t>
      </w:r>
    </w:p>
    <w:p>
      <w:pPr>
        <w:keepNext w:val="0"/>
        <w:keepLines w:val="0"/>
        <w:pageBreakBefore w:val="0"/>
        <w:widowControl w:val="0"/>
        <w:kinsoku/>
        <w:wordWrap/>
        <w:overflowPunct/>
        <w:topLinePunct w:val="0"/>
        <w:bidi w:val="0"/>
        <w:snapToGrid/>
        <w:spacing w:line="336" w:lineRule="auto"/>
        <w:ind w:firstLine="480" w:firstLineChars="200"/>
        <w:textAlignment w:val="auto"/>
        <w:outlineLvl w:val="9"/>
        <w:rPr>
          <w:rFonts w:ascii="宋体" w:hAnsi="宋体"/>
          <w:sz w:val="24"/>
          <w:szCs w:val="24"/>
        </w:rPr>
      </w:pPr>
      <w:r>
        <w:rPr>
          <w:rFonts w:hint="eastAsia" w:ascii="宋体" w:hAnsi="宋体"/>
          <w:sz w:val="24"/>
          <w:szCs w:val="24"/>
        </w:rPr>
        <w:t>七、受益人</w:t>
      </w:r>
      <w:r>
        <w:rPr>
          <w:rFonts w:ascii="宋体" w:hAnsi="宋体"/>
          <w:sz w:val="24"/>
          <w:szCs w:val="24"/>
        </w:rPr>
        <w:t>应在本保函到期后的</w:t>
      </w:r>
      <w:r>
        <w:rPr>
          <w:rFonts w:hint="eastAsia" w:ascii="宋体" w:hAnsi="宋体"/>
          <w:sz w:val="24"/>
          <w:szCs w:val="24"/>
        </w:rPr>
        <w:t>七</w:t>
      </w:r>
      <w:r>
        <w:rPr>
          <w:rFonts w:ascii="宋体" w:hAnsi="宋体"/>
          <w:sz w:val="24"/>
          <w:szCs w:val="24"/>
        </w:rPr>
        <w:t>日内将本保函正本退回我方</w:t>
      </w:r>
      <w:r>
        <w:rPr>
          <w:rFonts w:hint="eastAsia" w:ascii="宋体" w:hAnsi="宋体"/>
          <w:sz w:val="24"/>
          <w:szCs w:val="24"/>
        </w:rPr>
        <w:t>注销</w:t>
      </w:r>
      <w:r>
        <w:rPr>
          <w:rFonts w:ascii="宋体" w:hAnsi="宋体"/>
          <w:sz w:val="24"/>
          <w:szCs w:val="24"/>
        </w:rPr>
        <w:t>，但是不论</w:t>
      </w:r>
      <w:r>
        <w:rPr>
          <w:rFonts w:hint="eastAsia" w:ascii="宋体" w:hAnsi="宋体"/>
          <w:sz w:val="24"/>
          <w:szCs w:val="24"/>
        </w:rPr>
        <w:t>受益人</w:t>
      </w:r>
      <w:r>
        <w:rPr>
          <w:rFonts w:ascii="宋体" w:hAnsi="宋体"/>
          <w:sz w:val="24"/>
          <w:szCs w:val="24"/>
        </w:rPr>
        <w:t>是否按此要求将本保函正本退回我方，我方在本保函项下的义务和责任均在保函</w:t>
      </w:r>
      <w:r>
        <w:rPr>
          <w:rFonts w:hint="eastAsia" w:ascii="宋体" w:hAnsi="宋体"/>
          <w:sz w:val="24"/>
          <w:szCs w:val="24"/>
        </w:rPr>
        <w:t>有效期</w:t>
      </w:r>
      <w:r>
        <w:rPr>
          <w:rFonts w:ascii="宋体" w:hAnsi="宋体"/>
          <w:sz w:val="24"/>
          <w:szCs w:val="24"/>
        </w:rPr>
        <w:t xml:space="preserve">到期后自动消灭。 </w:t>
      </w:r>
    </w:p>
    <w:p>
      <w:pPr>
        <w:keepNext w:val="0"/>
        <w:keepLines w:val="0"/>
        <w:pageBreakBefore w:val="0"/>
        <w:widowControl w:val="0"/>
        <w:kinsoku/>
        <w:wordWrap/>
        <w:overflowPunct/>
        <w:topLinePunct w:val="0"/>
        <w:bidi w:val="0"/>
        <w:snapToGrid/>
        <w:spacing w:line="336" w:lineRule="auto"/>
        <w:ind w:firstLine="480" w:firstLineChars="200"/>
        <w:textAlignment w:val="auto"/>
        <w:outlineLvl w:val="9"/>
        <w:rPr>
          <w:rFonts w:ascii="宋体" w:hAnsi="宋体"/>
          <w:sz w:val="24"/>
          <w:szCs w:val="24"/>
        </w:rPr>
      </w:pPr>
      <w:r>
        <w:rPr>
          <w:rFonts w:hint="eastAsia" w:ascii="宋体" w:hAnsi="宋体"/>
          <w:sz w:val="24"/>
          <w:szCs w:val="24"/>
        </w:rPr>
        <w:t>八、</w:t>
      </w:r>
      <w:r>
        <w:rPr>
          <w:rFonts w:ascii="宋体" w:hAnsi="宋体"/>
          <w:sz w:val="24"/>
          <w:szCs w:val="24"/>
        </w:rPr>
        <w:t>本保函</w:t>
      </w:r>
      <w:r>
        <w:rPr>
          <w:rFonts w:hint="eastAsia" w:ascii="宋体" w:hAnsi="宋体"/>
          <w:sz w:val="24"/>
          <w:szCs w:val="24"/>
        </w:rPr>
        <w:t>适用的法律为中华人民共和国法律，争议裁判管辖地为中华人民共和国。</w:t>
      </w:r>
    </w:p>
    <w:p>
      <w:pPr>
        <w:keepNext w:val="0"/>
        <w:keepLines w:val="0"/>
        <w:pageBreakBefore w:val="0"/>
        <w:widowControl w:val="0"/>
        <w:kinsoku/>
        <w:wordWrap/>
        <w:overflowPunct/>
        <w:topLinePunct w:val="0"/>
        <w:bidi w:val="0"/>
        <w:snapToGrid/>
        <w:spacing w:line="336" w:lineRule="auto"/>
        <w:ind w:firstLine="480" w:firstLineChars="200"/>
        <w:textAlignment w:val="auto"/>
        <w:outlineLvl w:val="9"/>
        <w:rPr>
          <w:rFonts w:ascii="宋体" w:hAnsi="宋体"/>
          <w:sz w:val="24"/>
          <w:szCs w:val="24"/>
        </w:rPr>
      </w:pPr>
      <w:r>
        <w:rPr>
          <w:rFonts w:hint="eastAsia" w:ascii="宋体" w:hAnsi="宋体"/>
          <w:sz w:val="24"/>
          <w:szCs w:val="24"/>
        </w:rPr>
        <w:t>九、</w:t>
      </w:r>
      <w:r>
        <w:rPr>
          <w:rFonts w:ascii="宋体" w:hAnsi="宋体"/>
          <w:sz w:val="24"/>
          <w:szCs w:val="24"/>
        </w:rPr>
        <w:t>本保函自我方法定代表人</w:t>
      </w:r>
      <w:r>
        <w:rPr>
          <w:rFonts w:hint="eastAsia" w:ascii="宋体" w:hAnsi="宋体"/>
          <w:sz w:val="24"/>
          <w:szCs w:val="24"/>
        </w:rPr>
        <w:t>或授权代表</w:t>
      </w:r>
      <w:r>
        <w:rPr>
          <w:rFonts w:ascii="宋体" w:hAnsi="宋体"/>
          <w:sz w:val="24"/>
          <w:szCs w:val="24"/>
        </w:rPr>
        <w:t>签字</w:t>
      </w:r>
      <w:r>
        <w:rPr>
          <w:rFonts w:hint="eastAsia" w:ascii="宋体" w:hAnsi="宋体"/>
          <w:sz w:val="24"/>
          <w:szCs w:val="24"/>
        </w:rPr>
        <w:t>并</w:t>
      </w:r>
      <w:r>
        <w:rPr>
          <w:rFonts w:ascii="宋体" w:hAnsi="宋体"/>
          <w:sz w:val="24"/>
          <w:szCs w:val="24"/>
        </w:rPr>
        <w:t xml:space="preserve">加盖公章之日起生效。 </w:t>
      </w:r>
    </w:p>
    <w:p>
      <w:pPr>
        <w:keepNext w:val="0"/>
        <w:keepLines w:val="0"/>
        <w:pageBreakBefore w:val="0"/>
        <w:widowControl w:val="0"/>
        <w:kinsoku/>
        <w:wordWrap/>
        <w:overflowPunct/>
        <w:topLinePunct w:val="0"/>
        <w:bidi w:val="0"/>
        <w:snapToGrid/>
        <w:spacing w:line="336" w:lineRule="auto"/>
        <w:ind w:firstLine="480" w:firstLineChars="200"/>
        <w:textAlignment w:val="auto"/>
        <w:outlineLvl w:val="9"/>
        <w:rPr>
          <w:rFonts w:ascii="宋体" w:hAnsi="宋体"/>
          <w:sz w:val="24"/>
          <w:szCs w:val="24"/>
        </w:rPr>
      </w:pPr>
      <w:r>
        <w:rPr>
          <w:rFonts w:hint="eastAsia" w:ascii="宋体" w:hAnsi="宋体"/>
          <w:sz w:val="24"/>
          <w:szCs w:val="24"/>
        </w:rPr>
        <w:t>开 立 人</w:t>
      </w:r>
      <w:r>
        <w:rPr>
          <w:rFonts w:ascii="宋体" w:hAnsi="宋体"/>
          <w:sz w:val="24"/>
          <w:szCs w:val="24"/>
        </w:rPr>
        <w:t>：                 （</w:t>
      </w:r>
      <w:r>
        <w:rPr>
          <w:rFonts w:hint="eastAsia" w:ascii="宋体" w:hAnsi="宋体"/>
          <w:sz w:val="24"/>
          <w:szCs w:val="24"/>
        </w:rPr>
        <w:t>公</w:t>
      </w:r>
      <w:r>
        <w:rPr>
          <w:rFonts w:ascii="宋体" w:hAnsi="宋体"/>
          <w:sz w:val="24"/>
          <w:szCs w:val="24"/>
        </w:rPr>
        <w:t xml:space="preserve">章） </w:t>
      </w:r>
    </w:p>
    <w:p>
      <w:pPr>
        <w:keepNext w:val="0"/>
        <w:keepLines w:val="0"/>
        <w:pageBreakBefore w:val="0"/>
        <w:widowControl w:val="0"/>
        <w:kinsoku/>
        <w:wordWrap/>
        <w:overflowPunct/>
        <w:topLinePunct w:val="0"/>
        <w:bidi w:val="0"/>
        <w:snapToGrid/>
        <w:spacing w:line="336" w:lineRule="auto"/>
        <w:ind w:firstLine="480" w:firstLineChars="200"/>
        <w:textAlignment w:val="auto"/>
        <w:outlineLvl w:val="9"/>
        <w:rPr>
          <w:rFonts w:ascii="宋体" w:hAnsi="宋体"/>
          <w:sz w:val="24"/>
          <w:szCs w:val="24"/>
        </w:rPr>
      </w:pPr>
      <w:r>
        <w:rPr>
          <w:rFonts w:hint="eastAsia" w:ascii="宋体" w:hAnsi="宋体"/>
          <w:sz w:val="24"/>
          <w:szCs w:val="24"/>
        </w:rPr>
        <w:t>法定代表人（或授权代表） ：</w:t>
      </w:r>
      <w:r>
        <w:rPr>
          <w:rFonts w:ascii="宋体" w:hAnsi="宋体"/>
          <w:sz w:val="24"/>
          <w:szCs w:val="24"/>
        </w:rPr>
        <w:t xml:space="preserve">               （签字） </w:t>
      </w:r>
    </w:p>
    <w:p>
      <w:pPr>
        <w:keepNext w:val="0"/>
        <w:keepLines w:val="0"/>
        <w:pageBreakBefore w:val="0"/>
        <w:widowControl w:val="0"/>
        <w:kinsoku/>
        <w:wordWrap/>
        <w:overflowPunct/>
        <w:topLinePunct w:val="0"/>
        <w:bidi w:val="0"/>
        <w:snapToGrid/>
        <w:spacing w:line="336" w:lineRule="auto"/>
        <w:ind w:firstLine="480" w:firstLineChars="200"/>
        <w:textAlignment w:val="auto"/>
        <w:outlineLvl w:val="9"/>
        <w:rPr>
          <w:rFonts w:ascii="宋体" w:hAnsi="宋体"/>
          <w:sz w:val="24"/>
          <w:szCs w:val="24"/>
        </w:rPr>
      </w:pPr>
      <w:r>
        <w:rPr>
          <w:rFonts w:hint="eastAsia" w:ascii="宋体" w:hAnsi="宋体"/>
          <w:sz w:val="24"/>
          <w:szCs w:val="24"/>
        </w:rPr>
        <w:t>地</w:t>
      </w:r>
      <w:r>
        <w:rPr>
          <w:rFonts w:ascii="宋体" w:hAnsi="宋体"/>
          <w:sz w:val="24"/>
          <w:szCs w:val="24"/>
        </w:rPr>
        <w:t xml:space="preserve">    址：                                       </w:t>
      </w:r>
    </w:p>
    <w:p>
      <w:pPr>
        <w:keepNext w:val="0"/>
        <w:keepLines w:val="0"/>
        <w:pageBreakBefore w:val="0"/>
        <w:widowControl w:val="0"/>
        <w:kinsoku/>
        <w:wordWrap/>
        <w:overflowPunct/>
        <w:topLinePunct w:val="0"/>
        <w:bidi w:val="0"/>
        <w:snapToGrid/>
        <w:spacing w:line="336" w:lineRule="auto"/>
        <w:ind w:firstLine="480" w:firstLineChars="200"/>
        <w:textAlignment w:val="auto"/>
        <w:outlineLvl w:val="9"/>
        <w:rPr>
          <w:rFonts w:ascii="宋体" w:hAnsi="宋体"/>
          <w:sz w:val="24"/>
          <w:szCs w:val="24"/>
        </w:rPr>
      </w:pPr>
      <w:r>
        <w:rPr>
          <w:rFonts w:hint="eastAsia" w:ascii="宋体" w:hAnsi="宋体"/>
          <w:sz w:val="24"/>
          <w:szCs w:val="24"/>
        </w:rPr>
        <w:t>邮政编码：</w:t>
      </w:r>
    </w:p>
    <w:p>
      <w:pPr>
        <w:keepNext w:val="0"/>
        <w:keepLines w:val="0"/>
        <w:pageBreakBefore w:val="0"/>
        <w:widowControl w:val="0"/>
        <w:kinsoku/>
        <w:wordWrap/>
        <w:overflowPunct/>
        <w:topLinePunct w:val="0"/>
        <w:bidi w:val="0"/>
        <w:snapToGrid/>
        <w:spacing w:line="336" w:lineRule="auto"/>
        <w:ind w:firstLine="480" w:firstLineChars="200"/>
        <w:textAlignment w:val="auto"/>
        <w:outlineLvl w:val="9"/>
        <w:rPr>
          <w:rFonts w:ascii="宋体" w:hAnsi="宋体"/>
          <w:sz w:val="24"/>
          <w:szCs w:val="24"/>
        </w:rPr>
      </w:pPr>
      <w:r>
        <w:rPr>
          <w:rFonts w:hint="eastAsia" w:ascii="宋体" w:hAnsi="宋体"/>
          <w:sz w:val="24"/>
          <w:szCs w:val="24"/>
        </w:rPr>
        <w:t>电</w:t>
      </w:r>
      <w:r>
        <w:rPr>
          <w:rFonts w:ascii="宋体" w:hAnsi="宋体"/>
          <w:sz w:val="24"/>
          <w:szCs w:val="24"/>
        </w:rPr>
        <w:t xml:space="preserve">    话：                 </w:t>
      </w:r>
    </w:p>
    <w:p>
      <w:pPr>
        <w:keepNext w:val="0"/>
        <w:keepLines w:val="0"/>
        <w:pageBreakBefore w:val="0"/>
        <w:widowControl w:val="0"/>
        <w:kinsoku/>
        <w:wordWrap/>
        <w:overflowPunct/>
        <w:topLinePunct w:val="0"/>
        <w:bidi w:val="0"/>
        <w:snapToGrid/>
        <w:spacing w:line="336" w:lineRule="auto"/>
        <w:ind w:firstLine="480" w:firstLineChars="200"/>
        <w:textAlignment w:val="auto"/>
        <w:outlineLvl w:val="9"/>
        <w:rPr>
          <w:rFonts w:ascii="宋体" w:hAnsi="宋体"/>
          <w:sz w:val="24"/>
          <w:szCs w:val="24"/>
        </w:rPr>
      </w:pPr>
      <w:r>
        <w:rPr>
          <w:rFonts w:hint="eastAsia" w:ascii="宋体" w:hAnsi="宋体"/>
          <w:sz w:val="24"/>
          <w:szCs w:val="24"/>
        </w:rPr>
        <w:t>传</w:t>
      </w:r>
      <w:r>
        <w:rPr>
          <w:rFonts w:ascii="宋体" w:hAnsi="宋体"/>
          <w:sz w:val="24"/>
          <w:szCs w:val="24"/>
        </w:rPr>
        <w:t xml:space="preserve">    真：                 </w:t>
      </w:r>
    </w:p>
    <w:p>
      <w:pPr>
        <w:keepNext w:val="0"/>
        <w:keepLines w:val="0"/>
        <w:pageBreakBefore w:val="0"/>
        <w:widowControl w:val="0"/>
        <w:kinsoku/>
        <w:wordWrap/>
        <w:overflowPunct/>
        <w:topLinePunct w:val="0"/>
        <w:bidi w:val="0"/>
        <w:snapToGrid/>
        <w:spacing w:line="336" w:lineRule="auto"/>
        <w:ind w:firstLine="480" w:firstLineChars="200"/>
        <w:textAlignment w:val="auto"/>
        <w:outlineLvl w:val="9"/>
      </w:pPr>
      <w:r>
        <w:rPr>
          <w:rFonts w:hint="eastAsia" w:ascii="宋体" w:hAnsi="宋体"/>
          <w:sz w:val="24"/>
          <w:szCs w:val="24"/>
        </w:rPr>
        <w:t>开立时间：</w:t>
      </w:r>
      <w:r>
        <w:rPr>
          <w:rFonts w:ascii="宋体" w:hAnsi="宋体"/>
          <w:sz w:val="24"/>
          <w:szCs w:val="24"/>
        </w:rPr>
        <w:t xml:space="preserve">      年      月   </w:t>
      </w:r>
      <w:r>
        <w:rPr>
          <w:rFonts w:hint="eastAsia" w:ascii="宋体" w:hAnsi="宋体"/>
          <w:sz w:val="24"/>
          <w:szCs w:val="24"/>
        </w:rPr>
        <w:t>日</w:t>
      </w:r>
    </w:p>
    <w:p>
      <w:pPr>
        <w:spacing w:line="400" w:lineRule="exact"/>
        <w:rPr>
          <w:rFonts w:ascii="宋体" w:hAnsi="宋体"/>
        </w:rPr>
      </w:pPr>
    </w:p>
    <w:p>
      <w:pPr>
        <w:autoSpaceDE w:val="0"/>
        <w:autoSpaceDN w:val="0"/>
        <w:adjustRightInd w:val="0"/>
        <w:spacing w:line="420" w:lineRule="exact"/>
        <w:jc w:val="left"/>
        <w:rPr>
          <w:rFonts w:ascii="宋体" w:hAnsi="宋体" w:cs="仿宋_GB2312"/>
          <w:kern w:val="0"/>
        </w:rPr>
      </w:pPr>
    </w:p>
    <w:p>
      <w:pPr>
        <w:autoSpaceDE w:val="0"/>
        <w:autoSpaceDN w:val="0"/>
        <w:spacing w:line="540" w:lineRule="exact"/>
        <w:jc w:val="center"/>
        <w:rPr>
          <w:rFonts w:ascii="宋体" w:hAnsi="宋体" w:cs="宋体"/>
          <w:b/>
          <w:kern w:val="0"/>
          <w:sz w:val="28"/>
          <w:szCs w:val="28"/>
        </w:rPr>
      </w:pPr>
    </w:p>
    <w:p>
      <w:pPr>
        <w:tabs>
          <w:tab w:val="center" w:pos="4739"/>
        </w:tabs>
        <w:jc w:val="center"/>
        <w:rPr>
          <w:rFonts w:ascii="宋体" w:hAnsi="宋体"/>
          <w:b/>
          <w:bCs/>
          <w:sz w:val="24"/>
          <w:szCs w:val="24"/>
        </w:rPr>
      </w:pPr>
      <w:r>
        <w:rPr>
          <w:rFonts w:hint="eastAsia" w:ascii="宋体" w:hAnsi="宋体"/>
          <w:b/>
          <w:bCs/>
          <w:sz w:val="24"/>
          <w:szCs w:val="24"/>
        </w:rPr>
        <w:br w:type="page"/>
      </w:r>
    </w:p>
    <w:p>
      <w:pPr>
        <w:tabs>
          <w:tab w:val="center" w:pos="4739"/>
        </w:tabs>
        <w:jc w:val="center"/>
        <w:rPr>
          <w:rFonts w:ascii="宋体" w:hAnsi="宋体"/>
          <w:b/>
          <w:bCs/>
          <w:sz w:val="24"/>
          <w:szCs w:val="24"/>
        </w:rPr>
      </w:pPr>
    </w:p>
    <w:p>
      <w:pPr>
        <w:tabs>
          <w:tab w:val="center" w:pos="4739"/>
        </w:tabs>
        <w:jc w:val="center"/>
        <w:rPr>
          <w:rFonts w:ascii="宋体" w:hAnsi="宋体"/>
          <w:b/>
          <w:bCs/>
          <w:sz w:val="32"/>
          <w:szCs w:val="32"/>
        </w:rPr>
      </w:pPr>
      <w:r>
        <w:rPr>
          <w:rFonts w:hint="eastAsia" w:ascii="宋体" w:hAnsi="宋体"/>
          <w:b/>
          <w:sz w:val="32"/>
          <w:lang w:eastAsia="zh-CN"/>
        </w:rPr>
        <w:t>六</w:t>
      </w:r>
      <w:r>
        <w:rPr>
          <w:rFonts w:hint="eastAsia" w:ascii="宋体" w:hAnsi="宋体"/>
          <w:b/>
          <w:sz w:val="32"/>
        </w:rPr>
        <w:t>、项目管理机构配备情况</w:t>
      </w:r>
    </w:p>
    <w:p>
      <w:pPr>
        <w:autoSpaceDE w:val="0"/>
        <w:autoSpaceDN w:val="0"/>
        <w:adjustRightInd w:val="0"/>
        <w:spacing w:line="360" w:lineRule="auto"/>
        <w:ind w:right="215" w:firstLine="420"/>
        <w:jc w:val="center"/>
        <w:rPr>
          <w:rFonts w:ascii="宋体" w:hAnsi="宋体"/>
          <w:sz w:val="24"/>
          <w:szCs w:val="24"/>
        </w:rPr>
      </w:pPr>
      <w:r>
        <w:rPr>
          <w:rFonts w:hint="eastAsia" w:ascii="宋体" w:hAnsi="宋体"/>
          <w:sz w:val="24"/>
          <w:szCs w:val="24"/>
        </w:rPr>
        <w:t>（一）项目管理机构组成表</w:t>
      </w:r>
    </w:p>
    <w:tbl>
      <w:tblPr>
        <w:tblStyle w:val="16"/>
        <w:tblW w:w="9395" w:type="dxa"/>
        <w:jc w:val="center"/>
        <w:tblLayout w:type="fixed"/>
        <w:tblCellMar>
          <w:top w:w="0" w:type="dxa"/>
          <w:left w:w="108" w:type="dxa"/>
          <w:bottom w:w="0" w:type="dxa"/>
          <w:right w:w="108" w:type="dxa"/>
        </w:tblCellMar>
      </w:tblPr>
      <w:tblGrid>
        <w:gridCol w:w="913"/>
        <w:gridCol w:w="914"/>
        <w:gridCol w:w="914"/>
        <w:gridCol w:w="1405"/>
        <w:gridCol w:w="945"/>
        <w:gridCol w:w="945"/>
        <w:gridCol w:w="945"/>
        <w:gridCol w:w="1470"/>
        <w:gridCol w:w="944"/>
      </w:tblGrid>
      <w:tr>
        <w:tblPrEx>
          <w:tblCellMar>
            <w:top w:w="0" w:type="dxa"/>
            <w:left w:w="108" w:type="dxa"/>
            <w:bottom w:w="0" w:type="dxa"/>
            <w:right w:w="108" w:type="dxa"/>
          </w:tblCellMar>
        </w:tblPrEx>
        <w:trPr>
          <w:trHeight w:val="499" w:hRule="atLeast"/>
          <w:jc w:val="center"/>
        </w:trPr>
        <w:tc>
          <w:tcPr>
            <w:tcW w:w="913" w:type="dxa"/>
            <w:vMerge w:val="restart"/>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360" w:lineRule="auto"/>
              <w:ind w:right="215"/>
              <w:rPr>
                <w:rFonts w:ascii="宋体" w:hAnsi="宋体"/>
                <w:sz w:val="24"/>
                <w:szCs w:val="24"/>
              </w:rPr>
            </w:pPr>
            <w:r>
              <w:rPr>
                <w:rFonts w:hint="eastAsia" w:ascii="宋体" w:hAnsi="宋体"/>
                <w:sz w:val="24"/>
                <w:szCs w:val="24"/>
              </w:rPr>
              <w:t>职务</w:t>
            </w:r>
          </w:p>
        </w:tc>
        <w:tc>
          <w:tcPr>
            <w:tcW w:w="914" w:type="dxa"/>
            <w:vMerge w:val="restart"/>
            <w:tcBorders>
              <w:top w:val="single" w:color="auto" w:sz="4" w:space="0"/>
              <w:left w:val="nil"/>
              <w:bottom w:val="single" w:color="auto" w:sz="4" w:space="0"/>
              <w:right w:val="single" w:color="auto" w:sz="4" w:space="0"/>
            </w:tcBorders>
            <w:noWrap/>
            <w:vAlign w:val="center"/>
          </w:tcPr>
          <w:p>
            <w:pPr>
              <w:autoSpaceDE w:val="0"/>
              <w:autoSpaceDN w:val="0"/>
              <w:adjustRightInd w:val="0"/>
              <w:spacing w:line="360" w:lineRule="auto"/>
              <w:ind w:right="215"/>
              <w:rPr>
                <w:rFonts w:ascii="宋体" w:hAnsi="宋体"/>
                <w:sz w:val="24"/>
                <w:szCs w:val="24"/>
              </w:rPr>
            </w:pPr>
            <w:r>
              <w:rPr>
                <w:rFonts w:hint="eastAsia" w:ascii="宋体" w:hAnsi="宋体"/>
                <w:sz w:val="24"/>
                <w:szCs w:val="24"/>
              </w:rPr>
              <w:t>姓名</w:t>
            </w:r>
          </w:p>
        </w:tc>
        <w:tc>
          <w:tcPr>
            <w:tcW w:w="914" w:type="dxa"/>
            <w:vMerge w:val="restart"/>
            <w:tcBorders>
              <w:top w:val="single" w:color="auto" w:sz="4" w:space="0"/>
              <w:left w:val="nil"/>
              <w:bottom w:val="single" w:color="auto" w:sz="4" w:space="0"/>
              <w:right w:val="single" w:color="auto" w:sz="4" w:space="0"/>
            </w:tcBorders>
            <w:noWrap/>
            <w:vAlign w:val="center"/>
          </w:tcPr>
          <w:p>
            <w:pPr>
              <w:autoSpaceDE w:val="0"/>
              <w:autoSpaceDN w:val="0"/>
              <w:adjustRightInd w:val="0"/>
              <w:spacing w:line="360" w:lineRule="auto"/>
              <w:ind w:right="215"/>
              <w:rPr>
                <w:rFonts w:ascii="宋体" w:hAnsi="宋体"/>
                <w:sz w:val="24"/>
                <w:szCs w:val="24"/>
              </w:rPr>
            </w:pPr>
            <w:r>
              <w:rPr>
                <w:rFonts w:hint="eastAsia" w:ascii="宋体" w:hAnsi="宋体"/>
                <w:sz w:val="24"/>
                <w:szCs w:val="24"/>
              </w:rPr>
              <w:t>职称</w:t>
            </w:r>
          </w:p>
        </w:tc>
        <w:tc>
          <w:tcPr>
            <w:tcW w:w="5710" w:type="dxa"/>
            <w:gridSpan w:val="5"/>
            <w:tcBorders>
              <w:top w:val="single" w:color="auto" w:sz="4" w:space="0"/>
              <w:left w:val="nil"/>
              <w:bottom w:val="single" w:color="auto" w:sz="4" w:space="0"/>
              <w:right w:val="single" w:color="auto" w:sz="4" w:space="0"/>
            </w:tcBorders>
            <w:noWrap/>
            <w:vAlign w:val="center"/>
          </w:tcPr>
          <w:p>
            <w:pPr>
              <w:autoSpaceDE w:val="0"/>
              <w:autoSpaceDN w:val="0"/>
              <w:adjustRightInd w:val="0"/>
              <w:spacing w:line="360" w:lineRule="auto"/>
              <w:ind w:right="215"/>
              <w:jc w:val="center"/>
              <w:rPr>
                <w:rFonts w:ascii="宋体" w:hAnsi="宋体"/>
                <w:sz w:val="24"/>
                <w:szCs w:val="24"/>
              </w:rPr>
            </w:pPr>
            <w:r>
              <w:rPr>
                <w:rFonts w:hint="eastAsia" w:ascii="宋体" w:hAnsi="宋体"/>
                <w:sz w:val="24"/>
                <w:szCs w:val="24"/>
              </w:rPr>
              <w:t>执业或职业资格证明</w:t>
            </w:r>
          </w:p>
        </w:tc>
        <w:tc>
          <w:tcPr>
            <w:tcW w:w="944" w:type="dxa"/>
            <w:tcBorders>
              <w:top w:val="single" w:color="auto" w:sz="4" w:space="0"/>
              <w:left w:val="nil"/>
              <w:bottom w:val="single" w:color="auto" w:sz="4" w:space="0"/>
              <w:right w:val="single" w:color="auto" w:sz="4" w:space="0"/>
            </w:tcBorders>
            <w:noWrap/>
            <w:vAlign w:val="center"/>
          </w:tcPr>
          <w:p>
            <w:pPr>
              <w:autoSpaceDE w:val="0"/>
              <w:autoSpaceDN w:val="0"/>
              <w:adjustRightInd w:val="0"/>
              <w:spacing w:line="360" w:lineRule="auto"/>
              <w:ind w:right="215"/>
              <w:jc w:val="center"/>
              <w:rPr>
                <w:rFonts w:ascii="宋体" w:hAnsi="宋体"/>
                <w:sz w:val="24"/>
                <w:szCs w:val="24"/>
              </w:rPr>
            </w:pPr>
            <w:r>
              <w:rPr>
                <w:rFonts w:hint="eastAsia" w:ascii="宋体" w:hAnsi="宋体"/>
                <w:sz w:val="24"/>
                <w:szCs w:val="24"/>
              </w:rPr>
              <w:t>备注</w:t>
            </w:r>
          </w:p>
        </w:tc>
      </w:tr>
      <w:tr>
        <w:tblPrEx>
          <w:tblCellMar>
            <w:top w:w="0" w:type="dxa"/>
            <w:left w:w="108" w:type="dxa"/>
            <w:bottom w:w="0" w:type="dxa"/>
            <w:right w:w="108" w:type="dxa"/>
          </w:tblCellMar>
        </w:tblPrEx>
        <w:trPr>
          <w:trHeight w:val="155" w:hRule="atLeast"/>
          <w:jc w:val="center"/>
        </w:trPr>
        <w:tc>
          <w:tcPr>
            <w:tcW w:w="913"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sz w:val="24"/>
                <w:szCs w:val="24"/>
              </w:rPr>
            </w:pPr>
          </w:p>
        </w:tc>
        <w:tc>
          <w:tcPr>
            <w:tcW w:w="914" w:type="dxa"/>
            <w:vMerge w:val="continue"/>
            <w:tcBorders>
              <w:top w:val="single" w:color="auto" w:sz="4" w:space="0"/>
              <w:left w:val="nil"/>
              <w:bottom w:val="single" w:color="auto" w:sz="4" w:space="0"/>
              <w:right w:val="single" w:color="auto" w:sz="4" w:space="0"/>
            </w:tcBorders>
            <w:noWrap/>
            <w:vAlign w:val="center"/>
          </w:tcPr>
          <w:p>
            <w:pPr>
              <w:widowControl/>
              <w:jc w:val="left"/>
              <w:rPr>
                <w:rFonts w:ascii="宋体" w:hAnsi="宋体"/>
                <w:sz w:val="24"/>
                <w:szCs w:val="24"/>
              </w:rPr>
            </w:pPr>
          </w:p>
        </w:tc>
        <w:tc>
          <w:tcPr>
            <w:tcW w:w="914" w:type="dxa"/>
            <w:vMerge w:val="continue"/>
            <w:tcBorders>
              <w:top w:val="single" w:color="auto" w:sz="4" w:space="0"/>
              <w:left w:val="nil"/>
              <w:bottom w:val="single" w:color="auto" w:sz="4" w:space="0"/>
              <w:right w:val="single" w:color="auto" w:sz="4" w:space="0"/>
            </w:tcBorders>
            <w:noWrap/>
            <w:vAlign w:val="center"/>
          </w:tcPr>
          <w:p>
            <w:pPr>
              <w:widowControl/>
              <w:jc w:val="left"/>
              <w:rPr>
                <w:rFonts w:ascii="宋体" w:hAnsi="宋体"/>
                <w:sz w:val="24"/>
                <w:szCs w:val="24"/>
              </w:rPr>
            </w:pPr>
          </w:p>
        </w:tc>
        <w:tc>
          <w:tcPr>
            <w:tcW w:w="1405" w:type="dxa"/>
            <w:tcBorders>
              <w:top w:val="single" w:color="auto" w:sz="4" w:space="0"/>
              <w:left w:val="nil"/>
              <w:bottom w:val="single" w:color="auto" w:sz="4" w:space="0"/>
              <w:right w:val="single" w:color="auto" w:sz="4" w:space="0"/>
            </w:tcBorders>
            <w:noWrap/>
            <w:vAlign w:val="center"/>
          </w:tcPr>
          <w:p>
            <w:pPr>
              <w:autoSpaceDE w:val="0"/>
              <w:autoSpaceDN w:val="0"/>
              <w:adjustRightInd w:val="0"/>
              <w:spacing w:line="360" w:lineRule="auto"/>
              <w:ind w:right="215"/>
              <w:jc w:val="center"/>
              <w:rPr>
                <w:rFonts w:ascii="宋体" w:hAnsi="宋体"/>
                <w:sz w:val="24"/>
                <w:szCs w:val="24"/>
              </w:rPr>
            </w:pPr>
            <w:r>
              <w:rPr>
                <w:rFonts w:hint="eastAsia" w:ascii="宋体" w:hAnsi="宋体"/>
                <w:sz w:val="24"/>
                <w:szCs w:val="24"/>
              </w:rPr>
              <w:t>证书名称</w:t>
            </w:r>
          </w:p>
        </w:tc>
        <w:tc>
          <w:tcPr>
            <w:tcW w:w="945" w:type="dxa"/>
            <w:tcBorders>
              <w:top w:val="single" w:color="auto" w:sz="4" w:space="0"/>
              <w:left w:val="nil"/>
              <w:bottom w:val="single" w:color="auto" w:sz="4" w:space="0"/>
              <w:right w:val="single" w:color="auto" w:sz="4" w:space="0"/>
            </w:tcBorders>
            <w:noWrap/>
            <w:vAlign w:val="center"/>
          </w:tcPr>
          <w:p>
            <w:pPr>
              <w:autoSpaceDE w:val="0"/>
              <w:autoSpaceDN w:val="0"/>
              <w:adjustRightInd w:val="0"/>
              <w:spacing w:line="360" w:lineRule="auto"/>
              <w:ind w:right="215"/>
              <w:jc w:val="center"/>
              <w:rPr>
                <w:rFonts w:ascii="宋体" w:hAnsi="宋体"/>
                <w:sz w:val="24"/>
                <w:szCs w:val="24"/>
              </w:rPr>
            </w:pPr>
            <w:r>
              <w:rPr>
                <w:rFonts w:hint="eastAsia" w:ascii="宋体" w:hAnsi="宋体"/>
                <w:sz w:val="24"/>
                <w:szCs w:val="24"/>
              </w:rPr>
              <w:t>级别</w:t>
            </w:r>
          </w:p>
        </w:tc>
        <w:tc>
          <w:tcPr>
            <w:tcW w:w="945" w:type="dxa"/>
            <w:tcBorders>
              <w:top w:val="single" w:color="auto" w:sz="4" w:space="0"/>
              <w:left w:val="nil"/>
              <w:bottom w:val="single" w:color="auto" w:sz="4" w:space="0"/>
              <w:right w:val="single" w:color="auto" w:sz="4" w:space="0"/>
            </w:tcBorders>
            <w:noWrap/>
            <w:vAlign w:val="center"/>
          </w:tcPr>
          <w:p>
            <w:pPr>
              <w:autoSpaceDE w:val="0"/>
              <w:autoSpaceDN w:val="0"/>
              <w:adjustRightInd w:val="0"/>
              <w:spacing w:line="360" w:lineRule="auto"/>
              <w:ind w:right="215"/>
              <w:jc w:val="center"/>
              <w:rPr>
                <w:rFonts w:ascii="宋体" w:hAnsi="宋体"/>
                <w:sz w:val="24"/>
                <w:szCs w:val="24"/>
              </w:rPr>
            </w:pPr>
            <w:r>
              <w:rPr>
                <w:rFonts w:hint="eastAsia" w:ascii="宋体" w:hAnsi="宋体"/>
                <w:sz w:val="24"/>
                <w:szCs w:val="24"/>
              </w:rPr>
              <w:t>证号</w:t>
            </w:r>
          </w:p>
        </w:tc>
        <w:tc>
          <w:tcPr>
            <w:tcW w:w="945" w:type="dxa"/>
            <w:tcBorders>
              <w:top w:val="single" w:color="auto" w:sz="4" w:space="0"/>
              <w:left w:val="nil"/>
              <w:bottom w:val="single" w:color="auto" w:sz="4" w:space="0"/>
              <w:right w:val="single" w:color="auto" w:sz="4" w:space="0"/>
            </w:tcBorders>
            <w:noWrap/>
            <w:vAlign w:val="center"/>
          </w:tcPr>
          <w:p>
            <w:pPr>
              <w:autoSpaceDE w:val="0"/>
              <w:autoSpaceDN w:val="0"/>
              <w:adjustRightInd w:val="0"/>
              <w:spacing w:line="360" w:lineRule="auto"/>
              <w:ind w:right="215"/>
              <w:jc w:val="center"/>
              <w:rPr>
                <w:rFonts w:ascii="宋体" w:hAnsi="宋体"/>
                <w:sz w:val="24"/>
                <w:szCs w:val="24"/>
              </w:rPr>
            </w:pPr>
            <w:r>
              <w:rPr>
                <w:rFonts w:hint="eastAsia" w:ascii="宋体" w:hAnsi="宋体"/>
                <w:sz w:val="24"/>
                <w:szCs w:val="24"/>
              </w:rPr>
              <w:t>专业</w:t>
            </w:r>
          </w:p>
        </w:tc>
        <w:tc>
          <w:tcPr>
            <w:tcW w:w="1470" w:type="dxa"/>
            <w:tcBorders>
              <w:top w:val="single" w:color="auto" w:sz="4" w:space="0"/>
              <w:left w:val="nil"/>
              <w:bottom w:val="single" w:color="auto" w:sz="4" w:space="0"/>
              <w:right w:val="single" w:color="auto" w:sz="4" w:space="0"/>
            </w:tcBorders>
            <w:noWrap/>
            <w:vAlign w:val="center"/>
          </w:tcPr>
          <w:p>
            <w:pPr>
              <w:autoSpaceDE w:val="0"/>
              <w:autoSpaceDN w:val="0"/>
              <w:adjustRightInd w:val="0"/>
              <w:spacing w:line="360" w:lineRule="auto"/>
              <w:ind w:right="215"/>
              <w:jc w:val="center"/>
              <w:rPr>
                <w:rFonts w:ascii="宋体" w:hAnsi="宋体"/>
                <w:sz w:val="24"/>
                <w:szCs w:val="24"/>
              </w:rPr>
            </w:pPr>
            <w:r>
              <w:rPr>
                <w:rFonts w:hint="eastAsia" w:ascii="宋体" w:hAnsi="宋体"/>
                <w:sz w:val="24"/>
                <w:szCs w:val="24"/>
              </w:rPr>
              <w:t>养老保险</w:t>
            </w:r>
          </w:p>
        </w:tc>
        <w:tc>
          <w:tcPr>
            <w:tcW w:w="944" w:type="dxa"/>
            <w:tcBorders>
              <w:top w:val="single" w:color="auto" w:sz="4" w:space="0"/>
              <w:left w:val="nil"/>
              <w:bottom w:val="single" w:color="auto" w:sz="4" w:space="0"/>
              <w:right w:val="single" w:color="auto" w:sz="4" w:space="0"/>
            </w:tcBorders>
            <w:noWrap/>
            <w:vAlign w:val="center"/>
          </w:tcPr>
          <w:p>
            <w:pPr>
              <w:autoSpaceDE w:val="0"/>
              <w:autoSpaceDN w:val="0"/>
              <w:adjustRightInd w:val="0"/>
              <w:spacing w:line="360" w:lineRule="auto"/>
              <w:ind w:right="215"/>
              <w:jc w:val="center"/>
              <w:rPr>
                <w:rFonts w:ascii="宋体" w:hAnsi="宋体"/>
                <w:sz w:val="24"/>
                <w:szCs w:val="24"/>
              </w:rPr>
            </w:pPr>
          </w:p>
        </w:tc>
      </w:tr>
      <w:tr>
        <w:tblPrEx>
          <w:tblCellMar>
            <w:top w:w="0" w:type="dxa"/>
            <w:left w:w="108" w:type="dxa"/>
            <w:bottom w:w="0" w:type="dxa"/>
            <w:right w:w="108" w:type="dxa"/>
          </w:tblCellMar>
        </w:tblPrEx>
        <w:trPr>
          <w:trHeight w:val="476" w:hRule="atLeast"/>
          <w:jc w:val="center"/>
        </w:trPr>
        <w:tc>
          <w:tcPr>
            <w:tcW w:w="913" w:type="dxa"/>
            <w:tcBorders>
              <w:top w:val="single" w:color="auto" w:sz="4" w:space="0"/>
              <w:left w:val="single" w:color="auto" w:sz="4" w:space="0"/>
              <w:bottom w:val="single" w:color="auto" w:sz="4" w:space="0"/>
              <w:right w:val="single" w:color="auto" w:sz="4" w:space="0"/>
            </w:tcBorders>
            <w:noWrap/>
          </w:tcPr>
          <w:p>
            <w:pPr>
              <w:autoSpaceDE w:val="0"/>
              <w:autoSpaceDN w:val="0"/>
              <w:adjustRightInd w:val="0"/>
              <w:spacing w:line="360" w:lineRule="auto"/>
              <w:ind w:right="215"/>
              <w:jc w:val="center"/>
              <w:rPr>
                <w:rFonts w:ascii="宋体" w:hAnsi="宋体"/>
                <w:sz w:val="24"/>
                <w:szCs w:val="24"/>
              </w:rPr>
            </w:pPr>
          </w:p>
        </w:tc>
        <w:tc>
          <w:tcPr>
            <w:tcW w:w="914" w:type="dxa"/>
            <w:tcBorders>
              <w:top w:val="single" w:color="auto" w:sz="4" w:space="0"/>
              <w:left w:val="nil"/>
              <w:bottom w:val="single" w:color="auto" w:sz="4" w:space="0"/>
              <w:right w:val="single" w:color="auto" w:sz="4" w:space="0"/>
            </w:tcBorders>
            <w:noWrap/>
          </w:tcPr>
          <w:p>
            <w:pPr>
              <w:autoSpaceDE w:val="0"/>
              <w:autoSpaceDN w:val="0"/>
              <w:adjustRightInd w:val="0"/>
              <w:spacing w:line="360" w:lineRule="auto"/>
              <w:ind w:right="215"/>
              <w:jc w:val="center"/>
              <w:rPr>
                <w:rFonts w:ascii="宋体" w:hAnsi="宋体"/>
                <w:sz w:val="24"/>
                <w:szCs w:val="24"/>
              </w:rPr>
            </w:pPr>
          </w:p>
        </w:tc>
        <w:tc>
          <w:tcPr>
            <w:tcW w:w="914" w:type="dxa"/>
            <w:tcBorders>
              <w:top w:val="single" w:color="auto" w:sz="4" w:space="0"/>
              <w:left w:val="nil"/>
              <w:bottom w:val="single" w:color="auto" w:sz="4" w:space="0"/>
              <w:right w:val="single" w:color="auto" w:sz="4" w:space="0"/>
            </w:tcBorders>
            <w:noWrap/>
          </w:tcPr>
          <w:p>
            <w:pPr>
              <w:autoSpaceDE w:val="0"/>
              <w:autoSpaceDN w:val="0"/>
              <w:adjustRightInd w:val="0"/>
              <w:spacing w:line="360" w:lineRule="auto"/>
              <w:ind w:right="215"/>
              <w:jc w:val="center"/>
              <w:rPr>
                <w:rFonts w:ascii="宋体" w:hAnsi="宋体"/>
                <w:sz w:val="24"/>
                <w:szCs w:val="24"/>
              </w:rPr>
            </w:pPr>
          </w:p>
        </w:tc>
        <w:tc>
          <w:tcPr>
            <w:tcW w:w="1405" w:type="dxa"/>
            <w:tcBorders>
              <w:top w:val="single" w:color="auto" w:sz="4" w:space="0"/>
              <w:left w:val="nil"/>
              <w:bottom w:val="single" w:color="auto" w:sz="4" w:space="0"/>
              <w:right w:val="single" w:color="auto" w:sz="4" w:space="0"/>
            </w:tcBorders>
            <w:noWrap/>
          </w:tcPr>
          <w:p>
            <w:pPr>
              <w:autoSpaceDE w:val="0"/>
              <w:autoSpaceDN w:val="0"/>
              <w:adjustRightInd w:val="0"/>
              <w:spacing w:line="360" w:lineRule="auto"/>
              <w:ind w:right="215"/>
              <w:jc w:val="center"/>
              <w:rPr>
                <w:rFonts w:ascii="宋体" w:hAnsi="宋体"/>
                <w:sz w:val="24"/>
                <w:szCs w:val="24"/>
              </w:rPr>
            </w:pPr>
          </w:p>
        </w:tc>
        <w:tc>
          <w:tcPr>
            <w:tcW w:w="945" w:type="dxa"/>
            <w:tcBorders>
              <w:top w:val="single" w:color="auto" w:sz="4" w:space="0"/>
              <w:left w:val="nil"/>
              <w:bottom w:val="single" w:color="auto" w:sz="4" w:space="0"/>
              <w:right w:val="single" w:color="auto" w:sz="4" w:space="0"/>
            </w:tcBorders>
            <w:noWrap/>
          </w:tcPr>
          <w:p>
            <w:pPr>
              <w:autoSpaceDE w:val="0"/>
              <w:autoSpaceDN w:val="0"/>
              <w:adjustRightInd w:val="0"/>
              <w:spacing w:line="360" w:lineRule="auto"/>
              <w:ind w:right="215"/>
              <w:jc w:val="center"/>
              <w:rPr>
                <w:rFonts w:ascii="宋体" w:hAnsi="宋体"/>
                <w:sz w:val="24"/>
                <w:szCs w:val="24"/>
              </w:rPr>
            </w:pPr>
          </w:p>
        </w:tc>
        <w:tc>
          <w:tcPr>
            <w:tcW w:w="945" w:type="dxa"/>
            <w:tcBorders>
              <w:top w:val="single" w:color="auto" w:sz="4" w:space="0"/>
              <w:left w:val="nil"/>
              <w:bottom w:val="single" w:color="auto" w:sz="4" w:space="0"/>
              <w:right w:val="single" w:color="auto" w:sz="4" w:space="0"/>
            </w:tcBorders>
            <w:noWrap/>
          </w:tcPr>
          <w:p>
            <w:pPr>
              <w:autoSpaceDE w:val="0"/>
              <w:autoSpaceDN w:val="0"/>
              <w:adjustRightInd w:val="0"/>
              <w:spacing w:line="360" w:lineRule="auto"/>
              <w:ind w:right="215"/>
              <w:jc w:val="center"/>
              <w:rPr>
                <w:rFonts w:ascii="宋体" w:hAnsi="宋体"/>
                <w:sz w:val="24"/>
                <w:szCs w:val="24"/>
              </w:rPr>
            </w:pPr>
          </w:p>
        </w:tc>
        <w:tc>
          <w:tcPr>
            <w:tcW w:w="945" w:type="dxa"/>
            <w:tcBorders>
              <w:top w:val="single" w:color="auto" w:sz="4" w:space="0"/>
              <w:left w:val="nil"/>
              <w:bottom w:val="single" w:color="auto" w:sz="4" w:space="0"/>
              <w:right w:val="single" w:color="auto" w:sz="4" w:space="0"/>
            </w:tcBorders>
            <w:noWrap/>
          </w:tcPr>
          <w:p>
            <w:pPr>
              <w:autoSpaceDE w:val="0"/>
              <w:autoSpaceDN w:val="0"/>
              <w:adjustRightInd w:val="0"/>
              <w:spacing w:line="360" w:lineRule="auto"/>
              <w:ind w:right="215"/>
              <w:jc w:val="center"/>
              <w:rPr>
                <w:rFonts w:ascii="宋体" w:hAnsi="宋体"/>
                <w:sz w:val="24"/>
                <w:szCs w:val="24"/>
              </w:rPr>
            </w:pPr>
          </w:p>
        </w:tc>
        <w:tc>
          <w:tcPr>
            <w:tcW w:w="1470" w:type="dxa"/>
            <w:tcBorders>
              <w:top w:val="single" w:color="auto" w:sz="4" w:space="0"/>
              <w:left w:val="nil"/>
              <w:bottom w:val="single" w:color="auto" w:sz="4" w:space="0"/>
              <w:right w:val="single" w:color="auto" w:sz="4" w:space="0"/>
            </w:tcBorders>
            <w:noWrap/>
          </w:tcPr>
          <w:p>
            <w:pPr>
              <w:autoSpaceDE w:val="0"/>
              <w:autoSpaceDN w:val="0"/>
              <w:adjustRightInd w:val="0"/>
              <w:spacing w:line="360" w:lineRule="auto"/>
              <w:ind w:right="215"/>
              <w:jc w:val="center"/>
              <w:rPr>
                <w:rFonts w:ascii="宋体" w:hAnsi="宋体"/>
                <w:sz w:val="24"/>
                <w:szCs w:val="24"/>
              </w:rPr>
            </w:pPr>
          </w:p>
        </w:tc>
        <w:tc>
          <w:tcPr>
            <w:tcW w:w="944" w:type="dxa"/>
            <w:tcBorders>
              <w:top w:val="single" w:color="auto" w:sz="4" w:space="0"/>
              <w:left w:val="nil"/>
              <w:bottom w:val="single" w:color="auto" w:sz="4" w:space="0"/>
              <w:right w:val="single" w:color="auto" w:sz="4" w:space="0"/>
            </w:tcBorders>
            <w:noWrap/>
          </w:tcPr>
          <w:p>
            <w:pPr>
              <w:autoSpaceDE w:val="0"/>
              <w:autoSpaceDN w:val="0"/>
              <w:adjustRightInd w:val="0"/>
              <w:spacing w:line="360" w:lineRule="auto"/>
              <w:ind w:right="215"/>
              <w:jc w:val="center"/>
              <w:rPr>
                <w:rFonts w:ascii="宋体" w:hAnsi="宋体"/>
                <w:sz w:val="24"/>
                <w:szCs w:val="24"/>
              </w:rPr>
            </w:pPr>
          </w:p>
        </w:tc>
      </w:tr>
      <w:tr>
        <w:tblPrEx>
          <w:tblCellMar>
            <w:top w:w="0" w:type="dxa"/>
            <w:left w:w="108" w:type="dxa"/>
            <w:bottom w:w="0" w:type="dxa"/>
            <w:right w:w="108" w:type="dxa"/>
          </w:tblCellMar>
        </w:tblPrEx>
        <w:trPr>
          <w:trHeight w:val="499" w:hRule="atLeast"/>
          <w:jc w:val="center"/>
        </w:trPr>
        <w:tc>
          <w:tcPr>
            <w:tcW w:w="913" w:type="dxa"/>
            <w:tcBorders>
              <w:top w:val="single" w:color="auto" w:sz="4" w:space="0"/>
              <w:left w:val="single" w:color="auto" w:sz="4" w:space="0"/>
              <w:bottom w:val="single" w:color="auto" w:sz="4" w:space="0"/>
              <w:right w:val="single" w:color="auto" w:sz="4" w:space="0"/>
            </w:tcBorders>
            <w:noWrap/>
          </w:tcPr>
          <w:p>
            <w:pPr>
              <w:autoSpaceDE w:val="0"/>
              <w:autoSpaceDN w:val="0"/>
              <w:adjustRightInd w:val="0"/>
              <w:spacing w:line="360" w:lineRule="auto"/>
              <w:ind w:right="215"/>
              <w:jc w:val="center"/>
              <w:rPr>
                <w:rFonts w:ascii="宋体" w:hAnsi="宋体"/>
                <w:sz w:val="24"/>
                <w:szCs w:val="24"/>
              </w:rPr>
            </w:pPr>
          </w:p>
        </w:tc>
        <w:tc>
          <w:tcPr>
            <w:tcW w:w="914" w:type="dxa"/>
            <w:tcBorders>
              <w:top w:val="single" w:color="auto" w:sz="4" w:space="0"/>
              <w:left w:val="nil"/>
              <w:bottom w:val="single" w:color="auto" w:sz="4" w:space="0"/>
              <w:right w:val="single" w:color="auto" w:sz="4" w:space="0"/>
            </w:tcBorders>
            <w:noWrap/>
          </w:tcPr>
          <w:p>
            <w:pPr>
              <w:autoSpaceDE w:val="0"/>
              <w:autoSpaceDN w:val="0"/>
              <w:adjustRightInd w:val="0"/>
              <w:spacing w:line="360" w:lineRule="auto"/>
              <w:ind w:right="215"/>
              <w:jc w:val="center"/>
              <w:rPr>
                <w:rFonts w:ascii="宋体" w:hAnsi="宋体"/>
                <w:sz w:val="24"/>
                <w:szCs w:val="24"/>
              </w:rPr>
            </w:pPr>
          </w:p>
        </w:tc>
        <w:tc>
          <w:tcPr>
            <w:tcW w:w="914" w:type="dxa"/>
            <w:tcBorders>
              <w:top w:val="single" w:color="auto" w:sz="4" w:space="0"/>
              <w:left w:val="nil"/>
              <w:bottom w:val="single" w:color="auto" w:sz="4" w:space="0"/>
              <w:right w:val="single" w:color="auto" w:sz="4" w:space="0"/>
            </w:tcBorders>
            <w:noWrap/>
          </w:tcPr>
          <w:p>
            <w:pPr>
              <w:autoSpaceDE w:val="0"/>
              <w:autoSpaceDN w:val="0"/>
              <w:adjustRightInd w:val="0"/>
              <w:spacing w:line="360" w:lineRule="auto"/>
              <w:ind w:right="215"/>
              <w:jc w:val="center"/>
              <w:rPr>
                <w:rFonts w:ascii="宋体" w:hAnsi="宋体"/>
                <w:sz w:val="24"/>
                <w:szCs w:val="24"/>
              </w:rPr>
            </w:pPr>
          </w:p>
        </w:tc>
        <w:tc>
          <w:tcPr>
            <w:tcW w:w="1405" w:type="dxa"/>
            <w:tcBorders>
              <w:top w:val="single" w:color="auto" w:sz="4" w:space="0"/>
              <w:left w:val="nil"/>
              <w:bottom w:val="single" w:color="auto" w:sz="4" w:space="0"/>
              <w:right w:val="single" w:color="auto" w:sz="4" w:space="0"/>
            </w:tcBorders>
            <w:noWrap/>
          </w:tcPr>
          <w:p>
            <w:pPr>
              <w:autoSpaceDE w:val="0"/>
              <w:autoSpaceDN w:val="0"/>
              <w:adjustRightInd w:val="0"/>
              <w:spacing w:line="360" w:lineRule="auto"/>
              <w:ind w:right="215"/>
              <w:jc w:val="center"/>
              <w:rPr>
                <w:rFonts w:ascii="宋体" w:hAnsi="宋体"/>
                <w:sz w:val="24"/>
                <w:szCs w:val="24"/>
              </w:rPr>
            </w:pPr>
          </w:p>
        </w:tc>
        <w:tc>
          <w:tcPr>
            <w:tcW w:w="945" w:type="dxa"/>
            <w:tcBorders>
              <w:top w:val="single" w:color="auto" w:sz="4" w:space="0"/>
              <w:left w:val="nil"/>
              <w:bottom w:val="single" w:color="auto" w:sz="4" w:space="0"/>
              <w:right w:val="single" w:color="auto" w:sz="4" w:space="0"/>
            </w:tcBorders>
            <w:noWrap/>
          </w:tcPr>
          <w:p>
            <w:pPr>
              <w:autoSpaceDE w:val="0"/>
              <w:autoSpaceDN w:val="0"/>
              <w:adjustRightInd w:val="0"/>
              <w:spacing w:line="360" w:lineRule="auto"/>
              <w:ind w:right="215"/>
              <w:jc w:val="center"/>
              <w:rPr>
                <w:rFonts w:ascii="宋体" w:hAnsi="宋体"/>
                <w:sz w:val="24"/>
                <w:szCs w:val="24"/>
              </w:rPr>
            </w:pPr>
          </w:p>
        </w:tc>
        <w:tc>
          <w:tcPr>
            <w:tcW w:w="945" w:type="dxa"/>
            <w:tcBorders>
              <w:top w:val="single" w:color="auto" w:sz="4" w:space="0"/>
              <w:left w:val="nil"/>
              <w:bottom w:val="single" w:color="auto" w:sz="4" w:space="0"/>
              <w:right w:val="single" w:color="auto" w:sz="4" w:space="0"/>
            </w:tcBorders>
            <w:noWrap/>
          </w:tcPr>
          <w:p>
            <w:pPr>
              <w:autoSpaceDE w:val="0"/>
              <w:autoSpaceDN w:val="0"/>
              <w:adjustRightInd w:val="0"/>
              <w:spacing w:line="360" w:lineRule="auto"/>
              <w:ind w:right="215"/>
              <w:jc w:val="center"/>
              <w:rPr>
                <w:rFonts w:ascii="宋体" w:hAnsi="宋体"/>
                <w:sz w:val="24"/>
                <w:szCs w:val="24"/>
              </w:rPr>
            </w:pPr>
          </w:p>
        </w:tc>
        <w:tc>
          <w:tcPr>
            <w:tcW w:w="945" w:type="dxa"/>
            <w:tcBorders>
              <w:top w:val="single" w:color="auto" w:sz="4" w:space="0"/>
              <w:left w:val="nil"/>
              <w:bottom w:val="single" w:color="auto" w:sz="4" w:space="0"/>
              <w:right w:val="single" w:color="auto" w:sz="4" w:space="0"/>
            </w:tcBorders>
            <w:noWrap/>
          </w:tcPr>
          <w:p>
            <w:pPr>
              <w:autoSpaceDE w:val="0"/>
              <w:autoSpaceDN w:val="0"/>
              <w:adjustRightInd w:val="0"/>
              <w:spacing w:line="360" w:lineRule="auto"/>
              <w:ind w:right="215"/>
              <w:jc w:val="center"/>
              <w:rPr>
                <w:rFonts w:ascii="宋体" w:hAnsi="宋体"/>
                <w:sz w:val="24"/>
                <w:szCs w:val="24"/>
              </w:rPr>
            </w:pPr>
          </w:p>
        </w:tc>
        <w:tc>
          <w:tcPr>
            <w:tcW w:w="1470" w:type="dxa"/>
            <w:tcBorders>
              <w:top w:val="single" w:color="auto" w:sz="4" w:space="0"/>
              <w:left w:val="nil"/>
              <w:bottom w:val="single" w:color="auto" w:sz="4" w:space="0"/>
              <w:right w:val="single" w:color="auto" w:sz="4" w:space="0"/>
            </w:tcBorders>
            <w:noWrap/>
          </w:tcPr>
          <w:p>
            <w:pPr>
              <w:autoSpaceDE w:val="0"/>
              <w:autoSpaceDN w:val="0"/>
              <w:adjustRightInd w:val="0"/>
              <w:spacing w:line="360" w:lineRule="auto"/>
              <w:ind w:right="215"/>
              <w:jc w:val="center"/>
              <w:rPr>
                <w:rFonts w:ascii="宋体" w:hAnsi="宋体"/>
                <w:sz w:val="24"/>
                <w:szCs w:val="24"/>
              </w:rPr>
            </w:pPr>
          </w:p>
        </w:tc>
        <w:tc>
          <w:tcPr>
            <w:tcW w:w="944" w:type="dxa"/>
            <w:tcBorders>
              <w:top w:val="single" w:color="auto" w:sz="4" w:space="0"/>
              <w:left w:val="nil"/>
              <w:bottom w:val="single" w:color="auto" w:sz="4" w:space="0"/>
              <w:right w:val="single" w:color="auto" w:sz="4" w:space="0"/>
            </w:tcBorders>
            <w:noWrap/>
          </w:tcPr>
          <w:p>
            <w:pPr>
              <w:autoSpaceDE w:val="0"/>
              <w:autoSpaceDN w:val="0"/>
              <w:adjustRightInd w:val="0"/>
              <w:spacing w:line="360" w:lineRule="auto"/>
              <w:ind w:right="215"/>
              <w:jc w:val="center"/>
              <w:rPr>
                <w:rFonts w:ascii="宋体" w:hAnsi="宋体"/>
                <w:sz w:val="24"/>
                <w:szCs w:val="24"/>
              </w:rPr>
            </w:pPr>
          </w:p>
        </w:tc>
      </w:tr>
      <w:tr>
        <w:tblPrEx>
          <w:tblCellMar>
            <w:top w:w="0" w:type="dxa"/>
            <w:left w:w="108" w:type="dxa"/>
            <w:bottom w:w="0" w:type="dxa"/>
            <w:right w:w="108" w:type="dxa"/>
          </w:tblCellMar>
        </w:tblPrEx>
        <w:trPr>
          <w:trHeight w:val="499" w:hRule="atLeast"/>
          <w:jc w:val="center"/>
        </w:trPr>
        <w:tc>
          <w:tcPr>
            <w:tcW w:w="913" w:type="dxa"/>
            <w:tcBorders>
              <w:top w:val="single" w:color="auto" w:sz="4" w:space="0"/>
              <w:left w:val="single" w:color="auto" w:sz="4" w:space="0"/>
              <w:bottom w:val="single" w:color="auto" w:sz="4" w:space="0"/>
              <w:right w:val="single" w:color="auto" w:sz="4" w:space="0"/>
            </w:tcBorders>
            <w:noWrap/>
          </w:tcPr>
          <w:p>
            <w:pPr>
              <w:autoSpaceDE w:val="0"/>
              <w:autoSpaceDN w:val="0"/>
              <w:adjustRightInd w:val="0"/>
              <w:spacing w:line="360" w:lineRule="auto"/>
              <w:ind w:right="215"/>
              <w:jc w:val="center"/>
              <w:rPr>
                <w:rFonts w:ascii="宋体" w:hAnsi="宋体"/>
                <w:sz w:val="24"/>
                <w:szCs w:val="24"/>
              </w:rPr>
            </w:pPr>
          </w:p>
        </w:tc>
        <w:tc>
          <w:tcPr>
            <w:tcW w:w="914" w:type="dxa"/>
            <w:tcBorders>
              <w:top w:val="single" w:color="auto" w:sz="4" w:space="0"/>
              <w:left w:val="nil"/>
              <w:bottom w:val="single" w:color="auto" w:sz="4" w:space="0"/>
              <w:right w:val="single" w:color="auto" w:sz="4" w:space="0"/>
            </w:tcBorders>
            <w:noWrap/>
          </w:tcPr>
          <w:p>
            <w:pPr>
              <w:autoSpaceDE w:val="0"/>
              <w:autoSpaceDN w:val="0"/>
              <w:adjustRightInd w:val="0"/>
              <w:spacing w:line="360" w:lineRule="auto"/>
              <w:ind w:right="215"/>
              <w:jc w:val="center"/>
              <w:rPr>
                <w:rFonts w:ascii="宋体" w:hAnsi="宋体"/>
                <w:sz w:val="24"/>
                <w:szCs w:val="24"/>
              </w:rPr>
            </w:pPr>
          </w:p>
        </w:tc>
        <w:tc>
          <w:tcPr>
            <w:tcW w:w="914" w:type="dxa"/>
            <w:tcBorders>
              <w:top w:val="single" w:color="auto" w:sz="4" w:space="0"/>
              <w:left w:val="nil"/>
              <w:bottom w:val="single" w:color="auto" w:sz="4" w:space="0"/>
              <w:right w:val="single" w:color="auto" w:sz="4" w:space="0"/>
            </w:tcBorders>
            <w:noWrap/>
          </w:tcPr>
          <w:p>
            <w:pPr>
              <w:autoSpaceDE w:val="0"/>
              <w:autoSpaceDN w:val="0"/>
              <w:adjustRightInd w:val="0"/>
              <w:spacing w:line="360" w:lineRule="auto"/>
              <w:ind w:right="215"/>
              <w:jc w:val="center"/>
              <w:rPr>
                <w:rFonts w:ascii="宋体" w:hAnsi="宋体"/>
                <w:sz w:val="24"/>
                <w:szCs w:val="24"/>
              </w:rPr>
            </w:pPr>
          </w:p>
        </w:tc>
        <w:tc>
          <w:tcPr>
            <w:tcW w:w="1405" w:type="dxa"/>
            <w:tcBorders>
              <w:top w:val="single" w:color="auto" w:sz="4" w:space="0"/>
              <w:left w:val="nil"/>
              <w:bottom w:val="single" w:color="auto" w:sz="4" w:space="0"/>
              <w:right w:val="single" w:color="auto" w:sz="4" w:space="0"/>
            </w:tcBorders>
            <w:noWrap/>
          </w:tcPr>
          <w:p>
            <w:pPr>
              <w:autoSpaceDE w:val="0"/>
              <w:autoSpaceDN w:val="0"/>
              <w:adjustRightInd w:val="0"/>
              <w:spacing w:line="360" w:lineRule="auto"/>
              <w:ind w:right="215"/>
              <w:jc w:val="center"/>
              <w:rPr>
                <w:rFonts w:ascii="宋体" w:hAnsi="宋体"/>
                <w:sz w:val="24"/>
                <w:szCs w:val="24"/>
              </w:rPr>
            </w:pPr>
          </w:p>
        </w:tc>
        <w:tc>
          <w:tcPr>
            <w:tcW w:w="945" w:type="dxa"/>
            <w:tcBorders>
              <w:top w:val="single" w:color="auto" w:sz="4" w:space="0"/>
              <w:left w:val="nil"/>
              <w:bottom w:val="single" w:color="auto" w:sz="4" w:space="0"/>
              <w:right w:val="single" w:color="auto" w:sz="4" w:space="0"/>
            </w:tcBorders>
            <w:noWrap/>
          </w:tcPr>
          <w:p>
            <w:pPr>
              <w:autoSpaceDE w:val="0"/>
              <w:autoSpaceDN w:val="0"/>
              <w:adjustRightInd w:val="0"/>
              <w:spacing w:line="360" w:lineRule="auto"/>
              <w:ind w:right="215"/>
              <w:jc w:val="center"/>
              <w:rPr>
                <w:rFonts w:ascii="宋体" w:hAnsi="宋体"/>
                <w:sz w:val="24"/>
                <w:szCs w:val="24"/>
              </w:rPr>
            </w:pPr>
          </w:p>
        </w:tc>
        <w:tc>
          <w:tcPr>
            <w:tcW w:w="945" w:type="dxa"/>
            <w:tcBorders>
              <w:top w:val="single" w:color="auto" w:sz="4" w:space="0"/>
              <w:left w:val="nil"/>
              <w:bottom w:val="single" w:color="auto" w:sz="4" w:space="0"/>
              <w:right w:val="single" w:color="auto" w:sz="4" w:space="0"/>
            </w:tcBorders>
            <w:noWrap/>
          </w:tcPr>
          <w:p>
            <w:pPr>
              <w:autoSpaceDE w:val="0"/>
              <w:autoSpaceDN w:val="0"/>
              <w:adjustRightInd w:val="0"/>
              <w:spacing w:line="360" w:lineRule="auto"/>
              <w:ind w:right="215"/>
              <w:jc w:val="center"/>
              <w:rPr>
                <w:rFonts w:ascii="宋体" w:hAnsi="宋体"/>
                <w:sz w:val="24"/>
                <w:szCs w:val="24"/>
              </w:rPr>
            </w:pPr>
          </w:p>
        </w:tc>
        <w:tc>
          <w:tcPr>
            <w:tcW w:w="945" w:type="dxa"/>
            <w:tcBorders>
              <w:top w:val="single" w:color="auto" w:sz="4" w:space="0"/>
              <w:left w:val="nil"/>
              <w:bottom w:val="single" w:color="auto" w:sz="4" w:space="0"/>
              <w:right w:val="single" w:color="auto" w:sz="4" w:space="0"/>
            </w:tcBorders>
            <w:noWrap/>
          </w:tcPr>
          <w:p>
            <w:pPr>
              <w:autoSpaceDE w:val="0"/>
              <w:autoSpaceDN w:val="0"/>
              <w:adjustRightInd w:val="0"/>
              <w:spacing w:line="360" w:lineRule="auto"/>
              <w:ind w:right="215"/>
              <w:jc w:val="center"/>
              <w:rPr>
                <w:rFonts w:ascii="宋体" w:hAnsi="宋体"/>
                <w:sz w:val="24"/>
                <w:szCs w:val="24"/>
              </w:rPr>
            </w:pPr>
          </w:p>
        </w:tc>
        <w:tc>
          <w:tcPr>
            <w:tcW w:w="1470" w:type="dxa"/>
            <w:tcBorders>
              <w:top w:val="single" w:color="auto" w:sz="4" w:space="0"/>
              <w:left w:val="nil"/>
              <w:bottom w:val="single" w:color="auto" w:sz="4" w:space="0"/>
              <w:right w:val="single" w:color="auto" w:sz="4" w:space="0"/>
            </w:tcBorders>
            <w:noWrap/>
          </w:tcPr>
          <w:p>
            <w:pPr>
              <w:autoSpaceDE w:val="0"/>
              <w:autoSpaceDN w:val="0"/>
              <w:adjustRightInd w:val="0"/>
              <w:spacing w:line="360" w:lineRule="auto"/>
              <w:ind w:right="215"/>
              <w:jc w:val="center"/>
              <w:rPr>
                <w:rFonts w:ascii="宋体" w:hAnsi="宋体"/>
                <w:sz w:val="24"/>
                <w:szCs w:val="24"/>
              </w:rPr>
            </w:pPr>
          </w:p>
        </w:tc>
        <w:tc>
          <w:tcPr>
            <w:tcW w:w="944" w:type="dxa"/>
            <w:tcBorders>
              <w:top w:val="single" w:color="auto" w:sz="4" w:space="0"/>
              <w:left w:val="nil"/>
              <w:bottom w:val="single" w:color="auto" w:sz="4" w:space="0"/>
              <w:right w:val="single" w:color="auto" w:sz="4" w:space="0"/>
            </w:tcBorders>
            <w:noWrap/>
          </w:tcPr>
          <w:p>
            <w:pPr>
              <w:autoSpaceDE w:val="0"/>
              <w:autoSpaceDN w:val="0"/>
              <w:adjustRightInd w:val="0"/>
              <w:spacing w:line="360" w:lineRule="auto"/>
              <w:ind w:right="215"/>
              <w:jc w:val="center"/>
              <w:rPr>
                <w:rFonts w:ascii="宋体" w:hAnsi="宋体"/>
                <w:sz w:val="24"/>
                <w:szCs w:val="24"/>
              </w:rPr>
            </w:pPr>
          </w:p>
        </w:tc>
      </w:tr>
      <w:tr>
        <w:tblPrEx>
          <w:tblCellMar>
            <w:top w:w="0" w:type="dxa"/>
            <w:left w:w="108" w:type="dxa"/>
            <w:bottom w:w="0" w:type="dxa"/>
            <w:right w:w="108" w:type="dxa"/>
          </w:tblCellMar>
        </w:tblPrEx>
        <w:trPr>
          <w:trHeight w:val="499" w:hRule="atLeast"/>
          <w:jc w:val="center"/>
        </w:trPr>
        <w:tc>
          <w:tcPr>
            <w:tcW w:w="913" w:type="dxa"/>
            <w:tcBorders>
              <w:top w:val="single" w:color="auto" w:sz="4" w:space="0"/>
              <w:left w:val="single" w:color="auto" w:sz="4" w:space="0"/>
              <w:bottom w:val="single" w:color="auto" w:sz="4" w:space="0"/>
              <w:right w:val="single" w:color="auto" w:sz="4" w:space="0"/>
            </w:tcBorders>
            <w:noWrap/>
          </w:tcPr>
          <w:p>
            <w:pPr>
              <w:autoSpaceDE w:val="0"/>
              <w:autoSpaceDN w:val="0"/>
              <w:adjustRightInd w:val="0"/>
              <w:spacing w:line="360" w:lineRule="auto"/>
              <w:ind w:right="215"/>
              <w:jc w:val="center"/>
              <w:rPr>
                <w:rFonts w:ascii="宋体" w:hAnsi="宋体"/>
                <w:sz w:val="24"/>
                <w:szCs w:val="24"/>
              </w:rPr>
            </w:pPr>
          </w:p>
        </w:tc>
        <w:tc>
          <w:tcPr>
            <w:tcW w:w="914" w:type="dxa"/>
            <w:tcBorders>
              <w:top w:val="single" w:color="auto" w:sz="4" w:space="0"/>
              <w:left w:val="nil"/>
              <w:bottom w:val="single" w:color="auto" w:sz="4" w:space="0"/>
              <w:right w:val="single" w:color="auto" w:sz="4" w:space="0"/>
            </w:tcBorders>
            <w:noWrap/>
          </w:tcPr>
          <w:p>
            <w:pPr>
              <w:autoSpaceDE w:val="0"/>
              <w:autoSpaceDN w:val="0"/>
              <w:adjustRightInd w:val="0"/>
              <w:spacing w:line="360" w:lineRule="auto"/>
              <w:ind w:right="215"/>
              <w:jc w:val="center"/>
              <w:rPr>
                <w:rFonts w:ascii="宋体" w:hAnsi="宋体"/>
                <w:sz w:val="24"/>
                <w:szCs w:val="24"/>
              </w:rPr>
            </w:pPr>
          </w:p>
        </w:tc>
        <w:tc>
          <w:tcPr>
            <w:tcW w:w="914" w:type="dxa"/>
            <w:tcBorders>
              <w:top w:val="single" w:color="auto" w:sz="4" w:space="0"/>
              <w:left w:val="nil"/>
              <w:bottom w:val="single" w:color="auto" w:sz="4" w:space="0"/>
              <w:right w:val="single" w:color="auto" w:sz="4" w:space="0"/>
            </w:tcBorders>
            <w:noWrap/>
          </w:tcPr>
          <w:p>
            <w:pPr>
              <w:autoSpaceDE w:val="0"/>
              <w:autoSpaceDN w:val="0"/>
              <w:adjustRightInd w:val="0"/>
              <w:spacing w:line="360" w:lineRule="auto"/>
              <w:ind w:right="215"/>
              <w:jc w:val="center"/>
              <w:rPr>
                <w:rFonts w:ascii="宋体" w:hAnsi="宋体"/>
                <w:sz w:val="24"/>
                <w:szCs w:val="24"/>
              </w:rPr>
            </w:pPr>
          </w:p>
        </w:tc>
        <w:tc>
          <w:tcPr>
            <w:tcW w:w="1405" w:type="dxa"/>
            <w:tcBorders>
              <w:top w:val="single" w:color="auto" w:sz="4" w:space="0"/>
              <w:left w:val="nil"/>
              <w:bottom w:val="single" w:color="auto" w:sz="4" w:space="0"/>
              <w:right w:val="single" w:color="auto" w:sz="4" w:space="0"/>
            </w:tcBorders>
            <w:noWrap/>
          </w:tcPr>
          <w:p>
            <w:pPr>
              <w:autoSpaceDE w:val="0"/>
              <w:autoSpaceDN w:val="0"/>
              <w:adjustRightInd w:val="0"/>
              <w:spacing w:line="360" w:lineRule="auto"/>
              <w:ind w:right="215"/>
              <w:jc w:val="center"/>
              <w:rPr>
                <w:rFonts w:ascii="宋体" w:hAnsi="宋体"/>
                <w:sz w:val="24"/>
                <w:szCs w:val="24"/>
              </w:rPr>
            </w:pPr>
          </w:p>
        </w:tc>
        <w:tc>
          <w:tcPr>
            <w:tcW w:w="945" w:type="dxa"/>
            <w:tcBorders>
              <w:top w:val="single" w:color="auto" w:sz="4" w:space="0"/>
              <w:left w:val="nil"/>
              <w:bottom w:val="single" w:color="auto" w:sz="4" w:space="0"/>
              <w:right w:val="single" w:color="auto" w:sz="4" w:space="0"/>
            </w:tcBorders>
            <w:noWrap/>
          </w:tcPr>
          <w:p>
            <w:pPr>
              <w:autoSpaceDE w:val="0"/>
              <w:autoSpaceDN w:val="0"/>
              <w:adjustRightInd w:val="0"/>
              <w:spacing w:line="360" w:lineRule="auto"/>
              <w:ind w:right="215"/>
              <w:jc w:val="center"/>
              <w:rPr>
                <w:rFonts w:ascii="宋体" w:hAnsi="宋体"/>
                <w:sz w:val="24"/>
                <w:szCs w:val="24"/>
              </w:rPr>
            </w:pPr>
          </w:p>
        </w:tc>
        <w:tc>
          <w:tcPr>
            <w:tcW w:w="945" w:type="dxa"/>
            <w:tcBorders>
              <w:top w:val="single" w:color="auto" w:sz="4" w:space="0"/>
              <w:left w:val="nil"/>
              <w:bottom w:val="single" w:color="auto" w:sz="4" w:space="0"/>
              <w:right w:val="single" w:color="auto" w:sz="4" w:space="0"/>
            </w:tcBorders>
            <w:noWrap/>
          </w:tcPr>
          <w:p>
            <w:pPr>
              <w:autoSpaceDE w:val="0"/>
              <w:autoSpaceDN w:val="0"/>
              <w:adjustRightInd w:val="0"/>
              <w:spacing w:line="360" w:lineRule="auto"/>
              <w:ind w:right="215"/>
              <w:jc w:val="center"/>
              <w:rPr>
                <w:rFonts w:ascii="宋体" w:hAnsi="宋体"/>
                <w:sz w:val="24"/>
                <w:szCs w:val="24"/>
              </w:rPr>
            </w:pPr>
          </w:p>
        </w:tc>
        <w:tc>
          <w:tcPr>
            <w:tcW w:w="945" w:type="dxa"/>
            <w:tcBorders>
              <w:top w:val="single" w:color="auto" w:sz="4" w:space="0"/>
              <w:left w:val="nil"/>
              <w:bottom w:val="single" w:color="auto" w:sz="4" w:space="0"/>
              <w:right w:val="single" w:color="auto" w:sz="4" w:space="0"/>
            </w:tcBorders>
            <w:noWrap/>
          </w:tcPr>
          <w:p>
            <w:pPr>
              <w:autoSpaceDE w:val="0"/>
              <w:autoSpaceDN w:val="0"/>
              <w:adjustRightInd w:val="0"/>
              <w:spacing w:line="360" w:lineRule="auto"/>
              <w:ind w:right="215"/>
              <w:jc w:val="center"/>
              <w:rPr>
                <w:rFonts w:ascii="宋体" w:hAnsi="宋体"/>
                <w:sz w:val="24"/>
                <w:szCs w:val="24"/>
              </w:rPr>
            </w:pPr>
          </w:p>
        </w:tc>
        <w:tc>
          <w:tcPr>
            <w:tcW w:w="1470" w:type="dxa"/>
            <w:tcBorders>
              <w:top w:val="single" w:color="auto" w:sz="4" w:space="0"/>
              <w:left w:val="nil"/>
              <w:bottom w:val="single" w:color="auto" w:sz="4" w:space="0"/>
              <w:right w:val="single" w:color="auto" w:sz="4" w:space="0"/>
            </w:tcBorders>
            <w:noWrap/>
          </w:tcPr>
          <w:p>
            <w:pPr>
              <w:autoSpaceDE w:val="0"/>
              <w:autoSpaceDN w:val="0"/>
              <w:adjustRightInd w:val="0"/>
              <w:spacing w:line="360" w:lineRule="auto"/>
              <w:ind w:right="215"/>
              <w:jc w:val="center"/>
              <w:rPr>
                <w:rFonts w:ascii="宋体" w:hAnsi="宋体"/>
                <w:sz w:val="24"/>
                <w:szCs w:val="24"/>
              </w:rPr>
            </w:pPr>
          </w:p>
        </w:tc>
        <w:tc>
          <w:tcPr>
            <w:tcW w:w="944" w:type="dxa"/>
            <w:tcBorders>
              <w:top w:val="single" w:color="auto" w:sz="4" w:space="0"/>
              <w:left w:val="nil"/>
              <w:bottom w:val="single" w:color="auto" w:sz="4" w:space="0"/>
              <w:right w:val="single" w:color="auto" w:sz="4" w:space="0"/>
            </w:tcBorders>
            <w:noWrap/>
          </w:tcPr>
          <w:p>
            <w:pPr>
              <w:autoSpaceDE w:val="0"/>
              <w:autoSpaceDN w:val="0"/>
              <w:adjustRightInd w:val="0"/>
              <w:spacing w:line="360" w:lineRule="auto"/>
              <w:ind w:right="215"/>
              <w:jc w:val="center"/>
              <w:rPr>
                <w:rFonts w:ascii="宋体" w:hAnsi="宋体"/>
                <w:sz w:val="24"/>
                <w:szCs w:val="24"/>
              </w:rPr>
            </w:pPr>
          </w:p>
        </w:tc>
      </w:tr>
      <w:tr>
        <w:tblPrEx>
          <w:tblCellMar>
            <w:top w:w="0" w:type="dxa"/>
            <w:left w:w="108" w:type="dxa"/>
            <w:bottom w:w="0" w:type="dxa"/>
            <w:right w:w="108" w:type="dxa"/>
          </w:tblCellMar>
        </w:tblPrEx>
        <w:trPr>
          <w:trHeight w:val="499" w:hRule="atLeast"/>
          <w:jc w:val="center"/>
        </w:trPr>
        <w:tc>
          <w:tcPr>
            <w:tcW w:w="913" w:type="dxa"/>
            <w:tcBorders>
              <w:top w:val="single" w:color="auto" w:sz="4" w:space="0"/>
              <w:left w:val="single" w:color="auto" w:sz="4" w:space="0"/>
              <w:bottom w:val="single" w:color="auto" w:sz="4" w:space="0"/>
              <w:right w:val="single" w:color="auto" w:sz="4" w:space="0"/>
            </w:tcBorders>
            <w:noWrap/>
          </w:tcPr>
          <w:p>
            <w:pPr>
              <w:autoSpaceDE w:val="0"/>
              <w:autoSpaceDN w:val="0"/>
              <w:adjustRightInd w:val="0"/>
              <w:spacing w:line="360" w:lineRule="auto"/>
              <w:ind w:right="215"/>
              <w:jc w:val="center"/>
              <w:rPr>
                <w:rFonts w:ascii="宋体" w:hAnsi="宋体"/>
                <w:sz w:val="24"/>
                <w:szCs w:val="24"/>
              </w:rPr>
            </w:pPr>
          </w:p>
        </w:tc>
        <w:tc>
          <w:tcPr>
            <w:tcW w:w="914" w:type="dxa"/>
            <w:tcBorders>
              <w:top w:val="single" w:color="auto" w:sz="4" w:space="0"/>
              <w:left w:val="nil"/>
              <w:bottom w:val="single" w:color="auto" w:sz="4" w:space="0"/>
              <w:right w:val="single" w:color="auto" w:sz="4" w:space="0"/>
            </w:tcBorders>
            <w:noWrap/>
          </w:tcPr>
          <w:p>
            <w:pPr>
              <w:autoSpaceDE w:val="0"/>
              <w:autoSpaceDN w:val="0"/>
              <w:adjustRightInd w:val="0"/>
              <w:spacing w:line="360" w:lineRule="auto"/>
              <w:ind w:right="215"/>
              <w:jc w:val="center"/>
              <w:rPr>
                <w:rFonts w:ascii="宋体" w:hAnsi="宋体"/>
                <w:sz w:val="24"/>
                <w:szCs w:val="24"/>
              </w:rPr>
            </w:pPr>
          </w:p>
        </w:tc>
        <w:tc>
          <w:tcPr>
            <w:tcW w:w="914" w:type="dxa"/>
            <w:tcBorders>
              <w:top w:val="single" w:color="auto" w:sz="4" w:space="0"/>
              <w:left w:val="nil"/>
              <w:bottom w:val="single" w:color="auto" w:sz="4" w:space="0"/>
              <w:right w:val="single" w:color="auto" w:sz="4" w:space="0"/>
            </w:tcBorders>
            <w:noWrap/>
          </w:tcPr>
          <w:p>
            <w:pPr>
              <w:autoSpaceDE w:val="0"/>
              <w:autoSpaceDN w:val="0"/>
              <w:adjustRightInd w:val="0"/>
              <w:spacing w:line="360" w:lineRule="auto"/>
              <w:ind w:right="215"/>
              <w:jc w:val="center"/>
              <w:rPr>
                <w:rFonts w:ascii="宋体" w:hAnsi="宋体"/>
                <w:sz w:val="24"/>
                <w:szCs w:val="24"/>
              </w:rPr>
            </w:pPr>
          </w:p>
        </w:tc>
        <w:tc>
          <w:tcPr>
            <w:tcW w:w="1405" w:type="dxa"/>
            <w:tcBorders>
              <w:top w:val="single" w:color="auto" w:sz="4" w:space="0"/>
              <w:left w:val="nil"/>
              <w:bottom w:val="single" w:color="auto" w:sz="4" w:space="0"/>
              <w:right w:val="single" w:color="auto" w:sz="4" w:space="0"/>
            </w:tcBorders>
            <w:noWrap/>
          </w:tcPr>
          <w:p>
            <w:pPr>
              <w:autoSpaceDE w:val="0"/>
              <w:autoSpaceDN w:val="0"/>
              <w:adjustRightInd w:val="0"/>
              <w:spacing w:line="360" w:lineRule="auto"/>
              <w:ind w:right="215"/>
              <w:jc w:val="center"/>
              <w:rPr>
                <w:rFonts w:ascii="宋体" w:hAnsi="宋体"/>
                <w:sz w:val="24"/>
                <w:szCs w:val="24"/>
              </w:rPr>
            </w:pPr>
          </w:p>
        </w:tc>
        <w:tc>
          <w:tcPr>
            <w:tcW w:w="945" w:type="dxa"/>
            <w:tcBorders>
              <w:top w:val="single" w:color="auto" w:sz="4" w:space="0"/>
              <w:left w:val="nil"/>
              <w:bottom w:val="single" w:color="auto" w:sz="4" w:space="0"/>
              <w:right w:val="single" w:color="auto" w:sz="4" w:space="0"/>
            </w:tcBorders>
            <w:noWrap/>
          </w:tcPr>
          <w:p>
            <w:pPr>
              <w:autoSpaceDE w:val="0"/>
              <w:autoSpaceDN w:val="0"/>
              <w:adjustRightInd w:val="0"/>
              <w:spacing w:line="360" w:lineRule="auto"/>
              <w:ind w:right="215"/>
              <w:jc w:val="center"/>
              <w:rPr>
                <w:rFonts w:ascii="宋体" w:hAnsi="宋体"/>
                <w:sz w:val="24"/>
                <w:szCs w:val="24"/>
              </w:rPr>
            </w:pPr>
          </w:p>
        </w:tc>
        <w:tc>
          <w:tcPr>
            <w:tcW w:w="945" w:type="dxa"/>
            <w:tcBorders>
              <w:top w:val="single" w:color="auto" w:sz="4" w:space="0"/>
              <w:left w:val="nil"/>
              <w:bottom w:val="single" w:color="auto" w:sz="4" w:space="0"/>
              <w:right w:val="single" w:color="auto" w:sz="4" w:space="0"/>
            </w:tcBorders>
            <w:noWrap/>
          </w:tcPr>
          <w:p>
            <w:pPr>
              <w:autoSpaceDE w:val="0"/>
              <w:autoSpaceDN w:val="0"/>
              <w:adjustRightInd w:val="0"/>
              <w:spacing w:line="360" w:lineRule="auto"/>
              <w:ind w:right="215"/>
              <w:jc w:val="center"/>
              <w:rPr>
                <w:rFonts w:ascii="宋体" w:hAnsi="宋体"/>
                <w:sz w:val="24"/>
                <w:szCs w:val="24"/>
              </w:rPr>
            </w:pPr>
          </w:p>
        </w:tc>
        <w:tc>
          <w:tcPr>
            <w:tcW w:w="945" w:type="dxa"/>
            <w:tcBorders>
              <w:top w:val="single" w:color="auto" w:sz="4" w:space="0"/>
              <w:left w:val="nil"/>
              <w:bottom w:val="single" w:color="auto" w:sz="4" w:space="0"/>
              <w:right w:val="single" w:color="auto" w:sz="4" w:space="0"/>
            </w:tcBorders>
            <w:noWrap/>
          </w:tcPr>
          <w:p>
            <w:pPr>
              <w:autoSpaceDE w:val="0"/>
              <w:autoSpaceDN w:val="0"/>
              <w:adjustRightInd w:val="0"/>
              <w:spacing w:line="360" w:lineRule="auto"/>
              <w:ind w:right="215"/>
              <w:jc w:val="center"/>
              <w:rPr>
                <w:rFonts w:ascii="宋体" w:hAnsi="宋体"/>
                <w:sz w:val="24"/>
                <w:szCs w:val="24"/>
              </w:rPr>
            </w:pPr>
          </w:p>
        </w:tc>
        <w:tc>
          <w:tcPr>
            <w:tcW w:w="1470" w:type="dxa"/>
            <w:tcBorders>
              <w:top w:val="single" w:color="auto" w:sz="4" w:space="0"/>
              <w:left w:val="nil"/>
              <w:bottom w:val="single" w:color="auto" w:sz="4" w:space="0"/>
              <w:right w:val="single" w:color="auto" w:sz="4" w:space="0"/>
            </w:tcBorders>
            <w:noWrap/>
          </w:tcPr>
          <w:p>
            <w:pPr>
              <w:autoSpaceDE w:val="0"/>
              <w:autoSpaceDN w:val="0"/>
              <w:adjustRightInd w:val="0"/>
              <w:spacing w:line="360" w:lineRule="auto"/>
              <w:ind w:right="215"/>
              <w:jc w:val="center"/>
              <w:rPr>
                <w:rFonts w:ascii="宋体" w:hAnsi="宋体"/>
                <w:sz w:val="24"/>
                <w:szCs w:val="24"/>
              </w:rPr>
            </w:pPr>
          </w:p>
        </w:tc>
        <w:tc>
          <w:tcPr>
            <w:tcW w:w="944" w:type="dxa"/>
            <w:tcBorders>
              <w:top w:val="single" w:color="auto" w:sz="4" w:space="0"/>
              <w:left w:val="nil"/>
              <w:bottom w:val="single" w:color="auto" w:sz="4" w:space="0"/>
              <w:right w:val="single" w:color="auto" w:sz="4" w:space="0"/>
            </w:tcBorders>
            <w:noWrap/>
          </w:tcPr>
          <w:p>
            <w:pPr>
              <w:autoSpaceDE w:val="0"/>
              <w:autoSpaceDN w:val="0"/>
              <w:adjustRightInd w:val="0"/>
              <w:spacing w:line="360" w:lineRule="auto"/>
              <w:ind w:right="215"/>
              <w:jc w:val="center"/>
              <w:rPr>
                <w:rFonts w:ascii="宋体" w:hAnsi="宋体"/>
                <w:sz w:val="24"/>
                <w:szCs w:val="24"/>
              </w:rPr>
            </w:pPr>
          </w:p>
        </w:tc>
      </w:tr>
      <w:tr>
        <w:tblPrEx>
          <w:tblCellMar>
            <w:top w:w="0" w:type="dxa"/>
            <w:left w:w="108" w:type="dxa"/>
            <w:bottom w:w="0" w:type="dxa"/>
            <w:right w:w="108" w:type="dxa"/>
          </w:tblCellMar>
        </w:tblPrEx>
        <w:trPr>
          <w:trHeight w:val="499" w:hRule="atLeast"/>
          <w:jc w:val="center"/>
        </w:trPr>
        <w:tc>
          <w:tcPr>
            <w:tcW w:w="913" w:type="dxa"/>
            <w:tcBorders>
              <w:top w:val="single" w:color="auto" w:sz="4" w:space="0"/>
              <w:left w:val="single" w:color="auto" w:sz="4" w:space="0"/>
              <w:bottom w:val="single" w:color="auto" w:sz="4" w:space="0"/>
              <w:right w:val="single" w:color="auto" w:sz="4" w:space="0"/>
            </w:tcBorders>
            <w:noWrap/>
          </w:tcPr>
          <w:p>
            <w:pPr>
              <w:autoSpaceDE w:val="0"/>
              <w:autoSpaceDN w:val="0"/>
              <w:adjustRightInd w:val="0"/>
              <w:spacing w:line="360" w:lineRule="auto"/>
              <w:ind w:right="215"/>
              <w:jc w:val="center"/>
              <w:rPr>
                <w:rFonts w:ascii="宋体" w:hAnsi="宋体"/>
                <w:sz w:val="24"/>
                <w:szCs w:val="24"/>
              </w:rPr>
            </w:pPr>
          </w:p>
        </w:tc>
        <w:tc>
          <w:tcPr>
            <w:tcW w:w="914" w:type="dxa"/>
            <w:tcBorders>
              <w:top w:val="single" w:color="auto" w:sz="4" w:space="0"/>
              <w:left w:val="nil"/>
              <w:bottom w:val="single" w:color="auto" w:sz="4" w:space="0"/>
              <w:right w:val="single" w:color="auto" w:sz="4" w:space="0"/>
            </w:tcBorders>
            <w:noWrap/>
          </w:tcPr>
          <w:p>
            <w:pPr>
              <w:autoSpaceDE w:val="0"/>
              <w:autoSpaceDN w:val="0"/>
              <w:adjustRightInd w:val="0"/>
              <w:spacing w:line="360" w:lineRule="auto"/>
              <w:ind w:right="215"/>
              <w:jc w:val="center"/>
              <w:rPr>
                <w:rFonts w:ascii="宋体" w:hAnsi="宋体"/>
                <w:sz w:val="24"/>
                <w:szCs w:val="24"/>
              </w:rPr>
            </w:pPr>
          </w:p>
        </w:tc>
        <w:tc>
          <w:tcPr>
            <w:tcW w:w="914" w:type="dxa"/>
            <w:tcBorders>
              <w:top w:val="single" w:color="auto" w:sz="4" w:space="0"/>
              <w:left w:val="nil"/>
              <w:bottom w:val="single" w:color="auto" w:sz="4" w:space="0"/>
              <w:right w:val="single" w:color="auto" w:sz="4" w:space="0"/>
            </w:tcBorders>
            <w:noWrap/>
          </w:tcPr>
          <w:p>
            <w:pPr>
              <w:autoSpaceDE w:val="0"/>
              <w:autoSpaceDN w:val="0"/>
              <w:adjustRightInd w:val="0"/>
              <w:spacing w:line="360" w:lineRule="auto"/>
              <w:ind w:right="215"/>
              <w:jc w:val="center"/>
              <w:rPr>
                <w:rFonts w:ascii="宋体" w:hAnsi="宋体"/>
                <w:sz w:val="24"/>
                <w:szCs w:val="24"/>
              </w:rPr>
            </w:pPr>
          </w:p>
        </w:tc>
        <w:tc>
          <w:tcPr>
            <w:tcW w:w="1405" w:type="dxa"/>
            <w:tcBorders>
              <w:top w:val="single" w:color="auto" w:sz="4" w:space="0"/>
              <w:left w:val="nil"/>
              <w:bottom w:val="single" w:color="auto" w:sz="4" w:space="0"/>
              <w:right w:val="single" w:color="auto" w:sz="4" w:space="0"/>
            </w:tcBorders>
            <w:noWrap/>
          </w:tcPr>
          <w:p>
            <w:pPr>
              <w:autoSpaceDE w:val="0"/>
              <w:autoSpaceDN w:val="0"/>
              <w:adjustRightInd w:val="0"/>
              <w:spacing w:line="360" w:lineRule="auto"/>
              <w:ind w:right="215"/>
              <w:jc w:val="center"/>
              <w:rPr>
                <w:rFonts w:ascii="宋体" w:hAnsi="宋体"/>
                <w:sz w:val="24"/>
                <w:szCs w:val="24"/>
              </w:rPr>
            </w:pPr>
          </w:p>
        </w:tc>
        <w:tc>
          <w:tcPr>
            <w:tcW w:w="945" w:type="dxa"/>
            <w:tcBorders>
              <w:top w:val="single" w:color="auto" w:sz="4" w:space="0"/>
              <w:left w:val="nil"/>
              <w:bottom w:val="single" w:color="auto" w:sz="4" w:space="0"/>
              <w:right w:val="single" w:color="auto" w:sz="4" w:space="0"/>
            </w:tcBorders>
            <w:noWrap/>
          </w:tcPr>
          <w:p>
            <w:pPr>
              <w:autoSpaceDE w:val="0"/>
              <w:autoSpaceDN w:val="0"/>
              <w:adjustRightInd w:val="0"/>
              <w:spacing w:line="360" w:lineRule="auto"/>
              <w:ind w:right="215"/>
              <w:jc w:val="center"/>
              <w:rPr>
                <w:rFonts w:ascii="宋体" w:hAnsi="宋体"/>
                <w:sz w:val="24"/>
                <w:szCs w:val="24"/>
              </w:rPr>
            </w:pPr>
          </w:p>
        </w:tc>
        <w:tc>
          <w:tcPr>
            <w:tcW w:w="945" w:type="dxa"/>
            <w:tcBorders>
              <w:top w:val="single" w:color="auto" w:sz="4" w:space="0"/>
              <w:left w:val="nil"/>
              <w:bottom w:val="single" w:color="auto" w:sz="4" w:space="0"/>
              <w:right w:val="single" w:color="auto" w:sz="4" w:space="0"/>
            </w:tcBorders>
            <w:noWrap/>
          </w:tcPr>
          <w:p>
            <w:pPr>
              <w:autoSpaceDE w:val="0"/>
              <w:autoSpaceDN w:val="0"/>
              <w:adjustRightInd w:val="0"/>
              <w:spacing w:line="360" w:lineRule="auto"/>
              <w:ind w:right="215"/>
              <w:jc w:val="center"/>
              <w:rPr>
                <w:rFonts w:ascii="宋体" w:hAnsi="宋体"/>
                <w:sz w:val="24"/>
                <w:szCs w:val="24"/>
              </w:rPr>
            </w:pPr>
          </w:p>
        </w:tc>
        <w:tc>
          <w:tcPr>
            <w:tcW w:w="945" w:type="dxa"/>
            <w:tcBorders>
              <w:top w:val="single" w:color="auto" w:sz="4" w:space="0"/>
              <w:left w:val="nil"/>
              <w:bottom w:val="single" w:color="auto" w:sz="4" w:space="0"/>
              <w:right w:val="single" w:color="auto" w:sz="4" w:space="0"/>
            </w:tcBorders>
            <w:noWrap/>
          </w:tcPr>
          <w:p>
            <w:pPr>
              <w:autoSpaceDE w:val="0"/>
              <w:autoSpaceDN w:val="0"/>
              <w:adjustRightInd w:val="0"/>
              <w:spacing w:line="360" w:lineRule="auto"/>
              <w:ind w:right="215"/>
              <w:jc w:val="center"/>
              <w:rPr>
                <w:rFonts w:ascii="宋体" w:hAnsi="宋体"/>
                <w:sz w:val="24"/>
                <w:szCs w:val="24"/>
              </w:rPr>
            </w:pPr>
          </w:p>
        </w:tc>
        <w:tc>
          <w:tcPr>
            <w:tcW w:w="1470" w:type="dxa"/>
            <w:tcBorders>
              <w:top w:val="single" w:color="auto" w:sz="4" w:space="0"/>
              <w:left w:val="nil"/>
              <w:bottom w:val="single" w:color="auto" w:sz="4" w:space="0"/>
              <w:right w:val="single" w:color="auto" w:sz="4" w:space="0"/>
            </w:tcBorders>
            <w:noWrap/>
          </w:tcPr>
          <w:p>
            <w:pPr>
              <w:autoSpaceDE w:val="0"/>
              <w:autoSpaceDN w:val="0"/>
              <w:adjustRightInd w:val="0"/>
              <w:spacing w:line="360" w:lineRule="auto"/>
              <w:ind w:right="215"/>
              <w:jc w:val="center"/>
              <w:rPr>
                <w:rFonts w:ascii="宋体" w:hAnsi="宋体"/>
                <w:sz w:val="24"/>
                <w:szCs w:val="24"/>
              </w:rPr>
            </w:pPr>
          </w:p>
        </w:tc>
        <w:tc>
          <w:tcPr>
            <w:tcW w:w="944" w:type="dxa"/>
            <w:tcBorders>
              <w:top w:val="single" w:color="auto" w:sz="4" w:space="0"/>
              <w:left w:val="nil"/>
              <w:bottom w:val="single" w:color="auto" w:sz="4" w:space="0"/>
              <w:right w:val="single" w:color="auto" w:sz="4" w:space="0"/>
            </w:tcBorders>
            <w:noWrap/>
          </w:tcPr>
          <w:p>
            <w:pPr>
              <w:autoSpaceDE w:val="0"/>
              <w:autoSpaceDN w:val="0"/>
              <w:adjustRightInd w:val="0"/>
              <w:spacing w:line="360" w:lineRule="auto"/>
              <w:ind w:right="215"/>
              <w:jc w:val="center"/>
              <w:rPr>
                <w:rFonts w:ascii="宋体" w:hAnsi="宋体"/>
                <w:sz w:val="24"/>
                <w:szCs w:val="24"/>
              </w:rPr>
            </w:pPr>
          </w:p>
        </w:tc>
      </w:tr>
      <w:tr>
        <w:tblPrEx>
          <w:tblCellMar>
            <w:top w:w="0" w:type="dxa"/>
            <w:left w:w="108" w:type="dxa"/>
            <w:bottom w:w="0" w:type="dxa"/>
            <w:right w:w="108" w:type="dxa"/>
          </w:tblCellMar>
        </w:tblPrEx>
        <w:trPr>
          <w:trHeight w:val="499" w:hRule="atLeast"/>
          <w:jc w:val="center"/>
        </w:trPr>
        <w:tc>
          <w:tcPr>
            <w:tcW w:w="913" w:type="dxa"/>
            <w:tcBorders>
              <w:top w:val="single" w:color="auto" w:sz="4" w:space="0"/>
              <w:left w:val="single" w:color="auto" w:sz="4" w:space="0"/>
              <w:bottom w:val="single" w:color="auto" w:sz="4" w:space="0"/>
              <w:right w:val="single" w:color="auto" w:sz="4" w:space="0"/>
            </w:tcBorders>
            <w:noWrap/>
          </w:tcPr>
          <w:p>
            <w:pPr>
              <w:autoSpaceDE w:val="0"/>
              <w:autoSpaceDN w:val="0"/>
              <w:adjustRightInd w:val="0"/>
              <w:spacing w:line="360" w:lineRule="auto"/>
              <w:ind w:right="215"/>
              <w:jc w:val="center"/>
              <w:rPr>
                <w:rFonts w:ascii="宋体" w:hAnsi="宋体"/>
                <w:sz w:val="24"/>
                <w:szCs w:val="24"/>
              </w:rPr>
            </w:pPr>
          </w:p>
        </w:tc>
        <w:tc>
          <w:tcPr>
            <w:tcW w:w="914" w:type="dxa"/>
            <w:tcBorders>
              <w:top w:val="single" w:color="auto" w:sz="4" w:space="0"/>
              <w:left w:val="nil"/>
              <w:bottom w:val="single" w:color="auto" w:sz="4" w:space="0"/>
              <w:right w:val="single" w:color="auto" w:sz="4" w:space="0"/>
            </w:tcBorders>
            <w:noWrap/>
          </w:tcPr>
          <w:p>
            <w:pPr>
              <w:autoSpaceDE w:val="0"/>
              <w:autoSpaceDN w:val="0"/>
              <w:adjustRightInd w:val="0"/>
              <w:spacing w:line="360" w:lineRule="auto"/>
              <w:ind w:right="215"/>
              <w:jc w:val="center"/>
              <w:rPr>
                <w:rFonts w:ascii="宋体" w:hAnsi="宋体"/>
                <w:sz w:val="24"/>
                <w:szCs w:val="24"/>
              </w:rPr>
            </w:pPr>
          </w:p>
        </w:tc>
        <w:tc>
          <w:tcPr>
            <w:tcW w:w="914" w:type="dxa"/>
            <w:tcBorders>
              <w:top w:val="single" w:color="auto" w:sz="4" w:space="0"/>
              <w:left w:val="nil"/>
              <w:bottom w:val="single" w:color="auto" w:sz="4" w:space="0"/>
              <w:right w:val="single" w:color="auto" w:sz="4" w:space="0"/>
            </w:tcBorders>
            <w:noWrap/>
          </w:tcPr>
          <w:p>
            <w:pPr>
              <w:autoSpaceDE w:val="0"/>
              <w:autoSpaceDN w:val="0"/>
              <w:adjustRightInd w:val="0"/>
              <w:spacing w:line="360" w:lineRule="auto"/>
              <w:ind w:right="215"/>
              <w:jc w:val="center"/>
              <w:rPr>
                <w:rFonts w:ascii="宋体" w:hAnsi="宋体"/>
                <w:sz w:val="24"/>
                <w:szCs w:val="24"/>
              </w:rPr>
            </w:pPr>
          </w:p>
        </w:tc>
        <w:tc>
          <w:tcPr>
            <w:tcW w:w="1405" w:type="dxa"/>
            <w:tcBorders>
              <w:top w:val="single" w:color="auto" w:sz="4" w:space="0"/>
              <w:left w:val="nil"/>
              <w:bottom w:val="single" w:color="auto" w:sz="4" w:space="0"/>
              <w:right w:val="single" w:color="auto" w:sz="4" w:space="0"/>
            </w:tcBorders>
            <w:noWrap/>
          </w:tcPr>
          <w:p>
            <w:pPr>
              <w:autoSpaceDE w:val="0"/>
              <w:autoSpaceDN w:val="0"/>
              <w:adjustRightInd w:val="0"/>
              <w:spacing w:line="360" w:lineRule="auto"/>
              <w:ind w:right="215"/>
              <w:jc w:val="center"/>
              <w:rPr>
                <w:rFonts w:ascii="宋体" w:hAnsi="宋体"/>
                <w:sz w:val="24"/>
                <w:szCs w:val="24"/>
              </w:rPr>
            </w:pPr>
          </w:p>
        </w:tc>
        <w:tc>
          <w:tcPr>
            <w:tcW w:w="945" w:type="dxa"/>
            <w:tcBorders>
              <w:top w:val="single" w:color="auto" w:sz="4" w:space="0"/>
              <w:left w:val="nil"/>
              <w:bottom w:val="single" w:color="auto" w:sz="4" w:space="0"/>
              <w:right w:val="single" w:color="auto" w:sz="4" w:space="0"/>
            </w:tcBorders>
            <w:noWrap/>
          </w:tcPr>
          <w:p>
            <w:pPr>
              <w:autoSpaceDE w:val="0"/>
              <w:autoSpaceDN w:val="0"/>
              <w:adjustRightInd w:val="0"/>
              <w:spacing w:line="360" w:lineRule="auto"/>
              <w:ind w:right="215"/>
              <w:jc w:val="center"/>
              <w:rPr>
                <w:rFonts w:ascii="宋体" w:hAnsi="宋体"/>
                <w:sz w:val="24"/>
                <w:szCs w:val="24"/>
              </w:rPr>
            </w:pPr>
          </w:p>
        </w:tc>
        <w:tc>
          <w:tcPr>
            <w:tcW w:w="945" w:type="dxa"/>
            <w:tcBorders>
              <w:top w:val="single" w:color="auto" w:sz="4" w:space="0"/>
              <w:left w:val="nil"/>
              <w:bottom w:val="single" w:color="auto" w:sz="4" w:space="0"/>
              <w:right w:val="single" w:color="auto" w:sz="4" w:space="0"/>
            </w:tcBorders>
            <w:noWrap/>
          </w:tcPr>
          <w:p>
            <w:pPr>
              <w:autoSpaceDE w:val="0"/>
              <w:autoSpaceDN w:val="0"/>
              <w:adjustRightInd w:val="0"/>
              <w:spacing w:line="360" w:lineRule="auto"/>
              <w:ind w:right="215"/>
              <w:jc w:val="center"/>
              <w:rPr>
                <w:rFonts w:ascii="宋体" w:hAnsi="宋体"/>
                <w:sz w:val="24"/>
                <w:szCs w:val="24"/>
              </w:rPr>
            </w:pPr>
          </w:p>
        </w:tc>
        <w:tc>
          <w:tcPr>
            <w:tcW w:w="945" w:type="dxa"/>
            <w:tcBorders>
              <w:top w:val="single" w:color="auto" w:sz="4" w:space="0"/>
              <w:left w:val="nil"/>
              <w:bottom w:val="single" w:color="auto" w:sz="4" w:space="0"/>
              <w:right w:val="single" w:color="auto" w:sz="4" w:space="0"/>
            </w:tcBorders>
            <w:noWrap/>
          </w:tcPr>
          <w:p>
            <w:pPr>
              <w:autoSpaceDE w:val="0"/>
              <w:autoSpaceDN w:val="0"/>
              <w:adjustRightInd w:val="0"/>
              <w:spacing w:line="360" w:lineRule="auto"/>
              <w:ind w:right="215"/>
              <w:jc w:val="center"/>
              <w:rPr>
                <w:rFonts w:ascii="宋体" w:hAnsi="宋体"/>
                <w:sz w:val="24"/>
                <w:szCs w:val="24"/>
              </w:rPr>
            </w:pPr>
          </w:p>
        </w:tc>
        <w:tc>
          <w:tcPr>
            <w:tcW w:w="1470" w:type="dxa"/>
            <w:tcBorders>
              <w:top w:val="single" w:color="auto" w:sz="4" w:space="0"/>
              <w:left w:val="nil"/>
              <w:bottom w:val="single" w:color="auto" w:sz="4" w:space="0"/>
              <w:right w:val="single" w:color="auto" w:sz="4" w:space="0"/>
            </w:tcBorders>
            <w:noWrap/>
          </w:tcPr>
          <w:p>
            <w:pPr>
              <w:autoSpaceDE w:val="0"/>
              <w:autoSpaceDN w:val="0"/>
              <w:adjustRightInd w:val="0"/>
              <w:spacing w:line="360" w:lineRule="auto"/>
              <w:ind w:right="215"/>
              <w:jc w:val="center"/>
              <w:rPr>
                <w:rFonts w:ascii="宋体" w:hAnsi="宋体"/>
                <w:sz w:val="24"/>
                <w:szCs w:val="24"/>
              </w:rPr>
            </w:pPr>
          </w:p>
        </w:tc>
        <w:tc>
          <w:tcPr>
            <w:tcW w:w="944" w:type="dxa"/>
            <w:tcBorders>
              <w:top w:val="single" w:color="auto" w:sz="4" w:space="0"/>
              <w:left w:val="nil"/>
              <w:bottom w:val="single" w:color="auto" w:sz="4" w:space="0"/>
              <w:right w:val="single" w:color="auto" w:sz="4" w:space="0"/>
            </w:tcBorders>
            <w:noWrap/>
          </w:tcPr>
          <w:p>
            <w:pPr>
              <w:autoSpaceDE w:val="0"/>
              <w:autoSpaceDN w:val="0"/>
              <w:adjustRightInd w:val="0"/>
              <w:spacing w:line="360" w:lineRule="auto"/>
              <w:ind w:right="215"/>
              <w:jc w:val="center"/>
              <w:rPr>
                <w:rFonts w:ascii="宋体" w:hAnsi="宋体"/>
                <w:sz w:val="24"/>
                <w:szCs w:val="24"/>
              </w:rPr>
            </w:pPr>
          </w:p>
        </w:tc>
      </w:tr>
      <w:tr>
        <w:tblPrEx>
          <w:tblCellMar>
            <w:top w:w="0" w:type="dxa"/>
            <w:left w:w="108" w:type="dxa"/>
            <w:bottom w:w="0" w:type="dxa"/>
            <w:right w:w="108" w:type="dxa"/>
          </w:tblCellMar>
        </w:tblPrEx>
        <w:trPr>
          <w:trHeight w:val="499" w:hRule="atLeast"/>
          <w:jc w:val="center"/>
        </w:trPr>
        <w:tc>
          <w:tcPr>
            <w:tcW w:w="913" w:type="dxa"/>
            <w:tcBorders>
              <w:top w:val="single" w:color="auto" w:sz="4" w:space="0"/>
              <w:left w:val="single" w:color="auto" w:sz="4" w:space="0"/>
              <w:bottom w:val="single" w:color="auto" w:sz="4" w:space="0"/>
              <w:right w:val="single" w:color="auto" w:sz="4" w:space="0"/>
            </w:tcBorders>
            <w:noWrap/>
          </w:tcPr>
          <w:p>
            <w:pPr>
              <w:autoSpaceDE w:val="0"/>
              <w:autoSpaceDN w:val="0"/>
              <w:adjustRightInd w:val="0"/>
              <w:spacing w:line="360" w:lineRule="auto"/>
              <w:ind w:right="215"/>
              <w:jc w:val="center"/>
              <w:rPr>
                <w:rFonts w:ascii="宋体" w:hAnsi="宋体"/>
                <w:sz w:val="24"/>
                <w:szCs w:val="24"/>
              </w:rPr>
            </w:pPr>
          </w:p>
        </w:tc>
        <w:tc>
          <w:tcPr>
            <w:tcW w:w="914" w:type="dxa"/>
            <w:tcBorders>
              <w:top w:val="single" w:color="auto" w:sz="4" w:space="0"/>
              <w:left w:val="nil"/>
              <w:bottom w:val="single" w:color="auto" w:sz="4" w:space="0"/>
              <w:right w:val="single" w:color="auto" w:sz="4" w:space="0"/>
            </w:tcBorders>
            <w:noWrap/>
          </w:tcPr>
          <w:p>
            <w:pPr>
              <w:autoSpaceDE w:val="0"/>
              <w:autoSpaceDN w:val="0"/>
              <w:adjustRightInd w:val="0"/>
              <w:spacing w:line="360" w:lineRule="auto"/>
              <w:ind w:right="215"/>
              <w:jc w:val="center"/>
              <w:rPr>
                <w:rFonts w:ascii="宋体" w:hAnsi="宋体"/>
                <w:sz w:val="24"/>
                <w:szCs w:val="24"/>
              </w:rPr>
            </w:pPr>
          </w:p>
        </w:tc>
        <w:tc>
          <w:tcPr>
            <w:tcW w:w="914" w:type="dxa"/>
            <w:tcBorders>
              <w:top w:val="single" w:color="auto" w:sz="4" w:space="0"/>
              <w:left w:val="nil"/>
              <w:bottom w:val="single" w:color="auto" w:sz="4" w:space="0"/>
              <w:right w:val="single" w:color="auto" w:sz="4" w:space="0"/>
            </w:tcBorders>
            <w:noWrap/>
          </w:tcPr>
          <w:p>
            <w:pPr>
              <w:autoSpaceDE w:val="0"/>
              <w:autoSpaceDN w:val="0"/>
              <w:adjustRightInd w:val="0"/>
              <w:spacing w:line="360" w:lineRule="auto"/>
              <w:ind w:right="215"/>
              <w:jc w:val="center"/>
              <w:rPr>
                <w:rFonts w:ascii="宋体" w:hAnsi="宋体"/>
                <w:sz w:val="24"/>
                <w:szCs w:val="24"/>
              </w:rPr>
            </w:pPr>
          </w:p>
        </w:tc>
        <w:tc>
          <w:tcPr>
            <w:tcW w:w="1405" w:type="dxa"/>
            <w:tcBorders>
              <w:top w:val="single" w:color="auto" w:sz="4" w:space="0"/>
              <w:left w:val="nil"/>
              <w:bottom w:val="single" w:color="auto" w:sz="4" w:space="0"/>
              <w:right w:val="single" w:color="auto" w:sz="4" w:space="0"/>
            </w:tcBorders>
            <w:noWrap/>
          </w:tcPr>
          <w:p>
            <w:pPr>
              <w:autoSpaceDE w:val="0"/>
              <w:autoSpaceDN w:val="0"/>
              <w:adjustRightInd w:val="0"/>
              <w:spacing w:line="360" w:lineRule="auto"/>
              <w:ind w:right="215"/>
              <w:jc w:val="center"/>
              <w:rPr>
                <w:rFonts w:ascii="宋体" w:hAnsi="宋体"/>
                <w:sz w:val="24"/>
                <w:szCs w:val="24"/>
              </w:rPr>
            </w:pPr>
          </w:p>
        </w:tc>
        <w:tc>
          <w:tcPr>
            <w:tcW w:w="945" w:type="dxa"/>
            <w:tcBorders>
              <w:top w:val="single" w:color="auto" w:sz="4" w:space="0"/>
              <w:left w:val="nil"/>
              <w:bottom w:val="single" w:color="auto" w:sz="4" w:space="0"/>
              <w:right w:val="single" w:color="auto" w:sz="4" w:space="0"/>
            </w:tcBorders>
            <w:noWrap/>
          </w:tcPr>
          <w:p>
            <w:pPr>
              <w:autoSpaceDE w:val="0"/>
              <w:autoSpaceDN w:val="0"/>
              <w:adjustRightInd w:val="0"/>
              <w:spacing w:line="360" w:lineRule="auto"/>
              <w:ind w:right="215"/>
              <w:jc w:val="center"/>
              <w:rPr>
                <w:rFonts w:ascii="宋体" w:hAnsi="宋体"/>
                <w:sz w:val="24"/>
                <w:szCs w:val="24"/>
              </w:rPr>
            </w:pPr>
          </w:p>
        </w:tc>
        <w:tc>
          <w:tcPr>
            <w:tcW w:w="945" w:type="dxa"/>
            <w:tcBorders>
              <w:top w:val="single" w:color="auto" w:sz="4" w:space="0"/>
              <w:left w:val="nil"/>
              <w:bottom w:val="single" w:color="auto" w:sz="4" w:space="0"/>
              <w:right w:val="single" w:color="auto" w:sz="4" w:space="0"/>
            </w:tcBorders>
            <w:noWrap/>
          </w:tcPr>
          <w:p>
            <w:pPr>
              <w:autoSpaceDE w:val="0"/>
              <w:autoSpaceDN w:val="0"/>
              <w:adjustRightInd w:val="0"/>
              <w:spacing w:line="360" w:lineRule="auto"/>
              <w:ind w:right="215"/>
              <w:jc w:val="center"/>
              <w:rPr>
                <w:rFonts w:ascii="宋体" w:hAnsi="宋体"/>
                <w:sz w:val="24"/>
                <w:szCs w:val="24"/>
              </w:rPr>
            </w:pPr>
          </w:p>
        </w:tc>
        <w:tc>
          <w:tcPr>
            <w:tcW w:w="945" w:type="dxa"/>
            <w:tcBorders>
              <w:top w:val="single" w:color="auto" w:sz="4" w:space="0"/>
              <w:left w:val="nil"/>
              <w:bottom w:val="single" w:color="auto" w:sz="4" w:space="0"/>
              <w:right w:val="single" w:color="auto" w:sz="4" w:space="0"/>
            </w:tcBorders>
            <w:noWrap/>
          </w:tcPr>
          <w:p>
            <w:pPr>
              <w:autoSpaceDE w:val="0"/>
              <w:autoSpaceDN w:val="0"/>
              <w:adjustRightInd w:val="0"/>
              <w:spacing w:line="360" w:lineRule="auto"/>
              <w:ind w:right="215"/>
              <w:jc w:val="center"/>
              <w:rPr>
                <w:rFonts w:ascii="宋体" w:hAnsi="宋体"/>
                <w:sz w:val="24"/>
                <w:szCs w:val="24"/>
              </w:rPr>
            </w:pPr>
          </w:p>
        </w:tc>
        <w:tc>
          <w:tcPr>
            <w:tcW w:w="1470" w:type="dxa"/>
            <w:tcBorders>
              <w:top w:val="single" w:color="auto" w:sz="4" w:space="0"/>
              <w:left w:val="nil"/>
              <w:bottom w:val="single" w:color="auto" w:sz="4" w:space="0"/>
              <w:right w:val="single" w:color="auto" w:sz="4" w:space="0"/>
            </w:tcBorders>
            <w:noWrap/>
          </w:tcPr>
          <w:p>
            <w:pPr>
              <w:autoSpaceDE w:val="0"/>
              <w:autoSpaceDN w:val="0"/>
              <w:adjustRightInd w:val="0"/>
              <w:spacing w:line="360" w:lineRule="auto"/>
              <w:ind w:right="215"/>
              <w:jc w:val="center"/>
              <w:rPr>
                <w:rFonts w:ascii="宋体" w:hAnsi="宋体"/>
                <w:sz w:val="24"/>
                <w:szCs w:val="24"/>
              </w:rPr>
            </w:pPr>
          </w:p>
        </w:tc>
        <w:tc>
          <w:tcPr>
            <w:tcW w:w="944" w:type="dxa"/>
            <w:tcBorders>
              <w:top w:val="single" w:color="auto" w:sz="4" w:space="0"/>
              <w:left w:val="nil"/>
              <w:bottom w:val="single" w:color="auto" w:sz="4" w:space="0"/>
              <w:right w:val="single" w:color="auto" w:sz="4" w:space="0"/>
            </w:tcBorders>
            <w:noWrap/>
          </w:tcPr>
          <w:p>
            <w:pPr>
              <w:autoSpaceDE w:val="0"/>
              <w:autoSpaceDN w:val="0"/>
              <w:adjustRightInd w:val="0"/>
              <w:spacing w:line="360" w:lineRule="auto"/>
              <w:ind w:right="215"/>
              <w:jc w:val="center"/>
              <w:rPr>
                <w:rFonts w:ascii="宋体" w:hAnsi="宋体"/>
                <w:sz w:val="24"/>
                <w:szCs w:val="24"/>
              </w:rPr>
            </w:pPr>
          </w:p>
        </w:tc>
      </w:tr>
      <w:tr>
        <w:tblPrEx>
          <w:tblCellMar>
            <w:top w:w="0" w:type="dxa"/>
            <w:left w:w="108" w:type="dxa"/>
            <w:bottom w:w="0" w:type="dxa"/>
            <w:right w:w="108" w:type="dxa"/>
          </w:tblCellMar>
        </w:tblPrEx>
        <w:trPr>
          <w:trHeight w:val="499" w:hRule="atLeast"/>
          <w:jc w:val="center"/>
        </w:trPr>
        <w:tc>
          <w:tcPr>
            <w:tcW w:w="913" w:type="dxa"/>
            <w:tcBorders>
              <w:top w:val="single" w:color="auto" w:sz="4" w:space="0"/>
              <w:left w:val="single" w:color="auto" w:sz="4" w:space="0"/>
              <w:bottom w:val="single" w:color="auto" w:sz="4" w:space="0"/>
              <w:right w:val="single" w:color="auto" w:sz="4" w:space="0"/>
            </w:tcBorders>
            <w:noWrap/>
          </w:tcPr>
          <w:p>
            <w:pPr>
              <w:autoSpaceDE w:val="0"/>
              <w:autoSpaceDN w:val="0"/>
              <w:adjustRightInd w:val="0"/>
              <w:spacing w:line="360" w:lineRule="auto"/>
              <w:ind w:right="215"/>
              <w:jc w:val="center"/>
              <w:rPr>
                <w:rFonts w:ascii="宋体" w:hAnsi="宋体"/>
                <w:sz w:val="24"/>
                <w:szCs w:val="24"/>
              </w:rPr>
            </w:pPr>
          </w:p>
        </w:tc>
        <w:tc>
          <w:tcPr>
            <w:tcW w:w="914" w:type="dxa"/>
            <w:tcBorders>
              <w:top w:val="single" w:color="auto" w:sz="4" w:space="0"/>
              <w:left w:val="nil"/>
              <w:bottom w:val="single" w:color="auto" w:sz="4" w:space="0"/>
              <w:right w:val="single" w:color="auto" w:sz="4" w:space="0"/>
            </w:tcBorders>
            <w:noWrap/>
          </w:tcPr>
          <w:p>
            <w:pPr>
              <w:autoSpaceDE w:val="0"/>
              <w:autoSpaceDN w:val="0"/>
              <w:adjustRightInd w:val="0"/>
              <w:spacing w:line="360" w:lineRule="auto"/>
              <w:ind w:right="215"/>
              <w:jc w:val="center"/>
              <w:rPr>
                <w:rFonts w:ascii="宋体" w:hAnsi="宋体"/>
                <w:sz w:val="24"/>
                <w:szCs w:val="24"/>
              </w:rPr>
            </w:pPr>
          </w:p>
        </w:tc>
        <w:tc>
          <w:tcPr>
            <w:tcW w:w="914" w:type="dxa"/>
            <w:tcBorders>
              <w:top w:val="single" w:color="auto" w:sz="4" w:space="0"/>
              <w:left w:val="nil"/>
              <w:bottom w:val="single" w:color="auto" w:sz="4" w:space="0"/>
              <w:right w:val="single" w:color="auto" w:sz="4" w:space="0"/>
            </w:tcBorders>
            <w:noWrap/>
          </w:tcPr>
          <w:p>
            <w:pPr>
              <w:autoSpaceDE w:val="0"/>
              <w:autoSpaceDN w:val="0"/>
              <w:adjustRightInd w:val="0"/>
              <w:spacing w:line="360" w:lineRule="auto"/>
              <w:ind w:right="215"/>
              <w:jc w:val="center"/>
              <w:rPr>
                <w:rFonts w:ascii="宋体" w:hAnsi="宋体"/>
                <w:sz w:val="24"/>
                <w:szCs w:val="24"/>
              </w:rPr>
            </w:pPr>
          </w:p>
        </w:tc>
        <w:tc>
          <w:tcPr>
            <w:tcW w:w="1405" w:type="dxa"/>
            <w:tcBorders>
              <w:top w:val="single" w:color="auto" w:sz="4" w:space="0"/>
              <w:left w:val="nil"/>
              <w:bottom w:val="single" w:color="auto" w:sz="4" w:space="0"/>
              <w:right w:val="single" w:color="auto" w:sz="4" w:space="0"/>
            </w:tcBorders>
            <w:noWrap/>
          </w:tcPr>
          <w:p>
            <w:pPr>
              <w:autoSpaceDE w:val="0"/>
              <w:autoSpaceDN w:val="0"/>
              <w:adjustRightInd w:val="0"/>
              <w:spacing w:line="360" w:lineRule="auto"/>
              <w:ind w:right="215"/>
              <w:jc w:val="center"/>
              <w:rPr>
                <w:rFonts w:ascii="宋体" w:hAnsi="宋体"/>
                <w:sz w:val="24"/>
                <w:szCs w:val="24"/>
              </w:rPr>
            </w:pPr>
          </w:p>
        </w:tc>
        <w:tc>
          <w:tcPr>
            <w:tcW w:w="945" w:type="dxa"/>
            <w:tcBorders>
              <w:top w:val="single" w:color="auto" w:sz="4" w:space="0"/>
              <w:left w:val="nil"/>
              <w:bottom w:val="single" w:color="auto" w:sz="4" w:space="0"/>
              <w:right w:val="single" w:color="auto" w:sz="4" w:space="0"/>
            </w:tcBorders>
            <w:noWrap/>
          </w:tcPr>
          <w:p>
            <w:pPr>
              <w:autoSpaceDE w:val="0"/>
              <w:autoSpaceDN w:val="0"/>
              <w:adjustRightInd w:val="0"/>
              <w:spacing w:line="360" w:lineRule="auto"/>
              <w:ind w:right="215"/>
              <w:jc w:val="center"/>
              <w:rPr>
                <w:rFonts w:ascii="宋体" w:hAnsi="宋体"/>
                <w:sz w:val="24"/>
                <w:szCs w:val="24"/>
              </w:rPr>
            </w:pPr>
          </w:p>
        </w:tc>
        <w:tc>
          <w:tcPr>
            <w:tcW w:w="945" w:type="dxa"/>
            <w:tcBorders>
              <w:top w:val="single" w:color="auto" w:sz="4" w:space="0"/>
              <w:left w:val="nil"/>
              <w:bottom w:val="single" w:color="auto" w:sz="4" w:space="0"/>
              <w:right w:val="single" w:color="auto" w:sz="4" w:space="0"/>
            </w:tcBorders>
            <w:noWrap/>
          </w:tcPr>
          <w:p>
            <w:pPr>
              <w:autoSpaceDE w:val="0"/>
              <w:autoSpaceDN w:val="0"/>
              <w:adjustRightInd w:val="0"/>
              <w:spacing w:line="360" w:lineRule="auto"/>
              <w:ind w:right="215"/>
              <w:jc w:val="center"/>
              <w:rPr>
                <w:rFonts w:ascii="宋体" w:hAnsi="宋体"/>
                <w:sz w:val="24"/>
                <w:szCs w:val="24"/>
              </w:rPr>
            </w:pPr>
          </w:p>
        </w:tc>
        <w:tc>
          <w:tcPr>
            <w:tcW w:w="945" w:type="dxa"/>
            <w:tcBorders>
              <w:top w:val="single" w:color="auto" w:sz="4" w:space="0"/>
              <w:left w:val="nil"/>
              <w:bottom w:val="single" w:color="auto" w:sz="4" w:space="0"/>
              <w:right w:val="single" w:color="auto" w:sz="4" w:space="0"/>
            </w:tcBorders>
            <w:noWrap/>
          </w:tcPr>
          <w:p>
            <w:pPr>
              <w:autoSpaceDE w:val="0"/>
              <w:autoSpaceDN w:val="0"/>
              <w:adjustRightInd w:val="0"/>
              <w:spacing w:line="360" w:lineRule="auto"/>
              <w:ind w:right="215"/>
              <w:jc w:val="center"/>
              <w:rPr>
                <w:rFonts w:ascii="宋体" w:hAnsi="宋体"/>
                <w:sz w:val="24"/>
                <w:szCs w:val="24"/>
              </w:rPr>
            </w:pPr>
          </w:p>
        </w:tc>
        <w:tc>
          <w:tcPr>
            <w:tcW w:w="1470" w:type="dxa"/>
            <w:tcBorders>
              <w:top w:val="single" w:color="auto" w:sz="4" w:space="0"/>
              <w:left w:val="nil"/>
              <w:bottom w:val="single" w:color="auto" w:sz="4" w:space="0"/>
              <w:right w:val="single" w:color="auto" w:sz="4" w:space="0"/>
            </w:tcBorders>
            <w:noWrap/>
          </w:tcPr>
          <w:p>
            <w:pPr>
              <w:autoSpaceDE w:val="0"/>
              <w:autoSpaceDN w:val="0"/>
              <w:adjustRightInd w:val="0"/>
              <w:spacing w:line="360" w:lineRule="auto"/>
              <w:ind w:right="215"/>
              <w:jc w:val="center"/>
              <w:rPr>
                <w:rFonts w:ascii="宋体" w:hAnsi="宋体"/>
                <w:sz w:val="24"/>
                <w:szCs w:val="24"/>
              </w:rPr>
            </w:pPr>
          </w:p>
        </w:tc>
        <w:tc>
          <w:tcPr>
            <w:tcW w:w="944" w:type="dxa"/>
            <w:tcBorders>
              <w:top w:val="single" w:color="auto" w:sz="4" w:space="0"/>
              <w:left w:val="nil"/>
              <w:bottom w:val="single" w:color="auto" w:sz="4" w:space="0"/>
              <w:right w:val="single" w:color="auto" w:sz="4" w:space="0"/>
            </w:tcBorders>
            <w:noWrap/>
          </w:tcPr>
          <w:p>
            <w:pPr>
              <w:autoSpaceDE w:val="0"/>
              <w:autoSpaceDN w:val="0"/>
              <w:adjustRightInd w:val="0"/>
              <w:spacing w:line="360" w:lineRule="auto"/>
              <w:ind w:right="215"/>
              <w:jc w:val="center"/>
              <w:rPr>
                <w:rFonts w:ascii="宋体" w:hAnsi="宋体"/>
                <w:sz w:val="24"/>
                <w:szCs w:val="24"/>
              </w:rPr>
            </w:pPr>
          </w:p>
        </w:tc>
      </w:tr>
      <w:tr>
        <w:tblPrEx>
          <w:tblCellMar>
            <w:top w:w="0" w:type="dxa"/>
            <w:left w:w="108" w:type="dxa"/>
            <w:bottom w:w="0" w:type="dxa"/>
            <w:right w:w="108" w:type="dxa"/>
          </w:tblCellMar>
        </w:tblPrEx>
        <w:trPr>
          <w:trHeight w:val="499" w:hRule="atLeast"/>
          <w:jc w:val="center"/>
        </w:trPr>
        <w:tc>
          <w:tcPr>
            <w:tcW w:w="913" w:type="dxa"/>
            <w:tcBorders>
              <w:top w:val="single" w:color="auto" w:sz="4" w:space="0"/>
              <w:left w:val="single" w:color="auto" w:sz="4" w:space="0"/>
              <w:bottom w:val="single" w:color="auto" w:sz="4" w:space="0"/>
              <w:right w:val="single" w:color="auto" w:sz="4" w:space="0"/>
            </w:tcBorders>
            <w:noWrap/>
          </w:tcPr>
          <w:p>
            <w:pPr>
              <w:autoSpaceDE w:val="0"/>
              <w:autoSpaceDN w:val="0"/>
              <w:adjustRightInd w:val="0"/>
              <w:spacing w:line="360" w:lineRule="auto"/>
              <w:ind w:right="215"/>
              <w:jc w:val="center"/>
              <w:rPr>
                <w:rFonts w:ascii="宋体" w:hAnsi="宋体"/>
                <w:sz w:val="24"/>
                <w:szCs w:val="24"/>
              </w:rPr>
            </w:pPr>
          </w:p>
        </w:tc>
        <w:tc>
          <w:tcPr>
            <w:tcW w:w="914" w:type="dxa"/>
            <w:tcBorders>
              <w:top w:val="single" w:color="auto" w:sz="4" w:space="0"/>
              <w:left w:val="nil"/>
              <w:bottom w:val="single" w:color="auto" w:sz="4" w:space="0"/>
              <w:right w:val="single" w:color="auto" w:sz="4" w:space="0"/>
            </w:tcBorders>
            <w:noWrap/>
          </w:tcPr>
          <w:p>
            <w:pPr>
              <w:autoSpaceDE w:val="0"/>
              <w:autoSpaceDN w:val="0"/>
              <w:adjustRightInd w:val="0"/>
              <w:spacing w:line="360" w:lineRule="auto"/>
              <w:ind w:right="215"/>
              <w:jc w:val="center"/>
              <w:rPr>
                <w:rFonts w:ascii="宋体" w:hAnsi="宋体"/>
                <w:sz w:val="24"/>
                <w:szCs w:val="24"/>
              </w:rPr>
            </w:pPr>
          </w:p>
        </w:tc>
        <w:tc>
          <w:tcPr>
            <w:tcW w:w="914" w:type="dxa"/>
            <w:tcBorders>
              <w:top w:val="single" w:color="auto" w:sz="4" w:space="0"/>
              <w:left w:val="nil"/>
              <w:bottom w:val="single" w:color="auto" w:sz="4" w:space="0"/>
              <w:right w:val="single" w:color="auto" w:sz="4" w:space="0"/>
            </w:tcBorders>
            <w:noWrap/>
          </w:tcPr>
          <w:p>
            <w:pPr>
              <w:autoSpaceDE w:val="0"/>
              <w:autoSpaceDN w:val="0"/>
              <w:adjustRightInd w:val="0"/>
              <w:spacing w:line="360" w:lineRule="auto"/>
              <w:ind w:right="215"/>
              <w:jc w:val="center"/>
              <w:rPr>
                <w:rFonts w:ascii="宋体" w:hAnsi="宋体"/>
                <w:sz w:val="24"/>
                <w:szCs w:val="24"/>
              </w:rPr>
            </w:pPr>
          </w:p>
        </w:tc>
        <w:tc>
          <w:tcPr>
            <w:tcW w:w="1405" w:type="dxa"/>
            <w:tcBorders>
              <w:top w:val="single" w:color="auto" w:sz="4" w:space="0"/>
              <w:left w:val="nil"/>
              <w:bottom w:val="single" w:color="auto" w:sz="4" w:space="0"/>
              <w:right w:val="single" w:color="auto" w:sz="4" w:space="0"/>
            </w:tcBorders>
            <w:noWrap/>
          </w:tcPr>
          <w:p>
            <w:pPr>
              <w:autoSpaceDE w:val="0"/>
              <w:autoSpaceDN w:val="0"/>
              <w:adjustRightInd w:val="0"/>
              <w:spacing w:line="360" w:lineRule="auto"/>
              <w:ind w:right="215"/>
              <w:jc w:val="center"/>
              <w:rPr>
                <w:rFonts w:ascii="宋体" w:hAnsi="宋体"/>
                <w:sz w:val="24"/>
                <w:szCs w:val="24"/>
              </w:rPr>
            </w:pPr>
          </w:p>
        </w:tc>
        <w:tc>
          <w:tcPr>
            <w:tcW w:w="945" w:type="dxa"/>
            <w:tcBorders>
              <w:top w:val="single" w:color="auto" w:sz="4" w:space="0"/>
              <w:left w:val="nil"/>
              <w:bottom w:val="single" w:color="auto" w:sz="4" w:space="0"/>
              <w:right w:val="single" w:color="auto" w:sz="4" w:space="0"/>
            </w:tcBorders>
            <w:noWrap/>
          </w:tcPr>
          <w:p>
            <w:pPr>
              <w:autoSpaceDE w:val="0"/>
              <w:autoSpaceDN w:val="0"/>
              <w:adjustRightInd w:val="0"/>
              <w:spacing w:line="360" w:lineRule="auto"/>
              <w:ind w:right="215"/>
              <w:jc w:val="center"/>
              <w:rPr>
                <w:rFonts w:ascii="宋体" w:hAnsi="宋体"/>
                <w:sz w:val="24"/>
                <w:szCs w:val="24"/>
              </w:rPr>
            </w:pPr>
          </w:p>
        </w:tc>
        <w:tc>
          <w:tcPr>
            <w:tcW w:w="945" w:type="dxa"/>
            <w:tcBorders>
              <w:top w:val="single" w:color="auto" w:sz="4" w:space="0"/>
              <w:left w:val="nil"/>
              <w:bottom w:val="single" w:color="auto" w:sz="4" w:space="0"/>
              <w:right w:val="single" w:color="auto" w:sz="4" w:space="0"/>
            </w:tcBorders>
            <w:noWrap/>
          </w:tcPr>
          <w:p>
            <w:pPr>
              <w:autoSpaceDE w:val="0"/>
              <w:autoSpaceDN w:val="0"/>
              <w:adjustRightInd w:val="0"/>
              <w:spacing w:line="360" w:lineRule="auto"/>
              <w:ind w:right="215"/>
              <w:jc w:val="center"/>
              <w:rPr>
                <w:rFonts w:ascii="宋体" w:hAnsi="宋体"/>
                <w:sz w:val="24"/>
                <w:szCs w:val="24"/>
              </w:rPr>
            </w:pPr>
          </w:p>
        </w:tc>
        <w:tc>
          <w:tcPr>
            <w:tcW w:w="945" w:type="dxa"/>
            <w:tcBorders>
              <w:top w:val="single" w:color="auto" w:sz="4" w:space="0"/>
              <w:left w:val="nil"/>
              <w:bottom w:val="single" w:color="auto" w:sz="4" w:space="0"/>
              <w:right w:val="single" w:color="auto" w:sz="4" w:space="0"/>
            </w:tcBorders>
            <w:noWrap/>
          </w:tcPr>
          <w:p>
            <w:pPr>
              <w:autoSpaceDE w:val="0"/>
              <w:autoSpaceDN w:val="0"/>
              <w:adjustRightInd w:val="0"/>
              <w:spacing w:line="360" w:lineRule="auto"/>
              <w:ind w:right="215"/>
              <w:jc w:val="center"/>
              <w:rPr>
                <w:rFonts w:ascii="宋体" w:hAnsi="宋体"/>
                <w:sz w:val="24"/>
                <w:szCs w:val="24"/>
              </w:rPr>
            </w:pPr>
          </w:p>
        </w:tc>
        <w:tc>
          <w:tcPr>
            <w:tcW w:w="1470" w:type="dxa"/>
            <w:tcBorders>
              <w:top w:val="single" w:color="auto" w:sz="4" w:space="0"/>
              <w:left w:val="nil"/>
              <w:bottom w:val="single" w:color="auto" w:sz="4" w:space="0"/>
              <w:right w:val="single" w:color="auto" w:sz="4" w:space="0"/>
            </w:tcBorders>
            <w:noWrap/>
          </w:tcPr>
          <w:p>
            <w:pPr>
              <w:autoSpaceDE w:val="0"/>
              <w:autoSpaceDN w:val="0"/>
              <w:adjustRightInd w:val="0"/>
              <w:spacing w:line="360" w:lineRule="auto"/>
              <w:ind w:right="215"/>
              <w:jc w:val="center"/>
              <w:rPr>
                <w:rFonts w:ascii="宋体" w:hAnsi="宋体"/>
                <w:sz w:val="24"/>
                <w:szCs w:val="24"/>
              </w:rPr>
            </w:pPr>
          </w:p>
        </w:tc>
        <w:tc>
          <w:tcPr>
            <w:tcW w:w="944" w:type="dxa"/>
            <w:tcBorders>
              <w:top w:val="single" w:color="auto" w:sz="4" w:space="0"/>
              <w:left w:val="nil"/>
              <w:bottom w:val="single" w:color="auto" w:sz="4" w:space="0"/>
              <w:right w:val="single" w:color="auto" w:sz="4" w:space="0"/>
            </w:tcBorders>
            <w:noWrap/>
          </w:tcPr>
          <w:p>
            <w:pPr>
              <w:autoSpaceDE w:val="0"/>
              <w:autoSpaceDN w:val="0"/>
              <w:adjustRightInd w:val="0"/>
              <w:spacing w:line="360" w:lineRule="auto"/>
              <w:ind w:right="215"/>
              <w:jc w:val="center"/>
              <w:rPr>
                <w:rFonts w:ascii="宋体" w:hAnsi="宋体"/>
                <w:sz w:val="24"/>
                <w:szCs w:val="24"/>
              </w:rPr>
            </w:pPr>
          </w:p>
        </w:tc>
      </w:tr>
      <w:tr>
        <w:tblPrEx>
          <w:tblCellMar>
            <w:top w:w="0" w:type="dxa"/>
            <w:left w:w="108" w:type="dxa"/>
            <w:bottom w:w="0" w:type="dxa"/>
            <w:right w:w="108" w:type="dxa"/>
          </w:tblCellMar>
        </w:tblPrEx>
        <w:trPr>
          <w:trHeight w:val="499" w:hRule="atLeast"/>
          <w:jc w:val="center"/>
        </w:trPr>
        <w:tc>
          <w:tcPr>
            <w:tcW w:w="913" w:type="dxa"/>
            <w:tcBorders>
              <w:top w:val="single" w:color="auto" w:sz="4" w:space="0"/>
              <w:left w:val="single" w:color="auto" w:sz="4" w:space="0"/>
              <w:bottom w:val="single" w:color="auto" w:sz="4" w:space="0"/>
              <w:right w:val="single" w:color="auto" w:sz="4" w:space="0"/>
            </w:tcBorders>
            <w:noWrap/>
          </w:tcPr>
          <w:p>
            <w:pPr>
              <w:autoSpaceDE w:val="0"/>
              <w:autoSpaceDN w:val="0"/>
              <w:adjustRightInd w:val="0"/>
              <w:spacing w:line="360" w:lineRule="auto"/>
              <w:ind w:right="215"/>
              <w:jc w:val="center"/>
              <w:rPr>
                <w:rFonts w:ascii="宋体" w:hAnsi="宋体"/>
                <w:sz w:val="24"/>
                <w:szCs w:val="24"/>
              </w:rPr>
            </w:pPr>
          </w:p>
        </w:tc>
        <w:tc>
          <w:tcPr>
            <w:tcW w:w="914" w:type="dxa"/>
            <w:tcBorders>
              <w:top w:val="single" w:color="auto" w:sz="4" w:space="0"/>
              <w:left w:val="nil"/>
              <w:bottom w:val="single" w:color="auto" w:sz="4" w:space="0"/>
              <w:right w:val="single" w:color="auto" w:sz="4" w:space="0"/>
            </w:tcBorders>
            <w:noWrap/>
          </w:tcPr>
          <w:p>
            <w:pPr>
              <w:autoSpaceDE w:val="0"/>
              <w:autoSpaceDN w:val="0"/>
              <w:adjustRightInd w:val="0"/>
              <w:spacing w:line="360" w:lineRule="auto"/>
              <w:ind w:right="215"/>
              <w:jc w:val="center"/>
              <w:rPr>
                <w:rFonts w:ascii="宋体" w:hAnsi="宋体"/>
                <w:sz w:val="24"/>
                <w:szCs w:val="24"/>
              </w:rPr>
            </w:pPr>
          </w:p>
        </w:tc>
        <w:tc>
          <w:tcPr>
            <w:tcW w:w="914" w:type="dxa"/>
            <w:tcBorders>
              <w:top w:val="single" w:color="auto" w:sz="4" w:space="0"/>
              <w:left w:val="nil"/>
              <w:bottom w:val="single" w:color="auto" w:sz="4" w:space="0"/>
              <w:right w:val="single" w:color="auto" w:sz="4" w:space="0"/>
            </w:tcBorders>
            <w:noWrap/>
          </w:tcPr>
          <w:p>
            <w:pPr>
              <w:autoSpaceDE w:val="0"/>
              <w:autoSpaceDN w:val="0"/>
              <w:adjustRightInd w:val="0"/>
              <w:spacing w:line="360" w:lineRule="auto"/>
              <w:ind w:right="215"/>
              <w:jc w:val="center"/>
              <w:rPr>
                <w:rFonts w:ascii="宋体" w:hAnsi="宋体"/>
                <w:sz w:val="24"/>
                <w:szCs w:val="24"/>
              </w:rPr>
            </w:pPr>
          </w:p>
        </w:tc>
        <w:tc>
          <w:tcPr>
            <w:tcW w:w="1405" w:type="dxa"/>
            <w:tcBorders>
              <w:top w:val="single" w:color="auto" w:sz="4" w:space="0"/>
              <w:left w:val="nil"/>
              <w:bottom w:val="single" w:color="auto" w:sz="4" w:space="0"/>
              <w:right w:val="single" w:color="auto" w:sz="4" w:space="0"/>
            </w:tcBorders>
            <w:noWrap/>
          </w:tcPr>
          <w:p>
            <w:pPr>
              <w:autoSpaceDE w:val="0"/>
              <w:autoSpaceDN w:val="0"/>
              <w:adjustRightInd w:val="0"/>
              <w:spacing w:line="360" w:lineRule="auto"/>
              <w:ind w:right="215"/>
              <w:jc w:val="center"/>
              <w:rPr>
                <w:rFonts w:ascii="宋体" w:hAnsi="宋体"/>
                <w:sz w:val="24"/>
                <w:szCs w:val="24"/>
              </w:rPr>
            </w:pPr>
          </w:p>
        </w:tc>
        <w:tc>
          <w:tcPr>
            <w:tcW w:w="945" w:type="dxa"/>
            <w:tcBorders>
              <w:top w:val="single" w:color="auto" w:sz="4" w:space="0"/>
              <w:left w:val="nil"/>
              <w:bottom w:val="single" w:color="auto" w:sz="4" w:space="0"/>
              <w:right w:val="single" w:color="auto" w:sz="4" w:space="0"/>
            </w:tcBorders>
            <w:noWrap/>
          </w:tcPr>
          <w:p>
            <w:pPr>
              <w:autoSpaceDE w:val="0"/>
              <w:autoSpaceDN w:val="0"/>
              <w:adjustRightInd w:val="0"/>
              <w:spacing w:line="360" w:lineRule="auto"/>
              <w:ind w:right="215"/>
              <w:jc w:val="center"/>
              <w:rPr>
                <w:rFonts w:ascii="宋体" w:hAnsi="宋体"/>
                <w:sz w:val="24"/>
                <w:szCs w:val="24"/>
              </w:rPr>
            </w:pPr>
          </w:p>
        </w:tc>
        <w:tc>
          <w:tcPr>
            <w:tcW w:w="945" w:type="dxa"/>
            <w:tcBorders>
              <w:top w:val="single" w:color="auto" w:sz="4" w:space="0"/>
              <w:left w:val="nil"/>
              <w:bottom w:val="single" w:color="auto" w:sz="4" w:space="0"/>
              <w:right w:val="single" w:color="auto" w:sz="4" w:space="0"/>
            </w:tcBorders>
            <w:noWrap/>
          </w:tcPr>
          <w:p>
            <w:pPr>
              <w:autoSpaceDE w:val="0"/>
              <w:autoSpaceDN w:val="0"/>
              <w:adjustRightInd w:val="0"/>
              <w:spacing w:line="360" w:lineRule="auto"/>
              <w:ind w:right="215"/>
              <w:jc w:val="center"/>
              <w:rPr>
                <w:rFonts w:ascii="宋体" w:hAnsi="宋体"/>
                <w:sz w:val="24"/>
                <w:szCs w:val="24"/>
              </w:rPr>
            </w:pPr>
          </w:p>
        </w:tc>
        <w:tc>
          <w:tcPr>
            <w:tcW w:w="945" w:type="dxa"/>
            <w:tcBorders>
              <w:top w:val="single" w:color="auto" w:sz="4" w:space="0"/>
              <w:left w:val="nil"/>
              <w:bottom w:val="single" w:color="auto" w:sz="4" w:space="0"/>
              <w:right w:val="single" w:color="auto" w:sz="4" w:space="0"/>
            </w:tcBorders>
            <w:noWrap/>
          </w:tcPr>
          <w:p>
            <w:pPr>
              <w:autoSpaceDE w:val="0"/>
              <w:autoSpaceDN w:val="0"/>
              <w:adjustRightInd w:val="0"/>
              <w:spacing w:line="360" w:lineRule="auto"/>
              <w:ind w:right="215"/>
              <w:jc w:val="center"/>
              <w:rPr>
                <w:rFonts w:ascii="宋体" w:hAnsi="宋体"/>
                <w:sz w:val="24"/>
                <w:szCs w:val="24"/>
              </w:rPr>
            </w:pPr>
          </w:p>
        </w:tc>
        <w:tc>
          <w:tcPr>
            <w:tcW w:w="1470" w:type="dxa"/>
            <w:tcBorders>
              <w:top w:val="single" w:color="auto" w:sz="4" w:space="0"/>
              <w:left w:val="nil"/>
              <w:bottom w:val="single" w:color="auto" w:sz="4" w:space="0"/>
              <w:right w:val="single" w:color="auto" w:sz="4" w:space="0"/>
            </w:tcBorders>
            <w:noWrap/>
          </w:tcPr>
          <w:p>
            <w:pPr>
              <w:autoSpaceDE w:val="0"/>
              <w:autoSpaceDN w:val="0"/>
              <w:adjustRightInd w:val="0"/>
              <w:spacing w:line="360" w:lineRule="auto"/>
              <w:ind w:right="215"/>
              <w:jc w:val="center"/>
              <w:rPr>
                <w:rFonts w:ascii="宋体" w:hAnsi="宋体"/>
                <w:sz w:val="24"/>
                <w:szCs w:val="24"/>
              </w:rPr>
            </w:pPr>
          </w:p>
        </w:tc>
        <w:tc>
          <w:tcPr>
            <w:tcW w:w="944" w:type="dxa"/>
            <w:tcBorders>
              <w:top w:val="single" w:color="auto" w:sz="4" w:space="0"/>
              <w:left w:val="nil"/>
              <w:bottom w:val="single" w:color="auto" w:sz="4" w:space="0"/>
              <w:right w:val="single" w:color="auto" w:sz="4" w:space="0"/>
            </w:tcBorders>
            <w:noWrap/>
          </w:tcPr>
          <w:p>
            <w:pPr>
              <w:autoSpaceDE w:val="0"/>
              <w:autoSpaceDN w:val="0"/>
              <w:adjustRightInd w:val="0"/>
              <w:spacing w:line="360" w:lineRule="auto"/>
              <w:ind w:right="215"/>
              <w:jc w:val="center"/>
              <w:rPr>
                <w:rFonts w:ascii="宋体" w:hAnsi="宋体"/>
                <w:sz w:val="24"/>
                <w:szCs w:val="24"/>
              </w:rPr>
            </w:pPr>
          </w:p>
        </w:tc>
      </w:tr>
    </w:tbl>
    <w:p>
      <w:pPr>
        <w:spacing w:beforeLines="50" w:afterLines="100" w:line="420" w:lineRule="exact"/>
        <w:jc w:val="center"/>
        <w:rPr>
          <w:rFonts w:ascii="宋体" w:hAnsi="宋体"/>
          <w:b/>
          <w:bCs/>
          <w:sz w:val="24"/>
          <w:szCs w:val="24"/>
        </w:rPr>
      </w:pPr>
    </w:p>
    <w:p>
      <w:pPr>
        <w:spacing w:beforeLines="50" w:afterLines="100" w:line="420" w:lineRule="exact"/>
        <w:jc w:val="center"/>
        <w:rPr>
          <w:rFonts w:ascii="宋体" w:hAnsi="宋体"/>
          <w:b/>
          <w:bCs/>
          <w:sz w:val="24"/>
          <w:szCs w:val="24"/>
        </w:rPr>
      </w:pPr>
    </w:p>
    <w:p>
      <w:pPr>
        <w:spacing w:beforeLines="50" w:afterLines="100" w:line="420" w:lineRule="exact"/>
        <w:jc w:val="center"/>
        <w:rPr>
          <w:rFonts w:ascii="宋体" w:hAnsi="宋体"/>
          <w:b/>
          <w:bCs/>
          <w:sz w:val="24"/>
          <w:szCs w:val="24"/>
        </w:rPr>
      </w:pPr>
    </w:p>
    <w:p/>
    <w:p/>
    <w:p/>
    <w:p/>
    <w:p>
      <w:pPr>
        <w:pStyle w:val="14"/>
        <w:ind w:firstLine="210"/>
      </w:pPr>
    </w:p>
    <w:p>
      <w:pPr>
        <w:spacing w:beforeLines="50" w:afterLines="100" w:line="420" w:lineRule="exact"/>
        <w:jc w:val="center"/>
        <w:rPr>
          <w:rFonts w:ascii="宋体" w:hAnsi="宋体"/>
          <w:b/>
          <w:bCs/>
          <w:sz w:val="32"/>
          <w:szCs w:val="32"/>
        </w:rPr>
      </w:pPr>
    </w:p>
    <w:p>
      <w:pPr>
        <w:spacing w:beforeLines="50" w:afterLines="100" w:line="420" w:lineRule="exact"/>
        <w:jc w:val="center"/>
        <w:rPr>
          <w:rFonts w:ascii="宋体" w:hAnsi="宋体"/>
          <w:b/>
          <w:bCs/>
          <w:sz w:val="32"/>
          <w:szCs w:val="32"/>
        </w:rPr>
      </w:pPr>
    </w:p>
    <w:p>
      <w:pPr>
        <w:spacing w:beforeLines="50" w:afterLines="100" w:line="420" w:lineRule="exact"/>
        <w:jc w:val="center"/>
        <w:rPr>
          <w:rFonts w:ascii="宋体" w:hAnsi="宋体"/>
          <w:b/>
          <w:bCs/>
          <w:sz w:val="32"/>
          <w:szCs w:val="32"/>
        </w:rPr>
      </w:pPr>
    </w:p>
    <w:p>
      <w:pPr>
        <w:spacing w:beforeLines="50" w:afterLines="100" w:line="420" w:lineRule="exact"/>
        <w:jc w:val="center"/>
        <w:rPr>
          <w:rFonts w:ascii="宋体" w:hAnsi="宋体"/>
          <w:b/>
          <w:bCs/>
          <w:sz w:val="32"/>
          <w:szCs w:val="32"/>
        </w:rPr>
      </w:pPr>
    </w:p>
    <w:p>
      <w:pPr>
        <w:spacing w:beforeLines="50" w:afterLines="100" w:line="420" w:lineRule="exact"/>
        <w:jc w:val="center"/>
        <w:rPr>
          <w:rFonts w:ascii="宋体" w:hAnsi="宋体"/>
          <w:b/>
          <w:bCs/>
          <w:sz w:val="32"/>
          <w:szCs w:val="32"/>
        </w:rPr>
      </w:pPr>
      <w:r>
        <w:rPr>
          <w:rFonts w:hint="eastAsia" w:ascii="宋体" w:hAnsi="宋体"/>
          <w:b/>
          <w:bCs/>
          <w:sz w:val="32"/>
          <w:szCs w:val="32"/>
        </w:rPr>
        <w:t>（二）主要人员简历表</w:t>
      </w:r>
    </w:p>
    <w:p>
      <w:pPr>
        <w:spacing w:line="420" w:lineRule="exact"/>
        <w:rPr>
          <w:rFonts w:ascii="宋体" w:hAnsi="宋体"/>
          <w:sz w:val="24"/>
          <w:szCs w:val="24"/>
        </w:rPr>
      </w:pPr>
      <w:r>
        <w:rPr>
          <w:rFonts w:hint="eastAsia" w:ascii="宋体" w:hAnsi="宋体"/>
          <w:sz w:val="24"/>
          <w:szCs w:val="24"/>
        </w:rPr>
        <w:t>附1：项目经理简历表</w:t>
      </w:r>
    </w:p>
    <w:p>
      <w:pPr>
        <w:spacing w:line="420" w:lineRule="exact"/>
        <w:ind w:firstLine="480" w:firstLineChars="200"/>
        <w:rPr>
          <w:rFonts w:ascii="宋体" w:hAnsi="宋体"/>
          <w:sz w:val="24"/>
          <w:szCs w:val="24"/>
        </w:rPr>
      </w:pPr>
      <w:r>
        <w:rPr>
          <w:rFonts w:hint="eastAsia" w:ascii="宋体" w:hAnsi="宋体"/>
          <w:sz w:val="24"/>
          <w:szCs w:val="24"/>
        </w:rPr>
        <w:t>项目经理应附</w:t>
      </w:r>
      <w:r>
        <w:rPr>
          <w:rFonts w:hint="eastAsia" w:ascii="宋体" w:hAnsi="宋体" w:cs="仿宋_GB2312"/>
          <w:kern w:val="0"/>
          <w:sz w:val="24"/>
          <w:szCs w:val="24"/>
        </w:rPr>
        <w:t>建造师注册资格证书、安全生产考核合格证书、身份证</w:t>
      </w:r>
      <w:r>
        <w:rPr>
          <w:rFonts w:hint="eastAsia" w:ascii="宋体" w:hAnsi="宋体"/>
          <w:sz w:val="24"/>
          <w:szCs w:val="24"/>
        </w:rPr>
        <w:t>、职称证、养老保险复印件，管理过的项目业绩须</w:t>
      </w:r>
      <w:r>
        <w:rPr>
          <w:rFonts w:hint="eastAsia" w:ascii="宋体" w:hAnsi="宋体" w:cs="仿宋_GB2312"/>
          <w:kern w:val="0"/>
          <w:sz w:val="24"/>
          <w:szCs w:val="24"/>
        </w:rPr>
        <w:t>提供法定媒介中标(成交)公示网页截图、合同、中标通知书(或竣工备案表)，并在投标文件中附完整的复印件。</w:t>
      </w:r>
      <w:r>
        <w:rPr>
          <w:rFonts w:hint="eastAsia" w:ascii="宋体" w:hAnsi="宋体"/>
          <w:sz w:val="24"/>
          <w:szCs w:val="24"/>
        </w:rPr>
        <w:t>类似项目限于以项目经理身份参与的项目。</w:t>
      </w:r>
    </w:p>
    <w:tbl>
      <w:tblPr>
        <w:tblStyle w:val="16"/>
        <w:tblW w:w="9039" w:type="dxa"/>
        <w:jc w:val="center"/>
        <w:tblLayout w:type="fixed"/>
        <w:tblCellMar>
          <w:top w:w="0" w:type="dxa"/>
          <w:left w:w="108" w:type="dxa"/>
          <w:bottom w:w="0" w:type="dxa"/>
          <w:right w:w="108" w:type="dxa"/>
        </w:tblCellMar>
      </w:tblPr>
      <w:tblGrid>
        <w:gridCol w:w="1233"/>
        <w:gridCol w:w="1029"/>
        <w:gridCol w:w="1204"/>
        <w:gridCol w:w="1355"/>
        <w:gridCol w:w="1959"/>
        <w:gridCol w:w="2259"/>
      </w:tblGrid>
      <w:tr>
        <w:tblPrEx>
          <w:tblCellMar>
            <w:top w:w="0" w:type="dxa"/>
            <w:left w:w="108" w:type="dxa"/>
            <w:bottom w:w="0" w:type="dxa"/>
            <w:right w:w="108" w:type="dxa"/>
          </w:tblCellMar>
        </w:tblPrEx>
        <w:trPr>
          <w:trHeight w:val="374" w:hRule="atLeast"/>
          <w:jc w:val="center"/>
        </w:trPr>
        <w:tc>
          <w:tcPr>
            <w:tcW w:w="1233"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 w:val="24"/>
                <w:szCs w:val="24"/>
              </w:rPr>
            </w:pPr>
            <w:r>
              <w:rPr>
                <w:rFonts w:hint="eastAsia" w:ascii="宋体" w:hAnsi="宋体"/>
                <w:sz w:val="24"/>
                <w:szCs w:val="24"/>
              </w:rPr>
              <w:t>姓  名</w:t>
            </w:r>
          </w:p>
        </w:tc>
        <w:tc>
          <w:tcPr>
            <w:tcW w:w="1029" w:type="dxa"/>
            <w:tcBorders>
              <w:top w:val="single" w:color="auto" w:sz="4" w:space="0"/>
              <w:left w:val="nil"/>
              <w:bottom w:val="single" w:color="auto" w:sz="4" w:space="0"/>
              <w:right w:val="single" w:color="auto" w:sz="4" w:space="0"/>
            </w:tcBorders>
            <w:noWrap/>
            <w:vAlign w:val="center"/>
          </w:tcPr>
          <w:p>
            <w:pPr>
              <w:jc w:val="center"/>
              <w:rPr>
                <w:rFonts w:ascii="宋体" w:hAnsi="宋体"/>
                <w:sz w:val="24"/>
                <w:szCs w:val="24"/>
              </w:rPr>
            </w:pPr>
          </w:p>
        </w:tc>
        <w:tc>
          <w:tcPr>
            <w:tcW w:w="1204" w:type="dxa"/>
            <w:tcBorders>
              <w:top w:val="single" w:color="auto" w:sz="4" w:space="0"/>
              <w:left w:val="nil"/>
              <w:bottom w:val="single" w:color="auto" w:sz="4" w:space="0"/>
              <w:right w:val="single" w:color="auto" w:sz="4" w:space="0"/>
            </w:tcBorders>
            <w:noWrap/>
            <w:vAlign w:val="center"/>
          </w:tcPr>
          <w:p>
            <w:pPr>
              <w:jc w:val="center"/>
              <w:rPr>
                <w:rFonts w:ascii="宋体" w:hAnsi="宋体"/>
                <w:sz w:val="24"/>
                <w:szCs w:val="24"/>
              </w:rPr>
            </w:pPr>
            <w:r>
              <w:rPr>
                <w:rFonts w:hint="eastAsia" w:ascii="宋体" w:hAnsi="宋体"/>
                <w:sz w:val="24"/>
                <w:szCs w:val="24"/>
              </w:rPr>
              <w:t>年  龄</w:t>
            </w:r>
          </w:p>
        </w:tc>
        <w:tc>
          <w:tcPr>
            <w:tcW w:w="1355" w:type="dxa"/>
            <w:tcBorders>
              <w:top w:val="single" w:color="auto" w:sz="4" w:space="0"/>
              <w:left w:val="nil"/>
              <w:bottom w:val="single" w:color="auto" w:sz="4" w:space="0"/>
              <w:right w:val="single" w:color="auto" w:sz="4" w:space="0"/>
            </w:tcBorders>
            <w:noWrap/>
            <w:vAlign w:val="center"/>
          </w:tcPr>
          <w:p>
            <w:pPr>
              <w:jc w:val="center"/>
              <w:rPr>
                <w:rFonts w:ascii="宋体" w:hAnsi="宋体"/>
                <w:sz w:val="24"/>
                <w:szCs w:val="24"/>
              </w:rPr>
            </w:pPr>
          </w:p>
        </w:tc>
        <w:tc>
          <w:tcPr>
            <w:tcW w:w="1959" w:type="dxa"/>
            <w:tcBorders>
              <w:top w:val="single" w:color="auto" w:sz="4" w:space="0"/>
              <w:left w:val="nil"/>
              <w:bottom w:val="single" w:color="auto" w:sz="4" w:space="0"/>
              <w:right w:val="single" w:color="auto" w:sz="4" w:space="0"/>
            </w:tcBorders>
            <w:noWrap/>
            <w:vAlign w:val="center"/>
          </w:tcPr>
          <w:p>
            <w:pPr>
              <w:jc w:val="center"/>
              <w:rPr>
                <w:rFonts w:ascii="宋体" w:hAnsi="宋体"/>
                <w:sz w:val="24"/>
                <w:szCs w:val="24"/>
              </w:rPr>
            </w:pPr>
            <w:r>
              <w:rPr>
                <w:rFonts w:hint="eastAsia" w:ascii="宋体" w:hAnsi="宋体"/>
                <w:sz w:val="24"/>
                <w:szCs w:val="24"/>
              </w:rPr>
              <w:t>学历</w:t>
            </w:r>
          </w:p>
        </w:tc>
        <w:tc>
          <w:tcPr>
            <w:tcW w:w="2259" w:type="dxa"/>
            <w:tcBorders>
              <w:top w:val="single" w:color="auto" w:sz="4" w:space="0"/>
              <w:left w:val="nil"/>
              <w:bottom w:val="single" w:color="auto" w:sz="4" w:space="0"/>
              <w:right w:val="single" w:color="auto" w:sz="4" w:space="0"/>
            </w:tcBorders>
            <w:noWrap/>
            <w:vAlign w:val="center"/>
          </w:tcPr>
          <w:p>
            <w:pPr>
              <w:jc w:val="center"/>
              <w:rPr>
                <w:rFonts w:ascii="宋体" w:hAnsi="宋体"/>
                <w:sz w:val="24"/>
                <w:szCs w:val="24"/>
              </w:rPr>
            </w:pPr>
          </w:p>
        </w:tc>
      </w:tr>
      <w:tr>
        <w:tblPrEx>
          <w:tblCellMar>
            <w:top w:w="0" w:type="dxa"/>
            <w:left w:w="108" w:type="dxa"/>
            <w:bottom w:w="0" w:type="dxa"/>
            <w:right w:w="108" w:type="dxa"/>
          </w:tblCellMar>
        </w:tblPrEx>
        <w:trPr>
          <w:trHeight w:val="374" w:hRule="atLeast"/>
          <w:jc w:val="center"/>
        </w:trPr>
        <w:tc>
          <w:tcPr>
            <w:tcW w:w="1233"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 w:val="24"/>
                <w:szCs w:val="24"/>
              </w:rPr>
            </w:pPr>
            <w:r>
              <w:rPr>
                <w:rFonts w:hint="eastAsia" w:ascii="宋体" w:hAnsi="宋体"/>
                <w:sz w:val="24"/>
                <w:szCs w:val="24"/>
              </w:rPr>
              <w:t>职  称</w:t>
            </w:r>
          </w:p>
        </w:tc>
        <w:tc>
          <w:tcPr>
            <w:tcW w:w="1029" w:type="dxa"/>
            <w:tcBorders>
              <w:top w:val="single" w:color="auto" w:sz="4" w:space="0"/>
              <w:left w:val="nil"/>
              <w:bottom w:val="single" w:color="auto" w:sz="4" w:space="0"/>
              <w:right w:val="single" w:color="auto" w:sz="4" w:space="0"/>
            </w:tcBorders>
            <w:noWrap/>
            <w:vAlign w:val="center"/>
          </w:tcPr>
          <w:p>
            <w:pPr>
              <w:jc w:val="center"/>
              <w:rPr>
                <w:rFonts w:ascii="宋体" w:hAnsi="宋体"/>
                <w:sz w:val="24"/>
                <w:szCs w:val="24"/>
              </w:rPr>
            </w:pPr>
          </w:p>
        </w:tc>
        <w:tc>
          <w:tcPr>
            <w:tcW w:w="1204" w:type="dxa"/>
            <w:tcBorders>
              <w:top w:val="single" w:color="auto" w:sz="4" w:space="0"/>
              <w:left w:val="nil"/>
              <w:bottom w:val="single" w:color="auto" w:sz="4" w:space="0"/>
              <w:right w:val="single" w:color="auto" w:sz="4" w:space="0"/>
            </w:tcBorders>
            <w:noWrap/>
            <w:vAlign w:val="center"/>
          </w:tcPr>
          <w:p>
            <w:pPr>
              <w:jc w:val="center"/>
              <w:rPr>
                <w:rFonts w:ascii="宋体" w:hAnsi="宋体"/>
                <w:sz w:val="24"/>
                <w:szCs w:val="24"/>
              </w:rPr>
            </w:pPr>
            <w:r>
              <w:rPr>
                <w:rFonts w:hint="eastAsia" w:ascii="宋体" w:hAnsi="宋体"/>
                <w:sz w:val="24"/>
                <w:szCs w:val="24"/>
              </w:rPr>
              <w:t>职  务</w:t>
            </w:r>
          </w:p>
        </w:tc>
        <w:tc>
          <w:tcPr>
            <w:tcW w:w="1355" w:type="dxa"/>
            <w:tcBorders>
              <w:top w:val="single" w:color="auto" w:sz="4" w:space="0"/>
              <w:left w:val="nil"/>
              <w:bottom w:val="single" w:color="auto" w:sz="4" w:space="0"/>
              <w:right w:val="single" w:color="auto" w:sz="4" w:space="0"/>
            </w:tcBorders>
            <w:noWrap/>
            <w:vAlign w:val="center"/>
          </w:tcPr>
          <w:p>
            <w:pPr>
              <w:jc w:val="center"/>
              <w:rPr>
                <w:rFonts w:ascii="宋体" w:hAnsi="宋体"/>
                <w:sz w:val="24"/>
                <w:szCs w:val="24"/>
              </w:rPr>
            </w:pPr>
          </w:p>
        </w:tc>
        <w:tc>
          <w:tcPr>
            <w:tcW w:w="1959" w:type="dxa"/>
            <w:tcBorders>
              <w:top w:val="single" w:color="auto" w:sz="4" w:space="0"/>
              <w:left w:val="nil"/>
              <w:bottom w:val="single" w:color="auto" w:sz="4" w:space="0"/>
              <w:right w:val="single" w:color="auto" w:sz="4" w:space="0"/>
            </w:tcBorders>
            <w:noWrap/>
            <w:vAlign w:val="center"/>
          </w:tcPr>
          <w:p>
            <w:pPr>
              <w:jc w:val="center"/>
              <w:rPr>
                <w:rFonts w:ascii="宋体" w:hAnsi="宋体"/>
                <w:sz w:val="24"/>
                <w:szCs w:val="24"/>
              </w:rPr>
            </w:pPr>
            <w:r>
              <w:rPr>
                <w:rFonts w:hint="eastAsia" w:ascii="宋体" w:hAnsi="宋体"/>
                <w:sz w:val="24"/>
                <w:szCs w:val="24"/>
              </w:rPr>
              <w:t>拟在本工程任职</w:t>
            </w:r>
          </w:p>
        </w:tc>
        <w:tc>
          <w:tcPr>
            <w:tcW w:w="2259" w:type="dxa"/>
            <w:tcBorders>
              <w:top w:val="single" w:color="auto" w:sz="4" w:space="0"/>
              <w:left w:val="nil"/>
              <w:bottom w:val="single" w:color="auto" w:sz="4" w:space="0"/>
              <w:right w:val="single" w:color="auto" w:sz="4" w:space="0"/>
            </w:tcBorders>
            <w:noWrap/>
            <w:vAlign w:val="center"/>
          </w:tcPr>
          <w:p>
            <w:pPr>
              <w:jc w:val="center"/>
              <w:rPr>
                <w:rFonts w:ascii="宋体" w:hAnsi="宋体"/>
                <w:sz w:val="24"/>
                <w:szCs w:val="24"/>
              </w:rPr>
            </w:pPr>
          </w:p>
        </w:tc>
      </w:tr>
      <w:tr>
        <w:tblPrEx>
          <w:tblCellMar>
            <w:top w:w="0" w:type="dxa"/>
            <w:left w:w="108" w:type="dxa"/>
            <w:bottom w:w="0" w:type="dxa"/>
            <w:right w:w="108" w:type="dxa"/>
          </w:tblCellMar>
        </w:tblPrEx>
        <w:trPr>
          <w:trHeight w:val="374" w:hRule="atLeast"/>
          <w:jc w:val="center"/>
        </w:trPr>
        <w:tc>
          <w:tcPr>
            <w:tcW w:w="3466" w:type="dxa"/>
            <w:gridSpan w:val="3"/>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 w:val="24"/>
                <w:szCs w:val="24"/>
              </w:rPr>
            </w:pPr>
            <w:r>
              <w:rPr>
                <w:rFonts w:hint="eastAsia" w:ascii="宋体" w:hAnsi="宋体"/>
                <w:sz w:val="24"/>
                <w:szCs w:val="24"/>
              </w:rPr>
              <w:t>注册建造师执业资格等级</w:t>
            </w:r>
          </w:p>
        </w:tc>
        <w:tc>
          <w:tcPr>
            <w:tcW w:w="1355" w:type="dxa"/>
            <w:tcBorders>
              <w:top w:val="single" w:color="auto" w:sz="4" w:space="0"/>
              <w:left w:val="nil"/>
              <w:bottom w:val="single" w:color="auto" w:sz="4" w:space="0"/>
              <w:right w:val="single" w:color="auto" w:sz="4" w:space="0"/>
            </w:tcBorders>
            <w:noWrap/>
            <w:vAlign w:val="center"/>
          </w:tcPr>
          <w:p>
            <w:pPr>
              <w:jc w:val="center"/>
              <w:rPr>
                <w:rFonts w:ascii="宋体" w:hAnsi="宋体"/>
                <w:sz w:val="24"/>
                <w:szCs w:val="24"/>
              </w:rPr>
            </w:pPr>
            <w:r>
              <w:rPr>
                <w:rFonts w:hint="eastAsia" w:ascii="宋体" w:hAnsi="宋体"/>
                <w:sz w:val="24"/>
                <w:szCs w:val="24"/>
              </w:rPr>
              <w:t xml:space="preserve">      级</w:t>
            </w:r>
          </w:p>
        </w:tc>
        <w:tc>
          <w:tcPr>
            <w:tcW w:w="1959" w:type="dxa"/>
            <w:tcBorders>
              <w:top w:val="single" w:color="auto" w:sz="4" w:space="0"/>
              <w:left w:val="nil"/>
              <w:bottom w:val="single" w:color="auto" w:sz="4" w:space="0"/>
              <w:right w:val="single" w:color="auto" w:sz="4" w:space="0"/>
            </w:tcBorders>
            <w:noWrap/>
            <w:vAlign w:val="center"/>
          </w:tcPr>
          <w:p>
            <w:pPr>
              <w:jc w:val="center"/>
              <w:rPr>
                <w:rFonts w:ascii="宋体" w:hAnsi="宋体"/>
                <w:sz w:val="24"/>
                <w:szCs w:val="24"/>
              </w:rPr>
            </w:pPr>
            <w:r>
              <w:rPr>
                <w:rFonts w:hint="eastAsia" w:ascii="宋体" w:hAnsi="宋体"/>
                <w:sz w:val="24"/>
                <w:szCs w:val="24"/>
              </w:rPr>
              <w:t>建造师专业</w:t>
            </w:r>
          </w:p>
        </w:tc>
        <w:tc>
          <w:tcPr>
            <w:tcW w:w="2259" w:type="dxa"/>
            <w:tcBorders>
              <w:top w:val="single" w:color="auto" w:sz="4" w:space="0"/>
              <w:left w:val="nil"/>
              <w:bottom w:val="single" w:color="auto" w:sz="4" w:space="0"/>
              <w:right w:val="single" w:color="auto" w:sz="4" w:space="0"/>
            </w:tcBorders>
            <w:noWrap/>
            <w:vAlign w:val="center"/>
          </w:tcPr>
          <w:p>
            <w:pPr>
              <w:jc w:val="center"/>
              <w:rPr>
                <w:rFonts w:ascii="宋体" w:hAnsi="宋体"/>
                <w:sz w:val="24"/>
                <w:szCs w:val="24"/>
              </w:rPr>
            </w:pPr>
          </w:p>
        </w:tc>
      </w:tr>
      <w:tr>
        <w:tblPrEx>
          <w:tblCellMar>
            <w:top w:w="0" w:type="dxa"/>
            <w:left w:w="108" w:type="dxa"/>
            <w:bottom w:w="0" w:type="dxa"/>
            <w:right w:w="108" w:type="dxa"/>
          </w:tblCellMar>
        </w:tblPrEx>
        <w:trPr>
          <w:trHeight w:val="374" w:hRule="atLeast"/>
          <w:jc w:val="center"/>
        </w:trPr>
        <w:tc>
          <w:tcPr>
            <w:tcW w:w="3466" w:type="dxa"/>
            <w:gridSpan w:val="3"/>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 w:val="24"/>
                <w:szCs w:val="24"/>
              </w:rPr>
            </w:pPr>
            <w:r>
              <w:rPr>
                <w:rFonts w:hint="eastAsia" w:ascii="宋体" w:hAnsi="宋体"/>
                <w:sz w:val="24"/>
                <w:szCs w:val="24"/>
              </w:rPr>
              <w:t>安全生产考核合格证书</w:t>
            </w:r>
          </w:p>
        </w:tc>
        <w:tc>
          <w:tcPr>
            <w:tcW w:w="5573" w:type="dxa"/>
            <w:gridSpan w:val="3"/>
            <w:tcBorders>
              <w:top w:val="single" w:color="auto" w:sz="4" w:space="0"/>
              <w:left w:val="nil"/>
              <w:bottom w:val="single" w:color="auto" w:sz="4" w:space="0"/>
              <w:right w:val="single" w:color="auto" w:sz="4" w:space="0"/>
            </w:tcBorders>
            <w:noWrap/>
            <w:vAlign w:val="center"/>
          </w:tcPr>
          <w:p>
            <w:pPr>
              <w:jc w:val="center"/>
              <w:rPr>
                <w:rFonts w:ascii="宋体" w:hAnsi="宋体"/>
                <w:sz w:val="24"/>
                <w:szCs w:val="24"/>
              </w:rPr>
            </w:pPr>
          </w:p>
        </w:tc>
      </w:tr>
      <w:tr>
        <w:tblPrEx>
          <w:tblCellMar>
            <w:top w:w="0" w:type="dxa"/>
            <w:left w:w="108" w:type="dxa"/>
            <w:bottom w:w="0" w:type="dxa"/>
            <w:right w:w="108" w:type="dxa"/>
          </w:tblCellMar>
        </w:tblPrEx>
        <w:trPr>
          <w:trHeight w:val="374" w:hRule="atLeast"/>
          <w:jc w:val="center"/>
        </w:trPr>
        <w:tc>
          <w:tcPr>
            <w:tcW w:w="1233"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 w:val="24"/>
                <w:szCs w:val="24"/>
              </w:rPr>
            </w:pPr>
            <w:r>
              <w:rPr>
                <w:rFonts w:hint="eastAsia" w:ascii="宋体" w:hAnsi="宋体"/>
                <w:sz w:val="24"/>
                <w:szCs w:val="24"/>
              </w:rPr>
              <w:t>毕业学校</w:t>
            </w:r>
          </w:p>
        </w:tc>
        <w:tc>
          <w:tcPr>
            <w:tcW w:w="7806" w:type="dxa"/>
            <w:gridSpan w:val="5"/>
            <w:tcBorders>
              <w:top w:val="single" w:color="auto" w:sz="4" w:space="0"/>
              <w:left w:val="nil"/>
              <w:bottom w:val="single" w:color="auto" w:sz="4" w:space="0"/>
              <w:right w:val="single" w:color="auto" w:sz="4" w:space="0"/>
            </w:tcBorders>
            <w:noWrap/>
            <w:vAlign w:val="center"/>
          </w:tcPr>
          <w:p>
            <w:pPr>
              <w:ind w:firstLine="960" w:firstLineChars="400"/>
              <w:rPr>
                <w:rFonts w:ascii="宋体" w:hAnsi="宋体"/>
                <w:sz w:val="24"/>
                <w:szCs w:val="24"/>
              </w:rPr>
            </w:pPr>
            <w:r>
              <w:rPr>
                <w:rFonts w:hint="eastAsia" w:ascii="宋体" w:hAnsi="宋体"/>
                <w:sz w:val="24"/>
                <w:szCs w:val="24"/>
              </w:rPr>
              <w:t>年毕业于                  学校            专业</w:t>
            </w:r>
          </w:p>
        </w:tc>
      </w:tr>
      <w:tr>
        <w:tblPrEx>
          <w:tblCellMar>
            <w:top w:w="0" w:type="dxa"/>
            <w:left w:w="108" w:type="dxa"/>
            <w:bottom w:w="0" w:type="dxa"/>
            <w:right w:w="108" w:type="dxa"/>
          </w:tblCellMar>
        </w:tblPrEx>
        <w:trPr>
          <w:trHeight w:val="374" w:hRule="atLeast"/>
          <w:jc w:val="center"/>
        </w:trPr>
        <w:tc>
          <w:tcPr>
            <w:tcW w:w="9039" w:type="dxa"/>
            <w:gridSpan w:val="6"/>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 w:val="24"/>
                <w:szCs w:val="24"/>
              </w:rPr>
            </w:pPr>
            <w:r>
              <w:rPr>
                <w:rFonts w:hint="eastAsia" w:ascii="宋体" w:hAnsi="宋体"/>
                <w:sz w:val="24"/>
                <w:szCs w:val="24"/>
              </w:rPr>
              <w:t>主要工作经历</w:t>
            </w:r>
          </w:p>
        </w:tc>
      </w:tr>
      <w:tr>
        <w:tblPrEx>
          <w:tblCellMar>
            <w:top w:w="0" w:type="dxa"/>
            <w:left w:w="108" w:type="dxa"/>
            <w:bottom w:w="0" w:type="dxa"/>
            <w:right w:w="108" w:type="dxa"/>
          </w:tblCellMar>
        </w:tblPrEx>
        <w:trPr>
          <w:trHeight w:val="374" w:hRule="atLeast"/>
          <w:jc w:val="center"/>
        </w:trPr>
        <w:tc>
          <w:tcPr>
            <w:tcW w:w="1233"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 w:val="24"/>
                <w:szCs w:val="24"/>
              </w:rPr>
            </w:pPr>
            <w:r>
              <w:rPr>
                <w:rFonts w:hint="eastAsia" w:ascii="宋体" w:hAnsi="宋体"/>
                <w:sz w:val="24"/>
                <w:szCs w:val="24"/>
              </w:rPr>
              <w:t>时  间</w:t>
            </w:r>
          </w:p>
        </w:tc>
        <w:tc>
          <w:tcPr>
            <w:tcW w:w="3588" w:type="dxa"/>
            <w:gridSpan w:val="3"/>
            <w:tcBorders>
              <w:top w:val="single" w:color="auto" w:sz="4" w:space="0"/>
              <w:left w:val="nil"/>
              <w:bottom w:val="single" w:color="auto" w:sz="4" w:space="0"/>
              <w:right w:val="single" w:color="auto" w:sz="4" w:space="0"/>
            </w:tcBorders>
            <w:noWrap/>
            <w:vAlign w:val="center"/>
          </w:tcPr>
          <w:p>
            <w:pPr>
              <w:jc w:val="center"/>
              <w:rPr>
                <w:rFonts w:ascii="宋体" w:hAnsi="宋体"/>
                <w:sz w:val="24"/>
                <w:szCs w:val="24"/>
              </w:rPr>
            </w:pPr>
            <w:r>
              <w:rPr>
                <w:rFonts w:hint="eastAsia" w:ascii="宋体" w:hAnsi="宋体"/>
                <w:sz w:val="24"/>
                <w:szCs w:val="24"/>
              </w:rPr>
              <w:t>参加过的类似项目名称</w:t>
            </w:r>
          </w:p>
        </w:tc>
        <w:tc>
          <w:tcPr>
            <w:tcW w:w="1959" w:type="dxa"/>
            <w:tcBorders>
              <w:top w:val="single" w:color="auto" w:sz="4" w:space="0"/>
              <w:left w:val="nil"/>
              <w:bottom w:val="single" w:color="auto" w:sz="4" w:space="0"/>
              <w:right w:val="single" w:color="auto" w:sz="4" w:space="0"/>
            </w:tcBorders>
            <w:noWrap/>
            <w:vAlign w:val="center"/>
          </w:tcPr>
          <w:p>
            <w:pPr>
              <w:jc w:val="center"/>
              <w:rPr>
                <w:rFonts w:ascii="宋体" w:hAnsi="宋体"/>
                <w:sz w:val="24"/>
                <w:szCs w:val="24"/>
              </w:rPr>
            </w:pPr>
            <w:r>
              <w:rPr>
                <w:rFonts w:hint="eastAsia" w:ascii="宋体" w:hAnsi="宋体"/>
                <w:sz w:val="24"/>
                <w:szCs w:val="24"/>
              </w:rPr>
              <w:t>工程概况说明</w:t>
            </w:r>
          </w:p>
        </w:tc>
        <w:tc>
          <w:tcPr>
            <w:tcW w:w="2259" w:type="dxa"/>
            <w:tcBorders>
              <w:top w:val="single" w:color="auto" w:sz="4" w:space="0"/>
              <w:left w:val="nil"/>
              <w:bottom w:val="single" w:color="auto" w:sz="4" w:space="0"/>
              <w:right w:val="single" w:color="auto" w:sz="4" w:space="0"/>
            </w:tcBorders>
            <w:noWrap/>
            <w:vAlign w:val="center"/>
          </w:tcPr>
          <w:p>
            <w:pPr>
              <w:jc w:val="center"/>
              <w:rPr>
                <w:rFonts w:ascii="宋体" w:hAnsi="宋体"/>
                <w:sz w:val="24"/>
                <w:szCs w:val="24"/>
              </w:rPr>
            </w:pPr>
            <w:r>
              <w:rPr>
                <w:rFonts w:hint="eastAsia" w:ascii="宋体" w:hAnsi="宋体"/>
                <w:sz w:val="24"/>
                <w:szCs w:val="24"/>
              </w:rPr>
              <w:t>发包人及联系电话</w:t>
            </w:r>
          </w:p>
        </w:tc>
      </w:tr>
      <w:tr>
        <w:tblPrEx>
          <w:tblCellMar>
            <w:top w:w="0" w:type="dxa"/>
            <w:left w:w="108" w:type="dxa"/>
            <w:bottom w:w="0" w:type="dxa"/>
            <w:right w:w="108" w:type="dxa"/>
          </w:tblCellMar>
        </w:tblPrEx>
        <w:trPr>
          <w:trHeight w:val="374" w:hRule="atLeast"/>
          <w:jc w:val="center"/>
        </w:trPr>
        <w:tc>
          <w:tcPr>
            <w:tcW w:w="1233"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 w:val="24"/>
                <w:szCs w:val="24"/>
              </w:rPr>
            </w:pPr>
          </w:p>
        </w:tc>
        <w:tc>
          <w:tcPr>
            <w:tcW w:w="3588" w:type="dxa"/>
            <w:gridSpan w:val="3"/>
            <w:tcBorders>
              <w:top w:val="single" w:color="auto" w:sz="4" w:space="0"/>
              <w:left w:val="nil"/>
              <w:bottom w:val="single" w:color="auto" w:sz="4" w:space="0"/>
              <w:right w:val="single" w:color="auto" w:sz="4" w:space="0"/>
            </w:tcBorders>
            <w:noWrap/>
            <w:vAlign w:val="center"/>
          </w:tcPr>
          <w:p>
            <w:pPr>
              <w:jc w:val="center"/>
              <w:rPr>
                <w:rFonts w:ascii="宋体" w:hAnsi="宋体"/>
                <w:sz w:val="24"/>
                <w:szCs w:val="24"/>
              </w:rPr>
            </w:pPr>
          </w:p>
        </w:tc>
        <w:tc>
          <w:tcPr>
            <w:tcW w:w="1959" w:type="dxa"/>
            <w:tcBorders>
              <w:top w:val="single" w:color="auto" w:sz="4" w:space="0"/>
              <w:left w:val="nil"/>
              <w:bottom w:val="single" w:color="auto" w:sz="4" w:space="0"/>
              <w:right w:val="single" w:color="auto" w:sz="4" w:space="0"/>
            </w:tcBorders>
            <w:noWrap/>
            <w:vAlign w:val="center"/>
          </w:tcPr>
          <w:p>
            <w:pPr>
              <w:jc w:val="center"/>
              <w:rPr>
                <w:rFonts w:ascii="宋体" w:hAnsi="宋体"/>
                <w:sz w:val="24"/>
                <w:szCs w:val="24"/>
              </w:rPr>
            </w:pPr>
          </w:p>
        </w:tc>
        <w:tc>
          <w:tcPr>
            <w:tcW w:w="2259" w:type="dxa"/>
            <w:tcBorders>
              <w:top w:val="single" w:color="auto" w:sz="4" w:space="0"/>
              <w:left w:val="nil"/>
              <w:bottom w:val="single" w:color="auto" w:sz="4" w:space="0"/>
              <w:right w:val="single" w:color="auto" w:sz="4" w:space="0"/>
            </w:tcBorders>
            <w:noWrap/>
            <w:vAlign w:val="center"/>
          </w:tcPr>
          <w:p>
            <w:pPr>
              <w:jc w:val="center"/>
              <w:rPr>
                <w:rFonts w:ascii="宋体" w:hAnsi="宋体"/>
                <w:sz w:val="24"/>
                <w:szCs w:val="24"/>
              </w:rPr>
            </w:pPr>
          </w:p>
        </w:tc>
      </w:tr>
      <w:tr>
        <w:tblPrEx>
          <w:tblCellMar>
            <w:top w:w="0" w:type="dxa"/>
            <w:left w:w="108" w:type="dxa"/>
            <w:bottom w:w="0" w:type="dxa"/>
            <w:right w:w="108" w:type="dxa"/>
          </w:tblCellMar>
        </w:tblPrEx>
        <w:trPr>
          <w:trHeight w:val="374" w:hRule="atLeast"/>
          <w:jc w:val="center"/>
        </w:trPr>
        <w:tc>
          <w:tcPr>
            <w:tcW w:w="1233"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 w:val="24"/>
                <w:szCs w:val="24"/>
              </w:rPr>
            </w:pPr>
          </w:p>
        </w:tc>
        <w:tc>
          <w:tcPr>
            <w:tcW w:w="3588" w:type="dxa"/>
            <w:gridSpan w:val="3"/>
            <w:tcBorders>
              <w:top w:val="single" w:color="auto" w:sz="4" w:space="0"/>
              <w:left w:val="nil"/>
              <w:bottom w:val="single" w:color="auto" w:sz="4" w:space="0"/>
              <w:right w:val="single" w:color="auto" w:sz="4" w:space="0"/>
            </w:tcBorders>
            <w:noWrap/>
            <w:vAlign w:val="center"/>
          </w:tcPr>
          <w:p>
            <w:pPr>
              <w:jc w:val="center"/>
              <w:rPr>
                <w:rFonts w:ascii="宋体" w:hAnsi="宋体"/>
                <w:sz w:val="24"/>
                <w:szCs w:val="24"/>
              </w:rPr>
            </w:pPr>
          </w:p>
        </w:tc>
        <w:tc>
          <w:tcPr>
            <w:tcW w:w="1959" w:type="dxa"/>
            <w:tcBorders>
              <w:top w:val="single" w:color="auto" w:sz="4" w:space="0"/>
              <w:left w:val="nil"/>
              <w:bottom w:val="single" w:color="auto" w:sz="4" w:space="0"/>
              <w:right w:val="single" w:color="auto" w:sz="4" w:space="0"/>
            </w:tcBorders>
            <w:noWrap/>
            <w:vAlign w:val="center"/>
          </w:tcPr>
          <w:p>
            <w:pPr>
              <w:jc w:val="center"/>
              <w:rPr>
                <w:rFonts w:ascii="宋体" w:hAnsi="宋体"/>
                <w:sz w:val="24"/>
                <w:szCs w:val="24"/>
              </w:rPr>
            </w:pPr>
          </w:p>
        </w:tc>
        <w:tc>
          <w:tcPr>
            <w:tcW w:w="2259" w:type="dxa"/>
            <w:tcBorders>
              <w:top w:val="single" w:color="auto" w:sz="4" w:space="0"/>
              <w:left w:val="nil"/>
              <w:bottom w:val="single" w:color="auto" w:sz="4" w:space="0"/>
              <w:right w:val="single" w:color="auto" w:sz="4" w:space="0"/>
            </w:tcBorders>
            <w:noWrap/>
            <w:vAlign w:val="center"/>
          </w:tcPr>
          <w:p>
            <w:pPr>
              <w:jc w:val="center"/>
              <w:rPr>
                <w:rFonts w:ascii="宋体" w:hAnsi="宋体"/>
                <w:sz w:val="24"/>
                <w:szCs w:val="24"/>
              </w:rPr>
            </w:pPr>
          </w:p>
        </w:tc>
      </w:tr>
      <w:tr>
        <w:tblPrEx>
          <w:tblCellMar>
            <w:top w:w="0" w:type="dxa"/>
            <w:left w:w="108" w:type="dxa"/>
            <w:bottom w:w="0" w:type="dxa"/>
            <w:right w:w="108" w:type="dxa"/>
          </w:tblCellMar>
        </w:tblPrEx>
        <w:trPr>
          <w:trHeight w:val="386" w:hRule="atLeast"/>
          <w:jc w:val="center"/>
        </w:trPr>
        <w:tc>
          <w:tcPr>
            <w:tcW w:w="1233"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 w:val="24"/>
                <w:szCs w:val="24"/>
              </w:rPr>
            </w:pPr>
          </w:p>
        </w:tc>
        <w:tc>
          <w:tcPr>
            <w:tcW w:w="3588" w:type="dxa"/>
            <w:gridSpan w:val="3"/>
            <w:tcBorders>
              <w:top w:val="single" w:color="auto" w:sz="4" w:space="0"/>
              <w:left w:val="nil"/>
              <w:bottom w:val="single" w:color="auto" w:sz="4" w:space="0"/>
              <w:right w:val="single" w:color="auto" w:sz="4" w:space="0"/>
            </w:tcBorders>
            <w:noWrap/>
            <w:vAlign w:val="center"/>
          </w:tcPr>
          <w:p>
            <w:pPr>
              <w:jc w:val="center"/>
              <w:rPr>
                <w:rFonts w:ascii="宋体" w:hAnsi="宋体"/>
                <w:sz w:val="24"/>
                <w:szCs w:val="24"/>
              </w:rPr>
            </w:pPr>
          </w:p>
        </w:tc>
        <w:tc>
          <w:tcPr>
            <w:tcW w:w="1959" w:type="dxa"/>
            <w:tcBorders>
              <w:top w:val="single" w:color="auto" w:sz="4" w:space="0"/>
              <w:left w:val="nil"/>
              <w:bottom w:val="single" w:color="auto" w:sz="4" w:space="0"/>
              <w:right w:val="single" w:color="auto" w:sz="4" w:space="0"/>
            </w:tcBorders>
            <w:noWrap/>
            <w:vAlign w:val="center"/>
          </w:tcPr>
          <w:p>
            <w:pPr>
              <w:jc w:val="center"/>
              <w:rPr>
                <w:rFonts w:ascii="宋体" w:hAnsi="宋体"/>
                <w:sz w:val="24"/>
                <w:szCs w:val="24"/>
              </w:rPr>
            </w:pPr>
          </w:p>
        </w:tc>
        <w:tc>
          <w:tcPr>
            <w:tcW w:w="2259" w:type="dxa"/>
            <w:tcBorders>
              <w:top w:val="single" w:color="auto" w:sz="4" w:space="0"/>
              <w:left w:val="nil"/>
              <w:bottom w:val="single" w:color="auto" w:sz="4" w:space="0"/>
              <w:right w:val="single" w:color="auto" w:sz="4" w:space="0"/>
            </w:tcBorders>
            <w:noWrap/>
            <w:vAlign w:val="center"/>
          </w:tcPr>
          <w:p>
            <w:pPr>
              <w:jc w:val="center"/>
              <w:rPr>
                <w:rFonts w:ascii="宋体" w:hAnsi="宋体"/>
                <w:sz w:val="24"/>
                <w:szCs w:val="24"/>
              </w:rPr>
            </w:pPr>
          </w:p>
        </w:tc>
      </w:tr>
      <w:tr>
        <w:tblPrEx>
          <w:tblCellMar>
            <w:top w:w="0" w:type="dxa"/>
            <w:left w:w="108" w:type="dxa"/>
            <w:bottom w:w="0" w:type="dxa"/>
            <w:right w:w="108" w:type="dxa"/>
          </w:tblCellMar>
        </w:tblPrEx>
        <w:trPr>
          <w:trHeight w:val="386" w:hRule="atLeast"/>
          <w:jc w:val="center"/>
        </w:trPr>
        <w:tc>
          <w:tcPr>
            <w:tcW w:w="1233"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 w:val="24"/>
                <w:szCs w:val="24"/>
              </w:rPr>
            </w:pPr>
          </w:p>
        </w:tc>
        <w:tc>
          <w:tcPr>
            <w:tcW w:w="3588" w:type="dxa"/>
            <w:gridSpan w:val="3"/>
            <w:tcBorders>
              <w:top w:val="single" w:color="auto" w:sz="4" w:space="0"/>
              <w:left w:val="nil"/>
              <w:bottom w:val="single" w:color="auto" w:sz="4" w:space="0"/>
              <w:right w:val="single" w:color="auto" w:sz="4" w:space="0"/>
            </w:tcBorders>
            <w:noWrap/>
            <w:vAlign w:val="center"/>
          </w:tcPr>
          <w:p>
            <w:pPr>
              <w:jc w:val="center"/>
              <w:rPr>
                <w:rFonts w:ascii="宋体" w:hAnsi="宋体"/>
                <w:sz w:val="24"/>
                <w:szCs w:val="24"/>
              </w:rPr>
            </w:pPr>
          </w:p>
        </w:tc>
        <w:tc>
          <w:tcPr>
            <w:tcW w:w="1959" w:type="dxa"/>
            <w:tcBorders>
              <w:top w:val="single" w:color="auto" w:sz="4" w:space="0"/>
              <w:left w:val="nil"/>
              <w:bottom w:val="single" w:color="auto" w:sz="4" w:space="0"/>
              <w:right w:val="single" w:color="auto" w:sz="4" w:space="0"/>
            </w:tcBorders>
            <w:noWrap/>
            <w:vAlign w:val="center"/>
          </w:tcPr>
          <w:p>
            <w:pPr>
              <w:jc w:val="center"/>
              <w:rPr>
                <w:rFonts w:ascii="宋体" w:hAnsi="宋体"/>
                <w:sz w:val="24"/>
                <w:szCs w:val="24"/>
              </w:rPr>
            </w:pPr>
          </w:p>
        </w:tc>
        <w:tc>
          <w:tcPr>
            <w:tcW w:w="2259" w:type="dxa"/>
            <w:tcBorders>
              <w:top w:val="single" w:color="auto" w:sz="4" w:space="0"/>
              <w:left w:val="nil"/>
              <w:bottom w:val="single" w:color="auto" w:sz="4" w:space="0"/>
              <w:right w:val="single" w:color="auto" w:sz="4" w:space="0"/>
            </w:tcBorders>
            <w:noWrap/>
            <w:vAlign w:val="center"/>
          </w:tcPr>
          <w:p>
            <w:pPr>
              <w:jc w:val="center"/>
              <w:rPr>
                <w:rFonts w:ascii="宋体" w:hAnsi="宋体"/>
                <w:sz w:val="24"/>
                <w:szCs w:val="24"/>
              </w:rPr>
            </w:pPr>
          </w:p>
        </w:tc>
      </w:tr>
      <w:tr>
        <w:tblPrEx>
          <w:tblCellMar>
            <w:top w:w="0" w:type="dxa"/>
            <w:left w:w="108" w:type="dxa"/>
            <w:bottom w:w="0" w:type="dxa"/>
            <w:right w:w="108" w:type="dxa"/>
          </w:tblCellMar>
        </w:tblPrEx>
        <w:trPr>
          <w:trHeight w:val="386" w:hRule="atLeast"/>
          <w:jc w:val="center"/>
        </w:trPr>
        <w:tc>
          <w:tcPr>
            <w:tcW w:w="1233"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 w:val="24"/>
                <w:szCs w:val="24"/>
              </w:rPr>
            </w:pPr>
          </w:p>
        </w:tc>
        <w:tc>
          <w:tcPr>
            <w:tcW w:w="3588" w:type="dxa"/>
            <w:gridSpan w:val="3"/>
            <w:tcBorders>
              <w:top w:val="single" w:color="auto" w:sz="4" w:space="0"/>
              <w:left w:val="nil"/>
              <w:bottom w:val="single" w:color="auto" w:sz="4" w:space="0"/>
              <w:right w:val="single" w:color="auto" w:sz="4" w:space="0"/>
            </w:tcBorders>
            <w:noWrap/>
            <w:vAlign w:val="center"/>
          </w:tcPr>
          <w:p>
            <w:pPr>
              <w:jc w:val="center"/>
              <w:rPr>
                <w:rFonts w:ascii="宋体" w:hAnsi="宋体"/>
                <w:sz w:val="24"/>
                <w:szCs w:val="24"/>
              </w:rPr>
            </w:pPr>
          </w:p>
        </w:tc>
        <w:tc>
          <w:tcPr>
            <w:tcW w:w="1959" w:type="dxa"/>
            <w:tcBorders>
              <w:top w:val="single" w:color="auto" w:sz="4" w:space="0"/>
              <w:left w:val="nil"/>
              <w:bottom w:val="single" w:color="auto" w:sz="4" w:space="0"/>
              <w:right w:val="single" w:color="auto" w:sz="4" w:space="0"/>
            </w:tcBorders>
            <w:noWrap/>
            <w:vAlign w:val="center"/>
          </w:tcPr>
          <w:p>
            <w:pPr>
              <w:jc w:val="center"/>
              <w:rPr>
                <w:rFonts w:ascii="宋体" w:hAnsi="宋体"/>
                <w:sz w:val="24"/>
                <w:szCs w:val="24"/>
              </w:rPr>
            </w:pPr>
          </w:p>
        </w:tc>
        <w:tc>
          <w:tcPr>
            <w:tcW w:w="2259" w:type="dxa"/>
            <w:tcBorders>
              <w:top w:val="single" w:color="auto" w:sz="4" w:space="0"/>
              <w:left w:val="nil"/>
              <w:bottom w:val="single" w:color="auto" w:sz="4" w:space="0"/>
              <w:right w:val="single" w:color="auto" w:sz="4" w:space="0"/>
            </w:tcBorders>
            <w:noWrap/>
            <w:vAlign w:val="center"/>
          </w:tcPr>
          <w:p>
            <w:pPr>
              <w:jc w:val="center"/>
              <w:rPr>
                <w:rFonts w:ascii="宋体" w:hAnsi="宋体"/>
                <w:sz w:val="24"/>
                <w:szCs w:val="24"/>
              </w:rPr>
            </w:pPr>
          </w:p>
        </w:tc>
      </w:tr>
      <w:tr>
        <w:tblPrEx>
          <w:tblCellMar>
            <w:top w:w="0" w:type="dxa"/>
            <w:left w:w="108" w:type="dxa"/>
            <w:bottom w:w="0" w:type="dxa"/>
            <w:right w:w="108" w:type="dxa"/>
          </w:tblCellMar>
        </w:tblPrEx>
        <w:trPr>
          <w:trHeight w:val="386" w:hRule="atLeast"/>
          <w:jc w:val="center"/>
        </w:trPr>
        <w:tc>
          <w:tcPr>
            <w:tcW w:w="1233"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 w:val="24"/>
                <w:szCs w:val="24"/>
              </w:rPr>
            </w:pPr>
          </w:p>
        </w:tc>
        <w:tc>
          <w:tcPr>
            <w:tcW w:w="3588" w:type="dxa"/>
            <w:gridSpan w:val="3"/>
            <w:tcBorders>
              <w:top w:val="single" w:color="auto" w:sz="4" w:space="0"/>
              <w:left w:val="nil"/>
              <w:bottom w:val="single" w:color="auto" w:sz="4" w:space="0"/>
              <w:right w:val="single" w:color="auto" w:sz="4" w:space="0"/>
            </w:tcBorders>
            <w:noWrap/>
            <w:vAlign w:val="center"/>
          </w:tcPr>
          <w:p>
            <w:pPr>
              <w:jc w:val="center"/>
              <w:rPr>
                <w:rFonts w:ascii="宋体" w:hAnsi="宋体"/>
                <w:sz w:val="24"/>
                <w:szCs w:val="24"/>
              </w:rPr>
            </w:pPr>
          </w:p>
        </w:tc>
        <w:tc>
          <w:tcPr>
            <w:tcW w:w="1959" w:type="dxa"/>
            <w:tcBorders>
              <w:top w:val="single" w:color="auto" w:sz="4" w:space="0"/>
              <w:left w:val="nil"/>
              <w:bottom w:val="single" w:color="auto" w:sz="4" w:space="0"/>
              <w:right w:val="single" w:color="auto" w:sz="4" w:space="0"/>
            </w:tcBorders>
            <w:noWrap/>
            <w:vAlign w:val="center"/>
          </w:tcPr>
          <w:p>
            <w:pPr>
              <w:jc w:val="center"/>
              <w:rPr>
                <w:rFonts w:ascii="宋体" w:hAnsi="宋体"/>
                <w:sz w:val="24"/>
                <w:szCs w:val="24"/>
              </w:rPr>
            </w:pPr>
          </w:p>
        </w:tc>
        <w:tc>
          <w:tcPr>
            <w:tcW w:w="2259" w:type="dxa"/>
            <w:tcBorders>
              <w:top w:val="single" w:color="auto" w:sz="4" w:space="0"/>
              <w:left w:val="nil"/>
              <w:bottom w:val="single" w:color="auto" w:sz="4" w:space="0"/>
              <w:right w:val="single" w:color="auto" w:sz="4" w:space="0"/>
            </w:tcBorders>
            <w:noWrap/>
            <w:vAlign w:val="center"/>
          </w:tcPr>
          <w:p>
            <w:pPr>
              <w:jc w:val="center"/>
              <w:rPr>
                <w:rFonts w:ascii="宋体" w:hAnsi="宋体"/>
                <w:sz w:val="24"/>
                <w:szCs w:val="24"/>
              </w:rPr>
            </w:pPr>
          </w:p>
        </w:tc>
      </w:tr>
      <w:tr>
        <w:tblPrEx>
          <w:tblCellMar>
            <w:top w:w="0" w:type="dxa"/>
            <w:left w:w="108" w:type="dxa"/>
            <w:bottom w:w="0" w:type="dxa"/>
            <w:right w:w="108" w:type="dxa"/>
          </w:tblCellMar>
        </w:tblPrEx>
        <w:trPr>
          <w:trHeight w:val="386" w:hRule="atLeast"/>
          <w:jc w:val="center"/>
        </w:trPr>
        <w:tc>
          <w:tcPr>
            <w:tcW w:w="1233"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 w:val="24"/>
                <w:szCs w:val="24"/>
              </w:rPr>
            </w:pPr>
          </w:p>
        </w:tc>
        <w:tc>
          <w:tcPr>
            <w:tcW w:w="3588" w:type="dxa"/>
            <w:gridSpan w:val="3"/>
            <w:tcBorders>
              <w:top w:val="single" w:color="auto" w:sz="4" w:space="0"/>
              <w:left w:val="nil"/>
              <w:bottom w:val="single" w:color="auto" w:sz="4" w:space="0"/>
              <w:right w:val="single" w:color="auto" w:sz="4" w:space="0"/>
            </w:tcBorders>
            <w:noWrap/>
            <w:vAlign w:val="center"/>
          </w:tcPr>
          <w:p>
            <w:pPr>
              <w:jc w:val="center"/>
              <w:rPr>
                <w:rFonts w:ascii="宋体" w:hAnsi="宋体"/>
                <w:sz w:val="24"/>
                <w:szCs w:val="24"/>
              </w:rPr>
            </w:pPr>
          </w:p>
        </w:tc>
        <w:tc>
          <w:tcPr>
            <w:tcW w:w="1959" w:type="dxa"/>
            <w:tcBorders>
              <w:top w:val="single" w:color="auto" w:sz="4" w:space="0"/>
              <w:left w:val="nil"/>
              <w:bottom w:val="single" w:color="auto" w:sz="4" w:space="0"/>
              <w:right w:val="single" w:color="auto" w:sz="4" w:space="0"/>
            </w:tcBorders>
            <w:noWrap/>
            <w:vAlign w:val="center"/>
          </w:tcPr>
          <w:p>
            <w:pPr>
              <w:jc w:val="center"/>
              <w:rPr>
                <w:rFonts w:ascii="宋体" w:hAnsi="宋体"/>
                <w:sz w:val="24"/>
                <w:szCs w:val="24"/>
              </w:rPr>
            </w:pPr>
          </w:p>
        </w:tc>
        <w:tc>
          <w:tcPr>
            <w:tcW w:w="2259" w:type="dxa"/>
            <w:tcBorders>
              <w:top w:val="single" w:color="auto" w:sz="4" w:space="0"/>
              <w:left w:val="nil"/>
              <w:bottom w:val="single" w:color="auto" w:sz="4" w:space="0"/>
              <w:right w:val="single" w:color="auto" w:sz="4" w:space="0"/>
            </w:tcBorders>
            <w:noWrap/>
            <w:vAlign w:val="center"/>
          </w:tcPr>
          <w:p>
            <w:pPr>
              <w:jc w:val="center"/>
              <w:rPr>
                <w:rFonts w:ascii="宋体" w:hAnsi="宋体"/>
                <w:sz w:val="24"/>
                <w:szCs w:val="24"/>
              </w:rPr>
            </w:pPr>
          </w:p>
        </w:tc>
      </w:tr>
      <w:tr>
        <w:tblPrEx>
          <w:tblCellMar>
            <w:top w:w="0" w:type="dxa"/>
            <w:left w:w="108" w:type="dxa"/>
            <w:bottom w:w="0" w:type="dxa"/>
            <w:right w:w="108" w:type="dxa"/>
          </w:tblCellMar>
        </w:tblPrEx>
        <w:trPr>
          <w:trHeight w:val="386" w:hRule="atLeast"/>
          <w:jc w:val="center"/>
        </w:trPr>
        <w:tc>
          <w:tcPr>
            <w:tcW w:w="1233"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 w:val="24"/>
                <w:szCs w:val="24"/>
              </w:rPr>
            </w:pPr>
          </w:p>
        </w:tc>
        <w:tc>
          <w:tcPr>
            <w:tcW w:w="3588" w:type="dxa"/>
            <w:gridSpan w:val="3"/>
            <w:tcBorders>
              <w:top w:val="single" w:color="auto" w:sz="4" w:space="0"/>
              <w:left w:val="nil"/>
              <w:bottom w:val="single" w:color="auto" w:sz="4" w:space="0"/>
              <w:right w:val="single" w:color="auto" w:sz="4" w:space="0"/>
            </w:tcBorders>
            <w:noWrap/>
            <w:vAlign w:val="center"/>
          </w:tcPr>
          <w:p>
            <w:pPr>
              <w:jc w:val="center"/>
              <w:rPr>
                <w:rFonts w:ascii="宋体" w:hAnsi="宋体"/>
                <w:sz w:val="24"/>
                <w:szCs w:val="24"/>
              </w:rPr>
            </w:pPr>
          </w:p>
        </w:tc>
        <w:tc>
          <w:tcPr>
            <w:tcW w:w="1959" w:type="dxa"/>
            <w:tcBorders>
              <w:top w:val="single" w:color="auto" w:sz="4" w:space="0"/>
              <w:left w:val="nil"/>
              <w:bottom w:val="single" w:color="auto" w:sz="4" w:space="0"/>
              <w:right w:val="single" w:color="auto" w:sz="4" w:space="0"/>
            </w:tcBorders>
            <w:noWrap/>
            <w:vAlign w:val="center"/>
          </w:tcPr>
          <w:p>
            <w:pPr>
              <w:jc w:val="center"/>
              <w:rPr>
                <w:rFonts w:ascii="宋体" w:hAnsi="宋体"/>
                <w:sz w:val="24"/>
                <w:szCs w:val="24"/>
              </w:rPr>
            </w:pPr>
          </w:p>
        </w:tc>
        <w:tc>
          <w:tcPr>
            <w:tcW w:w="2259" w:type="dxa"/>
            <w:tcBorders>
              <w:top w:val="single" w:color="auto" w:sz="4" w:space="0"/>
              <w:left w:val="nil"/>
              <w:bottom w:val="single" w:color="auto" w:sz="4" w:space="0"/>
              <w:right w:val="single" w:color="auto" w:sz="4" w:space="0"/>
            </w:tcBorders>
            <w:noWrap/>
            <w:vAlign w:val="center"/>
          </w:tcPr>
          <w:p>
            <w:pPr>
              <w:jc w:val="center"/>
              <w:rPr>
                <w:rFonts w:ascii="宋体" w:hAnsi="宋体"/>
                <w:sz w:val="24"/>
                <w:szCs w:val="24"/>
              </w:rPr>
            </w:pPr>
          </w:p>
        </w:tc>
      </w:tr>
    </w:tbl>
    <w:p>
      <w:pPr>
        <w:spacing w:line="420" w:lineRule="exact"/>
        <w:rPr>
          <w:rFonts w:ascii="宋体" w:hAnsi="宋体"/>
          <w:sz w:val="24"/>
          <w:szCs w:val="24"/>
        </w:rPr>
      </w:pPr>
    </w:p>
    <w:p>
      <w:pPr>
        <w:spacing w:line="420" w:lineRule="exact"/>
        <w:rPr>
          <w:rFonts w:ascii="宋体" w:hAnsi="宋体"/>
          <w:sz w:val="24"/>
          <w:szCs w:val="24"/>
        </w:rPr>
      </w:pPr>
    </w:p>
    <w:p>
      <w:pPr>
        <w:pStyle w:val="14"/>
        <w:ind w:firstLine="210"/>
      </w:pPr>
    </w:p>
    <w:p>
      <w:pPr>
        <w:spacing w:line="420" w:lineRule="exact"/>
        <w:rPr>
          <w:rFonts w:ascii="宋体" w:hAnsi="宋体"/>
          <w:sz w:val="24"/>
          <w:szCs w:val="24"/>
        </w:rPr>
      </w:pPr>
    </w:p>
    <w:p>
      <w:pPr>
        <w:spacing w:line="420" w:lineRule="exact"/>
        <w:rPr>
          <w:rFonts w:ascii="宋体" w:hAnsi="宋体"/>
          <w:sz w:val="24"/>
          <w:szCs w:val="24"/>
        </w:rPr>
      </w:pPr>
    </w:p>
    <w:p>
      <w:pPr>
        <w:spacing w:line="420" w:lineRule="exact"/>
        <w:rPr>
          <w:rFonts w:ascii="宋体" w:hAnsi="宋体"/>
          <w:sz w:val="24"/>
          <w:szCs w:val="24"/>
        </w:rPr>
      </w:pPr>
    </w:p>
    <w:p>
      <w:pPr>
        <w:spacing w:line="420" w:lineRule="exact"/>
        <w:rPr>
          <w:rFonts w:ascii="宋体" w:hAnsi="宋体"/>
          <w:sz w:val="24"/>
          <w:szCs w:val="24"/>
        </w:rPr>
      </w:pPr>
    </w:p>
    <w:p>
      <w:pPr>
        <w:spacing w:line="420" w:lineRule="exact"/>
        <w:rPr>
          <w:rFonts w:ascii="宋体" w:hAnsi="宋体"/>
          <w:sz w:val="24"/>
          <w:szCs w:val="24"/>
        </w:rPr>
      </w:pPr>
    </w:p>
    <w:p>
      <w:pPr>
        <w:spacing w:line="420" w:lineRule="exact"/>
        <w:rPr>
          <w:rFonts w:ascii="仿宋_GB2312" w:cs="Times New Roman"/>
          <w:b/>
          <w:bCs/>
          <w:kern w:val="44"/>
          <w:sz w:val="44"/>
          <w:szCs w:val="44"/>
        </w:rPr>
      </w:pPr>
    </w:p>
    <w:p>
      <w:pPr>
        <w:spacing w:line="420" w:lineRule="exact"/>
        <w:rPr>
          <w:rFonts w:ascii="仿宋_GB2312" w:cs="Times New Roman"/>
          <w:b/>
          <w:bCs/>
          <w:kern w:val="44"/>
          <w:sz w:val="44"/>
          <w:szCs w:val="44"/>
        </w:rPr>
      </w:pPr>
    </w:p>
    <w:p>
      <w:pPr>
        <w:spacing w:line="420" w:lineRule="exact"/>
        <w:rPr>
          <w:rFonts w:ascii="仿宋_GB2312" w:cs="Times New Roman"/>
          <w:b/>
          <w:bCs/>
          <w:kern w:val="44"/>
          <w:sz w:val="44"/>
          <w:szCs w:val="44"/>
        </w:rPr>
      </w:pPr>
    </w:p>
    <w:p>
      <w:pPr>
        <w:spacing w:line="420" w:lineRule="exact"/>
        <w:rPr>
          <w:rFonts w:ascii="仿宋_GB2312" w:cs="Times New Roman"/>
          <w:b/>
          <w:bCs/>
          <w:kern w:val="44"/>
          <w:sz w:val="44"/>
          <w:szCs w:val="44"/>
        </w:rPr>
      </w:pPr>
    </w:p>
    <w:p>
      <w:pPr>
        <w:spacing w:line="420" w:lineRule="exact"/>
        <w:rPr>
          <w:rFonts w:ascii="宋体" w:hAnsi="宋体"/>
          <w:sz w:val="24"/>
          <w:szCs w:val="24"/>
        </w:rPr>
      </w:pPr>
      <w:r>
        <w:rPr>
          <w:rFonts w:hint="eastAsia" w:ascii="宋体" w:hAnsi="宋体"/>
          <w:sz w:val="24"/>
          <w:szCs w:val="24"/>
        </w:rPr>
        <w:t>附2：主要项目管理人员简历表</w:t>
      </w:r>
    </w:p>
    <w:p>
      <w:pPr>
        <w:spacing w:line="420" w:lineRule="exact"/>
        <w:ind w:firstLine="480" w:firstLineChars="200"/>
        <w:rPr>
          <w:rFonts w:ascii="宋体" w:hAnsi="宋体"/>
          <w:sz w:val="24"/>
          <w:szCs w:val="24"/>
        </w:rPr>
      </w:pPr>
      <w:r>
        <w:rPr>
          <w:rFonts w:hint="eastAsia" w:ascii="宋体" w:hAnsi="宋体"/>
          <w:sz w:val="24"/>
          <w:szCs w:val="24"/>
        </w:rPr>
        <w:t>主要项目管理人员是指技术负责人、专职安全生产管理员等岗位人员。应附身份证、执业证或岗位证书、养老保险复印件，专职安全生产管理人员应附安全生产考核合格证书。</w:t>
      </w:r>
    </w:p>
    <w:tbl>
      <w:tblPr>
        <w:tblStyle w:val="16"/>
        <w:tblW w:w="8729" w:type="dxa"/>
        <w:jc w:val="center"/>
        <w:tblLayout w:type="fixed"/>
        <w:tblCellMar>
          <w:top w:w="0" w:type="dxa"/>
          <w:left w:w="108" w:type="dxa"/>
          <w:bottom w:w="0" w:type="dxa"/>
          <w:right w:w="108" w:type="dxa"/>
        </w:tblCellMar>
      </w:tblPr>
      <w:tblGrid>
        <w:gridCol w:w="1104"/>
        <w:gridCol w:w="1250"/>
        <w:gridCol w:w="1894"/>
        <w:gridCol w:w="1590"/>
        <w:gridCol w:w="2891"/>
      </w:tblGrid>
      <w:tr>
        <w:tblPrEx>
          <w:tblCellMar>
            <w:top w:w="0" w:type="dxa"/>
            <w:left w:w="108" w:type="dxa"/>
            <w:bottom w:w="0" w:type="dxa"/>
            <w:right w:w="108" w:type="dxa"/>
          </w:tblCellMar>
        </w:tblPrEx>
        <w:trPr>
          <w:trHeight w:val="649" w:hRule="atLeast"/>
          <w:jc w:val="center"/>
        </w:trPr>
        <w:tc>
          <w:tcPr>
            <w:tcW w:w="8729" w:type="dxa"/>
            <w:gridSpan w:val="5"/>
            <w:tcBorders>
              <w:top w:val="single" w:color="auto" w:sz="4" w:space="0"/>
              <w:left w:val="single" w:color="auto" w:sz="4" w:space="0"/>
              <w:bottom w:val="single" w:color="auto" w:sz="4" w:space="0"/>
              <w:right w:val="single" w:color="auto" w:sz="4" w:space="0"/>
            </w:tcBorders>
            <w:noWrap/>
            <w:vAlign w:val="center"/>
          </w:tcPr>
          <w:p>
            <w:pPr>
              <w:spacing w:line="640" w:lineRule="exact"/>
              <w:rPr>
                <w:rFonts w:ascii="宋体" w:hAnsi="宋体"/>
                <w:sz w:val="24"/>
                <w:szCs w:val="24"/>
              </w:rPr>
            </w:pPr>
            <w:r>
              <w:rPr>
                <w:rFonts w:hint="eastAsia" w:ascii="宋体" w:hAnsi="宋体"/>
                <w:sz w:val="24"/>
                <w:szCs w:val="24"/>
              </w:rPr>
              <w:t>岗位名称</w:t>
            </w:r>
          </w:p>
        </w:tc>
      </w:tr>
      <w:tr>
        <w:tblPrEx>
          <w:tblCellMar>
            <w:top w:w="0" w:type="dxa"/>
            <w:left w:w="108" w:type="dxa"/>
            <w:bottom w:w="0" w:type="dxa"/>
            <w:right w:w="108" w:type="dxa"/>
          </w:tblCellMar>
        </w:tblPrEx>
        <w:trPr>
          <w:trHeight w:val="475" w:hRule="atLeast"/>
          <w:jc w:val="center"/>
        </w:trPr>
        <w:tc>
          <w:tcPr>
            <w:tcW w:w="2354" w:type="dxa"/>
            <w:gridSpan w:val="2"/>
            <w:tcBorders>
              <w:top w:val="single" w:color="auto" w:sz="4" w:space="0"/>
              <w:left w:val="single" w:color="auto" w:sz="4" w:space="0"/>
              <w:bottom w:val="single" w:color="auto" w:sz="4" w:space="0"/>
              <w:right w:val="single" w:color="auto" w:sz="4" w:space="0"/>
            </w:tcBorders>
            <w:noWrap/>
            <w:vAlign w:val="center"/>
          </w:tcPr>
          <w:p>
            <w:pPr>
              <w:spacing w:line="640" w:lineRule="exact"/>
              <w:rPr>
                <w:rFonts w:ascii="宋体" w:hAnsi="宋体"/>
                <w:sz w:val="24"/>
                <w:szCs w:val="24"/>
              </w:rPr>
            </w:pPr>
            <w:r>
              <w:rPr>
                <w:rFonts w:hint="eastAsia" w:ascii="宋体" w:hAnsi="宋体"/>
                <w:sz w:val="24"/>
                <w:szCs w:val="24"/>
              </w:rPr>
              <w:t>姓    名</w:t>
            </w:r>
          </w:p>
        </w:tc>
        <w:tc>
          <w:tcPr>
            <w:tcW w:w="1894" w:type="dxa"/>
            <w:tcBorders>
              <w:top w:val="single" w:color="auto" w:sz="4" w:space="0"/>
              <w:left w:val="single" w:color="auto" w:sz="4" w:space="0"/>
              <w:bottom w:val="single" w:color="auto" w:sz="4" w:space="0"/>
              <w:right w:val="single" w:color="auto" w:sz="4" w:space="0"/>
            </w:tcBorders>
            <w:noWrap/>
            <w:vAlign w:val="center"/>
          </w:tcPr>
          <w:p>
            <w:pPr>
              <w:spacing w:line="640" w:lineRule="exact"/>
              <w:rPr>
                <w:rFonts w:ascii="宋体" w:hAnsi="宋体"/>
                <w:sz w:val="24"/>
                <w:szCs w:val="24"/>
              </w:rPr>
            </w:pPr>
          </w:p>
        </w:tc>
        <w:tc>
          <w:tcPr>
            <w:tcW w:w="1590" w:type="dxa"/>
            <w:tcBorders>
              <w:top w:val="single" w:color="auto" w:sz="4" w:space="0"/>
              <w:left w:val="nil"/>
              <w:bottom w:val="single" w:color="auto" w:sz="4" w:space="0"/>
              <w:right w:val="single" w:color="auto" w:sz="4" w:space="0"/>
            </w:tcBorders>
            <w:noWrap/>
            <w:vAlign w:val="center"/>
          </w:tcPr>
          <w:p>
            <w:pPr>
              <w:spacing w:line="640" w:lineRule="exact"/>
              <w:rPr>
                <w:rFonts w:ascii="宋体" w:hAnsi="宋体"/>
                <w:sz w:val="24"/>
                <w:szCs w:val="24"/>
              </w:rPr>
            </w:pPr>
            <w:r>
              <w:rPr>
                <w:rFonts w:hint="eastAsia" w:ascii="宋体" w:hAnsi="宋体"/>
                <w:sz w:val="24"/>
                <w:szCs w:val="24"/>
              </w:rPr>
              <w:t>年    龄</w:t>
            </w:r>
          </w:p>
        </w:tc>
        <w:tc>
          <w:tcPr>
            <w:tcW w:w="2891" w:type="dxa"/>
            <w:tcBorders>
              <w:top w:val="single" w:color="auto" w:sz="4" w:space="0"/>
              <w:left w:val="nil"/>
              <w:bottom w:val="single" w:color="auto" w:sz="4" w:space="0"/>
              <w:right w:val="single" w:color="auto" w:sz="4" w:space="0"/>
            </w:tcBorders>
            <w:noWrap/>
            <w:vAlign w:val="center"/>
          </w:tcPr>
          <w:p>
            <w:pPr>
              <w:spacing w:line="640" w:lineRule="exact"/>
              <w:rPr>
                <w:rFonts w:ascii="宋体" w:hAnsi="宋体"/>
                <w:sz w:val="24"/>
                <w:szCs w:val="24"/>
              </w:rPr>
            </w:pPr>
          </w:p>
        </w:tc>
      </w:tr>
      <w:tr>
        <w:tblPrEx>
          <w:tblCellMar>
            <w:top w:w="0" w:type="dxa"/>
            <w:left w:w="108" w:type="dxa"/>
            <w:bottom w:w="0" w:type="dxa"/>
            <w:right w:w="108" w:type="dxa"/>
          </w:tblCellMar>
        </w:tblPrEx>
        <w:trPr>
          <w:trHeight w:val="399" w:hRule="atLeast"/>
          <w:jc w:val="center"/>
        </w:trPr>
        <w:tc>
          <w:tcPr>
            <w:tcW w:w="2354" w:type="dxa"/>
            <w:gridSpan w:val="2"/>
            <w:tcBorders>
              <w:top w:val="single" w:color="auto" w:sz="4" w:space="0"/>
              <w:left w:val="single" w:color="auto" w:sz="4" w:space="0"/>
              <w:bottom w:val="single" w:color="auto" w:sz="4" w:space="0"/>
              <w:right w:val="single" w:color="auto" w:sz="4" w:space="0"/>
            </w:tcBorders>
            <w:noWrap/>
            <w:vAlign w:val="center"/>
          </w:tcPr>
          <w:p>
            <w:pPr>
              <w:spacing w:line="640" w:lineRule="exact"/>
              <w:rPr>
                <w:rFonts w:ascii="宋体" w:hAnsi="宋体"/>
                <w:sz w:val="24"/>
                <w:szCs w:val="24"/>
              </w:rPr>
            </w:pPr>
            <w:r>
              <w:rPr>
                <w:rFonts w:hint="eastAsia" w:ascii="宋体" w:hAnsi="宋体"/>
                <w:sz w:val="24"/>
                <w:szCs w:val="24"/>
              </w:rPr>
              <w:t>性    别</w:t>
            </w:r>
          </w:p>
        </w:tc>
        <w:tc>
          <w:tcPr>
            <w:tcW w:w="1894" w:type="dxa"/>
            <w:tcBorders>
              <w:top w:val="single" w:color="auto" w:sz="4" w:space="0"/>
              <w:left w:val="single" w:color="auto" w:sz="4" w:space="0"/>
              <w:bottom w:val="single" w:color="auto" w:sz="4" w:space="0"/>
              <w:right w:val="single" w:color="auto" w:sz="4" w:space="0"/>
            </w:tcBorders>
            <w:noWrap/>
            <w:vAlign w:val="center"/>
          </w:tcPr>
          <w:p>
            <w:pPr>
              <w:spacing w:line="640" w:lineRule="exact"/>
              <w:rPr>
                <w:rFonts w:ascii="宋体" w:hAnsi="宋体"/>
                <w:sz w:val="24"/>
                <w:szCs w:val="24"/>
              </w:rPr>
            </w:pPr>
          </w:p>
        </w:tc>
        <w:tc>
          <w:tcPr>
            <w:tcW w:w="1590" w:type="dxa"/>
            <w:tcBorders>
              <w:top w:val="single" w:color="auto" w:sz="4" w:space="0"/>
              <w:left w:val="nil"/>
              <w:bottom w:val="single" w:color="auto" w:sz="4" w:space="0"/>
              <w:right w:val="single" w:color="auto" w:sz="4" w:space="0"/>
            </w:tcBorders>
            <w:noWrap/>
            <w:vAlign w:val="center"/>
          </w:tcPr>
          <w:p>
            <w:pPr>
              <w:spacing w:line="640" w:lineRule="exact"/>
              <w:rPr>
                <w:rFonts w:ascii="宋体" w:hAnsi="宋体"/>
                <w:sz w:val="24"/>
                <w:szCs w:val="24"/>
              </w:rPr>
            </w:pPr>
            <w:r>
              <w:rPr>
                <w:rFonts w:hint="eastAsia" w:ascii="宋体" w:hAnsi="宋体"/>
                <w:sz w:val="24"/>
                <w:szCs w:val="24"/>
              </w:rPr>
              <w:t>毕业学校</w:t>
            </w:r>
          </w:p>
        </w:tc>
        <w:tc>
          <w:tcPr>
            <w:tcW w:w="2891" w:type="dxa"/>
            <w:tcBorders>
              <w:top w:val="single" w:color="auto" w:sz="4" w:space="0"/>
              <w:left w:val="nil"/>
              <w:bottom w:val="single" w:color="auto" w:sz="4" w:space="0"/>
              <w:right w:val="single" w:color="auto" w:sz="4" w:space="0"/>
            </w:tcBorders>
            <w:noWrap/>
            <w:vAlign w:val="center"/>
          </w:tcPr>
          <w:p>
            <w:pPr>
              <w:spacing w:line="640" w:lineRule="exact"/>
              <w:rPr>
                <w:rFonts w:ascii="宋体" w:hAnsi="宋体"/>
                <w:sz w:val="24"/>
                <w:szCs w:val="24"/>
              </w:rPr>
            </w:pPr>
          </w:p>
        </w:tc>
      </w:tr>
      <w:tr>
        <w:tblPrEx>
          <w:tblCellMar>
            <w:top w:w="0" w:type="dxa"/>
            <w:left w:w="108" w:type="dxa"/>
            <w:bottom w:w="0" w:type="dxa"/>
            <w:right w:w="108" w:type="dxa"/>
          </w:tblCellMar>
        </w:tblPrEx>
        <w:trPr>
          <w:trHeight w:val="548" w:hRule="atLeast"/>
          <w:jc w:val="center"/>
        </w:trPr>
        <w:tc>
          <w:tcPr>
            <w:tcW w:w="2354" w:type="dxa"/>
            <w:gridSpan w:val="2"/>
            <w:tcBorders>
              <w:top w:val="single" w:color="auto" w:sz="4" w:space="0"/>
              <w:left w:val="single" w:color="auto" w:sz="4" w:space="0"/>
              <w:bottom w:val="single" w:color="auto" w:sz="4" w:space="0"/>
              <w:right w:val="single" w:color="auto" w:sz="4" w:space="0"/>
            </w:tcBorders>
            <w:noWrap/>
            <w:vAlign w:val="center"/>
          </w:tcPr>
          <w:p>
            <w:pPr>
              <w:spacing w:line="640" w:lineRule="exact"/>
              <w:rPr>
                <w:rFonts w:ascii="宋体" w:hAnsi="宋体"/>
                <w:sz w:val="24"/>
                <w:szCs w:val="24"/>
              </w:rPr>
            </w:pPr>
            <w:r>
              <w:rPr>
                <w:rFonts w:hint="eastAsia" w:ascii="宋体" w:hAnsi="宋体"/>
                <w:sz w:val="24"/>
                <w:szCs w:val="24"/>
              </w:rPr>
              <w:t>学历和专业</w:t>
            </w:r>
          </w:p>
        </w:tc>
        <w:tc>
          <w:tcPr>
            <w:tcW w:w="1894" w:type="dxa"/>
            <w:tcBorders>
              <w:top w:val="single" w:color="auto" w:sz="4" w:space="0"/>
              <w:left w:val="single" w:color="auto" w:sz="4" w:space="0"/>
              <w:bottom w:val="single" w:color="auto" w:sz="4" w:space="0"/>
              <w:right w:val="single" w:color="auto" w:sz="4" w:space="0"/>
            </w:tcBorders>
            <w:noWrap/>
            <w:vAlign w:val="center"/>
          </w:tcPr>
          <w:p>
            <w:pPr>
              <w:spacing w:line="640" w:lineRule="exact"/>
              <w:rPr>
                <w:rFonts w:ascii="宋体" w:hAnsi="宋体"/>
                <w:sz w:val="24"/>
                <w:szCs w:val="24"/>
              </w:rPr>
            </w:pPr>
          </w:p>
        </w:tc>
        <w:tc>
          <w:tcPr>
            <w:tcW w:w="1590" w:type="dxa"/>
            <w:tcBorders>
              <w:top w:val="single" w:color="auto" w:sz="4" w:space="0"/>
              <w:left w:val="nil"/>
              <w:bottom w:val="single" w:color="auto" w:sz="4" w:space="0"/>
              <w:right w:val="single" w:color="auto" w:sz="4" w:space="0"/>
            </w:tcBorders>
            <w:noWrap/>
            <w:vAlign w:val="center"/>
          </w:tcPr>
          <w:p>
            <w:pPr>
              <w:spacing w:line="640" w:lineRule="exact"/>
              <w:rPr>
                <w:rFonts w:ascii="宋体" w:hAnsi="宋体"/>
                <w:sz w:val="24"/>
                <w:szCs w:val="24"/>
              </w:rPr>
            </w:pPr>
            <w:r>
              <w:rPr>
                <w:rFonts w:hint="eastAsia" w:ascii="宋体" w:hAnsi="宋体"/>
                <w:sz w:val="24"/>
                <w:szCs w:val="24"/>
              </w:rPr>
              <w:t>毕业时间</w:t>
            </w:r>
          </w:p>
        </w:tc>
        <w:tc>
          <w:tcPr>
            <w:tcW w:w="2891" w:type="dxa"/>
            <w:tcBorders>
              <w:top w:val="single" w:color="auto" w:sz="4" w:space="0"/>
              <w:left w:val="nil"/>
              <w:bottom w:val="single" w:color="auto" w:sz="4" w:space="0"/>
              <w:right w:val="single" w:color="auto" w:sz="4" w:space="0"/>
            </w:tcBorders>
            <w:noWrap/>
            <w:vAlign w:val="center"/>
          </w:tcPr>
          <w:p>
            <w:pPr>
              <w:spacing w:line="640" w:lineRule="exact"/>
              <w:rPr>
                <w:rFonts w:ascii="宋体" w:hAnsi="宋体"/>
                <w:sz w:val="24"/>
                <w:szCs w:val="24"/>
              </w:rPr>
            </w:pPr>
          </w:p>
        </w:tc>
      </w:tr>
      <w:tr>
        <w:tblPrEx>
          <w:tblCellMar>
            <w:top w:w="0" w:type="dxa"/>
            <w:left w:w="108" w:type="dxa"/>
            <w:bottom w:w="0" w:type="dxa"/>
            <w:right w:w="108" w:type="dxa"/>
          </w:tblCellMar>
        </w:tblPrEx>
        <w:trPr>
          <w:trHeight w:val="444" w:hRule="atLeast"/>
          <w:jc w:val="center"/>
        </w:trPr>
        <w:tc>
          <w:tcPr>
            <w:tcW w:w="2354" w:type="dxa"/>
            <w:gridSpan w:val="2"/>
            <w:tcBorders>
              <w:top w:val="single" w:color="auto" w:sz="4" w:space="0"/>
              <w:left w:val="single" w:color="auto" w:sz="4" w:space="0"/>
              <w:bottom w:val="single" w:color="auto" w:sz="4" w:space="0"/>
              <w:right w:val="single" w:color="auto" w:sz="4" w:space="0"/>
            </w:tcBorders>
            <w:noWrap/>
            <w:vAlign w:val="center"/>
          </w:tcPr>
          <w:p>
            <w:pPr>
              <w:spacing w:line="640" w:lineRule="exact"/>
              <w:rPr>
                <w:rFonts w:ascii="宋体" w:hAnsi="宋体"/>
                <w:sz w:val="24"/>
                <w:szCs w:val="24"/>
              </w:rPr>
            </w:pPr>
            <w:r>
              <w:rPr>
                <w:rFonts w:hint="eastAsia" w:ascii="宋体" w:hAnsi="宋体"/>
                <w:sz w:val="24"/>
                <w:szCs w:val="24"/>
              </w:rPr>
              <w:t>拥有的执业资格</w:t>
            </w:r>
          </w:p>
        </w:tc>
        <w:tc>
          <w:tcPr>
            <w:tcW w:w="1894" w:type="dxa"/>
            <w:tcBorders>
              <w:top w:val="single" w:color="auto" w:sz="4" w:space="0"/>
              <w:left w:val="single" w:color="auto" w:sz="4" w:space="0"/>
              <w:bottom w:val="single" w:color="auto" w:sz="4" w:space="0"/>
              <w:right w:val="single" w:color="auto" w:sz="4" w:space="0"/>
            </w:tcBorders>
            <w:noWrap/>
            <w:vAlign w:val="center"/>
          </w:tcPr>
          <w:p>
            <w:pPr>
              <w:spacing w:line="640" w:lineRule="exact"/>
              <w:rPr>
                <w:rFonts w:ascii="宋体" w:hAnsi="宋体"/>
                <w:sz w:val="24"/>
                <w:szCs w:val="24"/>
              </w:rPr>
            </w:pPr>
          </w:p>
        </w:tc>
        <w:tc>
          <w:tcPr>
            <w:tcW w:w="1590" w:type="dxa"/>
            <w:tcBorders>
              <w:top w:val="single" w:color="auto" w:sz="4" w:space="0"/>
              <w:left w:val="nil"/>
              <w:bottom w:val="single" w:color="auto" w:sz="4" w:space="0"/>
              <w:right w:val="single" w:color="auto" w:sz="4" w:space="0"/>
            </w:tcBorders>
            <w:noWrap/>
            <w:vAlign w:val="center"/>
          </w:tcPr>
          <w:p>
            <w:pPr>
              <w:spacing w:line="640" w:lineRule="exact"/>
              <w:rPr>
                <w:rFonts w:ascii="宋体" w:hAnsi="宋体"/>
                <w:sz w:val="24"/>
                <w:szCs w:val="24"/>
              </w:rPr>
            </w:pPr>
            <w:r>
              <w:rPr>
                <w:rFonts w:hint="eastAsia" w:ascii="宋体" w:hAnsi="宋体"/>
                <w:sz w:val="24"/>
                <w:szCs w:val="24"/>
              </w:rPr>
              <w:t>专业职称</w:t>
            </w:r>
          </w:p>
        </w:tc>
        <w:tc>
          <w:tcPr>
            <w:tcW w:w="2891" w:type="dxa"/>
            <w:tcBorders>
              <w:top w:val="single" w:color="auto" w:sz="4" w:space="0"/>
              <w:left w:val="nil"/>
              <w:bottom w:val="single" w:color="auto" w:sz="4" w:space="0"/>
              <w:right w:val="single" w:color="auto" w:sz="4" w:space="0"/>
            </w:tcBorders>
            <w:noWrap/>
            <w:vAlign w:val="center"/>
          </w:tcPr>
          <w:p>
            <w:pPr>
              <w:spacing w:line="640" w:lineRule="exact"/>
              <w:rPr>
                <w:rFonts w:ascii="宋体" w:hAnsi="宋体"/>
                <w:sz w:val="24"/>
                <w:szCs w:val="24"/>
              </w:rPr>
            </w:pPr>
          </w:p>
        </w:tc>
      </w:tr>
      <w:tr>
        <w:tblPrEx>
          <w:tblCellMar>
            <w:top w:w="0" w:type="dxa"/>
            <w:left w:w="108" w:type="dxa"/>
            <w:bottom w:w="0" w:type="dxa"/>
            <w:right w:w="108" w:type="dxa"/>
          </w:tblCellMar>
        </w:tblPrEx>
        <w:trPr>
          <w:trHeight w:val="635" w:hRule="atLeast"/>
          <w:jc w:val="center"/>
        </w:trPr>
        <w:tc>
          <w:tcPr>
            <w:tcW w:w="2354" w:type="dxa"/>
            <w:gridSpan w:val="2"/>
            <w:tcBorders>
              <w:top w:val="single" w:color="auto" w:sz="4" w:space="0"/>
              <w:left w:val="single" w:color="auto" w:sz="4" w:space="0"/>
              <w:bottom w:val="single" w:color="auto" w:sz="4" w:space="0"/>
              <w:right w:val="single" w:color="auto" w:sz="4" w:space="0"/>
            </w:tcBorders>
            <w:noWrap/>
            <w:vAlign w:val="center"/>
          </w:tcPr>
          <w:p>
            <w:pPr>
              <w:spacing w:line="640" w:lineRule="exact"/>
              <w:rPr>
                <w:rFonts w:ascii="宋体" w:hAnsi="宋体"/>
                <w:sz w:val="24"/>
                <w:szCs w:val="24"/>
              </w:rPr>
            </w:pPr>
            <w:r>
              <w:rPr>
                <w:rFonts w:hint="eastAsia" w:ascii="宋体" w:hAnsi="宋体"/>
                <w:sz w:val="24"/>
                <w:szCs w:val="24"/>
              </w:rPr>
              <w:t>执业资格证书编号</w:t>
            </w:r>
          </w:p>
        </w:tc>
        <w:tc>
          <w:tcPr>
            <w:tcW w:w="1894" w:type="dxa"/>
            <w:tcBorders>
              <w:top w:val="single" w:color="auto" w:sz="4" w:space="0"/>
              <w:left w:val="single" w:color="auto" w:sz="4" w:space="0"/>
              <w:bottom w:val="single" w:color="auto" w:sz="4" w:space="0"/>
              <w:right w:val="single" w:color="auto" w:sz="4" w:space="0"/>
            </w:tcBorders>
            <w:noWrap/>
            <w:vAlign w:val="center"/>
          </w:tcPr>
          <w:p>
            <w:pPr>
              <w:spacing w:line="640" w:lineRule="exact"/>
              <w:rPr>
                <w:rFonts w:ascii="宋体" w:hAnsi="宋体"/>
                <w:sz w:val="24"/>
                <w:szCs w:val="24"/>
              </w:rPr>
            </w:pPr>
          </w:p>
        </w:tc>
        <w:tc>
          <w:tcPr>
            <w:tcW w:w="1590" w:type="dxa"/>
            <w:tcBorders>
              <w:top w:val="single" w:color="auto" w:sz="4" w:space="0"/>
              <w:left w:val="nil"/>
              <w:bottom w:val="single" w:color="auto" w:sz="4" w:space="0"/>
              <w:right w:val="single" w:color="auto" w:sz="4" w:space="0"/>
            </w:tcBorders>
            <w:noWrap/>
            <w:vAlign w:val="center"/>
          </w:tcPr>
          <w:p>
            <w:pPr>
              <w:spacing w:line="640" w:lineRule="exact"/>
              <w:rPr>
                <w:rFonts w:ascii="宋体" w:hAnsi="宋体"/>
                <w:sz w:val="24"/>
                <w:szCs w:val="24"/>
              </w:rPr>
            </w:pPr>
            <w:r>
              <w:rPr>
                <w:rFonts w:hint="eastAsia" w:ascii="宋体" w:hAnsi="宋体"/>
                <w:sz w:val="24"/>
                <w:szCs w:val="24"/>
              </w:rPr>
              <w:t>工作年限</w:t>
            </w:r>
          </w:p>
        </w:tc>
        <w:tc>
          <w:tcPr>
            <w:tcW w:w="2891" w:type="dxa"/>
            <w:tcBorders>
              <w:top w:val="single" w:color="auto" w:sz="4" w:space="0"/>
              <w:left w:val="nil"/>
              <w:bottom w:val="single" w:color="auto" w:sz="4" w:space="0"/>
              <w:right w:val="single" w:color="auto" w:sz="4" w:space="0"/>
            </w:tcBorders>
            <w:noWrap/>
            <w:vAlign w:val="center"/>
          </w:tcPr>
          <w:p>
            <w:pPr>
              <w:spacing w:line="640" w:lineRule="exact"/>
              <w:rPr>
                <w:rFonts w:ascii="宋体" w:hAnsi="宋体"/>
                <w:sz w:val="24"/>
                <w:szCs w:val="24"/>
              </w:rPr>
            </w:pPr>
          </w:p>
        </w:tc>
      </w:tr>
      <w:tr>
        <w:tblPrEx>
          <w:tblCellMar>
            <w:top w:w="0" w:type="dxa"/>
            <w:left w:w="108" w:type="dxa"/>
            <w:bottom w:w="0" w:type="dxa"/>
            <w:right w:w="108" w:type="dxa"/>
          </w:tblCellMar>
        </w:tblPrEx>
        <w:trPr>
          <w:trHeight w:val="2698" w:hRule="atLeast"/>
          <w:jc w:val="center"/>
        </w:trPr>
        <w:tc>
          <w:tcPr>
            <w:tcW w:w="110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 w:val="24"/>
                <w:szCs w:val="24"/>
              </w:rPr>
            </w:pPr>
            <w:r>
              <w:rPr>
                <w:rFonts w:hint="eastAsia" w:ascii="宋体" w:hAnsi="宋体"/>
                <w:sz w:val="24"/>
                <w:szCs w:val="24"/>
              </w:rPr>
              <w:t>主要</w:t>
            </w:r>
          </w:p>
          <w:p>
            <w:pPr>
              <w:jc w:val="center"/>
              <w:rPr>
                <w:rFonts w:ascii="宋体" w:hAnsi="宋体"/>
                <w:sz w:val="24"/>
                <w:szCs w:val="24"/>
              </w:rPr>
            </w:pPr>
            <w:r>
              <w:rPr>
                <w:rFonts w:hint="eastAsia" w:ascii="宋体" w:hAnsi="宋体"/>
                <w:sz w:val="24"/>
                <w:szCs w:val="24"/>
              </w:rPr>
              <w:t>工作</w:t>
            </w:r>
          </w:p>
          <w:p>
            <w:pPr>
              <w:jc w:val="center"/>
              <w:rPr>
                <w:rFonts w:ascii="宋体" w:hAnsi="宋体"/>
                <w:sz w:val="24"/>
                <w:szCs w:val="24"/>
              </w:rPr>
            </w:pPr>
            <w:r>
              <w:rPr>
                <w:rFonts w:hint="eastAsia" w:ascii="宋体" w:hAnsi="宋体"/>
                <w:sz w:val="24"/>
                <w:szCs w:val="24"/>
              </w:rPr>
              <w:t>业绩</w:t>
            </w:r>
          </w:p>
          <w:p>
            <w:pPr>
              <w:jc w:val="center"/>
              <w:rPr>
                <w:rFonts w:ascii="宋体" w:hAnsi="宋体"/>
                <w:sz w:val="24"/>
                <w:szCs w:val="24"/>
              </w:rPr>
            </w:pPr>
            <w:r>
              <w:rPr>
                <w:rFonts w:hint="eastAsia" w:ascii="宋体" w:hAnsi="宋体"/>
                <w:sz w:val="24"/>
                <w:szCs w:val="24"/>
              </w:rPr>
              <w:t>及担</w:t>
            </w:r>
          </w:p>
          <w:p>
            <w:pPr>
              <w:jc w:val="center"/>
              <w:rPr>
                <w:rFonts w:ascii="宋体" w:hAnsi="宋体"/>
                <w:sz w:val="24"/>
                <w:szCs w:val="24"/>
              </w:rPr>
            </w:pPr>
            <w:r>
              <w:rPr>
                <w:rFonts w:hint="eastAsia" w:ascii="宋体" w:hAnsi="宋体"/>
                <w:sz w:val="24"/>
                <w:szCs w:val="24"/>
              </w:rPr>
              <w:t>任的</w:t>
            </w:r>
          </w:p>
          <w:p>
            <w:pPr>
              <w:jc w:val="center"/>
              <w:rPr>
                <w:rFonts w:ascii="宋体" w:hAnsi="宋体"/>
                <w:sz w:val="24"/>
                <w:szCs w:val="24"/>
              </w:rPr>
            </w:pPr>
            <w:r>
              <w:rPr>
                <w:rFonts w:hint="eastAsia" w:ascii="宋体" w:hAnsi="宋体"/>
                <w:sz w:val="24"/>
                <w:szCs w:val="24"/>
              </w:rPr>
              <w:t>主要</w:t>
            </w:r>
          </w:p>
          <w:p>
            <w:pPr>
              <w:jc w:val="center"/>
              <w:rPr>
                <w:rFonts w:ascii="宋体" w:hAnsi="宋体"/>
                <w:sz w:val="24"/>
                <w:szCs w:val="24"/>
              </w:rPr>
            </w:pPr>
            <w:r>
              <w:rPr>
                <w:rFonts w:hint="eastAsia" w:ascii="宋体" w:hAnsi="宋体"/>
                <w:sz w:val="24"/>
                <w:szCs w:val="24"/>
              </w:rPr>
              <w:t>工作</w:t>
            </w:r>
          </w:p>
        </w:tc>
        <w:tc>
          <w:tcPr>
            <w:tcW w:w="7625" w:type="dxa"/>
            <w:gridSpan w:val="4"/>
            <w:tcBorders>
              <w:top w:val="single" w:color="auto" w:sz="4" w:space="0"/>
              <w:left w:val="nil"/>
              <w:bottom w:val="single" w:color="auto" w:sz="4" w:space="0"/>
              <w:right w:val="single" w:color="auto" w:sz="4" w:space="0"/>
            </w:tcBorders>
            <w:noWrap/>
          </w:tcPr>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tc>
      </w:tr>
    </w:tbl>
    <w:p>
      <w:pPr>
        <w:autoSpaceDE w:val="0"/>
        <w:autoSpaceDN w:val="0"/>
        <w:adjustRightInd w:val="0"/>
        <w:spacing w:line="360" w:lineRule="auto"/>
        <w:ind w:right="215" w:firstLine="420"/>
        <w:jc w:val="center"/>
        <w:rPr>
          <w:rFonts w:ascii="宋体" w:hAnsi="宋体"/>
          <w:b/>
          <w:bCs/>
          <w:sz w:val="24"/>
          <w:szCs w:val="24"/>
        </w:rPr>
      </w:pPr>
    </w:p>
    <w:p>
      <w:pPr>
        <w:pStyle w:val="14"/>
        <w:ind w:firstLine="0" w:firstLineChars="0"/>
      </w:pPr>
    </w:p>
    <w:p>
      <w:pPr>
        <w:pStyle w:val="14"/>
        <w:ind w:firstLine="0" w:firstLineChars="0"/>
      </w:pPr>
    </w:p>
    <w:p>
      <w:pPr>
        <w:pStyle w:val="14"/>
        <w:ind w:firstLine="0" w:firstLineChars="0"/>
      </w:pPr>
    </w:p>
    <w:p>
      <w:pPr>
        <w:pStyle w:val="14"/>
        <w:ind w:firstLine="0" w:firstLineChars="0"/>
      </w:pPr>
    </w:p>
    <w:p>
      <w:pPr>
        <w:pStyle w:val="14"/>
        <w:ind w:firstLine="0" w:firstLineChars="0"/>
      </w:pPr>
    </w:p>
    <w:p>
      <w:pPr>
        <w:pStyle w:val="14"/>
        <w:ind w:firstLine="0" w:firstLineChars="0"/>
      </w:pPr>
    </w:p>
    <w:p>
      <w:pPr>
        <w:pStyle w:val="14"/>
        <w:ind w:firstLine="0" w:firstLineChars="0"/>
      </w:pPr>
    </w:p>
    <w:p>
      <w:pPr>
        <w:pStyle w:val="14"/>
        <w:ind w:firstLine="0" w:firstLineChars="0"/>
      </w:pPr>
    </w:p>
    <w:p>
      <w:pPr>
        <w:pStyle w:val="14"/>
        <w:ind w:firstLine="0" w:firstLineChars="0"/>
      </w:pPr>
    </w:p>
    <w:p>
      <w:pPr>
        <w:tabs>
          <w:tab w:val="center" w:pos="4739"/>
        </w:tabs>
        <w:jc w:val="center"/>
        <w:rPr>
          <w:rFonts w:ascii="宋体" w:hAnsi="宋体"/>
          <w:b/>
          <w:sz w:val="32"/>
        </w:rPr>
      </w:pPr>
      <w:r>
        <w:rPr>
          <w:rFonts w:hint="eastAsia" w:ascii="宋体" w:hAnsi="宋体"/>
          <w:b/>
          <w:sz w:val="32"/>
          <w:lang w:eastAsia="zh-CN"/>
        </w:rPr>
        <w:t>七</w:t>
      </w:r>
      <w:r>
        <w:rPr>
          <w:rFonts w:hint="eastAsia" w:ascii="宋体" w:hAnsi="宋体"/>
          <w:b/>
          <w:sz w:val="32"/>
        </w:rPr>
        <w:t>、投标单位基本情况表</w:t>
      </w:r>
    </w:p>
    <w:tbl>
      <w:tblPr>
        <w:tblStyle w:val="16"/>
        <w:tblW w:w="9264" w:type="dxa"/>
        <w:jc w:val="center"/>
        <w:tblLayout w:type="fixed"/>
        <w:tblCellMar>
          <w:top w:w="0" w:type="dxa"/>
          <w:left w:w="108" w:type="dxa"/>
          <w:bottom w:w="0" w:type="dxa"/>
          <w:right w:w="108" w:type="dxa"/>
        </w:tblCellMar>
      </w:tblPr>
      <w:tblGrid>
        <w:gridCol w:w="1731"/>
        <w:gridCol w:w="1221"/>
        <w:gridCol w:w="1221"/>
        <w:gridCol w:w="1221"/>
        <w:gridCol w:w="490"/>
        <w:gridCol w:w="35"/>
        <w:gridCol w:w="1048"/>
        <w:gridCol w:w="548"/>
        <w:gridCol w:w="527"/>
        <w:gridCol w:w="1222"/>
      </w:tblGrid>
      <w:tr>
        <w:tblPrEx>
          <w:tblCellMar>
            <w:top w:w="0" w:type="dxa"/>
            <w:left w:w="108" w:type="dxa"/>
            <w:bottom w:w="0" w:type="dxa"/>
            <w:right w:w="108" w:type="dxa"/>
          </w:tblCellMar>
        </w:tblPrEx>
        <w:trPr>
          <w:trHeight w:val="587" w:hRule="atLeast"/>
          <w:jc w:val="center"/>
        </w:trPr>
        <w:tc>
          <w:tcPr>
            <w:tcW w:w="1731"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360" w:lineRule="auto"/>
              <w:ind w:right="215"/>
              <w:jc w:val="center"/>
              <w:rPr>
                <w:rFonts w:ascii="宋体" w:hAnsi="宋体"/>
                <w:sz w:val="24"/>
                <w:szCs w:val="24"/>
              </w:rPr>
            </w:pPr>
            <w:r>
              <w:rPr>
                <w:rFonts w:hint="eastAsia" w:ascii="宋体" w:hAnsi="宋体"/>
                <w:sz w:val="24"/>
                <w:szCs w:val="24"/>
              </w:rPr>
              <w:t>投标人名称</w:t>
            </w:r>
          </w:p>
        </w:tc>
        <w:tc>
          <w:tcPr>
            <w:tcW w:w="7533" w:type="dxa"/>
            <w:gridSpan w:val="9"/>
            <w:tcBorders>
              <w:top w:val="single" w:color="auto" w:sz="4" w:space="0"/>
              <w:left w:val="nil"/>
              <w:bottom w:val="single" w:color="auto" w:sz="4" w:space="0"/>
              <w:right w:val="single" w:color="auto" w:sz="4" w:space="0"/>
            </w:tcBorders>
            <w:noWrap/>
            <w:vAlign w:val="center"/>
          </w:tcPr>
          <w:p>
            <w:pPr>
              <w:autoSpaceDE w:val="0"/>
              <w:autoSpaceDN w:val="0"/>
              <w:adjustRightInd w:val="0"/>
              <w:spacing w:line="360" w:lineRule="auto"/>
              <w:ind w:left="41" w:right="215" w:hanging="40" w:hangingChars="17"/>
              <w:jc w:val="center"/>
              <w:rPr>
                <w:rFonts w:ascii="宋体" w:hAnsi="宋体"/>
                <w:sz w:val="24"/>
                <w:szCs w:val="24"/>
              </w:rPr>
            </w:pPr>
          </w:p>
        </w:tc>
      </w:tr>
      <w:tr>
        <w:tblPrEx>
          <w:tblCellMar>
            <w:top w:w="0" w:type="dxa"/>
            <w:left w:w="108" w:type="dxa"/>
            <w:bottom w:w="0" w:type="dxa"/>
            <w:right w:w="108" w:type="dxa"/>
          </w:tblCellMar>
        </w:tblPrEx>
        <w:trPr>
          <w:trHeight w:val="587" w:hRule="atLeast"/>
          <w:jc w:val="center"/>
        </w:trPr>
        <w:tc>
          <w:tcPr>
            <w:tcW w:w="1731"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360" w:lineRule="auto"/>
              <w:ind w:right="215"/>
              <w:jc w:val="center"/>
              <w:rPr>
                <w:rFonts w:ascii="宋体" w:hAnsi="宋体"/>
                <w:sz w:val="24"/>
                <w:szCs w:val="24"/>
              </w:rPr>
            </w:pPr>
            <w:r>
              <w:rPr>
                <w:rFonts w:hint="eastAsia" w:ascii="宋体" w:hAnsi="宋体"/>
                <w:sz w:val="24"/>
                <w:szCs w:val="24"/>
              </w:rPr>
              <w:t>注册地址</w:t>
            </w:r>
          </w:p>
        </w:tc>
        <w:tc>
          <w:tcPr>
            <w:tcW w:w="4188" w:type="dxa"/>
            <w:gridSpan w:val="5"/>
            <w:tcBorders>
              <w:top w:val="single" w:color="auto" w:sz="4" w:space="0"/>
              <w:left w:val="nil"/>
              <w:bottom w:val="single" w:color="auto" w:sz="4" w:space="0"/>
              <w:right w:val="single" w:color="auto" w:sz="4" w:space="0"/>
            </w:tcBorders>
            <w:noWrap/>
            <w:vAlign w:val="center"/>
          </w:tcPr>
          <w:p>
            <w:pPr>
              <w:autoSpaceDE w:val="0"/>
              <w:autoSpaceDN w:val="0"/>
              <w:adjustRightInd w:val="0"/>
              <w:spacing w:line="360" w:lineRule="auto"/>
              <w:ind w:right="215"/>
              <w:jc w:val="center"/>
              <w:rPr>
                <w:rFonts w:ascii="宋体" w:hAnsi="宋体"/>
                <w:sz w:val="24"/>
                <w:szCs w:val="24"/>
              </w:rPr>
            </w:pPr>
          </w:p>
        </w:tc>
        <w:tc>
          <w:tcPr>
            <w:tcW w:w="1596" w:type="dxa"/>
            <w:gridSpan w:val="2"/>
            <w:tcBorders>
              <w:top w:val="single" w:color="auto" w:sz="4" w:space="0"/>
              <w:left w:val="nil"/>
              <w:bottom w:val="single" w:color="auto" w:sz="4" w:space="0"/>
              <w:right w:val="single" w:color="auto" w:sz="4" w:space="0"/>
            </w:tcBorders>
            <w:noWrap/>
            <w:vAlign w:val="center"/>
          </w:tcPr>
          <w:p>
            <w:pPr>
              <w:autoSpaceDE w:val="0"/>
              <w:autoSpaceDN w:val="0"/>
              <w:adjustRightInd w:val="0"/>
              <w:spacing w:line="360" w:lineRule="auto"/>
              <w:ind w:right="215"/>
              <w:jc w:val="center"/>
              <w:rPr>
                <w:rFonts w:ascii="宋体" w:hAnsi="宋体"/>
                <w:sz w:val="24"/>
                <w:szCs w:val="24"/>
              </w:rPr>
            </w:pPr>
            <w:r>
              <w:rPr>
                <w:rFonts w:hint="eastAsia" w:ascii="宋体" w:hAnsi="宋体"/>
                <w:sz w:val="24"/>
                <w:szCs w:val="24"/>
              </w:rPr>
              <w:t>邮政编码</w:t>
            </w:r>
          </w:p>
        </w:tc>
        <w:tc>
          <w:tcPr>
            <w:tcW w:w="1749" w:type="dxa"/>
            <w:gridSpan w:val="2"/>
            <w:tcBorders>
              <w:top w:val="single" w:color="auto" w:sz="4" w:space="0"/>
              <w:left w:val="nil"/>
              <w:bottom w:val="single" w:color="auto" w:sz="4" w:space="0"/>
              <w:right w:val="single" w:color="auto" w:sz="4" w:space="0"/>
            </w:tcBorders>
            <w:noWrap/>
            <w:vAlign w:val="center"/>
          </w:tcPr>
          <w:p>
            <w:pPr>
              <w:autoSpaceDE w:val="0"/>
              <w:autoSpaceDN w:val="0"/>
              <w:adjustRightInd w:val="0"/>
              <w:spacing w:line="360" w:lineRule="auto"/>
              <w:ind w:right="215"/>
              <w:jc w:val="center"/>
              <w:rPr>
                <w:rFonts w:ascii="宋体" w:hAnsi="宋体"/>
                <w:sz w:val="24"/>
                <w:szCs w:val="24"/>
              </w:rPr>
            </w:pPr>
          </w:p>
        </w:tc>
      </w:tr>
      <w:tr>
        <w:tblPrEx>
          <w:tblCellMar>
            <w:top w:w="0" w:type="dxa"/>
            <w:left w:w="108" w:type="dxa"/>
            <w:bottom w:w="0" w:type="dxa"/>
            <w:right w:w="108" w:type="dxa"/>
          </w:tblCellMar>
        </w:tblPrEx>
        <w:trPr>
          <w:trHeight w:val="587" w:hRule="atLeast"/>
          <w:jc w:val="center"/>
        </w:trPr>
        <w:tc>
          <w:tcPr>
            <w:tcW w:w="1731" w:type="dxa"/>
            <w:vMerge w:val="restart"/>
            <w:tcBorders>
              <w:top w:val="nil"/>
              <w:left w:val="single" w:color="auto" w:sz="4" w:space="0"/>
              <w:bottom w:val="single" w:color="auto" w:sz="4" w:space="0"/>
              <w:right w:val="single" w:color="auto" w:sz="4" w:space="0"/>
            </w:tcBorders>
            <w:noWrap/>
            <w:vAlign w:val="center"/>
          </w:tcPr>
          <w:p>
            <w:pPr>
              <w:autoSpaceDE w:val="0"/>
              <w:autoSpaceDN w:val="0"/>
              <w:adjustRightInd w:val="0"/>
              <w:spacing w:line="360" w:lineRule="auto"/>
              <w:ind w:right="215"/>
              <w:jc w:val="center"/>
              <w:rPr>
                <w:rFonts w:ascii="宋体" w:hAnsi="宋体"/>
                <w:sz w:val="24"/>
                <w:szCs w:val="24"/>
              </w:rPr>
            </w:pPr>
            <w:r>
              <w:rPr>
                <w:rFonts w:hint="eastAsia" w:ascii="宋体" w:hAnsi="宋体"/>
                <w:sz w:val="24"/>
                <w:szCs w:val="24"/>
              </w:rPr>
              <w:t>联系方式</w:t>
            </w:r>
          </w:p>
        </w:tc>
        <w:tc>
          <w:tcPr>
            <w:tcW w:w="1221" w:type="dxa"/>
            <w:tcBorders>
              <w:top w:val="single" w:color="auto" w:sz="4" w:space="0"/>
              <w:left w:val="nil"/>
              <w:bottom w:val="single" w:color="auto" w:sz="4" w:space="0"/>
              <w:right w:val="single" w:color="auto" w:sz="4" w:space="0"/>
            </w:tcBorders>
            <w:noWrap/>
            <w:vAlign w:val="center"/>
          </w:tcPr>
          <w:p>
            <w:pPr>
              <w:autoSpaceDE w:val="0"/>
              <w:autoSpaceDN w:val="0"/>
              <w:adjustRightInd w:val="0"/>
              <w:spacing w:line="360" w:lineRule="auto"/>
              <w:ind w:right="215"/>
              <w:jc w:val="center"/>
              <w:rPr>
                <w:rFonts w:ascii="宋体" w:hAnsi="宋体"/>
                <w:sz w:val="24"/>
                <w:szCs w:val="24"/>
              </w:rPr>
            </w:pPr>
            <w:r>
              <w:rPr>
                <w:rFonts w:hint="eastAsia" w:ascii="宋体" w:hAnsi="宋体"/>
                <w:sz w:val="24"/>
                <w:szCs w:val="24"/>
              </w:rPr>
              <w:t>联系人</w:t>
            </w:r>
          </w:p>
        </w:tc>
        <w:tc>
          <w:tcPr>
            <w:tcW w:w="2967" w:type="dxa"/>
            <w:gridSpan w:val="4"/>
            <w:tcBorders>
              <w:top w:val="single" w:color="auto" w:sz="4" w:space="0"/>
              <w:left w:val="nil"/>
              <w:bottom w:val="single" w:color="auto" w:sz="4" w:space="0"/>
              <w:right w:val="single" w:color="auto" w:sz="4" w:space="0"/>
            </w:tcBorders>
            <w:noWrap/>
            <w:vAlign w:val="center"/>
          </w:tcPr>
          <w:p>
            <w:pPr>
              <w:autoSpaceDE w:val="0"/>
              <w:autoSpaceDN w:val="0"/>
              <w:adjustRightInd w:val="0"/>
              <w:spacing w:line="360" w:lineRule="auto"/>
              <w:ind w:right="215"/>
              <w:jc w:val="center"/>
              <w:rPr>
                <w:rFonts w:ascii="宋体" w:hAnsi="宋体"/>
                <w:sz w:val="24"/>
                <w:szCs w:val="24"/>
              </w:rPr>
            </w:pPr>
          </w:p>
        </w:tc>
        <w:tc>
          <w:tcPr>
            <w:tcW w:w="1596" w:type="dxa"/>
            <w:gridSpan w:val="2"/>
            <w:tcBorders>
              <w:top w:val="single" w:color="auto" w:sz="4" w:space="0"/>
              <w:left w:val="nil"/>
              <w:bottom w:val="single" w:color="auto" w:sz="4" w:space="0"/>
              <w:right w:val="single" w:color="auto" w:sz="4" w:space="0"/>
            </w:tcBorders>
            <w:noWrap/>
            <w:vAlign w:val="center"/>
          </w:tcPr>
          <w:p>
            <w:pPr>
              <w:autoSpaceDE w:val="0"/>
              <w:autoSpaceDN w:val="0"/>
              <w:adjustRightInd w:val="0"/>
              <w:spacing w:line="360" w:lineRule="auto"/>
              <w:ind w:right="215"/>
              <w:jc w:val="center"/>
              <w:rPr>
                <w:rFonts w:ascii="宋体" w:hAnsi="宋体"/>
                <w:sz w:val="24"/>
                <w:szCs w:val="24"/>
              </w:rPr>
            </w:pPr>
            <w:r>
              <w:rPr>
                <w:rFonts w:hint="eastAsia" w:ascii="宋体" w:hAnsi="宋体"/>
                <w:sz w:val="24"/>
                <w:szCs w:val="24"/>
              </w:rPr>
              <w:t>电话</w:t>
            </w:r>
          </w:p>
        </w:tc>
        <w:tc>
          <w:tcPr>
            <w:tcW w:w="1749" w:type="dxa"/>
            <w:gridSpan w:val="2"/>
            <w:tcBorders>
              <w:top w:val="single" w:color="auto" w:sz="4" w:space="0"/>
              <w:left w:val="nil"/>
              <w:bottom w:val="single" w:color="auto" w:sz="4" w:space="0"/>
              <w:right w:val="single" w:color="auto" w:sz="4" w:space="0"/>
            </w:tcBorders>
            <w:noWrap/>
            <w:vAlign w:val="center"/>
          </w:tcPr>
          <w:p>
            <w:pPr>
              <w:autoSpaceDE w:val="0"/>
              <w:autoSpaceDN w:val="0"/>
              <w:adjustRightInd w:val="0"/>
              <w:spacing w:line="360" w:lineRule="auto"/>
              <w:ind w:right="215"/>
              <w:jc w:val="center"/>
              <w:rPr>
                <w:rFonts w:ascii="宋体" w:hAnsi="宋体"/>
                <w:sz w:val="24"/>
                <w:szCs w:val="24"/>
              </w:rPr>
            </w:pPr>
          </w:p>
        </w:tc>
      </w:tr>
      <w:tr>
        <w:tblPrEx>
          <w:tblCellMar>
            <w:top w:w="0" w:type="dxa"/>
            <w:left w:w="108" w:type="dxa"/>
            <w:bottom w:w="0" w:type="dxa"/>
            <w:right w:w="108" w:type="dxa"/>
          </w:tblCellMar>
        </w:tblPrEx>
        <w:trPr>
          <w:trHeight w:val="181" w:hRule="atLeast"/>
          <w:jc w:val="center"/>
        </w:trPr>
        <w:tc>
          <w:tcPr>
            <w:tcW w:w="1731" w:type="dxa"/>
            <w:vMerge w:val="continue"/>
            <w:tcBorders>
              <w:top w:val="nil"/>
              <w:left w:val="single" w:color="auto" w:sz="4" w:space="0"/>
              <w:bottom w:val="single" w:color="auto" w:sz="4" w:space="0"/>
              <w:right w:val="single" w:color="auto" w:sz="4" w:space="0"/>
            </w:tcBorders>
            <w:noWrap/>
            <w:vAlign w:val="center"/>
          </w:tcPr>
          <w:p>
            <w:pPr>
              <w:widowControl/>
              <w:jc w:val="left"/>
              <w:rPr>
                <w:rFonts w:ascii="宋体" w:hAnsi="宋体"/>
                <w:sz w:val="24"/>
                <w:szCs w:val="24"/>
              </w:rPr>
            </w:pPr>
          </w:p>
        </w:tc>
        <w:tc>
          <w:tcPr>
            <w:tcW w:w="1221" w:type="dxa"/>
            <w:tcBorders>
              <w:top w:val="single" w:color="auto" w:sz="4" w:space="0"/>
              <w:left w:val="nil"/>
              <w:bottom w:val="single" w:color="auto" w:sz="4" w:space="0"/>
              <w:right w:val="single" w:color="auto" w:sz="4" w:space="0"/>
            </w:tcBorders>
            <w:noWrap/>
            <w:vAlign w:val="center"/>
          </w:tcPr>
          <w:p>
            <w:pPr>
              <w:autoSpaceDE w:val="0"/>
              <w:autoSpaceDN w:val="0"/>
              <w:adjustRightInd w:val="0"/>
              <w:spacing w:line="360" w:lineRule="auto"/>
              <w:ind w:right="215"/>
              <w:jc w:val="center"/>
              <w:rPr>
                <w:rFonts w:ascii="宋体" w:hAnsi="宋体"/>
                <w:sz w:val="24"/>
                <w:szCs w:val="24"/>
              </w:rPr>
            </w:pPr>
            <w:r>
              <w:rPr>
                <w:rFonts w:hint="eastAsia" w:ascii="宋体" w:hAnsi="宋体"/>
                <w:sz w:val="24"/>
                <w:szCs w:val="24"/>
              </w:rPr>
              <w:t>传真</w:t>
            </w:r>
          </w:p>
        </w:tc>
        <w:tc>
          <w:tcPr>
            <w:tcW w:w="2967" w:type="dxa"/>
            <w:gridSpan w:val="4"/>
            <w:tcBorders>
              <w:top w:val="single" w:color="auto" w:sz="4" w:space="0"/>
              <w:left w:val="nil"/>
              <w:bottom w:val="single" w:color="auto" w:sz="4" w:space="0"/>
              <w:right w:val="single" w:color="auto" w:sz="4" w:space="0"/>
            </w:tcBorders>
            <w:noWrap/>
            <w:vAlign w:val="center"/>
          </w:tcPr>
          <w:p>
            <w:pPr>
              <w:autoSpaceDE w:val="0"/>
              <w:autoSpaceDN w:val="0"/>
              <w:adjustRightInd w:val="0"/>
              <w:spacing w:line="360" w:lineRule="auto"/>
              <w:ind w:right="215"/>
              <w:jc w:val="center"/>
              <w:rPr>
                <w:rFonts w:ascii="宋体" w:hAnsi="宋体"/>
                <w:sz w:val="24"/>
                <w:szCs w:val="24"/>
              </w:rPr>
            </w:pPr>
          </w:p>
        </w:tc>
        <w:tc>
          <w:tcPr>
            <w:tcW w:w="1596" w:type="dxa"/>
            <w:gridSpan w:val="2"/>
            <w:tcBorders>
              <w:top w:val="single" w:color="auto" w:sz="4" w:space="0"/>
              <w:left w:val="nil"/>
              <w:bottom w:val="single" w:color="auto" w:sz="4" w:space="0"/>
              <w:right w:val="single" w:color="auto" w:sz="4" w:space="0"/>
            </w:tcBorders>
            <w:noWrap/>
            <w:vAlign w:val="center"/>
          </w:tcPr>
          <w:p>
            <w:pPr>
              <w:autoSpaceDE w:val="0"/>
              <w:autoSpaceDN w:val="0"/>
              <w:adjustRightInd w:val="0"/>
              <w:spacing w:line="360" w:lineRule="auto"/>
              <w:ind w:right="215"/>
              <w:jc w:val="center"/>
              <w:rPr>
                <w:rFonts w:ascii="宋体" w:hAnsi="宋体"/>
                <w:sz w:val="24"/>
                <w:szCs w:val="24"/>
              </w:rPr>
            </w:pPr>
            <w:r>
              <w:rPr>
                <w:rFonts w:hint="eastAsia" w:ascii="宋体" w:hAnsi="宋体"/>
                <w:sz w:val="24"/>
                <w:szCs w:val="24"/>
              </w:rPr>
              <w:t>网址</w:t>
            </w:r>
          </w:p>
        </w:tc>
        <w:tc>
          <w:tcPr>
            <w:tcW w:w="1749" w:type="dxa"/>
            <w:gridSpan w:val="2"/>
            <w:tcBorders>
              <w:top w:val="single" w:color="auto" w:sz="4" w:space="0"/>
              <w:left w:val="nil"/>
              <w:bottom w:val="single" w:color="auto" w:sz="4" w:space="0"/>
              <w:right w:val="single" w:color="auto" w:sz="4" w:space="0"/>
            </w:tcBorders>
            <w:noWrap/>
            <w:vAlign w:val="center"/>
          </w:tcPr>
          <w:p>
            <w:pPr>
              <w:autoSpaceDE w:val="0"/>
              <w:autoSpaceDN w:val="0"/>
              <w:adjustRightInd w:val="0"/>
              <w:spacing w:line="360" w:lineRule="auto"/>
              <w:ind w:right="215"/>
              <w:jc w:val="center"/>
              <w:rPr>
                <w:rFonts w:ascii="宋体" w:hAnsi="宋体"/>
                <w:sz w:val="24"/>
                <w:szCs w:val="24"/>
              </w:rPr>
            </w:pPr>
          </w:p>
        </w:tc>
      </w:tr>
      <w:tr>
        <w:tblPrEx>
          <w:tblCellMar>
            <w:top w:w="0" w:type="dxa"/>
            <w:left w:w="108" w:type="dxa"/>
            <w:bottom w:w="0" w:type="dxa"/>
            <w:right w:w="108" w:type="dxa"/>
          </w:tblCellMar>
        </w:tblPrEx>
        <w:trPr>
          <w:trHeight w:val="587" w:hRule="atLeast"/>
          <w:jc w:val="center"/>
        </w:trPr>
        <w:tc>
          <w:tcPr>
            <w:tcW w:w="1731"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360" w:lineRule="auto"/>
              <w:ind w:right="215"/>
              <w:jc w:val="center"/>
              <w:rPr>
                <w:rFonts w:ascii="宋体" w:hAnsi="宋体"/>
                <w:sz w:val="24"/>
                <w:szCs w:val="24"/>
              </w:rPr>
            </w:pPr>
            <w:r>
              <w:rPr>
                <w:rFonts w:hint="eastAsia" w:ascii="宋体" w:hAnsi="宋体"/>
                <w:sz w:val="24"/>
                <w:szCs w:val="24"/>
              </w:rPr>
              <w:t>组织结构</w:t>
            </w:r>
          </w:p>
        </w:tc>
        <w:tc>
          <w:tcPr>
            <w:tcW w:w="7533" w:type="dxa"/>
            <w:gridSpan w:val="9"/>
            <w:tcBorders>
              <w:top w:val="single" w:color="auto" w:sz="4" w:space="0"/>
              <w:left w:val="nil"/>
              <w:bottom w:val="single" w:color="auto" w:sz="4" w:space="0"/>
              <w:right w:val="single" w:color="auto" w:sz="4" w:space="0"/>
            </w:tcBorders>
            <w:noWrap/>
            <w:vAlign w:val="center"/>
          </w:tcPr>
          <w:p>
            <w:pPr>
              <w:autoSpaceDE w:val="0"/>
              <w:autoSpaceDN w:val="0"/>
              <w:adjustRightInd w:val="0"/>
              <w:spacing w:line="360" w:lineRule="auto"/>
              <w:ind w:right="215"/>
              <w:jc w:val="center"/>
              <w:rPr>
                <w:rFonts w:ascii="宋体" w:hAnsi="宋体"/>
                <w:sz w:val="24"/>
                <w:szCs w:val="24"/>
              </w:rPr>
            </w:pPr>
          </w:p>
        </w:tc>
      </w:tr>
      <w:tr>
        <w:tblPrEx>
          <w:tblCellMar>
            <w:top w:w="0" w:type="dxa"/>
            <w:left w:w="108" w:type="dxa"/>
            <w:bottom w:w="0" w:type="dxa"/>
            <w:right w:w="108" w:type="dxa"/>
          </w:tblCellMar>
        </w:tblPrEx>
        <w:trPr>
          <w:trHeight w:val="587" w:hRule="atLeast"/>
          <w:jc w:val="center"/>
        </w:trPr>
        <w:tc>
          <w:tcPr>
            <w:tcW w:w="1731"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360" w:lineRule="auto"/>
              <w:ind w:right="215"/>
              <w:jc w:val="center"/>
              <w:rPr>
                <w:rFonts w:ascii="宋体" w:hAnsi="宋体"/>
                <w:sz w:val="24"/>
                <w:szCs w:val="24"/>
              </w:rPr>
            </w:pPr>
            <w:r>
              <w:rPr>
                <w:rFonts w:hint="eastAsia" w:ascii="宋体" w:hAnsi="宋体"/>
                <w:sz w:val="24"/>
                <w:szCs w:val="24"/>
              </w:rPr>
              <w:t>法定代表人</w:t>
            </w:r>
          </w:p>
        </w:tc>
        <w:tc>
          <w:tcPr>
            <w:tcW w:w="1221" w:type="dxa"/>
            <w:tcBorders>
              <w:top w:val="single" w:color="auto" w:sz="4" w:space="0"/>
              <w:left w:val="nil"/>
              <w:bottom w:val="single" w:color="auto" w:sz="4" w:space="0"/>
              <w:right w:val="single" w:color="auto" w:sz="4" w:space="0"/>
            </w:tcBorders>
            <w:noWrap/>
            <w:vAlign w:val="center"/>
          </w:tcPr>
          <w:p>
            <w:pPr>
              <w:autoSpaceDE w:val="0"/>
              <w:autoSpaceDN w:val="0"/>
              <w:adjustRightInd w:val="0"/>
              <w:spacing w:line="360" w:lineRule="auto"/>
              <w:ind w:right="215"/>
              <w:jc w:val="center"/>
              <w:rPr>
                <w:rFonts w:ascii="宋体" w:hAnsi="宋体"/>
                <w:sz w:val="24"/>
                <w:szCs w:val="24"/>
              </w:rPr>
            </w:pPr>
            <w:r>
              <w:rPr>
                <w:rFonts w:hint="eastAsia" w:ascii="宋体" w:hAnsi="宋体"/>
                <w:sz w:val="24"/>
                <w:szCs w:val="24"/>
              </w:rPr>
              <w:t>姓名</w:t>
            </w:r>
          </w:p>
        </w:tc>
        <w:tc>
          <w:tcPr>
            <w:tcW w:w="1221" w:type="dxa"/>
            <w:tcBorders>
              <w:top w:val="single" w:color="auto" w:sz="4" w:space="0"/>
              <w:left w:val="nil"/>
              <w:bottom w:val="single" w:color="auto" w:sz="4" w:space="0"/>
              <w:right w:val="single" w:color="auto" w:sz="4" w:space="0"/>
            </w:tcBorders>
            <w:noWrap/>
            <w:vAlign w:val="center"/>
          </w:tcPr>
          <w:p>
            <w:pPr>
              <w:autoSpaceDE w:val="0"/>
              <w:autoSpaceDN w:val="0"/>
              <w:adjustRightInd w:val="0"/>
              <w:spacing w:line="360" w:lineRule="auto"/>
              <w:ind w:right="215"/>
              <w:jc w:val="center"/>
              <w:rPr>
                <w:rFonts w:ascii="宋体" w:hAnsi="宋体"/>
                <w:sz w:val="24"/>
                <w:szCs w:val="24"/>
              </w:rPr>
            </w:pPr>
          </w:p>
        </w:tc>
        <w:tc>
          <w:tcPr>
            <w:tcW w:w="1711" w:type="dxa"/>
            <w:gridSpan w:val="2"/>
            <w:tcBorders>
              <w:top w:val="single" w:color="auto" w:sz="4" w:space="0"/>
              <w:left w:val="nil"/>
              <w:bottom w:val="single" w:color="auto" w:sz="4" w:space="0"/>
              <w:right w:val="single" w:color="auto" w:sz="4" w:space="0"/>
            </w:tcBorders>
            <w:noWrap/>
            <w:vAlign w:val="center"/>
          </w:tcPr>
          <w:p>
            <w:pPr>
              <w:autoSpaceDE w:val="0"/>
              <w:autoSpaceDN w:val="0"/>
              <w:adjustRightInd w:val="0"/>
              <w:spacing w:line="360" w:lineRule="auto"/>
              <w:ind w:right="215"/>
              <w:jc w:val="center"/>
              <w:rPr>
                <w:rFonts w:ascii="宋体" w:hAnsi="宋体"/>
                <w:sz w:val="24"/>
                <w:szCs w:val="24"/>
              </w:rPr>
            </w:pPr>
            <w:r>
              <w:rPr>
                <w:rFonts w:hint="eastAsia" w:ascii="宋体" w:hAnsi="宋体"/>
                <w:sz w:val="24"/>
                <w:szCs w:val="24"/>
              </w:rPr>
              <w:t>技术职称</w:t>
            </w:r>
          </w:p>
        </w:tc>
        <w:tc>
          <w:tcPr>
            <w:tcW w:w="1083" w:type="dxa"/>
            <w:gridSpan w:val="2"/>
            <w:tcBorders>
              <w:top w:val="single" w:color="auto" w:sz="4" w:space="0"/>
              <w:left w:val="nil"/>
              <w:bottom w:val="single" w:color="auto" w:sz="4" w:space="0"/>
              <w:right w:val="single" w:color="auto" w:sz="4" w:space="0"/>
            </w:tcBorders>
            <w:noWrap/>
            <w:vAlign w:val="center"/>
          </w:tcPr>
          <w:p>
            <w:pPr>
              <w:autoSpaceDE w:val="0"/>
              <w:autoSpaceDN w:val="0"/>
              <w:adjustRightInd w:val="0"/>
              <w:spacing w:line="360" w:lineRule="auto"/>
              <w:ind w:right="215"/>
              <w:jc w:val="center"/>
              <w:rPr>
                <w:rFonts w:ascii="宋体" w:hAnsi="宋体"/>
                <w:sz w:val="24"/>
                <w:szCs w:val="24"/>
              </w:rPr>
            </w:pPr>
          </w:p>
        </w:tc>
        <w:tc>
          <w:tcPr>
            <w:tcW w:w="1075" w:type="dxa"/>
            <w:gridSpan w:val="2"/>
            <w:tcBorders>
              <w:top w:val="single" w:color="auto" w:sz="4" w:space="0"/>
              <w:left w:val="nil"/>
              <w:bottom w:val="single" w:color="auto" w:sz="4" w:space="0"/>
              <w:right w:val="single" w:color="auto" w:sz="4" w:space="0"/>
            </w:tcBorders>
            <w:noWrap/>
            <w:vAlign w:val="center"/>
          </w:tcPr>
          <w:p>
            <w:pPr>
              <w:autoSpaceDE w:val="0"/>
              <w:autoSpaceDN w:val="0"/>
              <w:adjustRightInd w:val="0"/>
              <w:spacing w:line="360" w:lineRule="auto"/>
              <w:ind w:right="215"/>
              <w:jc w:val="center"/>
              <w:rPr>
                <w:rFonts w:ascii="宋体" w:hAnsi="宋体"/>
                <w:sz w:val="24"/>
                <w:szCs w:val="24"/>
              </w:rPr>
            </w:pPr>
            <w:r>
              <w:rPr>
                <w:rFonts w:hint="eastAsia" w:ascii="宋体" w:hAnsi="宋体"/>
                <w:sz w:val="24"/>
                <w:szCs w:val="24"/>
              </w:rPr>
              <w:t>电话</w:t>
            </w:r>
          </w:p>
        </w:tc>
        <w:tc>
          <w:tcPr>
            <w:tcW w:w="1222" w:type="dxa"/>
            <w:tcBorders>
              <w:top w:val="single" w:color="auto" w:sz="4" w:space="0"/>
              <w:left w:val="nil"/>
              <w:bottom w:val="single" w:color="auto" w:sz="4" w:space="0"/>
              <w:right w:val="single" w:color="auto" w:sz="4" w:space="0"/>
            </w:tcBorders>
            <w:noWrap/>
            <w:vAlign w:val="center"/>
          </w:tcPr>
          <w:p>
            <w:pPr>
              <w:autoSpaceDE w:val="0"/>
              <w:autoSpaceDN w:val="0"/>
              <w:adjustRightInd w:val="0"/>
              <w:spacing w:line="360" w:lineRule="auto"/>
              <w:ind w:right="215"/>
              <w:jc w:val="center"/>
              <w:rPr>
                <w:rFonts w:ascii="宋体" w:hAnsi="宋体"/>
                <w:sz w:val="24"/>
                <w:szCs w:val="24"/>
              </w:rPr>
            </w:pPr>
          </w:p>
        </w:tc>
      </w:tr>
      <w:tr>
        <w:tblPrEx>
          <w:tblCellMar>
            <w:top w:w="0" w:type="dxa"/>
            <w:left w:w="108" w:type="dxa"/>
            <w:bottom w:w="0" w:type="dxa"/>
            <w:right w:w="108" w:type="dxa"/>
          </w:tblCellMar>
        </w:tblPrEx>
        <w:trPr>
          <w:trHeight w:val="686" w:hRule="atLeast"/>
          <w:jc w:val="center"/>
        </w:trPr>
        <w:tc>
          <w:tcPr>
            <w:tcW w:w="1731"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360" w:lineRule="auto"/>
              <w:ind w:right="215"/>
              <w:jc w:val="center"/>
              <w:rPr>
                <w:rFonts w:ascii="宋体" w:hAnsi="宋体"/>
                <w:sz w:val="24"/>
                <w:szCs w:val="24"/>
              </w:rPr>
            </w:pPr>
            <w:r>
              <w:rPr>
                <w:rFonts w:hint="eastAsia" w:ascii="宋体" w:hAnsi="宋体"/>
                <w:sz w:val="24"/>
                <w:szCs w:val="24"/>
              </w:rPr>
              <w:t>成立时间</w:t>
            </w:r>
          </w:p>
        </w:tc>
        <w:tc>
          <w:tcPr>
            <w:tcW w:w="2442" w:type="dxa"/>
            <w:gridSpan w:val="2"/>
            <w:tcBorders>
              <w:top w:val="single" w:color="auto" w:sz="4" w:space="0"/>
              <w:left w:val="nil"/>
              <w:bottom w:val="single" w:color="auto" w:sz="4" w:space="0"/>
              <w:right w:val="single" w:color="auto" w:sz="4" w:space="0"/>
            </w:tcBorders>
            <w:noWrap/>
            <w:vAlign w:val="center"/>
          </w:tcPr>
          <w:p>
            <w:pPr>
              <w:autoSpaceDE w:val="0"/>
              <w:autoSpaceDN w:val="0"/>
              <w:adjustRightInd w:val="0"/>
              <w:spacing w:line="360" w:lineRule="auto"/>
              <w:ind w:right="215"/>
              <w:jc w:val="center"/>
              <w:rPr>
                <w:rFonts w:ascii="宋体" w:hAnsi="宋体"/>
                <w:sz w:val="24"/>
                <w:szCs w:val="24"/>
              </w:rPr>
            </w:pPr>
          </w:p>
        </w:tc>
        <w:tc>
          <w:tcPr>
            <w:tcW w:w="5091" w:type="dxa"/>
            <w:gridSpan w:val="7"/>
            <w:tcBorders>
              <w:top w:val="single" w:color="auto" w:sz="4" w:space="0"/>
              <w:left w:val="nil"/>
              <w:bottom w:val="single" w:color="auto" w:sz="4" w:space="0"/>
              <w:right w:val="single" w:color="auto" w:sz="4" w:space="0"/>
            </w:tcBorders>
            <w:noWrap/>
            <w:vAlign w:val="center"/>
          </w:tcPr>
          <w:p>
            <w:pPr>
              <w:autoSpaceDE w:val="0"/>
              <w:autoSpaceDN w:val="0"/>
              <w:adjustRightInd w:val="0"/>
              <w:spacing w:line="360" w:lineRule="auto"/>
              <w:ind w:right="215"/>
              <w:jc w:val="center"/>
              <w:rPr>
                <w:rFonts w:ascii="宋体" w:hAnsi="宋体"/>
                <w:sz w:val="24"/>
                <w:szCs w:val="24"/>
              </w:rPr>
            </w:pPr>
            <w:r>
              <w:rPr>
                <w:rFonts w:hint="eastAsia" w:ascii="宋体" w:hAnsi="宋体"/>
                <w:sz w:val="24"/>
                <w:szCs w:val="24"/>
              </w:rPr>
              <w:t>员工总人数：</w:t>
            </w:r>
          </w:p>
        </w:tc>
      </w:tr>
      <w:tr>
        <w:tblPrEx>
          <w:tblCellMar>
            <w:top w:w="0" w:type="dxa"/>
            <w:left w:w="108" w:type="dxa"/>
            <w:bottom w:w="0" w:type="dxa"/>
            <w:right w:w="108" w:type="dxa"/>
          </w:tblCellMar>
        </w:tblPrEx>
        <w:trPr>
          <w:trHeight w:val="587" w:hRule="atLeast"/>
          <w:jc w:val="center"/>
        </w:trPr>
        <w:tc>
          <w:tcPr>
            <w:tcW w:w="1731"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360" w:lineRule="auto"/>
              <w:ind w:right="215"/>
              <w:jc w:val="center"/>
              <w:rPr>
                <w:rFonts w:ascii="宋体" w:hAnsi="宋体"/>
                <w:spacing w:val="-20"/>
                <w:sz w:val="24"/>
                <w:szCs w:val="24"/>
              </w:rPr>
            </w:pPr>
            <w:r>
              <w:rPr>
                <w:rFonts w:hint="eastAsia" w:ascii="宋体" w:hAnsi="宋体"/>
                <w:spacing w:val="-20"/>
                <w:sz w:val="24"/>
                <w:szCs w:val="24"/>
              </w:rPr>
              <w:t>企业资质等级</w:t>
            </w:r>
          </w:p>
        </w:tc>
        <w:tc>
          <w:tcPr>
            <w:tcW w:w="2442" w:type="dxa"/>
            <w:gridSpan w:val="2"/>
            <w:tcBorders>
              <w:top w:val="single" w:color="auto" w:sz="4" w:space="0"/>
              <w:left w:val="nil"/>
              <w:bottom w:val="single" w:color="auto" w:sz="4" w:space="0"/>
              <w:right w:val="single" w:color="auto" w:sz="4" w:space="0"/>
            </w:tcBorders>
            <w:noWrap/>
            <w:vAlign w:val="center"/>
          </w:tcPr>
          <w:p>
            <w:pPr>
              <w:autoSpaceDE w:val="0"/>
              <w:autoSpaceDN w:val="0"/>
              <w:adjustRightInd w:val="0"/>
              <w:spacing w:line="360" w:lineRule="auto"/>
              <w:ind w:right="215"/>
              <w:jc w:val="center"/>
              <w:rPr>
                <w:rFonts w:ascii="宋体" w:hAnsi="宋体"/>
                <w:sz w:val="24"/>
                <w:szCs w:val="24"/>
              </w:rPr>
            </w:pPr>
          </w:p>
        </w:tc>
        <w:tc>
          <w:tcPr>
            <w:tcW w:w="1221" w:type="dxa"/>
            <w:vMerge w:val="restart"/>
            <w:tcBorders>
              <w:top w:val="nil"/>
              <w:left w:val="nil"/>
              <w:bottom w:val="single" w:color="auto" w:sz="4" w:space="0"/>
              <w:right w:val="single" w:color="auto" w:sz="4" w:space="0"/>
            </w:tcBorders>
            <w:noWrap/>
            <w:vAlign w:val="center"/>
          </w:tcPr>
          <w:p>
            <w:pPr>
              <w:autoSpaceDE w:val="0"/>
              <w:autoSpaceDN w:val="0"/>
              <w:adjustRightInd w:val="0"/>
              <w:spacing w:line="360" w:lineRule="auto"/>
              <w:ind w:right="215"/>
              <w:jc w:val="center"/>
              <w:rPr>
                <w:rFonts w:ascii="宋体" w:hAnsi="宋体"/>
                <w:sz w:val="24"/>
                <w:szCs w:val="24"/>
              </w:rPr>
            </w:pPr>
            <w:r>
              <w:rPr>
                <w:rFonts w:hint="eastAsia" w:ascii="宋体" w:hAnsi="宋体"/>
                <w:sz w:val="24"/>
                <w:szCs w:val="24"/>
              </w:rPr>
              <w:t>其中</w:t>
            </w:r>
          </w:p>
        </w:tc>
        <w:tc>
          <w:tcPr>
            <w:tcW w:w="2648" w:type="dxa"/>
            <w:gridSpan w:val="5"/>
            <w:tcBorders>
              <w:top w:val="single" w:color="auto" w:sz="4" w:space="0"/>
              <w:left w:val="nil"/>
              <w:bottom w:val="single" w:color="auto" w:sz="4" w:space="0"/>
              <w:right w:val="single" w:color="auto" w:sz="4" w:space="0"/>
            </w:tcBorders>
            <w:noWrap/>
            <w:vAlign w:val="center"/>
          </w:tcPr>
          <w:p>
            <w:pPr>
              <w:autoSpaceDE w:val="0"/>
              <w:autoSpaceDN w:val="0"/>
              <w:adjustRightInd w:val="0"/>
              <w:spacing w:line="360" w:lineRule="auto"/>
              <w:ind w:right="215"/>
              <w:jc w:val="center"/>
              <w:rPr>
                <w:rFonts w:ascii="宋体" w:hAnsi="宋体"/>
                <w:sz w:val="24"/>
                <w:szCs w:val="24"/>
              </w:rPr>
            </w:pPr>
            <w:r>
              <w:rPr>
                <w:rFonts w:hint="eastAsia" w:ascii="宋体" w:hAnsi="宋体"/>
                <w:sz w:val="24"/>
                <w:szCs w:val="24"/>
              </w:rPr>
              <w:t>项目经理</w:t>
            </w:r>
          </w:p>
        </w:tc>
        <w:tc>
          <w:tcPr>
            <w:tcW w:w="1222" w:type="dxa"/>
            <w:tcBorders>
              <w:top w:val="single" w:color="auto" w:sz="4" w:space="0"/>
              <w:left w:val="nil"/>
              <w:bottom w:val="single" w:color="auto" w:sz="4" w:space="0"/>
              <w:right w:val="single" w:color="auto" w:sz="4" w:space="0"/>
            </w:tcBorders>
            <w:noWrap/>
            <w:vAlign w:val="center"/>
          </w:tcPr>
          <w:p>
            <w:pPr>
              <w:autoSpaceDE w:val="0"/>
              <w:autoSpaceDN w:val="0"/>
              <w:adjustRightInd w:val="0"/>
              <w:spacing w:line="360" w:lineRule="auto"/>
              <w:ind w:right="215"/>
              <w:jc w:val="center"/>
              <w:rPr>
                <w:rFonts w:ascii="宋体" w:hAnsi="宋体"/>
                <w:sz w:val="24"/>
                <w:szCs w:val="24"/>
              </w:rPr>
            </w:pPr>
          </w:p>
        </w:tc>
      </w:tr>
      <w:tr>
        <w:tblPrEx>
          <w:tblCellMar>
            <w:top w:w="0" w:type="dxa"/>
            <w:left w:w="108" w:type="dxa"/>
            <w:bottom w:w="0" w:type="dxa"/>
            <w:right w:w="108" w:type="dxa"/>
          </w:tblCellMar>
        </w:tblPrEx>
        <w:trPr>
          <w:trHeight w:val="587" w:hRule="atLeast"/>
          <w:jc w:val="center"/>
        </w:trPr>
        <w:tc>
          <w:tcPr>
            <w:tcW w:w="1731"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360" w:lineRule="auto"/>
              <w:ind w:right="215"/>
              <w:jc w:val="center"/>
              <w:rPr>
                <w:rFonts w:ascii="宋体" w:hAnsi="宋体"/>
                <w:sz w:val="24"/>
                <w:szCs w:val="24"/>
              </w:rPr>
            </w:pPr>
            <w:r>
              <w:rPr>
                <w:rFonts w:hint="eastAsia" w:ascii="宋体" w:hAnsi="宋体"/>
                <w:sz w:val="24"/>
                <w:szCs w:val="24"/>
              </w:rPr>
              <w:t>营业执照号</w:t>
            </w:r>
          </w:p>
        </w:tc>
        <w:tc>
          <w:tcPr>
            <w:tcW w:w="2442" w:type="dxa"/>
            <w:gridSpan w:val="2"/>
            <w:tcBorders>
              <w:top w:val="single" w:color="auto" w:sz="4" w:space="0"/>
              <w:left w:val="nil"/>
              <w:bottom w:val="single" w:color="auto" w:sz="4" w:space="0"/>
              <w:right w:val="single" w:color="auto" w:sz="4" w:space="0"/>
            </w:tcBorders>
            <w:noWrap/>
            <w:vAlign w:val="center"/>
          </w:tcPr>
          <w:p>
            <w:pPr>
              <w:autoSpaceDE w:val="0"/>
              <w:autoSpaceDN w:val="0"/>
              <w:adjustRightInd w:val="0"/>
              <w:spacing w:line="360" w:lineRule="auto"/>
              <w:ind w:right="215"/>
              <w:jc w:val="center"/>
              <w:rPr>
                <w:rFonts w:ascii="宋体" w:hAnsi="宋体"/>
                <w:sz w:val="24"/>
                <w:szCs w:val="24"/>
              </w:rPr>
            </w:pPr>
          </w:p>
        </w:tc>
        <w:tc>
          <w:tcPr>
            <w:tcW w:w="1221" w:type="dxa"/>
            <w:vMerge w:val="continue"/>
            <w:tcBorders>
              <w:top w:val="nil"/>
              <w:left w:val="nil"/>
              <w:bottom w:val="single" w:color="auto" w:sz="4" w:space="0"/>
              <w:right w:val="single" w:color="auto" w:sz="4" w:space="0"/>
            </w:tcBorders>
            <w:noWrap/>
            <w:vAlign w:val="center"/>
          </w:tcPr>
          <w:p>
            <w:pPr>
              <w:widowControl/>
              <w:jc w:val="left"/>
              <w:rPr>
                <w:rFonts w:ascii="宋体" w:hAnsi="宋体"/>
                <w:sz w:val="24"/>
                <w:szCs w:val="24"/>
              </w:rPr>
            </w:pPr>
          </w:p>
        </w:tc>
        <w:tc>
          <w:tcPr>
            <w:tcW w:w="2648" w:type="dxa"/>
            <w:gridSpan w:val="5"/>
            <w:tcBorders>
              <w:top w:val="single" w:color="auto" w:sz="4" w:space="0"/>
              <w:left w:val="nil"/>
              <w:bottom w:val="single" w:color="auto" w:sz="4" w:space="0"/>
              <w:right w:val="single" w:color="auto" w:sz="4" w:space="0"/>
            </w:tcBorders>
            <w:noWrap/>
            <w:vAlign w:val="center"/>
          </w:tcPr>
          <w:p>
            <w:pPr>
              <w:autoSpaceDE w:val="0"/>
              <w:autoSpaceDN w:val="0"/>
              <w:adjustRightInd w:val="0"/>
              <w:spacing w:line="360" w:lineRule="auto"/>
              <w:ind w:right="215"/>
              <w:jc w:val="center"/>
              <w:rPr>
                <w:rFonts w:ascii="宋体" w:hAnsi="宋体"/>
                <w:sz w:val="24"/>
                <w:szCs w:val="24"/>
              </w:rPr>
            </w:pPr>
            <w:r>
              <w:rPr>
                <w:rFonts w:hint="eastAsia" w:ascii="宋体" w:hAnsi="宋体"/>
                <w:sz w:val="24"/>
                <w:szCs w:val="24"/>
              </w:rPr>
              <w:t>高级职称人员</w:t>
            </w:r>
          </w:p>
        </w:tc>
        <w:tc>
          <w:tcPr>
            <w:tcW w:w="1222" w:type="dxa"/>
            <w:tcBorders>
              <w:top w:val="single" w:color="auto" w:sz="4" w:space="0"/>
              <w:left w:val="nil"/>
              <w:bottom w:val="single" w:color="auto" w:sz="4" w:space="0"/>
              <w:right w:val="single" w:color="auto" w:sz="4" w:space="0"/>
            </w:tcBorders>
            <w:noWrap/>
            <w:vAlign w:val="center"/>
          </w:tcPr>
          <w:p>
            <w:pPr>
              <w:autoSpaceDE w:val="0"/>
              <w:autoSpaceDN w:val="0"/>
              <w:adjustRightInd w:val="0"/>
              <w:spacing w:line="360" w:lineRule="auto"/>
              <w:ind w:right="215"/>
              <w:jc w:val="center"/>
              <w:rPr>
                <w:rFonts w:ascii="宋体" w:hAnsi="宋体"/>
                <w:sz w:val="24"/>
                <w:szCs w:val="24"/>
              </w:rPr>
            </w:pPr>
          </w:p>
        </w:tc>
      </w:tr>
      <w:tr>
        <w:tblPrEx>
          <w:tblCellMar>
            <w:top w:w="0" w:type="dxa"/>
            <w:left w:w="108" w:type="dxa"/>
            <w:bottom w:w="0" w:type="dxa"/>
            <w:right w:w="108" w:type="dxa"/>
          </w:tblCellMar>
        </w:tblPrEx>
        <w:trPr>
          <w:trHeight w:val="568" w:hRule="atLeast"/>
          <w:jc w:val="center"/>
        </w:trPr>
        <w:tc>
          <w:tcPr>
            <w:tcW w:w="1731"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360" w:lineRule="auto"/>
              <w:ind w:right="215"/>
              <w:jc w:val="center"/>
              <w:rPr>
                <w:rFonts w:ascii="宋体" w:hAnsi="宋体"/>
                <w:sz w:val="24"/>
                <w:szCs w:val="24"/>
              </w:rPr>
            </w:pPr>
            <w:r>
              <w:rPr>
                <w:rFonts w:hint="eastAsia" w:ascii="宋体" w:hAnsi="宋体"/>
                <w:sz w:val="24"/>
                <w:szCs w:val="24"/>
              </w:rPr>
              <w:t>注册资金</w:t>
            </w:r>
          </w:p>
        </w:tc>
        <w:tc>
          <w:tcPr>
            <w:tcW w:w="2442" w:type="dxa"/>
            <w:gridSpan w:val="2"/>
            <w:tcBorders>
              <w:top w:val="single" w:color="auto" w:sz="4" w:space="0"/>
              <w:left w:val="nil"/>
              <w:bottom w:val="single" w:color="auto" w:sz="4" w:space="0"/>
              <w:right w:val="single" w:color="auto" w:sz="4" w:space="0"/>
            </w:tcBorders>
            <w:noWrap/>
            <w:vAlign w:val="center"/>
          </w:tcPr>
          <w:p>
            <w:pPr>
              <w:autoSpaceDE w:val="0"/>
              <w:autoSpaceDN w:val="0"/>
              <w:adjustRightInd w:val="0"/>
              <w:spacing w:line="360" w:lineRule="auto"/>
              <w:ind w:right="215"/>
              <w:jc w:val="center"/>
              <w:rPr>
                <w:rFonts w:ascii="宋体" w:hAnsi="宋体"/>
                <w:sz w:val="24"/>
                <w:szCs w:val="24"/>
              </w:rPr>
            </w:pPr>
          </w:p>
        </w:tc>
        <w:tc>
          <w:tcPr>
            <w:tcW w:w="1221" w:type="dxa"/>
            <w:vMerge w:val="continue"/>
            <w:tcBorders>
              <w:top w:val="nil"/>
              <w:left w:val="nil"/>
              <w:bottom w:val="single" w:color="auto" w:sz="4" w:space="0"/>
              <w:right w:val="single" w:color="auto" w:sz="4" w:space="0"/>
            </w:tcBorders>
            <w:noWrap/>
            <w:vAlign w:val="center"/>
          </w:tcPr>
          <w:p>
            <w:pPr>
              <w:widowControl/>
              <w:jc w:val="left"/>
              <w:rPr>
                <w:rFonts w:ascii="宋体" w:hAnsi="宋体"/>
                <w:sz w:val="24"/>
                <w:szCs w:val="24"/>
              </w:rPr>
            </w:pPr>
          </w:p>
        </w:tc>
        <w:tc>
          <w:tcPr>
            <w:tcW w:w="2648" w:type="dxa"/>
            <w:gridSpan w:val="5"/>
            <w:tcBorders>
              <w:top w:val="single" w:color="auto" w:sz="4" w:space="0"/>
              <w:left w:val="nil"/>
              <w:bottom w:val="single" w:color="auto" w:sz="4" w:space="0"/>
              <w:right w:val="single" w:color="auto" w:sz="4" w:space="0"/>
            </w:tcBorders>
            <w:noWrap/>
            <w:vAlign w:val="center"/>
          </w:tcPr>
          <w:p>
            <w:pPr>
              <w:autoSpaceDE w:val="0"/>
              <w:autoSpaceDN w:val="0"/>
              <w:adjustRightInd w:val="0"/>
              <w:spacing w:line="360" w:lineRule="auto"/>
              <w:ind w:right="215"/>
              <w:jc w:val="center"/>
              <w:rPr>
                <w:rFonts w:ascii="宋体" w:hAnsi="宋体"/>
                <w:sz w:val="24"/>
                <w:szCs w:val="24"/>
              </w:rPr>
            </w:pPr>
            <w:r>
              <w:rPr>
                <w:rFonts w:hint="eastAsia" w:ascii="宋体" w:hAnsi="宋体"/>
                <w:sz w:val="24"/>
                <w:szCs w:val="24"/>
              </w:rPr>
              <w:t>中级职称人员</w:t>
            </w:r>
          </w:p>
        </w:tc>
        <w:tc>
          <w:tcPr>
            <w:tcW w:w="1222" w:type="dxa"/>
            <w:tcBorders>
              <w:top w:val="single" w:color="auto" w:sz="4" w:space="0"/>
              <w:left w:val="nil"/>
              <w:bottom w:val="single" w:color="auto" w:sz="4" w:space="0"/>
              <w:right w:val="single" w:color="auto" w:sz="4" w:space="0"/>
            </w:tcBorders>
            <w:noWrap/>
            <w:vAlign w:val="center"/>
          </w:tcPr>
          <w:p>
            <w:pPr>
              <w:autoSpaceDE w:val="0"/>
              <w:autoSpaceDN w:val="0"/>
              <w:adjustRightInd w:val="0"/>
              <w:spacing w:line="360" w:lineRule="auto"/>
              <w:ind w:right="215"/>
              <w:jc w:val="center"/>
              <w:rPr>
                <w:rFonts w:ascii="宋体" w:hAnsi="宋体"/>
                <w:sz w:val="24"/>
                <w:szCs w:val="24"/>
              </w:rPr>
            </w:pPr>
          </w:p>
        </w:tc>
      </w:tr>
      <w:tr>
        <w:tblPrEx>
          <w:tblCellMar>
            <w:top w:w="0" w:type="dxa"/>
            <w:left w:w="108" w:type="dxa"/>
            <w:bottom w:w="0" w:type="dxa"/>
            <w:right w:w="108" w:type="dxa"/>
          </w:tblCellMar>
        </w:tblPrEx>
        <w:trPr>
          <w:trHeight w:val="587" w:hRule="atLeast"/>
          <w:jc w:val="center"/>
        </w:trPr>
        <w:tc>
          <w:tcPr>
            <w:tcW w:w="1731"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360" w:lineRule="auto"/>
              <w:ind w:right="215"/>
              <w:jc w:val="center"/>
              <w:rPr>
                <w:rFonts w:ascii="宋体" w:hAnsi="宋体"/>
                <w:sz w:val="24"/>
                <w:szCs w:val="24"/>
              </w:rPr>
            </w:pPr>
            <w:r>
              <w:rPr>
                <w:rFonts w:hint="eastAsia" w:ascii="宋体" w:hAnsi="宋体"/>
                <w:sz w:val="24"/>
                <w:szCs w:val="24"/>
              </w:rPr>
              <w:t>开户银行</w:t>
            </w:r>
          </w:p>
        </w:tc>
        <w:tc>
          <w:tcPr>
            <w:tcW w:w="2442" w:type="dxa"/>
            <w:gridSpan w:val="2"/>
            <w:tcBorders>
              <w:top w:val="single" w:color="auto" w:sz="4" w:space="0"/>
              <w:left w:val="nil"/>
              <w:bottom w:val="single" w:color="auto" w:sz="4" w:space="0"/>
              <w:right w:val="single" w:color="auto" w:sz="4" w:space="0"/>
            </w:tcBorders>
            <w:noWrap/>
            <w:vAlign w:val="center"/>
          </w:tcPr>
          <w:p>
            <w:pPr>
              <w:autoSpaceDE w:val="0"/>
              <w:autoSpaceDN w:val="0"/>
              <w:adjustRightInd w:val="0"/>
              <w:spacing w:line="360" w:lineRule="auto"/>
              <w:ind w:right="215"/>
              <w:jc w:val="center"/>
              <w:rPr>
                <w:rFonts w:ascii="宋体" w:hAnsi="宋体"/>
                <w:sz w:val="24"/>
                <w:szCs w:val="24"/>
              </w:rPr>
            </w:pPr>
          </w:p>
        </w:tc>
        <w:tc>
          <w:tcPr>
            <w:tcW w:w="1221" w:type="dxa"/>
            <w:vMerge w:val="continue"/>
            <w:tcBorders>
              <w:top w:val="nil"/>
              <w:left w:val="nil"/>
              <w:bottom w:val="single" w:color="auto" w:sz="4" w:space="0"/>
              <w:right w:val="single" w:color="auto" w:sz="4" w:space="0"/>
            </w:tcBorders>
            <w:noWrap/>
            <w:vAlign w:val="center"/>
          </w:tcPr>
          <w:p>
            <w:pPr>
              <w:widowControl/>
              <w:jc w:val="left"/>
              <w:rPr>
                <w:rFonts w:ascii="宋体" w:hAnsi="宋体"/>
                <w:sz w:val="24"/>
                <w:szCs w:val="24"/>
              </w:rPr>
            </w:pPr>
          </w:p>
        </w:tc>
        <w:tc>
          <w:tcPr>
            <w:tcW w:w="2648" w:type="dxa"/>
            <w:gridSpan w:val="5"/>
            <w:tcBorders>
              <w:top w:val="single" w:color="auto" w:sz="4" w:space="0"/>
              <w:left w:val="nil"/>
              <w:bottom w:val="single" w:color="auto" w:sz="4" w:space="0"/>
              <w:right w:val="single" w:color="auto" w:sz="4" w:space="0"/>
            </w:tcBorders>
            <w:noWrap/>
            <w:vAlign w:val="center"/>
          </w:tcPr>
          <w:p>
            <w:pPr>
              <w:autoSpaceDE w:val="0"/>
              <w:autoSpaceDN w:val="0"/>
              <w:adjustRightInd w:val="0"/>
              <w:spacing w:line="360" w:lineRule="auto"/>
              <w:ind w:right="215"/>
              <w:jc w:val="center"/>
              <w:rPr>
                <w:rFonts w:ascii="宋体" w:hAnsi="宋体"/>
                <w:sz w:val="24"/>
                <w:szCs w:val="24"/>
              </w:rPr>
            </w:pPr>
            <w:r>
              <w:rPr>
                <w:rFonts w:hint="eastAsia" w:ascii="宋体" w:hAnsi="宋体"/>
                <w:sz w:val="24"/>
                <w:szCs w:val="24"/>
              </w:rPr>
              <w:t>初级职称人员</w:t>
            </w:r>
          </w:p>
        </w:tc>
        <w:tc>
          <w:tcPr>
            <w:tcW w:w="1222" w:type="dxa"/>
            <w:tcBorders>
              <w:top w:val="single" w:color="auto" w:sz="4" w:space="0"/>
              <w:left w:val="nil"/>
              <w:bottom w:val="single" w:color="auto" w:sz="4" w:space="0"/>
              <w:right w:val="single" w:color="auto" w:sz="4" w:space="0"/>
            </w:tcBorders>
            <w:noWrap/>
            <w:vAlign w:val="center"/>
          </w:tcPr>
          <w:p>
            <w:pPr>
              <w:autoSpaceDE w:val="0"/>
              <w:autoSpaceDN w:val="0"/>
              <w:adjustRightInd w:val="0"/>
              <w:spacing w:line="360" w:lineRule="auto"/>
              <w:ind w:right="215"/>
              <w:jc w:val="center"/>
              <w:rPr>
                <w:rFonts w:ascii="宋体" w:hAnsi="宋体"/>
                <w:sz w:val="24"/>
                <w:szCs w:val="24"/>
              </w:rPr>
            </w:pPr>
          </w:p>
        </w:tc>
      </w:tr>
      <w:tr>
        <w:tblPrEx>
          <w:tblCellMar>
            <w:top w:w="0" w:type="dxa"/>
            <w:left w:w="108" w:type="dxa"/>
            <w:bottom w:w="0" w:type="dxa"/>
            <w:right w:w="108" w:type="dxa"/>
          </w:tblCellMar>
        </w:tblPrEx>
        <w:trPr>
          <w:trHeight w:val="568" w:hRule="atLeast"/>
          <w:jc w:val="center"/>
        </w:trPr>
        <w:tc>
          <w:tcPr>
            <w:tcW w:w="1731"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360" w:lineRule="auto"/>
              <w:ind w:right="215"/>
              <w:jc w:val="center"/>
              <w:rPr>
                <w:rFonts w:ascii="宋体" w:hAnsi="宋体"/>
                <w:sz w:val="24"/>
                <w:szCs w:val="24"/>
              </w:rPr>
            </w:pPr>
            <w:r>
              <w:rPr>
                <w:rFonts w:hint="eastAsia" w:ascii="宋体" w:hAnsi="宋体"/>
                <w:sz w:val="24"/>
                <w:szCs w:val="24"/>
              </w:rPr>
              <w:t>账号</w:t>
            </w:r>
          </w:p>
        </w:tc>
        <w:tc>
          <w:tcPr>
            <w:tcW w:w="2442" w:type="dxa"/>
            <w:gridSpan w:val="2"/>
            <w:tcBorders>
              <w:top w:val="single" w:color="auto" w:sz="4" w:space="0"/>
              <w:left w:val="nil"/>
              <w:bottom w:val="single" w:color="auto" w:sz="4" w:space="0"/>
              <w:right w:val="single" w:color="auto" w:sz="4" w:space="0"/>
            </w:tcBorders>
            <w:noWrap/>
            <w:vAlign w:val="center"/>
          </w:tcPr>
          <w:p>
            <w:pPr>
              <w:autoSpaceDE w:val="0"/>
              <w:autoSpaceDN w:val="0"/>
              <w:adjustRightInd w:val="0"/>
              <w:spacing w:line="360" w:lineRule="auto"/>
              <w:ind w:right="215"/>
              <w:jc w:val="center"/>
              <w:rPr>
                <w:rFonts w:ascii="宋体" w:hAnsi="宋体"/>
                <w:sz w:val="24"/>
                <w:szCs w:val="24"/>
              </w:rPr>
            </w:pPr>
          </w:p>
        </w:tc>
        <w:tc>
          <w:tcPr>
            <w:tcW w:w="1221" w:type="dxa"/>
            <w:vMerge w:val="continue"/>
            <w:tcBorders>
              <w:top w:val="nil"/>
              <w:left w:val="nil"/>
              <w:bottom w:val="single" w:color="auto" w:sz="4" w:space="0"/>
              <w:right w:val="single" w:color="auto" w:sz="4" w:space="0"/>
            </w:tcBorders>
            <w:noWrap/>
            <w:vAlign w:val="center"/>
          </w:tcPr>
          <w:p>
            <w:pPr>
              <w:widowControl/>
              <w:jc w:val="left"/>
              <w:rPr>
                <w:rFonts w:ascii="宋体" w:hAnsi="宋体"/>
                <w:sz w:val="24"/>
                <w:szCs w:val="24"/>
              </w:rPr>
            </w:pPr>
          </w:p>
        </w:tc>
        <w:tc>
          <w:tcPr>
            <w:tcW w:w="2648" w:type="dxa"/>
            <w:gridSpan w:val="5"/>
            <w:tcBorders>
              <w:top w:val="single" w:color="auto" w:sz="4" w:space="0"/>
              <w:left w:val="nil"/>
              <w:bottom w:val="single" w:color="auto" w:sz="4" w:space="0"/>
              <w:right w:val="single" w:color="auto" w:sz="4" w:space="0"/>
            </w:tcBorders>
            <w:noWrap/>
            <w:vAlign w:val="center"/>
          </w:tcPr>
          <w:p>
            <w:pPr>
              <w:autoSpaceDE w:val="0"/>
              <w:autoSpaceDN w:val="0"/>
              <w:adjustRightInd w:val="0"/>
              <w:spacing w:line="360" w:lineRule="auto"/>
              <w:ind w:right="215"/>
              <w:jc w:val="center"/>
              <w:rPr>
                <w:rFonts w:ascii="宋体" w:hAnsi="宋体"/>
                <w:sz w:val="24"/>
                <w:szCs w:val="24"/>
              </w:rPr>
            </w:pPr>
            <w:r>
              <w:rPr>
                <w:rFonts w:hint="eastAsia" w:ascii="宋体" w:hAnsi="宋体"/>
                <w:sz w:val="24"/>
                <w:szCs w:val="24"/>
              </w:rPr>
              <w:t>技工</w:t>
            </w:r>
          </w:p>
        </w:tc>
        <w:tc>
          <w:tcPr>
            <w:tcW w:w="1222" w:type="dxa"/>
            <w:tcBorders>
              <w:top w:val="single" w:color="auto" w:sz="4" w:space="0"/>
              <w:left w:val="nil"/>
              <w:bottom w:val="single" w:color="auto" w:sz="4" w:space="0"/>
              <w:right w:val="single" w:color="auto" w:sz="4" w:space="0"/>
            </w:tcBorders>
            <w:noWrap/>
            <w:vAlign w:val="center"/>
          </w:tcPr>
          <w:p>
            <w:pPr>
              <w:autoSpaceDE w:val="0"/>
              <w:autoSpaceDN w:val="0"/>
              <w:adjustRightInd w:val="0"/>
              <w:spacing w:line="360" w:lineRule="auto"/>
              <w:ind w:right="215"/>
              <w:jc w:val="center"/>
              <w:rPr>
                <w:rFonts w:ascii="宋体" w:hAnsi="宋体"/>
                <w:sz w:val="24"/>
                <w:szCs w:val="24"/>
              </w:rPr>
            </w:pPr>
          </w:p>
        </w:tc>
      </w:tr>
      <w:tr>
        <w:tblPrEx>
          <w:tblCellMar>
            <w:top w:w="0" w:type="dxa"/>
            <w:left w:w="108" w:type="dxa"/>
            <w:bottom w:w="0" w:type="dxa"/>
            <w:right w:w="108" w:type="dxa"/>
          </w:tblCellMar>
        </w:tblPrEx>
        <w:trPr>
          <w:trHeight w:val="112" w:hRule="atLeast"/>
          <w:jc w:val="center"/>
        </w:trPr>
        <w:tc>
          <w:tcPr>
            <w:tcW w:w="1731"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360" w:lineRule="auto"/>
              <w:ind w:right="215"/>
              <w:jc w:val="center"/>
              <w:rPr>
                <w:rFonts w:ascii="宋体" w:hAnsi="宋体"/>
                <w:sz w:val="24"/>
                <w:szCs w:val="24"/>
              </w:rPr>
            </w:pPr>
            <w:r>
              <w:rPr>
                <w:rFonts w:hint="eastAsia" w:ascii="宋体" w:hAnsi="宋体"/>
                <w:sz w:val="24"/>
                <w:szCs w:val="24"/>
              </w:rPr>
              <w:t>经营范围</w:t>
            </w:r>
          </w:p>
        </w:tc>
        <w:tc>
          <w:tcPr>
            <w:tcW w:w="7533" w:type="dxa"/>
            <w:gridSpan w:val="9"/>
            <w:tcBorders>
              <w:top w:val="single" w:color="auto" w:sz="4" w:space="0"/>
              <w:left w:val="nil"/>
              <w:bottom w:val="single" w:color="auto" w:sz="4" w:space="0"/>
              <w:right w:val="single" w:color="auto" w:sz="4" w:space="0"/>
            </w:tcBorders>
            <w:noWrap/>
            <w:vAlign w:val="center"/>
          </w:tcPr>
          <w:p>
            <w:pPr>
              <w:autoSpaceDE w:val="0"/>
              <w:autoSpaceDN w:val="0"/>
              <w:adjustRightInd w:val="0"/>
              <w:spacing w:line="360" w:lineRule="auto"/>
              <w:ind w:right="215"/>
              <w:rPr>
                <w:rFonts w:ascii="宋体" w:hAnsi="宋体"/>
                <w:sz w:val="24"/>
                <w:szCs w:val="24"/>
              </w:rPr>
            </w:pPr>
          </w:p>
        </w:tc>
      </w:tr>
      <w:tr>
        <w:tblPrEx>
          <w:tblCellMar>
            <w:top w:w="0" w:type="dxa"/>
            <w:left w:w="108" w:type="dxa"/>
            <w:bottom w:w="0" w:type="dxa"/>
            <w:right w:w="108" w:type="dxa"/>
          </w:tblCellMar>
        </w:tblPrEx>
        <w:trPr>
          <w:trHeight w:val="1204" w:hRule="atLeast"/>
          <w:jc w:val="center"/>
        </w:trPr>
        <w:tc>
          <w:tcPr>
            <w:tcW w:w="1731"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360" w:lineRule="auto"/>
              <w:ind w:right="215"/>
              <w:jc w:val="center"/>
              <w:rPr>
                <w:rFonts w:ascii="宋体" w:hAnsi="宋体"/>
                <w:sz w:val="24"/>
                <w:szCs w:val="24"/>
              </w:rPr>
            </w:pPr>
            <w:r>
              <w:rPr>
                <w:rFonts w:hint="eastAsia" w:ascii="宋体" w:hAnsi="宋体"/>
                <w:sz w:val="24"/>
                <w:szCs w:val="24"/>
              </w:rPr>
              <w:t>备注</w:t>
            </w:r>
          </w:p>
        </w:tc>
        <w:tc>
          <w:tcPr>
            <w:tcW w:w="7533" w:type="dxa"/>
            <w:gridSpan w:val="9"/>
            <w:tcBorders>
              <w:top w:val="single" w:color="auto" w:sz="4" w:space="0"/>
              <w:left w:val="nil"/>
              <w:bottom w:val="single" w:color="auto" w:sz="4" w:space="0"/>
              <w:right w:val="single" w:color="auto" w:sz="4" w:space="0"/>
            </w:tcBorders>
            <w:noWrap/>
            <w:vAlign w:val="center"/>
          </w:tcPr>
          <w:p>
            <w:pPr>
              <w:autoSpaceDE w:val="0"/>
              <w:autoSpaceDN w:val="0"/>
              <w:adjustRightInd w:val="0"/>
              <w:spacing w:line="360" w:lineRule="auto"/>
              <w:ind w:right="215"/>
              <w:jc w:val="center"/>
              <w:rPr>
                <w:rFonts w:ascii="宋体" w:hAnsi="宋体"/>
                <w:sz w:val="24"/>
                <w:szCs w:val="24"/>
              </w:rPr>
            </w:pPr>
          </w:p>
          <w:p>
            <w:pPr>
              <w:autoSpaceDE w:val="0"/>
              <w:autoSpaceDN w:val="0"/>
              <w:adjustRightInd w:val="0"/>
              <w:spacing w:line="360" w:lineRule="auto"/>
              <w:ind w:right="215"/>
              <w:jc w:val="center"/>
              <w:rPr>
                <w:rFonts w:ascii="宋体" w:hAnsi="宋体"/>
                <w:sz w:val="24"/>
                <w:szCs w:val="24"/>
              </w:rPr>
            </w:pPr>
          </w:p>
        </w:tc>
      </w:tr>
    </w:tbl>
    <w:p>
      <w:pPr>
        <w:tabs>
          <w:tab w:val="center" w:pos="4739"/>
        </w:tabs>
        <w:jc w:val="center"/>
        <w:rPr>
          <w:rFonts w:ascii="宋体" w:hAnsi="宋体"/>
          <w:sz w:val="24"/>
          <w:szCs w:val="24"/>
        </w:rPr>
      </w:pPr>
      <w:r>
        <w:rPr>
          <w:rFonts w:hint="eastAsia" w:ascii="宋体" w:hAnsi="宋体"/>
          <w:sz w:val="24"/>
          <w:szCs w:val="24"/>
        </w:rPr>
        <w:br w:type="page"/>
      </w:r>
    </w:p>
    <w:p>
      <w:pPr>
        <w:tabs>
          <w:tab w:val="center" w:pos="4739"/>
        </w:tabs>
        <w:jc w:val="center"/>
        <w:rPr>
          <w:rFonts w:ascii="宋体" w:hAnsi="宋体"/>
          <w:sz w:val="24"/>
          <w:szCs w:val="24"/>
        </w:rPr>
      </w:pPr>
    </w:p>
    <w:p>
      <w:pPr>
        <w:tabs>
          <w:tab w:val="center" w:pos="4739"/>
        </w:tabs>
        <w:jc w:val="center"/>
        <w:rPr>
          <w:rFonts w:ascii="宋体" w:hAnsi="宋体"/>
          <w:b/>
          <w:bCs/>
          <w:sz w:val="32"/>
          <w:szCs w:val="32"/>
        </w:rPr>
      </w:pPr>
      <w:r>
        <w:rPr>
          <w:rFonts w:hint="eastAsia" w:ascii="宋体" w:hAnsi="宋体"/>
          <w:b/>
          <w:sz w:val="32"/>
          <w:lang w:eastAsia="zh-CN"/>
        </w:rPr>
        <w:t>八</w:t>
      </w:r>
      <w:r>
        <w:rPr>
          <w:rFonts w:hint="eastAsia" w:ascii="宋体" w:hAnsi="宋体"/>
          <w:b/>
          <w:sz w:val="32"/>
        </w:rPr>
        <w:t>、资格证明文件</w:t>
      </w:r>
    </w:p>
    <w:p>
      <w:pPr>
        <w:autoSpaceDE w:val="0"/>
        <w:autoSpaceDN w:val="0"/>
        <w:adjustRightInd w:val="0"/>
        <w:spacing w:line="276" w:lineRule="auto"/>
        <w:ind w:right="215" w:firstLine="240" w:firstLineChars="100"/>
        <w:rPr>
          <w:rFonts w:ascii="宋体" w:hAnsi="宋体"/>
          <w:sz w:val="24"/>
        </w:rPr>
      </w:pPr>
      <w:r>
        <w:rPr>
          <w:rFonts w:hint="eastAsia" w:ascii="宋体" w:hAnsi="宋体"/>
          <w:sz w:val="24"/>
        </w:rPr>
        <w:t>（1）投标人资格要求的相关资格材料；</w:t>
      </w:r>
    </w:p>
    <w:p>
      <w:pPr>
        <w:autoSpaceDE w:val="0"/>
        <w:autoSpaceDN w:val="0"/>
        <w:adjustRightInd w:val="0"/>
        <w:spacing w:line="276" w:lineRule="auto"/>
        <w:ind w:right="215" w:firstLine="240" w:firstLineChars="100"/>
        <w:rPr>
          <w:rFonts w:hAnsi="宋体"/>
          <w:b/>
          <w:sz w:val="32"/>
          <w:szCs w:val="32"/>
        </w:rPr>
      </w:pPr>
      <w:r>
        <w:rPr>
          <w:rFonts w:hint="eastAsia" w:ascii="宋体" w:hAnsi="宋体"/>
          <w:sz w:val="24"/>
        </w:rPr>
        <w:t>（2）近三年财务状况</w:t>
      </w:r>
      <w:r>
        <w:rPr>
          <w:rFonts w:hint="eastAsia" w:hAnsi="宋体"/>
          <w:sz w:val="24"/>
        </w:rPr>
        <w:t>（附原件扫描件或图片）</w:t>
      </w:r>
    </w:p>
    <w:p>
      <w:pPr>
        <w:spacing w:line="400" w:lineRule="exact"/>
        <w:ind w:firstLine="240" w:firstLineChars="100"/>
        <w:rPr>
          <w:rFonts w:ascii="黑体" w:hAnsi="宋体" w:eastAsia="黑体"/>
          <w:b/>
          <w:sz w:val="24"/>
        </w:rPr>
      </w:pPr>
      <w:r>
        <w:rPr>
          <w:rFonts w:hint="eastAsia" w:ascii="宋体" w:hAnsi="宋体"/>
          <w:sz w:val="24"/>
        </w:rPr>
        <w:t>（3）近年完成的类似项目情况表</w:t>
      </w:r>
    </w:p>
    <w:tbl>
      <w:tblPr>
        <w:tblStyle w:val="16"/>
        <w:tblW w:w="81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84"/>
        <w:gridCol w:w="57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2384" w:type="dxa"/>
            <w:noWrap/>
            <w:vAlign w:val="center"/>
          </w:tcPr>
          <w:p>
            <w:pPr>
              <w:rPr>
                <w:rFonts w:ascii="宋体" w:hAnsi="宋体"/>
              </w:rPr>
            </w:pPr>
            <w:r>
              <w:rPr>
                <w:rFonts w:hint="eastAsia" w:ascii="宋体" w:hAnsi="宋体"/>
              </w:rPr>
              <w:t>项目名称</w:t>
            </w:r>
          </w:p>
        </w:tc>
        <w:tc>
          <w:tcPr>
            <w:tcW w:w="5776" w:type="dxa"/>
            <w:noWrap/>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2384" w:type="dxa"/>
            <w:noWrap/>
            <w:vAlign w:val="center"/>
          </w:tcPr>
          <w:p>
            <w:pPr>
              <w:rPr>
                <w:rFonts w:ascii="宋体" w:hAnsi="宋体"/>
              </w:rPr>
            </w:pPr>
            <w:r>
              <w:rPr>
                <w:rFonts w:hint="eastAsia" w:ascii="宋体" w:hAnsi="宋体"/>
              </w:rPr>
              <w:t>项目所在地</w:t>
            </w:r>
          </w:p>
        </w:tc>
        <w:tc>
          <w:tcPr>
            <w:tcW w:w="5776" w:type="dxa"/>
            <w:noWrap/>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2384" w:type="dxa"/>
            <w:noWrap/>
            <w:vAlign w:val="center"/>
          </w:tcPr>
          <w:p>
            <w:pPr>
              <w:rPr>
                <w:rFonts w:ascii="宋体" w:hAnsi="宋体"/>
              </w:rPr>
            </w:pPr>
            <w:r>
              <w:rPr>
                <w:rFonts w:hint="eastAsia" w:ascii="宋体" w:hAnsi="宋体"/>
              </w:rPr>
              <w:t>发包人名称</w:t>
            </w:r>
          </w:p>
        </w:tc>
        <w:tc>
          <w:tcPr>
            <w:tcW w:w="5776" w:type="dxa"/>
            <w:noWrap/>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2384" w:type="dxa"/>
            <w:noWrap/>
            <w:vAlign w:val="center"/>
          </w:tcPr>
          <w:p>
            <w:pPr>
              <w:rPr>
                <w:rFonts w:ascii="宋体" w:hAnsi="宋体"/>
              </w:rPr>
            </w:pPr>
            <w:r>
              <w:rPr>
                <w:rFonts w:hint="eastAsia" w:ascii="宋体" w:hAnsi="宋体"/>
              </w:rPr>
              <w:t>发包人地址</w:t>
            </w:r>
          </w:p>
        </w:tc>
        <w:tc>
          <w:tcPr>
            <w:tcW w:w="5776" w:type="dxa"/>
            <w:noWrap/>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2384" w:type="dxa"/>
            <w:noWrap/>
            <w:vAlign w:val="center"/>
          </w:tcPr>
          <w:p>
            <w:pPr>
              <w:rPr>
                <w:rFonts w:ascii="宋体" w:hAnsi="宋体"/>
              </w:rPr>
            </w:pPr>
            <w:r>
              <w:rPr>
                <w:rFonts w:hint="eastAsia" w:ascii="宋体" w:hAnsi="宋体"/>
              </w:rPr>
              <w:t>发包人联系人及电话</w:t>
            </w:r>
          </w:p>
        </w:tc>
        <w:tc>
          <w:tcPr>
            <w:tcW w:w="5776" w:type="dxa"/>
            <w:noWrap/>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2384" w:type="dxa"/>
            <w:noWrap/>
            <w:vAlign w:val="center"/>
          </w:tcPr>
          <w:p>
            <w:pPr>
              <w:rPr>
                <w:rFonts w:ascii="宋体" w:hAnsi="宋体"/>
              </w:rPr>
            </w:pPr>
            <w:r>
              <w:rPr>
                <w:rFonts w:hint="eastAsia" w:ascii="宋体" w:hAnsi="宋体"/>
              </w:rPr>
              <w:t>合同价格</w:t>
            </w:r>
          </w:p>
        </w:tc>
        <w:tc>
          <w:tcPr>
            <w:tcW w:w="5776" w:type="dxa"/>
            <w:noWrap/>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2384" w:type="dxa"/>
            <w:noWrap/>
            <w:vAlign w:val="center"/>
          </w:tcPr>
          <w:p>
            <w:pPr>
              <w:rPr>
                <w:rFonts w:ascii="宋体" w:hAnsi="宋体"/>
              </w:rPr>
            </w:pPr>
            <w:r>
              <w:rPr>
                <w:rFonts w:hint="eastAsia" w:ascii="宋体" w:hAnsi="宋体"/>
              </w:rPr>
              <w:t>开工日期</w:t>
            </w:r>
          </w:p>
        </w:tc>
        <w:tc>
          <w:tcPr>
            <w:tcW w:w="5776" w:type="dxa"/>
            <w:noWrap/>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2384" w:type="dxa"/>
            <w:noWrap/>
            <w:vAlign w:val="center"/>
          </w:tcPr>
          <w:p>
            <w:pPr>
              <w:rPr>
                <w:rFonts w:ascii="宋体" w:hAnsi="宋体"/>
              </w:rPr>
            </w:pPr>
            <w:r>
              <w:rPr>
                <w:rFonts w:hint="eastAsia" w:ascii="宋体" w:hAnsi="宋体"/>
              </w:rPr>
              <w:t>竣工日期</w:t>
            </w:r>
          </w:p>
        </w:tc>
        <w:tc>
          <w:tcPr>
            <w:tcW w:w="5776" w:type="dxa"/>
            <w:noWrap/>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2384" w:type="dxa"/>
            <w:noWrap/>
            <w:vAlign w:val="center"/>
          </w:tcPr>
          <w:p>
            <w:pPr>
              <w:rPr>
                <w:rFonts w:ascii="宋体" w:hAnsi="宋体"/>
              </w:rPr>
            </w:pPr>
            <w:r>
              <w:rPr>
                <w:rFonts w:hint="eastAsia" w:ascii="宋体" w:hAnsi="宋体"/>
              </w:rPr>
              <w:t>承担的工作</w:t>
            </w:r>
          </w:p>
        </w:tc>
        <w:tc>
          <w:tcPr>
            <w:tcW w:w="5776" w:type="dxa"/>
            <w:noWrap/>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2384" w:type="dxa"/>
            <w:noWrap/>
            <w:vAlign w:val="center"/>
          </w:tcPr>
          <w:p>
            <w:pPr>
              <w:rPr>
                <w:rFonts w:ascii="宋体" w:hAnsi="宋体"/>
              </w:rPr>
            </w:pPr>
            <w:r>
              <w:rPr>
                <w:rFonts w:hint="eastAsia" w:ascii="宋体" w:hAnsi="宋体"/>
              </w:rPr>
              <w:t>工程质量</w:t>
            </w:r>
          </w:p>
        </w:tc>
        <w:tc>
          <w:tcPr>
            <w:tcW w:w="5776" w:type="dxa"/>
            <w:noWrap/>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2384" w:type="dxa"/>
            <w:noWrap/>
            <w:vAlign w:val="center"/>
          </w:tcPr>
          <w:p>
            <w:pPr>
              <w:rPr>
                <w:rFonts w:ascii="宋体" w:hAnsi="宋体"/>
              </w:rPr>
            </w:pPr>
            <w:r>
              <w:rPr>
                <w:rFonts w:hint="eastAsia" w:ascii="宋体" w:hAnsi="宋体"/>
              </w:rPr>
              <w:t>项目负责人</w:t>
            </w:r>
          </w:p>
        </w:tc>
        <w:tc>
          <w:tcPr>
            <w:tcW w:w="5776" w:type="dxa"/>
            <w:noWrap/>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2384" w:type="dxa"/>
            <w:noWrap/>
            <w:vAlign w:val="center"/>
          </w:tcPr>
          <w:p>
            <w:pPr>
              <w:rPr>
                <w:rFonts w:ascii="宋体" w:hAnsi="宋体"/>
              </w:rPr>
            </w:pPr>
            <w:r>
              <w:rPr>
                <w:rFonts w:hint="eastAsia" w:ascii="宋体" w:hAnsi="宋体"/>
              </w:rPr>
              <w:t>技术负责人</w:t>
            </w:r>
          </w:p>
        </w:tc>
        <w:tc>
          <w:tcPr>
            <w:tcW w:w="5776" w:type="dxa"/>
            <w:noWrap/>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2384" w:type="dxa"/>
            <w:noWrap/>
            <w:vAlign w:val="center"/>
          </w:tcPr>
          <w:p>
            <w:pPr>
              <w:rPr>
                <w:rFonts w:ascii="宋体" w:hAnsi="宋体"/>
              </w:rPr>
            </w:pPr>
            <w:r>
              <w:rPr>
                <w:rFonts w:hint="eastAsia" w:ascii="宋体" w:hAnsi="宋体"/>
              </w:rPr>
              <w:t>注册建造师及电话</w:t>
            </w:r>
          </w:p>
        </w:tc>
        <w:tc>
          <w:tcPr>
            <w:tcW w:w="5776" w:type="dxa"/>
            <w:noWrap/>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5" w:hRule="atLeast"/>
          <w:jc w:val="center"/>
        </w:trPr>
        <w:tc>
          <w:tcPr>
            <w:tcW w:w="2384" w:type="dxa"/>
            <w:noWrap/>
            <w:vAlign w:val="center"/>
          </w:tcPr>
          <w:p>
            <w:pPr>
              <w:rPr>
                <w:rFonts w:ascii="宋体" w:hAnsi="宋体"/>
              </w:rPr>
            </w:pPr>
            <w:r>
              <w:rPr>
                <w:rFonts w:hint="eastAsia" w:ascii="宋体" w:hAnsi="宋体"/>
              </w:rPr>
              <w:t>项目描述</w:t>
            </w:r>
          </w:p>
        </w:tc>
        <w:tc>
          <w:tcPr>
            <w:tcW w:w="5776" w:type="dxa"/>
            <w:noWrap/>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2384" w:type="dxa"/>
            <w:noWrap/>
            <w:vAlign w:val="center"/>
          </w:tcPr>
          <w:p>
            <w:pPr>
              <w:rPr>
                <w:rFonts w:ascii="宋体" w:hAnsi="宋体"/>
              </w:rPr>
            </w:pPr>
            <w:r>
              <w:rPr>
                <w:rFonts w:hint="eastAsia" w:ascii="宋体" w:hAnsi="宋体"/>
              </w:rPr>
              <w:t>备注</w:t>
            </w:r>
          </w:p>
        </w:tc>
        <w:tc>
          <w:tcPr>
            <w:tcW w:w="5776" w:type="dxa"/>
            <w:noWrap/>
            <w:vAlign w:val="center"/>
          </w:tcPr>
          <w:p>
            <w:pPr>
              <w:rPr>
                <w:rFonts w:ascii="宋体" w:hAnsi="宋体"/>
              </w:rPr>
            </w:pPr>
          </w:p>
        </w:tc>
      </w:tr>
    </w:tbl>
    <w:p>
      <w:pPr>
        <w:spacing w:line="400" w:lineRule="exact"/>
        <w:rPr>
          <w:rFonts w:ascii="宋体" w:hAnsi="宋体"/>
          <w:sz w:val="24"/>
        </w:rPr>
      </w:pPr>
    </w:p>
    <w:p>
      <w:pPr>
        <w:spacing w:line="400" w:lineRule="exact"/>
        <w:rPr>
          <w:rFonts w:ascii="宋体" w:hAnsi="宋体"/>
          <w:sz w:val="24"/>
        </w:rPr>
      </w:pPr>
      <w:r>
        <w:rPr>
          <w:rFonts w:hint="eastAsia" w:ascii="宋体" w:hAnsi="宋体"/>
          <w:sz w:val="24"/>
        </w:rPr>
        <w:t>（4）近年发生的诉讼及仲裁情况</w:t>
      </w:r>
    </w:p>
    <w:p>
      <w:pPr>
        <w:spacing w:line="440" w:lineRule="exact"/>
        <w:ind w:firstLine="720" w:firstLineChars="300"/>
        <w:rPr>
          <w:rFonts w:ascii="宋体" w:hAnsi="宋体"/>
          <w:b/>
          <w:bCs/>
          <w:sz w:val="24"/>
          <w:szCs w:val="24"/>
        </w:rPr>
      </w:pPr>
      <w:r>
        <w:rPr>
          <w:rFonts w:hint="eastAsia" w:hAnsi="宋体"/>
          <w:sz w:val="24"/>
          <w:szCs w:val="24"/>
        </w:rPr>
        <w:t>说明：近年来发生过的诉讼和仲裁情况仅限于投标人败诉的，且履行施工承包合同有关的案件，不包括调解结案以及未裁决的仲裁或未终审判决的诉讼。</w:t>
      </w:r>
    </w:p>
    <w:p>
      <w:pPr>
        <w:jc w:val="center"/>
        <w:rPr>
          <w:rFonts w:ascii="宋体" w:hAnsi="宋体"/>
          <w:b/>
          <w:bCs/>
          <w:sz w:val="32"/>
          <w:szCs w:val="32"/>
        </w:rPr>
      </w:pPr>
    </w:p>
    <w:p>
      <w:pPr>
        <w:jc w:val="center"/>
        <w:rPr>
          <w:rFonts w:ascii="宋体" w:hAnsi="宋体"/>
          <w:b/>
          <w:bCs/>
          <w:sz w:val="32"/>
          <w:szCs w:val="32"/>
        </w:rPr>
      </w:pPr>
    </w:p>
    <w:p>
      <w:pPr>
        <w:jc w:val="center"/>
        <w:rPr>
          <w:rFonts w:ascii="宋体" w:hAnsi="宋体"/>
          <w:b/>
          <w:bCs/>
          <w:sz w:val="32"/>
          <w:szCs w:val="32"/>
        </w:rPr>
      </w:pPr>
    </w:p>
    <w:p>
      <w:pPr>
        <w:tabs>
          <w:tab w:val="center" w:pos="4739"/>
        </w:tabs>
        <w:jc w:val="center"/>
        <w:rPr>
          <w:rFonts w:ascii="宋体" w:hAnsi="宋体"/>
          <w:b/>
          <w:bCs/>
          <w:sz w:val="32"/>
          <w:szCs w:val="32"/>
        </w:rPr>
      </w:pPr>
      <w:r>
        <w:rPr>
          <w:rFonts w:hint="eastAsia" w:ascii="宋体" w:hAnsi="宋体"/>
          <w:b/>
          <w:sz w:val="32"/>
          <w:lang w:eastAsia="zh-CN"/>
        </w:rPr>
        <w:t>九</w:t>
      </w:r>
      <w:r>
        <w:rPr>
          <w:rFonts w:hint="eastAsia" w:ascii="宋体" w:hAnsi="宋体"/>
          <w:b/>
          <w:sz w:val="32"/>
        </w:rPr>
        <w:t>、正在施工的和新承接的项目情况</w:t>
      </w:r>
    </w:p>
    <w:p>
      <w:pPr>
        <w:autoSpaceDE w:val="0"/>
        <w:autoSpaceDN w:val="0"/>
        <w:adjustRightInd w:val="0"/>
        <w:spacing w:line="360" w:lineRule="auto"/>
        <w:ind w:right="215" w:firstLine="420"/>
        <w:jc w:val="center"/>
        <w:rPr>
          <w:rFonts w:ascii="宋体" w:hAnsi="宋体"/>
          <w:b/>
          <w:bCs/>
          <w:sz w:val="24"/>
          <w:szCs w:val="24"/>
        </w:rPr>
      </w:pPr>
    </w:p>
    <w:tbl>
      <w:tblPr>
        <w:tblStyle w:val="16"/>
        <w:tblW w:w="9018" w:type="dxa"/>
        <w:jc w:val="center"/>
        <w:tblLayout w:type="fixed"/>
        <w:tblCellMar>
          <w:top w:w="0" w:type="dxa"/>
          <w:left w:w="108" w:type="dxa"/>
          <w:bottom w:w="0" w:type="dxa"/>
          <w:right w:w="108" w:type="dxa"/>
        </w:tblCellMar>
      </w:tblPr>
      <w:tblGrid>
        <w:gridCol w:w="2291"/>
        <w:gridCol w:w="6727"/>
      </w:tblGrid>
      <w:tr>
        <w:tblPrEx>
          <w:tblCellMar>
            <w:top w:w="0" w:type="dxa"/>
            <w:left w:w="108" w:type="dxa"/>
            <w:bottom w:w="0" w:type="dxa"/>
            <w:right w:w="108" w:type="dxa"/>
          </w:tblCellMar>
        </w:tblPrEx>
        <w:trPr>
          <w:trHeight w:val="486" w:hRule="atLeast"/>
          <w:jc w:val="center"/>
        </w:trPr>
        <w:tc>
          <w:tcPr>
            <w:tcW w:w="2291"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360" w:lineRule="auto"/>
              <w:ind w:right="215"/>
              <w:jc w:val="center"/>
              <w:rPr>
                <w:rFonts w:ascii="宋体" w:hAnsi="宋体"/>
                <w:sz w:val="24"/>
                <w:szCs w:val="24"/>
              </w:rPr>
            </w:pPr>
            <w:r>
              <w:rPr>
                <w:rFonts w:hint="eastAsia" w:ascii="宋体" w:hAnsi="宋体"/>
                <w:sz w:val="24"/>
                <w:szCs w:val="24"/>
              </w:rPr>
              <w:t>项目名称</w:t>
            </w:r>
          </w:p>
        </w:tc>
        <w:tc>
          <w:tcPr>
            <w:tcW w:w="6727" w:type="dxa"/>
            <w:tcBorders>
              <w:top w:val="single" w:color="auto" w:sz="4" w:space="0"/>
              <w:left w:val="nil"/>
              <w:bottom w:val="single" w:color="auto" w:sz="4" w:space="0"/>
              <w:right w:val="single" w:color="auto" w:sz="4" w:space="0"/>
            </w:tcBorders>
            <w:noWrap/>
            <w:vAlign w:val="center"/>
          </w:tcPr>
          <w:p>
            <w:pPr>
              <w:autoSpaceDE w:val="0"/>
              <w:autoSpaceDN w:val="0"/>
              <w:adjustRightInd w:val="0"/>
              <w:spacing w:line="360" w:lineRule="auto"/>
              <w:ind w:right="215"/>
              <w:jc w:val="center"/>
              <w:rPr>
                <w:rFonts w:ascii="宋体" w:hAnsi="宋体"/>
                <w:sz w:val="24"/>
                <w:szCs w:val="24"/>
              </w:rPr>
            </w:pPr>
          </w:p>
        </w:tc>
      </w:tr>
      <w:tr>
        <w:tblPrEx>
          <w:tblCellMar>
            <w:top w:w="0" w:type="dxa"/>
            <w:left w:w="108" w:type="dxa"/>
            <w:bottom w:w="0" w:type="dxa"/>
            <w:right w:w="108" w:type="dxa"/>
          </w:tblCellMar>
        </w:tblPrEx>
        <w:trPr>
          <w:trHeight w:val="486" w:hRule="atLeast"/>
          <w:jc w:val="center"/>
        </w:trPr>
        <w:tc>
          <w:tcPr>
            <w:tcW w:w="2291"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360" w:lineRule="auto"/>
              <w:ind w:right="215"/>
              <w:jc w:val="center"/>
              <w:rPr>
                <w:rFonts w:ascii="宋体" w:hAnsi="宋体"/>
                <w:sz w:val="24"/>
                <w:szCs w:val="24"/>
              </w:rPr>
            </w:pPr>
            <w:r>
              <w:rPr>
                <w:rFonts w:hint="eastAsia" w:ascii="宋体" w:hAnsi="宋体"/>
                <w:sz w:val="24"/>
                <w:szCs w:val="24"/>
              </w:rPr>
              <w:t>项目所在地</w:t>
            </w:r>
          </w:p>
        </w:tc>
        <w:tc>
          <w:tcPr>
            <w:tcW w:w="6727" w:type="dxa"/>
            <w:tcBorders>
              <w:top w:val="single" w:color="auto" w:sz="4" w:space="0"/>
              <w:left w:val="nil"/>
              <w:bottom w:val="single" w:color="auto" w:sz="4" w:space="0"/>
              <w:right w:val="single" w:color="auto" w:sz="4" w:space="0"/>
            </w:tcBorders>
            <w:noWrap/>
            <w:vAlign w:val="center"/>
          </w:tcPr>
          <w:p>
            <w:pPr>
              <w:autoSpaceDE w:val="0"/>
              <w:autoSpaceDN w:val="0"/>
              <w:adjustRightInd w:val="0"/>
              <w:spacing w:line="360" w:lineRule="auto"/>
              <w:ind w:right="215"/>
              <w:jc w:val="center"/>
              <w:rPr>
                <w:rFonts w:ascii="宋体" w:hAnsi="宋体"/>
                <w:sz w:val="24"/>
                <w:szCs w:val="24"/>
              </w:rPr>
            </w:pPr>
          </w:p>
        </w:tc>
      </w:tr>
      <w:tr>
        <w:tblPrEx>
          <w:tblCellMar>
            <w:top w:w="0" w:type="dxa"/>
            <w:left w:w="108" w:type="dxa"/>
            <w:bottom w:w="0" w:type="dxa"/>
            <w:right w:w="108" w:type="dxa"/>
          </w:tblCellMar>
        </w:tblPrEx>
        <w:trPr>
          <w:trHeight w:val="486" w:hRule="atLeast"/>
          <w:jc w:val="center"/>
        </w:trPr>
        <w:tc>
          <w:tcPr>
            <w:tcW w:w="2291"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360" w:lineRule="auto"/>
              <w:ind w:right="215"/>
              <w:jc w:val="center"/>
              <w:rPr>
                <w:rFonts w:ascii="宋体" w:hAnsi="宋体"/>
                <w:sz w:val="24"/>
                <w:szCs w:val="24"/>
              </w:rPr>
            </w:pPr>
            <w:r>
              <w:rPr>
                <w:rFonts w:hint="eastAsia" w:ascii="宋体" w:hAnsi="宋体"/>
                <w:sz w:val="24"/>
                <w:szCs w:val="24"/>
              </w:rPr>
              <w:t>发包人名称</w:t>
            </w:r>
          </w:p>
        </w:tc>
        <w:tc>
          <w:tcPr>
            <w:tcW w:w="6727" w:type="dxa"/>
            <w:tcBorders>
              <w:top w:val="single" w:color="auto" w:sz="4" w:space="0"/>
              <w:left w:val="nil"/>
              <w:bottom w:val="single" w:color="auto" w:sz="4" w:space="0"/>
              <w:right w:val="single" w:color="auto" w:sz="4" w:space="0"/>
            </w:tcBorders>
            <w:noWrap/>
            <w:vAlign w:val="center"/>
          </w:tcPr>
          <w:p>
            <w:pPr>
              <w:autoSpaceDE w:val="0"/>
              <w:autoSpaceDN w:val="0"/>
              <w:adjustRightInd w:val="0"/>
              <w:spacing w:line="360" w:lineRule="auto"/>
              <w:ind w:right="215"/>
              <w:jc w:val="center"/>
              <w:rPr>
                <w:rFonts w:ascii="宋体" w:hAnsi="宋体"/>
                <w:sz w:val="24"/>
                <w:szCs w:val="24"/>
              </w:rPr>
            </w:pPr>
          </w:p>
        </w:tc>
      </w:tr>
      <w:tr>
        <w:tblPrEx>
          <w:tblCellMar>
            <w:top w:w="0" w:type="dxa"/>
            <w:left w:w="108" w:type="dxa"/>
            <w:bottom w:w="0" w:type="dxa"/>
            <w:right w:w="108" w:type="dxa"/>
          </w:tblCellMar>
        </w:tblPrEx>
        <w:trPr>
          <w:trHeight w:val="486" w:hRule="atLeast"/>
          <w:jc w:val="center"/>
        </w:trPr>
        <w:tc>
          <w:tcPr>
            <w:tcW w:w="2291"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360" w:lineRule="auto"/>
              <w:ind w:right="215"/>
              <w:jc w:val="center"/>
              <w:rPr>
                <w:rFonts w:ascii="宋体" w:hAnsi="宋体"/>
                <w:sz w:val="24"/>
                <w:szCs w:val="24"/>
              </w:rPr>
            </w:pPr>
            <w:r>
              <w:rPr>
                <w:rFonts w:hint="eastAsia" w:ascii="宋体" w:hAnsi="宋体"/>
                <w:sz w:val="24"/>
                <w:szCs w:val="24"/>
              </w:rPr>
              <w:t>发包人地址</w:t>
            </w:r>
          </w:p>
        </w:tc>
        <w:tc>
          <w:tcPr>
            <w:tcW w:w="6727" w:type="dxa"/>
            <w:tcBorders>
              <w:top w:val="single" w:color="auto" w:sz="4" w:space="0"/>
              <w:left w:val="nil"/>
              <w:bottom w:val="single" w:color="auto" w:sz="4" w:space="0"/>
              <w:right w:val="single" w:color="auto" w:sz="4" w:space="0"/>
            </w:tcBorders>
            <w:noWrap/>
            <w:vAlign w:val="center"/>
          </w:tcPr>
          <w:p>
            <w:pPr>
              <w:autoSpaceDE w:val="0"/>
              <w:autoSpaceDN w:val="0"/>
              <w:adjustRightInd w:val="0"/>
              <w:spacing w:line="360" w:lineRule="auto"/>
              <w:ind w:right="215"/>
              <w:jc w:val="center"/>
              <w:rPr>
                <w:rFonts w:ascii="宋体" w:hAnsi="宋体"/>
                <w:sz w:val="24"/>
                <w:szCs w:val="24"/>
              </w:rPr>
            </w:pPr>
          </w:p>
        </w:tc>
      </w:tr>
      <w:tr>
        <w:tblPrEx>
          <w:tblCellMar>
            <w:top w:w="0" w:type="dxa"/>
            <w:left w:w="108" w:type="dxa"/>
            <w:bottom w:w="0" w:type="dxa"/>
            <w:right w:w="108" w:type="dxa"/>
          </w:tblCellMar>
        </w:tblPrEx>
        <w:trPr>
          <w:trHeight w:val="486" w:hRule="atLeast"/>
          <w:jc w:val="center"/>
        </w:trPr>
        <w:tc>
          <w:tcPr>
            <w:tcW w:w="2291"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360" w:lineRule="auto"/>
              <w:ind w:right="215"/>
              <w:jc w:val="center"/>
              <w:rPr>
                <w:rFonts w:ascii="宋体" w:hAnsi="宋体"/>
                <w:sz w:val="24"/>
                <w:szCs w:val="24"/>
              </w:rPr>
            </w:pPr>
            <w:r>
              <w:rPr>
                <w:rFonts w:hint="eastAsia" w:ascii="宋体" w:hAnsi="宋体"/>
                <w:sz w:val="24"/>
                <w:szCs w:val="24"/>
              </w:rPr>
              <w:t>发包人电话</w:t>
            </w:r>
          </w:p>
        </w:tc>
        <w:tc>
          <w:tcPr>
            <w:tcW w:w="6727" w:type="dxa"/>
            <w:tcBorders>
              <w:top w:val="single" w:color="auto" w:sz="4" w:space="0"/>
              <w:left w:val="nil"/>
              <w:bottom w:val="single" w:color="auto" w:sz="4" w:space="0"/>
              <w:right w:val="single" w:color="auto" w:sz="4" w:space="0"/>
            </w:tcBorders>
            <w:noWrap/>
            <w:vAlign w:val="center"/>
          </w:tcPr>
          <w:p>
            <w:pPr>
              <w:autoSpaceDE w:val="0"/>
              <w:autoSpaceDN w:val="0"/>
              <w:adjustRightInd w:val="0"/>
              <w:spacing w:line="360" w:lineRule="auto"/>
              <w:ind w:right="215"/>
              <w:jc w:val="center"/>
              <w:rPr>
                <w:rFonts w:ascii="宋体" w:hAnsi="宋体"/>
                <w:sz w:val="24"/>
                <w:szCs w:val="24"/>
              </w:rPr>
            </w:pPr>
          </w:p>
        </w:tc>
      </w:tr>
      <w:tr>
        <w:tblPrEx>
          <w:tblCellMar>
            <w:top w:w="0" w:type="dxa"/>
            <w:left w:w="108" w:type="dxa"/>
            <w:bottom w:w="0" w:type="dxa"/>
            <w:right w:w="108" w:type="dxa"/>
          </w:tblCellMar>
        </w:tblPrEx>
        <w:trPr>
          <w:trHeight w:val="486" w:hRule="atLeast"/>
          <w:jc w:val="center"/>
        </w:trPr>
        <w:tc>
          <w:tcPr>
            <w:tcW w:w="2291"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360" w:lineRule="auto"/>
              <w:ind w:right="215"/>
              <w:jc w:val="center"/>
              <w:rPr>
                <w:rFonts w:ascii="宋体" w:hAnsi="宋体"/>
                <w:sz w:val="24"/>
                <w:szCs w:val="24"/>
              </w:rPr>
            </w:pPr>
            <w:r>
              <w:rPr>
                <w:rFonts w:hint="eastAsia" w:ascii="宋体" w:hAnsi="宋体"/>
                <w:sz w:val="24"/>
                <w:szCs w:val="24"/>
              </w:rPr>
              <w:t>签约合同价</w:t>
            </w:r>
          </w:p>
        </w:tc>
        <w:tc>
          <w:tcPr>
            <w:tcW w:w="6727" w:type="dxa"/>
            <w:tcBorders>
              <w:top w:val="single" w:color="auto" w:sz="4" w:space="0"/>
              <w:left w:val="nil"/>
              <w:bottom w:val="single" w:color="auto" w:sz="4" w:space="0"/>
              <w:right w:val="single" w:color="auto" w:sz="4" w:space="0"/>
            </w:tcBorders>
            <w:noWrap/>
            <w:vAlign w:val="center"/>
          </w:tcPr>
          <w:p>
            <w:pPr>
              <w:autoSpaceDE w:val="0"/>
              <w:autoSpaceDN w:val="0"/>
              <w:adjustRightInd w:val="0"/>
              <w:spacing w:line="360" w:lineRule="auto"/>
              <w:ind w:right="215"/>
              <w:jc w:val="center"/>
              <w:rPr>
                <w:rFonts w:ascii="宋体" w:hAnsi="宋体"/>
                <w:sz w:val="24"/>
                <w:szCs w:val="24"/>
              </w:rPr>
            </w:pPr>
          </w:p>
        </w:tc>
      </w:tr>
      <w:tr>
        <w:tblPrEx>
          <w:tblCellMar>
            <w:top w:w="0" w:type="dxa"/>
            <w:left w:w="108" w:type="dxa"/>
            <w:bottom w:w="0" w:type="dxa"/>
            <w:right w:w="108" w:type="dxa"/>
          </w:tblCellMar>
        </w:tblPrEx>
        <w:trPr>
          <w:trHeight w:val="465" w:hRule="atLeast"/>
          <w:jc w:val="center"/>
        </w:trPr>
        <w:tc>
          <w:tcPr>
            <w:tcW w:w="2291"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360" w:lineRule="auto"/>
              <w:ind w:right="215"/>
              <w:jc w:val="center"/>
              <w:rPr>
                <w:rFonts w:ascii="宋体" w:hAnsi="宋体"/>
                <w:sz w:val="24"/>
                <w:szCs w:val="24"/>
              </w:rPr>
            </w:pPr>
            <w:r>
              <w:rPr>
                <w:rFonts w:hint="eastAsia" w:ascii="宋体" w:hAnsi="宋体"/>
                <w:sz w:val="24"/>
                <w:szCs w:val="24"/>
              </w:rPr>
              <w:t>开工日期</w:t>
            </w:r>
          </w:p>
        </w:tc>
        <w:tc>
          <w:tcPr>
            <w:tcW w:w="6727" w:type="dxa"/>
            <w:tcBorders>
              <w:top w:val="single" w:color="auto" w:sz="4" w:space="0"/>
              <w:left w:val="nil"/>
              <w:bottom w:val="single" w:color="auto" w:sz="4" w:space="0"/>
              <w:right w:val="single" w:color="auto" w:sz="4" w:space="0"/>
            </w:tcBorders>
            <w:noWrap/>
            <w:vAlign w:val="center"/>
          </w:tcPr>
          <w:p>
            <w:pPr>
              <w:autoSpaceDE w:val="0"/>
              <w:autoSpaceDN w:val="0"/>
              <w:adjustRightInd w:val="0"/>
              <w:spacing w:line="360" w:lineRule="auto"/>
              <w:ind w:right="215"/>
              <w:jc w:val="center"/>
              <w:rPr>
                <w:rFonts w:ascii="宋体" w:hAnsi="宋体"/>
                <w:sz w:val="24"/>
                <w:szCs w:val="24"/>
              </w:rPr>
            </w:pPr>
          </w:p>
        </w:tc>
      </w:tr>
      <w:tr>
        <w:tblPrEx>
          <w:tblCellMar>
            <w:top w:w="0" w:type="dxa"/>
            <w:left w:w="108" w:type="dxa"/>
            <w:bottom w:w="0" w:type="dxa"/>
            <w:right w:w="108" w:type="dxa"/>
          </w:tblCellMar>
        </w:tblPrEx>
        <w:trPr>
          <w:trHeight w:val="486" w:hRule="atLeast"/>
          <w:jc w:val="center"/>
        </w:trPr>
        <w:tc>
          <w:tcPr>
            <w:tcW w:w="2291"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360" w:lineRule="auto"/>
              <w:ind w:right="215"/>
              <w:jc w:val="center"/>
              <w:rPr>
                <w:rFonts w:ascii="宋体" w:hAnsi="宋体"/>
                <w:sz w:val="24"/>
                <w:szCs w:val="24"/>
              </w:rPr>
            </w:pPr>
            <w:r>
              <w:rPr>
                <w:rFonts w:hint="eastAsia" w:ascii="宋体" w:hAnsi="宋体"/>
                <w:sz w:val="24"/>
                <w:szCs w:val="24"/>
              </w:rPr>
              <w:t>计划竣工日期</w:t>
            </w:r>
          </w:p>
        </w:tc>
        <w:tc>
          <w:tcPr>
            <w:tcW w:w="6727" w:type="dxa"/>
            <w:tcBorders>
              <w:top w:val="single" w:color="auto" w:sz="4" w:space="0"/>
              <w:left w:val="nil"/>
              <w:bottom w:val="single" w:color="auto" w:sz="4" w:space="0"/>
              <w:right w:val="single" w:color="auto" w:sz="4" w:space="0"/>
            </w:tcBorders>
            <w:noWrap/>
            <w:vAlign w:val="center"/>
          </w:tcPr>
          <w:p>
            <w:pPr>
              <w:autoSpaceDE w:val="0"/>
              <w:autoSpaceDN w:val="0"/>
              <w:adjustRightInd w:val="0"/>
              <w:spacing w:line="360" w:lineRule="auto"/>
              <w:ind w:right="215"/>
              <w:jc w:val="center"/>
              <w:rPr>
                <w:rFonts w:ascii="宋体" w:hAnsi="宋体"/>
                <w:sz w:val="24"/>
                <w:szCs w:val="24"/>
              </w:rPr>
            </w:pPr>
          </w:p>
        </w:tc>
      </w:tr>
      <w:tr>
        <w:tblPrEx>
          <w:tblCellMar>
            <w:top w:w="0" w:type="dxa"/>
            <w:left w:w="108" w:type="dxa"/>
            <w:bottom w:w="0" w:type="dxa"/>
            <w:right w:w="108" w:type="dxa"/>
          </w:tblCellMar>
        </w:tblPrEx>
        <w:trPr>
          <w:trHeight w:val="486" w:hRule="atLeast"/>
          <w:jc w:val="center"/>
        </w:trPr>
        <w:tc>
          <w:tcPr>
            <w:tcW w:w="2291"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360" w:lineRule="auto"/>
              <w:ind w:right="215"/>
              <w:jc w:val="center"/>
              <w:rPr>
                <w:rFonts w:ascii="宋体" w:hAnsi="宋体"/>
                <w:sz w:val="24"/>
                <w:szCs w:val="24"/>
              </w:rPr>
            </w:pPr>
            <w:r>
              <w:rPr>
                <w:rFonts w:hint="eastAsia" w:ascii="宋体" w:hAnsi="宋体"/>
                <w:sz w:val="24"/>
                <w:szCs w:val="24"/>
              </w:rPr>
              <w:t>承担的工作</w:t>
            </w:r>
          </w:p>
        </w:tc>
        <w:tc>
          <w:tcPr>
            <w:tcW w:w="6727" w:type="dxa"/>
            <w:tcBorders>
              <w:top w:val="single" w:color="auto" w:sz="4" w:space="0"/>
              <w:left w:val="nil"/>
              <w:bottom w:val="single" w:color="auto" w:sz="4" w:space="0"/>
              <w:right w:val="single" w:color="auto" w:sz="4" w:space="0"/>
            </w:tcBorders>
            <w:noWrap/>
            <w:vAlign w:val="center"/>
          </w:tcPr>
          <w:p>
            <w:pPr>
              <w:autoSpaceDE w:val="0"/>
              <w:autoSpaceDN w:val="0"/>
              <w:adjustRightInd w:val="0"/>
              <w:spacing w:line="360" w:lineRule="auto"/>
              <w:ind w:right="215"/>
              <w:jc w:val="center"/>
              <w:rPr>
                <w:rFonts w:ascii="宋体" w:hAnsi="宋体"/>
                <w:sz w:val="24"/>
                <w:szCs w:val="24"/>
              </w:rPr>
            </w:pPr>
          </w:p>
        </w:tc>
      </w:tr>
      <w:tr>
        <w:tblPrEx>
          <w:tblCellMar>
            <w:top w:w="0" w:type="dxa"/>
            <w:left w:w="108" w:type="dxa"/>
            <w:bottom w:w="0" w:type="dxa"/>
            <w:right w:w="108" w:type="dxa"/>
          </w:tblCellMar>
        </w:tblPrEx>
        <w:trPr>
          <w:trHeight w:val="486" w:hRule="atLeast"/>
          <w:jc w:val="center"/>
        </w:trPr>
        <w:tc>
          <w:tcPr>
            <w:tcW w:w="2291"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360" w:lineRule="auto"/>
              <w:ind w:right="215"/>
              <w:jc w:val="center"/>
              <w:rPr>
                <w:rFonts w:ascii="宋体" w:hAnsi="宋体"/>
                <w:sz w:val="24"/>
                <w:szCs w:val="24"/>
              </w:rPr>
            </w:pPr>
            <w:r>
              <w:rPr>
                <w:rFonts w:hint="eastAsia" w:ascii="宋体" w:hAnsi="宋体"/>
                <w:sz w:val="24"/>
                <w:szCs w:val="24"/>
              </w:rPr>
              <w:t>工程质量</w:t>
            </w:r>
          </w:p>
        </w:tc>
        <w:tc>
          <w:tcPr>
            <w:tcW w:w="6727" w:type="dxa"/>
            <w:tcBorders>
              <w:top w:val="single" w:color="auto" w:sz="4" w:space="0"/>
              <w:left w:val="nil"/>
              <w:bottom w:val="single" w:color="auto" w:sz="4" w:space="0"/>
              <w:right w:val="single" w:color="auto" w:sz="4" w:space="0"/>
            </w:tcBorders>
            <w:noWrap/>
            <w:vAlign w:val="center"/>
          </w:tcPr>
          <w:p>
            <w:pPr>
              <w:autoSpaceDE w:val="0"/>
              <w:autoSpaceDN w:val="0"/>
              <w:adjustRightInd w:val="0"/>
              <w:spacing w:line="360" w:lineRule="auto"/>
              <w:ind w:right="215"/>
              <w:jc w:val="center"/>
              <w:rPr>
                <w:rFonts w:ascii="宋体" w:hAnsi="宋体"/>
                <w:sz w:val="24"/>
                <w:szCs w:val="24"/>
              </w:rPr>
            </w:pPr>
          </w:p>
        </w:tc>
      </w:tr>
      <w:tr>
        <w:tblPrEx>
          <w:tblCellMar>
            <w:top w:w="0" w:type="dxa"/>
            <w:left w:w="108" w:type="dxa"/>
            <w:bottom w:w="0" w:type="dxa"/>
            <w:right w:w="108" w:type="dxa"/>
          </w:tblCellMar>
        </w:tblPrEx>
        <w:trPr>
          <w:trHeight w:val="486" w:hRule="atLeast"/>
          <w:jc w:val="center"/>
        </w:trPr>
        <w:tc>
          <w:tcPr>
            <w:tcW w:w="2291"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360" w:lineRule="auto"/>
              <w:ind w:right="215"/>
              <w:jc w:val="center"/>
              <w:rPr>
                <w:rFonts w:ascii="宋体" w:hAnsi="宋体"/>
                <w:sz w:val="24"/>
                <w:szCs w:val="24"/>
              </w:rPr>
            </w:pPr>
            <w:r>
              <w:rPr>
                <w:rFonts w:hint="eastAsia" w:ascii="宋体" w:hAnsi="宋体"/>
                <w:sz w:val="24"/>
                <w:szCs w:val="24"/>
              </w:rPr>
              <w:t>项目经理</w:t>
            </w:r>
          </w:p>
        </w:tc>
        <w:tc>
          <w:tcPr>
            <w:tcW w:w="6727" w:type="dxa"/>
            <w:tcBorders>
              <w:top w:val="single" w:color="auto" w:sz="4" w:space="0"/>
              <w:left w:val="nil"/>
              <w:bottom w:val="single" w:color="auto" w:sz="4" w:space="0"/>
              <w:right w:val="single" w:color="auto" w:sz="4" w:space="0"/>
            </w:tcBorders>
            <w:noWrap/>
            <w:vAlign w:val="center"/>
          </w:tcPr>
          <w:p>
            <w:pPr>
              <w:autoSpaceDE w:val="0"/>
              <w:autoSpaceDN w:val="0"/>
              <w:adjustRightInd w:val="0"/>
              <w:spacing w:line="360" w:lineRule="auto"/>
              <w:ind w:right="215"/>
              <w:jc w:val="center"/>
              <w:rPr>
                <w:rFonts w:ascii="宋体" w:hAnsi="宋体"/>
                <w:sz w:val="24"/>
                <w:szCs w:val="24"/>
              </w:rPr>
            </w:pPr>
          </w:p>
        </w:tc>
      </w:tr>
      <w:tr>
        <w:tblPrEx>
          <w:tblCellMar>
            <w:top w:w="0" w:type="dxa"/>
            <w:left w:w="108" w:type="dxa"/>
            <w:bottom w:w="0" w:type="dxa"/>
            <w:right w:w="108" w:type="dxa"/>
          </w:tblCellMar>
        </w:tblPrEx>
        <w:trPr>
          <w:trHeight w:val="486" w:hRule="atLeast"/>
          <w:jc w:val="center"/>
        </w:trPr>
        <w:tc>
          <w:tcPr>
            <w:tcW w:w="2291"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360" w:lineRule="auto"/>
              <w:ind w:right="215"/>
              <w:jc w:val="center"/>
              <w:rPr>
                <w:rFonts w:ascii="宋体" w:hAnsi="宋体"/>
                <w:spacing w:val="-20"/>
                <w:sz w:val="24"/>
                <w:szCs w:val="24"/>
              </w:rPr>
            </w:pPr>
            <w:r>
              <w:rPr>
                <w:rFonts w:hint="eastAsia" w:ascii="宋体" w:hAnsi="宋体"/>
                <w:spacing w:val="-20"/>
                <w:sz w:val="24"/>
                <w:szCs w:val="24"/>
              </w:rPr>
              <w:t>总监理工程师及电话</w:t>
            </w:r>
          </w:p>
        </w:tc>
        <w:tc>
          <w:tcPr>
            <w:tcW w:w="6727" w:type="dxa"/>
            <w:tcBorders>
              <w:top w:val="single" w:color="auto" w:sz="4" w:space="0"/>
              <w:left w:val="nil"/>
              <w:bottom w:val="single" w:color="auto" w:sz="4" w:space="0"/>
              <w:right w:val="single" w:color="auto" w:sz="4" w:space="0"/>
            </w:tcBorders>
            <w:noWrap/>
            <w:vAlign w:val="center"/>
          </w:tcPr>
          <w:p>
            <w:pPr>
              <w:autoSpaceDE w:val="0"/>
              <w:autoSpaceDN w:val="0"/>
              <w:adjustRightInd w:val="0"/>
              <w:spacing w:line="360" w:lineRule="auto"/>
              <w:ind w:right="215"/>
              <w:jc w:val="center"/>
              <w:rPr>
                <w:rFonts w:ascii="宋体" w:hAnsi="宋体"/>
                <w:sz w:val="24"/>
                <w:szCs w:val="24"/>
              </w:rPr>
            </w:pPr>
          </w:p>
        </w:tc>
      </w:tr>
      <w:tr>
        <w:tblPrEx>
          <w:tblCellMar>
            <w:top w:w="0" w:type="dxa"/>
            <w:left w:w="108" w:type="dxa"/>
            <w:bottom w:w="0" w:type="dxa"/>
            <w:right w:w="108" w:type="dxa"/>
          </w:tblCellMar>
        </w:tblPrEx>
        <w:trPr>
          <w:trHeight w:val="1626" w:hRule="atLeast"/>
          <w:jc w:val="center"/>
        </w:trPr>
        <w:tc>
          <w:tcPr>
            <w:tcW w:w="2291"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360" w:lineRule="auto"/>
              <w:ind w:right="215"/>
              <w:jc w:val="center"/>
              <w:rPr>
                <w:rFonts w:ascii="宋体" w:hAnsi="宋体"/>
                <w:sz w:val="24"/>
                <w:szCs w:val="24"/>
              </w:rPr>
            </w:pPr>
            <w:r>
              <w:rPr>
                <w:rFonts w:hint="eastAsia" w:ascii="宋体" w:hAnsi="宋体"/>
                <w:sz w:val="24"/>
                <w:szCs w:val="24"/>
              </w:rPr>
              <w:t>项目描述</w:t>
            </w:r>
          </w:p>
        </w:tc>
        <w:tc>
          <w:tcPr>
            <w:tcW w:w="6727" w:type="dxa"/>
            <w:tcBorders>
              <w:top w:val="single" w:color="auto" w:sz="4" w:space="0"/>
              <w:left w:val="nil"/>
              <w:bottom w:val="single" w:color="auto" w:sz="4" w:space="0"/>
              <w:right w:val="single" w:color="auto" w:sz="4" w:space="0"/>
            </w:tcBorders>
            <w:noWrap/>
            <w:vAlign w:val="center"/>
          </w:tcPr>
          <w:p>
            <w:pPr>
              <w:autoSpaceDE w:val="0"/>
              <w:autoSpaceDN w:val="0"/>
              <w:adjustRightInd w:val="0"/>
              <w:spacing w:line="360" w:lineRule="auto"/>
              <w:ind w:right="215"/>
              <w:jc w:val="center"/>
              <w:rPr>
                <w:rFonts w:ascii="宋体" w:hAnsi="宋体"/>
                <w:sz w:val="24"/>
                <w:szCs w:val="24"/>
              </w:rPr>
            </w:pPr>
          </w:p>
        </w:tc>
      </w:tr>
      <w:tr>
        <w:tblPrEx>
          <w:tblCellMar>
            <w:top w:w="0" w:type="dxa"/>
            <w:left w:w="108" w:type="dxa"/>
            <w:bottom w:w="0" w:type="dxa"/>
            <w:right w:w="108" w:type="dxa"/>
          </w:tblCellMar>
        </w:tblPrEx>
        <w:trPr>
          <w:trHeight w:val="930" w:hRule="atLeast"/>
          <w:jc w:val="center"/>
        </w:trPr>
        <w:tc>
          <w:tcPr>
            <w:tcW w:w="2291"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360" w:lineRule="auto"/>
              <w:ind w:right="215"/>
              <w:jc w:val="center"/>
              <w:rPr>
                <w:rFonts w:ascii="宋体" w:hAnsi="宋体"/>
                <w:sz w:val="24"/>
                <w:szCs w:val="24"/>
              </w:rPr>
            </w:pPr>
            <w:r>
              <w:rPr>
                <w:rFonts w:hint="eastAsia" w:ascii="宋体" w:hAnsi="宋体"/>
                <w:sz w:val="24"/>
                <w:szCs w:val="24"/>
              </w:rPr>
              <w:t>备注</w:t>
            </w:r>
          </w:p>
        </w:tc>
        <w:tc>
          <w:tcPr>
            <w:tcW w:w="6727" w:type="dxa"/>
            <w:tcBorders>
              <w:top w:val="single" w:color="auto" w:sz="4" w:space="0"/>
              <w:left w:val="nil"/>
              <w:bottom w:val="single" w:color="auto" w:sz="4" w:space="0"/>
              <w:right w:val="single" w:color="auto" w:sz="4" w:space="0"/>
            </w:tcBorders>
            <w:noWrap/>
            <w:vAlign w:val="center"/>
          </w:tcPr>
          <w:p>
            <w:pPr>
              <w:autoSpaceDE w:val="0"/>
              <w:autoSpaceDN w:val="0"/>
              <w:adjustRightInd w:val="0"/>
              <w:spacing w:line="360" w:lineRule="auto"/>
              <w:ind w:right="215"/>
              <w:jc w:val="center"/>
              <w:rPr>
                <w:rFonts w:ascii="宋体" w:hAnsi="宋体"/>
                <w:sz w:val="24"/>
                <w:szCs w:val="24"/>
              </w:rPr>
            </w:pPr>
          </w:p>
          <w:p>
            <w:pPr>
              <w:autoSpaceDE w:val="0"/>
              <w:autoSpaceDN w:val="0"/>
              <w:adjustRightInd w:val="0"/>
              <w:spacing w:line="360" w:lineRule="auto"/>
              <w:ind w:right="215"/>
              <w:rPr>
                <w:rFonts w:ascii="宋体" w:hAnsi="宋体"/>
                <w:sz w:val="24"/>
                <w:szCs w:val="24"/>
              </w:rPr>
            </w:pPr>
          </w:p>
        </w:tc>
      </w:tr>
    </w:tbl>
    <w:p/>
    <w:p/>
    <w:p/>
    <w:p/>
    <w:p/>
    <w:p>
      <w:pPr>
        <w:autoSpaceDE w:val="0"/>
        <w:autoSpaceDN w:val="0"/>
        <w:adjustRightInd w:val="0"/>
        <w:spacing w:line="380" w:lineRule="exact"/>
        <w:jc w:val="center"/>
        <w:rPr>
          <w:rFonts w:ascii="宋体" w:hAnsi="宋体"/>
          <w:b/>
          <w:bCs/>
          <w:sz w:val="32"/>
          <w:szCs w:val="32"/>
        </w:rPr>
      </w:pPr>
    </w:p>
    <w:p>
      <w:pPr>
        <w:tabs>
          <w:tab w:val="center" w:pos="4739"/>
        </w:tabs>
        <w:jc w:val="center"/>
        <w:rPr>
          <w:rFonts w:ascii="宋体" w:hAnsi="宋体"/>
          <w:b/>
          <w:sz w:val="32"/>
        </w:rPr>
      </w:pPr>
    </w:p>
    <w:p>
      <w:pPr>
        <w:tabs>
          <w:tab w:val="center" w:pos="4739"/>
        </w:tabs>
        <w:jc w:val="center"/>
        <w:rPr>
          <w:rFonts w:ascii="宋体" w:hAnsi="宋体"/>
          <w:b/>
          <w:sz w:val="32"/>
        </w:rPr>
      </w:pPr>
    </w:p>
    <w:p>
      <w:pPr>
        <w:tabs>
          <w:tab w:val="center" w:pos="4739"/>
        </w:tabs>
        <w:jc w:val="center"/>
        <w:rPr>
          <w:rFonts w:ascii="宋体" w:hAnsi="宋体"/>
          <w:b/>
          <w:sz w:val="32"/>
        </w:rPr>
      </w:pPr>
    </w:p>
    <w:p>
      <w:pPr>
        <w:tabs>
          <w:tab w:val="center" w:pos="4739"/>
        </w:tabs>
        <w:jc w:val="center"/>
        <w:rPr>
          <w:rFonts w:ascii="宋体" w:hAnsi="宋体"/>
          <w:b/>
          <w:sz w:val="32"/>
        </w:rPr>
      </w:pPr>
      <w:r>
        <w:rPr>
          <w:rFonts w:hint="eastAsia" w:ascii="宋体" w:hAnsi="宋体"/>
          <w:b/>
          <w:sz w:val="32"/>
          <w:lang w:eastAsia="zh-CN"/>
        </w:rPr>
        <w:t>十</w:t>
      </w:r>
      <w:r>
        <w:rPr>
          <w:rFonts w:hint="eastAsia" w:ascii="宋体" w:hAnsi="宋体"/>
          <w:b/>
          <w:sz w:val="32"/>
        </w:rPr>
        <w:t>、承诺书</w:t>
      </w:r>
    </w:p>
    <w:p>
      <w:pPr>
        <w:spacing w:line="360" w:lineRule="auto"/>
        <w:jc w:val="center"/>
        <w:rPr>
          <w:rFonts w:ascii="宋体" w:hAnsi="宋体"/>
          <w:bCs/>
          <w:sz w:val="24"/>
          <w:szCs w:val="24"/>
        </w:rPr>
      </w:pPr>
    </w:p>
    <w:p>
      <w:pPr>
        <w:spacing w:line="360" w:lineRule="auto"/>
        <w:jc w:val="center"/>
        <w:rPr>
          <w:rFonts w:ascii="宋体" w:hAnsi="宋体"/>
          <w:b/>
          <w:bCs/>
          <w:sz w:val="24"/>
          <w:szCs w:val="24"/>
        </w:rPr>
      </w:pPr>
      <w:r>
        <w:rPr>
          <w:rFonts w:hint="eastAsia" w:ascii="宋体" w:hAnsi="宋体"/>
          <w:b/>
          <w:bCs/>
          <w:sz w:val="24"/>
          <w:szCs w:val="24"/>
        </w:rPr>
        <w:t>（一）关于农民工工资的承诺</w:t>
      </w:r>
    </w:p>
    <w:p>
      <w:pPr>
        <w:spacing w:line="360" w:lineRule="auto"/>
        <w:rPr>
          <w:rFonts w:ascii="宋体" w:hAnsi="宋体"/>
          <w:sz w:val="24"/>
          <w:szCs w:val="24"/>
          <w:u w:val="single"/>
        </w:rPr>
      </w:pPr>
      <w:r>
        <w:rPr>
          <w:rFonts w:hint="eastAsia" w:ascii="宋体" w:hAnsi="宋体"/>
          <w:sz w:val="24"/>
          <w:szCs w:val="24"/>
        </w:rPr>
        <w:t>致：</w:t>
      </w:r>
      <w:r>
        <w:rPr>
          <w:rFonts w:hint="eastAsia" w:ascii="宋体" w:hAnsi="宋体"/>
          <w:sz w:val="24"/>
          <w:szCs w:val="24"/>
          <w:u w:val="single"/>
        </w:rPr>
        <w:t xml:space="preserve">     （招标人）    </w:t>
      </w:r>
      <w:r>
        <w:rPr>
          <w:rFonts w:hint="eastAsia" w:ascii="宋体" w:hAnsi="宋体"/>
          <w:sz w:val="24"/>
          <w:szCs w:val="24"/>
        </w:rPr>
        <w:t>：</w:t>
      </w:r>
    </w:p>
    <w:p>
      <w:pPr>
        <w:ind w:firstLine="480" w:firstLineChars="200"/>
        <w:rPr>
          <w:rFonts w:ascii="宋体" w:hAnsi="宋体"/>
          <w:sz w:val="24"/>
          <w:szCs w:val="24"/>
        </w:rPr>
      </w:pPr>
      <w:r>
        <w:rPr>
          <w:rFonts w:hint="eastAsia" w:ascii="宋体" w:hAnsi="宋体"/>
          <w:sz w:val="24"/>
          <w:szCs w:val="24"/>
        </w:rPr>
        <w:t>我单位为守法经营的建筑工程施工企业，针对本次</w:t>
      </w:r>
      <w:r>
        <w:rPr>
          <w:rFonts w:hint="eastAsia" w:ascii="宋体" w:hAnsi="宋体"/>
          <w:sz w:val="24"/>
          <w:szCs w:val="24"/>
          <w:u w:val="single"/>
        </w:rPr>
        <w:t>（项目名称）</w:t>
      </w:r>
      <w:r>
        <w:rPr>
          <w:rFonts w:hint="eastAsia" w:ascii="宋体" w:hAnsi="宋体"/>
          <w:sz w:val="24"/>
          <w:szCs w:val="24"/>
        </w:rPr>
        <w:t>招标项目，我公司郑重承诺：</w:t>
      </w:r>
    </w:p>
    <w:p>
      <w:pPr>
        <w:ind w:firstLine="480" w:firstLineChars="200"/>
        <w:rPr>
          <w:rFonts w:ascii="宋体" w:hAnsi="宋体"/>
          <w:sz w:val="24"/>
          <w:szCs w:val="24"/>
        </w:rPr>
      </w:pPr>
      <w:r>
        <w:rPr>
          <w:rFonts w:hint="eastAsia" w:ascii="宋体" w:hAnsi="宋体"/>
          <w:sz w:val="24"/>
          <w:szCs w:val="24"/>
        </w:rPr>
        <w:t>1、 截止本工程开标之日止，本企业无拖欠农民工工资及其他职工工资，无克扣或拖欠农民工工资的不良记录；</w:t>
      </w:r>
    </w:p>
    <w:p>
      <w:pPr>
        <w:ind w:firstLine="480" w:firstLineChars="200"/>
        <w:rPr>
          <w:rFonts w:ascii="宋体" w:hAnsi="宋体"/>
          <w:sz w:val="24"/>
          <w:szCs w:val="24"/>
        </w:rPr>
      </w:pPr>
      <w:r>
        <w:rPr>
          <w:rFonts w:hint="eastAsia" w:ascii="宋体" w:hAnsi="宋体"/>
          <w:sz w:val="24"/>
          <w:szCs w:val="24"/>
        </w:rPr>
        <w:t xml:space="preserve">2、一旦确定本公司为该项目中标单位，我公司为保证不拖欠农民工资及其他职工工资，特作以下承诺： </w:t>
      </w:r>
    </w:p>
    <w:p>
      <w:pPr>
        <w:ind w:firstLine="480" w:firstLineChars="200"/>
        <w:rPr>
          <w:rFonts w:ascii="宋体" w:hAnsi="宋体"/>
          <w:sz w:val="24"/>
          <w:szCs w:val="24"/>
        </w:rPr>
      </w:pPr>
      <w:r>
        <w:rPr>
          <w:rFonts w:hint="eastAsia" w:ascii="宋体" w:hAnsi="宋体"/>
          <w:sz w:val="24"/>
          <w:szCs w:val="24"/>
        </w:rPr>
        <w:t>（1）我单位中标后，将及时、足额存入农民工工资保障金；</w:t>
      </w:r>
    </w:p>
    <w:p>
      <w:pPr>
        <w:ind w:firstLine="480" w:firstLineChars="200"/>
        <w:rPr>
          <w:rFonts w:ascii="宋体" w:hAnsi="宋体"/>
          <w:sz w:val="24"/>
          <w:szCs w:val="24"/>
        </w:rPr>
      </w:pPr>
      <w:r>
        <w:rPr>
          <w:rFonts w:hint="eastAsia" w:ascii="宋体" w:hAnsi="宋体"/>
          <w:sz w:val="24"/>
          <w:szCs w:val="24"/>
        </w:rPr>
        <w:t>（2）工程款优先支付农民工工资，不以任何理由拖欠农民工工资； 一旦我单位承建的建筑工程中出现拖欠职工工资情况的，可由建设行政主管部门从工资保障金中先予划支；</w:t>
      </w:r>
    </w:p>
    <w:p>
      <w:pPr>
        <w:ind w:firstLine="480" w:firstLineChars="200"/>
        <w:rPr>
          <w:rFonts w:ascii="宋体" w:hAnsi="宋体"/>
          <w:sz w:val="24"/>
          <w:szCs w:val="24"/>
        </w:rPr>
      </w:pPr>
      <w:r>
        <w:rPr>
          <w:rFonts w:hint="eastAsia" w:ascii="宋体" w:hAnsi="宋体"/>
          <w:sz w:val="24"/>
          <w:szCs w:val="24"/>
        </w:rPr>
        <w:t xml:space="preserve">（3）在工程款结算或农民工工资支付出现争议纠纷时，积极配合主管部门协调解决。 </w:t>
      </w:r>
    </w:p>
    <w:p>
      <w:pPr>
        <w:ind w:firstLine="480" w:firstLineChars="200"/>
        <w:rPr>
          <w:rFonts w:ascii="宋体" w:hAnsi="宋体"/>
          <w:sz w:val="24"/>
          <w:szCs w:val="24"/>
        </w:rPr>
      </w:pPr>
      <w:r>
        <w:rPr>
          <w:rFonts w:hint="eastAsia" w:ascii="宋体" w:hAnsi="宋体"/>
          <w:sz w:val="24"/>
          <w:szCs w:val="24"/>
        </w:rPr>
        <w:t>如果发生违反规定拖欠或克扣农民工工资行为，造成农民工上访等恶性事件，本单位愿意接受人力资源社会保障、住房和城乡建设、公安、行业行政主管等部门依照有关规定作出的处理和处罚决定。</w:t>
      </w:r>
    </w:p>
    <w:p>
      <w:pPr>
        <w:pStyle w:val="14"/>
        <w:ind w:firstLine="210"/>
      </w:pPr>
    </w:p>
    <w:p>
      <w:pPr>
        <w:pStyle w:val="14"/>
        <w:ind w:firstLine="210"/>
      </w:pPr>
    </w:p>
    <w:p>
      <w:pPr>
        <w:spacing w:line="360" w:lineRule="auto"/>
        <w:ind w:right="480" w:firstLine="3120" w:firstLineChars="1300"/>
        <w:rPr>
          <w:rFonts w:ascii="宋体" w:hAnsi="宋体"/>
          <w:sz w:val="24"/>
          <w:szCs w:val="24"/>
        </w:rPr>
      </w:pPr>
      <w:r>
        <w:rPr>
          <w:rFonts w:hint="eastAsia" w:ascii="宋体" w:hAnsi="宋体"/>
          <w:sz w:val="24"/>
          <w:szCs w:val="24"/>
        </w:rPr>
        <w:t xml:space="preserve">单位全称： （盖  章） </w:t>
      </w:r>
    </w:p>
    <w:p>
      <w:pPr>
        <w:spacing w:line="520" w:lineRule="exact"/>
        <w:jc w:val="center"/>
        <w:rPr>
          <w:rFonts w:ascii="宋体" w:hAnsi="宋体"/>
          <w:sz w:val="22"/>
          <w:szCs w:val="22"/>
        </w:rPr>
      </w:pPr>
      <w:r>
        <w:rPr>
          <w:rFonts w:hint="eastAsia" w:ascii="宋体" w:hAnsi="宋体"/>
          <w:sz w:val="24"/>
          <w:szCs w:val="24"/>
        </w:rPr>
        <w:t>法定代表人（单位负责人）：（签 字）</w:t>
      </w:r>
    </w:p>
    <w:p>
      <w:pPr>
        <w:spacing w:line="360" w:lineRule="auto"/>
        <w:ind w:right="480" w:firstLine="480" w:firstLineChars="200"/>
        <w:jc w:val="center"/>
        <w:rPr>
          <w:rFonts w:ascii="宋体" w:hAnsi="宋体"/>
          <w:b/>
          <w:bCs/>
          <w:sz w:val="24"/>
          <w:szCs w:val="24"/>
        </w:rPr>
      </w:pPr>
      <w:r>
        <w:rPr>
          <w:rFonts w:hint="eastAsia" w:ascii="宋体" w:hAnsi="宋体"/>
          <w:sz w:val="24"/>
          <w:szCs w:val="24"/>
        </w:rPr>
        <w:t xml:space="preserve">           年    月    日</w:t>
      </w:r>
    </w:p>
    <w:p>
      <w:pPr>
        <w:spacing w:line="360" w:lineRule="auto"/>
        <w:jc w:val="center"/>
        <w:rPr>
          <w:rFonts w:ascii="宋体" w:hAnsi="宋体"/>
          <w:sz w:val="24"/>
          <w:szCs w:val="24"/>
        </w:rPr>
      </w:pPr>
    </w:p>
    <w:p>
      <w:pPr>
        <w:jc w:val="center"/>
        <w:rPr>
          <w:rFonts w:ascii="宋体" w:hAnsi="宋体"/>
          <w:sz w:val="24"/>
          <w:szCs w:val="24"/>
        </w:rPr>
      </w:pPr>
    </w:p>
    <w:p>
      <w:pPr>
        <w:jc w:val="center"/>
        <w:rPr>
          <w:rFonts w:ascii="宋体" w:hAnsi="宋体"/>
          <w:sz w:val="24"/>
          <w:szCs w:val="24"/>
        </w:rPr>
      </w:pPr>
    </w:p>
    <w:p>
      <w:pPr>
        <w:jc w:val="center"/>
        <w:rPr>
          <w:rFonts w:ascii="宋体" w:hAnsi="宋体"/>
          <w:sz w:val="24"/>
          <w:szCs w:val="24"/>
        </w:rPr>
      </w:pPr>
    </w:p>
    <w:p>
      <w:pPr>
        <w:jc w:val="center"/>
        <w:rPr>
          <w:rFonts w:ascii="宋体" w:hAnsi="宋体"/>
          <w:sz w:val="24"/>
          <w:szCs w:val="24"/>
        </w:rPr>
      </w:pPr>
    </w:p>
    <w:p>
      <w:pPr>
        <w:jc w:val="center"/>
        <w:rPr>
          <w:rFonts w:ascii="宋体" w:hAnsi="宋体"/>
          <w:sz w:val="24"/>
          <w:szCs w:val="24"/>
        </w:rPr>
      </w:pPr>
    </w:p>
    <w:p>
      <w:pPr>
        <w:jc w:val="center"/>
        <w:rPr>
          <w:rFonts w:ascii="宋体" w:hAnsi="宋体"/>
          <w:sz w:val="24"/>
          <w:szCs w:val="24"/>
        </w:rPr>
      </w:pPr>
    </w:p>
    <w:p>
      <w:pPr>
        <w:jc w:val="center"/>
        <w:rPr>
          <w:rFonts w:ascii="宋体" w:hAnsi="宋体"/>
          <w:sz w:val="24"/>
          <w:szCs w:val="24"/>
        </w:rPr>
      </w:pPr>
    </w:p>
    <w:p>
      <w:pPr>
        <w:jc w:val="center"/>
        <w:rPr>
          <w:rFonts w:ascii="宋体" w:hAnsi="宋体"/>
          <w:sz w:val="24"/>
          <w:szCs w:val="24"/>
        </w:rPr>
      </w:pPr>
    </w:p>
    <w:p>
      <w:pPr>
        <w:jc w:val="center"/>
        <w:rPr>
          <w:rFonts w:ascii="宋体" w:hAnsi="宋体"/>
          <w:sz w:val="24"/>
          <w:szCs w:val="24"/>
        </w:rPr>
      </w:pPr>
    </w:p>
    <w:p>
      <w:pPr>
        <w:jc w:val="center"/>
        <w:rPr>
          <w:rFonts w:ascii="宋体" w:hAnsi="宋体"/>
          <w:sz w:val="24"/>
          <w:szCs w:val="24"/>
        </w:rPr>
      </w:pPr>
    </w:p>
    <w:p>
      <w:pPr>
        <w:jc w:val="center"/>
        <w:rPr>
          <w:rFonts w:ascii="宋体" w:hAnsi="宋体"/>
          <w:sz w:val="24"/>
          <w:szCs w:val="24"/>
        </w:rPr>
      </w:pPr>
    </w:p>
    <w:p>
      <w:pPr>
        <w:jc w:val="center"/>
        <w:rPr>
          <w:rFonts w:ascii="宋体" w:hAnsi="宋体"/>
          <w:sz w:val="24"/>
          <w:szCs w:val="24"/>
        </w:rPr>
      </w:pPr>
    </w:p>
    <w:p>
      <w:pPr>
        <w:jc w:val="center"/>
        <w:rPr>
          <w:rFonts w:ascii="宋体" w:hAnsi="宋体"/>
          <w:sz w:val="24"/>
          <w:szCs w:val="24"/>
        </w:rPr>
      </w:pPr>
    </w:p>
    <w:p>
      <w:pPr>
        <w:jc w:val="center"/>
        <w:rPr>
          <w:rFonts w:ascii="宋体" w:hAnsi="宋体"/>
          <w:sz w:val="24"/>
          <w:szCs w:val="24"/>
        </w:rPr>
      </w:pPr>
    </w:p>
    <w:p/>
    <w:p>
      <w:pPr>
        <w:numPr>
          <w:ilvl w:val="0"/>
          <w:numId w:val="4"/>
        </w:numPr>
        <w:spacing w:line="520" w:lineRule="exact"/>
        <w:jc w:val="center"/>
        <w:rPr>
          <w:rFonts w:ascii="宋体" w:hAnsi="宋体"/>
          <w:b/>
          <w:sz w:val="24"/>
          <w:szCs w:val="24"/>
        </w:rPr>
      </w:pPr>
      <w:r>
        <w:rPr>
          <w:rFonts w:hint="eastAsia" w:ascii="宋体" w:hAnsi="宋体"/>
          <w:b/>
          <w:sz w:val="24"/>
          <w:szCs w:val="24"/>
        </w:rPr>
        <w:t>、企业“不挂靠、不转包、不违法分包”专项承诺书</w:t>
      </w:r>
    </w:p>
    <w:p>
      <w:pPr>
        <w:spacing w:line="360" w:lineRule="auto"/>
        <w:rPr>
          <w:rFonts w:hAnsi="宋体"/>
          <w:sz w:val="24"/>
          <w:szCs w:val="24"/>
          <w:u w:val="single"/>
        </w:rPr>
      </w:pPr>
      <w:r>
        <w:rPr>
          <w:rFonts w:hint="eastAsia" w:hAnsi="宋体"/>
          <w:sz w:val="24"/>
          <w:szCs w:val="24"/>
        </w:rPr>
        <w:t>致：</w:t>
      </w:r>
      <w:r>
        <w:rPr>
          <w:rFonts w:hint="eastAsia" w:hAnsi="宋体"/>
          <w:sz w:val="24"/>
          <w:szCs w:val="24"/>
          <w:u w:val="single"/>
        </w:rPr>
        <w:t xml:space="preserve">     （招标人）    </w:t>
      </w:r>
      <w:r>
        <w:rPr>
          <w:rFonts w:hint="eastAsia" w:hAnsi="宋体"/>
          <w:sz w:val="24"/>
          <w:szCs w:val="24"/>
        </w:rPr>
        <w:t>：</w:t>
      </w:r>
    </w:p>
    <w:p>
      <w:pPr>
        <w:spacing w:line="360" w:lineRule="auto"/>
        <w:ind w:firstLine="480" w:firstLineChars="200"/>
        <w:rPr>
          <w:rFonts w:ascii="宋体" w:hAnsi="宋体"/>
          <w:sz w:val="24"/>
          <w:szCs w:val="24"/>
        </w:rPr>
      </w:pPr>
      <w:r>
        <w:rPr>
          <w:rFonts w:hint="eastAsia" w:ascii="宋体" w:hAnsi="宋体"/>
          <w:sz w:val="24"/>
          <w:szCs w:val="24"/>
        </w:rPr>
        <w:t>我单位为守法经营的建筑工程施工企业，针对本次（</w:t>
      </w:r>
      <w:r>
        <w:rPr>
          <w:rFonts w:hint="eastAsia" w:ascii="宋体" w:hAnsi="宋体"/>
          <w:sz w:val="24"/>
          <w:szCs w:val="24"/>
          <w:u w:val="single"/>
        </w:rPr>
        <w:t>项目全称）</w:t>
      </w:r>
      <w:r>
        <w:rPr>
          <w:rFonts w:hint="eastAsia" w:ascii="宋体" w:hAnsi="宋体"/>
          <w:sz w:val="24"/>
          <w:szCs w:val="24"/>
        </w:rPr>
        <w:t>招标项目，我公司郑重承诺：</w:t>
      </w:r>
      <w:r>
        <w:rPr>
          <w:rFonts w:ascii="宋体" w:hAnsi="宋体"/>
          <w:b/>
          <w:sz w:val="24"/>
          <w:szCs w:val="24"/>
        </w:rPr>
        <w:t>绝不</w:t>
      </w:r>
      <w:r>
        <w:rPr>
          <w:rFonts w:hint="eastAsia" w:ascii="宋体" w:hAnsi="宋体"/>
          <w:b/>
          <w:sz w:val="24"/>
          <w:szCs w:val="24"/>
        </w:rPr>
        <w:t>挂靠、不</w:t>
      </w:r>
      <w:r>
        <w:rPr>
          <w:rFonts w:ascii="宋体" w:hAnsi="宋体"/>
          <w:b/>
          <w:sz w:val="24"/>
          <w:szCs w:val="24"/>
        </w:rPr>
        <w:t>转包</w:t>
      </w:r>
      <w:r>
        <w:rPr>
          <w:rFonts w:hint="eastAsia" w:ascii="宋体" w:hAnsi="宋体"/>
          <w:b/>
          <w:sz w:val="24"/>
          <w:szCs w:val="24"/>
        </w:rPr>
        <w:t>、不违法分包</w:t>
      </w:r>
      <w:r>
        <w:rPr>
          <w:rFonts w:ascii="宋体" w:hAnsi="宋体"/>
          <w:b/>
          <w:sz w:val="24"/>
          <w:szCs w:val="24"/>
        </w:rPr>
        <w:t>。</w:t>
      </w:r>
    </w:p>
    <w:p>
      <w:pPr>
        <w:spacing w:line="360" w:lineRule="auto"/>
        <w:rPr>
          <w:rFonts w:ascii="宋体" w:hAnsi="宋体"/>
          <w:sz w:val="24"/>
          <w:szCs w:val="24"/>
        </w:rPr>
      </w:pPr>
      <w:r>
        <w:rPr>
          <w:rFonts w:ascii="宋体" w:hAnsi="宋体"/>
          <w:sz w:val="24"/>
          <w:szCs w:val="24"/>
        </w:rPr>
        <w:t>若有</w:t>
      </w:r>
      <w:r>
        <w:rPr>
          <w:rFonts w:hint="eastAsia" w:ascii="宋体" w:hAnsi="宋体"/>
          <w:sz w:val="24"/>
          <w:szCs w:val="24"/>
        </w:rPr>
        <w:t>挂靠、</w:t>
      </w:r>
      <w:r>
        <w:rPr>
          <w:rFonts w:ascii="宋体" w:hAnsi="宋体"/>
          <w:sz w:val="24"/>
          <w:szCs w:val="24"/>
        </w:rPr>
        <w:t>转包或</w:t>
      </w:r>
      <w:r>
        <w:rPr>
          <w:rFonts w:hint="eastAsia" w:ascii="宋体" w:hAnsi="宋体"/>
          <w:sz w:val="24"/>
          <w:szCs w:val="24"/>
        </w:rPr>
        <w:t>违法分包</w:t>
      </w:r>
      <w:r>
        <w:rPr>
          <w:rFonts w:ascii="宋体" w:hAnsi="宋体"/>
          <w:sz w:val="24"/>
          <w:szCs w:val="24"/>
        </w:rPr>
        <w:t>行为</w:t>
      </w:r>
      <w:r>
        <w:rPr>
          <w:rFonts w:hint="eastAsia" w:ascii="宋体" w:hAnsi="宋体"/>
          <w:sz w:val="24"/>
          <w:szCs w:val="24"/>
        </w:rPr>
        <w:t>愿意接受以下处罚：</w:t>
      </w:r>
    </w:p>
    <w:p>
      <w:pPr>
        <w:spacing w:line="360" w:lineRule="auto"/>
        <w:ind w:firstLine="482" w:firstLineChars="200"/>
        <w:rPr>
          <w:rFonts w:ascii="宋体" w:hAnsi="宋体"/>
          <w:b/>
          <w:sz w:val="24"/>
          <w:szCs w:val="24"/>
        </w:rPr>
      </w:pPr>
      <w:r>
        <w:rPr>
          <w:rFonts w:ascii="宋体" w:hAnsi="宋体"/>
          <w:b/>
          <w:sz w:val="24"/>
          <w:szCs w:val="24"/>
        </w:rPr>
        <w:t>1、由招标人向市、省和国家建设等行政主管部门报告，</w:t>
      </w:r>
      <w:r>
        <w:rPr>
          <w:rFonts w:hint="eastAsia" w:ascii="宋体" w:hAnsi="宋体"/>
          <w:b/>
          <w:sz w:val="24"/>
          <w:szCs w:val="24"/>
        </w:rPr>
        <w:t>记入</w:t>
      </w:r>
      <w:r>
        <w:rPr>
          <w:rFonts w:ascii="宋体" w:hAnsi="宋体"/>
          <w:b/>
          <w:sz w:val="24"/>
          <w:szCs w:val="24"/>
        </w:rPr>
        <w:t>不良记录</w:t>
      </w:r>
      <w:r>
        <w:rPr>
          <w:rFonts w:hint="eastAsia" w:ascii="宋体" w:hAnsi="宋体"/>
          <w:b/>
          <w:sz w:val="24"/>
          <w:szCs w:val="24"/>
        </w:rPr>
        <w:t>，并愿意接受任何处理决定</w:t>
      </w:r>
      <w:r>
        <w:rPr>
          <w:rFonts w:ascii="宋体" w:hAnsi="宋体"/>
          <w:b/>
          <w:sz w:val="24"/>
          <w:szCs w:val="24"/>
        </w:rPr>
        <w:t>；</w:t>
      </w:r>
    </w:p>
    <w:p>
      <w:pPr>
        <w:spacing w:line="360" w:lineRule="auto"/>
        <w:ind w:firstLine="482" w:firstLineChars="200"/>
        <w:rPr>
          <w:rFonts w:ascii="宋体" w:hAnsi="宋体"/>
          <w:b/>
          <w:sz w:val="24"/>
          <w:szCs w:val="24"/>
        </w:rPr>
      </w:pPr>
      <w:r>
        <w:rPr>
          <w:rFonts w:ascii="宋体" w:hAnsi="宋体"/>
          <w:b/>
          <w:sz w:val="24"/>
          <w:szCs w:val="24"/>
        </w:rPr>
        <w:t>2、投标期间没收投标保证金，合同履行期间发包人有权责令其出场、</w:t>
      </w:r>
      <w:r>
        <w:rPr>
          <w:rFonts w:hint="eastAsia" w:ascii="宋体" w:hAnsi="宋体"/>
          <w:b/>
          <w:sz w:val="24"/>
          <w:szCs w:val="24"/>
        </w:rPr>
        <w:t>没收履约担保</w:t>
      </w:r>
      <w:r>
        <w:rPr>
          <w:rFonts w:ascii="宋体" w:hAnsi="宋体"/>
          <w:b/>
          <w:sz w:val="24"/>
          <w:szCs w:val="24"/>
        </w:rPr>
        <w:t>，并有权单方面取消承包人的中标资格，终止合同，有此产生的责任和损失均由承包人负责，发包人有权向承包人索赔</w:t>
      </w:r>
      <w:r>
        <w:rPr>
          <w:rFonts w:hint="eastAsia" w:ascii="宋体" w:hAnsi="宋体"/>
          <w:b/>
          <w:sz w:val="24"/>
          <w:szCs w:val="24"/>
        </w:rPr>
        <w:t>；</w:t>
      </w:r>
    </w:p>
    <w:p>
      <w:pPr>
        <w:spacing w:line="360" w:lineRule="auto"/>
        <w:ind w:firstLine="482" w:firstLineChars="200"/>
        <w:rPr>
          <w:rFonts w:ascii="宋体" w:hAnsi="宋体"/>
          <w:b/>
          <w:sz w:val="24"/>
          <w:szCs w:val="24"/>
        </w:rPr>
      </w:pPr>
      <w:r>
        <w:rPr>
          <w:rFonts w:ascii="宋体" w:hAnsi="宋体"/>
          <w:b/>
          <w:sz w:val="24"/>
          <w:szCs w:val="24"/>
        </w:rPr>
        <w:t>3、由招标人联系司法机关追究相关法律责任。</w:t>
      </w:r>
    </w:p>
    <w:p>
      <w:pPr>
        <w:spacing w:line="360" w:lineRule="auto"/>
        <w:ind w:right="720" w:firstLine="4200" w:firstLineChars="1750"/>
        <w:rPr>
          <w:rFonts w:hAnsi="宋体"/>
          <w:sz w:val="24"/>
          <w:szCs w:val="24"/>
        </w:rPr>
      </w:pPr>
    </w:p>
    <w:p>
      <w:pPr>
        <w:spacing w:line="360" w:lineRule="auto"/>
        <w:ind w:right="720" w:firstLine="4200" w:firstLineChars="1750"/>
        <w:rPr>
          <w:rFonts w:hAnsi="宋体"/>
          <w:sz w:val="24"/>
          <w:szCs w:val="24"/>
        </w:rPr>
      </w:pPr>
    </w:p>
    <w:p/>
    <w:p/>
    <w:p>
      <w:pPr>
        <w:spacing w:line="360" w:lineRule="auto"/>
        <w:ind w:right="720" w:firstLine="4200" w:firstLineChars="1750"/>
        <w:rPr>
          <w:rFonts w:hAnsi="宋体"/>
          <w:sz w:val="24"/>
          <w:szCs w:val="24"/>
        </w:rPr>
      </w:pPr>
      <w:r>
        <w:rPr>
          <w:rFonts w:hint="eastAsia" w:hAnsi="宋体"/>
          <w:sz w:val="24"/>
          <w:szCs w:val="24"/>
        </w:rPr>
        <w:t xml:space="preserve">单位全称： （盖  章） </w:t>
      </w:r>
    </w:p>
    <w:p>
      <w:pPr>
        <w:spacing w:line="360" w:lineRule="auto"/>
        <w:ind w:left="481" w:leftChars="229" w:right="600" w:firstLine="3600" w:firstLineChars="1500"/>
        <w:rPr>
          <w:rFonts w:hAnsi="宋体"/>
          <w:sz w:val="24"/>
          <w:szCs w:val="24"/>
        </w:rPr>
      </w:pPr>
      <w:r>
        <w:rPr>
          <w:rFonts w:hint="eastAsia" w:hAnsi="宋体"/>
          <w:sz w:val="24"/>
          <w:szCs w:val="24"/>
        </w:rPr>
        <w:t xml:space="preserve">法定代表人：（签 字） </w:t>
      </w:r>
    </w:p>
    <w:p>
      <w:pPr>
        <w:spacing w:line="360" w:lineRule="auto"/>
        <w:ind w:left="5272" w:leftChars="1939" w:right="600" w:hanging="1200" w:hangingChars="500"/>
        <w:rPr>
          <w:rFonts w:hAnsi="宋体"/>
          <w:sz w:val="24"/>
          <w:szCs w:val="24"/>
        </w:rPr>
      </w:pPr>
      <w:r>
        <w:rPr>
          <w:rFonts w:hint="eastAsia" w:hAnsi="宋体"/>
          <w:sz w:val="24"/>
          <w:szCs w:val="24"/>
        </w:rPr>
        <w:t xml:space="preserve">            年    月    日</w:t>
      </w:r>
    </w:p>
    <w:p>
      <w:pPr>
        <w:jc w:val="center"/>
        <w:rPr>
          <w:rFonts w:ascii="宋体" w:hAnsi="宋体"/>
          <w:sz w:val="24"/>
          <w:szCs w:val="24"/>
        </w:rPr>
      </w:pPr>
    </w:p>
    <w:p>
      <w:pPr>
        <w:jc w:val="center"/>
        <w:rPr>
          <w:rFonts w:ascii="宋体" w:hAnsi="宋体"/>
          <w:sz w:val="24"/>
          <w:szCs w:val="24"/>
        </w:rPr>
      </w:pPr>
    </w:p>
    <w:p>
      <w:pPr>
        <w:jc w:val="center"/>
        <w:rPr>
          <w:rFonts w:ascii="宋体" w:hAnsi="宋体"/>
          <w:sz w:val="24"/>
          <w:szCs w:val="24"/>
        </w:rPr>
      </w:pPr>
    </w:p>
    <w:p>
      <w:pPr>
        <w:jc w:val="center"/>
        <w:rPr>
          <w:rFonts w:ascii="宋体" w:hAnsi="宋体"/>
          <w:sz w:val="24"/>
          <w:szCs w:val="24"/>
        </w:rPr>
      </w:pPr>
    </w:p>
    <w:p>
      <w:pPr>
        <w:jc w:val="center"/>
        <w:rPr>
          <w:rFonts w:ascii="宋体" w:hAnsi="宋体"/>
          <w:sz w:val="24"/>
          <w:szCs w:val="24"/>
        </w:rPr>
      </w:pPr>
    </w:p>
    <w:p>
      <w:pPr>
        <w:jc w:val="center"/>
        <w:rPr>
          <w:rFonts w:ascii="宋体" w:hAnsi="宋体"/>
          <w:sz w:val="24"/>
          <w:szCs w:val="24"/>
        </w:rPr>
      </w:pPr>
    </w:p>
    <w:p>
      <w:pPr>
        <w:jc w:val="center"/>
        <w:rPr>
          <w:rFonts w:ascii="宋体" w:hAnsi="宋体"/>
          <w:sz w:val="24"/>
          <w:szCs w:val="24"/>
        </w:rPr>
      </w:pPr>
    </w:p>
    <w:p>
      <w:pPr>
        <w:jc w:val="center"/>
        <w:rPr>
          <w:rFonts w:ascii="宋体" w:hAnsi="宋体"/>
          <w:sz w:val="24"/>
          <w:szCs w:val="24"/>
        </w:rPr>
      </w:pPr>
    </w:p>
    <w:p>
      <w:pPr>
        <w:jc w:val="center"/>
        <w:rPr>
          <w:rFonts w:ascii="宋体" w:hAnsi="宋体"/>
          <w:sz w:val="24"/>
          <w:szCs w:val="24"/>
        </w:rPr>
      </w:pPr>
    </w:p>
    <w:p>
      <w:pPr>
        <w:jc w:val="center"/>
        <w:rPr>
          <w:rFonts w:ascii="宋体" w:hAnsi="宋体"/>
          <w:sz w:val="24"/>
          <w:szCs w:val="24"/>
        </w:rPr>
      </w:pPr>
    </w:p>
    <w:p>
      <w:pPr>
        <w:jc w:val="center"/>
        <w:rPr>
          <w:rFonts w:ascii="宋体" w:hAnsi="宋体"/>
          <w:sz w:val="24"/>
          <w:szCs w:val="24"/>
        </w:rPr>
      </w:pPr>
    </w:p>
    <w:p>
      <w:pPr>
        <w:jc w:val="center"/>
        <w:rPr>
          <w:rFonts w:ascii="宋体" w:hAnsi="宋体"/>
          <w:sz w:val="24"/>
          <w:szCs w:val="24"/>
        </w:rPr>
      </w:pPr>
    </w:p>
    <w:p/>
    <w:p/>
    <w:p>
      <w:pPr>
        <w:jc w:val="center"/>
        <w:rPr>
          <w:rFonts w:ascii="宋体" w:hAnsi="宋体"/>
          <w:sz w:val="24"/>
          <w:szCs w:val="24"/>
        </w:rPr>
      </w:pPr>
    </w:p>
    <w:p>
      <w:pPr>
        <w:jc w:val="center"/>
        <w:rPr>
          <w:rFonts w:ascii="宋体" w:hAnsi="宋体"/>
          <w:sz w:val="24"/>
          <w:szCs w:val="24"/>
        </w:rPr>
      </w:pPr>
    </w:p>
    <w:p>
      <w:pPr>
        <w:jc w:val="center"/>
        <w:rPr>
          <w:rFonts w:ascii="宋体" w:hAnsi="宋体"/>
          <w:sz w:val="24"/>
          <w:szCs w:val="24"/>
        </w:rPr>
      </w:pPr>
    </w:p>
    <w:p>
      <w:pPr>
        <w:jc w:val="center"/>
        <w:rPr>
          <w:rFonts w:ascii="宋体" w:hAnsi="宋体"/>
          <w:sz w:val="24"/>
          <w:szCs w:val="24"/>
        </w:rPr>
      </w:pPr>
    </w:p>
    <w:p>
      <w:pPr>
        <w:jc w:val="center"/>
        <w:rPr>
          <w:rFonts w:ascii="宋体" w:hAnsi="宋体"/>
          <w:b/>
          <w:sz w:val="24"/>
          <w:szCs w:val="24"/>
        </w:rPr>
      </w:pPr>
      <w:r>
        <w:rPr>
          <w:rFonts w:hint="eastAsia" w:ascii="宋体" w:hAnsi="宋体"/>
          <w:b/>
          <w:sz w:val="24"/>
          <w:szCs w:val="24"/>
        </w:rPr>
        <w:t>（三）项目负责人无在建承诺书</w:t>
      </w:r>
    </w:p>
    <w:p>
      <w:pPr>
        <w:ind w:firstLine="120" w:firstLineChars="50"/>
        <w:rPr>
          <w:rFonts w:ascii="宋体" w:hAnsi="宋体"/>
          <w:sz w:val="24"/>
          <w:szCs w:val="24"/>
        </w:rPr>
      </w:pPr>
      <w:r>
        <w:rPr>
          <w:rFonts w:hint="eastAsia" w:ascii="宋体" w:hAnsi="宋体"/>
          <w:sz w:val="24"/>
          <w:szCs w:val="24"/>
          <w:u w:val="single"/>
        </w:rPr>
        <w:t xml:space="preserve">（招标人名称）  </w:t>
      </w:r>
      <w:r>
        <w:rPr>
          <w:rFonts w:hint="eastAsia" w:ascii="宋体" w:hAnsi="宋体"/>
          <w:sz w:val="24"/>
          <w:szCs w:val="24"/>
        </w:rPr>
        <w:t xml:space="preserve"> ：</w:t>
      </w:r>
    </w:p>
    <w:p>
      <w:pPr>
        <w:rPr>
          <w:rFonts w:ascii="宋体" w:hAnsi="宋体"/>
          <w:sz w:val="24"/>
          <w:szCs w:val="24"/>
        </w:rPr>
      </w:pPr>
      <w:r>
        <w:rPr>
          <w:rFonts w:hint="eastAsia" w:ascii="宋体" w:hAnsi="宋体"/>
          <w:sz w:val="24"/>
          <w:szCs w:val="24"/>
        </w:rPr>
        <w:t xml:space="preserve">    我方在此声明，我方拟派往</w:t>
      </w:r>
      <w:r>
        <w:rPr>
          <w:rFonts w:hint="eastAsia" w:ascii="宋体" w:hAnsi="宋体"/>
          <w:sz w:val="24"/>
          <w:szCs w:val="24"/>
          <w:u w:val="single"/>
        </w:rPr>
        <w:t>（项目名称）</w:t>
      </w:r>
      <w:r>
        <w:rPr>
          <w:rFonts w:hint="eastAsia" w:ascii="宋体" w:hAnsi="宋体"/>
          <w:sz w:val="24"/>
          <w:szCs w:val="24"/>
        </w:rPr>
        <w:t>（以下简称“本工程”）的项目负责人</w:t>
      </w:r>
      <w:r>
        <w:rPr>
          <w:rFonts w:hint="eastAsia" w:ascii="宋体" w:hAnsi="宋体"/>
          <w:sz w:val="24"/>
          <w:szCs w:val="24"/>
          <w:u w:val="single"/>
        </w:rPr>
        <w:t xml:space="preserve">（姓名） </w:t>
      </w:r>
      <w:r>
        <w:rPr>
          <w:rFonts w:hint="eastAsia" w:ascii="宋体" w:hAnsi="宋体"/>
          <w:sz w:val="24"/>
          <w:szCs w:val="24"/>
        </w:rPr>
        <w:t>现阶段没有担任任何在施建设工程项目的项目负责人。</w:t>
      </w:r>
    </w:p>
    <w:p>
      <w:pPr>
        <w:ind w:firstLine="480" w:firstLineChars="200"/>
        <w:rPr>
          <w:rFonts w:ascii="宋体" w:hAnsi="宋体"/>
          <w:sz w:val="24"/>
          <w:szCs w:val="24"/>
        </w:rPr>
      </w:pPr>
      <w:r>
        <w:rPr>
          <w:rFonts w:hint="eastAsia" w:ascii="宋体" w:hAnsi="宋体"/>
          <w:sz w:val="24"/>
          <w:szCs w:val="24"/>
        </w:rPr>
        <w:t>我方保证上述信息的真实和准确，并愿意承担因我方就此弄虚作假所引起的一切法律后果。</w:t>
      </w:r>
    </w:p>
    <w:p>
      <w:pPr>
        <w:ind w:firstLine="468"/>
        <w:rPr>
          <w:rFonts w:ascii="宋体" w:hAnsi="宋体"/>
          <w:sz w:val="24"/>
          <w:szCs w:val="24"/>
        </w:rPr>
      </w:pPr>
      <w:r>
        <w:rPr>
          <w:rFonts w:hint="eastAsia" w:ascii="宋体" w:hAnsi="宋体"/>
          <w:sz w:val="24"/>
          <w:szCs w:val="24"/>
        </w:rPr>
        <w:t>特此承诺</w:t>
      </w:r>
    </w:p>
    <w:p/>
    <w:p/>
    <w:p>
      <w:pPr>
        <w:spacing w:line="360" w:lineRule="auto"/>
        <w:rPr>
          <w:rFonts w:ascii="宋体" w:hAnsi="宋体"/>
          <w:sz w:val="24"/>
          <w:szCs w:val="24"/>
        </w:rPr>
      </w:pPr>
      <w:r>
        <w:rPr>
          <w:rFonts w:hint="eastAsia" w:ascii="宋体" w:hAnsi="宋体"/>
          <w:sz w:val="24"/>
          <w:szCs w:val="24"/>
        </w:rPr>
        <w:t xml:space="preserve">                                          投标人：（盖单位章）             </w:t>
      </w:r>
    </w:p>
    <w:p>
      <w:pPr>
        <w:spacing w:line="360" w:lineRule="auto"/>
        <w:rPr>
          <w:rFonts w:ascii="宋体" w:hAnsi="宋体"/>
          <w:sz w:val="24"/>
          <w:szCs w:val="24"/>
        </w:rPr>
      </w:pPr>
      <w:r>
        <w:rPr>
          <w:rFonts w:hint="eastAsia" w:ascii="宋体" w:hAnsi="宋体"/>
          <w:sz w:val="24"/>
          <w:szCs w:val="24"/>
        </w:rPr>
        <w:t xml:space="preserve">                                  法定代表人或其委托代理人：（签字） </w:t>
      </w:r>
    </w:p>
    <w:p>
      <w:pPr>
        <w:spacing w:line="360" w:lineRule="auto"/>
        <w:rPr>
          <w:rFonts w:ascii="宋体" w:hAnsi="宋体"/>
          <w:sz w:val="24"/>
          <w:szCs w:val="24"/>
        </w:rPr>
      </w:pPr>
      <w:r>
        <w:rPr>
          <w:rFonts w:hint="eastAsia" w:ascii="宋体" w:hAnsi="宋体"/>
          <w:sz w:val="24"/>
          <w:szCs w:val="24"/>
        </w:rPr>
        <w:t xml:space="preserve">                                          项目负责人：（签字）</w:t>
      </w:r>
    </w:p>
    <w:p>
      <w:pPr>
        <w:spacing w:line="360" w:lineRule="auto"/>
        <w:rPr>
          <w:rFonts w:ascii="宋体" w:hAnsi="宋体"/>
          <w:sz w:val="24"/>
          <w:szCs w:val="24"/>
        </w:rPr>
      </w:pPr>
      <w:r>
        <w:rPr>
          <w:rFonts w:hint="eastAsia" w:ascii="宋体" w:hAnsi="宋体"/>
          <w:sz w:val="24"/>
          <w:szCs w:val="24"/>
        </w:rPr>
        <w:t xml:space="preserve">                                                       年   月   日</w:t>
      </w:r>
    </w:p>
    <w:p>
      <w:pPr>
        <w:autoSpaceDE w:val="0"/>
        <w:autoSpaceDN w:val="0"/>
        <w:adjustRightInd w:val="0"/>
        <w:spacing w:line="380" w:lineRule="exact"/>
        <w:rPr>
          <w:rFonts w:ascii="宋体" w:hAnsi="宋体"/>
          <w:sz w:val="24"/>
          <w:szCs w:val="24"/>
        </w:rPr>
      </w:pPr>
    </w:p>
    <w:p>
      <w:pPr>
        <w:jc w:val="center"/>
        <w:rPr>
          <w:b/>
          <w:sz w:val="24"/>
          <w:szCs w:val="24"/>
        </w:rPr>
      </w:pPr>
      <w:r>
        <w:rPr>
          <w:rFonts w:hint="eastAsia"/>
          <w:b/>
          <w:sz w:val="24"/>
          <w:szCs w:val="24"/>
        </w:rPr>
        <w:t>（四）关于施工工地扬尘污染整治的承诺</w:t>
      </w:r>
    </w:p>
    <w:p>
      <w:pPr>
        <w:jc w:val="center"/>
        <w:rPr>
          <w:sz w:val="24"/>
          <w:szCs w:val="24"/>
        </w:rPr>
      </w:pPr>
      <w:r>
        <w:rPr>
          <w:rFonts w:hint="eastAsia"/>
          <w:sz w:val="24"/>
          <w:szCs w:val="24"/>
        </w:rPr>
        <w:t>（内容自行编制）</w:t>
      </w:r>
    </w:p>
    <w:p>
      <w:pPr>
        <w:spacing w:line="360" w:lineRule="auto"/>
        <w:ind w:right="480" w:firstLine="480" w:firstLineChars="200"/>
        <w:jc w:val="right"/>
        <w:rPr>
          <w:rFonts w:hAnsi="宋体"/>
          <w:sz w:val="24"/>
          <w:szCs w:val="24"/>
        </w:rPr>
      </w:pPr>
    </w:p>
    <w:p>
      <w:pPr>
        <w:spacing w:line="360" w:lineRule="auto"/>
        <w:ind w:right="960" w:firstLine="480" w:firstLineChars="200"/>
        <w:jc w:val="center"/>
        <w:rPr>
          <w:rFonts w:hAnsi="宋体"/>
          <w:sz w:val="24"/>
          <w:szCs w:val="24"/>
        </w:rPr>
      </w:pPr>
    </w:p>
    <w:p>
      <w:pPr>
        <w:spacing w:line="360" w:lineRule="auto"/>
        <w:ind w:right="960" w:firstLine="480" w:firstLineChars="200"/>
        <w:jc w:val="center"/>
        <w:rPr>
          <w:rFonts w:hAnsi="宋体"/>
          <w:sz w:val="24"/>
          <w:szCs w:val="24"/>
        </w:rPr>
      </w:pPr>
      <w:r>
        <w:rPr>
          <w:rFonts w:hint="eastAsia" w:hAnsi="宋体"/>
          <w:sz w:val="24"/>
          <w:szCs w:val="24"/>
        </w:rPr>
        <w:t xml:space="preserve">                         单位全称： （盖  章） </w:t>
      </w:r>
    </w:p>
    <w:p>
      <w:pPr>
        <w:spacing w:line="360" w:lineRule="auto"/>
        <w:ind w:right="960" w:firstLine="4560" w:firstLineChars="1900"/>
        <w:rPr>
          <w:rFonts w:hAnsi="宋体"/>
          <w:sz w:val="24"/>
          <w:szCs w:val="24"/>
        </w:rPr>
      </w:pPr>
      <w:r>
        <w:rPr>
          <w:rFonts w:hint="eastAsia" w:hAnsi="宋体"/>
          <w:sz w:val="24"/>
          <w:szCs w:val="24"/>
        </w:rPr>
        <w:t xml:space="preserve">法定代表人：（签 字） </w:t>
      </w:r>
    </w:p>
    <w:p>
      <w:pPr>
        <w:autoSpaceDE w:val="0"/>
        <w:autoSpaceDN w:val="0"/>
        <w:adjustRightInd w:val="0"/>
        <w:spacing w:line="360" w:lineRule="auto"/>
        <w:ind w:right="215"/>
        <w:jc w:val="center"/>
        <w:rPr>
          <w:rFonts w:hAnsi="宋体"/>
          <w:b/>
          <w:sz w:val="24"/>
          <w:szCs w:val="24"/>
        </w:rPr>
      </w:pPr>
      <w:r>
        <w:rPr>
          <w:rFonts w:hint="eastAsia" w:hAnsi="宋体"/>
          <w:sz w:val="24"/>
          <w:szCs w:val="24"/>
        </w:rPr>
        <w:t xml:space="preserve">                                                年   月   日</w:t>
      </w:r>
    </w:p>
    <w:p>
      <w:pPr>
        <w:spacing w:line="440" w:lineRule="exact"/>
        <w:ind w:right="480"/>
        <w:jc w:val="center"/>
        <w:rPr>
          <w:rFonts w:ascii="宋体" w:hAnsi="宋体"/>
          <w:b/>
          <w:bCs/>
          <w:sz w:val="24"/>
          <w:szCs w:val="24"/>
        </w:rPr>
      </w:pPr>
    </w:p>
    <w:p>
      <w:pPr>
        <w:autoSpaceDE w:val="0"/>
        <w:autoSpaceDN w:val="0"/>
        <w:adjustRightInd w:val="0"/>
        <w:spacing w:line="380" w:lineRule="exact"/>
        <w:rPr>
          <w:rFonts w:ascii="宋体" w:hAnsi="宋体"/>
          <w:b/>
          <w:bCs/>
          <w:sz w:val="24"/>
          <w:szCs w:val="24"/>
        </w:rPr>
      </w:pPr>
    </w:p>
    <w:p>
      <w:pPr>
        <w:tabs>
          <w:tab w:val="center" w:pos="4739"/>
        </w:tabs>
        <w:jc w:val="center"/>
        <w:rPr>
          <w:rFonts w:ascii="宋体" w:hAnsi="宋体"/>
          <w:b/>
          <w:sz w:val="32"/>
        </w:rPr>
      </w:pPr>
      <w:r>
        <w:rPr>
          <w:rFonts w:hint="eastAsia" w:ascii="宋体" w:hAnsi="宋体"/>
          <w:b/>
          <w:sz w:val="32"/>
        </w:rPr>
        <w:t>十</w:t>
      </w:r>
      <w:r>
        <w:rPr>
          <w:rFonts w:hint="eastAsia" w:ascii="宋体" w:hAnsi="宋体"/>
          <w:b/>
          <w:sz w:val="32"/>
          <w:lang w:eastAsia="zh-CN"/>
        </w:rPr>
        <w:t>一</w:t>
      </w:r>
      <w:r>
        <w:rPr>
          <w:rFonts w:hint="eastAsia" w:ascii="宋体" w:hAnsi="宋体"/>
          <w:b/>
          <w:sz w:val="32"/>
        </w:rPr>
        <w:t>、其它需要提供的材料（如有）</w:t>
      </w:r>
    </w:p>
    <w:p/>
    <w:p>
      <w:pPr>
        <w:autoSpaceDE w:val="0"/>
        <w:autoSpaceDN w:val="0"/>
        <w:adjustRightInd w:val="0"/>
        <w:spacing w:line="360" w:lineRule="auto"/>
        <w:ind w:right="215" w:firstLine="420"/>
        <w:jc w:val="center"/>
        <w:rPr>
          <w:sz w:val="24"/>
        </w:rPr>
      </w:pPr>
      <w:r>
        <w:rPr>
          <w:rFonts w:hint="eastAsia" w:ascii="宋体" w:hAnsi="宋体"/>
          <w:sz w:val="24"/>
        </w:rPr>
        <w:t>(可提供招标文件中要求但并未提供格式的材料</w:t>
      </w:r>
      <w:r>
        <w:rPr>
          <w:rFonts w:hint="eastAsia"/>
          <w:sz w:val="24"/>
        </w:rPr>
        <w:t>)</w:t>
      </w:r>
    </w:p>
    <w:p>
      <w:pPr>
        <w:autoSpaceDE w:val="0"/>
        <w:autoSpaceDN w:val="0"/>
        <w:adjustRightInd w:val="0"/>
        <w:spacing w:line="360" w:lineRule="auto"/>
        <w:ind w:right="215"/>
        <w:jc w:val="center"/>
        <w:rPr>
          <w:rFonts w:ascii="宋体" w:hAnsi="宋体"/>
          <w:b/>
          <w:bCs/>
          <w:sz w:val="24"/>
          <w:szCs w:val="24"/>
        </w:rPr>
      </w:pPr>
    </w:p>
    <w:p>
      <w:pPr>
        <w:tabs>
          <w:tab w:val="center" w:pos="4739"/>
        </w:tabs>
        <w:jc w:val="center"/>
        <w:rPr>
          <w:rFonts w:ascii="宋体" w:hAnsi="宋体"/>
          <w:b/>
          <w:bCs/>
          <w:sz w:val="24"/>
          <w:szCs w:val="24"/>
        </w:rPr>
      </w:pPr>
    </w:p>
    <w:p/>
    <w:p>
      <w:pPr>
        <w:pStyle w:val="2"/>
      </w:pPr>
    </w:p>
    <w:p>
      <w:pPr>
        <w:autoSpaceDE w:val="0"/>
        <w:autoSpaceDN w:val="0"/>
        <w:adjustRightInd w:val="0"/>
        <w:ind w:firstLine="542" w:firstLineChars="150"/>
        <w:rPr>
          <w:rFonts w:ascii="宋体" w:hAnsi="宋体"/>
          <w:b/>
          <w:bCs/>
          <w:spacing w:val="60"/>
          <w:sz w:val="36"/>
          <w:szCs w:val="36"/>
        </w:rPr>
      </w:pPr>
      <w:r>
        <w:rPr>
          <w:rFonts w:hint="eastAsia" w:ascii="宋体" w:hAnsi="宋体"/>
          <w:b/>
          <w:bCs/>
          <w:sz w:val="36"/>
          <w:szCs w:val="36"/>
          <w:u w:val="single"/>
        </w:rPr>
        <w:t xml:space="preserve">            (项目名称)标段         </w:t>
      </w:r>
    </w:p>
    <w:p>
      <w:pPr>
        <w:ind w:left="180"/>
        <w:jc w:val="center"/>
        <w:rPr>
          <w:rFonts w:ascii="宋体" w:hAnsi="宋体"/>
          <w:b/>
          <w:bCs/>
          <w:sz w:val="32"/>
          <w:szCs w:val="32"/>
        </w:rPr>
      </w:pPr>
      <w:r>
        <w:rPr>
          <w:rFonts w:hint="eastAsia" w:ascii="宋体" w:hAnsi="宋体"/>
          <w:b/>
          <w:bCs/>
          <w:sz w:val="32"/>
          <w:szCs w:val="32"/>
        </w:rPr>
        <w:t xml:space="preserve"> 项目编号：</w:t>
      </w:r>
    </w:p>
    <w:p>
      <w:pPr>
        <w:ind w:left="180"/>
        <w:rPr>
          <w:rFonts w:ascii="宋体" w:hAnsi="宋体"/>
          <w:sz w:val="24"/>
          <w:szCs w:val="24"/>
        </w:rPr>
      </w:pPr>
    </w:p>
    <w:p>
      <w:pPr>
        <w:ind w:left="180"/>
        <w:rPr>
          <w:rFonts w:ascii="宋体" w:hAnsi="宋体"/>
          <w:sz w:val="24"/>
          <w:szCs w:val="24"/>
        </w:rPr>
      </w:pPr>
    </w:p>
    <w:p>
      <w:pPr>
        <w:ind w:left="180"/>
        <w:rPr>
          <w:rFonts w:ascii="宋体" w:hAnsi="宋体"/>
          <w:sz w:val="24"/>
          <w:szCs w:val="24"/>
        </w:rPr>
      </w:pPr>
    </w:p>
    <w:p>
      <w:pPr>
        <w:pStyle w:val="14"/>
        <w:ind w:firstLine="240"/>
        <w:rPr>
          <w:rFonts w:ascii="宋体" w:hAnsi="宋体"/>
          <w:sz w:val="24"/>
          <w:szCs w:val="24"/>
        </w:rPr>
      </w:pPr>
    </w:p>
    <w:p>
      <w:pPr>
        <w:ind w:left="180"/>
        <w:rPr>
          <w:rFonts w:ascii="宋体" w:hAnsi="宋体"/>
          <w:sz w:val="24"/>
          <w:szCs w:val="24"/>
        </w:rPr>
      </w:pPr>
    </w:p>
    <w:p>
      <w:pPr>
        <w:ind w:left="180"/>
        <w:jc w:val="center"/>
        <w:rPr>
          <w:rFonts w:ascii="宋体" w:hAnsi="宋体"/>
          <w:b/>
          <w:bCs/>
          <w:sz w:val="52"/>
          <w:szCs w:val="52"/>
        </w:rPr>
      </w:pPr>
      <w:r>
        <w:rPr>
          <w:rFonts w:hint="eastAsia" w:ascii="宋体" w:hAnsi="宋体"/>
          <w:b/>
          <w:bCs/>
          <w:sz w:val="52"/>
          <w:szCs w:val="52"/>
        </w:rPr>
        <w:t>投 标 文 件</w:t>
      </w:r>
    </w:p>
    <w:p>
      <w:pPr>
        <w:ind w:left="180"/>
        <w:jc w:val="center"/>
        <w:rPr>
          <w:rFonts w:ascii="宋体" w:hAnsi="宋体"/>
          <w:b/>
          <w:bCs/>
          <w:sz w:val="32"/>
          <w:szCs w:val="32"/>
        </w:rPr>
      </w:pPr>
      <w:r>
        <w:rPr>
          <w:rFonts w:hint="eastAsia" w:ascii="宋体" w:hAnsi="宋体"/>
          <w:b/>
          <w:bCs/>
          <w:sz w:val="32"/>
          <w:szCs w:val="32"/>
        </w:rPr>
        <w:t>（技术标）</w:t>
      </w:r>
    </w:p>
    <w:p>
      <w:pPr>
        <w:ind w:left="180"/>
        <w:rPr>
          <w:rFonts w:ascii="宋体" w:hAnsi="宋体"/>
          <w:b/>
          <w:bCs/>
          <w:sz w:val="24"/>
          <w:szCs w:val="24"/>
        </w:rPr>
      </w:pPr>
    </w:p>
    <w:p>
      <w:pPr>
        <w:ind w:left="180"/>
        <w:rPr>
          <w:rFonts w:ascii="宋体" w:hAnsi="宋体"/>
          <w:sz w:val="24"/>
          <w:szCs w:val="24"/>
        </w:rPr>
      </w:pPr>
    </w:p>
    <w:p>
      <w:pPr>
        <w:ind w:left="180"/>
        <w:rPr>
          <w:rFonts w:ascii="宋体" w:hAnsi="宋体"/>
          <w:sz w:val="24"/>
          <w:szCs w:val="24"/>
        </w:rPr>
      </w:pPr>
    </w:p>
    <w:p>
      <w:pPr>
        <w:pStyle w:val="14"/>
        <w:ind w:firstLine="240"/>
        <w:rPr>
          <w:rFonts w:ascii="宋体" w:hAnsi="宋体"/>
          <w:sz w:val="24"/>
          <w:szCs w:val="24"/>
        </w:rPr>
      </w:pPr>
    </w:p>
    <w:p>
      <w:pPr>
        <w:pStyle w:val="14"/>
        <w:ind w:firstLine="240"/>
        <w:rPr>
          <w:rFonts w:ascii="宋体" w:hAnsi="宋体"/>
          <w:sz w:val="24"/>
          <w:szCs w:val="24"/>
        </w:rPr>
      </w:pPr>
    </w:p>
    <w:p>
      <w:pPr>
        <w:ind w:left="180"/>
        <w:rPr>
          <w:rFonts w:ascii="宋体" w:hAnsi="宋体"/>
          <w:sz w:val="24"/>
          <w:szCs w:val="24"/>
        </w:rPr>
      </w:pPr>
    </w:p>
    <w:p/>
    <w:p/>
    <w:p>
      <w:pPr>
        <w:ind w:left="180"/>
        <w:rPr>
          <w:rFonts w:ascii="宋体" w:hAnsi="宋体"/>
          <w:sz w:val="30"/>
          <w:szCs w:val="30"/>
        </w:rPr>
      </w:pPr>
    </w:p>
    <w:p>
      <w:pPr>
        <w:spacing w:line="360" w:lineRule="auto"/>
        <w:ind w:left="181"/>
        <w:jc w:val="center"/>
        <w:rPr>
          <w:rFonts w:ascii="宋体" w:hAnsi="宋体"/>
          <w:b/>
          <w:bCs/>
          <w:sz w:val="30"/>
          <w:szCs w:val="30"/>
        </w:rPr>
      </w:pPr>
    </w:p>
    <w:p>
      <w:pPr>
        <w:spacing w:line="360" w:lineRule="auto"/>
        <w:ind w:left="181"/>
        <w:jc w:val="center"/>
        <w:rPr>
          <w:rFonts w:ascii="宋体" w:hAnsi="宋体"/>
          <w:b/>
          <w:bCs/>
          <w:sz w:val="30"/>
          <w:szCs w:val="30"/>
        </w:rPr>
      </w:pPr>
      <w:r>
        <w:rPr>
          <w:rFonts w:hint="eastAsia" w:ascii="宋体" w:hAnsi="宋体"/>
          <w:b/>
          <w:bCs/>
          <w:sz w:val="30"/>
          <w:szCs w:val="30"/>
        </w:rPr>
        <w:t>投标人:(盖单位章)</w:t>
      </w:r>
    </w:p>
    <w:p>
      <w:pPr>
        <w:spacing w:line="360" w:lineRule="auto"/>
        <w:ind w:left="181"/>
        <w:jc w:val="center"/>
        <w:rPr>
          <w:rFonts w:ascii="宋体" w:hAnsi="宋体"/>
          <w:b/>
          <w:bCs/>
          <w:sz w:val="30"/>
          <w:szCs w:val="30"/>
        </w:rPr>
      </w:pPr>
      <w:r>
        <w:rPr>
          <w:rFonts w:hint="eastAsia" w:ascii="宋体" w:hAnsi="宋体"/>
          <w:b/>
          <w:bCs/>
          <w:sz w:val="30"/>
          <w:szCs w:val="30"/>
        </w:rPr>
        <w:t>法定代表人或其委托代理人:(签字)</w:t>
      </w:r>
    </w:p>
    <w:p>
      <w:pPr>
        <w:ind w:left="180"/>
        <w:jc w:val="center"/>
        <w:rPr>
          <w:rFonts w:ascii="宋体" w:hAnsi="宋体"/>
          <w:b/>
          <w:bCs/>
          <w:sz w:val="30"/>
          <w:szCs w:val="30"/>
        </w:rPr>
      </w:pPr>
    </w:p>
    <w:p>
      <w:pPr>
        <w:ind w:left="180"/>
        <w:jc w:val="center"/>
        <w:rPr>
          <w:rFonts w:ascii="宋体" w:hAnsi="宋体"/>
          <w:b/>
          <w:bCs/>
          <w:sz w:val="24"/>
          <w:szCs w:val="24"/>
        </w:rPr>
      </w:pPr>
      <w:r>
        <w:rPr>
          <w:rFonts w:hint="eastAsia" w:ascii="宋体" w:hAnsi="宋体"/>
          <w:b/>
          <w:bCs/>
          <w:sz w:val="30"/>
          <w:szCs w:val="30"/>
        </w:rPr>
        <w:t>年月日</w:t>
      </w:r>
      <w:r>
        <w:rPr>
          <w:rFonts w:hint="eastAsia" w:ascii="宋体" w:hAnsi="宋体"/>
          <w:b/>
          <w:bCs/>
          <w:sz w:val="24"/>
          <w:szCs w:val="24"/>
        </w:rPr>
        <w:br w:type="page"/>
      </w:r>
    </w:p>
    <w:p>
      <w:pPr>
        <w:autoSpaceDE w:val="0"/>
        <w:autoSpaceDN w:val="0"/>
        <w:spacing w:line="540" w:lineRule="exact"/>
        <w:jc w:val="center"/>
        <w:rPr>
          <w:rFonts w:ascii="宋体" w:hAnsi="宋体"/>
          <w:b/>
          <w:bCs/>
          <w:sz w:val="32"/>
          <w:szCs w:val="32"/>
        </w:rPr>
      </w:pPr>
      <w:r>
        <w:rPr>
          <w:rFonts w:hint="eastAsia" w:ascii="宋体" w:hAnsi="宋体"/>
          <w:b/>
          <w:bCs/>
          <w:sz w:val="32"/>
          <w:szCs w:val="32"/>
        </w:rPr>
        <w:t>目  录</w:t>
      </w:r>
    </w:p>
    <w:p>
      <w:pPr>
        <w:autoSpaceDE w:val="0"/>
        <w:autoSpaceDN w:val="0"/>
        <w:spacing w:line="540" w:lineRule="exact"/>
        <w:jc w:val="center"/>
        <w:rPr>
          <w:rFonts w:ascii="宋体" w:hAnsi="宋体"/>
          <w:bCs/>
          <w:sz w:val="24"/>
          <w:szCs w:val="24"/>
        </w:rPr>
      </w:pPr>
    </w:p>
    <w:p>
      <w:pPr>
        <w:autoSpaceDE w:val="0"/>
        <w:autoSpaceDN w:val="0"/>
        <w:spacing w:line="540" w:lineRule="exact"/>
        <w:ind w:firstLine="520" w:firstLineChars="200"/>
        <w:jc w:val="left"/>
        <w:rPr>
          <w:rFonts w:hAnsi="宋体" w:cs="宋体"/>
          <w:bCs/>
          <w:sz w:val="26"/>
          <w:szCs w:val="26"/>
        </w:rPr>
      </w:pPr>
      <w:r>
        <w:rPr>
          <w:rFonts w:hint="eastAsia" w:hAnsi="宋体" w:cs="宋体"/>
          <w:bCs/>
          <w:sz w:val="26"/>
          <w:szCs w:val="26"/>
        </w:rPr>
        <w:t>（1）内容完整性；</w:t>
      </w:r>
    </w:p>
    <w:p>
      <w:pPr>
        <w:autoSpaceDE w:val="0"/>
        <w:autoSpaceDN w:val="0"/>
        <w:spacing w:line="540" w:lineRule="exact"/>
        <w:ind w:firstLine="520" w:firstLineChars="200"/>
        <w:jc w:val="left"/>
        <w:rPr>
          <w:rFonts w:hAnsi="宋体" w:cs="宋体"/>
          <w:bCs/>
          <w:sz w:val="26"/>
          <w:szCs w:val="26"/>
        </w:rPr>
      </w:pPr>
      <w:r>
        <w:rPr>
          <w:rFonts w:hint="eastAsia" w:hAnsi="宋体" w:cs="宋体"/>
          <w:bCs/>
          <w:sz w:val="26"/>
          <w:szCs w:val="26"/>
        </w:rPr>
        <w:t>（2）主要施工方案和技术措施；</w:t>
      </w:r>
    </w:p>
    <w:p>
      <w:pPr>
        <w:autoSpaceDE w:val="0"/>
        <w:autoSpaceDN w:val="0"/>
        <w:spacing w:line="540" w:lineRule="exact"/>
        <w:ind w:firstLine="520" w:firstLineChars="200"/>
        <w:jc w:val="left"/>
        <w:rPr>
          <w:rFonts w:hAnsi="宋体" w:cs="宋体"/>
          <w:bCs/>
          <w:sz w:val="26"/>
          <w:szCs w:val="26"/>
        </w:rPr>
      </w:pPr>
      <w:r>
        <w:rPr>
          <w:rFonts w:hint="eastAsia" w:hAnsi="宋体" w:cs="宋体"/>
          <w:bCs/>
          <w:sz w:val="26"/>
          <w:szCs w:val="26"/>
        </w:rPr>
        <w:t>（3）质量管理体系与措施；</w:t>
      </w:r>
    </w:p>
    <w:p>
      <w:pPr>
        <w:autoSpaceDE w:val="0"/>
        <w:autoSpaceDN w:val="0"/>
        <w:spacing w:line="540" w:lineRule="exact"/>
        <w:ind w:firstLine="520" w:firstLineChars="200"/>
        <w:jc w:val="left"/>
        <w:rPr>
          <w:rFonts w:hAnsi="宋体" w:cs="宋体"/>
          <w:bCs/>
          <w:sz w:val="26"/>
          <w:szCs w:val="26"/>
        </w:rPr>
      </w:pPr>
      <w:r>
        <w:rPr>
          <w:rFonts w:hint="eastAsia" w:hAnsi="宋体" w:cs="宋体"/>
          <w:bCs/>
          <w:sz w:val="26"/>
          <w:szCs w:val="26"/>
        </w:rPr>
        <w:t>（4）安全管理体系与措施；</w:t>
      </w:r>
    </w:p>
    <w:p>
      <w:pPr>
        <w:autoSpaceDE w:val="0"/>
        <w:autoSpaceDN w:val="0"/>
        <w:spacing w:line="540" w:lineRule="exact"/>
        <w:ind w:firstLine="520" w:firstLineChars="200"/>
        <w:jc w:val="left"/>
        <w:rPr>
          <w:rFonts w:hAnsi="宋体" w:cs="宋体"/>
          <w:bCs/>
          <w:sz w:val="26"/>
          <w:szCs w:val="26"/>
        </w:rPr>
      </w:pPr>
      <w:r>
        <w:rPr>
          <w:rFonts w:hint="eastAsia" w:hAnsi="宋体" w:cs="宋体"/>
          <w:bCs/>
          <w:sz w:val="26"/>
          <w:szCs w:val="26"/>
        </w:rPr>
        <w:t>（5）文明施工、环境保护管理体系及施工现场扬尘治理措施；</w:t>
      </w:r>
    </w:p>
    <w:p>
      <w:pPr>
        <w:autoSpaceDE w:val="0"/>
        <w:autoSpaceDN w:val="0"/>
        <w:spacing w:line="540" w:lineRule="exact"/>
        <w:ind w:firstLine="520" w:firstLineChars="200"/>
        <w:jc w:val="left"/>
        <w:rPr>
          <w:rFonts w:hAnsi="宋体" w:cs="宋体"/>
          <w:bCs/>
          <w:sz w:val="26"/>
          <w:szCs w:val="26"/>
        </w:rPr>
      </w:pPr>
      <w:r>
        <w:rPr>
          <w:rFonts w:hint="eastAsia" w:hAnsi="宋体" w:cs="宋体"/>
          <w:bCs/>
          <w:sz w:val="26"/>
          <w:szCs w:val="26"/>
        </w:rPr>
        <w:t>（6）工期保证措施；</w:t>
      </w:r>
    </w:p>
    <w:p>
      <w:pPr>
        <w:autoSpaceDE w:val="0"/>
        <w:autoSpaceDN w:val="0"/>
        <w:spacing w:line="540" w:lineRule="exact"/>
        <w:ind w:firstLine="520" w:firstLineChars="200"/>
        <w:jc w:val="left"/>
        <w:rPr>
          <w:rFonts w:hAnsi="宋体" w:cs="宋体"/>
          <w:bCs/>
          <w:sz w:val="26"/>
          <w:szCs w:val="26"/>
        </w:rPr>
      </w:pPr>
      <w:r>
        <w:rPr>
          <w:rFonts w:hint="eastAsia" w:hAnsi="宋体" w:cs="宋体"/>
          <w:bCs/>
          <w:sz w:val="26"/>
          <w:szCs w:val="26"/>
        </w:rPr>
        <w:t>（7）拟投入资源配备计划；</w:t>
      </w:r>
    </w:p>
    <w:p>
      <w:pPr>
        <w:autoSpaceDE w:val="0"/>
        <w:autoSpaceDN w:val="0"/>
        <w:spacing w:line="540" w:lineRule="exact"/>
        <w:ind w:firstLine="520" w:firstLineChars="200"/>
        <w:jc w:val="left"/>
        <w:rPr>
          <w:rFonts w:hAnsi="宋体" w:cs="宋体"/>
          <w:bCs/>
          <w:sz w:val="26"/>
          <w:szCs w:val="26"/>
        </w:rPr>
      </w:pPr>
      <w:r>
        <w:rPr>
          <w:rFonts w:hint="eastAsia" w:hAnsi="宋体" w:cs="宋体"/>
          <w:bCs/>
          <w:sz w:val="26"/>
          <w:szCs w:val="26"/>
        </w:rPr>
        <w:t>（8）施工进度表与网络计划图；</w:t>
      </w:r>
    </w:p>
    <w:p>
      <w:pPr>
        <w:autoSpaceDE w:val="0"/>
        <w:autoSpaceDN w:val="0"/>
        <w:spacing w:line="540" w:lineRule="exact"/>
        <w:ind w:firstLine="520" w:firstLineChars="200"/>
        <w:jc w:val="left"/>
        <w:rPr>
          <w:rFonts w:hAnsi="宋体" w:cs="宋体"/>
          <w:bCs/>
          <w:sz w:val="26"/>
          <w:szCs w:val="26"/>
        </w:rPr>
      </w:pPr>
      <w:r>
        <w:rPr>
          <w:rFonts w:hint="eastAsia" w:hAnsi="宋体" w:cs="宋体"/>
          <w:bCs/>
          <w:sz w:val="26"/>
          <w:szCs w:val="26"/>
        </w:rPr>
        <w:t>（9）施工总平面图布置；</w:t>
      </w:r>
    </w:p>
    <w:p>
      <w:pPr>
        <w:autoSpaceDE w:val="0"/>
        <w:autoSpaceDN w:val="0"/>
        <w:spacing w:line="540" w:lineRule="exact"/>
        <w:ind w:firstLine="520" w:firstLineChars="200"/>
        <w:jc w:val="left"/>
        <w:rPr>
          <w:rFonts w:hAnsi="宋体" w:cs="宋体"/>
          <w:bCs/>
          <w:sz w:val="26"/>
          <w:szCs w:val="26"/>
        </w:rPr>
      </w:pPr>
      <w:r>
        <w:rPr>
          <w:rFonts w:hint="eastAsia" w:hAnsi="宋体" w:cs="宋体"/>
          <w:bCs/>
          <w:sz w:val="26"/>
          <w:szCs w:val="26"/>
        </w:rPr>
        <w:t>（10）技术创新的应用实施措施；</w:t>
      </w:r>
    </w:p>
    <w:p>
      <w:pPr>
        <w:autoSpaceDE w:val="0"/>
        <w:autoSpaceDN w:val="0"/>
        <w:spacing w:line="540" w:lineRule="exact"/>
        <w:ind w:firstLine="520" w:firstLineChars="200"/>
        <w:jc w:val="left"/>
        <w:rPr>
          <w:rFonts w:hAnsi="宋体" w:cs="宋体"/>
          <w:bCs/>
          <w:sz w:val="26"/>
          <w:szCs w:val="26"/>
        </w:rPr>
      </w:pPr>
      <w:r>
        <w:rPr>
          <w:rFonts w:hint="eastAsia" w:hAnsi="宋体" w:cs="宋体"/>
          <w:bCs/>
          <w:sz w:val="26"/>
          <w:szCs w:val="26"/>
        </w:rPr>
        <w:t>（11）采用新工艺、新技术、新设备、新材料、BIM等的程度；</w:t>
      </w:r>
    </w:p>
    <w:p>
      <w:pPr>
        <w:autoSpaceDE w:val="0"/>
        <w:autoSpaceDN w:val="0"/>
        <w:spacing w:line="540" w:lineRule="exact"/>
        <w:ind w:firstLine="520" w:firstLineChars="200"/>
        <w:jc w:val="left"/>
        <w:rPr>
          <w:rFonts w:hAnsi="宋体" w:cs="宋体"/>
          <w:bCs/>
          <w:sz w:val="26"/>
          <w:szCs w:val="26"/>
        </w:rPr>
      </w:pPr>
      <w:r>
        <w:rPr>
          <w:rFonts w:hint="eastAsia" w:hAnsi="宋体" w:cs="宋体"/>
          <w:bCs/>
          <w:sz w:val="26"/>
          <w:szCs w:val="26"/>
        </w:rPr>
        <w:t>（12）施工现场实施信息化监控和数据处理；</w:t>
      </w:r>
    </w:p>
    <w:p>
      <w:pPr>
        <w:autoSpaceDE w:val="0"/>
        <w:autoSpaceDN w:val="0"/>
        <w:spacing w:line="540" w:lineRule="exact"/>
        <w:ind w:firstLine="520" w:firstLineChars="200"/>
        <w:jc w:val="left"/>
        <w:rPr>
          <w:rFonts w:hAnsi="宋体" w:cs="宋体"/>
          <w:bCs/>
          <w:sz w:val="26"/>
          <w:szCs w:val="26"/>
        </w:rPr>
      </w:pPr>
      <w:r>
        <w:rPr>
          <w:rFonts w:hint="eastAsia" w:hAnsi="宋体" w:cs="宋体"/>
          <w:bCs/>
          <w:sz w:val="26"/>
          <w:szCs w:val="26"/>
        </w:rPr>
        <w:t>（13）风险管理措施。</w:t>
      </w:r>
    </w:p>
    <w:p>
      <w:pPr>
        <w:autoSpaceDE w:val="0"/>
        <w:autoSpaceDN w:val="0"/>
        <w:adjustRightInd w:val="0"/>
        <w:spacing w:afterLines="50"/>
        <w:jc w:val="center"/>
        <w:outlineLvl w:val="0"/>
        <w:rPr>
          <w:rFonts w:ascii="宋体" w:hAnsi="宋体"/>
          <w:b/>
          <w:bCs/>
          <w:kern w:val="0"/>
          <w:sz w:val="24"/>
          <w:szCs w:val="24"/>
        </w:rPr>
      </w:pPr>
    </w:p>
    <w:p/>
    <w:p>
      <w:pPr>
        <w:ind w:right="720" w:firstLine="514" w:firstLineChars="245"/>
        <w:rPr>
          <w:rFonts w:ascii="宋体" w:hAnsi="宋体" w:cs="仿宋_GB2312"/>
          <w:kern w:val="0"/>
        </w:rPr>
      </w:pPr>
    </w:p>
    <w:p/>
    <w:p/>
    <w:p/>
    <w:p/>
    <w:p/>
    <w:p/>
    <w:p/>
    <w:p/>
    <w:p/>
    <w:p/>
    <w:sectPr>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88"/>
    <w:family w:val="swiss"/>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等线 Light">
    <w:altName w:val="宋体"/>
    <w:panose1 w:val="02010600030101010101"/>
    <w:charset w:val="86"/>
    <w:family w:val="auto"/>
    <w:pitch w:val="default"/>
    <w:sig w:usb0="00000000" w:usb1="00000000" w:usb2="00000016" w:usb3="00000000" w:csb0="0004000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TimesNewRomanPSMT">
    <w:altName w:val="Times New Roman"/>
    <w:panose1 w:val="00000000000000000000"/>
    <w:charset w:val="00"/>
    <w:family w:val="roman"/>
    <w:pitch w:val="default"/>
    <w:sig w:usb0="00000000" w:usb1="00000000" w:usb2="00000010" w:usb3="00000000" w:csb0="00040001" w:csb1="00000000"/>
  </w:font>
  <w:font w:name="楷体">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MS Mincho">
    <w:panose1 w:val="02020609040205080304"/>
    <w:charset w:val="80"/>
    <w:family w:val="modern"/>
    <w:pitch w:val="default"/>
    <w:sig w:usb0="E00002FF" w:usb1="6AC7FDFB" w:usb2="00000012" w:usb3="00000000" w:csb0="4002009F" w:csb1="DFD70000"/>
  </w:font>
  <w:font w:name="华文中宋">
    <w:altName w:val="宋体"/>
    <w:panose1 w:val="02010600040101010101"/>
    <w:charset w:val="86"/>
    <w:family w:val="auto"/>
    <w:pitch w:val="default"/>
    <w:sig w:usb0="00000000" w:usb1="00000000" w:usb2="00000000" w:usb3="00000000" w:csb0="0004009F" w:csb1="DFD7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fldChar w:fldCharType="begin"/>
    </w:r>
    <w:r>
      <w:instrText xml:space="preserve"> PAGE   \* MERGEFORMAT </w:instrText>
    </w:r>
    <w:r>
      <w:fldChar w:fldCharType="separate"/>
    </w:r>
    <w:r>
      <w:rPr>
        <w:lang w:val="zh-CN"/>
      </w:rPr>
      <w:t>2</w:t>
    </w:r>
    <w:r>
      <w:fldChar w:fldCharType="end"/>
    </w: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fldChar w:fldCharType="begin"/>
    </w:r>
    <w:r>
      <w:instrText xml:space="preserve"> PAGE   \* MERGEFORMAT </w:instrText>
    </w:r>
    <w:r>
      <w:fldChar w:fldCharType="separate"/>
    </w:r>
    <w:r>
      <w:rPr>
        <w:lang w:val="zh-CN"/>
      </w:rPr>
      <w:t>17</w:t>
    </w:r>
    <w:r>
      <w:fldChar w:fldCharType="end"/>
    </w:r>
  </w:p>
  <w:p>
    <w:pPr>
      <w:pStyle w:val="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222426"/>
    <w:multiLevelType w:val="singleLevel"/>
    <w:tmpl w:val="82222426"/>
    <w:lvl w:ilvl="0" w:tentative="0">
      <w:start w:val="2"/>
      <w:numFmt w:val="chineseCounting"/>
      <w:suff w:val="nothing"/>
      <w:lvlText w:val="（%1）"/>
      <w:lvlJc w:val="left"/>
      <w:rPr>
        <w:rFonts w:hint="eastAsia"/>
      </w:rPr>
    </w:lvl>
  </w:abstractNum>
  <w:abstractNum w:abstractNumId="1">
    <w:nsid w:val="E210DF82"/>
    <w:multiLevelType w:val="singleLevel"/>
    <w:tmpl w:val="E210DF82"/>
    <w:lvl w:ilvl="0" w:tentative="0">
      <w:start w:val="1"/>
      <w:numFmt w:val="decimal"/>
      <w:lvlText w:val="%1."/>
      <w:lvlJc w:val="left"/>
      <w:pPr>
        <w:tabs>
          <w:tab w:val="left" w:pos="312"/>
        </w:tabs>
      </w:pPr>
    </w:lvl>
  </w:abstractNum>
  <w:abstractNum w:abstractNumId="2">
    <w:nsid w:val="F5E6AE52"/>
    <w:multiLevelType w:val="singleLevel"/>
    <w:tmpl w:val="F5E6AE52"/>
    <w:lvl w:ilvl="0" w:tentative="0">
      <w:start w:val="1"/>
      <w:numFmt w:val="chineseCounting"/>
      <w:suff w:val="nothing"/>
      <w:lvlText w:val="%1、"/>
      <w:lvlJc w:val="left"/>
      <w:rPr>
        <w:rFonts w:hint="eastAsia"/>
      </w:rPr>
    </w:lvl>
  </w:abstractNum>
  <w:abstractNum w:abstractNumId="3">
    <w:nsid w:val="1A1888DE"/>
    <w:multiLevelType w:val="singleLevel"/>
    <w:tmpl w:val="1A1888DE"/>
    <w:lvl w:ilvl="0" w:tentative="0">
      <w:start w:val="5"/>
      <w:numFmt w:val="chineseCounting"/>
      <w:suff w:val="nothing"/>
      <w:lvlText w:val="（%1）"/>
      <w:lvlJc w:val="left"/>
      <w:rPr>
        <w:rFonts w:hint="eastAsia"/>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Y4YjNkOThiYjcwOWE4Yjk0MTgzYmE1Mzc5MzM5YWUifQ=="/>
  </w:docVars>
  <w:rsids>
    <w:rsidRoot w:val="14240290"/>
    <w:rsid w:val="00001D57"/>
    <w:rsid w:val="00035D1D"/>
    <w:rsid w:val="00084521"/>
    <w:rsid w:val="000A06C5"/>
    <w:rsid w:val="00106826"/>
    <w:rsid w:val="00173FC2"/>
    <w:rsid w:val="001D4980"/>
    <w:rsid w:val="00372F2C"/>
    <w:rsid w:val="003B141E"/>
    <w:rsid w:val="00431902"/>
    <w:rsid w:val="00492FAB"/>
    <w:rsid w:val="00493B06"/>
    <w:rsid w:val="00536AB4"/>
    <w:rsid w:val="006D4CF8"/>
    <w:rsid w:val="006E5C19"/>
    <w:rsid w:val="007F012B"/>
    <w:rsid w:val="00842706"/>
    <w:rsid w:val="008960C8"/>
    <w:rsid w:val="008A2DBD"/>
    <w:rsid w:val="008A38E5"/>
    <w:rsid w:val="009205CF"/>
    <w:rsid w:val="00946CF0"/>
    <w:rsid w:val="00B058C5"/>
    <w:rsid w:val="00C21899"/>
    <w:rsid w:val="00C638A0"/>
    <w:rsid w:val="00D02E7F"/>
    <w:rsid w:val="00DE0670"/>
    <w:rsid w:val="00F62CEF"/>
    <w:rsid w:val="00F754AA"/>
    <w:rsid w:val="015358CD"/>
    <w:rsid w:val="026B51E8"/>
    <w:rsid w:val="03147E4E"/>
    <w:rsid w:val="03B74C38"/>
    <w:rsid w:val="03B77E1E"/>
    <w:rsid w:val="045038B9"/>
    <w:rsid w:val="04B56F53"/>
    <w:rsid w:val="05445D91"/>
    <w:rsid w:val="05AF5900"/>
    <w:rsid w:val="06C67217"/>
    <w:rsid w:val="070E2AFA"/>
    <w:rsid w:val="07663B2E"/>
    <w:rsid w:val="07AA3158"/>
    <w:rsid w:val="0828047E"/>
    <w:rsid w:val="095D421F"/>
    <w:rsid w:val="09713435"/>
    <w:rsid w:val="098308F2"/>
    <w:rsid w:val="0A584E69"/>
    <w:rsid w:val="0A743CBB"/>
    <w:rsid w:val="0B0A5387"/>
    <w:rsid w:val="0B782B60"/>
    <w:rsid w:val="0C9E623C"/>
    <w:rsid w:val="0CAE4072"/>
    <w:rsid w:val="0DB05B5A"/>
    <w:rsid w:val="0E066591"/>
    <w:rsid w:val="0E317B5D"/>
    <w:rsid w:val="0E372807"/>
    <w:rsid w:val="0E732AB2"/>
    <w:rsid w:val="0EB10BA1"/>
    <w:rsid w:val="0FC67FE8"/>
    <w:rsid w:val="0FCA4D62"/>
    <w:rsid w:val="10B96A87"/>
    <w:rsid w:val="119B752B"/>
    <w:rsid w:val="12323B41"/>
    <w:rsid w:val="124855E7"/>
    <w:rsid w:val="1297015B"/>
    <w:rsid w:val="12A641A4"/>
    <w:rsid w:val="134B50CB"/>
    <w:rsid w:val="137B1FC5"/>
    <w:rsid w:val="14240290"/>
    <w:rsid w:val="146B7F9F"/>
    <w:rsid w:val="14BF2D8A"/>
    <w:rsid w:val="14F7697C"/>
    <w:rsid w:val="14FB7F53"/>
    <w:rsid w:val="1543621D"/>
    <w:rsid w:val="15F130F5"/>
    <w:rsid w:val="16946BD8"/>
    <w:rsid w:val="16CF1A81"/>
    <w:rsid w:val="17CC4745"/>
    <w:rsid w:val="18F60DD0"/>
    <w:rsid w:val="194D74D1"/>
    <w:rsid w:val="194F322A"/>
    <w:rsid w:val="1A0057B5"/>
    <w:rsid w:val="1A184EC1"/>
    <w:rsid w:val="1AE20D11"/>
    <w:rsid w:val="1AEC1501"/>
    <w:rsid w:val="1B7431C3"/>
    <w:rsid w:val="1C4241F9"/>
    <w:rsid w:val="1C8C184B"/>
    <w:rsid w:val="1D2E5674"/>
    <w:rsid w:val="1D344A01"/>
    <w:rsid w:val="1D687EFB"/>
    <w:rsid w:val="1E8564D9"/>
    <w:rsid w:val="1F8B5F96"/>
    <w:rsid w:val="1FC37744"/>
    <w:rsid w:val="20DE3BAA"/>
    <w:rsid w:val="212C557F"/>
    <w:rsid w:val="21EF31C1"/>
    <w:rsid w:val="22E2076D"/>
    <w:rsid w:val="2331786D"/>
    <w:rsid w:val="24D13C03"/>
    <w:rsid w:val="24F469F2"/>
    <w:rsid w:val="2640534B"/>
    <w:rsid w:val="27C53FB2"/>
    <w:rsid w:val="29702A25"/>
    <w:rsid w:val="2996159F"/>
    <w:rsid w:val="2A071D8F"/>
    <w:rsid w:val="2AE073B4"/>
    <w:rsid w:val="2D9F5341"/>
    <w:rsid w:val="2DEE2BBA"/>
    <w:rsid w:val="2E1F0FC6"/>
    <w:rsid w:val="2E9A7ACB"/>
    <w:rsid w:val="2EE3747F"/>
    <w:rsid w:val="2F114CD5"/>
    <w:rsid w:val="2F547BEE"/>
    <w:rsid w:val="30AB3118"/>
    <w:rsid w:val="324B15D1"/>
    <w:rsid w:val="32703F20"/>
    <w:rsid w:val="330F56A1"/>
    <w:rsid w:val="331704BD"/>
    <w:rsid w:val="337F632A"/>
    <w:rsid w:val="338559DC"/>
    <w:rsid w:val="33D058F0"/>
    <w:rsid w:val="33E44B9E"/>
    <w:rsid w:val="34A05C81"/>
    <w:rsid w:val="354E6482"/>
    <w:rsid w:val="367F2414"/>
    <w:rsid w:val="36FF002B"/>
    <w:rsid w:val="37552E4F"/>
    <w:rsid w:val="38B7400E"/>
    <w:rsid w:val="3938118D"/>
    <w:rsid w:val="39970912"/>
    <w:rsid w:val="39983D4C"/>
    <w:rsid w:val="39AE27CE"/>
    <w:rsid w:val="39B16C6F"/>
    <w:rsid w:val="3C4B038A"/>
    <w:rsid w:val="3CDA04A1"/>
    <w:rsid w:val="3D862B95"/>
    <w:rsid w:val="3DB2208E"/>
    <w:rsid w:val="3DD21467"/>
    <w:rsid w:val="3E311D28"/>
    <w:rsid w:val="3E583B08"/>
    <w:rsid w:val="3E607C19"/>
    <w:rsid w:val="3E8801D7"/>
    <w:rsid w:val="3E9E26EE"/>
    <w:rsid w:val="3F8F4CC7"/>
    <w:rsid w:val="3FB028F1"/>
    <w:rsid w:val="40265C6C"/>
    <w:rsid w:val="41150F8C"/>
    <w:rsid w:val="41BE4F4C"/>
    <w:rsid w:val="42304B5A"/>
    <w:rsid w:val="425D4491"/>
    <w:rsid w:val="43685277"/>
    <w:rsid w:val="436A35E8"/>
    <w:rsid w:val="43837F5E"/>
    <w:rsid w:val="4428062A"/>
    <w:rsid w:val="468D5914"/>
    <w:rsid w:val="46AB11F1"/>
    <w:rsid w:val="49835118"/>
    <w:rsid w:val="49F7251C"/>
    <w:rsid w:val="4A676985"/>
    <w:rsid w:val="4A8E4212"/>
    <w:rsid w:val="4B0B6702"/>
    <w:rsid w:val="4C3D7255"/>
    <w:rsid w:val="4CA1055F"/>
    <w:rsid w:val="4CCB65D0"/>
    <w:rsid w:val="4DD70B1D"/>
    <w:rsid w:val="4E786FA5"/>
    <w:rsid w:val="4EEC2761"/>
    <w:rsid w:val="4F35581D"/>
    <w:rsid w:val="505B4413"/>
    <w:rsid w:val="50A6524F"/>
    <w:rsid w:val="50A65564"/>
    <w:rsid w:val="50B67EA6"/>
    <w:rsid w:val="513C6A00"/>
    <w:rsid w:val="514C3DEC"/>
    <w:rsid w:val="5243074F"/>
    <w:rsid w:val="524552C0"/>
    <w:rsid w:val="52620162"/>
    <w:rsid w:val="52CF3885"/>
    <w:rsid w:val="542048AB"/>
    <w:rsid w:val="54630123"/>
    <w:rsid w:val="563F150B"/>
    <w:rsid w:val="564526FE"/>
    <w:rsid w:val="571279CB"/>
    <w:rsid w:val="578E6580"/>
    <w:rsid w:val="58592266"/>
    <w:rsid w:val="59DE2C40"/>
    <w:rsid w:val="5DD33159"/>
    <w:rsid w:val="5DE97F4E"/>
    <w:rsid w:val="5F045F9E"/>
    <w:rsid w:val="5F5619C7"/>
    <w:rsid w:val="5F794C0C"/>
    <w:rsid w:val="5FF20826"/>
    <w:rsid w:val="62426541"/>
    <w:rsid w:val="62D41677"/>
    <w:rsid w:val="630162B7"/>
    <w:rsid w:val="648E43F1"/>
    <w:rsid w:val="65065A7D"/>
    <w:rsid w:val="653827AE"/>
    <w:rsid w:val="665877CA"/>
    <w:rsid w:val="66FE6113"/>
    <w:rsid w:val="67052EA1"/>
    <w:rsid w:val="6775416F"/>
    <w:rsid w:val="682A6EF2"/>
    <w:rsid w:val="68A30352"/>
    <w:rsid w:val="6A284AD6"/>
    <w:rsid w:val="6D535020"/>
    <w:rsid w:val="6D726798"/>
    <w:rsid w:val="6E9A3582"/>
    <w:rsid w:val="6F5D2DD9"/>
    <w:rsid w:val="71C63E73"/>
    <w:rsid w:val="724E0407"/>
    <w:rsid w:val="725F72DF"/>
    <w:rsid w:val="72A62C16"/>
    <w:rsid w:val="72F07E08"/>
    <w:rsid w:val="73F54FBF"/>
    <w:rsid w:val="747C3D5A"/>
    <w:rsid w:val="74A213D2"/>
    <w:rsid w:val="77C655BB"/>
    <w:rsid w:val="78DF4122"/>
    <w:rsid w:val="7AB200B3"/>
    <w:rsid w:val="7C653A59"/>
    <w:rsid w:val="7F284473"/>
    <w:rsid w:val="7F462C26"/>
    <w:rsid w:val="7F84490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 w:semiHidden="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iPriority="99"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qFormat="1" w:uiPriority="99"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paragraph" w:styleId="2">
    <w:name w:val="heading 1"/>
    <w:basedOn w:val="1"/>
    <w:next w:val="1"/>
    <w:link w:val="26"/>
    <w:qFormat/>
    <w:uiPriority w:val="99"/>
    <w:pPr>
      <w:keepNext/>
      <w:keepLines/>
      <w:spacing w:before="340" w:after="330" w:line="576" w:lineRule="auto"/>
      <w:outlineLvl w:val="0"/>
    </w:pPr>
    <w:rPr>
      <w:rFonts w:ascii="仿宋_GB2312" w:cs="Times New Roman"/>
      <w:b/>
      <w:bCs/>
      <w:kern w:val="44"/>
      <w:sz w:val="44"/>
      <w:szCs w:val="44"/>
    </w:rPr>
  </w:style>
  <w:style w:type="paragraph" w:styleId="3">
    <w:name w:val="heading 2"/>
    <w:basedOn w:val="1"/>
    <w:next w:val="1"/>
    <w:link w:val="27"/>
    <w:qFormat/>
    <w:uiPriority w:val="9"/>
    <w:pPr>
      <w:keepNext/>
      <w:keepLines/>
      <w:spacing w:before="260" w:after="260" w:line="416" w:lineRule="auto"/>
      <w:outlineLvl w:val="1"/>
    </w:pPr>
    <w:rPr>
      <w:rFonts w:ascii="等线 Light" w:hAnsi="等线 Light" w:eastAsia="等线 Light" w:cs="Times New Roman"/>
      <w:b/>
      <w:bCs/>
      <w:sz w:val="32"/>
      <w:szCs w:val="32"/>
    </w:rPr>
  </w:style>
  <w:style w:type="paragraph" w:styleId="4">
    <w:name w:val="heading 3"/>
    <w:basedOn w:val="1"/>
    <w:next w:val="1"/>
    <w:link w:val="28"/>
    <w:qFormat/>
    <w:uiPriority w:val="9"/>
    <w:pPr>
      <w:keepNext/>
      <w:keepLines/>
      <w:spacing w:before="260" w:after="260" w:line="416" w:lineRule="auto"/>
      <w:outlineLvl w:val="2"/>
    </w:pPr>
    <w:rPr>
      <w:rFonts w:cs="Times New Roman"/>
      <w:b/>
      <w:bCs/>
      <w:sz w:val="32"/>
      <w:szCs w:val="32"/>
    </w:rPr>
  </w:style>
  <w:style w:type="paragraph" w:styleId="5">
    <w:name w:val="heading 4"/>
    <w:basedOn w:val="1"/>
    <w:next w:val="1"/>
    <w:link w:val="47"/>
    <w:semiHidden/>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17">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6">
    <w:name w:val="Body Text"/>
    <w:basedOn w:val="1"/>
    <w:next w:val="7"/>
    <w:link w:val="29"/>
    <w:unhideWhenUsed/>
    <w:qFormat/>
    <w:uiPriority w:val="99"/>
    <w:pPr>
      <w:spacing w:before="100" w:beforeAutospacing="1" w:after="120"/>
    </w:pPr>
    <w:rPr>
      <w:rFonts w:cs="Times New Roman"/>
      <w:kern w:val="0"/>
      <w:sz w:val="20"/>
      <w:szCs w:val="20"/>
    </w:rPr>
  </w:style>
  <w:style w:type="paragraph" w:customStyle="1" w:styleId="7">
    <w:name w:val="Default"/>
    <w:next w:val="1"/>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styleId="8">
    <w:name w:val="Body Text Indent"/>
    <w:basedOn w:val="1"/>
    <w:qFormat/>
    <w:uiPriority w:val="0"/>
    <w:pPr>
      <w:spacing w:after="120"/>
      <w:ind w:left="420" w:leftChars="200"/>
    </w:pPr>
  </w:style>
  <w:style w:type="paragraph" w:styleId="9">
    <w:name w:val="footer"/>
    <w:basedOn w:val="1"/>
    <w:link w:val="30"/>
    <w:unhideWhenUsed/>
    <w:qFormat/>
    <w:uiPriority w:val="99"/>
    <w:pPr>
      <w:snapToGrid w:val="0"/>
      <w:jc w:val="left"/>
    </w:pPr>
    <w:rPr>
      <w:rFonts w:ascii="仿宋_GB2312" w:hAnsi="等线" w:cs="Times New Roman"/>
      <w:b/>
      <w:bCs/>
      <w:kern w:val="0"/>
      <w:sz w:val="18"/>
      <w:szCs w:val="18"/>
    </w:rPr>
  </w:style>
  <w:style w:type="paragraph" w:styleId="10">
    <w:name w:val="header"/>
    <w:basedOn w:val="1"/>
    <w:link w:val="25"/>
    <w:qFormat/>
    <w:uiPriority w:val="0"/>
    <w:pPr>
      <w:pBdr>
        <w:bottom w:val="single" w:color="auto" w:sz="6" w:space="1"/>
      </w:pBdr>
      <w:tabs>
        <w:tab w:val="center" w:pos="4153"/>
        <w:tab w:val="right" w:pos="8306"/>
      </w:tabs>
      <w:snapToGrid w:val="0"/>
      <w:jc w:val="center"/>
    </w:pPr>
    <w:rPr>
      <w:sz w:val="18"/>
      <w:szCs w:val="18"/>
    </w:rPr>
  </w:style>
  <w:style w:type="paragraph" w:styleId="11">
    <w:name w:val="Body Text 2"/>
    <w:basedOn w:val="1"/>
    <w:qFormat/>
    <w:uiPriority w:val="0"/>
    <w:pPr>
      <w:spacing w:line="480" w:lineRule="auto"/>
    </w:pPr>
    <w:rPr>
      <w:rFonts w:ascii="Times New Roman" w:hAnsi="Times New Roman" w:cs="Times New Roman"/>
    </w:rPr>
  </w:style>
  <w:style w:type="paragraph" w:styleId="12">
    <w:name w:val="Message Header"/>
    <w:basedOn w:val="1"/>
    <w:next w:val="1"/>
    <w:link w:val="31"/>
    <w:unhideWhenUsed/>
    <w:qFormat/>
    <w:uiPriority w:val="99"/>
    <w:pPr>
      <w:spacing w:before="100" w:beforeAutospacing="1" w:after="100" w:afterAutospacing="1"/>
      <w:ind w:left="1080" w:leftChars="500" w:hanging="1080" w:hangingChars="500"/>
    </w:pPr>
    <w:rPr>
      <w:rFonts w:ascii="Arial" w:hAnsi="Arial" w:cs="Times New Roman"/>
      <w:kern w:val="0"/>
      <w:sz w:val="24"/>
      <w:szCs w:val="24"/>
    </w:rPr>
  </w:style>
  <w:style w:type="paragraph" w:styleId="13">
    <w:name w:val="Normal (Web)"/>
    <w:basedOn w:val="1"/>
    <w:semiHidden/>
    <w:unhideWhenUsed/>
    <w:qFormat/>
    <w:uiPriority w:val="99"/>
    <w:pPr>
      <w:widowControl/>
      <w:spacing w:before="100" w:beforeAutospacing="1" w:after="100" w:afterAutospacing="1"/>
      <w:jc w:val="left"/>
    </w:pPr>
    <w:rPr>
      <w:rFonts w:ascii="宋体" w:hAnsi="宋体" w:cs="宋体"/>
      <w:kern w:val="0"/>
      <w:sz w:val="24"/>
      <w:szCs w:val="24"/>
    </w:rPr>
  </w:style>
  <w:style w:type="paragraph" w:styleId="14">
    <w:name w:val="Body Text First Indent"/>
    <w:basedOn w:val="6"/>
    <w:next w:val="1"/>
    <w:link w:val="32"/>
    <w:unhideWhenUsed/>
    <w:qFormat/>
    <w:uiPriority w:val="99"/>
    <w:pPr>
      <w:spacing w:before="0" w:beforeAutospacing="0"/>
      <w:ind w:firstLine="420" w:firstLineChars="100"/>
    </w:pPr>
    <w:rPr>
      <w:kern w:val="2"/>
      <w:sz w:val="21"/>
      <w:szCs w:val="21"/>
    </w:rPr>
  </w:style>
  <w:style w:type="paragraph" w:styleId="15">
    <w:name w:val="Body Text First Indent 2"/>
    <w:basedOn w:val="8"/>
    <w:next w:val="1"/>
    <w:qFormat/>
    <w:uiPriority w:val="0"/>
    <w:pPr>
      <w:adjustRightInd w:val="0"/>
      <w:snapToGrid w:val="0"/>
      <w:spacing w:beforeAutospacing="1" w:afterAutospacing="1" w:line="360" w:lineRule="auto"/>
      <w:ind w:left="480" w:firstLine="562" w:firstLineChars="200"/>
      <w:jc w:val="left"/>
    </w:pPr>
    <w:rPr>
      <w:rFonts w:hint="eastAsia" w:ascii="仿宋_GB2312" w:hAnsi="仿宋_GB2312"/>
      <w:szCs w:val="30"/>
      <w:lang w:eastAsia="en-US"/>
    </w:rPr>
  </w:style>
  <w:style w:type="character" w:styleId="18">
    <w:name w:val="FollowedHyperlink"/>
    <w:basedOn w:val="17"/>
    <w:unhideWhenUsed/>
    <w:qFormat/>
    <w:uiPriority w:val="99"/>
    <w:rPr>
      <w:color w:val="954F72" w:themeColor="followedHyperlink"/>
      <w:u w:val="single"/>
      <w14:textFill>
        <w14:solidFill>
          <w14:schemeClr w14:val="folHlink"/>
        </w14:solidFill>
      </w14:textFill>
    </w:rPr>
  </w:style>
  <w:style w:type="character" w:styleId="19">
    <w:name w:val="Emphasis"/>
    <w:basedOn w:val="17"/>
    <w:qFormat/>
    <w:uiPriority w:val="0"/>
  </w:style>
  <w:style w:type="character" w:styleId="20">
    <w:name w:val="Hyperlink"/>
    <w:basedOn w:val="17"/>
    <w:unhideWhenUsed/>
    <w:qFormat/>
    <w:uiPriority w:val="99"/>
    <w:rPr>
      <w:color w:val="000000"/>
      <w:u w:val="none"/>
    </w:rPr>
  </w:style>
  <w:style w:type="paragraph" w:customStyle="1" w:styleId="21">
    <w:name w:val="_Style 10"/>
    <w:basedOn w:val="6"/>
    <w:next w:val="14"/>
    <w:qFormat/>
    <w:uiPriority w:val="0"/>
    <w:pPr>
      <w:spacing w:after="0"/>
      <w:ind w:firstLine="420" w:firstLineChars="100"/>
    </w:pPr>
  </w:style>
  <w:style w:type="paragraph" w:styleId="22">
    <w:name w:val="List Paragraph"/>
    <w:basedOn w:val="1"/>
    <w:qFormat/>
    <w:uiPriority w:val="34"/>
    <w:pPr>
      <w:ind w:firstLine="420" w:firstLineChars="200"/>
    </w:pPr>
  </w:style>
  <w:style w:type="paragraph" w:customStyle="1" w:styleId="23">
    <w:name w:val="！正文"/>
    <w:basedOn w:val="1"/>
    <w:qFormat/>
    <w:uiPriority w:val="0"/>
    <w:pPr>
      <w:spacing w:line="360" w:lineRule="auto"/>
    </w:pPr>
    <w:rPr>
      <w:rFonts w:ascii="Times New Roman"/>
      <w:sz w:val="20"/>
      <w:szCs w:val="24"/>
    </w:rPr>
  </w:style>
  <w:style w:type="paragraph" w:styleId="24">
    <w:name w:val="No Spacing"/>
    <w:qFormat/>
    <w:uiPriority w:val="1"/>
    <w:pPr>
      <w:widowControl w:val="0"/>
      <w:jc w:val="both"/>
    </w:pPr>
    <w:rPr>
      <w:rFonts w:ascii="Calibri" w:hAnsi="Calibri" w:eastAsia="宋体" w:cs="Times New Roman"/>
      <w:kern w:val="2"/>
      <w:sz w:val="21"/>
      <w:szCs w:val="22"/>
      <w:lang w:val="en-US" w:eastAsia="zh-CN" w:bidi="ar-SA"/>
    </w:rPr>
  </w:style>
  <w:style w:type="character" w:customStyle="1" w:styleId="25">
    <w:name w:val="页眉 Char"/>
    <w:basedOn w:val="17"/>
    <w:link w:val="10"/>
    <w:qFormat/>
    <w:uiPriority w:val="0"/>
    <w:rPr>
      <w:rFonts w:ascii="Calibri" w:hAnsi="Calibri" w:cs="Calibri"/>
      <w:kern w:val="2"/>
      <w:sz w:val="18"/>
      <w:szCs w:val="18"/>
    </w:rPr>
  </w:style>
  <w:style w:type="character" w:customStyle="1" w:styleId="26">
    <w:name w:val="标题 1 Char"/>
    <w:basedOn w:val="17"/>
    <w:link w:val="2"/>
    <w:qFormat/>
    <w:uiPriority w:val="99"/>
    <w:rPr>
      <w:rFonts w:ascii="仿宋_GB2312" w:hAnsi="Calibri"/>
      <w:b/>
      <w:bCs/>
      <w:kern w:val="44"/>
      <w:sz w:val="44"/>
      <w:szCs w:val="44"/>
    </w:rPr>
  </w:style>
  <w:style w:type="character" w:customStyle="1" w:styleId="27">
    <w:name w:val="标题 2 Char"/>
    <w:basedOn w:val="17"/>
    <w:link w:val="3"/>
    <w:qFormat/>
    <w:uiPriority w:val="9"/>
    <w:rPr>
      <w:rFonts w:ascii="等线 Light" w:hAnsi="等线 Light" w:eastAsia="等线 Light"/>
      <w:b/>
      <w:bCs/>
      <w:kern w:val="2"/>
      <w:sz w:val="32"/>
      <w:szCs w:val="32"/>
    </w:rPr>
  </w:style>
  <w:style w:type="character" w:customStyle="1" w:styleId="28">
    <w:name w:val="标题 3 Char"/>
    <w:basedOn w:val="17"/>
    <w:link w:val="4"/>
    <w:qFormat/>
    <w:uiPriority w:val="9"/>
    <w:rPr>
      <w:rFonts w:ascii="Calibri" w:hAnsi="Calibri"/>
      <w:b/>
      <w:bCs/>
      <w:kern w:val="2"/>
      <w:sz w:val="32"/>
      <w:szCs w:val="32"/>
    </w:rPr>
  </w:style>
  <w:style w:type="character" w:customStyle="1" w:styleId="29">
    <w:name w:val="正文文本 Char"/>
    <w:basedOn w:val="17"/>
    <w:link w:val="6"/>
    <w:qFormat/>
    <w:uiPriority w:val="99"/>
    <w:rPr>
      <w:rFonts w:ascii="Calibri" w:hAnsi="Calibri"/>
    </w:rPr>
  </w:style>
  <w:style w:type="character" w:customStyle="1" w:styleId="30">
    <w:name w:val="页脚 Char"/>
    <w:basedOn w:val="17"/>
    <w:link w:val="9"/>
    <w:qFormat/>
    <w:uiPriority w:val="99"/>
    <w:rPr>
      <w:rFonts w:ascii="仿宋_GB2312" w:hAnsi="等线"/>
      <w:b/>
      <w:bCs/>
      <w:sz w:val="18"/>
      <w:szCs w:val="18"/>
    </w:rPr>
  </w:style>
  <w:style w:type="character" w:customStyle="1" w:styleId="31">
    <w:name w:val="信息标题 Char"/>
    <w:basedOn w:val="17"/>
    <w:link w:val="12"/>
    <w:qFormat/>
    <w:uiPriority w:val="99"/>
    <w:rPr>
      <w:rFonts w:ascii="Arial" w:hAnsi="Arial"/>
      <w:sz w:val="24"/>
      <w:szCs w:val="24"/>
    </w:rPr>
  </w:style>
  <w:style w:type="character" w:customStyle="1" w:styleId="32">
    <w:name w:val="正文首行缩进 Char"/>
    <w:basedOn w:val="29"/>
    <w:link w:val="14"/>
    <w:qFormat/>
    <w:uiPriority w:val="99"/>
    <w:rPr>
      <w:kern w:val="2"/>
      <w:sz w:val="21"/>
      <w:szCs w:val="21"/>
    </w:rPr>
  </w:style>
  <w:style w:type="character" w:customStyle="1" w:styleId="33">
    <w:name w:val="red"/>
    <w:basedOn w:val="17"/>
    <w:qFormat/>
    <w:uiPriority w:val="0"/>
    <w:rPr>
      <w:color w:val="FF0000"/>
      <w:sz w:val="18"/>
      <w:szCs w:val="18"/>
    </w:rPr>
  </w:style>
  <w:style w:type="character" w:customStyle="1" w:styleId="34">
    <w:name w:val="red1"/>
    <w:basedOn w:val="17"/>
    <w:qFormat/>
    <w:uiPriority w:val="0"/>
    <w:rPr>
      <w:color w:val="FF0000"/>
      <w:sz w:val="18"/>
      <w:szCs w:val="18"/>
    </w:rPr>
  </w:style>
  <w:style w:type="character" w:customStyle="1" w:styleId="35">
    <w:name w:val="red2"/>
    <w:basedOn w:val="17"/>
    <w:qFormat/>
    <w:uiPriority w:val="0"/>
    <w:rPr>
      <w:color w:val="CC0000"/>
    </w:rPr>
  </w:style>
  <w:style w:type="character" w:customStyle="1" w:styleId="36">
    <w:name w:val="red3"/>
    <w:basedOn w:val="17"/>
    <w:qFormat/>
    <w:uiPriority w:val="0"/>
    <w:rPr>
      <w:color w:val="FF0000"/>
    </w:rPr>
  </w:style>
  <w:style w:type="character" w:customStyle="1" w:styleId="37">
    <w:name w:val="active"/>
    <w:basedOn w:val="17"/>
    <w:qFormat/>
    <w:uiPriority w:val="0"/>
    <w:rPr>
      <w:color w:val="FFFFFF"/>
      <w:shd w:val="clear" w:fill="2B7AFC"/>
    </w:rPr>
  </w:style>
  <w:style w:type="character" w:customStyle="1" w:styleId="38">
    <w:name w:val="green"/>
    <w:basedOn w:val="17"/>
    <w:qFormat/>
    <w:uiPriority w:val="0"/>
    <w:rPr>
      <w:color w:val="66AE00"/>
      <w:sz w:val="18"/>
      <w:szCs w:val="18"/>
    </w:rPr>
  </w:style>
  <w:style w:type="character" w:customStyle="1" w:styleId="39">
    <w:name w:val="green1"/>
    <w:basedOn w:val="17"/>
    <w:qFormat/>
    <w:uiPriority w:val="0"/>
    <w:rPr>
      <w:color w:val="66AE00"/>
      <w:sz w:val="18"/>
      <w:szCs w:val="18"/>
    </w:rPr>
  </w:style>
  <w:style w:type="character" w:customStyle="1" w:styleId="40">
    <w:name w:val="gb-jt"/>
    <w:basedOn w:val="17"/>
    <w:qFormat/>
    <w:uiPriority w:val="0"/>
  </w:style>
  <w:style w:type="character" w:customStyle="1" w:styleId="41">
    <w:name w:val="hover24"/>
    <w:basedOn w:val="17"/>
    <w:qFormat/>
    <w:uiPriority w:val="0"/>
  </w:style>
  <w:style w:type="character" w:customStyle="1" w:styleId="42">
    <w:name w:val="blue"/>
    <w:basedOn w:val="17"/>
    <w:qFormat/>
    <w:uiPriority w:val="0"/>
    <w:rPr>
      <w:color w:val="0371C6"/>
      <w:sz w:val="21"/>
      <w:szCs w:val="21"/>
    </w:rPr>
  </w:style>
  <w:style w:type="character" w:customStyle="1" w:styleId="43">
    <w:name w:val="right"/>
    <w:basedOn w:val="17"/>
    <w:qFormat/>
    <w:uiPriority w:val="0"/>
    <w:rPr>
      <w:color w:val="999999"/>
      <w:sz w:val="18"/>
      <w:szCs w:val="18"/>
    </w:rPr>
  </w:style>
  <w:style w:type="character" w:customStyle="1" w:styleId="44">
    <w:name w:val="hover"/>
    <w:basedOn w:val="17"/>
    <w:qFormat/>
    <w:uiPriority w:val="0"/>
  </w:style>
  <w:style w:type="character" w:customStyle="1" w:styleId="45">
    <w:name w:val="active4"/>
    <w:basedOn w:val="17"/>
    <w:qFormat/>
    <w:uiPriority w:val="0"/>
    <w:rPr>
      <w:color w:val="FFFFFF"/>
      <w:shd w:val="clear" w:fill="2B7AFC"/>
    </w:rPr>
  </w:style>
  <w:style w:type="character" w:customStyle="1" w:styleId="46">
    <w:name w:val="hover25"/>
    <w:basedOn w:val="17"/>
    <w:qFormat/>
    <w:uiPriority w:val="0"/>
  </w:style>
  <w:style w:type="character" w:customStyle="1" w:styleId="47">
    <w:name w:val="标题 4 Char"/>
    <w:link w:val="5"/>
    <w:qFormat/>
    <w:uiPriority w:val="0"/>
    <w:rPr>
      <w:rFonts w:ascii="Arial" w:hAnsi="Arial" w:eastAsia="黑体"/>
      <w:b/>
      <w:sz w:val="2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image" Target="media/image3.png"/><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0.docx</Template>
  <Company>Micorosoft</Company>
  <Pages>86</Pages>
  <Words>41823</Words>
  <Characters>44382</Characters>
  <Lines>287</Lines>
  <Paragraphs>80</Paragraphs>
  <TotalTime>0</TotalTime>
  <ScaleCrop>false</ScaleCrop>
  <LinksUpToDate>false</LinksUpToDate>
  <CharactersWithSpaces>45818</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2021-08-13T07:51:00Z</dcterms:created>
  <dc:creator>Sloth丶柒</dc:creator>
  <cp:lastModifiedBy>NTKO</cp:lastModifiedBy>
  <cp:lastPrinted>2022-06-08T23:00:00Z</cp:lastPrinted>
  <dcterms:modified xsi:type="dcterms:W3CDTF">2022-06-21T07:10:08Z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CA46B3BB66D94E2DA038D44C7CB47DCE</vt:lpwstr>
  </property>
</Properties>
</file>