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center"/>
        <w:textAlignment w:val="auto"/>
        <w:rPr>
          <w:rFonts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长葛市农村集体经营性建设用地使用权出让网上拍卖公告</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jc w:val="center"/>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（长葛市集体网拍（2023）1号）</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根据《中华人民共和国土地管理法》、《中华人民共和国城乡规划法》和《长葛市农村集体经营性建设用地入市管理办法（试行）》有关规定，由</w:t>
      </w:r>
      <w:r>
        <w:rPr>
          <w:rFonts w:hint="eastAsia" w:ascii="宋体" w:hAnsi="宋体" w:eastAsia="宋体" w:cs="宋体"/>
          <w:i w:val="0"/>
          <w:iCs w:val="0"/>
          <w:caps w:val="0"/>
          <w:color w:val="000000"/>
          <w:spacing w:val="0"/>
          <w:sz w:val="28"/>
          <w:szCs w:val="28"/>
          <w:u w:val="single"/>
        </w:rPr>
        <w:t>长葛市佛耳湖镇辛集村股份经济合作社</w:t>
      </w:r>
      <w:r>
        <w:rPr>
          <w:rFonts w:hint="eastAsia" w:ascii="宋体" w:hAnsi="宋体" w:eastAsia="宋体" w:cs="宋体"/>
          <w:i w:val="0"/>
          <w:iCs w:val="0"/>
          <w:caps w:val="0"/>
          <w:color w:val="000000"/>
          <w:spacing w:val="0"/>
          <w:sz w:val="28"/>
          <w:szCs w:val="28"/>
        </w:rPr>
        <w:t>申请，并经长葛市人民政府批准</w:t>
      </w:r>
      <w:r>
        <w:rPr>
          <w:rFonts w:hint="eastAsia" w:ascii="宋体" w:hAnsi="宋体" w:eastAsia="宋体" w:cs="宋体"/>
          <w:i w:val="0"/>
          <w:iCs w:val="0"/>
          <w:caps w:val="0"/>
          <w:color w:val="000000"/>
          <w:spacing w:val="0"/>
          <w:sz w:val="28"/>
          <w:szCs w:val="28"/>
          <w:shd w:val="clear" w:fill="FFFFFF"/>
        </w:rPr>
        <w:t>决定以网上拍卖方式出让以下1（幅）地块的集体经营性建设用地使用权。现将有关事项公告如下：</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一、拍卖地块的基本情况和规划指标要求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10"/>
        <w:gridCol w:w="1300"/>
        <w:gridCol w:w="1653"/>
        <w:gridCol w:w="1182"/>
        <w:gridCol w:w="1466"/>
        <w:gridCol w:w="1489"/>
        <w:gridCol w:w="1170"/>
        <w:gridCol w:w="1216"/>
        <w:gridCol w:w="1079"/>
        <w:gridCol w:w="898"/>
        <w:gridCol w:w="1012"/>
        <w:gridCol w:w="818"/>
        <w:gridCol w:w="1162"/>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10"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序号</w:t>
            </w:r>
          </w:p>
        </w:tc>
        <w:tc>
          <w:tcPr>
            <w:tcW w:w="1300"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地块编号</w:t>
            </w:r>
          </w:p>
        </w:tc>
        <w:tc>
          <w:tcPr>
            <w:tcW w:w="1653"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土地位置</w:t>
            </w:r>
          </w:p>
        </w:tc>
        <w:tc>
          <w:tcPr>
            <w:tcW w:w="1182"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宗地面积（㎡、亩）</w:t>
            </w:r>
          </w:p>
        </w:tc>
        <w:tc>
          <w:tcPr>
            <w:tcW w:w="1466"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出让面积（㎡、亩）</w:t>
            </w:r>
          </w:p>
        </w:tc>
        <w:tc>
          <w:tcPr>
            <w:tcW w:w="1489"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土地用途</w:t>
            </w:r>
          </w:p>
        </w:tc>
        <w:tc>
          <w:tcPr>
            <w:tcW w:w="1170"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出让年限</w:t>
            </w:r>
          </w:p>
        </w:tc>
        <w:tc>
          <w:tcPr>
            <w:tcW w:w="1216"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容积率</w:t>
            </w:r>
          </w:p>
        </w:tc>
        <w:tc>
          <w:tcPr>
            <w:tcW w:w="1079"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建筑密度</w:t>
            </w:r>
          </w:p>
        </w:tc>
        <w:tc>
          <w:tcPr>
            <w:tcW w:w="898"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绿地率</w:t>
            </w:r>
          </w:p>
        </w:tc>
        <w:tc>
          <w:tcPr>
            <w:tcW w:w="1012"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建筑限高（米）</w:t>
            </w:r>
          </w:p>
        </w:tc>
        <w:tc>
          <w:tcPr>
            <w:tcW w:w="818"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有无底价</w:t>
            </w:r>
          </w:p>
        </w:tc>
        <w:tc>
          <w:tcPr>
            <w:tcW w:w="1162"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起始价</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保证金</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增价幅度</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（万元）</w:t>
            </w:r>
          </w:p>
        </w:tc>
        <w:tc>
          <w:tcPr>
            <w:tcW w:w="743" w:type="dxa"/>
            <w:tcBorders>
              <w:top w:val="single" w:color="BBBBBB" w:sz="12" w:space="0"/>
              <w:left w:val="single" w:color="DDDDDD" w:sz="6" w:space="0"/>
              <w:bottom w:val="single" w:color="DDDDDD" w:sz="6" w:space="0"/>
              <w:right w:val="single" w:color="DDDDDD" w:sz="6" w:space="0"/>
            </w:tcBorders>
            <w:shd w:val="clear" w:color="auto" w:fill="F7F7F7"/>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b/>
                <w:bCs/>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土地开发程度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1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1</w:t>
            </w:r>
          </w:p>
        </w:tc>
        <w:tc>
          <w:tcPr>
            <w:tcW w:w="130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CGJT202301</w:t>
            </w:r>
          </w:p>
        </w:tc>
        <w:tc>
          <w:tcPr>
            <w:tcW w:w="165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Style w:val="6"/>
                <w:lang w:val="en-US" w:eastAsia="zh-CN" w:bidi="ar"/>
              </w:rPr>
              <w:t>钟繇大道西侧、现状道路北侧</w:t>
            </w:r>
          </w:p>
        </w:tc>
        <w:tc>
          <w:tcPr>
            <w:tcW w:w="1182"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20062.48</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（30.09）</w:t>
            </w:r>
          </w:p>
        </w:tc>
        <w:tc>
          <w:tcPr>
            <w:tcW w:w="146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18040.72</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（27.06）</w:t>
            </w:r>
          </w:p>
        </w:tc>
        <w:tc>
          <w:tcPr>
            <w:tcW w:w="148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Style w:val="6"/>
                <w:lang w:val="en-US" w:eastAsia="zh-CN" w:bidi="ar"/>
              </w:rPr>
              <w:t>工业用地</w:t>
            </w:r>
          </w:p>
        </w:tc>
        <w:tc>
          <w:tcPr>
            <w:tcW w:w="1170"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Style w:val="6"/>
                <w:lang w:val="en-US" w:eastAsia="zh-CN" w:bidi="ar"/>
              </w:rPr>
              <w:t>50年</w:t>
            </w:r>
          </w:p>
        </w:tc>
        <w:tc>
          <w:tcPr>
            <w:tcW w:w="1216"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Style w:val="6"/>
                <w:lang w:val="en-US" w:eastAsia="zh-CN" w:bidi="ar"/>
              </w:rPr>
              <w:t>≥1.0</w:t>
            </w:r>
          </w:p>
        </w:tc>
        <w:tc>
          <w:tcPr>
            <w:tcW w:w="1079"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Style w:val="6"/>
                <w:lang w:val="en-US" w:eastAsia="zh-CN" w:bidi="ar"/>
              </w:rPr>
              <w:t>≥40%</w:t>
            </w:r>
          </w:p>
        </w:tc>
        <w:tc>
          <w:tcPr>
            <w:tcW w:w="89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Style w:val="6"/>
                <w:lang w:val="en-US" w:eastAsia="zh-CN" w:bidi="ar"/>
              </w:rPr>
              <w:t>≤20%</w:t>
            </w:r>
          </w:p>
        </w:tc>
        <w:tc>
          <w:tcPr>
            <w:tcW w:w="1012"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Style w:val="6"/>
                <w:lang w:val="en-US" w:eastAsia="zh-CN" w:bidi="ar"/>
              </w:rPr>
              <w:t>≥8米</w:t>
            </w:r>
          </w:p>
        </w:tc>
        <w:tc>
          <w:tcPr>
            <w:tcW w:w="818"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Style w:val="7"/>
                <w:lang w:val="en-US" w:eastAsia="zh-CN" w:bidi="ar"/>
              </w:rPr>
              <w:t>无底价</w:t>
            </w:r>
          </w:p>
        </w:tc>
        <w:tc>
          <w:tcPr>
            <w:tcW w:w="1162"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olor w:val="000000"/>
                <w:kern w:val="0"/>
                <w:sz w:val="20"/>
                <w:szCs w:val="20"/>
                <w:u w:val="none"/>
                <w:lang w:val="en-US" w:eastAsia="zh-CN" w:bidi="ar"/>
              </w:rPr>
              <w:t>380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230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w:t>
            </w:r>
          </w:p>
        </w:tc>
        <w:tc>
          <w:tcPr>
            <w:tcW w:w="743" w:type="dxa"/>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olor w:val="000000"/>
                <w:kern w:val="0"/>
                <w:sz w:val="18"/>
                <w:szCs w:val="18"/>
                <w:u w:val="none"/>
                <w:lang w:val="en-US" w:eastAsia="zh-CN" w:bidi="ar"/>
              </w:rPr>
              <w:t>现状</w:t>
            </w:r>
          </w:p>
        </w:tc>
      </w:tr>
    </w:tbl>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具体以规划部门出具的规划指标为准，详见《规划设计条件通知书》。</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二、竞买申请条件和要求</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中华人民共和国境内外的法人、自然人和其他组织，符合网上出让公告或出让须知中明确的资格条件，均可参加本次国有建设用地使用权网上拍卖活动。竞买人须单独申请。</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三、确定竞得入选人方式</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本次集体经营性建设用地使用权网上拍卖出让按照价高者得原则确定竞得入选人。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（1）地块如果未设底价的，报价最高者即为竞得入选人。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（2）地块如果设有底价的，报价最高且不低于底价者即为竞得入选人。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四、报名及保证金截止时间</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竞买申请人可在2023年12月04日 08时00分至2023年12月24日 17时00分登录河南省土地使用权网上交易系统，提交申请。竞买保证金到账截止时间为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2023年12月24日 17时00分（地块编号：CGJT202301）。</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温馨提示：为避免因竞买保证金到账时间延误，影响您顺利获取网上交易竞买资格，建议您在保证金到账截止时间的1至2天之前交纳竞买保证金。</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五、拍卖时间及网址</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拍卖报价时间为：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CGJT202301地块： 2023年12月25日 10时00分00秒。</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拍卖网址：http://td.hnggzy.com。</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六、出让资料获取方式</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本次拍卖出让的详细资料和具体要求，见拍卖出让须知及其他出让文件。拍卖出让须知及其他出让文件可从网上交易系统查看和打印。</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七、资格审查</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right="0" w:firstLine="560" w:firstLineChars="200"/>
        <w:textAlignment w:val="auto"/>
        <w:rPr>
          <w:rFonts w:hint="eastAsia" w:ascii="宋体" w:hAnsi="宋体" w:eastAsia="宋体" w:cs="宋体"/>
          <w:i w:val="0"/>
          <w:iCs w:val="0"/>
          <w:caps w:val="0"/>
          <w:color w:val="000000"/>
          <w:spacing w:val="0"/>
          <w:sz w:val="28"/>
          <w:szCs w:val="28"/>
          <w:shd w:val="clear" w:color="auto" w:fill="FFFFFF"/>
        </w:rPr>
      </w:pPr>
      <w:r>
        <w:rPr>
          <w:rFonts w:hint="eastAsia" w:ascii="宋体" w:hAnsi="宋体" w:eastAsia="宋体" w:cs="宋体"/>
          <w:i w:val="0"/>
          <w:iCs w:val="0"/>
          <w:caps w:val="0"/>
          <w:color w:val="000000"/>
          <w:spacing w:val="0"/>
          <w:sz w:val="28"/>
          <w:szCs w:val="28"/>
          <w:shd w:val="clear" w:color="auto" w:fill="FFFFFF"/>
        </w:rPr>
        <w:t>本次</w:t>
      </w:r>
      <w:r>
        <w:rPr>
          <w:rFonts w:hint="eastAsia" w:ascii="宋体" w:hAnsi="宋体" w:eastAsia="宋体" w:cs="宋体"/>
          <w:i w:val="0"/>
          <w:iCs w:val="0"/>
          <w:caps w:val="0"/>
          <w:color w:val="000000"/>
          <w:spacing w:val="0"/>
          <w:sz w:val="28"/>
          <w:szCs w:val="28"/>
          <w:shd w:val="clear" w:fill="FFFFFF"/>
        </w:rPr>
        <w:t>集体经营性建设用地使用权</w:t>
      </w:r>
      <w:r>
        <w:rPr>
          <w:rFonts w:hint="eastAsia" w:ascii="宋体" w:hAnsi="宋体" w:eastAsia="宋体" w:cs="宋体"/>
          <w:i w:val="0"/>
          <w:iCs w:val="0"/>
          <w:caps w:val="0"/>
          <w:color w:val="000000"/>
          <w:spacing w:val="0"/>
          <w:sz w:val="28"/>
          <w:szCs w:val="28"/>
          <w:shd w:val="clear" w:color="auto" w:fill="FFFFFF"/>
        </w:rPr>
        <w:t>网上出让实行竞得入选人资格后审制度，即竞买申请人在网上交易系统按规定递交竞买申请并按时足额缴纳了竞买保证金后，网上交易系统将自动颁发</w:t>
      </w:r>
      <w:r>
        <w:rPr>
          <w:rFonts w:hint="eastAsia" w:ascii="宋体" w:hAnsi="宋体" w:eastAsia="宋体" w:cs="宋体"/>
          <w:i w:val="0"/>
          <w:iCs w:val="0"/>
          <w:caps w:val="0"/>
          <w:color w:val="000000"/>
          <w:spacing w:val="0"/>
          <w:sz w:val="28"/>
          <w:szCs w:val="28"/>
          <w:shd w:val="clear" w:fill="FFFFFF"/>
        </w:rPr>
        <w:t>《集体经营性建设用地使用权拍卖出让竞买资格确认书》</w:t>
      </w:r>
      <w:r>
        <w:rPr>
          <w:rFonts w:hint="eastAsia" w:ascii="宋体" w:hAnsi="宋体" w:eastAsia="宋体" w:cs="宋体"/>
          <w:i w:val="0"/>
          <w:iCs w:val="0"/>
          <w:caps w:val="0"/>
          <w:color w:val="000000"/>
          <w:spacing w:val="0"/>
          <w:sz w:val="28"/>
          <w:szCs w:val="28"/>
          <w:shd w:val="clear" w:color="auto" w:fill="FFFFFF"/>
        </w:rPr>
        <w:t>，确认其竞买资格，出让人只对网上交易的竞得入选人进行资格审查。按照《河南省人民政府办公厅关于转发河南省国有建设用地使用权网上交易管理办法的通知》（豫政办〔2015〕135号）文件和《河南省国土资源厅关于在行政管理事项中推进失信被执行人联合惩戒工作的通知》（豫国土资发〔2018〕105号）文件规定，明确被人民法院列入失信被执行人的禁止参加土地竞拍。</w:t>
      </w:r>
      <w:r>
        <w:rPr>
          <w:rFonts w:hint="eastAsia" w:ascii="宋体" w:hAnsi="宋体" w:eastAsia="宋体" w:cs="宋体"/>
          <w:i w:val="0"/>
          <w:iCs w:val="0"/>
          <w:caps w:val="0"/>
          <w:color w:val="000000"/>
          <w:spacing w:val="0"/>
          <w:sz w:val="28"/>
          <w:szCs w:val="28"/>
          <w:shd w:val="clear" w:color="auto" w:fill="FFFFFF"/>
          <w:lang w:val="en-US" w:eastAsia="zh-CN"/>
        </w:rPr>
        <w:t>出让人</w:t>
      </w:r>
      <w:bookmarkStart w:id="0" w:name="_GoBack"/>
      <w:bookmarkEnd w:id="0"/>
      <w:r>
        <w:rPr>
          <w:rFonts w:hint="eastAsia" w:ascii="宋体" w:hAnsi="宋体" w:eastAsia="宋体" w:cs="宋体"/>
          <w:i w:val="0"/>
          <w:iCs w:val="0"/>
          <w:caps w:val="0"/>
          <w:color w:val="000000"/>
          <w:spacing w:val="0"/>
          <w:sz w:val="28"/>
          <w:szCs w:val="28"/>
          <w:shd w:val="clear" w:color="auto" w:fill="FFFFFF"/>
        </w:rPr>
        <w:t>将在后置资格审核时增加“失信被执行人查询”的审核，若存在失信被执行人的情况，将拒绝与其签订成交确认书和土地出让合同，竞买保证金不予退还。如因竞得入选人的资格审查未通过，造成本次出让地块不成交的，由竞得入选人自行承担相应责任。</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八、风险提示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42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竞买人应该谨慎报价，报价一经提交，不得修改或者撤回。网上拍卖开始后，方可参加限时竞价。</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操作系统请使用Win7、Win8、Win10；浏览器请使用IE10以上版本，推荐使用360安全浏览器，其它操作系统与浏览器可能会影响您正常参与网上交易活动。数字证书驱动请到交易系统“服务指南-资料下载”中下载，并正确安装。请竞买人在竞买前仔细检查好自己电脑的运行环境，并先到网上交易模拟系统练习，以免影响您的报价、竞价。</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特此公告</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联系电话：</w:t>
      </w:r>
      <w:r>
        <w:rPr>
          <w:rFonts w:hint="eastAsia" w:ascii="宋体" w:hAnsi="宋体" w:eastAsia="宋体" w:cs="宋体"/>
          <w:i w:val="0"/>
          <w:iCs w:val="0"/>
          <w:caps w:val="0"/>
          <w:color w:val="000000"/>
          <w:spacing w:val="0"/>
          <w:sz w:val="27"/>
          <w:szCs w:val="27"/>
        </w:rPr>
        <w:t>13733671828 6110359</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联系人：王先生</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u w:val="single"/>
        </w:rPr>
        <w:t>长葛市佛耳湖镇辛集村股份经济合作社</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2023年12月04日</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N2FjNDlkMjcxYjhiOWM1NDg5ODY5YTZkZjcwZjUifQ=="/>
  </w:docVars>
  <w:rsids>
    <w:rsidRoot w:val="4B1B1DC2"/>
    <w:rsid w:val="1BF73705"/>
    <w:rsid w:val="1DCC1901"/>
    <w:rsid w:val="208C266E"/>
    <w:rsid w:val="25FB5A91"/>
    <w:rsid w:val="31197F4E"/>
    <w:rsid w:val="35E430E0"/>
    <w:rsid w:val="35F829D3"/>
    <w:rsid w:val="4B1B1DC2"/>
    <w:rsid w:val="50B45146"/>
    <w:rsid w:val="54C87412"/>
    <w:rsid w:val="5ED16751"/>
    <w:rsid w:val="699A7360"/>
    <w:rsid w:val="6D837F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41"/>
    <w:basedOn w:val="4"/>
    <w:uiPriority w:val="0"/>
    <w:rPr>
      <w:rFonts w:hint="eastAsia" w:ascii="仿宋" w:hAnsi="仿宋" w:eastAsia="仿宋" w:cs="仿宋"/>
      <w:color w:val="000000"/>
      <w:sz w:val="19"/>
      <w:szCs w:val="19"/>
      <w:u w:val="none"/>
    </w:rPr>
  </w:style>
  <w:style w:type="character" w:customStyle="1" w:styleId="7">
    <w:name w:val="font51"/>
    <w:basedOn w:val="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2023-12-04T02:28:00Z</dcterms:created>
  <dc:creator>DELL</dc:creator>
  <cp:lastModifiedBy>DELL</cp:lastModifiedBy>
  <cp:lastPrinted>2023-12-04T03:06:39Z</cp:lastPrinted>
  <dcterms:modified xsi:type="dcterms:W3CDTF">2023-12-04T03:52:06Z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939470B56AFF496295039F1E130DCA3E_13</vt:lpwstr>
  </property>
</Properties>
</file>