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32"/>
          <w:lang w:eastAsia="zh-CN"/>
        </w:rPr>
      </w:pPr>
      <w:r>
        <w:rPr>
          <w:rFonts w:hint="eastAsia"/>
          <w:sz w:val="36"/>
          <w:szCs w:val="32"/>
        </w:rPr>
        <w:t>襄CQJY-2022005襄城县</w:t>
      </w:r>
      <w:r>
        <w:rPr>
          <w:rFonts w:hint="eastAsia"/>
          <w:sz w:val="36"/>
          <w:szCs w:val="32"/>
          <w:lang w:eastAsia="zh-CN"/>
        </w:rPr>
        <w:t>颍阳镇</w:t>
      </w:r>
      <w:r>
        <w:rPr>
          <w:rFonts w:hint="eastAsia"/>
          <w:sz w:val="36"/>
          <w:szCs w:val="32"/>
        </w:rPr>
        <w:t>人民政府处置涉及的北刘庄社区集中式农村污水处理厂相关资产</w:t>
      </w:r>
      <w:r>
        <w:rPr>
          <w:rFonts w:hint="eastAsia"/>
          <w:sz w:val="36"/>
          <w:szCs w:val="32"/>
          <w:lang w:eastAsia="zh-CN"/>
        </w:rPr>
        <w:t>（二次）</w:t>
      </w:r>
    </w:p>
    <w:p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拍卖结果公示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受委托，我公司于202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年1月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日依法在许昌市公共资源交易网、“中拍平台”、“中国商网”等相关媒体发布拍卖公告，定于202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年1月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日1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: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0在襄城县公共资源交易中心12楼开标二室举行拍卖会，依法公开拍卖：襄城县县颍阳镇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人民政府处置涉及的污水处理厂相关资产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eastAsia="zh-CN"/>
        </w:rPr>
        <w:t>（二次）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。主要为房屋建筑物、机器设备、附属设施等，其中，房屋建筑物为设备用房1幢；设备为鼓风机、水泵、水处理设备、钢管、法兰、集水槽等，以实物现状为准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（详见拍卖文件）</w:t>
      </w:r>
      <w:r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  <w:t>因无人报名，拍卖标的全部流拍。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新宋体" w:hAnsi="新宋体" w:eastAsia="新宋体" w:cs="新宋体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Cs/>
          <w:color w:val="000000"/>
          <w:kern w:val="0"/>
          <w:sz w:val="24"/>
          <w:szCs w:val="24"/>
        </w:rPr>
        <w:t>特此公示，公示期限为5个工作日。</w:t>
      </w:r>
    </w:p>
    <w:p>
      <w:pPr>
        <w:widowControl/>
        <w:shd w:val="clear" w:color="auto" w:fill="FFFFFF"/>
        <w:spacing w:line="360" w:lineRule="auto"/>
        <w:ind w:firstLine="120" w:firstLineChars="50"/>
        <w:jc w:val="right"/>
        <w:rPr>
          <w:rFonts w:ascii="微软雅黑" w:hAnsi="微软雅黑" w:cs="宋体"/>
          <w:color w:val="000000"/>
          <w:kern w:val="0"/>
          <w:sz w:val="22"/>
          <w:szCs w:val="18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河南华夏拍卖有限公司</w:t>
      </w:r>
    </w:p>
    <w:p>
      <w:pPr>
        <w:widowControl/>
        <w:shd w:val="clear" w:color="auto" w:fill="FFFFFF"/>
        <w:spacing w:line="360" w:lineRule="auto"/>
        <w:ind w:firstLine="120" w:firstLineChars="50"/>
        <w:jc w:val="right"/>
        <w:rPr>
          <w:rFonts w:ascii="新宋体" w:hAnsi="新宋体" w:eastAsia="新宋体" w:cs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202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 xml:space="preserve">年1月 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新宋体" w:hAnsi="新宋体" w:eastAsia="新宋体" w:cs="新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jU0MTk0MTViNzZmM2Q1MGY1Y2I4MDQzM2RmN2IifQ=="/>
  </w:docVars>
  <w:rsids>
    <w:rsidRoot w:val="2FA13A42"/>
    <w:rsid w:val="0026624A"/>
    <w:rsid w:val="003C70CB"/>
    <w:rsid w:val="00544F15"/>
    <w:rsid w:val="00616AAF"/>
    <w:rsid w:val="008010CE"/>
    <w:rsid w:val="00A807C7"/>
    <w:rsid w:val="00D728E1"/>
    <w:rsid w:val="00E071E4"/>
    <w:rsid w:val="2FA13A42"/>
    <w:rsid w:val="3DA051DB"/>
    <w:rsid w:val="402D41C8"/>
    <w:rsid w:val="5C8D05EC"/>
    <w:rsid w:val="68E54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322</Characters>
  <Lines>1</Lines>
  <Paragraphs>1</Paragraphs>
  <TotalTime>0</TotalTime>
  <ScaleCrop>false</ScaleCrop>
  <LinksUpToDate>false</LinksUpToDate>
  <CharactersWithSpaces>323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2022-12-22T03:36:00Z</dcterms:created>
  <dc:creator>路途</dc:creator>
  <cp:lastModifiedBy>Administrator</cp:lastModifiedBy>
  <cp:lastPrinted>2022-12-22T03:43:00Z</cp:lastPrinted>
  <dcterms:modified xsi:type="dcterms:W3CDTF">2023-01-18T03:04:18Z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17E49F64AA8F4BB58A2006AED4F754E4</vt:lpwstr>
  </property>
</Properties>
</file>