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auto"/>
          <w:spacing w:val="20"/>
          <w:sz w:val="48"/>
          <w:szCs w:val="36"/>
          <w:lang w:val="en-US" w:eastAsia="zh-CN"/>
        </w:rPr>
      </w:pPr>
      <w:bookmarkStart w:id="0" w:name="_Hlk528156679"/>
    </w:p>
    <w:p>
      <w:pPr>
        <w:jc w:val="center"/>
        <w:rPr>
          <w:rFonts w:hint="eastAsia" w:ascii="宋体" w:hAnsi="宋体"/>
          <w:b/>
          <w:bCs/>
          <w:color w:val="auto"/>
          <w:spacing w:val="20"/>
          <w:sz w:val="48"/>
          <w:szCs w:val="36"/>
          <w:lang w:val="en-US" w:eastAsia="zh-CN"/>
        </w:rPr>
      </w:pPr>
      <w:r>
        <w:rPr>
          <w:rFonts w:hint="eastAsia" w:ascii="宋体" w:hAnsi="宋体"/>
          <w:b/>
          <w:bCs/>
          <w:color w:val="auto"/>
          <w:spacing w:val="20"/>
          <w:sz w:val="48"/>
          <w:szCs w:val="36"/>
          <w:lang w:val="en-US" w:eastAsia="zh-CN"/>
        </w:rPr>
        <w:drawing>
          <wp:inline distT="0" distB="0" distL="114300" distR="114300">
            <wp:extent cx="5365750" cy="7158990"/>
            <wp:effectExtent l="0" t="0" r="6350" b="3810"/>
            <wp:docPr id="3" name="图片 3" descr="b5f0e41abd345a82bd64ed159f6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5f0e41abd345a82bd64ed159f61188"/>
                    <pic:cNvPicPr>
                      <a:picLocks noChangeAspect="1"/>
                    </pic:cNvPicPr>
                  </pic:nvPicPr>
                  <pic:blipFill>
                    <a:blip r:embed="rId9"/>
                    <a:stretch>
                      <a:fillRect/>
                    </a:stretch>
                  </pic:blipFill>
                  <pic:spPr>
                    <a:xfrm>
                      <a:off x="0" y="0"/>
                      <a:ext cx="5365750" cy="7158990"/>
                    </a:xfrm>
                    <a:prstGeom prst="rect">
                      <a:avLst/>
                    </a:prstGeom>
                  </pic:spPr>
                </pic:pic>
              </a:graphicData>
            </a:graphic>
          </wp:inline>
        </w:drawing>
      </w:r>
    </w:p>
    <w:p>
      <w:pPr>
        <w:jc w:val="center"/>
        <w:rPr>
          <w:rFonts w:hint="eastAsia" w:ascii="宋体" w:hAnsi="宋体"/>
          <w:b/>
          <w:bCs/>
          <w:color w:val="auto"/>
          <w:spacing w:val="20"/>
          <w:sz w:val="48"/>
          <w:szCs w:val="36"/>
          <w:lang w:val="en-US" w:eastAsia="zh-CN"/>
        </w:rPr>
      </w:pPr>
    </w:p>
    <w:p>
      <w:pPr>
        <w:jc w:val="both"/>
        <w:rPr>
          <w:rFonts w:hint="eastAsia" w:ascii="宋体" w:hAnsi="宋体"/>
          <w:b/>
          <w:bCs/>
          <w:color w:val="auto"/>
          <w:spacing w:val="20"/>
          <w:sz w:val="48"/>
          <w:szCs w:val="36"/>
          <w:lang w:val="en-US" w:eastAsia="zh-CN"/>
        </w:rPr>
      </w:pPr>
    </w:p>
    <w:p>
      <w:pPr>
        <w:jc w:val="center"/>
        <w:rPr>
          <w:rFonts w:hint="eastAsia" w:ascii="宋体" w:hAnsi="宋体"/>
          <w:b/>
          <w:bCs/>
          <w:color w:val="auto"/>
          <w:spacing w:val="20"/>
          <w:sz w:val="48"/>
          <w:szCs w:val="36"/>
          <w:lang w:val="en-US" w:eastAsia="zh-CN"/>
        </w:rPr>
      </w:pPr>
    </w:p>
    <w:p>
      <w:pPr>
        <w:jc w:val="center"/>
        <w:rPr>
          <w:rFonts w:hint="eastAsia" w:eastAsia="宋体"/>
          <w:b/>
          <w:bCs/>
          <w:color w:val="auto"/>
          <w:spacing w:val="20"/>
          <w:sz w:val="96"/>
          <w:szCs w:val="96"/>
          <w:lang w:eastAsia="zh-CN"/>
        </w:rPr>
      </w:pPr>
      <w:r>
        <w:rPr>
          <w:rFonts w:hint="eastAsia" w:ascii="宋体" w:hAnsi="宋体"/>
          <w:b/>
          <w:bCs/>
          <w:color w:val="auto"/>
          <w:spacing w:val="20"/>
          <w:sz w:val="48"/>
          <w:szCs w:val="36"/>
          <w:lang w:val="en-US" w:eastAsia="zh-CN"/>
        </w:rPr>
        <w:t>长葛市机械零部件专业园区绿色工厂建设项目主体厂房维护及附属工程 （不见面开标）</w:t>
      </w:r>
    </w:p>
    <w:p/>
    <w:p>
      <w:pPr>
        <w:pStyle w:val="2"/>
      </w:pPr>
    </w:p>
    <w:p/>
    <w:p>
      <w:pPr>
        <w:pStyle w:val="2"/>
      </w:pPr>
    </w:p>
    <w:p>
      <w:pPr>
        <w:jc w:val="center"/>
        <w:rPr>
          <w:b/>
          <w:sz w:val="52"/>
          <w:szCs w:val="52"/>
        </w:rPr>
      </w:pPr>
      <w:r>
        <w:rPr>
          <w:rFonts w:hint="eastAsia"/>
          <w:b/>
          <w:bCs/>
          <w:color w:val="000000"/>
          <w:spacing w:val="20"/>
          <w:sz w:val="96"/>
          <w:szCs w:val="96"/>
        </w:rPr>
        <w:t>招标文件</w:t>
      </w:r>
    </w:p>
    <w:p>
      <w:pPr>
        <w:jc w:val="center"/>
        <w:rPr>
          <w:bCs/>
          <w:color w:val="000000"/>
          <w:sz w:val="24"/>
        </w:rPr>
      </w:pPr>
    </w:p>
    <w:p>
      <w:pPr>
        <w:jc w:val="center"/>
        <w:rPr>
          <w:b/>
          <w:bCs/>
          <w:color w:val="FF0000"/>
          <w:sz w:val="24"/>
          <w:szCs w:val="24"/>
        </w:rPr>
      </w:pPr>
      <w:r>
        <w:rPr>
          <w:rFonts w:hint="eastAsia"/>
          <w:b/>
          <w:bCs/>
          <w:sz w:val="32"/>
          <w:szCs w:val="32"/>
        </w:rPr>
        <w:t>项目编号：长交建【2022】GZ</w:t>
      </w:r>
      <w:r>
        <w:rPr>
          <w:rFonts w:hint="eastAsia"/>
          <w:b/>
          <w:bCs/>
          <w:sz w:val="32"/>
          <w:szCs w:val="32"/>
          <w:lang w:val="en-US" w:eastAsia="zh-CN"/>
        </w:rPr>
        <w:t>031</w:t>
      </w:r>
      <w:r>
        <w:rPr>
          <w:rFonts w:hint="eastAsia"/>
          <w:b/>
          <w:bCs/>
          <w:sz w:val="32"/>
          <w:szCs w:val="32"/>
        </w:rPr>
        <w:t>号</w:t>
      </w:r>
    </w:p>
    <w:p>
      <w:pPr>
        <w:widowControl/>
        <w:jc w:val="left"/>
        <w:rPr>
          <w:rFonts w:ascii="宋体" w:hAnsi="宋体" w:cs="宋体"/>
          <w:kern w:val="0"/>
          <w:sz w:val="24"/>
          <w:szCs w:val="24"/>
        </w:rPr>
      </w:pPr>
    </w:p>
    <w:p>
      <w:pPr>
        <w:pStyle w:val="2"/>
      </w:pPr>
      <w:r>
        <w:rPr>
          <w:rFonts w:eastAsia="等线"/>
        </w:rPr>
        <w:tab/>
      </w:r>
    </w:p>
    <w:p>
      <w:pPr>
        <w:autoSpaceDE w:val="0"/>
        <w:autoSpaceDN w:val="0"/>
        <w:adjustRightInd w:val="0"/>
        <w:ind w:firstLine="643" w:firstLineChars="200"/>
        <w:rPr>
          <w:rFonts w:hint="eastAsia"/>
          <w:b/>
          <w:bCs/>
          <w:color w:val="auto"/>
          <w:sz w:val="32"/>
          <w:szCs w:val="32"/>
          <w:lang w:val="en-US" w:eastAsia="zh-CN"/>
        </w:rPr>
      </w:pPr>
      <w:r>
        <w:rPr>
          <w:rFonts w:hint="eastAsia"/>
          <w:b/>
          <w:bCs/>
          <w:color w:val="000000"/>
          <w:sz w:val="32"/>
          <w:szCs w:val="32"/>
        </w:rPr>
        <w:t xml:space="preserve">招标人：长葛市坡胡镇人民政府 </w:t>
      </w:r>
    </w:p>
    <w:p>
      <w:pPr>
        <w:autoSpaceDE w:val="0"/>
        <w:autoSpaceDN w:val="0"/>
        <w:adjustRightInd w:val="0"/>
        <w:ind w:firstLine="643" w:firstLineChars="200"/>
        <w:rPr>
          <w:rFonts w:hint="eastAsia"/>
          <w:b/>
          <w:bCs/>
          <w:color w:val="000000"/>
          <w:sz w:val="32"/>
          <w:szCs w:val="32"/>
          <w:lang w:val="en-US" w:eastAsia="zh-CN"/>
        </w:rPr>
      </w:pPr>
      <w:r>
        <w:rPr>
          <w:rFonts w:hint="eastAsia"/>
          <w:b/>
          <w:bCs/>
          <w:color w:val="000000"/>
          <w:sz w:val="32"/>
          <w:szCs w:val="32"/>
        </w:rPr>
        <w:t>招标代理机构：</w:t>
      </w:r>
      <w:r>
        <w:rPr>
          <w:rFonts w:hint="eastAsia"/>
          <w:b/>
          <w:bCs/>
          <w:color w:val="000000"/>
          <w:sz w:val="32"/>
          <w:szCs w:val="32"/>
          <w:lang w:eastAsia="zh-CN"/>
        </w:rPr>
        <w:t>河南践诺工程管理有限公司</w:t>
      </w:r>
    </w:p>
    <w:p>
      <w:pPr>
        <w:autoSpaceDE w:val="0"/>
        <w:autoSpaceDN w:val="0"/>
        <w:adjustRightInd w:val="0"/>
        <w:ind w:firstLine="643" w:firstLineChars="200"/>
        <w:rPr>
          <w:sz w:val="36"/>
          <w:szCs w:val="36"/>
        </w:rPr>
      </w:pPr>
      <w:r>
        <w:rPr>
          <w:rFonts w:hint="eastAsia"/>
          <w:b/>
          <w:sz w:val="32"/>
          <w:szCs w:val="32"/>
        </w:rPr>
        <w:t>日期：二〇二</w:t>
      </w:r>
      <w:r>
        <w:rPr>
          <w:rFonts w:hint="eastAsia"/>
          <w:b/>
          <w:sz w:val="32"/>
          <w:szCs w:val="32"/>
          <w:lang w:val="en-US" w:eastAsia="zh-CN"/>
        </w:rPr>
        <w:t>二</w:t>
      </w:r>
      <w:r>
        <w:rPr>
          <w:rFonts w:hint="eastAsia"/>
          <w:b/>
          <w:sz w:val="32"/>
          <w:szCs w:val="32"/>
        </w:rPr>
        <w:t>年</w:t>
      </w:r>
      <w:r>
        <w:rPr>
          <w:rFonts w:hint="eastAsia"/>
          <w:b/>
          <w:sz w:val="32"/>
          <w:szCs w:val="32"/>
          <w:lang w:eastAsia="zh-CN"/>
        </w:rPr>
        <w:t>八</w:t>
      </w:r>
      <w:r>
        <w:rPr>
          <w:rFonts w:hint="eastAsia"/>
          <w:b/>
          <w:sz w:val="32"/>
          <w:szCs w:val="32"/>
        </w:rPr>
        <w:t>月</w:t>
      </w:r>
      <w:bookmarkEnd w:id="0"/>
    </w:p>
    <w:p>
      <w:pPr>
        <w:autoSpaceDE w:val="0"/>
        <w:autoSpaceDN w:val="0"/>
        <w:adjustRightInd w:val="0"/>
        <w:spacing w:line="360" w:lineRule="auto"/>
        <w:jc w:val="center"/>
        <w:rPr>
          <w:rFonts w:hint="eastAsia" w:ascii="宋体" w:hAnsi="宋体" w:cs="宋体"/>
          <w:b/>
          <w:bCs/>
          <w:sz w:val="44"/>
          <w:szCs w:val="44"/>
        </w:rPr>
      </w:pPr>
    </w:p>
    <w:p>
      <w:pPr>
        <w:autoSpaceDE w:val="0"/>
        <w:autoSpaceDN w:val="0"/>
        <w:adjustRightInd w:val="0"/>
        <w:spacing w:line="360" w:lineRule="auto"/>
        <w:jc w:val="center"/>
        <w:rPr>
          <w:rFonts w:hint="eastAsia" w:ascii="宋体" w:hAnsi="宋体" w:cs="宋体"/>
          <w:b/>
          <w:bCs/>
          <w:sz w:val="44"/>
          <w:szCs w:val="44"/>
        </w:rPr>
      </w:pPr>
    </w:p>
    <w:p>
      <w:pPr>
        <w:autoSpaceDE w:val="0"/>
        <w:autoSpaceDN w:val="0"/>
        <w:adjustRightInd w:val="0"/>
        <w:spacing w:line="360" w:lineRule="auto"/>
        <w:jc w:val="center"/>
        <w:rPr>
          <w:rFonts w:hint="eastAsia" w:ascii="宋体" w:hAnsi="宋体" w:cs="宋体"/>
          <w:b/>
          <w:bCs/>
          <w:sz w:val="44"/>
          <w:szCs w:val="44"/>
        </w:rPr>
      </w:pPr>
    </w:p>
    <w:p>
      <w:pPr>
        <w:autoSpaceDE w:val="0"/>
        <w:autoSpaceDN w:val="0"/>
        <w:adjustRightInd w:val="0"/>
        <w:spacing w:line="360" w:lineRule="auto"/>
        <w:jc w:val="both"/>
        <w:rPr>
          <w:rFonts w:hint="eastAsia" w:ascii="宋体" w:hAnsi="宋体" w:cs="宋体"/>
          <w:b/>
          <w:bCs/>
          <w:sz w:val="44"/>
          <w:szCs w:val="44"/>
        </w:rPr>
        <w:sectPr>
          <w:footerReference r:id="rId3" w:type="default"/>
          <w:pgSz w:w="11906" w:h="16838"/>
          <w:pgMar w:top="1440" w:right="1689" w:bottom="1440" w:left="1746" w:header="720" w:footer="720" w:gutter="0"/>
          <w:pgNumType w:start="1"/>
          <w:cols w:space="720" w:num="1"/>
          <w:docGrid w:type="lines" w:linePitch="312" w:charSpace="0"/>
        </w:sectPr>
      </w:pPr>
    </w:p>
    <w:p>
      <w:pPr>
        <w:autoSpaceDE w:val="0"/>
        <w:autoSpaceDN w:val="0"/>
        <w:adjustRightInd w:val="0"/>
        <w:spacing w:line="360" w:lineRule="auto"/>
        <w:jc w:val="center"/>
        <w:rPr>
          <w:rFonts w:ascii="宋体" w:hAnsi="宋体" w:cs="宋体"/>
          <w:b/>
          <w:bCs/>
          <w:sz w:val="44"/>
          <w:szCs w:val="44"/>
        </w:rPr>
      </w:pPr>
      <w:r>
        <w:rPr>
          <w:rFonts w:hint="eastAsia" w:ascii="宋体" w:hAnsi="宋体" w:cs="宋体"/>
          <w:b/>
          <w:bCs/>
          <w:sz w:val="44"/>
          <w:szCs w:val="44"/>
        </w:rPr>
        <w:t>目录</w:t>
      </w:r>
    </w:p>
    <w:p>
      <w:pPr>
        <w:pStyle w:val="21"/>
        <w:spacing w:line="360" w:lineRule="auto"/>
        <w:ind w:firstLine="200"/>
        <w:rPr>
          <w:rFonts w:ascii="宋体" w:hAnsi="宋体" w:cs="宋体"/>
        </w:rPr>
      </w:pPr>
    </w:p>
    <w:p>
      <w:pPr>
        <w:pStyle w:val="21"/>
        <w:ind w:firstLine="200"/>
        <w:rPr>
          <w:rFonts w:ascii="宋体" w:hAnsi="宋体"/>
          <w:sz w:val="28"/>
          <w:szCs w:val="28"/>
        </w:rPr>
      </w:pPr>
      <w:r>
        <w:fldChar w:fldCharType="begin"/>
      </w:r>
      <w:r>
        <w:instrText xml:space="preserve"> HYPERLINK \l "_Toc28446_" </w:instrText>
      </w:r>
      <w:r>
        <w:fldChar w:fldCharType="separate"/>
      </w:r>
      <w:r>
        <w:rPr>
          <w:rStyle w:val="19"/>
          <w:rFonts w:hint="eastAsia" w:ascii="宋体" w:hAnsi="宋体"/>
          <w:b/>
          <w:bCs/>
          <w:sz w:val="28"/>
          <w:szCs w:val="28"/>
        </w:rPr>
        <w:t>第一章  招标公告</w:t>
      </w:r>
      <w:r>
        <w:rPr>
          <w:rStyle w:val="19"/>
          <w:rFonts w:hint="eastAsia" w:ascii="宋体" w:hAnsi="宋体"/>
          <w:b/>
          <w:bCs/>
          <w:sz w:val="28"/>
          <w:szCs w:val="28"/>
        </w:rPr>
        <w:fldChar w:fldCharType="end"/>
      </w:r>
    </w:p>
    <w:p>
      <w:pPr>
        <w:pStyle w:val="21"/>
        <w:ind w:firstLine="200"/>
        <w:rPr>
          <w:rFonts w:ascii="宋体" w:hAnsi="宋体"/>
          <w:sz w:val="28"/>
          <w:szCs w:val="28"/>
        </w:rPr>
      </w:pPr>
      <w:r>
        <w:fldChar w:fldCharType="begin"/>
      </w:r>
      <w:r>
        <w:instrText xml:space="preserve"> HYPERLINK \l "_Toc27617_" </w:instrText>
      </w:r>
      <w:r>
        <w:fldChar w:fldCharType="separate"/>
      </w:r>
      <w:r>
        <w:rPr>
          <w:rStyle w:val="19"/>
          <w:rFonts w:hint="eastAsia" w:ascii="宋体" w:hAnsi="宋体"/>
          <w:b/>
          <w:bCs/>
          <w:sz w:val="28"/>
          <w:szCs w:val="28"/>
        </w:rPr>
        <w:t>第二章  投标人须知</w:t>
      </w:r>
      <w:r>
        <w:rPr>
          <w:rStyle w:val="19"/>
          <w:rFonts w:hint="eastAsia" w:ascii="宋体" w:hAnsi="宋体"/>
          <w:b/>
          <w:bCs/>
          <w:sz w:val="28"/>
          <w:szCs w:val="28"/>
        </w:rPr>
        <w:fldChar w:fldCharType="end"/>
      </w:r>
    </w:p>
    <w:p>
      <w:pPr>
        <w:pStyle w:val="21"/>
        <w:ind w:firstLine="200"/>
        <w:rPr>
          <w:rFonts w:ascii="宋体" w:hAnsi="宋体"/>
          <w:sz w:val="28"/>
          <w:szCs w:val="28"/>
        </w:rPr>
      </w:pPr>
      <w:r>
        <w:fldChar w:fldCharType="begin"/>
      </w:r>
      <w:r>
        <w:instrText xml:space="preserve"> HYPERLINK \l "_Toc12931_" </w:instrText>
      </w:r>
      <w:r>
        <w:fldChar w:fldCharType="separate"/>
      </w:r>
      <w:r>
        <w:rPr>
          <w:rStyle w:val="19"/>
          <w:rFonts w:hint="eastAsia" w:ascii="宋体" w:hAnsi="宋体"/>
          <w:b/>
          <w:bCs/>
          <w:sz w:val="28"/>
          <w:szCs w:val="28"/>
        </w:rPr>
        <w:t>第三章  评标</w:t>
      </w:r>
      <w:bookmarkStart w:id="1" w:name="_Hlt528156877"/>
      <w:bookmarkStart w:id="2" w:name="_Hlt528156886"/>
      <w:bookmarkStart w:id="3" w:name="_Hlt528156883"/>
      <w:bookmarkStart w:id="4" w:name="_Hlt528156885"/>
      <w:bookmarkStart w:id="5" w:name="_Hlt528156880"/>
      <w:bookmarkStart w:id="6" w:name="_Hlt528156879"/>
      <w:bookmarkStart w:id="7" w:name="_Hlt528156881"/>
      <w:bookmarkStart w:id="8" w:name="_Hlt528156882"/>
      <w:bookmarkStart w:id="9" w:name="_Hlt528156884"/>
      <w:bookmarkStart w:id="10" w:name="_Hlt528156876"/>
      <w:bookmarkStart w:id="11" w:name="_Hlt528156878"/>
      <w:r>
        <w:rPr>
          <w:rStyle w:val="19"/>
          <w:rFonts w:hint="eastAsia" w:ascii="宋体" w:hAnsi="宋体"/>
          <w:b/>
          <w:bCs/>
          <w:sz w:val="28"/>
          <w:szCs w:val="28"/>
        </w:rPr>
        <w:t>办</w:t>
      </w:r>
      <w:bookmarkEnd w:id="1"/>
      <w:bookmarkEnd w:id="2"/>
      <w:bookmarkEnd w:id="3"/>
      <w:bookmarkEnd w:id="4"/>
      <w:bookmarkEnd w:id="5"/>
      <w:bookmarkEnd w:id="6"/>
      <w:bookmarkEnd w:id="7"/>
      <w:bookmarkEnd w:id="8"/>
      <w:bookmarkEnd w:id="9"/>
      <w:bookmarkEnd w:id="10"/>
      <w:bookmarkEnd w:id="11"/>
      <w:r>
        <w:rPr>
          <w:rStyle w:val="19"/>
          <w:rFonts w:hint="eastAsia" w:ascii="宋体" w:hAnsi="宋体"/>
          <w:b/>
          <w:bCs/>
          <w:sz w:val="28"/>
          <w:szCs w:val="28"/>
        </w:rPr>
        <w:t>法（综合</w:t>
      </w:r>
      <w:bookmarkStart w:id="12" w:name="_Hlt528156873"/>
      <w:bookmarkStart w:id="13" w:name="_Hlt528156874"/>
      <w:r>
        <w:rPr>
          <w:rStyle w:val="19"/>
          <w:rFonts w:hint="eastAsia" w:ascii="宋体" w:hAnsi="宋体"/>
          <w:b/>
          <w:bCs/>
          <w:sz w:val="28"/>
          <w:szCs w:val="28"/>
        </w:rPr>
        <w:t>评标法</w:t>
      </w:r>
      <w:bookmarkEnd w:id="12"/>
      <w:bookmarkEnd w:id="13"/>
      <w:r>
        <w:rPr>
          <w:rStyle w:val="19"/>
          <w:rFonts w:hint="eastAsia" w:ascii="宋体" w:hAnsi="宋体"/>
          <w:b/>
          <w:bCs/>
          <w:sz w:val="28"/>
          <w:szCs w:val="28"/>
        </w:rPr>
        <w:t>）</w:t>
      </w:r>
      <w:r>
        <w:rPr>
          <w:rStyle w:val="19"/>
          <w:rFonts w:hint="eastAsia" w:ascii="宋体" w:hAnsi="宋体"/>
          <w:b/>
          <w:bCs/>
          <w:sz w:val="28"/>
          <w:szCs w:val="28"/>
        </w:rPr>
        <w:fldChar w:fldCharType="end"/>
      </w:r>
    </w:p>
    <w:p>
      <w:pPr>
        <w:pStyle w:val="21"/>
        <w:ind w:firstLine="200"/>
        <w:rPr>
          <w:rFonts w:ascii="宋体" w:hAnsi="宋体"/>
          <w:sz w:val="28"/>
          <w:szCs w:val="28"/>
        </w:rPr>
      </w:pPr>
      <w:r>
        <w:fldChar w:fldCharType="begin"/>
      </w:r>
      <w:r>
        <w:instrText xml:space="preserve"> HYPERLINK \l "_Toc26486_" </w:instrText>
      </w:r>
      <w:r>
        <w:fldChar w:fldCharType="separate"/>
      </w:r>
      <w:r>
        <w:rPr>
          <w:rStyle w:val="19"/>
          <w:rFonts w:hint="eastAsia" w:ascii="宋体" w:hAnsi="宋体"/>
          <w:b/>
          <w:bCs/>
          <w:sz w:val="28"/>
          <w:szCs w:val="28"/>
        </w:rPr>
        <w:t>第四章 合同条款及格式</w:t>
      </w:r>
      <w:r>
        <w:rPr>
          <w:rStyle w:val="19"/>
          <w:rFonts w:hint="eastAsia" w:ascii="宋体" w:hAnsi="宋体"/>
          <w:b/>
          <w:bCs/>
          <w:sz w:val="28"/>
          <w:szCs w:val="28"/>
        </w:rPr>
        <w:fldChar w:fldCharType="end"/>
      </w:r>
    </w:p>
    <w:p>
      <w:pPr>
        <w:pStyle w:val="21"/>
        <w:ind w:firstLine="200"/>
        <w:rPr>
          <w:rFonts w:ascii="宋体" w:hAnsi="宋体"/>
          <w:sz w:val="28"/>
          <w:szCs w:val="28"/>
        </w:rPr>
      </w:pPr>
      <w:r>
        <w:fldChar w:fldCharType="begin"/>
      </w:r>
      <w:r>
        <w:instrText xml:space="preserve"> HYPERLINK \l "_Toc8159_" </w:instrText>
      </w:r>
      <w:r>
        <w:fldChar w:fldCharType="separate"/>
      </w:r>
      <w:r>
        <w:rPr>
          <w:rStyle w:val="19"/>
          <w:rFonts w:hint="eastAsia" w:ascii="宋体" w:hAnsi="宋体"/>
          <w:b/>
          <w:bCs/>
          <w:sz w:val="28"/>
          <w:szCs w:val="28"/>
        </w:rPr>
        <w:t>第五章  工程量清单</w:t>
      </w:r>
      <w:r>
        <w:rPr>
          <w:rStyle w:val="19"/>
          <w:rFonts w:hint="eastAsia" w:ascii="宋体" w:hAnsi="宋体"/>
          <w:b/>
          <w:bCs/>
          <w:sz w:val="28"/>
          <w:szCs w:val="28"/>
        </w:rPr>
        <w:fldChar w:fldCharType="end"/>
      </w:r>
    </w:p>
    <w:p>
      <w:pPr>
        <w:pStyle w:val="21"/>
        <w:ind w:firstLine="200"/>
        <w:rPr>
          <w:sz w:val="28"/>
          <w:szCs w:val="28"/>
        </w:rPr>
      </w:pPr>
      <w:r>
        <w:fldChar w:fldCharType="begin"/>
      </w:r>
      <w:r>
        <w:instrText xml:space="preserve"> HYPERLINK \l "_Toc32164_" </w:instrText>
      </w:r>
      <w:r>
        <w:fldChar w:fldCharType="separate"/>
      </w:r>
      <w:r>
        <w:rPr>
          <w:rStyle w:val="19"/>
          <w:rFonts w:hint="eastAsia" w:ascii="宋体" w:hAnsi="宋体"/>
          <w:b/>
          <w:bCs/>
          <w:sz w:val="28"/>
          <w:szCs w:val="28"/>
        </w:rPr>
        <w:t>第六章  技术标准和要求</w:t>
      </w:r>
      <w:r>
        <w:rPr>
          <w:rStyle w:val="19"/>
          <w:rFonts w:hint="eastAsia" w:ascii="宋体" w:hAnsi="宋体"/>
          <w:b/>
          <w:bCs/>
          <w:sz w:val="28"/>
          <w:szCs w:val="28"/>
        </w:rPr>
        <w:fldChar w:fldCharType="end"/>
      </w:r>
    </w:p>
    <w:p>
      <w:pPr>
        <w:pStyle w:val="21"/>
        <w:ind w:firstLine="281"/>
        <w:rPr>
          <w:b/>
          <w:sz w:val="28"/>
          <w:szCs w:val="28"/>
        </w:rPr>
      </w:pPr>
      <w:r>
        <w:rPr>
          <w:rFonts w:hint="eastAsia"/>
          <w:b/>
          <w:sz w:val="28"/>
          <w:szCs w:val="28"/>
        </w:rPr>
        <w:t>第七章   投标文件格式</w:t>
      </w:r>
    </w:p>
    <w:p>
      <w:pPr>
        <w:autoSpaceDE w:val="0"/>
        <w:autoSpaceDN w:val="0"/>
        <w:spacing w:line="360" w:lineRule="auto"/>
        <w:ind w:firstLine="422" w:firstLineChars="200"/>
        <w:jc w:val="left"/>
        <w:outlineLvl w:val="0"/>
        <w:rPr>
          <w:rFonts w:ascii="宋体" w:hAnsi="宋体" w:cs="宋体"/>
          <w:b/>
          <w:bCs/>
        </w:rPr>
      </w:pPr>
    </w:p>
    <w:p>
      <w:pPr>
        <w:autoSpaceDE w:val="0"/>
        <w:autoSpaceDN w:val="0"/>
        <w:spacing w:line="360" w:lineRule="auto"/>
        <w:outlineLvl w:val="0"/>
        <w:rPr>
          <w:rFonts w:ascii="宋体" w:hAnsi="宋体" w:cs="宋体"/>
          <w:sz w:val="24"/>
          <w:szCs w:val="24"/>
        </w:rPr>
      </w:pPr>
      <w:bookmarkStart w:id="14" w:name="_Toc397605780"/>
      <w:bookmarkEnd w:id="14"/>
      <w:bookmarkStart w:id="15" w:name="_Toc28446"/>
      <w:bookmarkEnd w:id="15"/>
      <w:bookmarkStart w:id="16" w:name="_Toc464824529"/>
      <w:bookmarkEnd w:id="16"/>
    </w:p>
    <w:p>
      <w:pPr>
        <w:widowControl/>
        <w:spacing w:line="360" w:lineRule="auto"/>
        <w:jc w:val="left"/>
        <w:rPr>
          <w:rFonts w:ascii="宋体" w:hAnsi="宋体" w:cs="宋体"/>
          <w:b/>
          <w:bCs/>
          <w:kern w:val="0"/>
          <w:sz w:val="36"/>
          <w:szCs w:val="36"/>
        </w:rPr>
        <w:sectPr>
          <w:pgSz w:w="11906" w:h="16838"/>
          <w:pgMar w:top="1440" w:right="1689" w:bottom="1440" w:left="1746" w:header="720" w:footer="720" w:gutter="0"/>
          <w:cols w:space="720" w:num="1"/>
          <w:docGrid w:type="lines" w:linePitch="312" w:charSpace="0"/>
        </w:sectPr>
      </w:pPr>
    </w:p>
    <w:p>
      <w:pPr>
        <w:autoSpaceDE w:val="0"/>
        <w:autoSpaceDN w:val="0"/>
        <w:spacing w:line="360" w:lineRule="auto"/>
        <w:jc w:val="center"/>
        <w:outlineLvl w:val="0"/>
        <w:rPr>
          <w:rFonts w:ascii="宋体" w:hAnsi="宋体" w:cs="宋体"/>
          <w:b/>
          <w:bCs/>
          <w:sz w:val="32"/>
          <w:szCs w:val="32"/>
        </w:rPr>
      </w:pPr>
      <w:bookmarkStart w:id="17" w:name="_Toc27617"/>
      <w:bookmarkEnd w:id="17"/>
      <w:bookmarkStart w:id="18" w:name="_Toc397507514"/>
      <w:bookmarkEnd w:id="18"/>
      <w:bookmarkStart w:id="19" w:name="_Toc397605796"/>
      <w:bookmarkEnd w:id="19"/>
      <w:bookmarkStart w:id="20" w:name="_Toc397507927"/>
      <w:bookmarkEnd w:id="20"/>
      <w:bookmarkStart w:id="21" w:name="_Toc464824549"/>
      <w:bookmarkEnd w:id="21"/>
      <w:r>
        <w:rPr>
          <w:rFonts w:hint="eastAsia" w:ascii="宋体" w:hAnsi="宋体" w:cs="宋体"/>
          <w:b/>
          <w:bCs/>
          <w:sz w:val="32"/>
          <w:szCs w:val="32"/>
        </w:rPr>
        <w:t>第一章   招标公告</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0"/>
        <w:rPr>
          <w:rFonts w:ascii="宋体" w:hAnsi="宋体"/>
          <w:b/>
          <w:bCs/>
          <w:sz w:val="32"/>
          <w:szCs w:val="32"/>
        </w:rPr>
      </w:pPr>
      <w:r>
        <w:rPr>
          <w:rFonts w:hint="eastAsia" w:ascii="宋体" w:hAnsi="宋体"/>
          <w:b/>
          <w:bCs/>
          <w:sz w:val="32"/>
          <w:szCs w:val="32"/>
          <w:lang w:val="en-US" w:eastAsia="zh-CN"/>
        </w:rPr>
        <w:t xml:space="preserve">长葛市机械零部件专业园区绿色工厂建设项目主体厂房维护及附属工程 </w:t>
      </w:r>
      <w:r>
        <w:rPr>
          <w:rFonts w:hint="eastAsia" w:ascii="宋体" w:hAnsi="宋体"/>
          <w:b/>
          <w:bCs/>
          <w:sz w:val="32"/>
          <w:szCs w:val="32"/>
        </w:rPr>
        <w:t>（不见面开标）招标公告</w:t>
      </w:r>
    </w:p>
    <w:p>
      <w:pPr>
        <w:autoSpaceDE w:val="0"/>
        <w:autoSpaceDN w:val="0"/>
        <w:spacing w:line="460" w:lineRule="exact"/>
        <w:ind w:firstLine="482" w:firstLineChars="200"/>
        <w:outlineLvl w:val="0"/>
        <w:rPr>
          <w:rFonts w:ascii="宋体" w:hAnsi="宋体"/>
          <w:b/>
          <w:bCs/>
          <w:sz w:val="24"/>
          <w:szCs w:val="24"/>
        </w:rPr>
      </w:pPr>
      <w:r>
        <w:rPr>
          <w:rFonts w:hint="eastAsia" w:ascii="宋体" w:hAnsi="宋体"/>
          <w:b/>
          <w:bCs/>
          <w:sz w:val="24"/>
          <w:szCs w:val="24"/>
        </w:rPr>
        <w:t>一、招标条件</w:t>
      </w:r>
    </w:p>
    <w:p>
      <w:pPr>
        <w:autoSpaceDE w:val="0"/>
        <w:autoSpaceDN w:val="0"/>
        <w:spacing w:line="460" w:lineRule="exact"/>
        <w:ind w:firstLine="480" w:firstLineChars="200"/>
        <w:outlineLvl w:val="0"/>
        <w:rPr>
          <w:rFonts w:ascii="宋体" w:hAnsi="宋体" w:cs="宋体"/>
          <w:sz w:val="24"/>
        </w:rPr>
      </w:pPr>
      <w:r>
        <w:rPr>
          <w:rFonts w:hint="eastAsia" w:ascii="宋体" w:hAnsi="宋体"/>
          <w:sz w:val="24"/>
          <w:szCs w:val="24"/>
          <w:lang w:val="en-US" w:eastAsia="zh-CN"/>
        </w:rPr>
        <w:t>本招标项目长葛市机械零部件专业园区绿色工厂建设项目主体厂房维护及附属工程 （不见面开标）已由</w:t>
      </w:r>
      <w:r>
        <w:rPr>
          <w:rFonts w:hint="eastAsia" w:ascii="宋体" w:hAnsi="宋体"/>
          <w:color w:val="auto"/>
          <w:sz w:val="24"/>
          <w:szCs w:val="24"/>
          <w:lang w:val="en-US" w:eastAsia="zh-CN"/>
        </w:rPr>
        <w:t>长葛市发展和改革委员会</w:t>
      </w:r>
      <w:r>
        <w:rPr>
          <w:rFonts w:hint="eastAsia" w:ascii="宋体" w:hAnsi="宋体" w:cs="宋体"/>
          <w:color w:val="auto"/>
          <w:sz w:val="24"/>
          <w:lang w:val="en-US" w:eastAsia="zh-CN"/>
        </w:rPr>
        <w:t>长发改工业【2020】9</w:t>
      </w:r>
      <w:r>
        <w:rPr>
          <w:rFonts w:hint="eastAsia" w:ascii="宋体" w:hAnsi="宋体" w:cs="宋体"/>
          <w:color w:val="auto"/>
          <w:sz w:val="24"/>
        </w:rPr>
        <w:t>号</w:t>
      </w:r>
      <w:r>
        <w:rPr>
          <w:rFonts w:hint="eastAsia" w:ascii="宋体" w:hAnsi="宋体"/>
          <w:color w:val="auto"/>
          <w:sz w:val="24"/>
          <w:szCs w:val="24"/>
          <w:lang w:val="en-US" w:eastAsia="zh-CN"/>
        </w:rPr>
        <w:t>批准建设，建设资金来源为</w:t>
      </w:r>
      <w:r>
        <w:rPr>
          <w:rFonts w:hint="eastAsia" w:ascii="宋体" w:hAnsi="宋体"/>
          <w:color w:val="auto"/>
          <w:sz w:val="24"/>
          <w:szCs w:val="24"/>
        </w:rPr>
        <w:t>财政资金</w:t>
      </w:r>
      <w:r>
        <w:rPr>
          <w:rFonts w:hint="eastAsia" w:ascii="宋体" w:hAnsi="宋体"/>
          <w:color w:val="auto"/>
          <w:sz w:val="24"/>
          <w:szCs w:val="24"/>
          <w:lang w:val="en-US" w:eastAsia="zh-CN"/>
        </w:rPr>
        <w:t>。</w:t>
      </w:r>
      <w:r>
        <w:rPr>
          <w:rFonts w:hint="eastAsia" w:ascii="宋体" w:hAnsi="宋体"/>
          <w:sz w:val="24"/>
          <w:szCs w:val="24"/>
          <w:lang w:val="en-US" w:eastAsia="zh-CN"/>
        </w:rPr>
        <w:t>招标人为长葛市坡胡镇人民政府，招标代理机构为河南践诺工程管理有限公司。本项目已具备招标条件，现对该项目进行国内公开招标。</w:t>
      </w:r>
    </w:p>
    <w:p>
      <w:pPr>
        <w:autoSpaceDE w:val="0"/>
        <w:autoSpaceDN w:val="0"/>
        <w:spacing w:line="460" w:lineRule="exact"/>
        <w:ind w:firstLine="482" w:firstLineChars="200"/>
        <w:outlineLvl w:val="0"/>
        <w:rPr>
          <w:rFonts w:ascii="宋体" w:hAnsi="宋体"/>
          <w:b/>
          <w:bCs/>
          <w:sz w:val="24"/>
          <w:szCs w:val="24"/>
        </w:rPr>
      </w:pPr>
      <w:r>
        <w:rPr>
          <w:rFonts w:hint="eastAsia" w:ascii="宋体" w:hAnsi="宋体"/>
          <w:b/>
          <w:bCs/>
          <w:sz w:val="24"/>
          <w:szCs w:val="24"/>
        </w:rPr>
        <w:t>二、项目概况及招标范围</w:t>
      </w:r>
    </w:p>
    <w:p>
      <w:pPr>
        <w:autoSpaceDE w:val="0"/>
        <w:autoSpaceDN w:val="0"/>
        <w:spacing w:line="460" w:lineRule="exact"/>
        <w:ind w:firstLine="480" w:firstLineChars="200"/>
        <w:outlineLvl w:val="0"/>
        <w:rPr>
          <w:rFonts w:hint="eastAsia" w:ascii="宋体" w:hAnsi="宋体"/>
          <w:sz w:val="24"/>
          <w:szCs w:val="24"/>
        </w:rPr>
      </w:pPr>
      <w:r>
        <w:rPr>
          <w:rFonts w:hint="eastAsia" w:ascii="宋体" w:hAnsi="宋体"/>
          <w:sz w:val="24"/>
          <w:szCs w:val="24"/>
        </w:rPr>
        <w:t>2.1招标编号：长交建【2022】GZ</w:t>
      </w:r>
      <w:r>
        <w:rPr>
          <w:rFonts w:hint="eastAsia" w:ascii="宋体" w:hAnsi="宋体"/>
          <w:sz w:val="24"/>
          <w:szCs w:val="24"/>
          <w:lang w:val="en-US" w:eastAsia="zh-CN"/>
        </w:rPr>
        <w:t>031</w:t>
      </w:r>
      <w:r>
        <w:rPr>
          <w:rFonts w:hint="eastAsia" w:ascii="宋体" w:hAnsi="宋体"/>
          <w:sz w:val="24"/>
          <w:szCs w:val="24"/>
        </w:rPr>
        <w:t>号</w:t>
      </w:r>
    </w:p>
    <w:p>
      <w:pPr>
        <w:autoSpaceDE w:val="0"/>
        <w:autoSpaceDN w:val="0"/>
        <w:spacing w:line="460" w:lineRule="exact"/>
        <w:ind w:firstLine="480" w:firstLineChars="200"/>
        <w:outlineLvl w:val="0"/>
        <w:rPr>
          <w:rFonts w:hint="eastAsia" w:ascii="宋体" w:hAnsi="宋体"/>
          <w:sz w:val="24"/>
          <w:szCs w:val="24"/>
          <w:lang w:val="en-US" w:eastAsia="zh-CN"/>
        </w:rPr>
      </w:pPr>
      <w:r>
        <w:rPr>
          <w:rFonts w:hint="eastAsia" w:ascii="宋体" w:hAnsi="宋体"/>
          <w:sz w:val="24"/>
          <w:szCs w:val="24"/>
        </w:rPr>
        <w:t>2.2项目名称：</w:t>
      </w:r>
      <w:r>
        <w:rPr>
          <w:rFonts w:hint="eastAsia" w:ascii="宋体" w:hAnsi="宋体"/>
          <w:sz w:val="24"/>
          <w:szCs w:val="24"/>
          <w:lang w:val="en-US" w:eastAsia="zh-CN"/>
        </w:rPr>
        <w:t>长葛市机械零部件专业园区绿色工厂建设项目主体厂房维护及附属工程</w:t>
      </w:r>
    </w:p>
    <w:p>
      <w:pPr>
        <w:autoSpaceDE w:val="0"/>
        <w:autoSpaceDN w:val="0"/>
        <w:spacing w:line="460" w:lineRule="exact"/>
        <w:ind w:firstLine="480" w:firstLineChars="200"/>
        <w:outlineLvl w:val="0"/>
        <w:rPr>
          <w:rFonts w:hint="eastAsia" w:ascii="宋体" w:hAnsi="宋体" w:eastAsia="宋体"/>
          <w:sz w:val="24"/>
          <w:szCs w:val="24"/>
          <w:lang w:eastAsia="zh-CN"/>
        </w:rPr>
      </w:pPr>
      <w:r>
        <w:rPr>
          <w:rFonts w:hint="eastAsia" w:ascii="宋体" w:hAnsi="宋体"/>
          <w:sz w:val="24"/>
          <w:szCs w:val="24"/>
          <w:lang w:val="en-US" w:eastAsia="zh-CN"/>
        </w:rPr>
        <w:t xml:space="preserve"> （不见面开标）</w:t>
      </w:r>
      <w:r>
        <w:rPr>
          <w:rFonts w:hint="eastAsia" w:ascii="宋体" w:hAnsi="宋体"/>
          <w:sz w:val="24"/>
          <w:szCs w:val="24"/>
          <w:lang w:eastAsia="zh-CN"/>
        </w:rPr>
        <w:t>；</w:t>
      </w:r>
    </w:p>
    <w:p>
      <w:pPr>
        <w:autoSpaceDE w:val="0"/>
        <w:autoSpaceDN w:val="0"/>
        <w:spacing w:line="460" w:lineRule="exact"/>
        <w:ind w:firstLine="480" w:firstLineChars="200"/>
        <w:outlineLvl w:val="0"/>
        <w:rPr>
          <w:rFonts w:hint="eastAsia" w:ascii="宋体" w:hAnsi="宋体"/>
          <w:sz w:val="24"/>
          <w:szCs w:val="24"/>
          <w:lang w:val="en-US" w:eastAsia="zh-CN"/>
        </w:rPr>
      </w:pPr>
      <w:r>
        <w:rPr>
          <w:rFonts w:hint="eastAsia" w:ascii="宋体" w:hAnsi="宋体"/>
          <w:sz w:val="24"/>
          <w:szCs w:val="24"/>
        </w:rPr>
        <w:t>2.3建设地点：</w:t>
      </w:r>
      <w:r>
        <w:rPr>
          <w:rFonts w:hint="eastAsia" w:ascii="宋体" w:hAnsi="宋体"/>
          <w:sz w:val="24"/>
          <w:szCs w:val="24"/>
          <w:lang w:eastAsia="zh-CN"/>
        </w:rPr>
        <w:t>长葛市坡胡坡马村</w:t>
      </w:r>
    </w:p>
    <w:p>
      <w:pPr>
        <w:autoSpaceDE w:val="0"/>
        <w:autoSpaceDN w:val="0"/>
        <w:spacing w:line="460" w:lineRule="exact"/>
        <w:ind w:firstLine="480" w:firstLineChars="200"/>
        <w:outlineLvl w:val="0"/>
        <w:rPr>
          <w:rFonts w:hint="eastAsia" w:ascii="宋体" w:hAnsi="宋体"/>
          <w:color w:val="auto"/>
          <w:sz w:val="24"/>
          <w:szCs w:val="24"/>
        </w:rPr>
      </w:pPr>
      <w:r>
        <w:rPr>
          <w:rFonts w:hint="eastAsia" w:ascii="宋体" w:hAnsi="宋体"/>
          <w:color w:val="auto"/>
          <w:sz w:val="24"/>
          <w:szCs w:val="24"/>
        </w:rPr>
        <w:t>2.</w:t>
      </w:r>
      <w:r>
        <w:rPr>
          <w:rFonts w:ascii="宋体" w:hAnsi="宋体"/>
          <w:color w:val="auto"/>
          <w:sz w:val="24"/>
          <w:szCs w:val="24"/>
        </w:rPr>
        <w:t>4</w:t>
      </w:r>
      <w:r>
        <w:rPr>
          <w:rFonts w:hint="eastAsia" w:ascii="宋体" w:hAnsi="宋体"/>
          <w:color w:val="auto"/>
          <w:sz w:val="24"/>
          <w:szCs w:val="24"/>
        </w:rPr>
        <w:t>项目建设内容：</w:t>
      </w:r>
      <w:r>
        <w:rPr>
          <w:rFonts w:hint="eastAsia" w:ascii="宋体" w:hAnsi="宋体"/>
          <w:color w:val="auto"/>
          <w:sz w:val="24"/>
          <w:szCs w:val="24"/>
          <w:lang w:val="en-US" w:eastAsia="zh-CN"/>
        </w:rPr>
        <w:t>主要建设内容为：现有厂房型材屋面更换，钢构件除锈、防腐、喷涂防火涂料，新建围墙、3T行吊、成品值班室等。具体内容详见工程量清单。</w:t>
      </w:r>
    </w:p>
    <w:p>
      <w:pPr>
        <w:autoSpaceDE w:val="0"/>
        <w:autoSpaceDN w:val="0"/>
        <w:spacing w:line="460" w:lineRule="exact"/>
        <w:ind w:firstLine="480" w:firstLineChars="200"/>
        <w:outlineLvl w:val="0"/>
        <w:rPr>
          <w:rFonts w:hint="eastAsia" w:ascii="宋体" w:hAnsi="宋体" w:eastAsia="宋体"/>
          <w:sz w:val="24"/>
          <w:szCs w:val="24"/>
        </w:rPr>
      </w:pPr>
      <w:r>
        <w:rPr>
          <w:rFonts w:hint="eastAsia" w:ascii="宋体" w:hAnsi="宋体" w:eastAsia="宋体"/>
          <w:sz w:val="24"/>
          <w:szCs w:val="24"/>
        </w:rPr>
        <w:t>2.5招标范围：招标文件、工程量清单、施工图纸、补充文件（如有）、答疑纪要等列明的所有建设内容；</w:t>
      </w:r>
    </w:p>
    <w:p>
      <w:pPr>
        <w:autoSpaceDE w:val="0"/>
        <w:autoSpaceDN w:val="0"/>
        <w:spacing w:line="460" w:lineRule="exact"/>
        <w:ind w:firstLine="480" w:firstLineChars="200"/>
        <w:outlineLvl w:val="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2.6标段划分：本项目共划分为</w:t>
      </w:r>
      <w:r>
        <w:rPr>
          <w:rFonts w:hint="eastAsia" w:ascii="宋体" w:hAnsi="宋体"/>
          <w:color w:val="auto"/>
          <w:sz w:val="24"/>
          <w:szCs w:val="24"/>
          <w:lang w:val="en-US" w:eastAsia="zh-CN"/>
        </w:rPr>
        <w:t>一</w:t>
      </w:r>
      <w:r>
        <w:rPr>
          <w:rFonts w:hint="eastAsia" w:ascii="宋体" w:hAnsi="宋体" w:eastAsia="宋体"/>
          <w:color w:val="auto"/>
          <w:sz w:val="24"/>
          <w:szCs w:val="24"/>
          <w:lang w:val="en-US" w:eastAsia="zh-CN"/>
        </w:rPr>
        <w:t>个标段；</w:t>
      </w:r>
    </w:p>
    <w:p>
      <w:pPr>
        <w:autoSpaceDE w:val="0"/>
        <w:autoSpaceDN w:val="0"/>
        <w:spacing w:line="460" w:lineRule="exact"/>
        <w:ind w:firstLine="480" w:firstLineChars="200"/>
        <w:outlineLvl w:val="0"/>
        <w:rPr>
          <w:rFonts w:hint="eastAsia" w:ascii="宋体" w:hAnsi="宋体"/>
          <w:color w:val="auto"/>
          <w:sz w:val="24"/>
          <w:szCs w:val="24"/>
          <w:lang w:val="en-US" w:eastAsia="zh-CN"/>
        </w:rPr>
      </w:pPr>
      <w:r>
        <w:rPr>
          <w:rFonts w:hint="eastAsia" w:ascii="宋体" w:hAnsi="宋体"/>
          <w:color w:val="auto"/>
          <w:sz w:val="24"/>
          <w:szCs w:val="24"/>
          <w:lang w:val="en-US" w:eastAsia="zh-CN"/>
        </w:rPr>
        <w:t>2.7招标控制价：4702224.92元</w:t>
      </w:r>
    </w:p>
    <w:p>
      <w:pPr>
        <w:autoSpaceDE w:val="0"/>
        <w:autoSpaceDN w:val="0"/>
        <w:spacing w:line="460" w:lineRule="exact"/>
        <w:ind w:firstLine="480" w:firstLineChars="200"/>
        <w:outlineLvl w:val="0"/>
        <w:rPr>
          <w:rFonts w:hint="eastAsia" w:ascii="宋体" w:hAnsi="宋体" w:eastAsia="宋体"/>
          <w:color w:val="auto"/>
          <w:sz w:val="24"/>
          <w:szCs w:val="24"/>
          <w:lang w:val="en-US" w:eastAsia="zh-CN"/>
        </w:rPr>
      </w:pPr>
      <w:r>
        <w:rPr>
          <w:rFonts w:hint="eastAsia" w:ascii="宋体" w:hAnsi="宋体" w:eastAsia="宋体"/>
          <w:color w:val="auto"/>
          <w:sz w:val="24"/>
          <w:szCs w:val="24"/>
        </w:rPr>
        <w:t>2.8计划工期：</w:t>
      </w:r>
      <w:r>
        <w:rPr>
          <w:rFonts w:hint="eastAsia" w:ascii="宋体" w:hAnsi="宋体"/>
          <w:color w:val="auto"/>
          <w:sz w:val="24"/>
          <w:szCs w:val="24"/>
          <w:lang w:val="en-US" w:eastAsia="zh-CN"/>
        </w:rPr>
        <w:t xml:space="preserve">90日历天 </w:t>
      </w:r>
      <w:r>
        <w:rPr>
          <w:rFonts w:hint="eastAsia" w:ascii="宋体" w:hAnsi="宋体" w:eastAsia="宋体"/>
          <w:color w:val="auto"/>
          <w:sz w:val="24"/>
          <w:szCs w:val="24"/>
        </w:rPr>
        <w:t>；</w:t>
      </w:r>
      <w:r>
        <w:rPr>
          <w:rFonts w:hint="eastAsia" w:ascii="宋体" w:hAnsi="宋体" w:eastAsia="宋体"/>
          <w:color w:val="auto"/>
          <w:sz w:val="24"/>
          <w:szCs w:val="24"/>
          <w:lang w:val="en-US" w:eastAsia="zh-CN"/>
        </w:rPr>
        <w:t xml:space="preserve"> </w:t>
      </w:r>
    </w:p>
    <w:p>
      <w:pPr>
        <w:autoSpaceDE w:val="0"/>
        <w:autoSpaceDN w:val="0"/>
        <w:spacing w:line="460" w:lineRule="exact"/>
        <w:ind w:firstLine="480" w:firstLineChars="200"/>
        <w:outlineLvl w:val="0"/>
        <w:rPr>
          <w:rFonts w:hint="eastAsia" w:ascii="宋体" w:hAnsi="宋体" w:eastAsia="宋体"/>
          <w:sz w:val="24"/>
          <w:szCs w:val="24"/>
        </w:rPr>
      </w:pPr>
      <w:r>
        <w:rPr>
          <w:rFonts w:hint="eastAsia" w:ascii="宋体" w:hAnsi="宋体" w:eastAsia="宋体"/>
          <w:sz w:val="24"/>
          <w:szCs w:val="24"/>
        </w:rPr>
        <w:t>2.9质量要求：合格（符合国家现行的验收规范和标准）；</w:t>
      </w:r>
    </w:p>
    <w:p>
      <w:pPr>
        <w:autoSpaceDE w:val="0"/>
        <w:autoSpaceDN w:val="0"/>
        <w:spacing w:line="360" w:lineRule="auto"/>
        <w:ind w:firstLine="482" w:firstLineChars="200"/>
        <w:outlineLvl w:val="0"/>
        <w:rPr>
          <w:rFonts w:ascii="宋体" w:hAnsi="宋体" w:cs="宋体"/>
          <w:b/>
          <w:bCs/>
          <w:sz w:val="24"/>
        </w:rPr>
      </w:pPr>
      <w:r>
        <w:rPr>
          <w:rFonts w:hint="eastAsia" w:ascii="宋体" w:hAnsi="宋体" w:cs="宋体"/>
          <w:b/>
          <w:bCs/>
          <w:sz w:val="24"/>
        </w:rPr>
        <w:t>三、投标人资格要求</w:t>
      </w:r>
    </w:p>
    <w:p>
      <w:pPr>
        <w:autoSpaceDE w:val="0"/>
        <w:autoSpaceDN w:val="0"/>
        <w:spacing w:line="480" w:lineRule="exact"/>
        <w:ind w:firstLine="480" w:firstLineChars="200"/>
        <w:outlineLvl w:val="0"/>
        <w:rPr>
          <w:rFonts w:hint="eastAsia" w:ascii="宋体" w:hAnsi="宋体" w:eastAsia="宋体" w:cs="宋体"/>
          <w:color w:val="000000" w:themeColor="text1"/>
          <w:sz w:val="24"/>
          <w14:textFill>
            <w14:solidFill>
              <w14:schemeClr w14:val="tx1"/>
            </w14:solidFill>
          </w14:textFill>
        </w:rPr>
      </w:pPr>
      <w:bookmarkStart w:id="22" w:name="_Toc397507922"/>
      <w:bookmarkEnd w:id="22"/>
      <w:bookmarkStart w:id="23" w:name="_Toc397605791"/>
      <w:bookmarkEnd w:id="23"/>
      <w:bookmarkStart w:id="24" w:name="_Toc397507510"/>
      <w:r>
        <w:rPr>
          <w:rFonts w:hint="eastAsia" w:ascii="宋体" w:hAnsi="宋体" w:eastAsia="宋体" w:cs="宋体"/>
          <w:color w:val="000000" w:themeColor="text1"/>
          <w:sz w:val="24"/>
          <w14:textFill>
            <w14:solidFill>
              <w14:schemeClr w14:val="tx1"/>
            </w14:solidFill>
          </w14:textFill>
        </w:rPr>
        <w:t>3.1投标人须具备建设行政主管部门颁发的建筑工程施工总承包叁级（含）及以上资质</w:t>
      </w:r>
      <w:r>
        <w:rPr>
          <w:rFonts w:hint="eastAsia" w:ascii="宋体" w:hAnsi="宋体"/>
          <w:color w:val="auto"/>
          <w:sz w:val="24"/>
          <w:szCs w:val="24"/>
          <w:lang w:val="en-US" w:eastAsia="zh-CN"/>
        </w:rPr>
        <w:t>,</w:t>
      </w:r>
      <w:r>
        <w:rPr>
          <w:rFonts w:hint="eastAsia" w:ascii="宋体" w:hAnsi="宋体" w:eastAsia="宋体" w:cs="宋体"/>
          <w:color w:val="000000" w:themeColor="text1"/>
          <w:sz w:val="24"/>
          <w14:textFill>
            <w14:solidFill>
              <w14:schemeClr w14:val="tx1"/>
            </w14:solidFill>
          </w14:textFill>
        </w:rPr>
        <w:t>且具有有效的安全生产许可证，具有独立法人资格，并在人员、设备、资金等方面具有相应的施工能力。拟任项目经理应具有建筑工程专业贰级（含）以上注册建造师资格，取得有效的安全生产考核合格证，且未担任其他在建工程的项目经理。</w:t>
      </w:r>
    </w:p>
    <w:p>
      <w:pPr>
        <w:autoSpaceDE w:val="0"/>
        <w:autoSpaceDN w:val="0"/>
        <w:spacing w:line="480" w:lineRule="exact"/>
        <w:ind w:firstLine="480" w:firstLineChars="200"/>
        <w:outlineLvl w:val="0"/>
        <w:rPr>
          <w:rFonts w:hint="eastAsia" w:ascii="宋体" w:hAnsi="宋体"/>
          <w:color w:val="auto"/>
          <w:sz w:val="24"/>
          <w:szCs w:val="24"/>
          <w:lang w:val="en-US" w:eastAsia="zh-CN"/>
        </w:rPr>
      </w:pPr>
      <w:r>
        <w:rPr>
          <w:rFonts w:hint="eastAsia" w:ascii="宋体" w:hAnsi="宋体"/>
          <w:color w:val="auto"/>
          <w:sz w:val="24"/>
          <w:szCs w:val="24"/>
          <w:lang w:val="en-US" w:eastAsia="zh-CN"/>
        </w:rPr>
        <w:t>3.2未被列入“信用中国”/“信用河南”网站信用信息栏黑名单，“国家企业信用信息公示系统”经营异常名录或严重失信黑名单,无行贿犯罪记录的投标人。</w:t>
      </w:r>
    </w:p>
    <w:p>
      <w:pPr>
        <w:autoSpaceDE w:val="0"/>
        <w:autoSpaceDN w:val="0"/>
        <w:spacing w:line="480" w:lineRule="exact"/>
        <w:ind w:firstLine="480" w:firstLineChars="200"/>
        <w:outlineLvl w:val="0"/>
        <w:rPr>
          <w:rFonts w:hint="eastAsia" w:ascii="宋体" w:hAnsi="宋体" w:eastAsia="宋体"/>
          <w:sz w:val="24"/>
          <w:szCs w:val="24"/>
        </w:rPr>
      </w:pPr>
      <w:r>
        <w:rPr>
          <w:rFonts w:hint="eastAsia" w:ascii="宋体" w:hAnsi="宋体"/>
          <w:sz w:val="24"/>
          <w:szCs w:val="24"/>
        </w:rPr>
        <w:t>3.3本项目接受联合体投标，但联合体成员数量最多不得超过2名（含），联合体投标的应满足下列要求：（1）两个以上法人或者其他组织可以组成一个联合体，以一个投标人的身份共同投标；（2）联合体各方均应当具备承担招标项目的相应能力；国家有关规定或者招标文件对投标人资格条件有规定的，联合体各方均应当具备规定的相应资格条件。由同一专业的单位组成的联合体，按照</w:t>
      </w:r>
      <w:r>
        <w:rPr>
          <w:rFonts w:hint="eastAsia" w:ascii="宋体" w:hAnsi="宋体" w:eastAsia="宋体"/>
          <w:sz w:val="24"/>
          <w:szCs w:val="24"/>
        </w:rPr>
        <w:t>资质等级较低的单位确定资质等级；（3）联合体各方应当签订共同投标协议，明确约定各方拟承担的工作和责任，并将共同投标协议连同投标文件一并提交招标人；（4）联合体中标的，联合体各方应当共同与招标人签订合同，就中标项目向招标人承担连带责任；（5）招标人不得强制投标人组成联合体共同投标，不得限制投标人之间的竞争。</w:t>
      </w:r>
    </w:p>
    <w:p>
      <w:pPr>
        <w:autoSpaceDE w:val="0"/>
        <w:autoSpaceDN w:val="0"/>
        <w:spacing w:line="360" w:lineRule="auto"/>
        <w:ind w:firstLine="482" w:firstLineChars="200"/>
        <w:outlineLvl w:val="0"/>
        <w:rPr>
          <w:rFonts w:ascii="宋体" w:hAnsi="宋体" w:cs="宋体"/>
          <w:b/>
          <w:bCs/>
          <w:color w:val="auto"/>
          <w:sz w:val="24"/>
        </w:rPr>
      </w:pPr>
      <w:r>
        <w:rPr>
          <w:rFonts w:hint="eastAsia" w:ascii="宋体" w:hAnsi="宋体" w:cs="宋体"/>
          <w:b/>
          <w:bCs/>
          <w:color w:val="auto"/>
          <w:sz w:val="24"/>
        </w:rPr>
        <w:t>四、</w:t>
      </w:r>
      <w:bookmarkEnd w:id="24"/>
      <w:r>
        <w:rPr>
          <w:rFonts w:hint="eastAsia" w:ascii="宋体" w:hAnsi="宋体" w:cs="宋体"/>
          <w:b/>
          <w:bCs/>
          <w:color w:val="auto"/>
          <w:sz w:val="24"/>
        </w:rPr>
        <w:t>网上下载招标文件</w:t>
      </w:r>
    </w:p>
    <w:p>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4.1持CA数字认证证书，登录【全国公共资源交易平台（河南省·许昌市）】“系统用户注册”入口（http://ggzy.xuchang.gov.cn:8088/ggzy/eps/public/RegistAllJcxx.html）进行免费注册登记（详见“常见问题解答-诚信库网上注册相关资料下载”）；</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4.2在投标截止时间前均可登录【全国公共资源交易平台（河南省·许昌市）】“投标人/供应商登录”入口（http://ggzy.xuchang.gov.cn:8088/ggzy/）自行下载招标文件等（详见“常见问题解答-交易系统操作手册”）。</w:t>
      </w:r>
    </w:p>
    <w:p>
      <w:pPr>
        <w:autoSpaceDE w:val="0"/>
        <w:autoSpaceDN w:val="0"/>
        <w:spacing w:line="360" w:lineRule="auto"/>
        <w:ind w:firstLine="482" w:firstLineChars="200"/>
        <w:outlineLvl w:val="0"/>
        <w:rPr>
          <w:rFonts w:ascii="宋体" w:hAnsi="宋体" w:cs="宋体"/>
          <w:b/>
          <w:bCs/>
          <w:sz w:val="24"/>
        </w:rPr>
      </w:pPr>
      <w:r>
        <w:rPr>
          <w:rFonts w:hint="eastAsia" w:ascii="宋体" w:hAnsi="宋体" w:cs="宋体"/>
          <w:b/>
          <w:bCs/>
          <w:sz w:val="24"/>
        </w:rPr>
        <w:t>五、招标文件和施工图纸的获取</w:t>
      </w:r>
    </w:p>
    <w:p>
      <w:pPr>
        <w:autoSpaceDE w:val="0"/>
        <w:autoSpaceDN w:val="0"/>
        <w:spacing w:line="360" w:lineRule="auto"/>
        <w:ind w:firstLine="480" w:firstLineChars="200"/>
        <w:outlineLvl w:val="0"/>
        <w:rPr>
          <w:rFonts w:ascii="宋体" w:hAnsi="宋体" w:cs="宋体"/>
          <w:sz w:val="24"/>
        </w:rPr>
      </w:pPr>
      <w:r>
        <w:rPr>
          <w:rFonts w:hint="eastAsia" w:ascii="宋体" w:hAnsi="宋体" w:cs="宋体"/>
          <w:sz w:val="24"/>
        </w:rPr>
        <w:t>5.1招标文件和工程量清单的下载：投标截止时间前，投标人登录《全国公共资源交易平台（河南省·许昌市）》自行下载本项目招标文件、工程量清单。</w:t>
      </w:r>
    </w:p>
    <w:p>
      <w:pPr>
        <w:autoSpaceDE w:val="0"/>
        <w:autoSpaceDN w:val="0"/>
        <w:spacing w:line="360" w:lineRule="auto"/>
        <w:ind w:firstLine="480" w:firstLineChars="200"/>
        <w:outlineLvl w:val="0"/>
        <w:rPr>
          <w:rFonts w:ascii="宋体" w:hAnsi="宋体" w:cs="宋体"/>
          <w:sz w:val="24"/>
        </w:rPr>
      </w:pPr>
      <w:r>
        <w:rPr>
          <w:rFonts w:hint="eastAsia" w:ascii="宋体" w:hAnsi="宋体" w:cs="宋体"/>
          <w:sz w:val="24"/>
        </w:rPr>
        <w:t>5.2施工图纸下载（如有）：按照招标文件中第二章投标人须知前附表所给的网址自行下载。</w:t>
      </w:r>
    </w:p>
    <w:p>
      <w:pPr>
        <w:autoSpaceDE w:val="0"/>
        <w:autoSpaceDN w:val="0"/>
        <w:spacing w:line="360" w:lineRule="auto"/>
        <w:ind w:firstLine="480" w:firstLineChars="200"/>
        <w:outlineLvl w:val="0"/>
        <w:rPr>
          <w:rFonts w:ascii="宋体" w:hAnsi="宋体" w:cs="宋体"/>
        </w:rPr>
      </w:pPr>
      <w:r>
        <w:rPr>
          <w:rFonts w:hint="eastAsia" w:ascii="宋体" w:hAnsi="宋体" w:cs="宋体"/>
          <w:sz w:val="24"/>
        </w:rPr>
        <w:t>5.3招标文件每套售价0元。</w:t>
      </w:r>
    </w:p>
    <w:p>
      <w:pPr>
        <w:autoSpaceDE w:val="0"/>
        <w:autoSpaceDN w:val="0"/>
        <w:spacing w:line="360" w:lineRule="auto"/>
        <w:ind w:firstLine="480" w:firstLineChars="200"/>
        <w:outlineLvl w:val="0"/>
        <w:rPr>
          <w:rFonts w:ascii="宋体" w:hAnsi="宋体" w:cs="宋体"/>
          <w:sz w:val="24"/>
        </w:rPr>
      </w:pPr>
      <w:r>
        <w:rPr>
          <w:rFonts w:hint="eastAsia" w:ascii="宋体" w:hAnsi="宋体" w:cs="宋体"/>
          <w:sz w:val="24"/>
        </w:rPr>
        <w:t>5.4本项目实行资格后审，资格后审所需资料详见招标文件。</w:t>
      </w:r>
    </w:p>
    <w:p>
      <w:pPr>
        <w:autoSpaceDE w:val="0"/>
        <w:autoSpaceDN w:val="0"/>
        <w:spacing w:line="360" w:lineRule="auto"/>
        <w:ind w:firstLine="482" w:firstLineChars="200"/>
        <w:outlineLvl w:val="0"/>
        <w:rPr>
          <w:rFonts w:ascii="宋体" w:hAnsi="宋体" w:cs="宋体"/>
          <w:b/>
          <w:bCs/>
          <w:sz w:val="24"/>
        </w:rPr>
      </w:pPr>
      <w:r>
        <w:rPr>
          <w:rFonts w:hint="eastAsia" w:ascii="宋体" w:hAnsi="宋体" w:cs="宋体"/>
          <w:b/>
          <w:bCs/>
          <w:sz w:val="24"/>
        </w:rPr>
        <w:t>六、投标文件的提交</w:t>
      </w:r>
    </w:p>
    <w:p>
      <w:pPr>
        <w:autoSpaceDE w:val="0"/>
        <w:autoSpaceDN w:val="0"/>
        <w:spacing w:line="360" w:lineRule="auto"/>
        <w:ind w:firstLine="480"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6.1本项目为全流程电子化交易项目，投标人应按规定在投标截止时间（同开标时间）前通过《全国公共资源交易平台(河南省▪许昌市)》公共资源交易系统成功上传本项目加密电子投标文件。</w:t>
      </w:r>
    </w:p>
    <w:p>
      <w:pPr>
        <w:autoSpaceDE w:val="0"/>
        <w:autoSpaceDN w:val="0"/>
        <w:spacing w:line="360" w:lineRule="auto"/>
        <w:ind w:firstLine="480" w:firstLineChars="200"/>
        <w:outlineLvl w:val="0"/>
        <w:rPr>
          <w:rFonts w:ascii="宋体" w:hAnsi="宋体" w:cs="宋体"/>
          <w:color w:val="FF0000"/>
          <w:sz w:val="24"/>
        </w:rPr>
      </w:pPr>
      <w:r>
        <w:rPr>
          <w:rFonts w:hint="eastAsia" w:ascii="宋体" w:hAnsi="宋体" w:cs="宋体"/>
          <w:color w:val="000000"/>
          <w:sz w:val="24"/>
        </w:rPr>
        <w:t>6</w:t>
      </w:r>
      <w:r>
        <w:rPr>
          <w:rFonts w:hint="eastAsia" w:ascii="宋体" w:hAnsi="宋体" w:cs="宋体"/>
          <w:color w:val="FF0000"/>
          <w:sz w:val="24"/>
        </w:rPr>
        <w:t>.2投标文件提交截止时间及开标时间：2022年</w:t>
      </w:r>
      <w:r>
        <w:rPr>
          <w:rFonts w:hint="eastAsia" w:ascii="宋体" w:hAnsi="宋体" w:cs="宋体"/>
          <w:color w:val="FF0000"/>
          <w:sz w:val="24"/>
          <w:lang w:val="en-US" w:eastAsia="zh-CN"/>
        </w:rPr>
        <w:t>9</w:t>
      </w:r>
      <w:r>
        <w:rPr>
          <w:rFonts w:hint="eastAsia" w:ascii="宋体" w:hAnsi="宋体" w:cs="宋体"/>
          <w:color w:val="FF0000"/>
          <w:sz w:val="24"/>
        </w:rPr>
        <w:t>月</w:t>
      </w:r>
      <w:r>
        <w:rPr>
          <w:rFonts w:hint="eastAsia" w:ascii="宋体" w:hAnsi="宋体" w:cs="宋体"/>
          <w:color w:val="FF0000"/>
          <w:sz w:val="24"/>
          <w:lang w:val="en-US" w:eastAsia="zh-CN"/>
        </w:rPr>
        <w:t>23</w:t>
      </w:r>
      <w:r>
        <w:rPr>
          <w:rFonts w:hint="eastAsia" w:ascii="宋体" w:hAnsi="宋体" w:cs="宋体"/>
          <w:color w:val="FF0000"/>
          <w:sz w:val="24"/>
        </w:rPr>
        <w:t>日</w:t>
      </w:r>
      <w:r>
        <w:rPr>
          <w:rFonts w:hint="eastAsia" w:ascii="宋体" w:hAnsi="宋体" w:cs="宋体"/>
          <w:color w:val="FF0000"/>
          <w:sz w:val="24"/>
          <w:lang w:val="en-US" w:eastAsia="zh-CN"/>
        </w:rPr>
        <w:t xml:space="preserve"> 9</w:t>
      </w:r>
      <w:r>
        <w:rPr>
          <w:rFonts w:hint="eastAsia" w:ascii="宋体" w:hAnsi="宋体" w:cs="宋体"/>
          <w:color w:val="FF0000"/>
          <w:sz w:val="24"/>
        </w:rPr>
        <w:t>时</w:t>
      </w:r>
      <w:r>
        <w:rPr>
          <w:rFonts w:hint="eastAsia" w:ascii="宋体" w:hAnsi="宋体" w:cs="宋体"/>
          <w:color w:val="FF0000"/>
          <w:sz w:val="24"/>
          <w:lang w:val="en-US" w:eastAsia="zh-CN"/>
        </w:rPr>
        <w:t xml:space="preserve"> 00</w:t>
      </w:r>
      <w:r>
        <w:rPr>
          <w:rFonts w:hint="eastAsia" w:ascii="宋体" w:hAnsi="宋体" w:cs="宋体"/>
          <w:color w:val="FF0000"/>
          <w:sz w:val="24"/>
        </w:rPr>
        <w:t>分。</w:t>
      </w:r>
    </w:p>
    <w:p>
      <w:pPr>
        <w:widowControl/>
        <w:spacing w:line="360" w:lineRule="auto"/>
        <w:ind w:firstLine="480" w:firstLineChars="200"/>
        <w:contextualSpacing/>
        <w:rPr>
          <w:rFonts w:ascii="宋体" w:hAnsi="宋体" w:cs="宋体"/>
          <w:bCs/>
          <w:color w:val="FF0000"/>
          <w:sz w:val="24"/>
        </w:rPr>
      </w:pPr>
      <w:r>
        <w:rPr>
          <w:rFonts w:hint="eastAsia" w:ascii="宋体" w:hAnsi="宋体" w:cs="宋体"/>
          <w:color w:val="FF0000"/>
          <w:sz w:val="24"/>
        </w:rPr>
        <w:t>6.3招标人（代理机构）线上开标地点：长葛市公共资源交易中心开</w:t>
      </w:r>
      <w:r>
        <w:rPr>
          <w:rFonts w:hint="eastAsia" w:ascii="宋体" w:hAnsi="宋体" w:cs="宋体"/>
          <w:color w:val="FF0000"/>
          <w:sz w:val="24"/>
          <w:lang w:eastAsia="zh-CN"/>
        </w:rPr>
        <w:t>标一</w:t>
      </w:r>
      <w:r>
        <w:rPr>
          <w:rFonts w:hint="eastAsia" w:ascii="宋体" w:hAnsi="宋体" w:cs="宋体"/>
          <w:color w:val="FF0000"/>
          <w:sz w:val="24"/>
        </w:rPr>
        <w:t>室（长葛市葛天大道东段商务区6号楼</w:t>
      </w:r>
      <w:r>
        <w:rPr>
          <w:rFonts w:hint="eastAsia" w:ascii="宋体" w:hAnsi="宋体" w:cs="宋体"/>
          <w:color w:val="FF0000"/>
          <w:sz w:val="24"/>
          <w:lang w:val="en-US" w:eastAsia="zh-CN"/>
        </w:rPr>
        <w:t xml:space="preserve"> 506 </w:t>
      </w:r>
      <w:r>
        <w:rPr>
          <w:rFonts w:hint="eastAsia" w:ascii="宋体" w:hAnsi="宋体" w:cs="宋体"/>
          <w:color w:val="FF0000"/>
          <w:sz w:val="24"/>
        </w:rPr>
        <w:t>室）</w:t>
      </w:r>
      <w:r>
        <w:rPr>
          <w:rFonts w:hint="eastAsia" w:ascii="宋体" w:hAnsi="宋体" w:cs="宋体"/>
          <w:color w:val="000000"/>
          <w:sz w:val="24"/>
        </w:rPr>
        <w:t>。</w:t>
      </w:r>
      <w:r>
        <w:rPr>
          <w:rFonts w:hint="eastAsia" w:ascii="宋体" w:hAnsi="宋体" w:cs="宋体"/>
          <w:color w:val="000000" w:themeColor="text1"/>
          <w:sz w:val="24"/>
          <w14:textFill>
            <w14:solidFill>
              <w14:schemeClr w14:val="tx1"/>
            </w14:solidFill>
          </w14:textFill>
        </w:rPr>
        <w:t>本项目采用远程不见面</w:t>
      </w:r>
      <w:r>
        <w:rPr>
          <w:rFonts w:hint="eastAsia" w:ascii="宋体" w:hAnsi="宋体" w:cs="宋体"/>
          <w:bCs/>
          <w:color w:val="000000" w:themeColor="text1"/>
          <w:sz w:val="24"/>
          <w14:textFill>
            <w14:solidFill>
              <w14:schemeClr w14:val="tx1"/>
            </w14:solidFill>
          </w14:textFill>
        </w:rPr>
        <w:t>开标，投标人无须到开标现场参加开标会议、无须现场提交有关原件资料；投标人在开标时间前持CA数字证书登录全国公共资源交易</w:t>
      </w:r>
      <w:r>
        <w:rPr>
          <w:rFonts w:hint="eastAsia" w:ascii="宋体" w:hAnsi="宋体" w:cs="宋体"/>
          <w:bCs/>
          <w:sz w:val="24"/>
        </w:rPr>
        <w:t>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contextualSpacing/>
        <w:rPr>
          <w:rFonts w:ascii="宋体" w:hAnsi="宋体" w:cs="宋体"/>
          <w:bCs/>
          <w:sz w:val="24"/>
        </w:rPr>
      </w:pPr>
      <w:r>
        <w:rPr>
          <w:rFonts w:hint="eastAsia" w:ascii="宋体" w:hAnsi="宋体" w:cs="宋体"/>
          <w:bCs/>
          <w:sz w:val="24"/>
        </w:rPr>
        <w:t>6.4逾期送达（未成功上传）的或者未按规定解密的</w:t>
      </w:r>
      <w:r>
        <w:rPr>
          <w:rFonts w:hint="eastAsia" w:ascii="宋体" w:hAnsi="宋体" w:cs="宋体"/>
          <w:sz w:val="24"/>
        </w:rPr>
        <w:t>电子投标文件</w:t>
      </w:r>
      <w:r>
        <w:rPr>
          <w:rFonts w:hint="eastAsia" w:ascii="宋体" w:hAnsi="宋体" w:cs="宋体"/>
          <w:bCs/>
          <w:sz w:val="24"/>
        </w:rPr>
        <w:t>，招标人不予受理。</w:t>
      </w:r>
    </w:p>
    <w:p>
      <w:pPr>
        <w:autoSpaceDE w:val="0"/>
        <w:autoSpaceDN w:val="0"/>
        <w:spacing w:line="360" w:lineRule="auto"/>
        <w:ind w:firstLine="482" w:firstLineChars="200"/>
        <w:outlineLvl w:val="0"/>
        <w:rPr>
          <w:rFonts w:ascii="宋体" w:hAnsi="宋体" w:cs="宋体"/>
          <w:b/>
          <w:bCs/>
          <w:sz w:val="24"/>
        </w:rPr>
      </w:pPr>
      <w:r>
        <w:rPr>
          <w:rFonts w:hint="eastAsia" w:ascii="宋体" w:hAnsi="宋体" w:cs="宋体"/>
          <w:b/>
          <w:bCs/>
          <w:sz w:val="24"/>
        </w:rPr>
        <w:t>七、发布公告的媒介</w:t>
      </w:r>
    </w:p>
    <w:p>
      <w:pPr>
        <w:autoSpaceDE w:val="0"/>
        <w:autoSpaceDN w:val="0"/>
        <w:spacing w:line="360" w:lineRule="auto"/>
        <w:ind w:firstLine="480" w:firstLineChars="200"/>
        <w:outlineLvl w:val="0"/>
        <w:rPr>
          <w:rFonts w:ascii="宋体" w:hAnsi="宋体" w:cs="宋体"/>
          <w:sz w:val="24"/>
        </w:rPr>
      </w:pPr>
      <w:r>
        <w:rPr>
          <w:rFonts w:hint="eastAsia" w:ascii="宋体" w:hAnsi="宋体" w:cs="宋体"/>
          <w:sz w:val="24"/>
        </w:rPr>
        <w:t>本次招标公告同时在河南省电子招标投标公共服务平台、全国公共资源交易平台（河南省•许昌市）、长葛市人民政府门户网站上发布。</w:t>
      </w:r>
    </w:p>
    <w:p>
      <w:pPr>
        <w:autoSpaceDE w:val="0"/>
        <w:autoSpaceDN w:val="0"/>
        <w:spacing w:line="360" w:lineRule="auto"/>
        <w:ind w:firstLine="482" w:firstLineChars="200"/>
        <w:outlineLvl w:val="0"/>
        <w:rPr>
          <w:rFonts w:ascii="宋体" w:hAnsi="宋体" w:cs="宋体"/>
          <w:b/>
          <w:bCs/>
          <w:sz w:val="24"/>
        </w:rPr>
      </w:pPr>
      <w:r>
        <w:rPr>
          <w:rFonts w:hint="eastAsia" w:ascii="宋体" w:hAnsi="宋体" w:cs="宋体"/>
          <w:b/>
          <w:bCs/>
          <w:sz w:val="24"/>
        </w:rPr>
        <w:t>八、联系方式</w:t>
      </w:r>
    </w:p>
    <w:p>
      <w:pPr>
        <w:autoSpaceDE w:val="0"/>
        <w:autoSpaceDN w:val="0"/>
        <w:spacing w:line="440" w:lineRule="exact"/>
        <w:ind w:firstLine="480" w:firstLineChars="200"/>
        <w:outlineLvl w:val="0"/>
        <w:rPr>
          <w:rFonts w:hint="eastAsia" w:ascii="宋体" w:hAnsi="宋体"/>
          <w:color w:val="000000"/>
          <w:sz w:val="24"/>
          <w:szCs w:val="24"/>
          <w:lang w:val="en-US" w:eastAsia="zh-CN"/>
        </w:rPr>
      </w:pPr>
      <w:r>
        <w:rPr>
          <w:rFonts w:hint="eastAsia" w:ascii="宋体" w:hAnsi="宋体"/>
          <w:color w:val="000000"/>
          <w:sz w:val="24"/>
          <w:szCs w:val="24"/>
        </w:rPr>
        <w:t xml:space="preserve">招标人：长葛市坡胡镇人民政府  </w:t>
      </w:r>
    </w:p>
    <w:p>
      <w:pPr>
        <w:autoSpaceDE w:val="0"/>
        <w:autoSpaceDN w:val="0"/>
        <w:spacing w:line="440" w:lineRule="exact"/>
        <w:ind w:firstLine="480" w:firstLineChars="200"/>
        <w:outlineLvl w:val="0"/>
        <w:rPr>
          <w:rFonts w:hint="eastAsia" w:ascii="宋体" w:hAnsi="宋体"/>
          <w:color w:val="000000"/>
          <w:sz w:val="24"/>
          <w:szCs w:val="24"/>
        </w:rPr>
      </w:pPr>
      <w:r>
        <w:rPr>
          <w:rFonts w:hint="eastAsia" w:ascii="宋体" w:hAnsi="宋体"/>
          <w:color w:val="000000"/>
          <w:sz w:val="24"/>
          <w:szCs w:val="24"/>
        </w:rPr>
        <w:t>联系人：</w:t>
      </w:r>
      <w:r>
        <w:rPr>
          <w:rFonts w:hint="eastAsia" w:ascii="宋体" w:hAnsi="宋体" w:cs="宋体"/>
          <w:bCs/>
          <w:color w:val="000000"/>
          <w:kern w:val="0"/>
          <w:sz w:val="24"/>
          <w:lang w:eastAsia="zh-CN"/>
        </w:rPr>
        <w:t>刘先生</w:t>
      </w:r>
      <w:r>
        <w:rPr>
          <w:rFonts w:hint="eastAsia" w:ascii="宋体" w:hAnsi="宋体"/>
          <w:color w:val="000000"/>
          <w:sz w:val="24"/>
          <w:szCs w:val="24"/>
        </w:rPr>
        <w:t xml:space="preserve">   </w:t>
      </w:r>
    </w:p>
    <w:p>
      <w:pPr>
        <w:autoSpaceDE w:val="0"/>
        <w:autoSpaceDN w:val="0"/>
        <w:spacing w:line="440" w:lineRule="exact"/>
        <w:ind w:firstLine="480" w:firstLineChars="200"/>
        <w:outlineLvl w:val="0"/>
        <w:rPr>
          <w:rFonts w:hint="default" w:ascii="宋体" w:hAnsi="宋体" w:eastAsia="宋体"/>
          <w:color w:val="000000"/>
          <w:sz w:val="24"/>
          <w:szCs w:val="24"/>
          <w:lang w:val="en-US" w:eastAsia="zh-CN"/>
        </w:rPr>
      </w:pPr>
      <w:r>
        <w:rPr>
          <w:rFonts w:hint="eastAsia" w:ascii="宋体" w:hAnsi="宋体"/>
          <w:color w:val="000000"/>
          <w:sz w:val="24"/>
          <w:szCs w:val="24"/>
        </w:rPr>
        <w:t>联系电话：</w:t>
      </w:r>
      <w:r>
        <w:rPr>
          <w:rFonts w:hint="eastAsia" w:ascii="宋体" w:hAnsi="宋体" w:cs="宋体"/>
          <w:bCs/>
          <w:kern w:val="0"/>
          <w:sz w:val="24"/>
          <w:lang w:val="en-US" w:eastAsia="zh-CN"/>
        </w:rPr>
        <w:t>0374-6628622</w:t>
      </w:r>
    </w:p>
    <w:p>
      <w:pPr>
        <w:spacing w:line="500" w:lineRule="exact"/>
        <w:ind w:firstLine="540" w:firstLineChars="225"/>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地址：长葛市</w:t>
      </w:r>
      <w:r>
        <w:rPr>
          <w:rFonts w:hint="eastAsia" w:ascii="宋体" w:hAnsi="宋体"/>
          <w:color w:val="000000"/>
          <w:sz w:val="24"/>
          <w:szCs w:val="24"/>
        </w:rPr>
        <w:t>坡胡镇</w:t>
      </w:r>
      <w:r>
        <w:rPr>
          <w:rFonts w:hint="eastAsia" w:ascii="宋体" w:hAnsi="宋体" w:eastAsia="宋体"/>
          <w:color w:val="000000"/>
          <w:sz w:val="24"/>
          <w:szCs w:val="24"/>
          <w:lang w:val="en-US" w:eastAsia="zh-CN"/>
        </w:rPr>
        <w:t xml:space="preserve"> </w:t>
      </w:r>
    </w:p>
    <w:p>
      <w:pPr>
        <w:spacing w:line="500" w:lineRule="exact"/>
        <w:ind w:firstLine="540" w:firstLineChars="225"/>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监督部门：长葛市住房和城乡建设局</w:t>
      </w:r>
    </w:p>
    <w:p>
      <w:pPr>
        <w:spacing w:line="500" w:lineRule="exact"/>
        <w:ind w:firstLine="540" w:firstLineChars="225"/>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联系人：时女士  联系电话：0374-6896278</w:t>
      </w:r>
      <w:r>
        <w:rPr>
          <w:rFonts w:hint="eastAsia" w:ascii="宋体" w:hAnsi="宋体"/>
          <w:color w:val="000000" w:themeColor="text1"/>
          <w:sz w:val="24"/>
          <w:szCs w:val="24"/>
          <w:lang w:val="en-US" w:eastAsia="zh-CN"/>
          <w14:textFill>
            <w14:solidFill>
              <w14:schemeClr w14:val="tx1"/>
            </w14:solidFill>
          </w14:textFill>
        </w:rPr>
        <w:t xml:space="preserve">  </w:t>
      </w:r>
    </w:p>
    <w:p>
      <w:pPr>
        <w:spacing w:line="500" w:lineRule="exact"/>
        <w:ind w:firstLine="540" w:firstLineChars="225"/>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地址：：长葛市葛天大道东段商务区6号楼住建局</w:t>
      </w:r>
      <w:r>
        <w:rPr>
          <w:rFonts w:hint="eastAsia" w:ascii="宋体" w:hAnsi="宋体"/>
          <w:color w:val="000000"/>
          <w:sz w:val="24"/>
          <w:szCs w:val="24"/>
          <w:lang w:val="en-US" w:eastAsia="zh-CN"/>
        </w:rPr>
        <w:t>11楼</w:t>
      </w:r>
    </w:p>
    <w:p>
      <w:pPr>
        <w:spacing w:line="500" w:lineRule="exact"/>
        <w:ind w:firstLine="540" w:firstLineChars="225"/>
        <w:rPr>
          <w:rFonts w:hint="eastAsia" w:ascii="宋体" w:hAnsi="宋体" w:eastAsia="宋体"/>
          <w:sz w:val="24"/>
          <w:szCs w:val="24"/>
          <w:lang w:val="en-US" w:eastAsia="zh-CN"/>
        </w:rPr>
      </w:pPr>
      <w:r>
        <w:rPr>
          <w:rFonts w:hint="eastAsia" w:ascii="宋体" w:hAnsi="宋体" w:eastAsia="宋体"/>
          <w:sz w:val="24"/>
          <w:szCs w:val="24"/>
          <w:lang w:val="en-US" w:eastAsia="zh-CN"/>
        </w:rPr>
        <w:t>招标代理机构：河南践诺工程管理有限公司</w:t>
      </w:r>
    </w:p>
    <w:p>
      <w:pPr>
        <w:spacing w:line="500" w:lineRule="exact"/>
        <w:ind w:firstLine="540" w:firstLineChars="225"/>
        <w:rPr>
          <w:rFonts w:hint="eastAsia" w:ascii="宋体" w:hAnsi="宋体" w:eastAsia="宋体"/>
          <w:sz w:val="24"/>
          <w:szCs w:val="24"/>
          <w:lang w:val="en-US" w:eastAsia="zh-CN"/>
        </w:rPr>
      </w:pPr>
      <w:r>
        <w:rPr>
          <w:rFonts w:hint="eastAsia" w:ascii="宋体" w:hAnsi="宋体" w:eastAsia="宋体"/>
          <w:sz w:val="24"/>
          <w:szCs w:val="24"/>
          <w:lang w:val="en-US" w:eastAsia="zh-CN"/>
        </w:rPr>
        <w:t>项目联系人：</w:t>
      </w:r>
      <w:r>
        <w:rPr>
          <w:rFonts w:hint="eastAsia" w:ascii="宋体" w:hAnsi="宋体"/>
          <w:sz w:val="24"/>
          <w:szCs w:val="24"/>
          <w:lang w:val="en-US" w:eastAsia="zh-CN"/>
        </w:rPr>
        <w:t>朱</w:t>
      </w:r>
      <w:r>
        <w:rPr>
          <w:rFonts w:hint="eastAsia" w:ascii="宋体" w:hAnsi="宋体" w:eastAsia="宋体"/>
          <w:sz w:val="24"/>
          <w:szCs w:val="24"/>
          <w:lang w:val="en-US" w:eastAsia="zh-CN"/>
        </w:rPr>
        <w:t>女士</w:t>
      </w:r>
    </w:p>
    <w:p>
      <w:pPr>
        <w:spacing w:line="500" w:lineRule="exact"/>
        <w:ind w:firstLine="540" w:firstLineChars="225"/>
        <w:rPr>
          <w:rFonts w:hint="eastAsia" w:ascii="宋体" w:hAnsi="宋体"/>
          <w:sz w:val="24"/>
          <w:szCs w:val="24"/>
          <w:lang w:val="en-US" w:eastAsia="zh-CN"/>
        </w:rPr>
      </w:pPr>
      <w:r>
        <w:rPr>
          <w:rFonts w:hint="eastAsia" w:ascii="宋体" w:hAnsi="宋体" w:eastAsia="宋体"/>
          <w:sz w:val="24"/>
          <w:szCs w:val="24"/>
          <w:lang w:val="en-US" w:eastAsia="zh-CN"/>
        </w:rPr>
        <w:t>联系电话：</w:t>
      </w:r>
      <w:r>
        <w:rPr>
          <w:rFonts w:hint="eastAsia" w:ascii="宋体" w:hAnsi="宋体"/>
          <w:sz w:val="24"/>
          <w:szCs w:val="24"/>
          <w:lang w:val="en-US" w:eastAsia="zh-CN"/>
        </w:rPr>
        <w:t>1325333699</w:t>
      </w:r>
    </w:p>
    <w:p>
      <w:pPr>
        <w:autoSpaceDE w:val="0"/>
        <w:autoSpaceDN w:val="0"/>
        <w:spacing w:line="360" w:lineRule="auto"/>
        <w:ind w:firstLine="480" w:firstLineChars="200"/>
        <w:outlineLvl w:val="0"/>
        <w:rPr>
          <w:rFonts w:hint="eastAsia" w:ascii="宋体" w:hAnsi="宋体" w:eastAsia="宋体"/>
          <w:sz w:val="24"/>
          <w:szCs w:val="24"/>
          <w:lang w:val="en-US" w:eastAsia="zh-CN"/>
        </w:rPr>
      </w:pPr>
      <w:r>
        <w:rPr>
          <w:rFonts w:hint="eastAsia" w:ascii="宋体" w:hAnsi="宋体" w:eastAsia="宋体"/>
          <w:sz w:val="24"/>
          <w:szCs w:val="24"/>
          <w:lang w:val="en-US" w:eastAsia="zh-CN"/>
        </w:rPr>
        <w:t>地址：河南省平顶山市湛河区神马大道东段东鼎花园4号楼12层东北户</w:t>
      </w:r>
    </w:p>
    <w:p>
      <w:pPr>
        <w:autoSpaceDE w:val="0"/>
        <w:autoSpaceDN w:val="0"/>
        <w:spacing w:line="360" w:lineRule="auto"/>
        <w:ind w:firstLine="480" w:firstLineChars="200"/>
        <w:outlineLvl w:val="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eastAsia="宋体"/>
          <w:sz w:val="24"/>
          <w:szCs w:val="24"/>
          <w:lang w:val="en-US" w:eastAsia="zh-CN"/>
        </w:rPr>
        <w:t>长葛市公共资源交易中心业务科室</w:t>
      </w:r>
      <w:r>
        <w:rPr>
          <w:rFonts w:hint="eastAsia" w:ascii="宋体" w:hAnsi="宋体"/>
          <w:sz w:val="24"/>
          <w:szCs w:val="24"/>
          <w:lang w:val="en-US" w:eastAsia="zh-CN"/>
        </w:rPr>
        <w:t xml:space="preserve"> </w:t>
      </w:r>
      <w:r>
        <w:rPr>
          <w:rFonts w:hint="eastAsia" w:ascii="宋体" w:hAnsi="宋体"/>
          <w:color w:val="auto"/>
          <w:sz w:val="24"/>
          <w:szCs w:val="24"/>
          <w:lang w:val="en-US" w:eastAsia="zh-CN"/>
        </w:rPr>
        <w:t xml:space="preserve"> </w:t>
      </w:r>
      <w:r>
        <w:rPr>
          <w:rFonts w:hint="eastAsia" w:ascii="宋体" w:hAnsi="宋体"/>
          <w:color w:val="0000FF"/>
          <w:sz w:val="24"/>
          <w:szCs w:val="24"/>
          <w:lang w:val="en-US" w:eastAsia="zh-CN"/>
        </w:rPr>
        <w:t xml:space="preserve"> </w:t>
      </w:r>
      <w:r>
        <w:rPr>
          <w:rFonts w:hint="eastAsia" w:ascii="宋体" w:hAnsi="宋体"/>
          <w:color w:val="000000" w:themeColor="text1"/>
          <w:sz w:val="24"/>
          <w:szCs w:val="24"/>
          <w:lang w:val="en-US" w:eastAsia="zh-CN"/>
          <w14:textFill>
            <w14:solidFill>
              <w14:schemeClr w14:val="tx1"/>
            </w14:solidFill>
          </w14:textFill>
        </w:rPr>
        <w:t xml:space="preserve"> 联系电话：0374-6189526</w:t>
      </w:r>
    </w:p>
    <w:p>
      <w:pPr>
        <w:autoSpaceDE w:val="0"/>
        <w:autoSpaceDN w:val="0"/>
        <w:spacing w:line="360" w:lineRule="auto"/>
        <w:ind w:firstLine="482" w:firstLineChars="200"/>
        <w:outlineLvl w:val="0"/>
        <w:rPr>
          <w:rFonts w:ascii="宋体" w:hAnsi="宋体" w:cs="宋体"/>
          <w:b/>
          <w:bCs/>
          <w:sz w:val="24"/>
        </w:rPr>
      </w:pPr>
      <w:r>
        <w:rPr>
          <w:rFonts w:hint="eastAsia" w:ascii="宋体" w:hAnsi="宋体" w:cs="宋体"/>
          <w:b/>
          <w:bCs/>
          <w:sz w:val="24"/>
        </w:rPr>
        <w:t>九、特别提示：</w:t>
      </w:r>
    </w:p>
    <w:p>
      <w:pPr>
        <w:autoSpaceDE w:val="0"/>
        <w:autoSpaceDN w:val="0"/>
        <w:spacing w:line="360" w:lineRule="auto"/>
        <w:ind w:firstLine="480" w:firstLineChars="200"/>
        <w:outlineLvl w:val="0"/>
        <w:rPr>
          <w:rFonts w:ascii="宋体" w:hAnsi="宋体" w:cs="宋体"/>
          <w:sz w:val="24"/>
        </w:rPr>
      </w:pPr>
      <w:r>
        <w:rPr>
          <w:rFonts w:hint="eastAsia" w:ascii="宋体" w:hAnsi="宋体" w:cs="宋体"/>
          <w:sz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spacing w:line="360" w:lineRule="auto"/>
        <w:ind w:firstLine="480" w:firstLineChars="200"/>
        <w:outlineLvl w:val="0"/>
        <w:rPr>
          <w:rFonts w:ascii="宋体" w:hAnsi="宋体" w:cs="宋体"/>
          <w:b/>
          <w:sz w:val="28"/>
          <w:szCs w:val="28"/>
        </w:rPr>
      </w:pPr>
      <w:r>
        <w:rPr>
          <w:rFonts w:hint="eastAsia" w:ascii="宋体" w:hAnsi="宋体" w:cs="宋体"/>
          <w:sz w:val="24"/>
        </w:rPr>
        <w:t>2、各投标人对代理公司提供的服务不满意，或认为代理公司在服务过程中有不当行为的，可致电监管股（</w:t>
      </w:r>
      <w:r>
        <w:rPr>
          <w:rFonts w:hint="eastAsia" w:ascii="宋体" w:hAnsi="宋体"/>
          <w:sz w:val="24"/>
        </w:rPr>
        <w:t>0374-6189576</w:t>
      </w:r>
      <w:r>
        <w:rPr>
          <w:rFonts w:hint="eastAsia" w:ascii="宋体" w:hAnsi="宋体" w:cs="宋体"/>
          <w:sz w:val="24"/>
        </w:rPr>
        <w:t>），经查实后将按规定作出处理。</w:t>
      </w:r>
    </w:p>
    <w:p>
      <w:pPr>
        <w:spacing w:line="360" w:lineRule="auto"/>
        <w:contextualSpacing/>
        <w:rPr>
          <w:rFonts w:ascii="宋体" w:hAnsi="宋体" w:cs="宋体"/>
          <w:b/>
          <w:sz w:val="28"/>
          <w:szCs w:val="28"/>
        </w:rPr>
      </w:pPr>
      <w:r>
        <w:rPr>
          <w:rFonts w:hint="eastAsia" w:ascii="宋体" w:hAnsi="宋体" w:cs="宋体"/>
          <w:b/>
          <w:sz w:val="28"/>
          <w:szCs w:val="28"/>
        </w:rPr>
        <w:t>温馨提示：</w:t>
      </w:r>
    </w:p>
    <w:p>
      <w:pPr>
        <w:spacing w:line="360" w:lineRule="auto"/>
        <w:ind w:firstLine="482" w:firstLineChars="200"/>
        <w:contextualSpacing/>
        <w:rPr>
          <w:rFonts w:ascii="宋体" w:hAnsi="宋体" w:cs="宋体"/>
          <w:sz w:val="24"/>
        </w:rPr>
      </w:pPr>
      <w:r>
        <w:rPr>
          <w:rFonts w:hint="eastAsia" w:ascii="宋体" w:hAnsi="宋体" w:cs="宋体"/>
          <w:b/>
          <w:sz w:val="24"/>
        </w:rPr>
        <w:t>本项目为全流程电子化交易项目，请认真阅读招标文件，并注意以下事项。</w:t>
      </w:r>
    </w:p>
    <w:p>
      <w:pPr>
        <w:tabs>
          <w:tab w:val="left" w:pos="7095"/>
        </w:tabs>
        <w:spacing w:line="360" w:lineRule="auto"/>
        <w:ind w:firstLine="480" w:firstLineChars="200"/>
        <w:contextualSpacing/>
        <w:rPr>
          <w:rFonts w:ascii="宋体" w:hAnsi="宋体" w:cs="宋体"/>
          <w:sz w:val="24"/>
        </w:rPr>
      </w:pPr>
      <w:r>
        <w:rPr>
          <w:rFonts w:hint="eastAsia" w:ascii="宋体" w:hAnsi="宋体" w:cs="宋体"/>
          <w:sz w:val="24"/>
        </w:rPr>
        <w:t>1.投标人应按招标文件规定编制、提交、解密电子投标文件。</w:t>
      </w:r>
    </w:p>
    <w:p>
      <w:pPr>
        <w:tabs>
          <w:tab w:val="left" w:pos="7095"/>
        </w:tabs>
        <w:spacing w:line="360" w:lineRule="auto"/>
        <w:ind w:firstLine="480" w:firstLineChars="200"/>
        <w:contextualSpacing/>
        <w:rPr>
          <w:rFonts w:ascii="宋体" w:hAnsi="宋体" w:cs="宋体"/>
          <w:sz w:val="24"/>
        </w:rPr>
      </w:pPr>
      <w:r>
        <w:rPr>
          <w:rFonts w:hint="eastAsia" w:ascii="宋体" w:hAnsi="宋体" w:cs="宋体"/>
          <w:sz w:val="24"/>
        </w:rPr>
        <w:t>2.电子文件下载、制作、提交期间和远程不见面开标（电子投标文件的解密）环节，投标人须使用同一个CA数字证书（证书须在有效期内并可正常使用）。</w:t>
      </w:r>
    </w:p>
    <w:p>
      <w:pPr>
        <w:tabs>
          <w:tab w:val="left" w:pos="7095"/>
        </w:tabs>
        <w:spacing w:line="360" w:lineRule="auto"/>
        <w:ind w:firstLine="482" w:firstLineChars="200"/>
        <w:contextualSpacing/>
        <w:rPr>
          <w:rFonts w:ascii="宋体" w:hAnsi="宋体" w:cs="宋体"/>
          <w:b/>
          <w:sz w:val="24"/>
        </w:rPr>
      </w:pPr>
      <w:r>
        <w:rPr>
          <w:rFonts w:hint="eastAsia" w:ascii="宋体" w:hAnsi="宋体" w:cs="宋体"/>
          <w:b/>
          <w:sz w:val="24"/>
        </w:rPr>
        <w:t>3.电子投标文件的制作</w:t>
      </w:r>
    </w:p>
    <w:p>
      <w:pPr>
        <w:tabs>
          <w:tab w:val="left" w:pos="7095"/>
        </w:tabs>
        <w:spacing w:line="360" w:lineRule="auto"/>
        <w:ind w:firstLine="480" w:firstLineChars="200"/>
        <w:contextualSpacing/>
        <w:rPr>
          <w:rFonts w:ascii="宋体" w:hAnsi="宋体" w:cs="宋体"/>
          <w:sz w:val="24"/>
        </w:rPr>
      </w:pPr>
      <w:r>
        <w:rPr>
          <w:rFonts w:hint="eastAsia" w:ascii="宋体" w:hAnsi="宋体" w:cs="宋体"/>
          <w:sz w:val="24"/>
        </w:rPr>
        <w:t>3.1 投标人登录《全国公共资源交易平台(河南省▪许昌市)》公共资源交易系统（</w:t>
      </w:r>
      <w:r>
        <w:rPr>
          <w:rFonts w:hint="eastAsia" w:ascii="宋体" w:hAnsi="宋体" w:cs="宋体"/>
        </w:rPr>
        <w:t>http://ggzy.xuchang.gov.cn:8088/ggzy/</w:t>
      </w:r>
      <w:r>
        <w:rPr>
          <w:rFonts w:hint="eastAsia" w:ascii="宋体" w:hAnsi="宋体" w:cs="宋体"/>
          <w:sz w:val="24"/>
        </w:rPr>
        <w:t>）下载“许昌投标文件制作系统SEARUN 最新版本”，按招标文件要求制作电子投标文件。</w:t>
      </w:r>
    </w:p>
    <w:p>
      <w:pPr>
        <w:tabs>
          <w:tab w:val="left" w:pos="7095"/>
        </w:tabs>
        <w:spacing w:line="360" w:lineRule="auto"/>
        <w:ind w:firstLine="480" w:firstLineChars="200"/>
        <w:contextualSpacing/>
        <w:rPr>
          <w:rFonts w:ascii="宋体" w:hAnsi="宋体" w:cs="宋体"/>
          <w:sz w:val="24"/>
        </w:rPr>
      </w:pPr>
      <w:r>
        <w:rPr>
          <w:rFonts w:hint="eastAsia" w:ascii="宋体" w:hAnsi="宋体" w:cs="宋体"/>
          <w:sz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ascii="宋体" w:hAnsi="宋体" w:cs="宋体"/>
          <w:sz w:val="24"/>
        </w:rPr>
      </w:pPr>
      <w:r>
        <w:rPr>
          <w:rFonts w:hint="eastAsia" w:ascii="宋体" w:hAnsi="宋体" w:cs="宋体"/>
          <w:sz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cs="宋体"/>
          <w:sz w:val="24"/>
        </w:rPr>
      </w:pPr>
      <w:r>
        <w:rPr>
          <w:rFonts w:hint="eastAsia" w:ascii="宋体" w:hAnsi="宋体" w:cs="宋体"/>
          <w:sz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firstLine="480" w:firstLineChars="200"/>
        <w:contextualSpacing/>
        <w:rPr>
          <w:rFonts w:ascii="宋体" w:hAnsi="宋体" w:cs="宋体"/>
          <w:sz w:val="24"/>
        </w:rPr>
      </w:pPr>
      <w:r>
        <w:rPr>
          <w:rFonts w:hint="eastAsia" w:ascii="宋体" w:hAnsi="宋体" w:cs="宋体"/>
          <w:sz w:val="24"/>
        </w:rPr>
        <w:t>一个标段对应生成一个文件夹（xxxx项目xx标段）,其中后缀名为“.file”的文件用于电子投标使用。</w:t>
      </w:r>
    </w:p>
    <w:p>
      <w:pPr>
        <w:autoSpaceDE w:val="0"/>
        <w:autoSpaceDN w:val="0"/>
        <w:spacing w:line="360" w:lineRule="auto"/>
        <w:ind w:firstLine="482" w:firstLineChars="200"/>
        <w:contextualSpacing/>
        <w:rPr>
          <w:rFonts w:ascii="宋体" w:hAnsi="宋体" w:cs="宋体"/>
          <w:b/>
          <w:bCs/>
          <w:sz w:val="24"/>
        </w:rPr>
      </w:pPr>
      <w:r>
        <w:rPr>
          <w:rFonts w:hint="eastAsia" w:ascii="宋体" w:hAnsi="宋体" w:cs="宋体"/>
          <w:b/>
          <w:bCs/>
          <w:sz w:val="24"/>
        </w:rPr>
        <w:t>4.投标担保的提交</w:t>
      </w:r>
    </w:p>
    <w:p>
      <w:pPr>
        <w:tabs>
          <w:tab w:val="left" w:pos="7095"/>
        </w:tabs>
        <w:spacing w:line="360" w:lineRule="auto"/>
        <w:ind w:firstLine="480" w:firstLineChars="200"/>
        <w:contextualSpacing/>
        <w:rPr>
          <w:rFonts w:ascii="宋体" w:hAnsi="宋体" w:cs="宋体"/>
          <w:sz w:val="24"/>
        </w:rPr>
      </w:pPr>
      <w:r>
        <w:rPr>
          <w:rFonts w:hint="eastAsia" w:ascii="宋体" w:hAnsi="宋体" w:cs="宋体"/>
          <w:sz w:val="24"/>
        </w:rPr>
        <w:t>4.1使用银行转帐方式提交的，投标人通过基本账户将款项一次足额递交、成功绑定，以收款人到账时间为准。</w:t>
      </w:r>
    </w:p>
    <w:p>
      <w:pPr>
        <w:tabs>
          <w:tab w:val="left" w:pos="7095"/>
        </w:tabs>
        <w:spacing w:line="360" w:lineRule="auto"/>
        <w:ind w:firstLine="480" w:firstLineChars="200"/>
        <w:contextualSpacing/>
        <w:rPr>
          <w:rFonts w:ascii="宋体" w:hAnsi="宋体" w:cs="宋体"/>
          <w:sz w:val="24"/>
        </w:rPr>
      </w:pPr>
      <w:r>
        <w:rPr>
          <w:rFonts w:hint="eastAsia" w:ascii="宋体" w:hAnsi="宋体" w:cs="宋体"/>
          <w:sz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360" w:lineRule="auto"/>
        <w:ind w:firstLine="480" w:firstLineChars="200"/>
        <w:contextualSpacing/>
        <w:rPr>
          <w:rFonts w:ascii="宋体" w:hAnsi="宋体" w:cs="宋体"/>
          <w:sz w:val="24"/>
        </w:rPr>
      </w:pPr>
      <w:r>
        <w:rPr>
          <w:rFonts w:hint="eastAsia" w:ascii="宋体" w:hAnsi="宋体" w:cs="宋体"/>
          <w:sz w:val="24"/>
        </w:rPr>
        <w:t>4.1.2提交后再次登录</w:t>
      </w:r>
      <w:r>
        <w:rPr>
          <w:rFonts w:hint="eastAsia" w:ascii="宋体" w:hAnsi="宋体" w:cs="宋体"/>
        </w:rPr>
        <w:t>http://ggzy.xuchang.gov.cn:8088/ggzy/</w:t>
      </w:r>
      <w:r>
        <w:rPr>
          <w:rFonts w:hint="eastAsia" w:ascii="宋体" w:hAnsi="宋体" w:cs="宋体"/>
          <w:sz w:val="24"/>
        </w:rPr>
        <w:t>系统，依次点击“会员向导”→“参与投标”→“保证金绑定”→“绑定”进行投标保证金绑定，前述系统显示“长葛市公共资源交易中心保证金缴纳回执”表示投标保证金提交完成。未绑定标段的投标保证金，视为未按规定提交。</w:t>
      </w:r>
    </w:p>
    <w:p>
      <w:pPr>
        <w:tabs>
          <w:tab w:val="left" w:pos="7095"/>
        </w:tabs>
        <w:spacing w:line="360" w:lineRule="auto"/>
        <w:ind w:firstLine="480" w:firstLineChars="200"/>
        <w:contextualSpacing/>
        <w:rPr>
          <w:rFonts w:ascii="宋体" w:hAnsi="宋体" w:cs="宋体"/>
          <w:sz w:val="24"/>
        </w:rPr>
      </w:pPr>
      <w:r>
        <w:rPr>
          <w:rFonts w:hint="eastAsia" w:ascii="宋体" w:hAnsi="宋体" w:cs="宋体"/>
          <w:sz w:val="24"/>
        </w:rPr>
        <w:t>4.1.3投标人按照所投项目及标段将缴纳凭证“保证金缴纳回执”附于投标文件中，否则视为未按规定提交投标担保。</w:t>
      </w:r>
    </w:p>
    <w:p>
      <w:pPr>
        <w:tabs>
          <w:tab w:val="left" w:pos="7095"/>
        </w:tabs>
        <w:spacing w:line="360" w:lineRule="auto"/>
        <w:ind w:firstLine="480" w:firstLineChars="200"/>
        <w:contextualSpacing/>
        <w:rPr>
          <w:rFonts w:ascii="宋体" w:hAnsi="宋体" w:cs="宋体"/>
          <w:sz w:val="24"/>
        </w:rPr>
      </w:pPr>
      <w:r>
        <w:rPr>
          <w:rFonts w:hint="eastAsia" w:ascii="宋体" w:hAnsi="宋体" w:cs="宋体"/>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担保。</w:t>
      </w:r>
    </w:p>
    <w:p>
      <w:pPr>
        <w:tabs>
          <w:tab w:val="left" w:pos="7095"/>
        </w:tabs>
        <w:spacing w:line="360" w:lineRule="auto"/>
        <w:ind w:firstLine="480" w:firstLineChars="200"/>
        <w:contextualSpacing/>
        <w:rPr>
          <w:rFonts w:ascii="宋体" w:hAnsi="宋体" w:cs="宋体"/>
          <w:sz w:val="24"/>
        </w:rPr>
      </w:pPr>
      <w:r>
        <w:rPr>
          <w:rFonts w:hint="eastAsia" w:ascii="宋体" w:hAnsi="宋体" w:cs="宋体"/>
          <w:sz w:val="24"/>
        </w:rPr>
        <w:t>保函格式按住建部【建市（2021）11号文】附件1：</w:t>
      </w:r>
    </w:p>
    <w:p>
      <w:pPr>
        <w:shd w:val="clear" w:color="auto" w:fill="FFFFFF"/>
        <w:spacing w:line="460" w:lineRule="exact"/>
        <w:ind w:firstLine="420"/>
        <w:rPr>
          <w:rFonts w:ascii="宋体" w:hAnsi="宋体"/>
          <w:sz w:val="24"/>
        </w:rPr>
      </w:pPr>
      <w:r>
        <w:rPr>
          <w:rFonts w:hint="eastAsia" w:ascii="宋体" w:hAnsi="宋体" w:cs="宋体"/>
          <w:sz w:val="24"/>
        </w:rPr>
        <w:fldChar w:fldCharType="begin"/>
      </w:r>
      <w:r>
        <w:rPr>
          <w:rFonts w:hint="eastAsia" w:ascii="宋体" w:hAnsi="宋体" w:cs="宋体"/>
          <w:sz w:val="24"/>
        </w:rPr>
        <w:instrText xml:space="preserve"> HYPERLINK "mailto:投标人于开标结束后30分钟内将银行保函扫描件发至239215882@qq.com邮箱。" </w:instrText>
      </w:r>
      <w:r>
        <w:rPr>
          <w:rFonts w:hint="eastAsia" w:ascii="宋体" w:hAnsi="宋体" w:cs="宋体"/>
          <w:sz w:val="24"/>
        </w:rPr>
        <w:fldChar w:fldCharType="separate"/>
      </w:r>
      <w:r>
        <w:rPr>
          <w:rStyle w:val="19"/>
          <w:rFonts w:hint="eastAsia" w:ascii="宋体" w:hAnsi="宋体" w:cs="宋体"/>
          <w:sz w:val="24"/>
        </w:rPr>
        <w:t>投标人于开标结束后30分钟内将银行保函扫描件发至</w:t>
      </w:r>
      <w:r>
        <w:rPr>
          <w:rStyle w:val="19"/>
          <w:rFonts w:hint="eastAsia" w:ascii="宋体" w:hAnsi="宋体" w:cs="宋体"/>
          <w:sz w:val="24"/>
          <w:lang w:val="en-US" w:eastAsia="zh-CN"/>
        </w:rPr>
        <w:t>239215882</w:t>
      </w:r>
      <w:r>
        <w:rPr>
          <w:rStyle w:val="19"/>
          <w:rFonts w:hint="eastAsia" w:ascii="宋体" w:hAnsi="宋体" w:cs="宋体"/>
          <w:sz w:val="24"/>
          <w:lang w:eastAsia="zh-CN"/>
        </w:rPr>
        <w:t>@qq.com</w:t>
      </w:r>
      <w:r>
        <w:rPr>
          <w:rStyle w:val="19"/>
          <w:rFonts w:hint="eastAsia" w:ascii="宋体" w:hAnsi="宋体" w:cs="宋体"/>
          <w:sz w:val="24"/>
        </w:rPr>
        <w:t>邮箱。</w:t>
      </w:r>
      <w:r>
        <w:rPr>
          <w:rFonts w:hint="eastAsia" w:ascii="宋体" w:hAnsi="宋体" w:cs="宋体"/>
          <w:sz w:val="24"/>
        </w:rPr>
        <w:fldChar w:fldCharType="end"/>
      </w:r>
      <w:r>
        <w:rPr>
          <w:rFonts w:hint="eastAsia" w:ascii="宋体" w:hAnsi="宋体"/>
          <w:sz w:val="24"/>
        </w:rPr>
        <w:t>4.3 投标人如需使用电子保函，可以登录http://ggzy.xuchang.gov.cn:8088/ggzy/系统，先在组件下载栏目参考“许昌公共资源保函办理操作手册。”</w:t>
      </w:r>
    </w:p>
    <w:p>
      <w:pPr>
        <w:shd w:val="clear" w:color="auto" w:fill="FFFFFF"/>
        <w:spacing w:line="460" w:lineRule="exact"/>
        <w:ind w:firstLine="420"/>
      </w:pPr>
      <w:r>
        <w:rPr>
          <w:rFonts w:hint="eastAsia" w:ascii="宋体" w:hAnsi="宋体"/>
          <w:sz w:val="24"/>
        </w:rPr>
        <w:t>4.3.1 投标人电子保函办理步骤：依次点击“会员向导”→“参与投标”,可以直接在“保证金绑定”→“保函办理”，系统会跳转到电子保函办理页面，按照操作流程办理即可。保函开具后，可在“保证金绑定”→“保函查询”功能中查看绑定状态，并在电子保函办理页面打印保函回执。投标人按照所投项目及标段将缴纳凭证“长葛市公共资源交易中心保证金缴纳回执”附于投标文件中。</w:t>
      </w:r>
    </w:p>
    <w:p>
      <w:pPr>
        <w:tabs>
          <w:tab w:val="left" w:pos="7095"/>
        </w:tabs>
        <w:spacing w:line="360" w:lineRule="auto"/>
        <w:ind w:firstLine="482" w:firstLineChars="200"/>
        <w:contextualSpacing/>
        <w:rPr>
          <w:rFonts w:ascii="宋体" w:hAnsi="宋体" w:cs="宋体"/>
          <w:b/>
          <w:sz w:val="24"/>
        </w:rPr>
      </w:pPr>
      <w:r>
        <w:rPr>
          <w:rFonts w:hint="eastAsia" w:ascii="宋体" w:hAnsi="宋体" w:cs="宋体"/>
          <w:b/>
          <w:sz w:val="24"/>
        </w:rPr>
        <w:t>5.加密电子投标文件的提交</w:t>
      </w:r>
    </w:p>
    <w:p>
      <w:pPr>
        <w:tabs>
          <w:tab w:val="left" w:pos="7095"/>
        </w:tabs>
        <w:spacing w:line="360" w:lineRule="auto"/>
        <w:ind w:firstLine="480" w:firstLineChars="200"/>
        <w:contextualSpacing/>
        <w:rPr>
          <w:rFonts w:ascii="宋体" w:hAnsi="宋体" w:cs="宋体"/>
          <w:sz w:val="24"/>
        </w:rPr>
      </w:pPr>
      <w:r>
        <w:rPr>
          <w:rFonts w:hint="eastAsia" w:ascii="宋体" w:hAnsi="宋体" w:cs="宋体"/>
          <w:sz w:val="24"/>
        </w:rPr>
        <w:t>5.1电子投标文件应在规定的投标截止时间（开标时间）之前成功提交至【全国公共资源交易平台(河南省▪许昌市)】公共资源交易系统（</w:t>
      </w:r>
      <w:r>
        <w:rPr>
          <w:rFonts w:hint="eastAsia" w:ascii="宋体" w:hAnsi="宋体" w:cs="宋体"/>
        </w:rPr>
        <w:t>http://ggzy.xuchang.gov.cn:8088/ggzy/</w:t>
      </w:r>
      <w:r>
        <w:rPr>
          <w:rFonts w:hint="eastAsia" w:ascii="宋体" w:hAnsi="宋体" w:cs="宋体"/>
          <w:sz w:val="24"/>
        </w:rPr>
        <w:t>）。</w:t>
      </w:r>
    </w:p>
    <w:p>
      <w:pPr>
        <w:tabs>
          <w:tab w:val="left" w:pos="7095"/>
        </w:tabs>
        <w:spacing w:line="360" w:lineRule="auto"/>
        <w:ind w:firstLine="480" w:firstLineChars="200"/>
        <w:contextualSpacing/>
        <w:rPr>
          <w:rFonts w:ascii="宋体" w:hAnsi="宋体" w:cs="宋体"/>
          <w:sz w:val="24"/>
        </w:rPr>
      </w:pPr>
      <w:r>
        <w:rPr>
          <w:rFonts w:hint="eastAsia" w:ascii="宋体" w:hAnsi="宋体" w:cs="宋体"/>
          <w:sz w:val="24"/>
        </w:rPr>
        <w:t>投标人应充分考虑并预留技术处理和上传数据所需时间。</w:t>
      </w:r>
    </w:p>
    <w:p>
      <w:pPr>
        <w:tabs>
          <w:tab w:val="left" w:pos="7095"/>
        </w:tabs>
        <w:spacing w:line="360" w:lineRule="auto"/>
        <w:ind w:firstLine="480" w:firstLineChars="200"/>
        <w:contextualSpacing/>
        <w:rPr>
          <w:rFonts w:ascii="宋体" w:hAnsi="宋体" w:cs="宋体"/>
          <w:sz w:val="24"/>
        </w:rPr>
      </w:pPr>
      <w:r>
        <w:rPr>
          <w:rFonts w:hint="eastAsia" w:ascii="宋体" w:hAnsi="宋体" w:cs="宋体"/>
          <w:sz w:val="24"/>
        </w:rPr>
        <w:t>5.2 投标人对同一项目多个标段进行投标的，电子投标文件应按标段分别提交。</w:t>
      </w:r>
    </w:p>
    <w:p>
      <w:pPr>
        <w:tabs>
          <w:tab w:val="left" w:pos="7095"/>
        </w:tabs>
        <w:spacing w:line="360" w:lineRule="auto"/>
        <w:ind w:firstLine="480" w:firstLineChars="200"/>
        <w:contextualSpacing/>
        <w:rPr>
          <w:rFonts w:ascii="宋体" w:hAnsi="宋体" w:cs="宋体"/>
          <w:sz w:val="24"/>
        </w:rPr>
      </w:pPr>
      <w:r>
        <w:rPr>
          <w:rFonts w:hint="eastAsia" w:ascii="宋体" w:hAnsi="宋体" w:cs="宋体"/>
          <w:sz w:val="24"/>
        </w:rPr>
        <w:t>5.3加密电子投标文件成功提交后，《全国公共资源交易平台（河南省·许昌市）》公共资源交易系统（</w:t>
      </w:r>
      <w:r>
        <w:rPr>
          <w:rFonts w:hint="eastAsia" w:ascii="宋体" w:hAnsi="宋体" w:cs="宋体"/>
        </w:rPr>
        <w:t>http://ggzy.xuchang.gov.cn:8088/ggzy/</w:t>
      </w:r>
      <w:r>
        <w:rPr>
          <w:rFonts w:hint="eastAsia" w:ascii="宋体" w:hAnsi="宋体" w:cs="宋体"/>
          <w:sz w:val="24"/>
        </w:rPr>
        <w:t>）生成“投标文件提交回执单”。</w:t>
      </w:r>
    </w:p>
    <w:p>
      <w:pPr>
        <w:tabs>
          <w:tab w:val="left" w:pos="7095"/>
        </w:tabs>
        <w:spacing w:line="360" w:lineRule="auto"/>
        <w:ind w:firstLine="482" w:firstLineChars="200"/>
        <w:contextualSpacing/>
        <w:rPr>
          <w:rFonts w:ascii="宋体" w:hAnsi="宋体" w:cs="宋体"/>
          <w:b/>
          <w:sz w:val="24"/>
        </w:rPr>
      </w:pPr>
      <w:r>
        <w:rPr>
          <w:rFonts w:hint="eastAsia" w:ascii="宋体" w:hAnsi="宋体" w:cs="宋体"/>
          <w:b/>
          <w:sz w:val="24"/>
        </w:rPr>
        <w:t>6.远程不见面开标(电子投标文件的解密)</w:t>
      </w:r>
    </w:p>
    <w:p>
      <w:pPr>
        <w:tabs>
          <w:tab w:val="left" w:pos="7095"/>
        </w:tabs>
        <w:spacing w:line="360" w:lineRule="auto"/>
        <w:ind w:firstLine="480" w:firstLineChars="200"/>
        <w:contextualSpacing/>
        <w:rPr>
          <w:rFonts w:ascii="宋体" w:hAnsi="宋体" w:cs="宋体"/>
          <w:sz w:val="24"/>
        </w:rPr>
      </w:pPr>
      <w:r>
        <w:rPr>
          <w:rFonts w:hint="eastAsia" w:ascii="宋体" w:hAnsi="宋体" w:cs="宋体"/>
          <w:sz w:val="24"/>
        </w:rPr>
        <w:t>6.1 投标人应熟悉《许昌市不见面开标操作手册》，并提前设置不见面开标浏览器（设置流程详见《许昌市不见面开标操作手册》）。</w:t>
      </w:r>
    </w:p>
    <w:p>
      <w:pPr>
        <w:tabs>
          <w:tab w:val="left" w:pos="7095"/>
        </w:tabs>
        <w:spacing w:line="360" w:lineRule="auto"/>
        <w:ind w:firstLine="480" w:firstLineChars="200"/>
        <w:contextualSpacing/>
        <w:rPr>
          <w:rFonts w:ascii="宋体" w:hAnsi="宋体" w:cs="宋体"/>
          <w:sz w:val="24"/>
        </w:rPr>
      </w:pPr>
      <w:r>
        <w:rPr>
          <w:rFonts w:hint="eastAsia" w:ascii="宋体" w:hAnsi="宋体" w:cs="宋体"/>
          <w:sz w:val="24"/>
        </w:rPr>
        <w:t>6.2 《许昌市不见面开标操作手册》下载路径：全国公共资源交易平台（河南省·许昌市）—“资料下载”栏目。</w:t>
      </w:r>
    </w:p>
    <w:p>
      <w:pPr>
        <w:tabs>
          <w:tab w:val="left" w:pos="7095"/>
        </w:tabs>
        <w:spacing w:line="360" w:lineRule="auto"/>
        <w:ind w:firstLine="480" w:firstLineChars="200"/>
        <w:contextualSpacing/>
        <w:rPr>
          <w:rFonts w:ascii="宋体" w:hAnsi="宋体" w:cs="宋体"/>
          <w:sz w:val="24"/>
        </w:rPr>
      </w:pPr>
      <w:r>
        <w:rPr>
          <w:rFonts w:hint="eastAsia" w:ascii="宋体" w:hAnsi="宋体" w:cs="宋体"/>
          <w:sz w:val="24"/>
        </w:rPr>
        <w:t>6.3开标时间前投标人应登录本项目不见面开标大厅，按照招标文件确定的开标时间准时参加网上开标。</w:t>
      </w:r>
    </w:p>
    <w:p>
      <w:pPr>
        <w:tabs>
          <w:tab w:val="left" w:pos="7095"/>
        </w:tabs>
        <w:spacing w:line="360" w:lineRule="auto"/>
        <w:ind w:firstLine="480" w:firstLineChars="200"/>
        <w:contextualSpacing/>
        <w:rPr>
          <w:rFonts w:ascii="宋体" w:hAnsi="宋体" w:cs="宋体"/>
          <w:sz w:val="24"/>
        </w:rPr>
      </w:pPr>
      <w:r>
        <w:rPr>
          <w:rFonts w:hint="eastAsia" w:ascii="宋体" w:hAnsi="宋体" w:cs="宋体"/>
          <w:sz w:val="24"/>
        </w:rPr>
        <w:t>6.4投标人对开标过程和开标记录如有疑义，可在本项目不见面开标大厅“文字互动”对话框或“新增质疑”处在线提出询问。</w:t>
      </w:r>
    </w:p>
    <w:p>
      <w:pPr>
        <w:tabs>
          <w:tab w:val="left" w:pos="7095"/>
        </w:tabs>
        <w:spacing w:line="360" w:lineRule="auto"/>
        <w:ind w:firstLine="480" w:firstLineChars="200"/>
        <w:contextualSpacing/>
        <w:rPr>
          <w:rFonts w:ascii="宋体" w:hAnsi="宋体" w:cs="宋体"/>
          <w:sz w:val="24"/>
        </w:rPr>
      </w:pPr>
      <w:r>
        <w:rPr>
          <w:rFonts w:hint="eastAsia" w:ascii="宋体" w:hAnsi="宋体" w:cs="宋体"/>
          <w:sz w:val="24"/>
        </w:rPr>
        <w:t>6.5根据代理机构在“文字互动”对话框的通知，投标人选择功能栏“解密环节”按钮进行电子投标文件解密（投标人解密应自代理机构在到达投标截止时间时点击“开标”按钮，开标开始并进行解密120分钟内完成）。投标人未解密或因投标人原因解密失败的，其投标将被拒绝。</w:t>
      </w:r>
    </w:p>
    <w:p>
      <w:pPr>
        <w:tabs>
          <w:tab w:val="left" w:pos="7095"/>
        </w:tabs>
        <w:spacing w:line="360" w:lineRule="auto"/>
        <w:ind w:firstLine="480" w:firstLineChars="200"/>
        <w:contextualSpacing/>
        <w:rPr>
          <w:rFonts w:ascii="宋体" w:hAnsi="宋体" w:cs="宋体"/>
          <w:sz w:val="24"/>
        </w:rPr>
      </w:pPr>
      <w:r>
        <w:rPr>
          <w:rFonts w:hint="eastAsia" w:ascii="宋体" w:hAnsi="宋体" w:cs="宋体"/>
          <w:sz w:val="24"/>
        </w:rPr>
        <w:t>6.6项目远程不见面开标活动结束时，投标人应在《开标记录表》上进行电子签章。投标人未签章的，视同认可开标结果。</w:t>
      </w:r>
    </w:p>
    <w:p>
      <w:pPr>
        <w:spacing w:line="360" w:lineRule="auto"/>
        <w:ind w:firstLine="482" w:firstLineChars="200"/>
        <w:contextualSpacing/>
        <w:rPr>
          <w:rFonts w:ascii="宋体" w:hAnsi="宋体" w:cs="宋体"/>
          <w:b/>
          <w:bCs/>
          <w:sz w:val="24"/>
        </w:rPr>
      </w:pPr>
      <w:r>
        <w:rPr>
          <w:rFonts w:hint="eastAsia" w:ascii="宋体" w:hAnsi="宋体" w:cs="宋体"/>
          <w:b/>
          <w:bCs/>
          <w:sz w:val="24"/>
        </w:rPr>
        <w:t>7.评标依据</w:t>
      </w:r>
    </w:p>
    <w:p>
      <w:pPr>
        <w:tabs>
          <w:tab w:val="left" w:pos="7095"/>
        </w:tabs>
        <w:spacing w:line="360" w:lineRule="auto"/>
        <w:ind w:firstLine="480" w:firstLineChars="200"/>
        <w:contextualSpacing/>
        <w:rPr>
          <w:rFonts w:ascii="宋体" w:hAnsi="宋体" w:cs="宋体"/>
          <w:sz w:val="24"/>
        </w:rPr>
      </w:pPr>
      <w:r>
        <w:rPr>
          <w:rFonts w:hint="eastAsia" w:ascii="宋体" w:hAnsi="宋体" w:cs="宋体"/>
          <w:sz w:val="24"/>
        </w:rPr>
        <w:t>7.1全流程电子化交易（远程不见面开标）项目，评标委员会以成功上传、解密的电子投标文件为评标依据。</w:t>
      </w:r>
    </w:p>
    <w:p>
      <w:pPr>
        <w:tabs>
          <w:tab w:val="left" w:pos="7095"/>
        </w:tabs>
        <w:spacing w:line="360" w:lineRule="auto"/>
        <w:contextualSpacing/>
        <w:jc w:val="left"/>
        <w:rPr>
          <w:rFonts w:ascii="宋体" w:hAnsi="宋体" w:cs="宋体"/>
          <w:sz w:val="24"/>
        </w:rPr>
      </w:pPr>
      <w:r>
        <w:rPr>
          <w:rFonts w:hint="eastAsia" w:ascii="宋体" w:hAnsi="宋体" w:cs="宋体"/>
          <w:sz w:val="24"/>
        </w:rPr>
        <w:t xml:space="preserve">    7.2 评审期间，保持投标文件提供的联系方式畅通，评标委员会随时可能对投标文件内容质询，投标人应及时进行答复（包括但不限于电子文档、电子邮件等）。</w:t>
      </w:r>
      <w:r>
        <w:rPr>
          <w:rFonts w:hint="eastAsia" w:ascii="宋体" w:hAnsi="宋体" w:cs="宋体"/>
          <w:sz w:val="24"/>
        </w:rPr>
        <w:br w:type="page"/>
      </w:r>
    </w:p>
    <w:p>
      <w:pPr>
        <w:tabs>
          <w:tab w:val="left" w:pos="7095"/>
        </w:tabs>
        <w:spacing w:line="360" w:lineRule="auto"/>
        <w:ind w:firstLine="3596" w:firstLineChars="995"/>
        <w:contextualSpacing/>
        <w:rPr>
          <w:rFonts w:ascii="宋体" w:hAnsi="宋体" w:cs="宋体"/>
          <w:b/>
          <w:bCs/>
          <w:kern w:val="0"/>
          <w:sz w:val="36"/>
          <w:szCs w:val="36"/>
        </w:rPr>
      </w:pPr>
      <w:r>
        <w:rPr>
          <w:rFonts w:hint="eastAsia" w:ascii="宋体" w:hAnsi="宋体" w:cs="宋体"/>
          <w:b/>
          <w:bCs/>
          <w:kern w:val="0"/>
          <w:sz w:val="36"/>
          <w:szCs w:val="36"/>
        </w:rPr>
        <w:t>第二章投标人须知</w:t>
      </w:r>
    </w:p>
    <w:p>
      <w:pPr>
        <w:autoSpaceDE w:val="0"/>
        <w:autoSpaceDN w:val="0"/>
        <w:adjustRightInd w:val="0"/>
        <w:spacing w:line="360" w:lineRule="auto"/>
        <w:jc w:val="center"/>
        <w:outlineLvl w:val="0"/>
        <w:rPr>
          <w:rFonts w:ascii="宋体" w:hAnsi="宋体" w:cs="宋体"/>
          <w:b/>
          <w:bCs/>
          <w:kern w:val="0"/>
          <w:sz w:val="28"/>
          <w:szCs w:val="28"/>
        </w:rPr>
      </w:pPr>
      <w:bookmarkStart w:id="25" w:name="_Toc464824550"/>
      <w:bookmarkEnd w:id="25"/>
      <w:bookmarkStart w:id="26" w:name="_Toc17870"/>
      <w:r>
        <w:rPr>
          <w:rFonts w:hint="eastAsia" w:ascii="宋体" w:hAnsi="宋体" w:cs="宋体"/>
          <w:b/>
          <w:bCs/>
          <w:kern w:val="0"/>
          <w:sz w:val="28"/>
          <w:szCs w:val="28"/>
        </w:rPr>
        <w:t>投标人须知前附表</w:t>
      </w:r>
      <w:bookmarkEnd w:id="26"/>
    </w:p>
    <w:tbl>
      <w:tblPr>
        <w:tblStyle w:val="15"/>
        <w:tblW w:w="990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4"/>
        <w:gridCol w:w="1670"/>
        <w:gridCol w:w="7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条款号</w:t>
            </w:r>
          </w:p>
        </w:tc>
        <w:tc>
          <w:tcPr>
            <w:tcW w:w="169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条款名称</w:t>
            </w:r>
          </w:p>
        </w:tc>
        <w:tc>
          <w:tcPr>
            <w:tcW w:w="7177"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sz w:val="24"/>
                <w:szCs w:val="24"/>
              </w:rPr>
            </w:pPr>
            <w:r>
              <w:rPr>
                <w:rFonts w:hint="eastAsia" w:ascii="宋体" w:hAnsi="宋体" w:cs="宋体"/>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1.1.1</w:t>
            </w:r>
          </w:p>
        </w:tc>
        <w:tc>
          <w:tcPr>
            <w:tcW w:w="169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仿宋_GB2312"/>
                <w:kern w:val="0"/>
                <w:sz w:val="24"/>
                <w:szCs w:val="24"/>
              </w:rPr>
              <w:t>招标编号</w:t>
            </w:r>
          </w:p>
        </w:tc>
        <w:tc>
          <w:tcPr>
            <w:tcW w:w="7177" w:type="dxa"/>
            <w:tcBorders>
              <w:top w:val="single" w:color="auto" w:sz="4" w:space="0"/>
              <w:left w:val="nil"/>
              <w:bottom w:val="single" w:color="auto" w:sz="4" w:space="0"/>
              <w:right w:val="single" w:color="auto" w:sz="4" w:space="0"/>
            </w:tcBorders>
          </w:tcPr>
          <w:p>
            <w:pPr>
              <w:spacing w:line="360" w:lineRule="auto"/>
              <w:contextualSpacing/>
              <w:rPr>
                <w:rFonts w:ascii="宋体" w:hAnsi="宋体" w:cs="宋体"/>
                <w:sz w:val="24"/>
                <w:szCs w:val="24"/>
              </w:rPr>
            </w:pPr>
            <w:r>
              <w:rPr>
                <w:rFonts w:hint="eastAsia" w:ascii="宋体" w:hAnsi="宋体" w:cs="宋体"/>
                <w:sz w:val="24"/>
                <w:szCs w:val="24"/>
              </w:rPr>
              <w:t>长交建【</w:t>
            </w:r>
            <w:r>
              <w:rPr>
                <w:rFonts w:ascii="宋体" w:hAnsi="宋体" w:cs="宋体"/>
                <w:sz w:val="24"/>
                <w:szCs w:val="24"/>
              </w:rPr>
              <w:t>202</w:t>
            </w:r>
            <w:r>
              <w:rPr>
                <w:rFonts w:hint="eastAsia" w:ascii="宋体" w:hAnsi="宋体" w:cs="宋体"/>
                <w:sz w:val="24"/>
                <w:szCs w:val="24"/>
              </w:rPr>
              <w:t>2】G</w:t>
            </w:r>
            <w:r>
              <w:rPr>
                <w:rFonts w:ascii="宋体" w:hAnsi="宋体" w:cs="宋体"/>
                <w:sz w:val="24"/>
                <w:szCs w:val="24"/>
              </w:rPr>
              <w:t>Z</w:t>
            </w:r>
            <w:r>
              <w:rPr>
                <w:rFonts w:hint="eastAsia" w:ascii="宋体" w:hAnsi="宋体" w:cs="宋体"/>
                <w:sz w:val="24"/>
                <w:szCs w:val="24"/>
                <w:lang w:val="en-US" w:eastAsia="zh-CN"/>
              </w:rPr>
              <w:t>031</w:t>
            </w:r>
            <w:r>
              <w:rPr>
                <w:rFonts w:hint="eastAsia" w:ascii="宋体" w:hAnsi="宋体" w:cs="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1.1.2</w:t>
            </w:r>
          </w:p>
        </w:tc>
        <w:tc>
          <w:tcPr>
            <w:tcW w:w="169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招标人</w:t>
            </w:r>
          </w:p>
        </w:tc>
        <w:tc>
          <w:tcPr>
            <w:tcW w:w="7177" w:type="dxa"/>
            <w:tcBorders>
              <w:top w:val="single" w:color="auto" w:sz="4" w:space="0"/>
              <w:left w:val="nil"/>
              <w:bottom w:val="single" w:color="auto" w:sz="4" w:space="0"/>
              <w:right w:val="single" w:color="auto" w:sz="4" w:space="0"/>
            </w:tcBorders>
          </w:tcPr>
          <w:p>
            <w:pPr>
              <w:autoSpaceDE w:val="0"/>
              <w:autoSpaceDN w:val="0"/>
              <w:spacing w:line="360" w:lineRule="auto"/>
              <w:outlineLvl w:val="0"/>
              <w:rPr>
                <w:rFonts w:hint="eastAsia" w:ascii="宋体" w:hAnsi="宋体"/>
                <w:sz w:val="24"/>
                <w:lang w:val="en-US" w:eastAsia="zh-CN"/>
              </w:rPr>
            </w:pPr>
            <w:r>
              <w:rPr>
                <w:rFonts w:hint="eastAsia" w:ascii="宋体" w:hAnsi="宋体"/>
                <w:sz w:val="24"/>
              </w:rPr>
              <w:t xml:space="preserve">招标人：长葛市坡胡镇人民政府  </w:t>
            </w:r>
          </w:p>
          <w:p>
            <w:pPr>
              <w:autoSpaceDE w:val="0"/>
              <w:autoSpaceDN w:val="0"/>
              <w:spacing w:line="360" w:lineRule="auto"/>
              <w:outlineLvl w:val="0"/>
              <w:rPr>
                <w:rFonts w:hint="eastAsia" w:ascii="宋体" w:hAnsi="宋体"/>
                <w:sz w:val="24"/>
              </w:rPr>
            </w:pPr>
            <w:r>
              <w:rPr>
                <w:rFonts w:hint="eastAsia" w:ascii="宋体" w:hAnsi="宋体"/>
                <w:sz w:val="24"/>
              </w:rPr>
              <w:t>联系人：</w:t>
            </w:r>
            <w:r>
              <w:rPr>
                <w:rFonts w:hint="eastAsia" w:ascii="宋体" w:hAnsi="宋体"/>
                <w:sz w:val="24"/>
                <w:lang w:eastAsia="zh-CN"/>
              </w:rPr>
              <w:t>刘先生</w:t>
            </w:r>
            <w:r>
              <w:rPr>
                <w:rFonts w:hint="eastAsia" w:ascii="宋体" w:hAnsi="宋体"/>
                <w:sz w:val="24"/>
              </w:rPr>
              <w:t xml:space="preserve">   </w:t>
            </w:r>
          </w:p>
          <w:p>
            <w:pPr>
              <w:autoSpaceDE w:val="0"/>
              <w:autoSpaceDN w:val="0"/>
              <w:spacing w:line="360" w:lineRule="auto"/>
              <w:outlineLvl w:val="0"/>
              <w:rPr>
                <w:rFonts w:hint="default" w:ascii="宋体" w:hAnsi="宋体"/>
                <w:sz w:val="24"/>
                <w:lang w:val="en-US" w:eastAsia="zh-CN"/>
              </w:rPr>
            </w:pPr>
            <w:r>
              <w:rPr>
                <w:rFonts w:hint="eastAsia" w:ascii="宋体" w:hAnsi="宋体"/>
                <w:sz w:val="24"/>
              </w:rPr>
              <w:t>联系电话：</w:t>
            </w:r>
            <w:r>
              <w:rPr>
                <w:rFonts w:hint="eastAsia" w:ascii="宋体" w:hAnsi="宋体"/>
                <w:sz w:val="24"/>
                <w:lang w:val="en-US" w:eastAsia="zh-CN"/>
              </w:rPr>
              <w:t>0374-6628622</w:t>
            </w:r>
          </w:p>
          <w:p>
            <w:pPr>
              <w:autoSpaceDE w:val="0"/>
              <w:autoSpaceDN w:val="0"/>
              <w:spacing w:line="360" w:lineRule="auto"/>
              <w:outlineLvl w:val="0"/>
              <w:rPr>
                <w:rFonts w:ascii="宋体" w:hAnsi="宋体"/>
                <w:sz w:val="24"/>
              </w:rPr>
            </w:pPr>
            <w:r>
              <w:rPr>
                <w:rFonts w:hint="eastAsia" w:ascii="宋体" w:hAnsi="宋体"/>
                <w:sz w:val="24"/>
                <w:lang w:val="en-US" w:eastAsia="zh-CN"/>
              </w:rPr>
              <w:t>地址：长葛市</w:t>
            </w:r>
            <w:r>
              <w:rPr>
                <w:rFonts w:hint="eastAsia" w:ascii="宋体" w:hAnsi="宋体"/>
                <w:sz w:val="24"/>
              </w:rPr>
              <w:t>坡胡镇</w:t>
            </w:r>
            <w:r>
              <w:rPr>
                <w:rFonts w:hint="eastAsia" w:ascii="宋体"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1.1.3</w:t>
            </w:r>
          </w:p>
        </w:tc>
        <w:tc>
          <w:tcPr>
            <w:tcW w:w="169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招标代理机构</w:t>
            </w:r>
          </w:p>
        </w:tc>
        <w:tc>
          <w:tcPr>
            <w:tcW w:w="7177" w:type="dxa"/>
            <w:tcBorders>
              <w:top w:val="single" w:color="auto" w:sz="4" w:space="0"/>
              <w:left w:val="nil"/>
              <w:bottom w:val="single" w:color="auto" w:sz="4" w:space="0"/>
              <w:right w:val="single" w:color="auto" w:sz="4" w:space="0"/>
            </w:tcBorders>
          </w:tcPr>
          <w:p>
            <w:pPr>
              <w:spacing w:line="360" w:lineRule="auto"/>
              <w:rPr>
                <w:rFonts w:hint="eastAsia" w:ascii="宋体" w:hAnsi="宋体" w:cs="宋体"/>
                <w:sz w:val="24"/>
                <w:szCs w:val="24"/>
              </w:rPr>
            </w:pPr>
            <w:r>
              <w:rPr>
                <w:rFonts w:hint="eastAsia" w:ascii="宋体" w:hAnsi="宋体" w:cs="宋体"/>
                <w:sz w:val="24"/>
                <w:szCs w:val="24"/>
              </w:rPr>
              <w:t>招标代理机构：</w:t>
            </w:r>
            <w:r>
              <w:rPr>
                <w:rFonts w:hint="eastAsia" w:ascii="宋体" w:hAnsi="宋体" w:cs="宋体"/>
                <w:sz w:val="24"/>
                <w:szCs w:val="24"/>
                <w:lang w:eastAsia="zh-CN"/>
              </w:rPr>
              <w:t>河南践诺工程管理有限公司</w:t>
            </w:r>
            <w:r>
              <w:rPr>
                <w:rFonts w:hint="eastAsia" w:ascii="宋体" w:hAnsi="宋体" w:cs="宋体"/>
                <w:sz w:val="24"/>
                <w:szCs w:val="24"/>
              </w:rPr>
              <w:t>　</w:t>
            </w:r>
          </w:p>
          <w:p>
            <w:pPr>
              <w:spacing w:line="360" w:lineRule="auto"/>
              <w:rPr>
                <w:rFonts w:ascii="宋体" w:hAnsi="宋体" w:cs="宋体"/>
                <w:sz w:val="24"/>
                <w:szCs w:val="24"/>
              </w:rPr>
            </w:pPr>
            <w:r>
              <w:rPr>
                <w:rFonts w:hint="eastAsia" w:ascii="宋体" w:hAnsi="宋体" w:cs="宋体"/>
                <w:sz w:val="24"/>
                <w:szCs w:val="24"/>
              </w:rPr>
              <w:t>项目联系人：</w:t>
            </w:r>
            <w:r>
              <w:rPr>
                <w:rFonts w:hint="eastAsia" w:ascii="宋体" w:hAnsi="宋体" w:cs="宋体"/>
                <w:sz w:val="24"/>
                <w:szCs w:val="24"/>
                <w:lang w:eastAsia="zh-CN"/>
              </w:rPr>
              <w:t>朱</w:t>
            </w:r>
            <w:r>
              <w:rPr>
                <w:rFonts w:hint="eastAsia" w:ascii="宋体" w:hAnsi="宋体" w:cs="宋体"/>
                <w:sz w:val="24"/>
                <w:szCs w:val="24"/>
              </w:rPr>
              <w:t>女士</w:t>
            </w:r>
          </w:p>
          <w:p>
            <w:pPr>
              <w:spacing w:line="360" w:lineRule="auto"/>
              <w:rPr>
                <w:rFonts w:hint="default" w:ascii="宋体" w:hAnsi="宋体" w:cs="宋体"/>
                <w:sz w:val="24"/>
                <w:szCs w:val="24"/>
                <w:lang w:val="en-US" w:eastAsia="zh-CN"/>
              </w:rPr>
            </w:pPr>
            <w:r>
              <w:rPr>
                <w:rFonts w:hint="eastAsia" w:ascii="宋体" w:hAnsi="宋体" w:cs="宋体"/>
                <w:sz w:val="24"/>
                <w:szCs w:val="24"/>
              </w:rPr>
              <w:t>项目联系电话：</w:t>
            </w:r>
            <w:r>
              <w:rPr>
                <w:rFonts w:hint="eastAsia" w:ascii="宋体" w:hAnsi="宋体" w:cs="宋体"/>
                <w:sz w:val="24"/>
                <w:szCs w:val="24"/>
                <w:lang w:val="en-US" w:eastAsia="zh-CN"/>
              </w:rPr>
              <w:t>13253553699</w:t>
            </w:r>
          </w:p>
          <w:p>
            <w:pPr>
              <w:spacing w:line="360" w:lineRule="auto"/>
              <w:rPr>
                <w:rFonts w:ascii="宋体" w:hAnsi="宋体" w:cs="宋体"/>
                <w:sz w:val="24"/>
                <w:szCs w:val="24"/>
              </w:rPr>
            </w:pPr>
            <w:r>
              <w:rPr>
                <w:rFonts w:hint="eastAsia" w:ascii="宋体" w:hAnsi="宋体" w:cs="宋体"/>
                <w:sz w:val="24"/>
                <w:szCs w:val="24"/>
              </w:rPr>
              <w:t>地址：河南省平顶山市湛河区神马大道东段东鼎花园4号楼12层东北户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1.1.4</w:t>
            </w:r>
          </w:p>
        </w:tc>
        <w:tc>
          <w:tcPr>
            <w:tcW w:w="169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项目名称</w:t>
            </w:r>
          </w:p>
        </w:tc>
        <w:tc>
          <w:tcPr>
            <w:tcW w:w="7177" w:type="dxa"/>
            <w:tcBorders>
              <w:top w:val="single" w:color="auto" w:sz="4" w:space="0"/>
              <w:left w:val="nil"/>
              <w:bottom w:val="single" w:color="auto" w:sz="4" w:space="0"/>
              <w:right w:val="single" w:color="auto" w:sz="4" w:space="0"/>
            </w:tcBorders>
            <w:vAlign w:val="center"/>
          </w:tcPr>
          <w:p>
            <w:pPr>
              <w:autoSpaceDE w:val="0"/>
              <w:autoSpaceDN w:val="0"/>
              <w:spacing w:line="360" w:lineRule="auto"/>
              <w:outlineLvl w:val="0"/>
              <w:rPr>
                <w:rFonts w:ascii="宋体" w:hAnsi="宋体" w:cs="宋体"/>
                <w:sz w:val="24"/>
              </w:rPr>
            </w:pPr>
            <w:r>
              <w:rPr>
                <w:rFonts w:hint="eastAsia" w:ascii="宋体" w:hAnsi="宋体" w:cs="宋体"/>
                <w:sz w:val="24"/>
                <w:lang w:val="en-US" w:eastAsia="zh-CN"/>
              </w:rPr>
              <w:t>长葛市机械零部件专业园区绿色工厂建设项目主体厂房维护及附属工程</w:t>
            </w:r>
            <w:r>
              <w:rPr>
                <w:rFonts w:hint="eastAsia" w:ascii="宋体" w:hAnsi="宋体" w:cs="宋体"/>
                <w:sz w:val="24"/>
              </w:rPr>
              <w:t>（不见面开标）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1.1.5</w:t>
            </w:r>
          </w:p>
        </w:tc>
        <w:tc>
          <w:tcPr>
            <w:tcW w:w="169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color w:val="FF0000"/>
                <w:kern w:val="0"/>
                <w:sz w:val="24"/>
                <w:szCs w:val="24"/>
              </w:rPr>
            </w:pPr>
            <w:r>
              <w:rPr>
                <w:rFonts w:hint="eastAsia" w:ascii="宋体" w:hAnsi="宋体" w:cs="宋体"/>
                <w:sz w:val="24"/>
                <w:szCs w:val="24"/>
              </w:rPr>
              <w:t>建设地点</w:t>
            </w:r>
          </w:p>
        </w:tc>
        <w:tc>
          <w:tcPr>
            <w:tcW w:w="7177"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sz w:val="24"/>
                <w:szCs w:val="24"/>
                <w:lang w:eastAsia="zh-CN"/>
              </w:rPr>
              <w:t>长葛市坡胡镇坡马村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1.1.6</w:t>
            </w:r>
          </w:p>
        </w:tc>
        <w:tc>
          <w:tcPr>
            <w:tcW w:w="169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sz w:val="24"/>
                <w:szCs w:val="24"/>
              </w:rPr>
            </w:pPr>
            <w:r>
              <w:rPr>
                <w:rFonts w:hint="eastAsia" w:ascii="宋体" w:hAnsi="宋体" w:cs="宋体"/>
                <w:sz w:val="24"/>
                <w:szCs w:val="24"/>
              </w:rPr>
              <w:t>项目概况</w:t>
            </w:r>
          </w:p>
        </w:tc>
        <w:tc>
          <w:tcPr>
            <w:tcW w:w="7177" w:type="dxa"/>
            <w:tcBorders>
              <w:top w:val="single" w:color="auto" w:sz="4" w:space="0"/>
              <w:left w:val="nil"/>
              <w:bottom w:val="single" w:color="auto" w:sz="4" w:space="0"/>
              <w:right w:val="single" w:color="auto" w:sz="4" w:space="0"/>
            </w:tcBorders>
            <w:vAlign w:val="center"/>
          </w:tcPr>
          <w:p>
            <w:pPr>
              <w:autoSpaceDE w:val="0"/>
              <w:autoSpaceDN w:val="0"/>
              <w:spacing w:line="460" w:lineRule="exact"/>
              <w:ind w:firstLine="480" w:firstLineChars="200"/>
              <w:outlineLvl w:val="0"/>
              <w:rPr>
                <w:rFonts w:ascii="宋体" w:hAnsi="宋体" w:cs="宋体"/>
                <w:sz w:val="24"/>
              </w:rPr>
            </w:pPr>
            <w:r>
              <w:rPr>
                <w:rFonts w:hint="eastAsia" w:ascii="宋体" w:hAnsi="宋体"/>
                <w:color w:val="auto"/>
                <w:sz w:val="24"/>
                <w:szCs w:val="24"/>
                <w:lang w:val="en-US" w:eastAsia="zh-CN"/>
              </w:rPr>
              <w:t>主要建设内容为：现有厂房型材屋面更换，钢构件除锈、防腐、喷涂防火涂料，新建围墙、3T行吊、成品值班室等。具体内容详见工程量清单。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1.2.1</w:t>
            </w:r>
          </w:p>
        </w:tc>
        <w:tc>
          <w:tcPr>
            <w:tcW w:w="169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资金来源</w:t>
            </w:r>
          </w:p>
        </w:tc>
        <w:tc>
          <w:tcPr>
            <w:tcW w:w="7177" w:type="dxa"/>
            <w:tcBorders>
              <w:top w:val="single" w:color="auto" w:sz="4" w:space="0"/>
              <w:left w:val="nil"/>
              <w:bottom w:val="single" w:color="auto" w:sz="4" w:space="0"/>
              <w:right w:val="single" w:color="auto" w:sz="4" w:space="0"/>
            </w:tcBorders>
          </w:tcPr>
          <w:p>
            <w:pPr>
              <w:autoSpaceDE w:val="0"/>
              <w:autoSpaceDN w:val="0"/>
              <w:spacing w:line="360" w:lineRule="auto"/>
              <w:contextualSpacing/>
              <w:rPr>
                <w:rFonts w:hint="eastAsia" w:ascii="宋体" w:hAnsi="宋体" w:eastAsia="宋体" w:cs="宋体"/>
                <w:color w:val="FF0000"/>
                <w:sz w:val="24"/>
                <w:szCs w:val="24"/>
                <w:lang w:val="en-US" w:eastAsia="zh-CN"/>
              </w:rPr>
            </w:pPr>
            <w:r>
              <w:rPr>
                <w:rFonts w:hint="eastAsia" w:ascii="宋体" w:hAnsi="宋体" w:cs="宋体"/>
                <w:color w:val="auto"/>
                <w:sz w:val="24"/>
                <w:szCs w:val="24"/>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1.2.2</w:t>
            </w:r>
          </w:p>
        </w:tc>
        <w:tc>
          <w:tcPr>
            <w:tcW w:w="169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出资比例</w:t>
            </w:r>
          </w:p>
        </w:tc>
        <w:tc>
          <w:tcPr>
            <w:tcW w:w="7177" w:type="dxa"/>
            <w:tcBorders>
              <w:top w:val="single" w:color="auto" w:sz="4" w:space="0"/>
              <w:left w:val="nil"/>
              <w:bottom w:val="single" w:color="auto" w:sz="4" w:space="0"/>
              <w:right w:val="single" w:color="auto" w:sz="4" w:space="0"/>
            </w:tcBorders>
          </w:tcPr>
          <w:p>
            <w:pPr>
              <w:autoSpaceDE w:val="0"/>
              <w:autoSpaceDN w:val="0"/>
              <w:spacing w:line="360" w:lineRule="auto"/>
              <w:contextualSpacing/>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1.2.3</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资金落实</w:t>
            </w:r>
          </w:p>
          <w:p>
            <w:pPr>
              <w:spacing w:line="360" w:lineRule="auto"/>
              <w:jc w:val="center"/>
              <w:rPr>
                <w:sz w:val="24"/>
                <w:szCs w:val="24"/>
              </w:rPr>
            </w:pPr>
            <w:r>
              <w:rPr>
                <w:rFonts w:hint="eastAsia"/>
                <w:sz w:val="24"/>
                <w:szCs w:val="24"/>
              </w:rPr>
              <w:t>情况</w:t>
            </w:r>
          </w:p>
        </w:tc>
        <w:tc>
          <w:tcPr>
            <w:tcW w:w="7177"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rPr>
              <w:t>项目资金已落实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1.2.4</w:t>
            </w:r>
          </w:p>
        </w:tc>
        <w:tc>
          <w:tcPr>
            <w:tcW w:w="169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color w:val="auto"/>
                <w:kern w:val="0"/>
                <w:sz w:val="24"/>
                <w:szCs w:val="24"/>
              </w:rPr>
            </w:pPr>
            <w:r>
              <w:rPr>
                <w:rFonts w:hint="eastAsia" w:ascii="宋体" w:hAnsi="宋体" w:cs="宋体"/>
                <w:color w:val="auto"/>
                <w:kern w:val="0"/>
                <w:sz w:val="24"/>
                <w:szCs w:val="24"/>
              </w:rPr>
              <w:t>标段划分</w:t>
            </w:r>
          </w:p>
        </w:tc>
        <w:tc>
          <w:tcPr>
            <w:tcW w:w="7177" w:type="dxa"/>
            <w:tcBorders>
              <w:top w:val="single" w:color="auto" w:sz="4" w:space="0"/>
              <w:left w:val="nil"/>
              <w:bottom w:val="single" w:color="auto" w:sz="4" w:space="0"/>
              <w:right w:val="single" w:color="auto" w:sz="4" w:space="0"/>
            </w:tcBorders>
            <w:vAlign w:val="center"/>
          </w:tcPr>
          <w:p>
            <w:pPr>
              <w:autoSpaceDE w:val="0"/>
              <w:autoSpaceDN w:val="0"/>
              <w:spacing w:line="360" w:lineRule="auto"/>
              <w:outlineLvl w:val="0"/>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本项目共划分为</w:t>
            </w:r>
            <w:r>
              <w:rPr>
                <w:rFonts w:hint="eastAsia" w:ascii="宋体" w:hAnsi="宋体" w:cs="宋体"/>
                <w:color w:val="auto"/>
                <w:kern w:val="0"/>
                <w:sz w:val="24"/>
                <w:szCs w:val="24"/>
                <w:lang w:val="en-US" w:eastAsia="zh-CN"/>
              </w:rPr>
              <w:t>一</w:t>
            </w:r>
            <w:r>
              <w:rPr>
                <w:rFonts w:hint="eastAsia" w:ascii="宋体" w:hAnsi="宋体" w:cs="宋体"/>
                <w:color w:val="auto"/>
                <w:kern w:val="0"/>
                <w:sz w:val="24"/>
                <w:szCs w:val="24"/>
              </w:rPr>
              <w:t>个标段</w:t>
            </w:r>
            <w:r>
              <w:rPr>
                <w:rFonts w:hint="eastAsia" w:ascii="宋体" w:hAnsi="宋体" w:cs="宋体"/>
                <w:color w:val="auto"/>
                <w:kern w:val="0"/>
                <w:sz w:val="24"/>
                <w:szCs w:val="24"/>
                <w:lang w:eastAsia="zh-CN"/>
              </w:rPr>
              <w:t>，</w:t>
            </w:r>
            <w:r>
              <w:rPr>
                <w:rFonts w:hint="eastAsia" w:ascii="宋体" w:hAnsi="宋体" w:cs="仿宋_GB2312"/>
                <w:color w:val="auto"/>
                <w:kern w:val="0"/>
                <w:sz w:val="24"/>
                <w:szCs w:val="24"/>
              </w:rPr>
              <w:t>具体划分详见招标公告。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1.3.1</w:t>
            </w:r>
          </w:p>
        </w:tc>
        <w:tc>
          <w:tcPr>
            <w:tcW w:w="169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招标范围</w:t>
            </w:r>
          </w:p>
        </w:tc>
        <w:tc>
          <w:tcPr>
            <w:tcW w:w="7177" w:type="dxa"/>
            <w:tcBorders>
              <w:top w:val="single" w:color="auto" w:sz="4" w:space="0"/>
              <w:left w:val="nil"/>
              <w:bottom w:val="single" w:color="auto" w:sz="4" w:space="0"/>
              <w:right w:val="single" w:color="auto" w:sz="4" w:space="0"/>
            </w:tcBorders>
            <w:vAlign w:val="center"/>
          </w:tcPr>
          <w:p>
            <w:pPr>
              <w:spacing w:line="360" w:lineRule="auto"/>
              <w:contextualSpacing/>
              <w:outlineLvl w:val="0"/>
              <w:rPr>
                <w:rFonts w:ascii="宋体" w:hAnsi="宋体" w:cs="宋体"/>
                <w:kern w:val="0"/>
                <w:sz w:val="24"/>
                <w:szCs w:val="24"/>
              </w:rPr>
            </w:pPr>
            <w:r>
              <w:rPr>
                <w:rFonts w:hint="eastAsia" w:ascii="宋体" w:hAnsi="宋体" w:cs="仿宋_GB2312"/>
                <w:kern w:val="0"/>
                <w:sz w:val="24"/>
                <w:szCs w:val="24"/>
              </w:rPr>
              <w:t>招标文件、工程量清单、施工图纸、补充文件（如有）、答疑纪要等列明的所有建设内容</w:t>
            </w:r>
            <w:r>
              <w:rPr>
                <w:rFonts w:hint="eastAsia" w:ascii="仿宋_GB2312" w:hAnsi="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1.3.2</w:t>
            </w:r>
          </w:p>
        </w:tc>
        <w:tc>
          <w:tcPr>
            <w:tcW w:w="169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计划工期</w:t>
            </w:r>
          </w:p>
        </w:tc>
        <w:tc>
          <w:tcPr>
            <w:tcW w:w="7177" w:type="dxa"/>
            <w:tcBorders>
              <w:top w:val="single" w:color="auto" w:sz="4" w:space="0"/>
              <w:left w:val="nil"/>
              <w:bottom w:val="single" w:color="auto" w:sz="4" w:space="0"/>
              <w:right w:val="single" w:color="auto" w:sz="4" w:space="0"/>
            </w:tcBorders>
            <w:vAlign w:val="center"/>
          </w:tcPr>
          <w:p>
            <w:pPr>
              <w:autoSpaceDE w:val="0"/>
              <w:autoSpaceDN w:val="0"/>
              <w:spacing w:line="360" w:lineRule="auto"/>
              <w:outlineLvl w:val="0"/>
              <w:rPr>
                <w:rFonts w:ascii="宋体" w:hAnsi="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cs="宋体"/>
                <w:color w:val="auto"/>
                <w:kern w:val="0"/>
                <w:sz w:val="21"/>
                <w:szCs w:val="21"/>
                <w:lang w:val="en-US" w:eastAsia="zh-CN"/>
              </w:rPr>
              <w:t>90</w:t>
            </w:r>
            <w:r>
              <w:rPr>
                <w:rFonts w:hint="eastAsia" w:ascii="宋体" w:hAnsi="宋体" w:cs="宋体"/>
                <w:color w:val="auto"/>
                <w:kern w:val="0"/>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1.3.3</w:t>
            </w:r>
          </w:p>
        </w:tc>
        <w:tc>
          <w:tcPr>
            <w:tcW w:w="169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质量要求</w:t>
            </w:r>
          </w:p>
        </w:tc>
        <w:tc>
          <w:tcPr>
            <w:tcW w:w="7177"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ascii="宋体" w:hAnsi="宋体" w:cs="宋体"/>
                <w:kern w:val="0"/>
                <w:sz w:val="24"/>
                <w:szCs w:val="24"/>
              </w:rPr>
            </w:pPr>
            <w:r>
              <w:rPr>
                <w:rFonts w:hint="eastAsia" w:ascii="宋体" w:hAnsi="宋体" w:cs="仿宋_GB2312"/>
                <w:kern w:val="0"/>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p>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1.4.1</w:t>
            </w:r>
          </w:p>
        </w:tc>
        <w:tc>
          <w:tcPr>
            <w:tcW w:w="169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投标人资质条件</w:t>
            </w:r>
          </w:p>
        </w:tc>
        <w:tc>
          <w:tcPr>
            <w:tcW w:w="7177" w:type="dxa"/>
            <w:tcBorders>
              <w:top w:val="single" w:color="auto" w:sz="4" w:space="0"/>
              <w:left w:val="nil"/>
              <w:bottom w:val="single" w:color="auto" w:sz="4" w:space="0"/>
              <w:right w:val="single" w:color="auto" w:sz="4" w:space="0"/>
            </w:tcBorders>
          </w:tcPr>
          <w:p>
            <w:pPr>
              <w:autoSpaceDE w:val="0"/>
              <w:autoSpaceDN w:val="0"/>
              <w:spacing w:line="480" w:lineRule="exact"/>
              <w:ind w:firstLine="420" w:firstLineChars="200"/>
              <w:outlineLvl w:val="0"/>
              <w:rPr>
                <w:rFonts w:hint="eastAsia"/>
              </w:rPr>
            </w:pPr>
            <w:r>
              <w:rPr>
                <w:rFonts w:hint="eastAsia"/>
                <w:lang w:val="en-US" w:eastAsia="zh-CN"/>
              </w:rPr>
              <w:t>1.</w:t>
            </w:r>
            <w:r>
              <w:rPr>
                <w:rFonts w:hint="eastAsia"/>
              </w:rPr>
              <w:t>投标人须具备建设行政主管部门颁发的建筑工程施工总承包叁级（含）及以上资质</w:t>
            </w:r>
            <w:r>
              <w:rPr>
                <w:rFonts w:hint="eastAsia"/>
                <w:lang w:val="en-US" w:eastAsia="zh-CN"/>
              </w:rPr>
              <w:t>,</w:t>
            </w:r>
            <w:r>
              <w:rPr>
                <w:rFonts w:hint="eastAsia"/>
              </w:rPr>
              <w:t>且具有有效的安全生产许可证，具有独立法人资格，并在人员、设备、资金等方面具有相应的施工能力。拟任项目经理应具有建筑工程专业贰级（含）以上注册建造师资格，取得有效的安全生产考核合格证，且未担任其他在建设工程的项目经理。</w:t>
            </w:r>
          </w:p>
          <w:p>
            <w:pPr>
              <w:autoSpaceDE w:val="0"/>
              <w:autoSpaceDN w:val="0"/>
              <w:spacing w:line="480" w:lineRule="exact"/>
              <w:ind w:firstLine="420" w:firstLineChars="200"/>
              <w:outlineLvl w:val="0"/>
              <w:rPr>
                <w:rFonts w:hint="eastAsia"/>
                <w:lang w:val="en-US" w:eastAsia="zh-CN"/>
              </w:rPr>
            </w:pPr>
            <w:r>
              <w:rPr>
                <w:rFonts w:hint="eastAsia"/>
                <w:lang w:val="en-US" w:eastAsia="zh-CN"/>
              </w:rPr>
              <w:t>2.未被列入“信用中国”/“信用河南”网站信用信息栏黑名单，“国家企业信用信息公示系统”经营异常名录或严重失信黑名单,无行贿犯罪记录的投标人。</w:t>
            </w:r>
          </w:p>
          <w:p>
            <w:pPr>
              <w:spacing w:line="500" w:lineRule="exact"/>
              <w:rPr>
                <w:rFonts w:hint="eastAsia"/>
                <w:lang w:val="en-US" w:eastAsia="zh-CN"/>
              </w:rPr>
            </w:pPr>
            <w:r>
              <w:rPr>
                <w:rFonts w:hint="eastAsia"/>
                <w:lang w:val="en-US" w:eastAsia="zh-CN"/>
              </w:rPr>
              <w:t>3.本项目接受联合体投标，但联合体成员数量最多不得超过2名（含），联合体投标的应满足下列要求：（1）两个以上法人或者其他组织可以组成一个联合体，以一个投标人的身份共同投标；（2）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3）联合体各方应当签订共同投标协议，明确约定各方拟承担的工作和责任，并将共同投标协议连同投标文件一并提交招标人；（4）联合体中标的，联合体各方应当共同与招标人签订合同，就中标项目向招标人承担连带责任；（5）招标人不得强制投标人组成联合体共同投标，不得限制投标人之间的竞争。</w:t>
            </w:r>
          </w:p>
          <w:p>
            <w:pPr>
              <w:spacing w:line="500" w:lineRule="exact"/>
            </w:pPr>
            <w:r>
              <w:rPr>
                <w:rFonts w:hint="eastAsia" w:ascii="宋体" w:hAnsi="宋体" w:eastAsia="宋体"/>
                <w:sz w:val="21"/>
                <w:szCs w:val="21"/>
                <w:lang w:val="en-US" w:eastAsia="zh-CN"/>
              </w:rPr>
              <w:t>4</w:t>
            </w:r>
            <w:r>
              <w:rPr>
                <w:rFonts w:hint="eastAsia"/>
                <w:lang w:val="en-US" w:eastAsia="zh-CN"/>
              </w:rPr>
              <w:t>、本项目不得转包、挂靠及违法分包。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1.4.2</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是否接受联合体投标</w:t>
            </w:r>
          </w:p>
        </w:tc>
        <w:tc>
          <w:tcPr>
            <w:tcW w:w="7177"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1.9.1</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踏勘现场</w:t>
            </w:r>
          </w:p>
        </w:tc>
        <w:tc>
          <w:tcPr>
            <w:tcW w:w="7177" w:type="dxa"/>
            <w:tcBorders>
              <w:top w:val="single" w:color="auto" w:sz="4" w:space="0"/>
              <w:left w:val="nil"/>
              <w:bottom w:val="single" w:color="auto" w:sz="4" w:space="0"/>
              <w:right w:val="single" w:color="auto" w:sz="4" w:space="0"/>
            </w:tcBorders>
          </w:tcPr>
          <w:p>
            <w:pPr>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1.10.1</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投标预备会</w:t>
            </w:r>
          </w:p>
        </w:tc>
        <w:tc>
          <w:tcPr>
            <w:tcW w:w="7177"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szCs w:val="24"/>
              </w:rPr>
            </w:pPr>
            <w:r>
              <w:rPr>
                <w:rFonts w:hint="eastAsia" w:ascii="宋体" w:hAnsi="宋体" w:cs="宋体"/>
                <w:sz w:val="24"/>
                <w:szCs w:val="24"/>
              </w:rPr>
              <w:t>1.10.3</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招标人书面澄清的时间</w:t>
            </w:r>
          </w:p>
        </w:tc>
        <w:tc>
          <w:tcPr>
            <w:tcW w:w="7177" w:type="dxa"/>
            <w:tcBorders>
              <w:top w:val="single" w:color="auto" w:sz="4" w:space="0"/>
              <w:left w:val="nil"/>
              <w:bottom w:val="single" w:color="auto" w:sz="4" w:space="0"/>
              <w:right w:val="single" w:color="auto" w:sz="4" w:space="0"/>
            </w:tcBorders>
            <w:vAlign w:val="center"/>
          </w:tcPr>
          <w:p>
            <w:pPr>
              <w:spacing w:line="360" w:lineRule="auto"/>
              <w:contextualSpacing/>
              <w:rPr>
                <w:rFonts w:ascii="宋体" w:hAnsi="宋体" w:cs="宋体"/>
                <w:sz w:val="24"/>
                <w:szCs w:val="24"/>
              </w:rPr>
            </w:pPr>
            <w:r>
              <w:rPr>
                <w:rFonts w:hint="eastAsia" w:ascii="宋体" w:hAnsi="宋体" w:cs="宋体"/>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1.11</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分包</w:t>
            </w:r>
          </w:p>
        </w:tc>
        <w:tc>
          <w:tcPr>
            <w:tcW w:w="7177" w:type="dxa"/>
            <w:tcBorders>
              <w:top w:val="single" w:color="auto" w:sz="4" w:space="0"/>
              <w:left w:val="nil"/>
              <w:bottom w:val="single" w:color="auto" w:sz="4" w:space="0"/>
              <w:right w:val="single" w:color="auto" w:sz="4" w:space="0"/>
            </w:tcBorders>
          </w:tcPr>
          <w:p>
            <w:pPr>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 xml:space="preserve">1.12 </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偏离</w:t>
            </w:r>
          </w:p>
        </w:tc>
        <w:tc>
          <w:tcPr>
            <w:tcW w:w="7177" w:type="dxa"/>
            <w:tcBorders>
              <w:top w:val="single" w:color="auto" w:sz="4" w:space="0"/>
              <w:left w:val="nil"/>
              <w:bottom w:val="single" w:color="auto" w:sz="4" w:space="0"/>
              <w:right w:val="single" w:color="auto" w:sz="4" w:space="0"/>
            </w:tcBorders>
          </w:tcPr>
          <w:p>
            <w:pPr>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2.1</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招标文件的获取</w:t>
            </w:r>
          </w:p>
        </w:tc>
        <w:tc>
          <w:tcPr>
            <w:tcW w:w="7177"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rPr>
              <w:t>在全国公共资源交易平台（河南省.许昌市）网上下载招标文件、商务标招标文件（工程量清单）、招标控制价。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2.1.1</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构成招标文件的其他材料</w:t>
            </w:r>
          </w:p>
        </w:tc>
        <w:tc>
          <w:tcPr>
            <w:tcW w:w="7177"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2.2.1</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投标截止时间</w:t>
            </w:r>
          </w:p>
        </w:tc>
        <w:tc>
          <w:tcPr>
            <w:tcW w:w="7177"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ascii="宋体" w:hAnsi="宋体" w:cs="宋体"/>
                <w:kern w:val="0"/>
                <w:sz w:val="24"/>
                <w:szCs w:val="24"/>
              </w:rPr>
            </w:pPr>
            <w:r>
              <w:rPr>
                <w:rFonts w:hint="eastAsia" w:ascii="宋体" w:hAnsi="宋体" w:cs="宋体"/>
                <w:color w:val="FF0000"/>
                <w:kern w:val="0"/>
                <w:sz w:val="24"/>
                <w:szCs w:val="24"/>
              </w:rPr>
              <w:t>2022年</w:t>
            </w:r>
            <w:r>
              <w:rPr>
                <w:rFonts w:hint="eastAsia" w:ascii="宋体" w:hAnsi="宋体" w:cs="宋体"/>
                <w:color w:val="FF0000"/>
                <w:kern w:val="0"/>
                <w:sz w:val="24"/>
                <w:szCs w:val="24"/>
                <w:lang w:val="en-US" w:eastAsia="zh-CN"/>
              </w:rPr>
              <w:t xml:space="preserve">  9 </w:t>
            </w:r>
            <w:r>
              <w:rPr>
                <w:rFonts w:hint="eastAsia" w:ascii="宋体" w:hAnsi="宋体" w:cs="宋体"/>
                <w:color w:val="FF0000"/>
                <w:kern w:val="0"/>
                <w:sz w:val="24"/>
                <w:szCs w:val="24"/>
              </w:rPr>
              <w:t>月</w:t>
            </w:r>
            <w:r>
              <w:rPr>
                <w:rFonts w:hint="eastAsia" w:ascii="宋体" w:hAnsi="宋体" w:cs="宋体"/>
                <w:color w:val="FF0000"/>
                <w:kern w:val="0"/>
                <w:sz w:val="24"/>
                <w:szCs w:val="24"/>
                <w:lang w:val="en-US" w:eastAsia="zh-CN"/>
              </w:rPr>
              <w:t xml:space="preserve">  23 </w:t>
            </w:r>
            <w:r>
              <w:rPr>
                <w:rFonts w:hint="eastAsia" w:ascii="宋体" w:hAnsi="宋体" w:cs="宋体"/>
                <w:color w:val="FF0000"/>
                <w:kern w:val="0"/>
                <w:sz w:val="24"/>
                <w:szCs w:val="24"/>
              </w:rPr>
              <w:t>日</w:t>
            </w:r>
            <w:r>
              <w:rPr>
                <w:rFonts w:hint="eastAsia" w:ascii="宋体" w:hAnsi="宋体" w:cs="宋体"/>
                <w:color w:val="FF0000"/>
                <w:kern w:val="0"/>
                <w:sz w:val="24"/>
                <w:szCs w:val="24"/>
                <w:lang w:val="en-US" w:eastAsia="zh-CN"/>
              </w:rPr>
              <w:t xml:space="preserve"> 9  </w:t>
            </w:r>
            <w:r>
              <w:rPr>
                <w:rFonts w:hint="eastAsia" w:ascii="宋体" w:hAnsi="宋体" w:cs="宋体"/>
                <w:color w:val="FF0000"/>
                <w:kern w:val="0"/>
                <w:sz w:val="24"/>
                <w:szCs w:val="24"/>
              </w:rPr>
              <w:t>时</w:t>
            </w:r>
            <w:r>
              <w:rPr>
                <w:rFonts w:hint="eastAsia" w:ascii="宋体" w:hAnsi="宋体" w:cs="宋体"/>
                <w:color w:val="FF0000"/>
                <w:kern w:val="0"/>
                <w:sz w:val="24"/>
                <w:szCs w:val="24"/>
                <w:lang w:val="en-US" w:eastAsia="zh-CN"/>
              </w:rPr>
              <w:t xml:space="preserve">  00  </w:t>
            </w:r>
            <w:r>
              <w:rPr>
                <w:rFonts w:hint="eastAsia" w:ascii="宋体" w:hAnsi="宋体" w:cs="宋体"/>
                <w:color w:val="FF0000"/>
                <w:kern w:val="0"/>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2.2.2</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投标人确认收到招标文件澄清的时间</w:t>
            </w:r>
          </w:p>
        </w:tc>
        <w:tc>
          <w:tcPr>
            <w:tcW w:w="7177"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ascii="宋体" w:hAnsi="宋体" w:cs="宋体"/>
                <w:kern w:val="0"/>
                <w:sz w:val="24"/>
                <w:szCs w:val="24"/>
              </w:rPr>
            </w:pPr>
            <w:r>
              <w:rPr>
                <w:rFonts w:hint="eastAsia" w:ascii="宋体" w:hAnsi="宋体" w:cs="宋体"/>
                <w:sz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2.3.2</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投标人确认收到招标文件修改的时间</w:t>
            </w:r>
          </w:p>
        </w:tc>
        <w:tc>
          <w:tcPr>
            <w:tcW w:w="7177"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ascii="宋体" w:hAnsi="宋体" w:cs="宋体"/>
                <w:kern w:val="0"/>
                <w:sz w:val="24"/>
                <w:szCs w:val="24"/>
              </w:rPr>
            </w:pPr>
            <w:r>
              <w:rPr>
                <w:rFonts w:hint="eastAsia" w:ascii="宋体" w:hAnsi="宋体" w:cs="宋体"/>
                <w:sz w:val="24"/>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2.3.3</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投标人对招标文件有异议的提出与受理</w:t>
            </w:r>
          </w:p>
        </w:tc>
        <w:tc>
          <w:tcPr>
            <w:tcW w:w="7177"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3.1.1</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构成投标文件的其他材料</w:t>
            </w:r>
          </w:p>
        </w:tc>
        <w:tc>
          <w:tcPr>
            <w:tcW w:w="7177"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hint="default" w:ascii="宋体" w:hAnsi="宋体" w:eastAsia="宋体" w:cs="宋体"/>
                <w:kern w:val="0"/>
                <w:sz w:val="24"/>
                <w:szCs w:val="24"/>
                <w:lang w:val="en-US" w:eastAsia="zh-CN"/>
              </w:rPr>
            </w:pPr>
            <w:r>
              <w:rPr>
                <w:rFonts w:hint="eastAsia" w:ascii="宋体" w:hAnsi="宋体" w:cs="宋体"/>
                <w:kern w:val="0"/>
                <w:sz w:val="24"/>
                <w:szCs w:val="24"/>
              </w:rPr>
              <w:t>（1）投标人认为其它需要补充的内容</w:t>
            </w:r>
            <w:r>
              <w:rPr>
                <w:rFonts w:hint="eastAsia" w:ascii="宋体" w:hAnsi="宋体" w:cs="宋体"/>
                <w:kern w:val="0"/>
                <w:sz w:val="24"/>
                <w:szCs w:val="24"/>
                <w:lang w:val="en-US" w:eastAsia="zh-CN"/>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3.3.1</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投标有效期</w:t>
            </w:r>
          </w:p>
        </w:tc>
        <w:tc>
          <w:tcPr>
            <w:tcW w:w="7177" w:type="dxa"/>
            <w:tcBorders>
              <w:top w:val="single" w:color="auto" w:sz="4" w:space="0"/>
              <w:left w:val="nil"/>
              <w:bottom w:val="single" w:color="auto" w:sz="4" w:space="0"/>
              <w:right w:val="single" w:color="auto" w:sz="4" w:space="0"/>
            </w:tcBorders>
          </w:tcPr>
          <w:p>
            <w:pPr>
              <w:autoSpaceDE w:val="0"/>
              <w:autoSpaceDN w:val="0"/>
              <w:spacing w:line="360" w:lineRule="auto"/>
              <w:contextualSpacing/>
              <w:jc w:val="left"/>
              <w:rPr>
                <w:rFonts w:ascii="宋体" w:hAnsi="宋体" w:cs="宋体"/>
                <w:color w:val="FF0000"/>
                <w:kern w:val="0"/>
                <w:sz w:val="24"/>
                <w:szCs w:val="24"/>
              </w:rPr>
            </w:pPr>
            <w:r>
              <w:rPr>
                <w:rFonts w:hint="eastAsia" w:ascii="宋体" w:hAnsi="宋体" w:cs="宋体"/>
                <w:kern w:val="0"/>
                <w:sz w:val="24"/>
                <w:szCs w:val="24"/>
              </w:rPr>
              <w:t>自投标截止时间起60日历天，投标人应当在投标有效期内办理相关事宜。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3.4.1</w:t>
            </w:r>
          </w:p>
        </w:tc>
        <w:tc>
          <w:tcPr>
            <w:tcW w:w="169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投标担保</w:t>
            </w:r>
          </w:p>
        </w:tc>
        <w:tc>
          <w:tcPr>
            <w:tcW w:w="7177" w:type="dxa"/>
            <w:tcBorders>
              <w:top w:val="single" w:color="auto" w:sz="4" w:space="0"/>
              <w:left w:val="nil"/>
              <w:bottom w:val="single" w:color="auto" w:sz="4" w:space="0"/>
              <w:right w:val="single" w:color="auto" w:sz="4" w:space="0"/>
            </w:tcBorders>
          </w:tcPr>
          <w:p>
            <w:pPr>
              <w:spacing w:line="360" w:lineRule="auto"/>
              <w:contextualSpacing/>
              <w:rPr>
                <w:rFonts w:ascii="宋体" w:hAnsi="宋体" w:cs="宋体"/>
                <w:b/>
                <w:bCs/>
                <w:sz w:val="24"/>
                <w:szCs w:val="24"/>
              </w:rPr>
            </w:pPr>
            <w:r>
              <w:rPr>
                <w:rFonts w:hint="eastAsia" w:ascii="宋体" w:hAnsi="宋体" w:cs="宋体"/>
                <w:b/>
                <w:bCs/>
                <w:sz w:val="24"/>
                <w:szCs w:val="24"/>
              </w:rPr>
              <w:t>1.投标保证金递交截止时间：</w:t>
            </w:r>
            <w:r>
              <w:rPr>
                <w:rFonts w:hint="eastAsia" w:ascii="宋体" w:hAnsi="宋体" w:cs="宋体"/>
                <w:sz w:val="24"/>
                <w:szCs w:val="24"/>
              </w:rPr>
              <w:t>同投标截止时间。</w:t>
            </w:r>
          </w:p>
          <w:p>
            <w:pPr>
              <w:spacing w:line="360" w:lineRule="auto"/>
              <w:contextualSpacing/>
              <w:rPr>
                <w:rFonts w:hint="eastAsia" w:ascii="宋体" w:hAnsi="宋体" w:cs="宋体"/>
                <w:b/>
                <w:bCs/>
                <w:color w:val="auto"/>
                <w:sz w:val="24"/>
                <w:szCs w:val="24"/>
                <w:lang w:val="en-US" w:eastAsia="zh-CN"/>
              </w:rPr>
            </w:pPr>
            <w:r>
              <w:rPr>
                <w:rFonts w:hint="eastAsia" w:ascii="宋体" w:hAnsi="宋体" w:cs="宋体"/>
                <w:b/>
                <w:bCs/>
                <w:color w:val="auto"/>
                <w:sz w:val="24"/>
                <w:szCs w:val="24"/>
              </w:rPr>
              <w:t>2.金额：</w:t>
            </w:r>
            <w:r>
              <w:rPr>
                <w:rFonts w:hint="eastAsia" w:ascii="宋体" w:hAnsi="宋体" w:cs="宋体"/>
                <w:b/>
                <w:bCs/>
                <w:color w:val="auto"/>
                <w:sz w:val="24"/>
                <w:szCs w:val="24"/>
                <w:lang w:eastAsia="zh-CN"/>
              </w:rPr>
              <w:t>玖万肆仟元整元整</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w:t>
            </w:r>
            <w:r>
              <w:rPr>
                <w:rFonts w:hint="eastAsia" w:ascii="宋体" w:hAnsi="宋体" w:cs="宋体"/>
                <w:b/>
                <w:bCs/>
                <w:color w:val="auto"/>
                <w:sz w:val="24"/>
                <w:szCs w:val="24"/>
                <w:lang w:val="en-US" w:eastAsia="zh-CN"/>
              </w:rPr>
              <w:t>94000</w:t>
            </w:r>
            <w:r>
              <w:rPr>
                <w:rFonts w:hint="eastAsia" w:ascii="宋体" w:hAnsi="宋体" w:cs="宋体"/>
                <w:b/>
                <w:bCs/>
                <w:color w:val="auto"/>
                <w:sz w:val="24"/>
                <w:szCs w:val="24"/>
              </w:rPr>
              <w:t>元）</w:t>
            </w:r>
          </w:p>
          <w:p>
            <w:pPr>
              <w:spacing w:line="360" w:lineRule="auto"/>
              <w:contextualSpacing/>
              <w:rPr>
                <w:rFonts w:ascii="宋体" w:hAnsi="宋体" w:cs="宋体"/>
                <w:sz w:val="24"/>
                <w:szCs w:val="24"/>
              </w:rPr>
            </w:pPr>
            <w:r>
              <w:rPr>
                <w:rFonts w:hint="eastAsia" w:ascii="宋体" w:hAnsi="宋体" w:cs="宋体"/>
                <w:b/>
                <w:bCs/>
                <w:sz w:val="24"/>
                <w:szCs w:val="24"/>
              </w:rPr>
              <w:t>3.递交方式</w:t>
            </w:r>
            <w:r>
              <w:rPr>
                <w:rFonts w:hint="eastAsia" w:ascii="宋体" w:hAnsi="宋体" w:cs="宋体"/>
                <w:sz w:val="24"/>
                <w:szCs w:val="24"/>
              </w:rPr>
              <w:t>：银行转账、银行电汇（均需从投标人的基本账户汇出），不接受以现金方式缴纳的投标保证金。</w:t>
            </w:r>
            <w:r>
              <w:rPr>
                <w:rFonts w:hint="eastAsia" w:ascii="宋体" w:hAnsi="宋体" w:cs="宋体"/>
                <w:b/>
                <w:bCs/>
                <w:sz w:val="24"/>
                <w:szCs w:val="24"/>
              </w:rPr>
              <w:t>凡以现金方式缴纳投标保证金而影响其投标结果的，由投标人自行负责。</w:t>
            </w:r>
          </w:p>
          <w:p>
            <w:pPr>
              <w:spacing w:line="360" w:lineRule="auto"/>
              <w:contextualSpacing/>
              <w:rPr>
                <w:rFonts w:ascii="宋体" w:hAnsi="宋体" w:cs="宋体"/>
                <w:b/>
                <w:bCs/>
                <w:sz w:val="24"/>
                <w:szCs w:val="24"/>
              </w:rPr>
            </w:pPr>
            <w:r>
              <w:rPr>
                <w:rFonts w:hint="eastAsia" w:ascii="宋体" w:hAnsi="宋体" w:cs="宋体"/>
                <w:b/>
                <w:bCs/>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360" w:lineRule="auto"/>
              <w:contextualSpacing/>
              <w:rPr>
                <w:rFonts w:ascii="宋体" w:hAnsi="宋体" w:cs="宋体"/>
                <w:sz w:val="24"/>
                <w:szCs w:val="24"/>
              </w:rPr>
            </w:pPr>
            <w:r>
              <w:rPr>
                <w:rFonts w:hint="eastAsia" w:ascii="宋体" w:hAnsi="宋体" w:cs="宋体"/>
                <w:b/>
                <w:bCs/>
                <w:sz w:val="24"/>
                <w:szCs w:val="24"/>
              </w:rPr>
              <w:t>4.基本户备案：</w:t>
            </w:r>
            <w:r>
              <w:rPr>
                <w:rFonts w:hint="eastAsia" w:ascii="宋体" w:hAnsi="宋体" w:cs="宋体"/>
                <w:sz w:val="24"/>
                <w:szCs w:val="24"/>
              </w:rPr>
              <w:t>自文件发布之日起，投标人需进行基本户备案；已备案的基本户，其开户银行及账户发生变化的，须在投标保证金缴纳前办理变更手续。</w:t>
            </w:r>
          </w:p>
          <w:p>
            <w:pPr>
              <w:spacing w:line="360" w:lineRule="auto"/>
              <w:contextualSpacing/>
              <w:rPr>
                <w:rFonts w:ascii="宋体" w:hAnsi="宋体" w:cs="宋体"/>
                <w:sz w:val="24"/>
                <w:szCs w:val="24"/>
              </w:rPr>
            </w:pPr>
            <w:r>
              <w:rPr>
                <w:rFonts w:hint="eastAsia" w:ascii="宋体" w:hAnsi="宋体" w:cs="宋体"/>
                <w:sz w:val="24"/>
                <w:szCs w:val="24"/>
              </w:rPr>
              <w:t>5.其他事项详见本招标文件投标人须知。</w:t>
            </w:r>
          </w:p>
          <w:p>
            <w:pPr>
              <w:spacing w:line="360" w:lineRule="auto"/>
              <w:contextualSpacing/>
              <w:rPr>
                <w:rFonts w:ascii="宋体" w:hAnsi="宋体" w:cs="宋体"/>
                <w:sz w:val="24"/>
                <w:szCs w:val="24"/>
              </w:rPr>
            </w:pPr>
            <w:r>
              <w:rPr>
                <w:rFonts w:hint="eastAsia" w:ascii="宋体" w:hAnsi="宋体" w:cs="宋体"/>
                <w:sz w:val="24"/>
                <w:szCs w:val="24"/>
              </w:rPr>
              <w:t>投标保证金缴纳绑定问题咨询电话:0374-2961598</w:t>
            </w:r>
          </w:p>
          <w:p>
            <w:pPr>
              <w:spacing w:line="360" w:lineRule="auto"/>
              <w:contextualSpacing/>
              <w:rPr>
                <w:rFonts w:ascii="宋体" w:hAnsi="宋体" w:cs="宋体"/>
                <w:b/>
                <w:bCs/>
                <w:sz w:val="24"/>
                <w:szCs w:val="24"/>
              </w:rPr>
            </w:pPr>
            <w:r>
              <w:rPr>
                <w:rFonts w:hint="eastAsia" w:ascii="宋体" w:hAnsi="宋体" w:cs="宋体"/>
                <w:b/>
                <w:bCs/>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担保。</w:t>
            </w:r>
          </w:p>
          <w:p>
            <w:pPr>
              <w:spacing w:line="360" w:lineRule="auto"/>
              <w:contextualSpacing/>
              <w:rPr>
                <w:rFonts w:ascii="宋体" w:hAnsi="宋体" w:cs="宋体"/>
                <w:b/>
                <w:bCs/>
                <w:sz w:val="24"/>
                <w:szCs w:val="24"/>
              </w:rPr>
            </w:pPr>
            <w:r>
              <w:rPr>
                <w:rFonts w:hint="eastAsia" w:ascii="宋体" w:hAnsi="宋体" w:cs="宋体"/>
                <w:b/>
                <w:bCs/>
                <w:sz w:val="24"/>
                <w:szCs w:val="24"/>
              </w:rPr>
              <w:t>保函格式按住建部【建市（2021）11号文】附件1：</w:t>
            </w:r>
          </w:p>
          <w:p>
            <w:pPr>
              <w:spacing w:line="360" w:lineRule="auto"/>
              <w:contextualSpacing/>
              <w:rPr>
                <w:rFonts w:hint="eastAsia" w:ascii="宋体" w:hAnsi="宋体" w:cs="宋体"/>
                <w:b/>
                <w:bCs/>
                <w:sz w:val="24"/>
                <w:szCs w:val="24"/>
              </w:rPr>
            </w:pPr>
            <w:r>
              <w:rPr>
                <w:rFonts w:hint="eastAsia" w:ascii="宋体" w:hAnsi="宋体" w:cs="宋体"/>
                <w:b/>
                <w:bCs/>
                <w:sz w:val="24"/>
                <w:szCs w:val="24"/>
              </w:rPr>
              <w:t>投标人于开标结束后30分钟内将银行保函扫描件发至</w:t>
            </w:r>
            <w:r>
              <w:rPr>
                <w:rFonts w:hint="eastAsia" w:ascii="宋体" w:hAnsi="宋体" w:cs="宋体"/>
                <w:b/>
                <w:bCs/>
                <w:sz w:val="24"/>
                <w:szCs w:val="24"/>
                <w:lang w:val="en-US" w:eastAsia="zh-CN"/>
              </w:rPr>
              <w:t>239215882</w:t>
            </w:r>
            <w:r>
              <w:rPr>
                <w:rFonts w:hint="eastAsia" w:ascii="宋体" w:hAnsi="宋体" w:cs="宋体"/>
                <w:b/>
                <w:bCs/>
                <w:sz w:val="24"/>
                <w:szCs w:val="24"/>
                <w:lang w:eastAsia="zh-CN"/>
              </w:rPr>
              <w:t>@qq.com</w:t>
            </w:r>
            <w:r>
              <w:rPr>
                <w:rFonts w:hint="eastAsia" w:ascii="宋体" w:hAnsi="宋体" w:cs="宋体"/>
                <w:b/>
                <w:bCs/>
                <w:sz w:val="24"/>
                <w:szCs w:val="24"/>
              </w:rPr>
              <w:t xml:space="preserve">m邮箱。投标人如需使用电子保函，可以登录http://ggzy.xuchang.gov.cn:8088/ggzy/系统，先在组件下载栏目参考“许昌公共资源保函办理操作手册。” </w:t>
            </w:r>
          </w:p>
          <w:p>
            <w:pPr>
              <w:spacing w:line="360" w:lineRule="auto"/>
              <w:ind w:firstLine="482" w:firstLineChars="200"/>
              <w:contextualSpacing/>
              <w:rPr>
                <w:rFonts w:hint="eastAsia" w:ascii="宋体" w:hAnsi="宋体" w:cs="宋体"/>
                <w:b/>
                <w:bCs/>
                <w:sz w:val="24"/>
                <w:szCs w:val="24"/>
              </w:rPr>
            </w:pPr>
            <w:r>
              <w:rPr>
                <w:rFonts w:hint="eastAsia" w:ascii="宋体" w:hAnsi="宋体" w:cs="宋体"/>
                <w:b/>
                <w:bCs/>
                <w:sz w:val="24"/>
                <w:szCs w:val="24"/>
              </w:rPr>
              <w:t>投标人如需使用电子保函，可以登录http://ggzy.xuchang.gov.cn:8088/ggzy/系统，先在组件下载栏目参考“许昌公共资源保函办理操作手册。”</w:t>
            </w:r>
          </w:p>
          <w:p>
            <w:pPr>
              <w:spacing w:line="360" w:lineRule="auto"/>
              <w:contextualSpacing/>
              <w:rPr>
                <w:rFonts w:ascii="宋体" w:hAnsi="宋体" w:cs="宋体"/>
                <w:b/>
                <w:bCs/>
                <w:color w:val="FF0000"/>
                <w:kern w:val="0"/>
                <w:sz w:val="24"/>
                <w:szCs w:val="24"/>
              </w:rPr>
            </w:pPr>
            <w:r>
              <w:rPr>
                <w:rFonts w:hint="eastAsia" w:ascii="宋体" w:hAnsi="宋体" w:cs="宋体"/>
                <w:b/>
                <w:bCs/>
                <w:sz w:val="24"/>
                <w:szCs w:val="24"/>
              </w:rPr>
              <w:t>投标人电子保函办理步骤：依次点击“会员向导”→“参与投标”,可以直接在“保证金绑定”→“保函办理”，系统会跳转到电子保函办理页面，按照操作流程办理即可。保函开具后，可在“保证金绑定”→“保函查询”功能中查看绑定状态，并在电子保函办理页面打印保函回执。投标人按照所投项目及标段将缴纳凭证“长葛市公共资源交易中心保证金缴纳回执”附于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szCs w:val="24"/>
              </w:rPr>
            </w:pPr>
            <w:r>
              <w:rPr>
                <w:rFonts w:hint="eastAsia" w:ascii="宋体" w:hAnsi="宋体" w:cs="宋体"/>
                <w:sz w:val="24"/>
                <w:szCs w:val="24"/>
              </w:rPr>
              <w:t>3.5.2</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近年财务状况的年份要求</w:t>
            </w:r>
          </w:p>
        </w:tc>
        <w:tc>
          <w:tcPr>
            <w:tcW w:w="7177" w:type="dxa"/>
            <w:tcBorders>
              <w:top w:val="single" w:color="auto" w:sz="4" w:space="0"/>
              <w:left w:val="nil"/>
              <w:bottom w:val="single" w:color="auto" w:sz="4" w:space="0"/>
              <w:right w:val="single" w:color="auto" w:sz="4" w:space="0"/>
            </w:tcBorders>
            <w:vAlign w:val="center"/>
          </w:tcPr>
          <w:p>
            <w:pPr>
              <w:spacing w:line="360" w:lineRule="auto"/>
              <w:contextualSpacing/>
              <w:rPr>
                <w:rFonts w:ascii="宋体" w:hAnsi="宋体" w:cs="宋体"/>
                <w:sz w:val="24"/>
                <w:szCs w:val="24"/>
              </w:rPr>
            </w:pPr>
            <w:r>
              <w:rPr>
                <w:rFonts w:hint="eastAsia" w:ascii="宋体" w:hAnsi="宋体" w:cs="宋体"/>
                <w:sz w:val="24"/>
                <w:szCs w:val="24"/>
              </w:rPr>
              <w:t>201</w:t>
            </w:r>
            <w:r>
              <w:rPr>
                <w:rFonts w:hint="eastAsia" w:ascii="宋体" w:hAnsi="宋体" w:cs="宋体"/>
                <w:sz w:val="24"/>
                <w:szCs w:val="24"/>
                <w:lang w:val="en-US" w:eastAsia="zh-CN"/>
              </w:rPr>
              <w:t>9</w:t>
            </w:r>
            <w:r>
              <w:rPr>
                <w:rFonts w:hint="eastAsia" w:ascii="宋体" w:hAnsi="宋体" w:cs="宋体"/>
                <w:sz w:val="24"/>
                <w:szCs w:val="24"/>
              </w:rPr>
              <w:t>、20</w:t>
            </w:r>
            <w:r>
              <w:rPr>
                <w:rFonts w:hint="eastAsia" w:ascii="宋体" w:hAnsi="宋体" w:cs="宋体"/>
                <w:sz w:val="24"/>
                <w:szCs w:val="24"/>
                <w:lang w:val="en-US" w:eastAsia="zh-CN"/>
              </w:rPr>
              <w:t>20</w:t>
            </w:r>
            <w:r>
              <w:rPr>
                <w:rFonts w:hint="eastAsia" w:ascii="宋体" w:hAnsi="宋体" w:cs="宋体"/>
                <w:sz w:val="24"/>
                <w:szCs w:val="24"/>
              </w:rPr>
              <w:t>、202</w:t>
            </w:r>
            <w:r>
              <w:rPr>
                <w:rFonts w:hint="eastAsia" w:ascii="宋体" w:hAnsi="宋体" w:cs="宋体"/>
                <w:sz w:val="24"/>
                <w:szCs w:val="24"/>
                <w:lang w:val="en-US" w:eastAsia="zh-CN"/>
              </w:rPr>
              <w:t>1</w:t>
            </w:r>
            <w:r>
              <w:rPr>
                <w:rFonts w:hint="eastAsia" w:ascii="宋体" w:hAnsi="宋体" w:cs="宋体"/>
                <w:sz w:val="24"/>
                <w:szCs w:val="24"/>
              </w:rPr>
              <w:t>年度（若公司成立未满三年，需提供从成立至今的年度财务状况）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szCs w:val="24"/>
              </w:rPr>
            </w:pPr>
            <w:r>
              <w:rPr>
                <w:rFonts w:hint="eastAsia" w:ascii="宋体" w:hAnsi="宋体" w:cs="宋体"/>
                <w:sz w:val="24"/>
                <w:szCs w:val="24"/>
              </w:rPr>
              <w:t>3.5.3</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近年完成的类似项目的年份要求</w:t>
            </w:r>
          </w:p>
        </w:tc>
        <w:tc>
          <w:tcPr>
            <w:tcW w:w="7177" w:type="dxa"/>
            <w:tcBorders>
              <w:top w:val="single" w:color="auto" w:sz="4" w:space="0"/>
              <w:left w:val="nil"/>
              <w:bottom w:val="single" w:color="auto" w:sz="4" w:space="0"/>
              <w:right w:val="single" w:color="auto" w:sz="4" w:space="0"/>
            </w:tcBorders>
            <w:vAlign w:val="center"/>
          </w:tcPr>
          <w:p>
            <w:pPr>
              <w:spacing w:line="360" w:lineRule="auto"/>
              <w:contextualSpacing/>
              <w:rPr>
                <w:rFonts w:ascii="宋体" w:hAnsi="宋体" w:cs="宋体"/>
                <w:sz w:val="24"/>
                <w:szCs w:val="24"/>
              </w:rPr>
            </w:pPr>
            <w:r>
              <w:rPr>
                <w:rFonts w:hint="eastAsia" w:ascii="宋体" w:hAnsi="宋体" w:cs="宋体"/>
                <w:sz w:val="24"/>
                <w:szCs w:val="24"/>
              </w:rPr>
              <w:t>2019年1月1日以来。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szCs w:val="24"/>
              </w:rPr>
            </w:pPr>
            <w:r>
              <w:rPr>
                <w:rFonts w:hint="eastAsia" w:ascii="宋体" w:hAnsi="宋体" w:cs="宋体"/>
                <w:sz w:val="24"/>
                <w:szCs w:val="24"/>
              </w:rPr>
              <w:t>3.5.4</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近年发生的诉讼及仲裁情况的年份要求</w:t>
            </w:r>
          </w:p>
        </w:tc>
        <w:tc>
          <w:tcPr>
            <w:tcW w:w="7177" w:type="dxa"/>
            <w:tcBorders>
              <w:top w:val="single" w:color="auto" w:sz="4" w:space="0"/>
              <w:left w:val="nil"/>
              <w:bottom w:val="single" w:color="auto" w:sz="4" w:space="0"/>
              <w:right w:val="single" w:color="auto" w:sz="4" w:space="0"/>
            </w:tcBorders>
            <w:vAlign w:val="center"/>
          </w:tcPr>
          <w:p>
            <w:pPr>
              <w:spacing w:line="360" w:lineRule="auto"/>
              <w:contextualSpacing/>
              <w:rPr>
                <w:rFonts w:ascii="宋体" w:hAnsi="宋体" w:cs="宋体"/>
                <w:sz w:val="24"/>
                <w:szCs w:val="24"/>
              </w:rPr>
            </w:pPr>
            <w:r>
              <w:rPr>
                <w:rFonts w:hint="eastAsia" w:ascii="宋体" w:hAnsi="宋体" w:cs="宋体"/>
                <w:sz w:val="24"/>
                <w:szCs w:val="24"/>
              </w:rPr>
              <w:t>2019年1月1日以来。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3.6</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是否允许递交备选投标方案</w:t>
            </w:r>
          </w:p>
        </w:tc>
        <w:tc>
          <w:tcPr>
            <w:tcW w:w="7177"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3.7.3</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签字或盖章要求</w:t>
            </w:r>
          </w:p>
        </w:tc>
        <w:tc>
          <w:tcPr>
            <w:tcW w:w="7177" w:type="dxa"/>
            <w:tcBorders>
              <w:top w:val="single" w:color="auto" w:sz="4" w:space="0"/>
              <w:left w:val="nil"/>
              <w:bottom w:val="single" w:color="auto" w:sz="4" w:space="0"/>
              <w:right w:val="single" w:color="auto" w:sz="4" w:space="0"/>
            </w:tcBorders>
          </w:tcPr>
          <w:p>
            <w:pPr>
              <w:spacing w:line="360" w:lineRule="auto"/>
              <w:contextualSpacing/>
              <w:rPr>
                <w:rFonts w:ascii="宋体" w:hAnsi="宋体" w:cs="宋体"/>
                <w:color w:val="FF00FF"/>
                <w:sz w:val="24"/>
                <w:szCs w:val="24"/>
              </w:rPr>
            </w:pPr>
            <w:r>
              <w:rPr>
                <w:rFonts w:hint="eastAsia" w:ascii="宋体" w:hAnsi="宋体" w:cs="宋体"/>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3.7.4</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投标文件份数</w:t>
            </w:r>
          </w:p>
        </w:tc>
        <w:tc>
          <w:tcPr>
            <w:tcW w:w="7177"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ascii="宋体" w:hAnsi="宋体" w:cs="宋体"/>
                <w:sz w:val="24"/>
                <w:szCs w:val="24"/>
              </w:rPr>
            </w:pPr>
            <w:r>
              <w:rPr>
                <w:rFonts w:hint="eastAsia" w:ascii="宋体" w:hAnsi="宋体" w:cs="宋体"/>
                <w:sz w:val="24"/>
                <w:szCs w:val="24"/>
              </w:rPr>
              <w:t>电子投标文件</w:t>
            </w:r>
          </w:p>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成功上传至【全国公共资源交易平台（河南省·许昌市）】公共资源交易系统电子投标文件1份</w:t>
            </w:r>
            <w:r>
              <w:rPr>
                <w:rFonts w:hint="eastAsia" w:ascii="宋体" w:hAnsi="宋体" w:cs="宋体"/>
                <w:color w:val="000000"/>
                <w:sz w:val="24"/>
                <w:szCs w:val="20"/>
              </w:rPr>
              <w:t>（文件格式为：XX公司XXX项目编号.file）</w:t>
            </w:r>
            <w:r>
              <w:rPr>
                <w:rFonts w:hint="eastAsia" w:ascii="宋体" w:hAnsi="宋体" w:cs="宋体"/>
                <w:color w:val="000000"/>
                <w:sz w:val="24"/>
              </w:rPr>
              <w:t>。</w:t>
            </w:r>
          </w:p>
          <w:p>
            <w:pPr>
              <w:autoSpaceDE w:val="0"/>
              <w:autoSpaceDN w:val="0"/>
              <w:spacing w:line="360" w:lineRule="auto"/>
              <w:contextualSpacing/>
              <w:rPr>
                <w:rFonts w:ascii="宋体" w:hAnsi="宋体" w:cs="宋体"/>
                <w:color w:val="000000"/>
                <w:kern w:val="0"/>
                <w:sz w:val="24"/>
                <w:szCs w:val="24"/>
              </w:rPr>
            </w:pPr>
            <w:r>
              <w:rPr>
                <w:rFonts w:hint="eastAsia" w:ascii="宋体" w:hAnsi="宋体" w:cs="宋体"/>
                <w:b/>
                <w:color w:val="000000"/>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3.7.5</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本项目是否采用不见面开标</w:t>
            </w:r>
          </w:p>
        </w:tc>
        <w:tc>
          <w:tcPr>
            <w:tcW w:w="7177"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ascii="宋体" w:hAnsi="宋体" w:cs="宋体"/>
                <w:color w:val="000000"/>
                <w:kern w:val="0"/>
                <w:sz w:val="24"/>
                <w:szCs w:val="24"/>
              </w:rPr>
            </w:pPr>
            <w:r>
              <w:rPr>
                <w:rFonts w:hint="eastAsia" w:ascii="宋体" w:hAnsi="宋体" w:cs="宋体"/>
                <w:color w:val="000000"/>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4.2.2</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提交投标文件地点</w:t>
            </w:r>
          </w:p>
        </w:tc>
        <w:tc>
          <w:tcPr>
            <w:tcW w:w="7177"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jc w:val="left"/>
              <w:rPr>
                <w:rFonts w:ascii="宋体" w:hAnsi="宋体" w:cs="宋体"/>
                <w:kern w:val="0"/>
                <w:sz w:val="24"/>
                <w:szCs w:val="24"/>
              </w:rPr>
            </w:pPr>
            <w:r>
              <w:rPr>
                <w:rFonts w:hint="eastAsia" w:ascii="宋体" w:hAnsi="宋体" w:cs="宋体"/>
                <w:color w:val="000000"/>
                <w:sz w:val="24"/>
              </w:rPr>
              <w:t>电子投标文件提交地点：电子投标文件应按规定在投标截止时间（开标时间）之前成功提交至【全国公共资源交易平台(河南省▪许昌市)】公共资源交易系统（http://ggzy.xuchang.gov.cn:8088/ggzy/）。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4.2.3</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是否退还投标文件</w:t>
            </w:r>
          </w:p>
        </w:tc>
        <w:tc>
          <w:tcPr>
            <w:tcW w:w="7177"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5.1</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开标时间地点</w:t>
            </w:r>
          </w:p>
        </w:tc>
        <w:tc>
          <w:tcPr>
            <w:tcW w:w="7177" w:type="dxa"/>
            <w:tcBorders>
              <w:top w:val="single" w:color="auto" w:sz="4" w:space="0"/>
              <w:left w:val="nil"/>
              <w:bottom w:val="single" w:color="auto" w:sz="4" w:space="0"/>
              <w:right w:val="single" w:color="auto" w:sz="4" w:space="0"/>
            </w:tcBorders>
          </w:tcPr>
          <w:p>
            <w:pPr>
              <w:autoSpaceDE w:val="0"/>
              <w:autoSpaceDN w:val="0"/>
              <w:spacing w:line="360" w:lineRule="auto"/>
              <w:contextualSpacing/>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同投标截止时间</w:t>
            </w:r>
          </w:p>
          <w:p>
            <w:pPr>
              <w:autoSpaceDE w:val="0"/>
              <w:autoSpaceDN w:val="0"/>
              <w:spacing w:line="360" w:lineRule="auto"/>
              <w:contextualSpacing/>
              <w:jc w:val="left"/>
              <w:rPr>
                <w:rFonts w:ascii="宋体" w:hAnsi="宋体" w:cs="宋体"/>
                <w:color w:val="FF0000"/>
                <w:kern w:val="0"/>
                <w:sz w:val="24"/>
                <w:szCs w:val="24"/>
              </w:rPr>
            </w:pPr>
            <w:r>
              <w:rPr>
                <w:rFonts w:hint="eastAsia" w:ascii="宋体" w:hAnsi="宋体" w:cs="宋体"/>
                <w:color w:val="FF0000"/>
                <w:sz w:val="24"/>
              </w:rPr>
              <w:t>开标地点：长葛市公共资源交易中心开标</w:t>
            </w:r>
            <w:r>
              <w:rPr>
                <w:rFonts w:hint="eastAsia" w:ascii="宋体" w:hAnsi="宋体" w:cs="宋体"/>
                <w:color w:val="FF0000"/>
                <w:sz w:val="24"/>
                <w:lang w:val="en-US" w:eastAsia="zh-CN"/>
              </w:rPr>
              <w:t xml:space="preserve"> 一 </w:t>
            </w:r>
            <w:r>
              <w:rPr>
                <w:rFonts w:hint="eastAsia" w:ascii="宋体" w:hAnsi="宋体" w:cs="宋体"/>
                <w:color w:val="FF0000"/>
                <w:sz w:val="24"/>
              </w:rPr>
              <w:t>室（长葛市葛天大道东段商务区</w:t>
            </w:r>
            <w:r>
              <w:rPr>
                <w:rFonts w:hint="eastAsia" w:ascii="宋体" w:hAnsi="宋体" w:cs="宋体"/>
                <w:color w:val="FF0000"/>
                <w:sz w:val="24"/>
                <w:lang w:val="en-US" w:eastAsia="zh-CN"/>
              </w:rPr>
              <w:t>6</w:t>
            </w:r>
            <w:r>
              <w:rPr>
                <w:rFonts w:hint="eastAsia" w:ascii="宋体" w:hAnsi="宋体" w:cs="宋体"/>
                <w:color w:val="FF0000"/>
                <w:sz w:val="24"/>
              </w:rPr>
              <w:t>号楼</w:t>
            </w:r>
            <w:r>
              <w:rPr>
                <w:rFonts w:hint="eastAsia" w:ascii="宋体" w:hAnsi="宋体" w:cs="宋体"/>
                <w:color w:val="FF0000"/>
                <w:sz w:val="24"/>
                <w:lang w:val="en-US" w:eastAsia="zh-CN"/>
              </w:rPr>
              <w:t>506</w:t>
            </w:r>
            <w:r>
              <w:rPr>
                <w:rFonts w:hint="eastAsia" w:ascii="宋体" w:hAnsi="宋体" w:cs="宋体"/>
                <w:color w:val="FF0000"/>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5.2</w:t>
            </w:r>
          </w:p>
        </w:tc>
        <w:tc>
          <w:tcPr>
            <w:tcW w:w="1694"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开标程序</w:t>
            </w:r>
          </w:p>
        </w:tc>
        <w:tc>
          <w:tcPr>
            <w:tcW w:w="7177"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ascii="宋体" w:hAnsi="宋体" w:cs="宋体"/>
                <w:sz w:val="24"/>
              </w:rPr>
            </w:pPr>
            <w:r>
              <w:rPr>
                <w:rFonts w:hint="eastAsia" w:ascii="宋体" w:hAnsi="宋体" w:cs="宋体"/>
                <w:sz w:val="24"/>
              </w:rPr>
              <w:t>（2）投标截止时间到达时，招标代理机构点击“开标”按钮，开标开始并进行解密，解密时限为120分钟，各投标人可以远程进行解密投标文件。投标人未进行解密或未按规定进行解密的，视为放弃投标。待全部投标人解密完成后，招标人（代理机构）进行一键解密。</w:t>
            </w:r>
          </w:p>
          <w:p>
            <w:pPr>
              <w:spacing w:line="360" w:lineRule="auto"/>
              <w:rPr>
                <w:rFonts w:ascii="宋体" w:hAnsi="宋体" w:cs="宋体"/>
                <w:sz w:val="24"/>
              </w:rPr>
            </w:pPr>
            <w:r>
              <w:rPr>
                <w:rFonts w:hint="eastAsia" w:ascii="宋体" w:hAnsi="宋体" w:cs="宋体"/>
                <w:sz w:val="24"/>
              </w:rPr>
              <w:t>（3）解密完成后，招标人（代理机构）点击“系数抽取”按钮进行系数抽取，系数抽取情况在“公告通知”处显示。</w:t>
            </w:r>
          </w:p>
          <w:p>
            <w:pPr>
              <w:spacing w:line="360" w:lineRule="auto"/>
              <w:rPr>
                <w:rFonts w:ascii="宋体" w:hAnsi="宋体" w:cs="宋体"/>
                <w:sz w:val="24"/>
              </w:rPr>
            </w:pPr>
            <w:r>
              <w:rPr>
                <w:rFonts w:hint="eastAsia" w:ascii="宋体" w:hAnsi="宋体" w:cs="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ascii="宋体" w:hAnsi="宋体" w:cs="宋体"/>
                <w:sz w:val="24"/>
              </w:rPr>
            </w:pPr>
            <w:r>
              <w:rPr>
                <w:rFonts w:hint="eastAsia" w:ascii="宋体" w:hAnsi="宋体" w:cs="宋体"/>
                <w:sz w:val="24"/>
              </w:rPr>
              <w:t>（5）如无投标人提出异议，招标代理机构通过“文字互动”对话框通知各投标人进行电子签章。投标人应在《开标记录表》上进行电子签章，未进行电子签章的视为对开标结果无异议。</w:t>
            </w:r>
          </w:p>
          <w:p>
            <w:pPr>
              <w:autoSpaceDE w:val="0"/>
              <w:autoSpaceDN w:val="0"/>
              <w:spacing w:line="360" w:lineRule="auto"/>
              <w:contextualSpacing/>
              <w:jc w:val="left"/>
              <w:rPr>
                <w:rFonts w:ascii="宋体" w:hAnsi="宋体" w:cs="宋体"/>
                <w:kern w:val="0"/>
                <w:sz w:val="24"/>
                <w:szCs w:val="24"/>
              </w:rPr>
            </w:pPr>
            <w:r>
              <w:rPr>
                <w:rFonts w:hint="eastAsia" w:ascii="宋体" w:hAnsi="宋体" w:cs="宋体"/>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 xml:space="preserve">6.1.1 </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评标委员会的组建</w:t>
            </w:r>
          </w:p>
        </w:tc>
        <w:tc>
          <w:tcPr>
            <w:tcW w:w="7177"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rPr>
              <w:t>评标委员会构成：5人，其中招标人代表1人，其余4人由经济、技术类专家组成（含注册造价工程师2人）。经济技术类专家开标前从河南省综合评标专家库中随机抽取，与投标人有利害关系的人不得进入评标委员会，已进入的应当更换。</w:t>
            </w:r>
            <w:r>
              <w:rPr>
                <w:rFonts w:ascii="宋体" w:hAnsi="宋体" w:cs="宋体"/>
                <w:kern w:val="0"/>
                <w:sz w:val="24"/>
                <w:szCs w:val="24"/>
              </w:rPr>
              <w:t>评标委员会设负责人的，评标委员会负责人由评标委员会成员推举产生。评标委员会负责人与评标委员会的其他成员有同等的表决权。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center"/>
              <w:rPr>
                <w:rFonts w:ascii="宋体" w:hAnsi="宋体" w:cs="宋体"/>
                <w:kern w:val="0"/>
                <w:sz w:val="24"/>
                <w:szCs w:val="24"/>
              </w:rPr>
            </w:pPr>
            <w:r>
              <w:rPr>
                <w:rFonts w:hint="eastAsia" w:ascii="宋体" w:hAnsi="宋体" w:cs="宋体"/>
                <w:kern w:val="0"/>
                <w:sz w:val="24"/>
                <w:szCs w:val="24"/>
              </w:rPr>
              <w:t>7.1</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是否授权评标委员会确定中标人</w:t>
            </w:r>
          </w:p>
        </w:tc>
        <w:tc>
          <w:tcPr>
            <w:tcW w:w="7177"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03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szCs w:val="24"/>
              </w:rPr>
            </w:pPr>
            <w:r>
              <w:rPr>
                <w:rFonts w:hint="eastAsia" w:ascii="宋体" w:hAnsi="宋体" w:cs="宋体"/>
                <w:sz w:val="24"/>
                <w:szCs w:val="24"/>
              </w:rPr>
              <w:t>10.1.1</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sz w:val="24"/>
                <w:szCs w:val="24"/>
              </w:rPr>
              <w:t>类似</w:t>
            </w:r>
            <w:r>
              <w:rPr>
                <w:rFonts w:hint="eastAsia"/>
                <w:sz w:val="24"/>
                <w:szCs w:val="24"/>
              </w:rPr>
              <w:t>项目</w:t>
            </w:r>
          </w:p>
        </w:tc>
        <w:tc>
          <w:tcPr>
            <w:tcW w:w="7177" w:type="dxa"/>
            <w:tcBorders>
              <w:top w:val="single" w:color="auto" w:sz="4" w:space="0"/>
              <w:left w:val="nil"/>
              <w:bottom w:val="single" w:color="auto" w:sz="4" w:space="0"/>
              <w:right w:val="single" w:color="auto" w:sz="4" w:space="0"/>
            </w:tcBorders>
            <w:vAlign w:val="center"/>
          </w:tcPr>
          <w:p>
            <w:pPr>
              <w:spacing w:line="360" w:lineRule="auto"/>
              <w:contextualSpacing/>
            </w:pPr>
            <w:r>
              <w:rPr>
                <w:rFonts w:hint="eastAsia"/>
                <w:sz w:val="24"/>
                <w:szCs w:val="24"/>
              </w:rPr>
              <w:t>2019年1月1日以来承建的类似的项目（以合同签订日期为准）。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000000"/>
                <w:sz w:val="24"/>
                <w:szCs w:val="24"/>
              </w:rPr>
            </w:pPr>
            <w:r>
              <w:rPr>
                <w:rFonts w:hint="eastAsia" w:ascii="宋体" w:hAnsi="宋体" w:cs="宋体"/>
                <w:color w:val="000000"/>
                <w:sz w:val="24"/>
                <w:szCs w:val="24"/>
              </w:rPr>
              <w:t>10.2</w:t>
            </w:r>
          </w:p>
        </w:tc>
        <w:tc>
          <w:tcPr>
            <w:tcW w:w="169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kern w:val="0"/>
                <w:sz w:val="24"/>
                <w:szCs w:val="24"/>
              </w:rPr>
              <w:t>招标</w:t>
            </w:r>
            <w:r>
              <w:rPr>
                <w:rFonts w:hint="eastAsia"/>
                <w:sz w:val="24"/>
                <w:szCs w:val="24"/>
              </w:rPr>
              <w:t>控制</w:t>
            </w:r>
            <w:r>
              <w:rPr>
                <w:rFonts w:hint="eastAsia" w:ascii="宋体" w:hAnsi="宋体" w:cs="宋体"/>
                <w:kern w:val="0"/>
                <w:sz w:val="24"/>
                <w:szCs w:val="24"/>
              </w:rPr>
              <w:t>价</w:t>
            </w:r>
          </w:p>
        </w:tc>
        <w:tc>
          <w:tcPr>
            <w:tcW w:w="7177" w:type="dxa"/>
            <w:tcBorders>
              <w:top w:val="single" w:color="auto" w:sz="4" w:space="0"/>
              <w:left w:val="nil"/>
              <w:bottom w:val="single" w:color="auto" w:sz="4" w:space="0"/>
              <w:right w:val="single" w:color="auto" w:sz="4" w:space="0"/>
            </w:tcBorders>
            <w:vAlign w:val="center"/>
          </w:tcPr>
          <w:p>
            <w:pPr>
              <w:spacing w:line="360" w:lineRule="auto"/>
              <w:contextualSpacing/>
              <w:rPr>
                <w:rFonts w:hint="eastAsia" w:ascii="宋体" w:hAnsi="宋体" w:eastAsia="宋体" w:cs="宋体"/>
                <w:b/>
                <w:bCs/>
                <w:sz w:val="24"/>
                <w:szCs w:val="24"/>
                <w:lang w:val="en-US" w:eastAsia="zh-CN"/>
              </w:rPr>
            </w:pPr>
            <w:r>
              <w:rPr>
                <w:rFonts w:hint="eastAsia" w:ascii="宋体" w:hAnsi="宋体" w:cs="宋体"/>
                <w:b/>
                <w:bCs/>
                <w:sz w:val="24"/>
                <w:szCs w:val="24"/>
              </w:rPr>
              <w:t>招标控制价：大写：</w:t>
            </w:r>
            <w:r>
              <w:rPr>
                <w:rFonts w:hint="eastAsia" w:ascii="宋体" w:hAnsi="宋体" w:cs="宋体"/>
                <w:b/>
                <w:bCs/>
                <w:sz w:val="24"/>
                <w:szCs w:val="24"/>
                <w:lang w:eastAsia="zh-CN"/>
              </w:rPr>
              <w:t>肆佰柒拾万零贰仟贰佰贰拾肆元玖角贰分元整</w:t>
            </w:r>
          </w:p>
          <w:p>
            <w:pPr>
              <w:autoSpaceDE w:val="0"/>
              <w:autoSpaceDN w:val="0"/>
              <w:spacing w:line="460" w:lineRule="exact"/>
              <w:ind w:firstLine="1205" w:firstLineChars="500"/>
              <w:outlineLvl w:val="0"/>
              <w:rPr>
                <w:rFonts w:hint="eastAsia" w:ascii="宋体" w:hAnsi="宋体" w:eastAsia="宋体"/>
                <w:color w:val="auto"/>
                <w:sz w:val="24"/>
                <w:szCs w:val="24"/>
                <w:lang w:val="en-US" w:eastAsia="zh-CN"/>
              </w:rPr>
            </w:pPr>
            <w:r>
              <w:rPr>
                <w:rFonts w:hint="eastAsia" w:ascii="宋体" w:hAnsi="宋体" w:eastAsia="宋体" w:cs="宋体"/>
                <w:b/>
                <w:bCs/>
                <w:sz w:val="24"/>
                <w:szCs w:val="24"/>
                <w:lang w:eastAsia="zh-CN"/>
              </w:rPr>
              <w:t>小写：</w:t>
            </w:r>
            <w:r>
              <w:rPr>
                <w:rFonts w:hint="eastAsia" w:ascii="宋体" w:hAnsi="宋体" w:eastAsia="宋体" w:cs="宋体"/>
                <w:b/>
                <w:bCs/>
                <w:sz w:val="24"/>
                <w:szCs w:val="24"/>
              </w:rPr>
              <w:t>4702224.92</w:t>
            </w:r>
            <w:r>
              <w:rPr>
                <w:rFonts w:hint="eastAsia" w:ascii="宋体" w:hAnsi="宋体" w:eastAsia="宋体" w:cs="宋体"/>
                <w:b/>
                <w:bCs/>
                <w:sz w:val="24"/>
                <w:szCs w:val="24"/>
                <w:lang w:eastAsia="zh-CN"/>
              </w:rPr>
              <w:t>元整</w:t>
            </w:r>
          </w:p>
          <w:p>
            <w:pPr>
              <w:autoSpaceDE w:val="0"/>
              <w:autoSpaceDN w:val="0"/>
              <w:spacing w:line="460" w:lineRule="exact"/>
              <w:ind w:firstLine="236" w:firstLineChars="98"/>
              <w:outlineLvl w:val="0"/>
              <w:rPr>
                <w:rFonts w:hint="eastAsia"/>
              </w:rPr>
            </w:pPr>
            <w:r>
              <w:rPr>
                <w:rFonts w:hint="eastAsia" w:ascii="宋体" w:hAnsi="宋体" w:cs="宋体"/>
                <w:b/>
                <w:bCs/>
                <w:sz w:val="24"/>
              </w:rPr>
              <w:t>投标人的投标报价不可超过招标控制价，否则其投标无效（且不得高于每个单项工程招标控制价）</w:t>
            </w:r>
          </w:p>
          <w:p>
            <w:pPr>
              <w:spacing w:line="360" w:lineRule="auto"/>
              <w:contextualSpacing/>
              <w:rPr>
                <w:rFonts w:ascii="宋体" w:hAnsi="宋体" w:cs="宋体"/>
                <w:b/>
                <w:bCs/>
                <w:sz w:val="24"/>
                <w:szCs w:val="24"/>
              </w:rPr>
            </w:pPr>
            <w:r>
              <w:rPr>
                <w:rFonts w:hint="eastAsia" w:ascii="宋体" w:hAnsi="宋体" w:cs="宋体"/>
                <w:b/>
                <w:bCs/>
                <w:sz w:val="24"/>
                <w:szCs w:val="24"/>
              </w:rPr>
              <w:t>招标控制价由招标人依据国家计价规范、《河南省建设工程工程量清单招标控制价管理规定》、河南省现行计价依据的规定编制。</w:t>
            </w:r>
          </w:p>
          <w:p>
            <w:pPr>
              <w:spacing w:line="360" w:lineRule="auto"/>
              <w:contextualSpacing/>
              <w:rPr>
                <w:rFonts w:ascii="宋体" w:hAnsi="宋体" w:cs="宋体"/>
                <w:b/>
                <w:bCs/>
                <w:sz w:val="24"/>
                <w:szCs w:val="24"/>
              </w:rPr>
            </w:pPr>
            <w:bookmarkStart w:id="27" w:name="_Toc13776"/>
            <w:r>
              <w:rPr>
                <w:rFonts w:hint="eastAsia" w:ascii="宋体" w:hAnsi="宋体" w:cs="宋体"/>
                <w:b/>
                <w:bCs/>
                <w:sz w:val="24"/>
                <w:szCs w:val="24"/>
              </w:rPr>
              <w:t>凡投标人的投标总报价高于招标控制价（不含等于“招标控制价”）的，该投标人的投标文件应予拒绝。</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宋体"/>
                <w:sz w:val="24"/>
                <w:szCs w:val="24"/>
              </w:rPr>
            </w:pPr>
            <w:r>
              <w:rPr>
                <w:rFonts w:hint="eastAsia" w:ascii="宋体" w:hAnsi="宋体" w:cs="宋体"/>
                <w:sz w:val="24"/>
                <w:szCs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left"/>
              <w:rPr>
                <w:rFonts w:ascii="宋体" w:hAnsi="宋体" w:cs="宋体"/>
                <w:kern w:val="0"/>
                <w:sz w:val="24"/>
                <w:szCs w:val="24"/>
              </w:rPr>
            </w:pPr>
          </w:p>
        </w:tc>
        <w:tc>
          <w:tcPr>
            <w:tcW w:w="8847" w:type="dxa"/>
            <w:gridSpan w:val="2"/>
            <w:tcBorders>
              <w:top w:val="single" w:color="auto" w:sz="4" w:space="0"/>
              <w:left w:val="nil"/>
              <w:bottom w:val="single" w:color="auto" w:sz="4" w:space="0"/>
              <w:right w:val="single" w:color="auto" w:sz="4" w:space="0"/>
            </w:tcBorders>
            <w:vAlign w:val="center"/>
          </w:tcPr>
          <w:p>
            <w:pPr>
              <w:spacing w:line="360" w:lineRule="auto"/>
              <w:contextualSpacing/>
              <w:rPr>
                <w:rFonts w:ascii="宋体" w:hAnsi="宋体" w:cs="宋体"/>
                <w:b/>
                <w:bCs/>
                <w:kern w:val="0"/>
                <w:sz w:val="24"/>
                <w:szCs w:val="24"/>
              </w:rPr>
            </w:pPr>
            <w:r>
              <w:rPr>
                <w:rFonts w:hint="eastAsia" w:ascii="宋体" w:hAnsi="宋体" w:cs="宋体"/>
                <w:b/>
                <w:bCs/>
                <w:color w:val="000000"/>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宋体"/>
                <w:color w:val="000000"/>
                <w:sz w:val="24"/>
                <w:szCs w:val="24"/>
              </w:rPr>
            </w:pPr>
            <w:r>
              <w:rPr>
                <w:rFonts w:hint="eastAsia" w:ascii="宋体" w:hAnsi="宋体" w:cs="宋体"/>
                <w:color w:val="000000"/>
                <w:sz w:val="24"/>
                <w:szCs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宋体"/>
                <w:sz w:val="24"/>
                <w:szCs w:val="24"/>
              </w:rPr>
            </w:pPr>
            <w:r>
              <w:rPr>
                <w:rFonts w:hint="eastAsia" w:ascii="宋体" w:hAnsi="宋体" w:cs="宋体"/>
                <w:sz w:val="24"/>
                <w:szCs w:val="24"/>
              </w:rPr>
              <w:t>1、在中标通知书发出前，招标人将中标候选人的情况在《河南省电子招标投标公共服务平台》、《全国公共资源交易平台(河南省▪许昌市)》和《长葛市人民政府门户网站》予以公示，公示期不少于3日。</w:t>
            </w:r>
          </w:p>
          <w:p>
            <w:pPr>
              <w:spacing w:line="360" w:lineRule="auto"/>
              <w:contextualSpacing/>
              <w:rPr>
                <w:rFonts w:ascii="宋体" w:hAnsi="宋体" w:cs="宋体"/>
                <w:sz w:val="24"/>
                <w:szCs w:val="24"/>
              </w:rPr>
            </w:pPr>
            <w:r>
              <w:rPr>
                <w:rFonts w:hint="eastAsia" w:ascii="宋体" w:hAnsi="宋体" w:cs="宋体"/>
                <w:sz w:val="24"/>
                <w:szCs w:val="24"/>
              </w:rPr>
              <w:t>2、关于排名第一的中标候选人资格核验：排名第一的中标候选人，应当在评标结果公示期满且无异议后的5个工作日内，其在投标文件中约定的拟任项目经理，持以下证明材料，到项目招标单位接受资格核验：1、注册建造师证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pPr>
              <w:spacing w:line="360" w:lineRule="auto"/>
              <w:contextualSpacing/>
              <w:rPr>
                <w:rFonts w:ascii="宋体" w:hAnsi="宋体" w:cs="宋体"/>
                <w:b/>
                <w:sz w:val="24"/>
                <w:szCs w:val="24"/>
              </w:rPr>
            </w:pPr>
            <w:r>
              <w:rPr>
                <w:rFonts w:hint="eastAsia" w:ascii="宋体" w:hAnsi="宋体" w:cs="宋体"/>
                <w:b/>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w:t>
            </w:r>
          </w:p>
          <w:p>
            <w:pPr>
              <w:spacing w:line="360" w:lineRule="auto"/>
              <w:contextualSpacing/>
              <w:rPr>
                <w:rFonts w:ascii="宋体" w:hAnsi="宋体" w:cs="宋体"/>
                <w:b/>
                <w:bCs/>
                <w:sz w:val="24"/>
                <w:szCs w:val="24"/>
              </w:rPr>
            </w:pPr>
            <w:r>
              <w:rPr>
                <w:rFonts w:hint="eastAsia" w:ascii="宋体" w:hAnsi="宋体" w:cs="宋体"/>
                <w:b/>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240" w:hanging="240" w:hangingChars="100"/>
              <w:contextualSpacing/>
              <w:rPr>
                <w:rFonts w:ascii="宋体" w:hAnsi="宋体" w:cs="宋体"/>
                <w:color w:val="000000"/>
                <w:sz w:val="24"/>
                <w:szCs w:val="24"/>
              </w:rPr>
            </w:pPr>
            <w:r>
              <w:rPr>
                <w:rFonts w:hint="eastAsia" w:ascii="宋体" w:hAnsi="宋体" w:cs="宋体"/>
                <w:color w:val="000000"/>
                <w:sz w:val="24"/>
                <w:szCs w:val="24"/>
              </w:rPr>
              <w:t>10.6知识产权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宋体"/>
                <w:color w:val="000000"/>
                <w:sz w:val="24"/>
                <w:szCs w:val="24"/>
              </w:rPr>
            </w:pPr>
            <w:r>
              <w:rPr>
                <w:rFonts w:hint="eastAsia" w:ascii="宋体" w:hAnsi="宋体" w:cs="宋体"/>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宋体"/>
                <w:color w:val="000000"/>
                <w:sz w:val="24"/>
                <w:szCs w:val="24"/>
              </w:rPr>
            </w:pPr>
            <w:r>
              <w:rPr>
                <w:rFonts w:hint="eastAsia" w:ascii="宋体" w:hAnsi="宋体" w:cs="宋体"/>
                <w:color w:val="000000"/>
                <w:sz w:val="24"/>
                <w:szCs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宋体"/>
                <w:color w:val="000000"/>
                <w:sz w:val="24"/>
                <w:szCs w:val="24"/>
              </w:rPr>
            </w:pPr>
            <w:r>
              <w:rPr>
                <w:rFonts w:hint="eastAsia" w:ascii="宋体" w:hAnsi="宋体" w:cs="宋体"/>
                <w:color w:val="000000"/>
                <w:sz w:val="24"/>
                <w:szCs w:val="24"/>
              </w:rPr>
              <w:t>除投标人须知正文第8条规定的情形外，除非已经产生中标候选人，在投标有效期内 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hanging="240"/>
              <w:contextualSpacing/>
              <w:rPr>
                <w:rFonts w:ascii="宋体" w:hAnsi="宋体" w:cs="宋体"/>
                <w:color w:val="000000"/>
                <w:sz w:val="24"/>
                <w:szCs w:val="24"/>
              </w:rPr>
            </w:pPr>
            <w:r>
              <w:rPr>
                <w:rFonts w:hint="eastAsia" w:ascii="宋体" w:hAnsi="宋体" w:cs="宋体"/>
                <w:color w:val="000000"/>
                <w:sz w:val="24"/>
                <w:szCs w:val="24"/>
              </w:rPr>
              <w:t>10.8同义词语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宋体"/>
                <w:color w:val="000000"/>
                <w:sz w:val="24"/>
                <w:szCs w:val="24"/>
              </w:rPr>
            </w:pPr>
            <w:r>
              <w:rPr>
                <w:rFonts w:hint="eastAsia" w:ascii="宋体" w:hAnsi="宋体" w:cs="宋体"/>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240" w:hanging="240"/>
              <w:contextualSpacing/>
              <w:rPr>
                <w:rFonts w:ascii="宋体" w:hAnsi="宋体" w:cs="宋体"/>
                <w:color w:val="000000"/>
                <w:sz w:val="24"/>
                <w:szCs w:val="24"/>
              </w:rPr>
            </w:pPr>
            <w:r>
              <w:rPr>
                <w:rFonts w:hint="eastAsia" w:ascii="宋体" w:hAnsi="宋体" w:cs="宋体"/>
                <w:color w:val="000000"/>
                <w:sz w:val="24"/>
                <w:szCs w:val="24"/>
              </w:rPr>
              <w:t>10.9监督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宋体"/>
                <w:color w:val="000000"/>
                <w:sz w:val="24"/>
                <w:szCs w:val="24"/>
              </w:rPr>
            </w:pPr>
            <w:r>
              <w:rPr>
                <w:rFonts w:hint="eastAsia" w:ascii="宋体" w:hAnsi="宋体" w:cs="宋体"/>
                <w:color w:val="000000"/>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240" w:hanging="240"/>
              <w:contextualSpacing/>
              <w:rPr>
                <w:rFonts w:ascii="宋体" w:hAnsi="宋体" w:cs="宋体"/>
                <w:color w:val="000000"/>
                <w:sz w:val="24"/>
                <w:szCs w:val="24"/>
              </w:rPr>
            </w:pPr>
            <w:r>
              <w:rPr>
                <w:rFonts w:hint="eastAsia" w:ascii="宋体" w:hAnsi="宋体" w:cs="宋体"/>
                <w:color w:val="000000"/>
                <w:sz w:val="24"/>
                <w:szCs w:val="24"/>
              </w:rPr>
              <w:t>10.10解释权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宋体"/>
                <w:color w:val="000000"/>
                <w:sz w:val="24"/>
                <w:szCs w:val="24"/>
              </w:rPr>
            </w:pPr>
            <w:r>
              <w:rPr>
                <w:rFonts w:hint="eastAsia" w:ascii="宋体" w:hAnsi="宋体" w:cs="宋体"/>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left"/>
              <w:outlineLvl w:val="0"/>
              <w:rPr>
                <w:rFonts w:ascii="宋体" w:hAnsi="宋体" w:cs="宋体"/>
                <w:kern w:val="0"/>
                <w:sz w:val="24"/>
                <w:szCs w:val="24"/>
              </w:rPr>
            </w:pPr>
            <w:bookmarkStart w:id="28" w:name="_Toc464824557"/>
            <w:r>
              <w:rPr>
                <w:rFonts w:hint="eastAsia" w:ascii="宋体" w:hAnsi="宋体" w:cs="宋体"/>
                <w:kern w:val="0"/>
                <w:sz w:val="24"/>
                <w:szCs w:val="24"/>
              </w:rPr>
              <w:t>10.11招标代理费</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left"/>
              <w:outlineLvl w:val="0"/>
              <w:rPr>
                <w:rFonts w:ascii="宋体" w:hAnsi="宋体" w:cs="宋体"/>
                <w:kern w:val="0"/>
                <w:sz w:val="24"/>
                <w:szCs w:val="24"/>
              </w:rPr>
            </w:pPr>
            <w:bookmarkStart w:id="29" w:name="_Toc5119"/>
            <w:r>
              <w:rPr>
                <w:rFonts w:hint="eastAsia" w:ascii="宋体" w:hAnsi="宋体" w:cs="宋体"/>
                <w:sz w:val="24"/>
                <w:szCs w:val="24"/>
              </w:rPr>
              <w:t>由</w:t>
            </w:r>
            <w:bookmarkEnd w:id="29"/>
            <w:r>
              <w:rPr>
                <w:rFonts w:hint="eastAsia" w:ascii="宋体" w:hAnsi="宋体" w:cs="宋体"/>
                <w:sz w:val="24"/>
                <w:szCs w:val="24"/>
              </w:rPr>
              <w:t>中标人向招标代理机构支付服务费及相关费用。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rPr>
                <w:rFonts w:hint="default" w:ascii="宋体" w:hAnsi="宋体" w:eastAsia="宋体" w:cs="宋体"/>
                <w:b/>
                <w:bCs/>
                <w:kern w:val="0"/>
                <w:sz w:val="24"/>
                <w:szCs w:val="24"/>
                <w:lang w:val="en-US" w:eastAsia="zh-CN"/>
              </w:rPr>
            </w:pPr>
            <w:bookmarkStart w:id="30" w:name="_Toc397507523"/>
            <w:r>
              <w:rPr>
                <w:rFonts w:hint="eastAsia" w:ascii="宋体" w:hAnsi="宋体" w:cs="仿宋_GB2312"/>
                <w:b/>
                <w:bCs/>
                <w:kern w:val="0"/>
                <w:sz w:val="24"/>
                <w:szCs w:val="24"/>
              </w:rPr>
              <w:t>10.1</w:t>
            </w:r>
            <w:bookmarkEnd w:id="30"/>
            <w:r>
              <w:rPr>
                <w:rFonts w:hint="eastAsia" w:ascii="宋体" w:hAnsi="宋体" w:cs="仿宋_GB2312"/>
                <w:b/>
                <w:bCs/>
                <w:kern w:val="0"/>
                <w:sz w:val="24"/>
                <w:szCs w:val="24"/>
              </w:rPr>
              <w:t>2</w:t>
            </w:r>
            <w:r>
              <w:rPr>
                <w:rFonts w:hint="eastAsia" w:ascii="宋体" w:hAnsi="宋体"/>
                <w:b/>
                <w:bCs/>
                <w:sz w:val="24"/>
                <w:szCs w:val="24"/>
              </w:rPr>
              <w:t>履约担保</w:t>
            </w:r>
            <w:r>
              <w:rPr>
                <w:rFonts w:hint="eastAsia" w:ascii="宋体" w:hAnsi="宋体"/>
                <w:b/>
                <w:bCs/>
                <w:sz w:val="24"/>
                <w:szCs w:val="24"/>
                <w:lang w:val="en-US" w:eastAsia="zh-CN"/>
              </w:rPr>
              <w:t xml:space="preserve">          不收取</w:t>
            </w:r>
            <w:bookmarkStart w:id="323" w:name="_GoBack"/>
            <w:bookmarkEnd w:id="3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rPr>
                <w:rFonts w:ascii="宋体" w:hAnsi="宋体" w:cs="宋体"/>
                <w:kern w:val="0"/>
                <w:sz w:val="24"/>
                <w:szCs w:val="24"/>
              </w:rPr>
            </w:pPr>
            <w:r>
              <w:rPr>
                <w:rFonts w:hint="eastAsia" w:ascii="宋体" w:hAnsi="宋体" w:cs="宋体"/>
                <w:b/>
                <w:bCs/>
                <w:kern w:val="0"/>
                <w:sz w:val="24"/>
                <w:szCs w:val="24"/>
              </w:rPr>
              <w:t>10.1</w:t>
            </w:r>
            <w:r>
              <w:rPr>
                <w:rFonts w:hint="eastAsia" w:ascii="宋体" w:hAnsi="宋体" w:cs="宋体"/>
                <w:b/>
                <w:bCs/>
                <w:kern w:val="0"/>
                <w:sz w:val="24"/>
                <w:szCs w:val="24"/>
                <w:lang w:val="en-US" w:eastAsia="zh-CN"/>
              </w:rPr>
              <w:t>3</w:t>
            </w:r>
            <w:r>
              <w:rPr>
                <w:rFonts w:hint="eastAsia" w:ascii="宋体" w:hAnsi="宋体" w:cs="宋体"/>
                <w:b/>
                <w:bCs/>
                <w:kern w:val="0"/>
                <w:sz w:val="24"/>
                <w:szCs w:val="24"/>
              </w:rPr>
              <w:t>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rPr>
                <w:rFonts w:ascii="宋体" w:hAnsi="宋体" w:cs="宋体"/>
                <w:b/>
                <w:bCs/>
                <w:kern w:val="0"/>
                <w:sz w:val="24"/>
                <w:szCs w:val="24"/>
              </w:rPr>
            </w:pPr>
            <w:r>
              <w:rPr>
                <w:rFonts w:hint="eastAsia" w:ascii="宋体" w:hAnsi="宋体" w:cs="宋体"/>
                <w:b/>
                <w:bCs/>
                <w:kern w:val="0"/>
                <w:sz w:val="24"/>
                <w:szCs w:val="24"/>
              </w:rPr>
              <w:t>《中华人民共和国招标投标法》第三十二条：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spacing w:line="360" w:lineRule="auto"/>
              <w:contextualSpacing/>
              <w:rPr>
                <w:rFonts w:ascii="宋体" w:hAnsi="宋体" w:cs="宋体"/>
                <w:kern w:val="0"/>
                <w:sz w:val="24"/>
                <w:szCs w:val="24"/>
              </w:rPr>
            </w:pPr>
            <w:r>
              <w:rPr>
                <w:rFonts w:hint="eastAsia" w:ascii="宋体" w:hAnsi="宋体" w:cs="宋体"/>
                <w:b/>
                <w:bCs/>
                <w:kern w:val="0"/>
                <w:sz w:val="24"/>
                <w:szCs w:val="24"/>
              </w:rPr>
              <w:t>《中华人民共和国招标投标法》第三十三条：</w:t>
            </w:r>
            <w:r>
              <w:rPr>
                <w:rFonts w:hint="eastAsia" w:ascii="宋体" w:hAnsi="宋体" w:cs="宋体"/>
                <w:kern w:val="0"/>
                <w:sz w:val="24"/>
                <w:szCs w:val="24"/>
              </w:rPr>
              <w:t>投标人不得以低于成本的报价竞标，也不得以他人名义投标或者以其他方式弄虚作假，骗取中标。</w:t>
            </w:r>
          </w:p>
          <w:p>
            <w:pPr>
              <w:autoSpaceDE w:val="0"/>
              <w:autoSpaceDN w:val="0"/>
              <w:spacing w:line="360" w:lineRule="auto"/>
              <w:contextualSpacing/>
              <w:rPr>
                <w:rFonts w:ascii="宋体" w:hAnsi="宋体" w:cs="宋体"/>
                <w:kern w:val="0"/>
                <w:sz w:val="24"/>
                <w:szCs w:val="24"/>
              </w:rPr>
            </w:pPr>
            <w:r>
              <w:rPr>
                <w:rFonts w:hint="eastAsia" w:ascii="宋体" w:hAnsi="宋体" w:cs="宋体"/>
                <w:b/>
                <w:bCs/>
                <w:kern w:val="0"/>
                <w:sz w:val="24"/>
                <w:szCs w:val="24"/>
              </w:rPr>
              <w:t>《中华人民共和国招标投标法实施条例》第三十九条：</w:t>
            </w:r>
            <w:r>
              <w:rPr>
                <w:rFonts w:hint="eastAsia" w:ascii="宋体" w:hAnsi="宋体" w:cs="宋体"/>
                <w:kern w:val="0"/>
                <w:sz w:val="24"/>
                <w:szCs w:val="24"/>
              </w:rPr>
              <w:t>禁止投标人相互串通投标，有下列情形之一的，属于投标人相互串通投标：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（一）投标人之间协商投标报价等投标文件的实质性内容；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（二）投标人之间约定中标人；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（三）投标人之间约定部分投标人放弃投标或者中标；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（四）属于同一集团、协会、商会等组织成员的投标人按照该组织要求协同投标；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（五）投标人之间为谋取中标或者排斥特定投标人而采取的其他联合行动。</w:t>
            </w:r>
          </w:p>
          <w:p>
            <w:pPr>
              <w:autoSpaceDE w:val="0"/>
              <w:autoSpaceDN w:val="0"/>
              <w:spacing w:line="360" w:lineRule="auto"/>
              <w:contextualSpacing/>
              <w:rPr>
                <w:rFonts w:ascii="宋体" w:hAnsi="宋体" w:cs="宋体"/>
                <w:b/>
                <w:bCs/>
                <w:kern w:val="0"/>
                <w:sz w:val="24"/>
                <w:szCs w:val="24"/>
              </w:rPr>
            </w:pPr>
            <w:r>
              <w:rPr>
                <w:rFonts w:hint="eastAsia" w:ascii="宋体" w:hAnsi="宋体" w:cs="宋体"/>
                <w:b/>
                <w:bCs/>
                <w:kern w:val="0"/>
                <w:sz w:val="24"/>
                <w:szCs w:val="24"/>
              </w:rPr>
              <w:t>《中华人民共和国招标投标法实施条例》第四十条：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有下列情形之一的，视为投标人相互串通投标：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（一）不同投标人的投标文件由同一单位或者个人编制；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（二）不同投标人委托同一单位或者个人办理投标事宜；</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（三）不同投标人的投标文件载明的项目管理成员为同一人；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（四）不同投标人的投标文件异常一致或者投标报价呈规律性差异；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（五）不同投标人的投标文件相互混装；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（六）不同投标人的投标保证金从同一单位或者个人的账户转出。</w:t>
            </w:r>
          </w:p>
          <w:p>
            <w:pPr>
              <w:autoSpaceDE w:val="0"/>
              <w:autoSpaceDN w:val="0"/>
              <w:spacing w:line="360" w:lineRule="auto"/>
              <w:contextualSpacing/>
              <w:rPr>
                <w:rFonts w:ascii="宋体" w:hAnsi="宋体" w:cs="宋体"/>
                <w:b/>
                <w:bCs/>
                <w:kern w:val="0"/>
                <w:sz w:val="24"/>
                <w:szCs w:val="24"/>
              </w:rPr>
            </w:pPr>
            <w:r>
              <w:rPr>
                <w:rFonts w:hint="eastAsia" w:ascii="宋体" w:hAnsi="宋体" w:cs="宋体"/>
                <w:b/>
                <w:bCs/>
                <w:kern w:val="0"/>
                <w:sz w:val="24"/>
                <w:szCs w:val="24"/>
              </w:rPr>
              <w:t>《中华人民共和国招标投标法实施条例》第四十一条：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禁止招标人与投标人串通投标。</w:t>
            </w:r>
          </w:p>
          <w:p>
            <w:pPr>
              <w:autoSpaceDE w:val="0"/>
              <w:autoSpaceDN w:val="0"/>
              <w:spacing w:line="360" w:lineRule="auto"/>
              <w:ind w:firstLine="120" w:firstLineChars="50"/>
              <w:contextualSpacing/>
              <w:rPr>
                <w:rFonts w:ascii="宋体" w:hAnsi="宋体" w:cs="宋体"/>
                <w:kern w:val="0"/>
                <w:sz w:val="24"/>
                <w:szCs w:val="24"/>
              </w:rPr>
            </w:pPr>
            <w:r>
              <w:rPr>
                <w:rFonts w:hint="eastAsia" w:ascii="宋体" w:hAnsi="宋体" w:cs="宋体"/>
                <w:kern w:val="0"/>
                <w:sz w:val="24"/>
                <w:szCs w:val="24"/>
              </w:rPr>
              <w:t>有下列情形之一的，属于招标人与投标人串通投标：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（一）招标人在开标前开启投标文件并将有关信息泄露给其他投标人;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（二）招标人直接或者间接向投标人泄露标底、评标委员会成员等信息；</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（三）招标人明示或者暗示投标人压低或者抬高投标报价；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（四）招标人授意投标人撤换、修改投标文件；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（五）招标人明示或者暗示投标人为特定投标人中标提供方便；</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（六）招标人与投标人为谋求特定投标人中标而采取的其他串通行为。</w:t>
            </w:r>
          </w:p>
          <w:p>
            <w:pPr>
              <w:autoSpaceDE w:val="0"/>
              <w:autoSpaceDN w:val="0"/>
              <w:spacing w:line="360" w:lineRule="auto"/>
              <w:contextualSpacing/>
              <w:rPr>
                <w:rFonts w:ascii="宋体" w:hAnsi="宋体" w:cs="宋体"/>
                <w:b/>
                <w:bCs/>
                <w:kern w:val="0"/>
                <w:sz w:val="24"/>
                <w:szCs w:val="24"/>
              </w:rPr>
            </w:pPr>
            <w:r>
              <w:rPr>
                <w:rFonts w:hint="eastAsia" w:ascii="宋体" w:hAnsi="宋体" w:cs="宋体"/>
                <w:b/>
                <w:bCs/>
                <w:kern w:val="0"/>
                <w:sz w:val="24"/>
                <w:szCs w:val="24"/>
              </w:rPr>
              <w:t>《中华人民共和国招标投标法实施条例》第四十二条：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使用通过受让或者租借等方式获取的资格、资质证书投标的，属于招标投标法第三十三条规定的以他人名义投标。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投标人有下列情形之一的，属于招标投标法第三十三条规定的以其他方式弄虚作假的行为：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（一）使用伪造、变造的许可证件；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（二）提供虚假的财务状况或者业绩；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（三）提供虚假的项目负责人或者主要技术人员简历、劳动关系证明；</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（四）提供虚假的信用状况；</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rPr>
                <w:rFonts w:ascii="宋体" w:hAnsi="宋体" w:cs="宋体"/>
                <w:b/>
                <w:bCs/>
                <w:kern w:val="0"/>
                <w:sz w:val="24"/>
                <w:szCs w:val="24"/>
              </w:rPr>
            </w:pPr>
            <w:r>
              <w:rPr>
                <w:rFonts w:hint="eastAsia" w:ascii="宋体" w:hAnsi="宋体" w:cs="宋体"/>
                <w:b/>
                <w:bCs/>
                <w:kern w:val="0"/>
                <w:sz w:val="24"/>
                <w:szCs w:val="24"/>
              </w:rPr>
              <w:t>10.1</w:t>
            </w:r>
            <w:r>
              <w:rPr>
                <w:rFonts w:hint="eastAsia" w:ascii="宋体" w:hAnsi="宋体" w:cs="宋体"/>
                <w:b/>
                <w:bCs/>
                <w:kern w:val="0"/>
                <w:sz w:val="24"/>
                <w:szCs w:val="24"/>
                <w:lang w:val="en-US" w:eastAsia="zh-CN"/>
              </w:rPr>
              <w:t>4</w:t>
            </w:r>
            <w:r>
              <w:rPr>
                <w:rFonts w:hint="eastAsia" w:ascii="宋体" w:hAnsi="宋体" w:cs="宋体"/>
                <w:b/>
                <w:bCs/>
                <w:kern w:val="0"/>
                <w:sz w:val="24"/>
                <w:szCs w:val="24"/>
              </w:rPr>
              <w:t>如有10.13所列行为的，按照《中华人民共和国招标投标法》第五十三条、第五十四条执行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rPr>
                <w:rFonts w:ascii="宋体" w:hAnsi="宋体" w:cs="宋体"/>
                <w:b/>
                <w:bCs/>
                <w:color w:val="C00000"/>
                <w:kern w:val="0"/>
                <w:sz w:val="24"/>
                <w:szCs w:val="24"/>
              </w:rPr>
            </w:pPr>
          </w:p>
        </w:tc>
        <w:tc>
          <w:tcPr>
            <w:tcW w:w="8847"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ascii="宋体" w:hAnsi="宋体" w:cs="宋体"/>
                <w:kern w:val="0"/>
                <w:sz w:val="24"/>
                <w:szCs w:val="24"/>
              </w:rPr>
            </w:pPr>
            <w:r>
              <w:rPr>
                <w:rFonts w:hint="eastAsia" w:ascii="宋体" w:hAnsi="宋体" w:cs="宋体"/>
                <w:b/>
                <w:bCs/>
                <w:kern w:val="0"/>
                <w:sz w:val="24"/>
                <w:szCs w:val="24"/>
              </w:rPr>
              <w:t>《中华人民共和国招标投标法》第五十三条：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百分之五以上百分之十以下的罚款；有违法所得的，并处没收违法所得；情节严重的，取消其一年至二年内参加依法必须招标的项目的投标资格并予以公告，直至由工商行政管理机关吊销营业执照；构成犯罪的，依法追究刑事责任。给他人造成损失的，依法承担赔偿责任。</w:t>
            </w:r>
          </w:p>
          <w:p>
            <w:pPr>
              <w:autoSpaceDE w:val="0"/>
              <w:autoSpaceDN w:val="0"/>
              <w:spacing w:line="360" w:lineRule="auto"/>
              <w:contextualSpacing/>
              <w:rPr>
                <w:rFonts w:ascii="宋体" w:hAnsi="宋体" w:cs="宋体"/>
                <w:b/>
                <w:bCs/>
                <w:kern w:val="0"/>
                <w:sz w:val="24"/>
                <w:szCs w:val="24"/>
              </w:rPr>
            </w:pPr>
            <w:r>
              <w:rPr>
                <w:rFonts w:hint="eastAsia" w:ascii="宋体" w:hAnsi="宋体" w:cs="宋体"/>
                <w:b/>
                <w:bCs/>
                <w:kern w:val="0"/>
                <w:sz w:val="24"/>
                <w:szCs w:val="24"/>
              </w:rPr>
              <w:t>《中华人民共和国招标投标法》第五十四条：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投标人以他人名义投标或者以其他方式弄虚作假，骗取中标的，中标无效，给招标人造成损失的，依法承担赔偿责任；构成犯罪的，依法追究</w:t>
            </w:r>
            <w:r>
              <w:fldChar w:fldCharType="begin"/>
            </w:r>
            <w:r>
              <w:instrText xml:space="preserve"> HYPERLINK "http://www.baiven.com/baike/224/269481.html" \t "http://www.baiven.com/d/134/_blank" </w:instrText>
            </w:r>
            <w:r>
              <w:fldChar w:fldCharType="separate"/>
            </w:r>
            <w:r>
              <w:rPr>
                <w:rFonts w:hint="eastAsia" w:ascii="宋体" w:hAnsi="宋体" w:cs="宋体"/>
                <w:kern w:val="0"/>
                <w:sz w:val="24"/>
                <w:szCs w:val="24"/>
              </w:rPr>
              <w:t>刑事责任</w:t>
            </w:r>
            <w:r>
              <w:rPr>
                <w:rFonts w:hint="eastAsia" w:ascii="宋体" w:hAnsi="宋体" w:cs="宋体"/>
                <w:kern w:val="0"/>
                <w:sz w:val="24"/>
                <w:szCs w:val="24"/>
              </w:rPr>
              <w:fldChar w:fldCharType="end"/>
            </w:r>
            <w:r>
              <w:rPr>
                <w:rFonts w:hint="eastAsia" w:ascii="宋体" w:hAnsi="宋体" w:cs="宋体"/>
                <w:kern w:val="0"/>
                <w:sz w:val="24"/>
                <w:szCs w:val="24"/>
              </w:rPr>
              <w:t>。</w:t>
            </w:r>
          </w:p>
          <w:p>
            <w:pPr>
              <w:autoSpaceDE w:val="0"/>
              <w:autoSpaceDN w:val="0"/>
              <w:spacing w:line="360" w:lineRule="auto"/>
              <w:contextualSpacing/>
            </w:pPr>
            <w:r>
              <w:rPr>
                <w:rFonts w:hint="eastAsia" w:ascii="宋体" w:hAnsi="宋体" w:cs="宋体"/>
                <w:kern w:val="0"/>
                <w:sz w:val="24"/>
                <w:szCs w:val="24"/>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w:t>
            </w:r>
            <w:r>
              <w:fldChar w:fldCharType="begin"/>
            </w:r>
            <w:r>
              <w:instrText xml:space="preserve"> HYPERLINK "http://www.baiven.com/baike/223/309670.html" \t "http://www.baiven.com/d/134/_blank" </w:instrText>
            </w:r>
            <w:r>
              <w:fldChar w:fldCharType="separate"/>
            </w:r>
            <w:r>
              <w:rPr>
                <w:rFonts w:hint="eastAsia" w:ascii="宋体" w:hAnsi="宋体" w:cs="宋体"/>
                <w:kern w:val="0"/>
                <w:sz w:val="24"/>
                <w:szCs w:val="24"/>
              </w:rPr>
              <w:t>行政管理</w:t>
            </w:r>
            <w:r>
              <w:rPr>
                <w:rFonts w:hint="eastAsia" w:ascii="宋体" w:hAnsi="宋体" w:cs="宋体"/>
                <w:kern w:val="0"/>
                <w:sz w:val="24"/>
                <w:szCs w:val="24"/>
              </w:rPr>
              <w:fldChar w:fldCharType="end"/>
            </w:r>
            <w:r>
              <w:rPr>
                <w:rFonts w:hint="eastAsia" w:ascii="宋体" w:hAnsi="宋体" w:cs="宋体"/>
                <w:kern w:val="0"/>
                <w:sz w:val="24"/>
                <w:szCs w:val="24"/>
              </w:rPr>
              <w:t>机关吊销营业执照。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left"/>
              <w:outlineLvl w:val="0"/>
              <w:rPr>
                <w:rFonts w:ascii="宋体" w:hAnsi="宋体" w:cs="宋体"/>
                <w:sz w:val="24"/>
                <w:szCs w:val="24"/>
              </w:rPr>
            </w:pPr>
            <w:r>
              <w:rPr>
                <w:rFonts w:hint="eastAsia" w:ascii="宋体" w:hAnsi="宋体" w:cs="宋体"/>
                <w:b/>
                <w:bCs/>
                <w:sz w:val="24"/>
                <w:szCs w:val="24"/>
              </w:rPr>
              <w:t>特别提示</w:t>
            </w:r>
          </w:p>
          <w:p>
            <w:pPr>
              <w:autoSpaceDE w:val="0"/>
              <w:autoSpaceDN w:val="0"/>
              <w:spacing w:line="360" w:lineRule="auto"/>
              <w:ind w:firstLine="240" w:firstLineChars="100"/>
              <w:jc w:val="left"/>
              <w:outlineLvl w:val="0"/>
              <w:rPr>
                <w:rFonts w:ascii="宋体" w:hAnsi="宋体" w:cs="宋体"/>
                <w:color w:val="000000"/>
                <w:sz w:val="24"/>
              </w:rPr>
            </w:pPr>
            <w:r>
              <w:rPr>
                <w:rFonts w:hint="eastAsia" w:ascii="宋体" w:hAnsi="宋体" w:cs="宋体"/>
                <w:color w:val="000000"/>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ascii="宋体" w:hAnsi="宋体" w:cs="宋体"/>
                <w:color w:val="000000"/>
                <w:sz w:val="24"/>
              </w:rPr>
            </w:pPr>
            <w:r>
              <w:rPr>
                <w:rFonts w:hint="eastAsia" w:ascii="宋体" w:hAnsi="宋体" w:cs="宋体"/>
                <w:color w:val="000000"/>
                <w:sz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ind w:firstLine="240" w:firstLineChars="100"/>
              <w:jc w:val="left"/>
              <w:outlineLvl w:val="0"/>
              <w:rPr>
                <w:rFonts w:ascii="宋体" w:hAnsi="宋体" w:cs="宋体"/>
                <w:color w:val="000000"/>
                <w:sz w:val="24"/>
              </w:rPr>
            </w:pPr>
            <w:r>
              <w:rPr>
                <w:rFonts w:hint="eastAsia" w:ascii="宋体" w:hAnsi="宋体" w:cs="宋体"/>
                <w:color w:val="000000"/>
                <w:sz w:val="24"/>
              </w:rPr>
              <w:t>3、投标人在投标截止时间前应随时关注《全国公共资源交易平台（河南省·许昌市）》公共资源交易系统发出的有关本项目的答疑、修改等相关内容。</w:t>
            </w:r>
          </w:p>
          <w:p>
            <w:pPr>
              <w:autoSpaceDE w:val="0"/>
              <w:autoSpaceDN w:val="0"/>
              <w:spacing w:line="360" w:lineRule="auto"/>
              <w:ind w:firstLine="240" w:firstLineChars="100"/>
              <w:jc w:val="left"/>
              <w:outlineLvl w:val="0"/>
              <w:rPr>
                <w:rFonts w:ascii="宋体" w:hAnsi="宋体" w:cs="宋体"/>
                <w:color w:val="000000"/>
                <w:sz w:val="24"/>
              </w:rPr>
            </w:pPr>
            <w:r>
              <w:rPr>
                <w:rFonts w:hint="eastAsia" w:ascii="宋体" w:hAnsi="宋体" w:cs="宋体"/>
                <w:color w:val="000000"/>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ascii="宋体" w:hAnsi="宋体" w:cs="宋体"/>
                <w:color w:val="000000"/>
                <w:sz w:val="24"/>
              </w:rPr>
            </w:pPr>
            <w:r>
              <w:rPr>
                <w:rFonts w:hint="eastAsia" w:ascii="宋体" w:hAnsi="宋体" w:cs="宋体"/>
                <w:color w:val="000000"/>
                <w:sz w:val="24"/>
              </w:rPr>
              <w:t>5、招标人及其代理机构需留存项目电子档案时，可在质疑期满后使用CA锁从交易平台自行下载。</w:t>
            </w:r>
          </w:p>
          <w:p>
            <w:pPr>
              <w:autoSpaceDE w:val="0"/>
              <w:autoSpaceDN w:val="0"/>
              <w:spacing w:line="360" w:lineRule="auto"/>
              <w:ind w:firstLine="240" w:firstLineChars="100"/>
              <w:jc w:val="left"/>
              <w:outlineLvl w:val="0"/>
              <w:rPr>
                <w:rFonts w:ascii="宋体" w:hAnsi="宋体" w:cs="宋体"/>
                <w:color w:val="000000"/>
                <w:sz w:val="24"/>
              </w:rPr>
            </w:pPr>
            <w:r>
              <w:rPr>
                <w:rFonts w:hint="eastAsia" w:ascii="宋体" w:hAnsi="宋体" w:cs="宋体"/>
                <w:color w:val="000000"/>
                <w:sz w:val="24"/>
              </w:rPr>
              <w:t>6、商务标投标文件制作注意事项：</w:t>
            </w:r>
          </w:p>
          <w:p>
            <w:pPr>
              <w:autoSpaceDE w:val="0"/>
              <w:autoSpaceDN w:val="0"/>
              <w:spacing w:line="360" w:lineRule="auto"/>
              <w:ind w:firstLine="240" w:firstLineChars="100"/>
              <w:jc w:val="left"/>
              <w:outlineLvl w:val="0"/>
              <w:rPr>
                <w:rFonts w:ascii="宋体" w:hAnsi="宋体" w:cs="宋体"/>
                <w:color w:val="000000"/>
                <w:sz w:val="24"/>
              </w:rPr>
            </w:pPr>
            <w:r>
              <w:rPr>
                <w:rFonts w:hint="eastAsia" w:ascii="宋体" w:hAnsi="宋体" w:cs="宋体"/>
                <w:color w:val="000000"/>
                <w:sz w:val="24"/>
              </w:rPr>
              <w:t>6.1 投标人登录《全国公共资源交易平台（河南省·许昌市）》公共资源交易系统下载“许昌投标文件制作系统SEARUN V1.1”和操作手册（工程项目），按招标文件要求制作商务标投标文件。</w:t>
            </w:r>
          </w:p>
          <w:p>
            <w:pPr>
              <w:autoSpaceDE w:val="0"/>
              <w:autoSpaceDN w:val="0"/>
              <w:spacing w:line="360" w:lineRule="auto"/>
              <w:ind w:firstLine="240" w:firstLineChars="100"/>
              <w:jc w:val="left"/>
              <w:outlineLvl w:val="0"/>
              <w:rPr>
                <w:rFonts w:ascii="宋体" w:hAnsi="宋体" w:cs="宋体"/>
                <w:color w:val="000000"/>
                <w:sz w:val="24"/>
              </w:rPr>
            </w:pPr>
            <w:r>
              <w:rPr>
                <w:rFonts w:hint="eastAsia" w:ascii="宋体" w:hAnsi="宋体" w:cs="宋体"/>
                <w:color w:val="000000"/>
                <w:sz w:val="24"/>
              </w:rPr>
              <w:t>6.2 商务标投标文件制作技术咨询：0374-2961598。</w:t>
            </w:r>
          </w:p>
          <w:p>
            <w:pPr>
              <w:autoSpaceDE w:val="0"/>
              <w:autoSpaceDN w:val="0"/>
              <w:spacing w:line="360" w:lineRule="auto"/>
              <w:ind w:firstLine="240" w:firstLineChars="100"/>
              <w:jc w:val="left"/>
              <w:outlineLvl w:val="0"/>
              <w:rPr>
                <w:rFonts w:ascii="宋体" w:hAnsi="宋体" w:cs="宋体"/>
                <w:color w:val="000000"/>
                <w:sz w:val="24"/>
              </w:rPr>
            </w:pPr>
            <w:r>
              <w:rPr>
                <w:rFonts w:hint="eastAsia" w:ascii="宋体" w:hAnsi="宋体" w:cs="宋体"/>
                <w:color w:val="000000"/>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ascii="宋体" w:hAnsi="宋体" w:cs="宋体"/>
                <w:color w:val="000000"/>
                <w:sz w:val="24"/>
              </w:rPr>
            </w:pPr>
            <w:r>
              <w:rPr>
                <w:rFonts w:hint="eastAsia" w:ascii="宋体" w:hAnsi="宋体" w:cs="宋体"/>
                <w:color w:val="000000"/>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ascii="宋体" w:hAnsi="宋体" w:cs="宋体"/>
                <w:color w:val="000000"/>
                <w:sz w:val="24"/>
              </w:rPr>
            </w:pPr>
            <w:r>
              <w:rPr>
                <w:rFonts w:hint="eastAsia" w:ascii="宋体" w:hAnsi="宋体" w:cs="宋体"/>
                <w:color w:val="000000"/>
                <w:sz w:val="24"/>
              </w:rPr>
              <w:t>6.5加密电子投标文件逾期上传的，招标人不予受理。</w:t>
            </w:r>
          </w:p>
          <w:p>
            <w:pPr>
              <w:autoSpaceDE w:val="0"/>
              <w:autoSpaceDN w:val="0"/>
              <w:spacing w:line="360" w:lineRule="auto"/>
              <w:ind w:firstLine="240" w:firstLineChars="100"/>
              <w:jc w:val="left"/>
              <w:outlineLvl w:val="0"/>
              <w:rPr>
                <w:rFonts w:ascii="宋体" w:hAnsi="宋体" w:cs="宋体"/>
                <w:color w:val="000000"/>
                <w:sz w:val="24"/>
              </w:rPr>
            </w:pPr>
            <w:r>
              <w:rPr>
                <w:rFonts w:hint="eastAsia" w:ascii="宋体" w:hAnsi="宋体" w:cs="宋体"/>
                <w:color w:val="000000"/>
                <w:sz w:val="24"/>
              </w:rPr>
              <w:t>6.6投标</w:t>
            </w:r>
            <w:r>
              <w:rPr>
                <w:rFonts w:hint="eastAsia" w:ascii="宋体" w:hAnsi="宋体" w:cs="宋体"/>
                <w:sz w:val="24"/>
              </w:rPr>
              <w:t>人采用银行转账方式提交投标保证金的，</w:t>
            </w:r>
            <w:r>
              <w:rPr>
                <w:rFonts w:hint="eastAsia" w:ascii="宋体" w:hAnsi="宋体" w:cs="宋体"/>
                <w:color w:val="000000"/>
                <w:sz w:val="24"/>
              </w:rPr>
              <w:t>应在投标文件递交的截止时间之前按程序完成投标保证金绑定。</w:t>
            </w:r>
          </w:p>
          <w:p>
            <w:pPr>
              <w:autoSpaceDE w:val="0"/>
              <w:autoSpaceDN w:val="0"/>
              <w:spacing w:line="360" w:lineRule="auto"/>
              <w:ind w:firstLine="240" w:firstLineChars="100"/>
              <w:jc w:val="left"/>
              <w:outlineLvl w:val="0"/>
              <w:rPr>
                <w:rFonts w:ascii="宋体" w:hAnsi="宋体" w:cs="宋体"/>
                <w:color w:val="000000"/>
                <w:sz w:val="24"/>
              </w:rPr>
            </w:pPr>
            <w:r>
              <w:rPr>
                <w:rFonts w:hint="eastAsia" w:ascii="宋体" w:hAnsi="宋体" w:cs="宋体"/>
                <w:color w:val="000000"/>
                <w:sz w:val="24"/>
              </w:rPr>
              <w:t>7、投标人需提前熟悉招标文件相关事项及《许昌市不见面开标操作手册》，并设置不见面开标浏览器（设置流程详见《许昌市不见面开标操作手册》）。</w:t>
            </w:r>
          </w:p>
          <w:p>
            <w:pPr>
              <w:autoSpaceDE w:val="0"/>
              <w:autoSpaceDN w:val="0"/>
              <w:spacing w:line="360" w:lineRule="auto"/>
              <w:ind w:firstLine="240" w:firstLineChars="100"/>
              <w:jc w:val="left"/>
              <w:outlineLvl w:val="0"/>
              <w:rPr>
                <w:rFonts w:ascii="宋体" w:hAnsi="宋体" w:cs="宋体"/>
                <w:color w:val="000000"/>
                <w:sz w:val="24"/>
              </w:rPr>
            </w:pPr>
            <w:r>
              <w:rPr>
                <w:rFonts w:hint="eastAsia" w:ascii="宋体" w:hAnsi="宋体" w:cs="宋体"/>
                <w:color w:val="000000"/>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ascii="宋体" w:hAnsi="宋体" w:cs="宋体"/>
                <w:color w:val="000000"/>
                <w:sz w:val="24"/>
              </w:rPr>
            </w:pPr>
            <w:r>
              <w:rPr>
                <w:rFonts w:hint="eastAsia" w:ascii="宋体" w:hAnsi="宋体" w:cs="宋体"/>
                <w:color w:val="000000"/>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ascii="宋体" w:hAnsi="宋体" w:cs="宋体"/>
                <w:color w:val="000000"/>
                <w:sz w:val="24"/>
              </w:rPr>
            </w:pPr>
            <w:r>
              <w:rPr>
                <w:rFonts w:hint="eastAsia" w:ascii="宋体" w:hAnsi="宋体" w:cs="宋体"/>
                <w:color w:val="000000"/>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ascii="宋体" w:hAnsi="宋体" w:cs="宋体"/>
                <w:color w:val="000000"/>
                <w:sz w:val="24"/>
              </w:rPr>
            </w:pPr>
            <w:r>
              <w:rPr>
                <w:rFonts w:hint="eastAsia" w:ascii="宋体" w:hAnsi="宋体" w:cs="宋体"/>
                <w:color w:val="000000"/>
                <w:sz w:val="24"/>
              </w:rPr>
              <w:t>10、从参与项目交易开始至项目交易活动结束止，投标（响应）人应时刻关注电子交易系统中的项目进度和状</w:t>
            </w:r>
            <w:r>
              <w:rPr>
                <w:rFonts w:hint="eastAsia" w:ascii="宋体" w:hAnsi="宋体" w:cs="宋体"/>
                <w:sz w:val="24"/>
              </w:rPr>
              <w:t>态，特别在项目评审期间，保持投标文件提供的联系方式畅通，评标委员会随时可能对投标文件内容质询，投标人应及时进行答复（包括但不限于电子文档、电子邮件等）。由于自</w:t>
            </w:r>
            <w:r>
              <w:rPr>
                <w:rFonts w:hint="eastAsia" w:ascii="宋体" w:hAnsi="宋体" w:cs="宋体"/>
                <w:color w:val="000000"/>
                <w:sz w:val="24"/>
              </w:rPr>
              <w:t>身原因错过变更通知、文件澄清、报价响应（自系统发起30分钟内做出）等重要信息的，后果由投标（响应）人自行承担。</w:t>
            </w:r>
          </w:p>
          <w:p>
            <w:pPr>
              <w:autoSpaceDE w:val="0"/>
              <w:autoSpaceDN w:val="0"/>
              <w:spacing w:line="360" w:lineRule="auto"/>
              <w:ind w:firstLine="482" w:firstLineChars="200"/>
              <w:contextualSpacing/>
              <w:jc w:val="left"/>
              <w:outlineLvl w:val="0"/>
              <w:rPr>
                <w:rFonts w:ascii="宋体" w:hAnsi="宋体" w:cs="宋体"/>
                <w:b/>
                <w:bCs/>
                <w:color w:val="FF0000"/>
                <w:kern w:val="0"/>
                <w:sz w:val="24"/>
                <w:szCs w:val="24"/>
              </w:rPr>
            </w:pPr>
            <w:r>
              <w:rPr>
                <w:rFonts w:hint="eastAsia" w:ascii="宋体" w:hAnsi="宋体" w:cs="宋体"/>
                <w:b/>
                <w:color w:val="000000"/>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left"/>
              <w:outlineLvl w:val="0"/>
              <w:rPr>
                <w:rFonts w:ascii="宋体" w:hAnsi="宋体" w:cs="宋体"/>
                <w:b/>
                <w:bCs/>
                <w:sz w:val="24"/>
                <w:szCs w:val="24"/>
              </w:rPr>
            </w:pPr>
            <w:r>
              <w:rPr>
                <w:rFonts w:hint="eastAsia" w:ascii="宋体" w:hAnsi="宋体" w:cs="宋体"/>
                <w:b/>
                <w:bCs/>
                <w:sz w:val="24"/>
                <w:szCs w:val="24"/>
              </w:rPr>
              <w:t>注意事项：</w:t>
            </w:r>
          </w:p>
          <w:p>
            <w:pPr>
              <w:autoSpaceDE w:val="0"/>
              <w:autoSpaceDN w:val="0"/>
              <w:spacing w:line="360" w:lineRule="auto"/>
              <w:ind w:firstLine="482" w:firstLineChars="200"/>
              <w:contextualSpacing/>
              <w:jc w:val="left"/>
              <w:outlineLvl w:val="0"/>
              <w:rPr>
                <w:rFonts w:ascii="宋体" w:hAnsi="宋体" w:cs="宋体"/>
                <w:b/>
                <w:bCs/>
                <w:sz w:val="24"/>
                <w:szCs w:val="24"/>
              </w:rPr>
            </w:pPr>
            <w:r>
              <w:rPr>
                <w:rFonts w:hint="eastAsia" w:ascii="宋体" w:hAnsi="宋体" w:cs="宋体"/>
                <w:b/>
                <w:bCs/>
                <w:sz w:val="24"/>
                <w:szCs w:val="24"/>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autoSpaceDE w:val="0"/>
              <w:autoSpaceDN w:val="0"/>
              <w:spacing w:line="360" w:lineRule="auto"/>
              <w:ind w:firstLine="480" w:firstLineChars="200"/>
              <w:contextualSpacing/>
              <w:jc w:val="left"/>
              <w:outlineLvl w:val="0"/>
              <w:rPr>
                <w:rFonts w:ascii="宋体" w:hAnsi="宋体" w:cs="宋体"/>
                <w:bCs/>
                <w:sz w:val="24"/>
                <w:szCs w:val="24"/>
              </w:rPr>
            </w:pPr>
            <w:r>
              <w:rPr>
                <w:rFonts w:hint="eastAsia" w:ascii="宋体" w:hAnsi="宋体" w:cs="宋体"/>
                <w:bCs/>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autoSpaceDE w:val="0"/>
              <w:autoSpaceDN w:val="0"/>
              <w:spacing w:line="360" w:lineRule="auto"/>
              <w:ind w:firstLine="480" w:firstLineChars="200"/>
              <w:contextualSpacing/>
              <w:jc w:val="left"/>
              <w:outlineLvl w:val="0"/>
              <w:rPr>
                <w:rFonts w:ascii="宋体" w:hAnsi="宋体" w:cs="宋体"/>
                <w:bCs/>
                <w:sz w:val="24"/>
                <w:szCs w:val="24"/>
              </w:rPr>
            </w:pPr>
            <w:r>
              <w:rPr>
                <w:rFonts w:hint="eastAsia" w:ascii="宋体" w:hAnsi="宋体" w:cs="宋体"/>
                <w:bCs/>
                <w:sz w:val="24"/>
                <w:szCs w:val="24"/>
              </w:rPr>
              <w:t>中标人无正当理由不与招标人订立合同，在签订合同时向招标人提出附加条件，或者不按照招标文件要求提交履约担保的，取消其中标资格，投标保证金不予退还。</w:t>
            </w:r>
          </w:p>
          <w:p>
            <w:pPr>
              <w:autoSpaceDE w:val="0"/>
              <w:autoSpaceDN w:val="0"/>
              <w:spacing w:line="360" w:lineRule="auto"/>
              <w:ind w:firstLine="480" w:firstLineChars="200"/>
              <w:contextualSpacing/>
              <w:jc w:val="left"/>
              <w:outlineLvl w:val="0"/>
              <w:rPr>
                <w:rFonts w:ascii="宋体" w:hAnsi="宋体" w:cs="宋体"/>
                <w:bCs/>
                <w:sz w:val="24"/>
                <w:szCs w:val="24"/>
              </w:rPr>
            </w:pPr>
            <w:r>
              <w:rPr>
                <w:rFonts w:hint="eastAsia" w:ascii="宋体" w:hAnsi="宋体" w:cs="宋体"/>
                <w:bCs/>
                <w:sz w:val="24"/>
                <w:szCs w:val="24"/>
              </w:rPr>
              <w:t>中标人不履行与招标人订立的合同的，履约担保不予退还，给招标人造成的损失超过履约担保数额的，还应当对超过部分予以赔偿；没有提交履约担保的，应当对招标人的损失承担赔偿责任。</w:t>
            </w:r>
          </w:p>
          <w:p>
            <w:pPr>
              <w:autoSpaceDE w:val="0"/>
              <w:autoSpaceDN w:val="0"/>
              <w:spacing w:line="360" w:lineRule="auto"/>
              <w:ind w:firstLine="480" w:firstLineChars="200"/>
              <w:contextualSpacing/>
              <w:jc w:val="left"/>
              <w:outlineLvl w:val="0"/>
              <w:rPr>
                <w:rFonts w:ascii="宋体" w:hAnsi="宋体" w:cs="宋体"/>
                <w:bCs/>
                <w:sz w:val="24"/>
                <w:szCs w:val="24"/>
              </w:rPr>
            </w:pPr>
            <w:r>
              <w:rPr>
                <w:rFonts w:hint="eastAsia" w:ascii="宋体" w:hAnsi="宋体" w:cs="宋体"/>
                <w:bCs/>
                <w:sz w:val="24"/>
                <w:szCs w:val="24"/>
              </w:rPr>
              <w:t>投标人的投标活动属于“国家发展改革委等２４部委《关于对公共资源交易领域严重失信主体开展联合惩戒的备忘录》（发改法规〔2018〕457号）”十九种行为界定的不良行为的，按相关文件规定执行。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jc w:val="left"/>
              <w:outlineLvl w:val="0"/>
              <w:rPr>
                <w:rFonts w:ascii="宋体" w:hAnsi="宋体" w:cs="宋体"/>
                <w:kern w:val="0"/>
                <w:sz w:val="24"/>
                <w:szCs w:val="24"/>
              </w:rPr>
            </w:pPr>
            <w:bookmarkStart w:id="31" w:name="_Toc397507525"/>
            <w:r>
              <w:rPr>
                <w:rFonts w:hint="eastAsia" w:ascii="宋体" w:hAnsi="宋体" w:cs="宋体"/>
                <w:position w:val="6"/>
                <w:sz w:val="24"/>
                <w:szCs w:val="24"/>
              </w:rPr>
              <w:t>未尽事宜，按国家有关规定执行。</w:t>
            </w:r>
            <w:bookmarkEnd w:id="31"/>
          </w:p>
        </w:tc>
      </w:tr>
    </w:tbl>
    <w:p>
      <w:pPr>
        <w:pStyle w:val="2"/>
        <w:spacing w:before="0" w:after="0" w:line="360" w:lineRule="auto"/>
        <w:contextualSpacing/>
        <w:rPr>
          <w:rFonts w:ascii="宋体" w:hAnsi="宋体" w:cs="宋体"/>
          <w:sz w:val="24"/>
          <w:szCs w:val="24"/>
        </w:rPr>
      </w:pPr>
      <w:bookmarkStart w:id="32" w:name="_Toc397507939"/>
      <w:bookmarkEnd w:id="32"/>
      <w:bookmarkStart w:id="33" w:name="_Toc397507526"/>
      <w:bookmarkEnd w:id="33"/>
      <w:bookmarkStart w:id="34" w:name="_Toc397605808"/>
      <w:r>
        <w:rPr>
          <w:rFonts w:hint="eastAsia" w:ascii="宋体" w:hAnsi="宋体" w:cs="宋体"/>
          <w:kern w:val="0"/>
          <w:sz w:val="26"/>
          <w:szCs w:val="26"/>
        </w:rPr>
        <w:br w:type="page"/>
      </w:r>
      <w:bookmarkEnd w:id="34"/>
      <w:r>
        <w:rPr>
          <w:rFonts w:hint="eastAsia" w:ascii="宋体" w:hAnsi="宋体" w:cs="宋体"/>
          <w:sz w:val="32"/>
          <w:szCs w:val="24"/>
        </w:rPr>
        <w:t>1. 总则</w:t>
      </w:r>
    </w:p>
    <w:p>
      <w:pPr>
        <w:pStyle w:val="4"/>
        <w:topLinePunct/>
        <w:spacing w:before="0" w:after="0" w:line="360" w:lineRule="auto"/>
        <w:contextualSpacing/>
        <w:rPr>
          <w:rFonts w:ascii="宋体" w:hAnsi="宋体" w:cs="宋体"/>
          <w:sz w:val="24"/>
          <w:szCs w:val="24"/>
        </w:rPr>
      </w:pPr>
      <w:bookmarkStart w:id="35" w:name="_Toc450029230"/>
      <w:r>
        <w:rPr>
          <w:rFonts w:hint="eastAsia" w:ascii="宋体" w:hAnsi="宋体" w:cs="宋体"/>
          <w:sz w:val="24"/>
          <w:szCs w:val="24"/>
        </w:rPr>
        <w:t>1.1 项目概况</w:t>
      </w:r>
      <w:bookmarkEnd w:id="35"/>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1.1.1根据《中华人民共和国招标投标法》等有关法律、法规和规章的规定，本招标项目已具备招标条件，现对本标段施工进行招标。</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1.1.2 本招标项目招标人：见投标人须知前附表。</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1.1.3 本标段招标代理机构：见投标人须知前附表。</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1.1.4 本招标项目名称：见投标人须知前附表。</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1.1.5 本标段建设地点：见投标人须知前附表。</w:t>
      </w:r>
    </w:p>
    <w:p>
      <w:pPr>
        <w:pStyle w:val="4"/>
        <w:topLinePunct/>
        <w:spacing w:before="0" w:after="0" w:line="360" w:lineRule="auto"/>
        <w:contextualSpacing/>
        <w:rPr>
          <w:rFonts w:ascii="宋体" w:hAnsi="宋体" w:cs="宋体"/>
          <w:sz w:val="24"/>
          <w:szCs w:val="24"/>
        </w:rPr>
      </w:pPr>
      <w:bookmarkStart w:id="36" w:name="_Toc450029231"/>
      <w:r>
        <w:rPr>
          <w:rFonts w:hint="eastAsia" w:ascii="宋体" w:hAnsi="宋体" w:cs="宋体"/>
          <w:sz w:val="24"/>
          <w:szCs w:val="24"/>
        </w:rPr>
        <w:t>1.2 资金来源和落实情况</w:t>
      </w:r>
      <w:bookmarkEnd w:id="36"/>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1.2.1 本招标项目的资金来源：见投标人须知前附表。</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1.2.2 本招标项目的出资比例：见投标人须知前附表。</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1.2.3 本招标项目的资金落实情况：见投标人须知前附表。</w:t>
      </w:r>
    </w:p>
    <w:p>
      <w:pPr>
        <w:pStyle w:val="4"/>
        <w:topLinePunct/>
        <w:spacing w:before="0" w:after="0" w:line="360" w:lineRule="auto"/>
        <w:contextualSpacing/>
        <w:rPr>
          <w:rFonts w:ascii="宋体" w:hAnsi="宋体" w:cs="宋体"/>
          <w:sz w:val="24"/>
          <w:szCs w:val="24"/>
        </w:rPr>
      </w:pPr>
      <w:bookmarkStart w:id="37" w:name="_Toc450029232"/>
      <w:r>
        <w:rPr>
          <w:rFonts w:hint="eastAsia" w:ascii="宋体" w:hAnsi="宋体" w:cs="宋体"/>
          <w:sz w:val="24"/>
          <w:szCs w:val="24"/>
        </w:rPr>
        <w:t>1.3 招标范围、计划工期和质量要求</w:t>
      </w:r>
      <w:bookmarkEnd w:id="37"/>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1.3.1 本次招标范围：见投标人须知前附表。</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1.3.2 本标段的计划工期：见投标人须知前附表。</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1.3.3 本标段的质量要求：见投标人须知前附表。</w:t>
      </w:r>
    </w:p>
    <w:p>
      <w:pPr>
        <w:pStyle w:val="4"/>
        <w:topLinePunct/>
        <w:spacing w:before="0" w:after="0" w:line="360" w:lineRule="auto"/>
        <w:contextualSpacing/>
        <w:rPr>
          <w:rFonts w:ascii="宋体" w:hAnsi="宋体" w:cs="宋体"/>
          <w:sz w:val="24"/>
          <w:szCs w:val="24"/>
        </w:rPr>
      </w:pPr>
      <w:bookmarkStart w:id="38" w:name="_Toc450029233"/>
      <w:r>
        <w:rPr>
          <w:rFonts w:hint="eastAsia" w:ascii="宋体" w:hAnsi="宋体" w:cs="宋体"/>
          <w:sz w:val="24"/>
          <w:szCs w:val="24"/>
        </w:rPr>
        <w:t>1.4 投标人资格要求</w:t>
      </w:r>
      <w:bookmarkEnd w:id="38"/>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1.4.1 投标人应具备承担本标段施工的资质条件、能力。</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（1）资质条件：见投标人须知前附表；</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（2）业绩要求：见投标人须知前附表；</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（3）人员资格：见投标人须知前附表；</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（4）主要机械设备和试验检测设备要求：见投标人须知前附表。</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1.4.2 投标人须知前附表规定接受联合体投标的，除应符合本章第1.4.1项和投标人须知前附表的要求外，还应遵守以下规定：</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（1）联合体各方应按招标文件提供的格式签订联合体协议书，明确联合体牵头人和各方权利义务；</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（2）由同一专业的单位组成的联合体，按照资质等级较低的单位确定资质等级；</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（3）联合体各方不得再以自己名义单独或参加其他联合体在同一标段中投标；</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（4）联合体所有成员数量不得超过投标人须知前附表规定的数量；</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5）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（6）尽管委任了联合体牵头人，但联合体各成员在投标、签约与履行合同过程中，仍负有连带的和各自的法律责任。</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1.4.3 投标人不得存在下列情形之一：</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（1）为招标人不具有独立法人资格的附属机构（单位）；</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（2）为本标段前期准备提供设计或咨询服务的，但设计施工总承包的除外；</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（3）为本标段的监理人；</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（4）为本标段的代建人；</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（5）为本标段提供招标代理服务的；</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（6）与本标段的监理人或代建人或招标代理机构同为一个法定代表人的；</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（7）与本标段的监理人或代建人或招标代理机构相互控股或参股的；</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（8）与本标段的监理人或代建人或招标代理机构相互任职或工作的；</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（9）被责令停业的；</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（10）被暂停或取消投标资格的；</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（11）财产被接管或冻结的；</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（12）在最近三年内有骗取中标或严重违约或重大工程质量问题的；</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（13）涉及正在诉讼的案件，或涉及正在诉讼的案件但经审查委员会认定不会对承担本项目造成重大影响；</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（14）为投资参股本项目的法人单位。</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(15) 被国家发改委等部门列入联合惩戒备忘录（黑名单）</w:t>
      </w:r>
    </w:p>
    <w:p>
      <w:pPr>
        <w:topLinePunct/>
        <w:spacing w:line="360" w:lineRule="auto"/>
        <w:contextualSpacing/>
        <w:rPr>
          <w:rFonts w:ascii="宋体" w:hAnsi="宋体" w:cs="宋体"/>
          <w:b/>
          <w:sz w:val="24"/>
          <w:szCs w:val="24"/>
        </w:rPr>
      </w:pPr>
      <w:bookmarkStart w:id="39" w:name="_Toc450029234"/>
      <w:r>
        <w:rPr>
          <w:rFonts w:hint="eastAsia" w:ascii="宋体" w:hAnsi="宋体" w:cs="宋体"/>
          <w:b/>
          <w:sz w:val="24"/>
          <w:szCs w:val="24"/>
        </w:rPr>
        <w:t>1.5 费用承担</w:t>
      </w:r>
      <w:bookmarkEnd w:id="39"/>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投标人准备和参加投标活动发生的费用自理。</w:t>
      </w:r>
    </w:p>
    <w:p>
      <w:pPr>
        <w:pStyle w:val="4"/>
        <w:topLinePunct/>
        <w:spacing w:before="0" w:after="0" w:line="360" w:lineRule="auto"/>
        <w:contextualSpacing/>
        <w:rPr>
          <w:rFonts w:ascii="宋体" w:hAnsi="宋体" w:cs="宋体"/>
          <w:sz w:val="24"/>
          <w:szCs w:val="24"/>
        </w:rPr>
      </w:pPr>
      <w:bookmarkStart w:id="40" w:name="_Toc450029235"/>
      <w:r>
        <w:rPr>
          <w:rFonts w:hint="eastAsia" w:ascii="宋体" w:hAnsi="宋体" w:cs="宋体"/>
          <w:sz w:val="24"/>
          <w:szCs w:val="24"/>
        </w:rPr>
        <w:t>1.6 保密</w:t>
      </w:r>
      <w:bookmarkEnd w:id="40"/>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参与招标投标活动的各方应对招标文件和投标文件中的商业和技术等秘密保密，违者应对由此造成的后果承担法律责任。</w:t>
      </w:r>
    </w:p>
    <w:p>
      <w:pPr>
        <w:pStyle w:val="4"/>
        <w:topLinePunct/>
        <w:spacing w:before="0" w:after="0" w:line="360" w:lineRule="auto"/>
        <w:contextualSpacing/>
        <w:rPr>
          <w:rFonts w:ascii="宋体" w:hAnsi="宋体" w:cs="宋体"/>
          <w:sz w:val="24"/>
          <w:szCs w:val="24"/>
        </w:rPr>
      </w:pPr>
      <w:bookmarkStart w:id="41" w:name="_Toc450029236"/>
      <w:r>
        <w:rPr>
          <w:rFonts w:hint="eastAsia" w:ascii="宋体" w:hAnsi="宋体" w:cs="宋体"/>
          <w:sz w:val="24"/>
          <w:szCs w:val="24"/>
        </w:rPr>
        <w:t>1.7 语言文字</w:t>
      </w:r>
      <w:bookmarkEnd w:id="41"/>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除专用术语外，与招标投标有关的语言均使用中文。必要时专用术语应附有中文注释。</w:t>
      </w:r>
    </w:p>
    <w:p>
      <w:pPr>
        <w:pStyle w:val="4"/>
        <w:topLinePunct/>
        <w:spacing w:before="0" w:after="0" w:line="360" w:lineRule="auto"/>
        <w:contextualSpacing/>
        <w:rPr>
          <w:rFonts w:hint="eastAsia" w:ascii="宋体" w:hAnsi="宋体" w:cs="宋体"/>
          <w:sz w:val="24"/>
          <w:szCs w:val="24"/>
        </w:rPr>
      </w:pPr>
      <w:bookmarkStart w:id="42" w:name="_Toc450029237"/>
    </w:p>
    <w:p>
      <w:pPr>
        <w:pStyle w:val="4"/>
        <w:topLinePunct/>
        <w:spacing w:before="0" w:after="0" w:line="360" w:lineRule="auto"/>
        <w:contextualSpacing/>
        <w:rPr>
          <w:rFonts w:ascii="宋体" w:hAnsi="宋体" w:cs="宋体"/>
          <w:sz w:val="24"/>
          <w:szCs w:val="24"/>
        </w:rPr>
      </w:pPr>
      <w:r>
        <w:rPr>
          <w:rFonts w:hint="eastAsia" w:ascii="宋体" w:hAnsi="宋体" w:cs="宋体"/>
          <w:sz w:val="24"/>
          <w:szCs w:val="24"/>
        </w:rPr>
        <w:t>1.8 计量单位</w:t>
      </w:r>
      <w:bookmarkEnd w:id="42"/>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所有计量均采用中华人民共和国法定计量单位。</w:t>
      </w:r>
    </w:p>
    <w:p>
      <w:pPr>
        <w:pStyle w:val="4"/>
        <w:topLinePunct/>
        <w:spacing w:before="0" w:after="0" w:line="360" w:lineRule="auto"/>
        <w:contextualSpacing/>
        <w:rPr>
          <w:rFonts w:ascii="宋体" w:hAnsi="宋体" w:cs="宋体"/>
          <w:sz w:val="24"/>
          <w:szCs w:val="24"/>
        </w:rPr>
      </w:pPr>
      <w:bookmarkStart w:id="43" w:name="_Toc450029238"/>
      <w:r>
        <w:rPr>
          <w:rFonts w:hint="eastAsia" w:ascii="宋体" w:hAnsi="宋体" w:cs="宋体"/>
          <w:sz w:val="24"/>
          <w:szCs w:val="24"/>
        </w:rPr>
        <w:t>1.9 踏勘现场</w:t>
      </w:r>
      <w:bookmarkEnd w:id="43"/>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1.9.1 投标人须知前附表规定组织踏勘现场的，招标人按投标人须知前附表规定的时间、地点组织投标人踏勘项目现场。</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1.9.2 投标人踏勘现场发生的费用自理。</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1.9.3 除招标人的原因外，投标人自行负责在踏勘现场中所发生的人员伤亡和财产损失。</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1.9.4 招标人在踏勘现场中介绍的工程场地和相关的周边环境情况，供投标人在编制投标文件时参考，招标人不对投标人据此作出的判断和决策负责。</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1.9.5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4"/>
        <w:topLinePunct/>
        <w:spacing w:before="0" w:after="0" w:line="360" w:lineRule="auto"/>
        <w:contextualSpacing/>
        <w:rPr>
          <w:rFonts w:ascii="宋体" w:hAnsi="宋体" w:cs="宋体"/>
          <w:sz w:val="24"/>
          <w:szCs w:val="24"/>
        </w:rPr>
      </w:pPr>
      <w:bookmarkStart w:id="44" w:name="_Toc450029239"/>
      <w:r>
        <w:rPr>
          <w:rFonts w:hint="eastAsia" w:ascii="宋体" w:hAnsi="宋体" w:cs="宋体"/>
          <w:sz w:val="24"/>
          <w:szCs w:val="24"/>
        </w:rPr>
        <w:t>1.10 投标预备会</w:t>
      </w:r>
      <w:bookmarkEnd w:id="44"/>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1.10.1 投标人须知前附表规定召开投标预备会的，招标人按投标人须知前附表规定的时间和地点召开投标预备会，澄清投标人提出的问题。</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1.10.2 投标人应在投标人须知前附表规定的时间前，以书面形式将提出的问题送达招标人，以便招标人在会议期间澄清。</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1.10.3 投标预备会后，招标人在投标人须知前附表规定的时间内，将对投标人所提问题的澄清，以书面方式通知所有购买招标文件的投标人。该澄清内容为招标文件的组成部分。</w:t>
      </w:r>
    </w:p>
    <w:p>
      <w:pPr>
        <w:pStyle w:val="4"/>
        <w:topLinePunct/>
        <w:spacing w:before="0" w:after="0" w:line="240" w:lineRule="auto"/>
        <w:ind w:left="472" w:hanging="472" w:hangingChars="196"/>
        <w:contextualSpacing/>
        <w:rPr>
          <w:rFonts w:ascii="宋体" w:hAnsi="宋体" w:cs="宋体"/>
          <w:sz w:val="24"/>
          <w:szCs w:val="24"/>
        </w:rPr>
      </w:pPr>
      <w:bookmarkStart w:id="45" w:name="_Toc450029241"/>
      <w:r>
        <w:rPr>
          <w:rFonts w:hint="eastAsia" w:ascii="宋体" w:hAnsi="宋体" w:cs="宋体"/>
          <w:sz w:val="24"/>
          <w:szCs w:val="24"/>
        </w:rPr>
        <w:t>1.11分包</w:t>
      </w:r>
      <w:r>
        <w:rPr>
          <w:rFonts w:hint="eastAsia" w:ascii="宋体" w:hAnsi="宋体" w:cs="宋体"/>
          <w:sz w:val="24"/>
          <w:szCs w:val="24"/>
        </w:rPr>
        <w:cr/>
      </w:r>
      <w:r>
        <w:rPr>
          <w:rFonts w:hint="eastAsia" w:ascii="宋体" w:hAnsi="宋体" w:cs="宋体"/>
          <w:b w:val="0"/>
          <w:bCs w:val="0"/>
          <w:sz w:val="24"/>
          <w:szCs w:val="24"/>
        </w:rPr>
        <w:t>1.11.1中标人按照合同约定或者经招标人同意，可以将中标项目的部分非主体、非关键性工作分包给他人完成。接受分包的人应当具备相应的资格条件，并不得再次分包。</w:t>
      </w:r>
      <w:r>
        <w:rPr>
          <w:rFonts w:hint="eastAsia" w:ascii="宋体" w:hAnsi="宋体" w:cs="宋体"/>
          <w:b w:val="0"/>
          <w:bCs w:val="0"/>
          <w:sz w:val="24"/>
          <w:szCs w:val="24"/>
        </w:rPr>
        <w:cr/>
      </w:r>
      <w:r>
        <w:rPr>
          <w:rFonts w:hint="eastAsia" w:ascii="宋体" w:hAnsi="宋体" w:cs="宋体"/>
          <w:b w:val="0"/>
          <w:bCs w:val="0"/>
          <w:sz w:val="24"/>
          <w:szCs w:val="24"/>
        </w:rPr>
        <w:t>1.11.2中标人应当就分包项目向招标人负责，接受分包的人就分包项目承担连带责任。</w:t>
      </w:r>
    </w:p>
    <w:p>
      <w:pPr>
        <w:pStyle w:val="4"/>
        <w:topLinePunct/>
        <w:spacing w:before="0" w:after="0" w:line="360" w:lineRule="auto"/>
        <w:contextualSpacing/>
        <w:rPr>
          <w:rFonts w:ascii="宋体" w:hAnsi="宋体" w:cs="宋体"/>
          <w:sz w:val="24"/>
          <w:szCs w:val="24"/>
          <w:vertAlign w:val="superscript"/>
        </w:rPr>
      </w:pPr>
      <w:r>
        <w:rPr>
          <w:rFonts w:hint="eastAsia" w:ascii="宋体" w:hAnsi="宋体" w:cs="宋体"/>
          <w:sz w:val="24"/>
          <w:szCs w:val="24"/>
        </w:rPr>
        <w:t>1.12 偏离</w:t>
      </w:r>
      <w:bookmarkEnd w:id="45"/>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投标人须知前附表允许投标文件偏离招标文件某些要求的，偏离应当符合招标文件规定的偏离范围和幅度。</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偏离即偏差，偏差分重大偏差和细微偏差。</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1.12.1 投标文件不符合第三章“评标办法”所列的初步评审标准以外的，属于重大偏差，视为对招标文件未作出实质性响应，按废标处理。</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1.12.2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pPr>
        <w:pStyle w:val="3"/>
        <w:topLinePunct/>
        <w:spacing w:before="0" w:after="0" w:line="360" w:lineRule="auto"/>
        <w:contextualSpacing/>
        <w:rPr>
          <w:rFonts w:ascii="宋体" w:hAnsi="宋体" w:eastAsia="宋体" w:cs="宋体"/>
          <w:sz w:val="24"/>
          <w:szCs w:val="24"/>
        </w:rPr>
      </w:pPr>
      <w:bookmarkStart w:id="46" w:name="_Toc450029242"/>
      <w:r>
        <w:rPr>
          <w:rFonts w:hint="eastAsia" w:ascii="宋体" w:hAnsi="宋体" w:eastAsia="宋体" w:cs="宋体"/>
          <w:sz w:val="24"/>
          <w:szCs w:val="24"/>
        </w:rPr>
        <w:t>2. 招标文件</w:t>
      </w:r>
      <w:bookmarkEnd w:id="46"/>
    </w:p>
    <w:p>
      <w:pPr>
        <w:pStyle w:val="4"/>
        <w:topLinePunct/>
        <w:spacing w:before="0" w:after="0" w:line="360" w:lineRule="auto"/>
        <w:contextualSpacing/>
        <w:rPr>
          <w:rFonts w:ascii="宋体" w:hAnsi="宋体" w:cs="宋体"/>
          <w:sz w:val="24"/>
          <w:szCs w:val="24"/>
        </w:rPr>
      </w:pPr>
      <w:bookmarkStart w:id="47" w:name="_Toc450029243"/>
      <w:r>
        <w:rPr>
          <w:rFonts w:hint="eastAsia" w:ascii="宋体" w:hAnsi="宋体" w:cs="宋体"/>
          <w:sz w:val="24"/>
          <w:szCs w:val="24"/>
        </w:rPr>
        <w:t>2.1 招标文件的组成</w:t>
      </w:r>
      <w:bookmarkEnd w:id="47"/>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本招标文件包括：</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（1）招标公告；</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（2）投标人须知；</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（3）评标办法（综合评标法）；</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（4）合同条款及格式；</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（5）工程量清单；</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（6）技术标准和要求；</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（7）投标文件格式；</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根据本章第2.2款和第2.3款对招标文件所作的澄清、修改，构成招标文件的组成部分。</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当招标文件、招标文件的澄清或修改等在同一内容的表述上不一致时，以最后发出的书面文件为准。</w:t>
      </w:r>
    </w:p>
    <w:p>
      <w:pPr>
        <w:topLinePunct/>
        <w:spacing w:line="360" w:lineRule="auto"/>
        <w:contextualSpacing/>
        <w:rPr>
          <w:rFonts w:ascii="宋体" w:hAnsi="宋体" w:cs="宋体"/>
          <w:b/>
          <w:bCs/>
          <w:sz w:val="24"/>
          <w:szCs w:val="24"/>
        </w:rPr>
      </w:pPr>
      <w:bookmarkStart w:id="48" w:name="_Toc450029246"/>
      <w:r>
        <w:rPr>
          <w:rFonts w:hint="eastAsia" w:ascii="宋体" w:hAnsi="宋体" w:cs="宋体"/>
          <w:b/>
          <w:bCs/>
          <w:sz w:val="24"/>
          <w:szCs w:val="24"/>
        </w:rPr>
        <w:t>2.2 招标文件的澄清</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2.2.3 所有澄清、答疑全部以许昌市公共资源交易系统电子平台发出的为准，不再接受书面形式的递交。</w:t>
      </w:r>
    </w:p>
    <w:p>
      <w:pPr>
        <w:topLinePunct/>
        <w:spacing w:line="360" w:lineRule="auto"/>
        <w:contextualSpacing/>
        <w:rPr>
          <w:rFonts w:ascii="宋体" w:hAnsi="宋体" w:cs="宋体"/>
          <w:b/>
          <w:bCs/>
          <w:sz w:val="24"/>
          <w:szCs w:val="24"/>
        </w:rPr>
      </w:pPr>
      <w:bookmarkStart w:id="49" w:name="_Toc283559954"/>
      <w:r>
        <w:rPr>
          <w:rFonts w:hint="eastAsia" w:ascii="宋体" w:hAnsi="宋体" w:cs="宋体"/>
          <w:b/>
          <w:bCs/>
          <w:sz w:val="24"/>
          <w:szCs w:val="24"/>
        </w:rPr>
        <w:t>2.3 招标文件的修改</w:t>
      </w:r>
      <w:bookmarkEnd w:id="49"/>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2.3.1 在投标截止时间15天前，招标人可以通过许昌市公共资源交易系统电子平台修改招标文件，如果修改招标文件的时间距投标截止时间不足15 天，相应延长投标截止时间。</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2.3.2 当招标文件（含评标、定标办法）、补充通知、答疑纪要，内容相互矛盾时，以最后发出的通知（或纪要）为准。</w:t>
      </w:r>
    </w:p>
    <w:p>
      <w:pPr>
        <w:pStyle w:val="3"/>
        <w:topLinePunct/>
        <w:spacing w:before="0" w:after="0" w:line="360" w:lineRule="auto"/>
        <w:contextualSpacing/>
        <w:rPr>
          <w:rFonts w:ascii="宋体" w:hAnsi="宋体" w:eastAsia="宋体" w:cs="宋体"/>
          <w:sz w:val="24"/>
          <w:szCs w:val="24"/>
        </w:rPr>
      </w:pPr>
      <w:r>
        <w:rPr>
          <w:rFonts w:hint="eastAsia" w:ascii="宋体" w:hAnsi="宋体" w:eastAsia="宋体" w:cs="宋体"/>
          <w:sz w:val="24"/>
          <w:szCs w:val="24"/>
        </w:rPr>
        <w:t>3. 投标文件</w:t>
      </w:r>
      <w:bookmarkEnd w:id="48"/>
    </w:p>
    <w:p>
      <w:pPr>
        <w:spacing w:line="360" w:lineRule="auto"/>
        <w:ind w:firstLine="472" w:firstLineChars="196"/>
        <w:contextualSpacing/>
        <w:rPr>
          <w:rFonts w:ascii="宋体" w:hAnsi="宋体" w:cs="宋体"/>
          <w:b/>
          <w:sz w:val="24"/>
          <w:szCs w:val="24"/>
        </w:rPr>
      </w:pPr>
      <w:bookmarkStart w:id="50" w:name="_Toc8622"/>
      <w:bookmarkStart w:id="51" w:name="_Toc301170860"/>
      <w:bookmarkStart w:id="52" w:name="_Toc327875519"/>
      <w:bookmarkStart w:id="53" w:name="_Toc301170395"/>
      <w:bookmarkStart w:id="54" w:name="_Toc15649"/>
      <w:bookmarkStart w:id="55" w:name="_Toc383795209"/>
      <w:bookmarkStart w:id="56" w:name="_Toc5086"/>
      <w:bookmarkStart w:id="57" w:name="_Toc352312265"/>
      <w:bookmarkStart w:id="58" w:name="_Toc311013686"/>
      <w:bookmarkStart w:id="59" w:name="_Toc144974515"/>
      <w:bookmarkStart w:id="60" w:name="_Toc179632565"/>
      <w:bookmarkStart w:id="61" w:name="_Toc152042323"/>
      <w:bookmarkStart w:id="62" w:name="_Toc152045547"/>
      <w:bookmarkStart w:id="63" w:name="_Toc450029254"/>
      <w:r>
        <w:rPr>
          <w:rFonts w:hint="eastAsia" w:ascii="宋体" w:hAnsi="宋体" w:cs="宋体"/>
          <w:b/>
          <w:sz w:val="24"/>
          <w:szCs w:val="24"/>
        </w:rPr>
        <w:t>3.1  投标文件</w:t>
      </w:r>
      <w:bookmarkEnd w:id="50"/>
      <w:bookmarkEnd w:id="51"/>
      <w:bookmarkEnd w:id="52"/>
      <w:bookmarkEnd w:id="53"/>
      <w:bookmarkEnd w:id="54"/>
      <w:bookmarkEnd w:id="55"/>
      <w:bookmarkEnd w:id="56"/>
      <w:bookmarkEnd w:id="57"/>
      <w:r>
        <w:rPr>
          <w:rFonts w:hint="eastAsia" w:ascii="宋体" w:hAnsi="宋体" w:cs="宋体"/>
          <w:b/>
          <w:sz w:val="24"/>
          <w:szCs w:val="24"/>
        </w:rPr>
        <w:t>分商务标、综合（信用）标、技术标三部分。</w:t>
      </w:r>
    </w:p>
    <w:bookmarkEnd w:id="58"/>
    <w:bookmarkEnd w:id="59"/>
    <w:bookmarkEnd w:id="60"/>
    <w:bookmarkEnd w:id="61"/>
    <w:bookmarkEnd w:id="62"/>
    <w:p>
      <w:pPr>
        <w:topLinePunct/>
        <w:spacing w:line="360" w:lineRule="auto"/>
        <w:ind w:firstLine="482" w:firstLineChars="200"/>
        <w:contextualSpacing/>
        <w:rPr>
          <w:rFonts w:ascii="宋体" w:hAnsi="宋体" w:cs="宋体"/>
          <w:b/>
          <w:bCs/>
          <w:sz w:val="24"/>
          <w:szCs w:val="24"/>
        </w:rPr>
      </w:pPr>
      <w:bookmarkStart w:id="64" w:name="_Toc144974516"/>
      <w:bookmarkStart w:id="65" w:name="_Toc152042324"/>
      <w:bookmarkStart w:id="66" w:name="_Toc311013701"/>
      <w:bookmarkStart w:id="67" w:name="_Toc179632566"/>
      <w:bookmarkStart w:id="68" w:name="_Toc152045548"/>
      <w:r>
        <w:rPr>
          <w:rFonts w:hint="eastAsia" w:ascii="宋体" w:hAnsi="宋体" w:cs="宋体"/>
          <w:b/>
          <w:bCs/>
          <w:sz w:val="24"/>
          <w:szCs w:val="24"/>
        </w:rPr>
        <w:t>3.2 投标报价</w:t>
      </w:r>
      <w:bookmarkEnd w:id="64"/>
      <w:bookmarkEnd w:id="65"/>
      <w:bookmarkEnd w:id="66"/>
      <w:bookmarkEnd w:id="67"/>
      <w:bookmarkEnd w:id="68"/>
    </w:p>
    <w:p>
      <w:pPr>
        <w:topLinePunct/>
        <w:spacing w:line="360" w:lineRule="auto"/>
        <w:ind w:firstLine="480" w:firstLineChars="200"/>
        <w:contextualSpacing/>
        <w:rPr>
          <w:rFonts w:ascii="宋体" w:hAnsi="宋体" w:cs="宋体"/>
          <w:sz w:val="24"/>
          <w:szCs w:val="24"/>
        </w:rPr>
      </w:pPr>
      <w:bookmarkStart w:id="69" w:name="_Toc144974517"/>
      <w:bookmarkStart w:id="70" w:name="_Toc179632567"/>
      <w:bookmarkStart w:id="71" w:name="_Toc311013702"/>
      <w:bookmarkStart w:id="72" w:name="_Toc152045549"/>
      <w:bookmarkStart w:id="73" w:name="_Toc152042325"/>
      <w:r>
        <w:rPr>
          <w:rFonts w:hint="eastAsia" w:ascii="宋体" w:hAnsi="宋体" w:cs="宋体"/>
          <w:sz w:val="24"/>
          <w:szCs w:val="24"/>
        </w:rPr>
        <w:t xml:space="preserve">  3.2.1 投标人应按第五章“工程量清单”的要求填写相应表格。</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 xml:space="preserve">  3.2.2 投标人在投标截止时间前修改投标函中的投标总报价，应同时修改“工程量清单”中的相应报价。此修改须符合本章第4.3款的有关要求。</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 xml:space="preserve">  3.2.3投标人只能提出一个不变价格，招标人不接受任何选择报价。不允许任一投标人对同一招标项目提出两个或两个以上不同的投标报价。</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 xml:space="preserve">  3.2.4投标报价有算术错误的，评标委员会按以下原则进行修正：</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（一）用数字表示的数额与用文字表示的数额不一致时，以文字数额为准；</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（二）单价与工程量的乘积与总价之间不一致时，以单价为准。若单价有明显的小数点错位，应以总价为准，并修改单价。</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调整后的报价经投标人确认后产生约束力，投标人不接受修正价格的，其投标将被否决。</w:t>
      </w:r>
    </w:p>
    <w:p>
      <w:pPr>
        <w:topLinePunct/>
        <w:spacing w:line="360" w:lineRule="auto"/>
        <w:ind w:firstLine="480" w:firstLineChars="200"/>
        <w:contextualSpacing/>
        <w:rPr>
          <w:rFonts w:ascii="宋体" w:hAnsi="宋体" w:cs="宋体"/>
          <w:sz w:val="24"/>
          <w:szCs w:val="24"/>
        </w:rPr>
      </w:pPr>
      <w:bookmarkStart w:id="74" w:name="OLE_LINK21"/>
      <w:r>
        <w:rPr>
          <w:rFonts w:hint="eastAsia" w:ascii="宋体" w:hAnsi="宋体" w:cs="宋体"/>
          <w:sz w:val="24"/>
          <w:szCs w:val="24"/>
        </w:rPr>
        <w:t>3.2.5规费和税金应按规定费（税）率足额计取，即费（税）率不可竞争。规费、税金、安全文明施工措施费计入投标总报价，并在投标函、投标函附录中单列，不参与商务标评审。</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3.2.6 “安全文明施工措施费”是不可竞争费，即费率不可竞争；投标人编制投标报价时，应按省级主管部门规定的计价标准计取。</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投标人编制投标报价时，同一投标文件综合工日应前后保持一致。</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不按照以上要求编制投标报价的，视为违反《河南省建设工程工程量清单招标评标办法》之规定，按废标处理。</w:t>
      </w:r>
      <w:bookmarkEnd w:id="74"/>
    </w:p>
    <w:p>
      <w:pPr>
        <w:topLinePunct/>
        <w:spacing w:line="360" w:lineRule="auto"/>
        <w:ind w:firstLine="482" w:firstLineChars="200"/>
        <w:contextualSpacing/>
        <w:rPr>
          <w:rFonts w:ascii="宋体" w:hAnsi="宋体" w:cs="宋体"/>
          <w:b/>
          <w:sz w:val="24"/>
          <w:szCs w:val="24"/>
        </w:rPr>
      </w:pPr>
      <w:r>
        <w:rPr>
          <w:rFonts w:hint="eastAsia" w:ascii="宋体" w:hAnsi="宋体" w:cs="宋体"/>
          <w:b/>
          <w:sz w:val="24"/>
          <w:szCs w:val="24"/>
        </w:rPr>
        <w:t>3.3 投标有效期</w:t>
      </w:r>
      <w:bookmarkEnd w:id="69"/>
      <w:bookmarkEnd w:id="70"/>
      <w:bookmarkEnd w:id="71"/>
      <w:bookmarkEnd w:id="72"/>
      <w:bookmarkEnd w:id="73"/>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 xml:space="preserve">  3.3.1 在投标人须知前附表规定的投标有效期内，投标人不得要求撤销或修改其投标文件。</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 xml:space="preserve">  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firstLine="482" w:firstLineChars="200"/>
        <w:rPr>
          <w:rFonts w:ascii="宋体" w:hAnsi="宋体" w:cs="宋体"/>
          <w:b/>
          <w:sz w:val="24"/>
          <w:szCs w:val="24"/>
        </w:rPr>
      </w:pPr>
      <w:bookmarkStart w:id="75" w:name="_Toc152042326"/>
      <w:bookmarkStart w:id="76" w:name="_Toc152045550"/>
      <w:bookmarkStart w:id="77" w:name="_Toc311013703"/>
      <w:bookmarkStart w:id="78" w:name="_Toc144974518"/>
      <w:bookmarkStart w:id="79" w:name="_Toc179632568"/>
      <w:r>
        <w:rPr>
          <w:rFonts w:hint="eastAsia" w:ascii="宋体" w:hAnsi="宋体" w:cs="宋体"/>
          <w:b/>
          <w:sz w:val="24"/>
          <w:szCs w:val="24"/>
        </w:rPr>
        <w:t xml:space="preserve">3.4 </w:t>
      </w:r>
      <w:bookmarkEnd w:id="75"/>
      <w:bookmarkEnd w:id="76"/>
      <w:bookmarkEnd w:id="77"/>
      <w:bookmarkEnd w:id="78"/>
      <w:bookmarkEnd w:id="79"/>
      <w:bookmarkStart w:id="80" w:name="_Toc152045552"/>
      <w:bookmarkStart w:id="81" w:name="_Toc144974520"/>
      <w:bookmarkStart w:id="82" w:name="_Toc152042328"/>
      <w:bookmarkStart w:id="83" w:name="_Toc311013704"/>
      <w:bookmarkStart w:id="84" w:name="_Toc179632570"/>
      <w:r>
        <w:rPr>
          <w:rFonts w:hint="eastAsia" w:ascii="宋体" w:hAnsi="宋体" w:cs="宋体"/>
          <w:b/>
          <w:sz w:val="24"/>
          <w:szCs w:val="24"/>
        </w:rPr>
        <w:t>投标担保</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1、投标保证金递交截止时间及金额见投标人须知前附表。</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2、投标保证金缴纳方式：银行转账、银行电汇（均需从投标人的基本账户汇出），不接受以现金方式缴纳的投标保证金。凡以现金方式缴纳投标保证金而影响其投标结果的，由投标人自行负责。</w:t>
      </w:r>
    </w:p>
    <w:p>
      <w:pPr>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2.1 投标人网上报名后，登录http://ggzy.xuchang.gov.cn:8088/ggzy/系统，依次点击“会员向导”→“参与投标”→“费用缴纳说明”→“担保缴纳说明单”，获取缴费说明单，根据每个标段的缴纳说明单在缴纳截止时间前缴纳；</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2.2 成功缴纳后重新登录前述系统，依次点击“会员向导”→“参与投标”→“担保绑定”→“绑定”进行投标保证金绑定。</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2.3 投标人要严格按照“担保缴纳说明单”内容缴纳、成功绑定投标保证金。未绑定标段的投标保证金，视为未按时交纳。并将缴纳凭证“长葛市公共资源交易中心担保缴纳回执”附于投标文件中，否则视为未按规定提交投标担保。</w:t>
      </w:r>
    </w:p>
    <w:p>
      <w:pPr>
        <w:tabs>
          <w:tab w:val="left" w:pos="7095"/>
        </w:tabs>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担保。保函格式按住建部【建市（2021）11号文】附件1。</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投标人于开标结束后30分钟内将银行保函扫描件发至</w:t>
      </w:r>
      <w:r>
        <w:rPr>
          <w:rFonts w:hint="eastAsia" w:ascii="宋体" w:hAnsi="宋体" w:cs="宋体"/>
          <w:b/>
          <w:bCs/>
          <w:sz w:val="24"/>
          <w:szCs w:val="24"/>
          <w:lang w:val="en-US" w:eastAsia="zh-CN"/>
        </w:rPr>
        <w:t xml:space="preserve">239215882 </w:t>
      </w:r>
      <w:r>
        <w:rPr>
          <w:rFonts w:hint="eastAsia" w:ascii="宋体" w:hAnsi="宋体" w:cs="宋体"/>
          <w:b/>
          <w:bCs/>
          <w:sz w:val="24"/>
          <w:szCs w:val="24"/>
          <w:lang w:eastAsia="zh-CN"/>
        </w:rPr>
        <w:t>@qq.com</w:t>
      </w:r>
      <w:r>
        <w:rPr>
          <w:rFonts w:hint="eastAsia" w:ascii="宋体" w:hAnsi="宋体" w:cs="宋体"/>
          <w:b/>
          <w:bCs/>
          <w:sz w:val="24"/>
          <w:szCs w:val="24"/>
        </w:rPr>
        <w:t>m邮箱。</w:t>
      </w:r>
    </w:p>
    <w:p>
      <w:pPr>
        <w:spacing w:line="460" w:lineRule="exact"/>
        <w:ind w:firstLine="480" w:firstLineChars="200"/>
        <w:rPr>
          <w:rStyle w:val="19"/>
          <w:rFonts w:ascii="宋体" w:hAnsi="宋体" w:cs="宋体"/>
          <w:sz w:val="24"/>
        </w:rPr>
      </w:pPr>
      <w:r>
        <w:rPr>
          <w:rStyle w:val="19"/>
          <w:rFonts w:hint="eastAsia" w:ascii="宋体" w:hAnsi="宋体" w:cs="宋体"/>
          <w:sz w:val="24"/>
        </w:rPr>
        <w:t xml:space="preserve"> 投标人如需使用电子保函，可以登录http://ggzy.xuchang.gov.cn:8088/ggzy/系统，先在组件下载栏目参考“许昌公共资源保函办理操作手册。”</w:t>
      </w:r>
    </w:p>
    <w:p>
      <w:pPr>
        <w:spacing w:line="360" w:lineRule="auto"/>
        <w:ind w:firstLine="480" w:firstLineChars="200"/>
      </w:pPr>
      <w:r>
        <w:rPr>
          <w:rStyle w:val="19"/>
          <w:rFonts w:hint="eastAsia" w:ascii="宋体" w:hAnsi="宋体" w:cs="宋体"/>
          <w:sz w:val="24"/>
        </w:rPr>
        <w:t>投标人电子保函办理步骤：依次点击“会员向导”→“参与投标”,可以直接在“保证金绑定”→“保函办理”，系统会跳转到电子保函办理页面，按照操作流程办理即可。保函开具后，可在“保证金绑定”→“保函查询”功能中查看绑定状态，并在电子保函办理页面打印保函回执。投标人按照所投项目及标段将缴纳凭证“长葛市公共资源交易中心保证金缴纳回执”附于投标文件中。</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2.4 每个投标人每个项目每个标段只有唯一缴纳账号，切勿重复缴纳或错误缴纳。</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3、未按上述规定操作引起的无效投标，由投标人自行负责。</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4、汇款凭证无须备注项目编号和项目名称。</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5、出现以下情形造成的投标保证金无效，由投标人自行负责。</w:t>
      </w:r>
    </w:p>
    <w:p>
      <w:pPr>
        <w:spacing w:line="360" w:lineRule="auto"/>
        <w:ind w:firstLine="480" w:firstLineChars="200"/>
        <w:rPr>
          <w:rFonts w:ascii="宋体" w:hAnsi="宋体" w:cs="宋体"/>
          <w:sz w:val="24"/>
          <w:szCs w:val="24"/>
        </w:rPr>
      </w:pPr>
      <w:r>
        <w:rPr>
          <w:rFonts w:hint="eastAsia" w:ascii="宋体" w:hAnsi="宋体" w:cs="宋体"/>
          <w:sz w:val="24"/>
          <w:szCs w:val="24"/>
        </w:rPr>
        <w:t>(1)投标保证金未从投标人的基本账户转出；</w:t>
      </w:r>
    </w:p>
    <w:p>
      <w:pPr>
        <w:spacing w:line="360" w:lineRule="auto"/>
        <w:ind w:firstLine="480" w:firstLineChars="200"/>
        <w:rPr>
          <w:rFonts w:ascii="宋体" w:hAnsi="宋体" w:cs="宋体"/>
          <w:sz w:val="24"/>
          <w:szCs w:val="24"/>
        </w:rPr>
      </w:pPr>
      <w:r>
        <w:rPr>
          <w:rFonts w:hint="eastAsia" w:ascii="宋体" w:hAnsi="宋体" w:cs="宋体"/>
          <w:sz w:val="24"/>
          <w:szCs w:val="24"/>
        </w:rPr>
        <w:t>(2)投标保证金未按照招标文件划分的标段转账。</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6、《保证金缴纳绑定操作指南》获取方法：</w:t>
      </w:r>
    </w:p>
    <w:p>
      <w:pPr>
        <w:spacing w:line="360" w:lineRule="auto"/>
        <w:ind w:firstLine="480" w:firstLineChars="200"/>
        <w:rPr>
          <w:rFonts w:ascii="宋体" w:hAnsi="宋体" w:cs="宋体"/>
          <w:sz w:val="24"/>
          <w:szCs w:val="24"/>
        </w:rPr>
      </w:pPr>
      <w:r>
        <w:rPr>
          <w:rFonts w:hint="eastAsia" w:ascii="宋体" w:hAnsi="宋体" w:cs="宋体"/>
          <w:sz w:val="24"/>
          <w:szCs w:val="24"/>
        </w:rPr>
        <w:t>登录《全国公共资源交易平台（河南省·许昌市）》系统-组件下载-《保证金缴纳绑定操作指南》。</w:t>
      </w:r>
    </w:p>
    <w:p>
      <w:pPr>
        <w:spacing w:line="360" w:lineRule="auto"/>
        <w:ind w:firstLine="480" w:firstLineChars="200"/>
        <w:rPr>
          <w:rFonts w:ascii="宋体" w:hAnsi="宋体" w:cs="宋体"/>
          <w:sz w:val="24"/>
          <w:szCs w:val="24"/>
        </w:rPr>
      </w:pPr>
      <w:r>
        <w:rPr>
          <w:rFonts w:hint="eastAsia" w:ascii="宋体" w:hAnsi="宋体" w:cs="宋体"/>
          <w:sz w:val="24"/>
          <w:szCs w:val="24"/>
        </w:rPr>
        <w:t>保证金缴纳绑定问题咨询电话:0374-2961598</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7、基本户备案</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7.1 自文件发布之日起，投标人需进行基本户备案，已备案的基本户开户银行、账户发生变化的，须在投标保证金缴纳前办理变更手续。</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7.2 基本户备案流程：</w:t>
      </w:r>
    </w:p>
    <w:p>
      <w:pPr>
        <w:spacing w:line="360" w:lineRule="auto"/>
        <w:ind w:firstLine="480" w:firstLineChars="200"/>
        <w:rPr>
          <w:rFonts w:ascii="宋体" w:hAnsi="宋体" w:cs="宋体"/>
          <w:sz w:val="24"/>
          <w:szCs w:val="24"/>
        </w:rPr>
      </w:pPr>
      <w:r>
        <w:rPr>
          <w:rFonts w:hint="eastAsia" w:ascii="宋体" w:hAnsi="宋体" w:cs="宋体"/>
          <w:sz w:val="24"/>
          <w:szCs w:val="24"/>
        </w:rPr>
        <w:t>工程建设项目的投标人登录注册网址进行系统用户注册（http://ggzy.xuchang.gov.cn:8088/ggzy/），在注册流程中“银行账户”环节，增加“账户类别-基本账户”，填写投标人基本账户信息，扫描上传基本户开户许可证（两者信息必须相符），保存备案信息，提交并绑定CA后可缴纳、绑定投标保证金。</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7.3 因投标人的原因无法及时退还投标保证金、滞留三年以上的，投标保证金上缴同级国库。</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8、投标保证金的退还：</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8.1 中标候选人公示期满后没有质疑或投诉的，退还非中标候选人投标保证金及银行同期存款利息；在书面合同签订后5日内向中标人（携带其中标通知书原件和网页版合同公告，中标候选人退还投标保证金时无需再提交纸质合同，以合同公告为准。如因合同未及时公告，中心无法在合同签订后5日内退还投标保证金）和其他中标候选人退还投标保证金及银行同期存款利息。</w:t>
      </w:r>
    </w:p>
    <w:p>
      <w:pPr>
        <w:spacing w:line="240" w:lineRule="auto"/>
        <w:ind w:firstLine="480" w:firstLineChars="200"/>
        <w:rPr>
          <w:rFonts w:ascii="宋体" w:hAnsi="宋体" w:cs="宋体"/>
          <w:color w:val="auto"/>
          <w:sz w:val="24"/>
          <w:szCs w:val="24"/>
        </w:rPr>
      </w:pPr>
      <w:r>
        <w:rPr>
          <w:rFonts w:hint="eastAsia" w:ascii="宋体" w:hAnsi="宋体" w:cs="宋体"/>
          <w:color w:val="auto"/>
          <w:sz w:val="24"/>
          <w:szCs w:val="24"/>
        </w:rPr>
        <w:t>电话：0374</w:t>
      </w:r>
      <w:r>
        <w:rPr>
          <w:rFonts w:hint="eastAsia" w:ascii="宋体" w:hAnsi="宋体" w:cs="宋体"/>
          <w:color w:val="auto"/>
          <w:sz w:val="24"/>
          <w:szCs w:val="24"/>
          <w:lang w:val="en-US" w:eastAsia="zh-CN"/>
        </w:rPr>
        <w:t>-</w:t>
      </w:r>
      <w:r>
        <w:rPr>
          <w:rFonts w:hint="eastAsia" w:ascii="宋体" w:hAnsi="宋体" w:cs="宋体"/>
          <w:color w:val="auto"/>
          <w:sz w:val="24"/>
          <w:szCs w:val="24"/>
        </w:rPr>
        <w:t>6189526</w:t>
      </w:r>
    </w:p>
    <w:p>
      <w:pPr>
        <w:spacing w:line="240" w:lineRule="auto"/>
        <w:ind w:firstLine="480" w:firstLineChars="200"/>
        <w:rPr>
          <w:rFonts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8.2 项目废标或招标人终止招标的，在此后5个工作日内退还投标保证金及银行同期活期存利息。</w:t>
      </w:r>
    </w:p>
    <w:p>
      <w:pPr>
        <w:spacing w:line="240" w:lineRule="auto"/>
        <w:ind w:firstLine="480" w:firstLineChars="200"/>
        <w:rPr>
          <w:rFonts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8.3 投标活动中出现质疑、投诉的，中标候选人、质疑人和被质疑人、投诉人和被投诉人的投标保证金暂停退还。</w:t>
      </w:r>
    </w:p>
    <w:p>
      <w:pPr>
        <w:spacing w:line="240" w:lineRule="auto"/>
        <w:ind w:firstLine="480" w:firstLineChars="200"/>
        <w:rPr>
          <w:rFonts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8.4 相关投标人有违法违规行为的项目，其投标保证金暂不退还，待行政监督部门对相关情况处置后，按照有关规定办理。</w:t>
      </w:r>
    </w:p>
    <w:p>
      <w:pPr>
        <w:spacing w:line="240" w:lineRule="auto"/>
        <w:ind w:firstLine="480" w:firstLineChars="200"/>
        <w:rPr>
          <w:rFonts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8.5 因投标人的原因无法及时退还投标（竞买）保证金、滞留三年以上的，投标（竞买）保证金上缴同级国库。</w:t>
      </w:r>
    </w:p>
    <w:p>
      <w:pPr>
        <w:spacing w:line="240" w:lineRule="auto"/>
        <w:ind w:firstLine="480" w:firstLineChars="200"/>
        <w:rPr>
          <w:rFonts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8.6退还投标保证金，除另有规定外，一般以转账方式一次性退还至投标保证金的原提交账户。</w:t>
      </w:r>
    </w:p>
    <w:p>
      <w:pPr>
        <w:spacing w:line="240" w:lineRule="auto"/>
        <w:ind w:firstLine="480" w:firstLineChars="200"/>
        <w:rPr>
          <w:rFonts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9、特殊情况处理</w:t>
      </w:r>
    </w:p>
    <w:p>
      <w:pPr>
        <w:spacing w:line="240" w:lineRule="auto"/>
        <w:ind w:firstLine="480" w:firstLineChars="200"/>
        <w:rPr>
          <w:rFonts w:ascii="宋体" w:hAnsi="宋体" w:cs="宋体"/>
          <w:sz w:val="24"/>
          <w:szCs w:val="24"/>
        </w:rPr>
      </w:pPr>
      <w:r>
        <w:rPr>
          <w:rFonts w:hint="eastAsia" w:ascii="宋体" w:hAnsi="宋体" w:cs="宋体"/>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405室）。</w:t>
      </w:r>
    </w:p>
    <w:p>
      <w:pPr>
        <w:spacing w:line="240" w:lineRule="auto"/>
        <w:ind w:firstLine="480" w:firstLineChars="200"/>
        <w:rPr>
          <w:rFonts w:ascii="宋体" w:hAnsi="宋体" w:cs="宋体"/>
          <w:sz w:val="24"/>
          <w:szCs w:val="24"/>
        </w:rPr>
      </w:pPr>
      <w:r>
        <w:rPr>
          <w:rFonts w:hint="eastAsia" w:ascii="宋体" w:hAnsi="宋体" w:cs="宋体"/>
          <w:sz w:val="24"/>
          <w:szCs w:val="24"/>
        </w:rPr>
        <w:t>电话：0374-6189133</w:t>
      </w:r>
    </w:p>
    <w:p>
      <w:pPr>
        <w:spacing w:line="240" w:lineRule="auto"/>
        <w:ind w:firstLine="480" w:firstLineChars="200"/>
        <w:rPr>
          <w:rFonts w:ascii="宋体" w:hAnsi="宋体" w:cs="宋体"/>
          <w:b/>
          <w:sz w:val="24"/>
          <w:szCs w:val="24"/>
        </w:rPr>
      </w:pPr>
      <w:r>
        <w:rPr>
          <w:rFonts w:hint="eastAsia" w:ascii="宋体" w:hAnsi="宋体" w:cs="宋体"/>
          <w:sz w:val="24"/>
          <w:szCs w:val="24"/>
          <w:lang w:val="en-US" w:eastAsia="zh-CN"/>
        </w:rPr>
        <w:t>3.4.</w:t>
      </w:r>
      <w:r>
        <w:rPr>
          <w:rFonts w:hint="eastAsia" w:ascii="宋体" w:hAnsi="宋体" w:cs="宋体"/>
          <w:b/>
          <w:sz w:val="24"/>
          <w:szCs w:val="24"/>
        </w:rPr>
        <w:t>10、投标人有下列情形之一的，投标保证金不予退还：</w:t>
      </w:r>
    </w:p>
    <w:p>
      <w:pPr>
        <w:spacing w:line="240" w:lineRule="auto"/>
        <w:ind w:firstLine="480" w:firstLineChars="200"/>
        <w:rPr>
          <w:rFonts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10.1 中标人无正当理由不与招标人订立合同，在签订合同时向招标人提出附加条件，或者不按照招标文件要求提交履约担保的，取消其中标资格，投标保证金不予退还。</w:t>
      </w:r>
    </w:p>
    <w:p>
      <w:pPr>
        <w:spacing w:line="240" w:lineRule="auto"/>
        <w:ind w:firstLine="480" w:firstLineChars="200"/>
        <w:rPr>
          <w:rFonts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10.2 投标人有违法违规行为，其投标保证金暂不退还，待行政监督部门对相关情况处置后，按照有关规定办理。</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10.3 凡投标人投标保证金交纳至同一标段相同子账号的，保证金暂不予退还对涉嫌串通投标等违规行为的，移交有关部门进行查处。经调查核实后，按有关规定处理。不予退还的保证金上缴国库。</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10.4 相关法律、法规规定不予退还的其它情形。</w:t>
      </w:r>
    </w:p>
    <w:p>
      <w:pPr>
        <w:topLinePunct/>
        <w:spacing w:line="360" w:lineRule="auto"/>
        <w:ind w:firstLine="482" w:firstLineChars="200"/>
        <w:contextualSpacing/>
        <w:rPr>
          <w:rFonts w:ascii="宋体" w:hAnsi="宋体" w:cs="宋体"/>
          <w:b/>
          <w:sz w:val="24"/>
          <w:szCs w:val="24"/>
        </w:rPr>
      </w:pPr>
      <w:r>
        <w:rPr>
          <w:rFonts w:hint="eastAsia" w:ascii="宋体" w:hAnsi="宋体" w:cs="宋体"/>
          <w:b/>
          <w:sz w:val="24"/>
          <w:szCs w:val="24"/>
        </w:rPr>
        <w:t>3.5资格审查资料</w:t>
      </w:r>
      <w:bookmarkEnd w:id="80"/>
      <w:bookmarkEnd w:id="81"/>
      <w:bookmarkEnd w:id="82"/>
      <w:bookmarkEnd w:id="83"/>
      <w:bookmarkEnd w:id="84"/>
      <w:bookmarkStart w:id="85" w:name="_Toc152042329"/>
      <w:bookmarkStart w:id="86" w:name="_Toc179632571"/>
      <w:bookmarkStart w:id="87" w:name="_Toc144974521"/>
      <w:bookmarkStart w:id="88" w:name="_Toc152045553"/>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3.5.1 “投标人基本情况表”应附投标人营业执照副本、安全生产许可证、资质证书副本等材料的扫描件。</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3.5.2 “近年财务状况表”应附有效的经会计师事务所或审计机构审计的财务会计报表，包括资产负债表、现金流量表、利润表和所有者权益变动表及其附注的扫描件，具体年份要求见投标人须知前附表。</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3.5.3 “近年完成的类似项目情况表”应附法定媒介中标（成交）公示网页截图、合同、中标通知书（或竣工备案表）。具体年份要求见投标人须知前附表。每张表格只填写一个项目，并标明序号。</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3.5.4“正在施工和新承接的项目情况表”应附法定媒介中标（成交）公示网页截图、合同、中标通知书。每张表格只填写一个项目，并标明序号。</w:t>
      </w:r>
    </w:p>
    <w:p>
      <w:pPr>
        <w:topLinePunct/>
        <w:spacing w:line="360" w:lineRule="auto"/>
        <w:ind w:firstLine="480" w:firstLineChars="200"/>
        <w:contextualSpacing/>
        <w:rPr>
          <w:rFonts w:ascii="宋体" w:hAnsi="宋体" w:cs="宋体"/>
          <w:sz w:val="24"/>
          <w:szCs w:val="24"/>
        </w:rPr>
      </w:pPr>
      <w:r>
        <w:rPr>
          <w:rFonts w:hint="eastAsia" w:ascii="宋体" w:hAnsi="宋体" w:cs="宋体"/>
          <w:sz w:val="24"/>
          <w:szCs w:val="24"/>
        </w:rPr>
        <w:t>3.5.5“近年发生的诉讼及仲裁情况”应说明相关情况，并附法院或仲裁机构作出的判决、裁决等有关法律文件扫描件，具体年份要求见投标人须知前附表。</w:t>
      </w:r>
    </w:p>
    <w:bookmarkEnd w:id="85"/>
    <w:bookmarkEnd w:id="86"/>
    <w:bookmarkEnd w:id="87"/>
    <w:bookmarkEnd w:id="88"/>
    <w:p>
      <w:pPr>
        <w:topLinePunct/>
        <w:spacing w:line="360" w:lineRule="auto"/>
        <w:ind w:firstLine="482" w:firstLineChars="200"/>
        <w:contextualSpacing/>
        <w:rPr>
          <w:rFonts w:ascii="宋体" w:hAnsi="宋体" w:cs="宋体"/>
          <w:b/>
          <w:bCs/>
          <w:sz w:val="24"/>
          <w:szCs w:val="24"/>
        </w:rPr>
      </w:pPr>
      <w:bookmarkStart w:id="89" w:name="_Hlk534616169"/>
      <w:r>
        <w:rPr>
          <w:rFonts w:hint="eastAsia" w:ascii="宋体" w:hAnsi="宋体" w:cs="宋体"/>
          <w:b/>
          <w:bCs/>
          <w:sz w:val="24"/>
          <w:szCs w:val="24"/>
        </w:rPr>
        <w:t>3.5.6被列入失信被执行人名单的投标人，其投标将被拒绝。</w:t>
      </w:r>
    </w:p>
    <w:p>
      <w:pPr>
        <w:topLinePunct/>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招标项目开标结束后、评标开始前，招标人（或招标代理机构）对投标人信用记录进行现场查询，并将查询结果随项目开标资料一并送入评标室，由专家进行评判。</w:t>
      </w:r>
      <w:r>
        <w:rPr>
          <w:rFonts w:hint="eastAsia" w:ascii="宋体" w:hAnsi="宋体" w:cs="宋体"/>
          <w:b/>
          <w:bCs/>
          <w:sz w:val="24"/>
        </w:rPr>
        <w:t>投标人无须提供信用记录查询结果网页截图。</w:t>
      </w:r>
    </w:p>
    <w:p>
      <w:pPr>
        <w:topLinePunct/>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信用信息查询记录和证据留存具体方式：经评标委员会确认的查询结果网页截图作为查询记录和证据，与其他文件一并存档。</w:t>
      </w:r>
      <w:bookmarkEnd w:id="89"/>
    </w:p>
    <w:p>
      <w:pPr>
        <w:topLinePunct/>
        <w:spacing w:line="360" w:lineRule="auto"/>
        <w:ind w:firstLine="480" w:firstLineChars="200"/>
        <w:contextualSpacing/>
        <w:rPr>
          <w:rFonts w:ascii="宋体" w:hAnsi="宋体" w:cs="宋体"/>
          <w:sz w:val="24"/>
          <w:szCs w:val="24"/>
        </w:rPr>
      </w:pPr>
      <w:bookmarkStart w:id="90" w:name="_Toc311013705"/>
      <w:bookmarkStart w:id="91" w:name="_Toc152042330"/>
      <w:bookmarkStart w:id="92" w:name="_Toc152045554"/>
      <w:bookmarkStart w:id="93" w:name="_Toc311013706"/>
      <w:bookmarkStart w:id="94" w:name="_Toc144974522"/>
      <w:bookmarkStart w:id="95" w:name="_Toc179632572"/>
      <w:r>
        <w:rPr>
          <w:rFonts w:hint="eastAsia" w:ascii="宋体" w:hAnsi="宋体" w:cs="宋体"/>
          <w:sz w:val="24"/>
          <w:szCs w:val="24"/>
        </w:rPr>
        <w:t>3.6 备选投标方案（不接受）</w:t>
      </w:r>
      <w:bookmarkEnd w:id="90"/>
    </w:p>
    <w:p>
      <w:pPr>
        <w:topLinePunct/>
        <w:spacing w:line="360" w:lineRule="auto"/>
        <w:ind w:firstLine="482" w:firstLineChars="200"/>
        <w:contextualSpacing/>
        <w:rPr>
          <w:rFonts w:ascii="宋体" w:hAnsi="宋体" w:cs="宋体"/>
          <w:b/>
          <w:sz w:val="24"/>
          <w:szCs w:val="24"/>
        </w:rPr>
      </w:pPr>
      <w:r>
        <w:rPr>
          <w:rFonts w:hint="eastAsia" w:ascii="宋体" w:hAnsi="宋体" w:cs="宋体"/>
          <w:b/>
          <w:sz w:val="24"/>
          <w:szCs w:val="24"/>
        </w:rPr>
        <w:t>3.7 投标文件的编制</w:t>
      </w:r>
      <w:bookmarkEnd w:id="91"/>
      <w:bookmarkEnd w:id="92"/>
      <w:bookmarkEnd w:id="93"/>
      <w:bookmarkEnd w:id="94"/>
      <w:bookmarkEnd w:id="95"/>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contextualSpacing/>
        <w:jc w:val="left"/>
        <w:outlineLvl w:val="0"/>
        <w:rPr>
          <w:rFonts w:ascii="宋体" w:hAnsi="宋体" w:cs="宋体"/>
          <w:sz w:val="24"/>
          <w:szCs w:val="24"/>
        </w:rPr>
      </w:pPr>
      <w:r>
        <w:rPr>
          <w:rFonts w:hint="eastAsia" w:ascii="宋体" w:hAnsi="宋体" w:cs="宋体"/>
          <w:sz w:val="24"/>
          <w:szCs w:val="24"/>
        </w:rPr>
        <w:t>3.7.2 投标文件应当对招标文件有关工期、投标有效期、质量要求、招标范围作出响应。</w:t>
      </w:r>
    </w:p>
    <w:p>
      <w:pPr>
        <w:tabs>
          <w:tab w:val="left" w:pos="7095"/>
        </w:tabs>
        <w:spacing w:line="360" w:lineRule="auto"/>
        <w:ind w:firstLine="480" w:firstLineChars="200"/>
        <w:contextualSpacing/>
        <w:rPr>
          <w:rFonts w:ascii="宋体" w:hAnsi="宋体" w:cs="宋体"/>
          <w:sz w:val="24"/>
          <w:szCs w:val="24"/>
        </w:rPr>
      </w:pPr>
      <w:r>
        <w:rPr>
          <w:rFonts w:hint="eastAsia" w:ascii="宋体" w:hAnsi="宋体" w:cs="宋体"/>
          <w:sz w:val="24"/>
          <w:szCs w:val="24"/>
        </w:rPr>
        <w:t>3.7.3 投标人编制的投标文件应分为商务标、综合（信用）标和技术标。</w:t>
      </w:r>
    </w:p>
    <w:p>
      <w:pPr>
        <w:tabs>
          <w:tab w:val="left" w:pos="7095"/>
        </w:tabs>
        <w:spacing w:line="360" w:lineRule="auto"/>
        <w:ind w:firstLine="480" w:firstLineChars="200"/>
        <w:contextualSpacing/>
        <w:rPr>
          <w:rFonts w:ascii="宋体" w:hAnsi="宋体" w:cs="宋体"/>
          <w:sz w:val="24"/>
          <w:szCs w:val="24"/>
        </w:rPr>
      </w:pPr>
      <w:r>
        <w:rPr>
          <w:rFonts w:hint="eastAsia" w:ascii="宋体" w:hAnsi="宋体" w:cs="宋体"/>
          <w:sz w:val="24"/>
          <w:szCs w:val="24"/>
        </w:rPr>
        <w:t>3.7.4 投标人登录许昌公共资源交易系统下载“许昌投标文件制作系统SEARUN V1.1”，按招标文件要求制作电子投标文件。</w:t>
      </w:r>
    </w:p>
    <w:p>
      <w:pPr>
        <w:tabs>
          <w:tab w:val="left" w:pos="7095"/>
        </w:tabs>
        <w:spacing w:line="360" w:lineRule="auto"/>
        <w:ind w:firstLine="480" w:firstLineChars="200"/>
        <w:contextualSpacing/>
        <w:rPr>
          <w:rFonts w:ascii="宋体" w:hAnsi="宋体" w:cs="宋体"/>
          <w:b/>
          <w:sz w:val="24"/>
          <w:szCs w:val="24"/>
        </w:rPr>
      </w:pPr>
      <w:r>
        <w:rPr>
          <w:rFonts w:hint="eastAsia" w:ascii="宋体" w:hAnsi="宋体" w:cs="宋体"/>
          <w:sz w:val="24"/>
          <w:szCs w:val="24"/>
        </w:rPr>
        <w:t>3.7.5当生成的电子投标文件投标报价大小写不一致时，以大写为准。</w:t>
      </w:r>
    </w:p>
    <w:p>
      <w:pPr>
        <w:autoSpaceDE w:val="0"/>
        <w:autoSpaceDN w:val="0"/>
        <w:spacing w:line="360" w:lineRule="auto"/>
        <w:ind w:firstLine="482" w:firstLineChars="200"/>
        <w:contextualSpacing/>
        <w:jc w:val="left"/>
        <w:outlineLvl w:val="0"/>
        <w:rPr>
          <w:rFonts w:ascii="宋体" w:hAnsi="宋体" w:cs="宋体"/>
          <w:b/>
          <w:sz w:val="24"/>
          <w:szCs w:val="24"/>
        </w:rPr>
      </w:pPr>
      <w:r>
        <w:rPr>
          <w:rFonts w:hint="eastAsia" w:ascii="宋体" w:hAnsi="宋体" w:cs="宋体"/>
          <w:b/>
          <w:sz w:val="24"/>
          <w:szCs w:val="24"/>
        </w:rPr>
        <w:t>3.7.6 商务标投标文件制作注意事项：</w:t>
      </w:r>
    </w:p>
    <w:p>
      <w:pPr>
        <w:spacing w:line="360" w:lineRule="auto"/>
        <w:contextualSpacing/>
        <w:rPr>
          <w:rFonts w:ascii="宋体" w:hAnsi="宋体" w:cs="宋体"/>
          <w:sz w:val="24"/>
          <w:szCs w:val="24"/>
        </w:rPr>
      </w:pPr>
      <w:r>
        <w:rPr>
          <w:rFonts w:hint="eastAsia" w:ascii="宋体" w:hAnsi="宋体" w:cs="宋体"/>
          <w:sz w:val="24"/>
          <w:szCs w:val="24"/>
        </w:rPr>
        <w:t xml:space="preserve">  3.7.6.1 投标人登录【全国公共资源交易平台（河南省·许昌市）】公共资源交易系统下载“许昌投标文件制作系统SEARUN V1.1”和操作手册（工程项目），按招标文件要求制作商务标投标文件。</w:t>
      </w:r>
    </w:p>
    <w:p>
      <w:pPr>
        <w:spacing w:line="360" w:lineRule="auto"/>
        <w:ind w:firstLine="360" w:firstLineChars="150"/>
        <w:contextualSpacing/>
        <w:rPr>
          <w:rFonts w:ascii="宋体" w:hAnsi="宋体" w:cs="宋体"/>
          <w:sz w:val="24"/>
          <w:szCs w:val="24"/>
        </w:rPr>
      </w:pPr>
      <w:r>
        <w:rPr>
          <w:rFonts w:hint="eastAsia" w:ascii="宋体" w:hAnsi="宋体" w:cs="宋体"/>
          <w:sz w:val="24"/>
          <w:szCs w:val="24"/>
        </w:rPr>
        <w:t>3.7.6.2 商务标投标文件制作技术咨询：0374-2961598。</w:t>
      </w:r>
    </w:p>
    <w:p>
      <w:pPr>
        <w:pStyle w:val="3"/>
        <w:topLinePunct/>
        <w:spacing w:before="0" w:after="0" w:line="360" w:lineRule="auto"/>
        <w:contextualSpacing/>
        <w:rPr>
          <w:rFonts w:ascii="宋体" w:hAnsi="宋体" w:eastAsia="宋体" w:cs="宋体"/>
          <w:sz w:val="24"/>
          <w:szCs w:val="24"/>
        </w:rPr>
      </w:pPr>
      <w:r>
        <w:rPr>
          <w:rFonts w:hint="eastAsia" w:ascii="宋体" w:hAnsi="宋体" w:eastAsia="宋体" w:cs="宋体"/>
          <w:sz w:val="24"/>
          <w:szCs w:val="24"/>
        </w:rPr>
        <w:t>4. 投标</w:t>
      </w:r>
      <w:bookmarkEnd w:id="63"/>
    </w:p>
    <w:p>
      <w:pPr>
        <w:autoSpaceDE w:val="0"/>
        <w:autoSpaceDN w:val="0"/>
        <w:spacing w:line="360" w:lineRule="auto"/>
        <w:ind w:firstLine="472" w:firstLineChars="196"/>
        <w:contextualSpacing/>
        <w:jc w:val="left"/>
        <w:outlineLvl w:val="0"/>
        <w:rPr>
          <w:rFonts w:ascii="宋体" w:hAnsi="宋体" w:cs="宋体"/>
          <w:b/>
          <w:sz w:val="24"/>
          <w:szCs w:val="24"/>
        </w:rPr>
      </w:pPr>
      <w:bookmarkStart w:id="96" w:name="_Toc283559962"/>
      <w:bookmarkStart w:id="97" w:name="_Toc152045557"/>
      <w:bookmarkStart w:id="98" w:name="_Toc311013709"/>
      <w:bookmarkStart w:id="99" w:name="_Toc144974525"/>
      <w:bookmarkStart w:id="100" w:name="_Toc179632575"/>
      <w:bookmarkStart w:id="101" w:name="_Toc152042333"/>
      <w:bookmarkStart w:id="102" w:name="_Toc450029256"/>
      <w:r>
        <w:rPr>
          <w:rFonts w:hint="eastAsia" w:ascii="宋体" w:hAnsi="宋体" w:cs="宋体"/>
          <w:b/>
          <w:sz w:val="24"/>
          <w:szCs w:val="24"/>
        </w:rPr>
        <w:t>4.1</w:t>
      </w:r>
      <w:bookmarkEnd w:id="96"/>
      <w:r>
        <w:rPr>
          <w:rFonts w:hint="eastAsia" w:ascii="宋体" w:hAnsi="宋体" w:cs="宋体"/>
          <w:b/>
          <w:sz w:val="24"/>
          <w:szCs w:val="24"/>
        </w:rPr>
        <w:t>投标文件的提交</w:t>
      </w:r>
    </w:p>
    <w:p>
      <w:pPr>
        <w:autoSpaceDE w:val="0"/>
        <w:autoSpaceDN w:val="0"/>
        <w:spacing w:line="360" w:lineRule="auto"/>
        <w:ind w:firstLine="470" w:firstLineChars="196"/>
        <w:contextualSpacing/>
        <w:jc w:val="left"/>
        <w:outlineLvl w:val="0"/>
        <w:rPr>
          <w:rFonts w:ascii="宋体" w:hAnsi="宋体" w:cs="宋体"/>
          <w:sz w:val="24"/>
          <w:szCs w:val="24"/>
        </w:rPr>
      </w:pPr>
      <w:r>
        <w:rPr>
          <w:rFonts w:hint="eastAsia" w:ascii="宋体" w:hAnsi="宋体" w:cs="宋体"/>
          <w:sz w:val="24"/>
          <w:szCs w:val="24"/>
        </w:rPr>
        <w:t>4.1.1 投标人应在投标人须知前附表中规定的投标截止时间前成功上传电子投标文件。</w:t>
      </w:r>
    </w:p>
    <w:p>
      <w:pPr>
        <w:autoSpaceDE w:val="0"/>
        <w:autoSpaceDN w:val="0"/>
        <w:spacing w:line="360" w:lineRule="auto"/>
        <w:ind w:firstLine="470" w:firstLineChars="196"/>
        <w:contextualSpacing/>
        <w:jc w:val="left"/>
        <w:outlineLvl w:val="0"/>
        <w:rPr>
          <w:rFonts w:ascii="宋体" w:hAnsi="宋体" w:cs="宋体"/>
          <w:sz w:val="24"/>
          <w:szCs w:val="24"/>
        </w:rPr>
      </w:pPr>
      <w:r>
        <w:rPr>
          <w:rFonts w:hint="eastAsia" w:ascii="宋体" w:hAnsi="宋体" w:cs="宋体"/>
          <w:sz w:val="24"/>
          <w:szCs w:val="24"/>
        </w:rPr>
        <w:t>4.1.2 除投标人须知前附表另有规定外，投标人所提交的电子投标文件不予退还。</w:t>
      </w:r>
    </w:p>
    <w:p>
      <w:pPr>
        <w:autoSpaceDE w:val="0"/>
        <w:autoSpaceDN w:val="0"/>
        <w:spacing w:line="360" w:lineRule="auto"/>
        <w:ind w:firstLine="470" w:firstLineChars="196"/>
        <w:contextualSpacing/>
        <w:jc w:val="left"/>
        <w:outlineLvl w:val="0"/>
        <w:rPr>
          <w:rFonts w:ascii="宋体" w:hAnsi="宋体" w:cs="宋体"/>
          <w:sz w:val="24"/>
          <w:szCs w:val="24"/>
        </w:rPr>
      </w:pPr>
      <w:r>
        <w:rPr>
          <w:rFonts w:hint="eastAsia" w:ascii="宋体" w:hAnsi="宋体" w:cs="宋体"/>
          <w:sz w:val="24"/>
          <w:szCs w:val="24"/>
        </w:rPr>
        <w:t>4.1.3 逾期未成功上传的电子投标文件，招标人不予受理。</w:t>
      </w:r>
    </w:p>
    <w:p>
      <w:pPr>
        <w:autoSpaceDE w:val="0"/>
        <w:autoSpaceDN w:val="0"/>
        <w:spacing w:line="360" w:lineRule="auto"/>
        <w:ind w:firstLine="472" w:firstLineChars="196"/>
        <w:contextualSpacing/>
        <w:jc w:val="left"/>
        <w:outlineLvl w:val="0"/>
        <w:rPr>
          <w:rFonts w:ascii="宋体" w:hAnsi="宋体" w:cs="宋体"/>
          <w:b/>
          <w:sz w:val="24"/>
          <w:szCs w:val="24"/>
        </w:rPr>
      </w:pPr>
      <w:r>
        <w:rPr>
          <w:rFonts w:hint="eastAsia" w:ascii="宋体" w:hAnsi="宋体" w:cs="宋体"/>
          <w:b/>
          <w:sz w:val="24"/>
          <w:szCs w:val="24"/>
        </w:rPr>
        <w:t xml:space="preserve">4.2 </w:t>
      </w:r>
      <w:bookmarkEnd w:id="97"/>
      <w:bookmarkEnd w:id="98"/>
      <w:bookmarkEnd w:id="99"/>
      <w:bookmarkEnd w:id="100"/>
      <w:bookmarkEnd w:id="101"/>
      <w:r>
        <w:rPr>
          <w:rFonts w:hint="eastAsia" w:ascii="宋体" w:hAnsi="宋体" w:cs="宋体"/>
          <w:b/>
          <w:sz w:val="24"/>
          <w:szCs w:val="24"/>
        </w:rPr>
        <w:t>投标文件的修改与撤回</w:t>
      </w:r>
    </w:p>
    <w:bookmarkEnd w:id="102"/>
    <w:p>
      <w:pPr>
        <w:autoSpaceDE w:val="0"/>
        <w:autoSpaceDN w:val="0"/>
        <w:spacing w:line="360" w:lineRule="auto"/>
        <w:ind w:firstLine="470" w:firstLineChars="196"/>
        <w:contextualSpacing/>
        <w:jc w:val="left"/>
        <w:outlineLvl w:val="0"/>
        <w:rPr>
          <w:rFonts w:ascii="宋体" w:hAnsi="宋体" w:cs="宋体"/>
          <w:sz w:val="24"/>
          <w:szCs w:val="24"/>
        </w:rPr>
      </w:pPr>
      <w:bookmarkStart w:id="103" w:name="_Toc311013711"/>
      <w:bookmarkStart w:id="104" w:name="_Toc10603"/>
      <w:r>
        <w:rPr>
          <w:rFonts w:hint="eastAsia" w:ascii="宋体" w:hAnsi="宋体" w:cs="宋体"/>
          <w:sz w:val="24"/>
          <w:szCs w:val="24"/>
        </w:rPr>
        <w:t>4.2.1 在本章第2.2.2 项规定的投标截止时间前，投标人可以修改或撤回已提交的电子投标文件。</w:t>
      </w:r>
    </w:p>
    <w:p>
      <w:pPr>
        <w:autoSpaceDE w:val="0"/>
        <w:autoSpaceDN w:val="0"/>
        <w:spacing w:line="360" w:lineRule="auto"/>
        <w:ind w:firstLine="470" w:firstLineChars="196"/>
        <w:contextualSpacing/>
        <w:jc w:val="left"/>
        <w:outlineLvl w:val="0"/>
        <w:rPr>
          <w:rFonts w:ascii="宋体" w:hAnsi="宋体" w:cs="宋体"/>
          <w:sz w:val="24"/>
          <w:szCs w:val="24"/>
        </w:rPr>
      </w:pPr>
      <w:r>
        <w:rPr>
          <w:rFonts w:hint="eastAsia" w:ascii="宋体" w:hAnsi="宋体" w:cs="宋体"/>
          <w:sz w:val="24"/>
          <w:szCs w:val="24"/>
        </w:rPr>
        <w:t>4.2.2 修改的内容为投标文件的组成部分。修改的电子投标文件应按照本章第3条、第4条规定进行编制、标记和提交，并标明“修改”字样。</w:t>
      </w:r>
    </w:p>
    <w:p>
      <w:pPr>
        <w:autoSpaceDE w:val="0"/>
        <w:autoSpaceDN w:val="0"/>
        <w:spacing w:line="360" w:lineRule="auto"/>
        <w:ind w:firstLine="470" w:firstLineChars="196"/>
        <w:contextualSpacing/>
        <w:jc w:val="left"/>
        <w:outlineLvl w:val="0"/>
        <w:rPr>
          <w:rFonts w:ascii="宋体" w:hAnsi="宋体" w:cs="宋体"/>
          <w:sz w:val="24"/>
          <w:szCs w:val="24"/>
        </w:rPr>
      </w:pPr>
      <w:r>
        <w:rPr>
          <w:rFonts w:hint="eastAsia" w:ascii="宋体" w:hAnsi="宋体" w:cs="宋体"/>
          <w:sz w:val="24"/>
          <w:szCs w:val="24"/>
        </w:rPr>
        <w:t>4.2.3 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contextualSpacing/>
        <w:jc w:val="left"/>
        <w:rPr>
          <w:rFonts w:ascii="宋体" w:hAnsi="宋体" w:cs="宋体"/>
          <w:b/>
          <w:sz w:val="24"/>
          <w:szCs w:val="24"/>
        </w:rPr>
      </w:pPr>
      <w:r>
        <w:rPr>
          <w:rFonts w:hint="eastAsia" w:ascii="宋体" w:hAnsi="宋体" w:cs="宋体"/>
          <w:b/>
          <w:bCs/>
          <w:sz w:val="24"/>
          <w:szCs w:val="24"/>
        </w:rPr>
        <w:t>5. 开标</w:t>
      </w:r>
      <w:bookmarkEnd w:id="103"/>
      <w:bookmarkEnd w:id="104"/>
      <w:r>
        <w:rPr>
          <w:rFonts w:hint="eastAsia" w:ascii="宋体" w:hAnsi="宋体" w:cs="宋体"/>
          <w:b/>
          <w:sz w:val="24"/>
          <w:szCs w:val="24"/>
        </w:rPr>
        <w:t>、解密、唱标程序</w:t>
      </w:r>
    </w:p>
    <w:p>
      <w:pPr>
        <w:autoSpaceDE w:val="0"/>
        <w:autoSpaceDN w:val="0"/>
        <w:adjustRightInd w:val="0"/>
        <w:spacing w:line="360" w:lineRule="auto"/>
        <w:jc w:val="left"/>
        <w:outlineLvl w:val="0"/>
        <w:rPr>
          <w:rFonts w:ascii="宋体" w:hAnsi="宋体" w:cs="宋体"/>
          <w:b/>
          <w:color w:val="000000"/>
          <w:sz w:val="24"/>
        </w:rPr>
      </w:pPr>
      <w:bookmarkStart w:id="105" w:name="_Toc283559968"/>
      <w:bookmarkStart w:id="106" w:name="_Toc179632580"/>
      <w:bookmarkStart w:id="107" w:name="_Toc152042338"/>
      <w:bookmarkStart w:id="108" w:name="_Toc311013714"/>
      <w:bookmarkStart w:id="109" w:name="_Toc152045562"/>
      <w:bookmarkStart w:id="110" w:name="_Toc144974530"/>
      <w:bookmarkStart w:id="111" w:name="_Toc6454"/>
      <w:r>
        <w:rPr>
          <w:rFonts w:hint="eastAsia" w:ascii="宋体" w:hAnsi="宋体" w:cs="宋体"/>
          <w:b/>
          <w:color w:val="000000"/>
          <w:sz w:val="24"/>
        </w:rPr>
        <w:t>5.1 开标时间和地点</w:t>
      </w:r>
      <w:bookmarkEnd w:id="105"/>
    </w:p>
    <w:p>
      <w:pPr>
        <w:spacing w:line="360" w:lineRule="auto"/>
        <w:ind w:firstLine="480" w:firstLineChars="200"/>
        <w:rPr>
          <w:rFonts w:ascii="宋体" w:hAnsi="宋体" w:cs="宋体"/>
          <w:color w:val="000000"/>
          <w:sz w:val="24"/>
        </w:rPr>
      </w:pPr>
      <w:r>
        <w:rPr>
          <w:rFonts w:hint="eastAsia" w:ascii="宋体" w:hAnsi="宋体" w:cs="宋体"/>
          <w:color w:val="000000"/>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360" w:lineRule="auto"/>
        <w:jc w:val="left"/>
        <w:rPr>
          <w:rFonts w:ascii="宋体" w:hAnsi="宋体" w:cs="宋体"/>
          <w:b/>
          <w:color w:val="000000"/>
          <w:sz w:val="24"/>
        </w:rPr>
      </w:pPr>
      <w:r>
        <w:rPr>
          <w:rFonts w:hint="eastAsia" w:ascii="宋体" w:hAnsi="宋体" w:cs="宋体"/>
          <w:b/>
          <w:color w:val="000000"/>
          <w:sz w:val="24"/>
        </w:rPr>
        <w:t>5.2 开标程序</w:t>
      </w:r>
    </w:p>
    <w:p>
      <w:pPr>
        <w:spacing w:line="360" w:lineRule="auto"/>
        <w:ind w:firstLine="480" w:firstLineChars="200"/>
        <w:rPr>
          <w:rFonts w:ascii="宋体" w:hAnsi="宋体" w:cs="宋体"/>
          <w:sz w:val="24"/>
        </w:rPr>
      </w:pPr>
      <w:r>
        <w:rPr>
          <w:rFonts w:hint="eastAsia" w:ascii="宋体" w:hAnsi="宋体" w:cs="宋体"/>
          <w:sz w:val="24"/>
        </w:rPr>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ascii="宋体" w:hAnsi="宋体" w:cs="宋体"/>
          <w:sz w:val="24"/>
        </w:rPr>
      </w:pPr>
      <w:r>
        <w:rPr>
          <w:rFonts w:hint="eastAsia" w:ascii="宋体" w:hAnsi="宋体" w:cs="宋体"/>
          <w:sz w:val="24"/>
        </w:rPr>
        <w:t>（2）投标截止时间到达时，招标代理机构点击“开标”按钮，开标开始并进行解密，解密时限为120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ascii="宋体" w:hAnsi="宋体" w:cs="宋体"/>
          <w:sz w:val="24"/>
        </w:rPr>
      </w:pPr>
      <w:r>
        <w:rPr>
          <w:rFonts w:hint="eastAsia" w:ascii="宋体" w:hAnsi="宋体" w:cs="宋体"/>
          <w:sz w:val="24"/>
        </w:rPr>
        <w:t>（3）解密完成后，招标人（代理机构）点击“系数抽取”按钮进行系数抽取，系数抽取情况在“公告通知”处显示。</w:t>
      </w:r>
    </w:p>
    <w:p>
      <w:pPr>
        <w:spacing w:line="360" w:lineRule="auto"/>
        <w:ind w:firstLine="480" w:firstLineChars="200"/>
        <w:rPr>
          <w:rFonts w:ascii="宋体" w:hAnsi="宋体" w:cs="宋体"/>
          <w:sz w:val="24"/>
        </w:rPr>
      </w:pPr>
      <w:r>
        <w:rPr>
          <w:rFonts w:hint="eastAsia" w:ascii="宋体" w:hAnsi="宋体" w:cs="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ascii="宋体" w:hAnsi="宋体" w:cs="宋体"/>
          <w:sz w:val="24"/>
        </w:rPr>
      </w:pPr>
      <w:r>
        <w:rPr>
          <w:rFonts w:hint="eastAsia" w:ascii="宋体" w:hAnsi="宋体" w:cs="宋体"/>
          <w:sz w:val="24"/>
        </w:rPr>
        <w:t>（5）如无投标人提出异议，招标代理机构通过“文字互动”对话框通知各投标人进行电子签章。投标人应在《开标记录表》上进行电子签章，未进行电子签章的视为对开标结果无异议。</w:t>
      </w:r>
    </w:p>
    <w:p>
      <w:pPr>
        <w:pStyle w:val="6"/>
        <w:spacing w:line="360" w:lineRule="auto"/>
        <w:ind w:firstLine="480" w:firstLineChars="200"/>
        <w:jc w:val="both"/>
        <w:outlineLvl w:val="0"/>
        <w:rPr>
          <w:rFonts w:hAnsi="宋体"/>
          <w:color w:val="auto"/>
          <w:szCs w:val="22"/>
        </w:rPr>
      </w:pPr>
      <w:r>
        <w:rPr>
          <w:rFonts w:hint="eastAsia" w:hAnsi="宋体"/>
          <w:color w:val="auto"/>
          <w:szCs w:val="22"/>
        </w:rPr>
        <w:t>（6）招标人（代理机构）签章并上传《开标记录表》，不见面开标活动结束。</w:t>
      </w:r>
    </w:p>
    <w:p>
      <w:pPr>
        <w:spacing w:line="360" w:lineRule="auto"/>
        <w:contextualSpacing/>
        <w:outlineLvl w:val="1"/>
        <w:rPr>
          <w:rFonts w:ascii="宋体" w:hAnsi="宋体" w:cs="宋体"/>
          <w:b/>
          <w:bCs/>
          <w:sz w:val="24"/>
          <w:szCs w:val="24"/>
        </w:rPr>
      </w:pPr>
      <w:r>
        <w:rPr>
          <w:rFonts w:hint="eastAsia" w:ascii="宋体" w:hAnsi="宋体" w:cs="宋体"/>
          <w:b/>
          <w:bCs/>
          <w:sz w:val="24"/>
          <w:szCs w:val="24"/>
        </w:rPr>
        <w:t>6. 评标</w:t>
      </w:r>
      <w:bookmarkEnd w:id="106"/>
      <w:bookmarkEnd w:id="107"/>
      <w:bookmarkEnd w:id="108"/>
      <w:bookmarkEnd w:id="109"/>
      <w:bookmarkEnd w:id="110"/>
      <w:r>
        <w:rPr>
          <w:rFonts w:hint="eastAsia" w:ascii="宋体" w:hAnsi="宋体" w:cs="宋体"/>
          <w:b/>
          <w:bCs/>
          <w:sz w:val="24"/>
          <w:szCs w:val="24"/>
        </w:rPr>
        <w:t>委员会</w:t>
      </w:r>
      <w:bookmarkEnd w:id="111"/>
    </w:p>
    <w:p>
      <w:pPr>
        <w:spacing w:line="360" w:lineRule="auto"/>
        <w:contextualSpacing/>
        <w:rPr>
          <w:rFonts w:ascii="宋体" w:hAnsi="宋体" w:cs="宋体"/>
          <w:sz w:val="24"/>
          <w:szCs w:val="24"/>
        </w:rPr>
      </w:pPr>
      <w:bookmarkStart w:id="112" w:name="_Toc152042339"/>
      <w:bookmarkStart w:id="113" w:name="_Toc152045563"/>
      <w:bookmarkStart w:id="114" w:name="_Toc179632581"/>
      <w:bookmarkStart w:id="115" w:name="_Toc311013715"/>
      <w:bookmarkStart w:id="116" w:name="_Toc144974531"/>
      <w:r>
        <w:rPr>
          <w:rFonts w:hint="eastAsia" w:ascii="宋体" w:hAnsi="宋体" w:cs="宋体"/>
          <w:sz w:val="24"/>
          <w:szCs w:val="24"/>
        </w:rPr>
        <w:t>6.1 评标委员会</w:t>
      </w:r>
      <w:bookmarkEnd w:id="112"/>
      <w:bookmarkEnd w:id="113"/>
      <w:bookmarkEnd w:id="114"/>
      <w:bookmarkEnd w:id="115"/>
      <w:bookmarkEnd w:id="116"/>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6.1.1评标由招标人依法组建的评标委员会负责，评标委员会组成详见前附表。</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6.1.2 评标委员会成员有下列情形之一的，应当回避：</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（1）投标人或投标人的主要负责人的近亲属；</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（2）项目主管部门或者行政监督部门的人员；</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（3）与投标人有经济利益关系，可能影响对投标公正评审的；</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（4）曾因在招标、评标以及其他与招标投标有关活动中从事违法行为而受过行政处罚或刑事处罚的。</w:t>
      </w:r>
    </w:p>
    <w:p>
      <w:pPr>
        <w:spacing w:line="360" w:lineRule="auto"/>
        <w:contextualSpacing/>
        <w:rPr>
          <w:rFonts w:ascii="宋体" w:hAnsi="宋体" w:cs="宋体"/>
          <w:sz w:val="24"/>
          <w:szCs w:val="24"/>
        </w:rPr>
      </w:pPr>
      <w:bookmarkStart w:id="117" w:name="_Toc179632582"/>
      <w:bookmarkStart w:id="118" w:name="_Toc152045564"/>
      <w:bookmarkStart w:id="119" w:name="_Toc144974532"/>
      <w:bookmarkStart w:id="120" w:name="_Toc152042340"/>
      <w:bookmarkStart w:id="121" w:name="_Toc311013716"/>
      <w:r>
        <w:rPr>
          <w:rFonts w:hint="eastAsia" w:ascii="宋体" w:hAnsi="宋体" w:cs="宋体"/>
          <w:sz w:val="24"/>
          <w:szCs w:val="24"/>
        </w:rPr>
        <w:t>6.2 评标原则</w:t>
      </w:r>
      <w:bookmarkEnd w:id="117"/>
      <w:bookmarkEnd w:id="118"/>
      <w:bookmarkEnd w:id="119"/>
      <w:bookmarkEnd w:id="120"/>
      <w:bookmarkEnd w:id="121"/>
      <w:r>
        <w:rPr>
          <w:rFonts w:hint="eastAsia" w:ascii="宋体" w:hAnsi="宋体" w:cs="宋体"/>
          <w:sz w:val="24"/>
          <w:szCs w:val="24"/>
        </w:rPr>
        <w:tab/>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评标活动遵循公平、公正、科学和择优的原则严格按照招标文件进行。</w:t>
      </w:r>
    </w:p>
    <w:p>
      <w:pPr>
        <w:spacing w:line="360" w:lineRule="auto"/>
        <w:contextualSpacing/>
        <w:rPr>
          <w:rFonts w:ascii="宋体" w:hAnsi="宋体" w:cs="宋体"/>
          <w:sz w:val="24"/>
          <w:szCs w:val="24"/>
        </w:rPr>
      </w:pPr>
      <w:bookmarkStart w:id="122" w:name="_Toc152045565"/>
      <w:bookmarkStart w:id="123" w:name="_Toc311013717"/>
      <w:bookmarkStart w:id="124" w:name="_Toc152042341"/>
      <w:bookmarkStart w:id="125" w:name="_Toc179632583"/>
      <w:bookmarkStart w:id="126" w:name="_Toc144974533"/>
      <w:r>
        <w:rPr>
          <w:rFonts w:hint="eastAsia" w:ascii="宋体" w:hAnsi="宋体" w:cs="宋体"/>
          <w:sz w:val="24"/>
          <w:szCs w:val="24"/>
        </w:rPr>
        <w:t>6.3 评标</w:t>
      </w:r>
      <w:bookmarkEnd w:id="122"/>
      <w:bookmarkEnd w:id="123"/>
      <w:bookmarkEnd w:id="124"/>
      <w:bookmarkEnd w:id="125"/>
      <w:bookmarkEnd w:id="126"/>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评标委员会按照第三章“评标办法”规定的方法、评审因素、标准和程序对投标文件进行评审。第三章“评标办法”没有规定的方法、评审因素和标准，不作为评标依据。</w:t>
      </w:r>
    </w:p>
    <w:p>
      <w:pPr>
        <w:spacing w:line="360" w:lineRule="auto"/>
        <w:contextualSpacing/>
        <w:outlineLvl w:val="1"/>
        <w:rPr>
          <w:rFonts w:ascii="宋体" w:hAnsi="宋体" w:cs="宋体"/>
          <w:b/>
          <w:bCs/>
          <w:sz w:val="24"/>
          <w:szCs w:val="24"/>
        </w:rPr>
      </w:pPr>
      <w:bookmarkStart w:id="127" w:name="_Toc144974534"/>
      <w:bookmarkStart w:id="128" w:name="_Toc311013718"/>
      <w:bookmarkStart w:id="129" w:name="_Toc179632584"/>
      <w:bookmarkStart w:id="130" w:name="_Toc589"/>
      <w:bookmarkStart w:id="131" w:name="_Toc152045566"/>
      <w:bookmarkStart w:id="132" w:name="_Toc152042342"/>
      <w:r>
        <w:rPr>
          <w:rFonts w:hint="eastAsia" w:ascii="宋体" w:hAnsi="宋体" w:cs="宋体"/>
          <w:b/>
          <w:bCs/>
          <w:sz w:val="24"/>
          <w:szCs w:val="24"/>
        </w:rPr>
        <w:t>7.合同授予</w:t>
      </w:r>
      <w:bookmarkEnd w:id="127"/>
      <w:bookmarkEnd w:id="128"/>
      <w:bookmarkEnd w:id="129"/>
      <w:bookmarkEnd w:id="130"/>
      <w:bookmarkEnd w:id="131"/>
      <w:bookmarkEnd w:id="132"/>
    </w:p>
    <w:p>
      <w:pPr>
        <w:spacing w:line="360" w:lineRule="auto"/>
        <w:contextualSpacing/>
        <w:rPr>
          <w:rFonts w:ascii="宋体" w:hAnsi="宋体" w:cs="宋体"/>
          <w:sz w:val="24"/>
          <w:szCs w:val="24"/>
        </w:rPr>
      </w:pPr>
      <w:bookmarkStart w:id="133" w:name="_Toc311013719"/>
      <w:bookmarkStart w:id="134" w:name="_Toc179632585"/>
      <w:bookmarkStart w:id="135" w:name="_Toc152045567"/>
      <w:bookmarkStart w:id="136" w:name="_Toc152042343"/>
      <w:bookmarkStart w:id="137" w:name="_Toc144974535"/>
      <w:r>
        <w:rPr>
          <w:rFonts w:hint="eastAsia" w:ascii="宋体" w:hAnsi="宋体" w:cs="宋体"/>
          <w:sz w:val="24"/>
          <w:szCs w:val="24"/>
        </w:rPr>
        <w:t>7.1 定标方式</w:t>
      </w:r>
      <w:bookmarkEnd w:id="133"/>
      <w:bookmarkEnd w:id="134"/>
      <w:bookmarkEnd w:id="135"/>
      <w:bookmarkEnd w:id="136"/>
      <w:bookmarkEnd w:id="137"/>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除投标人须知前附表规定评标委员会直接确定中标人外，招标人依据评标委员会推荐的中标候选人确定中标人，评标委员会推荐中标候选人的人数见投标人须知前附表。</w:t>
      </w:r>
    </w:p>
    <w:p>
      <w:pPr>
        <w:spacing w:line="360" w:lineRule="auto"/>
        <w:contextualSpacing/>
        <w:rPr>
          <w:rFonts w:ascii="宋体" w:hAnsi="宋体" w:cs="宋体"/>
          <w:sz w:val="24"/>
          <w:szCs w:val="24"/>
        </w:rPr>
      </w:pPr>
      <w:bookmarkStart w:id="138" w:name="_Toc179632586"/>
      <w:bookmarkStart w:id="139" w:name="_Toc152045568"/>
      <w:bookmarkStart w:id="140" w:name="_Toc311013720"/>
      <w:bookmarkStart w:id="141" w:name="_Toc152042344"/>
      <w:bookmarkStart w:id="142" w:name="_Toc144974536"/>
      <w:r>
        <w:rPr>
          <w:rFonts w:hint="eastAsia" w:ascii="宋体" w:hAnsi="宋体" w:cs="宋体"/>
          <w:sz w:val="24"/>
          <w:szCs w:val="24"/>
        </w:rPr>
        <w:t>7.2 中标通知</w:t>
      </w:r>
      <w:bookmarkEnd w:id="138"/>
      <w:bookmarkEnd w:id="139"/>
      <w:bookmarkEnd w:id="140"/>
      <w:bookmarkEnd w:id="141"/>
      <w:bookmarkEnd w:id="142"/>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在本章第3.3款规定的投标有效期内，招标人以书面形式向中标人发出中标通知书，同时将中标结果通知未中标的投标人。</w:t>
      </w:r>
    </w:p>
    <w:p>
      <w:pPr>
        <w:spacing w:line="360" w:lineRule="auto"/>
        <w:contextualSpacing/>
        <w:rPr>
          <w:rFonts w:ascii="宋体" w:hAnsi="宋体" w:cs="宋体"/>
          <w:sz w:val="24"/>
          <w:szCs w:val="24"/>
        </w:rPr>
      </w:pPr>
      <w:bookmarkStart w:id="143" w:name="_Toc152045569"/>
      <w:bookmarkStart w:id="144" w:name="_Toc179632587"/>
      <w:bookmarkStart w:id="145" w:name="_Toc152042345"/>
      <w:bookmarkStart w:id="146" w:name="_Toc311013721"/>
      <w:bookmarkStart w:id="147" w:name="_Toc144974537"/>
      <w:r>
        <w:rPr>
          <w:rFonts w:hint="eastAsia" w:ascii="宋体" w:hAnsi="宋体" w:cs="宋体"/>
          <w:sz w:val="24"/>
          <w:szCs w:val="24"/>
        </w:rPr>
        <w:t>7.3 履约</w:t>
      </w:r>
      <w:bookmarkEnd w:id="143"/>
      <w:bookmarkEnd w:id="144"/>
      <w:bookmarkEnd w:id="145"/>
      <w:bookmarkEnd w:id="146"/>
      <w:bookmarkEnd w:id="147"/>
      <w:r>
        <w:rPr>
          <w:rFonts w:hint="eastAsia" w:ascii="宋体" w:hAnsi="宋体" w:cs="宋体"/>
          <w:sz w:val="24"/>
          <w:szCs w:val="24"/>
        </w:rPr>
        <w:t>担保</w:t>
      </w:r>
    </w:p>
    <w:p>
      <w:pPr>
        <w:spacing w:line="360" w:lineRule="auto"/>
        <w:ind w:firstLine="480" w:firstLineChars="200"/>
        <w:contextualSpacing/>
        <w:rPr>
          <w:rFonts w:ascii="宋体" w:hAnsi="宋体" w:cs="宋体"/>
          <w:sz w:val="24"/>
          <w:szCs w:val="24"/>
        </w:rPr>
      </w:pPr>
      <w:bookmarkStart w:id="148" w:name="_Toc144974538"/>
      <w:bookmarkStart w:id="149" w:name="_Toc152045570"/>
      <w:bookmarkStart w:id="150" w:name="_Toc152042346"/>
      <w:bookmarkStart w:id="151" w:name="_Toc311013722"/>
      <w:bookmarkStart w:id="152" w:name="_Toc179632588"/>
      <w:r>
        <w:rPr>
          <w:rFonts w:hint="eastAsia" w:ascii="宋体" w:hAnsi="宋体" w:cs="宋体"/>
          <w:sz w:val="24"/>
          <w:szCs w:val="24"/>
        </w:rPr>
        <w:t>7.3.1在签订合同前，中标人应按投标人须知前附表规定提交履约担保。中标人不能按投标人须知前附表规定提交履约担保的，视为放弃中标，其投标保证金不予退还，给招标人造成的损失超过投标保证金数额的，中标人还应当对超过部分予以赔偿。</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7.3.2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spacing w:line="360" w:lineRule="auto"/>
        <w:contextualSpacing/>
        <w:rPr>
          <w:rFonts w:ascii="宋体" w:hAnsi="宋体" w:cs="宋体"/>
          <w:sz w:val="24"/>
          <w:szCs w:val="24"/>
        </w:rPr>
      </w:pPr>
      <w:r>
        <w:rPr>
          <w:rFonts w:hint="eastAsia" w:ascii="宋体" w:hAnsi="宋体" w:cs="宋体"/>
          <w:sz w:val="24"/>
          <w:szCs w:val="24"/>
        </w:rPr>
        <w:t>7.4 签订合同</w:t>
      </w:r>
      <w:bookmarkEnd w:id="148"/>
      <w:bookmarkEnd w:id="149"/>
      <w:bookmarkEnd w:id="150"/>
      <w:bookmarkEnd w:id="151"/>
      <w:bookmarkEnd w:id="152"/>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7.4.1招标人和中标人应当在投标有效期内并在自中标通知书发出之日起三十日内，按照招标文件和中标人的投标文件订立书面合同。招标人和中标人不得再行订立背离合同实质性内容的其他协议。</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7.4.2中标人无正当理由拒签合同的，招标人取消其中标资格，其投标保证金不予退还；给招标人造成的损失超过投标保证金数额的，中标人还应当对超过部分予以赔偿。</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7.4.3发出中标通知书后，招标人无正当理由拒签合同的，招标人向中标人退还投标保证金；给中标人造成损失的，还应当赔偿损失。</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中标人不能按本条规定要求提交履约担保的，视为放弃中标，投标保证金不予退还，给招标人造成的损失超过投标保证金金额的，中标人还应对超过部分予以赔偿。</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spacing w:line="360" w:lineRule="auto"/>
        <w:contextualSpacing/>
        <w:outlineLvl w:val="1"/>
        <w:rPr>
          <w:rFonts w:ascii="宋体" w:hAnsi="宋体" w:cs="宋体"/>
          <w:b/>
          <w:bCs/>
          <w:sz w:val="24"/>
          <w:szCs w:val="24"/>
        </w:rPr>
      </w:pPr>
      <w:bookmarkStart w:id="153" w:name="_Toc144974539"/>
      <w:bookmarkStart w:id="154" w:name="_Toc152045571"/>
      <w:bookmarkStart w:id="155" w:name="_Toc179632589"/>
      <w:bookmarkStart w:id="156" w:name="_Toc2707"/>
      <w:bookmarkStart w:id="157" w:name="_Toc311013723"/>
      <w:bookmarkStart w:id="158" w:name="_Toc152042347"/>
      <w:r>
        <w:rPr>
          <w:rFonts w:hint="eastAsia" w:ascii="宋体" w:hAnsi="宋体" w:cs="宋体"/>
          <w:b/>
          <w:bCs/>
          <w:sz w:val="24"/>
          <w:szCs w:val="24"/>
        </w:rPr>
        <w:t>8. 重新招标和不再招标</w:t>
      </w:r>
      <w:bookmarkEnd w:id="153"/>
      <w:bookmarkEnd w:id="154"/>
      <w:bookmarkEnd w:id="155"/>
      <w:bookmarkEnd w:id="156"/>
      <w:bookmarkEnd w:id="157"/>
      <w:bookmarkEnd w:id="158"/>
    </w:p>
    <w:p>
      <w:pPr>
        <w:spacing w:line="360" w:lineRule="auto"/>
        <w:contextualSpacing/>
        <w:rPr>
          <w:rFonts w:ascii="宋体" w:hAnsi="宋体" w:cs="宋体"/>
          <w:sz w:val="24"/>
          <w:szCs w:val="24"/>
        </w:rPr>
      </w:pPr>
      <w:bookmarkStart w:id="159" w:name="_Toc144974540"/>
      <w:bookmarkStart w:id="160" w:name="_Toc152045572"/>
      <w:bookmarkStart w:id="161" w:name="_Toc179632590"/>
      <w:bookmarkStart w:id="162" w:name="_Toc311013724"/>
      <w:bookmarkStart w:id="163" w:name="_Toc152042348"/>
      <w:r>
        <w:rPr>
          <w:rFonts w:hint="eastAsia" w:ascii="宋体" w:hAnsi="宋体" w:cs="宋体"/>
          <w:sz w:val="24"/>
          <w:szCs w:val="24"/>
        </w:rPr>
        <w:t>8.1 重新招标</w:t>
      </w:r>
      <w:bookmarkEnd w:id="159"/>
      <w:bookmarkEnd w:id="160"/>
      <w:bookmarkEnd w:id="161"/>
      <w:bookmarkEnd w:id="162"/>
      <w:bookmarkEnd w:id="163"/>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有下列情形之一的，招标人将重新招标：</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（1）投标截止时间止，投标人少于3个的；</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（2）经评标委员会评审后否决所有投标的。</w:t>
      </w:r>
    </w:p>
    <w:p>
      <w:pPr>
        <w:spacing w:line="360" w:lineRule="auto"/>
        <w:contextualSpacing/>
        <w:rPr>
          <w:rFonts w:ascii="宋体" w:hAnsi="宋体" w:cs="宋体"/>
          <w:sz w:val="24"/>
          <w:szCs w:val="24"/>
        </w:rPr>
      </w:pPr>
      <w:bookmarkStart w:id="164" w:name="_Toc144974541"/>
      <w:bookmarkStart w:id="165" w:name="_Toc152045573"/>
      <w:bookmarkStart w:id="166" w:name="_Toc152042349"/>
      <w:bookmarkStart w:id="167" w:name="_Toc311013725"/>
      <w:bookmarkStart w:id="168" w:name="_Toc179632591"/>
      <w:r>
        <w:rPr>
          <w:rFonts w:hint="eastAsia" w:ascii="宋体" w:hAnsi="宋体" w:cs="宋体"/>
          <w:sz w:val="24"/>
          <w:szCs w:val="24"/>
        </w:rPr>
        <w:t>8.2 不再招标</w:t>
      </w:r>
      <w:bookmarkEnd w:id="164"/>
      <w:bookmarkEnd w:id="165"/>
      <w:bookmarkEnd w:id="166"/>
      <w:bookmarkEnd w:id="167"/>
      <w:bookmarkEnd w:id="168"/>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重新招标后投标人仍少于3个或者所有投标被否决的，属于必须审批或核准的工程建设项目，经原审批或核准部门批准后不再进行招标。</w:t>
      </w:r>
    </w:p>
    <w:p>
      <w:pPr>
        <w:spacing w:line="360" w:lineRule="auto"/>
        <w:contextualSpacing/>
        <w:outlineLvl w:val="1"/>
        <w:rPr>
          <w:rFonts w:ascii="宋体" w:hAnsi="宋体" w:cs="宋体"/>
          <w:b/>
          <w:bCs/>
          <w:sz w:val="24"/>
          <w:szCs w:val="24"/>
        </w:rPr>
      </w:pPr>
      <w:bookmarkStart w:id="169" w:name="_Toc179632592"/>
      <w:bookmarkStart w:id="170" w:name="_Toc152045574"/>
      <w:bookmarkStart w:id="171" w:name="_Toc144974542"/>
      <w:bookmarkStart w:id="172" w:name="_Toc8268"/>
      <w:bookmarkStart w:id="173" w:name="_Toc311013726"/>
      <w:bookmarkStart w:id="174" w:name="_Toc152042350"/>
      <w:r>
        <w:rPr>
          <w:rFonts w:hint="eastAsia" w:ascii="宋体" w:hAnsi="宋体" w:cs="宋体"/>
          <w:b/>
          <w:bCs/>
          <w:sz w:val="24"/>
          <w:szCs w:val="24"/>
        </w:rPr>
        <w:t>9. 纪律和监督</w:t>
      </w:r>
      <w:bookmarkEnd w:id="169"/>
      <w:bookmarkEnd w:id="170"/>
      <w:bookmarkEnd w:id="171"/>
      <w:bookmarkEnd w:id="172"/>
      <w:bookmarkEnd w:id="173"/>
      <w:bookmarkEnd w:id="174"/>
    </w:p>
    <w:p>
      <w:pPr>
        <w:spacing w:line="360" w:lineRule="auto"/>
        <w:contextualSpacing/>
        <w:rPr>
          <w:rFonts w:ascii="宋体" w:hAnsi="宋体" w:cs="宋体"/>
          <w:sz w:val="24"/>
          <w:szCs w:val="24"/>
        </w:rPr>
      </w:pPr>
      <w:bookmarkStart w:id="175" w:name="_Toc179632593"/>
      <w:bookmarkStart w:id="176" w:name="_Toc144974543"/>
      <w:bookmarkStart w:id="177" w:name="_Toc311013727"/>
      <w:bookmarkStart w:id="178" w:name="_Toc152042351"/>
      <w:bookmarkStart w:id="179" w:name="_Toc152045575"/>
      <w:r>
        <w:rPr>
          <w:rFonts w:hint="eastAsia" w:ascii="宋体" w:hAnsi="宋体" w:cs="宋体"/>
          <w:sz w:val="24"/>
          <w:szCs w:val="24"/>
        </w:rPr>
        <w:t>9.1 对招标人的纪律要求</w:t>
      </w:r>
      <w:bookmarkEnd w:id="175"/>
      <w:bookmarkEnd w:id="176"/>
      <w:bookmarkEnd w:id="177"/>
      <w:bookmarkEnd w:id="178"/>
      <w:bookmarkEnd w:id="179"/>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招标人不得泄漏招标投标活动中应当保密的情况和资料，不得与投标人串通损害国家利益、社会公共利益或者他人合法权益。</w:t>
      </w:r>
    </w:p>
    <w:p>
      <w:pPr>
        <w:spacing w:line="360" w:lineRule="auto"/>
        <w:contextualSpacing/>
        <w:rPr>
          <w:rFonts w:ascii="宋体" w:hAnsi="宋体" w:cs="宋体"/>
          <w:sz w:val="24"/>
          <w:szCs w:val="24"/>
        </w:rPr>
      </w:pPr>
      <w:bookmarkStart w:id="180" w:name="_Toc152045576"/>
      <w:bookmarkStart w:id="181" w:name="_Toc311013728"/>
      <w:bookmarkStart w:id="182" w:name="_Toc179632594"/>
      <w:bookmarkStart w:id="183" w:name="_Toc152042352"/>
      <w:bookmarkStart w:id="184" w:name="_Toc144974544"/>
      <w:r>
        <w:rPr>
          <w:rFonts w:hint="eastAsia" w:ascii="宋体" w:hAnsi="宋体" w:cs="宋体"/>
          <w:sz w:val="24"/>
          <w:szCs w:val="24"/>
        </w:rPr>
        <w:t>9.2 对投标人的纪律要求</w:t>
      </w:r>
      <w:bookmarkEnd w:id="180"/>
      <w:bookmarkEnd w:id="181"/>
      <w:bookmarkEnd w:id="182"/>
      <w:bookmarkEnd w:id="183"/>
      <w:bookmarkEnd w:id="184"/>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contextualSpacing/>
        <w:rPr>
          <w:rFonts w:ascii="宋体" w:hAnsi="宋体" w:cs="宋体"/>
          <w:sz w:val="24"/>
          <w:szCs w:val="24"/>
        </w:rPr>
      </w:pPr>
      <w:bookmarkStart w:id="185" w:name="_Toc152042353"/>
      <w:bookmarkStart w:id="186" w:name="_Toc311013729"/>
      <w:bookmarkStart w:id="187" w:name="_Toc179632595"/>
      <w:bookmarkStart w:id="188" w:name="_Toc152045577"/>
      <w:bookmarkStart w:id="189" w:name="_Toc144974545"/>
      <w:r>
        <w:rPr>
          <w:rFonts w:hint="eastAsia" w:ascii="宋体" w:hAnsi="宋体" w:cs="宋体"/>
          <w:sz w:val="24"/>
          <w:szCs w:val="24"/>
        </w:rPr>
        <w:t>9.3 对评标委员会成员的纪律要求</w:t>
      </w:r>
      <w:bookmarkEnd w:id="185"/>
      <w:bookmarkEnd w:id="186"/>
      <w:bookmarkEnd w:id="187"/>
      <w:bookmarkEnd w:id="188"/>
      <w:bookmarkEnd w:id="189"/>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contextualSpacing/>
        <w:rPr>
          <w:rFonts w:ascii="宋体" w:hAnsi="宋体" w:cs="宋体"/>
          <w:sz w:val="24"/>
          <w:szCs w:val="24"/>
        </w:rPr>
      </w:pPr>
      <w:bookmarkStart w:id="190" w:name="_Toc152045578"/>
      <w:bookmarkStart w:id="191" w:name="_Toc179632596"/>
      <w:bookmarkStart w:id="192" w:name="_Toc311013730"/>
      <w:bookmarkStart w:id="193" w:name="_Toc152042354"/>
      <w:bookmarkStart w:id="194" w:name="_Toc144974546"/>
      <w:r>
        <w:rPr>
          <w:rFonts w:hint="eastAsia" w:ascii="宋体" w:hAnsi="宋体" w:cs="宋体"/>
          <w:sz w:val="24"/>
          <w:szCs w:val="24"/>
        </w:rPr>
        <w:t>9.4 对与评标活动有关的工作人员的纪律要求</w:t>
      </w:r>
      <w:bookmarkEnd w:id="190"/>
      <w:bookmarkEnd w:id="191"/>
      <w:bookmarkEnd w:id="192"/>
      <w:bookmarkEnd w:id="193"/>
    </w:p>
    <w:p>
      <w:pPr>
        <w:spacing w:line="360" w:lineRule="auto"/>
        <w:ind w:firstLine="480" w:firstLineChars="200"/>
        <w:contextualSpacing/>
        <w:rPr>
          <w:rFonts w:ascii="宋体" w:hAnsi="宋体" w:cs="宋体"/>
          <w:sz w:val="24"/>
          <w:szCs w:val="24"/>
        </w:rPr>
      </w:pPr>
      <w:bookmarkStart w:id="195" w:name="_Toc152042355"/>
      <w:r>
        <w:rPr>
          <w:rFonts w:hint="eastAsia" w:ascii="宋体" w:hAnsi="宋体" w:cs="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95"/>
    </w:p>
    <w:p>
      <w:pPr>
        <w:spacing w:line="360" w:lineRule="auto"/>
        <w:contextualSpacing/>
        <w:rPr>
          <w:rFonts w:ascii="宋体" w:hAnsi="宋体" w:cs="宋体"/>
          <w:sz w:val="24"/>
          <w:szCs w:val="24"/>
        </w:rPr>
      </w:pPr>
      <w:bookmarkStart w:id="196" w:name="_Toc311013731"/>
      <w:bookmarkStart w:id="197" w:name="_Toc152045579"/>
      <w:bookmarkStart w:id="198" w:name="_Toc179632597"/>
      <w:bookmarkStart w:id="199" w:name="_Toc152042356"/>
      <w:r>
        <w:rPr>
          <w:rFonts w:hint="eastAsia" w:ascii="宋体" w:hAnsi="宋体" w:cs="宋体"/>
          <w:sz w:val="24"/>
          <w:szCs w:val="24"/>
        </w:rPr>
        <w:t>9.5 投诉</w:t>
      </w:r>
      <w:bookmarkEnd w:id="194"/>
      <w:bookmarkEnd w:id="196"/>
      <w:bookmarkEnd w:id="197"/>
      <w:bookmarkEnd w:id="198"/>
      <w:bookmarkEnd w:id="199"/>
    </w:p>
    <w:p>
      <w:pPr>
        <w:spacing w:line="360" w:lineRule="auto"/>
        <w:contextualSpacing/>
        <w:outlineLvl w:val="1"/>
        <w:rPr>
          <w:rFonts w:ascii="宋体" w:hAnsi="宋体" w:cs="宋体"/>
          <w:sz w:val="24"/>
          <w:szCs w:val="24"/>
        </w:rPr>
      </w:pPr>
      <w:bookmarkStart w:id="200" w:name="_Toc179632598"/>
      <w:bookmarkStart w:id="201" w:name="_Toc152045580"/>
      <w:bookmarkStart w:id="202" w:name="_Toc10228"/>
      <w:bookmarkStart w:id="203" w:name="_Toc311013732"/>
      <w:bookmarkStart w:id="204" w:name="_Toc144974547"/>
      <w:bookmarkStart w:id="205" w:name="_Toc152042357"/>
      <w:r>
        <w:rPr>
          <w:rFonts w:hint="eastAsia" w:ascii="宋体" w:hAnsi="宋体" w:cs="宋体"/>
          <w:sz w:val="24"/>
          <w:szCs w:val="24"/>
        </w:rPr>
        <w:t>投标人和其他利害关系人认为本次招标活动违反法律、法规和规章规定的，有权向有关行政监督部门投诉。</w:t>
      </w:r>
    </w:p>
    <w:p>
      <w:pPr>
        <w:spacing w:line="360" w:lineRule="auto"/>
        <w:ind w:firstLine="480" w:firstLineChars="200"/>
        <w:contextualSpacing/>
        <w:outlineLvl w:val="1"/>
        <w:rPr>
          <w:rFonts w:ascii="宋体" w:hAnsi="宋体" w:cs="宋体"/>
          <w:sz w:val="24"/>
          <w:szCs w:val="24"/>
        </w:rPr>
      </w:pPr>
      <w:r>
        <w:rPr>
          <w:rFonts w:hint="eastAsia" w:ascii="宋体" w:hAnsi="宋体" w:cs="宋体"/>
          <w:sz w:val="24"/>
          <w:szCs w:val="24"/>
        </w:rPr>
        <w:t>投标人提起投诉应当符合《中华人民共和国招标投标法》及其实施条例、《工程建设项目招标投标活动投诉处理办法》（七部委11号令；九部委23号令于2013年3月11日修改）规定。</w:t>
      </w:r>
    </w:p>
    <w:p>
      <w:pPr>
        <w:spacing w:line="360" w:lineRule="auto"/>
        <w:contextualSpacing/>
        <w:outlineLvl w:val="1"/>
        <w:rPr>
          <w:rFonts w:ascii="宋体" w:hAnsi="宋体" w:cs="宋体"/>
          <w:b/>
          <w:bCs/>
          <w:sz w:val="24"/>
          <w:szCs w:val="24"/>
        </w:rPr>
      </w:pPr>
      <w:r>
        <w:rPr>
          <w:rFonts w:hint="eastAsia" w:ascii="宋体" w:hAnsi="宋体" w:cs="宋体"/>
          <w:b/>
          <w:bCs/>
          <w:sz w:val="24"/>
          <w:szCs w:val="24"/>
        </w:rPr>
        <w:t>10. 需要补充的其他内容</w:t>
      </w:r>
      <w:bookmarkEnd w:id="200"/>
      <w:bookmarkEnd w:id="201"/>
      <w:bookmarkEnd w:id="202"/>
      <w:bookmarkEnd w:id="203"/>
      <w:bookmarkEnd w:id="204"/>
      <w:bookmarkEnd w:id="205"/>
    </w:p>
    <w:p>
      <w:pPr>
        <w:spacing w:line="360" w:lineRule="auto"/>
        <w:contextualSpacing/>
        <w:rPr>
          <w:rFonts w:ascii="宋体" w:hAnsi="宋体" w:cs="宋体"/>
          <w:sz w:val="24"/>
          <w:szCs w:val="24"/>
        </w:rPr>
      </w:pPr>
      <w:r>
        <w:rPr>
          <w:rFonts w:hint="eastAsia" w:ascii="宋体" w:hAnsi="宋体" w:cs="宋体"/>
          <w:sz w:val="24"/>
          <w:szCs w:val="24"/>
        </w:rPr>
        <w:t>10.1需要补充的其他内容：见投标人须知前附表</w:t>
      </w:r>
    </w:p>
    <w:p>
      <w:pPr>
        <w:spacing w:line="360" w:lineRule="auto"/>
        <w:rPr>
          <w:rFonts w:ascii="黑体" w:eastAsia="黑体"/>
          <w:color w:val="000000"/>
          <w:sz w:val="24"/>
          <w:szCs w:val="24"/>
        </w:rPr>
      </w:pPr>
      <w:bookmarkStart w:id="206" w:name="_Toc464824567"/>
      <w:bookmarkEnd w:id="206"/>
      <w:r>
        <w:rPr>
          <w:rFonts w:hint="eastAsia" w:ascii="宋体" w:hAnsi="宋体" w:cs="宋体"/>
          <w:color w:val="000000"/>
          <w:sz w:val="24"/>
          <w:szCs w:val="24"/>
        </w:rPr>
        <w:br w:type="page"/>
      </w:r>
      <w:bookmarkStart w:id="207" w:name="_Toc12931"/>
      <w:bookmarkEnd w:id="207"/>
      <w:bookmarkStart w:id="208" w:name="_Toc464824711"/>
      <w:bookmarkEnd w:id="208"/>
      <w:bookmarkStart w:id="209" w:name="_Toc277936916"/>
      <w:bookmarkEnd w:id="209"/>
      <w:bookmarkStart w:id="210" w:name="_Toc397605954"/>
      <w:r>
        <w:rPr>
          <w:rFonts w:hint="eastAsia" w:ascii="黑体" w:hAnsi="黑体" w:eastAsia="黑体"/>
          <w:color w:val="000000"/>
          <w:sz w:val="24"/>
          <w:szCs w:val="24"/>
        </w:rPr>
        <w:t>附表一：问题澄清通知</w:t>
      </w:r>
    </w:p>
    <w:p>
      <w:pPr>
        <w:spacing w:beforeLines="100" w:afterLines="100" w:line="360" w:lineRule="auto"/>
        <w:jc w:val="center"/>
        <w:rPr>
          <w:rFonts w:ascii="黑体" w:eastAsia="黑体"/>
          <w:color w:val="000000"/>
          <w:sz w:val="28"/>
          <w:szCs w:val="28"/>
        </w:rPr>
      </w:pPr>
      <w:r>
        <w:rPr>
          <w:rFonts w:hint="eastAsia" w:ascii="黑体" w:hAnsi="黑体" w:eastAsia="黑体"/>
          <w:color w:val="000000"/>
          <w:sz w:val="28"/>
          <w:szCs w:val="28"/>
        </w:rPr>
        <w:t>问题澄清通知</w:t>
      </w:r>
    </w:p>
    <w:p>
      <w:pPr>
        <w:spacing w:line="360" w:lineRule="auto"/>
        <w:ind w:firstLine="6120" w:firstLineChars="2550"/>
        <w:rPr>
          <w:color w:val="000000"/>
          <w:sz w:val="24"/>
          <w:szCs w:val="24"/>
          <w:u w:val="single"/>
        </w:rPr>
      </w:pPr>
      <w:r>
        <w:rPr>
          <w:rFonts w:hint="eastAsia" w:ascii="宋体" w:hAnsi="宋体"/>
          <w:color w:val="000000"/>
          <w:sz w:val="24"/>
          <w:szCs w:val="24"/>
        </w:rPr>
        <w:t>编号：</w:t>
      </w:r>
    </w:p>
    <w:p>
      <w:pPr>
        <w:spacing w:line="360" w:lineRule="auto"/>
        <w:ind w:firstLine="480" w:firstLineChars="200"/>
        <w:rPr>
          <w:color w:val="000000"/>
          <w:sz w:val="24"/>
          <w:szCs w:val="24"/>
        </w:rPr>
      </w:pPr>
      <w:r>
        <w:rPr>
          <w:rFonts w:hint="eastAsia" w:ascii="宋体" w:hAnsi="宋体"/>
          <w:color w:val="000000"/>
          <w:sz w:val="24"/>
          <w:szCs w:val="24"/>
        </w:rPr>
        <w:t>（投标人名称）：</w:t>
      </w:r>
    </w:p>
    <w:p>
      <w:pPr>
        <w:spacing w:line="360" w:lineRule="auto"/>
        <w:ind w:firstLine="480" w:firstLineChars="200"/>
        <w:rPr>
          <w:color w:val="000000"/>
          <w:sz w:val="24"/>
          <w:szCs w:val="24"/>
        </w:rPr>
      </w:pPr>
      <w:r>
        <w:rPr>
          <w:rFonts w:hint="eastAsia" w:ascii="宋体" w:hAnsi="宋体"/>
          <w:color w:val="000000"/>
          <w:sz w:val="24"/>
          <w:szCs w:val="24"/>
        </w:rPr>
        <w:t>（项目名称）</w:t>
      </w:r>
      <w:r>
        <w:rPr>
          <w:rFonts w:hint="eastAsia" w:ascii="宋体" w:hAnsi="宋体"/>
          <w:color w:val="000000"/>
          <w:sz w:val="24"/>
          <w:szCs w:val="24"/>
          <w:u w:val="single"/>
        </w:rPr>
        <w:t>标</w:t>
      </w:r>
      <w:r>
        <w:rPr>
          <w:rFonts w:hint="eastAsia" w:ascii="宋体" w:hAnsi="宋体"/>
          <w:color w:val="000000"/>
          <w:sz w:val="24"/>
          <w:szCs w:val="24"/>
        </w:rPr>
        <w:t>段施工招标的评标委员会，对你方的投标文件进行了仔细的审查，现需你方对本通知所附质疑问卷中的问题以书面形式予以澄清、说明或者补正。</w:t>
      </w:r>
    </w:p>
    <w:p>
      <w:pPr>
        <w:spacing w:line="360" w:lineRule="auto"/>
        <w:ind w:firstLine="480" w:firstLineChars="200"/>
        <w:rPr>
          <w:color w:val="000000"/>
          <w:sz w:val="24"/>
          <w:szCs w:val="24"/>
        </w:rPr>
      </w:pPr>
      <w:r>
        <w:rPr>
          <w:rFonts w:hint="eastAsia" w:ascii="宋体" w:hAnsi="宋体"/>
          <w:color w:val="000000"/>
          <w:sz w:val="24"/>
          <w:szCs w:val="24"/>
        </w:rPr>
        <w:t>请将上述问题的澄清、说明或者补正于年月日时前密封递交至（详细地址）或传真至（传真号码）。采用传真方式的，应在年月日时前将原件递交至（详细地址）。</w:t>
      </w:r>
    </w:p>
    <w:p>
      <w:pPr>
        <w:spacing w:line="360" w:lineRule="auto"/>
        <w:rPr>
          <w:color w:val="000000"/>
          <w:sz w:val="24"/>
          <w:szCs w:val="24"/>
        </w:rPr>
      </w:pPr>
    </w:p>
    <w:p>
      <w:pPr>
        <w:spacing w:line="360" w:lineRule="auto"/>
        <w:rPr>
          <w:color w:val="000000"/>
          <w:sz w:val="24"/>
          <w:szCs w:val="24"/>
        </w:rPr>
      </w:pPr>
      <w:r>
        <w:rPr>
          <w:rFonts w:hint="eastAsia" w:ascii="宋体" w:hAnsi="宋体"/>
          <w:color w:val="000000"/>
          <w:sz w:val="24"/>
          <w:szCs w:val="24"/>
        </w:rPr>
        <w:t>附件：质疑问卷</w:t>
      </w:r>
    </w:p>
    <w:p>
      <w:pPr>
        <w:spacing w:line="360" w:lineRule="auto"/>
        <w:ind w:firstLine="4080" w:firstLineChars="1700"/>
        <w:rPr>
          <w:color w:val="000000"/>
          <w:sz w:val="24"/>
          <w:szCs w:val="24"/>
          <w:u w:val="single"/>
        </w:rPr>
      </w:pPr>
    </w:p>
    <w:p>
      <w:pPr>
        <w:spacing w:line="360" w:lineRule="auto"/>
        <w:ind w:firstLine="4080" w:firstLineChars="1700"/>
        <w:rPr>
          <w:color w:val="000000"/>
          <w:sz w:val="24"/>
          <w:szCs w:val="24"/>
          <w:u w:val="single"/>
        </w:rPr>
      </w:pPr>
    </w:p>
    <w:p>
      <w:pPr>
        <w:spacing w:line="360" w:lineRule="auto"/>
        <w:ind w:firstLine="4080" w:firstLineChars="1700"/>
        <w:rPr>
          <w:color w:val="000000"/>
          <w:sz w:val="24"/>
          <w:szCs w:val="24"/>
          <w:u w:val="single"/>
        </w:rPr>
      </w:pPr>
    </w:p>
    <w:p>
      <w:pPr>
        <w:spacing w:line="360" w:lineRule="auto"/>
        <w:ind w:firstLine="4080" w:firstLineChars="1700"/>
        <w:rPr>
          <w:color w:val="000000"/>
          <w:sz w:val="24"/>
          <w:szCs w:val="24"/>
          <w:u w:val="single"/>
        </w:rPr>
      </w:pPr>
    </w:p>
    <w:p>
      <w:pPr>
        <w:spacing w:line="360" w:lineRule="auto"/>
        <w:ind w:firstLine="4080" w:firstLineChars="1700"/>
        <w:rPr>
          <w:color w:val="000000"/>
          <w:sz w:val="24"/>
          <w:szCs w:val="24"/>
          <w:u w:val="single"/>
        </w:rPr>
      </w:pPr>
    </w:p>
    <w:p>
      <w:pPr>
        <w:spacing w:line="360" w:lineRule="auto"/>
        <w:ind w:firstLine="4080" w:firstLineChars="1700"/>
        <w:rPr>
          <w:color w:val="000000"/>
          <w:sz w:val="24"/>
          <w:szCs w:val="24"/>
          <w:u w:val="single"/>
        </w:rPr>
      </w:pPr>
    </w:p>
    <w:p>
      <w:pPr>
        <w:spacing w:line="360" w:lineRule="auto"/>
        <w:ind w:firstLine="4080" w:firstLineChars="1700"/>
        <w:rPr>
          <w:color w:val="000000"/>
          <w:sz w:val="24"/>
          <w:szCs w:val="24"/>
          <w:u w:val="single"/>
        </w:rPr>
      </w:pPr>
    </w:p>
    <w:p>
      <w:pPr>
        <w:spacing w:line="360" w:lineRule="auto"/>
        <w:ind w:firstLine="4080" w:firstLineChars="1700"/>
        <w:rPr>
          <w:color w:val="000000"/>
          <w:sz w:val="24"/>
          <w:szCs w:val="24"/>
        </w:rPr>
      </w:pPr>
      <w:r>
        <w:rPr>
          <w:rFonts w:hint="eastAsia" w:ascii="宋体" w:hAnsi="宋体"/>
          <w:color w:val="000000"/>
          <w:sz w:val="24"/>
          <w:szCs w:val="24"/>
        </w:rPr>
        <w:t>（项目名称）招标评标委员会</w:t>
      </w:r>
    </w:p>
    <w:p>
      <w:pPr>
        <w:spacing w:line="360" w:lineRule="auto"/>
        <w:jc w:val="right"/>
        <w:rPr>
          <w:color w:val="000000"/>
          <w:sz w:val="24"/>
          <w:szCs w:val="24"/>
        </w:rPr>
      </w:pPr>
      <w:r>
        <w:rPr>
          <w:rFonts w:hint="eastAsia" w:ascii="宋体" w:hAnsi="宋体"/>
          <w:color w:val="000000"/>
          <w:sz w:val="24"/>
          <w:szCs w:val="24"/>
        </w:rPr>
        <w:t>（经评标委员会授权的招标人代表签字或招标人加盖单位章）</w:t>
      </w:r>
    </w:p>
    <w:p>
      <w:pPr>
        <w:spacing w:line="360" w:lineRule="auto"/>
        <w:ind w:firstLine="5280" w:firstLineChars="2200"/>
        <w:rPr>
          <w:rFonts w:ascii="黑体" w:eastAsia="黑体"/>
          <w:color w:val="000000"/>
          <w:sz w:val="24"/>
          <w:szCs w:val="24"/>
        </w:rPr>
      </w:pPr>
      <w:r>
        <w:rPr>
          <w:rFonts w:hint="eastAsia" w:ascii="宋体" w:hAnsi="宋体"/>
          <w:color w:val="000000"/>
          <w:sz w:val="24"/>
          <w:szCs w:val="24"/>
        </w:rPr>
        <w:t>年月</w:t>
      </w:r>
      <w:r>
        <w:rPr>
          <w:color w:val="000000"/>
        </w:rPr>
        <w:br w:type="page"/>
      </w:r>
      <w:r>
        <w:rPr>
          <w:rFonts w:hint="eastAsia" w:ascii="黑体" w:hAnsi="黑体" w:eastAsia="黑体"/>
          <w:color w:val="000000"/>
          <w:sz w:val="24"/>
          <w:szCs w:val="24"/>
        </w:rPr>
        <w:t>附表二：问题的澄清</w:t>
      </w:r>
    </w:p>
    <w:p>
      <w:pPr>
        <w:spacing w:beforeLines="100" w:afterLines="100" w:line="360" w:lineRule="auto"/>
        <w:jc w:val="center"/>
        <w:rPr>
          <w:rFonts w:ascii="黑体" w:eastAsia="黑体"/>
          <w:color w:val="000000"/>
          <w:sz w:val="28"/>
          <w:szCs w:val="28"/>
        </w:rPr>
      </w:pPr>
      <w:r>
        <w:rPr>
          <w:rFonts w:hint="eastAsia" w:ascii="黑体" w:hAnsi="黑体" w:eastAsia="黑体"/>
          <w:color w:val="000000"/>
          <w:sz w:val="28"/>
          <w:szCs w:val="28"/>
        </w:rPr>
        <w:t>问题的澄清、说明或补正</w:t>
      </w:r>
    </w:p>
    <w:p>
      <w:pPr>
        <w:spacing w:line="360" w:lineRule="auto"/>
        <w:ind w:firstLine="6120" w:firstLineChars="2550"/>
        <w:rPr>
          <w:color w:val="000000"/>
          <w:sz w:val="24"/>
          <w:szCs w:val="24"/>
          <w:u w:val="single"/>
        </w:rPr>
      </w:pPr>
      <w:r>
        <w:rPr>
          <w:rFonts w:hint="eastAsia" w:ascii="宋体" w:hAnsi="宋体"/>
          <w:color w:val="000000"/>
          <w:sz w:val="24"/>
          <w:szCs w:val="24"/>
        </w:rPr>
        <w:t>编号：</w:t>
      </w:r>
    </w:p>
    <w:p>
      <w:pPr>
        <w:spacing w:line="360" w:lineRule="auto"/>
        <w:rPr>
          <w:color w:val="000000"/>
          <w:sz w:val="24"/>
          <w:szCs w:val="24"/>
        </w:rPr>
      </w:pPr>
      <w:r>
        <w:rPr>
          <w:rFonts w:hint="eastAsia" w:ascii="宋体" w:hAnsi="宋体"/>
          <w:color w:val="000000"/>
          <w:sz w:val="24"/>
          <w:szCs w:val="24"/>
        </w:rPr>
        <w:t>（项目名称）标段施工招标评标委员会：</w:t>
      </w:r>
    </w:p>
    <w:p>
      <w:pPr>
        <w:spacing w:line="360" w:lineRule="auto"/>
        <w:ind w:firstLine="480" w:firstLineChars="200"/>
        <w:rPr>
          <w:color w:val="000000"/>
          <w:sz w:val="24"/>
          <w:szCs w:val="24"/>
        </w:rPr>
      </w:pPr>
      <w:r>
        <w:rPr>
          <w:rFonts w:hint="eastAsia" w:ascii="宋体" w:hAnsi="宋体"/>
          <w:color w:val="000000"/>
          <w:sz w:val="24"/>
          <w:szCs w:val="24"/>
        </w:rPr>
        <w:t>问题澄清通知（编号：）已收悉，现澄清、说明或者补正如下：</w:t>
      </w:r>
    </w:p>
    <w:p>
      <w:pPr>
        <w:spacing w:line="360" w:lineRule="auto"/>
        <w:ind w:firstLine="480" w:firstLineChars="200"/>
        <w:rPr>
          <w:color w:val="000000"/>
          <w:sz w:val="24"/>
          <w:szCs w:val="24"/>
        </w:rPr>
      </w:pPr>
      <w:r>
        <w:rPr>
          <w:rFonts w:hint="eastAsia"/>
          <w:color w:val="000000"/>
          <w:sz w:val="24"/>
          <w:szCs w:val="24"/>
        </w:rPr>
        <w:t>1.</w:t>
      </w:r>
    </w:p>
    <w:p>
      <w:pPr>
        <w:spacing w:line="360" w:lineRule="auto"/>
        <w:ind w:firstLine="480" w:firstLineChars="200"/>
        <w:rPr>
          <w:color w:val="000000"/>
          <w:sz w:val="24"/>
          <w:szCs w:val="24"/>
        </w:rPr>
      </w:pPr>
      <w:r>
        <w:rPr>
          <w:rFonts w:hint="eastAsia"/>
          <w:color w:val="000000"/>
          <w:sz w:val="24"/>
          <w:szCs w:val="24"/>
        </w:rPr>
        <w:t>2.</w:t>
      </w:r>
    </w:p>
    <w:p>
      <w:pPr>
        <w:spacing w:line="360" w:lineRule="auto"/>
        <w:ind w:firstLine="480" w:firstLineChars="200"/>
        <w:rPr>
          <w:color w:val="000000"/>
          <w:sz w:val="24"/>
          <w:szCs w:val="24"/>
        </w:rPr>
      </w:pPr>
    </w:p>
    <w:p>
      <w:pPr>
        <w:spacing w:line="360" w:lineRule="auto"/>
        <w:ind w:firstLine="480" w:firstLineChars="200"/>
        <w:rPr>
          <w:color w:val="000000"/>
          <w:sz w:val="24"/>
          <w:szCs w:val="24"/>
        </w:rPr>
      </w:pPr>
      <w:r>
        <w:rPr>
          <w:rFonts w:hint="eastAsia"/>
          <w:color w:val="000000"/>
          <w:sz w:val="24"/>
          <w:szCs w:val="24"/>
        </w:rPr>
        <w:t>……</w:t>
      </w:r>
    </w:p>
    <w:p>
      <w:pPr>
        <w:spacing w:line="360" w:lineRule="auto"/>
        <w:ind w:firstLine="480" w:firstLineChars="200"/>
        <w:rPr>
          <w:color w:val="000000"/>
          <w:sz w:val="24"/>
          <w:szCs w:val="24"/>
        </w:rPr>
      </w:pPr>
    </w:p>
    <w:p>
      <w:pPr>
        <w:spacing w:line="360" w:lineRule="auto"/>
        <w:ind w:firstLine="480" w:firstLineChars="200"/>
        <w:rPr>
          <w:color w:val="000000"/>
          <w:sz w:val="24"/>
          <w:szCs w:val="24"/>
        </w:rPr>
      </w:pPr>
    </w:p>
    <w:p>
      <w:pPr>
        <w:spacing w:line="360" w:lineRule="auto"/>
        <w:ind w:firstLine="480" w:firstLineChars="200"/>
        <w:rPr>
          <w:color w:val="000000"/>
          <w:sz w:val="24"/>
          <w:szCs w:val="24"/>
        </w:rPr>
      </w:pPr>
    </w:p>
    <w:p>
      <w:pPr>
        <w:spacing w:line="360" w:lineRule="auto"/>
        <w:ind w:firstLine="480" w:firstLineChars="200"/>
        <w:rPr>
          <w:color w:val="000000"/>
          <w:sz w:val="24"/>
          <w:szCs w:val="24"/>
        </w:rPr>
      </w:pPr>
    </w:p>
    <w:p>
      <w:pPr>
        <w:spacing w:line="360" w:lineRule="auto"/>
        <w:ind w:firstLine="480" w:firstLineChars="200"/>
        <w:rPr>
          <w:color w:val="000000"/>
          <w:sz w:val="24"/>
          <w:szCs w:val="24"/>
        </w:rPr>
      </w:pPr>
    </w:p>
    <w:p>
      <w:pPr>
        <w:spacing w:line="360" w:lineRule="auto"/>
        <w:ind w:firstLine="480" w:firstLineChars="200"/>
        <w:rPr>
          <w:color w:val="000000"/>
          <w:sz w:val="24"/>
          <w:szCs w:val="24"/>
        </w:rPr>
      </w:pPr>
    </w:p>
    <w:p>
      <w:pPr>
        <w:spacing w:line="360" w:lineRule="auto"/>
        <w:ind w:firstLine="480" w:firstLineChars="200"/>
        <w:jc w:val="right"/>
        <w:rPr>
          <w:color w:val="000000"/>
          <w:sz w:val="24"/>
          <w:szCs w:val="24"/>
        </w:rPr>
      </w:pPr>
      <w:r>
        <w:rPr>
          <w:rFonts w:hint="eastAsia" w:ascii="黑体" w:hAnsi="黑体" w:eastAsia="黑体"/>
          <w:color w:val="000000"/>
          <w:sz w:val="24"/>
          <w:szCs w:val="24"/>
        </w:rPr>
        <w:t>投标人：</w:t>
      </w:r>
      <w:r>
        <w:rPr>
          <w:rFonts w:hint="eastAsia" w:ascii="宋体" w:hAnsi="宋体"/>
          <w:color w:val="000000"/>
          <w:sz w:val="24"/>
          <w:szCs w:val="24"/>
        </w:rPr>
        <w:t>（盖单位章）</w:t>
      </w:r>
    </w:p>
    <w:p>
      <w:pPr>
        <w:spacing w:beforeLines="50" w:afterLines="50" w:line="360" w:lineRule="auto"/>
        <w:jc w:val="right"/>
        <w:rPr>
          <w:color w:val="000000"/>
          <w:sz w:val="24"/>
          <w:szCs w:val="24"/>
        </w:rPr>
      </w:pPr>
      <w:r>
        <w:rPr>
          <w:rFonts w:hint="eastAsia" w:ascii="黑体" w:hAnsi="黑体" w:eastAsia="黑体"/>
          <w:color w:val="000000"/>
          <w:sz w:val="24"/>
          <w:szCs w:val="24"/>
        </w:rPr>
        <w:t>法定代表人或其委托代理人：</w:t>
      </w:r>
      <w:r>
        <w:rPr>
          <w:rFonts w:hint="eastAsia" w:ascii="宋体" w:hAnsi="宋体"/>
          <w:color w:val="000000"/>
          <w:sz w:val="24"/>
          <w:szCs w:val="24"/>
        </w:rPr>
        <w:t>（</w:t>
      </w:r>
      <w:r>
        <w:rPr>
          <w:rFonts w:hint="eastAsia" w:ascii="宋体" w:hAnsi="宋体"/>
          <w:kern w:val="0"/>
          <w:sz w:val="24"/>
          <w:szCs w:val="24"/>
        </w:rPr>
        <w:t>签字或盖章</w:t>
      </w:r>
      <w:r>
        <w:rPr>
          <w:rFonts w:hint="eastAsia" w:ascii="宋体" w:hAnsi="宋体"/>
          <w:color w:val="000000"/>
          <w:sz w:val="24"/>
          <w:szCs w:val="24"/>
        </w:rPr>
        <w:t>）</w:t>
      </w:r>
    </w:p>
    <w:p>
      <w:pPr>
        <w:spacing w:line="360" w:lineRule="auto"/>
        <w:ind w:firstLine="3840" w:firstLineChars="1600"/>
        <w:rPr>
          <w:color w:val="000000"/>
          <w:sz w:val="24"/>
          <w:szCs w:val="24"/>
        </w:rPr>
      </w:pPr>
      <w:r>
        <w:rPr>
          <w:rFonts w:hint="eastAsia" w:ascii="宋体" w:hAnsi="宋体"/>
          <w:color w:val="000000"/>
          <w:sz w:val="24"/>
          <w:szCs w:val="24"/>
        </w:rPr>
        <w:t>年月日</w:t>
      </w:r>
    </w:p>
    <w:p>
      <w:pPr>
        <w:spacing w:line="360" w:lineRule="auto"/>
        <w:jc w:val="center"/>
        <w:rPr>
          <w:rFonts w:ascii="宋体" w:hAnsi="宋体" w:cs="宋体"/>
          <w:kern w:val="0"/>
        </w:rPr>
      </w:pPr>
      <w:r>
        <w:rPr>
          <w:color w:val="000000"/>
        </w:rPr>
        <w:br w:type="page"/>
      </w:r>
      <w:r>
        <w:rPr>
          <w:rFonts w:hint="eastAsia" w:ascii="宋体" w:hAnsi="宋体" w:cs="宋体"/>
          <w:b/>
          <w:bCs/>
          <w:kern w:val="0"/>
          <w:sz w:val="36"/>
          <w:szCs w:val="36"/>
        </w:rPr>
        <w:t>第三章评标办法（综合评标法）</w:t>
      </w:r>
      <w:bookmarkEnd w:id="210"/>
    </w:p>
    <w:p>
      <w:pPr>
        <w:adjustRightInd w:val="0"/>
        <w:snapToGrid w:val="0"/>
        <w:spacing w:line="360" w:lineRule="auto"/>
        <w:rPr>
          <w:rFonts w:ascii="宋体" w:hAnsi="宋体" w:cs="宋体"/>
          <w:b/>
          <w:sz w:val="24"/>
        </w:rPr>
      </w:pPr>
      <w:bookmarkStart w:id="211" w:name="_Toc397507672"/>
      <w:bookmarkEnd w:id="211"/>
      <w:r>
        <w:rPr>
          <w:rFonts w:hint="eastAsia" w:ascii="宋体" w:hAnsi="宋体" w:cs="宋体"/>
          <w:b/>
          <w:sz w:val="24"/>
        </w:rPr>
        <w:t>一、评标应遵循公正、公平、择优的原则严格按照招标文件进行。</w:t>
      </w:r>
    </w:p>
    <w:p>
      <w:pPr>
        <w:autoSpaceDE w:val="0"/>
        <w:autoSpaceDN w:val="0"/>
        <w:spacing w:line="360" w:lineRule="auto"/>
        <w:contextualSpacing/>
        <w:jc w:val="left"/>
        <w:outlineLvl w:val="0"/>
        <w:rPr>
          <w:rFonts w:ascii="宋体" w:hAnsi="宋体" w:cs="宋体"/>
          <w:b/>
          <w:sz w:val="24"/>
        </w:rPr>
      </w:pPr>
      <w:r>
        <w:rPr>
          <w:rFonts w:hint="eastAsia" w:ascii="宋体" w:hAnsi="宋体" w:cs="宋体"/>
          <w:b/>
          <w:sz w:val="24"/>
        </w:rPr>
        <w:t>二、评标由招标人依法组建的评标委员会负责</w:t>
      </w:r>
    </w:p>
    <w:p>
      <w:pPr>
        <w:autoSpaceDE w:val="0"/>
        <w:autoSpaceDN w:val="0"/>
        <w:spacing w:line="360" w:lineRule="auto"/>
        <w:ind w:firstLine="480" w:firstLineChars="200"/>
        <w:contextualSpacing/>
        <w:jc w:val="left"/>
        <w:outlineLvl w:val="0"/>
        <w:rPr>
          <w:rFonts w:ascii="宋体" w:hAnsi="宋体" w:cs="宋体"/>
          <w:sz w:val="24"/>
        </w:rPr>
      </w:pPr>
      <w:r>
        <w:rPr>
          <w:rFonts w:hint="eastAsia" w:ascii="宋体" w:hAnsi="宋体" w:cs="宋体"/>
          <w:sz w:val="24"/>
        </w:rPr>
        <w:t>（一）评标委员会的组成：</w:t>
      </w:r>
    </w:p>
    <w:p>
      <w:pPr>
        <w:autoSpaceDE w:val="0"/>
        <w:autoSpaceDN w:val="0"/>
        <w:spacing w:line="360" w:lineRule="auto"/>
        <w:ind w:firstLine="480" w:firstLineChars="200"/>
        <w:contextualSpacing/>
        <w:jc w:val="left"/>
        <w:outlineLvl w:val="0"/>
        <w:rPr>
          <w:rFonts w:hint="eastAsia" w:ascii="宋体" w:hAnsi="宋体" w:cs="宋体"/>
          <w:sz w:val="24"/>
        </w:rPr>
      </w:pPr>
      <w:r>
        <w:rPr>
          <w:rFonts w:hint="eastAsia" w:ascii="宋体" w:hAnsi="宋体" w:cs="宋体"/>
          <w:sz w:val="24"/>
        </w:rPr>
        <w:t>评标委员会5人，其中招标人代表1人，其余4人由经济、技术类专家组成（含注册造价工程师2人）。经济技术类专家开标前从河南省综合评标专家库中随机抽取，与投标人有利害关系的人不得进入评标委员会，已进入的应当更换。评标委员会设负责人的，评标委员会负责人由评标委员会成员推举产生。评标委员会负责人与评标委员会的其他成员有同等的表决权。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360" w:lineRule="auto"/>
        <w:ind w:firstLine="480" w:firstLineChars="200"/>
        <w:contextualSpacing/>
        <w:jc w:val="left"/>
        <w:outlineLvl w:val="0"/>
        <w:rPr>
          <w:rFonts w:ascii="宋体" w:hAnsi="宋体" w:cs="宋体"/>
          <w:sz w:val="24"/>
        </w:rPr>
      </w:pPr>
      <w:r>
        <w:rPr>
          <w:rFonts w:hint="eastAsia" w:ascii="宋体" w:hAnsi="宋体" w:cs="宋体"/>
          <w:sz w:val="24"/>
        </w:rPr>
        <w:t>（二）评标委员会成员的回避：</w:t>
      </w:r>
    </w:p>
    <w:p>
      <w:pPr>
        <w:autoSpaceDE w:val="0"/>
        <w:autoSpaceDN w:val="0"/>
        <w:spacing w:line="360" w:lineRule="auto"/>
        <w:ind w:firstLine="480" w:firstLineChars="200"/>
        <w:contextualSpacing/>
        <w:jc w:val="left"/>
        <w:outlineLvl w:val="0"/>
        <w:rPr>
          <w:rFonts w:ascii="宋体" w:hAnsi="宋体" w:cs="宋体"/>
          <w:sz w:val="24"/>
        </w:rPr>
      </w:pPr>
      <w:r>
        <w:rPr>
          <w:rFonts w:hint="eastAsia" w:ascii="宋体" w:hAnsi="宋体" w:cs="宋体"/>
          <w:sz w:val="24"/>
        </w:rPr>
        <w:t>有下列情形之一的，不得担任评标委员会成员：</w:t>
      </w:r>
    </w:p>
    <w:p>
      <w:pPr>
        <w:autoSpaceDE w:val="0"/>
        <w:autoSpaceDN w:val="0"/>
        <w:spacing w:line="360" w:lineRule="auto"/>
        <w:ind w:firstLine="480" w:firstLineChars="200"/>
        <w:contextualSpacing/>
        <w:jc w:val="left"/>
        <w:outlineLvl w:val="0"/>
        <w:rPr>
          <w:rFonts w:ascii="宋体" w:hAnsi="宋体" w:cs="宋体"/>
          <w:sz w:val="24"/>
        </w:rPr>
      </w:pPr>
      <w:r>
        <w:rPr>
          <w:rFonts w:hint="eastAsia" w:ascii="宋体" w:hAnsi="宋体" w:cs="宋体"/>
          <w:sz w:val="24"/>
        </w:rPr>
        <w:t>1、投标人或者投标人主要负责人的近亲属；</w:t>
      </w:r>
    </w:p>
    <w:p>
      <w:pPr>
        <w:autoSpaceDE w:val="0"/>
        <w:autoSpaceDN w:val="0"/>
        <w:spacing w:line="360" w:lineRule="auto"/>
        <w:ind w:firstLine="480" w:firstLineChars="200"/>
        <w:contextualSpacing/>
        <w:jc w:val="left"/>
        <w:outlineLvl w:val="0"/>
        <w:rPr>
          <w:rFonts w:ascii="宋体" w:hAnsi="宋体" w:cs="宋体"/>
          <w:sz w:val="24"/>
        </w:rPr>
      </w:pPr>
      <w:r>
        <w:rPr>
          <w:rFonts w:hint="eastAsia" w:ascii="宋体" w:hAnsi="宋体" w:cs="宋体"/>
          <w:sz w:val="24"/>
        </w:rPr>
        <w:t>2、项目主管部门或者行政监督部门的人员；</w:t>
      </w:r>
    </w:p>
    <w:p>
      <w:pPr>
        <w:autoSpaceDE w:val="0"/>
        <w:autoSpaceDN w:val="0"/>
        <w:spacing w:line="360" w:lineRule="auto"/>
        <w:ind w:firstLine="480" w:firstLineChars="200"/>
        <w:contextualSpacing/>
        <w:jc w:val="left"/>
        <w:outlineLvl w:val="0"/>
        <w:rPr>
          <w:rFonts w:ascii="宋体" w:hAnsi="宋体" w:cs="宋体"/>
          <w:sz w:val="24"/>
        </w:rPr>
      </w:pPr>
      <w:r>
        <w:rPr>
          <w:rFonts w:hint="eastAsia" w:ascii="宋体" w:hAnsi="宋体" w:cs="宋体"/>
          <w:sz w:val="24"/>
        </w:rPr>
        <w:t>3、与投标人有经济利益关系，可能影响对投标公正评审的；</w:t>
      </w:r>
    </w:p>
    <w:p>
      <w:pPr>
        <w:autoSpaceDE w:val="0"/>
        <w:autoSpaceDN w:val="0"/>
        <w:spacing w:line="360" w:lineRule="auto"/>
        <w:ind w:firstLine="480" w:firstLineChars="200"/>
        <w:contextualSpacing/>
        <w:jc w:val="left"/>
        <w:outlineLvl w:val="0"/>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autoSpaceDE w:val="0"/>
        <w:autoSpaceDN w:val="0"/>
        <w:spacing w:line="360" w:lineRule="auto"/>
        <w:ind w:firstLine="480" w:firstLineChars="200"/>
        <w:contextualSpacing/>
        <w:jc w:val="left"/>
        <w:outlineLvl w:val="0"/>
        <w:rPr>
          <w:rFonts w:ascii="宋体" w:hAnsi="宋体" w:cs="宋体"/>
          <w:sz w:val="24"/>
        </w:rPr>
      </w:pPr>
      <w:r>
        <w:rPr>
          <w:rFonts w:hint="eastAsia" w:ascii="宋体" w:hAnsi="宋体" w:cs="宋体"/>
          <w:sz w:val="24"/>
        </w:rPr>
        <w:t>评标委员会成员有前款规定情形之一的，应当主动提出回避。</w:t>
      </w:r>
    </w:p>
    <w:p>
      <w:pPr>
        <w:autoSpaceDE w:val="0"/>
        <w:autoSpaceDN w:val="0"/>
        <w:spacing w:line="360" w:lineRule="auto"/>
        <w:contextualSpacing/>
        <w:jc w:val="left"/>
        <w:outlineLvl w:val="0"/>
        <w:rPr>
          <w:rFonts w:ascii="宋体" w:hAnsi="宋体" w:cs="宋体"/>
          <w:b/>
          <w:sz w:val="24"/>
        </w:rPr>
      </w:pPr>
      <w:r>
        <w:rPr>
          <w:rFonts w:hint="eastAsia" w:ascii="宋体" w:hAnsi="宋体" w:cs="宋体"/>
          <w:b/>
          <w:sz w:val="24"/>
        </w:rPr>
        <w:t>三、评标程序为：</w:t>
      </w:r>
    </w:p>
    <w:p>
      <w:pPr>
        <w:autoSpaceDE w:val="0"/>
        <w:autoSpaceDN w:val="0"/>
        <w:spacing w:line="360" w:lineRule="auto"/>
        <w:ind w:firstLine="480" w:firstLineChars="200"/>
        <w:contextualSpacing/>
        <w:jc w:val="left"/>
        <w:outlineLvl w:val="0"/>
        <w:rPr>
          <w:rFonts w:ascii="宋体" w:hAnsi="宋体" w:cs="宋体"/>
          <w:sz w:val="24"/>
        </w:rPr>
      </w:pPr>
      <w:r>
        <w:rPr>
          <w:rFonts w:hint="eastAsia" w:ascii="宋体" w:hAnsi="宋体" w:cs="宋体"/>
          <w:sz w:val="24"/>
        </w:rPr>
        <w:t>（1）清标；</w:t>
      </w:r>
    </w:p>
    <w:p>
      <w:pPr>
        <w:autoSpaceDE w:val="0"/>
        <w:autoSpaceDN w:val="0"/>
        <w:spacing w:line="360" w:lineRule="auto"/>
        <w:ind w:firstLine="480" w:firstLineChars="200"/>
        <w:contextualSpacing/>
        <w:jc w:val="left"/>
        <w:outlineLvl w:val="0"/>
        <w:rPr>
          <w:rFonts w:ascii="宋体" w:hAnsi="宋体" w:cs="宋体"/>
          <w:sz w:val="24"/>
        </w:rPr>
      </w:pPr>
      <w:r>
        <w:rPr>
          <w:rFonts w:hint="eastAsia" w:ascii="宋体" w:hAnsi="宋体" w:cs="宋体"/>
          <w:sz w:val="24"/>
        </w:rPr>
        <w:t>（2）初步评审；</w:t>
      </w:r>
    </w:p>
    <w:p>
      <w:pPr>
        <w:autoSpaceDE w:val="0"/>
        <w:autoSpaceDN w:val="0"/>
        <w:spacing w:line="360" w:lineRule="auto"/>
        <w:ind w:firstLine="480" w:firstLineChars="200"/>
        <w:contextualSpacing/>
        <w:jc w:val="left"/>
        <w:outlineLvl w:val="0"/>
        <w:rPr>
          <w:rFonts w:ascii="宋体" w:hAnsi="宋体" w:cs="宋体"/>
          <w:sz w:val="24"/>
        </w:rPr>
      </w:pPr>
      <w:r>
        <w:rPr>
          <w:rFonts w:hint="eastAsia" w:ascii="宋体" w:hAnsi="宋体" w:cs="宋体"/>
          <w:sz w:val="24"/>
        </w:rPr>
        <w:t>（3）详细评审；</w:t>
      </w:r>
    </w:p>
    <w:p>
      <w:pPr>
        <w:autoSpaceDE w:val="0"/>
        <w:autoSpaceDN w:val="0"/>
        <w:spacing w:line="360" w:lineRule="auto"/>
        <w:ind w:firstLine="480" w:firstLineChars="200"/>
        <w:contextualSpacing/>
        <w:jc w:val="left"/>
        <w:outlineLvl w:val="0"/>
        <w:rPr>
          <w:rFonts w:ascii="宋体" w:hAnsi="宋体" w:cs="宋体"/>
          <w:sz w:val="24"/>
        </w:rPr>
      </w:pPr>
      <w:r>
        <w:rPr>
          <w:rFonts w:hint="eastAsia" w:ascii="宋体" w:hAnsi="宋体" w:cs="宋体"/>
          <w:sz w:val="24"/>
        </w:rPr>
        <w:t>（4）问题的澄清、说明或补正；</w:t>
      </w:r>
    </w:p>
    <w:p>
      <w:pPr>
        <w:autoSpaceDE w:val="0"/>
        <w:autoSpaceDN w:val="0"/>
        <w:spacing w:line="360" w:lineRule="auto"/>
        <w:ind w:firstLine="480" w:firstLineChars="200"/>
        <w:contextualSpacing/>
        <w:jc w:val="left"/>
        <w:outlineLvl w:val="0"/>
        <w:rPr>
          <w:rFonts w:ascii="宋体" w:hAnsi="宋体" w:cs="宋体"/>
          <w:sz w:val="24"/>
        </w:rPr>
      </w:pPr>
      <w:r>
        <w:rPr>
          <w:rFonts w:hint="eastAsia" w:ascii="宋体" w:hAnsi="宋体" w:cs="宋体"/>
          <w:sz w:val="24"/>
        </w:rPr>
        <w:t>（5）推荐中标候选人；</w:t>
      </w:r>
    </w:p>
    <w:p>
      <w:pPr>
        <w:autoSpaceDE w:val="0"/>
        <w:autoSpaceDN w:val="0"/>
        <w:spacing w:line="360" w:lineRule="auto"/>
        <w:ind w:firstLine="480" w:firstLineChars="200"/>
        <w:contextualSpacing/>
        <w:jc w:val="left"/>
        <w:outlineLvl w:val="0"/>
        <w:rPr>
          <w:rFonts w:ascii="宋体" w:hAnsi="宋体" w:cs="宋体"/>
          <w:sz w:val="24"/>
        </w:rPr>
      </w:pPr>
      <w:r>
        <w:rPr>
          <w:rFonts w:hint="eastAsia" w:ascii="宋体" w:hAnsi="宋体" w:cs="宋体"/>
          <w:sz w:val="24"/>
        </w:rPr>
        <w:t>（6）推荐的中标候选人结果在指定媒体上进行公示。</w:t>
      </w:r>
    </w:p>
    <w:p>
      <w:pPr>
        <w:autoSpaceDE w:val="0"/>
        <w:autoSpaceDN w:val="0"/>
        <w:spacing w:line="360" w:lineRule="auto"/>
        <w:contextualSpacing/>
        <w:jc w:val="left"/>
        <w:outlineLvl w:val="0"/>
        <w:rPr>
          <w:rFonts w:ascii="宋体" w:hAnsi="宋体" w:cs="宋体"/>
          <w:b/>
          <w:bCs/>
          <w:sz w:val="24"/>
          <w:szCs w:val="24"/>
        </w:rPr>
      </w:pPr>
      <w:r>
        <w:rPr>
          <w:rFonts w:hint="eastAsia" w:ascii="宋体" w:hAnsi="宋体" w:cs="宋体"/>
          <w:b/>
          <w:sz w:val="24"/>
        </w:rPr>
        <w:t>四、清标</w:t>
      </w:r>
    </w:p>
    <w:p>
      <w:pPr>
        <w:autoSpaceDE w:val="0"/>
        <w:autoSpaceDN w:val="0"/>
        <w:spacing w:line="360" w:lineRule="auto"/>
        <w:ind w:firstLine="482" w:firstLineChars="200"/>
        <w:contextualSpacing/>
        <w:jc w:val="left"/>
        <w:outlineLvl w:val="0"/>
        <w:rPr>
          <w:rFonts w:ascii="宋体" w:hAnsi="宋体" w:cs="宋体"/>
          <w:b/>
          <w:bCs/>
          <w:sz w:val="24"/>
          <w:szCs w:val="24"/>
        </w:rPr>
      </w:pPr>
      <w:r>
        <w:rPr>
          <w:rFonts w:hint="eastAsia" w:ascii="宋体" w:hAnsi="宋体" w:cs="宋体"/>
          <w:b/>
          <w:bCs/>
          <w:sz w:val="24"/>
          <w:szCs w:val="24"/>
        </w:rPr>
        <w:t>先由评标委员会在商务标清标系统的辅助下对投标文件进行基础性数据分析和整理（清标内容见下表），形成清标成果。</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出现否定事项的，评标委员会不再对其质询，直接作为无效投标处理（但法律法规规定的细微偏差除外）。</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评标委员会应当书面要求存在细微偏差的投标人在评标结束前予以补正。拒不补正的，在详细评审时评标委员会将否决其投标。</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投标文件存在下列情形之一的，按废标处理：</w:t>
      </w:r>
    </w:p>
    <w:p>
      <w:pPr>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1.未按招标文件规定编制各项报价的；</w:t>
      </w:r>
    </w:p>
    <w:p>
      <w:pPr>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2.投标总报价与其组成部分、工程量清单项目合价与综合单价、综合单价与人材机用量相互矛盾，致使评标委员会无法正常评审判定的；</w:t>
      </w:r>
    </w:p>
    <w:p>
      <w:pPr>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3.规费和税金、安全文明施工措施费违背工程造价管理规定的；</w:t>
      </w:r>
    </w:p>
    <w:p>
      <w:pPr>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4.分部分项工程项目、措施项目报价中的项目编码、项目名称、项目特征、计量单位和工程量与招标文件的清单不一致的；</w:t>
      </w:r>
    </w:p>
    <w:p>
      <w:pPr>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5.未按照暂列金额或者暂估价编制投标报价的。</w:t>
      </w:r>
    </w:p>
    <w:p>
      <w:pPr>
        <w:spacing w:line="360" w:lineRule="auto"/>
        <w:ind w:firstLine="480" w:firstLineChars="200"/>
        <w:rPr>
          <w:rFonts w:ascii="宋体" w:hAnsi="宋体" w:cs="宋体"/>
          <w:b/>
          <w:bCs/>
          <w:sz w:val="24"/>
          <w:szCs w:val="24"/>
        </w:rPr>
      </w:pPr>
      <w:r>
        <w:rPr>
          <w:rFonts w:hint="eastAsia" w:ascii="宋体" w:hAnsi="宋体" w:cs="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2" w:firstLineChars="200"/>
        <w:contextualSpacing/>
        <w:jc w:val="center"/>
        <w:rPr>
          <w:rFonts w:ascii="宋体" w:hAnsi="宋体" w:cs="宋体"/>
          <w:b/>
          <w:bCs/>
          <w:sz w:val="24"/>
          <w:szCs w:val="24"/>
        </w:rPr>
      </w:pPr>
      <w:r>
        <w:rPr>
          <w:rFonts w:hint="eastAsia" w:ascii="宋体" w:hAnsi="宋体" w:cs="宋体"/>
          <w:b/>
          <w:bCs/>
          <w:sz w:val="24"/>
          <w:szCs w:val="24"/>
        </w:rPr>
        <w:t>商务标清标内容</w:t>
      </w:r>
    </w:p>
    <w:tbl>
      <w:tblPr>
        <w:tblStyle w:val="15"/>
        <w:tblW w:w="9871" w:type="dxa"/>
        <w:jc w:val="center"/>
        <w:tblLayout w:type="fixed"/>
        <w:tblCellMar>
          <w:top w:w="0" w:type="dxa"/>
          <w:left w:w="108" w:type="dxa"/>
          <w:bottom w:w="0" w:type="dxa"/>
          <w:right w:w="108" w:type="dxa"/>
        </w:tblCellMar>
      </w:tblPr>
      <w:tblGrid>
        <w:gridCol w:w="525"/>
        <w:gridCol w:w="645"/>
        <w:gridCol w:w="3698"/>
        <w:gridCol w:w="3645"/>
        <w:gridCol w:w="698"/>
        <w:gridCol w:w="660"/>
      </w:tblGrid>
      <w:tr>
        <w:tblPrEx>
          <w:tblCellMar>
            <w:top w:w="0" w:type="dxa"/>
            <w:left w:w="108" w:type="dxa"/>
            <w:bottom w:w="0" w:type="dxa"/>
            <w:right w:w="108" w:type="dxa"/>
          </w:tblCellMar>
        </w:tblPrEx>
        <w:trPr>
          <w:trHeight w:val="282" w:hRule="atLeast"/>
          <w:jc w:val="center"/>
        </w:trPr>
        <w:tc>
          <w:tcPr>
            <w:tcW w:w="117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2"/>
                <w:szCs w:val="20"/>
              </w:rPr>
            </w:pPr>
            <w:bookmarkStart w:id="212" w:name="_Toc464824721"/>
            <w:bookmarkEnd w:id="212"/>
            <w:bookmarkStart w:id="213" w:name="_Toc31423"/>
            <w:r>
              <w:rPr>
                <w:rFonts w:hint="eastAsia" w:ascii="宋体" w:hAnsi="宋体" w:cs="宋体"/>
                <w:sz w:val="22"/>
                <w:szCs w:val="20"/>
              </w:rPr>
              <w:t>序号</w:t>
            </w:r>
          </w:p>
        </w:tc>
        <w:tc>
          <w:tcPr>
            <w:tcW w:w="3698" w:type="dxa"/>
            <w:vMerge w:val="restart"/>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r>
              <w:rPr>
                <w:rFonts w:hint="eastAsia" w:ascii="宋体" w:hAnsi="宋体" w:cs="宋体"/>
                <w:sz w:val="22"/>
                <w:szCs w:val="20"/>
              </w:rPr>
              <w:t>清标项目</w:t>
            </w:r>
          </w:p>
        </w:tc>
        <w:tc>
          <w:tcPr>
            <w:tcW w:w="3645" w:type="dxa"/>
            <w:vMerge w:val="restart"/>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r>
              <w:rPr>
                <w:rFonts w:hint="eastAsia" w:ascii="宋体" w:hAnsi="宋体" w:cs="宋体"/>
                <w:sz w:val="22"/>
                <w:szCs w:val="20"/>
              </w:rPr>
              <w:t>清标内容</w:t>
            </w:r>
          </w:p>
        </w:tc>
        <w:tc>
          <w:tcPr>
            <w:tcW w:w="135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清标结果</w:t>
            </w:r>
          </w:p>
        </w:tc>
      </w:tr>
      <w:tr>
        <w:tblPrEx>
          <w:tblCellMar>
            <w:top w:w="0" w:type="dxa"/>
            <w:left w:w="108" w:type="dxa"/>
            <w:bottom w:w="0" w:type="dxa"/>
            <w:right w:w="108" w:type="dxa"/>
          </w:tblCellMar>
        </w:tblPrEx>
        <w:trPr>
          <w:trHeight w:val="150" w:hRule="atLeast"/>
          <w:jc w:val="center"/>
        </w:trPr>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3698" w:type="dxa"/>
            <w:vMerge w:val="continue"/>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3645" w:type="dxa"/>
            <w:vMerge w:val="continue"/>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9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是</w:t>
            </w:r>
          </w:p>
        </w:tc>
        <w:tc>
          <w:tcPr>
            <w:tcW w:w="6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否</w:t>
            </w: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1</w:t>
            </w:r>
          </w:p>
        </w:tc>
        <w:tc>
          <w:tcPr>
            <w:tcW w:w="64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1.1</w:t>
            </w:r>
          </w:p>
        </w:tc>
        <w:tc>
          <w:tcPr>
            <w:tcW w:w="3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left"/>
              <w:rPr>
                <w:rFonts w:ascii="宋体" w:hAnsi="宋体" w:cs="宋体"/>
                <w:sz w:val="22"/>
                <w:szCs w:val="20"/>
              </w:rPr>
            </w:pPr>
            <w:r>
              <w:rPr>
                <w:rFonts w:hint="eastAsia" w:ascii="宋体" w:hAnsi="宋体" w:cs="宋体"/>
                <w:sz w:val="22"/>
                <w:szCs w:val="20"/>
              </w:rPr>
              <w:t>项目总报价</w:t>
            </w:r>
          </w:p>
        </w:tc>
        <w:tc>
          <w:tcPr>
            <w:tcW w:w="3645"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r>
              <w:rPr>
                <w:rFonts w:hint="eastAsia" w:ascii="宋体" w:hAnsi="宋体" w:cs="宋体"/>
                <w:sz w:val="22"/>
                <w:szCs w:val="20"/>
              </w:rPr>
              <w:t>是否等于各单项工程造价之和</w:t>
            </w:r>
          </w:p>
        </w:tc>
        <w:tc>
          <w:tcPr>
            <w:tcW w:w="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1.2</w:t>
            </w:r>
          </w:p>
        </w:tc>
        <w:tc>
          <w:tcPr>
            <w:tcW w:w="3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left"/>
              <w:rPr>
                <w:rFonts w:ascii="宋体" w:hAnsi="宋体" w:cs="宋体"/>
                <w:sz w:val="22"/>
                <w:szCs w:val="20"/>
              </w:rPr>
            </w:pPr>
            <w:r>
              <w:rPr>
                <w:rFonts w:hint="eastAsia" w:ascii="宋体" w:hAnsi="宋体" w:cs="宋体"/>
                <w:sz w:val="22"/>
                <w:szCs w:val="20"/>
              </w:rPr>
              <w:t>单项工程费</w:t>
            </w:r>
          </w:p>
        </w:tc>
        <w:tc>
          <w:tcPr>
            <w:tcW w:w="3645"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r>
              <w:rPr>
                <w:rFonts w:hint="eastAsia" w:ascii="宋体" w:hAnsi="宋体" w:cs="宋体"/>
                <w:sz w:val="22"/>
                <w:szCs w:val="20"/>
              </w:rPr>
              <w:t>是否等于各单位工程造价之和</w:t>
            </w:r>
          </w:p>
        </w:tc>
        <w:tc>
          <w:tcPr>
            <w:tcW w:w="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1.3</w:t>
            </w:r>
          </w:p>
        </w:tc>
        <w:tc>
          <w:tcPr>
            <w:tcW w:w="3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left"/>
              <w:rPr>
                <w:rFonts w:ascii="宋体" w:hAnsi="宋体" w:cs="宋体"/>
                <w:sz w:val="22"/>
                <w:szCs w:val="20"/>
              </w:rPr>
            </w:pPr>
            <w:r>
              <w:rPr>
                <w:rFonts w:hint="eastAsia" w:ascii="宋体" w:hAnsi="宋体" w:cs="宋体"/>
                <w:sz w:val="22"/>
                <w:szCs w:val="20"/>
              </w:rPr>
              <w:t>单位工程费</w:t>
            </w:r>
          </w:p>
        </w:tc>
        <w:tc>
          <w:tcPr>
            <w:tcW w:w="3645"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r>
              <w:rPr>
                <w:rFonts w:hint="eastAsia" w:ascii="宋体" w:hAnsi="宋体" w:cs="宋体"/>
                <w:sz w:val="22"/>
                <w:szCs w:val="20"/>
              </w:rPr>
              <w:t>是否等于分部分项工程费+措施项目费+其它项目费+规费+税金之和</w:t>
            </w:r>
          </w:p>
        </w:tc>
        <w:tc>
          <w:tcPr>
            <w:tcW w:w="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2</w:t>
            </w:r>
          </w:p>
        </w:tc>
        <w:tc>
          <w:tcPr>
            <w:tcW w:w="64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2.1</w:t>
            </w:r>
          </w:p>
        </w:tc>
        <w:tc>
          <w:tcPr>
            <w:tcW w:w="3698"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宋体"/>
                <w:sz w:val="22"/>
                <w:szCs w:val="20"/>
              </w:rPr>
            </w:pPr>
            <w:r>
              <w:rPr>
                <w:rFonts w:hint="eastAsia" w:ascii="宋体" w:hAnsi="宋体" w:cs="宋体"/>
                <w:sz w:val="22"/>
                <w:szCs w:val="20"/>
              </w:rPr>
              <w:t>分部分项工程费及单价措施费</w:t>
            </w:r>
          </w:p>
        </w:tc>
        <w:tc>
          <w:tcPr>
            <w:tcW w:w="3645"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r>
              <w:rPr>
                <w:rFonts w:hint="eastAsia" w:ascii="宋体" w:hAnsi="宋体" w:cs="宋体"/>
                <w:sz w:val="22"/>
                <w:szCs w:val="20"/>
              </w:rPr>
              <w:t>是否等于各分部分项清单（含单价措施项目）费之和</w:t>
            </w:r>
          </w:p>
        </w:tc>
        <w:tc>
          <w:tcPr>
            <w:tcW w:w="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2.2</w:t>
            </w:r>
          </w:p>
        </w:tc>
        <w:tc>
          <w:tcPr>
            <w:tcW w:w="3698"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宋体"/>
                <w:sz w:val="22"/>
                <w:szCs w:val="20"/>
              </w:rPr>
            </w:pPr>
            <w:r>
              <w:rPr>
                <w:rFonts w:hint="eastAsia" w:ascii="宋体" w:hAnsi="宋体" w:cs="宋体"/>
                <w:sz w:val="22"/>
                <w:szCs w:val="20"/>
              </w:rPr>
              <w:t>分部分项及单价措施项目编码</w:t>
            </w:r>
          </w:p>
        </w:tc>
        <w:tc>
          <w:tcPr>
            <w:tcW w:w="3645"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r>
              <w:rPr>
                <w:rFonts w:hint="eastAsia" w:ascii="宋体" w:hAnsi="宋体" w:cs="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2.3</w:t>
            </w:r>
          </w:p>
        </w:tc>
        <w:tc>
          <w:tcPr>
            <w:tcW w:w="3698"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宋体"/>
                <w:sz w:val="22"/>
                <w:szCs w:val="20"/>
              </w:rPr>
            </w:pPr>
            <w:r>
              <w:rPr>
                <w:rFonts w:hint="eastAsia" w:ascii="宋体" w:hAnsi="宋体" w:cs="宋体"/>
                <w:sz w:val="22"/>
                <w:szCs w:val="20"/>
              </w:rPr>
              <w:t>分部分项及单价措施项目名称</w:t>
            </w:r>
          </w:p>
        </w:tc>
        <w:tc>
          <w:tcPr>
            <w:tcW w:w="3645"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r>
              <w:rPr>
                <w:rFonts w:hint="eastAsia" w:ascii="宋体" w:hAnsi="宋体" w:cs="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2.4</w:t>
            </w:r>
          </w:p>
        </w:tc>
        <w:tc>
          <w:tcPr>
            <w:tcW w:w="3698"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宋体"/>
                <w:sz w:val="22"/>
                <w:szCs w:val="20"/>
              </w:rPr>
            </w:pPr>
            <w:r>
              <w:rPr>
                <w:rFonts w:hint="eastAsia" w:ascii="宋体" w:hAnsi="宋体" w:cs="宋体"/>
                <w:sz w:val="22"/>
                <w:szCs w:val="20"/>
              </w:rPr>
              <w:t>分部分项及单价措施项目特征</w:t>
            </w:r>
          </w:p>
        </w:tc>
        <w:tc>
          <w:tcPr>
            <w:tcW w:w="3645"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r>
              <w:rPr>
                <w:rFonts w:hint="eastAsia" w:ascii="宋体" w:hAnsi="宋体" w:cs="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2.5</w:t>
            </w:r>
          </w:p>
        </w:tc>
        <w:tc>
          <w:tcPr>
            <w:tcW w:w="3698"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宋体"/>
                <w:sz w:val="22"/>
                <w:szCs w:val="20"/>
              </w:rPr>
            </w:pPr>
            <w:r>
              <w:rPr>
                <w:rFonts w:hint="eastAsia" w:ascii="宋体" w:hAnsi="宋体" w:cs="宋体"/>
                <w:sz w:val="22"/>
                <w:szCs w:val="20"/>
              </w:rPr>
              <w:t>分部分项及单价措施项目计量单位</w:t>
            </w:r>
          </w:p>
        </w:tc>
        <w:tc>
          <w:tcPr>
            <w:tcW w:w="3645"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r>
              <w:rPr>
                <w:rFonts w:hint="eastAsia" w:ascii="宋体" w:hAnsi="宋体" w:cs="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2.6</w:t>
            </w:r>
          </w:p>
        </w:tc>
        <w:tc>
          <w:tcPr>
            <w:tcW w:w="3698"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宋体"/>
                <w:sz w:val="22"/>
                <w:szCs w:val="20"/>
              </w:rPr>
            </w:pPr>
            <w:r>
              <w:rPr>
                <w:rFonts w:hint="eastAsia" w:ascii="宋体" w:hAnsi="宋体" w:cs="宋体"/>
                <w:sz w:val="22"/>
                <w:szCs w:val="20"/>
              </w:rPr>
              <w:t>分部分项及单价措施项目工程量</w:t>
            </w:r>
          </w:p>
        </w:tc>
        <w:tc>
          <w:tcPr>
            <w:tcW w:w="3645"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r>
              <w:rPr>
                <w:rFonts w:hint="eastAsia" w:ascii="宋体" w:hAnsi="宋体" w:cs="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2.7</w:t>
            </w:r>
          </w:p>
        </w:tc>
        <w:tc>
          <w:tcPr>
            <w:tcW w:w="3698"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宋体"/>
                <w:sz w:val="22"/>
                <w:szCs w:val="20"/>
              </w:rPr>
            </w:pPr>
            <w:r>
              <w:rPr>
                <w:rFonts w:hint="eastAsia" w:ascii="宋体" w:hAnsi="宋体" w:cs="宋体"/>
                <w:sz w:val="22"/>
                <w:szCs w:val="20"/>
              </w:rPr>
              <w:t>分部分项工程费及单价措施费清单综合单价</w:t>
            </w:r>
          </w:p>
        </w:tc>
        <w:tc>
          <w:tcPr>
            <w:tcW w:w="3645"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r>
              <w:rPr>
                <w:rFonts w:hint="eastAsia" w:ascii="宋体" w:hAnsi="宋体" w:cs="宋体"/>
                <w:sz w:val="22"/>
                <w:szCs w:val="20"/>
              </w:rPr>
              <w:t>综合单价＝人工费+材料费+机械费+管理费+利润之和</w:t>
            </w:r>
          </w:p>
        </w:tc>
        <w:tc>
          <w:tcPr>
            <w:tcW w:w="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2.8</w:t>
            </w:r>
          </w:p>
        </w:tc>
        <w:tc>
          <w:tcPr>
            <w:tcW w:w="3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left"/>
              <w:rPr>
                <w:rFonts w:ascii="宋体" w:hAnsi="宋体" w:cs="宋体"/>
                <w:sz w:val="22"/>
                <w:szCs w:val="20"/>
              </w:rPr>
            </w:pPr>
            <w:r>
              <w:rPr>
                <w:rFonts w:hint="eastAsia" w:ascii="宋体" w:hAnsi="宋体" w:cs="宋体"/>
                <w:sz w:val="22"/>
                <w:szCs w:val="20"/>
              </w:rPr>
              <w:t>材料单价</w:t>
            </w:r>
          </w:p>
        </w:tc>
        <w:tc>
          <w:tcPr>
            <w:tcW w:w="3645"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r>
              <w:rPr>
                <w:rFonts w:hint="eastAsia" w:ascii="宋体" w:hAnsi="宋体" w:cs="宋体"/>
                <w:sz w:val="22"/>
                <w:szCs w:val="20"/>
              </w:rPr>
              <w:t>材料表中的单价与组成清单单价中的综合单价必须一致</w:t>
            </w:r>
          </w:p>
        </w:tc>
        <w:tc>
          <w:tcPr>
            <w:tcW w:w="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3</w:t>
            </w:r>
          </w:p>
        </w:tc>
        <w:tc>
          <w:tcPr>
            <w:tcW w:w="64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3.1</w:t>
            </w:r>
          </w:p>
        </w:tc>
        <w:tc>
          <w:tcPr>
            <w:tcW w:w="3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left"/>
              <w:rPr>
                <w:rFonts w:ascii="宋体" w:hAnsi="宋体" w:cs="宋体"/>
                <w:sz w:val="22"/>
                <w:szCs w:val="20"/>
              </w:rPr>
            </w:pPr>
            <w:r>
              <w:rPr>
                <w:rFonts w:hint="eastAsia" w:ascii="宋体" w:hAnsi="宋体" w:cs="宋体"/>
                <w:sz w:val="22"/>
                <w:szCs w:val="20"/>
              </w:rPr>
              <w:t>安全文明施工费</w:t>
            </w:r>
          </w:p>
        </w:tc>
        <w:tc>
          <w:tcPr>
            <w:tcW w:w="3645"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r>
              <w:rPr>
                <w:rFonts w:hint="eastAsia" w:ascii="宋体" w:hAnsi="宋体" w:cs="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3.2</w:t>
            </w:r>
          </w:p>
        </w:tc>
        <w:tc>
          <w:tcPr>
            <w:tcW w:w="3698"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宋体"/>
                <w:sz w:val="22"/>
                <w:szCs w:val="20"/>
              </w:rPr>
            </w:pPr>
            <w:r>
              <w:rPr>
                <w:rFonts w:hint="eastAsia" w:ascii="宋体" w:hAnsi="宋体" w:cs="宋体"/>
                <w:sz w:val="22"/>
                <w:szCs w:val="20"/>
              </w:rPr>
              <w:t>其他措施费（费率类）项目</w:t>
            </w:r>
          </w:p>
        </w:tc>
        <w:tc>
          <w:tcPr>
            <w:tcW w:w="3645"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r>
              <w:rPr>
                <w:rFonts w:hint="eastAsia" w:ascii="宋体" w:hAnsi="宋体" w:cs="宋体"/>
                <w:sz w:val="22"/>
                <w:szCs w:val="20"/>
              </w:rPr>
              <w:t>根据招标文件要求自主报价</w:t>
            </w:r>
          </w:p>
        </w:tc>
        <w:tc>
          <w:tcPr>
            <w:tcW w:w="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4</w:t>
            </w:r>
          </w:p>
        </w:tc>
        <w:tc>
          <w:tcPr>
            <w:tcW w:w="64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4.1</w:t>
            </w:r>
          </w:p>
        </w:tc>
        <w:tc>
          <w:tcPr>
            <w:tcW w:w="3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left"/>
              <w:rPr>
                <w:rFonts w:ascii="宋体" w:hAnsi="宋体" w:cs="宋体"/>
                <w:sz w:val="22"/>
                <w:szCs w:val="20"/>
              </w:rPr>
            </w:pPr>
            <w:r>
              <w:rPr>
                <w:rFonts w:hint="eastAsia" w:ascii="宋体" w:hAnsi="宋体" w:cs="宋体"/>
                <w:sz w:val="22"/>
                <w:szCs w:val="20"/>
              </w:rPr>
              <w:t>其它项目费</w:t>
            </w:r>
          </w:p>
        </w:tc>
        <w:tc>
          <w:tcPr>
            <w:tcW w:w="3645"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r>
              <w:rPr>
                <w:rFonts w:hint="eastAsia" w:ascii="宋体" w:hAnsi="宋体" w:cs="宋体"/>
                <w:sz w:val="22"/>
                <w:szCs w:val="20"/>
              </w:rPr>
              <w:t>各组成部分之和（暂列金额+专业暂估价+计日工费+总承包服务费）</w:t>
            </w:r>
          </w:p>
        </w:tc>
        <w:tc>
          <w:tcPr>
            <w:tcW w:w="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4.2</w:t>
            </w:r>
          </w:p>
        </w:tc>
        <w:tc>
          <w:tcPr>
            <w:tcW w:w="3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left"/>
              <w:rPr>
                <w:rFonts w:ascii="宋体" w:hAnsi="宋体" w:cs="宋体"/>
                <w:sz w:val="22"/>
                <w:szCs w:val="20"/>
              </w:rPr>
            </w:pPr>
            <w:r>
              <w:rPr>
                <w:rFonts w:hint="eastAsia" w:ascii="宋体" w:hAnsi="宋体" w:cs="宋体"/>
                <w:sz w:val="22"/>
                <w:szCs w:val="20"/>
              </w:rPr>
              <w:t>暂列金额</w:t>
            </w:r>
          </w:p>
        </w:tc>
        <w:tc>
          <w:tcPr>
            <w:tcW w:w="3645"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r>
              <w:rPr>
                <w:rFonts w:hint="eastAsia" w:ascii="宋体" w:hAnsi="宋体" w:cs="宋体"/>
                <w:sz w:val="22"/>
                <w:szCs w:val="20"/>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4.3</w:t>
            </w:r>
          </w:p>
        </w:tc>
        <w:tc>
          <w:tcPr>
            <w:tcW w:w="3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left"/>
              <w:rPr>
                <w:rFonts w:ascii="宋体" w:hAnsi="宋体" w:cs="宋体"/>
                <w:sz w:val="22"/>
                <w:szCs w:val="20"/>
              </w:rPr>
            </w:pPr>
            <w:r>
              <w:rPr>
                <w:rFonts w:hint="eastAsia" w:ascii="宋体" w:hAnsi="宋体" w:cs="宋体"/>
                <w:sz w:val="22"/>
                <w:szCs w:val="20"/>
              </w:rPr>
              <w:t>专业工程暂估价</w:t>
            </w:r>
          </w:p>
        </w:tc>
        <w:tc>
          <w:tcPr>
            <w:tcW w:w="3645"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r>
              <w:rPr>
                <w:rFonts w:hint="eastAsia" w:ascii="宋体" w:hAnsi="宋体" w:cs="宋体"/>
                <w:sz w:val="22"/>
                <w:szCs w:val="20"/>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4.4</w:t>
            </w:r>
          </w:p>
        </w:tc>
        <w:tc>
          <w:tcPr>
            <w:tcW w:w="3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left"/>
              <w:rPr>
                <w:rFonts w:ascii="宋体" w:hAnsi="宋体" w:cs="宋体"/>
                <w:sz w:val="22"/>
                <w:szCs w:val="20"/>
              </w:rPr>
            </w:pPr>
            <w:r>
              <w:rPr>
                <w:rFonts w:hint="eastAsia" w:ascii="宋体" w:hAnsi="宋体" w:cs="宋体"/>
                <w:sz w:val="22"/>
                <w:szCs w:val="20"/>
              </w:rPr>
              <w:t>计日工</w:t>
            </w:r>
          </w:p>
        </w:tc>
        <w:tc>
          <w:tcPr>
            <w:tcW w:w="3645"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r>
              <w:rPr>
                <w:rFonts w:hint="eastAsia" w:ascii="宋体" w:hAnsi="宋体" w:cs="宋体"/>
                <w:sz w:val="22"/>
                <w:szCs w:val="20"/>
              </w:rPr>
              <w:t>应与招标人数量一致</w:t>
            </w:r>
          </w:p>
        </w:tc>
        <w:tc>
          <w:tcPr>
            <w:tcW w:w="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4.5</w:t>
            </w:r>
          </w:p>
        </w:tc>
        <w:tc>
          <w:tcPr>
            <w:tcW w:w="3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left"/>
              <w:rPr>
                <w:rFonts w:ascii="宋体" w:hAnsi="宋体" w:cs="宋体"/>
                <w:sz w:val="22"/>
                <w:szCs w:val="20"/>
              </w:rPr>
            </w:pPr>
            <w:r>
              <w:rPr>
                <w:rFonts w:hint="eastAsia" w:ascii="宋体" w:hAnsi="宋体" w:cs="宋体"/>
                <w:sz w:val="22"/>
                <w:szCs w:val="20"/>
              </w:rPr>
              <w:t>总承包服务费</w:t>
            </w:r>
          </w:p>
        </w:tc>
        <w:tc>
          <w:tcPr>
            <w:tcW w:w="3645"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r>
              <w:rPr>
                <w:rFonts w:hint="eastAsia" w:ascii="宋体" w:hAnsi="宋体" w:cs="宋体"/>
                <w:sz w:val="22"/>
                <w:szCs w:val="20"/>
              </w:rPr>
              <w:t>是否按招标文件要求计算</w:t>
            </w:r>
          </w:p>
        </w:tc>
        <w:tc>
          <w:tcPr>
            <w:tcW w:w="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5</w:t>
            </w:r>
          </w:p>
        </w:tc>
        <w:tc>
          <w:tcPr>
            <w:tcW w:w="645"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3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left"/>
              <w:rPr>
                <w:rFonts w:ascii="宋体" w:hAnsi="宋体" w:cs="宋体"/>
                <w:sz w:val="22"/>
                <w:szCs w:val="20"/>
              </w:rPr>
            </w:pPr>
            <w:r>
              <w:rPr>
                <w:rFonts w:hint="eastAsia" w:ascii="宋体" w:hAnsi="宋体" w:cs="宋体"/>
                <w:sz w:val="22"/>
                <w:szCs w:val="20"/>
              </w:rPr>
              <w:t>规费</w:t>
            </w:r>
          </w:p>
        </w:tc>
        <w:tc>
          <w:tcPr>
            <w:tcW w:w="3645"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r>
              <w:rPr>
                <w:rFonts w:hint="eastAsia" w:ascii="宋体" w:hAnsi="宋体" w:cs="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6</w:t>
            </w:r>
          </w:p>
        </w:tc>
        <w:tc>
          <w:tcPr>
            <w:tcW w:w="645"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3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left"/>
              <w:rPr>
                <w:rFonts w:ascii="宋体" w:hAnsi="宋体" w:cs="宋体"/>
                <w:sz w:val="22"/>
                <w:szCs w:val="20"/>
              </w:rPr>
            </w:pPr>
            <w:r>
              <w:rPr>
                <w:rFonts w:hint="eastAsia" w:ascii="宋体" w:hAnsi="宋体" w:cs="宋体"/>
                <w:sz w:val="22"/>
                <w:szCs w:val="20"/>
              </w:rPr>
              <w:t>增值税</w:t>
            </w:r>
          </w:p>
        </w:tc>
        <w:tc>
          <w:tcPr>
            <w:tcW w:w="3645"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r>
              <w:rPr>
                <w:rFonts w:hint="eastAsia" w:ascii="宋体" w:hAnsi="宋体" w:cs="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r>
      <w:tr>
        <w:tblPrEx>
          <w:tblCellMar>
            <w:top w:w="0" w:type="dxa"/>
            <w:left w:w="108" w:type="dxa"/>
            <w:bottom w:w="0" w:type="dxa"/>
            <w:right w:w="108" w:type="dxa"/>
          </w:tblCellMar>
        </w:tblPrEx>
        <w:trPr>
          <w:trHeight w:val="471"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2"/>
                <w:szCs w:val="20"/>
              </w:rPr>
            </w:pPr>
            <w:r>
              <w:rPr>
                <w:rFonts w:hint="eastAsia" w:ascii="宋体" w:hAnsi="宋体" w:cs="宋体"/>
                <w:sz w:val="22"/>
                <w:szCs w:val="20"/>
              </w:rPr>
              <w:t>7</w:t>
            </w:r>
          </w:p>
        </w:tc>
        <w:tc>
          <w:tcPr>
            <w:tcW w:w="645"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7343" w:type="dxa"/>
            <w:gridSpan w:val="2"/>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r>
              <w:rPr>
                <w:rFonts w:hint="eastAsia" w:ascii="宋体" w:hAnsi="宋体" w:cs="宋体"/>
                <w:sz w:val="22"/>
                <w:szCs w:val="20"/>
              </w:rPr>
              <w:t>不违反法律、法规、规章、规范性文件规定的其它情况</w:t>
            </w:r>
          </w:p>
        </w:tc>
        <w:tc>
          <w:tcPr>
            <w:tcW w:w="698"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360" w:lineRule="auto"/>
              <w:ind w:firstLine="440" w:firstLineChars="200"/>
              <w:jc w:val="center"/>
              <w:rPr>
                <w:rFonts w:ascii="宋体" w:hAnsi="宋体" w:cs="宋体"/>
                <w:sz w:val="22"/>
                <w:szCs w:val="20"/>
              </w:rPr>
            </w:pPr>
          </w:p>
        </w:tc>
      </w:tr>
    </w:tbl>
    <w:p>
      <w:pPr>
        <w:autoSpaceDE w:val="0"/>
        <w:autoSpaceDN w:val="0"/>
        <w:spacing w:line="360" w:lineRule="auto"/>
        <w:ind w:firstLine="482" w:firstLineChars="200"/>
        <w:contextualSpacing/>
        <w:jc w:val="left"/>
        <w:outlineLvl w:val="0"/>
        <w:rPr>
          <w:rFonts w:ascii="宋体" w:hAnsi="宋体" w:cs="宋体"/>
          <w:b/>
          <w:bCs/>
          <w:sz w:val="24"/>
          <w:szCs w:val="24"/>
        </w:rPr>
      </w:pPr>
      <w:r>
        <w:rPr>
          <w:rFonts w:hint="eastAsia" w:ascii="宋体" w:hAnsi="宋体" w:cs="宋体"/>
          <w:b/>
          <w:bCs/>
          <w:sz w:val="24"/>
          <w:szCs w:val="24"/>
        </w:rPr>
        <w:t>注：不在上述范围内且不具有实质性影响的内容，均不能作为清标的依据或理由。</w:t>
      </w:r>
    </w:p>
    <w:bookmarkEnd w:id="213"/>
    <w:p>
      <w:pPr>
        <w:adjustRightInd w:val="0"/>
        <w:snapToGrid w:val="0"/>
        <w:spacing w:line="360" w:lineRule="auto"/>
        <w:ind w:firstLine="482" w:firstLineChars="200"/>
        <w:rPr>
          <w:rFonts w:ascii="宋体" w:hAnsi="宋体" w:cs="宋体"/>
          <w:b/>
          <w:sz w:val="24"/>
        </w:rPr>
      </w:pPr>
      <w:r>
        <w:rPr>
          <w:rFonts w:hint="eastAsia" w:ascii="宋体" w:hAnsi="宋体" w:cs="宋体"/>
          <w:b/>
          <w:sz w:val="24"/>
        </w:rPr>
        <w:t>五、初步评审</w:t>
      </w:r>
    </w:p>
    <w:p>
      <w:pPr>
        <w:autoSpaceDE w:val="0"/>
        <w:autoSpaceDN w:val="0"/>
        <w:spacing w:line="360" w:lineRule="auto"/>
        <w:ind w:firstLine="480" w:firstLineChars="200"/>
        <w:contextualSpacing/>
        <w:jc w:val="left"/>
        <w:outlineLvl w:val="0"/>
        <w:rPr>
          <w:rFonts w:ascii="宋体" w:hAnsi="宋体" w:cs="宋体"/>
          <w:kern w:val="0"/>
          <w:sz w:val="24"/>
          <w:szCs w:val="24"/>
        </w:rPr>
      </w:pPr>
      <w:bookmarkStart w:id="214" w:name="_Toc21112"/>
      <w:r>
        <w:rPr>
          <w:rFonts w:hint="eastAsia" w:ascii="宋体" w:hAnsi="宋体" w:cs="宋体"/>
          <w:kern w:val="0"/>
          <w:sz w:val="24"/>
          <w:szCs w:val="24"/>
        </w:rPr>
        <w:t>招标人依法组织的评标委员会首先对投标人进行初步评审，只有通过初步评审的投标人才能进入下步评审。</w:t>
      </w:r>
      <w:bookmarkEnd w:id="214"/>
      <w:bookmarkStart w:id="215" w:name="_Toc464824723"/>
      <w:bookmarkEnd w:id="215"/>
      <w:bookmarkStart w:id="216" w:name="_Toc27484"/>
      <w:bookmarkEnd w:id="216"/>
    </w:p>
    <w:p>
      <w:pPr>
        <w:snapToGrid w:val="0"/>
        <w:spacing w:line="360" w:lineRule="auto"/>
        <w:ind w:firstLine="480" w:firstLineChars="200"/>
        <w:rPr>
          <w:rFonts w:ascii="宋体" w:hAnsi="宋体" w:cs="宋体"/>
          <w:sz w:val="24"/>
        </w:rPr>
      </w:pPr>
      <w:r>
        <w:rPr>
          <w:rFonts w:hint="eastAsia" w:ascii="宋体" w:hAnsi="宋体" w:cs="宋体"/>
          <w:sz w:val="24"/>
        </w:rPr>
        <w:t>初步评审主要包括以下内容：</w:t>
      </w:r>
    </w:p>
    <w:p>
      <w:pPr>
        <w:numPr>
          <w:ilvl w:val="0"/>
          <w:numId w:val="1"/>
        </w:numPr>
        <w:snapToGrid w:val="0"/>
        <w:spacing w:line="360" w:lineRule="auto"/>
        <w:ind w:firstLine="480" w:firstLineChars="200"/>
        <w:rPr>
          <w:rFonts w:ascii="宋体" w:hAnsi="宋体" w:cs="宋体"/>
          <w:sz w:val="24"/>
        </w:rPr>
      </w:pPr>
      <w:r>
        <w:rPr>
          <w:rFonts w:hint="eastAsia" w:ascii="宋体" w:hAnsi="宋体" w:cs="宋体"/>
          <w:sz w:val="24"/>
        </w:rPr>
        <w:t>投标文件未按前附表要求签字盖章；</w:t>
      </w:r>
    </w:p>
    <w:p>
      <w:pPr>
        <w:snapToGrid w:val="0"/>
        <w:spacing w:line="360" w:lineRule="auto"/>
        <w:ind w:firstLine="480" w:firstLineChars="200"/>
        <w:rPr>
          <w:rFonts w:ascii="宋体" w:hAnsi="宋体" w:cs="宋体"/>
          <w:sz w:val="24"/>
          <w:szCs w:val="24"/>
        </w:rPr>
      </w:pPr>
      <w:r>
        <w:rPr>
          <w:rFonts w:hint="eastAsia" w:ascii="宋体" w:hAnsi="宋体" w:cs="宋体"/>
          <w:sz w:val="24"/>
        </w:rPr>
        <w:t>2.</w:t>
      </w:r>
      <w:r>
        <w:rPr>
          <w:rFonts w:hint="eastAsia" w:ascii="宋体" w:hAnsi="宋体" w:cs="宋体"/>
          <w:sz w:val="24"/>
          <w:szCs w:val="24"/>
        </w:rPr>
        <w:t>投标人名称与营业执照、资质证书等证件名称不一致；</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3.投标文件没有对招标文件的实质性要求和条件作出响应（包括是否按规定缴纳投标担保）。</w:t>
      </w:r>
    </w:p>
    <w:p>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4.投标人不符合国家或者招标文件规定的资格条件；</w:t>
      </w:r>
      <w:r>
        <w:rPr>
          <w:rFonts w:hint="eastAsia" w:ascii="宋体" w:hAnsi="宋体" w:cs="宋体"/>
          <w:sz w:val="24"/>
          <w:lang w:eastAsia="zh-CN"/>
        </w:rPr>
        <w:t>（投标人须知前附表</w:t>
      </w:r>
      <w:r>
        <w:rPr>
          <w:rFonts w:hint="eastAsia" w:ascii="宋体" w:hAnsi="宋体" w:cs="宋体"/>
          <w:sz w:val="24"/>
          <w:lang w:val="en-US" w:eastAsia="zh-CN"/>
        </w:rPr>
        <w:t>1.4.1</w:t>
      </w:r>
      <w:r>
        <w:rPr>
          <w:rFonts w:hint="eastAsia" w:ascii="宋体" w:hAnsi="宋体" w:cs="宋体"/>
          <w:sz w:val="24"/>
          <w:lang w:eastAsia="zh-CN"/>
        </w:rPr>
        <w:t>）</w:t>
      </w:r>
    </w:p>
    <w:p>
      <w:pPr>
        <w:snapToGrid w:val="0"/>
        <w:spacing w:line="360" w:lineRule="auto"/>
        <w:ind w:firstLine="480" w:firstLineChars="200"/>
        <w:rPr>
          <w:rFonts w:ascii="宋体" w:hAnsi="宋体" w:cs="宋体"/>
          <w:sz w:val="24"/>
        </w:rPr>
      </w:pPr>
      <w:r>
        <w:rPr>
          <w:rFonts w:hint="eastAsia" w:ascii="宋体" w:hAnsi="宋体" w:cs="宋体"/>
          <w:sz w:val="24"/>
        </w:rPr>
        <w:t>5.同一投标人提交两个以上不同的投标文件或者投标报价，但招标文件要求提交备选投标的除外；</w:t>
      </w:r>
    </w:p>
    <w:p>
      <w:pPr>
        <w:snapToGrid w:val="0"/>
        <w:spacing w:line="360" w:lineRule="auto"/>
        <w:ind w:firstLine="480" w:firstLineChars="200"/>
        <w:rPr>
          <w:rFonts w:ascii="宋体" w:hAnsi="宋体" w:cs="宋体"/>
          <w:sz w:val="24"/>
        </w:rPr>
      </w:pPr>
      <w:r>
        <w:rPr>
          <w:rFonts w:hint="eastAsia" w:ascii="宋体" w:hAnsi="宋体" w:cs="宋体"/>
          <w:sz w:val="24"/>
        </w:rPr>
        <w:t>6.投标报价高于招标文件设定的最高投标限价；</w:t>
      </w:r>
    </w:p>
    <w:p>
      <w:pPr>
        <w:snapToGrid w:val="0"/>
        <w:spacing w:line="360" w:lineRule="auto"/>
        <w:ind w:firstLine="480" w:firstLineChars="200"/>
        <w:rPr>
          <w:rFonts w:ascii="宋体" w:hAnsi="宋体" w:cs="宋体"/>
          <w:sz w:val="24"/>
        </w:rPr>
      </w:pPr>
      <w:r>
        <w:rPr>
          <w:rFonts w:hint="eastAsia" w:ascii="宋体" w:hAnsi="宋体" w:cs="宋体"/>
          <w:sz w:val="24"/>
        </w:rPr>
        <w:t>7.投标范围、工期、工程质量、投标有效期、付款方式不符合招标文件规定；</w:t>
      </w:r>
    </w:p>
    <w:p>
      <w:pPr>
        <w:snapToGrid w:val="0"/>
        <w:spacing w:line="360" w:lineRule="auto"/>
        <w:ind w:firstLine="480" w:firstLineChars="200"/>
        <w:rPr>
          <w:rFonts w:ascii="宋体" w:hAnsi="宋体" w:cs="宋体"/>
          <w:sz w:val="24"/>
        </w:rPr>
      </w:pPr>
      <w:r>
        <w:rPr>
          <w:rFonts w:hint="eastAsia" w:ascii="宋体" w:hAnsi="宋体" w:cs="宋体"/>
          <w:sz w:val="24"/>
        </w:rPr>
        <w:t>8.投标人有串通投标、弄虚作假等违法行为。</w:t>
      </w:r>
    </w:p>
    <w:p>
      <w:pPr>
        <w:snapToGrid w:val="0"/>
        <w:spacing w:line="360" w:lineRule="auto"/>
        <w:ind w:firstLine="482" w:firstLineChars="200"/>
        <w:rPr>
          <w:rFonts w:ascii="宋体" w:hAnsi="宋体" w:cs="宋体"/>
          <w:b/>
          <w:sz w:val="24"/>
        </w:rPr>
      </w:pPr>
      <w:r>
        <w:rPr>
          <w:rFonts w:hint="eastAsia" w:ascii="宋体" w:hAnsi="宋体" w:cs="宋体"/>
          <w:b/>
          <w:sz w:val="24"/>
        </w:rPr>
        <w:t xml:space="preserve">9. </w:t>
      </w:r>
      <w:r>
        <w:rPr>
          <w:rFonts w:hint="eastAsia" w:ascii="宋体" w:hAnsi="宋体" w:cs="宋体"/>
          <w:b/>
          <w:bCs/>
          <w:sz w:val="24"/>
          <w:szCs w:val="24"/>
          <w:lang w:val="zh-CN"/>
        </w:rPr>
        <w:t>按照《关于推进全流程电子化交易和在线监管工作有关问题的通知》（许公管办[2019]3号）规定：</w:t>
      </w:r>
      <w:r>
        <w:rPr>
          <w:rFonts w:hint="eastAsia" w:ascii="宋体" w:hAnsi="宋体" w:cs="宋体"/>
          <w:b/>
          <w:sz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pPr>
        <w:snapToGrid w:val="0"/>
        <w:spacing w:line="360" w:lineRule="auto"/>
        <w:ind w:firstLine="480" w:firstLineChars="200"/>
        <w:rPr>
          <w:rFonts w:ascii="宋体" w:hAnsi="宋体" w:cs="宋体"/>
          <w:sz w:val="24"/>
          <w:szCs w:val="24"/>
        </w:rPr>
      </w:pPr>
      <w:r>
        <w:rPr>
          <w:rFonts w:hint="eastAsia" w:ascii="宋体" w:hAnsi="宋体" w:cs="宋体"/>
          <w:sz w:val="24"/>
        </w:rPr>
        <w:t>10.被列入失信被执行人名单的投标人，其投标将被拒绝。（</w:t>
      </w:r>
      <w:bookmarkStart w:id="217" w:name="_Hlk534616277"/>
      <w:r>
        <w:rPr>
          <w:rFonts w:hint="eastAsia" w:ascii="宋体" w:hAnsi="宋体" w:cs="宋体"/>
          <w:sz w:val="24"/>
        </w:rPr>
        <w:t>招标项目开标结束后、评标开始前，招标人（或招标代理机构）对投标人信用记录进行现场查询，并将查询结果随项目开标资料一并送入评标室，由专家进行评判。</w:t>
      </w:r>
      <w:r>
        <w:rPr>
          <w:rFonts w:hint="eastAsia" w:ascii="宋体" w:hAnsi="宋体" w:cs="宋体"/>
          <w:b/>
          <w:bCs/>
          <w:sz w:val="24"/>
        </w:rPr>
        <w:t>投标人无须提供信用记录查询结果网页截图，</w:t>
      </w:r>
      <w:r>
        <w:rPr>
          <w:rFonts w:hint="eastAsia" w:ascii="宋体" w:hAnsi="宋体" w:cs="宋体"/>
          <w:sz w:val="24"/>
        </w:rPr>
        <w:t>信用信息查询记录和证据留存具体方式：经评标委员会确认的查询结果网页截图作为查询记录和证据，与其他文件一并存档）</w:t>
      </w:r>
      <w:bookmarkEnd w:id="217"/>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（1）“信用中国”（www.creditchina.gov.cn）“失信被执行人”、“重大税收违法案件当事人名单”网页查询结果截图，查询对象为投标人；</w:t>
      </w:r>
    </w:p>
    <w:p>
      <w:pPr>
        <w:snapToGrid w:val="0"/>
        <w:spacing w:line="360" w:lineRule="auto"/>
        <w:ind w:firstLine="480" w:firstLineChars="200"/>
        <w:rPr>
          <w:rFonts w:ascii="宋体" w:hAnsi="宋体" w:cs="宋体"/>
          <w:sz w:val="24"/>
        </w:rPr>
      </w:pPr>
      <w:r>
        <w:rPr>
          <w:rFonts w:hint="eastAsia" w:ascii="宋体" w:hAnsi="宋体" w:cs="宋体"/>
          <w:sz w:val="24"/>
        </w:rPr>
        <w:t>“信用河南”（www.xyhn.gov.cn）黑名单查询截图。查询内容包括：失信被执行人，河南省拖欠农民工工资，查询对象为投标人；</w:t>
      </w:r>
    </w:p>
    <w:p>
      <w:pPr>
        <w:snapToGrid w:val="0"/>
        <w:spacing w:line="360" w:lineRule="auto"/>
        <w:ind w:firstLine="480" w:firstLineChars="200"/>
        <w:rPr>
          <w:rFonts w:ascii="宋体" w:hAnsi="宋体" w:cs="宋体"/>
          <w:sz w:val="24"/>
        </w:rPr>
      </w:pPr>
      <w:r>
        <w:rPr>
          <w:rFonts w:hint="eastAsia" w:ascii="宋体" w:hAnsi="宋体" w:cs="宋体"/>
          <w:sz w:val="24"/>
        </w:rPr>
        <w:t>（2）“全国企业信用信息公示系统”（www.gsxt.gov.cn）“经营异常名录和严重违法失信企业名单”网页查询结果截图；查询对象为投标人。</w:t>
      </w:r>
    </w:p>
    <w:p>
      <w:pPr>
        <w:snapToGrid w:val="0"/>
        <w:spacing w:line="360" w:lineRule="auto"/>
        <w:ind w:firstLine="480" w:firstLineChars="200"/>
        <w:rPr>
          <w:rFonts w:ascii="宋体" w:hAnsi="宋体" w:cs="宋体"/>
          <w:sz w:val="24"/>
        </w:rPr>
      </w:pPr>
      <w:r>
        <w:rPr>
          <w:rFonts w:hint="eastAsia" w:ascii="宋体" w:hAnsi="宋体" w:cs="宋体"/>
          <w:sz w:val="24"/>
        </w:rPr>
        <w:t>（3）“中国裁判文书网”（wenshu.court.gov.cn）行贿犯罪网页查询结果截图。查询对象为投标人。</w:t>
      </w:r>
    </w:p>
    <w:p>
      <w:pPr>
        <w:snapToGrid w:val="0"/>
        <w:spacing w:line="360" w:lineRule="auto"/>
        <w:ind w:firstLine="480" w:firstLineChars="200"/>
        <w:rPr>
          <w:rFonts w:ascii="宋体" w:hAnsi="宋体" w:cs="宋体"/>
          <w:sz w:val="24"/>
        </w:rPr>
      </w:pPr>
      <w:r>
        <w:rPr>
          <w:rFonts w:hint="eastAsia" w:ascii="宋体" w:hAnsi="宋体" w:cs="宋体"/>
          <w:sz w:val="24"/>
        </w:rPr>
        <w:t>11.招标人在招标文件列入的其它内容：</w:t>
      </w:r>
    </w:p>
    <w:p>
      <w:pPr>
        <w:spacing w:line="360" w:lineRule="auto"/>
        <w:ind w:firstLine="240" w:firstLineChars="100"/>
        <w:contextualSpacing/>
        <w:rPr>
          <w:rFonts w:ascii="宋体" w:hAnsi="宋体" w:cs="宋体"/>
          <w:sz w:val="24"/>
          <w:szCs w:val="24"/>
        </w:rPr>
      </w:pPr>
      <w:r>
        <w:rPr>
          <w:rFonts w:hint="eastAsia" w:ascii="宋体" w:hAnsi="宋体" w:cs="宋体"/>
          <w:sz w:val="24"/>
          <w:szCs w:val="24"/>
        </w:rPr>
        <w:t>（1）近三年财务是否无亏损(至少有一年盈利），且没有被接管、冻结、破产状态（以经会计师事务所或审计机构审计的有效的财务会计报表扫描件为准。若公司成立未满三年，需提供从成立至今的年度财务状况）；</w:t>
      </w:r>
    </w:p>
    <w:p>
      <w:pPr>
        <w:spacing w:line="360" w:lineRule="auto"/>
        <w:ind w:firstLine="240" w:firstLineChars="100"/>
        <w:contextualSpacing/>
        <w:rPr>
          <w:rFonts w:ascii="宋体" w:hAnsi="宋体" w:cs="宋体"/>
          <w:sz w:val="24"/>
          <w:szCs w:val="24"/>
        </w:rPr>
      </w:pPr>
      <w:r>
        <w:rPr>
          <w:rFonts w:hint="eastAsia" w:ascii="宋体" w:hAnsi="宋体" w:cs="宋体"/>
          <w:sz w:val="24"/>
          <w:szCs w:val="24"/>
        </w:rPr>
        <w:t>（2）是否提供授权委托人、项目经理（项目负责人）劳动合同和由人社部门出具的截止开标时间前一年内任意连续三个月的社会保险缴纳证明或网上打印的社保缴纳凭证；</w:t>
      </w:r>
    </w:p>
    <w:p>
      <w:pPr>
        <w:snapToGrid w:val="0"/>
        <w:spacing w:line="360" w:lineRule="auto"/>
        <w:ind w:firstLine="240" w:firstLineChars="100"/>
        <w:rPr>
          <w:rFonts w:ascii="宋体" w:hAnsi="宋体" w:cs="宋体"/>
          <w:sz w:val="24"/>
          <w:szCs w:val="24"/>
        </w:rPr>
      </w:pPr>
      <w:r>
        <w:rPr>
          <w:rFonts w:hint="eastAsia" w:ascii="宋体" w:hAnsi="宋体" w:cs="宋体"/>
          <w:sz w:val="24"/>
          <w:szCs w:val="24"/>
        </w:rPr>
        <w:t>（3）项目经理（项目负责人）证书与投标文件中拟派的项目经理（项目负责人）姓名是否一致；</w:t>
      </w:r>
      <w:r>
        <w:rPr>
          <w:rFonts w:hint="eastAsia" w:ascii="宋体" w:hAnsi="宋体" w:cs="宋体"/>
          <w:sz w:val="24"/>
          <w:szCs w:val="24"/>
          <w:lang w:eastAsia="zh-CN"/>
        </w:rPr>
        <w:t>是否</w:t>
      </w:r>
      <w:r>
        <w:rPr>
          <w:rFonts w:hint="eastAsia" w:ascii="宋体" w:hAnsi="宋体" w:cs="宋体"/>
          <w:sz w:val="24"/>
          <w:szCs w:val="24"/>
        </w:rPr>
        <w:t>有项目经理（项目负责人）无在建承诺书；</w:t>
      </w:r>
    </w:p>
    <w:p>
      <w:pPr>
        <w:snapToGrid w:val="0"/>
        <w:spacing w:line="360" w:lineRule="auto"/>
        <w:ind w:firstLine="240" w:firstLineChars="100"/>
        <w:rPr>
          <w:rFonts w:ascii="宋体" w:hAnsi="宋体" w:cs="宋体"/>
          <w:sz w:val="24"/>
        </w:rPr>
      </w:pPr>
      <w:r>
        <w:rPr>
          <w:rFonts w:hint="eastAsia" w:ascii="宋体" w:hAnsi="宋体" w:cs="宋体"/>
          <w:sz w:val="24"/>
          <w:szCs w:val="24"/>
        </w:rPr>
        <w:t>（4）</w:t>
      </w:r>
      <w:r>
        <w:rPr>
          <w:rFonts w:hint="eastAsia" w:ascii="宋体" w:hAnsi="宋体" w:cs="宋体"/>
          <w:sz w:val="24"/>
        </w:rPr>
        <w:t>是否有专项承诺：</w:t>
      </w:r>
    </w:p>
    <w:p>
      <w:pPr>
        <w:snapToGrid w:val="0"/>
        <w:spacing w:line="360" w:lineRule="auto"/>
        <w:ind w:firstLine="480" w:firstLineChars="200"/>
        <w:rPr>
          <w:rFonts w:ascii="宋体" w:hAnsi="宋体" w:cs="宋体"/>
          <w:sz w:val="24"/>
        </w:rPr>
      </w:pPr>
      <w:r>
        <w:rPr>
          <w:rFonts w:hint="eastAsia" w:ascii="宋体" w:hAnsi="宋体" w:cs="宋体"/>
          <w:sz w:val="24"/>
        </w:rPr>
        <w:t>①投标文件中投标企业是否有农民工工资保障金的承诺。</w:t>
      </w:r>
    </w:p>
    <w:p>
      <w:pPr>
        <w:snapToGrid w:val="0"/>
        <w:spacing w:line="360" w:lineRule="auto"/>
        <w:ind w:firstLine="480" w:firstLineChars="200"/>
        <w:rPr>
          <w:rFonts w:ascii="宋体" w:hAnsi="宋体" w:cs="宋体"/>
          <w:sz w:val="24"/>
        </w:rPr>
      </w:pPr>
      <w:r>
        <w:rPr>
          <w:rFonts w:hint="eastAsia" w:ascii="宋体" w:hAnsi="宋体" w:cs="宋体"/>
          <w:sz w:val="24"/>
        </w:rPr>
        <w:t>②投标单位是否出具“不挂靠、不转包、不违法分包”的专项承诺。</w:t>
      </w:r>
    </w:p>
    <w:p>
      <w:pPr>
        <w:snapToGrid w:val="0"/>
        <w:spacing w:line="360" w:lineRule="auto"/>
        <w:ind w:firstLine="480" w:firstLineChars="200"/>
        <w:rPr>
          <w:rFonts w:ascii="宋体" w:hAnsi="宋体" w:cs="宋体"/>
          <w:sz w:val="24"/>
        </w:rPr>
      </w:pPr>
      <w:r>
        <w:rPr>
          <w:rFonts w:hint="eastAsia" w:ascii="宋体" w:hAnsi="宋体" w:cs="宋体"/>
          <w:sz w:val="24"/>
        </w:rPr>
        <w:t>③投标单位是否出具“施工工地扬尘污染整治”的专项承诺。</w:t>
      </w:r>
    </w:p>
    <w:p>
      <w:pPr>
        <w:spacing w:line="360" w:lineRule="auto"/>
        <w:contextualSpacing/>
        <w:rPr>
          <w:rFonts w:ascii="宋体" w:hAnsi="宋体" w:cs="宋体"/>
          <w:b/>
          <w:sz w:val="24"/>
          <w:szCs w:val="24"/>
        </w:rPr>
      </w:pPr>
      <w:r>
        <w:rPr>
          <w:rFonts w:hint="eastAsia" w:ascii="宋体" w:hAnsi="宋体" w:cs="宋体"/>
          <w:b/>
          <w:sz w:val="24"/>
          <w:szCs w:val="24"/>
        </w:rPr>
        <w:t>注：开标不再接收原件，一律以投标文件电子档中电子扫描件为准。</w:t>
      </w:r>
    </w:p>
    <w:p>
      <w:pPr>
        <w:spacing w:line="360" w:lineRule="auto"/>
        <w:ind w:firstLine="241" w:firstLineChars="100"/>
        <w:contextualSpacing/>
        <w:rPr>
          <w:rFonts w:ascii="宋体" w:hAnsi="宋体" w:cs="宋体"/>
          <w:kern w:val="0"/>
          <w:sz w:val="24"/>
          <w:szCs w:val="24"/>
        </w:rPr>
      </w:pPr>
      <w:r>
        <w:rPr>
          <w:rFonts w:hint="eastAsia" w:ascii="宋体" w:hAnsi="宋体" w:cs="宋体"/>
          <w:b/>
          <w:bCs/>
          <w:kern w:val="0"/>
          <w:sz w:val="24"/>
          <w:szCs w:val="24"/>
        </w:rPr>
        <w:t>六、详细评审</w:t>
      </w:r>
    </w:p>
    <w:p>
      <w:pPr>
        <w:autoSpaceDE w:val="0"/>
        <w:autoSpaceDN w:val="0"/>
        <w:spacing w:line="360" w:lineRule="auto"/>
        <w:ind w:firstLine="480" w:firstLineChars="200"/>
        <w:contextualSpacing/>
        <w:jc w:val="left"/>
        <w:outlineLvl w:val="0"/>
        <w:rPr>
          <w:rFonts w:ascii="宋体" w:hAnsi="宋体" w:cs="宋体"/>
          <w:kern w:val="0"/>
          <w:sz w:val="24"/>
          <w:szCs w:val="24"/>
        </w:rPr>
      </w:pPr>
      <w:bookmarkStart w:id="218" w:name="_Toc9786"/>
      <w:bookmarkEnd w:id="218"/>
      <w:r>
        <w:rPr>
          <w:rFonts w:hint="eastAsia" w:ascii="宋体" w:hAnsi="宋体" w:cs="宋体"/>
          <w:kern w:val="0"/>
          <w:sz w:val="24"/>
          <w:szCs w:val="24"/>
        </w:rPr>
        <w:t>评标委员会根据招标文件要求对技术标、商务标、综合（信用）标三部分进行综合评审。技术标的权重占25%，商务标的权重占50%，综合（信用）标的权重占25%。</w:t>
      </w:r>
    </w:p>
    <w:p>
      <w:pPr>
        <w:autoSpaceDE w:val="0"/>
        <w:autoSpaceDN w:val="0"/>
        <w:spacing w:line="360" w:lineRule="auto"/>
        <w:ind w:firstLine="480" w:firstLineChars="200"/>
        <w:contextualSpacing/>
        <w:jc w:val="left"/>
        <w:outlineLvl w:val="0"/>
        <w:rPr>
          <w:rFonts w:ascii="宋体" w:hAnsi="宋体" w:cs="宋体"/>
          <w:kern w:val="0"/>
          <w:sz w:val="24"/>
          <w:szCs w:val="24"/>
        </w:rPr>
      </w:pPr>
      <w:bookmarkStart w:id="219" w:name="_Toc10320"/>
      <w:bookmarkEnd w:id="219"/>
      <w:r>
        <w:rPr>
          <w:rFonts w:hint="eastAsia" w:ascii="宋体" w:hAnsi="宋体" w:cs="宋体"/>
          <w:kern w:val="0"/>
          <w:sz w:val="24"/>
          <w:szCs w:val="24"/>
        </w:rPr>
        <w:t>（一）工程量清单报价评标基准价计算公式为：</w:t>
      </w:r>
    </w:p>
    <w:p>
      <w:pPr>
        <w:autoSpaceDE w:val="0"/>
        <w:autoSpaceDN w:val="0"/>
        <w:spacing w:line="360" w:lineRule="auto"/>
        <w:ind w:firstLine="480" w:firstLineChars="200"/>
        <w:contextualSpacing/>
        <w:jc w:val="left"/>
        <w:outlineLvl w:val="0"/>
        <w:rPr>
          <w:rFonts w:ascii="宋体" w:hAnsi="宋体" w:cs="宋体"/>
          <w:kern w:val="0"/>
          <w:sz w:val="24"/>
          <w:szCs w:val="24"/>
        </w:rPr>
      </w:pPr>
      <w:bookmarkStart w:id="220" w:name="_Toc27922"/>
      <w:bookmarkEnd w:id="220"/>
      <w:bookmarkStart w:id="221" w:name="_Toc280"/>
      <w:bookmarkEnd w:id="221"/>
      <w:r>
        <w:rPr>
          <w:rFonts w:hint="eastAsia" w:ascii="宋体" w:hAnsi="宋体" w:cs="宋体"/>
          <w:kern w:val="0"/>
          <w:sz w:val="24"/>
          <w:szCs w:val="24"/>
        </w:rPr>
        <w:t>评标基准价＝最高投标限价×K+投标报价×（1－K）</w:t>
      </w:r>
    </w:p>
    <w:p>
      <w:pPr>
        <w:autoSpaceDE w:val="0"/>
        <w:autoSpaceDN w:val="0"/>
        <w:spacing w:line="360" w:lineRule="auto"/>
        <w:ind w:left="210" w:leftChars="100" w:firstLine="240" w:firstLineChars="100"/>
        <w:contextualSpacing/>
        <w:jc w:val="left"/>
        <w:outlineLvl w:val="0"/>
        <w:rPr>
          <w:rFonts w:ascii="宋体" w:hAnsi="宋体" w:cs="宋体"/>
          <w:kern w:val="0"/>
          <w:sz w:val="24"/>
          <w:szCs w:val="24"/>
        </w:rPr>
      </w:pPr>
      <w:bookmarkStart w:id="222" w:name="_Toc5078"/>
      <w:bookmarkEnd w:id="222"/>
      <w:r>
        <w:rPr>
          <w:rFonts w:hint="eastAsia" w:ascii="宋体" w:hAnsi="宋体" w:cs="宋体"/>
          <w:kern w:val="0"/>
          <w:sz w:val="24"/>
          <w:szCs w:val="24"/>
        </w:rPr>
        <w:t>其中：K为最高投标限价权重系数，取值范围为0.3≤K≤0.5,在开标现场随机抽取。投标报价为各投标人有效投标报价去掉一个最高和最低报价后的算术平均值。当有效投标报价少于5家时（不含5家），则以所有有效投标报价的算术平均值作为投标报价。上述最高投标限价、投标报价、有效投标报价在参与评标基准价计算时，均不含：规费、安全文明施工措施费、暂列金额与专业暂估价、增值税。</w:t>
      </w:r>
    </w:p>
    <w:p>
      <w:pPr>
        <w:autoSpaceDE w:val="0"/>
        <w:autoSpaceDN w:val="0"/>
        <w:spacing w:line="360" w:lineRule="auto"/>
        <w:ind w:firstLine="480" w:firstLineChars="200"/>
        <w:contextualSpacing/>
        <w:jc w:val="left"/>
        <w:outlineLvl w:val="0"/>
        <w:rPr>
          <w:rFonts w:ascii="宋体" w:hAnsi="宋体" w:cs="宋体"/>
          <w:kern w:val="0"/>
          <w:sz w:val="24"/>
          <w:szCs w:val="24"/>
        </w:rPr>
      </w:pPr>
      <w:bookmarkStart w:id="223" w:name="_Toc5578"/>
      <w:bookmarkEnd w:id="223"/>
      <w:r>
        <w:rPr>
          <w:rFonts w:hint="eastAsia" w:ascii="宋体" w:hAnsi="宋体" w:cs="宋体"/>
          <w:kern w:val="0"/>
          <w:sz w:val="24"/>
          <w:szCs w:val="24"/>
        </w:rPr>
        <w:t>K为最高投标限价权重系数，K值为0.3、0.35、0.4、0.45、0.5，在开标现场随机抽取。</w:t>
      </w:r>
    </w:p>
    <w:p>
      <w:pPr>
        <w:autoSpaceDE w:val="0"/>
        <w:autoSpaceDN w:val="0"/>
        <w:spacing w:line="360" w:lineRule="auto"/>
        <w:ind w:firstLine="482" w:firstLineChars="200"/>
        <w:contextualSpacing/>
        <w:jc w:val="left"/>
        <w:outlineLvl w:val="0"/>
        <w:rPr>
          <w:rFonts w:ascii="宋体" w:hAnsi="宋体" w:cs="宋体"/>
          <w:b/>
          <w:bCs/>
          <w:kern w:val="0"/>
          <w:sz w:val="24"/>
          <w:szCs w:val="24"/>
        </w:rPr>
      </w:pPr>
      <w:r>
        <w:rPr>
          <w:rFonts w:hint="eastAsia" w:ascii="宋体" w:hAnsi="宋体" w:cs="宋体"/>
          <w:b/>
          <w:bCs/>
          <w:kern w:val="0"/>
          <w:sz w:val="24"/>
          <w:szCs w:val="24"/>
        </w:rPr>
        <w:t>（二）商务标的评标分值50分</w:t>
      </w:r>
    </w:p>
    <w:p>
      <w:pPr>
        <w:autoSpaceDE w:val="0"/>
        <w:autoSpaceDN w:val="0"/>
        <w:spacing w:line="360" w:lineRule="auto"/>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1.投标报价的评审，共计30分。</w:t>
      </w:r>
    </w:p>
    <w:p>
      <w:pPr>
        <w:autoSpaceDE w:val="0"/>
        <w:autoSpaceDN w:val="0"/>
        <w:spacing w:line="360" w:lineRule="auto"/>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utoSpaceDE w:val="0"/>
        <w:autoSpaceDN w:val="0"/>
        <w:spacing w:line="360" w:lineRule="auto"/>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2.分部分项工程项目清单单价的评审，共计10分。</w:t>
      </w:r>
    </w:p>
    <w:p>
      <w:pPr>
        <w:autoSpaceDE w:val="0"/>
        <w:autoSpaceDN w:val="0"/>
        <w:spacing w:line="360" w:lineRule="auto"/>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从最高投标限价中分部分项工程项目权重最大的前10-30项清单项目中抽取15项，在剩余的分部分项工程项目清单项目中抽取5项。</w:t>
      </w:r>
    </w:p>
    <w:p>
      <w:pPr>
        <w:autoSpaceDE w:val="0"/>
        <w:autoSpaceDN w:val="0"/>
        <w:spacing w:line="360" w:lineRule="auto"/>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综合单价基准值是以各有效投标报价中（当有效投标人5名及以上时，去掉1个最高、1个最低值）对应抽取清单项目综合单价的算术平均值。</w:t>
      </w:r>
    </w:p>
    <w:p>
      <w:pPr>
        <w:autoSpaceDE w:val="0"/>
        <w:autoSpaceDN w:val="0"/>
        <w:spacing w:line="360" w:lineRule="auto"/>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投标人报价在综合单价基准值95%—103%范围内（不含95%和103%）的，每项得0.5分；在综合单价评标基准值90%—95%范围内（含90%和95%）每项得0.25分；满分共计10分。超出该范围的不得分。</w:t>
      </w:r>
    </w:p>
    <w:p>
      <w:pPr>
        <w:autoSpaceDE w:val="0"/>
        <w:autoSpaceDN w:val="0"/>
        <w:spacing w:line="360" w:lineRule="auto"/>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3.措施项目费的评审（不含安全文明措施费），共计5分。</w:t>
      </w:r>
    </w:p>
    <w:p>
      <w:pPr>
        <w:autoSpaceDE w:val="0"/>
        <w:autoSpaceDN w:val="0"/>
        <w:spacing w:line="360" w:lineRule="auto"/>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pPr>
        <w:autoSpaceDE w:val="0"/>
        <w:autoSpaceDN w:val="0"/>
        <w:spacing w:line="360" w:lineRule="auto"/>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4.主要材料单价的评审，共计5分。</w:t>
      </w:r>
    </w:p>
    <w:p>
      <w:pPr>
        <w:autoSpaceDE w:val="0"/>
        <w:autoSpaceDN w:val="0"/>
        <w:spacing w:line="360" w:lineRule="auto"/>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从最高投标限价中材料总价权重最大的前10-20项材料中抽取6项，在剩余材料中抽取4项。</w:t>
      </w:r>
    </w:p>
    <w:p>
      <w:pPr>
        <w:autoSpaceDE w:val="0"/>
        <w:autoSpaceDN w:val="0"/>
        <w:spacing w:line="360" w:lineRule="auto"/>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主要材料单价基准值是以各有效投标报价中（当有效投标人5名及以上时，去掉1个最高、1个最低值）对应抽取材料单价的算术平均值。</w:t>
      </w:r>
    </w:p>
    <w:p>
      <w:pPr>
        <w:autoSpaceDE w:val="0"/>
        <w:autoSpaceDN w:val="0"/>
        <w:spacing w:line="360" w:lineRule="auto"/>
        <w:ind w:firstLine="480" w:firstLineChars="200"/>
        <w:contextualSpacing/>
        <w:jc w:val="left"/>
        <w:outlineLvl w:val="0"/>
        <w:rPr>
          <w:rFonts w:ascii="宋体" w:hAnsi="宋体" w:cs="宋体"/>
          <w:b/>
          <w:bCs/>
          <w:kern w:val="0"/>
          <w:sz w:val="24"/>
          <w:szCs w:val="24"/>
        </w:rPr>
      </w:pPr>
      <w:r>
        <w:rPr>
          <w:rFonts w:hint="eastAsia" w:ascii="宋体" w:hAnsi="宋体" w:cs="宋体"/>
          <w:kern w:val="0"/>
          <w:sz w:val="24"/>
          <w:szCs w:val="24"/>
        </w:rPr>
        <w:t>当投标人报价在材料单价基准值95%—103%范围内（不含95%和103%）每项得0.5分，在材料单价基准值90%—95%范围内（含90%和95%）每项得0.25分。超出该范围的不得分。</w:t>
      </w:r>
    </w:p>
    <w:p>
      <w:pPr>
        <w:autoSpaceDE w:val="0"/>
        <w:autoSpaceDN w:val="0"/>
        <w:spacing w:line="360" w:lineRule="auto"/>
        <w:ind w:firstLine="482" w:firstLineChars="200"/>
        <w:contextualSpacing/>
        <w:jc w:val="left"/>
        <w:outlineLvl w:val="0"/>
        <w:rPr>
          <w:rFonts w:ascii="宋体" w:hAnsi="宋体" w:cs="宋体"/>
          <w:b/>
          <w:bCs/>
          <w:sz w:val="24"/>
          <w:szCs w:val="24"/>
        </w:rPr>
      </w:pPr>
      <w:r>
        <w:rPr>
          <w:rFonts w:hint="eastAsia" w:ascii="宋体" w:hAnsi="宋体" w:cs="宋体"/>
          <w:b/>
          <w:bCs/>
          <w:kern w:val="0"/>
          <w:sz w:val="24"/>
          <w:szCs w:val="24"/>
        </w:rPr>
        <w:t>（三）技术标的评标分值25分</w:t>
      </w:r>
    </w:p>
    <w:tbl>
      <w:tblPr>
        <w:tblStyle w:val="15"/>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1"/>
        <w:gridCol w:w="1239"/>
        <w:gridCol w:w="1141"/>
        <w:gridCol w:w="5054"/>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551"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239" w:type="dxa"/>
            <w:vAlign w:val="center"/>
          </w:tcPr>
          <w:p>
            <w:pPr>
              <w:spacing w:line="360" w:lineRule="auto"/>
              <w:jc w:val="center"/>
              <w:rPr>
                <w:rFonts w:ascii="宋体" w:hAnsi="宋体" w:cs="宋体"/>
                <w:sz w:val="24"/>
                <w:szCs w:val="24"/>
              </w:rPr>
            </w:pPr>
            <w:r>
              <w:rPr>
                <w:rFonts w:hint="eastAsia" w:ascii="宋体" w:hAnsi="宋体" w:cs="宋体"/>
                <w:sz w:val="24"/>
                <w:szCs w:val="24"/>
              </w:rPr>
              <w:t>内容</w:t>
            </w:r>
          </w:p>
        </w:tc>
        <w:tc>
          <w:tcPr>
            <w:tcW w:w="1141" w:type="dxa"/>
            <w:vAlign w:val="center"/>
          </w:tcPr>
          <w:p>
            <w:pPr>
              <w:spacing w:line="360" w:lineRule="auto"/>
              <w:jc w:val="center"/>
              <w:rPr>
                <w:rFonts w:ascii="宋体" w:hAnsi="宋体" w:cs="宋体"/>
                <w:sz w:val="24"/>
                <w:szCs w:val="24"/>
              </w:rPr>
            </w:pPr>
            <w:r>
              <w:rPr>
                <w:rFonts w:hint="eastAsia" w:ascii="宋体" w:hAnsi="宋体" w:cs="宋体"/>
                <w:sz w:val="24"/>
                <w:szCs w:val="24"/>
              </w:rPr>
              <w:t>分值</w:t>
            </w:r>
          </w:p>
        </w:tc>
        <w:tc>
          <w:tcPr>
            <w:tcW w:w="5054" w:type="dxa"/>
            <w:vAlign w:val="center"/>
          </w:tcPr>
          <w:p>
            <w:pPr>
              <w:spacing w:line="360" w:lineRule="auto"/>
              <w:jc w:val="center"/>
              <w:rPr>
                <w:rFonts w:ascii="宋体" w:hAnsi="宋体" w:cs="宋体"/>
                <w:sz w:val="24"/>
                <w:szCs w:val="24"/>
              </w:rPr>
            </w:pPr>
            <w:r>
              <w:rPr>
                <w:rFonts w:hint="eastAsia" w:ascii="宋体" w:hAnsi="宋体" w:cs="宋体"/>
                <w:sz w:val="24"/>
                <w:szCs w:val="24"/>
              </w:rPr>
              <w:t>评审标准</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jc w:val="center"/>
        </w:trPr>
        <w:tc>
          <w:tcPr>
            <w:tcW w:w="551"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239"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内容完整性</w:t>
            </w:r>
          </w:p>
        </w:tc>
        <w:tc>
          <w:tcPr>
            <w:tcW w:w="1141"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0-0.5分</w:t>
            </w:r>
          </w:p>
        </w:tc>
        <w:tc>
          <w:tcPr>
            <w:tcW w:w="5054" w:type="dxa"/>
            <w:vAlign w:val="center"/>
          </w:tcPr>
          <w:p>
            <w:pPr>
              <w:spacing w:line="360" w:lineRule="auto"/>
              <w:jc w:val="center"/>
              <w:rPr>
                <w:rFonts w:ascii="宋体" w:hAnsi="宋体" w:cs="宋体"/>
                <w:sz w:val="24"/>
                <w:szCs w:val="24"/>
              </w:rPr>
            </w:pPr>
            <w:r>
              <w:rPr>
                <w:rFonts w:hint="eastAsia" w:ascii="宋体" w:hAnsi="宋体" w:cs="宋体"/>
                <w:sz w:val="24"/>
                <w:szCs w:val="24"/>
              </w:rPr>
              <w:t>技术标的主要内容具有完整性，符合招标文件的要求。</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551" w:type="dxa"/>
            <w:vMerge w:val="continue"/>
            <w:vAlign w:val="center"/>
          </w:tcPr>
          <w:p>
            <w:pPr>
              <w:spacing w:line="360" w:lineRule="auto"/>
              <w:jc w:val="left"/>
              <w:rPr>
                <w:rFonts w:ascii="宋体" w:hAnsi="宋体" w:cs="宋体"/>
                <w:sz w:val="24"/>
                <w:szCs w:val="24"/>
              </w:rPr>
            </w:pPr>
          </w:p>
        </w:tc>
        <w:tc>
          <w:tcPr>
            <w:tcW w:w="1239" w:type="dxa"/>
            <w:vMerge w:val="continue"/>
            <w:vAlign w:val="center"/>
          </w:tcPr>
          <w:p>
            <w:pPr>
              <w:spacing w:line="360" w:lineRule="auto"/>
              <w:jc w:val="left"/>
              <w:rPr>
                <w:rFonts w:ascii="宋体" w:hAnsi="宋体" w:cs="宋体"/>
                <w:sz w:val="24"/>
                <w:szCs w:val="24"/>
              </w:rPr>
            </w:pPr>
          </w:p>
        </w:tc>
        <w:tc>
          <w:tcPr>
            <w:tcW w:w="1141" w:type="dxa"/>
            <w:vMerge w:val="continue"/>
            <w:vAlign w:val="center"/>
          </w:tcPr>
          <w:p>
            <w:pPr>
              <w:spacing w:line="360" w:lineRule="auto"/>
              <w:jc w:val="left"/>
              <w:rPr>
                <w:rFonts w:ascii="宋体" w:hAnsi="宋体" w:cs="宋体"/>
                <w:sz w:val="24"/>
                <w:szCs w:val="24"/>
              </w:rPr>
            </w:pPr>
          </w:p>
        </w:tc>
        <w:tc>
          <w:tcPr>
            <w:tcW w:w="5054" w:type="dxa"/>
            <w:vAlign w:val="center"/>
          </w:tcPr>
          <w:p>
            <w:pPr>
              <w:spacing w:line="360" w:lineRule="auto"/>
              <w:jc w:val="center"/>
              <w:rPr>
                <w:rFonts w:ascii="宋体" w:hAnsi="宋体" w:cs="宋体"/>
                <w:sz w:val="24"/>
                <w:szCs w:val="24"/>
              </w:rPr>
            </w:pPr>
            <w:r>
              <w:rPr>
                <w:rFonts w:hint="eastAsia" w:ascii="宋体" w:hAnsi="宋体" w:cs="宋体"/>
                <w:sz w:val="24"/>
                <w:szCs w:val="24"/>
              </w:rPr>
              <w:t>技术标不符合招标文件要求。</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2" w:hRule="atLeast"/>
          <w:jc w:val="center"/>
        </w:trPr>
        <w:tc>
          <w:tcPr>
            <w:tcW w:w="551"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239" w:type="dxa"/>
            <w:vMerge w:val="restart"/>
            <w:vAlign w:val="center"/>
          </w:tcPr>
          <w:p>
            <w:pPr>
              <w:spacing w:line="360" w:lineRule="auto"/>
              <w:jc w:val="left"/>
              <w:rPr>
                <w:rFonts w:ascii="宋体" w:hAnsi="宋体" w:cs="宋体"/>
                <w:sz w:val="24"/>
                <w:szCs w:val="24"/>
              </w:rPr>
            </w:pPr>
            <w:r>
              <w:rPr>
                <w:rFonts w:hint="eastAsia" w:ascii="宋体" w:hAnsi="宋体" w:cs="宋体"/>
                <w:sz w:val="24"/>
                <w:szCs w:val="24"/>
              </w:rPr>
              <w:t>主要施工方案与技术措施</w:t>
            </w:r>
          </w:p>
        </w:tc>
        <w:tc>
          <w:tcPr>
            <w:tcW w:w="1141"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 xml:space="preserve"> 1-3分</w:t>
            </w:r>
          </w:p>
        </w:tc>
        <w:tc>
          <w:tcPr>
            <w:tcW w:w="5054" w:type="dxa"/>
            <w:vAlign w:val="center"/>
          </w:tcPr>
          <w:p>
            <w:pPr>
              <w:spacing w:line="360" w:lineRule="auto"/>
              <w:rPr>
                <w:rFonts w:ascii="宋体" w:hAnsi="宋体" w:cs="宋体"/>
                <w:sz w:val="24"/>
                <w:szCs w:val="24"/>
              </w:rPr>
            </w:pPr>
            <w:r>
              <w:rPr>
                <w:rFonts w:hint="eastAsia" w:ascii="宋体" w:hAnsi="宋体" w:cs="宋体"/>
                <w:sz w:val="24"/>
                <w:szCs w:val="24"/>
              </w:rPr>
              <w:t>施工方案（含工程特点、施工重点与难点及绿色施工）总体安排合理，运用先进、合理的施工工艺、施工机械；对施工难点有先进和合理的建议。</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2" w:hRule="atLeast"/>
          <w:jc w:val="center"/>
        </w:trPr>
        <w:tc>
          <w:tcPr>
            <w:tcW w:w="551" w:type="dxa"/>
            <w:vMerge w:val="continue"/>
            <w:vAlign w:val="center"/>
          </w:tcPr>
          <w:p>
            <w:pPr>
              <w:spacing w:line="360" w:lineRule="auto"/>
              <w:jc w:val="left"/>
              <w:rPr>
                <w:rFonts w:ascii="宋体" w:hAnsi="宋体" w:cs="宋体"/>
                <w:sz w:val="24"/>
                <w:szCs w:val="24"/>
              </w:rPr>
            </w:pPr>
          </w:p>
        </w:tc>
        <w:tc>
          <w:tcPr>
            <w:tcW w:w="1239" w:type="dxa"/>
            <w:vMerge w:val="continue"/>
            <w:vAlign w:val="center"/>
          </w:tcPr>
          <w:p>
            <w:pPr>
              <w:spacing w:line="360" w:lineRule="auto"/>
              <w:jc w:val="left"/>
              <w:rPr>
                <w:rFonts w:ascii="宋体" w:hAnsi="宋体" w:cs="宋体"/>
                <w:sz w:val="24"/>
                <w:szCs w:val="24"/>
              </w:rPr>
            </w:pPr>
          </w:p>
        </w:tc>
        <w:tc>
          <w:tcPr>
            <w:tcW w:w="1141" w:type="dxa"/>
            <w:vMerge w:val="continue"/>
            <w:vAlign w:val="center"/>
          </w:tcPr>
          <w:p>
            <w:pPr>
              <w:spacing w:line="360" w:lineRule="auto"/>
              <w:jc w:val="left"/>
              <w:rPr>
                <w:rFonts w:ascii="宋体" w:hAnsi="宋体" w:cs="宋体"/>
                <w:sz w:val="24"/>
                <w:szCs w:val="24"/>
              </w:rPr>
            </w:pPr>
          </w:p>
        </w:tc>
        <w:tc>
          <w:tcPr>
            <w:tcW w:w="5054" w:type="dxa"/>
            <w:vAlign w:val="center"/>
          </w:tcPr>
          <w:p>
            <w:pPr>
              <w:spacing w:line="360" w:lineRule="auto"/>
              <w:rPr>
                <w:rFonts w:ascii="宋体" w:hAnsi="宋体" w:cs="宋体"/>
                <w:sz w:val="24"/>
                <w:szCs w:val="24"/>
              </w:rPr>
            </w:pPr>
            <w:r>
              <w:rPr>
                <w:rFonts w:hint="eastAsia" w:ascii="宋体" w:hAnsi="宋体" w:cs="宋体"/>
                <w:sz w:val="24"/>
                <w:szCs w:val="24"/>
              </w:rPr>
              <w:t>施工方案（含工程特点、施工重点与难点及绿色施工）总体安排合理，施工工艺、施工机械合理、可行；对施工难点有合理的建议。</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65" w:hRule="atLeast"/>
          <w:jc w:val="center"/>
        </w:trPr>
        <w:tc>
          <w:tcPr>
            <w:tcW w:w="551"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1239" w:type="dxa"/>
            <w:vMerge w:val="restart"/>
            <w:vAlign w:val="center"/>
          </w:tcPr>
          <w:p>
            <w:pPr>
              <w:spacing w:line="360" w:lineRule="auto"/>
              <w:jc w:val="left"/>
              <w:rPr>
                <w:rFonts w:ascii="宋体" w:hAnsi="宋体" w:cs="宋体"/>
                <w:sz w:val="24"/>
                <w:szCs w:val="24"/>
              </w:rPr>
            </w:pPr>
            <w:r>
              <w:rPr>
                <w:rFonts w:hint="eastAsia" w:ascii="宋体" w:hAnsi="宋体" w:cs="宋体"/>
                <w:sz w:val="24"/>
                <w:szCs w:val="24"/>
              </w:rPr>
              <w:t>质量管理体系与措施</w:t>
            </w:r>
          </w:p>
        </w:tc>
        <w:tc>
          <w:tcPr>
            <w:tcW w:w="1141"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1-2分</w:t>
            </w:r>
          </w:p>
        </w:tc>
        <w:tc>
          <w:tcPr>
            <w:tcW w:w="5054" w:type="dxa"/>
            <w:vAlign w:val="center"/>
          </w:tcPr>
          <w:p>
            <w:pPr>
              <w:spacing w:line="360" w:lineRule="auto"/>
              <w:rPr>
                <w:rFonts w:ascii="宋体" w:hAnsi="宋体" w:cs="宋体"/>
                <w:sz w:val="24"/>
                <w:szCs w:val="24"/>
              </w:rPr>
            </w:pPr>
            <w:r>
              <w:rPr>
                <w:rFonts w:hint="eastAsia" w:ascii="宋体"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6" w:hRule="atLeast"/>
          <w:jc w:val="center"/>
        </w:trPr>
        <w:tc>
          <w:tcPr>
            <w:tcW w:w="551" w:type="dxa"/>
            <w:vMerge w:val="continue"/>
            <w:vAlign w:val="center"/>
          </w:tcPr>
          <w:p>
            <w:pPr>
              <w:spacing w:line="360" w:lineRule="auto"/>
              <w:jc w:val="left"/>
              <w:rPr>
                <w:rFonts w:ascii="宋体" w:hAnsi="宋体" w:cs="宋体"/>
                <w:sz w:val="24"/>
                <w:szCs w:val="24"/>
              </w:rPr>
            </w:pPr>
          </w:p>
        </w:tc>
        <w:tc>
          <w:tcPr>
            <w:tcW w:w="1239" w:type="dxa"/>
            <w:vMerge w:val="continue"/>
            <w:vAlign w:val="center"/>
          </w:tcPr>
          <w:p>
            <w:pPr>
              <w:spacing w:line="360" w:lineRule="auto"/>
              <w:jc w:val="left"/>
              <w:rPr>
                <w:rFonts w:ascii="宋体" w:hAnsi="宋体" w:cs="宋体"/>
                <w:sz w:val="24"/>
                <w:szCs w:val="24"/>
              </w:rPr>
            </w:pPr>
          </w:p>
        </w:tc>
        <w:tc>
          <w:tcPr>
            <w:tcW w:w="1141" w:type="dxa"/>
            <w:vMerge w:val="continue"/>
            <w:vAlign w:val="center"/>
          </w:tcPr>
          <w:p>
            <w:pPr>
              <w:spacing w:line="360" w:lineRule="auto"/>
              <w:jc w:val="left"/>
              <w:rPr>
                <w:rFonts w:ascii="宋体" w:hAnsi="宋体" w:cs="宋体"/>
                <w:sz w:val="24"/>
                <w:szCs w:val="24"/>
              </w:rPr>
            </w:pPr>
          </w:p>
        </w:tc>
        <w:tc>
          <w:tcPr>
            <w:tcW w:w="5054" w:type="dxa"/>
            <w:vAlign w:val="center"/>
          </w:tcPr>
          <w:p>
            <w:pPr>
              <w:spacing w:line="360" w:lineRule="auto"/>
              <w:rPr>
                <w:rFonts w:ascii="宋体" w:hAnsi="宋体" w:cs="宋体"/>
                <w:sz w:val="24"/>
                <w:szCs w:val="24"/>
              </w:rPr>
            </w:pPr>
            <w:r>
              <w:rPr>
                <w:rFonts w:hint="eastAsia" w:ascii="宋体"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24" w:hRule="atLeast"/>
          <w:jc w:val="center"/>
        </w:trPr>
        <w:tc>
          <w:tcPr>
            <w:tcW w:w="551"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1239" w:type="dxa"/>
            <w:vMerge w:val="restart"/>
            <w:vAlign w:val="center"/>
          </w:tcPr>
          <w:p>
            <w:pPr>
              <w:spacing w:line="360" w:lineRule="auto"/>
              <w:jc w:val="left"/>
              <w:rPr>
                <w:rFonts w:ascii="宋体" w:hAnsi="宋体" w:cs="宋体"/>
                <w:sz w:val="24"/>
                <w:szCs w:val="24"/>
              </w:rPr>
            </w:pPr>
            <w:r>
              <w:rPr>
                <w:rFonts w:hint="eastAsia" w:ascii="宋体" w:hAnsi="宋体" w:cs="宋体"/>
                <w:sz w:val="24"/>
                <w:szCs w:val="24"/>
              </w:rPr>
              <w:t>安全管理体系与措施</w:t>
            </w:r>
          </w:p>
        </w:tc>
        <w:tc>
          <w:tcPr>
            <w:tcW w:w="1141"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 xml:space="preserve"> 1-2分</w:t>
            </w:r>
          </w:p>
        </w:tc>
        <w:tc>
          <w:tcPr>
            <w:tcW w:w="5054" w:type="dxa"/>
            <w:vAlign w:val="center"/>
          </w:tcPr>
          <w:p>
            <w:pPr>
              <w:spacing w:line="360" w:lineRule="auto"/>
              <w:rPr>
                <w:rFonts w:ascii="宋体" w:hAnsi="宋体" w:cs="宋体"/>
                <w:sz w:val="24"/>
                <w:szCs w:val="24"/>
              </w:rPr>
            </w:pPr>
            <w:r>
              <w:rPr>
                <w:rFonts w:hint="eastAsia" w:ascii="宋体"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6" w:hRule="atLeast"/>
          <w:jc w:val="center"/>
        </w:trPr>
        <w:tc>
          <w:tcPr>
            <w:tcW w:w="551" w:type="dxa"/>
            <w:vMerge w:val="continue"/>
            <w:vAlign w:val="center"/>
          </w:tcPr>
          <w:p>
            <w:pPr>
              <w:spacing w:line="360" w:lineRule="auto"/>
              <w:jc w:val="left"/>
              <w:rPr>
                <w:rFonts w:ascii="宋体" w:hAnsi="宋体" w:cs="宋体"/>
                <w:sz w:val="24"/>
                <w:szCs w:val="24"/>
              </w:rPr>
            </w:pPr>
          </w:p>
        </w:tc>
        <w:tc>
          <w:tcPr>
            <w:tcW w:w="1239" w:type="dxa"/>
            <w:vMerge w:val="continue"/>
            <w:vAlign w:val="center"/>
          </w:tcPr>
          <w:p>
            <w:pPr>
              <w:spacing w:line="360" w:lineRule="auto"/>
              <w:jc w:val="left"/>
              <w:rPr>
                <w:rFonts w:ascii="宋体" w:hAnsi="宋体" w:cs="宋体"/>
                <w:sz w:val="24"/>
                <w:szCs w:val="24"/>
              </w:rPr>
            </w:pPr>
          </w:p>
        </w:tc>
        <w:tc>
          <w:tcPr>
            <w:tcW w:w="1141" w:type="dxa"/>
            <w:vMerge w:val="continue"/>
            <w:vAlign w:val="center"/>
          </w:tcPr>
          <w:p>
            <w:pPr>
              <w:spacing w:line="360" w:lineRule="auto"/>
              <w:jc w:val="left"/>
              <w:rPr>
                <w:rFonts w:ascii="宋体" w:hAnsi="宋体" w:cs="宋体"/>
                <w:sz w:val="24"/>
                <w:szCs w:val="24"/>
              </w:rPr>
            </w:pPr>
          </w:p>
        </w:tc>
        <w:tc>
          <w:tcPr>
            <w:tcW w:w="5054" w:type="dxa"/>
            <w:vAlign w:val="center"/>
          </w:tcPr>
          <w:p>
            <w:pPr>
              <w:spacing w:line="360" w:lineRule="auto"/>
              <w:rPr>
                <w:rFonts w:ascii="宋体" w:hAnsi="宋体" w:cs="宋体"/>
                <w:sz w:val="24"/>
                <w:szCs w:val="24"/>
              </w:rPr>
            </w:pPr>
            <w:r>
              <w:rPr>
                <w:rFonts w:hint="eastAsia" w:ascii="宋体"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3" w:hRule="atLeast"/>
          <w:jc w:val="center"/>
        </w:trPr>
        <w:tc>
          <w:tcPr>
            <w:tcW w:w="551"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5</w:t>
            </w:r>
          </w:p>
        </w:tc>
        <w:tc>
          <w:tcPr>
            <w:tcW w:w="1239" w:type="dxa"/>
            <w:vMerge w:val="restart"/>
            <w:vAlign w:val="center"/>
          </w:tcPr>
          <w:p>
            <w:pPr>
              <w:spacing w:line="360" w:lineRule="auto"/>
              <w:jc w:val="left"/>
              <w:rPr>
                <w:rFonts w:ascii="宋体" w:hAnsi="宋体" w:cs="宋体"/>
                <w:sz w:val="24"/>
                <w:szCs w:val="24"/>
              </w:rPr>
            </w:pPr>
            <w:r>
              <w:rPr>
                <w:rFonts w:hint="eastAsia" w:ascii="宋体" w:hAnsi="宋体" w:cs="宋体"/>
                <w:sz w:val="24"/>
                <w:szCs w:val="24"/>
              </w:rPr>
              <w:t>文明施工、环境保护管理体系及施工现场扬尘治理措施</w:t>
            </w:r>
          </w:p>
        </w:tc>
        <w:tc>
          <w:tcPr>
            <w:tcW w:w="1141"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1-3分</w:t>
            </w:r>
          </w:p>
        </w:tc>
        <w:tc>
          <w:tcPr>
            <w:tcW w:w="5054" w:type="dxa"/>
            <w:vAlign w:val="center"/>
          </w:tcPr>
          <w:p>
            <w:pPr>
              <w:spacing w:line="360" w:lineRule="auto"/>
              <w:rPr>
                <w:rFonts w:ascii="宋体" w:hAnsi="宋体" w:cs="宋体"/>
                <w:sz w:val="24"/>
                <w:szCs w:val="24"/>
              </w:rPr>
            </w:pPr>
            <w:r>
              <w:rPr>
                <w:rFonts w:hint="eastAsia" w:ascii="宋体"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24" w:hRule="atLeast"/>
          <w:jc w:val="center"/>
        </w:trPr>
        <w:tc>
          <w:tcPr>
            <w:tcW w:w="551" w:type="dxa"/>
            <w:vMerge w:val="continue"/>
            <w:vAlign w:val="center"/>
          </w:tcPr>
          <w:p>
            <w:pPr>
              <w:spacing w:line="360" w:lineRule="auto"/>
              <w:jc w:val="left"/>
              <w:rPr>
                <w:rFonts w:ascii="宋体" w:hAnsi="宋体" w:cs="宋体"/>
                <w:sz w:val="24"/>
                <w:szCs w:val="24"/>
              </w:rPr>
            </w:pPr>
          </w:p>
        </w:tc>
        <w:tc>
          <w:tcPr>
            <w:tcW w:w="1239" w:type="dxa"/>
            <w:vMerge w:val="continue"/>
            <w:vAlign w:val="center"/>
          </w:tcPr>
          <w:p>
            <w:pPr>
              <w:spacing w:line="360" w:lineRule="auto"/>
              <w:jc w:val="left"/>
              <w:rPr>
                <w:rFonts w:ascii="宋体" w:hAnsi="宋体" w:cs="宋体"/>
                <w:sz w:val="24"/>
                <w:szCs w:val="24"/>
              </w:rPr>
            </w:pPr>
          </w:p>
        </w:tc>
        <w:tc>
          <w:tcPr>
            <w:tcW w:w="1141" w:type="dxa"/>
            <w:vMerge w:val="continue"/>
            <w:vAlign w:val="center"/>
          </w:tcPr>
          <w:p>
            <w:pPr>
              <w:spacing w:line="360" w:lineRule="auto"/>
              <w:jc w:val="left"/>
              <w:rPr>
                <w:rFonts w:ascii="宋体" w:hAnsi="宋体" w:cs="宋体"/>
                <w:sz w:val="24"/>
                <w:szCs w:val="24"/>
              </w:rPr>
            </w:pPr>
          </w:p>
        </w:tc>
        <w:tc>
          <w:tcPr>
            <w:tcW w:w="5054" w:type="dxa"/>
            <w:vAlign w:val="center"/>
          </w:tcPr>
          <w:p>
            <w:pPr>
              <w:spacing w:line="360" w:lineRule="auto"/>
              <w:rPr>
                <w:rFonts w:ascii="宋体" w:hAnsi="宋体" w:cs="宋体"/>
                <w:sz w:val="24"/>
                <w:szCs w:val="24"/>
              </w:rPr>
            </w:pPr>
            <w:r>
              <w:rPr>
                <w:rFonts w:hint="eastAsia" w:ascii="宋体"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jc w:val="center"/>
        </w:trPr>
        <w:tc>
          <w:tcPr>
            <w:tcW w:w="551"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6</w:t>
            </w:r>
          </w:p>
        </w:tc>
        <w:tc>
          <w:tcPr>
            <w:tcW w:w="1239" w:type="dxa"/>
            <w:vMerge w:val="restart"/>
            <w:vAlign w:val="center"/>
          </w:tcPr>
          <w:p>
            <w:pPr>
              <w:spacing w:line="360" w:lineRule="auto"/>
              <w:jc w:val="left"/>
              <w:rPr>
                <w:rFonts w:ascii="宋体" w:hAnsi="宋体" w:cs="宋体"/>
                <w:sz w:val="24"/>
                <w:szCs w:val="24"/>
              </w:rPr>
            </w:pPr>
            <w:r>
              <w:rPr>
                <w:rFonts w:hint="eastAsia" w:ascii="宋体" w:hAnsi="宋体" w:cs="宋体"/>
                <w:sz w:val="24"/>
                <w:szCs w:val="24"/>
              </w:rPr>
              <w:t>工期保证措施</w:t>
            </w:r>
          </w:p>
        </w:tc>
        <w:tc>
          <w:tcPr>
            <w:tcW w:w="1141"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1-2分</w:t>
            </w:r>
          </w:p>
        </w:tc>
        <w:tc>
          <w:tcPr>
            <w:tcW w:w="5054" w:type="dxa"/>
            <w:vAlign w:val="center"/>
          </w:tcPr>
          <w:p>
            <w:pPr>
              <w:spacing w:line="360" w:lineRule="auto"/>
              <w:rPr>
                <w:rFonts w:ascii="宋体" w:hAnsi="宋体" w:cs="宋体"/>
                <w:sz w:val="24"/>
                <w:szCs w:val="24"/>
              </w:rPr>
            </w:pPr>
            <w:r>
              <w:rPr>
                <w:rFonts w:hint="eastAsia" w:ascii="宋体" w:hAnsi="宋体" w:cs="宋体"/>
                <w:sz w:val="24"/>
                <w:szCs w:val="24"/>
              </w:rPr>
              <w:t>工期承诺满足招标文件要求，工期保证措施合理且有针对性，有具体的违约责任承诺。</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jc w:val="center"/>
        </w:trPr>
        <w:tc>
          <w:tcPr>
            <w:tcW w:w="551" w:type="dxa"/>
            <w:vMerge w:val="continue"/>
            <w:vAlign w:val="center"/>
          </w:tcPr>
          <w:p>
            <w:pPr>
              <w:spacing w:line="360" w:lineRule="auto"/>
              <w:jc w:val="left"/>
              <w:rPr>
                <w:rFonts w:ascii="宋体" w:hAnsi="宋体" w:cs="宋体"/>
                <w:sz w:val="24"/>
                <w:szCs w:val="24"/>
              </w:rPr>
            </w:pPr>
          </w:p>
        </w:tc>
        <w:tc>
          <w:tcPr>
            <w:tcW w:w="1239" w:type="dxa"/>
            <w:vMerge w:val="continue"/>
            <w:vAlign w:val="center"/>
          </w:tcPr>
          <w:p>
            <w:pPr>
              <w:spacing w:line="360" w:lineRule="auto"/>
              <w:jc w:val="left"/>
              <w:rPr>
                <w:rFonts w:ascii="宋体" w:hAnsi="宋体" w:cs="宋体"/>
                <w:sz w:val="24"/>
                <w:szCs w:val="24"/>
              </w:rPr>
            </w:pPr>
          </w:p>
        </w:tc>
        <w:tc>
          <w:tcPr>
            <w:tcW w:w="1141" w:type="dxa"/>
            <w:vMerge w:val="continue"/>
            <w:vAlign w:val="center"/>
          </w:tcPr>
          <w:p>
            <w:pPr>
              <w:spacing w:line="360" w:lineRule="auto"/>
              <w:jc w:val="left"/>
              <w:rPr>
                <w:rFonts w:ascii="宋体" w:hAnsi="宋体" w:cs="宋体"/>
                <w:sz w:val="24"/>
                <w:szCs w:val="24"/>
              </w:rPr>
            </w:pPr>
          </w:p>
        </w:tc>
        <w:tc>
          <w:tcPr>
            <w:tcW w:w="5054" w:type="dxa"/>
            <w:vAlign w:val="center"/>
          </w:tcPr>
          <w:p>
            <w:pPr>
              <w:spacing w:line="360" w:lineRule="auto"/>
              <w:rPr>
                <w:rFonts w:ascii="宋体" w:hAnsi="宋体" w:cs="宋体"/>
                <w:sz w:val="24"/>
                <w:szCs w:val="24"/>
              </w:rPr>
            </w:pPr>
            <w:r>
              <w:rPr>
                <w:rFonts w:hint="eastAsia" w:ascii="宋体" w:hAnsi="宋体" w:cs="宋体"/>
                <w:sz w:val="24"/>
                <w:szCs w:val="24"/>
              </w:rPr>
              <w:t>工期承诺满足招标文件要求，工期保证措施基本合理，有具体的违约责任承诺。</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3" w:hRule="atLeast"/>
          <w:jc w:val="center"/>
        </w:trPr>
        <w:tc>
          <w:tcPr>
            <w:tcW w:w="551"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7</w:t>
            </w:r>
          </w:p>
        </w:tc>
        <w:tc>
          <w:tcPr>
            <w:tcW w:w="1239"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拟投入资源配备计划</w:t>
            </w:r>
          </w:p>
        </w:tc>
        <w:tc>
          <w:tcPr>
            <w:tcW w:w="1141"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0.5-2分</w:t>
            </w:r>
          </w:p>
        </w:tc>
        <w:tc>
          <w:tcPr>
            <w:tcW w:w="5054" w:type="dxa"/>
            <w:vAlign w:val="center"/>
          </w:tcPr>
          <w:p>
            <w:pPr>
              <w:spacing w:line="360" w:lineRule="auto"/>
              <w:rPr>
                <w:rFonts w:ascii="宋体" w:hAnsi="宋体" w:cs="宋体"/>
                <w:sz w:val="24"/>
                <w:szCs w:val="24"/>
              </w:rPr>
            </w:pPr>
            <w:r>
              <w:rPr>
                <w:rFonts w:hint="eastAsia" w:ascii="宋体" w:hAnsi="宋体" w:cs="宋体"/>
                <w:sz w:val="24"/>
                <w:szCs w:val="24"/>
              </w:rPr>
              <w:t>1.机械：投入计划与进度计划呼应，采用先进机械设备且配置合理、先进，满足安全技术规范和施工进度需要；PC构件运输、安装设备满足施工要求；</w:t>
            </w:r>
          </w:p>
          <w:p>
            <w:pPr>
              <w:spacing w:line="360" w:lineRule="auto"/>
              <w:rPr>
                <w:rFonts w:ascii="宋体" w:hAnsi="宋体" w:cs="宋体"/>
                <w:sz w:val="24"/>
                <w:szCs w:val="24"/>
              </w:rPr>
            </w:pPr>
            <w:r>
              <w:rPr>
                <w:rFonts w:hint="eastAsia" w:ascii="宋体" w:hAnsi="宋体" w:cs="宋体"/>
                <w:sz w:val="24"/>
                <w:szCs w:val="24"/>
              </w:rPr>
              <w:t>2.劳动力：投入计划与进度计划呼应，较好满足施工需要，调配投入计划合理、准确；</w:t>
            </w:r>
          </w:p>
          <w:p>
            <w:pPr>
              <w:spacing w:line="360" w:lineRule="auto"/>
              <w:rPr>
                <w:rFonts w:ascii="宋体" w:hAnsi="宋体" w:cs="宋体"/>
                <w:sz w:val="24"/>
                <w:szCs w:val="24"/>
              </w:rPr>
            </w:pPr>
            <w:r>
              <w:rPr>
                <w:rFonts w:hint="eastAsia" w:ascii="宋体" w:hAnsi="宋体" w:cs="宋体"/>
                <w:sz w:val="24"/>
                <w:szCs w:val="24"/>
              </w:rPr>
              <w:t>3.主要物资计划：主要物资（含PC构件的供应需求）投入计划与进度计划呼应，较好满足施工需要，调配投入计划合理、准确。</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84" w:hRule="atLeast"/>
          <w:jc w:val="center"/>
        </w:trPr>
        <w:tc>
          <w:tcPr>
            <w:tcW w:w="551" w:type="dxa"/>
            <w:vMerge w:val="continue"/>
            <w:vAlign w:val="center"/>
          </w:tcPr>
          <w:p>
            <w:pPr>
              <w:spacing w:line="360" w:lineRule="auto"/>
              <w:jc w:val="left"/>
              <w:rPr>
                <w:rFonts w:ascii="宋体" w:hAnsi="宋体" w:cs="宋体"/>
                <w:sz w:val="24"/>
                <w:szCs w:val="24"/>
              </w:rPr>
            </w:pPr>
          </w:p>
        </w:tc>
        <w:tc>
          <w:tcPr>
            <w:tcW w:w="1239" w:type="dxa"/>
            <w:vMerge w:val="continue"/>
            <w:vAlign w:val="center"/>
          </w:tcPr>
          <w:p>
            <w:pPr>
              <w:spacing w:line="360" w:lineRule="auto"/>
              <w:jc w:val="left"/>
              <w:rPr>
                <w:rFonts w:ascii="宋体" w:hAnsi="宋体" w:cs="宋体"/>
                <w:sz w:val="24"/>
                <w:szCs w:val="24"/>
              </w:rPr>
            </w:pPr>
          </w:p>
        </w:tc>
        <w:tc>
          <w:tcPr>
            <w:tcW w:w="1141" w:type="dxa"/>
            <w:vMerge w:val="continue"/>
            <w:vAlign w:val="center"/>
          </w:tcPr>
          <w:p>
            <w:pPr>
              <w:spacing w:line="360" w:lineRule="auto"/>
              <w:jc w:val="left"/>
              <w:rPr>
                <w:rFonts w:ascii="宋体" w:hAnsi="宋体" w:cs="宋体"/>
                <w:sz w:val="24"/>
                <w:szCs w:val="24"/>
              </w:rPr>
            </w:pPr>
          </w:p>
        </w:tc>
        <w:tc>
          <w:tcPr>
            <w:tcW w:w="5054" w:type="dxa"/>
            <w:vAlign w:val="center"/>
          </w:tcPr>
          <w:p>
            <w:pPr>
              <w:spacing w:line="360" w:lineRule="auto"/>
              <w:rPr>
                <w:rFonts w:ascii="宋体" w:hAnsi="宋体" w:cs="宋体"/>
                <w:sz w:val="24"/>
                <w:szCs w:val="24"/>
              </w:rPr>
            </w:pPr>
            <w:r>
              <w:rPr>
                <w:rFonts w:hint="eastAsia" w:ascii="宋体" w:hAnsi="宋体" w:cs="宋体"/>
                <w:sz w:val="24"/>
                <w:szCs w:val="24"/>
              </w:rPr>
              <w:t>1.机械：投入计划与进度计划呼应，机械设备配置基本合理，满足安全技术规范和施工进度需要；</w:t>
            </w:r>
          </w:p>
          <w:p>
            <w:pPr>
              <w:spacing w:line="360" w:lineRule="auto"/>
              <w:rPr>
                <w:rFonts w:ascii="宋体" w:hAnsi="宋体" w:cs="宋体"/>
                <w:sz w:val="24"/>
                <w:szCs w:val="24"/>
              </w:rPr>
            </w:pPr>
            <w:r>
              <w:rPr>
                <w:rFonts w:hint="eastAsia" w:ascii="宋体" w:hAnsi="宋体" w:cs="宋体"/>
                <w:sz w:val="24"/>
                <w:szCs w:val="24"/>
              </w:rPr>
              <w:t>2.劳动力：投入计划与进度计划呼应，基本满足施工需要，调配投入计划基本合理；</w:t>
            </w:r>
          </w:p>
          <w:p>
            <w:pPr>
              <w:spacing w:line="360" w:lineRule="auto"/>
              <w:rPr>
                <w:rFonts w:ascii="宋体" w:hAnsi="宋体" w:cs="宋体"/>
                <w:spacing w:val="-4"/>
                <w:sz w:val="24"/>
                <w:szCs w:val="24"/>
              </w:rPr>
            </w:pPr>
            <w:r>
              <w:rPr>
                <w:rFonts w:hint="eastAsia" w:ascii="宋体" w:hAnsi="宋体" w:cs="宋体"/>
                <w:spacing w:val="-4"/>
                <w:sz w:val="24"/>
                <w:szCs w:val="24"/>
              </w:rPr>
              <w:t>3.主要物资计划：主要物资（含PC构件的供应需求）投入计划与进度计划呼应，基本满足施工需要，调配投入计划基本合理。</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jc w:val="center"/>
        </w:trPr>
        <w:tc>
          <w:tcPr>
            <w:tcW w:w="551"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8</w:t>
            </w:r>
          </w:p>
        </w:tc>
        <w:tc>
          <w:tcPr>
            <w:tcW w:w="1239" w:type="dxa"/>
            <w:vMerge w:val="restart"/>
            <w:vAlign w:val="center"/>
          </w:tcPr>
          <w:p>
            <w:pPr>
              <w:spacing w:line="360" w:lineRule="auto"/>
              <w:jc w:val="left"/>
              <w:rPr>
                <w:rFonts w:ascii="宋体" w:hAnsi="宋体" w:cs="宋体"/>
                <w:sz w:val="24"/>
                <w:szCs w:val="24"/>
              </w:rPr>
            </w:pPr>
            <w:r>
              <w:rPr>
                <w:rFonts w:hint="eastAsia" w:ascii="宋体" w:hAnsi="宋体" w:cs="宋体"/>
                <w:sz w:val="24"/>
                <w:szCs w:val="24"/>
              </w:rPr>
              <w:t>施工进度表与网络计划图</w:t>
            </w:r>
          </w:p>
        </w:tc>
        <w:tc>
          <w:tcPr>
            <w:tcW w:w="1141"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0.5-2分</w:t>
            </w:r>
          </w:p>
        </w:tc>
        <w:tc>
          <w:tcPr>
            <w:tcW w:w="5054" w:type="dxa"/>
            <w:vAlign w:val="center"/>
          </w:tcPr>
          <w:p>
            <w:pPr>
              <w:spacing w:line="360" w:lineRule="auto"/>
              <w:rPr>
                <w:rFonts w:ascii="宋体" w:hAnsi="宋体" w:cs="宋体"/>
                <w:sz w:val="24"/>
                <w:szCs w:val="24"/>
              </w:rPr>
            </w:pPr>
            <w:r>
              <w:rPr>
                <w:rFonts w:hint="eastAsia" w:ascii="宋体" w:hAnsi="宋体" w:cs="宋体"/>
                <w:sz w:val="24"/>
                <w:szCs w:val="24"/>
              </w:rPr>
              <w:t>关键线路清晰、准确、完整、计划编制合理、可行、满足招标文件对工期的要求。</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551" w:type="dxa"/>
            <w:vMerge w:val="continue"/>
            <w:vAlign w:val="center"/>
          </w:tcPr>
          <w:p>
            <w:pPr>
              <w:spacing w:line="360" w:lineRule="auto"/>
              <w:jc w:val="left"/>
              <w:rPr>
                <w:rFonts w:ascii="宋体" w:hAnsi="宋体" w:cs="宋体"/>
                <w:sz w:val="24"/>
                <w:szCs w:val="24"/>
              </w:rPr>
            </w:pPr>
          </w:p>
        </w:tc>
        <w:tc>
          <w:tcPr>
            <w:tcW w:w="1239" w:type="dxa"/>
            <w:vMerge w:val="continue"/>
            <w:vAlign w:val="center"/>
          </w:tcPr>
          <w:p>
            <w:pPr>
              <w:spacing w:line="360" w:lineRule="auto"/>
              <w:jc w:val="left"/>
              <w:rPr>
                <w:rFonts w:ascii="宋体" w:hAnsi="宋体" w:cs="宋体"/>
                <w:sz w:val="24"/>
                <w:szCs w:val="24"/>
              </w:rPr>
            </w:pPr>
          </w:p>
        </w:tc>
        <w:tc>
          <w:tcPr>
            <w:tcW w:w="1141" w:type="dxa"/>
            <w:vMerge w:val="continue"/>
            <w:vAlign w:val="center"/>
          </w:tcPr>
          <w:p>
            <w:pPr>
              <w:spacing w:line="360" w:lineRule="auto"/>
              <w:jc w:val="left"/>
              <w:rPr>
                <w:rFonts w:ascii="宋体" w:hAnsi="宋体" w:cs="宋体"/>
                <w:sz w:val="24"/>
                <w:szCs w:val="24"/>
              </w:rPr>
            </w:pPr>
          </w:p>
        </w:tc>
        <w:tc>
          <w:tcPr>
            <w:tcW w:w="5054" w:type="dxa"/>
            <w:vAlign w:val="center"/>
          </w:tcPr>
          <w:p>
            <w:pPr>
              <w:spacing w:line="360" w:lineRule="auto"/>
              <w:rPr>
                <w:rFonts w:ascii="宋体" w:hAnsi="宋体" w:cs="宋体"/>
                <w:sz w:val="24"/>
                <w:szCs w:val="24"/>
              </w:rPr>
            </w:pPr>
            <w:r>
              <w:rPr>
                <w:rFonts w:hint="eastAsia" w:ascii="宋体" w:hAnsi="宋体" w:cs="宋体"/>
                <w:sz w:val="24"/>
                <w:szCs w:val="24"/>
              </w:rPr>
              <w:t>关键线路基本准确，计划编制基本可行。</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jc w:val="center"/>
        </w:trPr>
        <w:tc>
          <w:tcPr>
            <w:tcW w:w="551"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9</w:t>
            </w:r>
          </w:p>
        </w:tc>
        <w:tc>
          <w:tcPr>
            <w:tcW w:w="1239" w:type="dxa"/>
            <w:vMerge w:val="restart"/>
            <w:vAlign w:val="center"/>
          </w:tcPr>
          <w:p>
            <w:pPr>
              <w:spacing w:line="360" w:lineRule="auto"/>
              <w:jc w:val="left"/>
              <w:rPr>
                <w:rFonts w:ascii="宋体" w:hAnsi="宋体" w:cs="宋体"/>
                <w:sz w:val="24"/>
                <w:szCs w:val="24"/>
              </w:rPr>
            </w:pPr>
            <w:r>
              <w:rPr>
                <w:rFonts w:hint="eastAsia" w:ascii="宋体" w:hAnsi="宋体" w:cs="宋体"/>
                <w:sz w:val="24"/>
                <w:szCs w:val="24"/>
              </w:rPr>
              <w:t>施工总平面图布置</w:t>
            </w:r>
          </w:p>
        </w:tc>
        <w:tc>
          <w:tcPr>
            <w:tcW w:w="1141"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0.5-1分</w:t>
            </w:r>
          </w:p>
        </w:tc>
        <w:tc>
          <w:tcPr>
            <w:tcW w:w="5054" w:type="dxa"/>
            <w:vAlign w:val="center"/>
          </w:tcPr>
          <w:p>
            <w:pPr>
              <w:spacing w:line="360" w:lineRule="auto"/>
              <w:rPr>
                <w:rFonts w:ascii="宋体" w:hAnsi="宋体" w:cs="宋体"/>
                <w:sz w:val="24"/>
                <w:szCs w:val="24"/>
              </w:rPr>
            </w:pPr>
            <w:r>
              <w:rPr>
                <w:rFonts w:hint="eastAsia" w:ascii="宋体" w:hAnsi="宋体" w:cs="宋体"/>
                <w:sz w:val="24"/>
                <w:szCs w:val="24"/>
              </w:rPr>
              <w:t>总体布置有针对性、合理、能较好满足施工需要，符合安全、文明施工要求；材料堆放有序。</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551" w:type="dxa"/>
            <w:vMerge w:val="continue"/>
            <w:vAlign w:val="center"/>
          </w:tcPr>
          <w:p>
            <w:pPr>
              <w:spacing w:line="360" w:lineRule="auto"/>
              <w:jc w:val="left"/>
              <w:rPr>
                <w:rFonts w:ascii="宋体" w:hAnsi="宋体" w:cs="宋体"/>
                <w:sz w:val="24"/>
                <w:szCs w:val="24"/>
              </w:rPr>
            </w:pPr>
          </w:p>
        </w:tc>
        <w:tc>
          <w:tcPr>
            <w:tcW w:w="1239" w:type="dxa"/>
            <w:vMerge w:val="continue"/>
            <w:vAlign w:val="center"/>
          </w:tcPr>
          <w:p>
            <w:pPr>
              <w:spacing w:line="360" w:lineRule="auto"/>
              <w:jc w:val="left"/>
              <w:rPr>
                <w:rFonts w:ascii="宋体" w:hAnsi="宋体" w:cs="宋体"/>
                <w:sz w:val="24"/>
                <w:szCs w:val="24"/>
              </w:rPr>
            </w:pPr>
          </w:p>
        </w:tc>
        <w:tc>
          <w:tcPr>
            <w:tcW w:w="1141" w:type="dxa"/>
            <w:vMerge w:val="continue"/>
            <w:vAlign w:val="center"/>
          </w:tcPr>
          <w:p>
            <w:pPr>
              <w:spacing w:line="360" w:lineRule="auto"/>
              <w:jc w:val="left"/>
              <w:rPr>
                <w:rFonts w:ascii="宋体" w:hAnsi="宋体" w:cs="宋体"/>
                <w:sz w:val="24"/>
                <w:szCs w:val="24"/>
              </w:rPr>
            </w:pPr>
          </w:p>
        </w:tc>
        <w:tc>
          <w:tcPr>
            <w:tcW w:w="5054" w:type="dxa"/>
            <w:vAlign w:val="center"/>
          </w:tcPr>
          <w:p>
            <w:pPr>
              <w:spacing w:line="360" w:lineRule="auto"/>
              <w:rPr>
                <w:rFonts w:ascii="宋体" w:hAnsi="宋体" w:cs="宋体"/>
                <w:sz w:val="24"/>
                <w:szCs w:val="24"/>
              </w:rPr>
            </w:pPr>
            <w:r>
              <w:rPr>
                <w:rFonts w:hint="eastAsia" w:ascii="宋体" w:hAnsi="宋体" w:cs="宋体"/>
                <w:sz w:val="24"/>
                <w:szCs w:val="24"/>
              </w:rPr>
              <w:t>总体布置基本合理、基本满足施工需要。</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2" w:hRule="atLeast"/>
          <w:jc w:val="center"/>
        </w:trPr>
        <w:tc>
          <w:tcPr>
            <w:tcW w:w="551"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10</w:t>
            </w:r>
          </w:p>
        </w:tc>
        <w:tc>
          <w:tcPr>
            <w:tcW w:w="1239" w:type="dxa"/>
            <w:vMerge w:val="restart"/>
            <w:vAlign w:val="center"/>
          </w:tcPr>
          <w:p>
            <w:pPr>
              <w:spacing w:line="360" w:lineRule="auto"/>
              <w:jc w:val="left"/>
              <w:rPr>
                <w:rFonts w:ascii="宋体" w:hAnsi="宋体" w:cs="宋体"/>
                <w:sz w:val="24"/>
                <w:szCs w:val="24"/>
              </w:rPr>
            </w:pPr>
            <w:r>
              <w:rPr>
                <w:rFonts w:hint="eastAsia" w:ascii="宋体" w:hAnsi="宋体" w:cs="宋体"/>
                <w:sz w:val="24"/>
                <w:szCs w:val="24"/>
              </w:rPr>
              <w:t>技术创新的应用实施措施</w:t>
            </w:r>
          </w:p>
        </w:tc>
        <w:tc>
          <w:tcPr>
            <w:tcW w:w="1141"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1-2分</w:t>
            </w:r>
          </w:p>
        </w:tc>
        <w:tc>
          <w:tcPr>
            <w:tcW w:w="5054" w:type="dxa"/>
            <w:vAlign w:val="center"/>
          </w:tcPr>
          <w:p>
            <w:pPr>
              <w:spacing w:line="360" w:lineRule="auto"/>
              <w:rPr>
                <w:rFonts w:ascii="宋体" w:hAnsi="宋体" w:cs="宋体"/>
                <w:sz w:val="24"/>
                <w:szCs w:val="24"/>
              </w:rPr>
            </w:pPr>
            <w:r>
              <w:rPr>
                <w:rFonts w:hint="eastAsia" w:ascii="宋体" w:hAnsi="宋体" w:cs="宋体"/>
                <w:sz w:val="24"/>
                <w:szCs w:val="24"/>
              </w:rPr>
              <w:t>（1）节能减排、（2）绿色施工、（3）工艺创新、（4）装配式等技术创新的应用实施措施符合工程情况，具有针对性、可行性、经济适用性。</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2" w:hRule="atLeast"/>
          <w:jc w:val="center"/>
        </w:trPr>
        <w:tc>
          <w:tcPr>
            <w:tcW w:w="551" w:type="dxa"/>
            <w:vMerge w:val="continue"/>
            <w:vAlign w:val="center"/>
          </w:tcPr>
          <w:p>
            <w:pPr>
              <w:spacing w:line="360" w:lineRule="auto"/>
              <w:jc w:val="left"/>
              <w:rPr>
                <w:rFonts w:ascii="宋体" w:hAnsi="宋体" w:cs="宋体"/>
                <w:sz w:val="24"/>
                <w:szCs w:val="24"/>
              </w:rPr>
            </w:pPr>
          </w:p>
        </w:tc>
        <w:tc>
          <w:tcPr>
            <w:tcW w:w="1239" w:type="dxa"/>
            <w:vMerge w:val="continue"/>
            <w:vAlign w:val="center"/>
          </w:tcPr>
          <w:p>
            <w:pPr>
              <w:spacing w:line="360" w:lineRule="auto"/>
              <w:jc w:val="left"/>
              <w:rPr>
                <w:rFonts w:ascii="宋体" w:hAnsi="宋体" w:cs="宋体"/>
                <w:sz w:val="24"/>
                <w:szCs w:val="24"/>
              </w:rPr>
            </w:pPr>
          </w:p>
        </w:tc>
        <w:tc>
          <w:tcPr>
            <w:tcW w:w="1141" w:type="dxa"/>
            <w:vMerge w:val="continue"/>
            <w:vAlign w:val="center"/>
          </w:tcPr>
          <w:p>
            <w:pPr>
              <w:spacing w:line="360" w:lineRule="auto"/>
              <w:jc w:val="left"/>
              <w:rPr>
                <w:rFonts w:ascii="宋体" w:hAnsi="宋体" w:cs="宋体"/>
                <w:sz w:val="24"/>
                <w:szCs w:val="24"/>
              </w:rPr>
            </w:pPr>
          </w:p>
        </w:tc>
        <w:tc>
          <w:tcPr>
            <w:tcW w:w="5054" w:type="dxa"/>
            <w:vAlign w:val="center"/>
          </w:tcPr>
          <w:p>
            <w:pPr>
              <w:spacing w:line="360" w:lineRule="auto"/>
              <w:rPr>
                <w:rFonts w:ascii="宋体" w:hAnsi="宋体" w:cs="宋体"/>
                <w:sz w:val="24"/>
                <w:szCs w:val="24"/>
              </w:rPr>
            </w:pPr>
            <w:r>
              <w:rPr>
                <w:rFonts w:hint="eastAsia" w:ascii="宋体" w:hAnsi="宋体" w:cs="宋体"/>
                <w:spacing w:val="-8"/>
                <w:sz w:val="24"/>
                <w:szCs w:val="24"/>
              </w:rPr>
              <w:t>（1）节能减排、（2）绿色施工、（3）工艺创新、（4）装配式建筑等技术创新的应用实施措施基本符合工程情况，具有针</w:t>
            </w:r>
            <w:r>
              <w:rPr>
                <w:rFonts w:hint="eastAsia" w:ascii="宋体" w:hAnsi="宋体" w:cs="宋体"/>
                <w:sz w:val="24"/>
                <w:szCs w:val="24"/>
              </w:rPr>
              <w:t>对性。</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2" w:hRule="atLeast"/>
          <w:jc w:val="center"/>
        </w:trPr>
        <w:tc>
          <w:tcPr>
            <w:tcW w:w="551"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11</w:t>
            </w:r>
          </w:p>
        </w:tc>
        <w:tc>
          <w:tcPr>
            <w:tcW w:w="1239"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采用新工艺、新技术、新设备、新材料、BIM等的程度</w:t>
            </w:r>
          </w:p>
        </w:tc>
        <w:tc>
          <w:tcPr>
            <w:tcW w:w="1141"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1-2分</w:t>
            </w:r>
          </w:p>
        </w:tc>
        <w:tc>
          <w:tcPr>
            <w:tcW w:w="5054" w:type="dxa"/>
            <w:vAlign w:val="center"/>
          </w:tcPr>
          <w:p>
            <w:pPr>
              <w:spacing w:line="360" w:lineRule="auto"/>
              <w:rPr>
                <w:rFonts w:ascii="宋体" w:hAnsi="宋体" w:cs="宋体"/>
                <w:sz w:val="24"/>
                <w:szCs w:val="24"/>
              </w:rPr>
            </w:pPr>
            <w:r>
              <w:rPr>
                <w:rFonts w:hint="eastAsia" w:ascii="宋体" w:hAnsi="宋体" w:cs="宋体"/>
                <w:sz w:val="24"/>
                <w:szCs w:val="24"/>
              </w:rPr>
              <w:t>采用新工艺、新技术、新设备、新材料、BIM等的程度满足设计要求，符合施工需要和相应技术标准等规定，经济适用。</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2" w:hRule="atLeast"/>
          <w:jc w:val="center"/>
        </w:trPr>
        <w:tc>
          <w:tcPr>
            <w:tcW w:w="551" w:type="dxa"/>
            <w:vMerge w:val="continue"/>
            <w:vAlign w:val="center"/>
          </w:tcPr>
          <w:p>
            <w:pPr>
              <w:spacing w:line="360" w:lineRule="auto"/>
              <w:jc w:val="left"/>
              <w:rPr>
                <w:rFonts w:ascii="宋体" w:hAnsi="宋体" w:cs="宋体"/>
                <w:sz w:val="24"/>
                <w:szCs w:val="24"/>
              </w:rPr>
            </w:pPr>
          </w:p>
        </w:tc>
        <w:tc>
          <w:tcPr>
            <w:tcW w:w="1239" w:type="dxa"/>
            <w:vMerge w:val="continue"/>
            <w:vAlign w:val="center"/>
          </w:tcPr>
          <w:p>
            <w:pPr>
              <w:spacing w:line="360" w:lineRule="auto"/>
              <w:jc w:val="left"/>
              <w:rPr>
                <w:rFonts w:ascii="宋体" w:hAnsi="宋体" w:cs="宋体"/>
                <w:sz w:val="24"/>
                <w:szCs w:val="24"/>
              </w:rPr>
            </w:pPr>
          </w:p>
        </w:tc>
        <w:tc>
          <w:tcPr>
            <w:tcW w:w="1141" w:type="dxa"/>
            <w:vMerge w:val="continue"/>
            <w:vAlign w:val="center"/>
          </w:tcPr>
          <w:p>
            <w:pPr>
              <w:spacing w:line="360" w:lineRule="auto"/>
              <w:jc w:val="left"/>
              <w:rPr>
                <w:rFonts w:ascii="宋体" w:hAnsi="宋体" w:cs="宋体"/>
                <w:sz w:val="24"/>
                <w:szCs w:val="24"/>
              </w:rPr>
            </w:pPr>
          </w:p>
        </w:tc>
        <w:tc>
          <w:tcPr>
            <w:tcW w:w="5054" w:type="dxa"/>
            <w:vAlign w:val="center"/>
          </w:tcPr>
          <w:p>
            <w:pPr>
              <w:spacing w:line="360" w:lineRule="auto"/>
              <w:rPr>
                <w:rFonts w:ascii="宋体" w:hAnsi="宋体" w:cs="宋体"/>
                <w:sz w:val="24"/>
                <w:szCs w:val="24"/>
              </w:rPr>
            </w:pPr>
            <w:r>
              <w:rPr>
                <w:rFonts w:hint="eastAsia" w:ascii="宋体" w:hAnsi="宋体" w:cs="宋体"/>
                <w:sz w:val="24"/>
                <w:szCs w:val="24"/>
              </w:rPr>
              <w:t>采用新工艺、新技术、新设备、新材料、BIM等的程度满足设计要求，基本符合施工要求和相应技术标准等规定。</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jc w:val="center"/>
        </w:trPr>
        <w:tc>
          <w:tcPr>
            <w:tcW w:w="551"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12</w:t>
            </w:r>
          </w:p>
        </w:tc>
        <w:tc>
          <w:tcPr>
            <w:tcW w:w="1239"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施工现场实施信息化监控和数据处理</w:t>
            </w:r>
          </w:p>
        </w:tc>
        <w:tc>
          <w:tcPr>
            <w:tcW w:w="1141"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0.5-1.5分</w:t>
            </w:r>
          </w:p>
        </w:tc>
        <w:tc>
          <w:tcPr>
            <w:tcW w:w="5054" w:type="dxa"/>
            <w:vAlign w:val="center"/>
          </w:tcPr>
          <w:p>
            <w:pPr>
              <w:spacing w:line="360" w:lineRule="auto"/>
              <w:rPr>
                <w:rFonts w:ascii="宋体" w:hAnsi="宋体" w:cs="宋体"/>
                <w:sz w:val="24"/>
                <w:szCs w:val="24"/>
              </w:rPr>
            </w:pPr>
            <w:r>
              <w:rPr>
                <w:rFonts w:hint="eastAsia" w:ascii="宋体" w:hAnsi="宋体" w:cs="宋体"/>
                <w:sz w:val="24"/>
                <w:szCs w:val="24"/>
              </w:rPr>
              <w:t>施工现场实施信息化监控和数据处理系统布置合理，满足需要。</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jc w:val="center"/>
        </w:trPr>
        <w:tc>
          <w:tcPr>
            <w:tcW w:w="551" w:type="dxa"/>
            <w:vMerge w:val="continue"/>
            <w:vAlign w:val="center"/>
          </w:tcPr>
          <w:p>
            <w:pPr>
              <w:spacing w:line="360" w:lineRule="auto"/>
              <w:jc w:val="left"/>
              <w:rPr>
                <w:rFonts w:ascii="宋体" w:hAnsi="宋体" w:cs="宋体"/>
                <w:sz w:val="24"/>
                <w:szCs w:val="24"/>
              </w:rPr>
            </w:pPr>
          </w:p>
        </w:tc>
        <w:tc>
          <w:tcPr>
            <w:tcW w:w="1239" w:type="dxa"/>
            <w:vMerge w:val="continue"/>
            <w:vAlign w:val="center"/>
          </w:tcPr>
          <w:p>
            <w:pPr>
              <w:spacing w:line="360" w:lineRule="auto"/>
              <w:jc w:val="left"/>
              <w:rPr>
                <w:rFonts w:ascii="宋体" w:hAnsi="宋体" w:cs="宋体"/>
                <w:sz w:val="24"/>
                <w:szCs w:val="24"/>
              </w:rPr>
            </w:pPr>
          </w:p>
        </w:tc>
        <w:tc>
          <w:tcPr>
            <w:tcW w:w="1141" w:type="dxa"/>
            <w:vMerge w:val="continue"/>
            <w:vAlign w:val="center"/>
          </w:tcPr>
          <w:p>
            <w:pPr>
              <w:spacing w:line="360" w:lineRule="auto"/>
              <w:jc w:val="left"/>
              <w:rPr>
                <w:rFonts w:ascii="宋体" w:hAnsi="宋体" w:cs="宋体"/>
                <w:sz w:val="24"/>
                <w:szCs w:val="24"/>
              </w:rPr>
            </w:pPr>
          </w:p>
        </w:tc>
        <w:tc>
          <w:tcPr>
            <w:tcW w:w="5054" w:type="dxa"/>
            <w:vAlign w:val="center"/>
          </w:tcPr>
          <w:p>
            <w:pPr>
              <w:spacing w:line="360" w:lineRule="auto"/>
              <w:rPr>
                <w:rFonts w:ascii="宋体" w:hAnsi="宋体" w:cs="宋体"/>
                <w:sz w:val="24"/>
                <w:szCs w:val="24"/>
              </w:rPr>
            </w:pPr>
            <w:r>
              <w:rPr>
                <w:rFonts w:hint="eastAsia" w:ascii="宋体" w:hAnsi="宋体" w:cs="宋体"/>
                <w:sz w:val="24"/>
                <w:szCs w:val="24"/>
              </w:rPr>
              <w:t>施工现场实施信息化监控和数据处理系统布置基本符合需要。</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2" w:hRule="atLeast"/>
          <w:jc w:val="center"/>
        </w:trPr>
        <w:tc>
          <w:tcPr>
            <w:tcW w:w="551"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13</w:t>
            </w:r>
          </w:p>
        </w:tc>
        <w:tc>
          <w:tcPr>
            <w:tcW w:w="1239"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风险管理措施</w:t>
            </w:r>
          </w:p>
        </w:tc>
        <w:tc>
          <w:tcPr>
            <w:tcW w:w="1141"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1-2分</w:t>
            </w:r>
          </w:p>
        </w:tc>
        <w:tc>
          <w:tcPr>
            <w:tcW w:w="5054" w:type="dxa"/>
            <w:vAlign w:val="center"/>
          </w:tcPr>
          <w:p>
            <w:pPr>
              <w:spacing w:line="360" w:lineRule="auto"/>
              <w:rPr>
                <w:rFonts w:ascii="宋体" w:hAnsi="宋体" w:cs="宋体"/>
                <w:sz w:val="24"/>
                <w:szCs w:val="24"/>
              </w:rPr>
            </w:pPr>
            <w:r>
              <w:rPr>
                <w:rFonts w:hint="eastAsia" w:ascii="宋体" w:hAnsi="宋体" w:cs="宋体"/>
                <w:sz w:val="24"/>
                <w:szCs w:val="24"/>
              </w:rPr>
              <w:t>风险防控管理措施齐全，风险预控符合规范要求，风险控制要点定位准确，各阶段风险控制及应急措施得力。</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2" w:hRule="atLeast"/>
          <w:jc w:val="center"/>
        </w:trPr>
        <w:tc>
          <w:tcPr>
            <w:tcW w:w="551" w:type="dxa"/>
            <w:vMerge w:val="continue"/>
            <w:vAlign w:val="center"/>
          </w:tcPr>
          <w:p>
            <w:pPr>
              <w:spacing w:line="360" w:lineRule="auto"/>
              <w:jc w:val="left"/>
              <w:rPr>
                <w:rFonts w:ascii="宋体" w:hAnsi="宋体" w:cs="宋体"/>
                <w:sz w:val="24"/>
                <w:szCs w:val="24"/>
              </w:rPr>
            </w:pPr>
          </w:p>
        </w:tc>
        <w:tc>
          <w:tcPr>
            <w:tcW w:w="1239" w:type="dxa"/>
            <w:vMerge w:val="continue"/>
            <w:vAlign w:val="center"/>
          </w:tcPr>
          <w:p>
            <w:pPr>
              <w:spacing w:line="360" w:lineRule="auto"/>
              <w:jc w:val="left"/>
              <w:rPr>
                <w:rFonts w:ascii="宋体" w:hAnsi="宋体" w:cs="宋体"/>
                <w:sz w:val="24"/>
                <w:szCs w:val="24"/>
              </w:rPr>
            </w:pPr>
          </w:p>
        </w:tc>
        <w:tc>
          <w:tcPr>
            <w:tcW w:w="1141" w:type="dxa"/>
            <w:vMerge w:val="continue"/>
            <w:vAlign w:val="center"/>
          </w:tcPr>
          <w:p>
            <w:pPr>
              <w:spacing w:line="360" w:lineRule="auto"/>
              <w:jc w:val="left"/>
              <w:rPr>
                <w:rFonts w:ascii="宋体" w:hAnsi="宋体" w:cs="宋体"/>
                <w:sz w:val="24"/>
                <w:szCs w:val="24"/>
              </w:rPr>
            </w:pPr>
          </w:p>
        </w:tc>
        <w:tc>
          <w:tcPr>
            <w:tcW w:w="5054" w:type="dxa"/>
            <w:vAlign w:val="center"/>
          </w:tcPr>
          <w:p>
            <w:pPr>
              <w:spacing w:line="360" w:lineRule="auto"/>
              <w:rPr>
                <w:rFonts w:ascii="宋体" w:hAnsi="宋体" w:cs="宋体"/>
                <w:sz w:val="24"/>
                <w:szCs w:val="24"/>
              </w:rPr>
            </w:pPr>
            <w:r>
              <w:rPr>
                <w:rFonts w:hint="eastAsia" w:ascii="宋体" w:hAnsi="宋体" w:cs="宋体"/>
                <w:sz w:val="24"/>
                <w:szCs w:val="24"/>
              </w:rPr>
              <w:t>风险防控管理措施基本齐全，风险预控符合规范要求，风险控制要点定位基本准确，有各阶段风险控制及应急措施。</w:t>
            </w: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8" w:hRule="atLeast"/>
          <w:jc w:val="center"/>
        </w:trPr>
        <w:tc>
          <w:tcPr>
            <w:tcW w:w="1790" w:type="dxa"/>
            <w:gridSpan w:val="2"/>
            <w:vAlign w:val="center"/>
          </w:tcPr>
          <w:p>
            <w:pPr>
              <w:spacing w:line="360" w:lineRule="auto"/>
              <w:jc w:val="center"/>
              <w:rPr>
                <w:rFonts w:ascii="宋体" w:hAnsi="宋体" w:cs="宋体"/>
                <w:sz w:val="24"/>
                <w:szCs w:val="24"/>
              </w:rPr>
            </w:pPr>
            <w:r>
              <w:rPr>
                <w:rFonts w:hint="eastAsia" w:ascii="宋体" w:hAnsi="宋体" w:cs="宋体"/>
                <w:sz w:val="24"/>
                <w:szCs w:val="24"/>
              </w:rPr>
              <w:t>合计</w:t>
            </w:r>
          </w:p>
        </w:tc>
        <w:tc>
          <w:tcPr>
            <w:tcW w:w="1141" w:type="dxa"/>
            <w:vAlign w:val="center"/>
          </w:tcPr>
          <w:p>
            <w:pPr>
              <w:spacing w:line="360" w:lineRule="auto"/>
              <w:jc w:val="center"/>
              <w:rPr>
                <w:rFonts w:ascii="宋体" w:hAnsi="宋体" w:cs="宋体"/>
                <w:sz w:val="24"/>
                <w:szCs w:val="24"/>
              </w:rPr>
            </w:pPr>
            <w:r>
              <w:rPr>
                <w:rFonts w:hint="eastAsia" w:ascii="宋体" w:hAnsi="宋体" w:cs="宋体"/>
                <w:sz w:val="24"/>
                <w:szCs w:val="24"/>
              </w:rPr>
              <w:t>10-25分</w:t>
            </w:r>
          </w:p>
        </w:tc>
        <w:tc>
          <w:tcPr>
            <w:tcW w:w="5054" w:type="dxa"/>
            <w:vAlign w:val="center"/>
          </w:tcPr>
          <w:p>
            <w:pPr>
              <w:spacing w:line="360" w:lineRule="auto"/>
              <w:rPr>
                <w:rFonts w:ascii="宋体" w:hAnsi="宋体" w:cs="宋体"/>
                <w:sz w:val="24"/>
                <w:szCs w:val="24"/>
              </w:rPr>
            </w:pPr>
          </w:p>
        </w:tc>
        <w:tc>
          <w:tcPr>
            <w:tcW w:w="1635" w:type="dxa"/>
            <w:vAlign w:val="center"/>
          </w:tcPr>
          <w:p>
            <w:pPr>
              <w:spacing w:line="360" w:lineRule="auto"/>
              <w:jc w:val="center"/>
              <w:rPr>
                <w:rFonts w:ascii="宋体" w:hAnsi="宋体" w:cs="宋体"/>
                <w:sz w:val="24"/>
                <w:szCs w:val="24"/>
              </w:rPr>
            </w:pPr>
            <w:r>
              <w:rPr>
                <w:rFonts w:hint="eastAsia" w:ascii="宋体" w:hAnsi="宋体" w:cs="宋体"/>
                <w:sz w:val="24"/>
                <w:szCs w:val="24"/>
              </w:rPr>
              <w:t>10≤得分≤25</w:t>
            </w:r>
          </w:p>
        </w:tc>
      </w:tr>
    </w:tbl>
    <w:p>
      <w:pPr>
        <w:autoSpaceDE w:val="0"/>
        <w:autoSpaceDN w:val="0"/>
        <w:spacing w:line="360" w:lineRule="auto"/>
        <w:ind w:firstLine="482" w:firstLineChars="200"/>
        <w:contextualSpacing/>
        <w:jc w:val="left"/>
        <w:outlineLvl w:val="0"/>
        <w:rPr>
          <w:rFonts w:ascii="宋体" w:hAnsi="宋体" w:cs="宋体"/>
          <w:b/>
          <w:bCs/>
          <w:kern w:val="0"/>
          <w:sz w:val="24"/>
          <w:szCs w:val="24"/>
        </w:rPr>
      </w:pPr>
    </w:p>
    <w:p>
      <w:pPr>
        <w:autoSpaceDE w:val="0"/>
        <w:autoSpaceDN w:val="0"/>
        <w:spacing w:line="360" w:lineRule="auto"/>
        <w:ind w:firstLine="482" w:firstLineChars="200"/>
        <w:contextualSpacing/>
        <w:jc w:val="left"/>
        <w:outlineLvl w:val="0"/>
        <w:rPr>
          <w:rFonts w:ascii="宋体" w:hAnsi="宋体" w:cs="宋体"/>
          <w:b/>
          <w:bCs/>
          <w:kern w:val="0"/>
          <w:sz w:val="24"/>
          <w:szCs w:val="24"/>
        </w:rPr>
      </w:pPr>
      <w:r>
        <w:rPr>
          <w:rFonts w:hint="eastAsia" w:ascii="宋体" w:hAnsi="宋体" w:cs="宋体"/>
          <w:b/>
          <w:bCs/>
          <w:kern w:val="0"/>
          <w:sz w:val="24"/>
          <w:szCs w:val="24"/>
        </w:rPr>
        <w:t>（四）综合（信用）标的评标分值25分</w:t>
      </w:r>
    </w:p>
    <w:tbl>
      <w:tblPr>
        <w:tblStyle w:val="15"/>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69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417" w:type="dxa"/>
            <w:vAlign w:val="center"/>
          </w:tcPr>
          <w:p>
            <w:pPr>
              <w:spacing w:line="360" w:lineRule="auto"/>
              <w:jc w:val="center"/>
              <w:rPr>
                <w:rFonts w:ascii="宋体" w:hAnsi="宋体" w:cs="宋体"/>
                <w:sz w:val="24"/>
                <w:szCs w:val="24"/>
              </w:rPr>
            </w:pPr>
            <w:r>
              <w:rPr>
                <w:rFonts w:hint="eastAsia" w:ascii="宋体" w:hAnsi="宋体" w:cs="宋体"/>
                <w:sz w:val="24"/>
                <w:szCs w:val="24"/>
              </w:rPr>
              <w:t>项目</w:t>
            </w:r>
          </w:p>
        </w:tc>
        <w:tc>
          <w:tcPr>
            <w:tcW w:w="5699" w:type="dxa"/>
            <w:vAlign w:val="center"/>
          </w:tcPr>
          <w:p>
            <w:pPr>
              <w:spacing w:line="360" w:lineRule="auto"/>
              <w:jc w:val="center"/>
              <w:rPr>
                <w:rFonts w:ascii="宋体" w:hAnsi="宋体" w:cs="宋体"/>
                <w:sz w:val="24"/>
                <w:szCs w:val="24"/>
              </w:rPr>
            </w:pPr>
            <w:r>
              <w:rPr>
                <w:rFonts w:hint="eastAsia" w:ascii="宋体" w:hAnsi="宋体" w:cs="宋体"/>
                <w:sz w:val="24"/>
                <w:szCs w:val="24"/>
              </w:rPr>
              <w:t>评审标准</w:t>
            </w:r>
          </w:p>
        </w:tc>
        <w:tc>
          <w:tcPr>
            <w:tcW w:w="1691" w:type="dxa"/>
            <w:vAlign w:val="center"/>
          </w:tcPr>
          <w:p>
            <w:pPr>
              <w:spacing w:line="360" w:lineRule="auto"/>
              <w:jc w:val="center"/>
              <w:rPr>
                <w:rFonts w:ascii="宋体" w:hAnsi="宋体" w:cs="宋体"/>
                <w:sz w:val="24"/>
                <w:szCs w:val="24"/>
              </w:rPr>
            </w:pPr>
            <w:r>
              <w:rPr>
                <w:rFonts w:hint="eastAsia" w:ascii="宋体"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417" w:type="dxa"/>
            <w:vAlign w:val="center"/>
          </w:tcPr>
          <w:p>
            <w:pPr>
              <w:spacing w:line="360" w:lineRule="auto"/>
              <w:jc w:val="center"/>
              <w:rPr>
                <w:rFonts w:ascii="宋体" w:hAnsi="宋体" w:cs="宋体"/>
                <w:sz w:val="24"/>
                <w:szCs w:val="24"/>
              </w:rPr>
            </w:pPr>
            <w:r>
              <w:rPr>
                <w:rFonts w:hint="eastAsia" w:ascii="宋体" w:hAnsi="宋体" w:cs="宋体"/>
                <w:sz w:val="24"/>
                <w:szCs w:val="24"/>
              </w:rPr>
              <w:t>企业业绩</w:t>
            </w:r>
          </w:p>
        </w:tc>
        <w:tc>
          <w:tcPr>
            <w:tcW w:w="5699" w:type="dxa"/>
            <w:vAlign w:val="center"/>
          </w:tcPr>
          <w:p>
            <w:pPr>
              <w:spacing w:line="360" w:lineRule="auto"/>
              <w:jc w:val="left"/>
              <w:rPr>
                <w:rFonts w:ascii="宋体" w:hAnsi="宋体" w:cs="宋体"/>
                <w:sz w:val="24"/>
                <w:szCs w:val="24"/>
              </w:rPr>
            </w:pPr>
            <w:r>
              <w:rPr>
                <w:rFonts w:hint="eastAsia" w:ascii="宋体" w:hAnsi="宋体" w:cs="宋体"/>
                <w:sz w:val="24"/>
                <w:szCs w:val="24"/>
              </w:rPr>
              <w:t>2019年1月1日以来，投标人承担过的类似项目业绩，每项得2分，本项最高得4分。（应提供法定媒介中标（成交）公示网页截图、合同、中标通知书（或竣工备案表）缺一项不得分。）</w:t>
            </w:r>
          </w:p>
        </w:tc>
        <w:tc>
          <w:tcPr>
            <w:tcW w:w="1691" w:type="dxa"/>
            <w:vAlign w:val="center"/>
          </w:tcPr>
          <w:p>
            <w:pPr>
              <w:spacing w:line="360" w:lineRule="auto"/>
              <w:jc w:val="center"/>
              <w:rPr>
                <w:rFonts w:ascii="宋体" w:hAnsi="宋体" w:cs="宋体"/>
                <w:sz w:val="24"/>
                <w:szCs w:val="24"/>
              </w:rPr>
            </w:pPr>
            <w:r>
              <w:rPr>
                <w:rFonts w:hint="eastAsia" w:ascii="宋体"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417" w:type="dxa"/>
            <w:vAlign w:val="center"/>
          </w:tcPr>
          <w:p>
            <w:pPr>
              <w:spacing w:line="360" w:lineRule="auto"/>
              <w:jc w:val="center"/>
              <w:rPr>
                <w:rFonts w:ascii="宋体" w:hAnsi="宋体" w:cs="宋体"/>
                <w:sz w:val="24"/>
                <w:szCs w:val="24"/>
              </w:rPr>
            </w:pPr>
            <w:r>
              <w:rPr>
                <w:rFonts w:hint="eastAsia" w:ascii="宋体" w:hAnsi="宋体" w:cs="宋体"/>
                <w:sz w:val="24"/>
                <w:szCs w:val="24"/>
              </w:rPr>
              <w:t>项目经理业绩</w:t>
            </w:r>
          </w:p>
        </w:tc>
        <w:tc>
          <w:tcPr>
            <w:tcW w:w="5699" w:type="dxa"/>
            <w:vAlign w:val="center"/>
          </w:tcPr>
          <w:p>
            <w:pPr>
              <w:spacing w:line="360" w:lineRule="auto"/>
              <w:jc w:val="left"/>
              <w:rPr>
                <w:rFonts w:ascii="宋体" w:hAnsi="宋体" w:cs="宋体"/>
                <w:sz w:val="24"/>
                <w:szCs w:val="24"/>
              </w:rPr>
            </w:pPr>
            <w:r>
              <w:rPr>
                <w:rFonts w:hint="eastAsia" w:ascii="宋体" w:hAnsi="宋体" w:cs="宋体"/>
                <w:sz w:val="24"/>
                <w:szCs w:val="24"/>
              </w:rPr>
              <w:t>拟派项目经理2019年1月1日以来，承担过类似项目业绩的，得2分，本项最高得6分。（应提供法定媒介中标（成交）公示网页截图、合同、中标通知书（或竣工备案表）缺一项不得分。）</w:t>
            </w:r>
          </w:p>
        </w:tc>
        <w:tc>
          <w:tcPr>
            <w:tcW w:w="1691" w:type="dxa"/>
            <w:vAlign w:val="center"/>
          </w:tcPr>
          <w:p>
            <w:pPr>
              <w:spacing w:line="360" w:lineRule="auto"/>
              <w:jc w:val="center"/>
              <w:rPr>
                <w:rFonts w:ascii="宋体" w:hAnsi="宋体" w:cs="宋体"/>
                <w:sz w:val="24"/>
                <w:szCs w:val="24"/>
              </w:rPr>
            </w:pPr>
            <w:r>
              <w:rPr>
                <w:rFonts w:hint="eastAsia" w:ascii="宋体"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1417"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优惠承诺</w:t>
            </w:r>
          </w:p>
        </w:tc>
        <w:tc>
          <w:tcPr>
            <w:tcW w:w="5699" w:type="dxa"/>
            <w:vAlign w:val="center"/>
          </w:tcPr>
          <w:p>
            <w:pPr>
              <w:spacing w:line="360" w:lineRule="auto"/>
              <w:jc w:val="left"/>
              <w:rPr>
                <w:rFonts w:ascii="宋体" w:hAnsi="宋体" w:cs="宋体"/>
                <w:sz w:val="24"/>
                <w:szCs w:val="24"/>
              </w:rPr>
            </w:pPr>
            <w:r>
              <w:rPr>
                <w:rFonts w:hint="eastAsia" w:ascii="宋体" w:hAnsi="宋体" w:cs="宋体"/>
                <w:sz w:val="24"/>
                <w:szCs w:val="24"/>
              </w:rPr>
              <w:t xml:space="preserve">优惠承诺应是书面的符合工程实际情况，确保依法依规，优惠合理，详实可行。 </w:t>
            </w:r>
          </w:p>
        </w:tc>
        <w:tc>
          <w:tcPr>
            <w:tcW w:w="1691" w:type="dxa"/>
            <w:vAlign w:val="center"/>
          </w:tcPr>
          <w:p>
            <w:pPr>
              <w:spacing w:line="360" w:lineRule="auto"/>
              <w:jc w:val="center"/>
              <w:rPr>
                <w:rFonts w:ascii="宋体" w:hAnsi="宋体" w:cs="宋体"/>
                <w:sz w:val="24"/>
                <w:szCs w:val="24"/>
              </w:rPr>
            </w:pPr>
            <w:r>
              <w:rPr>
                <w:rFonts w:hint="eastAsia" w:ascii="宋体"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spacing w:line="360" w:lineRule="auto"/>
              <w:jc w:val="left"/>
              <w:rPr>
                <w:rFonts w:ascii="宋体" w:hAnsi="宋体" w:cs="宋体"/>
                <w:sz w:val="24"/>
                <w:szCs w:val="24"/>
              </w:rPr>
            </w:pPr>
          </w:p>
        </w:tc>
        <w:tc>
          <w:tcPr>
            <w:tcW w:w="1417" w:type="dxa"/>
            <w:vMerge w:val="continue"/>
            <w:vAlign w:val="center"/>
          </w:tcPr>
          <w:p>
            <w:pPr>
              <w:spacing w:line="360" w:lineRule="auto"/>
              <w:jc w:val="left"/>
              <w:rPr>
                <w:rFonts w:ascii="宋体" w:hAnsi="宋体" w:cs="宋体"/>
                <w:sz w:val="24"/>
                <w:szCs w:val="24"/>
              </w:rPr>
            </w:pPr>
          </w:p>
        </w:tc>
        <w:tc>
          <w:tcPr>
            <w:tcW w:w="5699" w:type="dxa"/>
            <w:vAlign w:val="center"/>
          </w:tcPr>
          <w:p>
            <w:pPr>
              <w:spacing w:line="360" w:lineRule="auto"/>
              <w:jc w:val="left"/>
              <w:rPr>
                <w:rFonts w:ascii="宋体" w:hAnsi="宋体" w:cs="宋体"/>
                <w:sz w:val="24"/>
                <w:szCs w:val="24"/>
              </w:rPr>
            </w:pPr>
            <w:r>
              <w:rPr>
                <w:rFonts w:hint="eastAsia" w:ascii="宋体" w:hAnsi="宋体" w:cs="宋体"/>
                <w:sz w:val="24"/>
                <w:szCs w:val="24"/>
              </w:rPr>
              <w:t>优惠承诺符合工程实际情况，确保依法依规，优惠基本合理，基本详实可行。</w:t>
            </w:r>
          </w:p>
        </w:tc>
        <w:tc>
          <w:tcPr>
            <w:tcW w:w="1691" w:type="dxa"/>
            <w:vAlign w:val="center"/>
          </w:tcPr>
          <w:p>
            <w:pPr>
              <w:spacing w:line="360" w:lineRule="auto"/>
              <w:jc w:val="center"/>
              <w:rPr>
                <w:rFonts w:ascii="宋体" w:hAnsi="宋体" w:cs="宋体"/>
                <w:sz w:val="24"/>
                <w:szCs w:val="24"/>
              </w:rPr>
            </w:pPr>
            <w:r>
              <w:rPr>
                <w:rFonts w:hint="eastAsia" w:ascii="宋体"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1417"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履职尽责承诺</w:t>
            </w:r>
          </w:p>
        </w:tc>
        <w:tc>
          <w:tcPr>
            <w:tcW w:w="5699" w:type="dxa"/>
            <w:vAlign w:val="center"/>
          </w:tcPr>
          <w:p>
            <w:pPr>
              <w:spacing w:line="360" w:lineRule="auto"/>
              <w:jc w:val="left"/>
              <w:rPr>
                <w:rFonts w:ascii="宋体" w:hAnsi="宋体" w:cs="宋体"/>
                <w:sz w:val="24"/>
                <w:szCs w:val="24"/>
              </w:rPr>
            </w:pPr>
            <w:r>
              <w:rPr>
                <w:rFonts w:hint="eastAsia" w:ascii="宋体" w:hAnsi="宋体" w:cs="宋体"/>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vAlign w:val="center"/>
          </w:tcPr>
          <w:p>
            <w:pPr>
              <w:spacing w:line="360" w:lineRule="auto"/>
              <w:jc w:val="center"/>
              <w:rPr>
                <w:rFonts w:ascii="宋体" w:hAnsi="宋体" w:cs="宋体"/>
                <w:sz w:val="24"/>
                <w:szCs w:val="24"/>
              </w:rPr>
            </w:pPr>
            <w:r>
              <w:rPr>
                <w:rFonts w:hint="eastAsia" w:ascii="宋体"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spacing w:line="360" w:lineRule="auto"/>
              <w:jc w:val="left"/>
              <w:rPr>
                <w:rFonts w:ascii="宋体" w:hAnsi="宋体" w:cs="宋体"/>
                <w:sz w:val="24"/>
                <w:szCs w:val="24"/>
              </w:rPr>
            </w:pPr>
          </w:p>
        </w:tc>
        <w:tc>
          <w:tcPr>
            <w:tcW w:w="1417" w:type="dxa"/>
            <w:vMerge w:val="continue"/>
            <w:vAlign w:val="center"/>
          </w:tcPr>
          <w:p>
            <w:pPr>
              <w:spacing w:line="360" w:lineRule="auto"/>
              <w:jc w:val="left"/>
              <w:rPr>
                <w:rFonts w:ascii="宋体" w:hAnsi="宋体" w:cs="宋体"/>
                <w:sz w:val="24"/>
                <w:szCs w:val="24"/>
              </w:rPr>
            </w:pPr>
          </w:p>
        </w:tc>
        <w:tc>
          <w:tcPr>
            <w:tcW w:w="5699" w:type="dxa"/>
            <w:vAlign w:val="center"/>
          </w:tcPr>
          <w:p>
            <w:pPr>
              <w:spacing w:line="360" w:lineRule="auto"/>
              <w:jc w:val="left"/>
              <w:rPr>
                <w:rFonts w:ascii="宋体" w:hAnsi="宋体" w:cs="宋体"/>
                <w:sz w:val="24"/>
                <w:szCs w:val="24"/>
              </w:rPr>
            </w:pPr>
            <w:r>
              <w:rPr>
                <w:rFonts w:hint="eastAsia" w:ascii="宋体" w:hAnsi="宋体" w:cs="宋体"/>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vAlign w:val="center"/>
          </w:tcPr>
          <w:p>
            <w:pPr>
              <w:spacing w:line="360" w:lineRule="auto"/>
              <w:jc w:val="center"/>
              <w:rPr>
                <w:rFonts w:ascii="宋体" w:hAnsi="宋体" w:cs="宋体"/>
                <w:sz w:val="24"/>
                <w:szCs w:val="24"/>
              </w:rPr>
            </w:pPr>
            <w:r>
              <w:rPr>
                <w:rFonts w:hint="eastAsia" w:ascii="宋体"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pPr>
              <w:spacing w:line="360" w:lineRule="auto"/>
              <w:jc w:val="center"/>
              <w:rPr>
                <w:rFonts w:ascii="宋体" w:hAnsi="宋体" w:cs="宋体"/>
                <w:sz w:val="24"/>
                <w:szCs w:val="24"/>
              </w:rPr>
            </w:pPr>
            <w:r>
              <w:rPr>
                <w:rFonts w:hint="eastAsia" w:ascii="宋体" w:hAnsi="宋体" w:cs="宋体"/>
                <w:sz w:val="24"/>
                <w:szCs w:val="24"/>
              </w:rPr>
              <w:t>5</w:t>
            </w:r>
          </w:p>
        </w:tc>
        <w:tc>
          <w:tcPr>
            <w:tcW w:w="1417" w:type="dxa"/>
            <w:vAlign w:val="center"/>
          </w:tcPr>
          <w:p>
            <w:pPr>
              <w:spacing w:line="360" w:lineRule="auto"/>
              <w:jc w:val="center"/>
              <w:rPr>
                <w:rFonts w:ascii="宋体" w:hAnsi="宋体" w:cs="宋体"/>
                <w:sz w:val="24"/>
                <w:szCs w:val="24"/>
              </w:rPr>
            </w:pPr>
            <w:r>
              <w:rPr>
                <w:rFonts w:hint="eastAsia" w:ascii="宋体" w:hAnsi="宋体" w:cs="宋体"/>
                <w:sz w:val="24"/>
                <w:szCs w:val="24"/>
              </w:rPr>
              <w:t>企业信用</w:t>
            </w:r>
          </w:p>
        </w:tc>
        <w:tc>
          <w:tcPr>
            <w:tcW w:w="5699" w:type="dxa"/>
            <w:vAlign w:val="center"/>
          </w:tcPr>
          <w:p>
            <w:pPr>
              <w:spacing w:line="360" w:lineRule="auto"/>
              <w:jc w:val="left"/>
              <w:rPr>
                <w:rFonts w:ascii="宋体" w:hAnsi="宋体" w:cs="宋体"/>
                <w:sz w:val="24"/>
                <w:szCs w:val="24"/>
              </w:rPr>
            </w:pPr>
            <w:r>
              <w:rPr>
                <w:rFonts w:hint="eastAsia" w:ascii="宋体" w:hAnsi="宋体" w:cs="宋体"/>
                <w:sz w:val="24"/>
                <w:szCs w:val="24"/>
              </w:rPr>
              <w:t>2019年1月1日以来企业获得过市级安全文明工地，一项得1分；省级及以上安全文明工地，一项得2分，没有不得分，本项最高得4分。</w:t>
            </w:r>
          </w:p>
          <w:p>
            <w:pPr>
              <w:spacing w:line="360" w:lineRule="auto"/>
              <w:jc w:val="left"/>
              <w:rPr>
                <w:rFonts w:ascii="宋体" w:hAnsi="宋体" w:cs="宋体"/>
                <w:sz w:val="24"/>
                <w:szCs w:val="24"/>
              </w:rPr>
            </w:pPr>
            <w:r>
              <w:rPr>
                <w:rFonts w:hint="eastAsia" w:ascii="宋体" w:hAnsi="宋体" w:cs="宋体"/>
                <w:sz w:val="24"/>
                <w:szCs w:val="24"/>
              </w:rPr>
              <w:t>（</w:t>
            </w:r>
            <w:r>
              <w:rPr>
                <w:rFonts w:hint="eastAsia" w:ascii="宋体" w:hAnsi="宋体" w:cs="宋体"/>
                <w:b/>
                <w:bCs/>
                <w:sz w:val="24"/>
                <w:szCs w:val="24"/>
              </w:rPr>
              <w:t>具体企业信用详见本章附件1）</w:t>
            </w:r>
          </w:p>
        </w:tc>
        <w:tc>
          <w:tcPr>
            <w:tcW w:w="1691" w:type="dxa"/>
            <w:vAlign w:val="center"/>
          </w:tcPr>
          <w:p>
            <w:pPr>
              <w:spacing w:line="360" w:lineRule="auto"/>
              <w:jc w:val="center"/>
              <w:rPr>
                <w:rFonts w:ascii="宋体" w:hAnsi="宋体" w:cs="宋体"/>
                <w:sz w:val="24"/>
                <w:szCs w:val="24"/>
              </w:rPr>
            </w:pPr>
            <w:r>
              <w:rPr>
                <w:rFonts w:hint="eastAsia" w:ascii="宋体"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spacing w:line="360" w:lineRule="auto"/>
              <w:jc w:val="center"/>
              <w:rPr>
                <w:rFonts w:ascii="宋体" w:hAnsi="宋体" w:cs="宋体"/>
                <w:sz w:val="24"/>
                <w:szCs w:val="24"/>
              </w:rPr>
            </w:pPr>
            <w:r>
              <w:rPr>
                <w:rFonts w:hint="eastAsia" w:ascii="宋体" w:hAnsi="宋体" w:cs="宋体"/>
                <w:sz w:val="24"/>
                <w:szCs w:val="24"/>
              </w:rPr>
              <w:t>6</w:t>
            </w:r>
          </w:p>
        </w:tc>
        <w:tc>
          <w:tcPr>
            <w:tcW w:w="1417" w:type="dxa"/>
            <w:vAlign w:val="center"/>
          </w:tcPr>
          <w:p>
            <w:pPr>
              <w:spacing w:line="360" w:lineRule="auto"/>
              <w:jc w:val="center"/>
              <w:rPr>
                <w:rFonts w:ascii="宋体" w:hAnsi="宋体" w:cs="宋体"/>
                <w:sz w:val="24"/>
                <w:szCs w:val="24"/>
              </w:rPr>
            </w:pPr>
            <w:r>
              <w:rPr>
                <w:rFonts w:hint="eastAsia" w:ascii="宋体" w:hAnsi="宋体" w:cs="宋体"/>
                <w:sz w:val="24"/>
                <w:szCs w:val="24"/>
              </w:rPr>
              <w:t>项目经理信用</w:t>
            </w:r>
          </w:p>
        </w:tc>
        <w:tc>
          <w:tcPr>
            <w:tcW w:w="5699" w:type="dxa"/>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2019年1月1日以来项目经理曾获得过市级安全文明工地，一项得1分；省级及以上安全文明工地，一项得2分，没有不得分，本项最高得2分。</w:t>
            </w:r>
          </w:p>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（具体项目经理信用详见本章附件2）</w:t>
            </w:r>
          </w:p>
        </w:tc>
        <w:tc>
          <w:tcPr>
            <w:tcW w:w="1691" w:type="dxa"/>
            <w:vAlign w:val="center"/>
          </w:tcPr>
          <w:p>
            <w:pPr>
              <w:spacing w:line="360" w:lineRule="auto"/>
              <w:jc w:val="center"/>
              <w:rPr>
                <w:rFonts w:ascii="宋体" w:hAnsi="宋体" w:cs="宋体"/>
                <w:sz w:val="24"/>
                <w:szCs w:val="24"/>
              </w:rPr>
            </w:pPr>
            <w:r>
              <w:rPr>
                <w:rFonts w:hint="eastAsia" w:ascii="宋体" w:hAnsi="宋体" w:cs="宋体"/>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spacing w:line="360" w:lineRule="auto"/>
              <w:jc w:val="center"/>
              <w:rPr>
                <w:rFonts w:ascii="宋体" w:hAnsi="宋体" w:cs="宋体"/>
                <w:sz w:val="24"/>
                <w:szCs w:val="24"/>
              </w:rPr>
            </w:pPr>
            <w:r>
              <w:rPr>
                <w:rFonts w:hint="eastAsia" w:ascii="宋体" w:hAnsi="宋体" w:cs="宋体"/>
                <w:sz w:val="24"/>
                <w:szCs w:val="24"/>
              </w:rPr>
              <w:t>7</w:t>
            </w:r>
          </w:p>
        </w:tc>
        <w:tc>
          <w:tcPr>
            <w:tcW w:w="1417" w:type="dxa"/>
            <w:vAlign w:val="center"/>
          </w:tcPr>
          <w:p>
            <w:pPr>
              <w:spacing w:line="360" w:lineRule="auto"/>
              <w:jc w:val="center"/>
              <w:rPr>
                <w:rFonts w:ascii="宋体" w:hAnsi="宋体" w:cs="宋体"/>
                <w:sz w:val="24"/>
                <w:szCs w:val="24"/>
              </w:rPr>
            </w:pPr>
            <w:r>
              <w:rPr>
                <w:rFonts w:hint="eastAsia" w:ascii="宋体" w:hAnsi="宋体" w:cs="宋体"/>
                <w:sz w:val="24"/>
                <w:szCs w:val="24"/>
              </w:rPr>
              <w:t>招标人意见</w:t>
            </w:r>
          </w:p>
        </w:tc>
        <w:tc>
          <w:tcPr>
            <w:tcW w:w="5699" w:type="dxa"/>
            <w:vAlign w:val="center"/>
          </w:tcPr>
          <w:p>
            <w:pPr>
              <w:spacing w:line="360" w:lineRule="auto"/>
              <w:rPr>
                <w:rFonts w:ascii="宋体" w:hAnsi="宋体" w:cs="宋体"/>
                <w:sz w:val="24"/>
                <w:szCs w:val="24"/>
              </w:rPr>
            </w:pPr>
            <w:r>
              <w:rPr>
                <w:rFonts w:hint="eastAsia" w:ascii="宋体" w:hAnsi="宋体" w:cs="宋体"/>
                <w:sz w:val="24"/>
                <w:szCs w:val="24"/>
              </w:rPr>
              <w:t>各投标人得分均按2分计算。</w:t>
            </w:r>
          </w:p>
        </w:tc>
        <w:tc>
          <w:tcPr>
            <w:tcW w:w="1691" w:type="dxa"/>
            <w:vAlign w:val="center"/>
          </w:tcPr>
          <w:p>
            <w:pPr>
              <w:spacing w:line="360" w:lineRule="auto"/>
              <w:jc w:val="center"/>
              <w:rPr>
                <w:rFonts w:ascii="宋体" w:hAnsi="宋体" w:cs="宋体"/>
                <w:sz w:val="24"/>
                <w:szCs w:val="24"/>
              </w:rPr>
            </w:pPr>
            <w:r>
              <w:rPr>
                <w:rFonts w:hint="eastAsia" w:ascii="宋体" w:hAnsi="宋体" w:cs="宋体"/>
                <w:sz w:val="24"/>
                <w:szCs w:val="24"/>
              </w:rPr>
              <w:t>0≤得分≤2分</w:t>
            </w:r>
          </w:p>
        </w:tc>
      </w:tr>
    </w:tbl>
    <w:p>
      <w:pPr>
        <w:autoSpaceDE w:val="0"/>
        <w:autoSpaceDN w:val="0"/>
        <w:spacing w:line="360" w:lineRule="auto"/>
        <w:ind w:firstLine="482" w:firstLineChars="200"/>
        <w:contextualSpacing/>
        <w:jc w:val="left"/>
        <w:outlineLvl w:val="0"/>
        <w:rPr>
          <w:rFonts w:ascii="宋体" w:hAnsi="宋体" w:cs="宋体"/>
          <w:b/>
          <w:kern w:val="0"/>
          <w:sz w:val="24"/>
          <w:szCs w:val="24"/>
        </w:rPr>
      </w:pPr>
      <w:r>
        <w:rPr>
          <w:rFonts w:hint="eastAsia" w:ascii="宋体" w:hAnsi="宋体" w:cs="宋体"/>
          <w:b/>
          <w:kern w:val="0"/>
          <w:sz w:val="24"/>
          <w:szCs w:val="24"/>
        </w:rPr>
        <w:t>注：1）业绩合同以合同签订日期为准。</w:t>
      </w:r>
    </w:p>
    <w:p>
      <w:pPr>
        <w:numPr>
          <w:ilvl w:val="0"/>
          <w:numId w:val="2"/>
        </w:numPr>
        <w:autoSpaceDE w:val="0"/>
        <w:autoSpaceDN w:val="0"/>
        <w:spacing w:line="360" w:lineRule="auto"/>
        <w:ind w:firstLine="480" w:firstLineChars="200"/>
        <w:contextualSpacing/>
        <w:jc w:val="left"/>
        <w:outlineLvl w:val="0"/>
        <w:rPr>
          <w:rFonts w:ascii="宋体" w:hAnsi="宋体" w:cs="宋体"/>
          <w:kern w:val="0"/>
          <w:sz w:val="24"/>
          <w:szCs w:val="24"/>
        </w:rPr>
      </w:pPr>
      <w:bookmarkStart w:id="224" w:name="_Toc21547"/>
      <w:bookmarkEnd w:id="224"/>
      <w:r>
        <w:rPr>
          <w:rFonts w:hint="eastAsia" w:ascii="宋体" w:hAnsi="宋体" w:cs="宋体"/>
          <w:kern w:val="0"/>
          <w:sz w:val="24"/>
          <w:szCs w:val="24"/>
        </w:rPr>
        <w:t>投标人综合得分＝技术标得分＋商务标得分＋综合标得分。分值保留两位小数。</w:t>
      </w:r>
    </w:p>
    <w:p>
      <w:pPr>
        <w:autoSpaceDE w:val="0"/>
        <w:autoSpaceDN w:val="0"/>
        <w:spacing w:line="360" w:lineRule="auto"/>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（六）投标人的最终得分及中标候选人排序</w:t>
      </w:r>
    </w:p>
    <w:p>
      <w:pPr>
        <w:autoSpaceDE w:val="0"/>
        <w:autoSpaceDN w:val="0"/>
        <w:spacing w:line="360" w:lineRule="auto"/>
        <w:ind w:firstLine="720" w:firstLineChars="300"/>
        <w:contextualSpacing/>
        <w:jc w:val="left"/>
        <w:outlineLvl w:val="0"/>
        <w:rPr>
          <w:rFonts w:ascii="宋体" w:hAnsi="宋体" w:cs="宋体"/>
          <w:b w:val="0"/>
          <w:bCs w:val="0"/>
          <w:kern w:val="0"/>
          <w:sz w:val="24"/>
          <w:szCs w:val="24"/>
        </w:rPr>
      </w:pPr>
      <w:bookmarkStart w:id="225" w:name="_Toc22631"/>
      <w:bookmarkEnd w:id="225"/>
      <w:r>
        <w:rPr>
          <w:rFonts w:hint="eastAsia" w:ascii="宋体" w:hAnsi="宋体" w:cs="宋体"/>
          <w:kern w:val="0"/>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ascii="宋体" w:hAnsi="宋体" w:cs="宋体"/>
          <w:b w:val="0"/>
          <w:bCs w:val="0"/>
          <w:kern w:val="0"/>
          <w:sz w:val="24"/>
          <w:szCs w:val="24"/>
        </w:rPr>
        <w:t>评标委员会按规定否决不合格投标后，因有效投标不足三个使得投标明显缺乏竞争的，评标委员会可以否决全部投标。</w:t>
      </w:r>
      <w:bookmarkStart w:id="226" w:name="_Toc464824745"/>
      <w:bookmarkEnd w:id="226"/>
      <w:bookmarkStart w:id="227" w:name="_Toc270931535"/>
      <w:bookmarkEnd w:id="227"/>
      <w:bookmarkStart w:id="228" w:name="_Toc397606004"/>
      <w:bookmarkEnd w:id="228"/>
      <w:bookmarkStart w:id="229" w:name="_Toc397508135"/>
      <w:bookmarkEnd w:id="229"/>
      <w:bookmarkStart w:id="230" w:name="_Toc272833454"/>
      <w:bookmarkEnd w:id="230"/>
      <w:bookmarkStart w:id="231" w:name="_Toc273546399"/>
      <w:bookmarkEnd w:id="231"/>
      <w:bookmarkStart w:id="232" w:name="_Toc17480"/>
      <w:bookmarkEnd w:id="232"/>
      <w:bookmarkStart w:id="233" w:name="_Toc397507722"/>
      <w:bookmarkEnd w:id="233"/>
      <w:bookmarkStart w:id="234" w:name="_Toc295572536"/>
      <w:bookmarkEnd w:id="234"/>
    </w:p>
    <w:p>
      <w:pPr>
        <w:autoSpaceDE w:val="0"/>
        <w:autoSpaceDN w:val="0"/>
        <w:spacing w:line="360" w:lineRule="auto"/>
        <w:contextualSpacing/>
        <w:jc w:val="left"/>
        <w:outlineLvl w:val="0"/>
        <w:rPr>
          <w:rFonts w:ascii="宋体" w:hAnsi="宋体" w:cs="宋体"/>
          <w:kern w:val="0"/>
          <w:sz w:val="24"/>
          <w:szCs w:val="24"/>
        </w:rPr>
      </w:pPr>
      <w:r>
        <w:rPr>
          <w:rFonts w:hint="eastAsia" w:ascii="宋体" w:hAnsi="宋体" w:cs="宋体"/>
          <w:b/>
          <w:bCs/>
          <w:kern w:val="0"/>
          <w:sz w:val="24"/>
          <w:szCs w:val="24"/>
        </w:rPr>
        <w:t>七、澄清和说明</w:t>
      </w:r>
    </w:p>
    <w:p>
      <w:pPr>
        <w:autoSpaceDE w:val="0"/>
        <w:autoSpaceDN w:val="0"/>
        <w:spacing w:line="360" w:lineRule="auto"/>
        <w:ind w:firstLine="480" w:firstLineChars="200"/>
        <w:contextualSpacing/>
        <w:jc w:val="left"/>
        <w:outlineLvl w:val="0"/>
        <w:rPr>
          <w:rFonts w:ascii="宋体" w:hAnsi="宋体" w:cs="宋体"/>
          <w:kern w:val="0"/>
          <w:sz w:val="24"/>
          <w:szCs w:val="24"/>
        </w:rPr>
      </w:pPr>
      <w:bookmarkStart w:id="235" w:name="_Toc464824746"/>
      <w:bookmarkEnd w:id="235"/>
      <w:bookmarkStart w:id="236" w:name="_Toc18189"/>
      <w:r>
        <w:rPr>
          <w:rFonts w:hint="eastAsia" w:ascii="宋体" w:hAnsi="宋体" w:cs="宋体"/>
          <w:kern w:val="0"/>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236"/>
    </w:p>
    <w:p>
      <w:pPr>
        <w:autoSpaceDE w:val="0"/>
        <w:autoSpaceDN w:val="0"/>
        <w:spacing w:line="360" w:lineRule="auto"/>
        <w:ind w:firstLine="480" w:firstLineChars="200"/>
        <w:contextualSpacing/>
        <w:jc w:val="left"/>
        <w:outlineLvl w:val="0"/>
        <w:rPr>
          <w:rFonts w:ascii="宋体" w:hAnsi="宋体" w:cs="宋体"/>
          <w:kern w:val="0"/>
          <w:sz w:val="24"/>
          <w:szCs w:val="24"/>
        </w:rPr>
      </w:pPr>
      <w:bookmarkStart w:id="237" w:name="_Toc8308"/>
      <w:bookmarkEnd w:id="237"/>
      <w:bookmarkStart w:id="238" w:name="_Toc464824747"/>
      <w:r>
        <w:rPr>
          <w:rFonts w:hint="eastAsia" w:ascii="宋体" w:hAnsi="宋体" w:cs="宋体"/>
          <w:kern w:val="0"/>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238"/>
    </w:p>
    <w:p>
      <w:pPr>
        <w:autoSpaceDE w:val="0"/>
        <w:autoSpaceDN w:val="0"/>
        <w:spacing w:line="360" w:lineRule="auto"/>
        <w:ind w:firstLine="480" w:firstLineChars="200"/>
        <w:contextualSpacing/>
        <w:jc w:val="left"/>
        <w:outlineLvl w:val="0"/>
        <w:rPr>
          <w:rFonts w:ascii="宋体" w:hAnsi="宋体" w:cs="宋体"/>
          <w:kern w:val="0"/>
          <w:sz w:val="24"/>
          <w:szCs w:val="24"/>
        </w:rPr>
      </w:pPr>
      <w:bookmarkStart w:id="239" w:name="_Toc4170"/>
      <w:bookmarkEnd w:id="239"/>
      <w:bookmarkStart w:id="240" w:name="_Toc464824748"/>
      <w:r>
        <w:rPr>
          <w:rFonts w:hint="eastAsia" w:ascii="宋体" w:hAnsi="宋体" w:cs="宋体"/>
          <w:kern w:val="0"/>
          <w:sz w:val="24"/>
          <w:szCs w:val="24"/>
        </w:rPr>
        <w:t>调整后的报价经投标人确认后产生约束力，投标人不接受修正价格的，其投标将被否决。</w:t>
      </w:r>
      <w:bookmarkEnd w:id="240"/>
    </w:p>
    <w:p>
      <w:pPr>
        <w:autoSpaceDE w:val="0"/>
        <w:autoSpaceDN w:val="0"/>
        <w:spacing w:line="360" w:lineRule="auto"/>
        <w:contextualSpacing/>
        <w:jc w:val="left"/>
        <w:outlineLvl w:val="0"/>
        <w:rPr>
          <w:rFonts w:ascii="宋体" w:hAnsi="宋体" w:cs="宋体"/>
          <w:b/>
          <w:bCs/>
          <w:kern w:val="0"/>
          <w:sz w:val="24"/>
          <w:szCs w:val="24"/>
        </w:rPr>
      </w:pPr>
      <w:bookmarkStart w:id="241" w:name="_Toc464824749"/>
      <w:bookmarkEnd w:id="241"/>
      <w:bookmarkStart w:id="242" w:name="_Toc10515"/>
      <w:r>
        <w:rPr>
          <w:rFonts w:hint="eastAsia" w:ascii="宋体" w:hAnsi="宋体" w:cs="宋体"/>
          <w:b/>
          <w:bCs/>
          <w:kern w:val="0"/>
          <w:sz w:val="24"/>
          <w:szCs w:val="24"/>
        </w:rPr>
        <w:t>八、关于低价投标</w:t>
      </w:r>
      <w:bookmarkEnd w:id="242"/>
    </w:p>
    <w:p>
      <w:pPr>
        <w:autoSpaceDE w:val="0"/>
        <w:autoSpaceDN w:val="0"/>
        <w:spacing w:line="360" w:lineRule="auto"/>
        <w:ind w:firstLine="480" w:firstLineChars="200"/>
        <w:contextualSpacing/>
        <w:jc w:val="left"/>
        <w:outlineLvl w:val="0"/>
        <w:rPr>
          <w:rFonts w:ascii="宋体" w:hAnsi="宋体" w:cs="宋体"/>
          <w:kern w:val="0"/>
          <w:sz w:val="24"/>
          <w:szCs w:val="24"/>
        </w:rPr>
      </w:pPr>
      <w:bookmarkStart w:id="243" w:name="_Toc464824750"/>
      <w:bookmarkEnd w:id="243"/>
      <w:bookmarkStart w:id="244" w:name="_Toc20615"/>
      <w:r>
        <w:rPr>
          <w:rFonts w:hint="eastAsia" w:ascii="宋体" w:hAnsi="宋体" w:cs="宋体"/>
          <w:kern w:val="0"/>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244"/>
    </w:p>
    <w:p>
      <w:pPr>
        <w:autoSpaceDE w:val="0"/>
        <w:autoSpaceDN w:val="0"/>
        <w:spacing w:line="360" w:lineRule="auto"/>
        <w:contextualSpacing/>
        <w:jc w:val="left"/>
        <w:outlineLvl w:val="0"/>
        <w:rPr>
          <w:rFonts w:ascii="宋体" w:hAnsi="宋体" w:cs="宋体"/>
          <w:b/>
          <w:bCs/>
          <w:kern w:val="0"/>
          <w:sz w:val="24"/>
          <w:szCs w:val="24"/>
        </w:rPr>
      </w:pPr>
      <w:bookmarkStart w:id="245" w:name="_Toc17583"/>
      <w:bookmarkEnd w:id="245"/>
      <w:bookmarkStart w:id="246" w:name="_Toc464824751"/>
      <w:r>
        <w:rPr>
          <w:rFonts w:hint="eastAsia" w:ascii="宋体" w:hAnsi="宋体" w:cs="宋体"/>
          <w:b/>
          <w:bCs/>
          <w:kern w:val="0"/>
          <w:sz w:val="24"/>
          <w:szCs w:val="24"/>
        </w:rPr>
        <w:t>九、投标文件的修正</w:t>
      </w:r>
      <w:bookmarkEnd w:id="246"/>
    </w:p>
    <w:p>
      <w:pPr>
        <w:autoSpaceDE w:val="0"/>
        <w:autoSpaceDN w:val="0"/>
        <w:spacing w:line="360" w:lineRule="auto"/>
        <w:ind w:firstLine="480" w:firstLineChars="200"/>
        <w:contextualSpacing/>
        <w:jc w:val="left"/>
        <w:outlineLvl w:val="0"/>
        <w:rPr>
          <w:rFonts w:ascii="宋体" w:hAnsi="宋体" w:cs="宋体"/>
          <w:kern w:val="0"/>
          <w:sz w:val="24"/>
          <w:szCs w:val="24"/>
        </w:rPr>
      </w:pPr>
      <w:bookmarkStart w:id="247" w:name="_Toc464824752"/>
      <w:bookmarkEnd w:id="247"/>
      <w:bookmarkStart w:id="248" w:name="_Toc10463"/>
      <w:r>
        <w:rPr>
          <w:rFonts w:hint="eastAsia" w:ascii="宋体" w:hAnsi="宋体" w:cs="宋体"/>
          <w:kern w:val="0"/>
          <w:sz w:val="24"/>
          <w:szCs w:val="24"/>
        </w:rPr>
        <w:t>投标文件不响应招标文件的实质性要求和条件的，评标委员会不得允许投标人通过修正或撤销其不符合要求的差异或保留，使之成为具有响应性的投标。</w:t>
      </w:r>
      <w:bookmarkEnd w:id="248"/>
    </w:p>
    <w:p>
      <w:pPr>
        <w:autoSpaceDE w:val="0"/>
        <w:autoSpaceDN w:val="0"/>
        <w:spacing w:line="360" w:lineRule="auto"/>
        <w:ind w:firstLine="480" w:firstLineChars="200"/>
        <w:contextualSpacing/>
        <w:jc w:val="left"/>
        <w:outlineLvl w:val="0"/>
        <w:rPr>
          <w:rFonts w:ascii="宋体" w:hAnsi="宋体" w:cs="宋体"/>
          <w:kern w:val="0"/>
          <w:sz w:val="24"/>
          <w:szCs w:val="24"/>
        </w:rPr>
      </w:pPr>
      <w:bookmarkStart w:id="249" w:name="_Toc31173"/>
      <w:bookmarkEnd w:id="249"/>
      <w:bookmarkStart w:id="250" w:name="_Toc464824753"/>
      <w:r>
        <w:rPr>
          <w:rFonts w:hint="eastAsia" w:ascii="宋体" w:hAnsi="宋体" w:cs="宋体"/>
          <w:kern w:val="0"/>
          <w:sz w:val="24"/>
          <w:szCs w:val="24"/>
        </w:rPr>
        <w:t>投标报价有算术错误的，评标委员会按以下原则进行修正：</w:t>
      </w:r>
      <w:bookmarkEnd w:id="250"/>
    </w:p>
    <w:p>
      <w:pPr>
        <w:autoSpaceDE w:val="0"/>
        <w:autoSpaceDN w:val="0"/>
        <w:spacing w:line="360" w:lineRule="auto"/>
        <w:ind w:firstLine="480" w:firstLineChars="200"/>
        <w:contextualSpacing/>
        <w:jc w:val="left"/>
        <w:outlineLvl w:val="0"/>
        <w:rPr>
          <w:rFonts w:ascii="宋体" w:hAnsi="宋体" w:cs="宋体"/>
          <w:kern w:val="0"/>
          <w:sz w:val="24"/>
          <w:szCs w:val="24"/>
        </w:rPr>
      </w:pPr>
      <w:bookmarkStart w:id="251" w:name="_Toc464824754"/>
      <w:bookmarkEnd w:id="251"/>
      <w:bookmarkStart w:id="252" w:name="_Toc4197"/>
      <w:r>
        <w:rPr>
          <w:rFonts w:hint="eastAsia" w:ascii="宋体" w:hAnsi="宋体" w:cs="宋体"/>
          <w:kern w:val="0"/>
          <w:sz w:val="24"/>
          <w:szCs w:val="24"/>
        </w:rPr>
        <w:t>（一）用数字表示的数额与用文字表示的数额不一致时，以文字数额为准；</w:t>
      </w:r>
      <w:bookmarkEnd w:id="252"/>
    </w:p>
    <w:p>
      <w:pPr>
        <w:autoSpaceDE w:val="0"/>
        <w:autoSpaceDN w:val="0"/>
        <w:spacing w:line="360" w:lineRule="auto"/>
        <w:ind w:firstLine="480" w:firstLineChars="200"/>
        <w:contextualSpacing/>
        <w:jc w:val="left"/>
        <w:outlineLvl w:val="0"/>
        <w:rPr>
          <w:rFonts w:ascii="宋体" w:hAnsi="宋体" w:cs="宋体"/>
          <w:kern w:val="0"/>
          <w:sz w:val="24"/>
          <w:szCs w:val="24"/>
        </w:rPr>
      </w:pPr>
      <w:bookmarkStart w:id="253" w:name="_Toc27518"/>
      <w:bookmarkEnd w:id="253"/>
      <w:bookmarkStart w:id="254" w:name="_Toc464824755"/>
      <w:r>
        <w:rPr>
          <w:rFonts w:hint="eastAsia" w:ascii="宋体" w:hAnsi="宋体" w:cs="宋体"/>
          <w:kern w:val="0"/>
          <w:sz w:val="24"/>
          <w:szCs w:val="24"/>
        </w:rPr>
        <w:t>（二）单价与工程量的乘积与总价之间不一致时，以单价为准。若单价有明显的小数点错位，应以总价为准，并修改单价。</w:t>
      </w:r>
      <w:bookmarkEnd w:id="254"/>
    </w:p>
    <w:p>
      <w:pPr>
        <w:autoSpaceDE w:val="0"/>
        <w:autoSpaceDN w:val="0"/>
        <w:spacing w:line="360" w:lineRule="auto"/>
        <w:ind w:firstLine="480" w:firstLineChars="200"/>
        <w:contextualSpacing/>
        <w:jc w:val="left"/>
        <w:outlineLvl w:val="0"/>
        <w:rPr>
          <w:rFonts w:ascii="宋体" w:hAnsi="宋体" w:cs="宋体"/>
          <w:kern w:val="0"/>
          <w:sz w:val="24"/>
          <w:szCs w:val="24"/>
        </w:rPr>
      </w:pPr>
      <w:bookmarkStart w:id="255" w:name="_Toc464824756"/>
      <w:bookmarkEnd w:id="255"/>
      <w:bookmarkStart w:id="256" w:name="_Toc3190"/>
      <w:r>
        <w:rPr>
          <w:rFonts w:hint="eastAsia" w:ascii="宋体" w:hAnsi="宋体" w:cs="宋体"/>
          <w:kern w:val="0"/>
          <w:sz w:val="24"/>
          <w:szCs w:val="24"/>
        </w:rPr>
        <w:t>调整后的报价经投标人确认后产生约束力，投标人不接受修正价格的，其投标将被否决。</w:t>
      </w:r>
      <w:bookmarkEnd w:id="256"/>
    </w:p>
    <w:p>
      <w:pPr>
        <w:autoSpaceDE w:val="0"/>
        <w:autoSpaceDN w:val="0"/>
        <w:spacing w:line="360" w:lineRule="auto"/>
        <w:contextualSpacing/>
        <w:jc w:val="left"/>
        <w:outlineLvl w:val="0"/>
        <w:rPr>
          <w:rFonts w:ascii="宋体" w:hAnsi="宋体" w:cs="宋体"/>
          <w:b/>
          <w:bCs/>
          <w:kern w:val="0"/>
          <w:sz w:val="24"/>
          <w:szCs w:val="24"/>
        </w:rPr>
      </w:pPr>
      <w:bookmarkStart w:id="257" w:name="_Toc9528"/>
      <w:bookmarkEnd w:id="257"/>
      <w:bookmarkStart w:id="258" w:name="_Toc464824757"/>
      <w:r>
        <w:rPr>
          <w:rFonts w:hint="eastAsia" w:ascii="宋体" w:hAnsi="宋体" w:cs="宋体"/>
          <w:b/>
          <w:bCs/>
          <w:kern w:val="0"/>
          <w:sz w:val="24"/>
          <w:szCs w:val="24"/>
        </w:rPr>
        <w:t>十、投标文件的偏差</w:t>
      </w:r>
      <w:bookmarkEnd w:id="258"/>
    </w:p>
    <w:p>
      <w:pPr>
        <w:autoSpaceDE w:val="0"/>
        <w:autoSpaceDN w:val="0"/>
        <w:spacing w:line="360" w:lineRule="auto"/>
        <w:ind w:firstLine="480" w:firstLineChars="200"/>
        <w:contextualSpacing/>
        <w:jc w:val="left"/>
        <w:outlineLvl w:val="0"/>
        <w:rPr>
          <w:rFonts w:ascii="宋体" w:hAnsi="宋体" w:cs="宋体"/>
          <w:kern w:val="0"/>
          <w:sz w:val="24"/>
          <w:szCs w:val="24"/>
        </w:rPr>
      </w:pPr>
      <w:bookmarkStart w:id="259" w:name="_Toc464824758"/>
      <w:bookmarkEnd w:id="259"/>
      <w:bookmarkStart w:id="260" w:name="_Toc28835"/>
      <w:r>
        <w:rPr>
          <w:rFonts w:hint="eastAsia" w:ascii="宋体" w:hAnsi="宋体" w:cs="宋体"/>
          <w:kern w:val="0"/>
          <w:sz w:val="24"/>
          <w:szCs w:val="24"/>
        </w:rPr>
        <w:t>评标委员会应当根据招标文件，审查并逐项列出投标文件的全部投标偏差。投标偏差分为重大偏差和细微偏差。</w:t>
      </w:r>
      <w:bookmarkEnd w:id="260"/>
    </w:p>
    <w:p>
      <w:pPr>
        <w:autoSpaceDE w:val="0"/>
        <w:autoSpaceDN w:val="0"/>
        <w:spacing w:line="360" w:lineRule="auto"/>
        <w:ind w:firstLine="480" w:firstLineChars="200"/>
        <w:contextualSpacing/>
        <w:jc w:val="left"/>
        <w:outlineLvl w:val="0"/>
        <w:rPr>
          <w:rFonts w:ascii="宋体" w:hAnsi="宋体" w:cs="宋体"/>
          <w:kern w:val="0"/>
          <w:sz w:val="24"/>
          <w:szCs w:val="24"/>
        </w:rPr>
      </w:pPr>
      <w:bookmarkStart w:id="261" w:name="_Toc29503"/>
      <w:bookmarkEnd w:id="261"/>
      <w:bookmarkStart w:id="262" w:name="_Toc464824759"/>
      <w:r>
        <w:rPr>
          <w:rFonts w:hint="eastAsia" w:ascii="宋体" w:hAnsi="宋体" w:cs="宋体"/>
          <w:kern w:val="0"/>
          <w:sz w:val="24"/>
          <w:szCs w:val="24"/>
        </w:rPr>
        <w:t>下列情况属于重大偏差：</w:t>
      </w:r>
      <w:bookmarkEnd w:id="262"/>
    </w:p>
    <w:p>
      <w:pPr>
        <w:autoSpaceDE w:val="0"/>
        <w:autoSpaceDN w:val="0"/>
        <w:spacing w:line="360" w:lineRule="auto"/>
        <w:ind w:firstLine="480" w:firstLineChars="200"/>
        <w:contextualSpacing/>
        <w:jc w:val="left"/>
        <w:outlineLvl w:val="0"/>
        <w:rPr>
          <w:rFonts w:ascii="宋体" w:hAnsi="宋体" w:cs="宋体"/>
          <w:kern w:val="0"/>
          <w:sz w:val="24"/>
          <w:szCs w:val="24"/>
        </w:rPr>
      </w:pPr>
      <w:bookmarkStart w:id="263" w:name="_Toc464824760"/>
      <w:bookmarkEnd w:id="263"/>
      <w:bookmarkStart w:id="264" w:name="_Toc2817"/>
      <w:r>
        <w:rPr>
          <w:rFonts w:hint="eastAsia" w:ascii="宋体" w:hAnsi="宋体" w:cs="宋体"/>
          <w:kern w:val="0"/>
          <w:sz w:val="24"/>
          <w:szCs w:val="24"/>
        </w:rPr>
        <w:t>(一)没有按照招标文件要求提供投标</w:t>
      </w:r>
      <w:r>
        <w:rPr>
          <w:rFonts w:hint="eastAsia" w:ascii="宋体" w:hAnsi="宋体" w:cs="宋体"/>
          <w:sz w:val="24"/>
          <w:szCs w:val="24"/>
        </w:rPr>
        <w:t>保证金</w:t>
      </w:r>
      <w:r>
        <w:rPr>
          <w:rFonts w:hint="eastAsia" w:ascii="宋体" w:hAnsi="宋体" w:cs="宋体"/>
          <w:kern w:val="0"/>
          <w:sz w:val="24"/>
          <w:szCs w:val="24"/>
        </w:rPr>
        <w:t>或者所提供的投标</w:t>
      </w:r>
      <w:r>
        <w:rPr>
          <w:rFonts w:hint="eastAsia" w:ascii="宋体" w:hAnsi="宋体" w:cs="宋体"/>
          <w:sz w:val="24"/>
          <w:szCs w:val="24"/>
        </w:rPr>
        <w:t>保证金</w:t>
      </w:r>
      <w:r>
        <w:rPr>
          <w:rFonts w:hint="eastAsia" w:ascii="宋体" w:hAnsi="宋体" w:cs="宋体"/>
          <w:kern w:val="0"/>
          <w:sz w:val="24"/>
          <w:szCs w:val="24"/>
        </w:rPr>
        <w:t>有瑕疵；</w:t>
      </w:r>
      <w:bookmarkEnd w:id="264"/>
    </w:p>
    <w:p>
      <w:pPr>
        <w:autoSpaceDE w:val="0"/>
        <w:autoSpaceDN w:val="0"/>
        <w:spacing w:line="360" w:lineRule="auto"/>
        <w:ind w:firstLine="480" w:firstLineChars="200"/>
        <w:contextualSpacing/>
        <w:jc w:val="left"/>
        <w:outlineLvl w:val="0"/>
        <w:rPr>
          <w:rFonts w:ascii="宋体" w:hAnsi="宋体" w:cs="宋体"/>
          <w:kern w:val="0"/>
          <w:sz w:val="24"/>
          <w:szCs w:val="24"/>
        </w:rPr>
      </w:pPr>
      <w:bookmarkStart w:id="265" w:name="_Toc14952"/>
      <w:bookmarkEnd w:id="265"/>
      <w:bookmarkStart w:id="266" w:name="_Toc464824761"/>
      <w:r>
        <w:rPr>
          <w:rFonts w:hint="eastAsia" w:ascii="宋体" w:hAnsi="宋体" w:cs="宋体"/>
          <w:kern w:val="0"/>
          <w:sz w:val="24"/>
          <w:szCs w:val="24"/>
        </w:rPr>
        <w:t>(二)投标文件没有法定代表人或其委托代理人签字或盖章，并加盖单位公章；</w:t>
      </w:r>
      <w:bookmarkEnd w:id="266"/>
    </w:p>
    <w:p>
      <w:pPr>
        <w:autoSpaceDE w:val="0"/>
        <w:autoSpaceDN w:val="0"/>
        <w:spacing w:line="360" w:lineRule="auto"/>
        <w:ind w:firstLine="480" w:firstLineChars="200"/>
        <w:contextualSpacing/>
        <w:jc w:val="left"/>
        <w:outlineLvl w:val="0"/>
        <w:rPr>
          <w:rFonts w:ascii="宋体" w:hAnsi="宋体" w:cs="宋体"/>
          <w:kern w:val="0"/>
          <w:sz w:val="24"/>
          <w:szCs w:val="24"/>
        </w:rPr>
      </w:pPr>
      <w:bookmarkStart w:id="267" w:name="_Toc2013"/>
      <w:bookmarkEnd w:id="267"/>
      <w:bookmarkStart w:id="268" w:name="_Toc464824762"/>
      <w:r>
        <w:rPr>
          <w:rFonts w:hint="eastAsia" w:ascii="宋体" w:hAnsi="宋体" w:cs="宋体"/>
          <w:kern w:val="0"/>
          <w:sz w:val="24"/>
          <w:szCs w:val="24"/>
        </w:rPr>
        <w:t>(三)投标文件载明的招标项目完成期限超过招标文件规定的期限；</w:t>
      </w:r>
      <w:bookmarkEnd w:id="268"/>
    </w:p>
    <w:p>
      <w:pPr>
        <w:autoSpaceDE w:val="0"/>
        <w:autoSpaceDN w:val="0"/>
        <w:spacing w:line="360" w:lineRule="auto"/>
        <w:ind w:firstLine="480" w:firstLineChars="200"/>
        <w:contextualSpacing/>
        <w:jc w:val="left"/>
        <w:outlineLvl w:val="0"/>
        <w:rPr>
          <w:rFonts w:ascii="宋体" w:hAnsi="宋体" w:cs="宋体"/>
          <w:kern w:val="0"/>
          <w:sz w:val="24"/>
          <w:szCs w:val="24"/>
        </w:rPr>
      </w:pPr>
      <w:bookmarkStart w:id="269" w:name="_Toc3437"/>
      <w:bookmarkEnd w:id="269"/>
      <w:bookmarkStart w:id="270" w:name="_Toc464824763"/>
      <w:r>
        <w:rPr>
          <w:rFonts w:hint="eastAsia" w:ascii="宋体" w:hAnsi="宋体" w:cs="宋体"/>
          <w:kern w:val="0"/>
          <w:sz w:val="24"/>
          <w:szCs w:val="24"/>
        </w:rPr>
        <w:t>(四)明显不符合技术规格、技术标准的要求；</w:t>
      </w:r>
      <w:bookmarkEnd w:id="270"/>
    </w:p>
    <w:p>
      <w:pPr>
        <w:autoSpaceDE w:val="0"/>
        <w:autoSpaceDN w:val="0"/>
        <w:spacing w:line="360" w:lineRule="auto"/>
        <w:ind w:firstLine="480" w:firstLineChars="200"/>
        <w:contextualSpacing/>
        <w:jc w:val="left"/>
        <w:outlineLvl w:val="0"/>
        <w:rPr>
          <w:rFonts w:ascii="宋体" w:hAnsi="宋体" w:cs="宋体"/>
          <w:kern w:val="0"/>
          <w:sz w:val="24"/>
          <w:szCs w:val="24"/>
        </w:rPr>
      </w:pPr>
      <w:bookmarkStart w:id="271" w:name="_Toc28709"/>
      <w:bookmarkEnd w:id="271"/>
      <w:bookmarkStart w:id="272" w:name="_Toc464824764"/>
      <w:r>
        <w:rPr>
          <w:rFonts w:hint="eastAsia" w:ascii="宋体" w:hAnsi="宋体" w:cs="宋体"/>
          <w:kern w:val="0"/>
          <w:sz w:val="24"/>
          <w:szCs w:val="24"/>
        </w:rPr>
        <w:t>(五)投标文件载明的货物包装方式、检验标准和方法等不符合招标文件的要求；</w:t>
      </w:r>
      <w:bookmarkEnd w:id="272"/>
      <w:bookmarkStart w:id="273" w:name="_Toc464824765"/>
      <w:bookmarkEnd w:id="273"/>
      <w:bookmarkStart w:id="274" w:name="_Toc30262"/>
    </w:p>
    <w:p>
      <w:pPr>
        <w:autoSpaceDE w:val="0"/>
        <w:autoSpaceDN w:val="0"/>
        <w:spacing w:line="360" w:lineRule="auto"/>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(六)投标文件附有招标人不能接受的条件；</w:t>
      </w:r>
      <w:bookmarkEnd w:id="274"/>
    </w:p>
    <w:p>
      <w:pPr>
        <w:autoSpaceDE w:val="0"/>
        <w:autoSpaceDN w:val="0"/>
        <w:spacing w:line="360" w:lineRule="auto"/>
        <w:ind w:firstLine="480" w:firstLineChars="200"/>
        <w:contextualSpacing/>
        <w:jc w:val="left"/>
        <w:outlineLvl w:val="0"/>
        <w:rPr>
          <w:rFonts w:ascii="宋体" w:hAnsi="宋体" w:cs="宋体"/>
          <w:kern w:val="0"/>
          <w:sz w:val="24"/>
          <w:szCs w:val="24"/>
        </w:rPr>
      </w:pPr>
      <w:bookmarkStart w:id="275" w:name="_Toc7"/>
      <w:bookmarkEnd w:id="275"/>
      <w:bookmarkStart w:id="276" w:name="_Toc464824766"/>
      <w:r>
        <w:rPr>
          <w:rFonts w:hint="eastAsia" w:ascii="宋体" w:hAnsi="宋体" w:cs="宋体"/>
          <w:kern w:val="0"/>
          <w:sz w:val="24"/>
          <w:szCs w:val="24"/>
        </w:rPr>
        <w:t>(七)不符合招标文件中规定的其他实质性要求。</w:t>
      </w:r>
      <w:bookmarkEnd w:id="276"/>
    </w:p>
    <w:p>
      <w:pPr>
        <w:autoSpaceDE w:val="0"/>
        <w:autoSpaceDN w:val="0"/>
        <w:spacing w:line="360" w:lineRule="auto"/>
        <w:ind w:firstLine="480" w:firstLineChars="200"/>
        <w:contextualSpacing/>
        <w:jc w:val="left"/>
        <w:outlineLvl w:val="0"/>
        <w:rPr>
          <w:rFonts w:ascii="宋体" w:hAnsi="宋体" w:cs="宋体"/>
          <w:kern w:val="0"/>
          <w:sz w:val="24"/>
          <w:szCs w:val="24"/>
        </w:rPr>
      </w:pPr>
      <w:bookmarkStart w:id="277" w:name="_Toc464824767"/>
      <w:bookmarkEnd w:id="277"/>
      <w:bookmarkStart w:id="278" w:name="_Toc23164"/>
      <w:r>
        <w:rPr>
          <w:rFonts w:hint="eastAsia" w:ascii="宋体" w:hAnsi="宋体" w:cs="宋体"/>
          <w:kern w:val="0"/>
          <w:sz w:val="24"/>
          <w:szCs w:val="24"/>
        </w:rPr>
        <w:t>投标文件有上述情形之一的，为未能对招标文件作出实质性响应，并作否决投标处理。招标文件初审列明的内容均为重大偏差。</w:t>
      </w:r>
      <w:bookmarkEnd w:id="278"/>
    </w:p>
    <w:p>
      <w:pPr>
        <w:autoSpaceDE w:val="0"/>
        <w:autoSpaceDN w:val="0"/>
        <w:spacing w:line="360" w:lineRule="auto"/>
        <w:ind w:firstLine="480" w:firstLineChars="200"/>
        <w:contextualSpacing/>
        <w:jc w:val="left"/>
        <w:outlineLvl w:val="0"/>
        <w:rPr>
          <w:rFonts w:ascii="宋体" w:hAnsi="宋体" w:cs="宋体"/>
          <w:kern w:val="0"/>
          <w:sz w:val="24"/>
          <w:szCs w:val="24"/>
        </w:rPr>
      </w:pPr>
      <w:bookmarkStart w:id="279" w:name="_Toc464824768"/>
      <w:bookmarkEnd w:id="279"/>
      <w:bookmarkStart w:id="280" w:name="_Toc16273"/>
      <w:r>
        <w:rPr>
          <w:rFonts w:hint="eastAsia" w:ascii="宋体" w:hAnsi="宋体" w:cs="宋体"/>
          <w:kern w:val="0"/>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280"/>
    </w:p>
    <w:p>
      <w:pPr>
        <w:autoSpaceDE w:val="0"/>
        <w:autoSpaceDN w:val="0"/>
        <w:spacing w:line="360" w:lineRule="auto"/>
        <w:ind w:firstLine="480" w:firstLineChars="200"/>
        <w:contextualSpacing/>
        <w:jc w:val="left"/>
        <w:outlineLvl w:val="0"/>
        <w:rPr>
          <w:rFonts w:ascii="宋体" w:hAnsi="宋体" w:cs="宋体"/>
          <w:kern w:val="0"/>
          <w:sz w:val="24"/>
          <w:szCs w:val="24"/>
        </w:rPr>
      </w:pPr>
      <w:bookmarkStart w:id="281" w:name="_Toc464824769"/>
      <w:bookmarkEnd w:id="281"/>
      <w:bookmarkStart w:id="282" w:name="_Toc24165"/>
      <w:r>
        <w:rPr>
          <w:rFonts w:hint="eastAsia" w:ascii="宋体" w:hAnsi="宋体" w:cs="宋体"/>
          <w:kern w:val="0"/>
          <w:sz w:val="24"/>
          <w:szCs w:val="24"/>
        </w:rPr>
        <w:t>评标委员会应当书面要求存在细微偏差的投标人在评标结束前予以补正。</w:t>
      </w:r>
      <w:bookmarkEnd w:id="282"/>
    </w:p>
    <w:p>
      <w:pPr>
        <w:spacing w:line="360" w:lineRule="auto"/>
        <w:contextualSpacing/>
        <w:rPr>
          <w:rFonts w:ascii="宋体" w:hAnsi="宋体" w:cs="宋体"/>
          <w:b/>
          <w:bCs/>
          <w:color w:val="000000"/>
          <w:sz w:val="24"/>
          <w:szCs w:val="24"/>
        </w:rPr>
      </w:pPr>
      <w:r>
        <w:rPr>
          <w:rFonts w:hint="eastAsia" w:ascii="宋体" w:hAnsi="宋体" w:cs="宋体"/>
          <w:b/>
          <w:bCs/>
          <w:color w:val="000000"/>
          <w:sz w:val="24"/>
          <w:szCs w:val="24"/>
        </w:rPr>
        <w:t>十一、评标报告</w:t>
      </w:r>
    </w:p>
    <w:p>
      <w:pPr>
        <w:autoSpaceDE w:val="0"/>
        <w:autoSpaceDN w:val="0"/>
        <w:spacing w:line="360" w:lineRule="auto"/>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ind w:firstLine="480" w:firstLineChars="200"/>
        <w:contextualSpacing/>
        <w:rPr>
          <w:rFonts w:ascii="宋体" w:hAnsi="宋体" w:cs="宋体"/>
          <w:color w:val="000000"/>
          <w:sz w:val="24"/>
          <w:szCs w:val="24"/>
        </w:rPr>
      </w:pPr>
      <w:r>
        <w:rPr>
          <w:rFonts w:hint="eastAsia" w:ascii="宋体" w:hAnsi="宋体" w:cs="宋体"/>
          <w:color w:val="000000"/>
          <w:sz w:val="24"/>
          <w:szCs w:val="24"/>
        </w:rPr>
        <w:t>评标委员会根据投标人须知前附表7.1条的规定向招标人提交评标报告。评标报告应当由全体评标委员会成员签字，并于评标结束时抄送有关行政监督部门。</w:t>
      </w:r>
    </w:p>
    <w:p>
      <w:pPr>
        <w:spacing w:line="360" w:lineRule="auto"/>
        <w:ind w:firstLine="480" w:firstLineChars="200"/>
        <w:contextualSpacing/>
        <w:rPr>
          <w:rFonts w:ascii="宋体" w:hAnsi="宋体" w:cs="宋体"/>
          <w:sz w:val="24"/>
          <w:szCs w:val="24"/>
        </w:rPr>
      </w:pPr>
      <w:bookmarkStart w:id="283" w:name="_Toc295572537"/>
      <w:bookmarkEnd w:id="283"/>
      <w:bookmarkStart w:id="284" w:name="_Toc273546400"/>
      <w:bookmarkEnd w:id="284"/>
      <w:bookmarkStart w:id="285" w:name="_Toc270931536"/>
      <w:bookmarkEnd w:id="285"/>
      <w:bookmarkStart w:id="286" w:name="_Toc272833455"/>
      <w:r>
        <w:rPr>
          <w:rFonts w:hint="eastAsia" w:ascii="宋体" w:hAnsi="宋体" w:cs="宋体"/>
          <w:sz w:val="24"/>
          <w:szCs w:val="24"/>
        </w:rPr>
        <w:t>招标人应当自确定中标人之日起15日内，向有关行政监督部门提交招标投标情况的书面报告。书面报告应当包括以下内容：</w:t>
      </w:r>
      <w:bookmarkEnd w:id="286"/>
    </w:p>
    <w:p>
      <w:pPr>
        <w:spacing w:line="360" w:lineRule="auto"/>
        <w:contextualSpacing/>
        <w:rPr>
          <w:rFonts w:ascii="宋体" w:hAnsi="宋体" w:cs="宋体"/>
          <w:kern w:val="0"/>
          <w:sz w:val="24"/>
          <w:szCs w:val="24"/>
        </w:rPr>
      </w:pPr>
      <w:r>
        <w:rPr>
          <w:rFonts w:hint="eastAsia" w:ascii="宋体" w:hAnsi="宋体" w:cs="宋体"/>
          <w:kern w:val="0"/>
          <w:sz w:val="24"/>
          <w:szCs w:val="24"/>
        </w:rPr>
        <w:t>（1）基本情况和数据表；</w:t>
      </w:r>
    </w:p>
    <w:p>
      <w:pPr>
        <w:spacing w:line="360" w:lineRule="auto"/>
        <w:contextualSpacing/>
        <w:rPr>
          <w:rFonts w:ascii="宋体" w:hAnsi="宋体" w:cs="宋体"/>
          <w:kern w:val="0"/>
          <w:sz w:val="24"/>
          <w:szCs w:val="24"/>
        </w:rPr>
      </w:pPr>
      <w:r>
        <w:rPr>
          <w:rFonts w:hint="eastAsia" w:ascii="宋体" w:hAnsi="宋体" w:cs="宋体"/>
          <w:kern w:val="0"/>
          <w:sz w:val="24"/>
          <w:szCs w:val="24"/>
        </w:rPr>
        <w:t>（2）评标委员会成员名单，负责人姓名；</w:t>
      </w:r>
    </w:p>
    <w:p>
      <w:pPr>
        <w:spacing w:line="360" w:lineRule="auto"/>
        <w:contextualSpacing/>
        <w:rPr>
          <w:rFonts w:ascii="宋体" w:hAnsi="宋体" w:cs="宋体"/>
          <w:kern w:val="0"/>
          <w:sz w:val="24"/>
          <w:szCs w:val="24"/>
        </w:rPr>
      </w:pPr>
      <w:r>
        <w:rPr>
          <w:rFonts w:hint="eastAsia" w:ascii="宋体" w:hAnsi="宋体" w:cs="宋体"/>
          <w:kern w:val="0"/>
          <w:sz w:val="24"/>
          <w:szCs w:val="24"/>
        </w:rPr>
        <w:t>（3）开标记录；</w:t>
      </w:r>
    </w:p>
    <w:p>
      <w:pPr>
        <w:spacing w:line="360" w:lineRule="auto"/>
        <w:contextualSpacing/>
        <w:rPr>
          <w:rFonts w:ascii="宋体" w:hAnsi="宋体" w:cs="宋体"/>
          <w:kern w:val="0"/>
          <w:sz w:val="24"/>
          <w:szCs w:val="24"/>
        </w:rPr>
      </w:pPr>
      <w:r>
        <w:rPr>
          <w:rFonts w:hint="eastAsia" w:ascii="宋体" w:hAnsi="宋体" w:cs="宋体"/>
          <w:kern w:val="0"/>
          <w:sz w:val="24"/>
          <w:szCs w:val="24"/>
        </w:rPr>
        <w:t>（4）符合要求的投标一览表；</w:t>
      </w:r>
    </w:p>
    <w:p>
      <w:pPr>
        <w:spacing w:line="360" w:lineRule="auto"/>
        <w:contextualSpacing/>
        <w:rPr>
          <w:rFonts w:ascii="宋体" w:hAnsi="宋体" w:cs="宋体"/>
          <w:kern w:val="0"/>
          <w:sz w:val="24"/>
          <w:szCs w:val="24"/>
        </w:rPr>
      </w:pPr>
      <w:r>
        <w:rPr>
          <w:rFonts w:hint="eastAsia" w:ascii="宋体" w:hAnsi="宋体" w:cs="宋体"/>
          <w:kern w:val="0"/>
          <w:sz w:val="24"/>
          <w:szCs w:val="24"/>
        </w:rPr>
        <w:t>（5）否决投标情况说明；</w:t>
      </w:r>
    </w:p>
    <w:p>
      <w:pPr>
        <w:spacing w:line="360" w:lineRule="auto"/>
        <w:contextualSpacing/>
        <w:rPr>
          <w:rFonts w:ascii="宋体" w:hAnsi="宋体" w:cs="宋体"/>
          <w:kern w:val="0"/>
          <w:sz w:val="24"/>
          <w:szCs w:val="24"/>
        </w:rPr>
      </w:pPr>
      <w:r>
        <w:rPr>
          <w:rFonts w:hint="eastAsia" w:ascii="宋体" w:hAnsi="宋体" w:cs="宋体"/>
          <w:kern w:val="0"/>
          <w:sz w:val="24"/>
          <w:szCs w:val="24"/>
        </w:rPr>
        <w:t>（6）评标标准、评标办法或者评标因素一览表；</w:t>
      </w:r>
    </w:p>
    <w:p>
      <w:pPr>
        <w:spacing w:line="360" w:lineRule="auto"/>
        <w:contextualSpacing/>
        <w:rPr>
          <w:rFonts w:ascii="宋体" w:hAnsi="宋体" w:cs="宋体"/>
          <w:kern w:val="0"/>
          <w:sz w:val="24"/>
          <w:szCs w:val="24"/>
        </w:rPr>
      </w:pPr>
      <w:r>
        <w:rPr>
          <w:rFonts w:hint="eastAsia" w:ascii="宋体" w:hAnsi="宋体" w:cs="宋体"/>
          <w:kern w:val="0"/>
          <w:sz w:val="24"/>
          <w:szCs w:val="24"/>
        </w:rPr>
        <w:t>（7）经评审的评标表格（包括评标委员会在评标过程中所形成的所有记载评标结果、结论的表格、说明、记录等文件）</w:t>
      </w:r>
    </w:p>
    <w:p>
      <w:pPr>
        <w:spacing w:line="360" w:lineRule="auto"/>
        <w:contextualSpacing/>
        <w:rPr>
          <w:rFonts w:ascii="宋体" w:hAnsi="宋体" w:cs="宋体"/>
          <w:kern w:val="0"/>
          <w:sz w:val="24"/>
          <w:szCs w:val="24"/>
        </w:rPr>
      </w:pPr>
      <w:r>
        <w:rPr>
          <w:rFonts w:hint="eastAsia" w:ascii="宋体" w:hAnsi="宋体" w:cs="宋体"/>
          <w:kern w:val="0"/>
          <w:sz w:val="24"/>
          <w:szCs w:val="24"/>
        </w:rPr>
        <w:t>（8）经评审的投标人排序；</w:t>
      </w:r>
    </w:p>
    <w:p>
      <w:pPr>
        <w:spacing w:line="360" w:lineRule="auto"/>
        <w:contextualSpacing/>
        <w:rPr>
          <w:rFonts w:ascii="宋体" w:hAnsi="宋体" w:cs="宋体"/>
          <w:kern w:val="0"/>
          <w:sz w:val="24"/>
          <w:szCs w:val="24"/>
        </w:rPr>
      </w:pPr>
      <w:r>
        <w:rPr>
          <w:rFonts w:hint="eastAsia" w:ascii="宋体" w:hAnsi="宋体" w:cs="宋体"/>
          <w:kern w:val="0"/>
          <w:sz w:val="24"/>
          <w:szCs w:val="24"/>
        </w:rPr>
        <w:t>（9）推荐的中标候选人名单与签订合同前要处理的事宜；</w:t>
      </w:r>
    </w:p>
    <w:p>
      <w:pPr>
        <w:spacing w:line="360" w:lineRule="auto"/>
        <w:contextualSpacing/>
        <w:rPr>
          <w:rFonts w:ascii="宋体" w:hAnsi="宋体" w:cs="宋体"/>
          <w:kern w:val="0"/>
          <w:sz w:val="24"/>
          <w:szCs w:val="24"/>
        </w:rPr>
      </w:pPr>
      <w:r>
        <w:rPr>
          <w:rFonts w:hint="eastAsia" w:ascii="宋体" w:hAnsi="宋体" w:cs="宋体"/>
          <w:kern w:val="0"/>
          <w:sz w:val="24"/>
          <w:szCs w:val="24"/>
        </w:rPr>
        <w:t>（10）澄清、说明、补正事项纪要。</w:t>
      </w:r>
    </w:p>
    <w:p>
      <w:pPr>
        <w:autoSpaceDE w:val="0"/>
        <w:autoSpaceDN w:val="0"/>
        <w:spacing w:line="360" w:lineRule="auto"/>
        <w:contextualSpacing/>
        <w:jc w:val="left"/>
        <w:outlineLvl w:val="0"/>
        <w:rPr>
          <w:rFonts w:ascii="宋体" w:hAnsi="宋体" w:cs="宋体"/>
          <w:b/>
          <w:bCs/>
          <w:kern w:val="0"/>
          <w:sz w:val="24"/>
          <w:szCs w:val="24"/>
        </w:rPr>
      </w:pPr>
      <w:bookmarkStart w:id="287" w:name="_Toc464824770"/>
      <w:bookmarkEnd w:id="287"/>
      <w:bookmarkStart w:id="288" w:name="_Toc21854"/>
      <w:r>
        <w:rPr>
          <w:rFonts w:hint="eastAsia" w:ascii="宋体" w:hAnsi="宋体" w:cs="宋体"/>
          <w:b/>
          <w:bCs/>
          <w:kern w:val="0"/>
          <w:sz w:val="24"/>
          <w:szCs w:val="24"/>
        </w:rPr>
        <w:t>十二、中标人的确立</w:t>
      </w:r>
      <w:bookmarkEnd w:id="288"/>
    </w:p>
    <w:p>
      <w:pPr>
        <w:autoSpaceDE w:val="0"/>
        <w:autoSpaceDN w:val="0"/>
        <w:spacing w:line="360" w:lineRule="auto"/>
        <w:ind w:firstLine="480" w:firstLineChars="200"/>
        <w:contextualSpacing/>
        <w:jc w:val="left"/>
        <w:outlineLvl w:val="0"/>
        <w:rPr>
          <w:rFonts w:ascii="宋体" w:hAnsi="宋体" w:cs="宋体"/>
          <w:kern w:val="0"/>
          <w:sz w:val="24"/>
          <w:szCs w:val="24"/>
        </w:rPr>
      </w:pPr>
      <w:bookmarkStart w:id="289" w:name="_Toc32004"/>
      <w:bookmarkEnd w:id="289"/>
      <w:bookmarkStart w:id="290" w:name="_Toc464824771"/>
      <w:r>
        <w:rPr>
          <w:rFonts w:hint="eastAsia" w:ascii="宋体" w:hAnsi="宋体" w:cs="宋体"/>
          <w:kern w:val="0"/>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290"/>
    </w:p>
    <w:p>
      <w:pPr>
        <w:spacing w:line="360" w:lineRule="auto"/>
        <w:contextualSpacing/>
        <w:rPr>
          <w:rFonts w:ascii="宋体" w:hAnsi="宋体" w:cs="宋体"/>
          <w:color w:val="000000"/>
          <w:spacing w:val="-3"/>
          <w:sz w:val="24"/>
          <w:szCs w:val="24"/>
        </w:rPr>
      </w:pPr>
      <w:r>
        <w:rPr>
          <w:rFonts w:hint="eastAsia" w:ascii="宋体" w:hAnsi="宋体" w:cs="宋体"/>
          <w:b/>
          <w:bCs/>
          <w:sz w:val="24"/>
          <w:szCs w:val="24"/>
        </w:rPr>
        <w:t>十三、公示</w:t>
      </w:r>
    </w:p>
    <w:p>
      <w:pPr>
        <w:spacing w:line="360" w:lineRule="auto"/>
        <w:ind w:firstLine="352" w:firstLineChars="147"/>
        <w:contextualSpacing/>
        <w:outlineLvl w:val="0"/>
        <w:rPr>
          <w:rFonts w:ascii="宋体" w:hAnsi="宋体" w:cs="宋体"/>
          <w:color w:val="000000"/>
          <w:sz w:val="24"/>
          <w:szCs w:val="24"/>
        </w:rPr>
      </w:pPr>
      <w:bookmarkStart w:id="291" w:name="_Toc397606006"/>
      <w:bookmarkEnd w:id="291"/>
      <w:bookmarkStart w:id="292" w:name="_Toc397507724"/>
      <w:bookmarkEnd w:id="292"/>
      <w:bookmarkStart w:id="293" w:name="_Toc414"/>
      <w:bookmarkEnd w:id="293"/>
      <w:bookmarkStart w:id="294" w:name="_Toc464824774"/>
      <w:bookmarkEnd w:id="294"/>
      <w:bookmarkStart w:id="295" w:name="_Toc397508137"/>
      <w:bookmarkEnd w:id="295"/>
      <w:bookmarkStart w:id="296" w:name="_Toc2959"/>
      <w:bookmarkEnd w:id="296"/>
      <w:bookmarkStart w:id="297" w:name="_Toc464824772"/>
      <w:r>
        <w:rPr>
          <w:rFonts w:hint="eastAsia" w:ascii="宋体" w:hAnsi="宋体" w:cs="宋体"/>
          <w:color w:val="000000"/>
          <w:sz w:val="24"/>
          <w:szCs w:val="24"/>
        </w:rPr>
        <w:t>中标人确定后，应当在招标公告发布的同一媒介上进行公示，</w:t>
      </w:r>
      <w:bookmarkEnd w:id="297"/>
      <w:r>
        <w:rPr>
          <w:rFonts w:hint="eastAsia" w:ascii="宋体" w:hAnsi="宋体" w:cs="宋体"/>
          <w:color w:val="000000"/>
          <w:sz w:val="24"/>
          <w:szCs w:val="24"/>
        </w:rPr>
        <w:t>公示期不得少于3日。公示期满后，招标人应当将招标投标情况书面报告提交行政主管部门备案，向中标人发出中标通知书，并向所有合格投标人告知中标结果。</w:t>
      </w:r>
    </w:p>
    <w:p>
      <w:pPr>
        <w:spacing w:line="360" w:lineRule="auto"/>
        <w:ind w:firstLine="352" w:firstLineChars="147"/>
        <w:contextualSpacing/>
        <w:outlineLvl w:val="0"/>
        <w:rPr>
          <w:rFonts w:ascii="宋体" w:hAnsi="宋体" w:cs="宋体"/>
          <w:color w:val="000000"/>
          <w:sz w:val="24"/>
          <w:szCs w:val="24"/>
        </w:rPr>
      </w:pPr>
      <w:bookmarkStart w:id="298" w:name="_Toc464824773"/>
      <w:bookmarkEnd w:id="298"/>
      <w:bookmarkStart w:id="299" w:name="_Toc3561"/>
      <w:r>
        <w:rPr>
          <w:rFonts w:hint="eastAsia" w:ascii="宋体" w:hAnsi="宋体" w:cs="宋体"/>
          <w:color w:val="000000"/>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299"/>
      <w:r>
        <w:rPr>
          <w:rFonts w:hint="eastAsia" w:ascii="宋体" w:hAnsi="宋体" w:cs="宋体"/>
          <w:color w:val="000000"/>
          <w:sz w:val="24"/>
          <w:szCs w:val="24"/>
        </w:rPr>
        <w:t>填报的单位项目业绩名称。</w:t>
      </w:r>
    </w:p>
    <w:p>
      <w:pPr>
        <w:spacing w:line="360" w:lineRule="auto"/>
        <w:contextualSpacing/>
        <w:outlineLvl w:val="0"/>
        <w:rPr>
          <w:rFonts w:ascii="宋体" w:hAnsi="宋体" w:cs="宋体"/>
          <w:b/>
          <w:bCs/>
          <w:sz w:val="24"/>
          <w:szCs w:val="24"/>
        </w:rPr>
      </w:pPr>
      <w:r>
        <w:rPr>
          <w:rFonts w:hint="eastAsia" w:ascii="宋体" w:hAnsi="宋体" w:cs="宋体"/>
          <w:b/>
          <w:bCs/>
          <w:sz w:val="24"/>
          <w:szCs w:val="24"/>
        </w:rPr>
        <w:t>十四、特殊情况的处置程序</w:t>
      </w:r>
    </w:p>
    <w:p>
      <w:pPr>
        <w:spacing w:line="360" w:lineRule="auto"/>
        <w:ind w:firstLine="354" w:firstLineChars="147"/>
        <w:contextualSpacing/>
        <w:outlineLvl w:val="0"/>
        <w:rPr>
          <w:rFonts w:ascii="宋体" w:hAnsi="宋体" w:cs="宋体"/>
          <w:b/>
          <w:bCs/>
          <w:sz w:val="24"/>
          <w:szCs w:val="24"/>
        </w:rPr>
      </w:pPr>
      <w:bookmarkStart w:id="300" w:name="_Toc26658"/>
      <w:bookmarkEnd w:id="300"/>
      <w:bookmarkStart w:id="301" w:name="_Toc464824775"/>
      <w:bookmarkEnd w:id="301"/>
      <w:bookmarkStart w:id="302" w:name="_Toc397508138"/>
      <w:bookmarkEnd w:id="302"/>
      <w:bookmarkStart w:id="303" w:name="_Toc397606007"/>
      <w:bookmarkEnd w:id="303"/>
      <w:bookmarkStart w:id="304" w:name="_Toc397507725"/>
      <w:r>
        <w:rPr>
          <w:rFonts w:hint="eastAsia" w:ascii="宋体" w:hAnsi="宋体" w:cs="宋体"/>
          <w:b/>
          <w:bCs/>
          <w:sz w:val="24"/>
          <w:szCs w:val="24"/>
        </w:rPr>
        <w:t>14.1关于评标活动暂停</w:t>
      </w:r>
      <w:bookmarkEnd w:id="304"/>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14.1.1评标委员会应当执行连续评标的原则，按评标办法中规定的程序、内容、方法、标准完成全部评标工作。只有发生不可抗力导致评标工作无法继续时，评标活动方可暂停。</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14.1.2发生评标暂停情况时，评标委员会应当封存全部投标文件和评标记录，待不可抗力的影响结束且具备继续评标的条件时，由原评标委员会继续评标。</w:t>
      </w:r>
    </w:p>
    <w:p>
      <w:pPr>
        <w:spacing w:line="360" w:lineRule="auto"/>
        <w:ind w:firstLine="354" w:firstLineChars="147"/>
        <w:contextualSpacing/>
        <w:outlineLvl w:val="0"/>
        <w:rPr>
          <w:rFonts w:ascii="宋体" w:hAnsi="宋体" w:cs="宋体"/>
          <w:b/>
          <w:bCs/>
          <w:sz w:val="24"/>
          <w:szCs w:val="24"/>
        </w:rPr>
      </w:pPr>
      <w:bookmarkStart w:id="305" w:name="_Toc397606008"/>
      <w:bookmarkEnd w:id="305"/>
      <w:bookmarkStart w:id="306" w:name="_Toc397508139"/>
      <w:bookmarkEnd w:id="306"/>
      <w:bookmarkStart w:id="307" w:name="_Toc6616"/>
      <w:bookmarkEnd w:id="307"/>
      <w:bookmarkStart w:id="308" w:name="_Toc464824776"/>
      <w:bookmarkEnd w:id="308"/>
      <w:bookmarkStart w:id="309" w:name="_Toc397507726"/>
      <w:r>
        <w:rPr>
          <w:rFonts w:hint="eastAsia" w:ascii="宋体" w:hAnsi="宋体" w:cs="宋体"/>
          <w:b/>
          <w:bCs/>
          <w:sz w:val="24"/>
          <w:szCs w:val="24"/>
        </w:rPr>
        <w:t>14.2关于评标中途更换评标委员会成员</w:t>
      </w:r>
      <w:bookmarkEnd w:id="309"/>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14.2.1  除非发生下列情况之一，评标委员会成员不得在评标中途更换：</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（1）因不可抗拒的客观原因，不能到场或需在评标中途退出评标活动。</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（2）根据法律法规规定，某个或某几个评标委员会成员需要回避。</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14.2.2  退出评标的评标委员会成员，其已完成的评标行为无效。由招标人根据本招标文件规定的评标委员会成员产生方式另行确定替代者进行评标。</w:t>
      </w:r>
    </w:p>
    <w:p>
      <w:pPr>
        <w:spacing w:line="360" w:lineRule="auto"/>
        <w:ind w:firstLine="354" w:firstLineChars="147"/>
        <w:contextualSpacing/>
        <w:outlineLvl w:val="0"/>
        <w:rPr>
          <w:rFonts w:ascii="宋体" w:hAnsi="宋体" w:cs="宋体"/>
          <w:b/>
          <w:bCs/>
          <w:sz w:val="24"/>
          <w:szCs w:val="24"/>
        </w:rPr>
      </w:pPr>
      <w:bookmarkStart w:id="310" w:name="_Toc5729"/>
      <w:bookmarkEnd w:id="310"/>
      <w:bookmarkStart w:id="311" w:name="_Toc397507727"/>
      <w:bookmarkEnd w:id="311"/>
      <w:bookmarkStart w:id="312" w:name="_Toc397508140"/>
      <w:bookmarkEnd w:id="312"/>
      <w:bookmarkStart w:id="313" w:name="_Toc464824777"/>
      <w:bookmarkEnd w:id="313"/>
      <w:bookmarkStart w:id="314" w:name="_Toc397606009"/>
      <w:r>
        <w:rPr>
          <w:rFonts w:hint="eastAsia" w:ascii="宋体" w:hAnsi="宋体" w:cs="宋体"/>
          <w:b/>
          <w:bCs/>
          <w:sz w:val="24"/>
          <w:szCs w:val="24"/>
        </w:rPr>
        <w:t>14.3记名投票</w:t>
      </w:r>
      <w:bookmarkEnd w:id="314"/>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在任何评标环节中，需评标委员会就某项定性的评审结论做出表决的，由评标委员会全体成员按照少数服从多数的原则，以记名投票方式表决。</w:t>
      </w:r>
    </w:p>
    <w:p>
      <w:pPr>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14.4评标委员会成员对评标结论持有异议的</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spacing w:line="360" w:lineRule="auto"/>
        <w:rPr>
          <w:rFonts w:ascii="宋体" w:hAnsi="宋体" w:cs="宋体"/>
          <w:b/>
          <w:bCs/>
          <w:sz w:val="32"/>
          <w:szCs w:val="32"/>
        </w:rPr>
      </w:pPr>
      <w:r>
        <w:rPr>
          <w:rFonts w:hint="eastAsia" w:ascii="宋体" w:hAnsi="宋体" w:cs="宋体"/>
        </w:rPr>
        <w:br w:type="page"/>
      </w:r>
      <w:r>
        <w:rPr>
          <w:rFonts w:hint="eastAsia" w:ascii="宋体" w:hAnsi="宋体" w:cs="宋体"/>
          <w:b/>
          <w:bCs/>
          <w:sz w:val="32"/>
          <w:szCs w:val="32"/>
        </w:rPr>
        <w:t>附件1</w:t>
      </w:r>
    </w:p>
    <w:p>
      <w:pPr>
        <w:spacing w:line="360" w:lineRule="auto"/>
        <w:jc w:val="center"/>
        <w:rPr>
          <w:rFonts w:ascii="宋体" w:hAnsi="宋体" w:cs="宋体"/>
          <w:b/>
          <w:bCs/>
          <w:sz w:val="32"/>
          <w:szCs w:val="32"/>
        </w:rPr>
      </w:pPr>
      <w:r>
        <w:rPr>
          <w:rFonts w:hint="eastAsia" w:ascii="宋体" w:hAnsi="宋体" w:cs="宋体"/>
          <w:b/>
          <w:bCs/>
          <w:sz w:val="32"/>
          <w:szCs w:val="32"/>
        </w:rPr>
        <w:t>投标企业良好信用信息采集项</w:t>
      </w:r>
    </w:p>
    <w:tbl>
      <w:tblPr>
        <w:tblStyle w:val="1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591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tcPr>
          <w:p>
            <w:pPr>
              <w:spacing w:line="360" w:lineRule="auto"/>
              <w:jc w:val="center"/>
              <w:rPr>
                <w:rFonts w:ascii="宋体" w:hAnsi="宋体" w:cs="宋体"/>
                <w:sz w:val="24"/>
                <w:szCs w:val="24"/>
              </w:rPr>
            </w:pPr>
            <w:r>
              <w:rPr>
                <w:rFonts w:hint="eastAsia" w:ascii="宋体" w:hAnsi="宋体" w:cs="宋体"/>
                <w:sz w:val="24"/>
                <w:szCs w:val="24"/>
              </w:rPr>
              <w:t>信用类别</w:t>
            </w:r>
          </w:p>
        </w:tc>
        <w:tc>
          <w:tcPr>
            <w:tcW w:w="5910" w:type="dxa"/>
          </w:tcPr>
          <w:p>
            <w:pPr>
              <w:spacing w:line="360" w:lineRule="auto"/>
              <w:jc w:val="center"/>
              <w:rPr>
                <w:rFonts w:ascii="宋体" w:hAnsi="宋体" w:cs="宋体"/>
                <w:sz w:val="24"/>
                <w:szCs w:val="24"/>
              </w:rPr>
            </w:pPr>
            <w:r>
              <w:rPr>
                <w:rFonts w:hint="eastAsia" w:ascii="宋体" w:hAnsi="宋体" w:cs="宋体"/>
                <w:sz w:val="24"/>
                <w:szCs w:val="24"/>
              </w:rPr>
              <w:t>良好信用</w:t>
            </w:r>
          </w:p>
        </w:tc>
        <w:tc>
          <w:tcPr>
            <w:tcW w:w="1253" w:type="dxa"/>
          </w:tcPr>
          <w:p>
            <w:pPr>
              <w:spacing w:line="360" w:lineRule="auto"/>
              <w:jc w:val="center"/>
              <w:rPr>
                <w:rFonts w:ascii="宋体" w:hAnsi="宋体" w:cs="宋体"/>
                <w:sz w:val="24"/>
                <w:szCs w:val="24"/>
              </w:rPr>
            </w:pPr>
            <w:r>
              <w:rPr>
                <w:rFonts w:hint="eastAsia" w:ascii="宋体" w:hAnsi="宋体" w:cs="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工程质量获奖</w:t>
            </w:r>
          </w:p>
        </w:tc>
        <w:tc>
          <w:tcPr>
            <w:tcW w:w="5910" w:type="dxa"/>
          </w:tcPr>
          <w:p>
            <w:pPr>
              <w:spacing w:line="360" w:lineRule="auto"/>
              <w:jc w:val="left"/>
              <w:rPr>
                <w:rFonts w:ascii="宋体" w:hAnsi="宋体" w:cs="宋体"/>
                <w:sz w:val="24"/>
                <w:szCs w:val="24"/>
              </w:rPr>
            </w:pPr>
            <w:r>
              <w:rPr>
                <w:rFonts w:hint="eastAsia" w:ascii="宋体" w:hAnsi="宋体" w:cs="宋体"/>
                <w:sz w:val="24"/>
                <w:szCs w:val="24"/>
              </w:rPr>
              <w:t>中国建设工程鲁班奖(国家优质工程)、中国钢结构金奖、中国土木工程詹天佑奖</w:t>
            </w:r>
          </w:p>
        </w:tc>
        <w:tc>
          <w:tcPr>
            <w:tcW w:w="1253" w:type="dxa"/>
            <w:vAlign w:val="center"/>
          </w:tcPr>
          <w:p>
            <w:pPr>
              <w:spacing w:line="360" w:lineRule="auto"/>
              <w:jc w:val="center"/>
              <w:rPr>
                <w:rFonts w:ascii="宋体" w:hAnsi="宋体" w:cs="宋体"/>
                <w:sz w:val="24"/>
                <w:szCs w:val="24"/>
              </w:rPr>
            </w:pPr>
            <w:r>
              <w:rPr>
                <w:rFonts w:hint="eastAsia" w:ascii="宋体" w:hAnsi="宋体" w:cs="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360" w:lineRule="auto"/>
              <w:jc w:val="center"/>
              <w:rPr>
                <w:rFonts w:ascii="宋体" w:hAnsi="宋体" w:cs="宋体"/>
                <w:sz w:val="24"/>
                <w:szCs w:val="24"/>
              </w:rPr>
            </w:pPr>
          </w:p>
        </w:tc>
        <w:tc>
          <w:tcPr>
            <w:tcW w:w="5910" w:type="dxa"/>
          </w:tcPr>
          <w:p>
            <w:pPr>
              <w:spacing w:line="360" w:lineRule="auto"/>
              <w:jc w:val="left"/>
              <w:rPr>
                <w:rFonts w:ascii="宋体" w:hAnsi="宋体" w:cs="宋体"/>
                <w:sz w:val="24"/>
                <w:szCs w:val="24"/>
              </w:rPr>
            </w:pPr>
            <w:r>
              <w:rPr>
                <w:rFonts w:hint="eastAsia" w:ascii="宋体" w:hAnsi="宋体" w:cs="宋体"/>
                <w:sz w:val="24"/>
                <w:szCs w:val="24"/>
              </w:rPr>
              <w:t>中国建筑工程装饰奖(公共建筑装饰、建筑幕墙、公共建获奖筑装饰设计)</w:t>
            </w:r>
          </w:p>
        </w:tc>
        <w:tc>
          <w:tcPr>
            <w:tcW w:w="1253" w:type="dxa"/>
            <w:vAlign w:val="center"/>
          </w:tcPr>
          <w:p>
            <w:pPr>
              <w:spacing w:line="360" w:lineRule="auto"/>
              <w:jc w:val="center"/>
              <w:rPr>
                <w:rFonts w:ascii="宋体" w:hAnsi="宋体" w:cs="宋体"/>
              </w:rPr>
            </w:pPr>
            <w:r>
              <w:rPr>
                <w:rFonts w:hint="eastAsia" w:ascii="宋体" w:hAnsi="宋体" w:cs="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7" w:type="dxa"/>
            <w:vMerge w:val="continue"/>
          </w:tcPr>
          <w:p>
            <w:pPr>
              <w:spacing w:line="360" w:lineRule="auto"/>
              <w:jc w:val="center"/>
              <w:rPr>
                <w:rFonts w:ascii="宋体" w:hAnsi="宋体" w:cs="宋体"/>
                <w:sz w:val="24"/>
                <w:szCs w:val="24"/>
              </w:rPr>
            </w:pPr>
          </w:p>
        </w:tc>
        <w:tc>
          <w:tcPr>
            <w:tcW w:w="5910" w:type="dxa"/>
          </w:tcPr>
          <w:p>
            <w:pPr>
              <w:spacing w:line="360" w:lineRule="auto"/>
              <w:jc w:val="left"/>
              <w:rPr>
                <w:rFonts w:ascii="宋体" w:hAnsi="宋体" w:cs="宋体"/>
                <w:sz w:val="24"/>
                <w:szCs w:val="24"/>
              </w:rPr>
            </w:pPr>
            <w:r>
              <w:rPr>
                <w:rFonts w:hint="eastAsia" w:ascii="宋体" w:hAnsi="宋体" w:cs="宋体"/>
                <w:sz w:val="24"/>
                <w:szCs w:val="24"/>
              </w:rPr>
              <w:t>省长质量奖</w:t>
            </w:r>
          </w:p>
        </w:tc>
        <w:tc>
          <w:tcPr>
            <w:tcW w:w="1253" w:type="dxa"/>
            <w:vAlign w:val="center"/>
          </w:tcPr>
          <w:p>
            <w:pPr>
              <w:spacing w:line="360" w:lineRule="auto"/>
              <w:jc w:val="center"/>
              <w:rPr>
                <w:rFonts w:ascii="宋体" w:hAnsi="宋体" w:cs="宋体"/>
              </w:rPr>
            </w:pPr>
            <w:r>
              <w:rPr>
                <w:rFonts w:hint="eastAsia" w:ascii="宋体" w:hAnsi="宋体" w:cs="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360" w:lineRule="auto"/>
              <w:jc w:val="center"/>
              <w:rPr>
                <w:rFonts w:ascii="宋体" w:hAnsi="宋体" w:cs="宋体"/>
                <w:sz w:val="24"/>
                <w:szCs w:val="24"/>
              </w:rPr>
            </w:pPr>
          </w:p>
        </w:tc>
        <w:tc>
          <w:tcPr>
            <w:tcW w:w="5910" w:type="dxa"/>
          </w:tcPr>
          <w:p>
            <w:pPr>
              <w:spacing w:line="360" w:lineRule="auto"/>
              <w:jc w:val="left"/>
              <w:rPr>
                <w:rFonts w:ascii="宋体" w:hAnsi="宋体" w:cs="宋体"/>
                <w:sz w:val="24"/>
                <w:szCs w:val="24"/>
              </w:rPr>
            </w:pPr>
            <w:r>
              <w:rPr>
                <w:rFonts w:hint="eastAsia" w:ascii="宋体" w:hAnsi="宋体" w:cs="宋体"/>
                <w:sz w:val="24"/>
                <w:szCs w:val="24"/>
              </w:rPr>
              <w:t>省级建设主管部门颁发的工程质量奖项</w:t>
            </w:r>
          </w:p>
        </w:tc>
        <w:tc>
          <w:tcPr>
            <w:tcW w:w="1253" w:type="dxa"/>
            <w:vAlign w:val="center"/>
          </w:tcPr>
          <w:p>
            <w:pPr>
              <w:spacing w:line="360" w:lineRule="auto"/>
              <w:jc w:val="center"/>
              <w:rPr>
                <w:rFonts w:ascii="宋体" w:hAnsi="宋体" w:cs="宋体"/>
              </w:rPr>
            </w:pPr>
            <w:r>
              <w:rPr>
                <w:rFonts w:hint="eastAsia" w:ascii="宋体" w:hAnsi="宋体" w:cs="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一般性通报表彰</w:t>
            </w:r>
          </w:p>
        </w:tc>
        <w:tc>
          <w:tcPr>
            <w:tcW w:w="5910" w:type="dxa"/>
          </w:tcPr>
          <w:p>
            <w:pPr>
              <w:spacing w:line="360" w:lineRule="auto"/>
              <w:jc w:val="left"/>
              <w:rPr>
                <w:rFonts w:ascii="宋体" w:hAnsi="宋体" w:cs="宋体"/>
                <w:sz w:val="24"/>
                <w:szCs w:val="24"/>
              </w:rPr>
            </w:pPr>
            <w:r>
              <w:rPr>
                <w:rFonts w:hint="eastAsia" w:ascii="宋体" w:hAnsi="宋体" w:cs="宋体"/>
                <w:sz w:val="24"/>
                <w:szCs w:val="24"/>
              </w:rPr>
              <w:t>住房城乡建设部、省人民政府的表彰</w:t>
            </w:r>
          </w:p>
        </w:tc>
        <w:tc>
          <w:tcPr>
            <w:tcW w:w="1253" w:type="dxa"/>
            <w:vAlign w:val="center"/>
          </w:tcPr>
          <w:p>
            <w:pPr>
              <w:spacing w:line="360" w:lineRule="auto"/>
              <w:jc w:val="center"/>
              <w:rPr>
                <w:rFonts w:ascii="宋体" w:hAnsi="宋体" w:cs="宋体"/>
              </w:rPr>
            </w:pPr>
            <w:r>
              <w:rPr>
                <w:rFonts w:hint="eastAsia" w:ascii="宋体" w:hAnsi="宋体" w:cs="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360" w:lineRule="auto"/>
              <w:jc w:val="center"/>
              <w:rPr>
                <w:rFonts w:ascii="宋体" w:hAnsi="宋体" w:cs="宋体"/>
                <w:sz w:val="24"/>
                <w:szCs w:val="24"/>
              </w:rPr>
            </w:pPr>
          </w:p>
        </w:tc>
        <w:tc>
          <w:tcPr>
            <w:tcW w:w="5910" w:type="dxa"/>
          </w:tcPr>
          <w:p>
            <w:pPr>
              <w:spacing w:line="360" w:lineRule="auto"/>
              <w:jc w:val="left"/>
              <w:rPr>
                <w:rFonts w:ascii="宋体" w:hAnsi="宋体" w:cs="宋体"/>
                <w:sz w:val="24"/>
                <w:szCs w:val="24"/>
              </w:rPr>
            </w:pPr>
            <w:r>
              <w:rPr>
                <w:rFonts w:hint="eastAsia" w:ascii="宋体" w:hAnsi="宋体" w:cs="宋体"/>
                <w:sz w:val="24"/>
                <w:szCs w:val="24"/>
              </w:rPr>
              <w:t>县级以上人民政府或住房城乡建设主管部门的表彰</w:t>
            </w:r>
          </w:p>
        </w:tc>
        <w:tc>
          <w:tcPr>
            <w:tcW w:w="1253" w:type="dxa"/>
            <w:vAlign w:val="center"/>
          </w:tcPr>
          <w:p>
            <w:pPr>
              <w:spacing w:line="360" w:lineRule="auto"/>
              <w:jc w:val="center"/>
              <w:rPr>
                <w:rFonts w:ascii="宋体" w:hAnsi="宋体" w:cs="宋体"/>
              </w:rPr>
            </w:pPr>
            <w:r>
              <w:rPr>
                <w:rFonts w:hint="eastAsia" w:ascii="宋体" w:hAnsi="宋体" w:cs="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7"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科技创新</w:t>
            </w:r>
          </w:p>
          <w:p>
            <w:pPr>
              <w:spacing w:line="360" w:lineRule="auto"/>
              <w:jc w:val="center"/>
              <w:rPr>
                <w:rFonts w:ascii="宋体" w:hAnsi="宋体" w:cs="宋体"/>
                <w:sz w:val="24"/>
                <w:szCs w:val="24"/>
              </w:rPr>
            </w:pPr>
            <w:r>
              <w:rPr>
                <w:rFonts w:hint="eastAsia" w:ascii="宋体" w:hAnsi="宋体" w:cs="宋体"/>
                <w:sz w:val="24"/>
                <w:szCs w:val="24"/>
              </w:rPr>
              <w:t>（建筑类）</w:t>
            </w:r>
          </w:p>
        </w:tc>
        <w:tc>
          <w:tcPr>
            <w:tcW w:w="5910" w:type="dxa"/>
          </w:tcPr>
          <w:p>
            <w:pPr>
              <w:spacing w:line="360" w:lineRule="auto"/>
              <w:jc w:val="left"/>
              <w:rPr>
                <w:rFonts w:ascii="宋体" w:hAnsi="宋体" w:cs="宋体"/>
                <w:sz w:val="24"/>
                <w:szCs w:val="24"/>
              </w:rPr>
            </w:pPr>
            <w:r>
              <w:rPr>
                <w:rFonts w:hint="eastAsia" w:ascii="宋体" w:hAnsi="宋体" w:cs="宋体"/>
                <w:sz w:val="24"/>
                <w:szCs w:val="24"/>
              </w:rPr>
              <w:t>企业参与标准、定额、工法编制：(1)国家级；(2)省级。</w:t>
            </w:r>
          </w:p>
        </w:tc>
        <w:tc>
          <w:tcPr>
            <w:tcW w:w="1253" w:type="dxa"/>
            <w:vAlign w:val="center"/>
          </w:tcPr>
          <w:p>
            <w:pPr>
              <w:spacing w:line="360" w:lineRule="auto"/>
              <w:jc w:val="center"/>
              <w:rPr>
                <w:rFonts w:ascii="宋体" w:hAnsi="宋体" w:cs="宋体"/>
              </w:rPr>
            </w:pPr>
            <w:r>
              <w:rPr>
                <w:rFonts w:hint="eastAsia" w:ascii="宋体" w:hAnsi="宋体" w:cs="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360" w:lineRule="auto"/>
              <w:jc w:val="center"/>
              <w:rPr>
                <w:rFonts w:ascii="宋体" w:hAnsi="宋体" w:cs="宋体"/>
                <w:sz w:val="24"/>
                <w:szCs w:val="24"/>
              </w:rPr>
            </w:pPr>
          </w:p>
        </w:tc>
        <w:tc>
          <w:tcPr>
            <w:tcW w:w="5910" w:type="dxa"/>
          </w:tcPr>
          <w:p>
            <w:pPr>
              <w:spacing w:line="360" w:lineRule="auto"/>
              <w:jc w:val="left"/>
              <w:rPr>
                <w:rFonts w:ascii="宋体" w:hAnsi="宋体" w:cs="宋体"/>
                <w:sz w:val="24"/>
                <w:szCs w:val="24"/>
              </w:rPr>
            </w:pPr>
            <w:r>
              <w:rPr>
                <w:rFonts w:hint="eastAsia" w:ascii="宋体" w:hAnsi="宋体" w:cs="宋体"/>
                <w:sz w:val="24"/>
                <w:szCs w:val="24"/>
              </w:rPr>
              <w:t>科技示范工程:(1)住房城乡建设部；(2)省级。</w:t>
            </w:r>
          </w:p>
        </w:tc>
        <w:tc>
          <w:tcPr>
            <w:tcW w:w="1253" w:type="dxa"/>
            <w:vAlign w:val="center"/>
          </w:tcPr>
          <w:p>
            <w:pPr>
              <w:spacing w:line="360" w:lineRule="auto"/>
              <w:jc w:val="center"/>
              <w:rPr>
                <w:rFonts w:ascii="宋体" w:hAnsi="宋体" w:cs="宋体"/>
              </w:rPr>
            </w:pPr>
            <w:r>
              <w:rPr>
                <w:rFonts w:hint="eastAsia" w:ascii="宋体" w:hAnsi="宋体" w:cs="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360" w:lineRule="auto"/>
              <w:jc w:val="center"/>
              <w:rPr>
                <w:rFonts w:ascii="宋体" w:hAnsi="宋体" w:cs="宋体"/>
                <w:sz w:val="24"/>
                <w:szCs w:val="24"/>
              </w:rPr>
            </w:pPr>
          </w:p>
        </w:tc>
        <w:tc>
          <w:tcPr>
            <w:tcW w:w="5910" w:type="dxa"/>
          </w:tcPr>
          <w:p>
            <w:pPr>
              <w:spacing w:line="360" w:lineRule="auto"/>
              <w:jc w:val="left"/>
              <w:rPr>
                <w:rFonts w:ascii="宋体" w:hAnsi="宋体" w:cs="宋体"/>
                <w:sz w:val="24"/>
                <w:szCs w:val="24"/>
              </w:rPr>
            </w:pPr>
            <w:r>
              <w:rPr>
                <w:rFonts w:hint="eastAsia" w:ascii="宋体" w:hAnsi="宋体" w:cs="宋体"/>
                <w:sz w:val="24"/>
                <w:szCs w:val="24"/>
              </w:rPr>
              <w:t>企业专利:(1)发明专利；(2)实用新型专利。</w:t>
            </w:r>
          </w:p>
        </w:tc>
        <w:tc>
          <w:tcPr>
            <w:tcW w:w="1253" w:type="dxa"/>
            <w:vAlign w:val="center"/>
          </w:tcPr>
          <w:p>
            <w:pPr>
              <w:spacing w:line="360" w:lineRule="auto"/>
              <w:jc w:val="center"/>
              <w:rPr>
                <w:rFonts w:ascii="宋体" w:hAnsi="宋体" w:cs="宋体"/>
              </w:rPr>
            </w:pPr>
            <w:r>
              <w:rPr>
                <w:rFonts w:hint="eastAsia" w:ascii="宋体" w:hAnsi="宋体" w:cs="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360" w:lineRule="auto"/>
              <w:jc w:val="center"/>
              <w:rPr>
                <w:rFonts w:ascii="宋体" w:hAnsi="宋体" w:cs="宋体"/>
                <w:sz w:val="24"/>
                <w:szCs w:val="24"/>
              </w:rPr>
            </w:pPr>
          </w:p>
        </w:tc>
        <w:tc>
          <w:tcPr>
            <w:tcW w:w="5910" w:type="dxa"/>
          </w:tcPr>
          <w:p>
            <w:pPr>
              <w:spacing w:line="360" w:lineRule="auto"/>
              <w:jc w:val="left"/>
              <w:rPr>
                <w:rFonts w:ascii="宋体" w:hAnsi="宋体" w:cs="宋体"/>
                <w:sz w:val="24"/>
                <w:szCs w:val="24"/>
              </w:rPr>
            </w:pPr>
            <w:r>
              <w:rPr>
                <w:rFonts w:hint="eastAsia" w:ascii="宋体" w:hAnsi="宋体" w:cs="宋体"/>
                <w:sz w:val="24"/>
                <w:szCs w:val="24"/>
              </w:rPr>
              <w:t>企业科技开发或科技进步奖：(1)国家级；(2)省级科</w:t>
            </w:r>
          </w:p>
          <w:p>
            <w:pPr>
              <w:spacing w:line="360" w:lineRule="auto"/>
              <w:jc w:val="left"/>
              <w:rPr>
                <w:rFonts w:ascii="宋体" w:hAnsi="宋体" w:cs="宋体"/>
                <w:sz w:val="24"/>
                <w:szCs w:val="24"/>
              </w:rPr>
            </w:pPr>
            <w:r>
              <w:rPr>
                <w:rFonts w:hint="eastAsia" w:ascii="宋体" w:hAnsi="宋体" w:cs="宋体"/>
                <w:sz w:val="24"/>
                <w:szCs w:val="24"/>
              </w:rPr>
              <w:t>技成果或科技进步奖。</w:t>
            </w:r>
          </w:p>
        </w:tc>
        <w:tc>
          <w:tcPr>
            <w:tcW w:w="1253" w:type="dxa"/>
            <w:vAlign w:val="center"/>
          </w:tcPr>
          <w:p>
            <w:pPr>
              <w:spacing w:line="360" w:lineRule="auto"/>
              <w:jc w:val="center"/>
              <w:rPr>
                <w:rFonts w:ascii="宋体" w:hAnsi="宋体" w:cs="宋体"/>
              </w:rPr>
            </w:pPr>
            <w:r>
              <w:rPr>
                <w:rFonts w:hint="eastAsia" w:ascii="宋体" w:hAnsi="宋体" w:cs="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7" w:type="dxa"/>
            <w:vMerge w:val="continue"/>
          </w:tcPr>
          <w:p>
            <w:pPr>
              <w:spacing w:line="360" w:lineRule="auto"/>
              <w:jc w:val="center"/>
              <w:rPr>
                <w:rFonts w:ascii="宋体" w:hAnsi="宋体" w:cs="宋体"/>
                <w:sz w:val="24"/>
                <w:szCs w:val="24"/>
              </w:rPr>
            </w:pPr>
          </w:p>
        </w:tc>
        <w:tc>
          <w:tcPr>
            <w:tcW w:w="5910" w:type="dxa"/>
          </w:tcPr>
          <w:p>
            <w:pPr>
              <w:spacing w:line="360" w:lineRule="auto"/>
              <w:jc w:val="left"/>
              <w:rPr>
                <w:rFonts w:ascii="宋体" w:hAnsi="宋体" w:cs="宋体"/>
                <w:sz w:val="24"/>
                <w:szCs w:val="24"/>
              </w:rPr>
            </w:pPr>
            <w:r>
              <w:rPr>
                <w:rFonts w:hint="eastAsia" w:ascii="宋体" w:hAnsi="宋体" w:cs="宋体"/>
                <w:sz w:val="24"/>
                <w:szCs w:val="24"/>
              </w:rPr>
              <w:t>企业科技项目：(1)国家级；(2)省级。</w:t>
            </w:r>
          </w:p>
        </w:tc>
        <w:tc>
          <w:tcPr>
            <w:tcW w:w="1253" w:type="dxa"/>
            <w:vAlign w:val="center"/>
          </w:tcPr>
          <w:p>
            <w:pPr>
              <w:spacing w:line="360" w:lineRule="auto"/>
              <w:jc w:val="center"/>
              <w:rPr>
                <w:rFonts w:ascii="宋体" w:hAnsi="宋体" w:cs="宋体"/>
              </w:rPr>
            </w:pPr>
            <w:r>
              <w:rPr>
                <w:rFonts w:hint="eastAsia" w:ascii="宋体" w:hAnsi="宋体" w:cs="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360" w:lineRule="auto"/>
              <w:jc w:val="center"/>
              <w:rPr>
                <w:rFonts w:ascii="宋体" w:hAnsi="宋体" w:cs="宋体"/>
                <w:sz w:val="24"/>
                <w:szCs w:val="24"/>
              </w:rPr>
            </w:pPr>
          </w:p>
        </w:tc>
        <w:tc>
          <w:tcPr>
            <w:tcW w:w="5910" w:type="dxa"/>
          </w:tcPr>
          <w:p>
            <w:pPr>
              <w:spacing w:line="360" w:lineRule="auto"/>
              <w:rPr>
                <w:rFonts w:ascii="宋体" w:hAnsi="宋体" w:cs="宋体"/>
                <w:sz w:val="24"/>
                <w:szCs w:val="24"/>
              </w:rPr>
            </w:pPr>
            <w:r>
              <w:rPr>
                <w:rFonts w:hint="eastAsia" w:ascii="宋体" w:hAnsi="宋体" w:cs="宋体"/>
                <w:sz w:val="24"/>
                <w:szCs w:val="24"/>
              </w:rPr>
              <w:t>科研平台或企业技术中心：(1)国家级；(2)省级。</w:t>
            </w:r>
          </w:p>
        </w:tc>
        <w:tc>
          <w:tcPr>
            <w:tcW w:w="1253" w:type="dxa"/>
            <w:vAlign w:val="center"/>
          </w:tcPr>
          <w:p>
            <w:pPr>
              <w:spacing w:line="360" w:lineRule="auto"/>
              <w:jc w:val="center"/>
              <w:rPr>
                <w:rFonts w:ascii="宋体" w:hAnsi="宋体" w:cs="宋体"/>
              </w:rPr>
            </w:pPr>
            <w:r>
              <w:rPr>
                <w:rFonts w:hint="eastAsia" w:ascii="宋体" w:hAnsi="宋体" w:cs="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tcPr>
          <w:p>
            <w:pPr>
              <w:spacing w:line="360" w:lineRule="auto"/>
              <w:jc w:val="center"/>
              <w:rPr>
                <w:rFonts w:ascii="宋体" w:hAnsi="宋体" w:cs="宋体"/>
                <w:sz w:val="24"/>
                <w:szCs w:val="24"/>
              </w:rPr>
            </w:pPr>
            <w:r>
              <w:rPr>
                <w:rFonts w:hint="eastAsia" w:ascii="宋体" w:hAnsi="宋体" w:cs="宋体"/>
                <w:sz w:val="24"/>
                <w:szCs w:val="24"/>
              </w:rPr>
              <w:t>安全文明工地</w:t>
            </w:r>
          </w:p>
        </w:tc>
        <w:tc>
          <w:tcPr>
            <w:tcW w:w="5910" w:type="dxa"/>
          </w:tcPr>
          <w:p>
            <w:pPr>
              <w:spacing w:line="360" w:lineRule="auto"/>
              <w:jc w:val="left"/>
              <w:rPr>
                <w:rFonts w:ascii="宋体" w:hAnsi="宋体" w:cs="宋体"/>
                <w:sz w:val="24"/>
                <w:szCs w:val="24"/>
              </w:rPr>
            </w:pPr>
            <w:r>
              <w:rPr>
                <w:rFonts w:hint="eastAsia" w:ascii="宋体" w:hAnsi="宋体" w:cs="宋体"/>
                <w:sz w:val="24"/>
                <w:szCs w:val="24"/>
              </w:rPr>
              <w:t>(1)国家AAA级安全文明标准化工地；(2)省级安全文明工地；(3)市级安全文明工地</w:t>
            </w:r>
          </w:p>
        </w:tc>
        <w:tc>
          <w:tcPr>
            <w:tcW w:w="1253" w:type="dxa"/>
            <w:vAlign w:val="center"/>
          </w:tcPr>
          <w:p>
            <w:pPr>
              <w:spacing w:line="360" w:lineRule="auto"/>
              <w:jc w:val="center"/>
              <w:rPr>
                <w:rFonts w:ascii="宋体" w:hAnsi="宋体" w:cs="宋体"/>
              </w:rPr>
            </w:pPr>
            <w:r>
              <w:rPr>
                <w:rFonts w:hint="eastAsia" w:ascii="宋体" w:hAnsi="宋体" w:cs="宋体"/>
                <w:sz w:val="24"/>
                <w:szCs w:val="24"/>
              </w:rPr>
              <w:t>3年</w:t>
            </w:r>
          </w:p>
        </w:tc>
      </w:tr>
    </w:tbl>
    <w:p>
      <w:pPr>
        <w:spacing w:line="360" w:lineRule="auto"/>
        <w:rPr>
          <w:rFonts w:ascii="宋体" w:hAnsi="宋体" w:cs="宋体"/>
        </w:rPr>
      </w:pPr>
    </w:p>
    <w:p>
      <w:pPr>
        <w:spacing w:line="360" w:lineRule="auto"/>
        <w:rPr>
          <w:rFonts w:ascii="宋体" w:hAnsi="宋体" w:cs="宋体"/>
          <w:b/>
          <w:bCs/>
          <w:sz w:val="32"/>
          <w:szCs w:val="32"/>
        </w:rPr>
      </w:pPr>
      <w:r>
        <w:rPr>
          <w:rFonts w:hint="eastAsia" w:ascii="宋体" w:hAnsi="宋体" w:cs="宋体"/>
        </w:rPr>
        <w:br w:type="page"/>
      </w:r>
      <w:r>
        <w:rPr>
          <w:rFonts w:hint="eastAsia" w:ascii="宋体" w:hAnsi="宋体" w:cs="宋体"/>
          <w:b/>
          <w:bCs/>
          <w:sz w:val="32"/>
          <w:szCs w:val="32"/>
        </w:rPr>
        <w:t>附件2</w:t>
      </w:r>
    </w:p>
    <w:p>
      <w:pPr>
        <w:spacing w:line="360" w:lineRule="auto"/>
        <w:jc w:val="center"/>
        <w:rPr>
          <w:rFonts w:ascii="宋体" w:hAnsi="宋体" w:cs="宋体"/>
          <w:b/>
          <w:bCs/>
          <w:sz w:val="32"/>
          <w:szCs w:val="32"/>
        </w:rPr>
      </w:pPr>
      <w:r>
        <w:rPr>
          <w:rFonts w:hint="eastAsia" w:ascii="宋体" w:hAnsi="宋体" w:cs="宋体"/>
          <w:b/>
          <w:bCs/>
          <w:sz w:val="32"/>
          <w:szCs w:val="32"/>
        </w:rPr>
        <w:t>项目经理良好信用信息采集项</w:t>
      </w:r>
    </w:p>
    <w:tbl>
      <w:tblPr>
        <w:tblStyle w:val="1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3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09" w:type="dxa"/>
            <w:vAlign w:val="center"/>
          </w:tcPr>
          <w:p>
            <w:pPr>
              <w:spacing w:line="360" w:lineRule="auto"/>
              <w:jc w:val="center"/>
              <w:rPr>
                <w:rFonts w:ascii="宋体" w:hAnsi="宋体" w:cs="宋体"/>
                <w:sz w:val="24"/>
                <w:szCs w:val="24"/>
              </w:rPr>
            </w:pPr>
            <w:r>
              <w:rPr>
                <w:rFonts w:hint="eastAsia" w:ascii="宋体" w:hAnsi="宋体" w:cs="宋体"/>
                <w:sz w:val="24"/>
                <w:szCs w:val="24"/>
              </w:rPr>
              <w:t>信用类别</w:t>
            </w:r>
          </w:p>
        </w:tc>
        <w:tc>
          <w:tcPr>
            <w:tcW w:w="6379" w:type="dxa"/>
            <w:vAlign w:val="center"/>
          </w:tcPr>
          <w:p>
            <w:pPr>
              <w:spacing w:line="360" w:lineRule="auto"/>
              <w:jc w:val="center"/>
              <w:rPr>
                <w:rFonts w:ascii="宋体" w:hAnsi="宋体" w:cs="宋体"/>
                <w:sz w:val="24"/>
                <w:szCs w:val="24"/>
              </w:rPr>
            </w:pPr>
            <w:r>
              <w:rPr>
                <w:rFonts w:hint="eastAsia" w:ascii="宋体" w:hAnsi="宋体" w:cs="宋体"/>
                <w:sz w:val="24"/>
                <w:szCs w:val="24"/>
              </w:rPr>
              <w:t>良好信用</w:t>
            </w:r>
          </w:p>
        </w:tc>
        <w:tc>
          <w:tcPr>
            <w:tcW w:w="1134" w:type="dxa"/>
            <w:vAlign w:val="center"/>
          </w:tcPr>
          <w:p>
            <w:pPr>
              <w:spacing w:line="360" w:lineRule="auto"/>
              <w:jc w:val="center"/>
              <w:rPr>
                <w:rFonts w:ascii="宋体" w:hAnsi="宋体" w:cs="宋体"/>
                <w:sz w:val="24"/>
                <w:szCs w:val="24"/>
              </w:rPr>
            </w:pPr>
            <w:r>
              <w:rPr>
                <w:rFonts w:hint="eastAsia" w:ascii="宋体" w:hAnsi="宋体" w:cs="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奖励荣誉</w:t>
            </w:r>
          </w:p>
        </w:tc>
        <w:tc>
          <w:tcPr>
            <w:tcW w:w="6379" w:type="dxa"/>
          </w:tcPr>
          <w:p>
            <w:pPr>
              <w:widowControl/>
              <w:spacing w:line="360" w:lineRule="auto"/>
              <w:jc w:val="left"/>
              <w:rPr>
                <w:rFonts w:ascii="宋体" w:hAnsi="宋体" w:cs="宋体"/>
                <w:kern w:val="0"/>
                <w:sz w:val="24"/>
                <w:szCs w:val="24"/>
              </w:rPr>
            </w:pPr>
            <w:r>
              <w:rPr>
                <w:rFonts w:hint="eastAsia" w:ascii="宋体" w:hAnsi="宋体" w:cs="宋体"/>
                <w:kern w:val="0"/>
                <w:sz w:val="24"/>
                <w:szCs w:val="24"/>
              </w:rPr>
              <w:t>国家级奖项/荣誉(包括鲁班奖、詹天佑奖、梁思成奖、华夏建设科学技术奖、绿色建筑创新奖、全国建筑工程装饰奖、中国建筑工程“钢结构金奖”、工程项目管理优秀奖、工程总承包奖等)、国家AAA级安全文明工地奖。</w:t>
            </w:r>
          </w:p>
        </w:tc>
        <w:tc>
          <w:tcPr>
            <w:tcW w:w="1134" w:type="dxa"/>
          </w:tcPr>
          <w:p>
            <w:pPr>
              <w:spacing w:line="360" w:lineRule="auto"/>
              <w:jc w:val="center"/>
              <w:rPr>
                <w:rFonts w:ascii="宋体" w:hAnsi="宋体" w:cs="宋体"/>
                <w:sz w:val="24"/>
                <w:szCs w:val="24"/>
              </w:rPr>
            </w:pPr>
            <w:r>
              <w:rPr>
                <w:rFonts w:hint="eastAsia" w:ascii="宋体" w:hAnsi="宋体" w:cs="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vAlign w:val="center"/>
          </w:tcPr>
          <w:p>
            <w:pPr>
              <w:spacing w:line="360" w:lineRule="auto"/>
              <w:jc w:val="center"/>
              <w:rPr>
                <w:rFonts w:ascii="宋体" w:hAnsi="宋体" w:cs="宋体"/>
                <w:sz w:val="24"/>
                <w:szCs w:val="24"/>
              </w:rPr>
            </w:pPr>
          </w:p>
        </w:tc>
        <w:tc>
          <w:tcPr>
            <w:tcW w:w="6379" w:type="dxa"/>
          </w:tcPr>
          <w:p>
            <w:pPr>
              <w:spacing w:line="360" w:lineRule="auto"/>
              <w:jc w:val="left"/>
              <w:rPr>
                <w:rFonts w:ascii="宋体" w:hAnsi="宋体" w:cs="宋体"/>
                <w:sz w:val="24"/>
                <w:szCs w:val="24"/>
              </w:rPr>
            </w:pPr>
            <w:r>
              <w:rPr>
                <w:rFonts w:hint="eastAsia" w:ascii="宋体" w:hAnsi="宋体" w:cs="宋体"/>
                <w:sz w:val="24"/>
                <w:szCs w:val="24"/>
              </w:rPr>
              <w:t>省部级奖项/荣誉(中州杯等)、省安全文明标准化工地奖。</w:t>
            </w:r>
          </w:p>
        </w:tc>
        <w:tc>
          <w:tcPr>
            <w:tcW w:w="1134" w:type="dxa"/>
            <w:vAlign w:val="center"/>
          </w:tcPr>
          <w:p>
            <w:pPr>
              <w:spacing w:line="360" w:lineRule="auto"/>
              <w:jc w:val="center"/>
              <w:rPr>
                <w:rFonts w:ascii="宋体" w:hAnsi="宋体" w:cs="宋体"/>
              </w:rPr>
            </w:pPr>
            <w:r>
              <w:rPr>
                <w:rFonts w:hint="eastAsia" w:ascii="宋体" w:hAnsi="宋体" w:cs="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vAlign w:val="center"/>
          </w:tcPr>
          <w:p>
            <w:pPr>
              <w:spacing w:line="360" w:lineRule="auto"/>
              <w:jc w:val="center"/>
              <w:rPr>
                <w:rFonts w:ascii="宋体" w:hAnsi="宋体" w:cs="宋体"/>
                <w:sz w:val="24"/>
                <w:szCs w:val="24"/>
              </w:rPr>
            </w:pPr>
          </w:p>
        </w:tc>
        <w:tc>
          <w:tcPr>
            <w:tcW w:w="6379" w:type="dxa"/>
          </w:tcPr>
          <w:p>
            <w:pPr>
              <w:spacing w:line="360" w:lineRule="auto"/>
              <w:jc w:val="left"/>
              <w:rPr>
                <w:rFonts w:ascii="宋体" w:hAnsi="宋体" w:cs="宋体"/>
                <w:sz w:val="24"/>
                <w:szCs w:val="24"/>
              </w:rPr>
            </w:pPr>
            <w:r>
              <w:rPr>
                <w:rFonts w:hint="eastAsia" w:ascii="宋体" w:hAnsi="宋体" w:cs="宋体"/>
                <w:sz w:val="24"/>
                <w:szCs w:val="24"/>
              </w:rPr>
              <w:t>市级奖项/荣誉(商鼎杯等)、安全文明标准化工地奖。</w:t>
            </w:r>
          </w:p>
        </w:tc>
        <w:tc>
          <w:tcPr>
            <w:tcW w:w="1134" w:type="dxa"/>
            <w:vAlign w:val="center"/>
          </w:tcPr>
          <w:p>
            <w:pPr>
              <w:spacing w:line="360" w:lineRule="auto"/>
              <w:jc w:val="center"/>
              <w:rPr>
                <w:rFonts w:ascii="宋体" w:hAnsi="宋体" w:cs="宋体"/>
              </w:rPr>
            </w:pPr>
            <w:r>
              <w:rPr>
                <w:rFonts w:hint="eastAsia" w:ascii="宋体" w:hAnsi="宋体" w:cs="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科技创新</w:t>
            </w:r>
          </w:p>
          <w:p>
            <w:pPr>
              <w:spacing w:line="360" w:lineRule="auto"/>
              <w:jc w:val="center"/>
              <w:rPr>
                <w:rFonts w:ascii="宋体" w:hAnsi="宋体" w:cs="宋体"/>
                <w:sz w:val="24"/>
                <w:szCs w:val="24"/>
              </w:rPr>
            </w:pPr>
            <w:r>
              <w:rPr>
                <w:rFonts w:hint="eastAsia" w:ascii="宋体" w:hAnsi="宋体" w:cs="宋体"/>
                <w:sz w:val="24"/>
                <w:szCs w:val="24"/>
              </w:rPr>
              <w:t>（建筑类）</w:t>
            </w:r>
          </w:p>
        </w:tc>
        <w:tc>
          <w:tcPr>
            <w:tcW w:w="6379" w:type="dxa"/>
          </w:tcPr>
          <w:p>
            <w:pPr>
              <w:spacing w:line="360" w:lineRule="auto"/>
              <w:jc w:val="left"/>
              <w:rPr>
                <w:rFonts w:ascii="宋体" w:hAnsi="宋体" w:cs="宋体"/>
                <w:sz w:val="24"/>
                <w:szCs w:val="24"/>
              </w:rPr>
            </w:pPr>
            <w:r>
              <w:rPr>
                <w:rFonts w:hint="eastAsia" w:ascii="宋体" w:hAnsi="宋体" w:cs="宋体"/>
                <w:sz w:val="24"/>
                <w:szCs w:val="24"/>
              </w:rPr>
              <w:t>发明专利，包括发明型专利、实用新型专利。</w:t>
            </w:r>
          </w:p>
        </w:tc>
        <w:tc>
          <w:tcPr>
            <w:tcW w:w="1134" w:type="dxa"/>
            <w:vAlign w:val="center"/>
          </w:tcPr>
          <w:p>
            <w:pPr>
              <w:spacing w:line="360" w:lineRule="auto"/>
              <w:jc w:val="center"/>
              <w:rPr>
                <w:rFonts w:ascii="宋体" w:hAnsi="宋体" w:cs="宋体"/>
              </w:rPr>
            </w:pPr>
            <w:r>
              <w:rPr>
                <w:rFonts w:hint="eastAsia" w:ascii="宋体" w:hAnsi="宋体" w:cs="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tcPr>
          <w:p>
            <w:pPr>
              <w:spacing w:line="360" w:lineRule="auto"/>
              <w:jc w:val="center"/>
              <w:rPr>
                <w:rFonts w:ascii="宋体" w:hAnsi="宋体" w:cs="宋体"/>
                <w:sz w:val="24"/>
                <w:szCs w:val="24"/>
              </w:rPr>
            </w:pPr>
          </w:p>
        </w:tc>
        <w:tc>
          <w:tcPr>
            <w:tcW w:w="6379" w:type="dxa"/>
          </w:tcPr>
          <w:p>
            <w:pPr>
              <w:spacing w:line="360" w:lineRule="auto"/>
              <w:jc w:val="left"/>
              <w:rPr>
                <w:rFonts w:ascii="宋体" w:hAnsi="宋体" w:cs="宋体"/>
                <w:sz w:val="24"/>
                <w:szCs w:val="24"/>
              </w:rPr>
            </w:pPr>
            <w:r>
              <w:rPr>
                <w:rFonts w:hint="eastAsia" w:ascii="宋体" w:hAnsi="宋体" w:cs="宋体"/>
                <w:sz w:val="24"/>
                <w:szCs w:val="24"/>
              </w:rPr>
              <w:t>参与工法编制，包括国家级和省部级。</w:t>
            </w:r>
          </w:p>
        </w:tc>
        <w:tc>
          <w:tcPr>
            <w:tcW w:w="1134" w:type="dxa"/>
            <w:vAlign w:val="center"/>
          </w:tcPr>
          <w:p>
            <w:pPr>
              <w:spacing w:line="360" w:lineRule="auto"/>
              <w:jc w:val="center"/>
              <w:rPr>
                <w:rFonts w:ascii="宋体" w:hAnsi="宋体" w:cs="宋体"/>
              </w:rPr>
            </w:pPr>
            <w:r>
              <w:rPr>
                <w:rFonts w:hint="eastAsia" w:ascii="宋体" w:hAnsi="宋体" w:cs="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tcPr>
          <w:p>
            <w:pPr>
              <w:spacing w:line="360" w:lineRule="auto"/>
              <w:rPr>
                <w:rFonts w:ascii="宋体" w:hAnsi="宋体" w:cs="宋体"/>
                <w:sz w:val="24"/>
                <w:szCs w:val="24"/>
              </w:rPr>
            </w:pPr>
          </w:p>
        </w:tc>
        <w:tc>
          <w:tcPr>
            <w:tcW w:w="6379" w:type="dxa"/>
          </w:tcPr>
          <w:p>
            <w:pPr>
              <w:spacing w:line="360" w:lineRule="auto"/>
              <w:jc w:val="left"/>
              <w:rPr>
                <w:rFonts w:ascii="宋体" w:hAnsi="宋体" w:cs="宋体"/>
                <w:sz w:val="24"/>
                <w:szCs w:val="24"/>
              </w:rPr>
            </w:pPr>
            <w:r>
              <w:rPr>
                <w:rFonts w:hint="eastAsia" w:ascii="宋体" w:hAnsi="宋体" w:cs="宋体"/>
                <w:sz w:val="24"/>
                <w:szCs w:val="24"/>
              </w:rPr>
              <w:t>参与工程建设标准、定额制定，包括国家或行业标准、定额地方(省级)标准、定额。</w:t>
            </w:r>
          </w:p>
        </w:tc>
        <w:tc>
          <w:tcPr>
            <w:tcW w:w="1134" w:type="dxa"/>
            <w:vAlign w:val="center"/>
          </w:tcPr>
          <w:p>
            <w:pPr>
              <w:spacing w:line="360" w:lineRule="auto"/>
              <w:jc w:val="center"/>
              <w:rPr>
                <w:rFonts w:ascii="宋体" w:hAnsi="宋体" w:cs="宋体"/>
              </w:rPr>
            </w:pPr>
            <w:r>
              <w:rPr>
                <w:rFonts w:hint="eastAsia" w:ascii="宋体" w:hAnsi="宋体" w:cs="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tcPr>
          <w:p>
            <w:pPr>
              <w:spacing w:line="360" w:lineRule="auto"/>
              <w:rPr>
                <w:rFonts w:ascii="宋体" w:hAnsi="宋体" w:cs="宋体"/>
                <w:sz w:val="24"/>
                <w:szCs w:val="24"/>
              </w:rPr>
            </w:pPr>
          </w:p>
        </w:tc>
        <w:tc>
          <w:tcPr>
            <w:tcW w:w="6379" w:type="dxa"/>
          </w:tcPr>
          <w:p>
            <w:pPr>
              <w:spacing w:line="360" w:lineRule="auto"/>
              <w:jc w:val="left"/>
              <w:rPr>
                <w:rFonts w:ascii="宋体" w:hAnsi="宋体" w:cs="宋体"/>
                <w:sz w:val="24"/>
                <w:szCs w:val="24"/>
              </w:rPr>
            </w:pPr>
            <w:r>
              <w:rPr>
                <w:rFonts w:hint="eastAsia" w:ascii="宋体" w:hAnsi="宋体" w:cs="宋体"/>
                <w:sz w:val="24"/>
                <w:szCs w:val="24"/>
              </w:rPr>
              <w:t>个人获得科技进步奖，包括国家级科技进步奖一等奖、二等奖，省级科技进步奖一等奖、二等奖、厅级科技进步奖等。</w:t>
            </w:r>
          </w:p>
        </w:tc>
        <w:tc>
          <w:tcPr>
            <w:tcW w:w="1134" w:type="dxa"/>
            <w:vAlign w:val="center"/>
          </w:tcPr>
          <w:p>
            <w:pPr>
              <w:spacing w:line="360" w:lineRule="auto"/>
              <w:jc w:val="center"/>
              <w:rPr>
                <w:rFonts w:ascii="宋体" w:hAnsi="宋体" w:cs="宋体"/>
              </w:rPr>
            </w:pPr>
            <w:r>
              <w:rPr>
                <w:rFonts w:hint="eastAsia" w:ascii="宋体" w:hAnsi="宋体" w:cs="宋体"/>
                <w:sz w:val="24"/>
                <w:szCs w:val="24"/>
              </w:rPr>
              <w:t>3年</w:t>
            </w:r>
          </w:p>
        </w:tc>
      </w:tr>
    </w:tbl>
    <w:p>
      <w:pPr>
        <w:spacing w:line="360" w:lineRule="auto"/>
        <w:rPr>
          <w:rFonts w:ascii="宋体" w:hAnsi="宋体" w:cs="宋体"/>
        </w:rPr>
      </w:pPr>
    </w:p>
    <w:p>
      <w:pPr>
        <w:spacing w:line="360" w:lineRule="auto"/>
        <w:ind w:firstLine="482" w:firstLineChars="200"/>
        <w:jc w:val="center"/>
        <w:rPr>
          <w:rFonts w:ascii="宋体" w:hAnsi="宋体" w:cs="宋体"/>
          <w:b/>
          <w:bCs/>
          <w:kern w:val="0"/>
          <w:sz w:val="36"/>
          <w:szCs w:val="36"/>
        </w:rPr>
      </w:pPr>
      <w:bookmarkStart w:id="315" w:name="_Toc26486"/>
      <w:bookmarkEnd w:id="315"/>
      <w:r>
        <w:rPr>
          <w:rFonts w:hint="eastAsia" w:ascii="宋体" w:hAnsi="宋体" w:cs="宋体"/>
          <w:b/>
          <w:bCs/>
          <w:kern w:val="0"/>
          <w:sz w:val="24"/>
          <w:szCs w:val="24"/>
        </w:rPr>
        <w:br w:type="page"/>
      </w:r>
      <w:bookmarkStart w:id="316" w:name="_Toc8159"/>
      <w:bookmarkEnd w:id="316"/>
      <w:r>
        <w:rPr>
          <w:rFonts w:hint="eastAsia" w:ascii="宋体" w:hAnsi="宋体" w:cs="宋体"/>
          <w:b/>
          <w:bCs/>
          <w:kern w:val="0"/>
          <w:sz w:val="36"/>
          <w:szCs w:val="36"/>
        </w:rPr>
        <w:t>第四章合同条款及格式（参考）</w:t>
      </w:r>
    </w:p>
    <w:p>
      <w:pPr>
        <w:spacing w:line="360" w:lineRule="auto"/>
        <w:jc w:val="right"/>
        <w:rPr>
          <w:rFonts w:ascii="宋体" w:hAnsi="宋体" w:cs="宋体"/>
          <w:color w:val="000000"/>
          <w:sz w:val="32"/>
          <w:szCs w:val="32"/>
        </w:rPr>
      </w:pPr>
      <w:r>
        <w:rPr>
          <w:rFonts w:hint="eastAsia" w:ascii="宋体" w:hAnsi="宋体" w:cs="宋体"/>
          <w:color w:val="000000"/>
          <w:sz w:val="32"/>
          <w:szCs w:val="32"/>
        </w:rPr>
        <w:t>（GF—2017—0201）</w:t>
      </w:r>
    </w:p>
    <w:p>
      <w:pPr>
        <w:spacing w:line="360" w:lineRule="auto"/>
        <w:rPr>
          <w:rFonts w:ascii="宋体" w:hAnsi="宋体" w:cs="宋体"/>
          <w:b/>
          <w:bCs/>
          <w:color w:val="000000"/>
        </w:rPr>
      </w:pPr>
    </w:p>
    <w:p>
      <w:pPr>
        <w:spacing w:line="360" w:lineRule="auto"/>
        <w:jc w:val="center"/>
        <w:rPr>
          <w:rFonts w:ascii="宋体" w:hAnsi="宋体" w:cs="宋体"/>
          <w:b/>
          <w:bCs/>
          <w:color w:val="000000"/>
          <w:sz w:val="52"/>
          <w:szCs w:val="52"/>
        </w:rPr>
      </w:pPr>
    </w:p>
    <w:p>
      <w:pPr>
        <w:spacing w:line="360" w:lineRule="auto"/>
        <w:jc w:val="center"/>
        <w:rPr>
          <w:rFonts w:ascii="宋体" w:hAnsi="宋体" w:cs="宋体"/>
          <w:b/>
          <w:bCs/>
          <w:color w:val="000000"/>
          <w:sz w:val="72"/>
          <w:szCs w:val="72"/>
        </w:rPr>
      </w:pPr>
      <w:r>
        <w:rPr>
          <w:rFonts w:hint="eastAsia" w:ascii="宋体" w:hAnsi="宋体" w:cs="宋体"/>
          <w:b/>
          <w:bCs/>
          <w:color w:val="000000"/>
          <w:sz w:val="72"/>
          <w:szCs w:val="72"/>
        </w:rPr>
        <w:t>建设工程施工合同</w:t>
      </w:r>
    </w:p>
    <w:p>
      <w:pPr>
        <w:spacing w:line="360" w:lineRule="auto"/>
        <w:jc w:val="center"/>
        <w:rPr>
          <w:rFonts w:ascii="宋体" w:hAnsi="宋体" w:cs="宋体"/>
          <w:b/>
          <w:bCs/>
          <w:color w:val="000000"/>
          <w:sz w:val="52"/>
          <w:szCs w:val="52"/>
        </w:rPr>
      </w:pPr>
      <w:r>
        <w:rPr>
          <w:rFonts w:hint="eastAsia" w:ascii="宋体" w:hAnsi="宋体" w:cs="宋体"/>
          <w:b/>
          <w:bCs/>
          <w:color w:val="000000"/>
          <w:sz w:val="52"/>
          <w:szCs w:val="52"/>
        </w:rPr>
        <w:t>（示范文本）</w:t>
      </w:r>
    </w:p>
    <w:p>
      <w:pPr>
        <w:spacing w:line="360" w:lineRule="auto"/>
        <w:jc w:val="center"/>
        <w:rPr>
          <w:rFonts w:ascii="宋体" w:hAnsi="宋体" w:cs="宋体"/>
          <w:b/>
          <w:bCs/>
          <w:color w:val="000000"/>
          <w:sz w:val="52"/>
          <w:szCs w:val="52"/>
        </w:rPr>
      </w:pPr>
    </w:p>
    <w:p>
      <w:pPr>
        <w:spacing w:line="360" w:lineRule="auto"/>
        <w:jc w:val="center"/>
        <w:rPr>
          <w:rFonts w:ascii="宋体" w:hAnsi="宋体" w:cs="宋体"/>
          <w:b/>
          <w:bCs/>
          <w:color w:val="000000"/>
          <w:sz w:val="72"/>
          <w:szCs w:val="72"/>
        </w:rPr>
      </w:pPr>
    </w:p>
    <w:p>
      <w:pPr>
        <w:spacing w:line="360" w:lineRule="auto"/>
        <w:jc w:val="center"/>
        <w:rPr>
          <w:rFonts w:ascii="宋体" w:hAnsi="宋体" w:cs="宋体"/>
          <w:b/>
          <w:bCs/>
          <w:color w:val="000000"/>
          <w:sz w:val="28"/>
          <w:szCs w:val="28"/>
        </w:rPr>
      </w:pPr>
    </w:p>
    <w:p>
      <w:pPr>
        <w:pStyle w:val="2"/>
        <w:spacing w:line="360" w:lineRule="auto"/>
        <w:rPr>
          <w:rFonts w:ascii="宋体" w:hAnsi="宋体" w:cs="宋体"/>
          <w:color w:val="000000"/>
          <w:sz w:val="28"/>
          <w:szCs w:val="28"/>
        </w:rPr>
      </w:pPr>
    </w:p>
    <w:p>
      <w:pPr>
        <w:spacing w:line="360" w:lineRule="auto"/>
      </w:pPr>
    </w:p>
    <w:p>
      <w:pPr>
        <w:spacing w:line="360" w:lineRule="auto"/>
        <w:jc w:val="center"/>
        <w:rPr>
          <w:rFonts w:ascii="宋体" w:hAnsi="宋体" w:cs="宋体"/>
          <w:b/>
          <w:bCs/>
          <w:color w:val="000000"/>
          <w:sz w:val="28"/>
          <w:szCs w:val="28"/>
        </w:rPr>
      </w:pPr>
    </w:p>
    <w:p>
      <w:pPr>
        <w:spacing w:line="360" w:lineRule="auto"/>
        <w:jc w:val="center"/>
        <w:rPr>
          <w:rFonts w:ascii="宋体" w:hAnsi="宋体" w:cs="宋体"/>
          <w:b/>
          <w:bCs/>
          <w:color w:val="000000"/>
          <w:sz w:val="28"/>
          <w:szCs w:val="28"/>
        </w:rPr>
      </w:pPr>
    </w:p>
    <w:p>
      <w:pPr>
        <w:spacing w:line="360" w:lineRule="auto"/>
        <w:jc w:val="center"/>
        <w:rPr>
          <w:rFonts w:ascii="宋体" w:hAnsi="宋体" w:cs="宋体"/>
          <w:b/>
          <w:bCs/>
          <w:color w:val="000000"/>
          <w:sz w:val="28"/>
          <w:szCs w:val="28"/>
        </w:rPr>
      </w:pPr>
    </w:p>
    <w:p>
      <w:pPr>
        <w:spacing w:line="360" w:lineRule="auto"/>
        <w:jc w:val="center"/>
        <w:rPr>
          <w:rFonts w:ascii="宋体" w:hAnsi="宋体" w:cs="宋体"/>
          <w:b/>
          <w:bCs/>
          <w:color w:val="000000"/>
          <w:sz w:val="28"/>
          <w:szCs w:val="28"/>
        </w:rPr>
      </w:pPr>
    </w:p>
    <w:p>
      <w:pPr>
        <w:spacing w:line="360" w:lineRule="auto"/>
        <w:ind w:right="2719" w:rightChars="1295"/>
        <w:jc w:val="center"/>
        <w:rPr>
          <w:rFonts w:ascii="宋体" w:hAnsi="宋体" w:cs="宋体"/>
          <w:b/>
          <w:bCs/>
          <w:color w:val="000000"/>
          <w:sz w:val="32"/>
          <w:szCs w:val="32"/>
        </w:rPr>
      </w:pPr>
      <w:r>
        <w:rPr>
          <w:rFonts w:hint="eastAsia" w:ascii="宋体" w:hAnsi="宋体" w:cs="宋体"/>
        </w:rPr>
        <w:drawing>
          <wp:anchor distT="0" distB="0" distL="114300" distR="114300" simplePos="0" relativeHeight="251660288" behindDoc="0" locked="0" layoutInCell="1" allowOverlap="1">
            <wp:simplePos x="0" y="0"/>
            <wp:positionH relativeFrom="column">
              <wp:posOffset>3857625</wp:posOffset>
            </wp:positionH>
            <wp:positionV relativeFrom="paragraph">
              <wp:posOffset>96520</wp:posOffset>
            </wp:positionV>
            <wp:extent cx="733425" cy="466725"/>
            <wp:effectExtent l="0" t="0" r="9525" b="9525"/>
            <wp:wrapSquare wrapText="bothSides"/>
            <wp:docPr id="1" name="图片 1" descr="wpsCC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CC8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33425" cy="466725"/>
                    </a:xfrm>
                    <a:prstGeom prst="rect">
                      <a:avLst/>
                    </a:prstGeom>
                    <a:noFill/>
                  </pic:spPr>
                </pic:pic>
              </a:graphicData>
            </a:graphic>
          </wp:anchor>
        </w:drawing>
      </w:r>
      <w:r>
        <w:rPr>
          <w:rFonts w:hint="eastAsia" w:ascii="宋体" w:hAnsi="宋体" w:cs="宋体"/>
          <w:b/>
          <w:bCs/>
          <w:color w:val="000000"/>
          <w:sz w:val="32"/>
          <w:szCs w:val="32"/>
        </w:rPr>
        <w:t>住房城乡建设部</w:t>
      </w:r>
    </w:p>
    <w:p>
      <w:pPr>
        <w:spacing w:line="360" w:lineRule="auto"/>
        <w:ind w:right="2719" w:rightChars="1295"/>
        <w:jc w:val="center"/>
        <w:rPr>
          <w:rFonts w:ascii="宋体" w:hAnsi="宋体" w:cs="宋体"/>
          <w:b/>
          <w:bCs/>
          <w:color w:val="000000"/>
          <w:sz w:val="32"/>
          <w:szCs w:val="32"/>
        </w:rPr>
      </w:pPr>
      <w:r>
        <w:rPr>
          <w:rFonts w:hint="eastAsia" w:ascii="宋体" w:hAnsi="宋体" w:cs="宋体"/>
          <w:b/>
          <w:bCs/>
          <w:color w:val="000000"/>
          <w:sz w:val="32"/>
          <w:szCs w:val="32"/>
        </w:rPr>
        <w:t>国家工商行政管理总局</w:t>
      </w:r>
    </w:p>
    <w:p>
      <w:pPr>
        <w:autoSpaceDE w:val="0"/>
        <w:autoSpaceDN w:val="0"/>
        <w:spacing w:afterLines="50" w:line="360" w:lineRule="auto"/>
        <w:jc w:val="center"/>
        <w:outlineLvl w:val="0"/>
        <w:rPr>
          <w:rFonts w:ascii="宋体" w:hAnsi="宋体" w:cs="宋体"/>
          <w:b/>
          <w:bCs/>
          <w:kern w:val="0"/>
          <w:sz w:val="36"/>
          <w:szCs w:val="36"/>
        </w:rPr>
      </w:pPr>
      <w:r>
        <w:rPr>
          <w:rFonts w:hint="eastAsia" w:ascii="宋体" w:hAnsi="宋体" w:cs="宋体"/>
          <w:b/>
          <w:bCs/>
          <w:kern w:val="0"/>
          <w:sz w:val="36"/>
          <w:szCs w:val="36"/>
        </w:rPr>
        <w:br w:type="page"/>
      </w:r>
      <w:r>
        <w:rPr>
          <w:rFonts w:hint="eastAsia" w:ascii="宋体" w:hAnsi="宋体" w:cs="宋体"/>
          <w:b/>
          <w:bCs/>
          <w:kern w:val="0"/>
          <w:sz w:val="36"/>
          <w:szCs w:val="36"/>
        </w:rPr>
        <w:t>第五章工程量清单</w:t>
      </w:r>
    </w:p>
    <w:p>
      <w:pPr>
        <w:pStyle w:val="5"/>
        <w:spacing w:before="0" w:beforeAutospacing="0" w:after="0" w:line="360" w:lineRule="auto"/>
        <w:jc w:val="left"/>
        <w:rPr>
          <w:rFonts w:ascii="宋体" w:hAnsi="宋体" w:cs="宋体"/>
          <w:color w:val="000000"/>
          <w:kern w:val="2"/>
          <w:sz w:val="28"/>
          <w:szCs w:val="22"/>
        </w:rPr>
      </w:pPr>
      <w:r>
        <w:rPr>
          <w:rFonts w:hint="eastAsia" w:ascii="宋体" w:hAnsi="宋体" w:cs="宋体"/>
          <w:color w:val="000000"/>
          <w:kern w:val="2"/>
          <w:sz w:val="28"/>
          <w:szCs w:val="22"/>
        </w:rPr>
        <w:t>1、工程量清单说明</w:t>
      </w:r>
    </w:p>
    <w:p>
      <w:pPr>
        <w:pStyle w:val="5"/>
        <w:tabs>
          <w:tab w:val="left" w:pos="4366"/>
        </w:tabs>
        <w:spacing w:before="0" w:beforeAutospacing="0" w:after="0" w:line="360" w:lineRule="auto"/>
        <w:ind w:firstLine="484"/>
        <w:rPr>
          <w:rFonts w:ascii="宋体" w:hAnsi="宋体" w:cs="宋体"/>
          <w:kern w:val="2"/>
          <w:sz w:val="24"/>
          <w:szCs w:val="24"/>
        </w:rPr>
      </w:pPr>
      <w:r>
        <w:rPr>
          <w:rFonts w:hint="eastAsia" w:ascii="宋体" w:hAnsi="宋体" w:cs="宋体"/>
          <w:color w:val="000000"/>
          <w:kern w:val="2"/>
          <w:sz w:val="24"/>
          <w:szCs w:val="21"/>
        </w:rPr>
        <w:t>1.1本工程量清单是依据中华人民共和国国家标准《建设工程工程量清单计价规范》（以下简称“计价规范")以及招标文件中包括的图纸等编制。计价规范中规定的工程量计算规则中没有的子目，应在本章第1. 4 款约定； 计价规范中规定的工程量计算规则中没有且本章第 l. 4 款也未约定的，双方协商确定；协商不成的， 可向省级或行业工程造价管理机构申请裁定或按照有合同约束力的图纸所标示尺寸的理论净晕计算。计显采用中华人民共和国法定  的基本计量单位。</w:t>
      </w:r>
    </w:p>
    <w:p>
      <w:pPr>
        <w:pStyle w:val="5"/>
        <w:tabs>
          <w:tab w:val="left" w:pos="4366"/>
        </w:tabs>
        <w:spacing w:before="0" w:beforeAutospacing="0" w:after="0" w:line="360" w:lineRule="auto"/>
        <w:ind w:firstLine="484"/>
        <w:rPr>
          <w:rFonts w:ascii="宋体" w:hAnsi="宋体" w:cs="宋体"/>
          <w:kern w:val="2"/>
          <w:sz w:val="24"/>
          <w:szCs w:val="24"/>
        </w:rPr>
      </w:pPr>
      <w:r>
        <w:rPr>
          <w:rFonts w:hint="eastAsia" w:ascii="宋体" w:hAnsi="宋体" w:cs="宋体"/>
          <w:kern w:val="2"/>
          <w:sz w:val="24"/>
          <w:szCs w:val="24"/>
        </w:rPr>
        <w:t>1.2 本工程量清单应与招标文件中的投标人 须知、通用合同条款、专用合同条款、技术标准和要求及图纸等章节内容一起阅读和理解。</w:t>
      </w:r>
    </w:p>
    <w:p>
      <w:pPr>
        <w:pStyle w:val="5"/>
        <w:spacing w:before="0" w:beforeAutospacing="0" w:after="0" w:line="360" w:lineRule="auto"/>
        <w:ind w:firstLine="481"/>
        <w:rPr>
          <w:rFonts w:ascii="宋体" w:hAnsi="宋体" w:cs="宋体"/>
          <w:kern w:val="2"/>
          <w:sz w:val="24"/>
          <w:szCs w:val="24"/>
        </w:rPr>
      </w:pPr>
      <w:r>
        <w:rPr>
          <w:rFonts w:hint="eastAsia" w:ascii="宋体" w:hAnsi="宋体" w:cs="宋体"/>
          <w:kern w:val="2"/>
          <w:sz w:val="24"/>
          <w:szCs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pStyle w:val="22"/>
        <w:tabs>
          <w:tab w:val="left" w:pos="881"/>
          <w:tab w:val="left" w:pos="4064"/>
          <w:tab w:val="left" w:pos="8839"/>
          <w:tab w:val="left" w:pos="9324"/>
        </w:tabs>
        <w:spacing w:line="360" w:lineRule="auto"/>
        <w:ind w:left="420" w:leftChars="200" w:firstLine="0" w:firstLineChars="0"/>
        <w:jc w:val="left"/>
        <w:rPr>
          <w:rFonts w:ascii="宋体" w:hAnsi="宋体" w:cs="宋体"/>
          <w:sz w:val="24"/>
          <w:szCs w:val="24"/>
        </w:rPr>
      </w:pPr>
      <w:r>
        <w:rPr>
          <w:rFonts w:hint="eastAsia" w:ascii="宋体" w:hAnsi="宋体" w:cs="宋体"/>
          <w:sz w:val="24"/>
          <w:szCs w:val="24"/>
        </w:rPr>
        <w:t>1.4 补充子目的子目特征、计量单位、工程量计算规则及工作内容说明如下：本工程使用《建设工程工程量清单计价规范》CGB50500-2013)</w:t>
      </w:r>
    </w:p>
    <w:p>
      <w:pPr>
        <w:pStyle w:val="22"/>
        <w:tabs>
          <w:tab w:val="left" w:pos="880"/>
        </w:tabs>
        <w:spacing w:line="360" w:lineRule="auto"/>
        <w:ind w:left="420" w:leftChars="200" w:firstLine="0" w:firstLineChars="0"/>
        <w:jc w:val="left"/>
        <w:rPr>
          <w:rFonts w:ascii="宋体" w:hAnsi="宋体" w:cs="宋体"/>
          <w:sz w:val="24"/>
          <w:szCs w:val="24"/>
        </w:rPr>
      </w:pPr>
      <w:r>
        <w:rPr>
          <w:rFonts w:hint="eastAsia" w:ascii="宋体" w:hAnsi="宋体" w:cs="宋体"/>
          <w:sz w:val="24"/>
          <w:szCs w:val="24"/>
        </w:rPr>
        <w:t>1.5 本条第 1. 1 款中约定的计量和计价规则适用千合同履约过程中工程量计量与价款支付、工程变更、索赔和工程结算。</w:t>
      </w:r>
    </w:p>
    <w:p>
      <w:pPr>
        <w:pStyle w:val="22"/>
        <w:tabs>
          <w:tab w:val="left" w:pos="882"/>
        </w:tabs>
        <w:spacing w:line="360" w:lineRule="auto"/>
        <w:ind w:left="420" w:leftChars="200" w:firstLine="0" w:firstLineChars="0"/>
        <w:jc w:val="left"/>
        <w:rPr>
          <w:rFonts w:ascii="宋体" w:hAnsi="宋体" w:cs="宋体"/>
          <w:sz w:val="24"/>
          <w:szCs w:val="24"/>
        </w:rPr>
      </w:pPr>
      <w:r>
        <w:rPr>
          <w:rFonts w:hint="eastAsia" w:ascii="宋体" w:hAnsi="宋体" w:cs="宋体"/>
          <w:sz w:val="24"/>
          <w:szCs w:val="24"/>
        </w:rPr>
        <w:t>1.6 本条与下述第2 条和第3 条的说明内容是构成合同文件的已标价工程辇清单的组成部分。</w:t>
      </w:r>
    </w:p>
    <w:p>
      <w:pPr>
        <w:spacing w:line="360" w:lineRule="auto"/>
        <w:jc w:val="left"/>
        <w:rPr>
          <w:rFonts w:ascii="宋体" w:hAnsi="宋体" w:cs="宋体"/>
          <w:sz w:val="28"/>
          <w:szCs w:val="28"/>
        </w:rPr>
      </w:pPr>
      <w:r>
        <w:rPr>
          <w:rFonts w:hint="eastAsia" w:ascii="宋体" w:hAnsi="宋体" w:cs="宋体"/>
          <w:sz w:val="28"/>
          <w:szCs w:val="28"/>
        </w:rPr>
        <w:t>2、投标报价说明</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2.1投标报价应根据招标文件中的有关计价要求，并按照下列依据自主报价。</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（1）本招标文件；</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（2）《建设工程工程量清单计价规范》；</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（3）国家或省级、行业建设主管部门颁发的计价办法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（4）企业定额，国家或省级、行业建设主管部门颁发的计价定额；</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（5）招标文件（包括工程量清单）的澄清、补充和修改文件；</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（6）建设工程设计文件及相关资料；</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（7）施工现场情况、工程特点及拟定的投标施工组织设计或施工方案；</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（8）与建设项目相关的标准、规定等技术资料；</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（9）市场价格信息或工程造价管理机构发布的工程造价信息；</w:t>
      </w:r>
    </w:p>
    <w:p>
      <w:pPr>
        <w:pStyle w:val="2"/>
        <w:spacing w:before="0" w:after="0" w:line="360" w:lineRule="auto"/>
        <w:ind w:firstLine="480" w:firstLineChars="200"/>
        <w:rPr>
          <w:sz w:val="40"/>
          <w:szCs w:val="40"/>
        </w:rPr>
      </w:pPr>
      <w:r>
        <w:rPr>
          <w:rFonts w:hint="eastAsia" w:ascii="宋体" w:hAnsi="宋体" w:cs="宋体"/>
          <w:b w:val="0"/>
          <w:bCs w:val="0"/>
          <w:sz w:val="24"/>
          <w:szCs w:val="24"/>
        </w:rPr>
        <w:t>（10）其他的相关资料。</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2.2 工程量清单中的每一子目须填入单价或价格，且只允许有一个报价。</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2.3 工程量清单中标价的单价或金额，应包括所需人工费、材料费、施工机械使用费和管理费及利润， 以及一定范围内的风险费用。所谓“一定范围内的风险”是指合同约定的风险。</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2.4 已标价工程量清单中投标人没有填入单价或价格的子目，其费用视为己分摊在工程量清单中其他已标价的相关子目的单价或价格之中。</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2.5  "投标报价汇总表” 中的投标总价由分部分项工程费、措施项目费、其他项目费、规费和税金组成，并且“投标报价汇总表”中的投标总价应当与构成已标价工程量清单的分 部分项工程费、措施项目费、其他项目费、规费、税金的合计金额一致。</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2.6分部分项工程项目按下列要求报价：</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2.6.1分部分项工程量清单计价应依据计价规范中关于综合单价的组成内容确定报价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2.6.2如果分部分项工程量清单中涉及“材料和工程设备暂估单价表”中列出的材料和工程设备，则按照本节第3.3.2项的报价原则，将该类材料和工程设备的暂估单价本身以及除对应的规费及税金以外的费用计入分部分项工程量单清相应子目的综合单价。</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2.6.3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将应该类材料和工程设备的安装、安装所需要的辅助材料、安装损耗以及其他必要的辅助工作及其对应的管理费及利润计入分部 分项工程量清单相应子目的综合单价，并其他项目清单报价中计取与合同约定服务内容相对 应的总承包服务费。</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2.6.4 "分部分项工程量清单与计价表”所列各子目的综合单价组成中，各子目的人工、材料和机械台班消耗量由投标人按照其自身情况做充分的、竞争性考虑。材料消耗量包括损 耗量。</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2.6.5 投标人在投标文件中提交并构成合同文件的“主要材料和工程设备选用表” 中所列的材料和工程设备的价格是指此类材料和工程设备到达施工现场指定堆放地点的落地价格，即包括采购、包装、运输、装卸、堆放等到达施工现场指定落地或堆放地点之前的全部费，但不包括落地之后发生的仓储、保管、库损以及从堆放地点运至安装地点二的次搬运 费用。“主要材料和工程设备选用表”中所列材料和工程设备的价格应与构成综合单价相应材料或工程设备的价格一致。落地之后发生的仓储、保管、库损以及从堆放地点运至安装地点的二次搬运等其他费用均应在投标报价考中虑。</w:t>
      </w:r>
    </w:p>
    <w:p>
      <w:pPr>
        <w:spacing w:line="360" w:lineRule="auto"/>
        <w:ind w:firstLine="240" w:firstLineChars="100"/>
        <w:jc w:val="left"/>
        <w:rPr>
          <w:rFonts w:ascii="宋体" w:hAnsi="宋体" w:cs="宋体"/>
          <w:sz w:val="24"/>
          <w:szCs w:val="24"/>
        </w:rPr>
      </w:pPr>
      <w:r>
        <w:rPr>
          <w:rFonts w:hint="eastAsia" w:ascii="宋体" w:hAnsi="宋体" w:cs="宋体"/>
          <w:sz w:val="24"/>
          <w:szCs w:val="24"/>
        </w:rPr>
        <w:t>2.7措施项目按下列要求报价：</w:t>
      </w:r>
    </w:p>
    <w:p>
      <w:pPr>
        <w:pStyle w:val="5"/>
        <w:tabs>
          <w:tab w:val="left" w:pos="7255"/>
        </w:tabs>
        <w:spacing w:before="0" w:beforeAutospacing="0" w:after="0" w:line="360" w:lineRule="auto"/>
        <w:ind w:firstLine="240" w:firstLineChars="100"/>
        <w:rPr>
          <w:rFonts w:ascii="宋体" w:hAnsi="宋体" w:cs="宋体"/>
          <w:sz w:val="24"/>
          <w:szCs w:val="24"/>
        </w:rPr>
      </w:pPr>
      <w:r>
        <w:rPr>
          <w:rFonts w:hint="eastAsia" w:ascii="宋体" w:hAnsi="宋体" w:cs="宋体"/>
          <w:sz w:val="24"/>
          <w:szCs w:val="24"/>
        </w:rPr>
        <w:t>2.7.1 措施项目清单计价应根据投标人的施工组织设计进行报价。可以计量工程量的措施项目，应按分部分项工程虽清单的方式采用综合单价计价；其余的措施项目可以“项”为单位的方式计价。投标人所填报价格应包括除规费、税金外的全部费用。</w:t>
      </w:r>
    </w:p>
    <w:p>
      <w:pPr>
        <w:pStyle w:val="5"/>
        <w:tabs>
          <w:tab w:val="left" w:pos="7255"/>
        </w:tabs>
        <w:spacing w:before="0" w:beforeAutospacing="0" w:after="0" w:line="360" w:lineRule="auto"/>
        <w:ind w:firstLine="240" w:firstLineChars="100"/>
        <w:rPr>
          <w:rFonts w:ascii="宋体" w:hAnsi="宋体" w:cs="宋体"/>
          <w:kern w:val="2"/>
          <w:sz w:val="24"/>
          <w:szCs w:val="24"/>
        </w:rPr>
      </w:pPr>
      <w:r>
        <w:rPr>
          <w:rFonts w:hint="eastAsia" w:ascii="宋体" w:hAnsi="宋体" w:cs="宋体"/>
          <w:kern w:val="2"/>
          <w:sz w:val="24"/>
          <w:szCs w:val="24"/>
        </w:rPr>
        <w:t>2.7.2招标人提供的措施项目清单中所列项目仅指一般的通用项目，投标人在 报价时应充分、全面地阅读和理解招标文件的相关内容和约定，包括第七章”技术标准和要求”的相关约定， 详实了解工程场地及其周围环境，充 分考虑招标工程特点及拟定的施工方案和施工组织设计，对招标人给出的措施项目清单的内容进行细化或增减。</w:t>
      </w:r>
    </w:p>
    <w:p>
      <w:pPr>
        <w:pStyle w:val="5"/>
        <w:tabs>
          <w:tab w:val="left" w:pos="4596"/>
          <w:tab w:val="left" w:pos="7650"/>
        </w:tabs>
        <w:spacing w:before="0" w:beforeAutospacing="0" w:after="0" w:line="360" w:lineRule="auto"/>
        <w:ind w:firstLine="240" w:firstLineChars="100"/>
        <w:rPr>
          <w:rFonts w:ascii="宋体" w:hAnsi="宋体" w:cs="宋体"/>
          <w:kern w:val="2"/>
          <w:sz w:val="24"/>
          <w:szCs w:val="24"/>
        </w:rPr>
      </w:pPr>
      <w:r>
        <w:rPr>
          <w:rFonts w:hint="eastAsia" w:ascii="宋体" w:hAnsi="宋体" w:cs="宋体"/>
          <w:kern w:val="2"/>
          <w:sz w:val="24"/>
          <w:szCs w:val="24"/>
        </w:rPr>
        <w:t>2.7.3" 措施项目清单与计价表”中所填写的报价金额，应全面涵盖招标文件约定的投 标人中标后施工、竣工、交付本工程并维其修任何缺陷所需要履 行的责任和义务的全部费用。</w:t>
      </w:r>
    </w:p>
    <w:p>
      <w:pPr>
        <w:pStyle w:val="5"/>
        <w:tabs>
          <w:tab w:val="left" w:pos="4596"/>
          <w:tab w:val="left" w:pos="7650"/>
        </w:tabs>
        <w:spacing w:before="0" w:beforeAutospacing="0" w:after="0" w:line="360" w:lineRule="auto"/>
        <w:ind w:firstLine="240" w:firstLineChars="100"/>
        <w:rPr>
          <w:rFonts w:ascii="宋体" w:hAnsi="宋体" w:cs="宋体"/>
          <w:kern w:val="2"/>
          <w:sz w:val="24"/>
          <w:szCs w:val="24"/>
        </w:rPr>
      </w:pPr>
      <w:r>
        <w:rPr>
          <w:rFonts w:hint="eastAsia" w:ascii="宋体" w:hAnsi="宋体" w:cs="宋体"/>
          <w:kern w:val="2"/>
          <w:sz w:val="24"/>
          <w:szCs w:val="24"/>
        </w:rPr>
        <w:t>2.7.4对千“措施项目清单与计价表”中 所填写的报价金额，应按照“措施项目清单报价分析表”对措施项目报价的组成进行详细的列项和分析。</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2.8其他项目清单费应按下列规定报价：</w:t>
      </w:r>
    </w:p>
    <w:p>
      <w:pPr>
        <w:pStyle w:val="5"/>
        <w:tabs>
          <w:tab w:val="left" w:pos="5063"/>
        </w:tabs>
        <w:spacing w:before="0" w:beforeAutospacing="0" w:after="0" w:line="360" w:lineRule="auto"/>
        <w:ind w:firstLine="473"/>
        <w:rPr>
          <w:rFonts w:ascii="宋体" w:hAnsi="宋体" w:cs="宋体"/>
          <w:kern w:val="2"/>
          <w:sz w:val="24"/>
          <w:szCs w:val="24"/>
        </w:rPr>
      </w:pPr>
      <w:r>
        <w:rPr>
          <w:rFonts w:hint="eastAsia" w:ascii="宋体" w:hAnsi="宋体" w:cs="宋体"/>
          <w:kern w:val="2"/>
          <w:sz w:val="24"/>
          <w:szCs w:val="24"/>
        </w:rPr>
        <w:t>2.8.1 暂列金额按“暂列金额明细表”中列</w:t>
      </w:r>
      <w:r>
        <w:rPr>
          <w:rFonts w:hint="eastAsia" w:ascii="宋体" w:hAnsi="宋体" w:cs="宋体"/>
          <w:kern w:val="2"/>
          <w:sz w:val="24"/>
          <w:szCs w:val="24"/>
        </w:rPr>
        <w:tab/>
      </w:r>
      <w:r>
        <w:rPr>
          <w:rFonts w:hint="eastAsia" w:ascii="宋体" w:hAnsi="宋体" w:cs="宋体"/>
          <w:kern w:val="2"/>
          <w:sz w:val="24"/>
          <w:szCs w:val="24"/>
        </w:rPr>
        <w:t>出的金额报价，此处的暂列金额是招标人在招标文件中统一给定的，并不包括本章第2.8.3项的计日工金额。</w:t>
      </w:r>
    </w:p>
    <w:p>
      <w:pPr>
        <w:pStyle w:val="5"/>
        <w:tabs>
          <w:tab w:val="left" w:pos="6989"/>
          <w:tab w:val="left" w:pos="7701"/>
        </w:tabs>
        <w:spacing w:before="0" w:beforeAutospacing="0" w:after="0" w:line="360" w:lineRule="auto"/>
        <w:ind w:firstLine="468"/>
        <w:rPr>
          <w:rFonts w:ascii="宋体" w:hAnsi="宋体" w:cs="宋体"/>
          <w:kern w:val="2"/>
          <w:sz w:val="24"/>
          <w:szCs w:val="24"/>
        </w:rPr>
      </w:pPr>
      <w:r>
        <w:rPr>
          <w:rFonts w:hint="eastAsia" w:ascii="宋体" w:hAnsi="宋体" w:cs="宋体"/>
          <w:kern w:val="2"/>
          <w:sz w:val="24"/>
          <w:szCs w:val="24"/>
        </w:rPr>
        <w:t>2.8.2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 和本节第3.3.3项的报价原则计入其他项目清单报价。</w:t>
      </w:r>
    </w:p>
    <w:p>
      <w:pPr>
        <w:pStyle w:val="6"/>
        <w:adjustRightInd/>
        <w:spacing w:line="360" w:lineRule="auto"/>
        <w:ind w:firstLine="480" w:firstLineChars="200"/>
        <w:rPr>
          <w:rFonts w:hAnsi="宋体"/>
          <w:kern w:val="2"/>
        </w:rPr>
      </w:pPr>
      <w:r>
        <w:rPr>
          <w:rFonts w:hint="eastAsia" w:hAnsi="宋体"/>
          <w:kern w:val="2"/>
        </w:rPr>
        <w:t>2.8.3计日工按“计日工表”中列出的子目和估算数量，自主确定综合单价并计算计日工金额。计日工综合单价均不包括规费和税金，其中：</w:t>
      </w:r>
    </w:p>
    <w:p>
      <w:pPr>
        <w:pStyle w:val="22"/>
        <w:tabs>
          <w:tab w:val="left" w:pos="1116"/>
        </w:tabs>
        <w:spacing w:line="360" w:lineRule="auto"/>
        <w:ind w:left="420" w:leftChars="200" w:firstLine="0" w:firstLineChars="0"/>
        <w:rPr>
          <w:rFonts w:ascii="宋体" w:hAnsi="宋体" w:cs="宋体"/>
          <w:color w:val="000000"/>
          <w:sz w:val="24"/>
          <w:szCs w:val="24"/>
        </w:rPr>
      </w:pPr>
      <w:r>
        <w:rPr>
          <w:rFonts w:hint="eastAsia" w:ascii="宋体" w:hAnsi="宋体" w:cs="宋体"/>
          <w:color w:val="000000"/>
          <w:sz w:val="24"/>
          <w:szCs w:val="24"/>
        </w:rPr>
        <w:t>（1）劳务单价应当包括工人工资、交通费用、各种补贴、劳动安全保护、社保费用、手提手动和电动工器具、施工场地内已经搭设的脚手架、水电和低值易耗品费用、现场管理费用、企业管理费和利润；</w:t>
      </w:r>
    </w:p>
    <w:p>
      <w:pPr>
        <w:pStyle w:val="22"/>
        <w:numPr>
          <w:ilvl w:val="0"/>
          <w:numId w:val="3"/>
        </w:numPr>
        <w:tabs>
          <w:tab w:val="left" w:pos="1114"/>
        </w:tabs>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材料价格包括材料运到现场的价格以及现场搬运、仓储、二次搬运、损耗、保险、企业管理费和利润；</w:t>
      </w:r>
    </w:p>
    <w:p>
      <w:pPr>
        <w:pStyle w:val="22"/>
        <w:tabs>
          <w:tab w:val="left" w:pos="1114"/>
        </w:tabs>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（3）施工机械限千在施工场地（现场）的机械设，备其价格包括租赁或折旧、维修、维护和燃油等消耗品以及操作人员费用，包括承包人企业管理费和利润，但不包括规费和税金。辅助人员按劳务价格另计。</w:t>
      </w:r>
    </w:p>
    <w:p>
      <w:pPr>
        <w:pStyle w:val="5"/>
        <w:tabs>
          <w:tab w:val="left" w:pos="6695"/>
        </w:tabs>
        <w:spacing w:before="0" w:beforeAutospacing="0" w:after="0" w:line="360" w:lineRule="auto"/>
        <w:ind w:firstLine="464"/>
        <w:rPr>
          <w:rFonts w:ascii="宋体" w:hAnsi="宋体" w:cs="宋体"/>
          <w:color w:val="000000"/>
          <w:kern w:val="2"/>
          <w:sz w:val="24"/>
          <w:szCs w:val="24"/>
        </w:rPr>
      </w:pPr>
      <w:r>
        <w:rPr>
          <w:rFonts w:hint="eastAsia" w:ascii="宋体" w:hAnsi="宋体" w:cs="宋体"/>
          <w:color w:val="000000"/>
          <w:kern w:val="2"/>
          <w:sz w:val="24"/>
          <w:szCs w:val="24"/>
        </w:rPr>
        <w:t>2.8.4 总承包服务费根据招标文件中列出的内容和要求，按“ 总承包服务费计价表”所列格式自主报价。</w:t>
      </w:r>
    </w:p>
    <w:p>
      <w:pPr>
        <w:pStyle w:val="5"/>
        <w:tabs>
          <w:tab w:val="left" w:pos="6695"/>
        </w:tabs>
        <w:spacing w:before="0" w:beforeAutospacing="0" w:after="0" w:line="360" w:lineRule="auto"/>
        <w:ind w:firstLine="464"/>
        <w:rPr>
          <w:rFonts w:ascii="宋体" w:hAnsi="宋体" w:cs="宋体"/>
          <w:color w:val="000000"/>
          <w:kern w:val="2"/>
          <w:sz w:val="24"/>
          <w:szCs w:val="24"/>
        </w:rPr>
      </w:pPr>
      <w:r>
        <w:rPr>
          <w:rFonts w:hint="eastAsia" w:ascii="宋体" w:hAnsi="宋体" w:cs="宋体"/>
          <w:color w:val="000000"/>
          <w:kern w:val="2"/>
          <w:sz w:val="24"/>
          <w:szCs w:val="24"/>
        </w:rPr>
        <w:t>2.9 规费和税金应按“规费、税金项目清单与计价表”所列</w:t>
      </w:r>
      <w:r>
        <w:rPr>
          <w:rFonts w:hint="eastAsia" w:ascii="宋体" w:hAnsi="宋体" w:cs="宋体"/>
          <w:color w:val="000000"/>
          <w:kern w:val="2"/>
          <w:sz w:val="24"/>
          <w:szCs w:val="24"/>
        </w:rPr>
        <w:tab/>
      </w:r>
      <w:r>
        <w:rPr>
          <w:rFonts w:hint="eastAsia" w:ascii="宋体" w:hAnsi="宋体" w:cs="宋体"/>
          <w:color w:val="000000"/>
          <w:kern w:val="2"/>
          <w:sz w:val="24"/>
          <w:szCs w:val="24"/>
        </w:rPr>
        <w:t>项目并根据国家、省级或行业建设主管部门的有关规定列项和计算，不得作为竞争性费用。</w:t>
      </w:r>
    </w:p>
    <w:p>
      <w:pPr>
        <w:pStyle w:val="22"/>
        <w:tabs>
          <w:tab w:val="left" w:pos="1114"/>
        </w:tabs>
        <w:spacing w:line="360" w:lineRule="auto"/>
        <w:ind w:firstLine="480"/>
        <w:jc w:val="left"/>
        <w:rPr>
          <w:rFonts w:ascii="宋体" w:hAnsi="宋体" w:cs="宋体"/>
          <w:color w:val="000000"/>
          <w:sz w:val="24"/>
          <w:szCs w:val="24"/>
        </w:rPr>
      </w:pPr>
      <w:r>
        <w:rPr>
          <w:rFonts w:hint="eastAsia" w:ascii="宋体" w:hAnsi="宋体" w:cs="宋体"/>
          <w:color w:val="000000"/>
          <w:sz w:val="24"/>
          <w:szCs w:val="24"/>
        </w:rPr>
        <w:t>2.10 除招标文件有强制性规定外，投标报价由投标人自主确定，但不得低于其成本。</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2.11工程量清单计价所涉及的生产资源（包括各类人工、材料、工程设备、施工设备、临时设施、临时用水、临时用电等）的投标价格，应 根据自身的信息渠道和采购渠道，分析其市场价格水平并判断其整个施工周期内的变化趋势，体现投标人自身的管理水平、技术水平和综合实力。</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2.12 管理费应由投标人在保证不低于其成本的基础上做竞争性考虑；利润由投标人根据自身情况和综合实力做竞争性考虑。</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2.13 投标报价中应考虑招标文件中要求投标人承担的风险范围以及相关的费用。</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2.14  投标总价为投标人在投标文件中提出的各项支付金额的总和，为实施、完成招标工程并修补缺陷以及履行招标文件中约定的风险范围内的所有责任和义务所发生的全部费用</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2.15 有关投标报价的其他说明：</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2.15.1 " 规费和税金”的 规定按照住建部《建设工程工程量清单计价规范》( GB505 00- 2013) 及省住建厅有关规定，规费和税金应按规定费（税）率足额计取，即费（税 ）率不可竞争。</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规费、税金、安全文明施工措施费计入投标总报价，并在投标函、投标函附 录中单列，不参与商务标评审。</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15. 2 根据《关千调整河南省建设工程安全文明施工措施费计取办法的通知》（豫建设标【2014】57号）规定，“ 安全文明施工措施费”是不可竞争费，即费 率不可竞争；投标人编制投标报价时，应按省级主管部门规定的计价标准计取。</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投标人编制投标报价时，同一投标文件综合工日应前后保待一致。</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3、其他说明</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 词语和定义</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3.1.1工程量清单</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是表现本工程分部分项工程项目、措施项目、其他项目、规费项目和税金的名称和相应数量等的明细清单。</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3.1.2总价子目</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工程量清单中以总价计价，以 “项”为 计量单位，工程量为整数1的子目，除专用合同条款另有约定外， 总价固定包干。采用总价合同形式时，合同订立后， 已标价工程量清单中的工程量均没有合同约束力，所有子目均是总价子目，视同按项计量（ 合同条款第15条约定的变更除外）。</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3.1.3单价子目</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工程量清单中以单价计价，根 据有合同约束力的图纸和工程量计算规则进行计量，以实际完成数量乘以相应单价进行结算的子目。</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3.1.4 子目编码</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分部分项工程项目清单中所列的子目名称的数字标识和代码，子目编码与项目编码同义。</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3.1.5子目特征</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构成分部分项工程项目清单子目、措施项目的实质内容、决定其自身价值的本质特征，子目特征与项目特征同义。</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3.1.6规费</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承包人根据省级政府或省级有关权力部门规定必须缴纳的，应计入建筑</w:t>
      </w:r>
      <w:r>
        <w:rPr>
          <w:rFonts w:hint="eastAsia" w:ascii="宋体" w:hAnsi="宋体" w:cs="宋体"/>
          <w:sz w:val="24"/>
          <w:szCs w:val="24"/>
        </w:rPr>
        <w:tab/>
      </w:r>
      <w:r>
        <w:rPr>
          <w:rFonts w:hint="eastAsia" w:ascii="宋体" w:hAnsi="宋体" w:cs="宋体"/>
          <w:sz w:val="24"/>
          <w:szCs w:val="24"/>
        </w:rPr>
        <w:t>安装工程造价的费用。</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3.1.7税金</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国家税法规定的应计入建筑安装工程造价内的增值税、城市维护建设税及教育费附加等。</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3.1.8总承包服务费</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总承包人为配合协调发包人发包的专业工程以及发包人采购的材料和工程设备等进行</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管理、服务以及施工现场管理、竣工资料汇总整理等所需的费用。</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3.1.9 同义词语</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本章中使用的词语“招标人”和“投标人”分别与合同条款中定义的“发包人”和“承包人“同义； 就工程量清单而言，“ 子目”与“</w:t>
      </w:r>
      <w:r>
        <w:rPr>
          <w:rFonts w:hint="eastAsia" w:ascii="宋体" w:hAnsi="宋体" w:cs="宋体"/>
          <w:sz w:val="24"/>
          <w:szCs w:val="24"/>
        </w:rPr>
        <w:tab/>
      </w:r>
      <w:r>
        <w:rPr>
          <w:rFonts w:hint="eastAsia" w:ascii="宋体" w:hAnsi="宋体" w:cs="宋体"/>
          <w:sz w:val="24"/>
          <w:szCs w:val="24"/>
        </w:rPr>
        <w:t>项目“同义。</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3.2工程量差异调整</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3.2.1工程量清单中的工作内容分类、子目列项、特征描述以及“分部分项工程量清单与计价表”中附带的工程量都不应理解为是对承包（招标）范围以合及同工作内容的唯一的、最终的或全部的定义。</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3.2.2投标人应对招标人提供的工程量清单进行认真细致的复核。这种复核包括对招标人提供的工程量清单中的子目编码、子目名称、子目特征描述、计量单位、工程量的准确性  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 定提交的要求招标人澄清的其他问题一起提交给招标人，招标人将根据实际情况决定是否颁 发工程量清单的补充和（或）修改文件。</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3.2.3如果招标人在检查投标人根据上文第 3.2.2项提交的工程量差异问题后认为没有必要对工程量清单进行补充和（或）修改，或者招标人根据上文3第2. 2 项对工程量清单进行了补充和（或）修改，但投标人认为工程晕清单中的工程量依然存在差异，则此类差异不再提交招标人答疑和修正，而是直接按招标人提供的工程量清单（包括招标人可能的补充和（或） 修改）进行投标报价。投标人在按照工程量清单进行报价时， 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 要在招标人提供的分部分项工程量清单中已经列明，投 标人都需要对其报价，并纳入投标总价的计算。</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 3 暂列金额和暂估价</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3.3.1"暂列金额明细表”中所列  暂列金额（不包括计日工金额）中已经包含与其对应的管理费、利润和规费，但  不含税金。投标人应按本招标文件规定将此类暂列金额直接纳入其他项目清单的投标价格并计取相应的税金，不需要考虑除税金以外的其他任何费用。</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3.3.2 "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firstLine="480" w:firstLineChars="200"/>
        <w:jc w:val="left"/>
        <w:rPr>
          <w:rFonts w:ascii="宋体" w:hAnsi="宋体" w:cs="宋体"/>
          <w:sz w:val="28"/>
          <w:szCs w:val="28"/>
        </w:rPr>
      </w:pPr>
      <w:r>
        <w:rPr>
          <w:rFonts w:hint="eastAsia" w:ascii="宋体" w:hAnsi="宋体" w:cs="宋体"/>
          <w:sz w:val="24"/>
          <w:szCs w:val="24"/>
        </w:rPr>
        <w:t>3.3.3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4  其他补充说明</w:t>
      </w:r>
      <w:r>
        <w:rPr>
          <w:rFonts w:hint="eastAsia" w:ascii="宋体" w:hAnsi="宋体" w:cs="宋体"/>
          <w:sz w:val="28"/>
          <w:szCs w:val="28"/>
        </w:rPr>
        <w:tab/>
      </w:r>
      <w:r>
        <w:rPr>
          <w:rFonts w:hint="eastAsia" w:ascii="宋体" w:hAnsi="宋体" w:cs="宋体"/>
          <w:sz w:val="28"/>
          <w:szCs w:val="28"/>
        </w:rPr>
        <w:t>／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工 程 量 清 单</w:t>
      </w:r>
    </w:p>
    <w:p>
      <w:pPr>
        <w:spacing w:line="360" w:lineRule="auto"/>
        <w:ind w:firstLine="480" w:firstLineChars="200"/>
        <w:jc w:val="left"/>
        <w:rPr>
          <w:rFonts w:ascii="宋体" w:hAnsi="宋体" w:cs="宋体"/>
          <w:sz w:val="24"/>
          <w:szCs w:val="24"/>
        </w:rPr>
        <w:sectPr>
          <w:headerReference r:id="rId4" w:type="default"/>
          <w:footerReference r:id="rId5" w:type="default"/>
          <w:pgSz w:w="11900" w:h="16820"/>
          <w:pgMar w:top="1160" w:right="820" w:bottom="1540" w:left="1000" w:header="705" w:footer="1292" w:gutter="0"/>
          <w:cols w:space="720" w:num="1"/>
        </w:sectPr>
      </w:pPr>
      <w:r>
        <w:rPr>
          <w:rFonts w:hint="eastAsia" w:ascii="宋体" w:hAnsi="宋体" w:cs="宋体"/>
          <w:sz w:val="24"/>
          <w:szCs w:val="24"/>
        </w:rPr>
        <w:t>工程最清单在【全国公共资源交易平台（河南省·许昌市）】上自行下载。</w:t>
      </w:r>
    </w:p>
    <w:p>
      <w:pPr>
        <w:autoSpaceDE w:val="0"/>
        <w:autoSpaceDN w:val="0"/>
        <w:adjustRightInd w:val="0"/>
        <w:spacing w:after="156" w:afterLines="50"/>
        <w:jc w:val="center"/>
        <w:outlineLvl w:val="0"/>
        <w:rPr>
          <w:rFonts w:hint="eastAsia" w:ascii="宋体" w:hAnsi="宋体"/>
          <w:b/>
          <w:bCs/>
          <w:kern w:val="0"/>
          <w:sz w:val="36"/>
          <w:szCs w:val="36"/>
        </w:rPr>
      </w:pPr>
    </w:p>
    <w:p>
      <w:pPr>
        <w:autoSpaceDE w:val="0"/>
        <w:autoSpaceDN w:val="0"/>
        <w:adjustRightInd w:val="0"/>
        <w:spacing w:after="156" w:afterLines="50"/>
        <w:jc w:val="center"/>
        <w:outlineLvl w:val="0"/>
        <w:rPr>
          <w:b/>
          <w:bCs/>
          <w:kern w:val="0"/>
          <w:sz w:val="36"/>
          <w:szCs w:val="36"/>
        </w:rPr>
      </w:pPr>
      <w:r>
        <w:rPr>
          <w:rFonts w:hint="eastAsia" w:ascii="宋体" w:hAnsi="宋体"/>
          <w:b/>
          <w:bCs/>
          <w:kern w:val="0"/>
          <w:sz w:val="36"/>
          <w:szCs w:val="36"/>
        </w:rPr>
        <w:t>第六章</w:t>
      </w:r>
      <w:bookmarkStart w:id="317" w:name="_Toc278443522"/>
      <w:bookmarkEnd w:id="317"/>
      <w:r>
        <w:rPr>
          <w:rFonts w:hint="eastAsia" w:ascii="宋体" w:hAnsi="宋体"/>
          <w:b/>
          <w:bCs/>
          <w:kern w:val="0"/>
          <w:sz w:val="36"/>
          <w:szCs w:val="36"/>
        </w:rPr>
        <w:t>技术标准和要求</w:t>
      </w:r>
    </w:p>
    <w:p>
      <w:pPr>
        <w:ind w:firstLine="422" w:firstLineChars="200"/>
        <w:jc w:val="left"/>
        <w:rPr>
          <w:rFonts w:ascii="新宋体" w:hAnsi="新宋体" w:eastAsia="新宋体"/>
          <w:b/>
          <w:bCs/>
        </w:rPr>
      </w:pPr>
      <w:bookmarkStart w:id="318" w:name="_Toc278443525"/>
      <w:bookmarkEnd w:id="318"/>
      <w:r>
        <w:rPr>
          <w:rFonts w:hint="eastAsia" w:ascii="新宋体" w:hAnsi="新宋体" w:eastAsia="新宋体"/>
          <w:b/>
          <w:bCs/>
        </w:rPr>
        <w:t>本工程技术标准和要求以本工程施工图纸和适用的国家、行业以及地方规范、标准和规程为准。</w:t>
      </w:r>
    </w:p>
    <w:p>
      <w:pPr>
        <w:ind w:firstLine="413" w:firstLineChars="196"/>
        <w:jc w:val="left"/>
        <w:rPr>
          <w:rFonts w:ascii="新宋体" w:hAnsi="新宋体" w:eastAsia="新宋体"/>
        </w:rPr>
      </w:pPr>
      <w:r>
        <w:rPr>
          <w:rFonts w:hint="eastAsia" w:ascii="新宋体" w:hAnsi="新宋体" w:eastAsia="新宋体"/>
          <w:b/>
          <w:bCs/>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pPr>
        <w:ind w:firstLine="422" w:firstLineChars="200"/>
        <w:jc w:val="left"/>
        <w:rPr>
          <w:rFonts w:ascii="新宋体" w:hAnsi="新宋体" w:eastAsia="新宋体"/>
          <w:b/>
          <w:bCs/>
        </w:rPr>
      </w:pPr>
    </w:p>
    <w:p>
      <w:pPr>
        <w:ind w:firstLine="422" w:firstLineChars="200"/>
        <w:jc w:val="left"/>
        <w:rPr>
          <w:rFonts w:ascii="新宋体" w:hAnsi="新宋体" w:eastAsia="新宋体"/>
          <w:b/>
          <w:bCs/>
        </w:rPr>
      </w:pPr>
    </w:p>
    <w:p>
      <w:pPr>
        <w:ind w:firstLine="422" w:firstLineChars="200"/>
        <w:jc w:val="left"/>
        <w:rPr>
          <w:rFonts w:ascii="新宋体" w:hAnsi="新宋体" w:eastAsia="新宋体"/>
          <w:b/>
          <w:bCs/>
        </w:rPr>
      </w:pPr>
    </w:p>
    <w:p>
      <w:pPr>
        <w:pStyle w:val="2"/>
        <w:spacing w:line="240" w:lineRule="auto"/>
        <w:rPr>
          <w:kern w:val="0"/>
        </w:rPr>
      </w:pPr>
      <w:bookmarkStart w:id="319" w:name="_Toc397606017"/>
      <w:bookmarkEnd w:id="319"/>
      <w:bookmarkStart w:id="320" w:name="_Toc397507821"/>
      <w:bookmarkEnd w:id="320"/>
    </w:p>
    <w:p/>
    <w:p>
      <w:pPr>
        <w:autoSpaceDE w:val="0"/>
        <w:autoSpaceDN w:val="0"/>
        <w:adjustRightInd w:val="0"/>
        <w:spacing w:after="156" w:afterLines="50"/>
        <w:jc w:val="center"/>
        <w:outlineLvl w:val="0"/>
        <w:rPr>
          <w:b/>
          <w:bCs/>
          <w:kern w:val="0"/>
          <w:sz w:val="36"/>
          <w:szCs w:val="36"/>
        </w:rPr>
      </w:pPr>
      <w:r>
        <w:rPr>
          <w:b/>
          <w:bCs/>
          <w:kern w:val="0"/>
          <w:sz w:val="36"/>
          <w:szCs w:val="36"/>
        </w:rPr>
        <w:br w:type="page"/>
      </w:r>
      <w:bookmarkStart w:id="321" w:name="_Toc464824792"/>
      <w:bookmarkEnd w:id="321"/>
    </w:p>
    <w:p>
      <w:pPr>
        <w:ind w:left="180"/>
        <w:rPr>
          <w:sz w:val="24"/>
          <w:szCs w:val="24"/>
        </w:rPr>
      </w:pPr>
    </w:p>
    <w:p>
      <w:pPr>
        <w:autoSpaceDE w:val="0"/>
        <w:autoSpaceDN w:val="0"/>
        <w:adjustRightInd w:val="0"/>
        <w:spacing w:afterLines="50"/>
        <w:jc w:val="center"/>
        <w:outlineLvl w:val="0"/>
        <w:rPr>
          <w:rFonts w:ascii="宋体" w:hAnsi="宋体"/>
          <w:b/>
          <w:bCs/>
          <w:kern w:val="0"/>
          <w:sz w:val="36"/>
          <w:szCs w:val="36"/>
        </w:rPr>
      </w:pPr>
      <w:r>
        <w:rPr>
          <w:rFonts w:hint="eastAsia" w:ascii="宋体" w:hAnsi="宋体"/>
          <w:b/>
          <w:bCs/>
          <w:kern w:val="0"/>
          <w:sz w:val="36"/>
          <w:szCs w:val="36"/>
        </w:rPr>
        <w:t>第七章投标文件格式</w:t>
      </w:r>
    </w:p>
    <w:p>
      <w:pPr>
        <w:autoSpaceDE w:val="0"/>
        <w:autoSpaceDN w:val="0"/>
        <w:adjustRightInd w:val="0"/>
        <w:ind w:firstLine="1608" w:firstLineChars="445"/>
        <w:rPr>
          <w:rFonts w:ascii="宋体" w:hAnsi="宋体"/>
          <w:b/>
          <w:bCs/>
          <w:sz w:val="36"/>
          <w:szCs w:val="36"/>
          <w:u w:val="single"/>
        </w:rPr>
      </w:pPr>
    </w:p>
    <w:p>
      <w:pPr>
        <w:autoSpaceDE w:val="0"/>
        <w:autoSpaceDN w:val="0"/>
        <w:adjustRightInd w:val="0"/>
        <w:ind w:firstLine="1608" w:firstLineChars="445"/>
        <w:rPr>
          <w:rFonts w:ascii="宋体" w:hAnsi="宋体"/>
          <w:b/>
          <w:bCs/>
          <w:spacing w:val="60"/>
          <w:sz w:val="36"/>
          <w:szCs w:val="36"/>
        </w:rPr>
      </w:pPr>
      <w:r>
        <w:rPr>
          <w:rFonts w:hint="eastAsia" w:ascii="宋体" w:hAnsi="宋体"/>
          <w:b/>
          <w:bCs/>
          <w:sz w:val="36"/>
          <w:szCs w:val="36"/>
          <w:u w:val="single"/>
        </w:rPr>
        <w:t xml:space="preserve">           (项目名称)标段         </w:t>
      </w:r>
    </w:p>
    <w:p>
      <w:pPr>
        <w:ind w:left="180"/>
        <w:jc w:val="center"/>
        <w:rPr>
          <w:rFonts w:ascii="宋体" w:hAnsi="宋体"/>
          <w:b/>
          <w:bCs/>
          <w:sz w:val="36"/>
          <w:szCs w:val="36"/>
        </w:rPr>
      </w:pPr>
      <w:r>
        <w:rPr>
          <w:rFonts w:hint="eastAsia" w:ascii="宋体" w:hAnsi="宋体"/>
          <w:b/>
          <w:bCs/>
          <w:sz w:val="36"/>
          <w:szCs w:val="36"/>
        </w:rPr>
        <w:t>项目编号：</w:t>
      </w:r>
    </w:p>
    <w:p>
      <w:pPr>
        <w:ind w:left="180"/>
        <w:rPr>
          <w:rFonts w:ascii="宋体" w:hAnsi="宋体"/>
          <w:sz w:val="36"/>
          <w:szCs w:val="36"/>
        </w:rPr>
      </w:pPr>
    </w:p>
    <w:p>
      <w:pPr>
        <w:ind w:left="180"/>
        <w:jc w:val="center"/>
        <w:rPr>
          <w:rFonts w:ascii="宋体" w:hAnsi="宋体"/>
          <w:b/>
          <w:bCs/>
          <w:sz w:val="52"/>
          <w:szCs w:val="52"/>
        </w:rPr>
      </w:pPr>
      <w:r>
        <w:rPr>
          <w:rFonts w:hint="eastAsia" w:ascii="宋体" w:hAnsi="宋体"/>
          <w:b/>
          <w:bCs/>
          <w:sz w:val="52"/>
          <w:szCs w:val="52"/>
        </w:rPr>
        <w:t>投 标 文 件</w:t>
      </w:r>
    </w:p>
    <w:p>
      <w:pPr>
        <w:ind w:left="180"/>
        <w:jc w:val="center"/>
        <w:rPr>
          <w:rFonts w:ascii="宋体" w:hAnsi="宋体"/>
          <w:sz w:val="36"/>
          <w:szCs w:val="36"/>
        </w:rPr>
      </w:pPr>
      <w:r>
        <w:rPr>
          <w:rFonts w:hint="eastAsia" w:ascii="宋体" w:hAnsi="宋体"/>
          <w:b/>
          <w:bCs/>
          <w:sz w:val="36"/>
          <w:szCs w:val="36"/>
        </w:rPr>
        <w:t>（商务标）</w:t>
      </w:r>
    </w:p>
    <w:p>
      <w:pPr>
        <w:ind w:left="180"/>
        <w:rPr>
          <w:rFonts w:ascii="宋体" w:hAnsi="宋体"/>
          <w:b/>
          <w:bCs/>
          <w:sz w:val="36"/>
          <w:szCs w:val="36"/>
        </w:rPr>
      </w:pPr>
    </w:p>
    <w:p>
      <w:pPr>
        <w:ind w:left="180"/>
        <w:rPr>
          <w:rFonts w:ascii="宋体" w:hAnsi="宋体"/>
          <w:sz w:val="36"/>
          <w:szCs w:val="36"/>
        </w:rPr>
      </w:pPr>
    </w:p>
    <w:p>
      <w:pPr>
        <w:ind w:left="180"/>
        <w:rPr>
          <w:rFonts w:ascii="宋体" w:hAnsi="宋体"/>
          <w:sz w:val="36"/>
          <w:szCs w:val="36"/>
        </w:rPr>
      </w:pPr>
    </w:p>
    <w:p>
      <w:pPr>
        <w:pStyle w:val="2"/>
      </w:pPr>
    </w:p>
    <w:p/>
    <w:p>
      <w:pPr>
        <w:pStyle w:val="2"/>
      </w:pPr>
    </w:p>
    <w:p>
      <w:pPr>
        <w:ind w:left="180"/>
        <w:rPr>
          <w:rFonts w:ascii="宋体" w:hAnsi="宋体"/>
          <w:sz w:val="36"/>
          <w:szCs w:val="36"/>
        </w:rPr>
      </w:pPr>
    </w:p>
    <w:p>
      <w:pPr>
        <w:spacing w:line="360" w:lineRule="auto"/>
        <w:ind w:firstLine="1506" w:firstLineChars="500"/>
        <w:rPr>
          <w:rFonts w:ascii="宋体" w:hAnsi="宋体"/>
          <w:b/>
          <w:bCs/>
          <w:sz w:val="30"/>
          <w:szCs w:val="30"/>
        </w:rPr>
      </w:pPr>
      <w:r>
        <w:rPr>
          <w:rFonts w:hint="eastAsia" w:ascii="宋体" w:hAnsi="宋体"/>
          <w:b/>
          <w:bCs/>
          <w:sz w:val="30"/>
          <w:szCs w:val="30"/>
        </w:rPr>
        <w:t>投标人:(盖单位章)</w:t>
      </w:r>
    </w:p>
    <w:p>
      <w:pPr>
        <w:tabs>
          <w:tab w:val="center" w:pos="4739"/>
        </w:tabs>
        <w:spacing w:line="360" w:lineRule="auto"/>
        <w:ind w:left="181" w:leftChars="86" w:firstLine="1202" w:firstLineChars="399"/>
        <w:rPr>
          <w:rFonts w:ascii="黑体" w:eastAsia="黑体"/>
          <w:b/>
          <w:sz w:val="30"/>
          <w:szCs w:val="30"/>
        </w:rPr>
      </w:pPr>
      <w:r>
        <w:rPr>
          <w:rFonts w:hint="eastAsia" w:ascii="宋体" w:hAnsi="宋体"/>
          <w:b/>
          <w:bCs/>
          <w:sz w:val="30"/>
          <w:szCs w:val="30"/>
        </w:rPr>
        <w:t>法定代表人或其委托代理人:(签字</w:t>
      </w:r>
      <w:r>
        <w:rPr>
          <w:rFonts w:hint="eastAsia" w:ascii="黑体" w:eastAsia="黑体"/>
          <w:b/>
          <w:sz w:val="30"/>
          <w:szCs w:val="30"/>
        </w:rPr>
        <w:t>)</w:t>
      </w:r>
    </w:p>
    <w:p>
      <w:pPr>
        <w:tabs>
          <w:tab w:val="center" w:pos="4739"/>
        </w:tabs>
        <w:ind w:left="180"/>
        <w:jc w:val="center"/>
        <w:rPr>
          <w:rFonts w:ascii="宋体" w:hAnsi="宋体"/>
          <w:b/>
          <w:bCs/>
          <w:sz w:val="30"/>
          <w:szCs w:val="30"/>
        </w:rPr>
      </w:pPr>
    </w:p>
    <w:p>
      <w:pPr>
        <w:ind w:left="180"/>
        <w:jc w:val="center"/>
        <w:rPr>
          <w:rFonts w:ascii="宋体" w:hAnsi="宋体"/>
          <w:b/>
          <w:bCs/>
          <w:sz w:val="30"/>
          <w:szCs w:val="30"/>
        </w:rPr>
      </w:pPr>
      <w:r>
        <w:rPr>
          <w:rFonts w:hint="eastAsia" w:ascii="宋体" w:hAnsi="宋体"/>
          <w:b/>
          <w:bCs/>
          <w:sz w:val="30"/>
          <w:szCs w:val="30"/>
        </w:rPr>
        <w:t>年月日</w:t>
      </w:r>
    </w:p>
    <w:p>
      <w:pPr>
        <w:autoSpaceDE w:val="0"/>
        <w:autoSpaceDN w:val="0"/>
        <w:adjustRightInd w:val="0"/>
        <w:spacing w:line="420" w:lineRule="exact"/>
        <w:jc w:val="center"/>
        <w:rPr>
          <w:rFonts w:ascii="宋体" w:hAnsi="宋体"/>
          <w:b/>
          <w:bCs/>
          <w:sz w:val="24"/>
          <w:szCs w:val="24"/>
        </w:rPr>
      </w:pPr>
      <w:r>
        <w:rPr>
          <w:rFonts w:hint="eastAsia" w:ascii="宋体" w:hAnsi="宋体"/>
          <w:b/>
          <w:bCs/>
          <w:sz w:val="24"/>
          <w:szCs w:val="24"/>
        </w:rPr>
        <w:br w:type="page"/>
      </w:r>
    </w:p>
    <w:p>
      <w:pPr>
        <w:autoSpaceDE w:val="0"/>
        <w:autoSpaceDN w:val="0"/>
        <w:adjustRightInd w:val="0"/>
        <w:spacing w:line="420" w:lineRule="exact"/>
        <w:ind w:firstLine="3795" w:firstLineChars="1050"/>
        <w:jc w:val="left"/>
        <w:rPr>
          <w:rFonts w:ascii="宋体" w:hAnsi="宋体" w:cs="黑体"/>
          <w:b/>
          <w:kern w:val="0"/>
          <w:sz w:val="36"/>
          <w:szCs w:val="36"/>
        </w:rPr>
      </w:pPr>
    </w:p>
    <w:p>
      <w:pPr>
        <w:autoSpaceDE w:val="0"/>
        <w:autoSpaceDN w:val="0"/>
        <w:adjustRightInd w:val="0"/>
        <w:spacing w:line="480" w:lineRule="auto"/>
        <w:jc w:val="center"/>
        <w:rPr>
          <w:rFonts w:ascii="宋体" w:hAnsi="宋体" w:cs="仿宋"/>
          <w:b/>
          <w:sz w:val="32"/>
          <w:szCs w:val="32"/>
        </w:rPr>
      </w:pPr>
      <w:r>
        <w:rPr>
          <w:rFonts w:hint="eastAsia" w:ascii="宋体" w:hAnsi="宋体" w:cs="仿宋"/>
          <w:b/>
          <w:sz w:val="32"/>
          <w:szCs w:val="32"/>
        </w:rPr>
        <w:t>已标价工程量清单</w:t>
      </w:r>
    </w:p>
    <w:p>
      <w:pPr>
        <w:spacing w:line="600" w:lineRule="exact"/>
        <w:jc w:val="center"/>
        <w:rPr>
          <w:rFonts w:ascii="宋体" w:hAnsi="宋体" w:cs="仿宋"/>
          <w:b/>
          <w:sz w:val="24"/>
          <w:szCs w:val="24"/>
        </w:rPr>
      </w:pPr>
      <w:r>
        <w:rPr>
          <w:rFonts w:hint="eastAsia" w:ascii="宋体" w:hAnsi="宋体" w:cs="仿宋"/>
          <w:b/>
          <w:sz w:val="24"/>
          <w:szCs w:val="24"/>
        </w:rPr>
        <w:t>（按所发放的工程量清单编制）</w:t>
      </w:r>
    </w:p>
    <w:p>
      <w:pPr>
        <w:autoSpaceDE w:val="0"/>
        <w:autoSpaceDN w:val="0"/>
        <w:adjustRightInd w:val="0"/>
        <w:spacing w:line="420" w:lineRule="exact"/>
        <w:ind w:firstLine="3795" w:firstLineChars="1050"/>
        <w:jc w:val="left"/>
        <w:rPr>
          <w:rFonts w:ascii="宋体" w:hAnsi="宋体" w:cs="黑体"/>
          <w:b/>
          <w:kern w:val="0"/>
          <w:sz w:val="36"/>
          <w:szCs w:val="36"/>
        </w:rPr>
      </w:pPr>
    </w:p>
    <w:p>
      <w:pPr>
        <w:autoSpaceDE w:val="0"/>
        <w:autoSpaceDN w:val="0"/>
        <w:adjustRightInd w:val="0"/>
        <w:spacing w:line="420" w:lineRule="exact"/>
        <w:jc w:val="center"/>
        <w:rPr>
          <w:rFonts w:ascii="宋体" w:hAnsi="宋体"/>
          <w:b/>
          <w:bCs/>
          <w:sz w:val="24"/>
          <w:szCs w:val="24"/>
        </w:rPr>
      </w:pPr>
    </w:p>
    <w:p>
      <w:pPr>
        <w:autoSpaceDE w:val="0"/>
        <w:autoSpaceDN w:val="0"/>
        <w:adjustRightInd w:val="0"/>
        <w:spacing w:line="420" w:lineRule="exact"/>
        <w:jc w:val="center"/>
        <w:rPr>
          <w:rFonts w:ascii="宋体" w:hAnsi="宋体"/>
          <w:b/>
          <w:bCs/>
          <w:sz w:val="24"/>
          <w:szCs w:val="24"/>
        </w:rPr>
      </w:pPr>
    </w:p>
    <w:p>
      <w:pPr>
        <w:autoSpaceDE w:val="0"/>
        <w:autoSpaceDN w:val="0"/>
        <w:adjustRightInd w:val="0"/>
        <w:spacing w:line="420" w:lineRule="exact"/>
        <w:jc w:val="center"/>
        <w:rPr>
          <w:rFonts w:ascii="宋体" w:hAnsi="宋体"/>
          <w:b/>
          <w:bCs/>
          <w:sz w:val="24"/>
          <w:szCs w:val="24"/>
        </w:rPr>
      </w:pPr>
    </w:p>
    <w:p>
      <w:pPr>
        <w:autoSpaceDE w:val="0"/>
        <w:autoSpaceDN w:val="0"/>
        <w:adjustRightInd w:val="0"/>
        <w:spacing w:line="420" w:lineRule="exact"/>
        <w:jc w:val="center"/>
        <w:rPr>
          <w:rFonts w:ascii="宋体" w:hAnsi="宋体"/>
          <w:b/>
          <w:bCs/>
          <w:sz w:val="24"/>
          <w:szCs w:val="24"/>
        </w:rPr>
      </w:pPr>
    </w:p>
    <w:p>
      <w:pPr>
        <w:autoSpaceDE w:val="0"/>
        <w:autoSpaceDN w:val="0"/>
        <w:adjustRightInd w:val="0"/>
        <w:spacing w:line="420" w:lineRule="exact"/>
        <w:jc w:val="center"/>
        <w:rPr>
          <w:rFonts w:ascii="宋体" w:hAnsi="宋体"/>
          <w:b/>
          <w:bCs/>
          <w:sz w:val="24"/>
          <w:szCs w:val="24"/>
        </w:rPr>
      </w:pPr>
    </w:p>
    <w:p>
      <w:pPr>
        <w:autoSpaceDE w:val="0"/>
        <w:autoSpaceDN w:val="0"/>
        <w:adjustRightInd w:val="0"/>
        <w:spacing w:line="420" w:lineRule="exact"/>
        <w:jc w:val="center"/>
        <w:rPr>
          <w:rFonts w:ascii="宋体" w:hAnsi="宋体"/>
          <w:b/>
          <w:bCs/>
          <w:sz w:val="24"/>
          <w:szCs w:val="24"/>
        </w:rPr>
      </w:pPr>
    </w:p>
    <w:p>
      <w:pPr>
        <w:autoSpaceDE w:val="0"/>
        <w:autoSpaceDN w:val="0"/>
        <w:adjustRightInd w:val="0"/>
        <w:spacing w:line="420" w:lineRule="exact"/>
        <w:jc w:val="center"/>
        <w:rPr>
          <w:rFonts w:ascii="宋体" w:hAnsi="宋体"/>
          <w:b/>
          <w:bCs/>
          <w:sz w:val="24"/>
          <w:szCs w:val="24"/>
        </w:rPr>
      </w:pPr>
    </w:p>
    <w:p>
      <w:pPr>
        <w:autoSpaceDE w:val="0"/>
        <w:autoSpaceDN w:val="0"/>
        <w:adjustRightInd w:val="0"/>
        <w:spacing w:line="420" w:lineRule="exact"/>
        <w:jc w:val="center"/>
        <w:rPr>
          <w:rFonts w:ascii="宋体" w:hAnsi="宋体"/>
          <w:b/>
          <w:bCs/>
          <w:sz w:val="24"/>
          <w:szCs w:val="24"/>
        </w:rPr>
      </w:pPr>
    </w:p>
    <w:p>
      <w:pPr>
        <w:autoSpaceDE w:val="0"/>
        <w:autoSpaceDN w:val="0"/>
        <w:adjustRightInd w:val="0"/>
        <w:spacing w:line="420" w:lineRule="exact"/>
        <w:jc w:val="center"/>
        <w:rPr>
          <w:rFonts w:ascii="宋体" w:hAnsi="宋体"/>
          <w:b/>
          <w:bCs/>
          <w:sz w:val="24"/>
          <w:szCs w:val="24"/>
        </w:rPr>
      </w:pPr>
    </w:p>
    <w:p>
      <w:pPr>
        <w:autoSpaceDE w:val="0"/>
        <w:autoSpaceDN w:val="0"/>
        <w:adjustRightInd w:val="0"/>
        <w:spacing w:line="420" w:lineRule="exact"/>
        <w:jc w:val="center"/>
        <w:rPr>
          <w:rFonts w:ascii="宋体" w:hAnsi="宋体"/>
          <w:b/>
          <w:bCs/>
          <w:sz w:val="24"/>
          <w:szCs w:val="24"/>
        </w:rPr>
      </w:pPr>
    </w:p>
    <w:p>
      <w:pPr>
        <w:autoSpaceDE w:val="0"/>
        <w:autoSpaceDN w:val="0"/>
        <w:adjustRightInd w:val="0"/>
        <w:spacing w:line="420" w:lineRule="exact"/>
        <w:jc w:val="center"/>
        <w:rPr>
          <w:rFonts w:ascii="宋体" w:hAnsi="宋体"/>
          <w:b/>
          <w:bCs/>
          <w:sz w:val="24"/>
          <w:szCs w:val="24"/>
        </w:rPr>
      </w:pPr>
    </w:p>
    <w:p>
      <w:pPr>
        <w:autoSpaceDE w:val="0"/>
        <w:autoSpaceDN w:val="0"/>
        <w:adjustRightInd w:val="0"/>
        <w:spacing w:line="420" w:lineRule="exact"/>
        <w:jc w:val="center"/>
        <w:rPr>
          <w:rFonts w:ascii="宋体" w:hAnsi="宋体"/>
          <w:b/>
          <w:bCs/>
          <w:sz w:val="24"/>
          <w:szCs w:val="24"/>
        </w:rPr>
      </w:pPr>
    </w:p>
    <w:p>
      <w:pPr>
        <w:autoSpaceDE w:val="0"/>
        <w:autoSpaceDN w:val="0"/>
        <w:adjustRightInd w:val="0"/>
        <w:spacing w:line="420" w:lineRule="exact"/>
        <w:jc w:val="center"/>
        <w:rPr>
          <w:rFonts w:ascii="宋体" w:hAnsi="宋体"/>
          <w:b/>
          <w:bCs/>
          <w:sz w:val="24"/>
          <w:szCs w:val="24"/>
        </w:rPr>
      </w:pPr>
    </w:p>
    <w:p>
      <w:pPr>
        <w:autoSpaceDE w:val="0"/>
        <w:autoSpaceDN w:val="0"/>
        <w:adjustRightInd w:val="0"/>
        <w:spacing w:line="420" w:lineRule="exact"/>
        <w:jc w:val="center"/>
        <w:rPr>
          <w:rFonts w:ascii="宋体" w:hAnsi="宋体"/>
          <w:b/>
          <w:bCs/>
          <w:sz w:val="24"/>
          <w:szCs w:val="24"/>
        </w:rPr>
      </w:pPr>
    </w:p>
    <w:p>
      <w:pPr>
        <w:autoSpaceDE w:val="0"/>
        <w:autoSpaceDN w:val="0"/>
        <w:adjustRightInd w:val="0"/>
        <w:spacing w:line="420" w:lineRule="exact"/>
        <w:jc w:val="center"/>
        <w:rPr>
          <w:rFonts w:ascii="宋体" w:hAnsi="宋体"/>
          <w:b/>
          <w:bCs/>
          <w:sz w:val="24"/>
          <w:szCs w:val="24"/>
        </w:rPr>
      </w:pPr>
    </w:p>
    <w:p>
      <w:pPr>
        <w:autoSpaceDE w:val="0"/>
        <w:autoSpaceDN w:val="0"/>
        <w:adjustRightInd w:val="0"/>
        <w:spacing w:line="420" w:lineRule="exact"/>
        <w:jc w:val="center"/>
        <w:rPr>
          <w:rFonts w:ascii="宋体" w:hAnsi="宋体"/>
          <w:b/>
          <w:bCs/>
          <w:sz w:val="24"/>
          <w:szCs w:val="24"/>
        </w:rPr>
      </w:pPr>
    </w:p>
    <w:p>
      <w:pPr>
        <w:autoSpaceDE w:val="0"/>
        <w:autoSpaceDN w:val="0"/>
        <w:adjustRightInd w:val="0"/>
        <w:spacing w:line="420" w:lineRule="exact"/>
        <w:jc w:val="center"/>
        <w:rPr>
          <w:rFonts w:ascii="宋体" w:hAnsi="宋体"/>
          <w:b/>
          <w:bCs/>
          <w:sz w:val="24"/>
          <w:szCs w:val="24"/>
        </w:rPr>
      </w:pPr>
    </w:p>
    <w:p>
      <w:pPr>
        <w:autoSpaceDE w:val="0"/>
        <w:autoSpaceDN w:val="0"/>
        <w:adjustRightInd w:val="0"/>
        <w:spacing w:line="420" w:lineRule="exact"/>
        <w:jc w:val="center"/>
        <w:rPr>
          <w:rFonts w:ascii="宋体" w:hAnsi="宋体"/>
          <w:b/>
          <w:bCs/>
          <w:sz w:val="24"/>
          <w:szCs w:val="24"/>
        </w:rPr>
      </w:pPr>
    </w:p>
    <w:p>
      <w:pPr>
        <w:autoSpaceDE w:val="0"/>
        <w:autoSpaceDN w:val="0"/>
        <w:adjustRightInd w:val="0"/>
        <w:spacing w:line="420" w:lineRule="exact"/>
        <w:jc w:val="center"/>
        <w:rPr>
          <w:rFonts w:ascii="宋体" w:hAnsi="宋体"/>
          <w:b/>
          <w:bCs/>
          <w:sz w:val="24"/>
          <w:szCs w:val="24"/>
        </w:rPr>
      </w:pPr>
    </w:p>
    <w:p>
      <w:pPr>
        <w:autoSpaceDE w:val="0"/>
        <w:autoSpaceDN w:val="0"/>
        <w:adjustRightInd w:val="0"/>
        <w:spacing w:line="420" w:lineRule="exact"/>
        <w:jc w:val="center"/>
        <w:rPr>
          <w:rFonts w:ascii="宋体" w:hAnsi="宋体"/>
          <w:b/>
          <w:bCs/>
          <w:sz w:val="24"/>
          <w:szCs w:val="24"/>
        </w:rPr>
      </w:pPr>
    </w:p>
    <w:p>
      <w:pPr>
        <w:autoSpaceDE w:val="0"/>
        <w:autoSpaceDN w:val="0"/>
        <w:adjustRightInd w:val="0"/>
        <w:spacing w:line="420" w:lineRule="exact"/>
        <w:jc w:val="center"/>
        <w:rPr>
          <w:rFonts w:ascii="宋体" w:hAnsi="宋体"/>
          <w:b/>
          <w:bCs/>
          <w:sz w:val="24"/>
          <w:szCs w:val="24"/>
        </w:rPr>
      </w:pPr>
    </w:p>
    <w:p>
      <w:pPr>
        <w:pStyle w:val="2"/>
      </w:pPr>
    </w:p>
    <w:p/>
    <w:p>
      <w:pPr>
        <w:spacing w:beforeLines="100" w:afterLines="100"/>
        <w:jc w:val="right"/>
        <w:rPr>
          <w:rFonts w:ascii="宋体" w:hAnsi="宋体" w:cs="Times New Roman"/>
          <w:b/>
          <w:bCs/>
          <w:sz w:val="24"/>
          <w:szCs w:val="24"/>
        </w:rPr>
      </w:pPr>
    </w:p>
    <w:p>
      <w:pPr>
        <w:spacing w:beforeLines="100" w:afterLines="100"/>
        <w:jc w:val="right"/>
        <w:rPr>
          <w:rFonts w:ascii="宋体" w:hAnsi="宋体"/>
          <w:b/>
          <w:sz w:val="32"/>
          <w:szCs w:val="32"/>
        </w:rPr>
      </w:pPr>
    </w:p>
    <w:p>
      <w:pPr>
        <w:autoSpaceDE w:val="0"/>
        <w:autoSpaceDN w:val="0"/>
        <w:adjustRightInd w:val="0"/>
        <w:ind w:firstLine="1446" w:firstLineChars="400"/>
        <w:rPr>
          <w:rFonts w:ascii="宋体" w:hAnsi="宋体"/>
          <w:b/>
          <w:bCs/>
          <w:spacing w:val="60"/>
          <w:sz w:val="36"/>
          <w:szCs w:val="36"/>
        </w:rPr>
      </w:pPr>
      <w:r>
        <w:rPr>
          <w:rFonts w:hint="eastAsia" w:ascii="宋体" w:hAnsi="宋体"/>
          <w:b/>
          <w:bCs/>
          <w:sz w:val="36"/>
          <w:szCs w:val="36"/>
          <w:u w:val="single"/>
        </w:rPr>
        <w:t xml:space="preserve">             (项目名称) 标段          </w:t>
      </w:r>
    </w:p>
    <w:p>
      <w:pPr>
        <w:ind w:left="180"/>
        <w:jc w:val="center"/>
        <w:rPr>
          <w:rFonts w:ascii="宋体" w:hAnsi="宋体"/>
          <w:sz w:val="36"/>
          <w:szCs w:val="36"/>
        </w:rPr>
      </w:pPr>
      <w:r>
        <w:rPr>
          <w:rFonts w:hint="eastAsia" w:ascii="宋体" w:hAnsi="宋体"/>
          <w:b/>
          <w:bCs/>
          <w:sz w:val="36"/>
          <w:szCs w:val="36"/>
        </w:rPr>
        <w:t>项目编号：</w:t>
      </w:r>
    </w:p>
    <w:p>
      <w:pPr>
        <w:ind w:left="180"/>
        <w:rPr>
          <w:rFonts w:ascii="宋体" w:hAnsi="宋体"/>
          <w:sz w:val="32"/>
          <w:szCs w:val="32"/>
        </w:rPr>
      </w:pPr>
    </w:p>
    <w:p>
      <w:pPr>
        <w:ind w:left="180"/>
        <w:rPr>
          <w:rFonts w:ascii="宋体" w:hAnsi="宋体"/>
          <w:sz w:val="32"/>
          <w:szCs w:val="32"/>
        </w:rPr>
      </w:pPr>
    </w:p>
    <w:p>
      <w:pPr>
        <w:ind w:left="180"/>
        <w:rPr>
          <w:rFonts w:ascii="宋体" w:hAnsi="宋体"/>
          <w:sz w:val="32"/>
          <w:szCs w:val="32"/>
        </w:rPr>
      </w:pPr>
    </w:p>
    <w:p>
      <w:pPr>
        <w:ind w:left="180"/>
        <w:rPr>
          <w:rFonts w:ascii="宋体" w:hAnsi="宋体"/>
          <w:sz w:val="32"/>
          <w:szCs w:val="32"/>
        </w:rPr>
      </w:pPr>
    </w:p>
    <w:p>
      <w:pPr>
        <w:ind w:left="180"/>
        <w:jc w:val="center"/>
        <w:rPr>
          <w:rFonts w:ascii="宋体" w:hAnsi="宋体"/>
          <w:b/>
          <w:bCs/>
          <w:sz w:val="52"/>
          <w:szCs w:val="52"/>
        </w:rPr>
      </w:pPr>
      <w:r>
        <w:rPr>
          <w:rFonts w:hint="eastAsia" w:ascii="宋体" w:hAnsi="宋体"/>
          <w:b/>
          <w:bCs/>
          <w:sz w:val="52"/>
          <w:szCs w:val="52"/>
        </w:rPr>
        <w:t>投 标 文 件</w:t>
      </w:r>
    </w:p>
    <w:p>
      <w:pPr>
        <w:ind w:left="180"/>
        <w:jc w:val="center"/>
        <w:rPr>
          <w:rFonts w:ascii="宋体" w:hAnsi="宋体"/>
          <w:b/>
          <w:bCs/>
          <w:sz w:val="32"/>
          <w:szCs w:val="32"/>
        </w:rPr>
      </w:pPr>
      <w:r>
        <w:rPr>
          <w:rFonts w:hint="eastAsia" w:ascii="宋体" w:hAnsi="宋体"/>
          <w:b/>
          <w:bCs/>
          <w:sz w:val="32"/>
          <w:szCs w:val="32"/>
        </w:rPr>
        <w:t>（综合信用标）</w:t>
      </w:r>
    </w:p>
    <w:p>
      <w:pPr>
        <w:ind w:left="180"/>
        <w:rPr>
          <w:rFonts w:ascii="宋体" w:hAnsi="宋体"/>
          <w:sz w:val="24"/>
          <w:szCs w:val="24"/>
        </w:rPr>
      </w:pPr>
    </w:p>
    <w:p>
      <w:pPr>
        <w:ind w:left="180"/>
        <w:rPr>
          <w:rFonts w:ascii="宋体" w:hAnsi="宋体"/>
          <w:sz w:val="24"/>
          <w:szCs w:val="24"/>
        </w:rPr>
      </w:pPr>
    </w:p>
    <w:p>
      <w:pPr>
        <w:pStyle w:val="13"/>
        <w:ind w:firstLine="240"/>
        <w:rPr>
          <w:rFonts w:ascii="宋体" w:hAnsi="宋体"/>
          <w:sz w:val="24"/>
          <w:szCs w:val="24"/>
        </w:rPr>
      </w:pPr>
    </w:p>
    <w:p>
      <w:pPr>
        <w:pStyle w:val="13"/>
        <w:ind w:firstLine="240"/>
        <w:rPr>
          <w:rFonts w:ascii="宋体" w:hAnsi="宋体"/>
          <w:sz w:val="24"/>
          <w:szCs w:val="24"/>
        </w:rPr>
      </w:pPr>
    </w:p>
    <w:p>
      <w:pPr>
        <w:ind w:left="180"/>
        <w:rPr>
          <w:rFonts w:ascii="宋体" w:hAnsi="宋体"/>
          <w:sz w:val="24"/>
          <w:szCs w:val="24"/>
        </w:rPr>
      </w:pPr>
    </w:p>
    <w:p>
      <w:pPr>
        <w:pStyle w:val="2"/>
      </w:pPr>
    </w:p>
    <w:p>
      <w:pPr>
        <w:ind w:left="180"/>
        <w:rPr>
          <w:rFonts w:ascii="宋体" w:hAnsi="宋体"/>
          <w:sz w:val="24"/>
          <w:szCs w:val="24"/>
        </w:rPr>
      </w:pPr>
    </w:p>
    <w:p>
      <w:pPr>
        <w:ind w:left="180"/>
        <w:rPr>
          <w:rFonts w:ascii="宋体" w:hAnsi="宋体"/>
          <w:sz w:val="24"/>
          <w:szCs w:val="24"/>
        </w:rPr>
      </w:pPr>
    </w:p>
    <w:p>
      <w:pPr>
        <w:ind w:left="180"/>
        <w:rPr>
          <w:rFonts w:ascii="宋体" w:hAnsi="宋体"/>
          <w:sz w:val="24"/>
          <w:szCs w:val="24"/>
        </w:rPr>
      </w:pPr>
    </w:p>
    <w:p>
      <w:pPr>
        <w:spacing w:line="360" w:lineRule="auto"/>
        <w:ind w:left="181"/>
        <w:jc w:val="center"/>
        <w:rPr>
          <w:rFonts w:ascii="宋体" w:hAnsi="宋体"/>
          <w:b/>
          <w:bCs/>
          <w:sz w:val="30"/>
          <w:szCs w:val="30"/>
        </w:rPr>
      </w:pPr>
      <w:r>
        <w:rPr>
          <w:rFonts w:hint="eastAsia" w:ascii="宋体" w:hAnsi="宋体"/>
          <w:b/>
          <w:bCs/>
          <w:sz w:val="30"/>
          <w:szCs w:val="30"/>
        </w:rPr>
        <w:t xml:space="preserve"> 投标人:(盖单位章)</w:t>
      </w:r>
    </w:p>
    <w:p>
      <w:pPr>
        <w:spacing w:line="360" w:lineRule="auto"/>
        <w:ind w:left="181"/>
        <w:jc w:val="center"/>
        <w:rPr>
          <w:rFonts w:ascii="宋体" w:hAnsi="宋体"/>
          <w:b/>
          <w:bCs/>
          <w:sz w:val="30"/>
          <w:szCs w:val="30"/>
        </w:rPr>
      </w:pPr>
      <w:r>
        <w:rPr>
          <w:rFonts w:hint="eastAsia" w:ascii="宋体" w:hAnsi="宋体"/>
          <w:b/>
          <w:bCs/>
          <w:sz w:val="30"/>
          <w:szCs w:val="30"/>
        </w:rPr>
        <w:t xml:space="preserve">法定代表人或其委托代理人:(签字) </w:t>
      </w:r>
    </w:p>
    <w:p>
      <w:pPr>
        <w:ind w:left="180"/>
        <w:jc w:val="center"/>
        <w:rPr>
          <w:rFonts w:ascii="宋体" w:hAnsi="宋体"/>
          <w:b/>
          <w:bCs/>
          <w:sz w:val="30"/>
          <w:szCs w:val="30"/>
        </w:rPr>
      </w:pPr>
      <w:r>
        <w:rPr>
          <w:rFonts w:hint="eastAsia" w:ascii="宋体" w:hAnsi="宋体"/>
          <w:b/>
          <w:bCs/>
          <w:sz w:val="30"/>
          <w:szCs w:val="30"/>
        </w:rPr>
        <w:t>年月日</w:t>
      </w:r>
    </w:p>
    <w:p>
      <w:pPr>
        <w:autoSpaceDE w:val="0"/>
        <w:autoSpaceDN w:val="0"/>
        <w:adjustRightInd w:val="0"/>
        <w:spacing w:line="420" w:lineRule="exact"/>
        <w:rPr>
          <w:rFonts w:ascii="宋体" w:hAnsi="宋体"/>
          <w:b/>
          <w:bCs/>
          <w:sz w:val="24"/>
          <w:szCs w:val="24"/>
        </w:rPr>
      </w:pPr>
    </w:p>
    <w:p>
      <w:pPr>
        <w:autoSpaceDE w:val="0"/>
        <w:autoSpaceDN w:val="0"/>
        <w:adjustRightInd w:val="0"/>
        <w:spacing w:line="420" w:lineRule="exact"/>
      </w:pPr>
    </w:p>
    <w:p>
      <w:pPr>
        <w:autoSpaceDE w:val="0"/>
        <w:autoSpaceDN w:val="0"/>
        <w:adjustRightInd w:val="0"/>
        <w:spacing w:line="420" w:lineRule="exact"/>
        <w:jc w:val="center"/>
        <w:rPr>
          <w:rFonts w:ascii="宋体" w:hAnsi="宋体"/>
          <w:b/>
          <w:bCs/>
          <w:sz w:val="32"/>
          <w:szCs w:val="32"/>
        </w:rPr>
      </w:pPr>
    </w:p>
    <w:p>
      <w:pPr>
        <w:autoSpaceDE w:val="0"/>
        <w:autoSpaceDN w:val="0"/>
        <w:adjustRightInd w:val="0"/>
        <w:spacing w:line="420" w:lineRule="exact"/>
        <w:jc w:val="center"/>
        <w:rPr>
          <w:rFonts w:ascii="宋体" w:hAnsi="宋体"/>
          <w:b/>
          <w:bCs/>
          <w:sz w:val="32"/>
          <w:szCs w:val="32"/>
        </w:rPr>
      </w:pPr>
    </w:p>
    <w:p>
      <w:pPr>
        <w:autoSpaceDE w:val="0"/>
        <w:autoSpaceDN w:val="0"/>
        <w:adjustRightInd w:val="0"/>
        <w:spacing w:line="420" w:lineRule="exact"/>
        <w:jc w:val="center"/>
        <w:rPr>
          <w:rFonts w:ascii="宋体" w:hAnsi="宋体"/>
          <w:b/>
          <w:bCs/>
          <w:sz w:val="32"/>
          <w:szCs w:val="32"/>
        </w:rPr>
      </w:pPr>
    </w:p>
    <w:p>
      <w:pPr>
        <w:autoSpaceDE w:val="0"/>
        <w:autoSpaceDN w:val="0"/>
        <w:adjustRightInd w:val="0"/>
        <w:spacing w:line="420" w:lineRule="exact"/>
        <w:jc w:val="center"/>
        <w:rPr>
          <w:rFonts w:ascii="宋体" w:hAnsi="宋体"/>
          <w:sz w:val="32"/>
          <w:szCs w:val="32"/>
        </w:rPr>
      </w:pPr>
      <w:r>
        <w:rPr>
          <w:rFonts w:hint="eastAsia" w:ascii="宋体" w:hAnsi="宋体"/>
          <w:b/>
          <w:bCs/>
          <w:sz w:val="32"/>
          <w:szCs w:val="32"/>
        </w:rPr>
        <w:t xml:space="preserve">综合信用标目录 </w:t>
      </w:r>
    </w:p>
    <w:p>
      <w:pPr>
        <w:autoSpaceDE w:val="0"/>
        <w:autoSpaceDN w:val="0"/>
        <w:adjustRightInd w:val="0"/>
        <w:spacing w:line="420" w:lineRule="exact"/>
        <w:jc w:val="left"/>
        <w:rPr>
          <w:rFonts w:ascii="宋体" w:hAnsi="宋体" w:cs="黑体"/>
          <w:kern w:val="0"/>
          <w:sz w:val="28"/>
          <w:szCs w:val="28"/>
        </w:rPr>
      </w:pPr>
    </w:p>
    <w:p>
      <w:pPr>
        <w:autoSpaceDE w:val="0"/>
        <w:autoSpaceDN w:val="0"/>
        <w:adjustRightInd w:val="0"/>
        <w:spacing w:line="420" w:lineRule="exact"/>
        <w:jc w:val="center"/>
        <w:rPr>
          <w:rFonts w:ascii="宋体" w:hAnsi="宋体" w:cs="黑体"/>
          <w:kern w:val="0"/>
          <w:sz w:val="28"/>
          <w:szCs w:val="28"/>
        </w:rPr>
      </w:pPr>
    </w:p>
    <w:p>
      <w:pPr>
        <w:numPr>
          <w:ilvl w:val="0"/>
          <w:numId w:val="4"/>
        </w:numPr>
        <w:autoSpaceDE w:val="0"/>
        <w:autoSpaceDN w:val="0"/>
        <w:spacing w:line="440" w:lineRule="exact"/>
        <w:ind w:firstLine="840" w:firstLineChars="300"/>
        <w:outlineLvl w:val="0"/>
        <w:rPr>
          <w:rFonts w:ascii="宋体" w:hAnsi="宋体"/>
          <w:kern w:val="0"/>
          <w:sz w:val="28"/>
          <w:szCs w:val="28"/>
        </w:rPr>
      </w:pPr>
      <w:r>
        <w:rPr>
          <w:rFonts w:hint="eastAsia" w:ascii="宋体" w:hAnsi="宋体"/>
          <w:kern w:val="0"/>
          <w:sz w:val="28"/>
          <w:szCs w:val="28"/>
        </w:rPr>
        <w:t>投标函</w:t>
      </w:r>
    </w:p>
    <w:p>
      <w:pPr>
        <w:autoSpaceDE w:val="0"/>
        <w:autoSpaceDN w:val="0"/>
        <w:spacing w:line="440" w:lineRule="exact"/>
        <w:ind w:firstLine="840" w:firstLineChars="300"/>
        <w:outlineLvl w:val="0"/>
        <w:rPr>
          <w:rFonts w:ascii="宋体" w:hAnsi="宋体"/>
          <w:kern w:val="0"/>
          <w:sz w:val="28"/>
          <w:szCs w:val="28"/>
        </w:rPr>
      </w:pPr>
      <w:r>
        <w:rPr>
          <w:rFonts w:hint="eastAsia" w:ascii="宋体" w:hAnsi="宋体"/>
          <w:kern w:val="0"/>
          <w:sz w:val="28"/>
          <w:szCs w:val="28"/>
        </w:rPr>
        <w:t>二、投标函附录</w:t>
      </w:r>
    </w:p>
    <w:p>
      <w:pPr>
        <w:autoSpaceDE w:val="0"/>
        <w:autoSpaceDN w:val="0"/>
        <w:spacing w:line="440" w:lineRule="exact"/>
        <w:ind w:firstLine="840" w:firstLineChars="300"/>
        <w:outlineLvl w:val="0"/>
        <w:rPr>
          <w:rFonts w:ascii="宋体" w:hAnsi="宋体"/>
          <w:kern w:val="0"/>
          <w:sz w:val="28"/>
          <w:szCs w:val="28"/>
        </w:rPr>
      </w:pPr>
      <w:r>
        <w:rPr>
          <w:rFonts w:hint="eastAsia" w:ascii="宋体" w:hAnsi="宋体"/>
          <w:kern w:val="0"/>
          <w:sz w:val="28"/>
          <w:szCs w:val="28"/>
        </w:rPr>
        <w:t>三、</w:t>
      </w:r>
      <w:r>
        <w:rPr>
          <w:rFonts w:hint="eastAsia" w:ascii="宋体" w:hAnsi="宋体" w:cs="仿宋_GB2312"/>
          <w:kern w:val="0"/>
          <w:sz w:val="28"/>
          <w:szCs w:val="28"/>
        </w:rPr>
        <w:t>法定代表人身份证明或授权委托书</w:t>
      </w:r>
    </w:p>
    <w:p>
      <w:pPr>
        <w:autoSpaceDE w:val="0"/>
        <w:autoSpaceDN w:val="0"/>
        <w:spacing w:line="440" w:lineRule="exact"/>
        <w:ind w:firstLine="840" w:firstLineChars="300"/>
        <w:outlineLvl w:val="0"/>
        <w:rPr>
          <w:rFonts w:ascii="宋体" w:hAnsi="宋体"/>
          <w:kern w:val="0"/>
          <w:sz w:val="28"/>
          <w:szCs w:val="28"/>
        </w:rPr>
      </w:pPr>
      <w:r>
        <w:rPr>
          <w:rFonts w:hint="eastAsia" w:ascii="宋体" w:hAnsi="宋体"/>
          <w:kern w:val="0"/>
          <w:sz w:val="28"/>
          <w:szCs w:val="28"/>
        </w:rPr>
        <w:t>四、投标担保</w:t>
      </w:r>
    </w:p>
    <w:p>
      <w:pPr>
        <w:autoSpaceDE w:val="0"/>
        <w:autoSpaceDN w:val="0"/>
        <w:spacing w:line="440" w:lineRule="exact"/>
        <w:ind w:left="840"/>
        <w:outlineLvl w:val="0"/>
        <w:rPr>
          <w:rFonts w:ascii="宋体" w:hAnsi="宋体"/>
          <w:kern w:val="0"/>
          <w:sz w:val="28"/>
          <w:szCs w:val="28"/>
        </w:rPr>
      </w:pPr>
      <w:r>
        <w:rPr>
          <w:rFonts w:hint="eastAsia" w:ascii="宋体" w:hAnsi="宋体"/>
          <w:kern w:val="0"/>
          <w:sz w:val="28"/>
          <w:szCs w:val="28"/>
        </w:rPr>
        <w:t>五、项目管理机构配备情况</w:t>
      </w:r>
    </w:p>
    <w:p>
      <w:pPr>
        <w:autoSpaceDE w:val="0"/>
        <w:autoSpaceDN w:val="0"/>
        <w:spacing w:line="440" w:lineRule="exact"/>
        <w:ind w:left="840"/>
        <w:outlineLvl w:val="0"/>
        <w:rPr>
          <w:rFonts w:ascii="宋体" w:hAnsi="宋体"/>
          <w:kern w:val="0"/>
          <w:sz w:val="28"/>
          <w:szCs w:val="28"/>
        </w:rPr>
      </w:pPr>
      <w:r>
        <w:rPr>
          <w:rFonts w:hint="eastAsia" w:ascii="宋体" w:hAnsi="宋体"/>
          <w:kern w:val="0"/>
          <w:sz w:val="28"/>
          <w:szCs w:val="28"/>
        </w:rPr>
        <w:t>六、投标单位基本信息表</w:t>
      </w:r>
    </w:p>
    <w:p>
      <w:pPr>
        <w:autoSpaceDE w:val="0"/>
        <w:autoSpaceDN w:val="0"/>
        <w:spacing w:line="440" w:lineRule="exact"/>
        <w:ind w:left="840"/>
        <w:outlineLvl w:val="0"/>
        <w:rPr>
          <w:rFonts w:ascii="宋体" w:hAnsi="宋体"/>
          <w:kern w:val="0"/>
          <w:sz w:val="28"/>
          <w:szCs w:val="28"/>
        </w:rPr>
      </w:pPr>
      <w:r>
        <w:rPr>
          <w:rFonts w:hint="eastAsia" w:ascii="宋体" w:hAnsi="宋体"/>
          <w:kern w:val="0"/>
          <w:sz w:val="28"/>
          <w:szCs w:val="28"/>
        </w:rPr>
        <w:t>七、资格证明文件</w:t>
      </w:r>
    </w:p>
    <w:p>
      <w:pPr>
        <w:numPr>
          <w:ilvl w:val="0"/>
          <w:numId w:val="5"/>
        </w:numPr>
        <w:autoSpaceDE w:val="0"/>
        <w:autoSpaceDN w:val="0"/>
        <w:spacing w:line="440" w:lineRule="exact"/>
        <w:outlineLvl w:val="0"/>
        <w:rPr>
          <w:rFonts w:ascii="宋体" w:hAnsi="宋体"/>
          <w:kern w:val="0"/>
          <w:sz w:val="28"/>
          <w:szCs w:val="28"/>
        </w:rPr>
      </w:pPr>
      <w:r>
        <w:rPr>
          <w:rFonts w:hint="eastAsia" w:ascii="宋体" w:hAnsi="宋体"/>
          <w:kern w:val="0"/>
          <w:sz w:val="28"/>
          <w:szCs w:val="28"/>
        </w:rPr>
        <w:t>正在施工的和新承接的项目情况</w:t>
      </w:r>
    </w:p>
    <w:p>
      <w:pPr>
        <w:autoSpaceDE w:val="0"/>
        <w:autoSpaceDN w:val="0"/>
        <w:spacing w:line="440" w:lineRule="exact"/>
        <w:ind w:firstLine="840" w:firstLineChars="300"/>
        <w:outlineLvl w:val="0"/>
        <w:rPr>
          <w:rFonts w:ascii="宋体" w:hAnsi="宋体"/>
          <w:kern w:val="0"/>
          <w:sz w:val="28"/>
          <w:szCs w:val="28"/>
        </w:rPr>
      </w:pPr>
      <w:r>
        <w:rPr>
          <w:rFonts w:hint="eastAsia" w:ascii="宋体" w:hAnsi="宋体"/>
          <w:kern w:val="0"/>
          <w:sz w:val="28"/>
          <w:szCs w:val="28"/>
        </w:rPr>
        <w:t>九、承诺书</w:t>
      </w:r>
    </w:p>
    <w:p>
      <w:pPr>
        <w:autoSpaceDE w:val="0"/>
        <w:autoSpaceDN w:val="0"/>
        <w:spacing w:line="440" w:lineRule="exact"/>
        <w:ind w:left="840"/>
        <w:outlineLvl w:val="0"/>
        <w:rPr>
          <w:rFonts w:ascii="宋体" w:hAnsi="宋体"/>
          <w:kern w:val="0"/>
          <w:sz w:val="28"/>
          <w:szCs w:val="28"/>
        </w:rPr>
      </w:pPr>
      <w:r>
        <w:rPr>
          <w:rFonts w:hint="eastAsia" w:ascii="宋体" w:hAnsi="宋体"/>
          <w:kern w:val="0"/>
          <w:sz w:val="28"/>
          <w:szCs w:val="28"/>
        </w:rPr>
        <w:t>十、其它需要提供的材料（如有）</w:t>
      </w:r>
    </w:p>
    <w:p>
      <w:pPr>
        <w:spacing w:line="600" w:lineRule="exact"/>
        <w:ind w:firstLine="1205" w:firstLineChars="500"/>
        <w:rPr>
          <w:rFonts w:ascii="宋体" w:hAnsi="宋体"/>
          <w:b/>
          <w:bCs/>
          <w:sz w:val="24"/>
          <w:szCs w:val="24"/>
        </w:rPr>
      </w:pPr>
      <w:r>
        <w:rPr>
          <w:rFonts w:hint="eastAsia" w:ascii="宋体" w:hAnsi="宋体"/>
          <w:b/>
          <w:bCs/>
          <w:sz w:val="24"/>
          <w:szCs w:val="24"/>
        </w:rPr>
        <w:t>投标文件编制过程中应按本章提供的格式填报。</w:t>
      </w:r>
    </w:p>
    <w:p>
      <w:pPr>
        <w:spacing w:line="600" w:lineRule="exact"/>
        <w:ind w:firstLine="1325" w:firstLineChars="550"/>
        <w:rPr>
          <w:rFonts w:ascii="宋体" w:hAnsi="宋体"/>
          <w:b/>
          <w:bCs/>
          <w:sz w:val="24"/>
          <w:szCs w:val="24"/>
        </w:rPr>
      </w:pPr>
      <w:r>
        <w:rPr>
          <w:rFonts w:hint="eastAsia" w:ascii="宋体" w:hAnsi="宋体"/>
          <w:b/>
          <w:bCs/>
          <w:sz w:val="24"/>
          <w:szCs w:val="24"/>
        </w:rPr>
        <w:t>如有本章未提供的格式，投标人可自行编制。</w:t>
      </w:r>
    </w:p>
    <w:p>
      <w:pPr>
        <w:autoSpaceDE w:val="0"/>
        <w:autoSpaceDN w:val="0"/>
        <w:adjustRightInd w:val="0"/>
        <w:spacing w:line="600" w:lineRule="exact"/>
        <w:ind w:firstLine="708" w:firstLineChars="294"/>
        <w:rPr>
          <w:rFonts w:ascii="宋体" w:hAnsi="宋体" w:cs="仿宋_GB2312"/>
          <w:b/>
          <w:kern w:val="0"/>
          <w:sz w:val="24"/>
        </w:rPr>
      </w:pPr>
    </w:p>
    <w:p>
      <w:pPr>
        <w:tabs>
          <w:tab w:val="center" w:pos="4739"/>
        </w:tabs>
        <w:rPr>
          <w:rFonts w:ascii="宋体" w:hAnsi="宋体"/>
          <w:b/>
          <w:sz w:val="32"/>
        </w:rPr>
      </w:pPr>
    </w:p>
    <w:p>
      <w:pPr>
        <w:tabs>
          <w:tab w:val="center" w:pos="4739"/>
        </w:tabs>
        <w:rPr>
          <w:rFonts w:ascii="宋体" w:hAnsi="宋体"/>
          <w:b/>
          <w:sz w:val="32"/>
        </w:rPr>
      </w:pPr>
    </w:p>
    <w:p>
      <w:pPr>
        <w:tabs>
          <w:tab w:val="center" w:pos="4739"/>
        </w:tabs>
        <w:rPr>
          <w:rFonts w:ascii="宋体" w:hAnsi="宋体"/>
          <w:b/>
          <w:sz w:val="32"/>
        </w:rPr>
      </w:pPr>
    </w:p>
    <w:p>
      <w:pPr>
        <w:tabs>
          <w:tab w:val="center" w:pos="4739"/>
        </w:tabs>
        <w:rPr>
          <w:rFonts w:ascii="宋体" w:hAnsi="宋体"/>
          <w:b/>
          <w:sz w:val="32"/>
        </w:rPr>
      </w:pPr>
    </w:p>
    <w:p>
      <w:pPr>
        <w:tabs>
          <w:tab w:val="center" w:pos="4739"/>
        </w:tabs>
        <w:rPr>
          <w:rFonts w:ascii="宋体" w:hAnsi="宋体"/>
          <w:bCs/>
        </w:rPr>
      </w:pPr>
    </w:p>
    <w:p>
      <w:pPr>
        <w:tabs>
          <w:tab w:val="center" w:pos="4739"/>
        </w:tabs>
        <w:ind w:left="180"/>
        <w:jc w:val="center"/>
        <w:rPr>
          <w:rFonts w:ascii="宋体" w:hAnsi="宋体"/>
          <w:b/>
          <w:sz w:val="32"/>
        </w:rPr>
      </w:pPr>
      <w:r>
        <w:rPr>
          <w:rFonts w:ascii="宋体" w:hAnsi="宋体"/>
          <w:b/>
          <w:sz w:val="32"/>
        </w:rPr>
        <w:br w:type="page"/>
      </w:r>
    </w:p>
    <w:p>
      <w:pPr>
        <w:tabs>
          <w:tab w:val="center" w:pos="4739"/>
        </w:tabs>
        <w:ind w:left="180"/>
        <w:jc w:val="center"/>
        <w:rPr>
          <w:rFonts w:ascii="宋体" w:hAnsi="宋体"/>
          <w:b/>
          <w:sz w:val="32"/>
        </w:rPr>
      </w:pPr>
    </w:p>
    <w:p>
      <w:pPr>
        <w:tabs>
          <w:tab w:val="center" w:pos="4739"/>
        </w:tabs>
        <w:ind w:left="180"/>
        <w:jc w:val="center"/>
        <w:rPr>
          <w:rFonts w:ascii="宋体" w:hAnsi="宋体"/>
          <w:sz w:val="28"/>
          <w:szCs w:val="28"/>
        </w:rPr>
      </w:pPr>
      <w:r>
        <w:rPr>
          <w:rFonts w:hint="eastAsia" w:ascii="宋体" w:hAnsi="宋体"/>
          <w:b/>
          <w:sz w:val="32"/>
        </w:rPr>
        <w:t>一、投标函</w:t>
      </w:r>
    </w:p>
    <w:p>
      <w:pPr>
        <w:spacing w:line="440" w:lineRule="exact"/>
        <w:rPr>
          <w:rFonts w:ascii="宋体" w:hAnsi="宋体"/>
          <w:sz w:val="24"/>
          <w:szCs w:val="24"/>
        </w:rPr>
      </w:pPr>
      <w:r>
        <w:rPr>
          <w:rFonts w:hint="eastAsia" w:ascii="宋体" w:hAnsi="宋体"/>
          <w:sz w:val="24"/>
          <w:szCs w:val="24"/>
        </w:rPr>
        <w:t>致：（招标人名称）</w:t>
      </w:r>
    </w:p>
    <w:p>
      <w:pPr>
        <w:spacing w:line="440" w:lineRule="exact"/>
        <w:ind w:firstLine="480" w:firstLineChars="200"/>
        <w:rPr>
          <w:rFonts w:ascii="宋体" w:hAnsi="宋体"/>
          <w:sz w:val="24"/>
          <w:szCs w:val="24"/>
        </w:rPr>
      </w:pPr>
      <w:r>
        <w:rPr>
          <w:rFonts w:hint="eastAsia" w:ascii="宋体" w:hAnsi="宋体"/>
          <w:sz w:val="24"/>
          <w:szCs w:val="24"/>
        </w:rPr>
        <w:t>在考察现场并充分研究（项目名称）（以下简称“本工程”）施工招标文件的全部内容后，我方兹以：</w:t>
      </w:r>
    </w:p>
    <w:p>
      <w:pPr>
        <w:spacing w:line="440" w:lineRule="exact"/>
        <w:ind w:left="540" w:leftChars="257"/>
        <w:rPr>
          <w:rFonts w:ascii="宋体" w:hAnsi="宋体"/>
          <w:sz w:val="24"/>
          <w:szCs w:val="24"/>
        </w:rPr>
      </w:pPr>
      <w:r>
        <w:rPr>
          <w:rFonts w:hint="eastAsia" w:ascii="宋体" w:hAnsi="宋体"/>
          <w:sz w:val="24"/>
          <w:szCs w:val="24"/>
        </w:rPr>
        <w:t xml:space="preserve">人民币（大写）：元 </w:t>
      </w:r>
    </w:p>
    <w:p>
      <w:pPr>
        <w:spacing w:line="440" w:lineRule="exact"/>
        <w:ind w:left="540" w:leftChars="257"/>
        <w:rPr>
          <w:rFonts w:ascii="宋体" w:hAnsi="宋体"/>
          <w:sz w:val="24"/>
          <w:szCs w:val="24"/>
        </w:rPr>
      </w:pPr>
      <w:r>
        <w:rPr>
          <w:rFonts w:hint="eastAsia" w:ascii="宋体" w:hAnsi="宋体"/>
          <w:sz w:val="24"/>
          <w:szCs w:val="24"/>
        </w:rPr>
        <w:t>RMB￥：元</w:t>
      </w:r>
    </w:p>
    <w:p>
      <w:pPr>
        <w:spacing w:line="440" w:lineRule="exact"/>
        <w:rPr>
          <w:rFonts w:ascii="宋体" w:hAnsi="宋体"/>
          <w:sz w:val="24"/>
          <w:szCs w:val="24"/>
        </w:rPr>
      </w:pPr>
      <w:r>
        <w:rPr>
          <w:rFonts w:hint="eastAsia" w:ascii="宋体" w:hAnsi="宋体"/>
          <w:sz w:val="24"/>
          <w:szCs w:val="24"/>
        </w:rPr>
        <w:t>的投标价格和按合同约定有权得到的其它金额，并严格按照合同约定，施工、竣工和交付本工程并维修其中的任何缺陷。</w:t>
      </w:r>
    </w:p>
    <w:p>
      <w:pPr>
        <w:spacing w:line="480" w:lineRule="exact"/>
        <w:ind w:firstLine="480" w:firstLineChars="200"/>
        <w:rPr>
          <w:rFonts w:ascii="宋体" w:hAnsi="宋体"/>
          <w:sz w:val="24"/>
          <w:szCs w:val="24"/>
        </w:rPr>
      </w:pPr>
      <w:r>
        <w:rPr>
          <w:rFonts w:hint="eastAsia" w:ascii="宋体" w:hAnsi="宋体"/>
          <w:sz w:val="24"/>
          <w:szCs w:val="24"/>
        </w:rPr>
        <w:t>在我方的上述投标总报价中，包括：</w:t>
      </w:r>
    </w:p>
    <w:p>
      <w:pPr>
        <w:spacing w:line="480" w:lineRule="exact"/>
        <w:ind w:firstLine="480" w:firstLineChars="200"/>
        <w:rPr>
          <w:rFonts w:ascii="宋体" w:hAnsi="宋体"/>
          <w:sz w:val="24"/>
          <w:szCs w:val="24"/>
        </w:rPr>
      </w:pPr>
      <w:r>
        <w:rPr>
          <w:rFonts w:hint="eastAsia" w:ascii="宋体" w:hAnsi="宋体"/>
          <w:sz w:val="24"/>
          <w:szCs w:val="24"/>
        </w:rPr>
        <w:t>规费RMB￥：元</w:t>
      </w:r>
    </w:p>
    <w:p>
      <w:pPr>
        <w:spacing w:line="480" w:lineRule="exact"/>
        <w:ind w:firstLine="480" w:firstLineChars="200"/>
        <w:rPr>
          <w:rFonts w:ascii="宋体" w:hAnsi="宋体"/>
          <w:sz w:val="24"/>
          <w:szCs w:val="24"/>
        </w:rPr>
      </w:pPr>
      <w:r>
        <w:rPr>
          <w:rFonts w:hint="eastAsia" w:ascii="宋体" w:hAnsi="宋体"/>
          <w:sz w:val="24"/>
          <w:szCs w:val="24"/>
        </w:rPr>
        <w:t>税金RMB￥：元</w:t>
      </w:r>
    </w:p>
    <w:p>
      <w:pPr>
        <w:spacing w:line="480" w:lineRule="exact"/>
        <w:ind w:firstLine="480" w:firstLineChars="200"/>
        <w:rPr>
          <w:rFonts w:ascii="宋体" w:hAnsi="宋体"/>
          <w:sz w:val="24"/>
          <w:szCs w:val="24"/>
        </w:rPr>
      </w:pPr>
      <w:r>
        <w:rPr>
          <w:rFonts w:hint="eastAsia" w:ascii="宋体" w:hAnsi="宋体"/>
          <w:sz w:val="24"/>
          <w:szCs w:val="24"/>
        </w:rPr>
        <w:t>安全文明措施费RMB￥：元</w:t>
      </w:r>
    </w:p>
    <w:p>
      <w:pPr>
        <w:spacing w:line="440" w:lineRule="exact"/>
        <w:ind w:firstLine="480" w:firstLineChars="200"/>
        <w:rPr>
          <w:rFonts w:ascii="宋体" w:hAnsi="宋体"/>
          <w:sz w:val="24"/>
          <w:szCs w:val="24"/>
        </w:rPr>
      </w:pPr>
      <w:r>
        <w:rPr>
          <w:rFonts w:hint="eastAsia" w:ascii="宋体" w:hAnsi="宋体"/>
          <w:sz w:val="24"/>
          <w:szCs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40" w:lineRule="exact"/>
        <w:ind w:firstLine="480" w:firstLineChars="200"/>
        <w:rPr>
          <w:rFonts w:ascii="宋体" w:hAnsi="宋体"/>
          <w:sz w:val="24"/>
          <w:szCs w:val="24"/>
        </w:rPr>
      </w:pPr>
      <w:r>
        <w:rPr>
          <w:rFonts w:hint="eastAsia" w:ascii="宋体" w:hAnsi="宋体"/>
          <w:sz w:val="24"/>
          <w:szCs w:val="24"/>
        </w:rPr>
        <w:t>随本投标函递交的投标函附录是本投标函的组成部分，对我方构成约束力。</w:t>
      </w:r>
    </w:p>
    <w:p>
      <w:pPr>
        <w:spacing w:line="440" w:lineRule="exact"/>
        <w:ind w:firstLine="480" w:firstLineChars="200"/>
        <w:rPr>
          <w:rFonts w:ascii="宋体" w:hAnsi="宋体"/>
          <w:sz w:val="24"/>
          <w:szCs w:val="24"/>
        </w:rPr>
      </w:pPr>
      <w:r>
        <w:rPr>
          <w:rFonts w:hint="eastAsia" w:ascii="宋体" w:hAnsi="宋体"/>
          <w:sz w:val="24"/>
          <w:szCs w:val="24"/>
        </w:rPr>
        <w:t>随同本投标函递交投标保证金一份，金额为人民币（大写）：元。</w:t>
      </w:r>
    </w:p>
    <w:p>
      <w:pPr>
        <w:spacing w:line="440" w:lineRule="exact"/>
        <w:ind w:firstLine="480" w:firstLineChars="200"/>
        <w:rPr>
          <w:rFonts w:ascii="宋体" w:hAnsi="宋体"/>
          <w:sz w:val="24"/>
          <w:szCs w:val="24"/>
        </w:rPr>
      </w:pPr>
      <w:r>
        <w:rPr>
          <w:rFonts w:hint="eastAsia" w:ascii="宋体" w:hAnsi="宋体"/>
          <w:sz w:val="24"/>
          <w:szCs w:val="24"/>
        </w:rPr>
        <w:t>在签署协议书之前，你方的中标通知书连同本投标函，包括投标函附录，对双方具有约束力。</w:t>
      </w: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3360" w:firstLineChars="1400"/>
        <w:rPr>
          <w:rFonts w:ascii="宋体" w:hAnsi="宋体"/>
          <w:sz w:val="24"/>
          <w:szCs w:val="24"/>
        </w:rPr>
      </w:pPr>
      <w:r>
        <w:rPr>
          <w:rFonts w:hint="eastAsia" w:ascii="宋体" w:hAnsi="宋体"/>
          <w:sz w:val="24"/>
          <w:szCs w:val="24"/>
        </w:rPr>
        <w:t>投标人（盖章）：</w:t>
      </w:r>
    </w:p>
    <w:p>
      <w:pPr>
        <w:spacing w:line="440" w:lineRule="exact"/>
        <w:ind w:firstLine="3240" w:firstLineChars="1350"/>
        <w:rPr>
          <w:rFonts w:ascii="宋体" w:hAnsi="宋体"/>
          <w:sz w:val="24"/>
          <w:szCs w:val="24"/>
        </w:rPr>
      </w:pPr>
      <w:r>
        <w:rPr>
          <w:rFonts w:hint="eastAsia" w:ascii="宋体" w:hAnsi="宋体"/>
          <w:sz w:val="24"/>
          <w:szCs w:val="24"/>
        </w:rPr>
        <w:t>法定代表人或委托代理人（</w:t>
      </w:r>
      <w:r>
        <w:rPr>
          <w:rFonts w:hint="eastAsia" w:ascii="宋体" w:hAnsi="宋体" w:cs="宋体"/>
          <w:kern w:val="0"/>
          <w:sz w:val="24"/>
          <w:szCs w:val="24"/>
        </w:rPr>
        <w:t>签字</w:t>
      </w:r>
      <w:r>
        <w:rPr>
          <w:rFonts w:hint="eastAsia" w:ascii="宋体" w:hAnsi="宋体"/>
          <w:sz w:val="24"/>
          <w:szCs w:val="24"/>
        </w:rPr>
        <w:t>）：</w:t>
      </w:r>
    </w:p>
    <w:p>
      <w:pPr>
        <w:spacing w:line="440" w:lineRule="exact"/>
        <w:ind w:firstLine="3360" w:firstLineChars="1400"/>
        <w:rPr>
          <w:rFonts w:ascii="宋体" w:hAnsi="宋体"/>
          <w:sz w:val="24"/>
          <w:szCs w:val="24"/>
        </w:rPr>
      </w:pPr>
      <w:r>
        <w:rPr>
          <w:rFonts w:hint="eastAsia" w:ascii="宋体" w:hAnsi="宋体"/>
          <w:sz w:val="24"/>
          <w:szCs w:val="24"/>
        </w:rPr>
        <w:t>日期：年月日</w:t>
      </w:r>
    </w:p>
    <w:p>
      <w:pPr>
        <w:tabs>
          <w:tab w:val="center" w:pos="4739"/>
        </w:tabs>
        <w:jc w:val="center"/>
        <w:rPr>
          <w:rFonts w:ascii="新宋体" w:hAnsi="新宋体" w:eastAsia="新宋体" w:cs="黑体"/>
          <w:b/>
          <w:kern w:val="0"/>
        </w:rPr>
      </w:pPr>
      <w:r>
        <w:rPr>
          <w:rFonts w:ascii="新宋体" w:hAnsi="新宋体" w:eastAsia="新宋体" w:cs="黑体"/>
          <w:b/>
          <w:kern w:val="0"/>
        </w:rPr>
        <w:br w:type="page"/>
      </w:r>
    </w:p>
    <w:p>
      <w:pPr>
        <w:tabs>
          <w:tab w:val="center" w:pos="4739"/>
        </w:tabs>
        <w:jc w:val="center"/>
        <w:rPr>
          <w:rFonts w:ascii="新宋体" w:hAnsi="新宋体" w:eastAsia="新宋体" w:cs="黑体"/>
          <w:b/>
          <w:kern w:val="0"/>
        </w:rPr>
      </w:pPr>
    </w:p>
    <w:p>
      <w:pPr>
        <w:tabs>
          <w:tab w:val="center" w:pos="4739"/>
        </w:tabs>
        <w:jc w:val="center"/>
        <w:rPr>
          <w:rFonts w:ascii="黑体" w:hAnsi="新宋体" w:eastAsia="黑体" w:cs="黑体"/>
          <w:kern w:val="0"/>
          <w:sz w:val="28"/>
          <w:szCs w:val="28"/>
        </w:rPr>
      </w:pPr>
      <w:r>
        <w:rPr>
          <w:rFonts w:hint="eastAsia" w:ascii="宋体" w:hAnsi="宋体"/>
          <w:b/>
          <w:sz w:val="32"/>
        </w:rPr>
        <w:t>二、投标函附录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488"/>
        <w:gridCol w:w="709"/>
        <w:gridCol w:w="1165"/>
        <w:gridCol w:w="1188"/>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736" w:type="dxa"/>
            <w:noWrap/>
            <w:vAlign w:val="center"/>
          </w:tcPr>
          <w:p>
            <w:pPr>
              <w:jc w:val="center"/>
              <w:rPr>
                <w:rFonts w:ascii="宋体" w:hAnsi="宋体"/>
                <w:sz w:val="24"/>
                <w:szCs w:val="24"/>
              </w:rPr>
            </w:pPr>
            <w:r>
              <w:rPr>
                <w:rFonts w:hint="eastAsia" w:ascii="宋体" w:hAnsi="宋体"/>
                <w:sz w:val="24"/>
                <w:szCs w:val="24"/>
              </w:rPr>
              <w:t>工程名称</w:t>
            </w:r>
          </w:p>
        </w:tc>
        <w:tc>
          <w:tcPr>
            <w:tcW w:w="6607" w:type="dxa"/>
            <w:gridSpan w:val="5"/>
            <w:noWrap/>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noWrap/>
            <w:vAlign w:val="center"/>
          </w:tcPr>
          <w:p>
            <w:pPr>
              <w:jc w:val="center"/>
              <w:rPr>
                <w:rFonts w:ascii="宋体" w:hAnsi="宋体"/>
                <w:sz w:val="24"/>
                <w:szCs w:val="24"/>
              </w:rPr>
            </w:pPr>
            <w:r>
              <w:rPr>
                <w:rFonts w:hint="eastAsia" w:ascii="宋体" w:hAnsi="宋体"/>
                <w:sz w:val="24"/>
                <w:szCs w:val="24"/>
              </w:rPr>
              <w:t>投标人</w:t>
            </w:r>
          </w:p>
        </w:tc>
        <w:tc>
          <w:tcPr>
            <w:tcW w:w="6607" w:type="dxa"/>
            <w:gridSpan w:val="5"/>
            <w:noWrap/>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noWrap/>
            <w:vAlign w:val="center"/>
          </w:tcPr>
          <w:p>
            <w:pPr>
              <w:jc w:val="center"/>
              <w:rPr>
                <w:rFonts w:ascii="宋体" w:hAnsi="宋体"/>
                <w:sz w:val="24"/>
                <w:szCs w:val="24"/>
              </w:rPr>
            </w:pPr>
            <w:r>
              <w:rPr>
                <w:rFonts w:hint="eastAsia" w:ascii="宋体" w:hAnsi="宋体"/>
                <w:sz w:val="24"/>
                <w:szCs w:val="24"/>
              </w:rPr>
              <w:t>项目经理</w:t>
            </w:r>
          </w:p>
        </w:tc>
        <w:tc>
          <w:tcPr>
            <w:tcW w:w="1488" w:type="dxa"/>
            <w:noWrap/>
            <w:vAlign w:val="center"/>
          </w:tcPr>
          <w:p>
            <w:pPr>
              <w:jc w:val="center"/>
              <w:rPr>
                <w:rFonts w:ascii="宋体" w:hAnsi="宋体"/>
                <w:sz w:val="24"/>
                <w:szCs w:val="24"/>
              </w:rPr>
            </w:pPr>
          </w:p>
        </w:tc>
        <w:tc>
          <w:tcPr>
            <w:tcW w:w="709" w:type="dxa"/>
            <w:noWrap/>
            <w:vAlign w:val="center"/>
          </w:tcPr>
          <w:p>
            <w:pPr>
              <w:jc w:val="center"/>
              <w:rPr>
                <w:rFonts w:ascii="宋体" w:hAnsi="宋体"/>
                <w:sz w:val="24"/>
                <w:szCs w:val="24"/>
              </w:rPr>
            </w:pPr>
            <w:r>
              <w:rPr>
                <w:rFonts w:hint="eastAsia" w:ascii="宋体" w:hAnsi="宋体"/>
                <w:sz w:val="24"/>
                <w:szCs w:val="24"/>
              </w:rPr>
              <w:t>级别</w:t>
            </w:r>
          </w:p>
        </w:tc>
        <w:tc>
          <w:tcPr>
            <w:tcW w:w="1165" w:type="dxa"/>
            <w:noWrap/>
            <w:vAlign w:val="center"/>
          </w:tcPr>
          <w:p>
            <w:pPr>
              <w:jc w:val="center"/>
              <w:rPr>
                <w:rFonts w:ascii="宋体" w:hAnsi="宋体"/>
                <w:sz w:val="24"/>
                <w:szCs w:val="24"/>
              </w:rPr>
            </w:pPr>
          </w:p>
        </w:tc>
        <w:tc>
          <w:tcPr>
            <w:tcW w:w="1188" w:type="dxa"/>
            <w:noWrap/>
            <w:vAlign w:val="center"/>
          </w:tcPr>
          <w:p>
            <w:pPr>
              <w:jc w:val="center"/>
              <w:rPr>
                <w:rFonts w:ascii="宋体" w:hAnsi="宋体"/>
                <w:sz w:val="24"/>
                <w:szCs w:val="24"/>
              </w:rPr>
            </w:pPr>
            <w:r>
              <w:rPr>
                <w:rFonts w:hint="eastAsia" w:ascii="宋体" w:hAnsi="宋体"/>
                <w:sz w:val="24"/>
                <w:szCs w:val="24"/>
              </w:rPr>
              <w:t>证书编号</w:t>
            </w:r>
          </w:p>
        </w:tc>
        <w:tc>
          <w:tcPr>
            <w:tcW w:w="2057" w:type="dxa"/>
            <w:noWrap/>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noWrap/>
            <w:vAlign w:val="center"/>
          </w:tcPr>
          <w:p>
            <w:pPr>
              <w:jc w:val="center"/>
              <w:rPr>
                <w:rFonts w:ascii="宋体" w:hAnsi="宋体"/>
                <w:sz w:val="24"/>
                <w:szCs w:val="24"/>
              </w:rPr>
            </w:pPr>
            <w:r>
              <w:rPr>
                <w:rFonts w:hint="eastAsia" w:ascii="宋体" w:hAnsi="宋体"/>
                <w:sz w:val="24"/>
                <w:szCs w:val="24"/>
              </w:rPr>
              <w:t>技术负责人</w:t>
            </w:r>
          </w:p>
        </w:tc>
        <w:tc>
          <w:tcPr>
            <w:tcW w:w="1488" w:type="dxa"/>
            <w:noWrap/>
            <w:vAlign w:val="center"/>
          </w:tcPr>
          <w:p>
            <w:pPr>
              <w:jc w:val="center"/>
              <w:rPr>
                <w:rFonts w:ascii="宋体" w:hAnsi="宋体"/>
                <w:sz w:val="24"/>
                <w:szCs w:val="24"/>
              </w:rPr>
            </w:pPr>
          </w:p>
        </w:tc>
        <w:tc>
          <w:tcPr>
            <w:tcW w:w="709" w:type="dxa"/>
            <w:noWrap/>
            <w:vAlign w:val="center"/>
          </w:tcPr>
          <w:p>
            <w:pPr>
              <w:jc w:val="center"/>
              <w:rPr>
                <w:rFonts w:ascii="宋体" w:hAnsi="宋体"/>
                <w:sz w:val="24"/>
                <w:szCs w:val="24"/>
              </w:rPr>
            </w:pPr>
            <w:r>
              <w:rPr>
                <w:rFonts w:hint="eastAsia" w:ascii="宋体" w:hAnsi="宋体"/>
                <w:sz w:val="24"/>
                <w:szCs w:val="24"/>
              </w:rPr>
              <w:t>级别</w:t>
            </w:r>
          </w:p>
        </w:tc>
        <w:tc>
          <w:tcPr>
            <w:tcW w:w="1165" w:type="dxa"/>
            <w:noWrap/>
            <w:vAlign w:val="center"/>
          </w:tcPr>
          <w:p>
            <w:pPr>
              <w:jc w:val="center"/>
              <w:rPr>
                <w:rFonts w:ascii="宋体" w:hAnsi="宋体"/>
                <w:sz w:val="24"/>
                <w:szCs w:val="24"/>
              </w:rPr>
            </w:pPr>
          </w:p>
        </w:tc>
        <w:tc>
          <w:tcPr>
            <w:tcW w:w="1188" w:type="dxa"/>
            <w:noWrap/>
            <w:vAlign w:val="center"/>
          </w:tcPr>
          <w:p>
            <w:pPr>
              <w:jc w:val="center"/>
              <w:rPr>
                <w:rFonts w:ascii="宋体" w:hAnsi="宋体"/>
                <w:sz w:val="24"/>
                <w:szCs w:val="24"/>
              </w:rPr>
            </w:pPr>
            <w:r>
              <w:rPr>
                <w:rFonts w:hint="eastAsia" w:ascii="宋体" w:hAnsi="宋体"/>
                <w:sz w:val="24"/>
                <w:szCs w:val="24"/>
              </w:rPr>
              <w:t>证书编号</w:t>
            </w:r>
          </w:p>
        </w:tc>
        <w:tc>
          <w:tcPr>
            <w:tcW w:w="2057" w:type="dxa"/>
            <w:noWrap/>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Merge w:val="restart"/>
            <w:noWrap/>
            <w:vAlign w:val="center"/>
          </w:tcPr>
          <w:p>
            <w:pPr>
              <w:jc w:val="center"/>
              <w:rPr>
                <w:rFonts w:ascii="宋体" w:hAnsi="宋体"/>
                <w:sz w:val="24"/>
                <w:szCs w:val="24"/>
              </w:rPr>
            </w:pPr>
            <w:r>
              <w:rPr>
                <w:rFonts w:hint="eastAsia" w:ascii="宋体" w:hAnsi="宋体"/>
                <w:sz w:val="24"/>
                <w:szCs w:val="24"/>
              </w:rPr>
              <w:t>投标总报价</w:t>
            </w:r>
          </w:p>
        </w:tc>
        <w:tc>
          <w:tcPr>
            <w:tcW w:w="3362" w:type="dxa"/>
            <w:gridSpan w:val="3"/>
            <w:noWrap/>
            <w:vAlign w:val="center"/>
          </w:tcPr>
          <w:p>
            <w:pPr>
              <w:pStyle w:val="13"/>
              <w:ind w:firstLine="0" w:firstLineChars="0"/>
              <w:rPr>
                <w:rFonts w:ascii="宋体" w:hAnsi="宋体"/>
                <w:sz w:val="24"/>
                <w:szCs w:val="24"/>
              </w:rPr>
            </w:pPr>
            <w:r>
              <w:rPr>
                <w:rFonts w:hint="eastAsia" w:ascii="宋体" w:hAnsi="宋体"/>
                <w:sz w:val="24"/>
                <w:szCs w:val="24"/>
              </w:rPr>
              <w:t>（大写）</w:t>
            </w:r>
          </w:p>
          <w:p>
            <w:pPr>
              <w:pStyle w:val="13"/>
              <w:ind w:firstLine="0" w:firstLineChars="0"/>
              <w:rPr>
                <w:rFonts w:ascii="宋体" w:hAnsi="宋体"/>
                <w:sz w:val="24"/>
                <w:szCs w:val="24"/>
              </w:rPr>
            </w:pPr>
          </w:p>
        </w:tc>
        <w:tc>
          <w:tcPr>
            <w:tcW w:w="3245" w:type="dxa"/>
            <w:gridSpan w:val="2"/>
            <w:noWrap/>
            <w:vAlign w:val="center"/>
          </w:tcPr>
          <w:p>
            <w:pPr>
              <w:widowControl/>
              <w:jc w:val="left"/>
              <w:rPr>
                <w:rFonts w:ascii="宋体" w:hAnsi="宋体"/>
                <w:sz w:val="24"/>
                <w:szCs w:val="24"/>
              </w:rPr>
            </w:pPr>
            <w:r>
              <w:rPr>
                <w:rFonts w:hint="eastAsia" w:ascii="宋体" w:hAnsi="宋体"/>
                <w:sz w:val="24"/>
                <w:szCs w:val="24"/>
              </w:rPr>
              <w:t>（小写）</w:t>
            </w:r>
          </w:p>
          <w:p>
            <w:pPr>
              <w:pStyle w:val="13"/>
              <w:ind w:firstLine="2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Merge w:val="continue"/>
            <w:noWrap/>
            <w:vAlign w:val="center"/>
          </w:tcPr>
          <w:p>
            <w:pPr>
              <w:jc w:val="center"/>
              <w:rPr>
                <w:rFonts w:ascii="宋体" w:hAnsi="宋体"/>
                <w:sz w:val="24"/>
                <w:szCs w:val="24"/>
              </w:rPr>
            </w:pPr>
          </w:p>
        </w:tc>
        <w:tc>
          <w:tcPr>
            <w:tcW w:w="6607" w:type="dxa"/>
            <w:gridSpan w:val="5"/>
            <w:noWrap/>
            <w:vAlign w:val="center"/>
          </w:tcPr>
          <w:p>
            <w:pPr>
              <w:rPr>
                <w:rFonts w:ascii="宋体" w:hAnsi="宋体"/>
                <w:sz w:val="24"/>
                <w:szCs w:val="24"/>
              </w:rPr>
            </w:pPr>
            <w:r>
              <w:rPr>
                <w:rFonts w:hint="eastAsia" w:ascii="宋体" w:hAnsi="宋体"/>
                <w:sz w:val="24"/>
                <w:szCs w:val="24"/>
              </w:rPr>
              <w:t>其中：</w:t>
            </w:r>
          </w:p>
          <w:p>
            <w:pPr>
              <w:rPr>
                <w:rFonts w:ascii="宋体" w:hAnsi="宋体"/>
                <w:sz w:val="24"/>
                <w:szCs w:val="24"/>
              </w:rPr>
            </w:pPr>
            <w:r>
              <w:rPr>
                <w:rFonts w:hint="eastAsia" w:ascii="宋体" w:hAnsi="宋体"/>
                <w:sz w:val="24"/>
                <w:szCs w:val="24"/>
              </w:rPr>
              <w:t>规费RMB￥：               元</w:t>
            </w:r>
          </w:p>
          <w:p>
            <w:pPr>
              <w:rPr>
                <w:rFonts w:ascii="宋体" w:hAnsi="宋体"/>
                <w:sz w:val="24"/>
                <w:szCs w:val="24"/>
              </w:rPr>
            </w:pPr>
            <w:r>
              <w:rPr>
                <w:rFonts w:hint="eastAsia" w:ascii="宋体" w:hAnsi="宋体"/>
                <w:sz w:val="24"/>
                <w:szCs w:val="24"/>
              </w:rPr>
              <w:t xml:space="preserve">税金RMB￥：               元    </w:t>
            </w:r>
          </w:p>
          <w:p>
            <w:pPr>
              <w:rPr>
                <w:rFonts w:ascii="宋体" w:hAnsi="宋体"/>
                <w:sz w:val="24"/>
                <w:szCs w:val="24"/>
              </w:rPr>
            </w:pPr>
            <w:r>
              <w:rPr>
                <w:rFonts w:hint="eastAsia" w:ascii="宋体" w:hAnsi="宋体"/>
                <w:sz w:val="24"/>
                <w:szCs w:val="24"/>
              </w:rPr>
              <w:t>安全文明措施费RMB￥：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noWrap/>
            <w:vAlign w:val="center"/>
          </w:tcPr>
          <w:p>
            <w:pPr>
              <w:jc w:val="center"/>
              <w:rPr>
                <w:rFonts w:ascii="宋体" w:hAnsi="宋体"/>
                <w:sz w:val="24"/>
                <w:szCs w:val="24"/>
              </w:rPr>
            </w:pPr>
            <w:r>
              <w:rPr>
                <w:rFonts w:hint="eastAsia" w:ascii="宋体" w:hAnsi="宋体"/>
                <w:sz w:val="24"/>
                <w:szCs w:val="24"/>
              </w:rPr>
              <w:t>投标质量等级</w:t>
            </w:r>
          </w:p>
        </w:tc>
        <w:tc>
          <w:tcPr>
            <w:tcW w:w="6607" w:type="dxa"/>
            <w:gridSpan w:val="5"/>
            <w:noWrap/>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noWrap/>
            <w:vAlign w:val="center"/>
          </w:tcPr>
          <w:p>
            <w:pPr>
              <w:jc w:val="center"/>
              <w:rPr>
                <w:rFonts w:ascii="宋体" w:hAnsi="宋体"/>
                <w:sz w:val="24"/>
                <w:szCs w:val="24"/>
              </w:rPr>
            </w:pPr>
            <w:r>
              <w:rPr>
                <w:rFonts w:hint="eastAsia" w:ascii="宋体" w:hAnsi="宋体"/>
                <w:sz w:val="24"/>
                <w:szCs w:val="24"/>
              </w:rPr>
              <w:t>投标工期</w:t>
            </w:r>
          </w:p>
        </w:tc>
        <w:tc>
          <w:tcPr>
            <w:tcW w:w="6607" w:type="dxa"/>
            <w:gridSpan w:val="5"/>
            <w:noWrap/>
            <w:vAlign w:val="center"/>
          </w:tcPr>
          <w:p>
            <w:pPr>
              <w:jc w:val="center"/>
              <w:rPr>
                <w:rFonts w:ascii="宋体" w:hAnsi="宋体"/>
                <w:sz w:val="24"/>
                <w:szCs w:val="24"/>
              </w:rPr>
            </w:pPr>
            <w:r>
              <w:rPr>
                <w:rFonts w:hint="eastAsia" w:ascii="宋体" w:hAnsi="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noWrap/>
            <w:vAlign w:val="center"/>
          </w:tcPr>
          <w:p>
            <w:pPr>
              <w:jc w:val="center"/>
              <w:rPr>
                <w:rFonts w:ascii="宋体" w:hAnsi="宋体"/>
                <w:sz w:val="24"/>
                <w:szCs w:val="24"/>
              </w:rPr>
            </w:pPr>
            <w:r>
              <w:rPr>
                <w:rFonts w:hint="eastAsia" w:ascii="宋体" w:hAnsi="宋体"/>
                <w:sz w:val="24"/>
                <w:szCs w:val="24"/>
              </w:rPr>
              <w:t>投标有效期</w:t>
            </w:r>
          </w:p>
        </w:tc>
        <w:tc>
          <w:tcPr>
            <w:tcW w:w="6607" w:type="dxa"/>
            <w:gridSpan w:val="5"/>
            <w:noWrap/>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43" w:type="dxa"/>
            <w:gridSpan w:val="6"/>
            <w:noWrap/>
            <w:vAlign w:val="top"/>
          </w:tcPr>
          <w:p>
            <w:pPr>
              <w:rPr>
                <w:rFonts w:ascii="宋体" w:hAnsi="宋体" w:cs="宋体"/>
                <w:sz w:val="24"/>
              </w:rPr>
            </w:pPr>
            <w:r>
              <w:rPr>
                <w:rFonts w:hint="eastAsia" w:ascii="宋体" w:hAnsi="宋体" w:cs="宋体"/>
                <w:sz w:val="24"/>
              </w:rPr>
              <w:t xml:space="preserve"> 优惠与服务承诺：</w:t>
            </w:r>
          </w:p>
          <w:p>
            <w:pPr>
              <w:rPr>
                <w:rFonts w:ascii="宋体" w:hAnsi="宋体"/>
                <w:sz w:val="24"/>
                <w:szCs w:val="24"/>
              </w:rPr>
            </w:pPr>
          </w:p>
          <w:p>
            <w:pPr>
              <w:rPr>
                <w:rFonts w:ascii="宋体" w:hAnsi="宋体"/>
                <w:sz w:val="24"/>
                <w:szCs w:val="24"/>
              </w:rPr>
            </w:pPr>
          </w:p>
          <w:p>
            <w:pPr>
              <w:rPr>
                <w:rFonts w:ascii="宋体" w:hAnsi="宋体"/>
                <w:sz w:val="24"/>
                <w:szCs w:val="24"/>
              </w:rPr>
            </w:pPr>
          </w:p>
        </w:tc>
      </w:tr>
    </w:tbl>
    <w:p>
      <w:pPr>
        <w:ind w:right="895"/>
        <w:jc w:val="center"/>
        <w:rPr>
          <w:rFonts w:ascii="新宋体" w:hAnsi="新宋体" w:eastAsia="新宋体"/>
        </w:rPr>
      </w:pPr>
    </w:p>
    <w:p>
      <w:pPr>
        <w:ind w:right="895"/>
        <w:jc w:val="center"/>
        <w:rPr>
          <w:rFonts w:ascii="新宋体" w:hAnsi="新宋体" w:eastAsia="新宋体"/>
          <w:sz w:val="24"/>
          <w:szCs w:val="24"/>
        </w:rPr>
      </w:pPr>
      <w:r>
        <w:rPr>
          <w:rFonts w:hint="eastAsia" w:ascii="新宋体" w:hAnsi="新宋体" w:eastAsia="新宋体"/>
          <w:sz w:val="24"/>
          <w:szCs w:val="24"/>
        </w:rPr>
        <w:t>投标单位（盖章）：</w:t>
      </w:r>
    </w:p>
    <w:p>
      <w:pPr>
        <w:ind w:right="735"/>
        <w:jc w:val="center"/>
        <w:rPr>
          <w:rFonts w:ascii="新宋体" w:hAnsi="新宋体" w:eastAsia="新宋体"/>
          <w:sz w:val="24"/>
          <w:szCs w:val="24"/>
        </w:rPr>
      </w:pPr>
      <w:r>
        <w:rPr>
          <w:rFonts w:hint="eastAsia" w:ascii="新宋体" w:hAnsi="新宋体" w:eastAsia="新宋体"/>
          <w:sz w:val="24"/>
          <w:szCs w:val="24"/>
        </w:rPr>
        <w:t xml:space="preserve">                                法定代表人或委托代理人（</w:t>
      </w:r>
      <w:r>
        <w:rPr>
          <w:rFonts w:hint="eastAsia" w:ascii="宋体" w:hAnsi="宋体" w:cs="宋体"/>
          <w:kern w:val="0"/>
          <w:sz w:val="24"/>
          <w:szCs w:val="24"/>
        </w:rPr>
        <w:t>签字</w:t>
      </w:r>
      <w:r>
        <w:rPr>
          <w:rFonts w:hint="eastAsia" w:ascii="新宋体" w:hAnsi="新宋体" w:eastAsia="新宋体"/>
          <w:sz w:val="24"/>
          <w:szCs w:val="24"/>
        </w:rPr>
        <w:t>）：</w:t>
      </w:r>
    </w:p>
    <w:p>
      <w:pPr>
        <w:ind w:right="1695"/>
        <w:jc w:val="right"/>
        <w:rPr>
          <w:rFonts w:ascii="新宋体" w:hAnsi="新宋体" w:eastAsia="新宋体"/>
          <w:sz w:val="24"/>
          <w:szCs w:val="24"/>
        </w:rPr>
      </w:pPr>
      <w:r>
        <w:rPr>
          <w:rFonts w:hint="eastAsia" w:ascii="新宋体" w:hAnsi="新宋体" w:eastAsia="新宋体"/>
          <w:sz w:val="24"/>
          <w:szCs w:val="24"/>
        </w:rPr>
        <w:t>年 月 日</w:t>
      </w:r>
    </w:p>
    <w:p>
      <w:pPr>
        <w:tabs>
          <w:tab w:val="center" w:pos="4739"/>
        </w:tabs>
        <w:jc w:val="center"/>
        <w:rPr>
          <w:rFonts w:ascii="黑体" w:hAnsi="新宋体" w:eastAsia="黑体" w:cs="黑体"/>
          <w:kern w:val="0"/>
          <w:sz w:val="24"/>
          <w:szCs w:val="24"/>
        </w:rPr>
      </w:pPr>
      <w:r>
        <w:rPr>
          <w:rFonts w:ascii="黑体" w:hAnsi="新宋体" w:eastAsia="黑体" w:cs="黑体"/>
          <w:kern w:val="0"/>
          <w:sz w:val="24"/>
          <w:szCs w:val="24"/>
        </w:rPr>
        <w:br w:type="page"/>
      </w:r>
    </w:p>
    <w:p>
      <w:pPr>
        <w:tabs>
          <w:tab w:val="center" w:pos="4739"/>
        </w:tabs>
        <w:jc w:val="center"/>
        <w:rPr>
          <w:rFonts w:ascii="黑体" w:hAnsi="新宋体" w:eastAsia="黑体" w:cs="黑体"/>
          <w:kern w:val="0"/>
          <w:sz w:val="24"/>
          <w:szCs w:val="24"/>
        </w:rPr>
      </w:pPr>
    </w:p>
    <w:p>
      <w:pPr>
        <w:tabs>
          <w:tab w:val="center" w:pos="4739"/>
        </w:tabs>
        <w:jc w:val="center"/>
        <w:rPr>
          <w:rFonts w:ascii="宋体" w:hAnsi="宋体" w:cs="仿宋_GB2312"/>
          <w:b/>
          <w:kern w:val="0"/>
          <w:sz w:val="28"/>
          <w:szCs w:val="28"/>
        </w:rPr>
      </w:pPr>
      <w:r>
        <w:rPr>
          <w:rFonts w:hint="eastAsia" w:ascii="宋体" w:hAnsi="宋体"/>
          <w:b/>
          <w:sz w:val="32"/>
        </w:rPr>
        <w:t>三、法定代表人身份证明或授权委托书</w:t>
      </w: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r>
        <w:rPr>
          <w:rFonts w:hint="eastAsia" w:ascii="黑体" w:hAnsi="新宋体" w:eastAsia="黑体" w:cs="黑体"/>
          <w:kern w:val="0"/>
          <w:sz w:val="28"/>
          <w:szCs w:val="28"/>
        </w:rPr>
        <w:t>（一）法定代表人身份证明</w:t>
      </w:r>
    </w:p>
    <w:p>
      <w:pPr>
        <w:autoSpaceDE w:val="0"/>
        <w:autoSpaceDN w:val="0"/>
        <w:adjustRightInd w:val="0"/>
        <w:spacing w:line="420" w:lineRule="exact"/>
        <w:jc w:val="center"/>
        <w:rPr>
          <w:rFonts w:ascii="宋体" w:hAnsi="宋体" w:cs="黑体"/>
          <w:kern w:val="0"/>
          <w:sz w:val="28"/>
          <w:szCs w:val="28"/>
        </w:rPr>
      </w:pP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投标人名称：</w:t>
      </w: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单位性质：</w:t>
      </w: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地址：</w:t>
      </w: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成立时间：年月日</w:t>
      </w: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经营期限：</w:t>
      </w: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姓名：性别：年龄：职务：</w:t>
      </w: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系（投标人名称）的法定代表人。</w:t>
      </w:r>
    </w:p>
    <w:p>
      <w:pPr>
        <w:autoSpaceDE w:val="0"/>
        <w:autoSpaceDN w:val="0"/>
        <w:adjustRightInd w:val="0"/>
        <w:spacing w:line="420" w:lineRule="exact"/>
        <w:ind w:firstLine="480" w:firstLineChars="200"/>
        <w:jc w:val="left"/>
        <w:rPr>
          <w:rFonts w:ascii="宋体" w:hAnsi="宋体" w:cs="仿宋_GB2312"/>
          <w:kern w:val="0"/>
          <w:sz w:val="24"/>
          <w:szCs w:val="24"/>
        </w:rPr>
      </w:pP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特此证明。</w:t>
      </w:r>
    </w:p>
    <w:p>
      <w:pPr>
        <w:autoSpaceDE w:val="0"/>
        <w:autoSpaceDN w:val="0"/>
        <w:adjustRightInd w:val="0"/>
        <w:spacing w:line="420" w:lineRule="exact"/>
        <w:ind w:firstLine="480" w:firstLineChars="200"/>
        <w:jc w:val="right"/>
        <w:rPr>
          <w:rFonts w:ascii="宋体" w:hAnsi="宋体" w:cs="仿宋_GB2312"/>
          <w:kern w:val="0"/>
          <w:sz w:val="24"/>
          <w:szCs w:val="24"/>
        </w:rPr>
      </w:pPr>
    </w:p>
    <w:p>
      <w:pPr>
        <w:autoSpaceDE w:val="0"/>
        <w:autoSpaceDN w:val="0"/>
        <w:adjustRightInd w:val="0"/>
        <w:spacing w:line="420" w:lineRule="exact"/>
        <w:ind w:firstLine="480" w:firstLineChars="200"/>
        <w:jc w:val="right"/>
        <w:rPr>
          <w:rFonts w:ascii="宋体" w:hAnsi="宋体" w:cs="仿宋_GB2312"/>
          <w:kern w:val="0"/>
          <w:sz w:val="24"/>
          <w:szCs w:val="24"/>
        </w:rPr>
      </w:pPr>
      <w:r>
        <w:rPr>
          <w:rFonts w:hint="eastAsia" w:ascii="宋体" w:hAnsi="宋体" w:cs="仿宋_GB2312"/>
          <w:kern w:val="0"/>
          <w:sz w:val="24"/>
          <w:szCs w:val="24"/>
        </w:rPr>
        <w:t>投标人：（盖单位章）</w:t>
      </w:r>
    </w:p>
    <w:p>
      <w:pPr>
        <w:autoSpaceDE w:val="0"/>
        <w:autoSpaceDN w:val="0"/>
        <w:adjustRightInd w:val="0"/>
        <w:spacing w:line="420" w:lineRule="exact"/>
        <w:ind w:firstLine="480" w:firstLineChars="200"/>
        <w:jc w:val="right"/>
        <w:rPr>
          <w:rFonts w:ascii="宋体" w:hAnsi="宋体" w:cs="仿宋_GB2312"/>
          <w:kern w:val="0"/>
          <w:sz w:val="24"/>
          <w:szCs w:val="24"/>
        </w:rPr>
      </w:pPr>
      <w:r>
        <w:rPr>
          <w:rFonts w:hint="eastAsia" w:ascii="宋体" w:hAnsi="宋体" w:cs="仿宋_GB2312"/>
          <w:kern w:val="0"/>
          <w:sz w:val="24"/>
          <w:szCs w:val="24"/>
        </w:rPr>
        <w:t>年月日</w:t>
      </w:r>
    </w:p>
    <w:p>
      <w:pPr>
        <w:autoSpaceDE w:val="0"/>
        <w:autoSpaceDN w:val="0"/>
        <w:adjustRightInd w:val="0"/>
        <w:spacing w:line="420" w:lineRule="exact"/>
        <w:jc w:val="center"/>
        <w:outlineLvl w:val="0"/>
        <w:rPr>
          <w:rFonts w:ascii="黑体" w:hAnsi="新宋体" w:eastAsia="黑体" w:cs="黑体"/>
          <w:kern w:val="0"/>
          <w:sz w:val="24"/>
          <w:szCs w:val="24"/>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r>
        <w:rPr>
          <w:rFonts w:hint="eastAsia" w:ascii="黑体" w:hAnsi="新宋体" w:eastAsia="黑体" w:cs="黑体"/>
          <w:kern w:val="0"/>
          <w:sz w:val="28"/>
          <w:szCs w:val="28"/>
        </w:rPr>
        <w:t>（二）授权委托书</w:t>
      </w:r>
    </w:p>
    <w:p>
      <w:pPr>
        <w:autoSpaceDE w:val="0"/>
        <w:autoSpaceDN w:val="0"/>
        <w:adjustRightInd w:val="0"/>
        <w:spacing w:line="420" w:lineRule="exact"/>
        <w:jc w:val="center"/>
        <w:outlineLvl w:val="0"/>
        <w:rPr>
          <w:rFonts w:ascii="黑体" w:hAnsi="新宋体" w:eastAsia="黑体" w:cs="黑体"/>
          <w:kern w:val="0"/>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我系的法定代表人，现授权委托（身份证号： ，联系电话：)为我公司处理</w:t>
      </w:r>
      <w:r>
        <w:rPr>
          <w:rFonts w:hint="eastAsia" w:ascii="宋体" w:hAnsi="宋体"/>
          <w:sz w:val="24"/>
          <w:szCs w:val="24"/>
        </w:rPr>
        <w:t>（</w:t>
      </w:r>
      <w:r>
        <w:rPr>
          <w:rFonts w:hint="eastAsia" w:ascii="宋体" w:hAnsi="宋体"/>
          <w:sz w:val="24"/>
          <w:szCs w:val="24"/>
          <w:u w:val="single"/>
        </w:rPr>
        <w:t>项目名称）</w:t>
      </w:r>
      <w:r>
        <w:rPr>
          <w:rFonts w:hint="eastAsia" w:ascii="宋体" w:hAnsi="宋体" w:cs="宋体"/>
          <w:sz w:val="24"/>
          <w:szCs w:val="24"/>
        </w:rPr>
        <w:t>项目投标事宜的唯一授权委托人，该项委托权不得转让。</w:t>
      </w:r>
    </w:p>
    <w:p>
      <w:pPr>
        <w:spacing w:line="360" w:lineRule="auto"/>
        <w:ind w:firstLine="480" w:firstLineChars="200"/>
        <w:rPr>
          <w:rFonts w:ascii="宋体" w:hAnsi="宋体" w:cs="宋体"/>
          <w:sz w:val="24"/>
          <w:szCs w:val="24"/>
        </w:rPr>
      </w:pPr>
      <w:r>
        <w:rPr>
          <w:rFonts w:hint="eastAsia" w:ascii="宋体" w:hAnsi="宋体" w:cs="宋体"/>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autoSpaceDE w:val="0"/>
        <w:autoSpaceDN w:val="0"/>
        <w:adjustRightInd w:val="0"/>
        <w:spacing w:line="360" w:lineRule="auto"/>
        <w:ind w:firstLine="480" w:firstLineChars="200"/>
        <w:jc w:val="left"/>
        <w:rPr>
          <w:rFonts w:ascii="宋体" w:hAnsi="宋体" w:cs="仿宋_GB2312"/>
          <w:color w:val="000000"/>
          <w:kern w:val="0"/>
          <w:sz w:val="24"/>
          <w:szCs w:val="24"/>
        </w:rPr>
      </w:pPr>
      <w:r>
        <w:rPr>
          <w:rFonts w:hint="eastAsia" w:ascii="宋体" w:hAnsi="宋体" w:cs="仿宋_GB2312"/>
          <w:color w:val="000000"/>
          <w:kern w:val="0"/>
          <w:sz w:val="24"/>
          <w:szCs w:val="24"/>
        </w:rPr>
        <w:t xml:space="preserve"> 附：法定代表人（单位负责人）及授权委托人身份证复印件（正反面）</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投标单位：                       （盖章）</w:t>
      </w:r>
    </w:p>
    <w:p>
      <w:pPr>
        <w:spacing w:line="360" w:lineRule="auto"/>
        <w:ind w:firstLine="480" w:firstLineChars="200"/>
        <w:rPr>
          <w:rFonts w:ascii="宋体" w:hAnsi="宋体" w:cs="宋体"/>
          <w:sz w:val="24"/>
          <w:szCs w:val="24"/>
        </w:rPr>
      </w:pPr>
      <w:r>
        <w:rPr>
          <w:rFonts w:hint="eastAsia" w:ascii="宋体" w:hAnsi="宋体" w:cs="宋体"/>
          <w:sz w:val="24"/>
          <w:szCs w:val="24"/>
        </w:rPr>
        <w:t>法定代表人：                     （签字）</w:t>
      </w:r>
    </w:p>
    <w:p>
      <w:pPr>
        <w:spacing w:line="360" w:lineRule="auto"/>
        <w:ind w:firstLine="480" w:firstLineChars="200"/>
        <w:rPr>
          <w:rFonts w:ascii="宋体" w:hAnsi="宋体" w:cs="宋体"/>
          <w:sz w:val="24"/>
          <w:szCs w:val="24"/>
        </w:rPr>
      </w:pPr>
      <w:r>
        <w:rPr>
          <w:rFonts w:hint="eastAsia" w:ascii="宋体" w:hAnsi="宋体" w:cs="宋体"/>
          <w:sz w:val="24"/>
          <w:szCs w:val="24"/>
        </w:rPr>
        <w:t>受委托人：                       （签字）</w:t>
      </w:r>
    </w:p>
    <w:p>
      <w:pPr>
        <w:spacing w:line="360" w:lineRule="auto"/>
        <w:ind w:firstLine="480" w:firstLineChars="200"/>
        <w:rPr>
          <w:rFonts w:ascii="宋体" w:hAnsi="宋体"/>
          <w:bCs/>
          <w:sz w:val="24"/>
          <w:szCs w:val="24"/>
        </w:rPr>
      </w:pPr>
      <w:r>
        <w:rPr>
          <w:rFonts w:hint="eastAsia" w:ascii="宋体" w:hAnsi="宋体" w:cs="宋体"/>
          <w:sz w:val="24"/>
          <w:szCs w:val="24"/>
        </w:rPr>
        <w:t xml:space="preserve">                                                年   月   日</w:t>
      </w:r>
    </w:p>
    <w:p>
      <w:pPr>
        <w:tabs>
          <w:tab w:val="center" w:pos="4739"/>
        </w:tabs>
        <w:jc w:val="center"/>
        <w:rPr>
          <w:rFonts w:ascii="宋体" w:hAnsi="宋体"/>
          <w:b/>
          <w:kern w:val="0"/>
          <w:sz w:val="32"/>
        </w:rPr>
      </w:pPr>
      <w:r>
        <w:rPr>
          <w:rFonts w:ascii="宋体" w:hAnsi="宋体"/>
          <w:b/>
          <w:kern w:val="0"/>
          <w:sz w:val="32"/>
        </w:rPr>
        <w:br w:type="page"/>
      </w:r>
    </w:p>
    <w:p>
      <w:pPr>
        <w:tabs>
          <w:tab w:val="center" w:pos="4739"/>
        </w:tabs>
        <w:jc w:val="center"/>
        <w:rPr>
          <w:rFonts w:ascii="宋体" w:hAnsi="宋体"/>
          <w:b/>
          <w:kern w:val="0"/>
          <w:sz w:val="32"/>
        </w:rPr>
      </w:pPr>
    </w:p>
    <w:p>
      <w:pPr>
        <w:tabs>
          <w:tab w:val="center" w:pos="4739"/>
        </w:tabs>
        <w:jc w:val="center"/>
        <w:rPr>
          <w:rFonts w:ascii="宋体" w:hAnsi="宋体"/>
          <w:b/>
          <w:kern w:val="0"/>
          <w:sz w:val="32"/>
        </w:rPr>
      </w:pPr>
      <w:r>
        <w:rPr>
          <w:rFonts w:hint="eastAsia" w:ascii="宋体" w:hAnsi="宋体"/>
          <w:b/>
          <w:sz w:val="32"/>
        </w:rPr>
        <w:t>四、投标担保</w:t>
      </w:r>
    </w:p>
    <w:p>
      <w:pPr>
        <w:pStyle w:val="6"/>
        <w:spacing w:line="360" w:lineRule="auto"/>
        <w:contextualSpacing/>
        <w:rPr>
          <w:rFonts w:hAnsi="宋体" w:cs="Calibri"/>
          <w:kern w:val="2"/>
        </w:rPr>
      </w:pPr>
      <w:r>
        <w:rPr>
          <w:rFonts w:hint="eastAsia" w:hAnsi="宋体" w:cs="Calibri"/>
          <w:kern w:val="2"/>
        </w:rPr>
        <w:t>1.如使用基本账户转账递交投标担保的，附有效银行转账凭证及缴纳成功回执单；</w:t>
      </w:r>
    </w:p>
    <w:p>
      <w:pPr>
        <w:pStyle w:val="6"/>
        <w:spacing w:line="360" w:lineRule="auto"/>
        <w:contextualSpacing/>
        <w:rPr>
          <w:rFonts w:hAnsi="宋体" w:cs="Calibri"/>
          <w:kern w:val="2"/>
        </w:rPr>
      </w:pPr>
      <w:r>
        <w:rPr>
          <w:rFonts w:hint="eastAsia" w:hAnsi="宋体" w:cs="Calibri"/>
          <w:kern w:val="2"/>
        </w:rPr>
        <w:t>2.如使用保函递交投标担保的，附保函原件扫描件（或图片），保函格式按住建部：</w:t>
      </w:r>
    </w:p>
    <w:p>
      <w:pPr>
        <w:pStyle w:val="6"/>
        <w:spacing w:line="360" w:lineRule="auto"/>
        <w:contextualSpacing/>
        <w:rPr>
          <w:rFonts w:hAnsi="宋体" w:cs="Calibri"/>
          <w:kern w:val="2"/>
        </w:rPr>
      </w:pPr>
      <w:r>
        <w:rPr>
          <w:rFonts w:hint="eastAsia" w:hAnsi="宋体" w:cs="Calibri"/>
          <w:kern w:val="2"/>
        </w:rPr>
        <w:t>建市（2021）11号文附件1：</w:t>
      </w:r>
    </w:p>
    <w:p>
      <w:pPr>
        <w:pStyle w:val="6"/>
        <w:spacing w:line="360" w:lineRule="auto"/>
        <w:contextualSpacing/>
        <w:jc w:val="center"/>
        <w:rPr>
          <w:rFonts w:hAnsi="宋体" w:cs="Calibri"/>
          <w:kern w:val="2"/>
        </w:rPr>
      </w:pPr>
      <w:r>
        <w:rPr>
          <w:rFonts w:hint="eastAsia" w:hAnsi="宋体" w:cs="Calibri"/>
          <w:kern w:val="2"/>
        </w:rPr>
        <w:t>投标保函示范文本</w:t>
      </w:r>
    </w:p>
    <w:p>
      <w:pPr>
        <w:pStyle w:val="6"/>
        <w:spacing w:line="360" w:lineRule="auto"/>
        <w:contextualSpacing/>
        <w:jc w:val="center"/>
        <w:rPr>
          <w:rFonts w:hAnsi="宋体" w:cs="Calibri"/>
          <w:kern w:val="2"/>
        </w:rPr>
      </w:pPr>
      <w:r>
        <w:rPr>
          <w:rFonts w:hint="eastAsia" w:hAnsi="宋体" w:cs="Calibri"/>
          <w:kern w:val="2"/>
        </w:rPr>
        <w:t>（独立保函）</w:t>
      </w:r>
    </w:p>
    <w:p>
      <w:pPr>
        <w:pStyle w:val="6"/>
        <w:spacing w:line="360" w:lineRule="auto"/>
        <w:contextualSpacing/>
        <w:jc w:val="center"/>
        <w:rPr>
          <w:rFonts w:hAnsi="宋体" w:cs="Calibri"/>
          <w:kern w:val="2"/>
        </w:rPr>
      </w:pPr>
      <w:r>
        <w:rPr>
          <w:rFonts w:hint="eastAsia" w:hAnsi="宋体" w:cs="Calibri"/>
          <w:kern w:val="2"/>
        </w:rPr>
        <w:t xml:space="preserve">                                                      编号：           </w:t>
      </w:r>
    </w:p>
    <w:p>
      <w:pPr>
        <w:spacing w:line="360" w:lineRule="auto"/>
        <w:rPr>
          <w:rFonts w:ascii="宋体" w:hAnsi="宋体"/>
          <w:sz w:val="24"/>
          <w:szCs w:val="24"/>
        </w:rPr>
      </w:pPr>
      <w:bookmarkStart w:id="322" w:name="_Hlk40303117"/>
      <w:r>
        <w:rPr>
          <w:rFonts w:hint="eastAsia" w:ascii="宋体" w:hAnsi="宋体"/>
          <w:sz w:val="24"/>
          <w:szCs w:val="24"/>
        </w:rPr>
        <w:t>申请人：</w:t>
      </w:r>
    </w:p>
    <w:p>
      <w:pPr>
        <w:spacing w:line="360" w:lineRule="auto"/>
        <w:rPr>
          <w:rFonts w:ascii="宋体" w:hAnsi="宋体"/>
          <w:sz w:val="24"/>
          <w:szCs w:val="24"/>
        </w:rPr>
      </w:pPr>
      <w:r>
        <w:rPr>
          <w:rFonts w:hint="eastAsia" w:ascii="宋体" w:hAnsi="宋体"/>
          <w:sz w:val="24"/>
          <w:szCs w:val="24"/>
        </w:rPr>
        <w:t>地址</w:t>
      </w:r>
      <w:r>
        <w:rPr>
          <w:rFonts w:ascii="宋体" w:hAnsi="宋体"/>
          <w:sz w:val="24"/>
          <w:szCs w:val="24"/>
        </w:rPr>
        <w:t>：</w:t>
      </w:r>
    </w:p>
    <w:p>
      <w:pPr>
        <w:spacing w:line="360" w:lineRule="auto"/>
        <w:rPr>
          <w:rFonts w:ascii="宋体" w:hAnsi="宋体"/>
          <w:sz w:val="24"/>
          <w:szCs w:val="24"/>
        </w:rPr>
      </w:pPr>
      <w:r>
        <w:rPr>
          <w:rFonts w:hint="eastAsia" w:ascii="宋体" w:hAnsi="宋体"/>
          <w:sz w:val="24"/>
          <w:szCs w:val="24"/>
        </w:rPr>
        <w:t>受益人：</w:t>
      </w:r>
    </w:p>
    <w:p>
      <w:pPr>
        <w:spacing w:line="360" w:lineRule="auto"/>
        <w:rPr>
          <w:rFonts w:ascii="宋体" w:hAnsi="宋体"/>
          <w:sz w:val="24"/>
          <w:szCs w:val="24"/>
        </w:rPr>
      </w:pPr>
      <w:r>
        <w:rPr>
          <w:rFonts w:hint="eastAsia" w:ascii="宋体" w:hAnsi="宋体"/>
          <w:sz w:val="24"/>
          <w:szCs w:val="24"/>
        </w:rPr>
        <w:t>地址：</w:t>
      </w:r>
    </w:p>
    <w:p>
      <w:pPr>
        <w:spacing w:line="360" w:lineRule="auto"/>
        <w:rPr>
          <w:rFonts w:ascii="宋体" w:hAnsi="宋体"/>
          <w:sz w:val="24"/>
          <w:szCs w:val="24"/>
        </w:rPr>
      </w:pPr>
      <w:r>
        <w:rPr>
          <w:rFonts w:hint="eastAsia" w:ascii="宋体" w:hAnsi="宋体"/>
          <w:sz w:val="24"/>
          <w:szCs w:val="24"/>
        </w:rPr>
        <w:t>开立人：</w:t>
      </w:r>
    </w:p>
    <w:p>
      <w:pPr>
        <w:spacing w:line="360" w:lineRule="auto"/>
        <w:rPr>
          <w:rFonts w:ascii="宋体" w:hAnsi="宋体"/>
          <w:sz w:val="24"/>
          <w:szCs w:val="24"/>
        </w:rPr>
      </w:pPr>
      <w:r>
        <w:rPr>
          <w:rFonts w:hint="eastAsia" w:ascii="宋体" w:hAnsi="宋体"/>
          <w:sz w:val="24"/>
          <w:szCs w:val="24"/>
        </w:rPr>
        <w:t>地址：</w:t>
      </w:r>
    </w:p>
    <w:p>
      <w:pPr>
        <w:spacing w:line="360" w:lineRule="auto"/>
        <w:rPr>
          <w:rFonts w:ascii="宋体" w:hAnsi="宋体"/>
          <w:sz w:val="24"/>
          <w:szCs w:val="24"/>
        </w:rPr>
      </w:pPr>
      <w:r>
        <w:rPr>
          <w:rFonts w:hint="eastAsia" w:ascii="宋体" w:hAnsi="宋体"/>
          <w:sz w:val="24"/>
          <w:szCs w:val="24"/>
        </w:rPr>
        <w:t>致：（受益人名称）</w:t>
      </w:r>
    </w:p>
    <w:p>
      <w:pPr>
        <w:spacing w:line="360" w:lineRule="auto"/>
        <w:ind w:firstLine="480"/>
        <w:rPr>
          <w:rFonts w:ascii="宋体" w:hAnsi="宋体"/>
          <w:sz w:val="24"/>
          <w:szCs w:val="24"/>
        </w:rPr>
      </w:pPr>
      <w:r>
        <w:rPr>
          <w:rFonts w:hint="eastAsia" w:ascii="宋体" w:hAnsi="宋体"/>
          <w:sz w:val="24"/>
          <w:szCs w:val="24"/>
        </w:rPr>
        <w:t>我方（即“开立人”）已获得通知，本保函申请人（即“投标人”）已响应贵方于年月日就（以下简称“本工程”）发出的招标文件，并已向招标人（即“受益人”）提交了投标文件（即“基础交易”）。</w:t>
      </w:r>
    </w:p>
    <w:p>
      <w:pPr>
        <w:spacing w:line="360" w:lineRule="auto"/>
        <w:ind w:firstLine="480" w:firstLineChars="200"/>
        <w:rPr>
          <w:rFonts w:ascii="宋体" w:hAnsi="宋体"/>
          <w:sz w:val="24"/>
          <w:szCs w:val="24"/>
        </w:rPr>
      </w:pPr>
      <w:r>
        <w:rPr>
          <w:rFonts w:hint="eastAsia" w:ascii="宋体" w:hAnsi="宋体"/>
          <w:sz w:val="24"/>
          <w:szCs w:val="24"/>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w:t>
      </w:r>
      <w:r>
        <w:rPr>
          <w:rFonts w:ascii="宋体" w:hAnsi="宋体"/>
          <w:sz w:val="24"/>
          <w:szCs w:val="24"/>
        </w:rPr>
        <w:t>人民币（大写）元（¥）。</w:t>
      </w:r>
    </w:p>
    <w:p>
      <w:pPr>
        <w:spacing w:line="360" w:lineRule="auto"/>
        <w:ind w:firstLine="480" w:firstLineChars="200"/>
        <w:rPr>
          <w:rFonts w:ascii="宋体" w:hAnsi="宋体"/>
          <w:sz w:val="24"/>
          <w:szCs w:val="24"/>
        </w:rPr>
      </w:pPr>
      <w:r>
        <w:rPr>
          <w:rFonts w:hint="eastAsia" w:ascii="宋体" w:hAnsi="宋体"/>
          <w:sz w:val="24"/>
          <w:szCs w:val="24"/>
        </w:rPr>
        <w:t>二、我方在投标人发生以下情形时承担保证担保责任：</w:t>
      </w:r>
    </w:p>
    <w:p>
      <w:pPr>
        <w:pStyle w:val="22"/>
        <w:spacing w:line="360" w:lineRule="auto"/>
        <w:ind w:left="480" w:firstLine="0" w:firstLineChars="0"/>
        <w:rPr>
          <w:rFonts w:ascii="宋体" w:hAnsi="宋体"/>
          <w:sz w:val="24"/>
          <w:szCs w:val="24"/>
        </w:rPr>
      </w:pPr>
      <w:r>
        <w:rPr>
          <w:rFonts w:hint="eastAsia" w:ascii="宋体" w:hAnsi="宋体" w:cs="Times New Roman"/>
          <w:sz w:val="24"/>
          <w:szCs w:val="24"/>
        </w:rPr>
        <w:t>（1）投标</w:t>
      </w:r>
      <w:r>
        <w:rPr>
          <w:rFonts w:ascii="宋体" w:hAnsi="宋体"/>
          <w:sz w:val="24"/>
          <w:szCs w:val="24"/>
        </w:rPr>
        <w:t xml:space="preserve">人在开标后和投标有效期满之前撤销投标的； </w:t>
      </w:r>
    </w:p>
    <w:p>
      <w:pPr>
        <w:pStyle w:val="22"/>
        <w:spacing w:line="360" w:lineRule="auto"/>
        <w:ind w:firstLine="480" w:firstLineChars="0"/>
        <w:rPr>
          <w:rFonts w:ascii="宋体" w:hAnsi="宋体"/>
          <w:sz w:val="24"/>
          <w:szCs w:val="24"/>
        </w:rPr>
      </w:pPr>
      <w:r>
        <w:rPr>
          <w:rFonts w:hint="eastAsia" w:ascii="宋体" w:hAnsi="宋体"/>
          <w:sz w:val="24"/>
          <w:szCs w:val="24"/>
        </w:rPr>
        <w:t>（2）</w:t>
      </w:r>
      <w:r>
        <w:rPr>
          <w:rFonts w:ascii="宋体" w:hAnsi="宋体"/>
          <w:sz w:val="24"/>
          <w:szCs w:val="24"/>
        </w:rPr>
        <w:t>投标人在收到中标通知后，</w:t>
      </w:r>
      <w:r>
        <w:rPr>
          <w:rFonts w:hint="eastAsia" w:ascii="宋体" w:hAnsi="宋体"/>
          <w:sz w:val="24"/>
          <w:szCs w:val="24"/>
        </w:rPr>
        <w:t>不能或拒绝</w:t>
      </w:r>
      <w:r>
        <w:rPr>
          <w:rFonts w:ascii="宋体" w:hAnsi="宋体"/>
          <w:sz w:val="24"/>
          <w:szCs w:val="24"/>
        </w:rPr>
        <w:t xml:space="preserve">在中标通知书规定的时间内与贵方签订合同； </w:t>
      </w:r>
    </w:p>
    <w:p>
      <w:pPr>
        <w:pStyle w:val="22"/>
        <w:spacing w:line="360" w:lineRule="auto"/>
        <w:ind w:firstLine="480" w:firstLineChars="0"/>
        <w:rPr>
          <w:rFonts w:ascii="宋体" w:hAnsi="宋体"/>
          <w:sz w:val="24"/>
          <w:szCs w:val="24"/>
        </w:rPr>
      </w:pPr>
      <w:r>
        <w:rPr>
          <w:rFonts w:hint="eastAsia" w:ascii="宋体" w:hAnsi="宋体"/>
          <w:sz w:val="24"/>
          <w:szCs w:val="24"/>
        </w:rPr>
        <w:t>（3）投标人在与贵方签订合同后，未在规定的时间内提交符合招标文件要求的履约担保；</w:t>
      </w:r>
    </w:p>
    <w:p>
      <w:pPr>
        <w:pStyle w:val="22"/>
        <w:spacing w:line="360" w:lineRule="auto"/>
        <w:ind w:firstLine="480" w:firstLineChars="0"/>
        <w:rPr>
          <w:rFonts w:ascii="宋体" w:hAnsi="宋体"/>
          <w:sz w:val="24"/>
          <w:szCs w:val="24"/>
        </w:rPr>
      </w:pPr>
      <w:r>
        <w:rPr>
          <w:rFonts w:hint="eastAsia" w:ascii="宋体" w:hAnsi="宋体"/>
          <w:sz w:val="24"/>
          <w:szCs w:val="24"/>
        </w:rPr>
        <w:t>（4）投标人违反</w:t>
      </w:r>
      <w:r>
        <w:rPr>
          <w:rFonts w:ascii="宋体" w:hAnsi="宋体"/>
          <w:sz w:val="24"/>
          <w:szCs w:val="24"/>
        </w:rPr>
        <w:t>招标文件规定</w:t>
      </w:r>
      <w:r>
        <w:rPr>
          <w:rFonts w:hint="eastAsia" w:ascii="宋体" w:hAnsi="宋体"/>
          <w:sz w:val="24"/>
          <w:szCs w:val="24"/>
        </w:rPr>
        <w:t>的其他</w:t>
      </w:r>
      <w:r>
        <w:rPr>
          <w:rFonts w:ascii="宋体" w:hAnsi="宋体"/>
          <w:sz w:val="24"/>
          <w:szCs w:val="24"/>
        </w:rPr>
        <w:t>情形。</w:t>
      </w:r>
    </w:p>
    <w:p>
      <w:pPr>
        <w:spacing w:line="360" w:lineRule="auto"/>
        <w:rPr>
          <w:rFonts w:ascii="宋体" w:hAnsi="宋体"/>
          <w:sz w:val="24"/>
          <w:szCs w:val="24"/>
        </w:rPr>
      </w:pPr>
      <w:r>
        <w:rPr>
          <w:rFonts w:hint="eastAsia" w:ascii="宋体" w:hAnsi="宋体"/>
          <w:sz w:val="24"/>
          <w:szCs w:val="24"/>
        </w:rPr>
        <w:t xml:space="preserve">    三、本保函为</w:t>
      </w:r>
      <w:r>
        <w:rPr>
          <w:rFonts w:ascii="宋体" w:hAnsi="宋体"/>
          <w:sz w:val="24"/>
          <w:szCs w:val="24"/>
        </w:rPr>
        <w:t>不可撤销、</w:t>
      </w:r>
      <w:r>
        <w:rPr>
          <w:rFonts w:hint="eastAsia" w:ascii="宋体" w:hAnsi="宋体"/>
          <w:sz w:val="24"/>
          <w:szCs w:val="24"/>
        </w:rPr>
        <w:t>不可转让的见索即付</w:t>
      </w:r>
      <w:r>
        <w:rPr>
          <w:rFonts w:ascii="宋体" w:hAnsi="宋体"/>
          <w:sz w:val="24"/>
          <w:szCs w:val="24"/>
        </w:rPr>
        <w:t>独立</w:t>
      </w:r>
      <w:r>
        <w:rPr>
          <w:rFonts w:hint="eastAsia" w:ascii="宋体" w:hAnsi="宋体"/>
          <w:sz w:val="24"/>
          <w:szCs w:val="24"/>
        </w:rPr>
        <w:t>保函</w:t>
      </w:r>
      <w:r>
        <w:rPr>
          <w:rFonts w:ascii="宋体" w:hAnsi="宋体"/>
          <w:sz w:val="24"/>
          <w:szCs w:val="24"/>
        </w:rPr>
        <w:t>。</w:t>
      </w:r>
      <w:r>
        <w:rPr>
          <w:rFonts w:hint="eastAsia" w:ascii="宋体" w:hAnsi="宋体"/>
          <w:sz w:val="24"/>
          <w:szCs w:val="24"/>
        </w:rPr>
        <w:t>本保函</w:t>
      </w:r>
      <w:r>
        <w:rPr>
          <w:rFonts w:ascii="宋体" w:hAnsi="宋体"/>
          <w:sz w:val="24"/>
          <w:szCs w:val="24"/>
        </w:rPr>
        <w:t>有效期自</w:t>
      </w:r>
      <w:r>
        <w:rPr>
          <w:rFonts w:hint="eastAsia" w:ascii="宋体" w:hAnsi="宋体"/>
          <w:sz w:val="24"/>
          <w:szCs w:val="24"/>
        </w:rPr>
        <w:t>开立之日起</w:t>
      </w:r>
      <w:r>
        <w:rPr>
          <w:rFonts w:ascii="宋体" w:hAnsi="宋体"/>
          <w:sz w:val="24"/>
          <w:szCs w:val="24"/>
        </w:rPr>
        <w:t>至</w:t>
      </w:r>
      <w:r>
        <w:rPr>
          <w:rFonts w:hint="eastAsia" w:ascii="宋体" w:hAnsi="宋体"/>
          <w:sz w:val="24"/>
          <w:szCs w:val="24"/>
        </w:rPr>
        <w:t>投标有效期届满之日后的日</w:t>
      </w:r>
      <w:r>
        <w:rPr>
          <w:rFonts w:ascii="宋体" w:hAnsi="宋体"/>
          <w:sz w:val="24"/>
          <w:szCs w:val="24"/>
        </w:rPr>
        <w:t>。</w:t>
      </w:r>
      <w:r>
        <w:rPr>
          <w:rFonts w:hint="eastAsia" w:ascii="宋体" w:hAnsi="宋体"/>
          <w:sz w:val="24"/>
          <w:szCs w:val="24"/>
        </w:rPr>
        <w:t>投标有效期延长的，本保函有效期相应顺延，最迟不超过年月日。</w:t>
      </w:r>
    </w:p>
    <w:p>
      <w:pPr>
        <w:spacing w:line="360" w:lineRule="auto"/>
        <w:ind w:firstLine="480"/>
        <w:rPr>
          <w:rFonts w:ascii="宋体" w:hAnsi="宋体"/>
          <w:sz w:val="24"/>
          <w:szCs w:val="24"/>
        </w:rPr>
      </w:pPr>
      <w:r>
        <w:rPr>
          <w:rFonts w:hint="eastAsia" w:ascii="宋体" w:hAnsi="宋体"/>
          <w:sz w:val="24"/>
          <w:szCs w:val="24"/>
        </w:rPr>
        <w:t>四、我方承诺，在收到受益人发来的书面付款通知后的日内无条件支付，前述书面付款通知即为付款要求之单据，且应满足以下要求：</w:t>
      </w:r>
    </w:p>
    <w:p>
      <w:pPr>
        <w:spacing w:line="360" w:lineRule="auto"/>
        <w:ind w:firstLine="480"/>
        <w:rPr>
          <w:rFonts w:ascii="宋体" w:hAnsi="宋体"/>
          <w:sz w:val="24"/>
          <w:szCs w:val="24"/>
        </w:rPr>
      </w:pPr>
      <w:r>
        <w:rPr>
          <w:rFonts w:hint="eastAsia" w:ascii="宋体" w:hAnsi="宋体"/>
          <w:sz w:val="24"/>
          <w:szCs w:val="24"/>
        </w:rPr>
        <w:t>（1）付款通知到达的日期在本保函的有效期内；</w:t>
      </w:r>
    </w:p>
    <w:p>
      <w:pPr>
        <w:spacing w:line="360" w:lineRule="auto"/>
        <w:ind w:firstLine="480"/>
        <w:rPr>
          <w:rFonts w:ascii="宋体" w:hAnsi="宋体"/>
          <w:sz w:val="24"/>
          <w:szCs w:val="24"/>
        </w:rPr>
      </w:pPr>
      <w:r>
        <w:rPr>
          <w:rFonts w:hint="eastAsia" w:ascii="宋体" w:hAnsi="宋体"/>
          <w:sz w:val="24"/>
          <w:szCs w:val="24"/>
        </w:rPr>
        <w:t>（2）载明要求支付的金额；</w:t>
      </w:r>
    </w:p>
    <w:p>
      <w:pPr>
        <w:spacing w:line="360" w:lineRule="auto"/>
        <w:ind w:firstLine="480"/>
        <w:rPr>
          <w:rFonts w:ascii="宋体" w:hAnsi="宋体"/>
          <w:sz w:val="24"/>
          <w:szCs w:val="24"/>
        </w:rPr>
      </w:pPr>
      <w:r>
        <w:rPr>
          <w:rFonts w:hint="eastAsia" w:ascii="宋体" w:hAnsi="宋体"/>
          <w:sz w:val="24"/>
          <w:szCs w:val="24"/>
        </w:rPr>
        <w:t>（3）载明申请人违反招投标文件规定的义务内容和具体条款；</w:t>
      </w:r>
    </w:p>
    <w:p>
      <w:pPr>
        <w:spacing w:line="360" w:lineRule="auto"/>
        <w:ind w:firstLine="480"/>
        <w:rPr>
          <w:rFonts w:ascii="宋体" w:hAnsi="宋体"/>
          <w:sz w:val="24"/>
          <w:szCs w:val="24"/>
        </w:rPr>
      </w:pPr>
      <w:r>
        <w:rPr>
          <w:rFonts w:hint="eastAsia" w:ascii="宋体" w:hAnsi="宋体"/>
          <w:sz w:val="24"/>
          <w:szCs w:val="24"/>
        </w:rPr>
        <w:t>（4）声明不存在招标文件规定或我国法律规定免除申请人或我方支付责任的情形；</w:t>
      </w:r>
    </w:p>
    <w:p>
      <w:pPr>
        <w:spacing w:line="360" w:lineRule="auto"/>
        <w:ind w:firstLine="480"/>
        <w:rPr>
          <w:rFonts w:ascii="宋体" w:hAnsi="宋体"/>
          <w:sz w:val="24"/>
          <w:szCs w:val="24"/>
        </w:rPr>
      </w:pPr>
      <w:r>
        <w:rPr>
          <w:rFonts w:hint="eastAsia" w:ascii="宋体" w:hAnsi="宋体"/>
          <w:sz w:val="24"/>
          <w:szCs w:val="24"/>
        </w:rPr>
        <w:t>（5）书面付款通知应在本保函有效期内到达的地址是：。</w:t>
      </w:r>
    </w:p>
    <w:p>
      <w:pPr>
        <w:spacing w:line="360" w:lineRule="auto"/>
        <w:rPr>
          <w:rFonts w:ascii="宋体" w:hAnsi="宋体"/>
          <w:sz w:val="24"/>
          <w:szCs w:val="24"/>
        </w:rPr>
      </w:pPr>
      <w:r>
        <w:rPr>
          <w:rFonts w:hint="eastAsia" w:ascii="宋体" w:hAnsi="宋体"/>
          <w:sz w:val="24"/>
          <w:szCs w:val="24"/>
        </w:rPr>
        <w:t xml:space="preserve">    受益人发出的书面付款通知应由其为鉴明受益人法定代表人（负责人）或授权代理人签字并加盖公章。</w:t>
      </w:r>
    </w:p>
    <w:p>
      <w:pPr>
        <w:spacing w:line="360" w:lineRule="auto"/>
        <w:ind w:firstLine="480" w:firstLineChars="200"/>
        <w:rPr>
          <w:rFonts w:ascii="宋体" w:hAnsi="宋体"/>
          <w:sz w:val="24"/>
          <w:szCs w:val="24"/>
        </w:rPr>
      </w:pPr>
      <w:r>
        <w:rPr>
          <w:rFonts w:hint="eastAsia" w:ascii="宋体" w:hAnsi="宋体"/>
          <w:sz w:val="24"/>
          <w:szCs w:val="24"/>
        </w:rPr>
        <w:t>五、</w:t>
      </w:r>
      <w:r>
        <w:rPr>
          <w:rFonts w:ascii="宋体" w:hAnsi="宋体"/>
          <w:sz w:val="24"/>
          <w:szCs w:val="24"/>
        </w:rPr>
        <w:t>本保函项下的权利不得转让，不得设定担保。</w:t>
      </w:r>
      <w:r>
        <w:rPr>
          <w:rFonts w:hint="eastAsia" w:ascii="宋体" w:hAnsi="宋体"/>
          <w:sz w:val="24"/>
          <w:szCs w:val="24"/>
        </w:rPr>
        <w:t>贵方</w:t>
      </w:r>
      <w:r>
        <w:rPr>
          <w:rFonts w:ascii="宋体" w:hAnsi="宋体"/>
          <w:sz w:val="24"/>
          <w:szCs w:val="24"/>
        </w:rPr>
        <w:t>未经我方书面同意转让本保函或其项下任何权利，</w:t>
      </w:r>
      <w:r>
        <w:rPr>
          <w:rFonts w:hint="eastAsia" w:ascii="宋体" w:hAnsi="宋体"/>
          <w:sz w:val="24"/>
          <w:szCs w:val="24"/>
        </w:rPr>
        <w:t>对我方不发生法律效力</w:t>
      </w:r>
      <w:r>
        <w:rPr>
          <w:rFonts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六、</w:t>
      </w:r>
      <w:r>
        <w:rPr>
          <w:rFonts w:ascii="宋体" w:hAnsi="宋体"/>
          <w:sz w:val="24"/>
          <w:szCs w:val="24"/>
        </w:rPr>
        <w:t xml:space="preserve">本保函项下的基础交易不成立、不生效、无效、被撤销、被解除，不影响本保函的独立有效。 </w:t>
      </w:r>
    </w:p>
    <w:p>
      <w:pPr>
        <w:spacing w:line="360" w:lineRule="auto"/>
        <w:ind w:firstLine="480" w:firstLineChars="200"/>
        <w:rPr>
          <w:rFonts w:ascii="宋体" w:hAnsi="宋体"/>
          <w:sz w:val="24"/>
          <w:szCs w:val="24"/>
        </w:rPr>
      </w:pPr>
      <w:r>
        <w:rPr>
          <w:rFonts w:hint="eastAsia" w:ascii="宋体" w:hAnsi="宋体"/>
          <w:sz w:val="24"/>
          <w:szCs w:val="24"/>
        </w:rPr>
        <w:t>七、受益人</w:t>
      </w:r>
      <w:r>
        <w:rPr>
          <w:rFonts w:ascii="宋体" w:hAnsi="宋体"/>
          <w:sz w:val="24"/>
          <w:szCs w:val="24"/>
        </w:rPr>
        <w:t>应在本保函到期后的</w:t>
      </w:r>
      <w:r>
        <w:rPr>
          <w:rFonts w:hint="eastAsia" w:ascii="宋体" w:hAnsi="宋体"/>
          <w:sz w:val="24"/>
          <w:szCs w:val="24"/>
        </w:rPr>
        <w:t>七</w:t>
      </w:r>
      <w:r>
        <w:rPr>
          <w:rFonts w:ascii="宋体" w:hAnsi="宋体"/>
          <w:sz w:val="24"/>
          <w:szCs w:val="24"/>
        </w:rPr>
        <w:t>日内将本保函正本退回我方</w:t>
      </w:r>
      <w:r>
        <w:rPr>
          <w:rFonts w:hint="eastAsia" w:ascii="宋体" w:hAnsi="宋体"/>
          <w:sz w:val="24"/>
          <w:szCs w:val="24"/>
        </w:rPr>
        <w:t>注销</w:t>
      </w:r>
      <w:r>
        <w:rPr>
          <w:rFonts w:ascii="宋体" w:hAnsi="宋体"/>
          <w:sz w:val="24"/>
          <w:szCs w:val="24"/>
        </w:rPr>
        <w:t>，但是不论</w:t>
      </w:r>
      <w:r>
        <w:rPr>
          <w:rFonts w:hint="eastAsia" w:ascii="宋体" w:hAnsi="宋体"/>
          <w:sz w:val="24"/>
          <w:szCs w:val="24"/>
        </w:rPr>
        <w:t>受益人</w:t>
      </w:r>
      <w:r>
        <w:rPr>
          <w:rFonts w:ascii="宋体" w:hAnsi="宋体"/>
          <w:sz w:val="24"/>
          <w:szCs w:val="24"/>
        </w:rPr>
        <w:t>是否按此要求将本保函正本退回我方，我方在本保函项下的义务和责任均在保函</w:t>
      </w:r>
      <w:r>
        <w:rPr>
          <w:rFonts w:hint="eastAsia" w:ascii="宋体" w:hAnsi="宋体"/>
          <w:sz w:val="24"/>
          <w:szCs w:val="24"/>
        </w:rPr>
        <w:t>有效期</w:t>
      </w:r>
      <w:r>
        <w:rPr>
          <w:rFonts w:ascii="宋体" w:hAnsi="宋体"/>
          <w:sz w:val="24"/>
          <w:szCs w:val="24"/>
        </w:rPr>
        <w:t xml:space="preserve">到期后自动消灭。 </w:t>
      </w:r>
    </w:p>
    <w:p>
      <w:pPr>
        <w:spacing w:line="360" w:lineRule="auto"/>
        <w:ind w:firstLine="480" w:firstLineChars="200"/>
        <w:rPr>
          <w:rFonts w:ascii="宋体" w:hAnsi="宋体"/>
          <w:sz w:val="24"/>
          <w:szCs w:val="24"/>
        </w:rPr>
      </w:pPr>
      <w:r>
        <w:rPr>
          <w:rFonts w:hint="eastAsia" w:ascii="宋体" w:hAnsi="宋体"/>
          <w:sz w:val="24"/>
          <w:szCs w:val="24"/>
        </w:rPr>
        <w:t>八、</w:t>
      </w:r>
      <w:r>
        <w:rPr>
          <w:rFonts w:ascii="宋体" w:hAnsi="宋体"/>
          <w:sz w:val="24"/>
          <w:szCs w:val="24"/>
        </w:rPr>
        <w:t>本保函</w:t>
      </w:r>
      <w:r>
        <w:rPr>
          <w:rFonts w:hint="eastAsia" w:ascii="宋体" w:hAnsi="宋体"/>
          <w:sz w:val="24"/>
          <w:szCs w:val="24"/>
        </w:rPr>
        <w:t>适用的法律为中华人民共和国法律，争议裁判管辖地为中华人民共和国。</w:t>
      </w:r>
    </w:p>
    <w:p>
      <w:pPr>
        <w:spacing w:line="360" w:lineRule="auto"/>
        <w:ind w:firstLine="480" w:firstLineChars="200"/>
        <w:rPr>
          <w:rFonts w:ascii="宋体" w:hAnsi="宋体"/>
          <w:sz w:val="24"/>
          <w:szCs w:val="24"/>
        </w:rPr>
      </w:pPr>
      <w:r>
        <w:rPr>
          <w:rFonts w:hint="eastAsia" w:ascii="宋体" w:hAnsi="宋体"/>
          <w:sz w:val="24"/>
          <w:szCs w:val="24"/>
        </w:rPr>
        <w:t>九、</w:t>
      </w:r>
      <w:r>
        <w:rPr>
          <w:rFonts w:ascii="宋体" w:hAnsi="宋体"/>
          <w:sz w:val="24"/>
          <w:szCs w:val="24"/>
        </w:rPr>
        <w:t>本保函自我方法定代表人</w:t>
      </w:r>
      <w:r>
        <w:rPr>
          <w:rFonts w:hint="eastAsia" w:ascii="宋体" w:hAnsi="宋体"/>
          <w:sz w:val="24"/>
          <w:szCs w:val="24"/>
        </w:rPr>
        <w:t>或授权代表</w:t>
      </w:r>
      <w:r>
        <w:rPr>
          <w:rFonts w:ascii="宋体" w:hAnsi="宋体"/>
          <w:sz w:val="24"/>
          <w:szCs w:val="24"/>
        </w:rPr>
        <w:t>签字</w:t>
      </w:r>
      <w:r>
        <w:rPr>
          <w:rFonts w:hint="eastAsia" w:ascii="宋体" w:hAnsi="宋体"/>
          <w:sz w:val="24"/>
          <w:szCs w:val="24"/>
        </w:rPr>
        <w:t>并</w:t>
      </w:r>
      <w:r>
        <w:rPr>
          <w:rFonts w:ascii="宋体" w:hAnsi="宋体"/>
          <w:sz w:val="24"/>
          <w:szCs w:val="24"/>
        </w:rPr>
        <w:t xml:space="preserve">加盖公章之日起生效。 </w:t>
      </w:r>
    </w:p>
    <w:p>
      <w:pPr>
        <w:spacing w:line="360" w:lineRule="auto"/>
        <w:ind w:firstLine="480" w:firstLineChars="200"/>
        <w:rPr>
          <w:rFonts w:ascii="宋体" w:hAnsi="宋体"/>
          <w:sz w:val="24"/>
          <w:szCs w:val="24"/>
        </w:rPr>
      </w:pPr>
      <w:r>
        <w:rPr>
          <w:rFonts w:hint="eastAsia" w:ascii="宋体" w:hAnsi="宋体"/>
          <w:sz w:val="24"/>
          <w:szCs w:val="24"/>
        </w:rPr>
        <w:t>开 立 人</w:t>
      </w:r>
      <w:r>
        <w:rPr>
          <w:rFonts w:ascii="宋体" w:hAnsi="宋体"/>
          <w:sz w:val="24"/>
          <w:szCs w:val="24"/>
        </w:rPr>
        <w:t>：                 （</w:t>
      </w:r>
      <w:r>
        <w:rPr>
          <w:rFonts w:hint="eastAsia" w:ascii="宋体" w:hAnsi="宋体"/>
          <w:sz w:val="24"/>
          <w:szCs w:val="24"/>
        </w:rPr>
        <w:t>公</w:t>
      </w:r>
      <w:r>
        <w:rPr>
          <w:rFonts w:ascii="宋体" w:hAnsi="宋体"/>
          <w:sz w:val="24"/>
          <w:szCs w:val="24"/>
        </w:rPr>
        <w:t xml:space="preserve">章） </w:t>
      </w:r>
    </w:p>
    <w:p>
      <w:pPr>
        <w:spacing w:line="360" w:lineRule="auto"/>
        <w:ind w:firstLine="480" w:firstLineChars="200"/>
        <w:rPr>
          <w:rFonts w:ascii="宋体" w:hAnsi="宋体"/>
          <w:sz w:val="24"/>
          <w:szCs w:val="24"/>
        </w:rPr>
      </w:pPr>
      <w:r>
        <w:rPr>
          <w:rFonts w:hint="eastAsia" w:ascii="宋体" w:hAnsi="宋体"/>
          <w:sz w:val="24"/>
          <w:szCs w:val="24"/>
        </w:rPr>
        <w:t>法定代表人（或授权代表） ：</w:t>
      </w:r>
      <w:r>
        <w:rPr>
          <w:rFonts w:ascii="宋体" w:hAnsi="宋体"/>
          <w:sz w:val="24"/>
          <w:szCs w:val="24"/>
        </w:rPr>
        <w:t xml:space="preserve">               （签字） </w:t>
      </w:r>
    </w:p>
    <w:p>
      <w:pPr>
        <w:spacing w:line="360" w:lineRule="auto"/>
        <w:ind w:firstLine="480" w:firstLineChars="200"/>
        <w:rPr>
          <w:rFonts w:ascii="宋体" w:hAnsi="宋体"/>
          <w:sz w:val="24"/>
          <w:szCs w:val="24"/>
        </w:rPr>
      </w:pPr>
      <w:r>
        <w:rPr>
          <w:rFonts w:hint="eastAsia" w:ascii="宋体" w:hAnsi="宋体"/>
          <w:sz w:val="24"/>
          <w:szCs w:val="24"/>
        </w:rPr>
        <w:t>地</w:t>
      </w:r>
      <w:r>
        <w:rPr>
          <w:rFonts w:ascii="宋体" w:hAnsi="宋体"/>
          <w:sz w:val="24"/>
          <w:szCs w:val="24"/>
        </w:rPr>
        <w:t xml:space="preserve">    址：                                       </w:t>
      </w:r>
    </w:p>
    <w:p>
      <w:pPr>
        <w:spacing w:line="360" w:lineRule="auto"/>
        <w:ind w:firstLine="480" w:firstLineChars="200"/>
        <w:rPr>
          <w:rFonts w:ascii="宋体" w:hAnsi="宋体"/>
          <w:sz w:val="24"/>
          <w:szCs w:val="24"/>
        </w:rPr>
      </w:pPr>
      <w:r>
        <w:rPr>
          <w:rFonts w:hint="eastAsia" w:ascii="宋体" w:hAnsi="宋体"/>
          <w:sz w:val="24"/>
          <w:szCs w:val="24"/>
        </w:rPr>
        <w:t>邮政编码：</w:t>
      </w:r>
    </w:p>
    <w:p>
      <w:pPr>
        <w:spacing w:line="360" w:lineRule="auto"/>
        <w:ind w:firstLine="480" w:firstLineChars="200"/>
        <w:rPr>
          <w:rFonts w:ascii="宋体" w:hAnsi="宋体"/>
          <w:sz w:val="24"/>
          <w:szCs w:val="24"/>
        </w:rPr>
      </w:pPr>
      <w:r>
        <w:rPr>
          <w:rFonts w:hint="eastAsia" w:ascii="宋体" w:hAnsi="宋体"/>
          <w:sz w:val="24"/>
          <w:szCs w:val="24"/>
        </w:rPr>
        <w:t>电</w:t>
      </w:r>
      <w:r>
        <w:rPr>
          <w:rFonts w:ascii="宋体" w:hAnsi="宋体"/>
          <w:sz w:val="24"/>
          <w:szCs w:val="24"/>
        </w:rPr>
        <w:t xml:space="preserve">    话：                 </w:t>
      </w:r>
    </w:p>
    <w:p>
      <w:pPr>
        <w:spacing w:line="360" w:lineRule="auto"/>
        <w:ind w:firstLine="480" w:firstLineChars="200"/>
        <w:rPr>
          <w:rFonts w:ascii="宋体" w:hAnsi="宋体"/>
          <w:sz w:val="24"/>
          <w:szCs w:val="24"/>
        </w:rPr>
      </w:pPr>
      <w:r>
        <w:rPr>
          <w:rFonts w:hint="eastAsia" w:ascii="宋体" w:hAnsi="宋体"/>
          <w:sz w:val="24"/>
          <w:szCs w:val="24"/>
        </w:rPr>
        <w:t>传</w:t>
      </w:r>
      <w:r>
        <w:rPr>
          <w:rFonts w:ascii="宋体" w:hAnsi="宋体"/>
          <w:sz w:val="24"/>
          <w:szCs w:val="24"/>
        </w:rPr>
        <w:t xml:space="preserve">    真：                 </w:t>
      </w:r>
    </w:p>
    <w:p>
      <w:pPr>
        <w:spacing w:line="360" w:lineRule="auto"/>
        <w:ind w:firstLine="480" w:firstLineChars="200"/>
      </w:pPr>
      <w:r>
        <w:rPr>
          <w:rFonts w:hint="eastAsia" w:ascii="宋体" w:hAnsi="宋体"/>
          <w:sz w:val="24"/>
          <w:szCs w:val="24"/>
        </w:rPr>
        <w:t>开立时间：</w:t>
      </w:r>
      <w:r>
        <w:rPr>
          <w:rFonts w:ascii="宋体" w:hAnsi="宋体"/>
          <w:sz w:val="24"/>
          <w:szCs w:val="24"/>
        </w:rPr>
        <w:t xml:space="preserve">      年      月   </w:t>
      </w:r>
      <w:r>
        <w:rPr>
          <w:rFonts w:hint="eastAsia" w:ascii="宋体" w:hAnsi="宋体"/>
          <w:sz w:val="24"/>
          <w:szCs w:val="24"/>
        </w:rPr>
        <w:t>日</w:t>
      </w:r>
    </w:p>
    <w:bookmarkEnd w:id="322"/>
    <w:p>
      <w:pPr>
        <w:spacing w:line="400" w:lineRule="exact"/>
        <w:rPr>
          <w:rFonts w:ascii="宋体" w:hAnsi="宋体"/>
        </w:rPr>
      </w:pPr>
    </w:p>
    <w:p>
      <w:pPr>
        <w:autoSpaceDE w:val="0"/>
        <w:autoSpaceDN w:val="0"/>
        <w:adjustRightInd w:val="0"/>
        <w:spacing w:line="420" w:lineRule="exact"/>
        <w:jc w:val="left"/>
        <w:rPr>
          <w:rFonts w:ascii="宋体" w:hAnsi="宋体" w:cs="仿宋_GB2312"/>
          <w:kern w:val="0"/>
        </w:rPr>
      </w:pPr>
    </w:p>
    <w:p>
      <w:pPr>
        <w:autoSpaceDE w:val="0"/>
        <w:autoSpaceDN w:val="0"/>
        <w:spacing w:line="540" w:lineRule="exact"/>
        <w:jc w:val="center"/>
        <w:rPr>
          <w:rFonts w:ascii="宋体" w:hAnsi="宋体" w:cs="宋体"/>
          <w:b/>
          <w:kern w:val="0"/>
          <w:sz w:val="28"/>
          <w:szCs w:val="28"/>
        </w:rPr>
      </w:pPr>
    </w:p>
    <w:p>
      <w:pPr>
        <w:autoSpaceDE w:val="0"/>
        <w:autoSpaceDN w:val="0"/>
        <w:spacing w:line="540" w:lineRule="exact"/>
        <w:jc w:val="center"/>
        <w:rPr>
          <w:rFonts w:ascii="宋体" w:hAnsi="宋体" w:cs="宋体"/>
          <w:b/>
          <w:kern w:val="0"/>
          <w:sz w:val="28"/>
          <w:szCs w:val="28"/>
        </w:rPr>
      </w:pPr>
    </w:p>
    <w:p>
      <w:pPr>
        <w:autoSpaceDE w:val="0"/>
        <w:autoSpaceDN w:val="0"/>
        <w:spacing w:line="540" w:lineRule="exact"/>
        <w:jc w:val="center"/>
        <w:rPr>
          <w:rFonts w:ascii="宋体" w:hAnsi="宋体" w:cs="宋体"/>
          <w:b/>
          <w:kern w:val="0"/>
          <w:sz w:val="28"/>
          <w:szCs w:val="28"/>
        </w:rPr>
      </w:pPr>
    </w:p>
    <w:p>
      <w:pPr>
        <w:autoSpaceDE w:val="0"/>
        <w:autoSpaceDN w:val="0"/>
        <w:adjustRightInd w:val="0"/>
        <w:spacing w:line="420" w:lineRule="exact"/>
        <w:jc w:val="center"/>
        <w:rPr>
          <w:rFonts w:ascii="宋体" w:hAnsi="宋体"/>
          <w:sz w:val="24"/>
          <w:szCs w:val="24"/>
        </w:rPr>
      </w:pPr>
    </w:p>
    <w:p>
      <w:pPr>
        <w:tabs>
          <w:tab w:val="center" w:pos="4739"/>
        </w:tabs>
        <w:jc w:val="center"/>
        <w:rPr>
          <w:rFonts w:ascii="宋体" w:hAnsi="宋体"/>
          <w:b/>
          <w:bCs/>
          <w:sz w:val="24"/>
          <w:szCs w:val="24"/>
        </w:rPr>
      </w:pPr>
      <w:r>
        <w:rPr>
          <w:rFonts w:hint="eastAsia" w:ascii="宋体" w:hAnsi="宋体"/>
          <w:b/>
          <w:bCs/>
          <w:sz w:val="24"/>
          <w:szCs w:val="24"/>
        </w:rPr>
        <w:br w:type="page"/>
      </w:r>
    </w:p>
    <w:p>
      <w:pPr>
        <w:tabs>
          <w:tab w:val="center" w:pos="4739"/>
        </w:tabs>
        <w:jc w:val="center"/>
        <w:rPr>
          <w:rFonts w:ascii="宋体" w:hAnsi="宋体"/>
          <w:b/>
          <w:bCs/>
          <w:sz w:val="24"/>
          <w:szCs w:val="24"/>
        </w:rPr>
      </w:pPr>
    </w:p>
    <w:p>
      <w:pPr>
        <w:tabs>
          <w:tab w:val="center" w:pos="4739"/>
        </w:tabs>
        <w:jc w:val="center"/>
        <w:rPr>
          <w:rFonts w:ascii="宋体" w:hAnsi="宋体"/>
          <w:b/>
          <w:bCs/>
          <w:sz w:val="32"/>
          <w:szCs w:val="32"/>
        </w:rPr>
      </w:pPr>
      <w:r>
        <w:rPr>
          <w:rFonts w:hint="eastAsia" w:ascii="宋体" w:hAnsi="宋体"/>
          <w:b/>
          <w:sz w:val="32"/>
        </w:rPr>
        <w:t>五、项目管理机构配备情况</w:t>
      </w:r>
    </w:p>
    <w:p>
      <w:pPr>
        <w:autoSpaceDE w:val="0"/>
        <w:autoSpaceDN w:val="0"/>
        <w:adjustRightInd w:val="0"/>
        <w:spacing w:line="360" w:lineRule="auto"/>
        <w:ind w:right="215" w:firstLine="420"/>
        <w:jc w:val="center"/>
        <w:rPr>
          <w:rFonts w:ascii="宋体" w:hAnsi="宋体"/>
          <w:sz w:val="24"/>
          <w:szCs w:val="24"/>
        </w:rPr>
      </w:pPr>
      <w:r>
        <w:rPr>
          <w:rFonts w:hint="eastAsia" w:ascii="宋体" w:hAnsi="宋体"/>
          <w:sz w:val="24"/>
          <w:szCs w:val="24"/>
        </w:rPr>
        <w:t>（一）项目管理机构组成表</w:t>
      </w:r>
    </w:p>
    <w:tbl>
      <w:tblPr>
        <w:tblStyle w:val="15"/>
        <w:tblW w:w="0" w:type="auto"/>
        <w:jc w:val="center"/>
        <w:tblLayout w:type="fixed"/>
        <w:tblCellMar>
          <w:top w:w="0" w:type="dxa"/>
          <w:left w:w="108" w:type="dxa"/>
          <w:bottom w:w="0" w:type="dxa"/>
          <w:right w:w="108" w:type="dxa"/>
        </w:tblCellMar>
      </w:tblPr>
      <w:tblGrid>
        <w:gridCol w:w="913"/>
        <w:gridCol w:w="914"/>
        <w:gridCol w:w="914"/>
        <w:gridCol w:w="1405"/>
        <w:gridCol w:w="945"/>
        <w:gridCol w:w="945"/>
        <w:gridCol w:w="945"/>
        <w:gridCol w:w="1470"/>
        <w:gridCol w:w="944"/>
      </w:tblGrid>
      <w:tr>
        <w:tblPrEx>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rPr>
                <w:rFonts w:ascii="宋体" w:hAnsi="宋体"/>
                <w:sz w:val="24"/>
                <w:szCs w:val="24"/>
              </w:rPr>
            </w:pPr>
            <w:r>
              <w:rPr>
                <w:rFonts w:hint="eastAsia" w:ascii="宋体" w:hAnsi="宋体"/>
                <w:sz w:val="24"/>
                <w:szCs w:val="24"/>
              </w:rPr>
              <w:t>职务</w:t>
            </w:r>
          </w:p>
        </w:tc>
        <w:tc>
          <w:tcPr>
            <w:tcW w:w="914" w:type="dxa"/>
            <w:vMerge w:val="restart"/>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rPr>
                <w:rFonts w:ascii="宋体" w:hAnsi="宋体"/>
                <w:sz w:val="24"/>
                <w:szCs w:val="24"/>
              </w:rPr>
            </w:pPr>
            <w:r>
              <w:rPr>
                <w:rFonts w:hint="eastAsia" w:ascii="宋体" w:hAnsi="宋体"/>
                <w:sz w:val="24"/>
                <w:szCs w:val="24"/>
              </w:rPr>
              <w:t>姓名</w:t>
            </w:r>
          </w:p>
        </w:tc>
        <w:tc>
          <w:tcPr>
            <w:tcW w:w="914" w:type="dxa"/>
            <w:vMerge w:val="restart"/>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rPr>
                <w:rFonts w:ascii="宋体" w:hAnsi="宋体"/>
                <w:sz w:val="24"/>
                <w:szCs w:val="24"/>
              </w:rPr>
            </w:pPr>
            <w:r>
              <w:rPr>
                <w:rFonts w:hint="eastAsia" w:ascii="宋体" w:hAnsi="宋体"/>
                <w:sz w:val="24"/>
                <w:szCs w:val="24"/>
              </w:rPr>
              <w:t>职称</w:t>
            </w:r>
          </w:p>
        </w:tc>
        <w:tc>
          <w:tcPr>
            <w:tcW w:w="5710" w:type="dxa"/>
            <w:gridSpan w:val="5"/>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执业或职业资格证明</w:t>
            </w:r>
          </w:p>
        </w:tc>
        <w:tc>
          <w:tcPr>
            <w:tcW w:w="944"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备注</w:t>
            </w:r>
          </w:p>
        </w:tc>
      </w:tr>
      <w:tr>
        <w:tblPrEx>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sz w:val="24"/>
                <w:szCs w:val="24"/>
              </w:rPr>
            </w:pPr>
          </w:p>
        </w:tc>
        <w:tc>
          <w:tcPr>
            <w:tcW w:w="914" w:type="dxa"/>
            <w:vMerge w:val="continue"/>
            <w:tcBorders>
              <w:top w:val="single" w:color="auto" w:sz="4" w:space="0"/>
              <w:left w:val="nil"/>
              <w:bottom w:val="single" w:color="auto" w:sz="4" w:space="0"/>
              <w:right w:val="single" w:color="auto" w:sz="4" w:space="0"/>
            </w:tcBorders>
            <w:noWrap/>
            <w:vAlign w:val="center"/>
          </w:tcPr>
          <w:p>
            <w:pPr>
              <w:widowControl/>
              <w:jc w:val="left"/>
              <w:rPr>
                <w:rFonts w:ascii="宋体" w:hAnsi="宋体"/>
                <w:sz w:val="24"/>
                <w:szCs w:val="24"/>
              </w:rPr>
            </w:pPr>
          </w:p>
        </w:tc>
        <w:tc>
          <w:tcPr>
            <w:tcW w:w="914" w:type="dxa"/>
            <w:vMerge w:val="continue"/>
            <w:tcBorders>
              <w:top w:val="single" w:color="auto" w:sz="4" w:space="0"/>
              <w:left w:val="nil"/>
              <w:bottom w:val="single" w:color="auto" w:sz="4" w:space="0"/>
              <w:right w:val="single" w:color="auto" w:sz="4" w:space="0"/>
            </w:tcBorders>
            <w:noWrap/>
            <w:vAlign w:val="center"/>
          </w:tcPr>
          <w:p>
            <w:pPr>
              <w:widowControl/>
              <w:jc w:val="left"/>
              <w:rPr>
                <w:rFonts w:ascii="宋体" w:hAnsi="宋体"/>
                <w:sz w:val="24"/>
                <w:szCs w:val="24"/>
              </w:rPr>
            </w:pPr>
          </w:p>
        </w:tc>
        <w:tc>
          <w:tcPr>
            <w:tcW w:w="1405"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证书名称</w:t>
            </w:r>
          </w:p>
        </w:tc>
        <w:tc>
          <w:tcPr>
            <w:tcW w:w="945"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级别</w:t>
            </w:r>
          </w:p>
        </w:tc>
        <w:tc>
          <w:tcPr>
            <w:tcW w:w="945"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证号</w:t>
            </w:r>
          </w:p>
        </w:tc>
        <w:tc>
          <w:tcPr>
            <w:tcW w:w="945"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专业</w:t>
            </w:r>
          </w:p>
        </w:tc>
        <w:tc>
          <w:tcPr>
            <w:tcW w:w="1470"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养老保险</w:t>
            </w:r>
          </w:p>
        </w:tc>
        <w:tc>
          <w:tcPr>
            <w:tcW w:w="944"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76" w:hRule="atLeast"/>
          <w:jc w:val="center"/>
        </w:trPr>
        <w:tc>
          <w:tcPr>
            <w:tcW w:w="913" w:type="dxa"/>
            <w:tcBorders>
              <w:top w:val="single" w:color="auto" w:sz="4" w:space="0"/>
              <w:left w:val="single" w:color="auto" w:sz="4" w:space="0"/>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noWrap/>
            <w:vAlign w:val="top"/>
          </w:tcPr>
          <w:p>
            <w:pPr>
              <w:autoSpaceDE w:val="0"/>
              <w:autoSpaceDN w:val="0"/>
              <w:adjustRightInd w:val="0"/>
              <w:spacing w:line="360" w:lineRule="auto"/>
              <w:ind w:right="215"/>
              <w:jc w:val="center"/>
              <w:rPr>
                <w:rFonts w:ascii="宋体" w:hAnsi="宋体"/>
                <w:sz w:val="24"/>
                <w:szCs w:val="24"/>
              </w:rPr>
            </w:pPr>
          </w:p>
        </w:tc>
      </w:tr>
    </w:tbl>
    <w:p>
      <w:pPr>
        <w:spacing w:beforeLines="50" w:afterLines="100" w:line="420" w:lineRule="exact"/>
        <w:jc w:val="center"/>
        <w:rPr>
          <w:rFonts w:ascii="宋体" w:hAnsi="宋体"/>
          <w:b/>
          <w:bCs/>
          <w:sz w:val="24"/>
          <w:szCs w:val="24"/>
        </w:rPr>
      </w:pPr>
    </w:p>
    <w:p>
      <w:pPr>
        <w:spacing w:beforeLines="50" w:afterLines="100" w:line="420" w:lineRule="exact"/>
        <w:jc w:val="center"/>
        <w:rPr>
          <w:rFonts w:ascii="宋体" w:hAnsi="宋体"/>
          <w:b/>
          <w:bCs/>
          <w:sz w:val="24"/>
          <w:szCs w:val="24"/>
        </w:rPr>
      </w:pPr>
    </w:p>
    <w:p>
      <w:pPr>
        <w:spacing w:beforeLines="50" w:afterLines="100" w:line="420" w:lineRule="exact"/>
        <w:jc w:val="center"/>
        <w:rPr>
          <w:rFonts w:ascii="宋体" w:hAnsi="宋体"/>
          <w:b/>
          <w:bCs/>
          <w:sz w:val="24"/>
          <w:szCs w:val="24"/>
        </w:rPr>
      </w:pPr>
    </w:p>
    <w:p/>
    <w:p/>
    <w:p/>
    <w:p/>
    <w:p>
      <w:pPr>
        <w:pStyle w:val="13"/>
        <w:ind w:firstLine="210"/>
      </w:pPr>
    </w:p>
    <w:p>
      <w:pPr>
        <w:spacing w:beforeLines="50" w:afterLines="100" w:line="420" w:lineRule="exact"/>
        <w:jc w:val="center"/>
        <w:rPr>
          <w:rFonts w:ascii="宋体" w:hAnsi="宋体"/>
          <w:b/>
          <w:bCs/>
          <w:sz w:val="32"/>
          <w:szCs w:val="32"/>
        </w:rPr>
      </w:pPr>
    </w:p>
    <w:p>
      <w:pPr>
        <w:spacing w:beforeLines="50" w:afterLines="100" w:line="420" w:lineRule="exact"/>
        <w:jc w:val="center"/>
        <w:rPr>
          <w:rFonts w:ascii="宋体" w:hAnsi="宋体"/>
          <w:b/>
          <w:bCs/>
          <w:sz w:val="32"/>
          <w:szCs w:val="32"/>
        </w:rPr>
      </w:pPr>
    </w:p>
    <w:p>
      <w:pPr>
        <w:spacing w:beforeLines="50" w:afterLines="100" w:line="420" w:lineRule="exact"/>
        <w:jc w:val="center"/>
        <w:rPr>
          <w:rFonts w:ascii="宋体" w:hAnsi="宋体"/>
          <w:b/>
          <w:bCs/>
          <w:sz w:val="32"/>
          <w:szCs w:val="32"/>
        </w:rPr>
      </w:pPr>
    </w:p>
    <w:p>
      <w:pPr>
        <w:spacing w:beforeLines="50" w:afterLines="100" w:line="420" w:lineRule="exact"/>
        <w:jc w:val="center"/>
        <w:rPr>
          <w:rFonts w:ascii="宋体" w:hAnsi="宋体"/>
          <w:b/>
          <w:bCs/>
          <w:sz w:val="32"/>
          <w:szCs w:val="32"/>
        </w:rPr>
      </w:pPr>
    </w:p>
    <w:p>
      <w:pPr>
        <w:spacing w:beforeLines="50" w:afterLines="100" w:line="420" w:lineRule="exact"/>
        <w:jc w:val="center"/>
        <w:rPr>
          <w:rFonts w:ascii="宋体" w:hAnsi="宋体"/>
          <w:b/>
          <w:bCs/>
          <w:sz w:val="32"/>
          <w:szCs w:val="32"/>
        </w:rPr>
      </w:pPr>
      <w:r>
        <w:rPr>
          <w:rFonts w:hint="eastAsia" w:ascii="宋体" w:hAnsi="宋体"/>
          <w:b/>
          <w:bCs/>
          <w:sz w:val="32"/>
          <w:szCs w:val="32"/>
        </w:rPr>
        <w:t>（二）主要人员简历表</w:t>
      </w:r>
    </w:p>
    <w:p>
      <w:pPr>
        <w:spacing w:line="420" w:lineRule="exact"/>
        <w:rPr>
          <w:rFonts w:ascii="宋体" w:hAnsi="宋体"/>
          <w:sz w:val="24"/>
          <w:szCs w:val="24"/>
        </w:rPr>
      </w:pPr>
      <w:r>
        <w:rPr>
          <w:rFonts w:hint="eastAsia" w:ascii="宋体" w:hAnsi="宋体"/>
          <w:sz w:val="24"/>
          <w:szCs w:val="24"/>
        </w:rPr>
        <w:t>附1：项目经理简历表</w:t>
      </w:r>
    </w:p>
    <w:p>
      <w:pPr>
        <w:spacing w:line="420" w:lineRule="exact"/>
        <w:ind w:firstLine="480" w:firstLineChars="200"/>
        <w:rPr>
          <w:rFonts w:ascii="宋体" w:hAnsi="宋体"/>
          <w:sz w:val="24"/>
          <w:szCs w:val="24"/>
        </w:rPr>
      </w:pPr>
      <w:r>
        <w:rPr>
          <w:rFonts w:hint="eastAsia" w:ascii="宋体" w:hAnsi="宋体"/>
          <w:sz w:val="24"/>
          <w:szCs w:val="24"/>
        </w:rPr>
        <w:t>项目经理应附</w:t>
      </w:r>
      <w:r>
        <w:rPr>
          <w:rFonts w:hint="eastAsia" w:ascii="宋体" w:hAnsi="宋体" w:cs="仿宋_GB2312"/>
          <w:kern w:val="0"/>
          <w:sz w:val="24"/>
          <w:szCs w:val="24"/>
        </w:rPr>
        <w:t>建造师注册资格证书、安全生产考核合格证书、身份证</w:t>
      </w:r>
      <w:r>
        <w:rPr>
          <w:rFonts w:hint="eastAsia" w:ascii="宋体" w:hAnsi="宋体"/>
          <w:sz w:val="24"/>
          <w:szCs w:val="24"/>
        </w:rPr>
        <w:t>、职称证、养老保险复印件，管理过的项目业绩须</w:t>
      </w:r>
      <w:r>
        <w:rPr>
          <w:rFonts w:hint="eastAsia" w:ascii="宋体" w:hAnsi="宋体" w:cs="仿宋_GB2312"/>
          <w:kern w:val="0"/>
          <w:sz w:val="24"/>
          <w:szCs w:val="24"/>
        </w:rPr>
        <w:t>提供法定媒介中标(成交)公示网页截图、合同、中标通知书(或竣工备案表)，并在投标文件中附完整的复印件。</w:t>
      </w:r>
      <w:r>
        <w:rPr>
          <w:rFonts w:hint="eastAsia" w:ascii="宋体" w:hAnsi="宋体"/>
          <w:sz w:val="24"/>
          <w:szCs w:val="24"/>
        </w:rPr>
        <w:t>类似项目限于以项目经理身份参与的项目。</w:t>
      </w:r>
    </w:p>
    <w:tbl>
      <w:tblPr>
        <w:tblStyle w:val="15"/>
        <w:tblW w:w="0" w:type="auto"/>
        <w:jc w:val="center"/>
        <w:tblLayout w:type="fixed"/>
        <w:tblCellMar>
          <w:top w:w="0" w:type="dxa"/>
          <w:left w:w="108" w:type="dxa"/>
          <w:bottom w:w="0" w:type="dxa"/>
          <w:right w:w="108" w:type="dxa"/>
        </w:tblCellMar>
      </w:tblPr>
      <w:tblGrid>
        <w:gridCol w:w="1233"/>
        <w:gridCol w:w="1029"/>
        <w:gridCol w:w="1204"/>
        <w:gridCol w:w="1355"/>
        <w:gridCol w:w="1959"/>
        <w:gridCol w:w="2259"/>
      </w:tblGrid>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姓  名</w:t>
            </w:r>
          </w:p>
        </w:tc>
        <w:tc>
          <w:tcPr>
            <w:tcW w:w="1029"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c>
          <w:tcPr>
            <w:tcW w:w="1204"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年  龄</w:t>
            </w:r>
          </w:p>
        </w:tc>
        <w:tc>
          <w:tcPr>
            <w:tcW w:w="1355"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学历</w:t>
            </w:r>
          </w:p>
        </w:tc>
        <w:tc>
          <w:tcPr>
            <w:tcW w:w="2259"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职  称</w:t>
            </w:r>
          </w:p>
        </w:tc>
        <w:tc>
          <w:tcPr>
            <w:tcW w:w="1029"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c>
          <w:tcPr>
            <w:tcW w:w="1204"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职  务</w:t>
            </w:r>
          </w:p>
        </w:tc>
        <w:tc>
          <w:tcPr>
            <w:tcW w:w="1355"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拟在本工程任职</w:t>
            </w:r>
          </w:p>
        </w:tc>
        <w:tc>
          <w:tcPr>
            <w:tcW w:w="2259"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74" w:hRule="atLeast"/>
          <w:jc w:val="center"/>
        </w:trPr>
        <w:tc>
          <w:tcPr>
            <w:tcW w:w="346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注册建造师执业资格等级</w:t>
            </w:r>
          </w:p>
        </w:tc>
        <w:tc>
          <w:tcPr>
            <w:tcW w:w="1355"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 xml:space="preserve">      级</w:t>
            </w:r>
          </w:p>
        </w:tc>
        <w:tc>
          <w:tcPr>
            <w:tcW w:w="1959"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建造师专业</w:t>
            </w:r>
          </w:p>
        </w:tc>
        <w:tc>
          <w:tcPr>
            <w:tcW w:w="2259"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74" w:hRule="atLeast"/>
          <w:jc w:val="center"/>
        </w:trPr>
        <w:tc>
          <w:tcPr>
            <w:tcW w:w="346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安全生产考核合格证书</w:t>
            </w:r>
          </w:p>
        </w:tc>
        <w:tc>
          <w:tcPr>
            <w:tcW w:w="5573"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毕业学校</w:t>
            </w:r>
          </w:p>
        </w:tc>
        <w:tc>
          <w:tcPr>
            <w:tcW w:w="7806" w:type="dxa"/>
            <w:gridSpan w:val="5"/>
            <w:tcBorders>
              <w:top w:val="single" w:color="auto" w:sz="4" w:space="0"/>
              <w:left w:val="nil"/>
              <w:bottom w:val="single" w:color="auto" w:sz="4" w:space="0"/>
              <w:right w:val="single" w:color="auto" w:sz="4" w:space="0"/>
            </w:tcBorders>
            <w:noWrap/>
            <w:vAlign w:val="center"/>
          </w:tcPr>
          <w:p>
            <w:pPr>
              <w:ind w:firstLine="960" w:firstLineChars="400"/>
              <w:rPr>
                <w:rFonts w:ascii="宋体" w:hAnsi="宋体"/>
                <w:sz w:val="24"/>
                <w:szCs w:val="24"/>
              </w:rPr>
            </w:pPr>
            <w:r>
              <w:rPr>
                <w:rFonts w:hint="eastAsia" w:ascii="宋体" w:hAnsi="宋体"/>
                <w:sz w:val="24"/>
                <w:szCs w:val="24"/>
              </w:rPr>
              <w:t>年毕业于                  学校            专业</w:t>
            </w:r>
          </w:p>
        </w:tc>
      </w:tr>
      <w:tr>
        <w:tblPrEx>
          <w:tblCellMar>
            <w:top w:w="0" w:type="dxa"/>
            <w:left w:w="108" w:type="dxa"/>
            <w:bottom w:w="0" w:type="dxa"/>
            <w:right w:w="108" w:type="dxa"/>
          </w:tblCellMar>
        </w:tblPrEx>
        <w:trPr>
          <w:trHeight w:val="374" w:hRule="atLeast"/>
          <w:jc w:val="center"/>
        </w:trPr>
        <w:tc>
          <w:tcPr>
            <w:tcW w:w="9039"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主要工作经历</w:t>
            </w: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时  间</w:t>
            </w:r>
          </w:p>
        </w:tc>
        <w:tc>
          <w:tcPr>
            <w:tcW w:w="3588"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参加过的类似项目名称</w:t>
            </w:r>
          </w:p>
        </w:tc>
        <w:tc>
          <w:tcPr>
            <w:tcW w:w="1959"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工程概况说明</w:t>
            </w:r>
          </w:p>
        </w:tc>
        <w:tc>
          <w:tcPr>
            <w:tcW w:w="2259"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发包人及联系电话</w:t>
            </w: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noWrap/>
            <w:vAlign w:val="center"/>
          </w:tcPr>
          <w:p>
            <w:pPr>
              <w:jc w:val="center"/>
              <w:rPr>
                <w:rFonts w:ascii="宋体" w:hAnsi="宋体"/>
                <w:sz w:val="24"/>
                <w:szCs w:val="24"/>
              </w:rPr>
            </w:pPr>
          </w:p>
        </w:tc>
      </w:tr>
    </w:tbl>
    <w:p>
      <w:pPr>
        <w:spacing w:line="420" w:lineRule="exact"/>
        <w:rPr>
          <w:rFonts w:ascii="宋体" w:hAnsi="宋体"/>
          <w:sz w:val="24"/>
          <w:szCs w:val="24"/>
        </w:rPr>
      </w:pPr>
    </w:p>
    <w:p>
      <w:pPr>
        <w:spacing w:line="420" w:lineRule="exact"/>
        <w:rPr>
          <w:rFonts w:ascii="宋体" w:hAnsi="宋体"/>
          <w:sz w:val="24"/>
          <w:szCs w:val="24"/>
        </w:rPr>
      </w:pPr>
    </w:p>
    <w:p>
      <w:pPr>
        <w:pStyle w:val="13"/>
        <w:ind w:firstLine="210"/>
      </w:pPr>
    </w:p>
    <w:p>
      <w:pPr>
        <w:spacing w:line="420" w:lineRule="exact"/>
        <w:rPr>
          <w:rFonts w:ascii="宋体" w:hAnsi="宋体"/>
          <w:sz w:val="24"/>
          <w:szCs w:val="24"/>
        </w:rPr>
      </w:pPr>
    </w:p>
    <w:p>
      <w:pPr>
        <w:spacing w:line="420" w:lineRule="exact"/>
        <w:rPr>
          <w:rFonts w:ascii="宋体" w:hAnsi="宋体"/>
          <w:sz w:val="24"/>
          <w:szCs w:val="24"/>
        </w:rPr>
      </w:pPr>
    </w:p>
    <w:p>
      <w:pPr>
        <w:spacing w:line="420" w:lineRule="exact"/>
        <w:rPr>
          <w:rFonts w:ascii="宋体" w:hAnsi="宋体"/>
          <w:sz w:val="24"/>
          <w:szCs w:val="24"/>
        </w:rPr>
      </w:pPr>
    </w:p>
    <w:p>
      <w:pPr>
        <w:spacing w:line="420" w:lineRule="exact"/>
        <w:rPr>
          <w:rFonts w:ascii="宋体" w:hAnsi="宋体"/>
          <w:sz w:val="24"/>
          <w:szCs w:val="24"/>
        </w:rPr>
      </w:pPr>
    </w:p>
    <w:p>
      <w:pPr>
        <w:spacing w:line="420" w:lineRule="exact"/>
        <w:rPr>
          <w:rFonts w:ascii="宋体" w:hAnsi="宋体"/>
          <w:sz w:val="24"/>
          <w:szCs w:val="24"/>
        </w:rPr>
      </w:pPr>
    </w:p>
    <w:p>
      <w:pPr>
        <w:spacing w:line="420" w:lineRule="exact"/>
        <w:rPr>
          <w:rFonts w:ascii="仿宋_GB2312" w:cs="Times New Roman"/>
          <w:b/>
          <w:bCs/>
          <w:kern w:val="44"/>
          <w:sz w:val="44"/>
          <w:szCs w:val="44"/>
        </w:rPr>
      </w:pPr>
    </w:p>
    <w:p>
      <w:pPr>
        <w:spacing w:line="420" w:lineRule="exact"/>
        <w:rPr>
          <w:rFonts w:ascii="仿宋_GB2312" w:cs="Times New Roman"/>
          <w:b/>
          <w:bCs/>
          <w:kern w:val="44"/>
          <w:sz w:val="44"/>
          <w:szCs w:val="44"/>
        </w:rPr>
      </w:pPr>
    </w:p>
    <w:p>
      <w:pPr>
        <w:spacing w:line="420" w:lineRule="exact"/>
        <w:rPr>
          <w:rFonts w:ascii="仿宋_GB2312" w:cs="Times New Roman"/>
          <w:b/>
          <w:bCs/>
          <w:kern w:val="44"/>
          <w:sz w:val="44"/>
          <w:szCs w:val="44"/>
        </w:rPr>
      </w:pPr>
    </w:p>
    <w:p>
      <w:pPr>
        <w:spacing w:line="420" w:lineRule="exact"/>
        <w:rPr>
          <w:rFonts w:ascii="仿宋_GB2312" w:cs="Times New Roman"/>
          <w:b/>
          <w:bCs/>
          <w:kern w:val="44"/>
          <w:sz w:val="44"/>
          <w:szCs w:val="44"/>
        </w:rPr>
      </w:pPr>
    </w:p>
    <w:p>
      <w:pPr>
        <w:spacing w:line="420" w:lineRule="exact"/>
        <w:rPr>
          <w:rFonts w:ascii="宋体" w:hAnsi="宋体"/>
          <w:sz w:val="24"/>
          <w:szCs w:val="24"/>
        </w:rPr>
      </w:pPr>
      <w:r>
        <w:rPr>
          <w:rFonts w:hint="eastAsia" w:ascii="宋体" w:hAnsi="宋体"/>
          <w:sz w:val="24"/>
          <w:szCs w:val="24"/>
        </w:rPr>
        <w:t>附2：主要项目管理人员简历表</w:t>
      </w:r>
    </w:p>
    <w:p>
      <w:pPr>
        <w:spacing w:line="420" w:lineRule="exact"/>
        <w:ind w:firstLine="480" w:firstLineChars="200"/>
        <w:rPr>
          <w:rFonts w:ascii="宋体" w:hAnsi="宋体"/>
          <w:sz w:val="24"/>
          <w:szCs w:val="24"/>
        </w:rPr>
      </w:pPr>
      <w:r>
        <w:rPr>
          <w:rFonts w:hint="eastAsia" w:ascii="宋体" w:hAnsi="宋体"/>
          <w:sz w:val="24"/>
          <w:szCs w:val="24"/>
        </w:rPr>
        <w:t>主要项目管理人员是指技术负责人、专职安全生产管理员等岗位人员。应附身份证、执业证或岗位证书、养老保险复印件，专职安全生产管理人员应附安全生产考核合格证书。</w:t>
      </w:r>
    </w:p>
    <w:tbl>
      <w:tblPr>
        <w:tblStyle w:val="15"/>
        <w:tblW w:w="0" w:type="auto"/>
        <w:jc w:val="center"/>
        <w:tblLayout w:type="fixed"/>
        <w:tblCellMar>
          <w:top w:w="0" w:type="dxa"/>
          <w:left w:w="108" w:type="dxa"/>
          <w:bottom w:w="0" w:type="dxa"/>
          <w:right w:w="108" w:type="dxa"/>
        </w:tblCellMar>
      </w:tblPr>
      <w:tblGrid>
        <w:gridCol w:w="1104"/>
        <w:gridCol w:w="1250"/>
        <w:gridCol w:w="1894"/>
        <w:gridCol w:w="1590"/>
        <w:gridCol w:w="2891"/>
      </w:tblGrid>
      <w:tr>
        <w:tblPrEx>
          <w:tblCellMar>
            <w:top w:w="0" w:type="dxa"/>
            <w:left w:w="108" w:type="dxa"/>
            <w:bottom w:w="0" w:type="dxa"/>
            <w:right w:w="108" w:type="dxa"/>
          </w:tblCellMar>
        </w:tblPrEx>
        <w:trPr>
          <w:trHeight w:val="649" w:hRule="atLeast"/>
          <w:jc w:val="center"/>
        </w:trPr>
        <w:tc>
          <w:tcPr>
            <w:tcW w:w="8729" w:type="dxa"/>
            <w:gridSpan w:val="5"/>
            <w:tcBorders>
              <w:top w:val="single" w:color="auto" w:sz="4" w:space="0"/>
              <w:left w:val="single" w:color="auto" w:sz="4" w:space="0"/>
              <w:bottom w:val="single" w:color="auto" w:sz="4" w:space="0"/>
              <w:right w:val="single" w:color="auto" w:sz="4" w:space="0"/>
            </w:tcBorders>
            <w:noWrap/>
            <w:vAlign w:val="center"/>
          </w:tcPr>
          <w:p>
            <w:pPr>
              <w:spacing w:line="640" w:lineRule="exact"/>
              <w:rPr>
                <w:rFonts w:ascii="宋体" w:hAnsi="宋体"/>
                <w:sz w:val="24"/>
                <w:szCs w:val="24"/>
              </w:rPr>
            </w:pPr>
            <w:r>
              <w:rPr>
                <w:rFonts w:hint="eastAsia" w:ascii="宋体" w:hAnsi="宋体"/>
                <w:sz w:val="24"/>
                <w:szCs w:val="24"/>
              </w:rPr>
              <w:t>岗位名称</w:t>
            </w:r>
          </w:p>
        </w:tc>
      </w:tr>
      <w:tr>
        <w:tblPrEx>
          <w:tblCellMar>
            <w:top w:w="0" w:type="dxa"/>
            <w:left w:w="108" w:type="dxa"/>
            <w:bottom w:w="0" w:type="dxa"/>
            <w:right w:w="108" w:type="dxa"/>
          </w:tblCellMar>
        </w:tblPrEx>
        <w:trPr>
          <w:trHeight w:val="475" w:hRule="atLeast"/>
          <w:jc w:val="center"/>
        </w:trPr>
        <w:tc>
          <w:tcPr>
            <w:tcW w:w="2354" w:type="dxa"/>
            <w:gridSpan w:val="2"/>
            <w:tcBorders>
              <w:top w:val="single" w:color="auto" w:sz="4" w:space="0"/>
              <w:left w:val="single" w:color="auto" w:sz="4" w:space="0"/>
              <w:bottom w:val="single" w:color="auto" w:sz="4" w:space="0"/>
              <w:right w:val="single" w:color="auto" w:sz="4" w:space="0"/>
            </w:tcBorders>
            <w:noWrap/>
            <w:vAlign w:val="center"/>
          </w:tcPr>
          <w:p>
            <w:pPr>
              <w:spacing w:line="640" w:lineRule="exact"/>
              <w:rPr>
                <w:rFonts w:ascii="宋体" w:hAnsi="宋体"/>
                <w:sz w:val="24"/>
                <w:szCs w:val="24"/>
              </w:rPr>
            </w:pPr>
            <w:r>
              <w:rPr>
                <w:rFonts w:hint="eastAsia" w:ascii="宋体" w:hAnsi="宋体"/>
                <w:sz w:val="24"/>
                <w:szCs w:val="24"/>
              </w:rPr>
              <w:t>姓    名</w:t>
            </w:r>
          </w:p>
        </w:tc>
        <w:tc>
          <w:tcPr>
            <w:tcW w:w="1894" w:type="dxa"/>
            <w:tcBorders>
              <w:top w:val="single" w:color="auto" w:sz="4" w:space="0"/>
              <w:left w:val="single" w:color="auto" w:sz="4" w:space="0"/>
              <w:bottom w:val="single" w:color="auto" w:sz="4" w:space="0"/>
              <w:right w:val="single" w:color="auto" w:sz="4" w:space="0"/>
            </w:tcBorders>
            <w:noWrap/>
            <w:vAlign w:val="center"/>
          </w:tcPr>
          <w:p>
            <w:pPr>
              <w:spacing w:line="640" w:lineRule="exact"/>
              <w:rPr>
                <w:rFonts w:ascii="宋体" w:hAnsi="宋体"/>
                <w:sz w:val="24"/>
                <w:szCs w:val="24"/>
              </w:rPr>
            </w:pPr>
          </w:p>
        </w:tc>
        <w:tc>
          <w:tcPr>
            <w:tcW w:w="1590" w:type="dxa"/>
            <w:tcBorders>
              <w:top w:val="single" w:color="auto" w:sz="4" w:space="0"/>
              <w:left w:val="nil"/>
              <w:bottom w:val="single" w:color="auto" w:sz="4" w:space="0"/>
              <w:right w:val="single" w:color="auto" w:sz="4" w:space="0"/>
            </w:tcBorders>
            <w:noWrap/>
            <w:vAlign w:val="center"/>
          </w:tcPr>
          <w:p>
            <w:pPr>
              <w:spacing w:line="640" w:lineRule="exact"/>
              <w:rPr>
                <w:rFonts w:ascii="宋体" w:hAnsi="宋体"/>
                <w:sz w:val="24"/>
                <w:szCs w:val="24"/>
              </w:rPr>
            </w:pPr>
            <w:r>
              <w:rPr>
                <w:rFonts w:hint="eastAsia" w:ascii="宋体" w:hAnsi="宋体"/>
                <w:sz w:val="24"/>
                <w:szCs w:val="24"/>
              </w:rPr>
              <w:t>年    龄</w:t>
            </w:r>
          </w:p>
        </w:tc>
        <w:tc>
          <w:tcPr>
            <w:tcW w:w="2891" w:type="dxa"/>
            <w:tcBorders>
              <w:top w:val="single" w:color="auto" w:sz="4" w:space="0"/>
              <w:left w:val="nil"/>
              <w:bottom w:val="single" w:color="auto" w:sz="4" w:space="0"/>
              <w:right w:val="single" w:color="auto" w:sz="4" w:space="0"/>
            </w:tcBorders>
            <w:noWrap/>
            <w:vAlign w:val="center"/>
          </w:tcPr>
          <w:p>
            <w:pPr>
              <w:spacing w:line="640" w:lineRule="exact"/>
              <w:rPr>
                <w:rFonts w:ascii="宋体" w:hAnsi="宋体"/>
                <w:sz w:val="24"/>
                <w:szCs w:val="24"/>
              </w:rPr>
            </w:pPr>
          </w:p>
        </w:tc>
      </w:tr>
      <w:tr>
        <w:tblPrEx>
          <w:tblCellMar>
            <w:top w:w="0" w:type="dxa"/>
            <w:left w:w="108" w:type="dxa"/>
            <w:bottom w:w="0" w:type="dxa"/>
            <w:right w:w="108" w:type="dxa"/>
          </w:tblCellMar>
        </w:tblPrEx>
        <w:trPr>
          <w:trHeight w:val="399" w:hRule="atLeast"/>
          <w:jc w:val="center"/>
        </w:trPr>
        <w:tc>
          <w:tcPr>
            <w:tcW w:w="2354" w:type="dxa"/>
            <w:gridSpan w:val="2"/>
            <w:tcBorders>
              <w:top w:val="single" w:color="auto" w:sz="4" w:space="0"/>
              <w:left w:val="single" w:color="auto" w:sz="4" w:space="0"/>
              <w:bottom w:val="single" w:color="auto" w:sz="4" w:space="0"/>
              <w:right w:val="single" w:color="auto" w:sz="4" w:space="0"/>
            </w:tcBorders>
            <w:noWrap/>
            <w:vAlign w:val="center"/>
          </w:tcPr>
          <w:p>
            <w:pPr>
              <w:spacing w:line="640" w:lineRule="exact"/>
              <w:rPr>
                <w:rFonts w:ascii="宋体" w:hAnsi="宋体"/>
                <w:sz w:val="24"/>
                <w:szCs w:val="24"/>
              </w:rPr>
            </w:pPr>
            <w:r>
              <w:rPr>
                <w:rFonts w:hint="eastAsia" w:ascii="宋体" w:hAnsi="宋体"/>
                <w:sz w:val="24"/>
                <w:szCs w:val="24"/>
              </w:rPr>
              <w:t>性    别</w:t>
            </w:r>
          </w:p>
        </w:tc>
        <w:tc>
          <w:tcPr>
            <w:tcW w:w="1894" w:type="dxa"/>
            <w:tcBorders>
              <w:top w:val="single" w:color="auto" w:sz="4" w:space="0"/>
              <w:left w:val="single" w:color="auto" w:sz="4" w:space="0"/>
              <w:bottom w:val="single" w:color="auto" w:sz="4" w:space="0"/>
              <w:right w:val="single" w:color="auto" w:sz="4" w:space="0"/>
            </w:tcBorders>
            <w:noWrap/>
            <w:vAlign w:val="center"/>
          </w:tcPr>
          <w:p>
            <w:pPr>
              <w:spacing w:line="640" w:lineRule="exact"/>
              <w:rPr>
                <w:rFonts w:ascii="宋体" w:hAnsi="宋体"/>
                <w:sz w:val="24"/>
                <w:szCs w:val="24"/>
              </w:rPr>
            </w:pPr>
          </w:p>
        </w:tc>
        <w:tc>
          <w:tcPr>
            <w:tcW w:w="1590" w:type="dxa"/>
            <w:tcBorders>
              <w:top w:val="single" w:color="auto" w:sz="4" w:space="0"/>
              <w:left w:val="nil"/>
              <w:bottom w:val="single" w:color="auto" w:sz="4" w:space="0"/>
              <w:right w:val="single" w:color="auto" w:sz="4" w:space="0"/>
            </w:tcBorders>
            <w:noWrap/>
            <w:vAlign w:val="center"/>
          </w:tcPr>
          <w:p>
            <w:pPr>
              <w:spacing w:line="640" w:lineRule="exact"/>
              <w:rPr>
                <w:rFonts w:ascii="宋体" w:hAnsi="宋体"/>
                <w:sz w:val="24"/>
                <w:szCs w:val="24"/>
              </w:rPr>
            </w:pPr>
            <w:r>
              <w:rPr>
                <w:rFonts w:hint="eastAsia" w:ascii="宋体" w:hAnsi="宋体"/>
                <w:sz w:val="24"/>
                <w:szCs w:val="24"/>
              </w:rPr>
              <w:t>毕业学校</w:t>
            </w:r>
          </w:p>
        </w:tc>
        <w:tc>
          <w:tcPr>
            <w:tcW w:w="2891" w:type="dxa"/>
            <w:tcBorders>
              <w:top w:val="single" w:color="auto" w:sz="4" w:space="0"/>
              <w:left w:val="nil"/>
              <w:bottom w:val="single" w:color="auto" w:sz="4" w:space="0"/>
              <w:right w:val="single" w:color="auto" w:sz="4" w:space="0"/>
            </w:tcBorders>
            <w:noWrap/>
            <w:vAlign w:val="center"/>
          </w:tcPr>
          <w:p>
            <w:pPr>
              <w:spacing w:line="640" w:lineRule="exact"/>
              <w:rPr>
                <w:rFonts w:ascii="宋体" w:hAnsi="宋体"/>
                <w:sz w:val="24"/>
                <w:szCs w:val="24"/>
              </w:rPr>
            </w:pPr>
          </w:p>
        </w:tc>
      </w:tr>
      <w:tr>
        <w:tblPrEx>
          <w:tblCellMar>
            <w:top w:w="0" w:type="dxa"/>
            <w:left w:w="108" w:type="dxa"/>
            <w:bottom w:w="0" w:type="dxa"/>
            <w:right w:w="108" w:type="dxa"/>
          </w:tblCellMar>
        </w:tblPrEx>
        <w:trPr>
          <w:trHeight w:val="548" w:hRule="atLeast"/>
          <w:jc w:val="center"/>
        </w:trPr>
        <w:tc>
          <w:tcPr>
            <w:tcW w:w="2354" w:type="dxa"/>
            <w:gridSpan w:val="2"/>
            <w:tcBorders>
              <w:top w:val="single" w:color="auto" w:sz="4" w:space="0"/>
              <w:left w:val="single" w:color="auto" w:sz="4" w:space="0"/>
              <w:bottom w:val="single" w:color="auto" w:sz="4" w:space="0"/>
              <w:right w:val="single" w:color="auto" w:sz="4" w:space="0"/>
            </w:tcBorders>
            <w:noWrap/>
            <w:vAlign w:val="center"/>
          </w:tcPr>
          <w:p>
            <w:pPr>
              <w:spacing w:line="640" w:lineRule="exact"/>
              <w:rPr>
                <w:rFonts w:ascii="宋体" w:hAnsi="宋体"/>
                <w:sz w:val="24"/>
                <w:szCs w:val="24"/>
              </w:rPr>
            </w:pPr>
            <w:r>
              <w:rPr>
                <w:rFonts w:hint="eastAsia" w:ascii="宋体" w:hAnsi="宋体"/>
                <w:sz w:val="24"/>
                <w:szCs w:val="24"/>
              </w:rPr>
              <w:t>学历和专业</w:t>
            </w:r>
          </w:p>
        </w:tc>
        <w:tc>
          <w:tcPr>
            <w:tcW w:w="1894" w:type="dxa"/>
            <w:tcBorders>
              <w:top w:val="single" w:color="auto" w:sz="4" w:space="0"/>
              <w:left w:val="single" w:color="auto" w:sz="4" w:space="0"/>
              <w:bottom w:val="single" w:color="auto" w:sz="4" w:space="0"/>
              <w:right w:val="single" w:color="auto" w:sz="4" w:space="0"/>
            </w:tcBorders>
            <w:noWrap/>
            <w:vAlign w:val="center"/>
          </w:tcPr>
          <w:p>
            <w:pPr>
              <w:spacing w:line="640" w:lineRule="exact"/>
              <w:rPr>
                <w:rFonts w:ascii="宋体" w:hAnsi="宋体"/>
                <w:sz w:val="24"/>
                <w:szCs w:val="24"/>
              </w:rPr>
            </w:pPr>
          </w:p>
        </w:tc>
        <w:tc>
          <w:tcPr>
            <w:tcW w:w="1590" w:type="dxa"/>
            <w:tcBorders>
              <w:top w:val="single" w:color="auto" w:sz="4" w:space="0"/>
              <w:left w:val="nil"/>
              <w:bottom w:val="single" w:color="auto" w:sz="4" w:space="0"/>
              <w:right w:val="single" w:color="auto" w:sz="4" w:space="0"/>
            </w:tcBorders>
            <w:noWrap/>
            <w:vAlign w:val="center"/>
          </w:tcPr>
          <w:p>
            <w:pPr>
              <w:spacing w:line="640" w:lineRule="exact"/>
              <w:rPr>
                <w:rFonts w:ascii="宋体" w:hAnsi="宋体"/>
                <w:sz w:val="24"/>
                <w:szCs w:val="24"/>
              </w:rPr>
            </w:pPr>
            <w:r>
              <w:rPr>
                <w:rFonts w:hint="eastAsia" w:ascii="宋体" w:hAnsi="宋体"/>
                <w:sz w:val="24"/>
                <w:szCs w:val="24"/>
              </w:rPr>
              <w:t>毕业时间</w:t>
            </w:r>
          </w:p>
        </w:tc>
        <w:tc>
          <w:tcPr>
            <w:tcW w:w="2891" w:type="dxa"/>
            <w:tcBorders>
              <w:top w:val="single" w:color="auto" w:sz="4" w:space="0"/>
              <w:left w:val="nil"/>
              <w:bottom w:val="single" w:color="auto" w:sz="4" w:space="0"/>
              <w:right w:val="single" w:color="auto" w:sz="4" w:space="0"/>
            </w:tcBorders>
            <w:noWrap/>
            <w:vAlign w:val="center"/>
          </w:tcPr>
          <w:p>
            <w:pPr>
              <w:spacing w:line="640" w:lineRule="exact"/>
              <w:rPr>
                <w:rFonts w:ascii="宋体" w:hAnsi="宋体"/>
                <w:sz w:val="24"/>
                <w:szCs w:val="24"/>
              </w:rPr>
            </w:pPr>
          </w:p>
        </w:tc>
      </w:tr>
      <w:tr>
        <w:tblPrEx>
          <w:tblCellMar>
            <w:top w:w="0" w:type="dxa"/>
            <w:left w:w="108" w:type="dxa"/>
            <w:bottom w:w="0" w:type="dxa"/>
            <w:right w:w="108" w:type="dxa"/>
          </w:tblCellMar>
        </w:tblPrEx>
        <w:trPr>
          <w:trHeight w:val="444" w:hRule="atLeast"/>
          <w:jc w:val="center"/>
        </w:trPr>
        <w:tc>
          <w:tcPr>
            <w:tcW w:w="2354" w:type="dxa"/>
            <w:gridSpan w:val="2"/>
            <w:tcBorders>
              <w:top w:val="single" w:color="auto" w:sz="4" w:space="0"/>
              <w:left w:val="single" w:color="auto" w:sz="4" w:space="0"/>
              <w:bottom w:val="single" w:color="auto" w:sz="4" w:space="0"/>
              <w:right w:val="single" w:color="auto" w:sz="4" w:space="0"/>
            </w:tcBorders>
            <w:noWrap/>
            <w:vAlign w:val="center"/>
          </w:tcPr>
          <w:p>
            <w:pPr>
              <w:spacing w:line="640" w:lineRule="exact"/>
              <w:rPr>
                <w:rFonts w:ascii="宋体" w:hAnsi="宋体"/>
                <w:sz w:val="24"/>
                <w:szCs w:val="24"/>
              </w:rPr>
            </w:pPr>
            <w:r>
              <w:rPr>
                <w:rFonts w:hint="eastAsia" w:ascii="宋体" w:hAnsi="宋体"/>
                <w:sz w:val="24"/>
                <w:szCs w:val="24"/>
              </w:rPr>
              <w:t>拥有的执业资格</w:t>
            </w:r>
          </w:p>
        </w:tc>
        <w:tc>
          <w:tcPr>
            <w:tcW w:w="1894" w:type="dxa"/>
            <w:tcBorders>
              <w:top w:val="single" w:color="auto" w:sz="4" w:space="0"/>
              <w:left w:val="single" w:color="auto" w:sz="4" w:space="0"/>
              <w:bottom w:val="single" w:color="auto" w:sz="4" w:space="0"/>
              <w:right w:val="single" w:color="auto" w:sz="4" w:space="0"/>
            </w:tcBorders>
            <w:noWrap/>
            <w:vAlign w:val="center"/>
          </w:tcPr>
          <w:p>
            <w:pPr>
              <w:spacing w:line="640" w:lineRule="exact"/>
              <w:rPr>
                <w:rFonts w:ascii="宋体" w:hAnsi="宋体"/>
                <w:sz w:val="24"/>
                <w:szCs w:val="24"/>
              </w:rPr>
            </w:pPr>
          </w:p>
        </w:tc>
        <w:tc>
          <w:tcPr>
            <w:tcW w:w="1590" w:type="dxa"/>
            <w:tcBorders>
              <w:top w:val="single" w:color="auto" w:sz="4" w:space="0"/>
              <w:left w:val="nil"/>
              <w:bottom w:val="single" w:color="auto" w:sz="4" w:space="0"/>
              <w:right w:val="single" w:color="auto" w:sz="4" w:space="0"/>
            </w:tcBorders>
            <w:noWrap/>
            <w:vAlign w:val="center"/>
          </w:tcPr>
          <w:p>
            <w:pPr>
              <w:spacing w:line="640" w:lineRule="exact"/>
              <w:rPr>
                <w:rFonts w:ascii="宋体" w:hAnsi="宋体"/>
                <w:sz w:val="24"/>
                <w:szCs w:val="24"/>
              </w:rPr>
            </w:pPr>
            <w:r>
              <w:rPr>
                <w:rFonts w:hint="eastAsia" w:ascii="宋体" w:hAnsi="宋体"/>
                <w:sz w:val="24"/>
                <w:szCs w:val="24"/>
              </w:rPr>
              <w:t>专业职称</w:t>
            </w:r>
          </w:p>
        </w:tc>
        <w:tc>
          <w:tcPr>
            <w:tcW w:w="2891" w:type="dxa"/>
            <w:tcBorders>
              <w:top w:val="single" w:color="auto" w:sz="4" w:space="0"/>
              <w:left w:val="nil"/>
              <w:bottom w:val="single" w:color="auto" w:sz="4" w:space="0"/>
              <w:right w:val="single" w:color="auto" w:sz="4" w:space="0"/>
            </w:tcBorders>
            <w:noWrap/>
            <w:vAlign w:val="center"/>
          </w:tcPr>
          <w:p>
            <w:pPr>
              <w:spacing w:line="640" w:lineRule="exact"/>
              <w:rPr>
                <w:rFonts w:ascii="宋体" w:hAnsi="宋体"/>
                <w:sz w:val="24"/>
                <w:szCs w:val="24"/>
              </w:rPr>
            </w:pPr>
          </w:p>
        </w:tc>
      </w:tr>
      <w:tr>
        <w:tblPrEx>
          <w:tblCellMar>
            <w:top w:w="0" w:type="dxa"/>
            <w:left w:w="108" w:type="dxa"/>
            <w:bottom w:w="0" w:type="dxa"/>
            <w:right w:w="108" w:type="dxa"/>
          </w:tblCellMar>
        </w:tblPrEx>
        <w:trPr>
          <w:trHeight w:val="635" w:hRule="atLeast"/>
          <w:jc w:val="center"/>
        </w:trPr>
        <w:tc>
          <w:tcPr>
            <w:tcW w:w="2354" w:type="dxa"/>
            <w:gridSpan w:val="2"/>
            <w:tcBorders>
              <w:top w:val="single" w:color="auto" w:sz="4" w:space="0"/>
              <w:left w:val="single" w:color="auto" w:sz="4" w:space="0"/>
              <w:bottom w:val="single" w:color="auto" w:sz="4" w:space="0"/>
              <w:right w:val="single" w:color="auto" w:sz="4" w:space="0"/>
            </w:tcBorders>
            <w:noWrap/>
            <w:vAlign w:val="center"/>
          </w:tcPr>
          <w:p>
            <w:pPr>
              <w:spacing w:line="640" w:lineRule="exact"/>
              <w:rPr>
                <w:rFonts w:ascii="宋体" w:hAnsi="宋体"/>
                <w:sz w:val="24"/>
                <w:szCs w:val="24"/>
              </w:rPr>
            </w:pPr>
            <w:r>
              <w:rPr>
                <w:rFonts w:hint="eastAsia" w:ascii="宋体" w:hAnsi="宋体"/>
                <w:sz w:val="24"/>
                <w:szCs w:val="24"/>
              </w:rPr>
              <w:t>执业资格证书编号</w:t>
            </w:r>
          </w:p>
        </w:tc>
        <w:tc>
          <w:tcPr>
            <w:tcW w:w="1894" w:type="dxa"/>
            <w:tcBorders>
              <w:top w:val="single" w:color="auto" w:sz="4" w:space="0"/>
              <w:left w:val="single" w:color="auto" w:sz="4" w:space="0"/>
              <w:bottom w:val="single" w:color="auto" w:sz="4" w:space="0"/>
              <w:right w:val="single" w:color="auto" w:sz="4" w:space="0"/>
            </w:tcBorders>
            <w:noWrap/>
            <w:vAlign w:val="center"/>
          </w:tcPr>
          <w:p>
            <w:pPr>
              <w:spacing w:line="640" w:lineRule="exact"/>
              <w:rPr>
                <w:rFonts w:ascii="宋体" w:hAnsi="宋体"/>
                <w:sz w:val="24"/>
                <w:szCs w:val="24"/>
              </w:rPr>
            </w:pPr>
          </w:p>
        </w:tc>
        <w:tc>
          <w:tcPr>
            <w:tcW w:w="1590" w:type="dxa"/>
            <w:tcBorders>
              <w:top w:val="single" w:color="auto" w:sz="4" w:space="0"/>
              <w:left w:val="nil"/>
              <w:bottom w:val="single" w:color="auto" w:sz="4" w:space="0"/>
              <w:right w:val="single" w:color="auto" w:sz="4" w:space="0"/>
            </w:tcBorders>
            <w:noWrap/>
            <w:vAlign w:val="center"/>
          </w:tcPr>
          <w:p>
            <w:pPr>
              <w:spacing w:line="640" w:lineRule="exact"/>
              <w:rPr>
                <w:rFonts w:ascii="宋体" w:hAnsi="宋体"/>
                <w:sz w:val="24"/>
                <w:szCs w:val="24"/>
              </w:rPr>
            </w:pPr>
            <w:r>
              <w:rPr>
                <w:rFonts w:hint="eastAsia" w:ascii="宋体" w:hAnsi="宋体"/>
                <w:sz w:val="24"/>
                <w:szCs w:val="24"/>
              </w:rPr>
              <w:t>工作年限</w:t>
            </w:r>
          </w:p>
        </w:tc>
        <w:tc>
          <w:tcPr>
            <w:tcW w:w="2891" w:type="dxa"/>
            <w:tcBorders>
              <w:top w:val="single" w:color="auto" w:sz="4" w:space="0"/>
              <w:left w:val="nil"/>
              <w:bottom w:val="single" w:color="auto" w:sz="4" w:space="0"/>
              <w:right w:val="single" w:color="auto" w:sz="4" w:space="0"/>
            </w:tcBorders>
            <w:noWrap/>
            <w:vAlign w:val="center"/>
          </w:tcPr>
          <w:p>
            <w:pPr>
              <w:spacing w:line="640" w:lineRule="exact"/>
              <w:rPr>
                <w:rFonts w:ascii="宋体" w:hAnsi="宋体"/>
                <w:sz w:val="24"/>
                <w:szCs w:val="24"/>
              </w:rPr>
            </w:pPr>
          </w:p>
        </w:tc>
      </w:tr>
      <w:tr>
        <w:tblPrEx>
          <w:tblCellMar>
            <w:top w:w="0" w:type="dxa"/>
            <w:left w:w="108" w:type="dxa"/>
            <w:bottom w:w="0" w:type="dxa"/>
            <w:right w:w="108" w:type="dxa"/>
          </w:tblCellMar>
        </w:tblPrEx>
        <w:trPr>
          <w:trHeight w:val="2698" w:hRule="atLeast"/>
          <w:jc w:val="center"/>
        </w:trPr>
        <w:tc>
          <w:tcPr>
            <w:tcW w:w="11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szCs w:val="24"/>
              </w:rPr>
            </w:pPr>
            <w:r>
              <w:rPr>
                <w:rFonts w:hint="eastAsia" w:ascii="宋体" w:hAnsi="宋体"/>
                <w:sz w:val="24"/>
                <w:szCs w:val="24"/>
              </w:rPr>
              <w:t>主要</w:t>
            </w:r>
          </w:p>
          <w:p>
            <w:pPr>
              <w:jc w:val="center"/>
              <w:rPr>
                <w:rFonts w:ascii="宋体" w:hAnsi="宋体"/>
                <w:sz w:val="24"/>
                <w:szCs w:val="24"/>
              </w:rPr>
            </w:pPr>
            <w:r>
              <w:rPr>
                <w:rFonts w:hint="eastAsia" w:ascii="宋体" w:hAnsi="宋体"/>
                <w:sz w:val="24"/>
                <w:szCs w:val="24"/>
              </w:rPr>
              <w:t>工作</w:t>
            </w:r>
          </w:p>
          <w:p>
            <w:pPr>
              <w:jc w:val="center"/>
              <w:rPr>
                <w:rFonts w:ascii="宋体" w:hAnsi="宋体"/>
                <w:sz w:val="24"/>
                <w:szCs w:val="24"/>
              </w:rPr>
            </w:pPr>
            <w:r>
              <w:rPr>
                <w:rFonts w:hint="eastAsia" w:ascii="宋体" w:hAnsi="宋体"/>
                <w:sz w:val="24"/>
                <w:szCs w:val="24"/>
              </w:rPr>
              <w:t>业绩</w:t>
            </w:r>
          </w:p>
          <w:p>
            <w:pPr>
              <w:jc w:val="center"/>
              <w:rPr>
                <w:rFonts w:ascii="宋体" w:hAnsi="宋体"/>
                <w:sz w:val="24"/>
                <w:szCs w:val="24"/>
              </w:rPr>
            </w:pPr>
            <w:r>
              <w:rPr>
                <w:rFonts w:hint="eastAsia" w:ascii="宋体" w:hAnsi="宋体"/>
                <w:sz w:val="24"/>
                <w:szCs w:val="24"/>
              </w:rPr>
              <w:t>及担</w:t>
            </w:r>
          </w:p>
          <w:p>
            <w:pPr>
              <w:jc w:val="center"/>
              <w:rPr>
                <w:rFonts w:ascii="宋体" w:hAnsi="宋体"/>
                <w:sz w:val="24"/>
                <w:szCs w:val="24"/>
              </w:rPr>
            </w:pPr>
            <w:r>
              <w:rPr>
                <w:rFonts w:hint="eastAsia" w:ascii="宋体" w:hAnsi="宋体"/>
                <w:sz w:val="24"/>
                <w:szCs w:val="24"/>
              </w:rPr>
              <w:t>任的</w:t>
            </w:r>
          </w:p>
          <w:p>
            <w:pPr>
              <w:jc w:val="center"/>
              <w:rPr>
                <w:rFonts w:ascii="宋体" w:hAnsi="宋体"/>
                <w:sz w:val="24"/>
                <w:szCs w:val="24"/>
              </w:rPr>
            </w:pPr>
            <w:r>
              <w:rPr>
                <w:rFonts w:hint="eastAsia" w:ascii="宋体" w:hAnsi="宋体"/>
                <w:sz w:val="24"/>
                <w:szCs w:val="24"/>
              </w:rPr>
              <w:t>主要</w:t>
            </w:r>
          </w:p>
          <w:p>
            <w:pPr>
              <w:jc w:val="center"/>
              <w:rPr>
                <w:rFonts w:ascii="宋体" w:hAnsi="宋体"/>
                <w:sz w:val="24"/>
                <w:szCs w:val="24"/>
              </w:rPr>
            </w:pPr>
            <w:r>
              <w:rPr>
                <w:rFonts w:hint="eastAsia" w:ascii="宋体" w:hAnsi="宋体"/>
                <w:sz w:val="24"/>
                <w:szCs w:val="24"/>
              </w:rPr>
              <w:t>工作</w:t>
            </w:r>
          </w:p>
        </w:tc>
        <w:tc>
          <w:tcPr>
            <w:tcW w:w="7625" w:type="dxa"/>
            <w:gridSpan w:val="4"/>
            <w:tcBorders>
              <w:top w:val="single" w:color="auto" w:sz="4" w:space="0"/>
              <w:left w:val="nil"/>
              <w:bottom w:val="single" w:color="auto" w:sz="4" w:space="0"/>
              <w:right w:val="single" w:color="auto" w:sz="4" w:space="0"/>
            </w:tcBorders>
            <w:noWrap/>
            <w:vAlign w:val="top"/>
          </w:tcPr>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tc>
      </w:tr>
    </w:tbl>
    <w:p>
      <w:pPr>
        <w:autoSpaceDE w:val="0"/>
        <w:autoSpaceDN w:val="0"/>
        <w:adjustRightInd w:val="0"/>
        <w:spacing w:line="360" w:lineRule="auto"/>
        <w:ind w:right="215" w:firstLine="420"/>
        <w:jc w:val="center"/>
        <w:rPr>
          <w:rFonts w:ascii="宋体" w:hAnsi="宋体"/>
          <w:b/>
          <w:bCs/>
          <w:sz w:val="24"/>
          <w:szCs w:val="24"/>
        </w:rPr>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tabs>
          <w:tab w:val="center" w:pos="4739"/>
        </w:tabs>
        <w:jc w:val="center"/>
        <w:rPr>
          <w:rFonts w:ascii="宋体" w:hAnsi="宋体"/>
          <w:b/>
          <w:sz w:val="32"/>
        </w:rPr>
      </w:pPr>
      <w:r>
        <w:rPr>
          <w:rFonts w:hint="eastAsia" w:ascii="宋体" w:hAnsi="宋体"/>
          <w:b/>
          <w:sz w:val="32"/>
        </w:rPr>
        <w:t>六、投标单位基本情况表</w:t>
      </w:r>
    </w:p>
    <w:tbl>
      <w:tblPr>
        <w:tblStyle w:val="15"/>
        <w:tblW w:w="0" w:type="auto"/>
        <w:jc w:val="center"/>
        <w:tblLayout w:type="fixed"/>
        <w:tblCellMar>
          <w:top w:w="0" w:type="dxa"/>
          <w:left w:w="108" w:type="dxa"/>
          <w:bottom w:w="0" w:type="dxa"/>
          <w:right w:w="108" w:type="dxa"/>
        </w:tblCellMar>
      </w:tblPr>
      <w:tblGrid>
        <w:gridCol w:w="1731"/>
        <w:gridCol w:w="1221"/>
        <w:gridCol w:w="1221"/>
        <w:gridCol w:w="1221"/>
        <w:gridCol w:w="490"/>
        <w:gridCol w:w="35"/>
        <w:gridCol w:w="1048"/>
        <w:gridCol w:w="548"/>
        <w:gridCol w:w="527"/>
        <w:gridCol w:w="1222"/>
      </w:tblGrid>
      <w:tr>
        <w:tblPrEx>
          <w:tblCellMar>
            <w:top w:w="0" w:type="dxa"/>
            <w:left w:w="108" w:type="dxa"/>
            <w:bottom w:w="0" w:type="dxa"/>
            <w:right w:w="108" w:type="dxa"/>
          </w:tblCellMar>
        </w:tblPrEx>
        <w:trPr>
          <w:trHeight w:val="58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投标人名称</w:t>
            </w:r>
          </w:p>
        </w:tc>
        <w:tc>
          <w:tcPr>
            <w:tcW w:w="7533" w:type="dxa"/>
            <w:gridSpan w:val="9"/>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left="41" w:right="215" w:hanging="40" w:hangingChars="17"/>
              <w:jc w:val="center"/>
              <w:rPr>
                <w:rFonts w:ascii="宋体" w:hAnsi="宋体"/>
                <w:sz w:val="24"/>
                <w:szCs w:val="24"/>
              </w:rPr>
            </w:pPr>
          </w:p>
        </w:tc>
      </w:tr>
      <w:tr>
        <w:tblPrEx>
          <w:tblCellMar>
            <w:top w:w="0" w:type="dxa"/>
            <w:left w:w="108" w:type="dxa"/>
            <w:bottom w:w="0" w:type="dxa"/>
            <w:right w:w="108" w:type="dxa"/>
          </w:tblCellMar>
        </w:tblPrEx>
        <w:trPr>
          <w:trHeight w:val="58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注册地址</w:t>
            </w:r>
          </w:p>
        </w:tc>
        <w:tc>
          <w:tcPr>
            <w:tcW w:w="4188" w:type="dxa"/>
            <w:gridSpan w:val="5"/>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c>
          <w:tcPr>
            <w:tcW w:w="1596" w:type="dxa"/>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邮政编码</w:t>
            </w:r>
          </w:p>
        </w:tc>
        <w:tc>
          <w:tcPr>
            <w:tcW w:w="1749" w:type="dxa"/>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587" w:hRule="atLeast"/>
          <w:jc w:val="center"/>
        </w:trPr>
        <w:tc>
          <w:tcPr>
            <w:tcW w:w="1731" w:type="dxa"/>
            <w:vMerge w:val="restart"/>
            <w:tcBorders>
              <w:top w:val="nil"/>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联系方式</w:t>
            </w:r>
          </w:p>
        </w:tc>
        <w:tc>
          <w:tcPr>
            <w:tcW w:w="1221"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联系人</w:t>
            </w:r>
          </w:p>
        </w:tc>
        <w:tc>
          <w:tcPr>
            <w:tcW w:w="2967" w:type="dxa"/>
            <w:gridSpan w:val="4"/>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c>
          <w:tcPr>
            <w:tcW w:w="1596" w:type="dxa"/>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电话</w:t>
            </w:r>
          </w:p>
        </w:tc>
        <w:tc>
          <w:tcPr>
            <w:tcW w:w="1749" w:type="dxa"/>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181" w:hRule="atLeast"/>
          <w:jc w:val="center"/>
        </w:trPr>
        <w:tc>
          <w:tcPr>
            <w:tcW w:w="173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sz w:val="24"/>
                <w:szCs w:val="24"/>
              </w:rPr>
            </w:pPr>
          </w:p>
        </w:tc>
        <w:tc>
          <w:tcPr>
            <w:tcW w:w="1221"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传真</w:t>
            </w:r>
          </w:p>
        </w:tc>
        <w:tc>
          <w:tcPr>
            <w:tcW w:w="2967" w:type="dxa"/>
            <w:gridSpan w:val="4"/>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c>
          <w:tcPr>
            <w:tcW w:w="1596" w:type="dxa"/>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网址</w:t>
            </w:r>
          </w:p>
        </w:tc>
        <w:tc>
          <w:tcPr>
            <w:tcW w:w="1749" w:type="dxa"/>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58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组织结构</w:t>
            </w:r>
          </w:p>
        </w:tc>
        <w:tc>
          <w:tcPr>
            <w:tcW w:w="7533" w:type="dxa"/>
            <w:gridSpan w:val="9"/>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58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法定代表人</w:t>
            </w:r>
          </w:p>
        </w:tc>
        <w:tc>
          <w:tcPr>
            <w:tcW w:w="1221"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姓名</w:t>
            </w:r>
          </w:p>
        </w:tc>
        <w:tc>
          <w:tcPr>
            <w:tcW w:w="1221"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c>
          <w:tcPr>
            <w:tcW w:w="1711" w:type="dxa"/>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技术职称</w:t>
            </w:r>
          </w:p>
        </w:tc>
        <w:tc>
          <w:tcPr>
            <w:tcW w:w="1083" w:type="dxa"/>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c>
          <w:tcPr>
            <w:tcW w:w="1075" w:type="dxa"/>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电话</w:t>
            </w:r>
          </w:p>
        </w:tc>
        <w:tc>
          <w:tcPr>
            <w:tcW w:w="1222"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686"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成立时间</w:t>
            </w:r>
          </w:p>
        </w:tc>
        <w:tc>
          <w:tcPr>
            <w:tcW w:w="2442" w:type="dxa"/>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c>
          <w:tcPr>
            <w:tcW w:w="5091" w:type="dxa"/>
            <w:gridSpan w:val="7"/>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员工总人数：</w:t>
            </w:r>
          </w:p>
        </w:tc>
      </w:tr>
      <w:tr>
        <w:tblPrEx>
          <w:tblCellMar>
            <w:top w:w="0" w:type="dxa"/>
            <w:left w:w="108" w:type="dxa"/>
            <w:bottom w:w="0" w:type="dxa"/>
            <w:right w:w="108" w:type="dxa"/>
          </w:tblCellMar>
        </w:tblPrEx>
        <w:trPr>
          <w:trHeight w:val="58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pacing w:val="-20"/>
                <w:sz w:val="24"/>
                <w:szCs w:val="24"/>
              </w:rPr>
            </w:pPr>
            <w:r>
              <w:rPr>
                <w:rFonts w:hint="eastAsia" w:ascii="宋体" w:hAnsi="宋体"/>
                <w:spacing w:val="-20"/>
                <w:sz w:val="24"/>
                <w:szCs w:val="24"/>
              </w:rPr>
              <w:t>企业资质等级</w:t>
            </w:r>
          </w:p>
        </w:tc>
        <w:tc>
          <w:tcPr>
            <w:tcW w:w="2442" w:type="dxa"/>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c>
          <w:tcPr>
            <w:tcW w:w="1221" w:type="dxa"/>
            <w:vMerge w:val="restart"/>
            <w:tcBorders>
              <w:top w:val="nil"/>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其中</w:t>
            </w:r>
          </w:p>
        </w:tc>
        <w:tc>
          <w:tcPr>
            <w:tcW w:w="2648" w:type="dxa"/>
            <w:gridSpan w:val="5"/>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项目经理</w:t>
            </w:r>
          </w:p>
        </w:tc>
        <w:tc>
          <w:tcPr>
            <w:tcW w:w="1222"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58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营业执照号</w:t>
            </w:r>
          </w:p>
        </w:tc>
        <w:tc>
          <w:tcPr>
            <w:tcW w:w="2442" w:type="dxa"/>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c>
          <w:tcPr>
            <w:tcW w:w="1221" w:type="dxa"/>
            <w:vMerge w:val="continue"/>
            <w:tcBorders>
              <w:top w:val="nil"/>
              <w:left w:val="nil"/>
              <w:bottom w:val="single" w:color="auto" w:sz="4" w:space="0"/>
              <w:right w:val="single" w:color="auto" w:sz="4" w:space="0"/>
            </w:tcBorders>
            <w:noWrap/>
            <w:vAlign w:val="center"/>
          </w:tcPr>
          <w:p>
            <w:pPr>
              <w:widowControl/>
              <w:jc w:val="left"/>
              <w:rPr>
                <w:rFonts w:ascii="宋体" w:hAnsi="宋体"/>
                <w:sz w:val="24"/>
                <w:szCs w:val="24"/>
              </w:rPr>
            </w:pPr>
          </w:p>
        </w:tc>
        <w:tc>
          <w:tcPr>
            <w:tcW w:w="2648" w:type="dxa"/>
            <w:gridSpan w:val="5"/>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高级职称人员</w:t>
            </w:r>
          </w:p>
        </w:tc>
        <w:tc>
          <w:tcPr>
            <w:tcW w:w="1222"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568"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注册资金</w:t>
            </w:r>
          </w:p>
        </w:tc>
        <w:tc>
          <w:tcPr>
            <w:tcW w:w="2442" w:type="dxa"/>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c>
          <w:tcPr>
            <w:tcW w:w="1221" w:type="dxa"/>
            <w:vMerge w:val="continue"/>
            <w:tcBorders>
              <w:top w:val="nil"/>
              <w:left w:val="nil"/>
              <w:bottom w:val="single" w:color="auto" w:sz="4" w:space="0"/>
              <w:right w:val="single" w:color="auto" w:sz="4" w:space="0"/>
            </w:tcBorders>
            <w:noWrap/>
            <w:vAlign w:val="center"/>
          </w:tcPr>
          <w:p>
            <w:pPr>
              <w:widowControl/>
              <w:jc w:val="left"/>
              <w:rPr>
                <w:rFonts w:ascii="宋体" w:hAnsi="宋体"/>
                <w:sz w:val="24"/>
                <w:szCs w:val="24"/>
              </w:rPr>
            </w:pPr>
          </w:p>
        </w:tc>
        <w:tc>
          <w:tcPr>
            <w:tcW w:w="2648" w:type="dxa"/>
            <w:gridSpan w:val="5"/>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中级职称人员</w:t>
            </w:r>
          </w:p>
        </w:tc>
        <w:tc>
          <w:tcPr>
            <w:tcW w:w="1222"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58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开户银行</w:t>
            </w:r>
          </w:p>
        </w:tc>
        <w:tc>
          <w:tcPr>
            <w:tcW w:w="2442" w:type="dxa"/>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c>
          <w:tcPr>
            <w:tcW w:w="1221" w:type="dxa"/>
            <w:vMerge w:val="continue"/>
            <w:tcBorders>
              <w:top w:val="nil"/>
              <w:left w:val="nil"/>
              <w:bottom w:val="single" w:color="auto" w:sz="4" w:space="0"/>
              <w:right w:val="single" w:color="auto" w:sz="4" w:space="0"/>
            </w:tcBorders>
            <w:noWrap/>
            <w:vAlign w:val="center"/>
          </w:tcPr>
          <w:p>
            <w:pPr>
              <w:widowControl/>
              <w:jc w:val="left"/>
              <w:rPr>
                <w:rFonts w:ascii="宋体" w:hAnsi="宋体"/>
                <w:sz w:val="24"/>
                <w:szCs w:val="24"/>
              </w:rPr>
            </w:pPr>
          </w:p>
        </w:tc>
        <w:tc>
          <w:tcPr>
            <w:tcW w:w="2648" w:type="dxa"/>
            <w:gridSpan w:val="5"/>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初级职称人员</w:t>
            </w:r>
          </w:p>
        </w:tc>
        <w:tc>
          <w:tcPr>
            <w:tcW w:w="1222"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568"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账号</w:t>
            </w:r>
          </w:p>
        </w:tc>
        <w:tc>
          <w:tcPr>
            <w:tcW w:w="2442" w:type="dxa"/>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c>
          <w:tcPr>
            <w:tcW w:w="1221" w:type="dxa"/>
            <w:vMerge w:val="continue"/>
            <w:tcBorders>
              <w:top w:val="nil"/>
              <w:left w:val="nil"/>
              <w:bottom w:val="single" w:color="auto" w:sz="4" w:space="0"/>
              <w:right w:val="single" w:color="auto" w:sz="4" w:space="0"/>
            </w:tcBorders>
            <w:noWrap/>
            <w:vAlign w:val="center"/>
          </w:tcPr>
          <w:p>
            <w:pPr>
              <w:widowControl/>
              <w:jc w:val="left"/>
              <w:rPr>
                <w:rFonts w:ascii="宋体" w:hAnsi="宋体"/>
                <w:sz w:val="24"/>
                <w:szCs w:val="24"/>
              </w:rPr>
            </w:pPr>
          </w:p>
        </w:tc>
        <w:tc>
          <w:tcPr>
            <w:tcW w:w="2648" w:type="dxa"/>
            <w:gridSpan w:val="5"/>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技工</w:t>
            </w:r>
          </w:p>
        </w:tc>
        <w:tc>
          <w:tcPr>
            <w:tcW w:w="1222"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112"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经营范围</w:t>
            </w:r>
          </w:p>
        </w:tc>
        <w:tc>
          <w:tcPr>
            <w:tcW w:w="7533" w:type="dxa"/>
            <w:gridSpan w:val="9"/>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rPr>
                <w:rFonts w:ascii="宋体" w:hAnsi="宋体"/>
                <w:sz w:val="24"/>
                <w:szCs w:val="24"/>
              </w:rPr>
            </w:pPr>
          </w:p>
        </w:tc>
      </w:tr>
      <w:tr>
        <w:tblPrEx>
          <w:tblCellMar>
            <w:top w:w="0" w:type="dxa"/>
            <w:left w:w="108" w:type="dxa"/>
            <w:bottom w:w="0" w:type="dxa"/>
            <w:right w:w="108" w:type="dxa"/>
          </w:tblCellMar>
        </w:tblPrEx>
        <w:trPr>
          <w:trHeight w:val="1204"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备注</w:t>
            </w:r>
          </w:p>
        </w:tc>
        <w:tc>
          <w:tcPr>
            <w:tcW w:w="7533" w:type="dxa"/>
            <w:gridSpan w:val="9"/>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p>
            <w:pPr>
              <w:autoSpaceDE w:val="0"/>
              <w:autoSpaceDN w:val="0"/>
              <w:adjustRightInd w:val="0"/>
              <w:spacing w:line="360" w:lineRule="auto"/>
              <w:ind w:right="215"/>
              <w:jc w:val="center"/>
              <w:rPr>
                <w:rFonts w:ascii="宋体" w:hAnsi="宋体"/>
                <w:sz w:val="24"/>
                <w:szCs w:val="24"/>
              </w:rPr>
            </w:pPr>
          </w:p>
        </w:tc>
      </w:tr>
    </w:tbl>
    <w:p>
      <w:pPr>
        <w:tabs>
          <w:tab w:val="center" w:pos="4739"/>
        </w:tabs>
        <w:jc w:val="center"/>
        <w:rPr>
          <w:rFonts w:ascii="宋体" w:hAnsi="宋体"/>
          <w:sz w:val="24"/>
          <w:szCs w:val="24"/>
        </w:rPr>
      </w:pPr>
      <w:r>
        <w:rPr>
          <w:rFonts w:hint="eastAsia" w:ascii="宋体" w:hAnsi="宋体"/>
          <w:sz w:val="24"/>
          <w:szCs w:val="24"/>
        </w:rPr>
        <w:br w:type="page"/>
      </w:r>
    </w:p>
    <w:p>
      <w:pPr>
        <w:tabs>
          <w:tab w:val="center" w:pos="4739"/>
        </w:tabs>
        <w:jc w:val="center"/>
        <w:rPr>
          <w:rFonts w:ascii="宋体" w:hAnsi="宋体"/>
          <w:sz w:val="24"/>
          <w:szCs w:val="24"/>
        </w:rPr>
      </w:pPr>
    </w:p>
    <w:p>
      <w:pPr>
        <w:tabs>
          <w:tab w:val="center" w:pos="4739"/>
        </w:tabs>
        <w:jc w:val="center"/>
        <w:rPr>
          <w:rFonts w:ascii="宋体" w:hAnsi="宋体"/>
          <w:b/>
          <w:bCs/>
          <w:sz w:val="32"/>
          <w:szCs w:val="32"/>
        </w:rPr>
      </w:pPr>
      <w:r>
        <w:rPr>
          <w:rFonts w:hint="eastAsia" w:ascii="宋体" w:hAnsi="宋体"/>
          <w:b/>
          <w:sz w:val="32"/>
        </w:rPr>
        <w:t>七、资格证明文件</w:t>
      </w:r>
    </w:p>
    <w:p>
      <w:pPr>
        <w:autoSpaceDE w:val="0"/>
        <w:autoSpaceDN w:val="0"/>
        <w:adjustRightInd w:val="0"/>
        <w:spacing w:line="276" w:lineRule="auto"/>
        <w:ind w:right="215" w:firstLine="240" w:firstLineChars="100"/>
        <w:rPr>
          <w:rFonts w:ascii="宋体" w:hAnsi="宋体"/>
          <w:sz w:val="24"/>
        </w:rPr>
      </w:pPr>
      <w:r>
        <w:rPr>
          <w:rFonts w:hint="eastAsia" w:ascii="宋体" w:hAnsi="宋体"/>
          <w:sz w:val="24"/>
        </w:rPr>
        <w:t>（1）投标人资格要求的相关资格材料；</w:t>
      </w:r>
    </w:p>
    <w:p>
      <w:pPr>
        <w:autoSpaceDE w:val="0"/>
        <w:autoSpaceDN w:val="0"/>
        <w:adjustRightInd w:val="0"/>
        <w:spacing w:line="276" w:lineRule="auto"/>
        <w:ind w:right="215" w:firstLine="240" w:firstLineChars="100"/>
        <w:rPr>
          <w:rFonts w:hAnsi="宋体"/>
          <w:b/>
          <w:sz w:val="32"/>
          <w:szCs w:val="32"/>
        </w:rPr>
      </w:pPr>
      <w:r>
        <w:rPr>
          <w:rFonts w:hint="eastAsia" w:ascii="宋体" w:hAnsi="宋体"/>
          <w:sz w:val="24"/>
        </w:rPr>
        <w:t>（2）近三年财务状况</w:t>
      </w:r>
      <w:r>
        <w:rPr>
          <w:rFonts w:hint="eastAsia" w:hAnsi="宋体"/>
          <w:sz w:val="24"/>
        </w:rPr>
        <w:t>（附原件扫描件或图片）</w:t>
      </w:r>
    </w:p>
    <w:p>
      <w:pPr>
        <w:spacing w:line="400" w:lineRule="exact"/>
        <w:ind w:firstLine="240" w:firstLineChars="100"/>
        <w:rPr>
          <w:rFonts w:ascii="黑体" w:hAnsi="宋体" w:eastAsia="黑体"/>
          <w:b/>
          <w:sz w:val="24"/>
        </w:rPr>
      </w:pPr>
      <w:r>
        <w:rPr>
          <w:rFonts w:hint="eastAsia" w:ascii="宋体" w:hAnsi="宋体"/>
          <w:sz w:val="24"/>
        </w:rPr>
        <w:t>（3）近年完成的类似项目情况表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5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noWrap/>
            <w:vAlign w:val="center"/>
          </w:tcPr>
          <w:p>
            <w:pPr>
              <w:rPr>
                <w:rFonts w:ascii="宋体" w:hAnsi="宋体"/>
              </w:rPr>
            </w:pPr>
            <w:r>
              <w:rPr>
                <w:rFonts w:hint="eastAsia" w:ascii="宋体" w:hAnsi="宋体"/>
              </w:rPr>
              <w:t>项目名称</w:t>
            </w:r>
          </w:p>
        </w:tc>
        <w:tc>
          <w:tcPr>
            <w:tcW w:w="5776"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noWrap/>
            <w:vAlign w:val="center"/>
          </w:tcPr>
          <w:p>
            <w:pPr>
              <w:rPr>
                <w:rFonts w:ascii="宋体" w:hAnsi="宋体"/>
              </w:rPr>
            </w:pPr>
            <w:r>
              <w:rPr>
                <w:rFonts w:hint="eastAsia" w:ascii="宋体" w:hAnsi="宋体"/>
              </w:rPr>
              <w:t>项目所在地</w:t>
            </w:r>
          </w:p>
        </w:tc>
        <w:tc>
          <w:tcPr>
            <w:tcW w:w="5776"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noWrap/>
            <w:vAlign w:val="center"/>
          </w:tcPr>
          <w:p>
            <w:pPr>
              <w:rPr>
                <w:rFonts w:ascii="宋体" w:hAnsi="宋体"/>
              </w:rPr>
            </w:pPr>
            <w:r>
              <w:rPr>
                <w:rFonts w:hint="eastAsia" w:ascii="宋体" w:hAnsi="宋体"/>
              </w:rPr>
              <w:t>发包人名称</w:t>
            </w:r>
          </w:p>
        </w:tc>
        <w:tc>
          <w:tcPr>
            <w:tcW w:w="5776"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noWrap/>
            <w:vAlign w:val="center"/>
          </w:tcPr>
          <w:p>
            <w:pPr>
              <w:rPr>
                <w:rFonts w:ascii="宋体" w:hAnsi="宋体"/>
              </w:rPr>
            </w:pPr>
            <w:r>
              <w:rPr>
                <w:rFonts w:hint="eastAsia" w:ascii="宋体" w:hAnsi="宋体"/>
              </w:rPr>
              <w:t>发包人地址</w:t>
            </w:r>
          </w:p>
        </w:tc>
        <w:tc>
          <w:tcPr>
            <w:tcW w:w="5776"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noWrap/>
            <w:vAlign w:val="center"/>
          </w:tcPr>
          <w:p>
            <w:pPr>
              <w:rPr>
                <w:rFonts w:ascii="宋体" w:hAnsi="宋体"/>
              </w:rPr>
            </w:pPr>
            <w:r>
              <w:rPr>
                <w:rFonts w:hint="eastAsia" w:ascii="宋体" w:hAnsi="宋体"/>
              </w:rPr>
              <w:t>发包人联系人及电话</w:t>
            </w:r>
          </w:p>
        </w:tc>
        <w:tc>
          <w:tcPr>
            <w:tcW w:w="5776"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noWrap/>
            <w:vAlign w:val="center"/>
          </w:tcPr>
          <w:p>
            <w:pPr>
              <w:rPr>
                <w:rFonts w:ascii="宋体" w:hAnsi="宋体"/>
              </w:rPr>
            </w:pPr>
            <w:r>
              <w:rPr>
                <w:rFonts w:hint="eastAsia" w:ascii="宋体" w:hAnsi="宋体"/>
              </w:rPr>
              <w:t>合同价格</w:t>
            </w:r>
          </w:p>
        </w:tc>
        <w:tc>
          <w:tcPr>
            <w:tcW w:w="5776"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noWrap/>
            <w:vAlign w:val="center"/>
          </w:tcPr>
          <w:p>
            <w:pPr>
              <w:rPr>
                <w:rFonts w:ascii="宋体" w:hAnsi="宋体"/>
              </w:rPr>
            </w:pPr>
            <w:r>
              <w:rPr>
                <w:rFonts w:hint="eastAsia" w:ascii="宋体" w:hAnsi="宋体"/>
              </w:rPr>
              <w:t>开工日期</w:t>
            </w:r>
          </w:p>
        </w:tc>
        <w:tc>
          <w:tcPr>
            <w:tcW w:w="5776"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noWrap/>
            <w:vAlign w:val="center"/>
          </w:tcPr>
          <w:p>
            <w:pPr>
              <w:rPr>
                <w:rFonts w:ascii="宋体" w:hAnsi="宋体"/>
              </w:rPr>
            </w:pPr>
            <w:r>
              <w:rPr>
                <w:rFonts w:hint="eastAsia" w:ascii="宋体" w:hAnsi="宋体"/>
              </w:rPr>
              <w:t>竣工日期</w:t>
            </w:r>
          </w:p>
        </w:tc>
        <w:tc>
          <w:tcPr>
            <w:tcW w:w="5776"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noWrap/>
            <w:vAlign w:val="center"/>
          </w:tcPr>
          <w:p>
            <w:pPr>
              <w:rPr>
                <w:rFonts w:ascii="宋体" w:hAnsi="宋体"/>
              </w:rPr>
            </w:pPr>
            <w:r>
              <w:rPr>
                <w:rFonts w:hint="eastAsia" w:ascii="宋体" w:hAnsi="宋体"/>
              </w:rPr>
              <w:t>承担的工作</w:t>
            </w:r>
          </w:p>
        </w:tc>
        <w:tc>
          <w:tcPr>
            <w:tcW w:w="5776"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noWrap/>
            <w:vAlign w:val="center"/>
          </w:tcPr>
          <w:p>
            <w:pPr>
              <w:rPr>
                <w:rFonts w:ascii="宋体" w:hAnsi="宋体"/>
              </w:rPr>
            </w:pPr>
            <w:r>
              <w:rPr>
                <w:rFonts w:hint="eastAsia" w:ascii="宋体" w:hAnsi="宋体"/>
              </w:rPr>
              <w:t>工程质量</w:t>
            </w:r>
          </w:p>
        </w:tc>
        <w:tc>
          <w:tcPr>
            <w:tcW w:w="5776"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noWrap/>
            <w:vAlign w:val="center"/>
          </w:tcPr>
          <w:p>
            <w:pPr>
              <w:rPr>
                <w:rFonts w:ascii="宋体" w:hAnsi="宋体"/>
              </w:rPr>
            </w:pPr>
            <w:r>
              <w:rPr>
                <w:rFonts w:hint="eastAsia" w:ascii="宋体" w:hAnsi="宋体"/>
              </w:rPr>
              <w:t>项目负责人</w:t>
            </w:r>
          </w:p>
        </w:tc>
        <w:tc>
          <w:tcPr>
            <w:tcW w:w="5776"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noWrap/>
            <w:vAlign w:val="center"/>
          </w:tcPr>
          <w:p>
            <w:pPr>
              <w:rPr>
                <w:rFonts w:ascii="宋体" w:hAnsi="宋体"/>
              </w:rPr>
            </w:pPr>
            <w:r>
              <w:rPr>
                <w:rFonts w:hint="eastAsia" w:ascii="宋体" w:hAnsi="宋体"/>
              </w:rPr>
              <w:t>技术负责人</w:t>
            </w:r>
          </w:p>
        </w:tc>
        <w:tc>
          <w:tcPr>
            <w:tcW w:w="5776"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noWrap/>
            <w:vAlign w:val="center"/>
          </w:tcPr>
          <w:p>
            <w:pPr>
              <w:rPr>
                <w:rFonts w:ascii="宋体" w:hAnsi="宋体"/>
              </w:rPr>
            </w:pPr>
            <w:r>
              <w:rPr>
                <w:rFonts w:hint="eastAsia" w:ascii="宋体" w:hAnsi="宋体"/>
              </w:rPr>
              <w:t>注册建造师及电话</w:t>
            </w:r>
          </w:p>
        </w:tc>
        <w:tc>
          <w:tcPr>
            <w:tcW w:w="5776"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384" w:type="dxa"/>
            <w:noWrap/>
            <w:vAlign w:val="center"/>
          </w:tcPr>
          <w:p>
            <w:pPr>
              <w:rPr>
                <w:rFonts w:ascii="宋体" w:hAnsi="宋体"/>
              </w:rPr>
            </w:pPr>
            <w:r>
              <w:rPr>
                <w:rFonts w:hint="eastAsia" w:ascii="宋体" w:hAnsi="宋体"/>
              </w:rPr>
              <w:t>项目描述</w:t>
            </w:r>
          </w:p>
        </w:tc>
        <w:tc>
          <w:tcPr>
            <w:tcW w:w="5776"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384" w:type="dxa"/>
            <w:noWrap/>
            <w:vAlign w:val="center"/>
          </w:tcPr>
          <w:p>
            <w:pPr>
              <w:rPr>
                <w:rFonts w:ascii="宋体" w:hAnsi="宋体"/>
              </w:rPr>
            </w:pPr>
            <w:r>
              <w:rPr>
                <w:rFonts w:hint="eastAsia" w:ascii="宋体" w:hAnsi="宋体"/>
              </w:rPr>
              <w:t>备注</w:t>
            </w:r>
          </w:p>
        </w:tc>
        <w:tc>
          <w:tcPr>
            <w:tcW w:w="5776" w:type="dxa"/>
            <w:noWrap/>
            <w:vAlign w:val="center"/>
          </w:tcPr>
          <w:p>
            <w:pPr>
              <w:rPr>
                <w:rFonts w:ascii="宋体" w:hAnsi="宋体"/>
              </w:rPr>
            </w:pPr>
          </w:p>
        </w:tc>
      </w:tr>
    </w:tbl>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（4）近年发生的诉讼及仲裁情况</w:t>
      </w:r>
    </w:p>
    <w:p>
      <w:pPr>
        <w:spacing w:line="440" w:lineRule="exact"/>
        <w:ind w:firstLine="720" w:firstLineChars="300"/>
        <w:rPr>
          <w:rFonts w:ascii="宋体" w:hAnsi="宋体"/>
          <w:b/>
          <w:bCs/>
          <w:sz w:val="24"/>
          <w:szCs w:val="24"/>
        </w:rPr>
      </w:pPr>
      <w:r>
        <w:rPr>
          <w:rFonts w:hint="eastAsia" w:hAnsi="宋体"/>
          <w:sz w:val="24"/>
          <w:szCs w:val="24"/>
        </w:rPr>
        <w:t>说明：近年来发生过的诉讼和仲裁情况仅限于投标人败诉的，且履行施工承包合同有关的案件，不包括调解结案以及未裁决的仲裁或未终审判决的诉讼。</w:t>
      </w: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tabs>
          <w:tab w:val="center" w:pos="4739"/>
        </w:tabs>
        <w:jc w:val="center"/>
        <w:rPr>
          <w:rFonts w:ascii="宋体" w:hAnsi="宋体"/>
          <w:b/>
          <w:bCs/>
          <w:sz w:val="32"/>
          <w:szCs w:val="32"/>
        </w:rPr>
      </w:pPr>
      <w:r>
        <w:rPr>
          <w:rFonts w:hint="eastAsia" w:ascii="宋体" w:hAnsi="宋体"/>
          <w:b/>
          <w:sz w:val="32"/>
        </w:rPr>
        <w:t>八、正在施工的和新承接的项目情况</w:t>
      </w:r>
    </w:p>
    <w:p>
      <w:pPr>
        <w:autoSpaceDE w:val="0"/>
        <w:autoSpaceDN w:val="0"/>
        <w:adjustRightInd w:val="0"/>
        <w:spacing w:line="360" w:lineRule="auto"/>
        <w:ind w:right="215" w:firstLine="420"/>
        <w:jc w:val="center"/>
        <w:rPr>
          <w:rFonts w:ascii="宋体" w:hAnsi="宋体"/>
          <w:b/>
          <w:bCs/>
          <w:sz w:val="24"/>
          <w:szCs w:val="24"/>
        </w:rPr>
      </w:pPr>
    </w:p>
    <w:tbl>
      <w:tblPr>
        <w:tblStyle w:val="15"/>
        <w:tblW w:w="0" w:type="auto"/>
        <w:jc w:val="center"/>
        <w:tblLayout w:type="fixed"/>
        <w:tblCellMar>
          <w:top w:w="0" w:type="dxa"/>
          <w:left w:w="108" w:type="dxa"/>
          <w:bottom w:w="0" w:type="dxa"/>
          <w:right w:w="108" w:type="dxa"/>
        </w:tblCellMar>
      </w:tblPr>
      <w:tblGrid>
        <w:gridCol w:w="2291"/>
        <w:gridCol w:w="6727"/>
      </w:tblGrid>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项目名称</w:t>
            </w:r>
          </w:p>
        </w:tc>
        <w:tc>
          <w:tcPr>
            <w:tcW w:w="672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项目所在地</w:t>
            </w:r>
          </w:p>
        </w:tc>
        <w:tc>
          <w:tcPr>
            <w:tcW w:w="672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发包人名称</w:t>
            </w:r>
          </w:p>
        </w:tc>
        <w:tc>
          <w:tcPr>
            <w:tcW w:w="672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发包人地址</w:t>
            </w:r>
          </w:p>
        </w:tc>
        <w:tc>
          <w:tcPr>
            <w:tcW w:w="672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发包人电话</w:t>
            </w:r>
          </w:p>
        </w:tc>
        <w:tc>
          <w:tcPr>
            <w:tcW w:w="672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签约合同价</w:t>
            </w:r>
          </w:p>
        </w:tc>
        <w:tc>
          <w:tcPr>
            <w:tcW w:w="672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65" w:hRule="atLeast"/>
          <w:jc w:val="center"/>
        </w:trPr>
        <w:tc>
          <w:tcPr>
            <w:tcW w:w="229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开工日期</w:t>
            </w:r>
          </w:p>
        </w:tc>
        <w:tc>
          <w:tcPr>
            <w:tcW w:w="672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计划竣工日期</w:t>
            </w:r>
          </w:p>
        </w:tc>
        <w:tc>
          <w:tcPr>
            <w:tcW w:w="672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承担的工作</w:t>
            </w:r>
          </w:p>
        </w:tc>
        <w:tc>
          <w:tcPr>
            <w:tcW w:w="672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工程质量</w:t>
            </w:r>
          </w:p>
        </w:tc>
        <w:tc>
          <w:tcPr>
            <w:tcW w:w="672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项目经理</w:t>
            </w:r>
          </w:p>
        </w:tc>
        <w:tc>
          <w:tcPr>
            <w:tcW w:w="672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pacing w:val="-20"/>
                <w:sz w:val="24"/>
                <w:szCs w:val="24"/>
              </w:rPr>
            </w:pPr>
            <w:r>
              <w:rPr>
                <w:rFonts w:hint="eastAsia" w:ascii="宋体" w:hAnsi="宋体"/>
                <w:spacing w:val="-20"/>
                <w:sz w:val="24"/>
                <w:szCs w:val="24"/>
              </w:rPr>
              <w:t>总监理工程师及电话</w:t>
            </w:r>
          </w:p>
        </w:tc>
        <w:tc>
          <w:tcPr>
            <w:tcW w:w="672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1626" w:hRule="atLeast"/>
          <w:jc w:val="center"/>
        </w:trPr>
        <w:tc>
          <w:tcPr>
            <w:tcW w:w="229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项目描述</w:t>
            </w:r>
          </w:p>
        </w:tc>
        <w:tc>
          <w:tcPr>
            <w:tcW w:w="672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930" w:hRule="atLeast"/>
          <w:jc w:val="center"/>
        </w:trPr>
        <w:tc>
          <w:tcPr>
            <w:tcW w:w="229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备注</w:t>
            </w:r>
          </w:p>
        </w:tc>
        <w:tc>
          <w:tcPr>
            <w:tcW w:w="672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ind w:right="215"/>
              <w:jc w:val="center"/>
              <w:rPr>
                <w:rFonts w:ascii="宋体" w:hAnsi="宋体"/>
                <w:sz w:val="24"/>
                <w:szCs w:val="24"/>
              </w:rPr>
            </w:pPr>
          </w:p>
          <w:p>
            <w:pPr>
              <w:autoSpaceDE w:val="0"/>
              <w:autoSpaceDN w:val="0"/>
              <w:adjustRightInd w:val="0"/>
              <w:spacing w:line="360" w:lineRule="auto"/>
              <w:ind w:right="215"/>
              <w:rPr>
                <w:rFonts w:ascii="宋体" w:hAnsi="宋体"/>
                <w:sz w:val="24"/>
                <w:szCs w:val="24"/>
              </w:rPr>
            </w:pPr>
          </w:p>
        </w:tc>
      </w:tr>
    </w:tbl>
    <w:p/>
    <w:p/>
    <w:p/>
    <w:p/>
    <w:p/>
    <w:p>
      <w:pPr>
        <w:autoSpaceDE w:val="0"/>
        <w:autoSpaceDN w:val="0"/>
        <w:adjustRightInd w:val="0"/>
        <w:spacing w:line="380" w:lineRule="exact"/>
        <w:jc w:val="center"/>
        <w:rPr>
          <w:rFonts w:ascii="宋体" w:hAnsi="宋体"/>
          <w:b/>
          <w:bCs/>
          <w:sz w:val="32"/>
          <w:szCs w:val="32"/>
        </w:rPr>
      </w:pPr>
    </w:p>
    <w:p>
      <w:pPr>
        <w:tabs>
          <w:tab w:val="center" w:pos="4739"/>
        </w:tabs>
        <w:jc w:val="center"/>
        <w:rPr>
          <w:rFonts w:ascii="宋体" w:hAnsi="宋体"/>
          <w:b/>
          <w:sz w:val="32"/>
        </w:rPr>
      </w:pPr>
    </w:p>
    <w:p>
      <w:pPr>
        <w:tabs>
          <w:tab w:val="center" w:pos="4739"/>
        </w:tabs>
        <w:jc w:val="center"/>
        <w:rPr>
          <w:rFonts w:ascii="宋体" w:hAnsi="宋体"/>
          <w:b/>
          <w:sz w:val="32"/>
        </w:rPr>
      </w:pPr>
    </w:p>
    <w:p>
      <w:pPr>
        <w:tabs>
          <w:tab w:val="center" w:pos="4739"/>
        </w:tabs>
        <w:jc w:val="center"/>
        <w:rPr>
          <w:rFonts w:ascii="宋体" w:hAnsi="宋体"/>
          <w:b/>
          <w:sz w:val="32"/>
        </w:rPr>
      </w:pPr>
    </w:p>
    <w:p>
      <w:pPr>
        <w:tabs>
          <w:tab w:val="center" w:pos="4739"/>
        </w:tabs>
        <w:jc w:val="center"/>
        <w:rPr>
          <w:rFonts w:ascii="宋体" w:hAnsi="宋体"/>
          <w:b/>
          <w:sz w:val="32"/>
        </w:rPr>
      </w:pPr>
      <w:r>
        <w:rPr>
          <w:rFonts w:hint="eastAsia" w:ascii="宋体" w:hAnsi="宋体"/>
          <w:b/>
          <w:sz w:val="32"/>
        </w:rPr>
        <w:t>九、承诺书</w:t>
      </w:r>
    </w:p>
    <w:p>
      <w:pPr>
        <w:spacing w:line="360" w:lineRule="auto"/>
        <w:jc w:val="center"/>
        <w:rPr>
          <w:rFonts w:ascii="宋体" w:hAnsi="宋体"/>
          <w:bCs/>
          <w:sz w:val="24"/>
          <w:szCs w:val="24"/>
        </w:rPr>
      </w:pPr>
    </w:p>
    <w:p>
      <w:pPr>
        <w:spacing w:line="360" w:lineRule="auto"/>
        <w:jc w:val="center"/>
        <w:rPr>
          <w:rFonts w:ascii="宋体" w:hAnsi="宋体"/>
          <w:b/>
          <w:bCs/>
          <w:sz w:val="24"/>
          <w:szCs w:val="24"/>
        </w:rPr>
      </w:pPr>
      <w:r>
        <w:rPr>
          <w:rFonts w:hint="eastAsia" w:ascii="宋体" w:hAnsi="宋体"/>
          <w:b/>
          <w:bCs/>
          <w:sz w:val="24"/>
          <w:szCs w:val="24"/>
        </w:rPr>
        <w:t>（一）关于农民工工资的承诺</w:t>
      </w:r>
    </w:p>
    <w:p>
      <w:pPr>
        <w:spacing w:line="360" w:lineRule="auto"/>
        <w:rPr>
          <w:rFonts w:ascii="宋体" w:hAnsi="宋体"/>
          <w:sz w:val="24"/>
          <w:szCs w:val="24"/>
          <w:u w:val="single"/>
        </w:rPr>
      </w:pPr>
      <w:r>
        <w:rPr>
          <w:rFonts w:hint="eastAsia" w:ascii="宋体" w:hAnsi="宋体"/>
          <w:sz w:val="24"/>
          <w:szCs w:val="24"/>
        </w:rPr>
        <w:t>致：</w:t>
      </w:r>
      <w:r>
        <w:rPr>
          <w:rFonts w:hint="eastAsia" w:ascii="宋体" w:hAnsi="宋体"/>
          <w:sz w:val="24"/>
          <w:szCs w:val="24"/>
          <w:u w:val="single"/>
        </w:rPr>
        <w:t xml:space="preserve">     （招标人）    </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我单位为守法经营的建筑工程施工企业，针对本次</w:t>
      </w:r>
      <w:r>
        <w:rPr>
          <w:rFonts w:hint="eastAsia" w:ascii="宋体" w:hAnsi="宋体"/>
          <w:sz w:val="24"/>
          <w:szCs w:val="24"/>
          <w:u w:val="single"/>
        </w:rPr>
        <w:t>（项目名称）</w:t>
      </w:r>
      <w:r>
        <w:rPr>
          <w:rFonts w:hint="eastAsia" w:ascii="宋体" w:hAnsi="宋体"/>
          <w:sz w:val="24"/>
          <w:szCs w:val="24"/>
        </w:rPr>
        <w:t>招标项目，我公司郑重承诺：</w:t>
      </w:r>
    </w:p>
    <w:p>
      <w:pPr>
        <w:ind w:firstLine="480" w:firstLineChars="200"/>
        <w:rPr>
          <w:rFonts w:ascii="宋体" w:hAnsi="宋体"/>
          <w:sz w:val="24"/>
          <w:szCs w:val="24"/>
        </w:rPr>
      </w:pPr>
      <w:r>
        <w:rPr>
          <w:rFonts w:hint="eastAsia" w:ascii="宋体" w:hAnsi="宋体"/>
          <w:sz w:val="24"/>
          <w:szCs w:val="24"/>
        </w:rPr>
        <w:t>1、 截止本工程开标之日止，本企业无拖欠农民工工资及其他职工工资，无克扣或拖欠农民工工资的不良记录；</w:t>
      </w:r>
    </w:p>
    <w:p>
      <w:pPr>
        <w:ind w:firstLine="480" w:firstLineChars="200"/>
        <w:rPr>
          <w:rFonts w:ascii="宋体" w:hAnsi="宋体"/>
          <w:sz w:val="24"/>
          <w:szCs w:val="24"/>
        </w:rPr>
      </w:pPr>
      <w:r>
        <w:rPr>
          <w:rFonts w:hint="eastAsia" w:ascii="宋体" w:hAnsi="宋体"/>
          <w:sz w:val="24"/>
          <w:szCs w:val="24"/>
        </w:rPr>
        <w:t xml:space="preserve">2、一旦确定本公司为该项目中标单位，我公司为保证不拖欠农民工资及其他职工工资，特作以下承诺： </w:t>
      </w:r>
    </w:p>
    <w:p>
      <w:pPr>
        <w:ind w:firstLine="480" w:firstLineChars="200"/>
        <w:rPr>
          <w:rFonts w:ascii="宋体" w:hAnsi="宋体"/>
          <w:sz w:val="24"/>
          <w:szCs w:val="24"/>
        </w:rPr>
      </w:pPr>
      <w:r>
        <w:rPr>
          <w:rFonts w:hint="eastAsia" w:ascii="宋体" w:hAnsi="宋体"/>
          <w:sz w:val="24"/>
          <w:szCs w:val="24"/>
        </w:rPr>
        <w:t>（1）我单位中标后，将及时、足额存入农民工工资保障金；</w:t>
      </w:r>
    </w:p>
    <w:p>
      <w:pPr>
        <w:ind w:firstLine="480" w:firstLineChars="200"/>
        <w:rPr>
          <w:rFonts w:ascii="宋体" w:hAnsi="宋体"/>
          <w:sz w:val="24"/>
          <w:szCs w:val="24"/>
        </w:rPr>
      </w:pPr>
      <w:r>
        <w:rPr>
          <w:rFonts w:hint="eastAsia" w:ascii="宋体" w:hAnsi="宋体"/>
          <w:sz w:val="24"/>
          <w:szCs w:val="24"/>
        </w:rPr>
        <w:t>（2）工程款优先支付农民工工资，不以任何理由拖欠农民工工资； 一旦我单位承建的建筑工程中出现拖欠职工工资情况的，可由建设行政主管部门从工资保障金中先予划支；</w:t>
      </w:r>
    </w:p>
    <w:p>
      <w:pPr>
        <w:ind w:firstLine="480" w:firstLineChars="200"/>
        <w:rPr>
          <w:rFonts w:ascii="宋体" w:hAnsi="宋体"/>
          <w:sz w:val="24"/>
          <w:szCs w:val="24"/>
        </w:rPr>
      </w:pPr>
      <w:r>
        <w:rPr>
          <w:rFonts w:hint="eastAsia" w:ascii="宋体" w:hAnsi="宋体"/>
          <w:sz w:val="24"/>
          <w:szCs w:val="24"/>
        </w:rPr>
        <w:t xml:space="preserve">（3）在工程款结算或农民工工资支付出现争议纠纷时，积极配合主管部门协调解决。 </w:t>
      </w:r>
    </w:p>
    <w:p>
      <w:pPr>
        <w:ind w:firstLine="480" w:firstLineChars="200"/>
        <w:rPr>
          <w:rFonts w:ascii="宋体" w:hAnsi="宋体"/>
          <w:sz w:val="24"/>
          <w:szCs w:val="24"/>
        </w:rPr>
      </w:pPr>
      <w:r>
        <w:rPr>
          <w:rFonts w:hint="eastAsia" w:ascii="宋体" w:hAnsi="宋体"/>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pPr>
        <w:pStyle w:val="13"/>
        <w:ind w:firstLine="210"/>
      </w:pPr>
    </w:p>
    <w:p>
      <w:pPr>
        <w:pStyle w:val="13"/>
        <w:ind w:firstLine="210"/>
      </w:pPr>
    </w:p>
    <w:p>
      <w:pPr>
        <w:spacing w:line="360" w:lineRule="auto"/>
        <w:ind w:right="480" w:firstLine="3120" w:firstLineChars="1300"/>
        <w:rPr>
          <w:rFonts w:ascii="宋体" w:hAnsi="宋体"/>
          <w:sz w:val="24"/>
          <w:szCs w:val="24"/>
        </w:rPr>
      </w:pPr>
      <w:r>
        <w:rPr>
          <w:rFonts w:hint="eastAsia" w:ascii="宋体" w:hAnsi="宋体"/>
          <w:sz w:val="24"/>
          <w:szCs w:val="24"/>
        </w:rPr>
        <w:t xml:space="preserve">单位全称： （盖  章） </w:t>
      </w:r>
    </w:p>
    <w:p>
      <w:pPr>
        <w:spacing w:line="520" w:lineRule="exact"/>
        <w:jc w:val="center"/>
        <w:rPr>
          <w:rFonts w:ascii="宋体" w:hAnsi="宋体"/>
          <w:sz w:val="22"/>
          <w:szCs w:val="22"/>
        </w:rPr>
      </w:pPr>
      <w:r>
        <w:rPr>
          <w:rFonts w:hint="eastAsia" w:ascii="宋体" w:hAnsi="宋体"/>
          <w:sz w:val="24"/>
          <w:szCs w:val="24"/>
        </w:rPr>
        <w:t>法定代表人（单位负责人）：（签 字）</w:t>
      </w:r>
    </w:p>
    <w:p>
      <w:pPr>
        <w:spacing w:line="360" w:lineRule="auto"/>
        <w:ind w:right="480" w:firstLine="480" w:firstLineChars="200"/>
        <w:jc w:val="center"/>
        <w:rPr>
          <w:rFonts w:ascii="宋体" w:hAnsi="宋体"/>
          <w:b/>
          <w:bCs/>
          <w:sz w:val="24"/>
          <w:szCs w:val="24"/>
        </w:rPr>
      </w:pPr>
      <w:r>
        <w:rPr>
          <w:rFonts w:hint="eastAsia" w:ascii="宋体" w:hAnsi="宋体"/>
          <w:sz w:val="24"/>
          <w:szCs w:val="24"/>
        </w:rPr>
        <w:t xml:space="preserve">           年    月    日</w:t>
      </w:r>
    </w:p>
    <w:p>
      <w:pPr>
        <w:spacing w:line="360" w:lineRule="auto"/>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
      <w:pPr>
        <w:numPr>
          <w:ilvl w:val="0"/>
          <w:numId w:val="6"/>
        </w:numPr>
        <w:spacing w:line="520" w:lineRule="exact"/>
        <w:jc w:val="center"/>
        <w:rPr>
          <w:rFonts w:ascii="宋体" w:hAnsi="宋体"/>
          <w:b/>
          <w:sz w:val="24"/>
          <w:szCs w:val="24"/>
        </w:rPr>
      </w:pPr>
      <w:r>
        <w:rPr>
          <w:rFonts w:hint="eastAsia" w:ascii="宋体" w:hAnsi="宋体"/>
          <w:b/>
          <w:sz w:val="24"/>
          <w:szCs w:val="24"/>
        </w:rPr>
        <w:t>、企业“不挂靠、不转包、不违法分包”专项承诺书</w:t>
      </w:r>
    </w:p>
    <w:p>
      <w:pPr>
        <w:spacing w:line="360" w:lineRule="auto"/>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我单位为守法经营的建筑工程施工企业，针对本次（</w:t>
      </w:r>
      <w:r>
        <w:rPr>
          <w:rFonts w:hint="eastAsia" w:ascii="宋体" w:hAnsi="宋体"/>
          <w:sz w:val="24"/>
          <w:szCs w:val="24"/>
          <w:u w:val="single"/>
        </w:rPr>
        <w:t>项目全称）</w:t>
      </w:r>
      <w:r>
        <w:rPr>
          <w:rFonts w:hint="eastAsia" w:ascii="宋体" w:hAnsi="宋体"/>
          <w:sz w:val="24"/>
          <w:szCs w:val="24"/>
        </w:rPr>
        <w:t>招标项目，我公司郑重承诺：</w:t>
      </w:r>
      <w:r>
        <w:rPr>
          <w:rFonts w:ascii="宋体" w:hAnsi="宋体"/>
          <w:b/>
          <w:sz w:val="24"/>
          <w:szCs w:val="24"/>
        </w:rPr>
        <w:t>绝不</w:t>
      </w:r>
      <w:r>
        <w:rPr>
          <w:rFonts w:hint="eastAsia" w:ascii="宋体" w:hAnsi="宋体"/>
          <w:b/>
          <w:sz w:val="24"/>
          <w:szCs w:val="24"/>
        </w:rPr>
        <w:t>挂靠、不</w:t>
      </w:r>
      <w:r>
        <w:rPr>
          <w:rFonts w:ascii="宋体" w:hAnsi="宋体"/>
          <w:b/>
          <w:sz w:val="24"/>
          <w:szCs w:val="24"/>
        </w:rPr>
        <w:t>转包</w:t>
      </w:r>
      <w:r>
        <w:rPr>
          <w:rFonts w:hint="eastAsia" w:ascii="宋体" w:hAnsi="宋体"/>
          <w:b/>
          <w:sz w:val="24"/>
          <w:szCs w:val="24"/>
        </w:rPr>
        <w:t>、不违法分包</w:t>
      </w:r>
      <w:r>
        <w:rPr>
          <w:rFonts w:ascii="宋体" w:hAnsi="宋体"/>
          <w:b/>
          <w:sz w:val="24"/>
          <w:szCs w:val="24"/>
        </w:rPr>
        <w:t>。</w:t>
      </w:r>
    </w:p>
    <w:p>
      <w:pPr>
        <w:spacing w:line="360" w:lineRule="auto"/>
        <w:rPr>
          <w:rFonts w:ascii="宋体" w:hAnsi="宋体"/>
          <w:sz w:val="24"/>
          <w:szCs w:val="24"/>
        </w:rPr>
      </w:pPr>
      <w:r>
        <w:rPr>
          <w:rFonts w:ascii="宋体" w:hAnsi="宋体"/>
          <w:sz w:val="24"/>
          <w:szCs w:val="24"/>
        </w:rPr>
        <w:t>若有</w:t>
      </w:r>
      <w:r>
        <w:rPr>
          <w:rFonts w:hint="eastAsia" w:ascii="宋体" w:hAnsi="宋体"/>
          <w:sz w:val="24"/>
          <w:szCs w:val="24"/>
        </w:rPr>
        <w:t>挂靠、</w:t>
      </w:r>
      <w:r>
        <w:rPr>
          <w:rFonts w:ascii="宋体" w:hAnsi="宋体"/>
          <w:sz w:val="24"/>
          <w:szCs w:val="24"/>
        </w:rPr>
        <w:t>转包或</w:t>
      </w:r>
      <w:r>
        <w:rPr>
          <w:rFonts w:hint="eastAsia" w:ascii="宋体" w:hAnsi="宋体"/>
          <w:sz w:val="24"/>
          <w:szCs w:val="24"/>
        </w:rPr>
        <w:t>违法分包</w:t>
      </w:r>
      <w:r>
        <w:rPr>
          <w:rFonts w:ascii="宋体" w:hAnsi="宋体"/>
          <w:sz w:val="24"/>
          <w:szCs w:val="24"/>
        </w:rPr>
        <w:t>行为</w:t>
      </w:r>
      <w:r>
        <w:rPr>
          <w:rFonts w:hint="eastAsia" w:ascii="宋体" w:hAnsi="宋体"/>
          <w:sz w:val="24"/>
          <w:szCs w:val="24"/>
        </w:rPr>
        <w:t>愿意接受以下处罚：</w:t>
      </w:r>
    </w:p>
    <w:p>
      <w:pPr>
        <w:spacing w:line="360" w:lineRule="auto"/>
        <w:ind w:firstLine="482" w:firstLineChars="200"/>
        <w:rPr>
          <w:rFonts w:hint="eastAsia" w:ascii="宋体" w:hAnsi="宋体" w:eastAsia="宋体"/>
          <w:b/>
          <w:sz w:val="24"/>
          <w:szCs w:val="24"/>
          <w:lang w:eastAsia="zh-CN"/>
        </w:rPr>
      </w:pPr>
      <w:r>
        <w:rPr>
          <w:rFonts w:ascii="宋体" w:hAnsi="宋体"/>
          <w:b/>
          <w:sz w:val="24"/>
          <w:szCs w:val="24"/>
        </w:rPr>
        <w:t>1、由招标人向市、省和国家建设等行政主管部门报告，</w:t>
      </w:r>
      <w:r>
        <w:rPr>
          <w:rFonts w:hint="eastAsia" w:ascii="宋体" w:hAnsi="宋体"/>
          <w:b/>
          <w:sz w:val="24"/>
          <w:szCs w:val="24"/>
        </w:rPr>
        <w:t>记入</w:t>
      </w:r>
      <w:r>
        <w:rPr>
          <w:rFonts w:ascii="宋体" w:hAnsi="宋体"/>
          <w:b/>
          <w:sz w:val="24"/>
          <w:szCs w:val="24"/>
        </w:rPr>
        <w:t>不良记录</w:t>
      </w:r>
      <w:r>
        <w:rPr>
          <w:rFonts w:hint="eastAsia" w:ascii="宋体" w:hAnsi="宋体"/>
          <w:b/>
          <w:sz w:val="24"/>
          <w:szCs w:val="24"/>
        </w:rPr>
        <w:t>，并愿意接受任何处理决定</w:t>
      </w:r>
      <w:r>
        <w:rPr>
          <w:rFonts w:ascii="宋体" w:hAnsi="宋体"/>
          <w:b/>
          <w:sz w:val="24"/>
          <w:szCs w:val="24"/>
        </w:rPr>
        <w:t>；</w:t>
      </w:r>
    </w:p>
    <w:p>
      <w:pPr>
        <w:spacing w:line="360" w:lineRule="auto"/>
        <w:ind w:firstLine="482" w:firstLineChars="200"/>
        <w:rPr>
          <w:rFonts w:hint="eastAsia" w:ascii="宋体" w:hAnsi="宋体" w:eastAsia="宋体"/>
          <w:b/>
          <w:sz w:val="24"/>
          <w:szCs w:val="24"/>
          <w:lang w:eastAsia="zh-CN"/>
        </w:rPr>
      </w:pPr>
      <w:r>
        <w:rPr>
          <w:rFonts w:ascii="宋体" w:hAnsi="宋体"/>
          <w:b/>
          <w:sz w:val="24"/>
          <w:szCs w:val="24"/>
        </w:rPr>
        <w:t>2、投标期间没收投标保证金，合同履行期间发包人有权责令其出场、</w:t>
      </w:r>
      <w:r>
        <w:rPr>
          <w:rFonts w:hint="eastAsia" w:ascii="宋体" w:hAnsi="宋体"/>
          <w:b/>
          <w:sz w:val="24"/>
          <w:szCs w:val="24"/>
        </w:rPr>
        <w:t>没收履约担保</w:t>
      </w:r>
      <w:r>
        <w:rPr>
          <w:rFonts w:ascii="宋体" w:hAnsi="宋体"/>
          <w:b/>
          <w:sz w:val="24"/>
          <w:szCs w:val="24"/>
        </w:rPr>
        <w:t>，并有权单方面取消承包人的中标资格，终止合同，有此产生的责任和损失均由承包人负责，发包人有权向承包人索赔</w:t>
      </w:r>
      <w:r>
        <w:rPr>
          <w:rFonts w:hint="eastAsia" w:ascii="宋体" w:hAnsi="宋体"/>
          <w:b/>
          <w:sz w:val="24"/>
          <w:szCs w:val="24"/>
        </w:rPr>
        <w:t>；</w:t>
      </w:r>
    </w:p>
    <w:p>
      <w:pPr>
        <w:spacing w:line="360" w:lineRule="auto"/>
        <w:ind w:firstLine="482" w:firstLineChars="200"/>
        <w:rPr>
          <w:rFonts w:ascii="宋体" w:hAnsi="宋体"/>
          <w:b/>
          <w:sz w:val="24"/>
          <w:szCs w:val="24"/>
        </w:rPr>
      </w:pPr>
      <w:r>
        <w:rPr>
          <w:rFonts w:ascii="宋体" w:hAnsi="宋体"/>
          <w:b/>
          <w:sz w:val="24"/>
          <w:szCs w:val="24"/>
        </w:rPr>
        <w:t>3、由招标人联系司法机关追究相关法律责任。</w:t>
      </w:r>
    </w:p>
    <w:p>
      <w:pPr>
        <w:spacing w:line="360" w:lineRule="auto"/>
        <w:ind w:right="720" w:firstLine="4200" w:firstLineChars="1750"/>
        <w:rPr>
          <w:rFonts w:hAnsi="宋体"/>
          <w:sz w:val="24"/>
          <w:szCs w:val="24"/>
        </w:rPr>
      </w:pPr>
    </w:p>
    <w:p>
      <w:pPr>
        <w:spacing w:line="360" w:lineRule="auto"/>
        <w:ind w:right="720" w:firstLine="4200" w:firstLineChars="1750"/>
        <w:rPr>
          <w:rFonts w:hAnsi="宋体"/>
          <w:sz w:val="24"/>
          <w:szCs w:val="24"/>
        </w:rPr>
      </w:pPr>
    </w:p>
    <w:p/>
    <w:p/>
    <w:p>
      <w:pPr>
        <w:spacing w:line="360" w:lineRule="auto"/>
        <w:ind w:right="720" w:firstLine="4200" w:firstLineChars="1750"/>
        <w:rPr>
          <w:rFonts w:hAnsi="宋体"/>
          <w:sz w:val="24"/>
          <w:szCs w:val="24"/>
        </w:rPr>
      </w:pPr>
      <w:r>
        <w:rPr>
          <w:rFonts w:hint="eastAsia" w:hAnsi="宋体"/>
          <w:sz w:val="24"/>
          <w:szCs w:val="24"/>
        </w:rPr>
        <w:t xml:space="preserve">单位全称： （盖  章） </w:t>
      </w:r>
    </w:p>
    <w:p>
      <w:pPr>
        <w:spacing w:line="360" w:lineRule="auto"/>
        <w:ind w:left="481" w:leftChars="229" w:right="600" w:firstLine="3600" w:firstLineChars="1500"/>
        <w:rPr>
          <w:rFonts w:hAnsi="宋体"/>
          <w:sz w:val="24"/>
          <w:szCs w:val="24"/>
        </w:rPr>
      </w:pPr>
      <w:r>
        <w:rPr>
          <w:rFonts w:hint="eastAsia" w:hAnsi="宋体"/>
          <w:sz w:val="24"/>
          <w:szCs w:val="24"/>
        </w:rPr>
        <w:t xml:space="preserve">法定代表人：（签 字） </w:t>
      </w:r>
    </w:p>
    <w:p>
      <w:pPr>
        <w:spacing w:line="360" w:lineRule="auto"/>
        <w:ind w:left="5272" w:leftChars="1939" w:right="600" w:hanging="1200" w:hangingChars="500"/>
        <w:rPr>
          <w:rFonts w:hAnsi="宋体"/>
          <w:sz w:val="24"/>
          <w:szCs w:val="24"/>
        </w:rPr>
      </w:pPr>
      <w:r>
        <w:rPr>
          <w:rFonts w:hint="eastAsia" w:hAnsi="宋体"/>
          <w:sz w:val="24"/>
          <w:szCs w:val="24"/>
        </w:rPr>
        <w:t xml:space="preserve">            年    月    日</w:t>
      </w: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b/>
          <w:sz w:val="24"/>
          <w:szCs w:val="24"/>
        </w:rPr>
      </w:pPr>
      <w:r>
        <w:rPr>
          <w:rFonts w:hint="eastAsia" w:ascii="宋体" w:hAnsi="宋体"/>
          <w:b/>
          <w:sz w:val="24"/>
          <w:szCs w:val="24"/>
        </w:rPr>
        <w:t>（三）项目负责人无在建承诺书</w:t>
      </w:r>
    </w:p>
    <w:p>
      <w:pPr>
        <w:ind w:firstLine="120" w:firstLineChars="50"/>
        <w:rPr>
          <w:rFonts w:ascii="宋体" w:hAnsi="宋体"/>
          <w:sz w:val="24"/>
          <w:szCs w:val="24"/>
        </w:rPr>
      </w:pPr>
      <w:r>
        <w:rPr>
          <w:rFonts w:hint="eastAsia" w:ascii="宋体" w:hAnsi="宋体"/>
          <w:sz w:val="24"/>
          <w:szCs w:val="24"/>
          <w:u w:val="single"/>
        </w:rPr>
        <w:t xml:space="preserve">（招标人名称）  </w:t>
      </w:r>
      <w:r>
        <w:rPr>
          <w:rFonts w:hint="eastAsia" w:ascii="宋体" w:hAnsi="宋体"/>
          <w:sz w:val="24"/>
          <w:szCs w:val="24"/>
        </w:rPr>
        <w:t xml:space="preserve"> ：</w:t>
      </w:r>
    </w:p>
    <w:p>
      <w:pPr>
        <w:rPr>
          <w:rFonts w:ascii="宋体" w:hAnsi="宋体"/>
          <w:sz w:val="24"/>
          <w:szCs w:val="24"/>
        </w:rPr>
      </w:pPr>
      <w:r>
        <w:rPr>
          <w:rFonts w:hint="eastAsia" w:ascii="宋体" w:hAnsi="宋体"/>
          <w:sz w:val="24"/>
          <w:szCs w:val="24"/>
        </w:rPr>
        <w:t xml:space="preserve">    我方在此声明，我方拟派往</w:t>
      </w:r>
      <w:r>
        <w:rPr>
          <w:rFonts w:hint="eastAsia" w:ascii="宋体" w:hAnsi="宋体"/>
          <w:sz w:val="24"/>
          <w:szCs w:val="24"/>
          <w:u w:val="single"/>
        </w:rPr>
        <w:t>（项目名称）</w:t>
      </w:r>
      <w:r>
        <w:rPr>
          <w:rFonts w:hint="eastAsia" w:ascii="宋体" w:hAnsi="宋体"/>
          <w:sz w:val="24"/>
          <w:szCs w:val="24"/>
        </w:rPr>
        <w:t>（以下简称“本工程”）的项目负责人</w:t>
      </w:r>
      <w:r>
        <w:rPr>
          <w:rFonts w:hint="eastAsia" w:ascii="宋体" w:hAnsi="宋体"/>
          <w:sz w:val="24"/>
          <w:szCs w:val="24"/>
          <w:u w:val="single"/>
        </w:rPr>
        <w:t xml:space="preserve">（姓名） </w:t>
      </w:r>
      <w:r>
        <w:rPr>
          <w:rFonts w:hint="eastAsia" w:ascii="宋体" w:hAnsi="宋体"/>
          <w:sz w:val="24"/>
          <w:szCs w:val="24"/>
        </w:rPr>
        <w:t>现阶段没有担任任何在施建设工程项目的项目负责人。</w:t>
      </w:r>
    </w:p>
    <w:p>
      <w:pPr>
        <w:ind w:firstLine="480" w:firstLineChars="200"/>
        <w:rPr>
          <w:rFonts w:ascii="宋体" w:hAnsi="宋体"/>
          <w:sz w:val="24"/>
          <w:szCs w:val="24"/>
        </w:rPr>
      </w:pPr>
      <w:r>
        <w:rPr>
          <w:rFonts w:hint="eastAsia" w:ascii="宋体" w:hAnsi="宋体"/>
          <w:sz w:val="24"/>
          <w:szCs w:val="24"/>
        </w:rPr>
        <w:t>我方保证上述信息的真实和准确，并愿意承担因我方就此弄虚作假所引起的一切法律后果。</w:t>
      </w:r>
    </w:p>
    <w:p>
      <w:pPr>
        <w:ind w:firstLine="468"/>
        <w:rPr>
          <w:rFonts w:ascii="宋体" w:hAnsi="宋体"/>
          <w:sz w:val="24"/>
          <w:szCs w:val="24"/>
        </w:rPr>
      </w:pPr>
      <w:r>
        <w:rPr>
          <w:rFonts w:hint="eastAsia" w:ascii="宋体" w:hAnsi="宋体"/>
          <w:sz w:val="24"/>
          <w:szCs w:val="24"/>
        </w:rPr>
        <w:t>特此承诺</w:t>
      </w:r>
    </w:p>
    <w:p/>
    <w:p/>
    <w:p>
      <w:pPr>
        <w:spacing w:line="360" w:lineRule="auto"/>
        <w:rPr>
          <w:rFonts w:ascii="宋体" w:hAnsi="宋体"/>
          <w:sz w:val="24"/>
          <w:szCs w:val="24"/>
        </w:rPr>
      </w:pPr>
      <w:r>
        <w:rPr>
          <w:rFonts w:hint="eastAsia" w:ascii="宋体" w:hAnsi="宋体"/>
          <w:sz w:val="24"/>
          <w:szCs w:val="24"/>
        </w:rPr>
        <w:t xml:space="preserve">                                          投标人：（盖单位章）             </w:t>
      </w:r>
    </w:p>
    <w:p>
      <w:pPr>
        <w:spacing w:line="360" w:lineRule="auto"/>
        <w:rPr>
          <w:rFonts w:ascii="宋体" w:hAnsi="宋体"/>
          <w:sz w:val="24"/>
          <w:szCs w:val="24"/>
        </w:rPr>
      </w:pPr>
      <w:r>
        <w:rPr>
          <w:rFonts w:hint="eastAsia" w:ascii="宋体" w:hAnsi="宋体"/>
          <w:sz w:val="24"/>
          <w:szCs w:val="24"/>
        </w:rPr>
        <w:t xml:space="preserve">                                  法定代表人或其委托代理人：（签字） </w:t>
      </w:r>
    </w:p>
    <w:p>
      <w:pPr>
        <w:spacing w:line="360" w:lineRule="auto"/>
        <w:rPr>
          <w:rFonts w:ascii="宋体" w:hAnsi="宋体"/>
          <w:sz w:val="24"/>
          <w:szCs w:val="24"/>
        </w:rPr>
      </w:pPr>
      <w:r>
        <w:rPr>
          <w:rFonts w:hint="eastAsia" w:ascii="宋体" w:hAnsi="宋体"/>
          <w:sz w:val="24"/>
          <w:szCs w:val="24"/>
        </w:rPr>
        <w:t xml:space="preserve">                                          项目负责人：（签字）</w:t>
      </w:r>
    </w:p>
    <w:p>
      <w:pPr>
        <w:spacing w:line="360" w:lineRule="auto"/>
        <w:rPr>
          <w:rFonts w:ascii="宋体" w:hAnsi="宋体"/>
          <w:sz w:val="24"/>
          <w:szCs w:val="24"/>
        </w:rPr>
      </w:pPr>
      <w:r>
        <w:rPr>
          <w:rFonts w:hint="eastAsia" w:ascii="宋体" w:hAnsi="宋体"/>
          <w:sz w:val="24"/>
          <w:szCs w:val="24"/>
        </w:rPr>
        <w:t xml:space="preserve">                                                       年   月   日</w:t>
      </w:r>
    </w:p>
    <w:p>
      <w:pPr>
        <w:autoSpaceDE w:val="0"/>
        <w:autoSpaceDN w:val="0"/>
        <w:adjustRightInd w:val="0"/>
        <w:spacing w:line="380" w:lineRule="exact"/>
        <w:rPr>
          <w:rFonts w:ascii="宋体" w:hAnsi="宋体"/>
          <w:sz w:val="24"/>
          <w:szCs w:val="24"/>
        </w:rPr>
      </w:pPr>
    </w:p>
    <w:p>
      <w:pPr>
        <w:jc w:val="center"/>
        <w:rPr>
          <w:b/>
          <w:sz w:val="24"/>
          <w:szCs w:val="24"/>
        </w:rPr>
      </w:pPr>
      <w:r>
        <w:rPr>
          <w:rFonts w:hint="eastAsia"/>
          <w:b/>
          <w:sz w:val="24"/>
          <w:szCs w:val="24"/>
        </w:rPr>
        <w:t>（四）关于施工工地扬尘污染整治的承诺</w:t>
      </w:r>
    </w:p>
    <w:p>
      <w:pPr>
        <w:jc w:val="center"/>
        <w:rPr>
          <w:sz w:val="24"/>
          <w:szCs w:val="24"/>
        </w:rPr>
      </w:pPr>
      <w:r>
        <w:rPr>
          <w:rFonts w:hint="eastAsia"/>
          <w:sz w:val="24"/>
          <w:szCs w:val="24"/>
        </w:rPr>
        <w:t>（内容自行编制）</w:t>
      </w:r>
    </w:p>
    <w:p>
      <w:pPr>
        <w:spacing w:line="360" w:lineRule="auto"/>
        <w:ind w:right="480" w:firstLine="480" w:firstLineChars="200"/>
        <w:jc w:val="right"/>
        <w:rPr>
          <w:rFonts w:hAnsi="宋体"/>
          <w:sz w:val="24"/>
          <w:szCs w:val="24"/>
        </w:rPr>
      </w:pPr>
    </w:p>
    <w:p>
      <w:pPr>
        <w:spacing w:line="360" w:lineRule="auto"/>
        <w:ind w:right="960" w:firstLine="480" w:firstLineChars="200"/>
        <w:jc w:val="center"/>
        <w:rPr>
          <w:rFonts w:hAnsi="宋体"/>
          <w:sz w:val="24"/>
          <w:szCs w:val="24"/>
        </w:rPr>
      </w:pPr>
    </w:p>
    <w:p>
      <w:pPr>
        <w:spacing w:line="360" w:lineRule="auto"/>
        <w:ind w:right="960" w:firstLine="480" w:firstLineChars="200"/>
        <w:jc w:val="center"/>
        <w:rPr>
          <w:rFonts w:hAnsi="宋体"/>
          <w:sz w:val="24"/>
          <w:szCs w:val="24"/>
        </w:rPr>
      </w:pPr>
      <w:r>
        <w:rPr>
          <w:rFonts w:hint="eastAsia" w:hAnsi="宋体"/>
          <w:sz w:val="24"/>
          <w:szCs w:val="24"/>
        </w:rPr>
        <w:t xml:space="preserve">                         单位全称： （盖  章） </w:t>
      </w:r>
    </w:p>
    <w:p>
      <w:pPr>
        <w:spacing w:line="360" w:lineRule="auto"/>
        <w:ind w:right="960" w:firstLine="4560" w:firstLineChars="1900"/>
        <w:rPr>
          <w:rFonts w:hAnsi="宋体"/>
          <w:sz w:val="24"/>
          <w:szCs w:val="24"/>
        </w:rPr>
      </w:pPr>
      <w:r>
        <w:rPr>
          <w:rFonts w:hint="eastAsia" w:hAnsi="宋体"/>
          <w:sz w:val="24"/>
          <w:szCs w:val="24"/>
        </w:rPr>
        <w:t xml:space="preserve">法定代表人：（签 字） </w:t>
      </w:r>
    </w:p>
    <w:p>
      <w:pPr>
        <w:autoSpaceDE w:val="0"/>
        <w:autoSpaceDN w:val="0"/>
        <w:adjustRightInd w:val="0"/>
        <w:spacing w:line="360" w:lineRule="auto"/>
        <w:ind w:right="215"/>
        <w:jc w:val="center"/>
        <w:rPr>
          <w:rFonts w:hAnsi="宋体"/>
          <w:b/>
          <w:sz w:val="24"/>
          <w:szCs w:val="24"/>
        </w:rPr>
      </w:pPr>
      <w:r>
        <w:rPr>
          <w:rFonts w:hint="eastAsia" w:hAnsi="宋体"/>
          <w:sz w:val="24"/>
          <w:szCs w:val="24"/>
        </w:rPr>
        <w:t xml:space="preserve">                                                年   月   日</w:t>
      </w:r>
    </w:p>
    <w:p>
      <w:pPr>
        <w:spacing w:line="440" w:lineRule="exact"/>
        <w:ind w:right="480"/>
        <w:jc w:val="center"/>
        <w:rPr>
          <w:rFonts w:ascii="宋体" w:hAnsi="宋体"/>
          <w:b/>
          <w:bCs/>
          <w:sz w:val="24"/>
          <w:szCs w:val="24"/>
        </w:rPr>
      </w:pPr>
    </w:p>
    <w:p>
      <w:pPr>
        <w:autoSpaceDE w:val="0"/>
        <w:autoSpaceDN w:val="0"/>
        <w:adjustRightInd w:val="0"/>
        <w:spacing w:line="380" w:lineRule="exact"/>
        <w:rPr>
          <w:rFonts w:ascii="宋体" w:hAnsi="宋体"/>
          <w:b/>
          <w:bCs/>
          <w:sz w:val="24"/>
          <w:szCs w:val="24"/>
        </w:rPr>
      </w:pPr>
    </w:p>
    <w:p>
      <w:pPr>
        <w:tabs>
          <w:tab w:val="center" w:pos="4739"/>
        </w:tabs>
        <w:jc w:val="center"/>
        <w:rPr>
          <w:rFonts w:ascii="宋体" w:hAnsi="宋体"/>
          <w:b/>
          <w:sz w:val="32"/>
        </w:rPr>
      </w:pPr>
      <w:r>
        <w:rPr>
          <w:rFonts w:hint="eastAsia" w:ascii="宋体" w:hAnsi="宋体"/>
          <w:b/>
          <w:sz w:val="32"/>
        </w:rPr>
        <w:t>十、其它需要提供的材料（如有）</w:t>
      </w:r>
    </w:p>
    <w:p/>
    <w:p>
      <w:pPr>
        <w:autoSpaceDE w:val="0"/>
        <w:autoSpaceDN w:val="0"/>
        <w:adjustRightInd w:val="0"/>
        <w:spacing w:line="360" w:lineRule="auto"/>
        <w:ind w:right="215" w:firstLine="420"/>
        <w:jc w:val="center"/>
        <w:rPr>
          <w:sz w:val="24"/>
        </w:rPr>
      </w:pPr>
      <w:r>
        <w:rPr>
          <w:rFonts w:hint="eastAsia" w:ascii="宋体" w:hAnsi="宋体"/>
          <w:sz w:val="24"/>
        </w:rPr>
        <w:t>(可提供招标文件中要求但并未提供格式的材料</w:t>
      </w:r>
      <w:r>
        <w:rPr>
          <w:rFonts w:hint="eastAsia"/>
          <w:sz w:val="24"/>
        </w:rPr>
        <w:t>)</w:t>
      </w:r>
    </w:p>
    <w:p>
      <w:pPr>
        <w:autoSpaceDE w:val="0"/>
        <w:autoSpaceDN w:val="0"/>
        <w:adjustRightInd w:val="0"/>
        <w:spacing w:line="360" w:lineRule="auto"/>
        <w:ind w:right="215"/>
        <w:jc w:val="center"/>
        <w:rPr>
          <w:rFonts w:ascii="宋体" w:hAnsi="宋体"/>
          <w:b/>
          <w:bCs/>
          <w:sz w:val="24"/>
          <w:szCs w:val="24"/>
        </w:rPr>
      </w:pPr>
    </w:p>
    <w:p>
      <w:pPr>
        <w:tabs>
          <w:tab w:val="center" w:pos="4739"/>
        </w:tabs>
        <w:jc w:val="center"/>
        <w:rPr>
          <w:rFonts w:ascii="宋体" w:hAnsi="宋体"/>
          <w:b/>
          <w:bCs/>
          <w:sz w:val="24"/>
          <w:szCs w:val="24"/>
        </w:rPr>
      </w:pPr>
    </w:p>
    <w:p/>
    <w:p/>
    <w:p/>
    <w:p/>
    <w:p/>
    <w:p/>
    <w:p>
      <w:pPr>
        <w:ind w:left="180"/>
        <w:jc w:val="right"/>
        <w:rPr>
          <w:rFonts w:ascii="宋体" w:hAnsi="宋体"/>
          <w:sz w:val="24"/>
          <w:szCs w:val="24"/>
        </w:rPr>
      </w:pPr>
    </w:p>
    <w:p/>
    <w:p>
      <w:pPr>
        <w:ind w:left="180"/>
        <w:jc w:val="center"/>
        <w:rPr>
          <w:rFonts w:ascii="宋体" w:hAnsi="宋体"/>
          <w:b/>
          <w:bCs/>
          <w:sz w:val="24"/>
          <w:szCs w:val="24"/>
        </w:rPr>
      </w:pPr>
    </w:p>
    <w:p>
      <w:pPr>
        <w:pStyle w:val="2"/>
      </w:pPr>
    </w:p>
    <w:p>
      <w:pPr>
        <w:autoSpaceDE w:val="0"/>
        <w:autoSpaceDN w:val="0"/>
        <w:adjustRightInd w:val="0"/>
        <w:ind w:firstLine="1626" w:firstLineChars="450"/>
        <w:rPr>
          <w:rFonts w:ascii="宋体" w:hAnsi="宋体"/>
          <w:b/>
          <w:bCs/>
          <w:spacing w:val="60"/>
          <w:sz w:val="36"/>
          <w:szCs w:val="36"/>
        </w:rPr>
      </w:pPr>
      <w:r>
        <w:rPr>
          <w:rFonts w:hint="eastAsia" w:ascii="宋体" w:hAnsi="宋体"/>
          <w:b/>
          <w:bCs/>
          <w:sz w:val="36"/>
          <w:szCs w:val="36"/>
          <w:u w:val="single"/>
        </w:rPr>
        <w:t xml:space="preserve">            (项目名称)标段         </w:t>
      </w:r>
    </w:p>
    <w:p>
      <w:pPr>
        <w:ind w:left="180"/>
        <w:jc w:val="center"/>
        <w:rPr>
          <w:rFonts w:ascii="宋体" w:hAnsi="宋体"/>
          <w:b/>
          <w:bCs/>
          <w:sz w:val="32"/>
          <w:szCs w:val="32"/>
        </w:rPr>
      </w:pPr>
      <w:r>
        <w:rPr>
          <w:rFonts w:hint="eastAsia" w:ascii="宋体" w:hAnsi="宋体"/>
          <w:b/>
          <w:bCs/>
          <w:sz w:val="32"/>
          <w:szCs w:val="32"/>
        </w:rPr>
        <w:t xml:space="preserve"> 项目编号：</w:t>
      </w:r>
    </w:p>
    <w:p>
      <w:pPr>
        <w:ind w:left="180"/>
        <w:rPr>
          <w:rFonts w:ascii="宋体" w:hAnsi="宋体"/>
          <w:sz w:val="24"/>
          <w:szCs w:val="24"/>
        </w:rPr>
      </w:pPr>
    </w:p>
    <w:p>
      <w:pPr>
        <w:ind w:left="180"/>
        <w:rPr>
          <w:rFonts w:ascii="宋体" w:hAnsi="宋体"/>
          <w:sz w:val="24"/>
          <w:szCs w:val="24"/>
        </w:rPr>
      </w:pPr>
    </w:p>
    <w:p>
      <w:pPr>
        <w:ind w:left="180"/>
        <w:rPr>
          <w:rFonts w:ascii="宋体" w:hAnsi="宋体"/>
          <w:sz w:val="24"/>
          <w:szCs w:val="24"/>
        </w:rPr>
      </w:pPr>
    </w:p>
    <w:p>
      <w:pPr>
        <w:pStyle w:val="13"/>
        <w:ind w:firstLine="240"/>
        <w:rPr>
          <w:rFonts w:ascii="宋体" w:hAnsi="宋体"/>
          <w:sz w:val="24"/>
          <w:szCs w:val="24"/>
        </w:rPr>
      </w:pPr>
    </w:p>
    <w:p>
      <w:pPr>
        <w:ind w:left="180"/>
        <w:rPr>
          <w:rFonts w:ascii="宋体" w:hAnsi="宋体"/>
          <w:sz w:val="24"/>
          <w:szCs w:val="24"/>
        </w:rPr>
      </w:pPr>
    </w:p>
    <w:p>
      <w:pPr>
        <w:ind w:left="180"/>
        <w:jc w:val="center"/>
        <w:rPr>
          <w:rFonts w:ascii="宋体" w:hAnsi="宋体"/>
          <w:b/>
          <w:bCs/>
          <w:sz w:val="52"/>
          <w:szCs w:val="52"/>
        </w:rPr>
      </w:pPr>
      <w:r>
        <w:rPr>
          <w:rFonts w:hint="eastAsia" w:ascii="宋体" w:hAnsi="宋体"/>
          <w:b/>
          <w:bCs/>
          <w:sz w:val="52"/>
          <w:szCs w:val="52"/>
        </w:rPr>
        <w:t>投 标 文 件</w:t>
      </w:r>
    </w:p>
    <w:p>
      <w:pPr>
        <w:ind w:left="180"/>
        <w:jc w:val="center"/>
        <w:rPr>
          <w:rFonts w:ascii="宋体" w:hAnsi="宋体"/>
          <w:b/>
          <w:bCs/>
          <w:sz w:val="32"/>
          <w:szCs w:val="32"/>
        </w:rPr>
      </w:pPr>
      <w:r>
        <w:rPr>
          <w:rFonts w:hint="eastAsia" w:ascii="宋体" w:hAnsi="宋体"/>
          <w:b/>
          <w:bCs/>
          <w:sz w:val="32"/>
          <w:szCs w:val="32"/>
        </w:rPr>
        <w:t>（技术标）</w:t>
      </w:r>
    </w:p>
    <w:p>
      <w:pPr>
        <w:ind w:left="180"/>
        <w:rPr>
          <w:rFonts w:ascii="宋体" w:hAnsi="宋体"/>
          <w:b/>
          <w:bCs/>
          <w:sz w:val="24"/>
          <w:szCs w:val="24"/>
        </w:rPr>
      </w:pPr>
    </w:p>
    <w:p>
      <w:pPr>
        <w:ind w:left="180"/>
        <w:rPr>
          <w:rFonts w:ascii="宋体" w:hAnsi="宋体"/>
          <w:sz w:val="24"/>
          <w:szCs w:val="24"/>
        </w:rPr>
      </w:pPr>
    </w:p>
    <w:p>
      <w:pPr>
        <w:ind w:left="180"/>
        <w:rPr>
          <w:rFonts w:ascii="宋体" w:hAnsi="宋体"/>
          <w:sz w:val="24"/>
          <w:szCs w:val="24"/>
        </w:rPr>
      </w:pPr>
    </w:p>
    <w:p>
      <w:pPr>
        <w:pStyle w:val="13"/>
        <w:ind w:firstLine="240"/>
        <w:rPr>
          <w:rFonts w:ascii="宋体" w:hAnsi="宋体"/>
          <w:sz w:val="24"/>
          <w:szCs w:val="24"/>
        </w:rPr>
      </w:pPr>
    </w:p>
    <w:p>
      <w:pPr>
        <w:pStyle w:val="13"/>
        <w:ind w:firstLine="240"/>
        <w:rPr>
          <w:rFonts w:ascii="宋体" w:hAnsi="宋体"/>
          <w:sz w:val="24"/>
          <w:szCs w:val="24"/>
        </w:rPr>
      </w:pPr>
    </w:p>
    <w:p>
      <w:pPr>
        <w:ind w:left="180"/>
        <w:rPr>
          <w:rFonts w:ascii="宋体" w:hAnsi="宋体"/>
          <w:sz w:val="24"/>
          <w:szCs w:val="24"/>
        </w:rPr>
      </w:pPr>
    </w:p>
    <w:p/>
    <w:p/>
    <w:p>
      <w:pPr>
        <w:ind w:left="180"/>
        <w:rPr>
          <w:rFonts w:ascii="宋体" w:hAnsi="宋体"/>
          <w:sz w:val="30"/>
          <w:szCs w:val="30"/>
        </w:rPr>
      </w:pPr>
    </w:p>
    <w:p>
      <w:pPr>
        <w:spacing w:line="360" w:lineRule="auto"/>
        <w:ind w:left="181"/>
        <w:jc w:val="center"/>
        <w:rPr>
          <w:rFonts w:ascii="宋体" w:hAnsi="宋体"/>
          <w:b/>
          <w:bCs/>
          <w:sz w:val="30"/>
          <w:szCs w:val="30"/>
        </w:rPr>
      </w:pPr>
    </w:p>
    <w:p>
      <w:pPr>
        <w:spacing w:line="360" w:lineRule="auto"/>
        <w:ind w:left="181"/>
        <w:jc w:val="center"/>
        <w:rPr>
          <w:rFonts w:ascii="宋体" w:hAnsi="宋体"/>
          <w:b/>
          <w:bCs/>
          <w:sz w:val="30"/>
          <w:szCs w:val="30"/>
        </w:rPr>
      </w:pPr>
      <w:r>
        <w:rPr>
          <w:rFonts w:hint="eastAsia" w:ascii="宋体" w:hAnsi="宋体"/>
          <w:b/>
          <w:bCs/>
          <w:sz w:val="30"/>
          <w:szCs w:val="30"/>
        </w:rPr>
        <w:t>投标人:(盖单位章)</w:t>
      </w:r>
    </w:p>
    <w:p>
      <w:pPr>
        <w:spacing w:line="360" w:lineRule="auto"/>
        <w:ind w:left="181"/>
        <w:jc w:val="center"/>
        <w:rPr>
          <w:rFonts w:ascii="宋体" w:hAnsi="宋体"/>
          <w:b/>
          <w:bCs/>
          <w:sz w:val="30"/>
          <w:szCs w:val="30"/>
        </w:rPr>
      </w:pPr>
      <w:r>
        <w:rPr>
          <w:rFonts w:hint="eastAsia" w:ascii="宋体" w:hAnsi="宋体"/>
          <w:b/>
          <w:bCs/>
          <w:sz w:val="30"/>
          <w:szCs w:val="30"/>
        </w:rPr>
        <w:t>法定代表人或其委托代理人:(签字)</w:t>
      </w:r>
    </w:p>
    <w:p>
      <w:pPr>
        <w:ind w:left="180"/>
        <w:jc w:val="center"/>
        <w:rPr>
          <w:rFonts w:ascii="宋体" w:hAnsi="宋体"/>
          <w:b/>
          <w:bCs/>
          <w:sz w:val="30"/>
          <w:szCs w:val="30"/>
        </w:rPr>
      </w:pPr>
    </w:p>
    <w:p>
      <w:pPr>
        <w:ind w:left="180"/>
        <w:jc w:val="center"/>
        <w:rPr>
          <w:rFonts w:ascii="宋体" w:hAnsi="宋体"/>
          <w:b/>
          <w:bCs/>
          <w:sz w:val="24"/>
          <w:szCs w:val="24"/>
        </w:rPr>
      </w:pPr>
      <w:r>
        <w:rPr>
          <w:rFonts w:hint="eastAsia" w:ascii="宋体" w:hAnsi="宋体"/>
          <w:b/>
          <w:bCs/>
          <w:sz w:val="30"/>
          <w:szCs w:val="30"/>
        </w:rPr>
        <w:t>年月日</w:t>
      </w:r>
      <w:r>
        <w:rPr>
          <w:rFonts w:hint="eastAsia" w:ascii="宋体" w:hAnsi="宋体"/>
          <w:b/>
          <w:bCs/>
          <w:sz w:val="24"/>
          <w:szCs w:val="24"/>
        </w:rPr>
        <w:br w:type="page"/>
      </w:r>
    </w:p>
    <w:p>
      <w:pPr>
        <w:autoSpaceDE w:val="0"/>
        <w:autoSpaceDN w:val="0"/>
        <w:spacing w:line="540" w:lineRule="exact"/>
        <w:jc w:val="center"/>
        <w:rPr>
          <w:rFonts w:ascii="宋体" w:hAnsi="宋体"/>
          <w:b/>
          <w:bCs/>
          <w:sz w:val="32"/>
          <w:szCs w:val="32"/>
        </w:rPr>
      </w:pPr>
      <w:r>
        <w:rPr>
          <w:rFonts w:hint="eastAsia" w:ascii="宋体" w:hAnsi="宋体"/>
          <w:b/>
          <w:bCs/>
          <w:sz w:val="32"/>
          <w:szCs w:val="32"/>
        </w:rPr>
        <w:t>目  录</w:t>
      </w:r>
    </w:p>
    <w:p>
      <w:pPr>
        <w:autoSpaceDE w:val="0"/>
        <w:autoSpaceDN w:val="0"/>
        <w:spacing w:line="540" w:lineRule="exact"/>
        <w:jc w:val="center"/>
        <w:rPr>
          <w:rFonts w:ascii="宋体" w:hAnsi="宋体"/>
          <w:bCs/>
          <w:sz w:val="24"/>
          <w:szCs w:val="24"/>
        </w:rPr>
      </w:pP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（1）内容完整性；</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（2）主要施工方案和技术措施；</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（3）质量管理体系与措施；</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（4）安全管理体系与措施；</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（5）文明施工、环境保护管理体系及施工现场扬尘治理措施；</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（6）工期保证措施；</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（7）拟投入资源配备计划；</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（8）施工进度表与网络计划图；</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（9）施工总平面图布置；</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（10）技术创新的应用实施措施；</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（11）采用新工艺、新技术、新设备、新材料、BIM等的程度；</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（12）施工现场实施信息化监控和数据处理；</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（13）风险管理措施。</w:t>
      </w:r>
    </w:p>
    <w:p>
      <w:pPr>
        <w:autoSpaceDE w:val="0"/>
        <w:autoSpaceDN w:val="0"/>
        <w:adjustRightInd w:val="0"/>
        <w:spacing w:afterLines="50"/>
        <w:jc w:val="center"/>
        <w:outlineLvl w:val="0"/>
        <w:rPr>
          <w:rFonts w:ascii="宋体" w:hAnsi="宋体"/>
          <w:b/>
          <w:bCs/>
          <w:kern w:val="0"/>
          <w:sz w:val="24"/>
          <w:szCs w:val="24"/>
        </w:rPr>
      </w:pPr>
    </w:p>
    <w:p/>
    <w:p>
      <w:pPr>
        <w:ind w:right="720" w:firstLine="514" w:firstLineChars="245"/>
        <w:rPr>
          <w:rFonts w:ascii="宋体" w:hAnsi="宋体" w:cs="仿宋_GB2312"/>
          <w:kern w:val="0"/>
        </w:rPr>
      </w:pPr>
    </w:p>
    <w:p/>
    <w:p/>
    <w:p/>
    <w:p/>
    <w:p/>
    <w:p/>
    <w:p/>
    <w:p/>
    <w:p/>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4"/>
      </w:rPr>
    </w:pPr>
    <w:r>
      <mc:AlternateContent>
        <mc:Choice Requires="wps">
          <w:drawing>
            <wp:anchor distT="0" distB="0" distL="114300" distR="114300" simplePos="0" relativeHeight="251662336" behindDoc="1" locked="0" layoutInCell="1" allowOverlap="1">
              <wp:simplePos x="0" y="0"/>
              <wp:positionH relativeFrom="page">
                <wp:posOffset>3597910</wp:posOffset>
              </wp:positionH>
              <wp:positionV relativeFrom="page">
                <wp:posOffset>9678035</wp:posOffset>
              </wp:positionV>
              <wp:extent cx="224790" cy="1873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24790" cy="187325"/>
                      </a:xfrm>
                      <a:prstGeom prst="rect">
                        <a:avLst/>
                      </a:prstGeom>
                      <a:noFill/>
                      <a:ln>
                        <a:noFill/>
                      </a:ln>
                      <a:effectLst/>
                    </wps:spPr>
                    <wps:txbx>
                      <w:txbxContent>
                        <w:p>
                          <w:pPr>
                            <w:spacing w:before="79"/>
                            <w:ind w:left="60"/>
                            <w:jc w:val="left"/>
                            <w:rPr>
                              <w:rFonts w:ascii="Times New Roman"/>
                              <w:sz w:val="17"/>
                            </w:rPr>
                          </w:pPr>
                          <w:r>
                            <w:fldChar w:fldCharType="begin"/>
                          </w:r>
                          <w:r>
                            <w:rPr>
                              <w:rFonts w:ascii="Times New Roman"/>
                              <w:color w:val="444444"/>
                              <w:w w:val="110"/>
                              <w:sz w:val="17"/>
                            </w:rPr>
                            <w:instrText xml:space="preserve"> PAGE </w:instrText>
                          </w:r>
                          <w:r>
                            <w:fldChar w:fldCharType="separate"/>
                          </w:r>
                          <w:r>
                            <w:rPr>
                              <w:rFonts w:ascii="Times New Roman"/>
                              <w:color w:val="444444"/>
                              <w:w w:val="110"/>
                              <w:sz w:val="17"/>
                            </w:rPr>
                            <w:t>13</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3.3pt;margin-top:762.05pt;height:14.75pt;width:17.7pt;mso-position-horizontal-relative:page;mso-position-vertical-relative:page;z-index:-251654144;mso-width-relative:page;mso-height-relative:page;" filled="f" stroked="f" coordsize="21600,21600" o:gfxdata="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je3y/ZAAAADQEAAA8AAAAAAAAAAQAgAAAAIgAAAGRycy9kb3ducmV2Lnht&#10;bFBLAQIUABQAAAAIAIdO4kAyPxW3vwEAAH8DAAAOAAAAAAAAAAEAIAAAACgBAABkcnMvZTJvRG9j&#10;LnhtbFBLBQYAAAAABgAGAFkBAABZBQAAAAA=&#10;">
              <v:fill on="f" focussize="0,0"/>
              <v:stroke on="f"/>
              <v:imagedata o:title=""/>
              <o:lock v:ext="edit" aspectratio="f"/>
              <v:textbox inset="0mm,0mm,0mm,0mm">
                <w:txbxContent>
                  <w:p>
                    <w:pPr>
                      <w:spacing w:before="79"/>
                      <w:ind w:left="60"/>
                      <w:jc w:val="left"/>
                      <w:rPr>
                        <w:rFonts w:ascii="Times New Roman"/>
                        <w:sz w:val="17"/>
                      </w:rPr>
                    </w:pPr>
                    <w:r>
                      <w:fldChar w:fldCharType="begin"/>
                    </w:r>
                    <w:r>
                      <w:rPr>
                        <w:rFonts w:ascii="Times New Roman"/>
                        <w:color w:val="444444"/>
                        <w:w w:val="110"/>
                        <w:sz w:val="17"/>
                      </w:rPr>
                      <w:instrText xml:space="preserve"> PAGE </w:instrText>
                    </w:r>
                    <w:r>
                      <w:fldChar w:fldCharType="separate"/>
                    </w:r>
                    <w:r>
                      <w:rPr>
                        <w:rFonts w:ascii="Times New Roman"/>
                        <w:color w:val="444444"/>
                        <w:w w:val="110"/>
                        <w:sz w:val="17"/>
                      </w:rPr>
                      <w:t>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80</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r>
      <mc:AlternateContent>
        <mc:Choice Requires="wps">
          <w:drawing>
            <wp:anchor distT="0" distB="0" distL="114300" distR="114300" simplePos="0" relativeHeight="251661312" behindDoc="1" locked="0" layoutInCell="1" allowOverlap="1">
              <wp:simplePos x="0" y="0"/>
              <wp:positionH relativeFrom="page">
                <wp:posOffset>5821045</wp:posOffset>
              </wp:positionH>
              <wp:positionV relativeFrom="page">
                <wp:posOffset>447040</wp:posOffset>
              </wp:positionV>
              <wp:extent cx="829945" cy="1403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829945" cy="140335"/>
                      </a:xfrm>
                      <a:prstGeom prst="rect">
                        <a:avLst/>
                      </a:prstGeom>
                      <a:noFill/>
                      <a:ln>
                        <a:noFill/>
                      </a:ln>
                      <a:effectLst/>
                    </wps:spPr>
                    <wps:txbx>
                      <w:txbxContent>
                        <w:p>
                          <w:pPr>
                            <w:spacing w:line="220" w:lineRule="exact"/>
                            <w:ind w:left="20"/>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458.35pt;margin-top:35.2pt;height:11.05pt;width:65.35pt;mso-position-horizontal-relative:page;mso-position-vertical-relative:page;z-index:-251655168;mso-width-relative:page;mso-height-relative:page;" filled="f" stroked="f" coordsize="21600,21600" o:gfxdata="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O0AGnYAAAACgEAAA8AAAAAAAAAAQAgAAAAIgAAAGRycy9kb3ducmV2Lnht&#10;bFBLAQIUABQAAAAIAIdO4kBeV/iAwAEAAH8DAAAOAAAAAAAAAAEAIAAAACcBAABkcnMvZTJvRG9j&#10;LnhtbFBLBQYAAAAABgAGAFkBAABZBQAAAAA=&#10;">
              <v:fill on="f" focussize="0,0"/>
              <v:stroke on="f"/>
              <v:imagedata o:title=""/>
              <o:lock v:ext="edit" aspectratio="f"/>
              <v:textbox inset="0mm,0mm,0mm,0mm">
                <w:txbxContent>
                  <w:p>
                    <w:pPr>
                      <w:spacing w:line="220" w:lineRule="exact"/>
                      <w:ind w:left="20"/>
                      <w:jc w:val="left"/>
                      <w:rPr>
                        <w:sz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r>
      <mc:AlternateContent>
        <mc:Choice Requires="wps">
          <w:drawing>
            <wp:anchor distT="0" distB="0" distL="114300" distR="114300" simplePos="0" relativeHeight="251659264" behindDoc="1" locked="0" layoutInCell="1" allowOverlap="1">
              <wp:simplePos x="0" y="0"/>
              <wp:positionH relativeFrom="page">
                <wp:posOffset>5821045</wp:posOffset>
              </wp:positionH>
              <wp:positionV relativeFrom="page">
                <wp:posOffset>447040</wp:posOffset>
              </wp:positionV>
              <wp:extent cx="829945" cy="1403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29945" cy="140335"/>
                      </a:xfrm>
                      <a:prstGeom prst="rect">
                        <a:avLst/>
                      </a:prstGeom>
                      <a:noFill/>
                      <a:ln>
                        <a:noFill/>
                      </a:ln>
                      <a:effectLst/>
                    </wps:spPr>
                    <wps:txbx>
                      <w:txbxContent>
                        <w:p>
                          <w:pPr>
                            <w:spacing w:line="220" w:lineRule="exact"/>
                            <w:ind w:left="20"/>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458.35pt;margin-top:35.2pt;height:11.05pt;width:65.35pt;mso-position-horizontal-relative:page;mso-position-vertical-relative:page;z-index:-251657216;mso-width-relative:page;mso-height-relative:page;" filled="f" stroked="f" coordsize="21600,21600" o:gfxdata="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7QAadgAAAAKAQAADwAAAAAAAAABACAAAAAiAAAAZHJzL2Rvd25yZXYueG1s&#10;UEsBAhQAFAAAAAgAh07iQGnyeLu/AQAAfwMAAA4AAAAAAAAAAQAgAAAAJwEAAGRycy9lMm9Eb2Mu&#10;eG1sUEsFBgAAAAAGAAYAWQEAAFgFAAAAAA==&#10;">
              <v:fill on="f" focussize="0,0"/>
              <v:stroke on="f"/>
              <v:imagedata o:title=""/>
              <o:lock v:ext="edit" aspectratio="f"/>
              <v:textbox inset="0mm,0mm,0mm,0mm">
                <w:txbxContent>
                  <w:p>
                    <w:pPr>
                      <w:spacing w:line="220" w:lineRule="exact"/>
                      <w:ind w:left="20"/>
                      <w:jc w:val="left"/>
                      <w:rPr>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22426"/>
    <w:multiLevelType w:val="singleLevel"/>
    <w:tmpl w:val="82222426"/>
    <w:lvl w:ilvl="0" w:tentative="0">
      <w:start w:val="2"/>
      <w:numFmt w:val="chineseCounting"/>
      <w:suff w:val="nothing"/>
      <w:lvlText w:val="（%1）"/>
      <w:lvlJc w:val="left"/>
      <w:rPr>
        <w:rFonts w:hint="eastAsia"/>
      </w:rPr>
    </w:lvl>
  </w:abstractNum>
  <w:abstractNum w:abstractNumId="1">
    <w:nsid w:val="E210DF82"/>
    <w:multiLevelType w:val="singleLevel"/>
    <w:tmpl w:val="E210DF82"/>
    <w:lvl w:ilvl="0" w:tentative="0">
      <w:start w:val="1"/>
      <w:numFmt w:val="decimal"/>
      <w:lvlText w:val="%1."/>
      <w:lvlJc w:val="left"/>
      <w:pPr>
        <w:tabs>
          <w:tab w:val="left" w:pos="312"/>
        </w:tabs>
      </w:pPr>
    </w:lvl>
  </w:abstractNum>
  <w:abstractNum w:abstractNumId="2">
    <w:nsid w:val="F5E6AE52"/>
    <w:multiLevelType w:val="singleLevel"/>
    <w:tmpl w:val="F5E6AE52"/>
    <w:lvl w:ilvl="0" w:tentative="0">
      <w:start w:val="1"/>
      <w:numFmt w:val="chineseCounting"/>
      <w:suff w:val="nothing"/>
      <w:lvlText w:val="%1、"/>
      <w:lvlJc w:val="left"/>
      <w:rPr>
        <w:rFonts w:hint="eastAsia"/>
      </w:rPr>
    </w:lvl>
  </w:abstractNum>
  <w:abstractNum w:abstractNumId="3">
    <w:nsid w:val="1A1888DE"/>
    <w:multiLevelType w:val="singleLevel"/>
    <w:tmpl w:val="1A1888DE"/>
    <w:lvl w:ilvl="0" w:tentative="0">
      <w:start w:val="5"/>
      <w:numFmt w:val="chineseCounting"/>
      <w:suff w:val="nothing"/>
      <w:lvlText w:val="（%1）"/>
      <w:lvlJc w:val="left"/>
      <w:rPr>
        <w:rFonts w:hint="eastAsia"/>
      </w:rPr>
    </w:lvl>
  </w:abstractNum>
  <w:abstractNum w:abstractNumId="4">
    <w:nsid w:val="46A8716A"/>
    <w:multiLevelType w:val="multilevel"/>
    <w:tmpl w:val="46A8716A"/>
    <w:lvl w:ilvl="0" w:tentative="0">
      <w:start w:val="8"/>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6E581B8B"/>
    <w:multiLevelType w:val="singleLevel"/>
    <w:tmpl w:val="6E581B8B"/>
    <w:lvl w:ilvl="0" w:tentative="0">
      <w:start w:val="2"/>
      <w:numFmt w:val="decimal"/>
      <w:suff w:val="nothing"/>
      <w:lvlText w:val="（%1）"/>
      <w:lvlJc w:val="left"/>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MDJjNzgxNjVhMjAzYzBlMDczZTExYTQwNmE4MzEifQ=="/>
  </w:docVars>
  <w:rsids>
    <w:rsidRoot w:val="04516966"/>
    <w:rsid w:val="004A3368"/>
    <w:rsid w:val="026D2DA5"/>
    <w:rsid w:val="037D79A9"/>
    <w:rsid w:val="04516966"/>
    <w:rsid w:val="08792E85"/>
    <w:rsid w:val="09200A79"/>
    <w:rsid w:val="098919D5"/>
    <w:rsid w:val="0A5154D8"/>
    <w:rsid w:val="0B6A7F3A"/>
    <w:rsid w:val="0C732DA0"/>
    <w:rsid w:val="0DD142E4"/>
    <w:rsid w:val="0E6C0832"/>
    <w:rsid w:val="133108FD"/>
    <w:rsid w:val="1664266F"/>
    <w:rsid w:val="169B3651"/>
    <w:rsid w:val="178519A4"/>
    <w:rsid w:val="186F13F8"/>
    <w:rsid w:val="19F65379"/>
    <w:rsid w:val="1A0D4C9B"/>
    <w:rsid w:val="1B6D7998"/>
    <w:rsid w:val="1BD67951"/>
    <w:rsid w:val="1D9F677B"/>
    <w:rsid w:val="1FE95D1F"/>
    <w:rsid w:val="228209F8"/>
    <w:rsid w:val="239437D4"/>
    <w:rsid w:val="24F454CE"/>
    <w:rsid w:val="25897AC4"/>
    <w:rsid w:val="267B5AC6"/>
    <w:rsid w:val="283A5CAC"/>
    <w:rsid w:val="283A6E54"/>
    <w:rsid w:val="2AF97EF7"/>
    <w:rsid w:val="2BD3051F"/>
    <w:rsid w:val="2DAC09DA"/>
    <w:rsid w:val="2F633867"/>
    <w:rsid w:val="31923BED"/>
    <w:rsid w:val="336F0C77"/>
    <w:rsid w:val="34E940DB"/>
    <w:rsid w:val="361B462C"/>
    <w:rsid w:val="372622F8"/>
    <w:rsid w:val="38211BCD"/>
    <w:rsid w:val="393002E5"/>
    <w:rsid w:val="3A5A7755"/>
    <w:rsid w:val="3A5D2D2E"/>
    <w:rsid w:val="3AE30BC8"/>
    <w:rsid w:val="3B104C8D"/>
    <w:rsid w:val="3E6644F2"/>
    <w:rsid w:val="44033D21"/>
    <w:rsid w:val="4506438D"/>
    <w:rsid w:val="45876384"/>
    <w:rsid w:val="46350E6D"/>
    <w:rsid w:val="463F7792"/>
    <w:rsid w:val="464321B1"/>
    <w:rsid w:val="475F1C0D"/>
    <w:rsid w:val="487B0675"/>
    <w:rsid w:val="48D93691"/>
    <w:rsid w:val="4A2D159E"/>
    <w:rsid w:val="4A813327"/>
    <w:rsid w:val="4B2423BB"/>
    <w:rsid w:val="4B28062A"/>
    <w:rsid w:val="4D8B1635"/>
    <w:rsid w:val="4E034902"/>
    <w:rsid w:val="4FC06695"/>
    <w:rsid w:val="4FF511BA"/>
    <w:rsid w:val="50056C7F"/>
    <w:rsid w:val="50DD0462"/>
    <w:rsid w:val="52120E90"/>
    <w:rsid w:val="52472FD8"/>
    <w:rsid w:val="5348129C"/>
    <w:rsid w:val="54A413D8"/>
    <w:rsid w:val="55103083"/>
    <w:rsid w:val="56F54A6D"/>
    <w:rsid w:val="59652109"/>
    <w:rsid w:val="5AFE5C75"/>
    <w:rsid w:val="5BD23DFA"/>
    <w:rsid w:val="5BEA1E67"/>
    <w:rsid w:val="5C8F6AEA"/>
    <w:rsid w:val="5F487178"/>
    <w:rsid w:val="6004267C"/>
    <w:rsid w:val="60905BA4"/>
    <w:rsid w:val="617E77D6"/>
    <w:rsid w:val="61D94AC0"/>
    <w:rsid w:val="65E96648"/>
    <w:rsid w:val="65F31E15"/>
    <w:rsid w:val="684C04B5"/>
    <w:rsid w:val="69006B8C"/>
    <w:rsid w:val="6939109B"/>
    <w:rsid w:val="69802201"/>
    <w:rsid w:val="6E48306C"/>
    <w:rsid w:val="6E7444FE"/>
    <w:rsid w:val="6F0137F4"/>
    <w:rsid w:val="6F836B40"/>
    <w:rsid w:val="6FC23E79"/>
    <w:rsid w:val="70395AA3"/>
    <w:rsid w:val="706846F5"/>
    <w:rsid w:val="7269451F"/>
    <w:rsid w:val="74637891"/>
    <w:rsid w:val="75CE2385"/>
    <w:rsid w:val="79516753"/>
    <w:rsid w:val="7A7E538E"/>
    <w:rsid w:val="7CEF160D"/>
    <w:rsid w:val="7D5E0711"/>
    <w:rsid w:val="7ECE1D9E"/>
    <w:rsid w:val="7F587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9"/>
    <w:pPr>
      <w:keepNext/>
      <w:keepLines/>
      <w:spacing w:before="340" w:after="330" w:line="576" w:lineRule="auto"/>
      <w:outlineLvl w:val="0"/>
    </w:pPr>
    <w:rPr>
      <w:rFonts w:ascii="仿宋_GB2312" w:cs="Times New Roman"/>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qFormat/>
    <w:uiPriority w:val="9"/>
    <w:pPr>
      <w:keepNext/>
      <w:keepLines/>
      <w:spacing w:before="260" w:after="260" w:line="416" w:lineRule="auto"/>
      <w:outlineLvl w:val="2"/>
    </w:pPr>
    <w:rPr>
      <w:rFonts w:cs="Times New Roman"/>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1"/>
    <w:next w:val="6"/>
    <w:unhideWhenUsed/>
    <w:qFormat/>
    <w:uiPriority w:val="99"/>
    <w:pPr>
      <w:spacing w:before="100" w:beforeAutospacing="1" w:after="120"/>
    </w:pPr>
    <w:rPr>
      <w:rFonts w:cs="Times New Roman"/>
      <w:kern w:val="0"/>
      <w:sz w:val="20"/>
      <w:szCs w:val="20"/>
    </w:rPr>
  </w:style>
  <w:style w:type="paragraph" w:customStyle="1" w:styleId="6">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Body Text Indent"/>
    <w:basedOn w:val="1"/>
    <w:qFormat/>
    <w:uiPriority w:val="0"/>
    <w:pPr>
      <w:spacing w:after="120"/>
      <w:ind w:left="420" w:leftChars="200"/>
    </w:pPr>
  </w:style>
  <w:style w:type="paragraph" w:styleId="8">
    <w:name w:val="Plain Text"/>
    <w:basedOn w:val="1"/>
    <w:unhideWhenUsed/>
    <w:qFormat/>
    <w:uiPriority w:val="99"/>
    <w:rPr>
      <w:rFonts w:ascii="宋体" w:hAnsi="Courier New" w:cs="宋体"/>
      <w:b/>
      <w:bCs/>
      <w:kern w:val="0"/>
      <w:sz w:val="20"/>
      <w:szCs w:val="20"/>
    </w:rPr>
  </w:style>
  <w:style w:type="paragraph" w:styleId="9">
    <w:name w:val="footer"/>
    <w:basedOn w:val="1"/>
    <w:unhideWhenUsed/>
    <w:qFormat/>
    <w:uiPriority w:val="99"/>
    <w:pPr>
      <w:snapToGrid w:val="0"/>
      <w:jc w:val="left"/>
    </w:pPr>
    <w:rPr>
      <w:rFonts w:ascii="仿宋_GB2312" w:hAnsi="等线" w:cs="Times New Roman"/>
      <w:b/>
      <w:bCs/>
      <w:kern w:val="0"/>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Message Header"/>
    <w:basedOn w:val="1"/>
    <w:next w:val="1"/>
    <w:unhideWhenUsed/>
    <w:qFormat/>
    <w:uiPriority w:val="99"/>
    <w:pPr>
      <w:spacing w:before="100" w:beforeAutospacing="1" w:after="100" w:afterAutospacing="1"/>
      <w:ind w:left="1080" w:leftChars="500" w:hanging="1080" w:hangingChars="500"/>
    </w:pPr>
    <w:rPr>
      <w:rFonts w:ascii="Arial" w:hAnsi="Arial" w:cs="Times New Roman"/>
      <w:kern w:val="0"/>
      <w:sz w:val="24"/>
      <w:szCs w:val="24"/>
    </w:rPr>
  </w:style>
  <w:style w:type="paragraph" w:styleId="12">
    <w:name w:val="Normal (Web)"/>
    <w:basedOn w:val="1"/>
    <w:qFormat/>
    <w:uiPriority w:val="0"/>
    <w:rPr>
      <w:sz w:val="24"/>
    </w:rPr>
  </w:style>
  <w:style w:type="paragraph" w:styleId="13">
    <w:name w:val="Body Text First Indent"/>
    <w:basedOn w:val="5"/>
    <w:next w:val="14"/>
    <w:unhideWhenUsed/>
    <w:qFormat/>
    <w:uiPriority w:val="99"/>
    <w:pPr>
      <w:spacing w:before="0" w:beforeAutospacing="0"/>
      <w:ind w:firstLine="420" w:firstLineChars="100"/>
    </w:pPr>
    <w:rPr>
      <w:kern w:val="2"/>
      <w:sz w:val="21"/>
      <w:szCs w:val="21"/>
    </w:rPr>
  </w:style>
  <w:style w:type="paragraph" w:styleId="14">
    <w:name w:val="Body Text First Indent 2"/>
    <w:basedOn w:val="7"/>
    <w:next w:val="1"/>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character" w:styleId="17">
    <w:name w:val="FollowedHyperlink"/>
    <w:basedOn w:val="16"/>
    <w:qFormat/>
    <w:uiPriority w:val="0"/>
    <w:rPr>
      <w:color w:val="000000"/>
      <w:u w:val="none"/>
    </w:rPr>
  </w:style>
  <w:style w:type="character" w:styleId="18">
    <w:name w:val="Emphasis"/>
    <w:basedOn w:val="16"/>
    <w:qFormat/>
    <w:uiPriority w:val="0"/>
  </w:style>
  <w:style w:type="character" w:styleId="19">
    <w:name w:val="Hyperlink"/>
    <w:basedOn w:val="16"/>
    <w:unhideWhenUsed/>
    <w:qFormat/>
    <w:uiPriority w:val="99"/>
    <w:rPr>
      <w:color w:val="000000"/>
      <w:u w:val="none"/>
    </w:rPr>
  </w:style>
  <w:style w:type="paragraph" w:customStyle="1" w:styleId="20">
    <w:name w:val="！正文"/>
    <w:basedOn w:val="1"/>
    <w:qFormat/>
    <w:uiPriority w:val="0"/>
    <w:pPr>
      <w:spacing w:line="360" w:lineRule="auto"/>
    </w:pPr>
    <w:rPr>
      <w:rFonts w:ascii="Times New Roman"/>
      <w:sz w:val="20"/>
      <w:szCs w:val="24"/>
    </w:rPr>
  </w:style>
  <w:style w:type="paragraph" w:customStyle="1" w:styleId="21">
    <w:name w:val="_Style 10"/>
    <w:basedOn w:val="5"/>
    <w:next w:val="13"/>
    <w:qFormat/>
    <w:uiPriority w:val="0"/>
    <w:pPr>
      <w:spacing w:after="0"/>
      <w:ind w:firstLine="420" w:firstLineChars="100"/>
    </w:pPr>
  </w:style>
  <w:style w:type="paragraph" w:styleId="22">
    <w:name w:val="List Paragraph"/>
    <w:basedOn w:val="1"/>
    <w:qFormat/>
    <w:uiPriority w:val="34"/>
    <w:pPr>
      <w:ind w:firstLine="420" w:firstLineChars="200"/>
    </w:pPr>
  </w:style>
  <w:style w:type="character" w:customStyle="1" w:styleId="23">
    <w:name w:val="hover"/>
    <w:basedOn w:val="16"/>
    <w:qFormat/>
    <w:uiPriority w:val="0"/>
  </w:style>
  <w:style w:type="character" w:customStyle="1" w:styleId="24">
    <w:name w:val="green"/>
    <w:basedOn w:val="16"/>
    <w:qFormat/>
    <w:uiPriority w:val="0"/>
    <w:rPr>
      <w:color w:val="66AE00"/>
      <w:sz w:val="18"/>
      <w:szCs w:val="18"/>
    </w:rPr>
  </w:style>
  <w:style w:type="character" w:customStyle="1" w:styleId="25">
    <w:name w:val="red"/>
    <w:basedOn w:val="16"/>
    <w:qFormat/>
    <w:uiPriority w:val="0"/>
    <w:rPr>
      <w:color w:val="FF0000"/>
      <w:sz w:val="18"/>
      <w:szCs w:val="18"/>
    </w:rPr>
  </w:style>
  <w:style w:type="character" w:customStyle="1" w:styleId="26">
    <w:name w:val="red1"/>
    <w:basedOn w:val="16"/>
    <w:qFormat/>
    <w:uiPriority w:val="0"/>
    <w:rPr>
      <w:color w:val="66AE00"/>
      <w:sz w:val="18"/>
      <w:szCs w:val="18"/>
    </w:rPr>
  </w:style>
  <w:style w:type="character" w:customStyle="1" w:styleId="27">
    <w:name w:val="red2"/>
    <w:basedOn w:val="16"/>
    <w:qFormat/>
    <w:uiPriority w:val="0"/>
    <w:rPr>
      <w:color w:val="CC0000"/>
    </w:rPr>
  </w:style>
  <w:style w:type="character" w:customStyle="1" w:styleId="28">
    <w:name w:val="red3"/>
    <w:basedOn w:val="16"/>
    <w:qFormat/>
    <w:uiPriority w:val="0"/>
    <w:rPr>
      <w:color w:val="FF0000"/>
    </w:rPr>
  </w:style>
  <w:style w:type="character" w:customStyle="1" w:styleId="29">
    <w:name w:val="blue"/>
    <w:basedOn w:val="16"/>
    <w:qFormat/>
    <w:uiPriority w:val="0"/>
    <w:rPr>
      <w:color w:val="0371C6"/>
      <w:sz w:val="21"/>
      <w:szCs w:val="21"/>
    </w:rPr>
  </w:style>
  <w:style w:type="character" w:customStyle="1" w:styleId="30">
    <w:name w:val="active4"/>
    <w:basedOn w:val="16"/>
    <w:qFormat/>
    <w:uiPriority w:val="0"/>
    <w:rPr>
      <w:color w:val="FFFFFF"/>
      <w:shd w:val="clear" w:fill="2B7AFC"/>
    </w:rPr>
  </w:style>
  <w:style w:type="character" w:customStyle="1" w:styleId="31">
    <w:name w:val="gb-jt"/>
    <w:basedOn w:val="16"/>
    <w:qFormat/>
    <w:uiPriority w:val="0"/>
  </w:style>
  <w:style w:type="character" w:customStyle="1" w:styleId="32">
    <w:name w:val="right"/>
    <w:basedOn w:val="16"/>
    <w:qFormat/>
    <w:uiPriority w:val="0"/>
    <w:rPr>
      <w:color w:val="999999"/>
      <w:sz w:val="18"/>
      <w:szCs w:val="18"/>
    </w:rPr>
  </w:style>
  <w:style w:type="character" w:customStyle="1" w:styleId="33">
    <w:name w:val="green1"/>
    <w:basedOn w:val="16"/>
    <w:qFormat/>
    <w:uiPriority w:val="0"/>
    <w:rPr>
      <w:color w:val="66AE00"/>
      <w:sz w:val="18"/>
      <w:szCs w:val="18"/>
    </w:rPr>
  </w:style>
  <w:style w:type="character" w:customStyle="1" w:styleId="34">
    <w:name w:val="hover25"/>
    <w:basedOn w:val="16"/>
    <w:qFormat/>
    <w:uiPriority w:val="0"/>
  </w:style>
  <w:style w:type="character" w:customStyle="1" w:styleId="35">
    <w:name w:val="red4"/>
    <w:basedOn w:val="16"/>
    <w:qFormat/>
    <w:uiPriority w:val="0"/>
    <w:rPr>
      <w:color w:val="FF0000"/>
      <w:sz w:val="18"/>
      <w:szCs w:val="18"/>
    </w:rPr>
  </w:style>
  <w:style w:type="character" w:customStyle="1" w:styleId="36">
    <w:name w:val="red5"/>
    <w:basedOn w:val="16"/>
    <w:qFormat/>
    <w:uiPriority w:val="0"/>
    <w:rPr>
      <w:color w:val="FF0000"/>
      <w:sz w:val="18"/>
      <w:szCs w:val="18"/>
    </w:rPr>
  </w:style>
  <w:style w:type="character" w:customStyle="1" w:styleId="37">
    <w:name w:val="red6"/>
    <w:basedOn w:val="16"/>
    <w:qFormat/>
    <w:uiPriority w:val="0"/>
    <w:rPr>
      <w:color w:val="CC0000"/>
    </w:rPr>
  </w:style>
  <w:style w:type="character" w:customStyle="1" w:styleId="38">
    <w:name w:val="red7"/>
    <w:basedOn w:val="16"/>
    <w:qFormat/>
    <w:uiPriority w:val="0"/>
    <w:rPr>
      <w:color w:val="FF0000"/>
    </w:rPr>
  </w:style>
  <w:style w:type="character" w:customStyle="1" w:styleId="39">
    <w:name w:val="hover24"/>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42224</Words>
  <Characters>44769</Characters>
  <Lines>0</Lines>
  <Paragraphs>0</Paragraphs>
  <TotalTime>1</TotalTime>
  <ScaleCrop>false</ScaleCrop>
  <LinksUpToDate>false</LinksUpToDate>
  <CharactersWithSpaces>46571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重庆万信建设工程咨询有限公司:苏金龙</dc:creator>
  <cp:lastModifiedBy>河南蓝盾工程管理有限公司:朱志敏</cp:lastModifiedBy>
  <cp:lastPrinted>2022-08-31T04:38:00Z</cp:lastPrinted>
  <dcterms:modified xsi:type="dcterms:W3CDTF">2022-08-31T10:32:07Z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607F260D9DB24B58B3446284E0284A02</vt:lpwstr>
  </property>
</Properties>
</file>