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10" w:beforeAutospacing="0" w:after="210" w:afterAutospacing="0" w:line="360" w:lineRule="atLeast"/>
        <w:ind w:left="0" w:right="0" w:firstLine="0"/>
        <w:jc w:val="center"/>
        <w:rPr>
          <w:rFonts w:ascii="sans-serif" w:hAnsi="sans-serif" w:eastAsia="sans-serif" w:cs="sans-serif"/>
          <w:i w:val="0"/>
          <w:iCs w:val="0"/>
          <w:caps w:val="0"/>
          <w:color w:val="000000"/>
          <w:spacing w:val="0"/>
          <w:sz w:val="24"/>
          <w:szCs w:val="24"/>
        </w:rPr>
      </w:pPr>
      <w:r>
        <w:rPr>
          <w:rStyle w:val="5"/>
          <w:rFonts w:hint="eastAsia" w:ascii="宋体" w:hAnsi="宋体" w:eastAsia="宋体" w:cs="宋体"/>
          <w:b/>
          <w:bCs/>
          <w:i w:val="0"/>
          <w:iCs w:val="0"/>
          <w:caps w:val="0"/>
          <w:color w:val="000000"/>
          <w:spacing w:val="0"/>
          <w:sz w:val="36"/>
          <w:szCs w:val="36"/>
          <w:shd w:val="clear" w:fill="FFFFFF"/>
        </w:rPr>
        <w:t>长葛市国有建设用地使用权出让网上拍卖公告</w:t>
      </w:r>
    </w:p>
    <w:p>
      <w:pPr>
        <w:pStyle w:val="2"/>
        <w:keepNext w:val="0"/>
        <w:keepLines w:val="0"/>
        <w:widowControl/>
        <w:suppressLineNumbers w:val="0"/>
        <w:spacing w:before="210" w:beforeAutospacing="0" w:after="210" w:afterAutospacing="0" w:line="360" w:lineRule="atLeast"/>
        <w:ind w:left="0" w:right="0" w:firstLine="420"/>
        <w:jc w:val="center"/>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b/>
          <w:bCs/>
          <w:i w:val="0"/>
          <w:iCs w:val="0"/>
          <w:caps w:val="0"/>
          <w:color w:val="000000"/>
          <w:spacing w:val="0"/>
          <w:sz w:val="28"/>
          <w:szCs w:val="28"/>
          <w:shd w:val="clear" w:fill="FFFFFF"/>
        </w:rPr>
        <w:t>（长葛市网拍（2021）8号）</w:t>
      </w:r>
    </w:p>
    <w:p>
      <w:pPr>
        <w:pStyle w:val="2"/>
        <w:keepNext w:val="0"/>
        <w:keepLines w:val="0"/>
        <w:widowControl/>
        <w:suppressLineNumbers w:val="0"/>
        <w:spacing w:before="210" w:beforeAutospacing="0" w:after="210" w:afterAutospacing="0" w:line="360" w:lineRule="atLeast"/>
        <w:ind w:left="0" w:right="0" w:firstLine="42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经长葛市人民政府批准，长葛市自然资源和规划局决定以网上拍卖方式出让以下8（幅）地块的国有建设用地使用权，并指定长葛市地产交易中心组织实施。现将有关事项公告如下：</w:t>
      </w:r>
    </w:p>
    <w:p>
      <w:pPr>
        <w:pStyle w:val="2"/>
        <w:keepNext w:val="0"/>
        <w:keepLines w:val="0"/>
        <w:widowControl/>
        <w:suppressLineNumbers w:val="0"/>
        <w:spacing w:before="210" w:beforeAutospacing="0" w:after="210" w:afterAutospacing="0" w:line="360" w:lineRule="atLeast"/>
        <w:ind w:left="0" w:right="0" w:firstLine="420"/>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b/>
          <w:bCs/>
          <w:i w:val="0"/>
          <w:iCs w:val="0"/>
          <w:caps w:val="0"/>
          <w:color w:val="000000"/>
          <w:spacing w:val="0"/>
          <w:sz w:val="28"/>
          <w:szCs w:val="28"/>
          <w:shd w:val="clear" w:fill="FFFFFF"/>
        </w:rPr>
        <w:t>一、拍卖地块的基本情况和规划指标要求</w:t>
      </w:r>
    </w:p>
    <w:tbl>
      <w:tblPr>
        <w:tblW w:w="15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11"/>
        <w:gridCol w:w="1140"/>
        <w:gridCol w:w="1757"/>
        <w:gridCol w:w="1233"/>
        <w:gridCol w:w="1133"/>
        <w:gridCol w:w="1184"/>
        <w:gridCol w:w="1266"/>
        <w:gridCol w:w="834"/>
        <w:gridCol w:w="833"/>
        <w:gridCol w:w="917"/>
        <w:gridCol w:w="933"/>
        <w:gridCol w:w="1233"/>
        <w:gridCol w:w="1717"/>
        <w:gridCol w:w="1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11" w:type="dxa"/>
            <w:tcBorders>
              <w:top w:val="single" w:color="BBBBBB" w:sz="12" w:space="0"/>
              <w:left w:val="single" w:color="DDDDDD" w:sz="6" w:space="0"/>
              <w:bottom w:val="single" w:color="DDDDDD" w:sz="6" w:space="0"/>
              <w:right w:val="single" w:color="DDDDDD" w:sz="6" w:space="0"/>
            </w:tcBorders>
            <w:shd w:val="clear" w:color="auto" w:fill="F7F7F7"/>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序号</w:t>
            </w:r>
          </w:p>
        </w:tc>
        <w:tc>
          <w:tcPr>
            <w:tcW w:w="1140" w:type="dxa"/>
            <w:tcBorders>
              <w:top w:val="single" w:color="BBBBBB" w:sz="12" w:space="0"/>
              <w:left w:val="single" w:color="DDDDDD" w:sz="6" w:space="0"/>
              <w:bottom w:val="single" w:color="DDDDDD" w:sz="6" w:space="0"/>
              <w:right w:val="single" w:color="DDDDDD" w:sz="6" w:space="0"/>
            </w:tcBorders>
            <w:shd w:val="clear" w:color="auto" w:fill="F7F7F7"/>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地块编号</w:t>
            </w:r>
          </w:p>
        </w:tc>
        <w:tc>
          <w:tcPr>
            <w:tcW w:w="1757" w:type="dxa"/>
            <w:tcBorders>
              <w:top w:val="single" w:color="BBBBBB" w:sz="12" w:space="0"/>
              <w:left w:val="single" w:color="DDDDDD" w:sz="6" w:space="0"/>
              <w:bottom w:val="single" w:color="DDDDDD" w:sz="6" w:space="0"/>
              <w:right w:val="single" w:color="DDDDDD" w:sz="6" w:space="0"/>
            </w:tcBorders>
            <w:shd w:val="clear" w:color="auto" w:fill="F7F7F7"/>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土地位置</w:t>
            </w:r>
          </w:p>
        </w:tc>
        <w:tc>
          <w:tcPr>
            <w:tcW w:w="1233" w:type="dxa"/>
            <w:tcBorders>
              <w:top w:val="single" w:color="BBBBBB" w:sz="12" w:space="0"/>
              <w:left w:val="single" w:color="DDDDDD" w:sz="6" w:space="0"/>
              <w:bottom w:val="single" w:color="DDDDDD" w:sz="6" w:space="0"/>
              <w:right w:val="single" w:color="DDDDDD" w:sz="6" w:space="0"/>
            </w:tcBorders>
            <w:shd w:val="clear" w:color="auto" w:fill="F7F7F7"/>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宗地面积（㎡、亩）</w:t>
            </w:r>
          </w:p>
        </w:tc>
        <w:tc>
          <w:tcPr>
            <w:tcW w:w="1133" w:type="dxa"/>
            <w:tcBorders>
              <w:top w:val="single" w:color="BBBBBB" w:sz="12" w:space="0"/>
              <w:left w:val="single" w:color="DDDDDD" w:sz="6" w:space="0"/>
              <w:bottom w:val="single" w:color="DDDDDD" w:sz="6" w:space="0"/>
              <w:right w:val="single" w:color="DDDDDD" w:sz="6" w:space="0"/>
            </w:tcBorders>
            <w:shd w:val="clear" w:color="auto" w:fill="F7F7F7"/>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出让面积（㎡、亩）</w:t>
            </w:r>
          </w:p>
        </w:tc>
        <w:tc>
          <w:tcPr>
            <w:tcW w:w="1184" w:type="dxa"/>
            <w:tcBorders>
              <w:top w:val="single" w:color="BBBBBB" w:sz="12" w:space="0"/>
              <w:left w:val="single" w:color="DDDDDD" w:sz="6" w:space="0"/>
              <w:bottom w:val="single" w:color="DDDDDD" w:sz="6" w:space="0"/>
              <w:right w:val="single" w:color="DDDDDD" w:sz="6" w:space="0"/>
            </w:tcBorders>
            <w:shd w:val="clear" w:color="auto" w:fill="F7F7F7"/>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土地用途</w:t>
            </w:r>
          </w:p>
        </w:tc>
        <w:tc>
          <w:tcPr>
            <w:tcW w:w="1266" w:type="dxa"/>
            <w:tcBorders>
              <w:top w:val="single" w:color="BBBBBB" w:sz="12" w:space="0"/>
              <w:left w:val="single" w:color="DDDDDD" w:sz="6" w:space="0"/>
              <w:bottom w:val="single" w:color="DDDDDD" w:sz="6" w:space="0"/>
              <w:right w:val="single" w:color="DDDDDD" w:sz="6" w:space="0"/>
            </w:tcBorders>
            <w:shd w:val="clear" w:color="auto" w:fill="F7F7F7"/>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出让年限</w:t>
            </w:r>
          </w:p>
        </w:tc>
        <w:tc>
          <w:tcPr>
            <w:tcW w:w="834" w:type="dxa"/>
            <w:tcBorders>
              <w:top w:val="single" w:color="BBBBBB" w:sz="12" w:space="0"/>
              <w:left w:val="single" w:color="DDDDDD" w:sz="6" w:space="0"/>
              <w:bottom w:val="single" w:color="DDDDDD" w:sz="6" w:space="0"/>
              <w:right w:val="single" w:color="DDDDDD" w:sz="6" w:space="0"/>
            </w:tcBorders>
            <w:shd w:val="clear" w:color="auto" w:fill="F7F7F7"/>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容积率</w:t>
            </w:r>
          </w:p>
        </w:tc>
        <w:tc>
          <w:tcPr>
            <w:tcW w:w="833" w:type="dxa"/>
            <w:tcBorders>
              <w:top w:val="single" w:color="BBBBBB" w:sz="12" w:space="0"/>
              <w:left w:val="single" w:color="DDDDDD" w:sz="6" w:space="0"/>
              <w:bottom w:val="single" w:color="DDDDDD" w:sz="6" w:space="0"/>
              <w:right w:val="single" w:color="DDDDDD" w:sz="6" w:space="0"/>
            </w:tcBorders>
            <w:shd w:val="clear" w:color="auto" w:fill="F7F7F7"/>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建筑密度</w:t>
            </w:r>
          </w:p>
        </w:tc>
        <w:tc>
          <w:tcPr>
            <w:tcW w:w="917" w:type="dxa"/>
            <w:tcBorders>
              <w:top w:val="single" w:color="BBBBBB" w:sz="12" w:space="0"/>
              <w:left w:val="single" w:color="DDDDDD" w:sz="6" w:space="0"/>
              <w:bottom w:val="single" w:color="DDDDDD" w:sz="6" w:space="0"/>
              <w:right w:val="single" w:color="DDDDDD" w:sz="6" w:space="0"/>
            </w:tcBorders>
            <w:shd w:val="clear" w:color="auto" w:fill="F7F7F7"/>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绿地率</w:t>
            </w:r>
          </w:p>
        </w:tc>
        <w:tc>
          <w:tcPr>
            <w:tcW w:w="933" w:type="dxa"/>
            <w:tcBorders>
              <w:top w:val="single" w:color="BBBBBB" w:sz="12" w:space="0"/>
              <w:left w:val="single" w:color="DDDDDD" w:sz="6" w:space="0"/>
              <w:bottom w:val="single" w:color="DDDDDD" w:sz="6" w:space="0"/>
              <w:right w:val="single" w:color="DDDDDD" w:sz="6" w:space="0"/>
            </w:tcBorders>
            <w:shd w:val="clear" w:color="auto" w:fill="F7F7F7"/>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建筑限高（米）</w:t>
            </w:r>
          </w:p>
        </w:tc>
        <w:tc>
          <w:tcPr>
            <w:tcW w:w="1233" w:type="dxa"/>
            <w:tcBorders>
              <w:top w:val="single" w:color="BBBBBB" w:sz="12" w:space="0"/>
              <w:left w:val="single" w:color="DDDDDD" w:sz="6" w:space="0"/>
              <w:bottom w:val="single" w:color="DDDDDD" w:sz="6" w:space="0"/>
              <w:right w:val="single" w:color="DDDDDD" w:sz="6" w:space="0"/>
            </w:tcBorders>
            <w:shd w:val="clear" w:color="auto" w:fill="F7F7F7"/>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aps w:val="0"/>
                <w:color w:val="000000"/>
                <w:spacing w:val="0"/>
                <w:sz w:val="21"/>
                <w:szCs w:val="21"/>
              </w:rPr>
            </w:pPr>
            <w:r>
              <w:rPr>
                <w:rFonts w:hint="eastAsia" w:ascii="仿宋" w:hAnsi="仿宋" w:eastAsia="仿宋" w:cs="仿宋"/>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0</wp:posOffset>
                  </wp:positionV>
                  <wp:extent cx="619125" cy="381000"/>
                  <wp:effectExtent l="0" t="0" r="0" b="0"/>
                  <wp:wrapNone/>
                  <wp:docPr id="174" name="Host_Control__3_SpCnt_2"/>
                  <wp:cNvGraphicFramePr/>
                  <a:graphic xmlns:a="http://schemas.openxmlformats.org/drawingml/2006/main">
                    <a:graphicData uri="http://schemas.openxmlformats.org/drawingml/2006/picture">
                      <pic:pic xmlns:pic="http://schemas.openxmlformats.org/drawingml/2006/picture">
                        <pic:nvPicPr>
                          <pic:cNvPr id="174" name="Host_Control__3_SpCnt_2"/>
                          <pic:cNvPicPr/>
                        </pic:nvPicPr>
                        <pic:blipFill>
                          <a:blip r:embed="rId4"/>
                          <a:stretch>
                            <a:fillRect/>
                          </a:stretch>
                        </pic:blipFill>
                        <pic:spPr>
                          <a:xfrm>
                            <a:off x="0" y="0"/>
                            <a:ext cx="619125" cy="38100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0</wp:posOffset>
                  </wp:positionV>
                  <wp:extent cx="619125" cy="381000"/>
                  <wp:effectExtent l="0" t="0" r="0" b="0"/>
                  <wp:wrapNone/>
                  <wp:docPr id="175" name="Host_Control__3_SpCnt_3"/>
                  <wp:cNvGraphicFramePr/>
                  <a:graphic xmlns:a="http://schemas.openxmlformats.org/drawingml/2006/main">
                    <a:graphicData uri="http://schemas.openxmlformats.org/drawingml/2006/picture">
                      <pic:pic xmlns:pic="http://schemas.openxmlformats.org/drawingml/2006/picture">
                        <pic:nvPicPr>
                          <pic:cNvPr id="175" name="Host_Control__3_SpCnt_3"/>
                          <pic:cNvPicPr/>
                        </pic:nvPicPr>
                        <pic:blipFill>
                          <a:blip r:embed="rId4"/>
                          <a:stretch>
                            <a:fillRect/>
                          </a:stretch>
                        </pic:blipFill>
                        <pic:spPr>
                          <a:xfrm>
                            <a:off x="0" y="0"/>
                            <a:ext cx="619125" cy="38100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0</wp:posOffset>
                  </wp:positionV>
                  <wp:extent cx="619125" cy="381000"/>
                  <wp:effectExtent l="0" t="0" r="0" b="0"/>
                  <wp:wrapNone/>
                  <wp:docPr id="176" name="Host_Control__3_SpCnt_4"/>
                  <wp:cNvGraphicFramePr/>
                  <a:graphic xmlns:a="http://schemas.openxmlformats.org/drawingml/2006/main">
                    <a:graphicData uri="http://schemas.openxmlformats.org/drawingml/2006/picture">
                      <pic:pic xmlns:pic="http://schemas.openxmlformats.org/drawingml/2006/picture">
                        <pic:nvPicPr>
                          <pic:cNvPr id="176" name="Host_Control__3_SpCnt_4"/>
                          <pic:cNvPicPr/>
                        </pic:nvPicPr>
                        <pic:blipFill>
                          <a:blip r:embed="rId4"/>
                          <a:stretch>
                            <a:fillRect/>
                          </a:stretch>
                        </pic:blipFill>
                        <pic:spPr>
                          <a:xfrm>
                            <a:off x="0" y="0"/>
                            <a:ext cx="619125" cy="38100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0</wp:posOffset>
                  </wp:positionV>
                  <wp:extent cx="619125" cy="381000"/>
                  <wp:effectExtent l="0" t="0" r="0" b="0"/>
                  <wp:wrapNone/>
                  <wp:docPr id="177" name="Host_Control__3_SpCnt_5"/>
                  <wp:cNvGraphicFramePr/>
                  <a:graphic xmlns:a="http://schemas.openxmlformats.org/drawingml/2006/main">
                    <a:graphicData uri="http://schemas.openxmlformats.org/drawingml/2006/picture">
                      <pic:pic xmlns:pic="http://schemas.openxmlformats.org/drawingml/2006/picture">
                        <pic:nvPicPr>
                          <pic:cNvPr id="177" name="Host_Control__3_SpCnt_5"/>
                          <pic:cNvPicPr/>
                        </pic:nvPicPr>
                        <pic:blipFill>
                          <a:blip r:embed="rId4"/>
                          <a:stretch>
                            <a:fillRect/>
                          </a:stretch>
                        </pic:blipFill>
                        <pic:spPr>
                          <a:xfrm>
                            <a:off x="0" y="0"/>
                            <a:ext cx="619125" cy="38100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0</wp:posOffset>
                  </wp:positionV>
                  <wp:extent cx="619125" cy="381000"/>
                  <wp:effectExtent l="0" t="0" r="0" b="0"/>
                  <wp:wrapNone/>
                  <wp:docPr id="178" name="Host_Control__3_SpCnt_6"/>
                  <wp:cNvGraphicFramePr/>
                  <a:graphic xmlns:a="http://schemas.openxmlformats.org/drawingml/2006/main">
                    <a:graphicData uri="http://schemas.openxmlformats.org/drawingml/2006/picture">
                      <pic:pic xmlns:pic="http://schemas.openxmlformats.org/drawingml/2006/picture">
                        <pic:nvPicPr>
                          <pic:cNvPr id="178" name="Host_Control__3_SpCnt_6"/>
                          <pic:cNvPicPr/>
                        </pic:nvPicPr>
                        <pic:blipFill>
                          <a:blip r:embed="rId4"/>
                          <a:stretch>
                            <a:fillRect/>
                          </a:stretch>
                        </pic:blipFill>
                        <pic:spPr>
                          <a:xfrm>
                            <a:off x="0" y="0"/>
                            <a:ext cx="619125" cy="38100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0</wp:posOffset>
                  </wp:positionV>
                  <wp:extent cx="619125" cy="381000"/>
                  <wp:effectExtent l="0" t="0" r="0" b="0"/>
                  <wp:wrapNone/>
                  <wp:docPr id="179" name="Host_Control__3_SpCnt_7"/>
                  <wp:cNvGraphicFramePr/>
                  <a:graphic xmlns:a="http://schemas.openxmlformats.org/drawingml/2006/main">
                    <a:graphicData uri="http://schemas.openxmlformats.org/drawingml/2006/picture">
                      <pic:pic xmlns:pic="http://schemas.openxmlformats.org/drawingml/2006/picture">
                        <pic:nvPicPr>
                          <pic:cNvPr id="179" name="Host_Control__3_SpCnt_7"/>
                          <pic:cNvPicPr/>
                        </pic:nvPicPr>
                        <pic:blipFill>
                          <a:blip r:embed="rId4"/>
                          <a:stretch>
                            <a:fillRect/>
                          </a:stretch>
                        </pic:blipFill>
                        <pic:spPr>
                          <a:xfrm>
                            <a:off x="0" y="0"/>
                            <a:ext cx="619125" cy="38100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0</wp:posOffset>
                  </wp:positionV>
                  <wp:extent cx="619125" cy="381000"/>
                  <wp:effectExtent l="0" t="0" r="0" b="0"/>
                  <wp:wrapNone/>
                  <wp:docPr id="180" name="Host_Control__3_SpCnt_8"/>
                  <wp:cNvGraphicFramePr/>
                  <a:graphic xmlns:a="http://schemas.openxmlformats.org/drawingml/2006/main">
                    <a:graphicData uri="http://schemas.openxmlformats.org/drawingml/2006/picture">
                      <pic:pic xmlns:pic="http://schemas.openxmlformats.org/drawingml/2006/picture">
                        <pic:nvPicPr>
                          <pic:cNvPr id="180" name="Host_Control__3_SpCnt_8"/>
                          <pic:cNvPicPr/>
                        </pic:nvPicPr>
                        <pic:blipFill>
                          <a:blip r:embed="rId4"/>
                          <a:stretch>
                            <a:fillRect/>
                          </a:stretch>
                        </pic:blipFill>
                        <pic:spPr>
                          <a:xfrm>
                            <a:off x="0" y="0"/>
                            <a:ext cx="619125" cy="38100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0</wp:posOffset>
                  </wp:positionV>
                  <wp:extent cx="619125" cy="381000"/>
                  <wp:effectExtent l="0" t="0" r="0" b="0"/>
                  <wp:wrapNone/>
                  <wp:docPr id="181" name="Host_Control__3_SpCnt_9"/>
                  <wp:cNvGraphicFramePr/>
                  <a:graphic xmlns:a="http://schemas.openxmlformats.org/drawingml/2006/main">
                    <a:graphicData uri="http://schemas.openxmlformats.org/drawingml/2006/picture">
                      <pic:pic xmlns:pic="http://schemas.openxmlformats.org/drawingml/2006/picture">
                        <pic:nvPicPr>
                          <pic:cNvPr id="181" name="Host_Control__3_SpCnt_9"/>
                          <pic:cNvPicPr/>
                        </pic:nvPicPr>
                        <pic:blipFill>
                          <a:blip r:embed="rId4"/>
                          <a:stretch>
                            <a:fillRect/>
                          </a:stretch>
                        </pic:blipFill>
                        <pic:spPr>
                          <a:xfrm>
                            <a:off x="0" y="0"/>
                            <a:ext cx="619125" cy="38100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0</wp:posOffset>
                  </wp:positionV>
                  <wp:extent cx="619125" cy="381000"/>
                  <wp:effectExtent l="0" t="0" r="0" b="0"/>
                  <wp:wrapNone/>
                  <wp:docPr id="182" name="Host_Control__3_SpCnt_10"/>
                  <wp:cNvGraphicFramePr/>
                  <a:graphic xmlns:a="http://schemas.openxmlformats.org/drawingml/2006/main">
                    <a:graphicData uri="http://schemas.openxmlformats.org/drawingml/2006/picture">
                      <pic:pic xmlns:pic="http://schemas.openxmlformats.org/drawingml/2006/picture">
                        <pic:nvPicPr>
                          <pic:cNvPr id="182" name="Host_Control__3_SpCnt_10"/>
                          <pic:cNvPicPr/>
                        </pic:nvPicPr>
                        <pic:blipFill>
                          <a:blip r:embed="rId4"/>
                          <a:stretch>
                            <a:fillRect/>
                          </a:stretch>
                        </pic:blipFill>
                        <pic:spPr>
                          <a:xfrm>
                            <a:off x="0" y="0"/>
                            <a:ext cx="619125" cy="38100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0</wp:posOffset>
                  </wp:positionV>
                  <wp:extent cx="619125" cy="381000"/>
                  <wp:effectExtent l="0" t="0" r="0" b="0"/>
                  <wp:wrapNone/>
                  <wp:docPr id="183" name="Host_Control__3_SpCnt_11"/>
                  <wp:cNvGraphicFramePr/>
                  <a:graphic xmlns:a="http://schemas.openxmlformats.org/drawingml/2006/main">
                    <a:graphicData uri="http://schemas.openxmlformats.org/drawingml/2006/picture">
                      <pic:pic xmlns:pic="http://schemas.openxmlformats.org/drawingml/2006/picture">
                        <pic:nvPicPr>
                          <pic:cNvPr id="183" name="Host_Control__3_SpCnt_11"/>
                          <pic:cNvPicPr/>
                        </pic:nvPicPr>
                        <pic:blipFill>
                          <a:blip r:embed="rId4"/>
                          <a:stretch>
                            <a:fillRect/>
                          </a:stretch>
                        </pic:blipFill>
                        <pic:spPr>
                          <a:xfrm>
                            <a:off x="0" y="0"/>
                            <a:ext cx="619125" cy="38100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lang w:val="en-US" w:eastAsia="zh-CN" w:bidi="ar"/>
              </w:rPr>
              <w:t>有无底价</w:t>
            </w:r>
          </w:p>
        </w:tc>
        <w:tc>
          <w:tcPr>
            <w:tcW w:w="1717" w:type="dxa"/>
            <w:tcBorders>
              <w:top w:val="single" w:color="BBBBBB" w:sz="12" w:space="0"/>
              <w:left w:val="single" w:color="DDDDDD" w:sz="6" w:space="0"/>
              <w:bottom w:val="single" w:color="DDDDDD" w:sz="6" w:space="0"/>
              <w:right w:val="single" w:color="DDDDDD" w:sz="6" w:space="0"/>
            </w:tcBorders>
            <w:shd w:val="clear" w:color="auto" w:fill="F7F7F7"/>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起始价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保证金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增价幅度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（万元）</w:t>
            </w:r>
          </w:p>
        </w:tc>
        <w:tc>
          <w:tcPr>
            <w:tcW w:w="1089" w:type="dxa"/>
            <w:tcBorders>
              <w:top w:val="single" w:color="BBBBBB" w:sz="12" w:space="0"/>
              <w:left w:val="single" w:color="DDDDDD" w:sz="6" w:space="0"/>
              <w:bottom w:val="single" w:color="DDDDDD" w:sz="6" w:space="0"/>
              <w:right w:val="single" w:color="DDDDDD" w:sz="6" w:space="0"/>
            </w:tcBorders>
            <w:shd w:val="clear" w:color="auto" w:fill="F7F7F7"/>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aps w:val="0"/>
                <w:color w:val="000000"/>
                <w:spacing w:val="0"/>
                <w:sz w:val="21"/>
                <w:szCs w:val="21"/>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142875</wp:posOffset>
                  </wp:positionH>
                  <wp:positionV relativeFrom="paragraph">
                    <wp:posOffset>346710</wp:posOffset>
                  </wp:positionV>
                  <wp:extent cx="619125" cy="381000"/>
                  <wp:effectExtent l="0" t="0" r="0" b="0"/>
                  <wp:wrapNone/>
                  <wp:docPr id="250" name="Host_Control__3_SpCnt_54"/>
                  <wp:cNvGraphicFramePr/>
                  <a:graphic xmlns:a="http://schemas.openxmlformats.org/drawingml/2006/main">
                    <a:graphicData uri="http://schemas.openxmlformats.org/drawingml/2006/picture">
                      <pic:pic xmlns:pic="http://schemas.openxmlformats.org/drawingml/2006/picture">
                        <pic:nvPicPr>
                          <pic:cNvPr id="250" name="Host_Control__3_SpCnt_54"/>
                          <pic:cNvPicPr/>
                        </pic:nvPicPr>
                        <pic:blipFill>
                          <a:blip r:embed="rId5"/>
                          <a:stretch>
                            <a:fillRect/>
                          </a:stretch>
                        </pic:blipFill>
                        <pic:spPr>
                          <a:xfrm>
                            <a:off x="0" y="0"/>
                            <a:ext cx="619125" cy="3810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777875</wp:posOffset>
                  </wp:positionH>
                  <wp:positionV relativeFrom="paragraph">
                    <wp:posOffset>551180</wp:posOffset>
                  </wp:positionV>
                  <wp:extent cx="619125" cy="381000"/>
                  <wp:effectExtent l="0" t="0" r="0" b="0"/>
                  <wp:wrapNone/>
                  <wp:docPr id="251" name="Host_Control__3_SpCnt_55"/>
                  <wp:cNvGraphicFramePr/>
                  <a:graphic xmlns:a="http://schemas.openxmlformats.org/drawingml/2006/main">
                    <a:graphicData uri="http://schemas.openxmlformats.org/drawingml/2006/picture">
                      <pic:pic xmlns:pic="http://schemas.openxmlformats.org/drawingml/2006/picture">
                        <pic:nvPicPr>
                          <pic:cNvPr id="251" name="Host_Control__3_SpCnt_55"/>
                          <pic:cNvPicPr/>
                        </pic:nvPicPr>
                        <pic:blipFill>
                          <a:blip r:embed="rId4"/>
                          <a:stretch>
                            <a:fillRect/>
                          </a:stretch>
                        </pic:blipFill>
                        <pic:spPr>
                          <a:xfrm>
                            <a:off x="0" y="0"/>
                            <a:ext cx="619125" cy="38100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lang w:val="en-US" w:eastAsia="zh-CN" w:bidi="ar"/>
              </w:rPr>
              <w:t>土地开发程度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7" w:hRule="atLeast"/>
        </w:trPr>
        <w:tc>
          <w:tcPr>
            <w:tcW w:w="51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2021-24#</w:t>
            </w:r>
          </w:p>
        </w:tc>
        <w:tc>
          <w:tcPr>
            <w:tcW w:w="175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新华路北侧、八七路南侧</w:t>
            </w:r>
          </w:p>
        </w:tc>
        <w:tc>
          <w:tcPr>
            <w:tcW w:w="12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72243.06</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（108.36）</w:t>
            </w:r>
          </w:p>
        </w:tc>
        <w:tc>
          <w:tcPr>
            <w:tcW w:w="11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62762.45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（94.14）</w:t>
            </w:r>
          </w:p>
        </w:tc>
        <w:tc>
          <w:tcPr>
            <w:tcW w:w="118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居住兼容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商业用地</w:t>
            </w:r>
          </w:p>
        </w:tc>
        <w:tc>
          <w:tcPr>
            <w:tcW w:w="126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olor w:val="333333"/>
                <w:kern w:val="0"/>
                <w:sz w:val="20"/>
                <w:szCs w:val="20"/>
                <w:u w:val="none"/>
                <w:lang w:val="en-US" w:eastAsia="zh-CN" w:bidi="ar"/>
              </w:rPr>
              <w:t>居住70年、商业40年</w:t>
            </w:r>
          </w:p>
        </w:tc>
        <w:tc>
          <w:tcPr>
            <w:tcW w:w="83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≤1.6</w:t>
            </w:r>
          </w:p>
        </w:tc>
        <w:tc>
          <w:tcPr>
            <w:tcW w:w="8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≤30%</w:t>
            </w:r>
          </w:p>
        </w:tc>
        <w:tc>
          <w:tcPr>
            <w:tcW w:w="91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≥35%</w:t>
            </w:r>
          </w:p>
        </w:tc>
        <w:tc>
          <w:tcPr>
            <w:tcW w:w="9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＜54</w:t>
            </w:r>
          </w:p>
        </w:tc>
        <w:tc>
          <w:tcPr>
            <w:tcW w:w="12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有底价</w:t>
            </w:r>
          </w:p>
        </w:tc>
        <w:tc>
          <w:tcPr>
            <w:tcW w:w="171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13050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7830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135</w:t>
            </w:r>
          </w:p>
        </w:tc>
        <w:tc>
          <w:tcPr>
            <w:tcW w:w="108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olor w:val="000000"/>
                <w:kern w:val="0"/>
                <w:sz w:val="18"/>
                <w:szCs w:val="18"/>
                <w:u w:val="none"/>
                <w:lang w:val="en-US" w:eastAsia="zh-CN" w:bidi="ar"/>
              </w:rPr>
              <w:t>三通一平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4" w:hRule="atLeast"/>
        </w:trPr>
        <w:tc>
          <w:tcPr>
            <w:tcW w:w="51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olor w:val="000000"/>
                <w:kern w:val="0"/>
                <w:sz w:val="18"/>
                <w:szCs w:val="18"/>
                <w:u w:val="none"/>
                <w:lang w:val="en-US" w:eastAsia="zh-CN" w:bidi="ar"/>
              </w:rPr>
              <w:t>2</w:t>
            </w:r>
          </w:p>
        </w:tc>
        <w:tc>
          <w:tcPr>
            <w:tcW w:w="114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2021-25#</w:t>
            </w:r>
          </w:p>
        </w:tc>
        <w:tc>
          <w:tcPr>
            <w:tcW w:w="175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前进路西侧、规划钟亭路南侧</w:t>
            </w:r>
          </w:p>
        </w:tc>
        <w:tc>
          <w:tcPr>
            <w:tcW w:w="12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66897.34</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（100.35）</w:t>
            </w:r>
          </w:p>
        </w:tc>
        <w:tc>
          <w:tcPr>
            <w:tcW w:w="11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52931.5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（79.4）</w:t>
            </w:r>
          </w:p>
        </w:tc>
        <w:tc>
          <w:tcPr>
            <w:tcW w:w="118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居住兼容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商业用地</w:t>
            </w:r>
          </w:p>
        </w:tc>
        <w:tc>
          <w:tcPr>
            <w:tcW w:w="126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olor w:val="333333"/>
                <w:kern w:val="0"/>
                <w:sz w:val="20"/>
                <w:szCs w:val="20"/>
                <w:u w:val="none"/>
                <w:lang w:val="en-US" w:eastAsia="zh-CN" w:bidi="ar"/>
              </w:rPr>
              <w:t>居住70年、商业40年</w:t>
            </w:r>
          </w:p>
        </w:tc>
        <w:tc>
          <w:tcPr>
            <w:tcW w:w="83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≤1.8</w:t>
            </w:r>
          </w:p>
        </w:tc>
        <w:tc>
          <w:tcPr>
            <w:tcW w:w="8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≤30%</w:t>
            </w:r>
          </w:p>
        </w:tc>
        <w:tc>
          <w:tcPr>
            <w:tcW w:w="91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≥35%</w:t>
            </w:r>
          </w:p>
        </w:tc>
        <w:tc>
          <w:tcPr>
            <w:tcW w:w="9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＜54</w:t>
            </w:r>
          </w:p>
        </w:tc>
        <w:tc>
          <w:tcPr>
            <w:tcW w:w="12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olor w:val="000000"/>
                <w:kern w:val="0"/>
                <w:sz w:val="18"/>
                <w:szCs w:val="18"/>
                <w:u w:val="none"/>
                <w:lang w:val="en-US" w:eastAsia="zh-CN" w:bidi="ar"/>
              </w:rPr>
              <w:t>有底价</w:t>
            </w:r>
          </w:p>
        </w:tc>
        <w:tc>
          <w:tcPr>
            <w:tcW w:w="171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13100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7860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135</w:t>
            </w:r>
          </w:p>
        </w:tc>
        <w:tc>
          <w:tcPr>
            <w:tcW w:w="108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olor w:val="000000"/>
                <w:kern w:val="0"/>
                <w:sz w:val="18"/>
                <w:szCs w:val="18"/>
                <w:u w:val="none"/>
                <w:lang w:val="en-US" w:eastAsia="zh-CN" w:bidi="ar"/>
              </w:rPr>
              <w:t>三通一平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1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olor w:val="000000"/>
                <w:kern w:val="0"/>
                <w:sz w:val="18"/>
                <w:szCs w:val="18"/>
                <w:u w:val="none"/>
                <w:lang w:val="en-US" w:eastAsia="zh-CN" w:bidi="ar"/>
              </w:rPr>
              <w:t>3</w:t>
            </w:r>
          </w:p>
        </w:tc>
        <w:tc>
          <w:tcPr>
            <w:tcW w:w="114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2021-26#</w:t>
            </w:r>
          </w:p>
        </w:tc>
        <w:tc>
          <w:tcPr>
            <w:tcW w:w="175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丰收路东侧、规划钟亭路南侧</w:t>
            </w:r>
          </w:p>
        </w:tc>
        <w:tc>
          <w:tcPr>
            <w:tcW w:w="12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48688.54</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（73.03）</w:t>
            </w:r>
          </w:p>
        </w:tc>
        <w:tc>
          <w:tcPr>
            <w:tcW w:w="11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46069.22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（69.1）</w:t>
            </w:r>
          </w:p>
        </w:tc>
        <w:tc>
          <w:tcPr>
            <w:tcW w:w="118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居住兼容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商业用地</w:t>
            </w:r>
          </w:p>
        </w:tc>
        <w:tc>
          <w:tcPr>
            <w:tcW w:w="126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olor w:val="333333"/>
                <w:kern w:val="0"/>
                <w:sz w:val="20"/>
                <w:szCs w:val="20"/>
                <w:u w:val="none"/>
                <w:lang w:val="en-US" w:eastAsia="zh-CN" w:bidi="ar"/>
              </w:rPr>
              <w:t>居住70年、商业40年</w:t>
            </w:r>
          </w:p>
        </w:tc>
        <w:tc>
          <w:tcPr>
            <w:tcW w:w="83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≤1.8</w:t>
            </w:r>
          </w:p>
        </w:tc>
        <w:tc>
          <w:tcPr>
            <w:tcW w:w="8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≤30%</w:t>
            </w:r>
          </w:p>
        </w:tc>
        <w:tc>
          <w:tcPr>
            <w:tcW w:w="91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≥35%</w:t>
            </w:r>
          </w:p>
        </w:tc>
        <w:tc>
          <w:tcPr>
            <w:tcW w:w="9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＜54</w:t>
            </w:r>
          </w:p>
        </w:tc>
        <w:tc>
          <w:tcPr>
            <w:tcW w:w="12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olor w:val="000000"/>
                <w:kern w:val="0"/>
                <w:sz w:val="18"/>
                <w:szCs w:val="18"/>
                <w:u w:val="none"/>
                <w:lang w:val="en-US" w:eastAsia="zh-CN" w:bidi="ar"/>
              </w:rPr>
              <w:t>有底价</w:t>
            </w:r>
          </w:p>
        </w:tc>
        <w:tc>
          <w:tcPr>
            <w:tcW w:w="171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11400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6850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w:t>
            </w:r>
            <w:bookmarkStart w:id="0" w:name="_GoBack"/>
            <w:bookmarkEnd w:id="0"/>
            <w:r>
              <w:rPr>
                <w:rFonts w:hint="eastAsia" w:ascii="仿宋" w:hAnsi="仿宋" w:eastAsia="仿宋" w:cs="仿宋"/>
                <w:i w:val="0"/>
                <w:iCs w:val="0"/>
                <w:color w:val="000000"/>
                <w:kern w:val="0"/>
                <w:sz w:val="20"/>
                <w:szCs w:val="20"/>
                <w:u w:val="none"/>
                <w:lang w:val="en-US" w:eastAsia="zh-CN" w:bidi="ar"/>
              </w:rPr>
              <w:t>5</w:t>
            </w:r>
          </w:p>
        </w:tc>
        <w:tc>
          <w:tcPr>
            <w:tcW w:w="108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olor w:val="000000"/>
                <w:kern w:val="0"/>
                <w:sz w:val="18"/>
                <w:szCs w:val="18"/>
                <w:u w:val="none"/>
                <w:lang w:val="en-US" w:eastAsia="zh-CN" w:bidi="ar"/>
              </w:rPr>
              <w:t>三通一平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1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olor w:val="000000"/>
                <w:kern w:val="0"/>
                <w:sz w:val="18"/>
                <w:szCs w:val="18"/>
                <w:u w:val="none"/>
                <w:lang w:val="en-US" w:eastAsia="zh-CN" w:bidi="ar"/>
              </w:rPr>
              <w:t>4</w:t>
            </w:r>
          </w:p>
        </w:tc>
        <w:tc>
          <w:tcPr>
            <w:tcW w:w="114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2021-27#</w:t>
            </w:r>
          </w:p>
        </w:tc>
        <w:tc>
          <w:tcPr>
            <w:tcW w:w="175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葛天大道北侧、规划未来路东侧</w:t>
            </w:r>
          </w:p>
        </w:tc>
        <w:tc>
          <w:tcPr>
            <w:tcW w:w="12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23837.61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（35.76）</w:t>
            </w:r>
          </w:p>
        </w:tc>
        <w:tc>
          <w:tcPr>
            <w:tcW w:w="11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18068.56</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（27.1）</w:t>
            </w:r>
          </w:p>
        </w:tc>
        <w:tc>
          <w:tcPr>
            <w:tcW w:w="118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居住兼容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商业用地</w:t>
            </w:r>
          </w:p>
        </w:tc>
        <w:tc>
          <w:tcPr>
            <w:tcW w:w="126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olor w:val="333333"/>
                <w:kern w:val="0"/>
                <w:sz w:val="20"/>
                <w:szCs w:val="20"/>
                <w:u w:val="none"/>
                <w:lang w:val="en-US" w:eastAsia="zh-CN" w:bidi="ar"/>
              </w:rPr>
              <w:t>居住70年、商业40年</w:t>
            </w:r>
          </w:p>
        </w:tc>
        <w:tc>
          <w:tcPr>
            <w:tcW w:w="83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≤1.8</w:t>
            </w:r>
          </w:p>
        </w:tc>
        <w:tc>
          <w:tcPr>
            <w:tcW w:w="8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≤30%</w:t>
            </w:r>
          </w:p>
        </w:tc>
        <w:tc>
          <w:tcPr>
            <w:tcW w:w="91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≥35%</w:t>
            </w:r>
          </w:p>
        </w:tc>
        <w:tc>
          <w:tcPr>
            <w:tcW w:w="9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＜54</w:t>
            </w:r>
          </w:p>
        </w:tc>
        <w:tc>
          <w:tcPr>
            <w:tcW w:w="12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olor w:val="000000"/>
                <w:kern w:val="0"/>
                <w:sz w:val="18"/>
                <w:szCs w:val="18"/>
                <w:u w:val="none"/>
                <w:lang w:val="en-US" w:eastAsia="zh-CN" w:bidi="ar"/>
              </w:rPr>
              <w:t>有底价</w:t>
            </w:r>
          </w:p>
        </w:tc>
        <w:tc>
          <w:tcPr>
            <w:tcW w:w="171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4470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2690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45</w:t>
            </w:r>
          </w:p>
        </w:tc>
        <w:tc>
          <w:tcPr>
            <w:tcW w:w="108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olor w:val="000000"/>
                <w:kern w:val="0"/>
                <w:sz w:val="18"/>
                <w:szCs w:val="18"/>
                <w:u w:val="none"/>
                <w:lang w:val="en-US" w:eastAsia="zh-CN" w:bidi="ar"/>
              </w:rPr>
              <w:t>三通一平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71" w:hRule="atLeast"/>
        </w:trPr>
        <w:tc>
          <w:tcPr>
            <w:tcW w:w="51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olor w:val="000000"/>
                <w:kern w:val="0"/>
                <w:sz w:val="18"/>
                <w:szCs w:val="18"/>
                <w:u w:val="none"/>
                <w:lang w:val="en-US" w:eastAsia="zh-CN" w:bidi="ar"/>
              </w:rPr>
              <w:t>5</w:t>
            </w:r>
          </w:p>
        </w:tc>
        <w:tc>
          <w:tcPr>
            <w:tcW w:w="114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2021-28#</w:t>
            </w:r>
          </w:p>
        </w:tc>
        <w:tc>
          <w:tcPr>
            <w:tcW w:w="175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滨河路北侧</w:t>
            </w:r>
          </w:p>
        </w:tc>
        <w:tc>
          <w:tcPr>
            <w:tcW w:w="12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10732.24</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（16.1）</w:t>
            </w:r>
          </w:p>
        </w:tc>
        <w:tc>
          <w:tcPr>
            <w:tcW w:w="11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9892.21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（14.84）</w:t>
            </w:r>
          </w:p>
        </w:tc>
        <w:tc>
          <w:tcPr>
            <w:tcW w:w="118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居住兼容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商业用地</w:t>
            </w:r>
          </w:p>
        </w:tc>
        <w:tc>
          <w:tcPr>
            <w:tcW w:w="126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olor w:val="333333"/>
                <w:kern w:val="0"/>
                <w:sz w:val="20"/>
                <w:szCs w:val="20"/>
                <w:u w:val="none"/>
                <w:lang w:val="en-US" w:eastAsia="zh-CN" w:bidi="ar"/>
              </w:rPr>
              <w:t>居住70年、商业40年</w:t>
            </w:r>
          </w:p>
        </w:tc>
        <w:tc>
          <w:tcPr>
            <w:tcW w:w="83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≤2.0</w:t>
            </w:r>
          </w:p>
        </w:tc>
        <w:tc>
          <w:tcPr>
            <w:tcW w:w="8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≤25%</w:t>
            </w:r>
          </w:p>
        </w:tc>
        <w:tc>
          <w:tcPr>
            <w:tcW w:w="91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≥35%</w:t>
            </w:r>
          </w:p>
        </w:tc>
        <w:tc>
          <w:tcPr>
            <w:tcW w:w="9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＜54</w:t>
            </w:r>
          </w:p>
        </w:tc>
        <w:tc>
          <w:tcPr>
            <w:tcW w:w="12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olor w:val="000000"/>
                <w:kern w:val="0"/>
                <w:sz w:val="18"/>
                <w:szCs w:val="18"/>
                <w:u w:val="none"/>
                <w:lang w:val="en-US" w:eastAsia="zh-CN" w:bidi="ar"/>
              </w:rPr>
              <w:t>有底价</w:t>
            </w:r>
          </w:p>
        </w:tc>
        <w:tc>
          <w:tcPr>
            <w:tcW w:w="171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2370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1430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25</w:t>
            </w:r>
          </w:p>
        </w:tc>
        <w:tc>
          <w:tcPr>
            <w:tcW w:w="108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olor w:val="000000"/>
                <w:kern w:val="0"/>
                <w:sz w:val="18"/>
                <w:szCs w:val="18"/>
                <w:u w:val="none"/>
                <w:lang w:val="en-US" w:eastAsia="zh-CN" w:bidi="ar"/>
              </w:rPr>
              <w:t>三通一平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1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olor w:val="000000"/>
                <w:kern w:val="0"/>
                <w:sz w:val="18"/>
                <w:szCs w:val="18"/>
                <w:u w:val="none"/>
                <w:lang w:val="en-US" w:eastAsia="zh-CN" w:bidi="ar"/>
              </w:rPr>
              <w:t>6</w:t>
            </w:r>
          </w:p>
        </w:tc>
        <w:tc>
          <w:tcPr>
            <w:tcW w:w="114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2021-29#</w:t>
            </w:r>
          </w:p>
        </w:tc>
        <w:tc>
          <w:tcPr>
            <w:tcW w:w="175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魏武路东侧，北绕城高速南侧</w:t>
            </w:r>
          </w:p>
        </w:tc>
        <w:tc>
          <w:tcPr>
            <w:tcW w:w="12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21473.76</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（32.21）</w:t>
            </w:r>
          </w:p>
        </w:tc>
        <w:tc>
          <w:tcPr>
            <w:tcW w:w="11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18135.05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（27.2）</w:t>
            </w:r>
          </w:p>
        </w:tc>
        <w:tc>
          <w:tcPr>
            <w:tcW w:w="118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工业用地</w:t>
            </w:r>
          </w:p>
        </w:tc>
        <w:tc>
          <w:tcPr>
            <w:tcW w:w="126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50年</w:t>
            </w:r>
          </w:p>
        </w:tc>
        <w:tc>
          <w:tcPr>
            <w:tcW w:w="83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≥1.2</w:t>
            </w:r>
          </w:p>
        </w:tc>
        <w:tc>
          <w:tcPr>
            <w:tcW w:w="8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≥60%</w:t>
            </w:r>
          </w:p>
        </w:tc>
        <w:tc>
          <w:tcPr>
            <w:tcW w:w="91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≤10%</w:t>
            </w:r>
          </w:p>
        </w:tc>
        <w:tc>
          <w:tcPr>
            <w:tcW w:w="9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≥8</w:t>
            </w:r>
          </w:p>
        </w:tc>
        <w:tc>
          <w:tcPr>
            <w:tcW w:w="12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olor w:val="000000"/>
                <w:kern w:val="0"/>
                <w:sz w:val="18"/>
                <w:szCs w:val="18"/>
                <w:u w:val="none"/>
                <w:lang w:val="en-US" w:eastAsia="zh-CN" w:bidi="ar"/>
              </w:rPr>
              <w:t>有底价</w:t>
            </w:r>
          </w:p>
        </w:tc>
        <w:tc>
          <w:tcPr>
            <w:tcW w:w="171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840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500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w:t>
            </w:r>
          </w:p>
        </w:tc>
        <w:tc>
          <w:tcPr>
            <w:tcW w:w="108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olor w:val="000000"/>
                <w:kern w:val="0"/>
                <w:sz w:val="18"/>
                <w:szCs w:val="18"/>
                <w:u w:val="none"/>
                <w:lang w:val="en-US" w:eastAsia="zh-CN" w:bidi="ar"/>
              </w:rPr>
              <w:t>三通一平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1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olor w:val="000000"/>
                <w:kern w:val="0"/>
                <w:sz w:val="18"/>
                <w:szCs w:val="18"/>
                <w:u w:val="none"/>
                <w:lang w:val="en-US" w:eastAsia="zh-CN" w:bidi="ar"/>
              </w:rPr>
              <w:t>7</w:t>
            </w:r>
          </w:p>
        </w:tc>
        <w:tc>
          <w:tcPr>
            <w:tcW w:w="114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2021-30#</w:t>
            </w:r>
          </w:p>
        </w:tc>
        <w:tc>
          <w:tcPr>
            <w:tcW w:w="175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规划经一路西侧</w:t>
            </w:r>
          </w:p>
        </w:tc>
        <w:tc>
          <w:tcPr>
            <w:tcW w:w="12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10227.38</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（15.34）</w:t>
            </w:r>
          </w:p>
        </w:tc>
        <w:tc>
          <w:tcPr>
            <w:tcW w:w="11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10227.38</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（15.34）</w:t>
            </w:r>
          </w:p>
        </w:tc>
        <w:tc>
          <w:tcPr>
            <w:tcW w:w="118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工业用地</w:t>
            </w:r>
          </w:p>
        </w:tc>
        <w:tc>
          <w:tcPr>
            <w:tcW w:w="126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50年</w:t>
            </w:r>
          </w:p>
        </w:tc>
        <w:tc>
          <w:tcPr>
            <w:tcW w:w="83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≥1.2</w:t>
            </w:r>
          </w:p>
        </w:tc>
        <w:tc>
          <w:tcPr>
            <w:tcW w:w="8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≥60%</w:t>
            </w:r>
          </w:p>
        </w:tc>
        <w:tc>
          <w:tcPr>
            <w:tcW w:w="91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≤10%</w:t>
            </w:r>
          </w:p>
        </w:tc>
        <w:tc>
          <w:tcPr>
            <w:tcW w:w="9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≥8</w:t>
            </w:r>
          </w:p>
        </w:tc>
        <w:tc>
          <w:tcPr>
            <w:tcW w:w="12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olor w:val="000000"/>
                <w:kern w:val="0"/>
                <w:sz w:val="18"/>
                <w:szCs w:val="18"/>
                <w:u w:val="none"/>
                <w:lang w:val="en-US" w:eastAsia="zh-CN" w:bidi="ar"/>
              </w:rPr>
              <w:t>有底价</w:t>
            </w:r>
          </w:p>
        </w:tc>
        <w:tc>
          <w:tcPr>
            <w:tcW w:w="171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410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255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w:t>
            </w:r>
          </w:p>
        </w:tc>
        <w:tc>
          <w:tcPr>
            <w:tcW w:w="108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olor w:val="000000"/>
                <w:kern w:val="0"/>
                <w:sz w:val="18"/>
                <w:szCs w:val="18"/>
                <w:u w:val="none"/>
                <w:lang w:val="en-US" w:eastAsia="zh-CN" w:bidi="ar"/>
              </w:rPr>
              <w:t>现状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1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olor w:val="000000"/>
                <w:kern w:val="0"/>
                <w:sz w:val="18"/>
                <w:szCs w:val="18"/>
                <w:u w:val="none"/>
                <w:lang w:val="en-US" w:eastAsia="zh-CN" w:bidi="ar"/>
              </w:rPr>
              <w:t>8</w:t>
            </w:r>
          </w:p>
        </w:tc>
        <w:tc>
          <w:tcPr>
            <w:tcW w:w="114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2021-31#</w:t>
            </w:r>
          </w:p>
        </w:tc>
        <w:tc>
          <w:tcPr>
            <w:tcW w:w="175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后河镇行政大道北侧</w:t>
            </w:r>
          </w:p>
        </w:tc>
        <w:tc>
          <w:tcPr>
            <w:tcW w:w="12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37911.72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（56.87）</w:t>
            </w:r>
          </w:p>
        </w:tc>
        <w:tc>
          <w:tcPr>
            <w:tcW w:w="11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37906.77</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（56.86）</w:t>
            </w:r>
          </w:p>
        </w:tc>
        <w:tc>
          <w:tcPr>
            <w:tcW w:w="118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工业用地</w:t>
            </w:r>
          </w:p>
        </w:tc>
        <w:tc>
          <w:tcPr>
            <w:tcW w:w="126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40年</w:t>
            </w:r>
          </w:p>
        </w:tc>
        <w:tc>
          <w:tcPr>
            <w:tcW w:w="83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≥1.2</w:t>
            </w:r>
          </w:p>
        </w:tc>
        <w:tc>
          <w:tcPr>
            <w:tcW w:w="8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≥60%</w:t>
            </w:r>
          </w:p>
        </w:tc>
        <w:tc>
          <w:tcPr>
            <w:tcW w:w="91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≤10%</w:t>
            </w:r>
          </w:p>
        </w:tc>
        <w:tc>
          <w:tcPr>
            <w:tcW w:w="9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≥8</w:t>
            </w:r>
          </w:p>
        </w:tc>
        <w:tc>
          <w:tcPr>
            <w:tcW w:w="12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olor w:val="000000"/>
                <w:kern w:val="0"/>
                <w:sz w:val="18"/>
                <w:szCs w:val="18"/>
                <w:u w:val="none"/>
                <w:lang w:val="en-US" w:eastAsia="zh-CN" w:bidi="ar"/>
              </w:rPr>
              <w:t>有底价</w:t>
            </w:r>
          </w:p>
        </w:tc>
        <w:tc>
          <w:tcPr>
            <w:tcW w:w="171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935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570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w:t>
            </w:r>
          </w:p>
        </w:tc>
        <w:tc>
          <w:tcPr>
            <w:tcW w:w="108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olor w:val="000000"/>
                <w:kern w:val="0"/>
                <w:sz w:val="18"/>
                <w:szCs w:val="18"/>
                <w:u w:val="none"/>
                <w:lang w:val="en-US" w:eastAsia="zh-CN" w:bidi="ar"/>
              </w:rPr>
              <w:t>现状</w:t>
            </w:r>
          </w:p>
        </w:tc>
      </w:tr>
    </w:tbl>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42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b/>
          <w:bCs/>
          <w:i w:val="0"/>
          <w:iCs w:val="0"/>
          <w:caps w:val="0"/>
          <w:color w:val="000000"/>
          <w:spacing w:val="0"/>
          <w:sz w:val="28"/>
          <w:szCs w:val="28"/>
          <w:shd w:val="clear" w:fill="FFFFFF"/>
        </w:rPr>
        <w:t>具体以规划部门出具的规划指标为准，详见《规划条件通知书》。</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42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b/>
          <w:bCs/>
          <w:i w:val="0"/>
          <w:iCs w:val="0"/>
          <w:caps w:val="0"/>
          <w:color w:val="000000"/>
          <w:spacing w:val="0"/>
          <w:sz w:val="28"/>
          <w:szCs w:val="28"/>
          <w:shd w:val="clear" w:fill="FFFFFF"/>
        </w:rPr>
        <w:t>二、竞买申请条件和要求</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中华人民共和国境内外的法人、自然人和其他组织，符合网上出让公告或出让须知中明确的资格条件，均可参加本次国有建设用地使用权网上拍卖活动。</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42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b/>
          <w:bCs/>
          <w:i w:val="0"/>
          <w:iCs w:val="0"/>
          <w:caps w:val="0"/>
          <w:color w:val="000000"/>
          <w:spacing w:val="0"/>
          <w:sz w:val="28"/>
          <w:szCs w:val="28"/>
          <w:shd w:val="clear" w:fill="FFFFFF"/>
        </w:rPr>
        <w:t>三、确定竞得入选人方式</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本次国有建设用地使用权网上拍卖出让按照价高者得原则确定竞得入选人。</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（1）地块如果未设底价的，报价最高者即为竞得入选人。</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（2）地块如果设有底价的，报价最高且不低于底价者即为竞得入选人。</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42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b/>
          <w:bCs/>
          <w:i w:val="0"/>
          <w:iCs w:val="0"/>
          <w:caps w:val="0"/>
          <w:color w:val="000000"/>
          <w:spacing w:val="0"/>
          <w:sz w:val="28"/>
          <w:szCs w:val="28"/>
          <w:shd w:val="clear" w:fill="FFFFFF"/>
        </w:rPr>
        <w:t>四、报名及保证金截止时间</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竞买申请人可在2021年12月03日 08时00分至2021年12月22日 17时00分登录河南省土地使用权网上交易系统，提交申请。竞买保证金到账截止时间为</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right="0" w:firstLine="570" w:firstLineChars="20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2021年12月22日 17时00分（地块编号：2021-24#）。</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2021年12月22日 17时00分（地块编号：2021-25#）。</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2021年12月22日 17时00分（地块编号：2021-26#）。</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2021年12月22日 17时00分（地块编号：2021-27#）。</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2021年12月22日 17时00分（地块编号：2021-28#）。</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2021年12月22日 17时00分（地块编号：2021-29#）。</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2021年12月22日 17时00分（地块编号：2021-30#）。</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2021年12月22日 17时00分（地块编号：2021-31#）。</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42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b/>
          <w:bCs/>
          <w:i w:val="0"/>
          <w:iCs w:val="0"/>
          <w:caps w:val="0"/>
          <w:color w:val="000000"/>
          <w:spacing w:val="0"/>
          <w:sz w:val="28"/>
          <w:szCs w:val="28"/>
          <w:shd w:val="clear" w:fill="FFFFFF"/>
        </w:rPr>
        <w:t>温馨提示：为避免因竞买保证金到账时间延误，影响您顺利获取网上交易竞买资格，建议您在保证金到账截止时间的1至2天之前交纳竞买保证金。</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42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b/>
          <w:bCs/>
          <w:i w:val="0"/>
          <w:iCs w:val="0"/>
          <w:caps w:val="0"/>
          <w:color w:val="000000"/>
          <w:spacing w:val="0"/>
          <w:sz w:val="28"/>
          <w:szCs w:val="28"/>
          <w:shd w:val="clear" w:fill="FFFFFF"/>
        </w:rPr>
        <w:t>五、拍卖时间及网址</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拍卖报价时间为：</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right="0" w:firstLine="570" w:firstLineChars="20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2021-24#地块： 2021年12月24日 10时00分00秒。</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2021-25#地块： 2021年12月24日 10时05分00秒。</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2021-26#地块： 2021年12月24日 10时10分00秒。</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2021-27#地块： 2021年12月24日 10时15分00秒。</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2021-28#地块： 2021年12月24日 10时20分00秒。</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2021-29#地块： 2021年12月24日 10时25分00秒。</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2021-30#地块： 2021年12月24日 10时30分00秒。</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2021-31#地块： 2021年12月24日 10时35分00秒。</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拍卖网址：http://td.hnggzy.com。</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42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b/>
          <w:bCs/>
          <w:i w:val="0"/>
          <w:iCs w:val="0"/>
          <w:caps w:val="0"/>
          <w:color w:val="000000"/>
          <w:spacing w:val="0"/>
          <w:sz w:val="28"/>
          <w:szCs w:val="28"/>
          <w:shd w:val="clear" w:fill="FFFFFF"/>
        </w:rPr>
        <w:t>六、出让资料获取方式</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本次拍卖出让的详细资料和具体要求，见拍卖出让须知及其他出让文件。拍卖出让须知及其他出让文件可从网上交易系统查看和打印。</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42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b/>
          <w:bCs/>
          <w:i w:val="0"/>
          <w:iCs w:val="0"/>
          <w:caps w:val="0"/>
          <w:color w:val="000000"/>
          <w:spacing w:val="0"/>
          <w:sz w:val="28"/>
          <w:szCs w:val="28"/>
          <w:shd w:val="clear" w:fill="FFFFFF"/>
        </w:rPr>
        <w:t>七、资格审查</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420"/>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本次国有建设用地使用权网上出让实行竞得入选人资格后审制度，即竞买申请人在网上交易系统按规定递交竞买申请并按时足额缴纳了竞买保证金后，网上交易系统将自动颁发国有建设用地使用权竞买保证金到账确认书，确认其竞买资格，出让人只对网上交易的竞得入选人进行资格审查。按照《河南省人民政府办公厅关于转发河南省国有建设用地使用权网上交易管理办法的通知》（豫政办〔2015〕135号）文件和《河南省国土资源厅关于在行政管理事项中推进失信被执行人联合惩戒工作的通知》（豫国土资发〔2018〕105号）文件规定，明确被人民法院列入失信被执行人的禁止参加土地竞拍。我局将在后置资格审核时增加“失信被执行人查询”的审核，若存在失信被执行人的情况，将拒绝与其签订成交确认书和土地出让合同，竞买保证金不予退还。如因竞得入选人的资格审查未通过，造成本次出让地块不成交的，由竞得入选人自行承担相应责任。</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42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b/>
          <w:bCs/>
          <w:i w:val="0"/>
          <w:iCs w:val="0"/>
          <w:caps w:val="0"/>
          <w:color w:val="000000"/>
          <w:spacing w:val="0"/>
          <w:sz w:val="28"/>
          <w:szCs w:val="28"/>
          <w:shd w:val="clear" w:fill="FFFFFF"/>
        </w:rPr>
        <w:t>八、风险提示</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竞买人应该谨慎报价，报价一经提交，不得修改或者撤回。网上拍卖开始后，方可参加限时竞价。</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操作系统请使用Win7、Win8、Win10；浏览器请使用IE10以上版本，其它操作系统与浏览器可能会影响您正常参与网上交易活动。数字证书驱动请到交易系统“服务指南-资料下载”中下载，并正确安装。请竞买人在竞买前仔细检查好自己电脑的运行环境，并先到网上交易模拟系统练习，以免影响您的报价、竞价。</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特此公告</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联系电话：0374-6110359</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联系人：李先生</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0"/>
        <w:jc w:val="right"/>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长葛市地产交易中心</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left="0" w:right="0" w:firstLine="0"/>
        <w:jc w:val="right"/>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2021年12月03日</w:t>
      </w:r>
      <w:r>
        <w:rPr>
          <w:rFonts w:hint="default" w:ascii="sans-serif" w:hAnsi="sans-serif" w:eastAsia="sans-serif" w:cs="sans-serif"/>
          <w:i w:val="0"/>
          <w:iCs w:val="0"/>
          <w:caps w:val="0"/>
          <w:color w:val="000000"/>
          <w:spacing w:val="0"/>
          <w:sz w:val="24"/>
          <w:szCs w:val="24"/>
        </w:rPr>
        <w:t> </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B135E"/>
    <w:rsid w:val="00696EDF"/>
    <w:rsid w:val="164C357B"/>
    <w:rsid w:val="1AEB135E"/>
    <w:rsid w:val="28041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 w:asciiTheme="minorHAnsi" w:hAnsiTheme="minorHAnsi"/>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2021-12-03T02:20:00Z</dcterms:created>
  <dc:creator>海风</dc:creator>
  <cp:lastModifiedBy>海风</cp:lastModifiedBy>
  <cp:lastPrinted>2021-12-03T03:31:01Z</cp:lastPrinted>
  <dcterms:modified xsi:type="dcterms:W3CDTF">2021-12-03T06:46:47Z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0907AC58C4ED4893BAF9DAF586DD0465</vt:lpwstr>
  </property>
</Properties>
</file>