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36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cs="Times New Roman" w:eastAsia="宋体" w:hAnsi="宋体" w:hint="eastAsia"/>
          <w:b/>
          <w:sz w:val="36"/>
          <w:szCs w:val="36"/>
          <w:lang w:val="en-US" w:eastAsia="zh-CN"/>
        </w:rPr>
        <w:t>长葛市威尼斯酒店使用权及房屋内相关资产</w:t>
      </w:r>
      <w:r>
        <w:rPr>
          <w:rFonts w:ascii="宋体" w:hAnsi="宋体" w:hint="eastAsia"/>
          <w:b/>
          <w:sz w:val="36"/>
          <w:szCs w:val="36"/>
        </w:rPr>
        <w:t>拍卖</w:t>
      </w:r>
    </w:p>
    <w:p>
      <w:pPr>
        <w:pStyle w:val="style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  <w:lang w:eastAsia="zh-CN"/>
        </w:rPr>
        <w:t>六次</w:t>
      </w:r>
      <w:r>
        <w:rPr>
          <w:rFonts w:ascii="宋体" w:hAnsi="宋体" w:hint="eastAsia"/>
          <w:b/>
          <w:sz w:val="36"/>
          <w:szCs w:val="36"/>
        </w:rPr>
        <w:t>公告</w:t>
      </w:r>
    </w:p>
    <w:p>
      <w:pPr>
        <w:pStyle w:val="style0"/>
        <w:jc w:val="center"/>
        <w:rPr>
          <w:rFonts w:ascii="黑体" w:cs="黑体" w:eastAsia="黑体" w:hAnsi="黑体"/>
          <w:bCs/>
          <w:sz w:val="32"/>
          <w:szCs w:val="32"/>
        </w:rPr>
      </w:pPr>
      <w:r>
        <w:rPr>
          <w:rFonts w:ascii="黑体" w:cs="黑体" w:eastAsia="黑体" w:hAnsi="黑体" w:hint="eastAsia"/>
          <w:bCs/>
          <w:sz w:val="32"/>
          <w:szCs w:val="32"/>
        </w:rPr>
        <w:t>项目编号：长产权拍字【</w:t>
      </w:r>
      <w:r>
        <w:rPr>
          <w:rFonts w:ascii="黑体" w:cs="黑体" w:eastAsia="黑体" w:hAnsi="黑体" w:hint="eastAsia"/>
          <w:bCs/>
          <w:sz w:val="32"/>
          <w:szCs w:val="32"/>
          <w:lang w:eastAsia="zh-CN"/>
        </w:rPr>
        <w:t>2021</w:t>
      </w:r>
      <w:r>
        <w:rPr>
          <w:rFonts w:ascii="黑体" w:cs="黑体" w:eastAsia="黑体" w:hAnsi="黑体" w:hint="eastAsia"/>
          <w:bCs/>
          <w:sz w:val="32"/>
          <w:szCs w:val="32"/>
        </w:rPr>
        <w:t>】</w:t>
      </w:r>
      <w:r>
        <w:rPr>
          <w:rFonts w:ascii="黑体" w:cs="黑体" w:eastAsia="黑体" w:hAnsi="黑体" w:hint="eastAsia"/>
          <w:bCs/>
          <w:sz w:val="32"/>
          <w:szCs w:val="32"/>
          <w:lang w:val="en-US" w:eastAsia="zh-CN"/>
        </w:rPr>
        <w:t>03</w:t>
      </w:r>
      <w:r>
        <w:rPr>
          <w:rFonts w:ascii="黑体" w:cs="黑体" w:eastAsia="黑体" w:hAnsi="黑体" w:hint="eastAsia"/>
          <w:bCs/>
          <w:sz w:val="32"/>
          <w:szCs w:val="32"/>
        </w:rPr>
        <w:t>号</w:t>
      </w:r>
    </w:p>
    <w:p>
      <w:pPr>
        <w:pStyle w:val="style0"/>
        <w:ind w:firstLine="484" w:firstLineChars="202"/>
        <w:rPr>
          <w:rFonts w:ascii="宋体" w:hAnsi="宋体"/>
          <w:i/>
          <w:sz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6" w:firstLineChars="202"/>
        <w:textAlignment w:val="auto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我单位接受委托，现定于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2021</w:t>
      </w:r>
      <w:r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  <w:t>年10</w:t>
      </w:r>
      <w:r>
        <w:rPr>
          <w:rFonts w:ascii="仿宋_GB2312" w:cs="仿宋_GB2312" w:eastAsia="仿宋_GB2312" w:hAnsi="仿宋_GB2312" w:hint="eastAsia"/>
          <w:sz w:val="32"/>
          <w:szCs w:val="32"/>
          <w:u w:val="none"/>
          <w:lang w:val="en-US" w:eastAsia="zh-CN"/>
        </w:rPr>
        <w:t>月</w:t>
      </w:r>
      <w:r>
        <w:rPr>
          <w:rFonts w:ascii="仿宋_GB2312" w:cs="仿宋_GB2312" w:eastAsia="仿宋_GB2312" w:hAnsi="仿宋_GB2312" w:hint="default"/>
          <w:sz w:val="32"/>
          <w:szCs w:val="32"/>
          <w:u w:val="none"/>
          <w:lang w:val="en-US" w:eastAsia="zh-CN"/>
        </w:rPr>
        <w:t>15</w:t>
      </w:r>
      <w:r>
        <w:rPr>
          <w:rFonts w:ascii="仿宋_GB2312" w:cs="仿宋_GB2312" w:eastAsia="仿宋_GB2312" w:hAnsi="仿宋_GB2312" w:hint="eastAsia"/>
          <w:sz w:val="32"/>
          <w:szCs w:val="32"/>
          <w:u w:val="none"/>
          <w:lang w:val="en-US" w:eastAsia="zh-CN"/>
        </w:rPr>
        <w:t>日</w:t>
      </w:r>
      <w:r>
        <w:rPr>
          <w:rFonts w:ascii="仿宋_GB2312" w:cs="仿宋_GB2312" w:eastAsia="仿宋_GB2312" w:hAnsi="仿宋_GB2312" w:hint="default"/>
          <w:sz w:val="32"/>
          <w:szCs w:val="32"/>
          <w:u w:val="none"/>
          <w:lang w:val="en-US" w:eastAsia="zh-CN"/>
        </w:rPr>
        <w:t>10</w:t>
      </w:r>
      <w:r>
        <w:rPr>
          <w:rFonts w:ascii="仿宋_GB2312" w:cs="仿宋_GB2312" w:eastAsia="仿宋_GB2312" w:hAnsi="仿宋_GB2312" w:hint="eastAsia"/>
          <w:sz w:val="32"/>
          <w:szCs w:val="32"/>
          <w:u w:val="none"/>
        </w:rPr>
        <w:t>时在长葛市公共资源交易中心开标</w:t>
      </w:r>
      <w:r>
        <w:rPr>
          <w:rFonts w:ascii="仿宋_GB2312" w:cs="仿宋_GB2312" w:eastAsia="仿宋_GB2312" w:hAnsi="仿宋_GB2312" w:hint="default"/>
          <w:sz w:val="32"/>
          <w:szCs w:val="32"/>
          <w:u w:val="none"/>
          <w:lang w:val="en-US"/>
        </w:rPr>
        <w:t>四</w:t>
      </w:r>
      <w:r>
        <w:rPr>
          <w:rFonts w:ascii="仿宋_GB2312" w:cs="仿宋_GB2312" w:eastAsia="仿宋_GB2312" w:hAnsi="仿宋_GB2312" w:hint="eastAsia"/>
          <w:sz w:val="32"/>
          <w:szCs w:val="32"/>
          <w:u w:val="none"/>
        </w:rPr>
        <w:t>室（长葛市葛天大道东段商务区6号楼</w:t>
      </w:r>
      <w:r>
        <w:rPr>
          <w:rFonts w:ascii="仿宋_GB2312" w:cs="仿宋_GB2312" w:eastAsia="仿宋_GB2312" w:hAnsi="仿宋_GB2312" w:hint="eastAsia"/>
          <w:sz w:val="32"/>
          <w:szCs w:val="32"/>
          <w:u w:val="none"/>
          <w:lang w:val="en-US" w:eastAsia="zh-CN"/>
        </w:rPr>
        <w:t>5</w:t>
      </w:r>
      <w:r>
        <w:rPr>
          <w:rFonts w:ascii="仿宋_GB2312" w:cs="仿宋_GB2312" w:eastAsia="仿宋_GB2312" w:hAnsi="仿宋_GB2312" w:hint="eastAsia"/>
          <w:sz w:val="32"/>
          <w:szCs w:val="32"/>
          <w:u w:val="none"/>
        </w:rPr>
        <w:t>楼），依法对位于</w:t>
      </w:r>
      <w:r>
        <w:rPr>
          <w:rFonts w:ascii="仿宋_GB2312" w:cs="仿宋_GB2312" w:eastAsia="仿宋_GB2312" w:hAnsi="仿宋_GB2312" w:hint="eastAsia"/>
          <w:sz w:val="32"/>
          <w:szCs w:val="32"/>
          <w:u w:val="none"/>
          <w:lang w:eastAsia="zh-CN"/>
        </w:rPr>
        <w:t>长葛市钟繇大道与朝阳路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交叉口东南角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长葛市威尼斯酒店使用权（成交之日至2034年12月30日）及房屋内相关资产</w:t>
      </w:r>
      <w:r>
        <w:rPr>
          <w:rFonts w:ascii="仿宋_GB2312" w:cs="仿宋_GB2312" w:eastAsia="仿宋_GB2312" w:hAnsi="仿宋_GB2312" w:hint="eastAsia"/>
          <w:sz w:val="32"/>
          <w:szCs w:val="32"/>
        </w:rPr>
        <w:t>进行公开拍卖。现将有关事项公告如下：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9" w:firstLineChars="202"/>
        <w:textAlignment w:val="auto"/>
        <w:rPr>
          <w:rFonts w:ascii="黑体" w:cs="黑体" w:eastAsia="黑体" w:hAnsi="黑体"/>
          <w:b/>
          <w:sz w:val="32"/>
          <w:szCs w:val="32"/>
        </w:rPr>
      </w:pPr>
      <w:r>
        <w:rPr>
          <w:rFonts w:ascii="黑体" w:cs="黑体" w:eastAsia="黑体" w:hAnsi="黑体" w:hint="eastAsia"/>
          <w:b/>
          <w:sz w:val="32"/>
          <w:szCs w:val="32"/>
        </w:rPr>
        <w:t>一、拍卖标的：</w:t>
      </w:r>
    </w:p>
    <w:bookmarkStart w:id="0" w:name="OLE_LINK9"/>
    <w:bookmarkStart w:id="1" w:name="OLE_LINK11"/>
    <w:bookmarkStart w:id="2" w:name="OLE_LINK10"/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长葛市威尼斯酒店使用权（成交之日至2034年12月30日）及房屋内相关资产；</w:t>
      </w:r>
      <w:bookmarkEnd w:id="0"/>
      <w:bookmarkEnd w:id="1"/>
      <w:bookmarkEnd w:id="2"/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详见河南坤城价格评估有限公司出具《豫坤城评报字【2021】060101号》、《豫坤城评报字【2021】060102号》资产评估报告书，起拍价：7076790元。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textAlignment w:val="auto"/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二、瑕疵说明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3" w:firstLineChars="200"/>
        <w:textAlignment w:val="auto"/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1、本次拍卖的长葛市威尼斯酒店使用权，截止拍卖日之前，尚欠2年左右的土地租赁费用和水、电等其它费用未曾缴纳。拍卖成交后，买受人须补足土地租赁费欠款（成交价不包含上述欠交费用，具体欠交的费用须由竞买人自行到相关部门查询）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3" w:firstLineChars="200"/>
        <w:textAlignment w:val="auto"/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  <w:lang w:val="en-US" w:eastAsia="zh-CN"/>
        </w:rPr>
        <w:t>2、本次拍卖的长葛市威尼斯酒店使用权的成交价不包含土地租赁费用，买受人成交后须另行与租赁方另行签订租赁合同，缴纳土地租赁费用（详见：原《租赁合同》）。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9" w:firstLineChars="202"/>
        <w:textAlignment w:val="auto"/>
        <w:rPr>
          <w:rFonts w:ascii="黑体" w:cs="黑体" w:eastAsia="黑体" w:hAnsi="黑体"/>
          <w:b/>
          <w:sz w:val="32"/>
          <w:szCs w:val="32"/>
        </w:rPr>
      </w:pPr>
      <w:r>
        <w:rPr>
          <w:rFonts w:ascii="黑体" w:cs="黑体" w:eastAsia="黑体" w:hAnsi="黑体" w:hint="eastAsia"/>
          <w:b/>
          <w:sz w:val="32"/>
          <w:szCs w:val="32"/>
        </w:rPr>
        <w:t>三、标的自公告之日起在标的物所在地公开展示。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3" w:firstLineChars="200"/>
        <w:textAlignment w:val="auto"/>
        <w:rPr>
          <w:rFonts w:ascii="黑体" w:cs="黑体" w:eastAsia="黑体" w:hAnsi="黑体"/>
          <w:b/>
          <w:sz w:val="32"/>
          <w:szCs w:val="32"/>
        </w:rPr>
      </w:pPr>
      <w:r>
        <w:rPr>
          <w:rFonts w:ascii="黑体" w:cs="黑体" w:eastAsia="黑体" w:hAnsi="黑体" w:hint="eastAsia"/>
          <w:b/>
          <w:sz w:val="32"/>
          <w:szCs w:val="32"/>
        </w:rPr>
        <w:t>四、</w:t>
      </w:r>
      <w:r>
        <w:rPr>
          <w:rFonts w:ascii="黑体" w:cs="黑体" w:eastAsia="黑体" w:hAnsi="黑体" w:hint="eastAsia"/>
          <w:b/>
          <w:sz w:val="32"/>
          <w:szCs w:val="32"/>
          <w:lang w:val="en-US" w:eastAsia="zh-CN"/>
        </w:rPr>
        <w:t>即日起向本公司咨询详情并办理竞买登记手续</w:t>
      </w:r>
      <w:r>
        <w:rPr>
          <w:rFonts w:ascii="黑体" w:cs="黑体" w:eastAsia="黑体" w:hAnsi="黑体" w:hint="eastAsia"/>
          <w:b/>
          <w:sz w:val="32"/>
          <w:szCs w:val="32"/>
        </w:rPr>
        <w:t>,</w:t>
      </w:r>
      <w:r>
        <w:rPr>
          <w:rFonts w:ascii="黑体" w:cs="黑体" w:eastAsia="黑体" w:hAnsi="黑体" w:hint="eastAsia"/>
          <w:b/>
          <w:sz w:val="32"/>
          <w:szCs w:val="32"/>
          <w:lang w:val="en-US" w:eastAsia="zh-CN"/>
        </w:rPr>
        <w:t>并缴纳10万元竞买保证金至指定账户(保证金交纳截止到2021年</w:t>
      </w:r>
      <w:r>
        <w:rPr>
          <w:rFonts w:ascii="黑体" w:cs="黑体" w:eastAsia="黑体" w:hAnsi="黑体" w:hint="default"/>
          <w:b/>
          <w:sz w:val="32"/>
          <w:szCs w:val="32"/>
          <w:lang w:val="en-US" w:eastAsia="zh-CN"/>
        </w:rPr>
        <w:t>10</w:t>
      </w:r>
      <w:r>
        <w:rPr>
          <w:rFonts w:ascii="黑体" w:cs="黑体" w:eastAsia="黑体" w:hAnsi="黑体" w:hint="eastAsia"/>
          <w:b/>
          <w:sz w:val="32"/>
          <w:szCs w:val="32"/>
          <w:lang w:val="en-US" w:eastAsia="zh-CN"/>
        </w:rPr>
        <w:t>月</w:t>
      </w:r>
      <w:r>
        <w:rPr>
          <w:rFonts w:ascii="黑体" w:cs="黑体" w:eastAsia="黑体" w:hAnsi="黑体" w:hint="default"/>
          <w:b/>
          <w:sz w:val="32"/>
          <w:szCs w:val="32"/>
          <w:lang w:val="en-US" w:eastAsia="zh-CN"/>
        </w:rPr>
        <w:t>14</w:t>
      </w:r>
      <w:r>
        <w:rPr>
          <w:rFonts w:ascii="黑体" w:cs="黑体" w:eastAsia="黑体" w:hAnsi="黑体" w:hint="eastAsia"/>
          <w:b/>
          <w:sz w:val="32"/>
          <w:szCs w:val="32"/>
          <w:lang w:val="en-US" w:eastAsia="zh-CN"/>
        </w:rPr>
        <w:t>日16时止，以实际到账为准，</w:t>
      </w:r>
      <w:r>
        <w:rPr>
          <w:rFonts w:ascii="黑体" w:cs="黑体" w:eastAsia="黑体" w:hAnsi="黑体" w:hint="eastAsia"/>
          <w:b/>
          <w:sz w:val="32"/>
          <w:szCs w:val="32"/>
        </w:rPr>
        <w:t>拍卖会前交纳的保证金不充抵成交价款</w:t>
      </w:r>
      <w:r>
        <w:rPr>
          <w:rFonts w:ascii="黑体" w:cs="黑体" w:eastAsia="黑体" w:hAnsi="黑体" w:hint="eastAsia"/>
          <w:b/>
          <w:sz w:val="32"/>
          <w:szCs w:val="32"/>
          <w:lang w:eastAsia="zh-CN"/>
        </w:rPr>
        <w:t>，</w:t>
      </w:r>
      <w:r>
        <w:rPr>
          <w:rFonts w:ascii="黑体" w:cs="黑体" w:eastAsia="黑体" w:hAnsi="黑体" w:hint="eastAsia"/>
          <w:b/>
          <w:sz w:val="32"/>
          <w:szCs w:val="32"/>
        </w:rPr>
        <w:t>若不成交</w:t>
      </w:r>
      <w:r>
        <w:rPr>
          <w:rFonts w:ascii="黑体" w:cs="黑体" w:eastAsia="黑体" w:hAnsi="黑体" w:hint="eastAsia"/>
          <w:b/>
          <w:sz w:val="32"/>
          <w:szCs w:val="32"/>
          <w:lang w:val="en-US" w:eastAsia="zh-CN"/>
        </w:rPr>
        <w:t>5个工作日内全额无息退还)</w:t>
      </w:r>
      <w:r>
        <w:rPr>
          <w:rFonts w:ascii="黑体" w:cs="黑体" w:eastAsia="黑体" w:hAnsi="黑体" w:hint="eastAsia"/>
          <w:b/>
          <w:sz w:val="32"/>
          <w:szCs w:val="32"/>
        </w:rPr>
        <w:t>；在拍卖当天签订《竞买合同》并领取竞买号牌。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482" w:firstLineChars="150"/>
        <w:textAlignment w:val="auto"/>
        <w:rPr>
          <w:rFonts w:ascii="黑体" w:cs="黑体" w:eastAsia="黑体" w:hAnsi="黑体"/>
          <w:b/>
          <w:sz w:val="32"/>
          <w:szCs w:val="32"/>
        </w:rPr>
      </w:pPr>
      <w:r>
        <w:rPr>
          <w:rFonts w:ascii="黑体" w:cs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cs="黑体" w:eastAsia="黑体" w:hAnsi="黑体" w:hint="eastAsia"/>
          <w:b/>
          <w:sz w:val="32"/>
          <w:szCs w:val="32"/>
          <w:lang w:eastAsia="zh-CN"/>
        </w:rPr>
        <w:t>五</w:t>
      </w:r>
      <w:r>
        <w:rPr>
          <w:rFonts w:ascii="黑体" w:cs="黑体" w:eastAsia="黑体" w:hAnsi="黑体" w:hint="eastAsia"/>
          <w:b/>
          <w:sz w:val="32"/>
          <w:szCs w:val="32"/>
        </w:rPr>
        <w:t>、竞买人必须同时具备以下条件：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（一）、境内依法注册的具有独立法人资格的企业或其他组织、自然人</w:t>
      </w:r>
      <w:r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（二）、境内依法注册的具有独立法人资格的企业或其他组织，须提供营业执照、法人授权委托书，自然人须提供身份证和复印件</w:t>
      </w:r>
      <w:r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（三）、提供的各种书面材料均真实、合法、有效。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6" w:firstLineChars="202"/>
        <w:textAlignment w:val="auto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六</w:t>
      </w:r>
      <w:r>
        <w:rPr>
          <w:rFonts w:ascii="仿宋_GB2312" w:cs="仿宋_GB2312" w:eastAsia="仿宋_GB2312" w:hAnsi="仿宋_GB2312" w:hint="eastAsia"/>
          <w:sz w:val="32"/>
          <w:szCs w:val="32"/>
        </w:rPr>
        <w:t>、竞买保证金缴纳方式：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6" w:firstLineChars="202"/>
        <w:textAlignment w:val="auto"/>
        <w:rPr>
          <w:rFonts w:ascii="仿宋_GB2312" w:cs="仿宋_GB2312" w:eastAsia="仿宋_GB2312" w:hAnsi="仿宋_GB2312"/>
          <w:color w:val="ff0000"/>
          <w:sz w:val="32"/>
          <w:szCs w:val="32"/>
        </w:rPr>
      </w:pPr>
      <w:r>
        <w:rPr>
          <w:rFonts w:ascii="仿宋_GB2312" w:cs="仿宋_GB2312" w:eastAsia="仿宋_GB2312" w:hAnsi="仿宋_GB2312" w:hint="eastAsia"/>
          <w:color w:val="ff0000"/>
          <w:sz w:val="32"/>
          <w:szCs w:val="32"/>
        </w:rPr>
        <w:t>电汇或转账（法人单位需从基本账户转账）递交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6" w:firstLineChars="202"/>
        <w:textAlignment w:val="auto"/>
        <w:rPr>
          <w:rFonts w:ascii="仿宋_GB2312" w:cs="仿宋_GB2312" w:eastAsia="仿宋_GB2312" w:hAnsi="仿宋_GB2312" w:hint="eastAsia"/>
          <w:color w:val="ff0000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color w:val="ff0000"/>
          <w:sz w:val="32"/>
          <w:szCs w:val="32"/>
        </w:rPr>
        <w:t>收 款 人：长葛市</w:t>
      </w:r>
      <w:r>
        <w:rPr>
          <w:rFonts w:ascii="仿宋_GB2312" w:cs="仿宋_GB2312" w:eastAsia="仿宋_GB2312" w:hAnsi="仿宋_GB2312" w:hint="eastAsia"/>
          <w:color w:val="ff0000"/>
          <w:sz w:val="32"/>
          <w:szCs w:val="32"/>
          <w:lang w:eastAsia="zh-CN"/>
        </w:rPr>
        <w:t>公共资源交易中心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6" w:firstLineChars="202"/>
        <w:textAlignment w:val="auto"/>
        <w:rPr>
          <w:rFonts w:ascii="仿宋_GB2312" w:cs="仿宋_GB2312" w:eastAsia="仿宋_GB2312" w:hAnsi="仿宋_GB2312" w:hint="eastAsia"/>
          <w:color w:val="ff0000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color w:val="ff0000"/>
          <w:sz w:val="32"/>
          <w:szCs w:val="32"/>
        </w:rPr>
        <w:t>开户银行：</w:t>
      </w:r>
      <w:r>
        <w:rPr>
          <w:rFonts w:ascii="仿宋_GB2312" w:cs="仿宋_GB2312" w:eastAsia="仿宋_GB2312" w:hAnsi="仿宋_GB2312" w:hint="eastAsia"/>
          <w:color w:val="ff0000"/>
          <w:sz w:val="32"/>
          <w:szCs w:val="32"/>
          <w:lang w:eastAsia="zh-CN"/>
        </w:rPr>
        <w:t>长葛农商行营业部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6" w:firstLineChars="202"/>
        <w:textAlignment w:val="auto"/>
        <w:rPr>
          <w:rFonts w:ascii="仿宋_GB2312" w:cs="仿宋_GB2312" w:eastAsia="仿宋_GB2312" w:hAnsi="仿宋_GB2312" w:hint="eastAsia"/>
          <w:color w:val="ff0000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color w:val="ff0000"/>
          <w:sz w:val="32"/>
          <w:szCs w:val="32"/>
        </w:rPr>
        <w:t>账    号：</w:t>
      </w:r>
      <w:r>
        <w:rPr>
          <w:rFonts w:ascii="仿宋_GB2312" w:cs="仿宋_GB2312" w:eastAsia="仿宋_GB2312" w:hAnsi="仿宋_GB2312" w:hint="eastAsia"/>
          <w:color w:val="ff0000"/>
          <w:sz w:val="32"/>
          <w:szCs w:val="32"/>
          <w:lang w:val="en-US" w:eastAsia="zh-CN"/>
        </w:rPr>
        <w:t>1320 1001 8000 00552-0003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6" w:firstLineChars="202"/>
        <w:textAlignment w:val="auto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竞买人存汇款单备注部分填写说明：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0" w:firstLineChars="200"/>
        <w:jc w:val="left"/>
        <w:textAlignment w:val="auto"/>
        <w:rPr>
          <w:rFonts w:ascii="仿宋_GB2312" w:cs="仿宋_GB2312" w:eastAsia="仿宋_GB2312" w:hAnsi="仿宋_GB2312"/>
          <w:sz w:val="32"/>
          <w:szCs w:val="32"/>
          <w:u w:val="single"/>
        </w:rPr>
      </w:pPr>
      <w:r>
        <w:rPr>
          <w:rFonts w:ascii="仿宋_GB2312" w:cs="仿宋_GB2312" w:eastAsia="仿宋_GB2312" w:hAnsi="仿宋_GB2312" w:hint="eastAsia"/>
          <w:sz w:val="32"/>
          <w:szCs w:val="32"/>
          <w:u w:val="single"/>
        </w:rPr>
        <w:t>此款为长产权拍字【</w:t>
      </w:r>
      <w:r>
        <w:rPr>
          <w:rFonts w:ascii="仿宋_GB2312" w:cs="仿宋_GB2312" w:eastAsia="仿宋_GB2312" w:hAnsi="仿宋_GB2312" w:hint="eastAsia"/>
          <w:sz w:val="32"/>
          <w:szCs w:val="32"/>
          <w:u w:val="single"/>
          <w:lang w:eastAsia="zh-CN"/>
        </w:rPr>
        <w:t>2021</w:t>
      </w:r>
      <w:r>
        <w:rPr>
          <w:rFonts w:ascii="仿宋_GB2312" w:cs="仿宋_GB2312" w:eastAsia="仿宋_GB2312" w:hAnsi="仿宋_GB2312" w:hint="eastAsia"/>
          <w:sz w:val="32"/>
          <w:szCs w:val="32"/>
          <w:u w:val="single"/>
        </w:rPr>
        <w:t>】0</w:t>
      </w:r>
      <w:r>
        <w:rPr>
          <w:rFonts w:ascii="仿宋_GB2312" w:cs="仿宋_GB2312" w:eastAsia="仿宋_GB2312" w:hAnsi="仿宋_GB2312" w:hint="eastAsia"/>
          <w:sz w:val="32"/>
          <w:szCs w:val="32"/>
          <w:u w:val="single"/>
          <w:lang w:val="en-US" w:eastAsia="zh-CN"/>
        </w:rPr>
        <w:t>3</w:t>
      </w:r>
      <w:r>
        <w:rPr>
          <w:rFonts w:ascii="仿宋_GB2312" w:cs="仿宋_GB2312" w:eastAsia="仿宋_GB2312" w:hAnsi="仿宋_GB2312" w:hint="eastAsia"/>
          <w:sz w:val="32"/>
          <w:szCs w:val="32"/>
          <w:u w:val="single"/>
        </w:rPr>
        <w:t>号拍卖项目竞买保证金。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七、成交价款及佣金的缴纳方式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买受人须在拍卖成交后的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10</w:t>
      </w:r>
      <w:r>
        <w:rPr>
          <w:rFonts w:ascii="仿宋_GB2312" w:cs="仿宋_GB2312" w:eastAsia="仿宋_GB2312" w:hAnsi="仿宋_GB2312" w:hint="eastAsia"/>
          <w:sz w:val="32"/>
          <w:szCs w:val="32"/>
        </w:rPr>
        <w:t>日内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一次性交纳全部</w:t>
      </w:r>
      <w:r>
        <w:rPr>
          <w:rFonts w:ascii="仿宋_GB2312" w:cs="仿宋_GB2312" w:eastAsia="仿宋_GB2312" w:hAnsi="仿宋_GB2312" w:hint="eastAsia"/>
          <w:sz w:val="32"/>
          <w:szCs w:val="32"/>
        </w:rPr>
        <w:t>成交价款及拍卖佣金（注：买受人拍卖会前交纳的保证金不充抵成交价款）。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佣金收取比例为：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u w:val="none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u w:val="none"/>
          <w:lang w:val="en-US" w:eastAsia="zh-CN"/>
        </w:rPr>
        <w:t>成交价200万元以下的，收取拍卖佣金的比例为4.6%；成交价超过200万元至1000万元的部分，收取拍卖佣金的比例为2.5%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6" w:firstLineChars="202"/>
        <w:textAlignment w:val="auto"/>
        <w:rPr>
          <w:rFonts w:ascii="仿宋_GB2312" w:cs="仿宋_GB2312" w:eastAsia="仿宋_GB2312" w:hAnsi="仿宋_GB2312" w:hint="eastAsia"/>
          <w:sz w:val="32"/>
          <w:szCs w:val="32"/>
          <w:u w:val="none"/>
        </w:rPr>
      </w:pPr>
      <w:r>
        <w:rPr>
          <w:rFonts w:ascii="仿宋_GB2312" w:cs="仿宋_GB2312" w:eastAsia="仿宋_GB2312" w:hAnsi="仿宋_GB2312" w:hint="eastAsia"/>
          <w:sz w:val="32"/>
          <w:szCs w:val="32"/>
          <w:u w:val="none"/>
        </w:rPr>
        <w:t>账号：</w:t>
      </w:r>
      <w:r>
        <w:rPr>
          <w:rFonts w:ascii="仿宋_GB2312" w:cs="仿宋_GB2312" w:eastAsia="仿宋_GB2312" w:hAnsi="仿宋_GB2312" w:hint="eastAsia"/>
          <w:sz w:val="32"/>
          <w:szCs w:val="32"/>
          <w:u w:val="none"/>
          <w:lang w:val="en-US"/>
        </w:rPr>
        <w:t>4110 0201 0130 0312 01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6" w:firstLineChars="202"/>
        <w:textAlignment w:val="auto"/>
        <w:rPr>
          <w:rFonts w:ascii="仿宋_GB2312" w:cs="仿宋_GB2312" w:eastAsia="仿宋_GB2312" w:hAnsi="仿宋_GB2312" w:hint="eastAsia"/>
          <w:sz w:val="32"/>
          <w:szCs w:val="32"/>
          <w:u w:val="none"/>
        </w:rPr>
      </w:pPr>
      <w:r>
        <w:rPr>
          <w:rFonts w:ascii="仿宋_GB2312" w:cs="仿宋_GB2312" w:eastAsia="仿宋_GB2312" w:hAnsi="仿宋_GB2312" w:hint="eastAsia"/>
          <w:sz w:val="32"/>
          <w:szCs w:val="32"/>
          <w:u w:val="none"/>
        </w:rPr>
        <w:t>开户行：中原银行许昌劳动路支行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6" w:firstLineChars="202"/>
        <w:textAlignment w:val="auto"/>
        <w:rPr>
          <w:rFonts w:ascii="仿宋_GB2312" w:cs="仿宋_GB2312" w:eastAsia="仿宋_GB2312" w:hAnsi="仿宋_GB2312" w:hint="eastAsia"/>
          <w:sz w:val="32"/>
          <w:szCs w:val="32"/>
          <w:u w:val="none"/>
        </w:rPr>
      </w:pPr>
      <w:r>
        <w:rPr>
          <w:rFonts w:ascii="仿宋_GB2312" w:cs="仿宋_GB2312" w:eastAsia="仿宋_GB2312" w:hAnsi="仿宋_GB2312" w:hint="eastAsia"/>
          <w:sz w:val="32"/>
          <w:szCs w:val="32"/>
          <w:u w:val="none"/>
        </w:rPr>
        <w:t>户名：许昌阳光拍卖有限公司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6" w:firstLineChars="202"/>
        <w:textAlignment w:val="auto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报名地址: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许昌市颍昌大道跨越酒店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3楼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6" w:firstLineChars="202"/>
        <w:textAlignment w:val="auto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联系方式：18539038885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959" w:leftChars="304" w:hanging="321" w:hangingChars="100"/>
        <w:jc w:val="left"/>
        <w:textAlignment w:val="auto"/>
        <w:rPr>
          <w:rFonts w:ascii="仿宋_GB2312" w:cs="仿宋_GB2312" w:eastAsia="仿宋_GB2312" w:hAnsi="仿宋_GB2312"/>
          <w:color w:val="ff0000"/>
          <w:sz w:val="32"/>
          <w:szCs w:val="32"/>
        </w:rPr>
      </w:pPr>
      <w:r>
        <w:rPr>
          <w:rFonts w:ascii="仿宋_GB2312" w:cs="仿宋_GB2312" w:eastAsia="仿宋_GB2312" w:hAnsi="仿宋_GB2312" w:hint="eastAsia"/>
          <w:b/>
          <w:color w:val="ff0000"/>
          <w:sz w:val="32"/>
          <w:szCs w:val="32"/>
        </w:rPr>
        <w:t>全国公共资源交易平台（河南省•许昌市）</w:t>
      </w:r>
      <w:r>
        <w:rPr>
          <w:rFonts w:ascii="仿宋_GB2312" w:cs="仿宋_GB2312" w:eastAsia="仿宋_GB2312" w:hAnsi="仿宋_GB2312" w:hint="eastAsia"/>
          <w:color w:val="ff0000"/>
          <w:sz w:val="32"/>
          <w:szCs w:val="32"/>
        </w:rPr>
        <w:t>http://ggzy.xuchang.gov.cn/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480"/>
        <w:jc w:val="right"/>
        <w:textAlignment w:val="auto"/>
        <w:rPr>
          <w:rFonts w:ascii="仿宋_GB2312" w:cs="仿宋_GB2312" w:eastAsia="仿宋_GB2312" w:hAnsi="仿宋_GB2312" w:hint="eastAsia"/>
          <w:b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480"/>
        <w:jc w:val="right"/>
        <w:textAlignment w:val="auto"/>
        <w:rPr>
          <w:rFonts w:ascii="仿宋_GB2312" w:cs="仿宋_GB2312" w:eastAsia="仿宋_GB2312" w:hAnsi="仿宋_GB2312"/>
          <w:b/>
          <w:sz w:val="32"/>
          <w:szCs w:val="32"/>
        </w:rPr>
      </w:pPr>
      <w:r>
        <w:rPr>
          <w:rFonts w:ascii="仿宋_GB2312" w:cs="仿宋_GB2312" w:eastAsia="仿宋_GB2312" w:hAnsi="仿宋_GB2312" w:hint="eastAsia"/>
          <w:b/>
          <w:sz w:val="32"/>
          <w:szCs w:val="32"/>
        </w:rPr>
        <w:t>许昌阳光拍卖有限公司</w:t>
      </w:r>
    </w:p>
    <w:p>
      <w:pPr>
        <w:pStyle w:val="style0"/>
        <w:jc w:val="right"/>
        <w:rPr>
          <w:b w:val="false"/>
          <w:bCs/>
        </w:rPr>
      </w:pPr>
      <w:r>
        <w:rPr>
          <w:rFonts w:ascii="仿宋_GB2312" w:cs="仿宋_GB2312" w:eastAsia="仿宋_GB2312" w:hAnsi="仿宋_GB2312" w:hint="eastAsia"/>
          <w:b/>
          <w:sz w:val="32"/>
          <w:szCs w:val="32"/>
          <w:lang w:eastAsia="zh-CN"/>
        </w:rPr>
        <w:t>2021</w:t>
      </w:r>
      <w:r>
        <w:rPr>
          <w:rFonts w:ascii="仿宋_GB2312" w:cs="仿宋_GB2312" w:eastAsia="仿宋_GB2312" w:hAnsi="仿宋_GB2312" w:hint="eastAsia"/>
          <w:b/>
          <w:sz w:val="32"/>
          <w:szCs w:val="32"/>
        </w:rPr>
        <w:t>年</w:t>
      </w:r>
      <w:r>
        <w:rPr>
          <w:rFonts w:ascii="仿宋_GB2312" w:cs="仿宋_GB2312" w:eastAsia="仿宋_GB2312" w:hAnsi="仿宋_GB2312" w:hint="default"/>
          <w:b/>
          <w:sz w:val="32"/>
          <w:szCs w:val="32"/>
          <w:lang w:val="en-US"/>
        </w:rPr>
        <w:t>9</w:t>
      </w:r>
      <w:r>
        <w:rPr>
          <w:rFonts w:ascii="仿宋_GB2312" w:cs="仿宋_GB2312" w:eastAsia="仿宋_GB2312" w:hAnsi="仿宋_GB2312" w:hint="eastAsia"/>
          <w:b/>
          <w:sz w:val="32"/>
          <w:szCs w:val="32"/>
        </w:rPr>
        <w:t>月</w:t>
      </w:r>
      <w:bookmarkStart w:id="3" w:name="_GoBack"/>
      <w:bookmarkEnd w:id="3"/>
      <w:r>
        <w:rPr>
          <w:rFonts w:ascii="仿宋_GB2312" w:cs="仿宋_GB2312" w:eastAsia="仿宋_GB2312" w:hAnsi="仿宋_GB2312" w:hint="default"/>
          <w:b/>
          <w:sz w:val="32"/>
          <w:szCs w:val="32"/>
          <w:lang w:val="en-US"/>
        </w:rPr>
        <w:t>30</w:t>
      </w:r>
      <w:r>
        <w:rPr>
          <w:rFonts w:ascii="仿宋_GB2312" w:cs="仿宋_GB2312" w:eastAsia="仿宋_GB2312" w:hAnsi="仿宋_GB2312" w:hint="eastAsia"/>
          <w:b/>
          <w:sz w:val="32"/>
          <w:szCs w:val="32"/>
        </w:rPr>
        <w:t>日</w:t>
      </w:r>
    </w:p>
    <w:p>
      <w:pPr>
        <w:pStyle w:val="style0"/>
        <w:spacing w:lineRule="exact" w:line="560"/>
        <w:jc w:val="center"/>
        <w:rPr>
          <w:rFonts w:ascii="宋体" w:hAnsi="宋体" w:hint="eastAsia"/>
          <w:b/>
          <w:spacing w:val="100"/>
          <w:sz w:val="44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2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Words>1058</Words>
  <Pages>1</Pages>
  <Characters>1197</Characters>
  <Application>WPS Office</Application>
  <DocSecurity>0</DocSecurity>
  <Paragraphs>38</Paragraphs>
  <ScaleCrop>false</ScaleCrop>
  <LinksUpToDate>false</LinksUpToDate>
  <CharactersWithSpaces>1211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2021-08-05T04:40:00Z</dcterms:created>
  <dc:creator>凌峰傲雪</dc:creator>
  <lastModifiedBy>JEF-AN20</lastModifiedBy>
  <lastPrinted>2021-09-02T07:45:00Z</lastPrinted>
  <dcterms:modified xsi:type="dcterms:W3CDTF">2021-09-29T03:28:15Z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3D33DB67A4DE4AC0BBECE3C60834017F</vt:lpwstr>
  </property>
</Properties>
</file>