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A7" w:rsidRDefault="00DA51A7" w:rsidP="00DA51A7">
      <w:pPr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鄢陵县东方威尼斯小区涉案罚没房产专场</w:t>
      </w:r>
    </w:p>
    <w:p w:rsidR="00974309" w:rsidRDefault="00DA51A7" w:rsidP="00DA51A7">
      <w:pPr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拍卖会</w:t>
      </w:r>
      <w:r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变更</w:t>
      </w: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公告（项目编码</w:t>
      </w: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Y2021PZ121</w:t>
      </w: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）</w:t>
      </w:r>
    </w:p>
    <w:p w:rsidR="00DA51A7" w:rsidRDefault="00DA51A7" w:rsidP="00DA51A7">
      <w:pPr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p w:rsidR="00DA51A7" w:rsidRDefault="00BA2C1C" w:rsidP="00BA2C1C">
      <w:pPr>
        <w:ind w:firstLineChars="250" w:firstLine="740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原</w:t>
      </w:r>
      <w:r w:rsidR="00DA51A7" w:rsidRPr="00DA51A7">
        <w:rPr>
          <w:rFonts w:ascii="宋体" w:eastAsia="宋体" w:hAnsi="宋体" w:cs="宋体"/>
          <w:color w:val="333333"/>
          <w:spacing w:val="8"/>
          <w:kern w:val="0"/>
          <w:sz w:val="28"/>
          <w:szCs w:val="28"/>
          <w:shd w:val="clear" w:color="auto" w:fill="FFFFFF"/>
        </w:rPr>
        <w:t>鄢陵县东方威尼斯小区涉案罚没房产专场拍卖会</w:t>
      </w:r>
      <w:r w:rsidR="00DA51A7" w:rsidRP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拍卖</w:t>
      </w:r>
      <w:r w:rsidR="00DA51A7" w:rsidRPr="00DA51A7">
        <w:rPr>
          <w:rFonts w:ascii="宋体" w:eastAsia="宋体" w:hAnsi="宋体" w:cs="宋体"/>
          <w:color w:val="333333"/>
          <w:spacing w:val="8"/>
          <w:kern w:val="0"/>
          <w:sz w:val="28"/>
          <w:szCs w:val="28"/>
          <w:shd w:val="clear" w:color="auto" w:fill="FFFFFF"/>
        </w:rPr>
        <w:t>公告（项目编码Y2021PZ121）</w:t>
      </w:r>
      <w:r w:rsidR="00DA51A7" w:rsidRP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第六条拍卖成交价款及佣金的缴纳方式中</w:t>
      </w:r>
      <w:r w:rsidRP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 xml:space="preserve"> </w:t>
      </w:r>
      <w:r w:rsidR="00DA51A7" w:rsidRP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“账号：4110 0201 0130 0312 01、开户行：中原银行许昌劳动路支行、户名：许昌阳光拍卖有限公司”，现变更为“账号：4110 2501 0140 0826 01、开户行：中原银行</w:t>
      </w:r>
      <w:r w:rsid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鄢陵</w:t>
      </w:r>
      <w:r w:rsidR="00DA51A7" w:rsidRP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支行、户名：许昌阳光拍卖有限公司”</w:t>
      </w: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，</w:t>
      </w:r>
      <w:r w:rsidR="00DA51A7" w:rsidRPr="00DA51A7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公告其它内容不变。</w:t>
      </w:r>
    </w:p>
    <w:p w:rsidR="00BA2C1C" w:rsidRDefault="00BA2C1C" w:rsidP="00BA2C1C">
      <w:pPr>
        <w:ind w:firstLineChars="250" w:firstLine="740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</w:pPr>
    </w:p>
    <w:p w:rsidR="00BA2C1C" w:rsidRDefault="00BA2C1C" w:rsidP="00BA2C1C">
      <w:pPr>
        <w:ind w:firstLineChars="250" w:firstLine="740"/>
        <w:jc w:val="right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许昌阳光拍卖有限公司</w:t>
      </w:r>
    </w:p>
    <w:p w:rsidR="00BA2C1C" w:rsidRPr="00BA2C1C" w:rsidRDefault="00BA2C1C" w:rsidP="00BA2C1C">
      <w:pPr>
        <w:ind w:firstLineChars="250" w:firstLine="740"/>
        <w:jc w:val="right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8"/>
          <w:shd w:val="clear" w:color="auto" w:fill="FFFFFF"/>
        </w:rPr>
        <w:t>2021年7月6日</w:t>
      </w:r>
    </w:p>
    <w:sectPr w:rsidR="00BA2C1C" w:rsidRPr="00BA2C1C" w:rsidSect="0096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1A7"/>
    <w:rsid w:val="000B48D9"/>
    <w:rsid w:val="00540AF6"/>
    <w:rsid w:val="009612CB"/>
    <w:rsid w:val="00BA2C1C"/>
    <w:rsid w:val="00DA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67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68820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2021-07-06T05:47:00Z</dcterms:created>
  <dcterms:modified xsi:type="dcterms:W3CDTF">2021-07-06T06:03:00Z</dcterms:modified>
</cp:coreProperties>
</file>