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微软雅黑" w:hAnsi="微软雅黑" w:cs="Arial"/>
          <w:b/>
          <w:bCs/>
          <w:color w:val="000000"/>
          <w:sz w:val="28"/>
          <w:szCs w:val="28"/>
        </w:rPr>
      </w:pPr>
      <w:r>
        <w:rPr>
          <w:rFonts w:ascii="微软雅黑" w:hAnsi="微软雅黑" w:cs="Arial"/>
          <w:b/>
          <w:bCs/>
          <w:color w:val="000000"/>
          <w:sz w:val="28"/>
          <w:szCs w:val="28"/>
        </w:rPr>
        <w:t>鄢陵县涉案</w:t>
      </w:r>
      <w:r>
        <w:rPr>
          <w:rFonts w:hint="eastAsia" w:ascii="微软雅黑" w:hAnsi="微软雅黑" w:cs="Arial"/>
          <w:b/>
          <w:bCs/>
          <w:color w:val="000000"/>
          <w:sz w:val="28"/>
          <w:szCs w:val="28"/>
        </w:rPr>
        <w:t>4</w:t>
      </w:r>
      <w:r>
        <w:rPr>
          <w:rFonts w:ascii="微软雅黑" w:hAnsi="微软雅黑" w:cs="Arial"/>
          <w:b/>
          <w:bCs/>
          <w:color w:val="000000"/>
          <w:sz w:val="28"/>
          <w:szCs w:val="28"/>
        </w:rPr>
        <w:t>个园林部分资产拍卖会公告</w:t>
      </w:r>
    </w:p>
    <w:p>
      <w:pPr>
        <w:spacing w:line="220" w:lineRule="atLeast"/>
        <w:jc w:val="center"/>
        <w:rPr>
          <w:sz w:val="28"/>
          <w:szCs w:val="28"/>
        </w:rPr>
      </w:pPr>
      <w:r>
        <w:rPr>
          <w:rFonts w:hint="eastAsia" w:ascii="微软雅黑" w:hAnsi="微软雅黑" w:cs="Arial"/>
          <w:b/>
          <w:bCs/>
          <w:color w:val="000000"/>
          <w:sz w:val="28"/>
          <w:szCs w:val="28"/>
        </w:rPr>
        <w:t>（</w:t>
      </w:r>
      <w:r>
        <w:rPr>
          <w:rFonts w:ascii="微软雅黑" w:hAnsi="微软雅黑" w:cs="Arial"/>
          <w:b/>
          <w:bCs/>
          <w:color w:val="000000"/>
          <w:sz w:val="28"/>
          <w:szCs w:val="28"/>
        </w:rPr>
        <w:t>项目编号：</w:t>
      </w:r>
      <w:r>
        <w:rPr>
          <w:rFonts w:ascii="微软雅黑" w:hAnsi="微软雅黑" w:cs="Arial"/>
          <w:b/>
          <w:bCs/>
          <w:sz w:val="28"/>
          <w:szCs w:val="28"/>
        </w:rPr>
        <w:t>Y2020PZ191</w:t>
      </w:r>
      <w:r>
        <w:rPr>
          <w:rFonts w:hint="eastAsia" w:ascii="微软雅黑" w:hAnsi="微软雅黑" w:cs="Arial"/>
          <w:b/>
          <w:bCs/>
          <w:color w:val="000000"/>
          <w:sz w:val="28"/>
          <w:szCs w:val="28"/>
        </w:rPr>
        <w:t>）</w:t>
      </w:r>
    </w:p>
    <w:p>
      <w:pPr>
        <w:ind w:firstLine="480" w:firstLineChars="200"/>
        <w:rPr>
          <w:rStyle w:val="6"/>
          <w:rFonts w:asciiTheme="minorHAnsi" w:hAnsiTheme="minorHAnsi" w:eastAsiaTheme="minorEastAsia"/>
          <w:sz w:val="24"/>
          <w:szCs w:val="24"/>
        </w:rPr>
      </w:pPr>
      <w:r>
        <w:rPr>
          <w:rStyle w:val="6"/>
          <w:rFonts w:hint="eastAsia" w:asciiTheme="minorHAnsi" w:hAnsiTheme="minorHAnsi" w:eastAsiaTheme="minorEastAsia"/>
          <w:sz w:val="24"/>
          <w:szCs w:val="24"/>
        </w:rPr>
        <w:t>经鄢陵县政府同意，受委托，</w:t>
      </w:r>
      <w:r>
        <w:rPr>
          <w:rStyle w:val="6"/>
          <w:rFonts w:hint="eastAsia" w:asciiTheme="minorHAnsi" w:hAnsiTheme="minorHAnsi" w:eastAsiaTheme="minorEastAsia"/>
          <w:color w:val="auto"/>
          <w:sz w:val="24"/>
          <w:szCs w:val="24"/>
        </w:rPr>
        <w:t>我公司定于</w:t>
      </w:r>
      <w:r>
        <w:rPr>
          <w:rStyle w:val="6"/>
          <w:rFonts w:ascii="Calibri" w:hAnsi="Calibri"/>
          <w:color w:val="auto"/>
          <w:sz w:val="24"/>
          <w:szCs w:val="24"/>
        </w:rPr>
        <w:t>202</w:t>
      </w:r>
      <w:r>
        <w:rPr>
          <w:rStyle w:val="6"/>
          <w:rFonts w:hint="eastAsia" w:ascii="Calibri" w:hAnsi="Calibri"/>
          <w:color w:val="auto"/>
          <w:sz w:val="24"/>
          <w:szCs w:val="24"/>
        </w:rPr>
        <w:t>1</w:t>
      </w:r>
      <w:r>
        <w:rPr>
          <w:rStyle w:val="6"/>
          <w:rFonts w:hint="eastAsia" w:asciiTheme="minorHAnsi" w:hAnsiTheme="minorHAnsi" w:eastAsiaTheme="minorEastAsia"/>
          <w:color w:val="auto"/>
          <w:sz w:val="24"/>
          <w:szCs w:val="24"/>
        </w:rPr>
        <w:t>年</w:t>
      </w:r>
      <w:r>
        <w:rPr>
          <w:rStyle w:val="6"/>
          <w:rFonts w:hint="eastAsia" w:ascii="Calibri" w:hAnsi="Calibri"/>
          <w:color w:val="auto"/>
          <w:sz w:val="24"/>
          <w:szCs w:val="24"/>
        </w:rPr>
        <w:t>1</w:t>
      </w:r>
      <w:r>
        <w:rPr>
          <w:rStyle w:val="6"/>
          <w:rFonts w:hint="eastAsia" w:asciiTheme="minorHAnsi" w:hAnsiTheme="minorHAnsi" w:eastAsiaTheme="minorEastAsia"/>
          <w:color w:val="auto"/>
          <w:sz w:val="24"/>
          <w:szCs w:val="24"/>
        </w:rPr>
        <w:t>月</w:t>
      </w:r>
      <w:r>
        <w:rPr>
          <w:rStyle w:val="6"/>
          <w:rFonts w:hint="eastAsia" w:ascii="Calibri" w:hAnsi="Calibri"/>
          <w:color w:val="auto"/>
          <w:sz w:val="24"/>
          <w:szCs w:val="24"/>
          <w:u w:val="single"/>
        </w:rPr>
        <w:t xml:space="preserve"> 27  </w:t>
      </w:r>
      <w:r>
        <w:rPr>
          <w:rStyle w:val="6"/>
          <w:rFonts w:hint="eastAsia" w:asciiTheme="minorHAnsi" w:hAnsiTheme="minorHAnsi" w:eastAsiaTheme="minorEastAsia"/>
          <w:color w:val="auto"/>
          <w:sz w:val="24"/>
          <w:szCs w:val="24"/>
        </w:rPr>
        <w:t>日上午</w:t>
      </w:r>
      <w:r>
        <w:rPr>
          <w:rStyle w:val="6"/>
          <w:rFonts w:hint="eastAsia" w:ascii="Calibri" w:hAnsi="Calibri" w:eastAsiaTheme="minorEastAsia"/>
          <w:color w:val="auto"/>
          <w:sz w:val="24"/>
          <w:szCs w:val="24"/>
          <w:lang w:val="en-US" w:eastAsia="zh-CN"/>
        </w:rPr>
        <w:t>10</w:t>
      </w:r>
      <w:r>
        <w:rPr>
          <w:rStyle w:val="6"/>
          <w:rFonts w:hint="eastAsia" w:asciiTheme="minorHAnsi" w:hAnsiTheme="minorHAnsi" w:eastAsiaTheme="minorEastAsia"/>
          <w:color w:val="auto"/>
          <w:sz w:val="24"/>
          <w:szCs w:val="24"/>
        </w:rPr>
        <w:t>时，在鄢陵县公共资源交易中心</w:t>
      </w:r>
      <w:r>
        <w:rPr>
          <w:rStyle w:val="6"/>
          <w:rFonts w:ascii="Calibri" w:hAnsi="Calibri"/>
          <w:color w:val="auto"/>
          <w:sz w:val="24"/>
          <w:szCs w:val="24"/>
        </w:rPr>
        <w:t>4</w:t>
      </w:r>
      <w:r>
        <w:rPr>
          <w:rStyle w:val="6"/>
          <w:rFonts w:hint="eastAsia" w:asciiTheme="minorHAnsi" w:hAnsiTheme="minorHAnsi" w:eastAsiaTheme="minorEastAsia"/>
          <w:color w:val="auto"/>
          <w:sz w:val="24"/>
          <w:szCs w:val="24"/>
        </w:rPr>
        <w:t>楼开标</w:t>
      </w:r>
      <w:r>
        <w:rPr>
          <w:rStyle w:val="6"/>
          <w:rFonts w:hint="eastAsia" w:ascii="Calibri" w:hAnsi="Calibri" w:eastAsiaTheme="minorEastAsia"/>
          <w:color w:val="auto"/>
          <w:sz w:val="24"/>
          <w:szCs w:val="24"/>
          <w:lang w:val="en-US" w:eastAsia="zh-CN"/>
        </w:rPr>
        <w:t>1</w:t>
      </w:r>
      <w:r>
        <w:rPr>
          <w:rStyle w:val="6"/>
          <w:rFonts w:hint="eastAsia" w:asciiTheme="minorHAnsi" w:hAnsiTheme="minorHAnsi" w:eastAsiaTheme="minorEastAsia"/>
          <w:color w:val="auto"/>
          <w:sz w:val="24"/>
          <w:szCs w:val="24"/>
        </w:rPr>
        <w:t>室依法公开拍卖</w:t>
      </w:r>
      <w:r>
        <w:rPr>
          <w:rStyle w:val="6"/>
          <w:rFonts w:hint="eastAsia" w:asciiTheme="minorEastAsia" w:hAnsiTheme="minorEastAsia" w:eastAsiaTheme="minorEastAsia"/>
          <w:color w:val="auto"/>
          <w:sz w:val="24"/>
          <w:szCs w:val="24"/>
        </w:rPr>
        <w:t>鄢陵县涉案</w:t>
      </w:r>
      <w:r>
        <w:rPr>
          <w:rStyle w:val="6"/>
          <w:rFonts w:hint="eastAsia" w:asciiTheme="minorEastAsia" w:hAnsiTheme="minorEastAsia" w:eastAsiaTheme="minorEastAsia"/>
          <w:sz w:val="24"/>
          <w:szCs w:val="24"/>
        </w:rPr>
        <w:t>4个园林部分资产,该4个标的由县政府批准同意，按照《拍卖法》、《河南省行政事业单位国有资产管理办法》有关规定降价后进行第二次拍卖。</w:t>
      </w:r>
      <w:r>
        <w:rPr>
          <w:rStyle w:val="6"/>
          <w:rFonts w:hint="eastAsia" w:asciiTheme="minorHAnsi" w:hAnsiTheme="minorHAnsi" w:eastAsiaTheme="minorEastAsia"/>
          <w:sz w:val="24"/>
          <w:szCs w:val="24"/>
        </w:rPr>
        <w:t>现公告如下：</w:t>
      </w:r>
    </w:p>
    <w:p>
      <w:pPr>
        <w:ind w:firstLine="602" w:firstLineChars="250"/>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一、拍卖标的：</w:t>
      </w:r>
    </w:p>
    <w:p>
      <w:pPr>
        <w:ind w:firstLine="480" w:firstLineChars="200"/>
        <w:rPr>
          <w:rFonts w:asciiTheme="minorHAnsi" w:hAnsiTheme="minorHAnsi" w:eastAsiaTheme="minorEastAsia"/>
          <w:b/>
          <w:color w:val="000000"/>
          <w:sz w:val="24"/>
          <w:szCs w:val="24"/>
        </w:rPr>
      </w:pPr>
      <w:r>
        <w:rPr>
          <w:rFonts w:hint="eastAsia" w:cs="宋体" w:asciiTheme="minorHAnsi" w:hAnsiTheme="minorHAnsi" w:eastAsiaTheme="minorEastAsia"/>
          <w:color w:val="000000"/>
          <w:sz w:val="24"/>
          <w:szCs w:val="24"/>
        </w:rPr>
        <w:t>标的</w:t>
      </w:r>
      <w:r>
        <w:rPr>
          <w:rFonts w:hint="eastAsia" w:ascii="Calibri" w:hAnsi="Calibri" w:eastAsia="宋体" w:cs="宋体"/>
          <w:color w:val="000000"/>
          <w:sz w:val="24"/>
          <w:szCs w:val="24"/>
        </w:rPr>
        <w:t>1</w:t>
      </w:r>
      <w:r>
        <w:rPr>
          <w:rFonts w:hint="eastAsia" w:cs="宋体" w:asciiTheme="minorHAnsi" w:hAnsiTheme="minorHAnsi" w:eastAsiaTheme="minorEastAsia"/>
          <w:color w:val="000000"/>
          <w:sz w:val="24"/>
          <w:szCs w:val="24"/>
        </w:rPr>
        <w:t>：马场园林，位于鄢陵县陈化店镇后杜村马术俱乐部（马场）园林地上附属物等涉案资产，起拍价273万元；</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标的</w:t>
      </w:r>
      <w:r>
        <w:rPr>
          <w:rFonts w:hint="eastAsia" w:ascii="Calibri" w:hAnsi="Calibri" w:eastAsia="宋体" w:cs="宋体"/>
          <w:color w:val="000000"/>
          <w:sz w:val="24"/>
          <w:szCs w:val="24"/>
        </w:rPr>
        <w:t>2</w:t>
      </w:r>
      <w:r>
        <w:rPr>
          <w:rFonts w:hint="eastAsia" w:cs="宋体" w:asciiTheme="minorHAnsi" w:hAnsiTheme="minorHAnsi" w:eastAsiaTheme="minorEastAsia"/>
          <w:color w:val="000000"/>
          <w:sz w:val="24"/>
          <w:szCs w:val="24"/>
        </w:rPr>
        <w:t>：白皮松园林，位于鄢陵县陈化店镇后杜村白皮松基地园林地上附属物等涉案资产，起拍价569万元；</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标的</w:t>
      </w:r>
      <w:r>
        <w:rPr>
          <w:rFonts w:hint="eastAsia" w:ascii="Calibri" w:hAnsi="Calibri" w:eastAsia="宋体" w:cs="宋体"/>
          <w:color w:val="000000"/>
          <w:sz w:val="24"/>
          <w:szCs w:val="24"/>
        </w:rPr>
        <w:t>3</w:t>
      </w:r>
      <w:r>
        <w:rPr>
          <w:rFonts w:hint="eastAsia" w:cs="宋体" w:asciiTheme="minorHAnsi" w:hAnsiTheme="minorHAnsi" w:eastAsiaTheme="minorEastAsia"/>
          <w:color w:val="000000"/>
          <w:sz w:val="24"/>
          <w:szCs w:val="24"/>
        </w:rPr>
        <w:t>：后杜园林，位于鄢陵县陈化店镇后杜村园林地上附属物等涉案资产，起拍价383万元；</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标的</w:t>
      </w:r>
      <w:r>
        <w:rPr>
          <w:rFonts w:hint="eastAsia" w:ascii="Calibri" w:hAnsi="Calibri" w:eastAsia="宋体" w:cs="宋体"/>
          <w:color w:val="000000"/>
          <w:sz w:val="24"/>
          <w:szCs w:val="24"/>
        </w:rPr>
        <w:t>4</w:t>
      </w:r>
      <w:r>
        <w:rPr>
          <w:rFonts w:hint="eastAsia" w:cs="宋体" w:asciiTheme="minorHAnsi" w:hAnsiTheme="minorHAnsi" w:eastAsiaTheme="minorEastAsia"/>
          <w:color w:val="000000"/>
          <w:sz w:val="24"/>
          <w:szCs w:val="24"/>
        </w:rPr>
        <w:t>：彭店园林，位于鄢陵县彭店镇园林区内地上附属物等涉案资产，起拍价71万元。</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以上标的具体情况详见委托方提供的资产评估报告。</w:t>
      </w:r>
    </w:p>
    <w:p>
      <w:pPr>
        <w:shd w:val="clear" w:color="auto" w:fill="FFFFFF"/>
        <w:adjustRightInd/>
        <w:snapToGrid/>
        <w:spacing w:after="0"/>
        <w:ind w:firstLine="482" w:firstLineChars="200"/>
        <w:textAlignment w:val="baseline"/>
        <w:rPr>
          <w:rFonts w:cs="宋体" w:asciiTheme="minorHAnsi" w:hAnsiTheme="minorHAnsi" w:eastAsiaTheme="minorEastAsia"/>
          <w:b/>
          <w:color w:val="000000"/>
          <w:sz w:val="24"/>
          <w:szCs w:val="24"/>
        </w:rPr>
      </w:pPr>
    </w:p>
    <w:p>
      <w:pPr>
        <w:shd w:val="clear" w:color="auto" w:fill="FFFFFF"/>
        <w:adjustRightInd/>
        <w:snapToGrid/>
        <w:spacing w:after="0"/>
        <w:ind w:firstLine="482" w:firstLineChars="200"/>
        <w:textAlignment w:val="baseline"/>
        <w:rPr>
          <w:rFonts w:cs="宋体" w:asciiTheme="minorHAnsi" w:hAnsiTheme="minorHAnsi" w:eastAsiaTheme="minorEastAsia"/>
          <w:b/>
          <w:color w:val="000000"/>
          <w:sz w:val="24"/>
          <w:szCs w:val="24"/>
        </w:rPr>
      </w:pPr>
      <w:r>
        <w:rPr>
          <w:rFonts w:hint="eastAsia" w:cs="宋体" w:asciiTheme="minorHAnsi" w:hAnsiTheme="minorHAnsi" w:eastAsiaTheme="minorEastAsia"/>
          <w:b/>
          <w:color w:val="000000"/>
          <w:sz w:val="24"/>
          <w:szCs w:val="24"/>
        </w:rPr>
        <w:t>二、竞买人资格：</w:t>
      </w:r>
    </w:p>
    <w:p>
      <w:pPr>
        <w:shd w:val="clear" w:color="auto" w:fill="FFFFFF"/>
        <w:adjustRightInd/>
        <w:snapToGrid/>
        <w:spacing w:after="0"/>
        <w:ind w:firstLine="480" w:firstLineChars="200"/>
        <w:textAlignment w:val="baseline"/>
        <w:rPr>
          <w:rStyle w:val="6"/>
          <w:rFonts w:asciiTheme="minorHAnsi" w:hAnsiTheme="minorHAnsi" w:eastAsiaTheme="minorEastAsia"/>
          <w:sz w:val="24"/>
          <w:szCs w:val="24"/>
        </w:rPr>
      </w:pPr>
      <w:r>
        <w:rPr>
          <w:rStyle w:val="6"/>
          <w:rFonts w:hint="eastAsia" w:asciiTheme="minorHAnsi" w:hAnsiTheme="minorHAnsi" w:eastAsiaTheme="minorEastAsia"/>
          <w:sz w:val="24"/>
          <w:szCs w:val="24"/>
        </w:rPr>
        <w:t>具有合法资格的中华人民共和国境内企业或其他法人组织以及具备完全民事行为能力的自然人均可报名参加竞买。</w:t>
      </w:r>
    </w:p>
    <w:p>
      <w:pPr>
        <w:shd w:val="clear" w:color="auto" w:fill="FFFFFF"/>
        <w:adjustRightInd/>
        <w:snapToGrid/>
        <w:spacing w:after="0"/>
        <w:ind w:firstLine="482" w:firstLineChars="200"/>
        <w:textAlignment w:val="baseline"/>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三、标的展示：</w:t>
      </w:r>
    </w:p>
    <w:p>
      <w:pPr>
        <w:shd w:val="clear" w:color="auto" w:fill="FFFFFF"/>
        <w:adjustRightInd/>
        <w:snapToGrid/>
        <w:spacing w:after="0"/>
        <w:ind w:firstLine="480" w:firstLineChars="200"/>
        <w:textAlignment w:val="baseline"/>
        <w:rPr>
          <w:rStyle w:val="6"/>
          <w:rFonts w:hint="default" w:asciiTheme="minorHAnsi" w:hAnsiTheme="minorHAnsi" w:eastAsiaTheme="minorEastAsia"/>
          <w:sz w:val="24"/>
          <w:szCs w:val="24"/>
          <w:lang w:val="en-US" w:eastAsia="zh-CN"/>
        </w:rPr>
      </w:pPr>
      <w:r>
        <w:rPr>
          <w:rStyle w:val="6"/>
          <w:rFonts w:hint="eastAsia" w:asciiTheme="minorHAnsi" w:hAnsiTheme="minorHAnsi" w:eastAsiaTheme="minorEastAsia"/>
          <w:sz w:val="24"/>
          <w:szCs w:val="24"/>
        </w:rPr>
        <w:t>展示时间：自公告之日起</w:t>
      </w:r>
      <w:r>
        <w:rPr>
          <w:rStyle w:val="6"/>
          <w:rFonts w:hint="eastAsia" w:asciiTheme="minorHAnsi" w:hAnsiTheme="minorHAnsi" w:eastAsiaTheme="minorEastAsia"/>
          <w:sz w:val="24"/>
          <w:szCs w:val="24"/>
          <w:lang w:val="en-US" w:eastAsia="zh-CN"/>
        </w:rPr>
        <w:t>至2021年1月26日</w:t>
      </w:r>
    </w:p>
    <w:p>
      <w:pPr>
        <w:shd w:val="clear" w:color="auto" w:fill="FFFFFF"/>
        <w:adjustRightInd/>
        <w:snapToGrid/>
        <w:spacing w:after="0"/>
        <w:ind w:firstLine="480" w:firstLineChars="200"/>
        <w:textAlignment w:val="baseline"/>
        <w:rPr>
          <w:rStyle w:val="6"/>
          <w:rFonts w:asciiTheme="minorHAnsi" w:hAnsiTheme="minorHAnsi" w:eastAsiaTheme="minorEastAsia"/>
          <w:sz w:val="24"/>
          <w:szCs w:val="24"/>
        </w:rPr>
      </w:pPr>
      <w:r>
        <w:rPr>
          <w:rStyle w:val="6"/>
          <w:rFonts w:hint="eastAsia" w:asciiTheme="minorHAnsi" w:hAnsiTheme="minorHAnsi" w:eastAsiaTheme="minorEastAsia"/>
          <w:sz w:val="24"/>
          <w:szCs w:val="24"/>
        </w:rPr>
        <w:t>展示地点：标的物所在地</w:t>
      </w:r>
    </w:p>
    <w:p>
      <w:pPr>
        <w:shd w:val="clear" w:color="auto" w:fill="FFFFFF"/>
        <w:adjustRightInd/>
        <w:snapToGrid/>
        <w:spacing w:after="0"/>
        <w:ind w:firstLine="482" w:firstLineChars="200"/>
        <w:textAlignment w:val="baseline"/>
        <w:rPr>
          <w:rStyle w:val="6"/>
          <w:rFonts w:asciiTheme="minorHAnsi" w:hAnsiTheme="minorHAnsi" w:eastAsiaTheme="minorEastAsia"/>
          <w:b/>
          <w:sz w:val="24"/>
          <w:szCs w:val="24"/>
        </w:rPr>
      </w:pPr>
      <w:r>
        <w:rPr>
          <w:rStyle w:val="6"/>
          <w:rFonts w:hint="eastAsia" w:asciiTheme="minorHAnsi" w:hAnsiTheme="minorHAnsi" w:eastAsiaTheme="minorEastAsia"/>
          <w:b/>
          <w:sz w:val="24"/>
          <w:szCs w:val="24"/>
        </w:rPr>
        <w:t>四、保证金交纳：</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、保证金交纳：不收现金。</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交纳时间：公告之日起至</w:t>
      </w:r>
      <w:r>
        <w:rPr>
          <w:rFonts w:hint="eastAsia" w:ascii="Calibri" w:hAnsi="Calibri" w:eastAsia="宋体" w:cs="宋体"/>
          <w:sz w:val="24"/>
          <w:szCs w:val="24"/>
        </w:rPr>
        <w:t>2021年</w:t>
      </w:r>
      <w:r>
        <w:rPr>
          <w:rFonts w:hint="eastAsia" w:ascii="Calibri" w:hAnsi="Calibri" w:eastAsia="宋体" w:cs="宋体"/>
          <w:sz w:val="24"/>
          <w:szCs w:val="24"/>
          <w:u w:val="single"/>
        </w:rPr>
        <w:t xml:space="preserve">  1   </w:t>
      </w:r>
      <w:r>
        <w:rPr>
          <w:rFonts w:hint="eastAsia" w:cs="宋体" w:asciiTheme="minorHAnsi" w:hAnsiTheme="minorHAnsi" w:eastAsiaTheme="minorEastAsia"/>
          <w:sz w:val="24"/>
          <w:szCs w:val="24"/>
        </w:rPr>
        <w:t>月</w:t>
      </w:r>
      <w:r>
        <w:rPr>
          <w:rFonts w:ascii="Calibri" w:hAnsi="Calibri" w:eastAsia="宋体" w:cs="宋体"/>
          <w:sz w:val="24"/>
          <w:szCs w:val="24"/>
          <w:u w:val="single"/>
        </w:rPr>
        <w:t xml:space="preserve"> </w:t>
      </w:r>
      <w:r>
        <w:rPr>
          <w:rFonts w:hint="eastAsia" w:ascii="Calibri" w:hAnsi="Calibri" w:eastAsia="宋体" w:cs="宋体"/>
          <w:sz w:val="24"/>
          <w:szCs w:val="24"/>
          <w:u w:val="single"/>
        </w:rPr>
        <w:t xml:space="preserve">  26  </w:t>
      </w:r>
      <w:r>
        <w:rPr>
          <w:rFonts w:hint="eastAsia" w:cs="宋体" w:asciiTheme="minorHAnsi" w:hAnsiTheme="minorHAnsi" w:eastAsiaTheme="minorEastAsia"/>
          <w:sz w:val="24"/>
          <w:szCs w:val="24"/>
        </w:rPr>
        <w:t>日</w:t>
      </w:r>
      <w:r>
        <w:rPr>
          <w:rFonts w:hint="eastAsia" w:cs="宋体" w:asciiTheme="minorHAnsi" w:hAnsiTheme="minorHAnsi" w:eastAsiaTheme="minorEastAsia"/>
          <w:color w:val="000000"/>
          <w:sz w:val="24"/>
          <w:szCs w:val="24"/>
        </w:rPr>
        <w:t>下午</w:t>
      </w:r>
      <w:r>
        <w:rPr>
          <w:rFonts w:ascii="Calibri" w:hAnsi="Calibri" w:eastAsia="宋体" w:cs="宋体"/>
          <w:color w:val="000000"/>
          <w:sz w:val="24"/>
          <w:szCs w:val="24"/>
        </w:rPr>
        <w:t>16</w:t>
      </w:r>
      <w:r>
        <w:rPr>
          <w:rFonts w:hint="eastAsia" w:cs="宋体" w:asciiTheme="minorHAnsi" w:hAnsiTheme="minorHAnsi" w:eastAsiaTheme="minorEastAsia"/>
          <w:color w:val="000000"/>
          <w:sz w:val="24"/>
          <w:szCs w:val="24"/>
        </w:rPr>
        <w:t>时（以保证金到账为准）</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交纳方式：竞买人可通过公司或个人银行（网银）转账交纳竞买保证金：</w:t>
      </w:r>
      <w:r>
        <w:rPr>
          <w:rFonts w:ascii="Calibri" w:hAnsi="Calibri" w:eastAsia="宋体" w:cs="宋体"/>
          <w:color w:val="000000"/>
          <w:sz w:val="24"/>
          <w:szCs w:val="24"/>
        </w:rPr>
        <w:t>50</w:t>
      </w:r>
      <w:r>
        <w:rPr>
          <w:rFonts w:hint="eastAsia" w:cs="宋体" w:asciiTheme="minorHAnsi" w:hAnsiTheme="minorHAnsi" w:eastAsiaTheme="minorEastAsia"/>
          <w:color w:val="000000"/>
          <w:sz w:val="24"/>
          <w:szCs w:val="24"/>
        </w:rPr>
        <w:t>万元（可成交本次拍卖任意一个或多个标的），不成交者，全额无息退还。（保证金转账户名：鄢陵县公共资源交易中心，开户行：中原银行鄢陵支行，账号：</w:t>
      </w:r>
      <w:r>
        <w:rPr>
          <w:rFonts w:ascii="Calibri" w:hAnsi="Calibri" w:eastAsia="宋体" w:cs="宋体"/>
          <w:color w:val="000000"/>
          <w:sz w:val="24"/>
          <w:szCs w:val="24"/>
        </w:rPr>
        <w:t>411025010190014701</w:t>
      </w:r>
      <w:r>
        <w:rPr>
          <w:rFonts w:hint="eastAsia" w:cs="宋体" w:asciiTheme="minorHAnsi" w:hAnsiTheme="minorHAnsi" w:eastAsiaTheme="minorEastAsia"/>
          <w:color w:val="000000"/>
          <w:sz w:val="24"/>
          <w:szCs w:val="24"/>
        </w:rPr>
        <w:t>，转账时注明：“鄢物涉案资产拍卖”）</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、登记报名</w:t>
      </w:r>
    </w:p>
    <w:p>
      <w:pPr>
        <w:shd w:val="clear" w:color="auto" w:fill="FFFFFF"/>
        <w:adjustRightInd/>
        <w:snapToGrid/>
        <w:spacing w:after="0"/>
        <w:ind w:firstLine="480" w:firstLineChars="200"/>
        <w:textAlignment w:val="baseline"/>
        <w:rPr>
          <w:rFonts w:ascii="宋体" w:hAnsi="宋体" w:eastAsia="宋体" w:cs="宋体"/>
          <w:sz w:val="24"/>
          <w:szCs w:val="24"/>
        </w:rPr>
      </w:pPr>
      <w:r>
        <w:rPr>
          <w:rFonts w:hint="eastAsia" w:cs="宋体" w:asciiTheme="minorHAnsi" w:hAnsiTheme="minorHAnsi" w:eastAsiaTheme="minorEastAsia"/>
          <w:color w:val="000000"/>
          <w:sz w:val="24"/>
          <w:szCs w:val="24"/>
        </w:rPr>
        <w:t>报名统一登记时间</w:t>
      </w:r>
      <w:r>
        <w:rPr>
          <w:rFonts w:hint="eastAsia" w:cs="宋体" w:asciiTheme="minorHAnsi" w:hAnsiTheme="minorHAnsi" w:eastAsiaTheme="minorEastAsia"/>
          <w:sz w:val="24"/>
          <w:szCs w:val="24"/>
        </w:rPr>
        <w:t>：2021年</w:t>
      </w:r>
      <w:r>
        <w:rPr>
          <w:rFonts w:ascii="Calibri" w:hAnsi="Calibri" w:eastAsia="宋体" w:cs="宋体"/>
          <w:sz w:val="24"/>
          <w:szCs w:val="24"/>
        </w:rPr>
        <w:t>1</w:t>
      </w:r>
      <w:r>
        <w:rPr>
          <w:rFonts w:hint="eastAsia" w:cs="宋体" w:asciiTheme="minorHAnsi" w:hAnsiTheme="minorHAnsi" w:eastAsiaTheme="minorEastAsia"/>
          <w:sz w:val="24"/>
          <w:szCs w:val="24"/>
        </w:rPr>
        <w:t>月</w:t>
      </w:r>
      <w:r>
        <w:rPr>
          <w:rFonts w:hint="eastAsia" w:ascii="Calibri" w:hAnsi="Calibri" w:eastAsia="宋体" w:cs="宋体"/>
          <w:sz w:val="24"/>
          <w:szCs w:val="24"/>
          <w:u w:val="single"/>
        </w:rPr>
        <w:t xml:space="preserve">  2</w:t>
      </w:r>
      <w:r>
        <w:rPr>
          <w:rFonts w:hint="eastAsia" w:ascii="Calibri" w:hAnsi="Calibri" w:eastAsia="宋体" w:cs="宋体"/>
          <w:sz w:val="24"/>
          <w:szCs w:val="24"/>
          <w:u w:val="single"/>
          <w:lang w:val="en-US" w:eastAsia="zh-CN"/>
        </w:rPr>
        <w:t>6</w:t>
      </w:r>
      <w:r>
        <w:rPr>
          <w:rFonts w:hint="eastAsia" w:cs="宋体" w:asciiTheme="minorHAnsi" w:hAnsiTheme="minorHAnsi" w:eastAsiaTheme="minorEastAsia"/>
          <w:sz w:val="24"/>
          <w:szCs w:val="24"/>
        </w:rPr>
        <w:t>日上午</w:t>
      </w:r>
      <w:r>
        <w:rPr>
          <w:rFonts w:hint="eastAsia" w:cs="宋体" w:asciiTheme="minorHAnsi" w:hAnsiTheme="minorHAnsi" w:eastAsiaTheme="minorEastAsia"/>
          <w:sz w:val="24"/>
          <w:szCs w:val="24"/>
          <w:lang w:val="en-US" w:eastAsia="zh-CN"/>
        </w:rPr>
        <w:t>10</w:t>
      </w:r>
      <w:r>
        <w:rPr>
          <w:rFonts w:hint="eastAsia" w:cs="宋体" w:asciiTheme="minorHAnsi" w:hAnsiTheme="minorHAnsi" w:eastAsiaTheme="minorEastAsia"/>
          <w:sz w:val="24"/>
          <w:szCs w:val="24"/>
        </w:rPr>
        <w:t>:</w:t>
      </w:r>
      <w:r>
        <w:rPr>
          <w:rFonts w:hint="eastAsia" w:cs="宋体" w:asciiTheme="minorHAnsi" w:hAnsiTheme="minorHAnsi" w:eastAsiaTheme="minorEastAsia"/>
          <w:sz w:val="24"/>
          <w:szCs w:val="24"/>
          <w:lang w:val="en-US" w:eastAsia="zh-CN"/>
        </w:rPr>
        <w:t>00</w:t>
      </w:r>
      <w:r>
        <w:rPr>
          <w:rFonts w:hint="eastAsia" w:cs="宋体" w:asciiTheme="minorHAnsi" w:hAnsiTheme="minorHAnsi" w:eastAsiaTheme="minorEastAsia"/>
          <w:sz w:val="24"/>
          <w:szCs w:val="24"/>
        </w:rPr>
        <w:t>前。</w:t>
      </w:r>
      <w:r>
        <w:rPr>
          <w:rFonts w:ascii="Calibri" w:hAnsi="Calibri" w:eastAsia="宋体" w:cs="宋体"/>
          <w:sz w:val="24"/>
          <w:szCs w:val="24"/>
        </w:rPr>
        <w:t xml:space="preserve"> </w:t>
      </w:r>
    </w:p>
    <w:p>
      <w:pPr>
        <w:shd w:val="clear" w:color="auto" w:fill="FFFFFF"/>
        <w:adjustRightInd/>
        <w:snapToGrid/>
        <w:spacing w:after="0"/>
        <w:ind w:firstLine="480" w:firstLineChars="200"/>
        <w:textAlignment w:val="baseline"/>
        <w:rPr>
          <w:rFonts w:ascii="宋体" w:hAnsi="宋体" w:eastAsia="宋体" w:cs="宋体"/>
          <w:sz w:val="24"/>
          <w:szCs w:val="24"/>
        </w:rPr>
      </w:pPr>
      <w:r>
        <w:rPr>
          <w:rFonts w:hint="eastAsia" w:cs="宋体" w:asciiTheme="minorHAnsi" w:hAnsiTheme="minorHAnsi" w:eastAsiaTheme="minorEastAsia"/>
          <w:sz w:val="24"/>
          <w:szCs w:val="24"/>
        </w:rPr>
        <w:t>报名地点：鄢陵公共资源交易中心</w:t>
      </w:r>
      <w:r>
        <w:rPr>
          <w:rFonts w:ascii="Calibri" w:hAnsi="Calibri" w:eastAsia="宋体" w:cs="宋体"/>
          <w:sz w:val="24"/>
          <w:szCs w:val="24"/>
        </w:rPr>
        <w:t>4</w:t>
      </w:r>
      <w:r>
        <w:rPr>
          <w:rFonts w:hint="eastAsia" w:cs="宋体" w:asciiTheme="minorHAnsi" w:hAnsiTheme="minorHAnsi" w:eastAsiaTheme="minorEastAsia"/>
          <w:sz w:val="24"/>
          <w:szCs w:val="24"/>
        </w:rPr>
        <w:t>楼开标</w:t>
      </w:r>
      <w:r>
        <w:rPr>
          <w:rFonts w:hint="eastAsia" w:ascii="Calibri" w:hAnsi="Calibri" w:eastAsia="宋体" w:cs="宋体"/>
          <w:sz w:val="24"/>
          <w:szCs w:val="24"/>
          <w:lang w:val="en-US" w:eastAsia="zh-CN"/>
        </w:rPr>
        <w:t>1</w:t>
      </w:r>
      <w:r>
        <w:rPr>
          <w:rFonts w:hint="eastAsia" w:cs="宋体" w:asciiTheme="minorHAnsi" w:hAnsiTheme="minorHAnsi" w:eastAsiaTheme="minorEastAsia"/>
          <w:sz w:val="24"/>
          <w:szCs w:val="24"/>
        </w:rPr>
        <w:t>室</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报名方式：拍卖公司凭鄢陵县公共资源交易中心提供的保证金交款清单，为竞买人统一办理竞买登记手续，发放竞买号牌。</w:t>
      </w:r>
      <w:bookmarkStart w:id="0" w:name="_GoBack"/>
      <w:bookmarkEnd w:id="0"/>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、竞买登记携带资料：自然人携带二代居民身份证或其他有效身份证明、法人携带加盖公章的营业执照副本复印件、法定代表人授权委托书、法定代表人和代理人身份证原件和复印件。</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、竞买人若委托代理人代为竞买的，代理人须出示有效的《授权委托书》和本人的身份证明，否则将视为以自己的身份竞买。</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ascii="Calibri" w:hAnsi="Calibri" w:eastAsia="宋体" w:cs="宋体"/>
          <w:color w:val="000000"/>
          <w:sz w:val="24"/>
          <w:szCs w:val="24"/>
        </w:rPr>
        <w:t>5</w:t>
      </w:r>
      <w:r>
        <w:rPr>
          <w:rFonts w:hint="eastAsia" w:cs="宋体" w:asciiTheme="minorHAnsi" w:hAnsiTheme="minorHAnsi" w:eastAsiaTheme="minorEastAsia"/>
          <w:color w:val="000000"/>
          <w:sz w:val="24"/>
          <w:szCs w:val="24"/>
        </w:rPr>
        <w:t>、竞买保证金结转与退还：成交竞买人（即买受人）的竞买保证金自动转为履约保证金。履约保证金在买受人完成标的交接后，凭拍卖人提供的手续到鄢陵县公共资源交易中心办理退款手续。未成交竞买人的竞买保证金在拍卖会结束次日起</w:t>
      </w:r>
      <w:r>
        <w:rPr>
          <w:rFonts w:ascii="Calibri" w:hAnsi="Calibri" w:eastAsia="宋体" w:cs="宋体"/>
          <w:color w:val="000000"/>
          <w:sz w:val="24"/>
          <w:szCs w:val="24"/>
        </w:rPr>
        <w:t>7</w:t>
      </w:r>
      <w:r>
        <w:rPr>
          <w:rFonts w:hint="eastAsia" w:cs="宋体" w:asciiTheme="minorHAnsi" w:hAnsiTheme="minorHAnsi" w:eastAsiaTheme="minorEastAsia"/>
          <w:color w:val="000000"/>
          <w:sz w:val="24"/>
          <w:szCs w:val="24"/>
        </w:rPr>
        <w:t>个工作日内由鄢陵县公共资源交易中心按原汇款路经退回至竞买人。</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五、竞价规则及拍卖方式</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1、本场拍卖会采用增价的拍卖方式，价高者得，最高价经拍卖师三声报价后以击槌的方式表示成交，拍卖师击槌后其它价格将不予接受。</w:t>
      </w:r>
    </w:p>
    <w:p>
      <w:pPr>
        <w:shd w:val="clear" w:color="auto" w:fill="FFFFFF"/>
        <w:adjustRightInd/>
        <w:snapToGrid/>
        <w:spacing w:after="0"/>
        <w:ind w:firstLine="480" w:firstLineChars="200"/>
        <w:textAlignment w:val="baseline"/>
        <w:rPr>
          <w:rFonts w:cs="宋体" w:asciiTheme="minorHAnsi" w:hAnsiTheme="minorHAnsi" w:eastAsiaTheme="minorEastAsia"/>
          <w:color w:val="000000"/>
          <w:sz w:val="24"/>
          <w:szCs w:val="24"/>
        </w:rPr>
      </w:pPr>
      <w:r>
        <w:rPr>
          <w:rFonts w:hint="eastAsia" w:cs="宋体" w:asciiTheme="minorHAnsi" w:hAnsiTheme="minorHAnsi" w:eastAsiaTheme="minorEastAsia"/>
          <w:color w:val="000000"/>
          <w:sz w:val="24"/>
          <w:szCs w:val="24"/>
        </w:rPr>
        <w:t>2、拍卖师报出起拍价后，竞买人举起手中号牌则表示应价，并按照拍卖师制定的加价幅度进行加价，竞买人一经应价（竞价）即不得撤回，只有当现场有更高出价时，原价格即自动丧失约束力。</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3、本次拍卖的标的设有保留价，竞买人最高应价未达保留价，拍卖不成交。</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、拍卖成交后买受人应与拍卖人当场签署《拍卖成交确认书》并全面履行其中约定的义务。</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六、拍卖成交价款及佣金的缴纳方式</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拍卖成交价款及拍卖佣金的缴纳方式：成交后</w:t>
      </w:r>
      <w:r>
        <w:rPr>
          <w:rFonts w:ascii="Calibri" w:hAnsi="Calibri" w:eastAsia="宋体" w:cs="宋体"/>
          <w:color w:val="000000"/>
          <w:sz w:val="24"/>
          <w:szCs w:val="24"/>
        </w:rPr>
        <w:t>7</w:t>
      </w:r>
      <w:r>
        <w:rPr>
          <w:rFonts w:hint="eastAsia" w:cs="宋体" w:asciiTheme="minorHAnsi" w:hAnsiTheme="minorHAnsi" w:eastAsiaTheme="minorEastAsia"/>
          <w:color w:val="000000"/>
          <w:sz w:val="24"/>
          <w:szCs w:val="24"/>
        </w:rPr>
        <w:t>日内，买受人以现金或者转账的方式将相关款项交到委托人指定的账户。</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户名：河南省和信拍卖有限公司</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开户行：兴业银行股份有限公司郑州合作大厦支行</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账号：</w:t>
      </w:r>
      <w:r>
        <w:rPr>
          <w:rFonts w:ascii="Calibri" w:hAnsi="Calibri" w:eastAsia="宋体" w:cs="宋体"/>
          <w:color w:val="000000"/>
          <w:sz w:val="24"/>
          <w:szCs w:val="24"/>
        </w:rPr>
        <w:t>462060100100003749</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七、标的说明</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、本次拍卖标的均按标的现状拍卖，标的详见委托人提供的资产评估报告。</w:t>
      </w:r>
    </w:p>
    <w:p>
      <w:pPr>
        <w:shd w:val="clear" w:color="auto" w:fill="FFFFFF"/>
        <w:adjustRightInd/>
        <w:snapToGrid/>
        <w:spacing w:after="0"/>
        <w:ind w:firstLine="480" w:firstLineChars="200"/>
        <w:textAlignment w:val="baseline"/>
        <w:rPr>
          <w:rFonts w:ascii="宋体" w:hAnsi="宋体" w:cs="宋体" w:eastAsiaTheme="minorEastAsia"/>
          <w:color w:val="000000"/>
          <w:sz w:val="24"/>
          <w:szCs w:val="24"/>
        </w:rPr>
      </w:pPr>
      <w:r>
        <w:rPr>
          <w:rFonts w:hint="eastAsia" w:ascii="宋体" w:hAnsi="宋体" w:cs="宋体" w:eastAsiaTheme="minorEastAsia"/>
          <w:color w:val="000000"/>
          <w:sz w:val="24"/>
          <w:szCs w:val="24"/>
        </w:rPr>
        <w:t>2、拍卖成交后，买受人如果继续经营种植的，4个园林的土地使用租赁由标的所在地镇政府负责与群众协调签订土地续签合同，自交付之日起算，土地租金按每亩每年1180元；</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宋体" w:hAnsi="宋体" w:cs="宋体" w:eastAsiaTheme="minorEastAsia"/>
          <w:color w:val="000000"/>
          <w:sz w:val="24"/>
          <w:szCs w:val="24"/>
        </w:rPr>
        <w:t>3、拍卖成交后，买受人不需继续经营种植的，4个园林自交付之日至苗木出园及其他附属物搬离之日的土地租金按照每亩每年1180元交纳；</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宋体" w:hAnsi="宋体" w:cs="宋体" w:eastAsiaTheme="minorEastAsia"/>
          <w:color w:val="000000"/>
          <w:sz w:val="24"/>
          <w:szCs w:val="24"/>
        </w:rPr>
        <w:t>4、拍卖标的交付后，买受人在经营种植期间，如遇政府对土地征收时，涉及5个园林地上附属物，包括：房屋、苗木、硬化路面、管网管道、电力设施等资产的补偿标准，按照鄢政（2020）6号《鄢陵县人民政府关于印发鄢陵县建设征收土地地上花卉苗木移植补偿办法的通知》和许政（2016）63号《许昌市人民政府关于调整许昌市建设征收土地地上附着物和青苗补偿标准的通知》文件执行。</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Calibri" w:hAnsi="Calibri" w:eastAsia="宋体" w:cs="宋体"/>
          <w:color w:val="000000"/>
          <w:sz w:val="24"/>
          <w:szCs w:val="24"/>
        </w:rPr>
        <w:t>5</w:t>
      </w:r>
      <w:r>
        <w:rPr>
          <w:rFonts w:hint="eastAsia" w:cs="宋体" w:asciiTheme="minorHAnsi" w:hAnsiTheme="minorHAnsi" w:eastAsiaTheme="minorEastAsia"/>
          <w:color w:val="000000"/>
          <w:sz w:val="24"/>
          <w:szCs w:val="24"/>
        </w:rPr>
        <w:t>、拍卖成交，买受人交齐全部成交价款及拍卖成交价</w:t>
      </w:r>
      <w:r>
        <w:rPr>
          <w:rFonts w:ascii="Calibri" w:hAnsi="Calibri" w:eastAsia="宋体" w:cs="宋体"/>
          <w:color w:val="000000"/>
          <w:sz w:val="24"/>
          <w:szCs w:val="24"/>
        </w:rPr>
        <w:t>5%</w:t>
      </w:r>
      <w:r>
        <w:rPr>
          <w:rFonts w:hint="eastAsia" w:cs="宋体" w:asciiTheme="minorHAnsi" w:hAnsiTheme="minorHAnsi" w:eastAsiaTheme="minorEastAsia"/>
          <w:color w:val="000000"/>
          <w:sz w:val="24"/>
          <w:szCs w:val="24"/>
        </w:rPr>
        <w:t>的佣金后，自成交之日起</w:t>
      </w:r>
      <w:r>
        <w:rPr>
          <w:rFonts w:ascii="Calibri" w:hAnsi="Calibri" w:eastAsia="宋体" w:cs="宋体"/>
          <w:color w:val="000000"/>
          <w:sz w:val="24"/>
          <w:szCs w:val="24"/>
        </w:rPr>
        <w:t>20</w:t>
      </w:r>
      <w:r>
        <w:rPr>
          <w:rFonts w:hint="eastAsia" w:cs="宋体" w:asciiTheme="minorHAnsi" w:hAnsiTheme="minorHAnsi" w:eastAsiaTheme="minorEastAsia"/>
          <w:color w:val="000000"/>
          <w:sz w:val="24"/>
          <w:szCs w:val="24"/>
        </w:rPr>
        <w:t>个工作日内自行到标的物所在地受领标的，费用自理。</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八、竞买人应注意事项</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、竞买人有义务对拍卖规则进行了解。</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、拍卖展示的以现状为准，竞买人应在展示时间内亲自到现场查验拍卖标的状况，包括标的之瑕疵。本公司提供的关于标的状况的说明仅供参考，不对标的瑕疵承担任何担保责任。</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九、违约事项及违约责任</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买受人在拍卖成交后如出现下列情形之一的，均视为违约：</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、买受人拒不签订《拍卖成交确认书》或签订《拍卖成交确认书》的姓名与报名登记时不一致的；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、买受人拒绝支付或延期支付拍卖成交价款及拍卖佣金的；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、买受人拒绝接受拍卖标的物的。</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买受人违约，同时承担以下责任：</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1</w:t>
      </w:r>
      <w:r>
        <w:rPr>
          <w:rFonts w:hint="eastAsia" w:cs="宋体" w:asciiTheme="minorHAnsi" w:hAnsiTheme="minorHAnsi" w:eastAsiaTheme="minorEastAsia"/>
          <w:color w:val="000000"/>
          <w:sz w:val="24"/>
          <w:szCs w:val="24"/>
        </w:rPr>
        <w:t>、买受人缴纳的竞买信誉保证金</w:t>
      </w:r>
      <w:r>
        <w:rPr>
          <w:rFonts w:ascii="Calibri" w:hAnsi="Calibri" w:eastAsia="宋体" w:cs="宋体"/>
          <w:color w:val="000000"/>
          <w:sz w:val="24"/>
          <w:szCs w:val="24"/>
        </w:rPr>
        <w:t>/</w:t>
      </w:r>
      <w:r>
        <w:rPr>
          <w:rFonts w:hint="eastAsia" w:cs="宋体" w:asciiTheme="minorHAnsi" w:hAnsiTheme="minorHAnsi" w:eastAsiaTheme="minorEastAsia"/>
          <w:color w:val="000000"/>
          <w:sz w:val="24"/>
          <w:szCs w:val="24"/>
        </w:rPr>
        <w:t>履约金不再退回；</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2</w:t>
      </w:r>
      <w:r>
        <w:rPr>
          <w:rFonts w:hint="eastAsia" w:cs="宋体" w:asciiTheme="minorHAnsi" w:hAnsiTheme="minorHAnsi" w:eastAsiaTheme="minorEastAsia"/>
          <w:color w:val="000000"/>
          <w:sz w:val="24"/>
          <w:szCs w:val="24"/>
        </w:rPr>
        <w:t>、负责为买受人自己和竞买标的的委托人一并支付本次拍卖中竞买成交标的的拍卖佣金。</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3</w:t>
      </w:r>
      <w:r>
        <w:rPr>
          <w:rFonts w:hint="eastAsia" w:cs="宋体" w:asciiTheme="minorHAnsi" w:hAnsiTheme="minorHAnsi" w:eastAsiaTheme="minorEastAsia"/>
          <w:color w:val="000000"/>
          <w:sz w:val="24"/>
          <w:szCs w:val="24"/>
        </w:rPr>
        <w:t>、因买受人违约导致对该标的再次拍卖的，买受人负责承担补足本次拍卖和再次拍卖的拍卖成交差额；</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4</w:t>
      </w:r>
      <w:r>
        <w:rPr>
          <w:rFonts w:hint="eastAsia" w:cs="宋体" w:asciiTheme="minorHAnsi" w:hAnsiTheme="minorHAnsi" w:eastAsiaTheme="minorEastAsia"/>
          <w:color w:val="000000"/>
          <w:sz w:val="24"/>
          <w:szCs w:val="24"/>
        </w:rPr>
        <w:t>、买受人拒绝接受拍卖标的物，买受人还应支付拍卖人由此产生的相关保管费用。</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十、其他事项</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1、本次拍卖会的《竞买合同》、《拍卖文件》均作为《拍卖成交确认书》的有效附件，并与其具有同等的法律效力。</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ascii="Calibri" w:hAnsi="Calibri" w:eastAsia="宋体" w:cs="宋体"/>
          <w:color w:val="000000"/>
          <w:sz w:val="24"/>
          <w:szCs w:val="24"/>
        </w:rPr>
        <w:t>2</w:t>
      </w:r>
      <w:r>
        <w:rPr>
          <w:rFonts w:hint="eastAsia" w:cs="宋体" w:asciiTheme="minorHAnsi" w:hAnsiTheme="minorHAnsi" w:eastAsiaTheme="minorEastAsia"/>
          <w:color w:val="000000"/>
          <w:sz w:val="24"/>
          <w:szCs w:val="24"/>
        </w:rPr>
        <w:t>、未尽事宜以拍卖师现场宣布为准。</w:t>
      </w:r>
    </w:p>
    <w:p>
      <w:pPr>
        <w:shd w:val="clear" w:color="auto" w:fill="FFFFFF"/>
        <w:adjustRightInd/>
        <w:snapToGrid/>
        <w:spacing w:after="0"/>
        <w:ind w:firstLine="482" w:firstLineChars="200"/>
        <w:textAlignment w:val="baseline"/>
        <w:rPr>
          <w:rFonts w:ascii="宋体" w:hAnsi="宋体" w:eastAsia="宋体" w:cs="宋体"/>
          <w:color w:val="000000"/>
          <w:sz w:val="24"/>
          <w:szCs w:val="24"/>
        </w:rPr>
      </w:pPr>
      <w:r>
        <w:rPr>
          <w:rFonts w:hint="eastAsia" w:cs="宋体" w:asciiTheme="minorHAnsi" w:hAnsiTheme="minorHAnsi" w:eastAsiaTheme="minorEastAsia"/>
          <w:b/>
          <w:bCs/>
          <w:color w:val="000000"/>
          <w:sz w:val="24"/>
          <w:szCs w:val="24"/>
        </w:rPr>
        <w:t>十一、竞买人报名地点及电话</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鄢陵县公共资源交易中心（鄢陵县</w:t>
      </w:r>
      <w:r>
        <w:rPr>
          <w:rFonts w:ascii="Calibri" w:hAnsi="Calibri" w:eastAsia="宋体" w:cs="宋体"/>
          <w:color w:val="000000"/>
          <w:sz w:val="24"/>
          <w:szCs w:val="24"/>
        </w:rPr>
        <w:t>S219</w:t>
      </w:r>
      <w:r>
        <w:rPr>
          <w:rFonts w:hint="eastAsia" w:cs="宋体" w:asciiTheme="minorHAnsi" w:hAnsiTheme="minorHAnsi" w:eastAsiaTheme="minorEastAsia"/>
          <w:color w:val="000000"/>
          <w:sz w:val="24"/>
          <w:szCs w:val="24"/>
        </w:rPr>
        <w:t>省道与未来大道东北角南楼）</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保证金交纳咨询电话：</w:t>
      </w:r>
      <w:r>
        <w:rPr>
          <w:rFonts w:ascii="Calibri" w:hAnsi="Calibri" w:eastAsia="宋体" w:cs="宋体"/>
          <w:color w:val="000000"/>
          <w:sz w:val="24"/>
          <w:szCs w:val="24"/>
        </w:rPr>
        <w:t>0374-7608880</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报名咨询电话：</w:t>
      </w:r>
      <w:r>
        <w:rPr>
          <w:rFonts w:hint="eastAsia" w:ascii="Calibri" w:hAnsi="Calibri" w:eastAsia="宋体" w:cs="宋体"/>
          <w:color w:val="000000"/>
          <w:sz w:val="24"/>
          <w:szCs w:val="24"/>
        </w:rPr>
        <w:t xml:space="preserve">16537198989 </w:t>
      </w:r>
      <w:r>
        <w:rPr>
          <w:rStyle w:val="10"/>
          <w:rFonts w:hint="eastAsia"/>
          <w:sz w:val="28"/>
          <w:szCs w:val="28"/>
        </w:rPr>
        <w:t xml:space="preserve"> </w:t>
      </w:r>
      <w:r>
        <w:rPr>
          <w:rFonts w:ascii="Calibri" w:hAnsi="Calibri" w:eastAsia="宋体" w:cs="宋体"/>
          <w:color w:val="000000"/>
          <w:sz w:val="24"/>
          <w:szCs w:val="24"/>
        </w:rPr>
        <w:t>18539292799</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 </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r>
        <w:rPr>
          <w:rFonts w:ascii="Calibri" w:hAnsi="Calibri" w:eastAsia="宋体" w:cs="宋体"/>
          <w:color w:val="000000"/>
          <w:sz w:val="24"/>
          <w:szCs w:val="24"/>
        </w:rPr>
        <w:t> </w:t>
      </w:r>
    </w:p>
    <w:p>
      <w:pPr>
        <w:shd w:val="clear" w:color="auto" w:fill="FFFFFF"/>
        <w:adjustRightInd/>
        <w:snapToGrid/>
        <w:spacing w:after="0"/>
        <w:ind w:firstLine="3600" w:firstLineChars="1500"/>
        <w:jc w:val="right"/>
        <w:textAlignment w:val="baseline"/>
        <w:rPr>
          <w:rFonts w:ascii="宋体" w:hAnsi="宋体" w:eastAsia="宋体" w:cs="宋体"/>
          <w:color w:val="000000"/>
          <w:sz w:val="24"/>
          <w:szCs w:val="24"/>
        </w:rPr>
      </w:pPr>
      <w:r>
        <w:rPr>
          <w:rFonts w:hint="eastAsia" w:cs="宋体" w:asciiTheme="minorHAnsi" w:hAnsiTheme="minorHAnsi" w:eastAsiaTheme="minorEastAsia"/>
          <w:color w:val="000000"/>
          <w:sz w:val="24"/>
          <w:szCs w:val="24"/>
        </w:rPr>
        <w:t>河南省和信拍卖有限公司</w:t>
      </w:r>
    </w:p>
    <w:p>
      <w:pPr>
        <w:shd w:val="clear" w:color="auto" w:fill="FFFFFF"/>
        <w:wordWrap w:val="0"/>
        <w:adjustRightInd/>
        <w:snapToGrid/>
        <w:spacing w:after="0"/>
        <w:ind w:firstLine="480" w:firstLineChars="200"/>
        <w:jc w:val="right"/>
        <w:textAlignment w:val="baseline"/>
        <w:rPr>
          <w:rFonts w:ascii="宋体" w:hAnsi="宋体" w:eastAsia="宋体" w:cs="宋体"/>
          <w:sz w:val="24"/>
          <w:szCs w:val="24"/>
        </w:rPr>
      </w:pPr>
      <w:r>
        <w:rPr>
          <w:rFonts w:ascii="Calibri" w:hAnsi="Calibri" w:eastAsia="宋体" w:cs="宋体"/>
          <w:color w:val="000000"/>
          <w:sz w:val="24"/>
          <w:szCs w:val="24"/>
        </w:rPr>
        <w:t xml:space="preserve">                            </w:t>
      </w:r>
      <w:r>
        <w:rPr>
          <w:rFonts w:ascii="Calibri" w:hAnsi="Calibri" w:eastAsia="宋体" w:cs="宋体"/>
          <w:color w:val="FF0000"/>
          <w:sz w:val="24"/>
          <w:szCs w:val="24"/>
        </w:rPr>
        <w:t xml:space="preserve"> </w:t>
      </w:r>
      <w:r>
        <w:rPr>
          <w:rFonts w:ascii="Calibri" w:hAnsi="Calibri" w:eastAsia="宋体" w:cs="宋体"/>
          <w:sz w:val="24"/>
          <w:szCs w:val="24"/>
        </w:rPr>
        <w:t xml:space="preserve">  202</w:t>
      </w:r>
      <w:r>
        <w:rPr>
          <w:rFonts w:hint="eastAsia" w:ascii="Calibri" w:hAnsi="Calibri" w:eastAsia="宋体" w:cs="宋体"/>
          <w:sz w:val="24"/>
          <w:szCs w:val="24"/>
        </w:rPr>
        <w:t>0</w:t>
      </w:r>
      <w:r>
        <w:rPr>
          <w:rFonts w:hint="eastAsia" w:cs="宋体" w:asciiTheme="minorHAnsi" w:hAnsiTheme="minorHAnsi" w:eastAsiaTheme="minorEastAsia"/>
          <w:sz w:val="24"/>
          <w:szCs w:val="24"/>
        </w:rPr>
        <w:t>年</w:t>
      </w:r>
      <w:r>
        <w:rPr>
          <w:rFonts w:ascii="Calibri" w:hAnsi="Calibri" w:eastAsia="宋体" w:cs="宋体"/>
          <w:sz w:val="24"/>
          <w:szCs w:val="24"/>
        </w:rPr>
        <w:t>12</w:t>
      </w:r>
      <w:r>
        <w:rPr>
          <w:rFonts w:hint="eastAsia" w:cs="宋体" w:asciiTheme="minorHAnsi" w:hAnsiTheme="minorHAnsi" w:eastAsiaTheme="minorEastAsia"/>
          <w:sz w:val="24"/>
          <w:szCs w:val="24"/>
        </w:rPr>
        <w:t>月</w:t>
      </w:r>
      <w:r>
        <w:rPr>
          <w:rFonts w:hint="eastAsia" w:cs="宋体" w:asciiTheme="minorHAnsi" w:hAnsiTheme="minorHAnsi" w:eastAsiaTheme="minorEastAsia"/>
          <w:sz w:val="24"/>
          <w:szCs w:val="24"/>
          <w:lang w:val="en-US" w:eastAsia="zh-CN"/>
        </w:rPr>
        <w:t>31</w:t>
      </w:r>
      <w:r>
        <w:rPr>
          <w:rFonts w:hint="eastAsia" w:cs="宋体" w:asciiTheme="minorHAnsi" w:hAnsiTheme="minorHAnsi" w:eastAsiaTheme="minorEastAsia"/>
          <w:sz w:val="24"/>
          <w:szCs w:val="24"/>
        </w:rPr>
        <w:t xml:space="preserve">   日</w:t>
      </w: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ind w:firstLine="480" w:firstLineChars="200"/>
        <w:textAlignment w:val="baseline"/>
        <w:rPr>
          <w:rFonts w:ascii="宋体" w:hAnsi="宋体" w:eastAsia="宋体" w:cs="宋体"/>
          <w:color w:val="000000"/>
          <w:sz w:val="24"/>
          <w:szCs w:val="24"/>
        </w:rPr>
      </w:pPr>
    </w:p>
    <w:p>
      <w:pPr>
        <w:shd w:val="clear" w:color="auto" w:fill="FFFFFF"/>
        <w:adjustRightInd/>
        <w:snapToGrid/>
        <w:spacing w:after="0" w:line="500" w:lineRule="exact"/>
        <w:ind w:firstLine="480" w:firstLineChars="200"/>
        <w:textAlignment w:val="baseline"/>
        <w:rPr>
          <w:rFonts w:ascii="宋体" w:hAnsi="宋体" w:eastAsia="宋体" w:cs="宋体"/>
          <w:color w:val="000000"/>
          <w:sz w:val="24"/>
          <w:szCs w:val="24"/>
        </w:rPr>
      </w:pPr>
    </w:p>
    <w:p>
      <w:pPr>
        <w:shd w:val="clear" w:color="auto" w:fill="FFFFFF"/>
        <w:adjustRightInd/>
        <w:snapToGrid/>
        <w:spacing w:after="0" w:line="500" w:lineRule="exact"/>
        <w:ind w:firstLine="482" w:firstLineChars="200"/>
        <w:textAlignment w:val="baseline"/>
        <w:rPr>
          <w:rFonts w:ascii="宋体" w:hAnsi="宋体" w:eastAsia="宋体" w:cs="宋体"/>
          <w:b/>
          <w:color w:val="000000"/>
          <w:sz w:val="24"/>
          <w:szCs w:val="24"/>
        </w:rPr>
      </w:pPr>
    </w:p>
    <w:p>
      <w:pPr>
        <w:spacing w:line="360" w:lineRule="auto"/>
        <w:ind w:firstLine="482" w:firstLineChars="200"/>
        <w:rPr>
          <w:rStyle w:val="6"/>
          <w:rFonts w:asciiTheme="minorHAnsi" w:hAnsiTheme="minorHAnsi" w:eastAsiaTheme="minorEastAsia"/>
          <w:b/>
          <w:sz w:val="24"/>
          <w:szCs w:val="24"/>
        </w:rPr>
      </w:pPr>
    </w:p>
    <w:p>
      <w:pPr>
        <w:spacing w:line="360" w:lineRule="auto"/>
        <w:ind w:firstLine="480" w:firstLineChars="200"/>
        <w:rPr>
          <w:rStyle w:val="6"/>
          <w:rFonts w:asciiTheme="minorHAnsi" w:hAnsiTheme="minorHAnsi" w:eastAsiaTheme="minorEastAsia"/>
          <w:sz w:val="24"/>
          <w:szCs w:val="24"/>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428DA"/>
    <w:rsid w:val="00056E44"/>
    <w:rsid w:val="00083C90"/>
    <w:rsid w:val="00084087"/>
    <w:rsid w:val="00091DEF"/>
    <w:rsid w:val="000C4D15"/>
    <w:rsid w:val="00145D8D"/>
    <w:rsid w:val="00202C4B"/>
    <w:rsid w:val="00224CC8"/>
    <w:rsid w:val="002B0915"/>
    <w:rsid w:val="00323B43"/>
    <w:rsid w:val="003329FD"/>
    <w:rsid w:val="003D37D8"/>
    <w:rsid w:val="00426133"/>
    <w:rsid w:val="004358AB"/>
    <w:rsid w:val="00455063"/>
    <w:rsid w:val="0046642D"/>
    <w:rsid w:val="00496E00"/>
    <w:rsid w:val="004C14E2"/>
    <w:rsid w:val="005566EA"/>
    <w:rsid w:val="005E72F9"/>
    <w:rsid w:val="00602AD5"/>
    <w:rsid w:val="00612595"/>
    <w:rsid w:val="00696F97"/>
    <w:rsid w:val="007E0C56"/>
    <w:rsid w:val="00803B3D"/>
    <w:rsid w:val="008449ED"/>
    <w:rsid w:val="00873B45"/>
    <w:rsid w:val="008B7726"/>
    <w:rsid w:val="00995A0F"/>
    <w:rsid w:val="009A5428"/>
    <w:rsid w:val="00C431D3"/>
    <w:rsid w:val="00C66105"/>
    <w:rsid w:val="00D12191"/>
    <w:rsid w:val="00D22AF2"/>
    <w:rsid w:val="00D31D50"/>
    <w:rsid w:val="00E77718"/>
    <w:rsid w:val="00EA680B"/>
    <w:rsid w:val="0BED69B9"/>
    <w:rsid w:val="21F53B9C"/>
    <w:rsid w:val="3E327CC4"/>
    <w:rsid w:val="43F3055D"/>
    <w:rsid w:val="4509116C"/>
    <w:rsid w:val="5DB43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normalcharacter"/>
    <w:basedOn w:val="5"/>
    <w:uiPriority w:val="0"/>
    <w:rPr>
      <w:color w:val="000000"/>
      <w:u w:val="none"/>
    </w:rPr>
  </w:style>
  <w:style w:type="paragraph" w:styleId="7">
    <w:name w:val="List Paragraph"/>
    <w:basedOn w:val="1"/>
    <w:qFormat/>
    <w:uiPriority w:val="34"/>
    <w:pPr>
      <w:ind w:firstLine="420" w:firstLineChars="200"/>
    </w:pPr>
  </w:style>
  <w:style w:type="character" w:customStyle="1" w:styleId="8">
    <w:name w:val="页眉 Char"/>
    <w:basedOn w:val="5"/>
    <w:link w:val="3"/>
    <w:semiHidden/>
    <w:qFormat/>
    <w:uiPriority w:val="99"/>
    <w:rPr>
      <w:rFonts w:ascii="Tahoma" w:hAnsi="Tahoma"/>
      <w:sz w:val="18"/>
      <w:szCs w:val="18"/>
    </w:rPr>
  </w:style>
  <w:style w:type="character" w:customStyle="1" w:styleId="9">
    <w:name w:val="页脚 Char"/>
    <w:basedOn w:val="5"/>
    <w:link w:val="2"/>
    <w:semiHidden/>
    <w:qFormat/>
    <w:uiPriority w:val="99"/>
    <w:rPr>
      <w:rFonts w:ascii="Tahoma" w:hAnsi="Tahoma"/>
      <w:sz w:val="18"/>
      <w:szCs w:val="18"/>
    </w:rPr>
  </w:style>
  <w:style w:type="character" w:customStyle="1" w:styleId="10">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383</Words>
  <Characters>2185</Characters>
  <Lines>18</Lines>
  <Paragraphs>5</Paragraphs>
  <TotalTime>105</TotalTime>
  <ScaleCrop>false</ScaleCrop>
  <LinksUpToDate>false</LinksUpToDate>
  <CharactersWithSpaces>2563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DELL</dc:creator>
  <cp:lastModifiedBy>李洪东</cp:lastModifiedBy>
  <dcterms:modified xsi:type="dcterms:W3CDTF">2020-12-31T09:04:50Z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