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12" w:lineRule="auto"/>
        <w:jc w:val="center"/>
        <w:outlineLvl w:val="9"/>
        <w:rPr>
          <w:rFonts w:ascii="宋体" w:hAnsi="宋体" w:eastAsia="宋体" w:cs="宋体"/>
          <w:b/>
          <w:color w:val="auto"/>
          <w:sz w:val="44"/>
          <w:szCs w:val="44"/>
          <w:highlight w:val="none"/>
        </w:rPr>
      </w:pPr>
    </w:p>
    <w:p>
      <w:pPr>
        <w:pStyle w:val="22"/>
        <w:ind w:firstLine="210"/>
        <w:outlineLvl w:val="9"/>
        <w:rPr>
          <w:rFonts w:hint="eastAsia"/>
          <w:color w:val="auto"/>
          <w:highlight w:val="none"/>
        </w:rPr>
      </w:pPr>
    </w:p>
    <w:p>
      <w:pPr>
        <w:spacing w:line="312" w:lineRule="auto"/>
        <w:jc w:val="center"/>
        <w:outlineLvl w:val="9"/>
        <w:rPr>
          <w:rFonts w:ascii="宋体" w:hAnsi="宋体" w:eastAsia="宋体" w:cs="宋体"/>
          <w:b/>
          <w:color w:val="auto"/>
          <w:sz w:val="44"/>
          <w:szCs w:val="44"/>
          <w:highlight w:val="none"/>
        </w:rPr>
      </w:pPr>
    </w:p>
    <w:p>
      <w:pPr>
        <w:spacing w:line="312" w:lineRule="auto"/>
        <w:jc w:val="center"/>
        <w:outlineLvl w:val="9"/>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鄢陵县第七次全国人口普查PAD购置项目</w:t>
      </w:r>
    </w:p>
    <w:p>
      <w:pPr>
        <w:spacing w:line="312" w:lineRule="auto"/>
        <w:ind w:firstLine="3060" w:firstLineChars="850"/>
        <w:outlineLvl w:val="9"/>
        <w:rPr>
          <w:rFonts w:ascii="黑体" w:hAnsi="黑体" w:eastAsia="黑体" w:cs="黑体"/>
          <w:b/>
          <w:color w:val="auto"/>
          <w:sz w:val="36"/>
          <w:szCs w:val="36"/>
          <w:highlight w:val="none"/>
          <w:shd w:val="clear" w:color="auto" w:fill="FFFFFF"/>
        </w:rPr>
      </w:pPr>
    </w:p>
    <w:p>
      <w:pPr>
        <w:spacing w:line="312" w:lineRule="auto"/>
        <w:outlineLvl w:val="9"/>
        <w:rPr>
          <w:rFonts w:ascii="黑体" w:hAnsi="黑体" w:eastAsia="黑体" w:cs="黑体"/>
          <w:b/>
          <w:color w:val="auto"/>
          <w:sz w:val="44"/>
          <w:szCs w:val="44"/>
          <w:highlight w:val="none"/>
          <w:shd w:val="clear" w:color="auto" w:fill="FFFFFF"/>
        </w:rPr>
      </w:pPr>
    </w:p>
    <w:p>
      <w:pPr>
        <w:spacing w:line="312" w:lineRule="auto"/>
        <w:jc w:val="center"/>
        <w:outlineLvl w:val="9"/>
        <w:rPr>
          <w:rFonts w:asciiTheme="majorEastAsia" w:hAnsiTheme="majorEastAsia" w:eastAsiaTheme="majorEastAsia" w:cstheme="majorEastAsia"/>
          <w:b/>
          <w:color w:val="auto"/>
          <w:sz w:val="72"/>
          <w:szCs w:val="72"/>
          <w:highlight w:val="none"/>
          <w:shd w:val="clear" w:color="auto" w:fill="FFFFFF"/>
        </w:rPr>
      </w:pPr>
    </w:p>
    <w:p>
      <w:pPr>
        <w:spacing w:line="312" w:lineRule="auto"/>
        <w:jc w:val="center"/>
        <w:outlineLvl w:val="9"/>
        <w:rPr>
          <w:rFonts w:ascii="宋体" w:hAnsi="宋体" w:eastAsia="宋体" w:cs="宋体"/>
          <w:b/>
          <w:color w:val="auto"/>
          <w:sz w:val="44"/>
          <w:szCs w:val="44"/>
          <w:highlight w:val="none"/>
        </w:rPr>
      </w:pPr>
      <w:r>
        <w:rPr>
          <w:rFonts w:hint="eastAsia" w:asciiTheme="majorEastAsia" w:hAnsiTheme="majorEastAsia" w:eastAsiaTheme="majorEastAsia" w:cstheme="majorEastAsia"/>
          <w:b/>
          <w:color w:val="auto"/>
          <w:sz w:val="72"/>
          <w:szCs w:val="72"/>
          <w:highlight w:val="none"/>
          <w:shd w:val="clear" w:color="auto" w:fill="FFFFFF"/>
        </w:rPr>
        <w:t>招　标　文　件</w:t>
      </w:r>
      <w:r>
        <w:rPr>
          <w:rFonts w:asciiTheme="majorEastAsia" w:hAnsiTheme="majorEastAsia" w:eastAsiaTheme="majorEastAsia" w:cstheme="majorEastAsia"/>
          <w:b/>
          <w:color w:val="auto"/>
          <w:sz w:val="72"/>
          <w:szCs w:val="72"/>
          <w:highlight w:val="none"/>
          <w:shd w:val="clear" w:color="auto" w:fill="FFFFFF"/>
        </w:rPr>
        <w:br w:type="textWrapping"/>
      </w:r>
    </w:p>
    <w:p>
      <w:pPr>
        <w:spacing w:line="312" w:lineRule="auto"/>
        <w:jc w:val="center"/>
        <w:outlineLvl w:val="9"/>
        <w:rPr>
          <w:rFonts w:ascii="黑体" w:hAnsi="黑体" w:eastAsia="黑体" w:cs="仿宋_GB2312"/>
          <w:color w:val="auto"/>
          <w:sz w:val="32"/>
          <w:szCs w:val="32"/>
          <w:highlight w:val="none"/>
        </w:rPr>
      </w:pPr>
      <w:r>
        <w:rPr>
          <w:rFonts w:hint="eastAsia" w:ascii="宋体" w:hAnsi="宋体" w:eastAsia="宋体" w:cs="宋体"/>
          <w:b/>
          <w:color w:val="auto"/>
          <w:sz w:val="44"/>
          <w:szCs w:val="44"/>
          <w:highlight w:val="none"/>
        </w:rPr>
        <w:t>（不见面开标）</w:t>
      </w:r>
    </w:p>
    <w:p>
      <w:pPr>
        <w:jc w:val="center"/>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项目编号：</w:t>
      </w:r>
      <w:r>
        <w:rPr>
          <w:rFonts w:hint="eastAsia" w:asciiTheme="minorEastAsia" w:hAnsiTheme="minorEastAsia" w:cstheme="minorEastAsia"/>
          <w:color w:val="auto"/>
          <w:sz w:val="28"/>
          <w:szCs w:val="28"/>
          <w:highlight w:val="none"/>
          <w:lang w:eastAsia="zh-CN"/>
        </w:rPr>
        <w:t xml:space="preserve">Y2020HZ150 </w:t>
      </w:r>
    </w:p>
    <w:p>
      <w:pPr>
        <w:jc w:val="center"/>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招标编号：</w:t>
      </w:r>
      <w:r>
        <w:rPr>
          <w:rFonts w:hint="eastAsia" w:asciiTheme="minorEastAsia" w:hAnsiTheme="minorEastAsia" w:cstheme="minorEastAsia"/>
          <w:color w:val="auto"/>
          <w:sz w:val="28"/>
          <w:szCs w:val="28"/>
          <w:highlight w:val="none"/>
          <w:lang w:eastAsia="zh-CN"/>
        </w:rPr>
        <w:t xml:space="preserve">鄢招公2020100902 </w:t>
      </w:r>
    </w:p>
    <w:p>
      <w:pPr>
        <w:jc w:val="both"/>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outlineLvl w:val="9"/>
        <w:rPr>
          <w:rFonts w:ascii="宋体" w:hAnsi="宋体" w:eastAsia="宋体" w:cs="宋体"/>
          <w:b/>
          <w:bCs/>
          <w:color w:val="auto"/>
          <w:sz w:val="32"/>
          <w:szCs w:val="32"/>
          <w:highlight w:val="none"/>
        </w:rPr>
      </w:pPr>
    </w:p>
    <w:p>
      <w:pPr>
        <w:outlineLvl w:val="9"/>
        <w:rPr>
          <w:rFonts w:ascii="宋体" w:hAnsi="宋体" w:eastAsia="宋体" w:cs="宋体"/>
          <w:b/>
          <w:bCs/>
          <w:color w:val="auto"/>
          <w:sz w:val="32"/>
          <w:szCs w:val="32"/>
          <w:highlight w:val="none"/>
        </w:rPr>
      </w:pPr>
    </w:p>
    <w:p>
      <w:pPr>
        <w:outlineLvl w:val="9"/>
        <w:rPr>
          <w:rFonts w:ascii="黑体" w:hAnsi="黑体" w:eastAsia="黑体" w:cs="宋体"/>
          <w:b/>
          <w:bCs/>
          <w:color w:val="auto"/>
          <w:sz w:val="32"/>
          <w:szCs w:val="32"/>
          <w:highlight w:val="none"/>
        </w:rPr>
      </w:pPr>
    </w:p>
    <w:p>
      <w:pPr>
        <w:ind w:firstLine="1920" w:firstLineChars="600"/>
        <w:outlineLvl w:val="9"/>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采 购 人：</w:t>
      </w:r>
      <w:r>
        <w:rPr>
          <w:rFonts w:hint="eastAsia" w:asciiTheme="minorEastAsia" w:hAnsiTheme="minorEastAsia" w:cstheme="minorEastAsia"/>
          <w:bCs/>
          <w:color w:val="auto"/>
          <w:sz w:val="32"/>
          <w:szCs w:val="32"/>
          <w:highlight w:val="none"/>
          <w:lang w:eastAsia="zh-CN"/>
        </w:rPr>
        <w:t>鄢陵县统计局</w:t>
      </w:r>
      <w:r>
        <w:rPr>
          <w:rFonts w:hint="eastAsia" w:asciiTheme="minorEastAsia" w:hAnsiTheme="minorEastAsia" w:cstheme="minorEastAsia"/>
          <w:bCs/>
          <w:color w:val="auto"/>
          <w:sz w:val="32"/>
          <w:szCs w:val="32"/>
          <w:highlight w:val="none"/>
        </w:rPr>
        <w:t xml:space="preserve"> </w:t>
      </w:r>
    </w:p>
    <w:p>
      <w:pPr>
        <w:jc w:val="center"/>
        <w:outlineLvl w:val="9"/>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 xml:space="preserve"> 代理机构：河南招标采购服务有限公司</w:t>
      </w:r>
    </w:p>
    <w:p>
      <w:pPr>
        <w:ind w:firstLine="2560" w:firstLineChars="800"/>
        <w:outlineLvl w:val="9"/>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日期：二〇二〇年</w:t>
      </w:r>
      <w:r>
        <w:rPr>
          <w:rFonts w:hint="eastAsia" w:asciiTheme="minorEastAsia" w:hAnsiTheme="minorEastAsia" w:cstheme="minorEastAsia"/>
          <w:bCs/>
          <w:color w:val="auto"/>
          <w:sz w:val="32"/>
          <w:szCs w:val="32"/>
          <w:highlight w:val="none"/>
          <w:lang w:eastAsia="zh-CN"/>
        </w:rPr>
        <w:t>十</w:t>
      </w:r>
      <w:r>
        <w:rPr>
          <w:rFonts w:hint="eastAsia" w:asciiTheme="minorEastAsia" w:hAnsiTheme="minorEastAsia" w:cstheme="minorEastAsia"/>
          <w:bCs/>
          <w:color w:val="auto"/>
          <w:sz w:val="32"/>
          <w:szCs w:val="32"/>
          <w:highlight w:val="none"/>
        </w:rPr>
        <w:t>月</w:t>
      </w:r>
    </w:p>
    <w:p>
      <w:pPr>
        <w:rPr>
          <w:color w:val="auto"/>
        </w:rPr>
        <w:sectPr>
          <w:footerReference r:id="rId3" w:type="default"/>
          <w:pgSz w:w="11906" w:h="16838"/>
          <w:pgMar w:top="1418" w:right="1474" w:bottom="1418" w:left="1474" w:header="851" w:footer="992" w:gutter="0"/>
          <w:pgNumType w:fmt="decimal"/>
          <w:cols w:space="425" w:num="1"/>
          <w:docGrid w:type="linesAndChars" w:linePitch="312" w:charSpace="0"/>
        </w:sectPr>
      </w:pPr>
    </w:p>
    <w:p>
      <w:pPr>
        <w:rPr>
          <w:color w:val="auto"/>
        </w:rPr>
      </w:pPr>
    </w:p>
    <w:p>
      <w:pPr>
        <w:jc w:val="center"/>
        <w:rPr>
          <w:rFonts w:hint="eastAsia" w:ascii="黑体" w:eastAsia="黑体" w:cs="黑体"/>
          <w:b/>
          <w:bCs/>
          <w:color w:val="auto"/>
          <w:sz w:val="44"/>
          <w:szCs w:val="44"/>
          <w:highlight w:val="none"/>
          <w:lang w:val="zh-CN"/>
        </w:rPr>
      </w:pPr>
      <w:r>
        <w:rPr>
          <w:rFonts w:hint="eastAsia" w:ascii="黑体" w:eastAsia="黑体" w:cs="黑体"/>
          <w:b/>
          <w:bCs/>
          <w:color w:val="auto"/>
          <w:sz w:val="44"/>
          <w:szCs w:val="44"/>
          <w:highlight w:val="none"/>
          <w:lang w:val="zh-CN"/>
        </w:rPr>
        <w:t>目    录</w:t>
      </w:r>
    </w:p>
    <w:sdt>
      <w:sdtPr>
        <w:rPr>
          <w:rFonts w:ascii="宋体" w:hAnsi="宋体" w:eastAsia="宋体" w:cstheme="minorBidi"/>
          <w:color w:val="auto"/>
          <w:kern w:val="2"/>
          <w:sz w:val="21"/>
          <w:szCs w:val="22"/>
          <w:lang w:val="en-US" w:eastAsia="zh-CN" w:bidi="ar-SA"/>
        </w:rPr>
        <w:id w:val="147477478"/>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8"/>
            <w:tabs>
              <w:tab w:val="right" w:leader="dot" w:pos="8958"/>
            </w:tabs>
            <w:spacing w:line="360" w:lineRule="auto"/>
            <w:rPr>
              <w:rFonts w:hint="eastAsia" w:asciiTheme="minorEastAsia" w:hAnsiTheme="minorEastAsia" w:eastAsiaTheme="minorEastAsia" w:cstheme="minorEastAsia"/>
              <w:b/>
              <w:bCs/>
              <w:color w:val="auto"/>
              <w:sz w:val="30"/>
              <w:szCs w:val="30"/>
            </w:rPr>
          </w:pPr>
          <w:r>
            <w:rPr>
              <w:color w:val="auto"/>
            </w:rPr>
            <w:fldChar w:fldCharType="begin"/>
          </w:r>
          <w:r>
            <w:rPr>
              <w:color w:val="auto"/>
            </w:rPr>
            <w:instrText xml:space="preserve">TOC \o "1-2" \h \u </w:instrText>
          </w:r>
          <w:r>
            <w:rPr>
              <w:color w:val="auto"/>
            </w:rPr>
            <w:fldChar w:fldCharType="separate"/>
          </w: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HYPERLINK \l _Toc22939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kern w:val="0"/>
              <w:sz w:val="30"/>
              <w:szCs w:val="30"/>
              <w:highlight w:val="none"/>
            </w:rPr>
            <w:t>第一章 投标邀请</w:t>
          </w:r>
          <w:r>
            <w:rPr>
              <w:rFonts w:hint="eastAsia" w:asciiTheme="minorEastAsia" w:hAnsiTheme="minorEastAsia" w:eastAsiaTheme="minorEastAsia" w:cstheme="minorEastAsia"/>
              <w:b/>
              <w:bCs/>
              <w:color w:val="auto"/>
              <w:sz w:val="30"/>
              <w:szCs w:val="30"/>
            </w:rPr>
            <w:tab/>
          </w: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PAGEREF _Toc22939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sz w:val="30"/>
              <w:szCs w:val="30"/>
            </w:rPr>
            <w:t>2</w:t>
          </w:r>
          <w:r>
            <w:rPr>
              <w:rFonts w:hint="eastAsia" w:asciiTheme="minorEastAsia" w:hAnsiTheme="minorEastAsia" w:eastAsiaTheme="minorEastAsia" w:cstheme="minorEastAsia"/>
              <w:b/>
              <w:bCs/>
              <w:color w:val="auto"/>
              <w:sz w:val="30"/>
              <w:szCs w:val="30"/>
            </w:rPr>
            <w:fldChar w:fldCharType="end"/>
          </w:r>
          <w:r>
            <w:rPr>
              <w:rFonts w:hint="eastAsia" w:asciiTheme="minorEastAsia" w:hAnsiTheme="minorEastAsia" w:eastAsiaTheme="minorEastAsia" w:cstheme="minorEastAsia"/>
              <w:b/>
              <w:bCs/>
              <w:color w:val="auto"/>
              <w:sz w:val="30"/>
              <w:szCs w:val="30"/>
            </w:rPr>
            <w:fldChar w:fldCharType="end"/>
          </w:r>
        </w:p>
        <w:p>
          <w:pPr>
            <w:pStyle w:val="18"/>
            <w:tabs>
              <w:tab w:val="right" w:leader="dot" w:pos="8958"/>
            </w:tabs>
            <w:spacing w:line="360" w:lineRule="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HYPERLINK \l _Toc12133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kern w:val="0"/>
              <w:sz w:val="30"/>
              <w:szCs w:val="30"/>
              <w:highlight w:val="none"/>
            </w:rPr>
            <w:t>第二章 投标人须知</w:t>
          </w:r>
          <w:r>
            <w:rPr>
              <w:rFonts w:hint="eastAsia" w:asciiTheme="minorEastAsia" w:hAnsiTheme="minorEastAsia" w:eastAsiaTheme="minorEastAsia" w:cstheme="minorEastAsia"/>
              <w:b/>
              <w:bCs/>
              <w:color w:val="auto"/>
              <w:sz w:val="30"/>
              <w:szCs w:val="30"/>
            </w:rPr>
            <w:tab/>
          </w: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PAGEREF _Toc12133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sz w:val="30"/>
              <w:szCs w:val="30"/>
            </w:rPr>
            <w:t>6</w:t>
          </w:r>
          <w:r>
            <w:rPr>
              <w:rFonts w:hint="eastAsia" w:asciiTheme="minorEastAsia" w:hAnsiTheme="minorEastAsia" w:eastAsiaTheme="minorEastAsia" w:cstheme="minorEastAsia"/>
              <w:b/>
              <w:bCs/>
              <w:color w:val="auto"/>
              <w:sz w:val="30"/>
              <w:szCs w:val="30"/>
            </w:rPr>
            <w:fldChar w:fldCharType="end"/>
          </w:r>
          <w:r>
            <w:rPr>
              <w:rFonts w:hint="eastAsia" w:asciiTheme="minorEastAsia" w:hAnsiTheme="minorEastAsia" w:eastAsiaTheme="minorEastAsia" w:cstheme="minorEastAsia"/>
              <w:b/>
              <w:bCs/>
              <w:color w:val="auto"/>
              <w:sz w:val="30"/>
              <w:szCs w:val="30"/>
            </w:rPr>
            <w:fldChar w:fldCharType="end"/>
          </w:r>
        </w:p>
        <w:p>
          <w:pPr>
            <w:pStyle w:val="19"/>
            <w:tabs>
              <w:tab w:val="right" w:leader="dot" w:pos="8958"/>
            </w:tabs>
            <w:spacing w:line="360" w:lineRule="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HYPERLINK \l _Toc12597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sz w:val="30"/>
              <w:szCs w:val="30"/>
              <w:highlight w:val="none"/>
              <w:lang w:val="zh-CN"/>
            </w:rPr>
            <w:t>投标人须知前附表</w:t>
          </w:r>
          <w:r>
            <w:rPr>
              <w:rFonts w:hint="eastAsia" w:asciiTheme="minorEastAsia" w:hAnsiTheme="minorEastAsia" w:eastAsiaTheme="minorEastAsia" w:cstheme="minorEastAsia"/>
              <w:b w:val="0"/>
              <w:bCs w:val="0"/>
              <w:color w:val="auto"/>
              <w:sz w:val="30"/>
              <w:szCs w:val="30"/>
            </w:rPr>
            <w:tab/>
          </w: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PAGEREF _Toc12597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sz w:val="30"/>
              <w:szCs w:val="30"/>
            </w:rPr>
            <w:t>6</w:t>
          </w:r>
          <w:r>
            <w:rPr>
              <w:rFonts w:hint="eastAsia" w:asciiTheme="minorEastAsia" w:hAnsiTheme="minorEastAsia" w:eastAsiaTheme="minorEastAsia" w:cstheme="minorEastAsia"/>
              <w:b w:val="0"/>
              <w:bCs w:val="0"/>
              <w:color w:val="auto"/>
              <w:sz w:val="30"/>
              <w:szCs w:val="30"/>
            </w:rPr>
            <w:fldChar w:fldCharType="end"/>
          </w:r>
          <w:r>
            <w:rPr>
              <w:rFonts w:hint="eastAsia" w:asciiTheme="minorEastAsia" w:hAnsiTheme="minorEastAsia" w:eastAsiaTheme="minorEastAsia" w:cstheme="minorEastAsia"/>
              <w:b w:val="0"/>
              <w:bCs w:val="0"/>
              <w:color w:val="auto"/>
              <w:sz w:val="30"/>
              <w:szCs w:val="30"/>
            </w:rPr>
            <w:fldChar w:fldCharType="end"/>
          </w:r>
        </w:p>
        <w:p>
          <w:pPr>
            <w:pStyle w:val="19"/>
            <w:tabs>
              <w:tab w:val="right" w:leader="dot" w:pos="8958"/>
            </w:tabs>
            <w:spacing w:line="360" w:lineRule="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HYPERLINK \l _Toc14438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kern w:val="0"/>
              <w:sz w:val="30"/>
              <w:szCs w:val="30"/>
              <w:highlight w:val="none"/>
            </w:rPr>
            <w:t>一、说 明</w:t>
          </w:r>
          <w:r>
            <w:rPr>
              <w:rFonts w:hint="eastAsia" w:asciiTheme="minorEastAsia" w:hAnsiTheme="minorEastAsia" w:eastAsiaTheme="minorEastAsia" w:cstheme="minorEastAsia"/>
              <w:b w:val="0"/>
              <w:bCs w:val="0"/>
              <w:color w:val="auto"/>
              <w:sz w:val="30"/>
              <w:szCs w:val="30"/>
            </w:rPr>
            <w:tab/>
          </w: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PAGEREF _Toc14438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sz w:val="30"/>
              <w:szCs w:val="30"/>
            </w:rPr>
            <w:t>9</w:t>
          </w:r>
          <w:r>
            <w:rPr>
              <w:rFonts w:hint="eastAsia" w:asciiTheme="minorEastAsia" w:hAnsiTheme="minorEastAsia" w:eastAsiaTheme="minorEastAsia" w:cstheme="minorEastAsia"/>
              <w:b w:val="0"/>
              <w:bCs w:val="0"/>
              <w:color w:val="auto"/>
              <w:sz w:val="30"/>
              <w:szCs w:val="30"/>
            </w:rPr>
            <w:fldChar w:fldCharType="end"/>
          </w:r>
          <w:r>
            <w:rPr>
              <w:rFonts w:hint="eastAsia" w:asciiTheme="minorEastAsia" w:hAnsiTheme="minorEastAsia" w:eastAsiaTheme="minorEastAsia" w:cstheme="minorEastAsia"/>
              <w:b w:val="0"/>
              <w:bCs w:val="0"/>
              <w:color w:val="auto"/>
              <w:sz w:val="30"/>
              <w:szCs w:val="30"/>
            </w:rPr>
            <w:fldChar w:fldCharType="end"/>
          </w:r>
        </w:p>
        <w:p>
          <w:pPr>
            <w:pStyle w:val="19"/>
            <w:tabs>
              <w:tab w:val="right" w:leader="dot" w:pos="8958"/>
            </w:tabs>
            <w:spacing w:line="360" w:lineRule="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HYPERLINK \l _Toc31331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kern w:val="0"/>
              <w:sz w:val="30"/>
              <w:szCs w:val="30"/>
              <w:highlight w:val="none"/>
            </w:rPr>
            <w:t>二、招标文件</w:t>
          </w:r>
          <w:r>
            <w:rPr>
              <w:rFonts w:hint="eastAsia" w:asciiTheme="minorEastAsia" w:hAnsiTheme="minorEastAsia" w:eastAsiaTheme="minorEastAsia" w:cstheme="minorEastAsia"/>
              <w:b w:val="0"/>
              <w:bCs w:val="0"/>
              <w:color w:val="auto"/>
              <w:sz w:val="30"/>
              <w:szCs w:val="30"/>
            </w:rPr>
            <w:tab/>
          </w: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PAGEREF _Toc31331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sz w:val="30"/>
              <w:szCs w:val="30"/>
            </w:rPr>
            <w:t>11</w:t>
          </w:r>
          <w:r>
            <w:rPr>
              <w:rFonts w:hint="eastAsia" w:asciiTheme="minorEastAsia" w:hAnsiTheme="minorEastAsia" w:eastAsiaTheme="minorEastAsia" w:cstheme="minorEastAsia"/>
              <w:b w:val="0"/>
              <w:bCs w:val="0"/>
              <w:color w:val="auto"/>
              <w:sz w:val="30"/>
              <w:szCs w:val="30"/>
            </w:rPr>
            <w:fldChar w:fldCharType="end"/>
          </w:r>
          <w:r>
            <w:rPr>
              <w:rFonts w:hint="eastAsia" w:asciiTheme="minorEastAsia" w:hAnsiTheme="minorEastAsia" w:eastAsiaTheme="minorEastAsia" w:cstheme="minorEastAsia"/>
              <w:b w:val="0"/>
              <w:bCs w:val="0"/>
              <w:color w:val="auto"/>
              <w:sz w:val="30"/>
              <w:szCs w:val="30"/>
            </w:rPr>
            <w:fldChar w:fldCharType="end"/>
          </w:r>
        </w:p>
        <w:p>
          <w:pPr>
            <w:pStyle w:val="19"/>
            <w:tabs>
              <w:tab w:val="right" w:leader="dot" w:pos="8958"/>
            </w:tabs>
            <w:spacing w:line="360" w:lineRule="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HYPERLINK \l _Toc30065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kern w:val="0"/>
              <w:sz w:val="30"/>
              <w:szCs w:val="30"/>
              <w:highlight w:val="none"/>
            </w:rPr>
            <w:t>三、投标文件</w:t>
          </w:r>
          <w:r>
            <w:rPr>
              <w:rFonts w:hint="eastAsia" w:asciiTheme="minorEastAsia" w:hAnsiTheme="minorEastAsia" w:eastAsiaTheme="minorEastAsia" w:cstheme="minorEastAsia"/>
              <w:b w:val="0"/>
              <w:bCs w:val="0"/>
              <w:color w:val="auto"/>
              <w:sz w:val="30"/>
              <w:szCs w:val="30"/>
            </w:rPr>
            <w:tab/>
          </w: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PAGEREF _Toc30065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sz w:val="30"/>
              <w:szCs w:val="30"/>
            </w:rPr>
            <w:t>12</w:t>
          </w:r>
          <w:r>
            <w:rPr>
              <w:rFonts w:hint="eastAsia" w:asciiTheme="minorEastAsia" w:hAnsiTheme="minorEastAsia" w:eastAsiaTheme="minorEastAsia" w:cstheme="minorEastAsia"/>
              <w:b w:val="0"/>
              <w:bCs w:val="0"/>
              <w:color w:val="auto"/>
              <w:sz w:val="30"/>
              <w:szCs w:val="30"/>
            </w:rPr>
            <w:fldChar w:fldCharType="end"/>
          </w:r>
          <w:r>
            <w:rPr>
              <w:rFonts w:hint="eastAsia" w:asciiTheme="minorEastAsia" w:hAnsiTheme="minorEastAsia" w:eastAsiaTheme="minorEastAsia" w:cstheme="minorEastAsia"/>
              <w:b w:val="0"/>
              <w:bCs w:val="0"/>
              <w:color w:val="auto"/>
              <w:sz w:val="30"/>
              <w:szCs w:val="30"/>
            </w:rPr>
            <w:fldChar w:fldCharType="end"/>
          </w:r>
        </w:p>
        <w:p>
          <w:pPr>
            <w:pStyle w:val="19"/>
            <w:tabs>
              <w:tab w:val="right" w:leader="dot" w:pos="8958"/>
            </w:tabs>
            <w:spacing w:line="360" w:lineRule="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HYPERLINK \l _Toc10791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kern w:val="0"/>
              <w:sz w:val="30"/>
              <w:szCs w:val="30"/>
              <w:highlight w:val="none"/>
            </w:rPr>
            <w:t>四、投标文件的递交</w:t>
          </w:r>
          <w:r>
            <w:rPr>
              <w:rFonts w:hint="eastAsia" w:asciiTheme="minorEastAsia" w:hAnsiTheme="minorEastAsia" w:eastAsiaTheme="minorEastAsia" w:cstheme="minorEastAsia"/>
              <w:b w:val="0"/>
              <w:bCs w:val="0"/>
              <w:color w:val="auto"/>
              <w:sz w:val="30"/>
              <w:szCs w:val="30"/>
            </w:rPr>
            <w:tab/>
          </w: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PAGEREF _Toc10791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sz w:val="30"/>
              <w:szCs w:val="30"/>
            </w:rPr>
            <w:t>14</w:t>
          </w:r>
          <w:r>
            <w:rPr>
              <w:rFonts w:hint="eastAsia" w:asciiTheme="minorEastAsia" w:hAnsiTheme="minorEastAsia" w:eastAsiaTheme="minorEastAsia" w:cstheme="minorEastAsia"/>
              <w:b w:val="0"/>
              <w:bCs w:val="0"/>
              <w:color w:val="auto"/>
              <w:sz w:val="30"/>
              <w:szCs w:val="30"/>
            </w:rPr>
            <w:fldChar w:fldCharType="end"/>
          </w:r>
          <w:r>
            <w:rPr>
              <w:rFonts w:hint="eastAsia" w:asciiTheme="minorEastAsia" w:hAnsiTheme="minorEastAsia" w:eastAsiaTheme="minorEastAsia" w:cstheme="minorEastAsia"/>
              <w:b w:val="0"/>
              <w:bCs w:val="0"/>
              <w:color w:val="auto"/>
              <w:sz w:val="30"/>
              <w:szCs w:val="30"/>
            </w:rPr>
            <w:fldChar w:fldCharType="end"/>
          </w:r>
        </w:p>
        <w:p>
          <w:pPr>
            <w:pStyle w:val="19"/>
            <w:tabs>
              <w:tab w:val="right" w:leader="dot" w:pos="8958"/>
            </w:tabs>
            <w:spacing w:line="360" w:lineRule="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HYPERLINK \l _Toc8087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kern w:val="0"/>
              <w:sz w:val="30"/>
              <w:szCs w:val="30"/>
              <w:highlight w:val="none"/>
            </w:rPr>
            <w:t>五、开标和评标</w:t>
          </w:r>
          <w:r>
            <w:rPr>
              <w:rFonts w:hint="eastAsia" w:asciiTheme="minorEastAsia" w:hAnsiTheme="minorEastAsia" w:eastAsiaTheme="minorEastAsia" w:cstheme="minorEastAsia"/>
              <w:b w:val="0"/>
              <w:bCs w:val="0"/>
              <w:color w:val="auto"/>
              <w:sz w:val="30"/>
              <w:szCs w:val="30"/>
            </w:rPr>
            <w:tab/>
          </w: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PAGEREF _Toc8087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sz w:val="30"/>
              <w:szCs w:val="30"/>
            </w:rPr>
            <w:t>15</w:t>
          </w:r>
          <w:r>
            <w:rPr>
              <w:rFonts w:hint="eastAsia" w:asciiTheme="minorEastAsia" w:hAnsiTheme="minorEastAsia" w:eastAsiaTheme="minorEastAsia" w:cstheme="minorEastAsia"/>
              <w:b w:val="0"/>
              <w:bCs w:val="0"/>
              <w:color w:val="auto"/>
              <w:sz w:val="30"/>
              <w:szCs w:val="30"/>
            </w:rPr>
            <w:fldChar w:fldCharType="end"/>
          </w:r>
          <w:r>
            <w:rPr>
              <w:rFonts w:hint="eastAsia" w:asciiTheme="minorEastAsia" w:hAnsiTheme="minorEastAsia" w:eastAsiaTheme="minorEastAsia" w:cstheme="minorEastAsia"/>
              <w:b w:val="0"/>
              <w:bCs w:val="0"/>
              <w:color w:val="auto"/>
              <w:sz w:val="30"/>
              <w:szCs w:val="30"/>
            </w:rPr>
            <w:fldChar w:fldCharType="end"/>
          </w:r>
        </w:p>
        <w:p>
          <w:pPr>
            <w:pStyle w:val="19"/>
            <w:tabs>
              <w:tab w:val="right" w:leader="dot" w:pos="8958"/>
            </w:tabs>
            <w:spacing w:line="360" w:lineRule="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HYPERLINK \l _Toc13569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kern w:val="0"/>
              <w:sz w:val="30"/>
              <w:szCs w:val="30"/>
              <w:highlight w:val="none"/>
            </w:rPr>
            <w:t>六、定标和授予合同</w:t>
          </w:r>
          <w:r>
            <w:rPr>
              <w:rFonts w:hint="eastAsia" w:asciiTheme="minorEastAsia" w:hAnsiTheme="minorEastAsia" w:eastAsiaTheme="minorEastAsia" w:cstheme="minorEastAsia"/>
              <w:b w:val="0"/>
              <w:bCs w:val="0"/>
              <w:color w:val="auto"/>
              <w:sz w:val="30"/>
              <w:szCs w:val="30"/>
            </w:rPr>
            <w:tab/>
          </w: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PAGEREF _Toc13569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sz w:val="30"/>
              <w:szCs w:val="30"/>
            </w:rPr>
            <w:t>18</w:t>
          </w:r>
          <w:r>
            <w:rPr>
              <w:rFonts w:hint="eastAsia" w:asciiTheme="minorEastAsia" w:hAnsiTheme="minorEastAsia" w:eastAsiaTheme="minorEastAsia" w:cstheme="minorEastAsia"/>
              <w:b w:val="0"/>
              <w:bCs w:val="0"/>
              <w:color w:val="auto"/>
              <w:sz w:val="30"/>
              <w:szCs w:val="30"/>
            </w:rPr>
            <w:fldChar w:fldCharType="end"/>
          </w:r>
          <w:r>
            <w:rPr>
              <w:rFonts w:hint="eastAsia" w:asciiTheme="minorEastAsia" w:hAnsiTheme="minorEastAsia" w:eastAsiaTheme="minorEastAsia" w:cstheme="minorEastAsia"/>
              <w:b w:val="0"/>
              <w:bCs w:val="0"/>
              <w:color w:val="auto"/>
              <w:sz w:val="30"/>
              <w:szCs w:val="30"/>
            </w:rPr>
            <w:fldChar w:fldCharType="end"/>
          </w:r>
        </w:p>
        <w:p>
          <w:pPr>
            <w:pStyle w:val="18"/>
            <w:tabs>
              <w:tab w:val="right" w:leader="dot" w:pos="8958"/>
            </w:tabs>
            <w:spacing w:line="360" w:lineRule="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HYPERLINK \l _Toc16959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kern w:val="0"/>
              <w:sz w:val="30"/>
              <w:szCs w:val="30"/>
              <w:highlight w:val="none"/>
            </w:rPr>
            <w:t>第三章 项目需求及其他要求</w:t>
          </w:r>
          <w:r>
            <w:rPr>
              <w:rFonts w:hint="eastAsia" w:asciiTheme="minorEastAsia" w:hAnsiTheme="minorEastAsia" w:eastAsiaTheme="minorEastAsia" w:cstheme="minorEastAsia"/>
              <w:b/>
              <w:bCs/>
              <w:color w:val="auto"/>
              <w:sz w:val="30"/>
              <w:szCs w:val="30"/>
            </w:rPr>
            <w:tab/>
          </w: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PAGEREF _Toc16959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sz w:val="30"/>
              <w:szCs w:val="30"/>
            </w:rPr>
            <w:t>20</w:t>
          </w:r>
          <w:r>
            <w:rPr>
              <w:rFonts w:hint="eastAsia" w:asciiTheme="minorEastAsia" w:hAnsiTheme="minorEastAsia" w:eastAsiaTheme="minorEastAsia" w:cstheme="minorEastAsia"/>
              <w:b/>
              <w:bCs/>
              <w:color w:val="auto"/>
              <w:sz w:val="30"/>
              <w:szCs w:val="30"/>
            </w:rPr>
            <w:fldChar w:fldCharType="end"/>
          </w:r>
          <w:r>
            <w:rPr>
              <w:rFonts w:hint="eastAsia" w:asciiTheme="minorEastAsia" w:hAnsiTheme="minorEastAsia" w:eastAsiaTheme="minorEastAsia" w:cstheme="minorEastAsia"/>
              <w:b/>
              <w:bCs/>
              <w:color w:val="auto"/>
              <w:sz w:val="30"/>
              <w:szCs w:val="30"/>
            </w:rPr>
            <w:fldChar w:fldCharType="end"/>
          </w:r>
        </w:p>
        <w:p>
          <w:pPr>
            <w:pStyle w:val="18"/>
            <w:tabs>
              <w:tab w:val="right" w:leader="dot" w:pos="8958"/>
            </w:tabs>
            <w:spacing w:line="360" w:lineRule="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HYPERLINK \l _Toc18258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kern w:val="0"/>
              <w:sz w:val="30"/>
              <w:szCs w:val="30"/>
              <w:highlight w:val="none"/>
            </w:rPr>
            <w:t>第四章 政府采购政策功能</w:t>
          </w:r>
          <w:r>
            <w:rPr>
              <w:rFonts w:hint="eastAsia" w:asciiTheme="minorEastAsia" w:hAnsiTheme="minorEastAsia" w:eastAsiaTheme="minorEastAsia" w:cstheme="minorEastAsia"/>
              <w:b/>
              <w:bCs/>
              <w:color w:val="auto"/>
              <w:sz w:val="30"/>
              <w:szCs w:val="30"/>
            </w:rPr>
            <w:tab/>
          </w: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PAGEREF _Toc18258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sz w:val="30"/>
              <w:szCs w:val="30"/>
            </w:rPr>
            <w:t>22</w:t>
          </w:r>
          <w:r>
            <w:rPr>
              <w:rFonts w:hint="eastAsia" w:asciiTheme="minorEastAsia" w:hAnsiTheme="minorEastAsia" w:eastAsiaTheme="minorEastAsia" w:cstheme="minorEastAsia"/>
              <w:b/>
              <w:bCs/>
              <w:color w:val="auto"/>
              <w:sz w:val="30"/>
              <w:szCs w:val="30"/>
            </w:rPr>
            <w:fldChar w:fldCharType="end"/>
          </w:r>
          <w:r>
            <w:rPr>
              <w:rFonts w:hint="eastAsia" w:asciiTheme="minorEastAsia" w:hAnsiTheme="minorEastAsia" w:eastAsiaTheme="minorEastAsia" w:cstheme="minorEastAsia"/>
              <w:b/>
              <w:bCs/>
              <w:color w:val="auto"/>
              <w:sz w:val="30"/>
              <w:szCs w:val="30"/>
            </w:rPr>
            <w:fldChar w:fldCharType="end"/>
          </w:r>
        </w:p>
        <w:p>
          <w:pPr>
            <w:pStyle w:val="18"/>
            <w:tabs>
              <w:tab w:val="right" w:leader="dot" w:pos="8958"/>
            </w:tabs>
            <w:spacing w:line="360" w:lineRule="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HYPERLINK \l _Toc26861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kern w:val="0"/>
              <w:sz w:val="30"/>
              <w:szCs w:val="30"/>
              <w:highlight w:val="none"/>
            </w:rPr>
            <w:t>第五章 资格审查与评标办法、评标标准</w:t>
          </w:r>
          <w:r>
            <w:rPr>
              <w:rFonts w:hint="eastAsia" w:asciiTheme="minorEastAsia" w:hAnsiTheme="minorEastAsia" w:eastAsiaTheme="minorEastAsia" w:cstheme="minorEastAsia"/>
              <w:b/>
              <w:bCs/>
              <w:color w:val="auto"/>
              <w:sz w:val="30"/>
              <w:szCs w:val="30"/>
            </w:rPr>
            <w:tab/>
          </w: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PAGEREF _Toc26861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sz w:val="30"/>
              <w:szCs w:val="30"/>
            </w:rPr>
            <w:t>24</w:t>
          </w:r>
          <w:r>
            <w:rPr>
              <w:rFonts w:hint="eastAsia" w:asciiTheme="minorEastAsia" w:hAnsiTheme="minorEastAsia" w:eastAsiaTheme="minorEastAsia" w:cstheme="minorEastAsia"/>
              <w:b/>
              <w:bCs/>
              <w:color w:val="auto"/>
              <w:sz w:val="30"/>
              <w:szCs w:val="30"/>
            </w:rPr>
            <w:fldChar w:fldCharType="end"/>
          </w:r>
          <w:r>
            <w:rPr>
              <w:rFonts w:hint="eastAsia" w:asciiTheme="minorEastAsia" w:hAnsiTheme="minorEastAsia" w:eastAsiaTheme="minorEastAsia" w:cstheme="minorEastAsia"/>
              <w:b/>
              <w:bCs/>
              <w:color w:val="auto"/>
              <w:sz w:val="30"/>
              <w:szCs w:val="30"/>
            </w:rPr>
            <w:fldChar w:fldCharType="end"/>
          </w:r>
        </w:p>
        <w:p>
          <w:pPr>
            <w:pStyle w:val="18"/>
            <w:tabs>
              <w:tab w:val="right" w:leader="dot" w:pos="8958"/>
            </w:tabs>
            <w:spacing w:line="360" w:lineRule="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HYPERLINK \l _Toc23284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kern w:val="0"/>
              <w:sz w:val="30"/>
              <w:szCs w:val="30"/>
              <w:highlight w:val="none"/>
            </w:rPr>
            <w:t>第六章</w:t>
          </w:r>
          <w:r>
            <w:rPr>
              <w:rFonts w:hint="eastAsia" w:asciiTheme="minorEastAsia" w:hAnsiTheme="minorEastAsia" w:eastAsiaTheme="minorEastAsia" w:cstheme="minorEastAsia"/>
              <w:b/>
              <w:bCs/>
              <w:color w:val="auto"/>
              <w:kern w:val="0"/>
              <w:sz w:val="30"/>
              <w:szCs w:val="30"/>
              <w:highlight w:val="none"/>
              <w:lang w:val="en-US" w:eastAsia="zh-CN"/>
            </w:rPr>
            <w:t xml:space="preserve"> </w:t>
          </w:r>
          <w:r>
            <w:rPr>
              <w:rFonts w:hint="eastAsia" w:asciiTheme="minorEastAsia" w:hAnsiTheme="minorEastAsia" w:eastAsiaTheme="minorEastAsia" w:cstheme="minorEastAsia"/>
              <w:b/>
              <w:bCs/>
              <w:color w:val="auto"/>
              <w:kern w:val="0"/>
              <w:sz w:val="30"/>
              <w:szCs w:val="30"/>
              <w:highlight w:val="none"/>
            </w:rPr>
            <w:t>合同条款及格式</w:t>
          </w:r>
          <w:r>
            <w:rPr>
              <w:rFonts w:hint="eastAsia" w:asciiTheme="minorEastAsia" w:hAnsiTheme="minorEastAsia" w:eastAsiaTheme="minorEastAsia" w:cstheme="minorEastAsia"/>
              <w:b/>
              <w:bCs/>
              <w:color w:val="auto"/>
              <w:sz w:val="30"/>
              <w:szCs w:val="30"/>
            </w:rPr>
            <w:tab/>
          </w: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PAGEREF _Toc23284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sz w:val="30"/>
              <w:szCs w:val="30"/>
            </w:rPr>
            <w:t>30</w:t>
          </w:r>
          <w:r>
            <w:rPr>
              <w:rFonts w:hint="eastAsia" w:asciiTheme="minorEastAsia" w:hAnsiTheme="minorEastAsia" w:eastAsiaTheme="minorEastAsia" w:cstheme="minorEastAsia"/>
              <w:b/>
              <w:bCs/>
              <w:color w:val="auto"/>
              <w:sz w:val="30"/>
              <w:szCs w:val="30"/>
            </w:rPr>
            <w:fldChar w:fldCharType="end"/>
          </w:r>
          <w:r>
            <w:rPr>
              <w:rFonts w:hint="eastAsia" w:asciiTheme="minorEastAsia" w:hAnsiTheme="minorEastAsia" w:eastAsiaTheme="minorEastAsia" w:cstheme="minorEastAsia"/>
              <w:b/>
              <w:bCs/>
              <w:color w:val="auto"/>
              <w:sz w:val="30"/>
              <w:szCs w:val="30"/>
            </w:rPr>
            <w:fldChar w:fldCharType="end"/>
          </w:r>
        </w:p>
        <w:p>
          <w:pPr>
            <w:pStyle w:val="18"/>
            <w:tabs>
              <w:tab w:val="right" w:leader="dot" w:pos="8958"/>
            </w:tabs>
            <w:spacing w:line="360" w:lineRule="auto"/>
            <w:rPr>
              <w:color w:val="auto"/>
            </w:rPr>
          </w:pP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HYPERLINK \l _Toc31455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kern w:val="0"/>
              <w:sz w:val="30"/>
              <w:szCs w:val="30"/>
              <w:highlight w:val="none"/>
            </w:rPr>
            <w:t>第七章 投标文件有关格式</w:t>
          </w:r>
          <w:r>
            <w:rPr>
              <w:rFonts w:hint="eastAsia" w:asciiTheme="minorEastAsia" w:hAnsiTheme="minorEastAsia" w:eastAsiaTheme="minorEastAsia" w:cstheme="minorEastAsia"/>
              <w:b/>
              <w:bCs/>
              <w:color w:val="auto"/>
              <w:sz w:val="30"/>
              <w:szCs w:val="30"/>
            </w:rPr>
            <w:tab/>
          </w:r>
          <w:r>
            <w:rPr>
              <w:rFonts w:hint="eastAsia" w:asciiTheme="minorEastAsia" w:hAnsiTheme="minorEastAsia" w:eastAsiaTheme="minorEastAsia" w:cstheme="minorEastAsia"/>
              <w:b/>
              <w:bCs/>
              <w:color w:val="auto"/>
              <w:sz w:val="30"/>
              <w:szCs w:val="30"/>
            </w:rPr>
            <w:fldChar w:fldCharType="begin"/>
          </w:r>
          <w:r>
            <w:rPr>
              <w:rFonts w:hint="eastAsia" w:asciiTheme="minorEastAsia" w:hAnsiTheme="minorEastAsia" w:eastAsiaTheme="minorEastAsia" w:cstheme="minorEastAsia"/>
              <w:b/>
              <w:bCs/>
              <w:color w:val="auto"/>
              <w:sz w:val="30"/>
              <w:szCs w:val="30"/>
            </w:rPr>
            <w:instrText xml:space="preserve"> PAGEREF _Toc31455 </w:instrText>
          </w:r>
          <w:r>
            <w:rPr>
              <w:rFonts w:hint="eastAsia" w:asciiTheme="minorEastAsia" w:hAnsiTheme="minorEastAsia" w:eastAsiaTheme="minorEastAsia" w:cstheme="minorEastAsia"/>
              <w:b/>
              <w:bCs/>
              <w:color w:val="auto"/>
              <w:sz w:val="30"/>
              <w:szCs w:val="30"/>
            </w:rPr>
            <w:fldChar w:fldCharType="separate"/>
          </w:r>
          <w:r>
            <w:rPr>
              <w:rFonts w:hint="eastAsia" w:asciiTheme="minorEastAsia" w:hAnsiTheme="minorEastAsia" w:eastAsiaTheme="minorEastAsia" w:cstheme="minorEastAsia"/>
              <w:b/>
              <w:bCs/>
              <w:color w:val="auto"/>
              <w:sz w:val="30"/>
              <w:szCs w:val="30"/>
            </w:rPr>
            <w:t>35</w:t>
          </w:r>
          <w:r>
            <w:rPr>
              <w:rFonts w:hint="eastAsia" w:asciiTheme="minorEastAsia" w:hAnsiTheme="minorEastAsia" w:eastAsiaTheme="minorEastAsia" w:cstheme="minorEastAsia"/>
              <w:b/>
              <w:bCs/>
              <w:color w:val="auto"/>
              <w:sz w:val="30"/>
              <w:szCs w:val="30"/>
            </w:rPr>
            <w:fldChar w:fldCharType="end"/>
          </w:r>
          <w:r>
            <w:rPr>
              <w:rFonts w:hint="eastAsia" w:asciiTheme="minorEastAsia" w:hAnsiTheme="minorEastAsia" w:eastAsiaTheme="minorEastAsia" w:cstheme="minorEastAsia"/>
              <w:b/>
              <w:bCs/>
              <w:color w:val="auto"/>
              <w:sz w:val="30"/>
              <w:szCs w:val="30"/>
            </w:rPr>
            <w:fldChar w:fldCharType="end"/>
          </w:r>
        </w:p>
        <w:p>
          <w:pPr>
            <w:rPr>
              <w:color w:val="auto"/>
            </w:rPr>
          </w:pPr>
          <w:r>
            <w:rPr>
              <w:color w:val="auto"/>
            </w:rPr>
            <w:fldChar w:fldCharType="end"/>
          </w:r>
        </w:p>
      </w:sdtContent>
    </w:sdt>
    <w:p>
      <w:pPr>
        <w:rPr>
          <w:rFonts w:hint="eastAsia" w:asciiTheme="majorEastAsia" w:hAnsiTheme="majorEastAsia" w:eastAsiaTheme="majorEastAsia"/>
          <w:color w:val="auto"/>
          <w:kern w:val="0"/>
          <w:sz w:val="32"/>
          <w:szCs w:val="32"/>
          <w:highlight w:val="none"/>
        </w:rPr>
      </w:pPr>
      <w:r>
        <w:rPr>
          <w:rFonts w:asciiTheme="majorEastAsia" w:hAnsiTheme="majorEastAsia" w:eastAsiaTheme="majorEastAsia"/>
          <w:color w:val="auto"/>
          <w:kern w:val="0"/>
          <w:sz w:val="32"/>
          <w:szCs w:val="32"/>
          <w:highlight w:val="none"/>
        </w:rPr>
        <w:br w:type="page"/>
      </w:r>
      <w:r>
        <w:rPr>
          <w:rFonts w:hint="eastAsia" w:asciiTheme="majorEastAsia" w:hAnsiTheme="majorEastAsia" w:eastAsiaTheme="majorEastAsia"/>
          <w:color w:val="auto"/>
          <w:kern w:val="0"/>
          <w:sz w:val="32"/>
          <w:szCs w:val="32"/>
          <w:highlight w:val="none"/>
        </w:rPr>
        <w:t xml:space="preserve">                   </w:t>
      </w:r>
    </w:p>
    <w:p>
      <w:pPr>
        <w:widowControl/>
        <w:spacing w:line="360" w:lineRule="auto"/>
        <w:jc w:val="left"/>
        <w:outlineLvl w:val="9"/>
        <w:rPr>
          <w:rFonts w:hint="eastAsia" w:asciiTheme="majorEastAsia" w:hAnsiTheme="majorEastAsia" w:eastAsiaTheme="majorEastAsia"/>
          <w:color w:val="auto"/>
          <w:kern w:val="0"/>
          <w:sz w:val="32"/>
          <w:szCs w:val="32"/>
          <w:highlight w:val="none"/>
        </w:rPr>
      </w:pPr>
    </w:p>
    <w:p>
      <w:pPr>
        <w:widowControl/>
        <w:spacing w:line="360" w:lineRule="auto"/>
        <w:jc w:val="left"/>
        <w:outlineLvl w:val="9"/>
        <w:rPr>
          <w:rFonts w:hint="eastAsia" w:asciiTheme="majorEastAsia" w:hAnsiTheme="majorEastAsia" w:eastAsiaTheme="majorEastAsia"/>
          <w:color w:val="auto"/>
          <w:kern w:val="0"/>
          <w:sz w:val="32"/>
          <w:szCs w:val="32"/>
          <w:highlight w:val="none"/>
        </w:rPr>
      </w:pPr>
    </w:p>
    <w:p>
      <w:pPr>
        <w:widowControl/>
        <w:spacing w:line="360" w:lineRule="auto"/>
        <w:jc w:val="left"/>
        <w:outlineLvl w:val="9"/>
        <w:rPr>
          <w:rFonts w:hint="eastAsia" w:asciiTheme="majorEastAsia" w:hAnsiTheme="majorEastAsia" w:eastAsiaTheme="majorEastAsia"/>
          <w:color w:val="auto"/>
          <w:kern w:val="0"/>
          <w:sz w:val="32"/>
          <w:szCs w:val="32"/>
          <w:highlight w:val="none"/>
        </w:rPr>
      </w:pPr>
    </w:p>
    <w:p>
      <w:pPr>
        <w:widowControl/>
        <w:spacing w:line="360" w:lineRule="auto"/>
        <w:jc w:val="left"/>
        <w:outlineLvl w:val="9"/>
        <w:rPr>
          <w:rFonts w:hint="eastAsia" w:asciiTheme="majorEastAsia" w:hAnsiTheme="majorEastAsia" w:eastAsiaTheme="majorEastAsia"/>
          <w:color w:val="auto"/>
          <w:kern w:val="0"/>
          <w:sz w:val="32"/>
          <w:szCs w:val="32"/>
          <w:highlight w:val="none"/>
        </w:rPr>
      </w:pPr>
    </w:p>
    <w:p>
      <w:pPr>
        <w:widowControl/>
        <w:spacing w:line="360" w:lineRule="auto"/>
        <w:jc w:val="left"/>
        <w:outlineLvl w:val="9"/>
        <w:rPr>
          <w:rFonts w:hint="eastAsia" w:asciiTheme="majorEastAsia" w:hAnsiTheme="majorEastAsia" w:eastAsiaTheme="majorEastAsia"/>
          <w:color w:val="auto"/>
          <w:kern w:val="0"/>
          <w:sz w:val="32"/>
          <w:szCs w:val="32"/>
          <w:highlight w:val="none"/>
        </w:rPr>
      </w:pPr>
    </w:p>
    <w:p>
      <w:pPr>
        <w:autoSpaceDE w:val="0"/>
        <w:autoSpaceDN w:val="0"/>
        <w:adjustRightInd w:val="0"/>
        <w:jc w:val="center"/>
        <w:outlineLvl w:val="9"/>
        <w:rPr>
          <w:rFonts w:hint="eastAsia" w:cs="宋体" w:asciiTheme="majorEastAsia" w:hAnsiTheme="majorEastAsia" w:eastAsiaTheme="majorEastAsia"/>
          <w:b/>
          <w:color w:val="auto"/>
          <w:kern w:val="0"/>
          <w:sz w:val="36"/>
          <w:szCs w:val="36"/>
          <w:highlight w:val="none"/>
        </w:rPr>
      </w:pPr>
    </w:p>
    <w:p>
      <w:pPr>
        <w:autoSpaceDE w:val="0"/>
        <w:autoSpaceDN w:val="0"/>
        <w:adjustRightInd w:val="0"/>
        <w:jc w:val="center"/>
        <w:outlineLvl w:val="0"/>
        <w:rPr>
          <w:rFonts w:hint="eastAsia" w:cs="宋体" w:asciiTheme="majorEastAsia" w:hAnsiTheme="majorEastAsia" w:eastAsiaTheme="majorEastAsia"/>
          <w:b/>
          <w:color w:val="auto"/>
          <w:kern w:val="0"/>
          <w:sz w:val="36"/>
          <w:szCs w:val="36"/>
          <w:highlight w:val="none"/>
        </w:rPr>
      </w:pPr>
      <w:bookmarkStart w:id="0" w:name="_Toc22939"/>
      <w:bookmarkStart w:id="1" w:name="_Toc23525"/>
      <w:bookmarkStart w:id="2" w:name="_Toc18203"/>
      <w:r>
        <w:rPr>
          <w:rFonts w:hint="eastAsia" w:cs="宋体" w:asciiTheme="majorEastAsia" w:hAnsiTheme="majorEastAsia" w:eastAsiaTheme="majorEastAsia"/>
          <w:b/>
          <w:color w:val="auto"/>
          <w:kern w:val="0"/>
          <w:sz w:val="36"/>
          <w:szCs w:val="36"/>
          <w:highlight w:val="none"/>
        </w:rPr>
        <w:t>第一章 投标邀请</w:t>
      </w:r>
      <w:bookmarkEnd w:id="0"/>
      <w:bookmarkEnd w:id="1"/>
      <w:bookmarkEnd w:id="2"/>
    </w:p>
    <w:p>
      <w:pPr>
        <w:pStyle w:val="21"/>
        <w:widowControl/>
        <w:shd w:val="clear" w:color="auto" w:fill="FFFFFF"/>
        <w:spacing w:line="360" w:lineRule="auto"/>
        <w:outlineLvl w:val="9"/>
        <w:rPr>
          <w:rFonts w:ascii="宋体" w:hAnsi="宋体" w:cs="宋体"/>
          <w:b/>
          <w:bCs/>
          <w:color w:val="auto"/>
          <w:highlight w:val="none"/>
          <w:shd w:val="clear" w:color="auto" w:fill="FFFFFF"/>
        </w:rPr>
      </w:pPr>
    </w:p>
    <w:p>
      <w:pPr>
        <w:pStyle w:val="21"/>
        <w:widowControl/>
        <w:shd w:val="clear" w:color="auto" w:fill="FFFFFF"/>
        <w:spacing w:line="360" w:lineRule="auto"/>
        <w:ind w:left="424" w:leftChars="202" w:firstLine="484" w:firstLineChars="202"/>
        <w:contextualSpacing/>
        <w:jc w:val="left"/>
        <w:outlineLvl w:val="9"/>
        <w:rPr>
          <w:color w:val="auto"/>
          <w:sz w:val="24"/>
          <w:szCs w:val="24"/>
          <w:shd w:val="clear" w:color="auto" w:fill="FFFFFF"/>
        </w:rPr>
      </w:pPr>
      <w:r>
        <w:rPr>
          <w:rFonts w:ascii="宋体" w:hAnsi="宋体" w:cs="宋体"/>
          <w:b/>
          <w:bCs/>
          <w:color w:val="auto"/>
          <w:highlight w:val="none"/>
          <w:shd w:val="clear" w:color="auto" w:fill="FFFFFF"/>
        </w:rPr>
        <w:br w:type="page"/>
      </w:r>
      <w:r>
        <w:rPr>
          <w:rFonts w:hint="eastAsia"/>
          <w:color w:val="auto"/>
          <w:sz w:val="24"/>
          <w:szCs w:val="24"/>
          <w:shd w:val="clear" w:color="auto" w:fill="FFFFFF"/>
        </w:rPr>
        <w:t>河南招标采购服务有限公司受</w:t>
      </w:r>
      <w:r>
        <w:rPr>
          <w:rFonts w:hint="eastAsia"/>
          <w:color w:val="auto"/>
          <w:sz w:val="24"/>
          <w:szCs w:val="24"/>
          <w:shd w:val="clear" w:color="auto" w:fill="FFFFFF"/>
          <w:lang w:eastAsia="zh-CN"/>
        </w:rPr>
        <w:t>鄢陵县统计局</w:t>
      </w:r>
      <w:r>
        <w:rPr>
          <w:rFonts w:hint="eastAsia"/>
          <w:color w:val="auto"/>
          <w:sz w:val="24"/>
          <w:szCs w:val="24"/>
          <w:shd w:val="clear" w:color="auto" w:fill="FFFFFF"/>
        </w:rPr>
        <w:t xml:space="preserve">的委托，对“ </w:t>
      </w:r>
      <w:r>
        <w:rPr>
          <w:rFonts w:hint="eastAsia"/>
          <w:color w:val="auto"/>
          <w:sz w:val="24"/>
          <w:szCs w:val="24"/>
          <w:shd w:val="clear" w:color="auto" w:fill="FFFFFF"/>
          <w:lang w:eastAsia="zh-CN"/>
        </w:rPr>
        <w:t>鄢陵县第七次全国人口普查PAD购置项目</w:t>
      </w:r>
      <w:r>
        <w:rPr>
          <w:rFonts w:hint="eastAsia"/>
          <w:color w:val="auto"/>
          <w:sz w:val="24"/>
          <w:szCs w:val="24"/>
          <w:shd w:val="clear" w:color="auto" w:fill="FFFFFF"/>
        </w:rPr>
        <w:t xml:space="preserve"> ”项目的相关货物和服务进行国内公开招标。现邀请合格投标人前来投标。</w:t>
      </w:r>
    </w:p>
    <w:p>
      <w:pPr>
        <w:pStyle w:val="21"/>
        <w:widowControl/>
        <w:shd w:val="clear" w:color="auto" w:fill="FFFFFF"/>
        <w:spacing w:line="360" w:lineRule="auto"/>
        <w:contextualSpacing/>
        <w:jc w:val="left"/>
        <w:outlineLvl w:val="9"/>
        <w:rPr>
          <w:rFonts w:hint="eastAsia" w:cs="黑体" w:asciiTheme="minorEastAsia" w:hAnsiTheme="minorEastAsia" w:eastAsiaTheme="minorEastAsia"/>
          <w:b/>
          <w:bCs/>
          <w:color w:val="auto"/>
          <w:sz w:val="24"/>
          <w:szCs w:val="24"/>
          <w:shd w:val="clear" w:color="auto" w:fill="FFFFFF"/>
          <w:lang w:eastAsia="zh-CN"/>
        </w:rPr>
      </w:pPr>
      <w:r>
        <w:rPr>
          <w:rFonts w:hint="eastAsia" w:ascii="黑体" w:hAnsi="黑体" w:eastAsia="黑体" w:cs="黑体"/>
          <w:bCs/>
          <w:color w:val="auto"/>
          <w:sz w:val="24"/>
          <w:szCs w:val="24"/>
          <w:shd w:val="clear" w:color="auto" w:fill="FFFFFF"/>
        </w:rPr>
        <w:t xml:space="preserve">    </w:t>
      </w:r>
      <w:r>
        <w:rPr>
          <w:rFonts w:hint="eastAsia" w:cs="黑体" w:asciiTheme="minorEastAsia" w:hAnsiTheme="minorEastAsia" w:eastAsiaTheme="minorEastAsia"/>
          <w:b/>
          <w:bCs/>
          <w:color w:val="auto"/>
          <w:sz w:val="24"/>
          <w:szCs w:val="24"/>
          <w:shd w:val="clear" w:color="auto" w:fill="FFFFFF"/>
        </w:rPr>
        <w:t>一、项目编号：</w:t>
      </w:r>
      <w:r>
        <w:rPr>
          <w:rFonts w:hint="eastAsia" w:cs="黑体" w:asciiTheme="minorEastAsia" w:hAnsiTheme="minorEastAsia" w:eastAsiaTheme="minorEastAsia"/>
          <w:b/>
          <w:bCs/>
          <w:color w:val="auto"/>
          <w:sz w:val="24"/>
          <w:szCs w:val="24"/>
          <w:shd w:val="clear" w:color="auto" w:fill="FFFFFF"/>
          <w:lang w:eastAsia="zh-CN"/>
        </w:rPr>
        <w:t xml:space="preserve">Y2020HZ150 </w:t>
      </w:r>
    </w:p>
    <w:p>
      <w:pPr>
        <w:pStyle w:val="21"/>
        <w:widowControl/>
        <w:shd w:val="clear" w:color="auto" w:fill="FFFFFF"/>
        <w:spacing w:line="360" w:lineRule="auto"/>
        <w:ind w:firstLine="480" w:firstLineChars="200"/>
        <w:contextualSpacing/>
        <w:jc w:val="left"/>
        <w:outlineLvl w:val="9"/>
        <w:rPr>
          <w:rFonts w:cs="黑体" w:asciiTheme="minorEastAsia" w:hAnsiTheme="minorEastAsia" w:eastAsiaTheme="minorEastAsia"/>
          <w:b/>
          <w:bCs/>
          <w:color w:val="auto"/>
          <w:sz w:val="24"/>
          <w:szCs w:val="24"/>
        </w:rPr>
      </w:pPr>
      <w:r>
        <w:rPr>
          <w:rFonts w:hint="eastAsia" w:cs="黑体" w:asciiTheme="minorEastAsia" w:hAnsiTheme="minorEastAsia" w:eastAsiaTheme="minorEastAsia"/>
          <w:b/>
          <w:bCs/>
          <w:color w:val="auto"/>
          <w:sz w:val="24"/>
          <w:szCs w:val="24"/>
          <w:shd w:val="clear" w:color="auto" w:fill="FFFFFF"/>
        </w:rPr>
        <w:t>招标编号：</w:t>
      </w:r>
      <w:r>
        <w:rPr>
          <w:rFonts w:hint="eastAsia" w:cs="黑体" w:asciiTheme="minorEastAsia" w:hAnsiTheme="minorEastAsia" w:eastAsiaTheme="minorEastAsia"/>
          <w:b/>
          <w:bCs/>
          <w:color w:val="auto"/>
          <w:sz w:val="24"/>
          <w:szCs w:val="24"/>
          <w:shd w:val="clear" w:color="auto" w:fill="FFFFFF"/>
          <w:lang w:eastAsia="zh-CN"/>
        </w:rPr>
        <w:t xml:space="preserve">鄢招公2020100902 </w:t>
      </w:r>
      <w:r>
        <w:rPr>
          <w:rFonts w:hint="eastAsia" w:cs="黑体" w:asciiTheme="minorEastAsia" w:hAnsiTheme="minorEastAsia" w:eastAsiaTheme="minorEastAsia"/>
          <w:b/>
          <w:bCs/>
          <w:color w:val="auto"/>
          <w:sz w:val="24"/>
          <w:szCs w:val="24"/>
          <w:shd w:val="clear" w:color="auto" w:fill="FFFFFF"/>
        </w:rPr>
        <w:t xml:space="preserve"> </w:t>
      </w:r>
    </w:p>
    <w:p>
      <w:pPr>
        <w:pStyle w:val="21"/>
        <w:widowControl/>
        <w:shd w:val="clear" w:color="auto" w:fill="FFFFFF"/>
        <w:spacing w:line="360" w:lineRule="auto"/>
        <w:ind w:firstLine="420"/>
        <w:contextualSpacing/>
        <w:jc w:val="left"/>
        <w:outlineLvl w:val="9"/>
        <w:rPr>
          <w:rFonts w:cs="仿宋_GB2312" w:asciiTheme="minorEastAsia" w:hAnsiTheme="minorEastAsia" w:eastAsiaTheme="minorEastAsia"/>
          <w:b/>
          <w:color w:val="auto"/>
          <w:sz w:val="24"/>
          <w:szCs w:val="24"/>
          <w:shd w:val="clear" w:color="auto" w:fill="FFFFFF"/>
        </w:rPr>
      </w:pPr>
      <w:r>
        <w:rPr>
          <w:rFonts w:hint="eastAsia" w:cs="仿宋_GB2312" w:asciiTheme="minorEastAsia" w:hAnsiTheme="minorEastAsia" w:eastAsiaTheme="minorEastAsia"/>
          <w:b/>
          <w:color w:val="auto"/>
          <w:sz w:val="24"/>
          <w:szCs w:val="24"/>
          <w:shd w:val="clear" w:color="auto" w:fill="FFFFFF"/>
        </w:rPr>
        <w:t>二、项目名称：</w:t>
      </w:r>
      <w:r>
        <w:rPr>
          <w:rFonts w:hint="eastAsia" w:cs="仿宋_GB2312" w:asciiTheme="minorEastAsia" w:hAnsiTheme="minorEastAsia" w:eastAsiaTheme="minorEastAsia"/>
          <w:b/>
          <w:color w:val="auto"/>
          <w:sz w:val="24"/>
          <w:szCs w:val="24"/>
          <w:shd w:val="clear" w:color="auto" w:fill="FFFFFF"/>
          <w:lang w:eastAsia="zh-CN"/>
        </w:rPr>
        <w:t>鄢陵县第七次全国人口普查PAD购置项目</w:t>
      </w:r>
      <w:r>
        <w:rPr>
          <w:rFonts w:hint="eastAsia" w:cs="仿宋_GB2312" w:asciiTheme="minorEastAsia" w:hAnsiTheme="minorEastAsia" w:eastAsiaTheme="minorEastAsia"/>
          <w:b/>
          <w:color w:val="auto"/>
          <w:sz w:val="24"/>
          <w:szCs w:val="24"/>
          <w:shd w:val="clear" w:color="auto" w:fill="FFFFFF"/>
        </w:rPr>
        <w:t xml:space="preserve">     </w:t>
      </w:r>
    </w:p>
    <w:p>
      <w:pPr>
        <w:pStyle w:val="21"/>
        <w:widowControl/>
        <w:shd w:val="clear" w:color="auto" w:fill="FFFFFF"/>
        <w:spacing w:line="360" w:lineRule="auto"/>
        <w:ind w:firstLine="420"/>
        <w:contextualSpacing/>
        <w:jc w:val="left"/>
        <w:outlineLvl w:val="9"/>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b/>
          <w:color w:val="auto"/>
          <w:sz w:val="24"/>
          <w:szCs w:val="24"/>
          <w:shd w:val="clear" w:color="auto" w:fill="FFFFFF"/>
        </w:rPr>
        <w:t>三、采购方式：</w:t>
      </w:r>
      <w:r>
        <w:rPr>
          <w:rFonts w:hint="eastAsia" w:cs="仿宋_GB2312" w:asciiTheme="minorEastAsia" w:hAnsiTheme="minorEastAsia" w:eastAsiaTheme="minorEastAsia"/>
          <w:color w:val="auto"/>
          <w:sz w:val="24"/>
          <w:szCs w:val="24"/>
          <w:shd w:val="clear" w:color="auto" w:fill="FFFFFF"/>
        </w:rPr>
        <w:t xml:space="preserve">公开招标                                                                                                                         </w:t>
      </w:r>
    </w:p>
    <w:p>
      <w:pPr>
        <w:pStyle w:val="21"/>
        <w:widowControl/>
        <w:shd w:val="clear" w:color="auto" w:fill="FFFFFF"/>
        <w:spacing w:line="360" w:lineRule="auto"/>
        <w:ind w:firstLine="420"/>
        <w:contextualSpacing/>
        <w:jc w:val="left"/>
        <w:outlineLvl w:val="9"/>
        <w:rPr>
          <w:rFonts w:hint="eastAsia" w:cs="仿宋_GB2312" w:asciiTheme="minorEastAsia" w:hAnsiTheme="minorEastAsia" w:eastAsiaTheme="minorEastAsia"/>
          <w:b/>
          <w:color w:val="auto"/>
          <w:sz w:val="24"/>
          <w:szCs w:val="24"/>
          <w:shd w:val="clear" w:color="auto" w:fill="FFFFFF"/>
          <w:lang w:val="en-US" w:eastAsia="zh-CN"/>
        </w:rPr>
      </w:pPr>
      <w:r>
        <w:rPr>
          <w:rFonts w:hint="eastAsia" w:cs="仿宋_GB2312" w:asciiTheme="minorEastAsia" w:hAnsiTheme="minorEastAsia" w:eastAsiaTheme="minorEastAsia"/>
          <w:b/>
          <w:color w:val="auto"/>
          <w:sz w:val="24"/>
          <w:szCs w:val="24"/>
          <w:shd w:val="clear" w:color="auto" w:fill="FFFFFF"/>
        </w:rPr>
        <w:t>四、招标内容</w:t>
      </w:r>
      <w:r>
        <w:rPr>
          <w:rFonts w:hint="eastAsia" w:cs="仿宋_GB2312" w:asciiTheme="minorEastAsia" w:hAnsiTheme="minorEastAsia" w:eastAsiaTheme="minorEastAsia"/>
          <w:b/>
          <w:color w:val="auto"/>
          <w:sz w:val="24"/>
          <w:szCs w:val="24"/>
          <w:shd w:val="clear" w:color="auto" w:fill="FFFFFF"/>
          <w:lang w:val="en-US" w:eastAsia="zh-CN"/>
        </w:rPr>
        <w:t xml:space="preserve"> </w:t>
      </w:r>
    </w:p>
    <w:p>
      <w:pPr>
        <w:pStyle w:val="21"/>
        <w:widowControl/>
        <w:numPr>
          <w:ilvl w:val="0"/>
          <w:numId w:val="1"/>
        </w:numPr>
        <w:shd w:val="clear" w:color="auto" w:fill="FFFFFF"/>
        <w:spacing w:line="360" w:lineRule="auto"/>
        <w:contextualSpacing/>
        <w:jc w:val="left"/>
        <w:outlineLvl w:val="9"/>
        <w:rPr>
          <w:rFonts w:hint="eastAsia"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项目主要内容、数量及要求：</w:t>
      </w:r>
    </w:p>
    <w:p>
      <w:pPr>
        <w:pStyle w:val="21"/>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420" w:leftChars="200" w:firstLine="480" w:firstLineChars="200"/>
        <w:contextualSpacing/>
        <w:jc w:val="left"/>
        <w:textAlignment w:val="auto"/>
        <w:outlineLvl w:val="9"/>
        <w:rPr>
          <w:rFonts w:hint="eastAsia" w:ascii="微软雅黑 ! important" w:hAnsi="微软雅黑 ! important" w:eastAsia="微软雅黑 ! important" w:cs="微软雅黑 ! important"/>
          <w:color w:val="auto"/>
          <w:sz w:val="24"/>
          <w:szCs w:val="24"/>
        </w:rPr>
      </w:pPr>
      <w:r>
        <w:rPr>
          <w:rFonts w:hint="eastAsia" w:cs="仿宋_GB2312" w:asciiTheme="minorEastAsia" w:hAnsiTheme="minorEastAsia" w:eastAsiaTheme="minorEastAsia"/>
          <w:color w:val="auto"/>
          <w:sz w:val="24"/>
          <w:szCs w:val="24"/>
          <w:shd w:val="clear" w:color="auto" w:fill="FFFFFF"/>
          <w:lang w:val="en-US" w:eastAsia="zh-CN"/>
        </w:rPr>
        <w:t>PAD终端233部，公网集群对讲系统及运营管理平台1项（详见招标文件第三章）</w:t>
      </w:r>
    </w:p>
    <w:p>
      <w:pPr>
        <w:pStyle w:val="21"/>
        <w:widowControl/>
        <w:numPr>
          <w:ilvl w:val="0"/>
          <w:numId w:val="1"/>
        </w:numPr>
        <w:shd w:val="clear" w:color="auto" w:fill="FFFFFF"/>
        <w:spacing w:line="360" w:lineRule="auto"/>
        <w:contextualSpacing/>
        <w:jc w:val="left"/>
        <w:outlineLvl w:val="9"/>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预算金额：</w:t>
      </w:r>
      <w:r>
        <w:rPr>
          <w:rFonts w:hint="eastAsia" w:cs="仿宋_GB2312" w:asciiTheme="minorEastAsia" w:hAnsiTheme="minorEastAsia" w:eastAsiaTheme="minorEastAsia"/>
          <w:color w:val="auto"/>
          <w:sz w:val="24"/>
          <w:szCs w:val="24"/>
          <w:shd w:val="clear" w:color="auto" w:fill="FFFFFF"/>
          <w:lang w:val="en-US" w:eastAsia="zh-CN"/>
        </w:rPr>
        <w:t>415905元</w:t>
      </w:r>
      <w:r>
        <w:rPr>
          <w:rFonts w:hint="eastAsia" w:cs="仿宋_GB2312" w:asciiTheme="minorEastAsia" w:hAnsiTheme="minorEastAsia" w:eastAsiaTheme="minorEastAsia"/>
          <w:color w:val="auto"/>
          <w:sz w:val="24"/>
          <w:szCs w:val="24"/>
          <w:shd w:val="clear" w:color="auto" w:fill="FFFFFF"/>
        </w:rPr>
        <w:t>。</w:t>
      </w:r>
    </w:p>
    <w:p>
      <w:pPr>
        <w:pStyle w:val="21"/>
        <w:widowControl/>
        <w:numPr>
          <w:ilvl w:val="0"/>
          <w:numId w:val="1"/>
        </w:numPr>
        <w:shd w:val="clear" w:color="auto" w:fill="FFFFFF"/>
        <w:spacing w:line="360" w:lineRule="auto"/>
        <w:contextualSpacing/>
        <w:jc w:val="left"/>
        <w:outlineLvl w:val="9"/>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最高限价：</w:t>
      </w:r>
      <w:r>
        <w:rPr>
          <w:rFonts w:hint="eastAsia" w:cs="仿宋_GB2312" w:asciiTheme="minorEastAsia" w:hAnsiTheme="minorEastAsia" w:eastAsiaTheme="minorEastAsia"/>
          <w:color w:val="auto"/>
          <w:sz w:val="24"/>
          <w:szCs w:val="24"/>
          <w:shd w:val="clear" w:color="auto" w:fill="FFFFFF"/>
          <w:lang w:val="en-US" w:eastAsia="zh-CN"/>
        </w:rPr>
        <w:t>415905元</w:t>
      </w:r>
      <w:r>
        <w:rPr>
          <w:rFonts w:hint="eastAsia" w:cs="仿宋_GB2312" w:asciiTheme="minorEastAsia" w:hAnsiTheme="minorEastAsia" w:eastAsiaTheme="minorEastAsia"/>
          <w:color w:val="auto"/>
          <w:sz w:val="24"/>
          <w:szCs w:val="24"/>
          <w:shd w:val="clear" w:color="auto" w:fill="FFFFFF"/>
        </w:rPr>
        <w:t>。</w:t>
      </w:r>
    </w:p>
    <w:p>
      <w:pPr>
        <w:pStyle w:val="21"/>
        <w:widowControl/>
        <w:numPr>
          <w:ilvl w:val="0"/>
          <w:numId w:val="1"/>
        </w:numPr>
        <w:shd w:val="clear" w:color="auto" w:fill="FFFFFF"/>
        <w:spacing w:line="360" w:lineRule="auto"/>
        <w:contextualSpacing/>
        <w:jc w:val="left"/>
        <w:outlineLvl w:val="9"/>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履约时间 ：</w:t>
      </w:r>
      <w:bookmarkStart w:id="3" w:name="交付日期"/>
      <w:r>
        <w:rPr>
          <w:rFonts w:hint="eastAsia" w:cs="仿宋_GB2312" w:asciiTheme="minorEastAsia" w:hAnsiTheme="minorEastAsia" w:eastAsiaTheme="minorEastAsia"/>
          <w:color w:val="auto"/>
          <w:sz w:val="24"/>
          <w:szCs w:val="24"/>
        </w:rPr>
        <w:t>自合同生效之日起</w:t>
      </w:r>
      <w:bookmarkEnd w:id="3"/>
      <w:r>
        <w:rPr>
          <w:rFonts w:hint="eastAsia" w:cs="仿宋_GB2312" w:asciiTheme="minorEastAsia" w:hAnsiTheme="minorEastAsia" w:eastAsiaTheme="minorEastAsia"/>
          <w:color w:val="auto"/>
          <w:sz w:val="24"/>
          <w:szCs w:val="24"/>
          <w:lang w:val="en-US" w:eastAsia="zh-CN"/>
        </w:rPr>
        <w:t>5</w:t>
      </w:r>
      <w:r>
        <w:rPr>
          <w:rFonts w:hint="eastAsia" w:cs="仿宋_GB2312" w:asciiTheme="minorEastAsia" w:hAnsiTheme="minorEastAsia" w:eastAsiaTheme="minorEastAsia"/>
          <w:color w:val="auto"/>
          <w:sz w:val="24"/>
          <w:szCs w:val="24"/>
        </w:rPr>
        <w:t>个</w:t>
      </w:r>
      <w:r>
        <w:rPr>
          <w:rFonts w:hint="eastAsia" w:cs="仿宋_GB2312" w:asciiTheme="minorEastAsia" w:hAnsiTheme="minorEastAsia" w:eastAsiaTheme="minorEastAsia"/>
          <w:color w:val="auto"/>
          <w:sz w:val="24"/>
          <w:szCs w:val="24"/>
          <w:lang w:eastAsia="zh-CN"/>
        </w:rPr>
        <w:t>日历天</w:t>
      </w:r>
      <w:r>
        <w:rPr>
          <w:rFonts w:hint="eastAsia" w:cs="仿宋_GB2312" w:asciiTheme="minorEastAsia" w:hAnsiTheme="minorEastAsia" w:eastAsiaTheme="minorEastAsia"/>
          <w:color w:val="auto"/>
          <w:sz w:val="24"/>
          <w:szCs w:val="24"/>
        </w:rPr>
        <w:t>、完成安装调试并具备验收条件。</w:t>
      </w:r>
    </w:p>
    <w:p>
      <w:pPr>
        <w:pStyle w:val="21"/>
        <w:widowControl/>
        <w:numPr>
          <w:ilvl w:val="0"/>
          <w:numId w:val="1"/>
        </w:numPr>
        <w:shd w:val="clear" w:color="auto" w:fill="FFFFFF"/>
        <w:spacing w:line="360" w:lineRule="auto"/>
        <w:contextualSpacing/>
        <w:jc w:val="left"/>
        <w:outlineLvl w:val="9"/>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履约地点：</w:t>
      </w:r>
      <w:r>
        <w:rPr>
          <w:rFonts w:hint="eastAsia" w:cs="仿宋_GB2312" w:asciiTheme="minorEastAsia" w:hAnsiTheme="minorEastAsia" w:eastAsiaTheme="minorEastAsia"/>
          <w:color w:val="auto"/>
          <w:sz w:val="24"/>
          <w:szCs w:val="24"/>
          <w:shd w:val="clear" w:color="auto" w:fill="FFFFFF"/>
          <w:lang w:val="en-US" w:eastAsia="zh-CN"/>
        </w:rPr>
        <w:t xml:space="preserve"> 采购人指定地点</w:t>
      </w:r>
    </w:p>
    <w:p>
      <w:pPr>
        <w:pStyle w:val="21"/>
        <w:widowControl/>
        <w:shd w:val="clear" w:color="auto" w:fill="FFFFFF"/>
        <w:spacing w:line="360" w:lineRule="auto"/>
        <w:ind w:firstLine="420"/>
        <w:contextualSpacing/>
        <w:jc w:val="left"/>
        <w:outlineLvl w:val="9"/>
        <w:rPr>
          <w:rFonts w:cs="黑体" w:asciiTheme="minorEastAsia" w:hAnsiTheme="minorEastAsia" w:eastAsiaTheme="minorEastAsia"/>
          <w:b/>
          <w:bCs/>
          <w:color w:val="auto"/>
          <w:sz w:val="24"/>
          <w:szCs w:val="24"/>
          <w:shd w:val="clear" w:color="auto" w:fill="FFFFFF"/>
        </w:rPr>
      </w:pPr>
      <w:r>
        <w:rPr>
          <w:rFonts w:hint="eastAsia" w:cs="黑体" w:asciiTheme="minorEastAsia" w:hAnsiTheme="minorEastAsia" w:eastAsiaTheme="minorEastAsia"/>
          <w:b/>
          <w:bCs/>
          <w:color w:val="auto"/>
          <w:sz w:val="24"/>
          <w:szCs w:val="24"/>
          <w:shd w:val="clear" w:color="auto" w:fill="FFFFFF"/>
        </w:rPr>
        <w:t>五、投标人应具备的特殊要求：无特殊要求。</w:t>
      </w:r>
    </w:p>
    <w:p>
      <w:pPr>
        <w:pStyle w:val="21"/>
        <w:widowControl/>
        <w:shd w:val="clear" w:color="auto" w:fill="FFFFFF"/>
        <w:spacing w:line="360" w:lineRule="auto"/>
        <w:ind w:firstLine="420"/>
        <w:contextualSpacing/>
        <w:jc w:val="left"/>
        <w:outlineLvl w:val="9"/>
        <w:rPr>
          <w:rFonts w:cs="黑体" w:asciiTheme="minorEastAsia" w:hAnsiTheme="minorEastAsia" w:eastAsiaTheme="minorEastAsia"/>
          <w:b/>
          <w:bCs/>
          <w:color w:val="auto"/>
          <w:sz w:val="24"/>
          <w:szCs w:val="24"/>
          <w:shd w:val="clear" w:color="auto" w:fill="FFFFFF"/>
        </w:rPr>
      </w:pPr>
      <w:r>
        <w:rPr>
          <w:rFonts w:hint="eastAsia" w:cs="黑体" w:asciiTheme="minorEastAsia" w:hAnsiTheme="minorEastAsia" w:eastAsiaTheme="minorEastAsia"/>
          <w:b/>
          <w:bCs/>
          <w:color w:val="auto"/>
          <w:sz w:val="24"/>
          <w:szCs w:val="24"/>
          <w:shd w:val="clear" w:color="auto" w:fill="FFFFFF"/>
        </w:rPr>
        <w:t>六、招标文件的获取</w:t>
      </w:r>
    </w:p>
    <w:p>
      <w:pPr>
        <w:pStyle w:val="21"/>
        <w:widowControl/>
        <w:shd w:val="clear" w:color="auto" w:fill="FFFFFF"/>
        <w:spacing w:line="360" w:lineRule="auto"/>
        <w:ind w:left="424" w:leftChars="202" w:firstLine="484" w:firstLineChars="202"/>
        <w:contextualSpacing/>
        <w:jc w:val="left"/>
        <w:outlineLvl w:val="9"/>
        <w:rPr>
          <w:color w:val="auto"/>
          <w:sz w:val="24"/>
          <w:szCs w:val="24"/>
          <w:shd w:val="clear" w:color="auto" w:fill="FFFFFF"/>
        </w:rPr>
      </w:pPr>
      <w:r>
        <w:rPr>
          <w:rFonts w:hint="eastAsia"/>
          <w:color w:val="auto"/>
          <w:sz w:val="24"/>
          <w:szCs w:val="24"/>
          <w:shd w:val="clear" w:color="auto" w:fill="FFFFFF"/>
        </w:rPr>
        <w:t>即日起至投标截止时间，登录《全国公共资源交易平台（河南省·许昌市）》“投标人/供应商登录”入口（</w:t>
      </w:r>
      <w:r>
        <w:rPr>
          <w:rFonts w:hint="eastAsia"/>
          <w:color w:val="auto"/>
          <w:sz w:val="24"/>
          <w:szCs w:val="24"/>
          <w:shd w:val="clear" w:color="auto" w:fill="FFFFFF"/>
          <w:lang w:eastAsia="zh-CN"/>
        </w:rPr>
        <w:t>http://ggzy.xuchang.gov.cn:8088/ggzy/</w:t>
      </w:r>
      <w:r>
        <w:rPr>
          <w:rFonts w:hint="eastAsia"/>
          <w:color w:val="auto"/>
          <w:sz w:val="24"/>
          <w:szCs w:val="24"/>
          <w:shd w:val="clear" w:color="auto" w:fill="FFFFFF"/>
        </w:rPr>
        <w:t>）自行免费下载招标文件。</w:t>
      </w:r>
    </w:p>
    <w:p>
      <w:pPr>
        <w:pStyle w:val="21"/>
        <w:widowControl/>
        <w:shd w:val="clear" w:color="auto" w:fill="FFFFFF"/>
        <w:spacing w:line="360" w:lineRule="auto"/>
        <w:ind w:left="420"/>
        <w:contextualSpacing/>
        <w:jc w:val="left"/>
        <w:outlineLvl w:val="9"/>
        <w:rPr>
          <w:rFonts w:cs="仿宋_GB2312" w:asciiTheme="minorEastAsia" w:hAnsiTheme="minorEastAsia" w:eastAsiaTheme="minorEastAsia"/>
          <w:b/>
          <w:color w:val="auto"/>
          <w:sz w:val="24"/>
          <w:szCs w:val="24"/>
          <w:shd w:val="clear" w:color="auto" w:fill="FFFFFF"/>
        </w:rPr>
      </w:pPr>
      <w:r>
        <w:rPr>
          <w:rFonts w:hint="eastAsia" w:cs="仿宋_GB2312" w:asciiTheme="minorEastAsia" w:hAnsiTheme="minorEastAsia" w:eastAsiaTheme="minorEastAsia"/>
          <w:b/>
          <w:color w:val="auto"/>
          <w:sz w:val="24"/>
          <w:szCs w:val="24"/>
          <w:shd w:val="clear" w:color="auto" w:fill="FFFFFF"/>
        </w:rPr>
        <w:t>七、投标文件的提交方式及注意事项</w:t>
      </w:r>
    </w:p>
    <w:p>
      <w:pPr>
        <w:pStyle w:val="21"/>
        <w:widowControl/>
        <w:shd w:val="clear" w:color="auto" w:fill="FFFFFF"/>
        <w:spacing w:line="360" w:lineRule="auto"/>
        <w:ind w:left="424" w:leftChars="202" w:firstLine="484" w:firstLineChars="202"/>
        <w:contextualSpacing/>
        <w:jc w:val="left"/>
        <w:outlineLvl w:val="9"/>
        <w:rPr>
          <w:color w:val="auto"/>
          <w:sz w:val="24"/>
          <w:szCs w:val="24"/>
          <w:shd w:val="clear" w:color="auto" w:fill="FFFFFF"/>
        </w:rPr>
      </w:pPr>
      <w:r>
        <w:rPr>
          <w:rFonts w:hint="eastAsia"/>
          <w:color w:val="auto"/>
          <w:sz w:val="24"/>
          <w:szCs w:val="24"/>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pPr>
        <w:pStyle w:val="21"/>
        <w:widowControl/>
        <w:shd w:val="clear" w:color="auto" w:fill="FFFFFF"/>
        <w:spacing w:line="360" w:lineRule="auto"/>
        <w:ind w:firstLine="420"/>
        <w:contextualSpacing/>
        <w:jc w:val="left"/>
        <w:outlineLvl w:val="9"/>
        <w:rPr>
          <w:rFonts w:cs="黑体" w:asciiTheme="minorEastAsia" w:hAnsiTheme="minorEastAsia" w:eastAsiaTheme="minorEastAsia"/>
          <w:b/>
          <w:bCs/>
          <w:color w:val="auto"/>
          <w:sz w:val="24"/>
          <w:szCs w:val="24"/>
          <w:shd w:val="clear" w:color="auto" w:fill="FFFFFF"/>
        </w:rPr>
      </w:pPr>
      <w:r>
        <w:rPr>
          <w:rFonts w:hint="eastAsia" w:cs="黑体" w:asciiTheme="minorEastAsia" w:hAnsiTheme="minorEastAsia" w:eastAsiaTheme="minorEastAsia"/>
          <w:b/>
          <w:bCs/>
          <w:color w:val="auto"/>
          <w:sz w:val="24"/>
          <w:szCs w:val="24"/>
          <w:shd w:val="clear" w:color="auto" w:fill="FFFFFF"/>
        </w:rPr>
        <w:t>八、投标截止时间、开标时间及地点</w:t>
      </w:r>
    </w:p>
    <w:p>
      <w:pPr>
        <w:pStyle w:val="21"/>
        <w:widowControl/>
        <w:numPr>
          <w:ilvl w:val="0"/>
          <w:numId w:val="2"/>
        </w:numPr>
        <w:shd w:val="clear" w:color="auto" w:fill="FFFFFF"/>
        <w:spacing w:line="360" w:lineRule="auto"/>
        <w:contextualSpacing/>
        <w:jc w:val="left"/>
        <w:outlineLvl w:val="9"/>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投标截止及开标时间：2020年</w:t>
      </w:r>
      <w:r>
        <w:rPr>
          <w:rFonts w:hint="eastAsia" w:cs="仿宋_GB2312" w:asciiTheme="minorEastAsia" w:hAnsiTheme="minorEastAsia" w:eastAsiaTheme="minorEastAsia"/>
          <w:color w:val="auto"/>
          <w:sz w:val="24"/>
          <w:szCs w:val="24"/>
          <w:shd w:val="clear" w:color="auto" w:fill="FFFFFF"/>
          <w:lang w:val="en-US" w:eastAsia="zh-CN"/>
        </w:rPr>
        <w:t>11</w:t>
      </w:r>
      <w:r>
        <w:rPr>
          <w:rFonts w:hint="eastAsia" w:cs="仿宋_GB2312" w:asciiTheme="minorEastAsia" w:hAnsiTheme="minorEastAsia" w:eastAsiaTheme="minorEastAsia"/>
          <w:color w:val="auto"/>
          <w:sz w:val="24"/>
          <w:szCs w:val="24"/>
          <w:shd w:val="clear" w:color="auto" w:fill="FFFFFF"/>
        </w:rPr>
        <w:t>月</w:t>
      </w:r>
      <w:r>
        <w:rPr>
          <w:rFonts w:hint="eastAsia" w:cs="仿宋_GB2312" w:asciiTheme="minorEastAsia" w:hAnsiTheme="minorEastAsia" w:eastAsiaTheme="minorEastAsia"/>
          <w:color w:val="auto"/>
          <w:sz w:val="24"/>
          <w:szCs w:val="24"/>
          <w:shd w:val="clear" w:color="auto" w:fill="FFFFFF"/>
          <w:lang w:val="en-US" w:eastAsia="zh-CN"/>
        </w:rPr>
        <w:t>9</w:t>
      </w:r>
      <w:r>
        <w:rPr>
          <w:rFonts w:hint="eastAsia" w:cs="仿宋_GB2312" w:asciiTheme="minorEastAsia" w:hAnsiTheme="minorEastAsia" w:eastAsiaTheme="minorEastAsia"/>
          <w:color w:val="auto"/>
          <w:sz w:val="24"/>
          <w:szCs w:val="24"/>
          <w:shd w:val="clear" w:color="auto" w:fill="FFFFFF"/>
        </w:rPr>
        <w:t>日</w:t>
      </w:r>
      <w:r>
        <w:rPr>
          <w:rFonts w:hint="eastAsia" w:cs="仿宋_GB2312" w:asciiTheme="minorEastAsia" w:hAnsiTheme="minorEastAsia" w:eastAsiaTheme="minorEastAsia"/>
          <w:color w:val="auto"/>
          <w:sz w:val="24"/>
          <w:szCs w:val="24"/>
          <w:shd w:val="clear" w:color="auto" w:fill="FFFFFF"/>
          <w:lang w:val="en-US" w:eastAsia="zh-CN"/>
        </w:rPr>
        <w:t>9</w:t>
      </w:r>
      <w:r>
        <w:rPr>
          <w:rFonts w:hint="eastAsia" w:cs="仿宋_GB2312" w:asciiTheme="minorEastAsia" w:hAnsiTheme="minorEastAsia" w:eastAsiaTheme="minorEastAsia"/>
          <w:color w:val="auto"/>
          <w:sz w:val="24"/>
          <w:szCs w:val="24"/>
          <w:shd w:val="clear" w:color="auto" w:fill="FFFFFF"/>
        </w:rPr>
        <w:t>点</w:t>
      </w:r>
      <w:r>
        <w:rPr>
          <w:rFonts w:hint="eastAsia" w:cs="仿宋_GB2312" w:asciiTheme="minorEastAsia" w:hAnsiTheme="minorEastAsia" w:eastAsiaTheme="minorEastAsia"/>
          <w:color w:val="auto"/>
          <w:sz w:val="24"/>
          <w:szCs w:val="24"/>
          <w:shd w:val="clear" w:color="auto" w:fill="FFFFFF"/>
          <w:lang w:val="en-US" w:eastAsia="zh-CN"/>
        </w:rPr>
        <w:t>00</w:t>
      </w:r>
      <w:r>
        <w:rPr>
          <w:rFonts w:hint="eastAsia" w:cs="仿宋_GB2312" w:asciiTheme="minorEastAsia" w:hAnsiTheme="minorEastAsia" w:eastAsiaTheme="minorEastAsia"/>
          <w:color w:val="auto"/>
          <w:sz w:val="24"/>
          <w:szCs w:val="24"/>
          <w:shd w:val="clear" w:color="auto" w:fill="FFFFFF"/>
        </w:rPr>
        <w:t>分（北京时间），逾期提交或不符合规定的投标文件不予接受。</w:t>
      </w:r>
    </w:p>
    <w:p>
      <w:pPr>
        <w:pStyle w:val="21"/>
        <w:widowControl/>
        <w:numPr>
          <w:ilvl w:val="0"/>
          <w:numId w:val="2"/>
        </w:numPr>
        <w:shd w:val="clear" w:color="auto" w:fill="FFFFFF"/>
        <w:spacing w:line="360" w:lineRule="auto"/>
        <w:contextualSpacing/>
        <w:jc w:val="left"/>
        <w:outlineLvl w:val="9"/>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rPr>
        <w:t>开标地点：鄢陵县公共资源交易中心</w:t>
      </w:r>
      <w:r>
        <w:rPr>
          <w:rFonts w:hint="eastAsia" w:cs="仿宋_GB2312" w:asciiTheme="minorEastAsia" w:hAnsiTheme="minorEastAsia" w:eastAsiaTheme="minorEastAsia"/>
          <w:color w:val="auto"/>
          <w:sz w:val="24"/>
          <w:szCs w:val="24"/>
          <w:lang w:val="en-US" w:eastAsia="zh-CN"/>
        </w:rPr>
        <w:t>四</w:t>
      </w:r>
      <w:r>
        <w:rPr>
          <w:rFonts w:hint="eastAsia" w:cs="仿宋_GB2312" w:asciiTheme="minorEastAsia" w:hAnsiTheme="minorEastAsia" w:eastAsiaTheme="minorEastAsia"/>
          <w:color w:val="auto"/>
          <w:sz w:val="24"/>
          <w:szCs w:val="24"/>
        </w:rPr>
        <w:t>楼开标</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u w:val="single"/>
          <w:lang w:val="en-US" w:eastAsia="zh-CN"/>
        </w:rPr>
        <w:t>一</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室。（</w:t>
      </w:r>
      <w:r>
        <w:rPr>
          <w:rFonts w:hint="eastAsia" w:cs="Arial" w:asciiTheme="minorEastAsia" w:hAnsiTheme="minorEastAsia" w:eastAsiaTheme="minorEastAsia"/>
          <w:b/>
          <w:color w:val="auto"/>
          <w:sz w:val="24"/>
          <w:szCs w:val="24"/>
        </w:rPr>
        <w:t>本项目采用远程不见面开标方式，投标人无须到现场</w:t>
      </w:r>
      <w:r>
        <w:rPr>
          <w:rFonts w:hint="eastAsia" w:cs="Arial"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w:t>
      </w:r>
    </w:p>
    <w:p>
      <w:pPr>
        <w:pStyle w:val="21"/>
        <w:widowControl/>
        <w:shd w:val="clear" w:color="auto" w:fill="FFFFFF"/>
        <w:spacing w:line="360" w:lineRule="auto"/>
        <w:ind w:firstLine="420"/>
        <w:contextualSpacing/>
        <w:jc w:val="left"/>
        <w:outlineLvl w:val="9"/>
        <w:rPr>
          <w:rFonts w:cs="黑体" w:asciiTheme="minorEastAsia" w:hAnsiTheme="minorEastAsia" w:eastAsiaTheme="minorEastAsia"/>
          <w:b/>
          <w:bCs/>
          <w:color w:val="auto"/>
          <w:sz w:val="24"/>
          <w:szCs w:val="24"/>
          <w:shd w:val="clear" w:color="auto" w:fill="FFFFFF"/>
        </w:rPr>
      </w:pPr>
      <w:r>
        <w:rPr>
          <w:rFonts w:hint="eastAsia" w:cs="黑体" w:asciiTheme="minorEastAsia" w:hAnsiTheme="minorEastAsia" w:eastAsiaTheme="minorEastAsia"/>
          <w:b/>
          <w:bCs/>
          <w:color w:val="auto"/>
          <w:sz w:val="24"/>
          <w:szCs w:val="24"/>
          <w:shd w:val="clear" w:color="auto" w:fill="FFFFFF"/>
        </w:rPr>
        <w:t>九、开标注意事项</w:t>
      </w:r>
    </w:p>
    <w:p>
      <w:pPr>
        <w:pStyle w:val="21"/>
        <w:widowControl/>
        <w:shd w:val="clear" w:color="auto" w:fill="FFFFFF"/>
        <w:spacing w:line="360" w:lineRule="auto"/>
        <w:ind w:left="424" w:leftChars="202" w:firstLine="484" w:firstLineChars="202"/>
        <w:contextualSpacing/>
        <w:jc w:val="left"/>
        <w:outlineLvl w:val="9"/>
        <w:rPr>
          <w:color w:val="auto"/>
          <w:sz w:val="24"/>
          <w:szCs w:val="24"/>
          <w:shd w:val="clear" w:color="auto" w:fill="FFFFFF"/>
        </w:rPr>
      </w:pPr>
      <w:r>
        <w:rPr>
          <w:rFonts w:hint="eastAsia"/>
          <w:color w:val="auto"/>
          <w:sz w:val="24"/>
          <w:szCs w:val="24"/>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21"/>
        <w:widowControl/>
        <w:shd w:val="clear" w:color="auto" w:fill="FFFFFF"/>
        <w:spacing w:line="360" w:lineRule="auto"/>
        <w:ind w:firstLine="420"/>
        <w:contextualSpacing/>
        <w:jc w:val="left"/>
        <w:outlineLvl w:val="9"/>
        <w:rPr>
          <w:rFonts w:cs="黑体" w:asciiTheme="minorEastAsia" w:hAnsiTheme="minorEastAsia" w:eastAsiaTheme="minorEastAsia"/>
          <w:b/>
          <w:bCs/>
          <w:color w:val="auto"/>
          <w:sz w:val="24"/>
          <w:szCs w:val="24"/>
          <w:shd w:val="clear" w:color="auto" w:fill="FFFFFF"/>
        </w:rPr>
      </w:pPr>
      <w:r>
        <w:rPr>
          <w:rFonts w:hint="eastAsia" w:cs="黑体" w:asciiTheme="minorEastAsia" w:hAnsiTheme="minorEastAsia" w:eastAsiaTheme="minorEastAsia"/>
          <w:b/>
          <w:bCs/>
          <w:color w:val="auto"/>
          <w:sz w:val="24"/>
          <w:szCs w:val="24"/>
          <w:shd w:val="clear" w:color="auto" w:fill="FFFFFF"/>
        </w:rPr>
        <w:t>十、本次招标公告同时在《中国政府采购网》、《河南省政府采购网》、《许昌市政府采购网》、《全国公共资源交易平台（河南省·许昌市）》发布。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outlineLvl w:val="9"/>
        <w:rPr>
          <w:rFonts w:cs="黑体" w:asciiTheme="minorEastAsia" w:hAnsiTheme="minorEastAsia" w:eastAsiaTheme="minorEastAsia"/>
          <w:b/>
          <w:bCs/>
          <w:color w:val="auto"/>
          <w:sz w:val="24"/>
          <w:szCs w:val="24"/>
        </w:rPr>
      </w:pPr>
      <w:r>
        <w:rPr>
          <w:rFonts w:hint="eastAsia" w:cs="黑体" w:asciiTheme="minorEastAsia" w:hAnsiTheme="minorEastAsia" w:eastAsiaTheme="minorEastAsia"/>
          <w:b/>
          <w:bCs/>
          <w:color w:val="auto"/>
          <w:sz w:val="24"/>
          <w:szCs w:val="24"/>
        </w:rPr>
        <w:t>十一、联系方式</w:t>
      </w:r>
    </w:p>
    <w:p>
      <w:pPr>
        <w:adjustRightInd w:val="0"/>
        <w:spacing w:line="360" w:lineRule="auto"/>
        <w:ind w:firstLine="960" w:firstLineChars="400"/>
        <w:contextualSpacing/>
        <w:jc w:val="left"/>
        <w:outlineLvl w:val="9"/>
        <w:rPr>
          <w:rFonts w:hint="eastAsia" w:ascii="宋体" w:hAnsi="宋体" w:eastAsiaTheme="minorEastAsia"/>
          <w:color w:val="auto"/>
          <w:sz w:val="24"/>
          <w:szCs w:val="24"/>
          <w:lang w:eastAsia="zh-CN"/>
        </w:rPr>
      </w:pPr>
      <w:r>
        <w:rPr>
          <w:rFonts w:hint="eastAsia" w:ascii="宋体" w:hAnsi="宋体"/>
          <w:b/>
          <w:color w:val="auto"/>
          <w:sz w:val="24"/>
          <w:szCs w:val="24"/>
        </w:rPr>
        <w:t>采购人名称</w:t>
      </w:r>
      <w:r>
        <w:rPr>
          <w:rFonts w:hint="eastAsia" w:ascii="宋体" w:hAnsi="宋体"/>
          <w:color w:val="auto"/>
          <w:sz w:val="24"/>
          <w:szCs w:val="24"/>
        </w:rPr>
        <w:t>：</w:t>
      </w:r>
      <w:r>
        <w:rPr>
          <w:rFonts w:hint="eastAsia" w:ascii="宋体" w:hAnsi="宋体"/>
          <w:color w:val="auto"/>
          <w:sz w:val="24"/>
          <w:szCs w:val="24"/>
          <w:lang w:eastAsia="zh-CN"/>
        </w:rPr>
        <w:t>鄢陵县统计局</w:t>
      </w:r>
    </w:p>
    <w:p>
      <w:pPr>
        <w:adjustRightInd w:val="0"/>
        <w:spacing w:line="360" w:lineRule="auto"/>
        <w:ind w:firstLine="960" w:firstLineChars="400"/>
        <w:contextualSpacing/>
        <w:jc w:val="left"/>
        <w:outlineLvl w:val="9"/>
        <w:rPr>
          <w:rFonts w:hint="eastAsia" w:ascii="宋体" w:hAnsi="宋体"/>
          <w:color w:val="auto"/>
          <w:sz w:val="24"/>
          <w:szCs w:val="24"/>
        </w:rPr>
      </w:pPr>
      <w:r>
        <w:rPr>
          <w:rFonts w:hint="eastAsia" w:ascii="宋体" w:hAnsi="宋体"/>
          <w:color w:val="auto"/>
          <w:sz w:val="24"/>
          <w:szCs w:val="24"/>
        </w:rPr>
        <w:t>地    址：鄢陵县人民路916号</w:t>
      </w:r>
    </w:p>
    <w:p>
      <w:pPr>
        <w:adjustRightInd w:val="0"/>
        <w:spacing w:line="360" w:lineRule="auto"/>
        <w:ind w:firstLine="960" w:firstLineChars="400"/>
        <w:contextualSpacing/>
        <w:jc w:val="left"/>
        <w:outlineLvl w:val="9"/>
        <w:rPr>
          <w:rFonts w:hint="eastAsia" w:ascii="宋体" w:hAnsi="宋体"/>
          <w:color w:val="auto"/>
          <w:sz w:val="24"/>
          <w:szCs w:val="24"/>
        </w:rPr>
      </w:pPr>
      <w:r>
        <w:rPr>
          <w:rFonts w:hint="eastAsia" w:ascii="宋体" w:hAnsi="宋体"/>
          <w:color w:val="auto"/>
          <w:sz w:val="24"/>
          <w:szCs w:val="24"/>
        </w:rPr>
        <w:t>联 系 人：</w:t>
      </w:r>
      <w:r>
        <w:rPr>
          <w:rFonts w:hint="eastAsia" w:ascii="宋体" w:hAnsi="宋体"/>
          <w:color w:val="auto"/>
          <w:sz w:val="24"/>
          <w:szCs w:val="24"/>
          <w:lang w:eastAsia="zh-CN"/>
        </w:rPr>
        <w:t>常先生</w:t>
      </w:r>
      <w:r>
        <w:rPr>
          <w:rFonts w:hint="eastAsia" w:ascii="宋体" w:hAnsi="宋体"/>
          <w:color w:val="auto"/>
          <w:sz w:val="24"/>
          <w:szCs w:val="24"/>
          <w:lang w:val="en-US" w:eastAsia="zh-CN"/>
        </w:rPr>
        <w:t xml:space="preserve">           </w:t>
      </w:r>
      <w:r>
        <w:rPr>
          <w:rFonts w:hint="eastAsia" w:ascii="宋体" w:hAnsi="宋体"/>
          <w:color w:val="auto"/>
          <w:sz w:val="24"/>
          <w:szCs w:val="24"/>
        </w:rPr>
        <w:t>联系电话：0374-7108699</w:t>
      </w:r>
    </w:p>
    <w:p>
      <w:pPr>
        <w:adjustRightInd w:val="0"/>
        <w:spacing w:line="360" w:lineRule="auto"/>
        <w:ind w:firstLine="960" w:firstLineChars="400"/>
        <w:contextualSpacing/>
        <w:jc w:val="left"/>
        <w:outlineLvl w:val="9"/>
        <w:rPr>
          <w:rFonts w:ascii="宋体" w:hAnsi="宋体"/>
          <w:color w:val="auto"/>
          <w:sz w:val="24"/>
          <w:szCs w:val="24"/>
        </w:rPr>
      </w:pPr>
      <w:r>
        <w:rPr>
          <w:rFonts w:hint="eastAsia" w:ascii="宋体" w:hAnsi="宋体"/>
          <w:b/>
          <w:color w:val="auto"/>
          <w:sz w:val="24"/>
          <w:szCs w:val="24"/>
          <w:lang w:val="en-US" w:eastAsia="zh-CN"/>
        </w:rPr>
        <w:t>招标代理</w:t>
      </w:r>
      <w:r>
        <w:rPr>
          <w:rFonts w:hint="eastAsia" w:ascii="宋体" w:hAnsi="宋体"/>
          <w:b/>
          <w:color w:val="auto"/>
          <w:sz w:val="24"/>
          <w:szCs w:val="24"/>
        </w:rPr>
        <w:t>机构</w:t>
      </w:r>
      <w:r>
        <w:rPr>
          <w:rFonts w:hint="eastAsia" w:ascii="宋体" w:hAnsi="宋体"/>
          <w:color w:val="auto"/>
          <w:sz w:val="24"/>
          <w:szCs w:val="24"/>
        </w:rPr>
        <w:t>：河南招标采购服务有限公司</w:t>
      </w:r>
    </w:p>
    <w:p>
      <w:pPr>
        <w:adjustRightInd w:val="0"/>
        <w:snapToGrid w:val="0"/>
        <w:spacing w:line="360" w:lineRule="auto"/>
        <w:ind w:firstLine="960" w:firstLineChars="400"/>
        <w:jc w:val="left"/>
        <w:outlineLvl w:val="9"/>
        <w:rPr>
          <w:rFonts w:hint="eastAsia" w:ascii="宋体" w:hAnsi="宋体"/>
          <w:color w:val="auto"/>
          <w:sz w:val="24"/>
          <w:szCs w:val="24"/>
        </w:rPr>
      </w:pPr>
      <w:r>
        <w:rPr>
          <w:rFonts w:hint="eastAsia" w:ascii="宋体" w:hAnsi="宋体"/>
          <w:color w:val="auto"/>
          <w:sz w:val="24"/>
          <w:szCs w:val="24"/>
        </w:rPr>
        <w:t xml:space="preserve">地    址：郑州市纬四路13号 </w:t>
      </w:r>
    </w:p>
    <w:p>
      <w:pPr>
        <w:adjustRightInd w:val="0"/>
        <w:snapToGrid w:val="0"/>
        <w:spacing w:line="360" w:lineRule="auto"/>
        <w:ind w:firstLine="960" w:firstLineChars="400"/>
        <w:jc w:val="left"/>
        <w:outlineLvl w:val="9"/>
        <w:rPr>
          <w:rFonts w:ascii="宋体" w:hAnsi="宋体"/>
          <w:color w:val="auto"/>
          <w:sz w:val="24"/>
          <w:szCs w:val="24"/>
        </w:rPr>
      </w:pPr>
      <w:r>
        <w:rPr>
          <w:rFonts w:hint="eastAsia" w:ascii="宋体" w:hAnsi="宋体"/>
          <w:color w:val="auto"/>
          <w:sz w:val="24"/>
          <w:szCs w:val="24"/>
        </w:rPr>
        <w:t>联 系 人：刘</w:t>
      </w:r>
      <w:r>
        <w:rPr>
          <w:rFonts w:hint="eastAsia" w:ascii="宋体" w:hAnsi="宋体"/>
          <w:color w:val="auto"/>
          <w:sz w:val="24"/>
          <w:szCs w:val="24"/>
          <w:lang w:val="en-US" w:eastAsia="zh-CN"/>
        </w:rPr>
        <w:t>宝丰</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联系电话：0374-2219766、18903747336</w:t>
      </w:r>
    </w:p>
    <w:p>
      <w:pPr>
        <w:spacing w:line="360" w:lineRule="auto"/>
        <w:ind w:firstLine="360" w:firstLineChars="150"/>
        <w:outlineLvl w:val="9"/>
        <w:rPr>
          <w:rFonts w:hAnsi="宋体"/>
          <w:b/>
          <w:color w:val="auto"/>
          <w:sz w:val="24"/>
          <w:szCs w:val="24"/>
        </w:rPr>
      </w:pPr>
      <w:r>
        <w:rPr>
          <w:rFonts w:hint="eastAsia" w:hAnsi="宋体"/>
          <w:b/>
          <w:color w:val="auto"/>
          <w:sz w:val="24"/>
          <w:szCs w:val="24"/>
        </w:rPr>
        <w:t>温馨提示：本项目为全流程电子化交易项目，请注意以下事项。</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900" w:leftChars="200" w:hanging="480" w:hangingChars="200"/>
        <w:contextualSpacing/>
        <w:jc w:val="left"/>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color w:val="auto"/>
          <w:sz w:val="24"/>
          <w:szCs w:val="24"/>
        </w:rPr>
        <w:t>供应商参加本项目投标，需提前自行联系CA服务机构办理数字认证证书并进行电子签章。</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900" w:leftChars="2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color w:val="auto"/>
          <w:sz w:val="24"/>
          <w:szCs w:val="24"/>
        </w:rPr>
        <w:t>招标文件下载、投标文件制作、提交、远程不见面开标（电子投标文件的解密）环节，投标人须使用同一个CA数字证书（证书须在有效期内并可正常使用）。</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900" w:leftChars="200" w:hanging="480" w:hangingChars="200"/>
        <w:contextualSpacing/>
        <w:jc w:val="left"/>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电子投标文件的制作</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投标人登录《全国公共资源交易平台(河南省▪许昌市)》公共资源交易系统（</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HYPERLINK "http://221.14.6.70:8088/ggzy/"</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eastAsia="zh-CN"/>
        </w:rPr>
        <w:t>http://ggzy.xuchang.gov.cn:8088/ggzy/</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）下载“许昌投标文件制作系统SEARUN 最新版本”，制作投标文件。</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3.2投标人对同一项目多个标段进行投标的，应分别下载所投标段的招标文件，按标段制作投标文件。一个标段对应生成一个文件夹（xxxx项目xx标段）,其中后缀名为“.file”的文件用于投标。</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900" w:leftChars="200" w:hanging="480" w:hangingChars="200"/>
        <w:contextualSpacing/>
        <w:jc w:val="left"/>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4.</w:t>
      </w:r>
      <w:r>
        <w:rPr>
          <w:rFonts w:hint="eastAsia" w:asciiTheme="minorEastAsia" w:hAnsiTheme="minorEastAsia" w:eastAsiaTheme="minorEastAsia" w:cstheme="minorEastAsia"/>
          <w:b/>
          <w:color w:val="auto"/>
          <w:sz w:val="24"/>
          <w:szCs w:val="24"/>
        </w:rPr>
        <w:t>加密电子投标文件的提交</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4.1 </w:t>
      </w:r>
      <w:r>
        <w:rPr>
          <w:rFonts w:hint="eastAsia" w:asciiTheme="minorEastAsia" w:hAnsiTheme="minorEastAsia" w:eastAsiaTheme="minorEastAsia" w:cstheme="minorEastAsia"/>
          <w:color w:val="auto"/>
          <w:sz w:val="24"/>
          <w:szCs w:val="24"/>
        </w:rPr>
        <w:t>投标人对同一项目多个标段进行投标的，加密电子投标文件应按标段分别提交。</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4.2 </w:t>
      </w:r>
      <w:r>
        <w:rPr>
          <w:rFonts w:hint="eastAsia" w:asciiTheme="minorEastAsia" w:hAnsiTheme="minorEastAsia" w:eastAsiaTheme="minorEastAsia" w:cstheme="minorEastAsia"/>
          <w:color w:val="auto"/>
          <w:sz w:val="24"/>
          <w:szCs w:val="24"/>
        </w:rPr>
        <w:t>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"http://221.14.6.70:8088/ggzy/" </w:instrText>
      </w:r>
      <w:r>
        <w:rPr>
          <w:rFonts w:hint="eastAsia" w:asciiTheme="minorEastAsia" w:hAnsiTheme="minorEastAsia" w:eastAsiaTheme="minorEastAsia" w:cstheme="minorEastAsia"/>
          <w:color w:val="auto"/>
          <w:sz w:val="24"/>
          <w:szCs w:val="24"/>
        </w:rPr>
        <w:fldChar w:fldCharType="separate"/>
      </w:r>
      <w:r>
        <w:rPr>
          <w:rStyle w:val="30"/>
          <w:rFonts w:hint="eastAsia" w:asciiTheme="minorEastAsia" w:hAnsiTheme="minorEastAsia" w:eastAsiaTheme="minorEastAsia" w:cstheme="minorEastAsia"/>
          <w:color w:val="auto"/>
          <w:sz w:val="24"/>
          <w:szCs w:val="24"/>
          <w:lang w:eastAsia="zh-CN"/>
        </w:rPr>
        <w:t>http://ggzy.xuchang.gov.cn:8088/ggzy/</w:t>
      </w:r>
      <w:r>
        <w:rPr>
          <w:rStyle w:val="30"/>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）生成“投标文件提交回执单”。</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900" w:leftChars="200" w:hanging="480" w:hangingChars="200"/>
        <w:contextualSpacing/>
        <w:jc w:val="left"/>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5.</w:t>
      </w:r>
      <w:r>
        <w:rPr>
          <w:rFonts w:hint="eastAsia" w:asciiTheme="minorEastAsia" w:hAnsiTheme="minorEastAsia" w:eastAsiaTheme="minorEastAsia" w:cstheme="minorEastAsia"/>
          <w:b/>
          <w:color w:val="auto"/>
          <w:sz w:val="24"/>
          <w:szCs w:val="24"/>
        </w:rPr>
        <w:t>远程不见面开标（电子投标文件的解密）</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5.1</w:t>
      </w:r>
      <w:r>
        <w:rPr>
          <w:rFonts w:hint="eastAsia" w:asciiTheme="minorEastAsia" w:hAnsiTheme="minorEastAsia" w:eastAsiaTheme="minorEastAsia" w:cstheme="minorEastAsia"/>
          <w:color w:val="auto"/>
          <w:sz w:val="24"/>
          <w:szCs w:val="24"/>
        </w:rPr>
        <w:t>本项目采用远程“不见面”开标方式，投标前请详细阅读全国公共资源交易平台（河南省·许昌市）首页“资料下载”栏目的《许昌市不见面操作手册》。</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5.2</w:t>
      </w:r>
      <w:r>
        <w:rPr>
          <w:rFonts w:hint="eastAsia" w:asciiTheme="minorEastAsia" w:hAnsiTheme="minorEastAsia" w:eastAsiaTheme="minorEastAsia" w:cstheme="minorEastAsia"/>
          <w:color w:val="auto"/>
          <w:sz w:val="24"/>
          <w:szCs w:val="24"/>
        </w:rPr>
        <w:t>投标人提前设置不见面开标浏览器，并于开标时间前登录本项目不见面开标大厅，按照规定的开标时间准时参加网上开标。</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5.3</w:t>
      </w:r>
      <w:r>
        <w:rPr>
          <w:rFonts w:hint="eastAsia" w:asciiTheme="minorEastAsia" w:hAnsiTheme="minorEastAsia" w:eastAsiaTheme="minorEastAsia" w:cstheme="minorEastAsia"/>
          <w:color w:val="auto"/>
          <w:sz w:val="24"/>
          <w:szCs w:val="24"/>
        </w:rPr>
        <w:t>根据采购代理机构在“文字互动”对话框的通知，投标人选择功能栏“解密环节”按钮进行电子投标文件解密（投标人解密应自采购代理机构点击“开标开始”按钮后</w:t>
      </w:r>
      <w:r>
        <w:rPr>
          <w:rFonts w:hint="eastAsia" w:asciiTheme="minorEastAsia" w:hAnsiTheme="minorEastAsia" w:cstheme="minorEastAsia"/>
          <w:color w:val="auto"/>
          <w:sz w:val="24"/>
          <w:szCs w:val="24"/>
          <w:lang w:eastAsia="zh-CN"/>
        </w:rPr>
        <w:t>120分钟</w:t>
      </w:r>
      <w:r>
        <w:rPr>
          <w:rFonts w:hint="eastAsia" w:asciiTheme="minorEastAsia" w:hAnsiTheme="minorEastAsia" w:eastAsiaTheme="minorEastAsia" w:cstheme="minorEastAsia"/>
          <w:color w:val="auto"/>
          <w:sz w:val="24"/>
          <w:szCs w:val="24"/>
        </w:rPr>
        <w:t>内完成）。投标人未解密或因投标人原因解密失败的，其投标将被拒绝。</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5.4</w:t>
      </w:r>
      <w:r>
        <w:rPr>
          <w:rFonts w:hint="eastAsia" w:asciiTheme="minorEastAsia" w:hAnsiTheme="minorEastAsia" w:eastAsiaTheme="minorEastAsia" w:cstheme="minorEastAsia"/>
          <w:color w:val="auto"/>
          <w:sz w:val="24"/>
          <w:szCs w:val="24"/>
        </w:rPr>
        <w:t>开标活动结束时，投标人应在《开标记录表》上进行电子签章。投标人未签章的，视同认可开标结果。</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5.5</w:t>
      </w:r>
      <w:r>
        <w:rPr>
          <w:rFonts w:hint="eastAsia" w:asciiTheme="minorEastAsia" w:hAnsiTheme="minorEastAsia" w:eastAsiaTheme="minorEastAsia" w:cstheme="minorEastAsia"/>
          <w:color w:val="auto"/>
          <w:sz w:val="24"/>
          <w:szCs w:val="24"/>
        </w:rPr>
        <w:t>投标人对开标过程和开标记录如有疑义，可在本项目不见面开标大厅“文字互动”对话框或“新增质疑”处在线提出询问。</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900" w:leftChars="200" w:hanging="480" w:hangingChars="200"/>
        <w:contextualSpacing/>
        <w:jc w:val="left"/>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6.</w:t>
      </w:r>
      <w:r>
        <w:rPr>
          <w:rFonts w:hint="eastAsia" w:asciiTheme="minorEastAsia" w:hAnsiTheme="minorEastAsia" w:eastAsiaTheme="minorEastAsia" w:cstheme="minorEastAsia"/>
          <w:b/>
          <w:color w:val="auto"/>
          <w:sz w:val="24"/>
          <w:szCs w:val="24"/>
        </w:rPr>
        <w:t>评标依据</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6.1</w:t>
      </w:r>
      <w:r>
        <w:rPr>
          <w:rFonts w:hint="eastAsia" w:asciiTheme="minorEastAsia" w:hAnsiTheme="minorEastAsia" w:eastAsiaTheme="minorEastAsia" w:cstheme="minorEastAsia"/>
          <w:color w:val="auto"/>
          <w:sz w:val="24"/>
          <w:szCs w:val="24"/>
        </w:rPr>
        <w:t>全流程电子化交易（不见面开标）项目，评标委员会以成功上传、解密的电子投标文件为依据评审。</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6.2</w:t>
      </w:r>
      <w:r>
        <w:rPr>
          <w:rFonts w:hint="eastAsia" w:asciiTheme="minorEastAsia" w:hAnsiTheme="minorEastAsia" w:eastAsiaTheme="minorEastAsia" w:cstheme="minorEastAsia"/>
          <w:color w:val="auto"/>
          <w:sz w:val="24"/>
          <w:szCs w:val="24"/>
        </w:rPr>
        <w:t>评标期间，投标人应保持通讯手机畅通。评标委员会如要求投标人作出澄清、说明或者补正等，投标人应在评标委员会要求的评标期间合理的时间内通过电子邮件形式提供。</w:t>
      </w:r>
    </w:p>
    <w:p>
      <w:pPr>
        <w:pStyle w:val="38"/>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1320" w:leftChars="400" w:hanging="480" w:hangingChars="200"/>
        <w:contextualSpacing/>
        <w:jc w:val="left"/>
        <w:textAlignment w:val="auto"/>
        <w:outlineLvl w:val="9"/>
        <w:rPr>
          <w:rFonts w:hint="eastAsia" w:cs="宋体" w:asciiTheme="majorEastAsia" w:hAnsiTheme="majorEastAsia" w:eastAsiaTheme="majorEastAsia"/>
          <w:b/>
          <w:color w:val="auto"/>
          <w:kern w:val="0"/>
          <w:sz w:val="24"/>
          <w:szCs w:val="24"/>
          <w:highlight w:val="none"/>
        </w:rPr>
      </w:pPr>
      <w:r>
        <w:rPr>
          <w:rFonts w:hint="eastAsia" w:asciiTheme="minorEastAsia" w:hAnsiTheme="minorEastAsia" w:eastAsiaTheme="minorEastAsia" w:cstheme="minorEastAsia"/>
          <w:color w:val="auto"/>
          <w:sz w:val="24"/>
          <w:szCs w:val="24"/>
          <w:lang w:val="en-US" w:eastAsia="zh-CN"/>
        </w:rPr>
        <w:t>6.3</w:t>
      </w:r>
      <w:r>
        <w:rPr>
          <w:rFonts w:hint="eastAsia" w:asciiTheme="minorEastAsia" w:hAnsiTheme="minorEastAsia" w:eastAsiaTheme="minorEastAsia" w:cstheme="minorEastAsia"/>
          <w:color w:val="auto"/>
          <w:sz w:val="24"/>
          <w:szCs w:val="24"/>
        </w:rPr>
        <w:t>投标人通过电子邮件提供的书面说明或相关证明材料应加盖公章，或者由法定代表人或其授权的代表签字。</w:t>
      </w:r>
    </w:p>
    <w:p>
      <w:pPr>
        <w:outlineLvl w:val="9"/>
        <w:rPr>
          <w:rFonts w:hint="eastAsia"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br w:type="page"/>
      </w:r>
    </w:p>
    <w:p>
      <w:pPr>
        <w:autoSpaceDE w:val="0"/>
        <w:autoSpaceDN w:val="0"/>
        <w:adjustRightInd w:val="0"/>
        <w:jc w:val="center"/>
        <w:outlineLvl w:val="0"/>
        <w:rPr>
          <w:rFonts w:cs="宋体" w:asciiTheme="majorEastAsia" w:hAnsiTheme="majorEastAsia" w:eastAsiaTheme="majorEastAsia"/>
          <w:b/>
          <w:color w:val="auto"/>
          <w:kern w:val="0"/>
          <w:sz w:val="36"/>
          <w:szCs w:val="36"/>
          <w:highlight w:val="none"/>
        </w:rPr>
      </w:pPr>
      <w:bookmarkStart w:id="4" w:name="_Toc12133"/>
      <w:bookmarkStart w:id="5" w:name="_Toc25416"/>
      <w:r>
        <w:rPr>
          <w:rFonts w:hint="eastAsia" w:cs="宋体" w:asciiTheme="majorEastAsia" w:hAnsiTheme="majorEastAsia" w:eastAsiaTheme="majorEastAsia"/>
          <w:b/>
          <w:color w:val="auto"/>
          <w:kern w:val="0"/>
          <w:sz w:val="36"/>
          <w:szCs w:val="36"/>
          <w:highlight w:val="none"/>
        </w:rPr>
        <w:t>第二章 投标人须知</w:t>
      </w:r>
      <w:bookmarkEnd w:id="4"/>
      <w:bookmarkEnd w:id="5"/>
    </w:p>
    <w:p>
      <w:pPr>
        <w:autoSpaceDE w:val="0"/>
        <w:autoSpaceDN w:val="0"/>
        <w:adjustRightInd w:val="0"/>
        <w:spacing w:line="360" w:lineRule="auto"/>
        <w:ind w:right="-11"/>
        <w:jc w:val="center"/>
        <w:outlineLvl w:val="1"/>
        <w:rPr>
          <w:rFonts w:ascii="宋体" w:cs="宋体"/>
          <w:b/>
          <w:color w:val="auto"/>
          <w:sz w:val="28"/>
          <w:szCs w:val="28"/>
          <w:highlight w:val="none"/>
          <w:lang w:val="zh-CN"/>
        </w:rPr>
      </w:pPr>
      <w:bookmarkStart w:id="6" w:name="_Toc12597"/>
      <w:r>
        <w:rPr>
          <w:rFonts w:hint="eastAsia" w:ascii="宋体" w:cs="宋体"/>
          <w:b/>
          <w:color w:val="auto"/>
          <w:sz w:val="28"/>
          <w:szCs w:val="28"/>
          <w:highlight w:val="none"/>
          <w:lang w:val="zh-CN"/>
        </w:rPr>
        <w:t>投标人须知前附表</w:t>
      </w:r>
      <w:bookmarkEnd w:id="6"/>
    </w:p>
    <w:tbl>
      <w:tblPr>
        <w:tblStyle w:val="24"/>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outlineLvl w:val="9"/>
              <w:rPr>
                <w:rFonts w:hAnsi="宋体" w:cs="仿宋_GB2312"/>
                <w:b/>
                <w:color w:val="auto"/>
                <w:sz w:val="24"/>
                <w:szCs w:val="24"/>
                <w:highlight w:val="none"/>
              </w:rPr>
            </w:pPr>
            <w:r>
              <w:rPr>
                <w:rFonts w:hint="eastAsia" w:hAnsi="宋体" w:cs="仿宋_GB2312"/>
                <w:b/>
                <w:color w:val="auto"/>
                <w:sz w:val="24"/>
                <w:szCs w:val="24"/>
                <w:highlight w:val="none"/>
              </w:rPr>
              <w:t>序号</w:t>
            </w:r>
          </w:p>
        </w:tc>
        <w:tc>
          <w:tcPr>
            <w:tcW w:w="2268" w:type="dxa"/>
            <w:vAlign w:val="center"/>
          </w:tcPr>
          <w:p>
            <w:pPr>
              <w:autoSpaceDE w:val="0"/>
              <w:autoSpaceDN w:val="0"/>
              <w:adjustRightInd w:val="0"/>
              <w:spacing w:line="360" w:lineRule="auto"/>
              <w:jc w:val="center"/>
              <w:outlineLvl w:val="9"/>
              <w:rPr>
                <w:rFonts w:hAnsi="宋体" w:cs="仿宋_GB2312"/>
                <w:b/>
                <w:color w:val="auto"/>
                <w:sz w:val="24"/>
                <w:szCs w:val="24"/>
                <w:highlight w:val="none"/>
              </w:rPr>
            </w:pPr>
            <w:r>
              <w:rPr>
                <w:rFonts w:hint="eastAsia" w:hAnsi="宋体" w:cs="仿宋_GB2312"/>
                <w:b/>
                <w:color w:val="auto"/>
                <w:sz w:val="24"/>
                <w:szCs w:val="24"/>
                <w:highlight w:val="none"/>
              </w:rPr>
              <w:t>条款名称</w:t>
            </w:r>
          </w:p>
        </w:tc>
        <w:tc>
          <w:tcPr>
            <w:tcW w:w="7038" w:type="dxa"/>
            <w:vAlign w:val="center"/>
          </w:tcPr>
          <w:p>
            <w:pPr>
              <w:autoSpaceDE w:val="0"/>
              <w:autoSpaceDN w:val="0"/>
              <w:adjustRightInd w:val="0"/>
              <w:spacing w:line="360" w:lineRule="auto"/>
              <w:jc w:val="center"/>
              <w:outlineLvl w:val="9"/>
              <w:rPr>
                <w:rFonts w:hAnsi="宋体" w:cs="仿宋_GB2312"/>
                <w:b/>
                <w:color w:val="auto"/>
                <w:sz w:val="24"/>
                <w:szCs w:val="24"/>
                <w:highlight w:val="none"/>
              </w:rPr>
            </w:pPr>
            <w:r>
              <w:rPr>
                <w:rFonts w:hint="eastAsia" w:hAnsi="宋体" w:cs="仿宋_GB2312"/>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w:t>
            </w:r>
          </w:p>
        </w:tc>
        <w:tc>
          <w:tcPr>
            <w:tcW w:w="2268" w:type="dxa"/>
            <w:vAlign w:val="center"/>
          </w:tcPr>
          <w:p>
            <w:pPr>
              <w:autoSpaceDE w:val="0"/>
              <w:autoSpaceDN w:val="0"/>
              <w:adjustRightInd w:val="0"/>
              <w:spacing w:line="360" w:lineRule="auto"/>
              <w:jc w:val="center"/>
              <w:outlineLvl w:val="9"/>
              <w:rPr>
                <w:rFonts w:hAnsi="宋体" w:cs="仿宋_GB2312"/>
                <w:color w:val="auto"/>
                <w:sz w:val="24"/>
                <w:szCs w:val="24"/>
                <w:highlight w:val="none"/>
              </w:rPr>
            </w:pPr>
            <w:r>
              <w:rPr>
                <w:rFonts w:hint="eastAsia" w:hAnsi="宋体" w:cs="仿宋_GB2312"/>
                <w:color w:val="auto"/>
                <w:sz w:val="24"/>
                <w:szCs w:val="24"/>
                <w:highlight w:val="none"/>
              </w:rPr>
              <w:t>项目综合说明</w:t>
            </w:r>
          </w:p>
        </w:tc>
        <w:tc>
          <w:tcPr>
            <w:tcW w:w="7038" w:type="dxa"/>
          </w:tcPr>
          <w:p>
            <w:pPr>
              <w:autoSpaceDE w:val="0"/>
              <w:autoSpaceDN w:val="0"/>
              <w:adjustRightInd w:val="0"/>
              <w:spacing w:line="360" w:lineRule="auto"/>
              <w:jc w:val="left"/>
              <w:outlineLvl w:val="9"/>
              <w:rPr>
                <w:rFonts w:hint="eastAsia" w:hAnsi="宋体" w:cs="仿宋_GB2312" w:eastAsiaTheme="minorEastAsia"/>
                <w:b/>
                <w:bCs/>
                <w:color w:val="auto"/>
                <w:sz w:val="24"/>
                <w:szCs w:val="24"/>
                <w:highlight w:val="none"/>
                <w:lang w:eastAsia="zh-CN"/>
              </w:rPr>
            </w:pPr>
            <w:r>
              <w:rPr>
                <w:rFonts w:hint="eastAsia" w:hAnsi="宋体" w:cs="仿宋_GB2312"/>
                <w:bCs/>
                <w:color w:val="auto"/>
                <w:sz w:val="24"/>
                <w:szCs w:val="24"/>
                <w:highlight w:val="none"/>
              </w:rPr>
              <w:t>项目名称：</w:t>
            </w:r>
            <w:r>
              <w:rPr>
                <w:rFonts w:hint="eastAsia" w:hAnsi="宋体" w:cs="仿宋_GB2312"/>
                <w:bCs/>
                <w:color w:val="auto"/>
                <w:sz w:val="24"/>
                <w:szCs w:val="24"/>
                <w:highlight w:val="none"/>
                <w:lang w:eastAsia="zh-CN"/>
              </w:rPr>
              <w:t>鄢陵县第七次全国人口普查PAD购置项目</w:t>
            </w:r>
          </w:p>
          <w:p>
            <w:pPr>
              <w:autoSpaceDE w:val="0"/>
              <w:autoSpaceDN w:val="0"/>
              <w:adjustRightInd w:val="0"/>
              <w:spacing w:line="360" w:lineRule="auto"/>
              <w:jc w:val="left"/>
              <w:outlineLvl w:val="9"/>
              <w:rPr>
                <w:rFonts w:hAnsi="宋体" w:cs="仿宋_GB2312"/>
                <w:bCs/>
                <w:color w:val="auto"/>
                <w:sz w:val="24"/>
                <w:szCs w:val="24"/>
                <w:highlight w:val="none"/>
              </w:rPr>
            </w:pPr>
            <w:r>
              <w:rPr>
                <w:rFonts w:hint="eastAsia" w:cs="仿宋_GB2312" w:asciiTheme="minorEastAsia" w:hAnsiTheme="minorEastAsia"/>
                <w:bCs/>
                <w:color w:val="auto"/>
                <w:sz w:val="24"/>
                <w:szCs w:val="24"/>
                <w:highlight w:val="none"/>
              </w:rPr>
              <w:t>项目编号：</w:t>
            </w:r>
            <w:r>
              <w:rPr>
                <w:rFonts w:hint="eastAsia" w:cs="仿宋_GB2312" w:asciiTheme="minorEastAsia" w:hAnsiTheme="minorEastAsia"/>
                <w:bCs/>
                <w:color w:val="auto"/>
                <w:sz w:val="24"/>
                <w:szCs w:val="24"/>
                <w:highlight w:val="none"/>
                <w:lang w:eastAsia="zh-CN"/>
              </w:rPr>
              <w:t xml:space="preserve">Y2020HZ150 </w:t>
            </w:r>
            <w:r>
              <w:rPr>
                <w:rFonts w:hint="eastAsia" w:cs="仿宋_GB2312" w:asciiTheme="minorEastAsia" w:hAnsiTheme="minorEastAsia"/>
                <w:bCs/>
                <w:color w:val="auto"/>
                <w:sz w:val="24"/>
                <w:szCs w:val="24"/>
                <w:highlight w:val="none"/>
              </w:rPr>
              <w:t xml:space="preserve">  </w:t>
            </w:r>
            <w:r>
              <w:rPr>
                <w:rFonts w:hint="eastAsia" w:cs="仿宋_GB2312" w:asciiTheme="minorEastAsia" w:hAnsiTheme="minorEastAsia"/>
                <w:bCs/>
                <w:color w:val="auto"/>
                <w:sz w:val="24"/>
                <w:szCs w:val="24"/>
                <w:highlight w:val="none"/>
                <w:lang w:val="en-US" w:eastAsia="zh-CN"/>
              </w:rPr>
              <w:t xml:space="preserve">  </w:t>
            </w:r>
            <w:r>
              <w:rPr>
                <w:rFonts w:hint="eastAsia" w:cs="仿宋_GB2312" w:asciiTheme="minorEastAsia" w:hAnsiTheme="minorEastAsia"/>
                <w:bCs/>
                <w:color w:val="auto"/>
                <w:sz w:val="24"/>
                <w:szCs w:val="24"/>
                <w:highlight w:val="none"/>
              </w:rPr>
              <w:t>招标编号：</w:t>
            </w:r>
            <w:r>
              <w:rPr>
                <w:rFonts w:hint="eastAsia" w:cs="仿宋_GB2312" w:asciiTheme="minorEastAsia" w:hAnsiTheme="minorEastAsia"/>
                <w:bCs/>
                <w:color w:val="auto"/>
                <w:sz w:val="24"/>
                <w:szCs w:val="24"/>
                <w:highlight w:val="none"/>
                <w:lang w:eastAsia="zh-CN"/>
              </w:rPr>
              <w:t xml:space="preserve">鄢招公2020100902 </w:t>
            </w:r>
            <w:r>
              <w:rPr>
                <w:rFonts w:hint="eastAsia" w:hAnsi="宋体" w:cs="仿宋_GB2312"/>
                <w:bCs/>
                <w:color w:val="auto"/>
                <w:sz w:val="24"/>
                <w:szCs w:val="24"/>
                <w:highlight w:val="none"/>
              </w:rPr>
              <w:t xml:space="preserve"> </w:t>
            </w:r>
          </w:p>
          <w:p>
            <w:pPr>
              <w:autoSpaceDE w:val="0"/>
              <w:autoSpaceDN w:val="0"/>
              <w:adjustRightInd w:val="0"/>
              <w:spacing w:line="360" w:lineRule="auto"/>
              <w:jc w:val="left"/>
              <w:outlineLvl w:val="9"/>
              <w:rPr>
                <w:rFonts w:hAnsi="宋体" w:cs="仿宋_GB2312"/>
                <w:color w:val="auto"/>
                <w:sz w:val="24"/>
                <w:szCs w:val="24"/>
                <w:highlight w:val="none"/>
              </w:rPr>
            </w:pPr>
            <w:r>
              <w:rPr>
                <w:rFonts w:hint="eastAsia" w:hAnsi="宋体" w:cs="仿宋_GB2312"/>
                <w:color w:val="auto"/>
                <w:sz w:val="24"/>
                <w:szCs w:val="24"/>
                <w:highlight w:val="none"/>
              </w:rPr>
              <w:t>采购方式：公开招标</w:t>
            </w:r>
          </w:p>
          <w:p>
            <w:pPr>
              <w:autoSpaceDE w:val="0"/>
              <w:autoSpaceDN w:val="0"/>
              <w:adjustRightInd w:val="0"/>
              <w:spacing w:line="360" w:lineRule="auto"/>
              <w:jc w:val="left"/>
              <w:outlineLvl w:val="9"/>
              <w:rPr>
                <w:rFonts w:hAnsi="宋体" w:cs="仿宋_GB2312"/>
                <w:bCs/>
                <w:color w:val="auto"/>
                <w:sz w:val="24"/>
                <w:highlight w:val="none"/>
              </w:rPr>
            </w:pPr>
            <w:r>
              <w:rPr>
                <w:rFonts w:hint="eastAsia" w:hAnsi="宋体" w:cs="仿宋_GB2312"/>
                <w:bCs/>
                <w:color w:val="auto"/>
                <w:sz w:val="24"/>
                <w:highlight w:val="none"/>
              </w:rPr>
              <w:t>资金来源：财政资金，已落实</w:t>
            </w:r>
          </w:p>
          <w:p>
            <w:pPr>
              <w:widowControl/>
              <w:shd w:val="clear" w:color="auto" w:fill="FFFFFF"/>
              <w:spacing w:line="360" w:lineRule="auto"/>
              <w:jc w:val="left"/>
              <w:outlineLvl w:val="9"/>
              <w:rPr>
                <w:rFonts w:hAnsi="宋体" w:cs="仿宋_GB2312"/>
                <w:color w:val="auto"/>
                <w:sz w:val="24"/>
                <w:szCs w:val="24"/>
                <w:highlight w:val="none"/>
              </w:rPr>
            </w:pPr>
            <w:r>
              <w:rPr>
                <w:rFonts w:hint="eastAsia" w:hAnsi="宋体" w:cs="仿宋_GB2312"/>
                <w:color w:val="auto"/>
                <w:sz w:val="24"/>
                <w:szCs w:val="24"/>
                <w:highlight w:val="none"/>
              </w:rPr>
              <w:t>采购内容：</w:t>
            </w:r>
            <w:r>
              <w:rPr>
                <w:rFonts w:hint="eastAsia" w:hAnsi="宋体" w:cs="仿宋_GB2312"/>
                <w:color w:val="auto"/>
                <w:sz w:val="24"/>
                <w:szCs w:val="24"/>
                <w:highlight w:val="none"/>
                <w:lang w:val="en-US" w:eastAsia="zh-CN"/>
              </w:rPr>
              <w:t>PAD终端233部，公网集群对讲系统及运营管理平台1项</w:t>
            </w:r>
            <w:r>
              <w:rPr>
                <w:rFonts w:hint="eastAsia" w:hAnsi="宋体" w:cs="仿宋_GB2312"/>
                <w:color w:val="auto"/>
                <w:sz w:val="24"/>
                <w:szCs w:val="24"/>
                <w:highlight w:val="none"/>
              </w:rPr>
              <w:t>（具体要求详见招标文件第三章）</w:t>
            </w:r>
          </w:p>
          <w:p>
            <w:pPr>
              <w:spacing w:line="360" w:lineRule="auto"/>
              <w:contextualSpacing/>
              <w:jc w:val="left"/>
              <w:outlineLvl w:val="9"/>
              <w:rPr>
                <w:rFonts w:hint="eastAsia" w:ascii="宋体" w:cs="宋体"/>
                <w:color w:val="auto"/>
                <w:sz w:val="24"/>
                <w:szCs w:val="24"/>
                <w:highlight w:val="none"/>
                <w:lang w:val="zh-CN"/>
              </w:rPr>
            </w:pPr>
            <w:r>
              <w:rPr>
                <w:rFonts w:hint="eastAsia" w:ascii="宋体" w:cs="宋体"/>
                <w:color w:val="auto"/>
                <w:sz w:val="24"/>
                <w:szCs w:val="24"/>
                <w:highlight w:val="none"/>
                <w:lang w:val="zh-CN"/>
              </w:rPr>
              <w:t>履约时间 ：自合同生效之日起</w:t>
            </w:r>
            <w:r>
              <w:rPr>
                <w:rFonts w:hint="eastAsia" w:ascii="宋体" w:cs="宋体"/>
                <w:color w:val="auto"/>
                <w:sz w:val="24"/>
                <w:szCs w:val="24"/>
                <w:highlight w:val="none"/>
                <w:lang w:val="zh-CN" w:eastAsia="zh-CN"/>
              </w:rPr>
              <w:t>5</w:t>
            </w:r>
            <w:r>
              <w:rPr>
                <w:rFonts w:hint="eastAsia" w:ascii="宋体" w:cs="宋体"/>
                <w:color w:val="auto"/>
                <w:sz w:val="24"/>
                <w:szCs w:val="24"/>
                <w:highlight w:val="none"/>
                <w:lang w:val="zh-CN"/>
              </w:rPr>
              <w:t>个</w:t>
            </w:r>
            <w:r>
              <w:rPr>
                <w:rFonts w:hint="eastAsia" w:ascii="宋体" w:cs="宋体"/>
                <w:color w:val="auto"/>
                <w:sz w:val="24"/>
                <w:szCs w:val="24"/>
                <w:highlight w:val="none"/>
                <w:lang w:val="zh-CN" w:eastAsia="zh-CN"/>
              </w:rPr>
              <w:t>日历天</w:t>
            </w:r>
            <w:r>
              <w:rPr>
                <w:rFonts w:hint="eastAsia" w:ascii="宋体" w:cs="宋体"/>
                <w:color w:val="auto"/>
                <w:sz w:val="24"/>
                <w:szCs w:val="24"/>
                <w:highlight w:val="none"/>
                <w:lang w:val="zh-CN"/>
              </w:rPr>
              <w:t>、完成安装调试并具备验收条件。</w:t>
            </w:r>
          </w:p>
          <w:p>
            <w:pPr>
              <w:spacing w:line="360" w:lineRule="auto"/>
              <w:contextualSpacing/>
              <w:jc w:val="left"/>
              <w:outlineLvl w:val="9"/>
              <w:rPr>
                <w:rFonts w:ascii="宋体" w:cs="宋体"/>
                <w:color w:val="auto"/>
                <w:sz w:val="24"/>
                <w:szCs w:val="24"/>
                <w:highlight w:val="none"/>
                <w:lang w:val="zh-CN"/>
              </w:rPr>
            </w:pPr>
            <w:r>
              <w:rPr>
                <w:rFonts w:hint="eastAsia" w:ascii="宋体" w:cs="宋体"/>
                <w:color w:val="auto"/>
                <w:sz w:val="24"/>
                <w:szCs w:val="24"/>
                <w:highlight w:val="none"/>
                <w:lang w:val="zh-CN"/>
              </w:rPr>
              <w:t xml:space="preserve">付款方式：合同签订后、全部设备安装、调试完成并验收通过后，支付合同价款的100%一次性支付。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outlineLvl w:val="9"/>
              <w:rPr>
                <w:rFonts w:hAnsi="宋体" w:cs="TimesNewRomanPSMT"/>
                <w:color w:val="auto"/>
                <w:sz w:val="24"/>
                <w:szCs w:val="24"/>
                <w:highlight w:val="none"/>
              </w:rPr>
            </w:pPr>
            <w:r>
              <w:rPr>
                <w:rFonts w:hint="eastAsia" w:hAnsi="宋体" w:cs="TimesNewRomanPSMT"/>
                <w:color w:val="auto"/>
                <w:sz w:val="24"/>
                <w:szCs w:val="24"/>
                <w:highlight w:val="none"/>
              </w:rPr>
              <w:t>2</w:t>
            </w:r>
          </w:p>
        </w:tc>
        <w:tc>
          <w:tcPr>
            <w:tcW w:w="2268" w:type="dxa"/>
            <w:vAlign w:val="center"/>
          </w:tcPr>
          <w:p>
            <w:pPr>
              <w:autoSpaceDE w:val="0"/>
              <w:autoSpaceDN w:val="0"/>
              <w:adjustRightInd w:val="0"/>
              <w:spacing w:line="360" w:lineRule="auto"/>
              <w:jc w:val="center"/>
              <w:outlineLvl w:val="9"/>
              <w:rPr>
                <w:rFonts w:hAnsi="宋体" w:cs="仿宋_GB2312"/>
                <w:color w:val="auto"/>
                <w:sz w:val="24"/>
                <w:szCs w:val="24"/>
                <w:highlight w:val="none"/>
              </w:rPr>
            </w:pPr>
            <w:r>
              <w:rPr>
                <w:rFonts w:hint="eastAsia" w:hAnsi="宋体" w:cs="仿宋_GB2312"/>
                <w:color w:val="auto"/>
                <w:sz w:val="24"/>
                <w:szCs w:val="24"/>
                <w:highlight w:val="none"/>
              </w:rPr>
              <w:t>采购人</w:t>
            </w:r>
          </w:p>
        </w:tc>
        <w:tc>
          <w:tcPr>
            <w:tcW w:w="7038" w:type="dxa"/>
            <w:vAlign w:val="center"/>
          </w:tcPr>
          <w:p>
            <w:pPr>
              <w:pStyle w:val="21"/>
              <w:widowControl/>
              <w:shd w:val="clear" w:color="auto" w:fill="FFFFFF"/>
              <w:spacing w:line="360" w:lineRule="auto"/>
              <w:outlineLvl w:val="9"/>
              <w:rPr>
                <w:rFonts w:hint="eastAsia" w:hAnsi="宋体" w:cs="仿宋_GB2312"/>
                <w:bCs/>
                <w:color w:val="auto"/>
                <w:highlight w:val="none"/>
                <w:lang w:eastAsia="zh-CN"/>
              </w:rPr>
            </w:pPr>
            <w:r>
              <w:rPr>
                <w:rFonts w:hint="eastAsia" w:hAnsi="宋体" w:cs="仿宋_GB2312"/>
                <w:bCs/>
                <w:color w:val="auto"/>
                <w:highlight w:val="none"/>
              </w:rPr>
              <w:t>采购人：</w:t>
            </w:r>
            <w:r>
              <w:rPr>
                <w:rFonts w:hint="eastAsia" w:hAnsi="宋体" w:cs="仿宋_GB2312"/>
                <w:bCs/>
                <w:color w:val="auto"/>
                <w:highlight w:val="none"/>
                <w:lang w:eastAsia="zh-CN"/>
              </w:rPr>
              <w:t>鄢陵县统计局</w:t>
            </w:r>
          </w:p>
          <w:p>
            <w:pPr>
              <w:pStyle w:val="21"/>
              <w:widowControl/>
              <w:shd w:val="clear" w:color="auto" w:fill="FFFFFF"/>
              <w:spacing w:line="360" w:lineRule="auto"/>
              <w:outlineLvl w:val="9"/>
              <w:rPr>
                <w:rFonts w:hint="eastAsia" w:hAnsi="宋体" w:cs="仿宋_GB2312"/>
                <w:bCs/>
                <w:color w:val="auto"/>
                <w:highlight w:val="none"/>
              </w:rPr>
            </w:pPr>
            <w:r>
              <w:rPr>
                <w:rFonts w:hint="eastAsia" w:hAnsi="宋体" w:cs="仿宋_GB2312"/>
                <w:bCs/>
                <w:color w:val="auto"/>
                <w:highlight w:val="none"/>
              </w:rPr>
              <w:t>地  址：鄢陵县人民路916号</w:t>
            </w:r>
          </w:p>
          <w:p>
            <w:pPr>
              <w:pStyle w:val="21"/>
              <w:widowControl/>
              <w:shd w:val="clear" w:color="auto" w:fill="FFFFFF"/>
              <w:spacing w:line="360" w:lineRule="auto"/>
              <w:outlineLvl w:val="9"/>
              <w:rPr>
                <w:rFonts w:hint="eastAsia" w:hAnsi="宋体" w:cs="仿宋_GB2312"/>
                <w:bCs/>
                <w:color w:val="auto"/>
                <w:highlight w:val="none"/>
                <w:lang w:val="en-US" w:eastAsia="zh-CN"/>
              </w:rPr>
            </w:pPr>
            <w:r>
              <w:rPr>
                <w:rFonts w:hint="eastAsia" w:hAnsi="宋体" w:cs="仿宋_GB2312"/>
                <w:bCs/>
                <w:color w:val="auto"/>
                <w:highlight w:val="none"/>
              </w:rPr>
              <w:t>联 系 人：</w:t>
            </w:r>
            <w:r>
              <w:rPr>
                <w:rFonts w:hint="eastAsia" w:hAnsi="宋体" w:cs="仿宋_GB2312"/>
                <w:bCs/>
                <w:color w:val="auto"/>
                <w:highlight w:val="none"/>
                <w:lang w:eastAsia="zh-CN"/>
              </w:rPr>
              <w:t>常先生</w:t>
            </w:r>
            <w:r>
              <w:rPr>
                <w:rFonts w:hint="eastAsia" w:hAnsi="宋体" w:cs="仿宋_GB2312"/>
                <w:bCs/>
                <w:color w:val="auto"/>
                <w:highlight w:val="none"/>
                <w:lang w:val="en-US" w:eastAsia="zh-CN"/>
              </w:rPr>
              <w:t xml:space="preserve">           </w:t>
            </w:r>
          </w:p>
          <w:p>
            <w:pPr>
              <w:pStyle w:val="21"/>
              <w:widowControl/>
              <w:shd w:val="clear" w:color="auto" w:fill="FFFFFF"/>
              <w:spacing w:line="360" w:lineRule="auto"/>
              <w:outlineLvl w:val="9"/>
              <w:rPr>
                <w:rFonts w:hAnsi="宋体" w:cs="仿宋_GB2312"/>
                <w:bCs/>
                <w:color w:val="auto"/>
                <w:highlight w:val="none"/>
              </w:rPr>
            </w:pPr>
            <w:r>
              <w:rPr>
                <w:rFonts w:hint="eastAsia" w:hAnsi="宋体" w:cs="仿宋_GB2312"/>
                <w:bCs/>
                <w:color w:val="auto"/>
                <w:highlight w:val="none"/>
              </w:rPr>
              <w:t>联系电话：0374-7108699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3</w:t>
            </w:r>
          </w:p>
        </w:tc>
        <w:tc>
          <w:tcPr>
            <w:tcW w:w="2268" w:type="dxa"/>
            <w:vAlign w:val="center"/>
          </w:tcPr>
          <w:p>
            <w:pPr>
              <w:autoSpaceDE w:val="0"/>
              <w:autoSpaceDN w:val="0"/>
              <w:adjustRightInd w:val="0"/>
              <w:spacing w:line="360" w:lineRule="auto"/>
              <w:jc w:val="center"/>
              <w:outlineLvl w:val="9"/>
              <w:rPr>
                <w:rFonts w:hAnsi="宋体" w:cs="仿宋_GB2312"/>
                <w:color w:val="auto"/>
                <w:sz w:val="24"/>
                <w:szCs w:val="24"/>
                <w:highlight w:val="none"/>
              </w:rPr>
            </w:pPr>
            <w:r>
              <w:rPr>
                <w:rFonts w:hint="eastAsia" w:hAnsi="宋体" w:cs="仿宋_GB2312"/>
                <w:color w:val="auto"/>
                <w:sz w:val="24"/>
                <w:szCs w:val="24"/>
                <w:highlight w:val="none"/>
              </w:rPr>
              <w:t>代理机构</w:t>
            </w:r>
          </w:p>
        </w:tc>
        <w:tc>
          <w:tcPr>
            <w:tcW w:w="7038" w:type="dxa"/>
            <w:vAlign w:val="center"/>
          </w:tcPr>
          <w:p>
            <w:pPr>
              <w:pStyle w:val="21"/>
              <w:widowControl/>
              <w:shd w:val="clear" w:color="auto" w:fill="FFFFFF"/>
              <w:spacing w:line="360" w:lineRule="auto"/>
              <w:outlineLvl w:val="9"/>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代理机构：河南招标采购服务有限公司</w:t>
            </w:r>
          </w:p>
          <w:p>
            <w:pPr>
              <w:pStyle w:val="21"/>
              <w:widowControl/>
              <w:shd w:val="clear" w:color="auto" w:fill="FFFFFF"/>
              <w:spacing w:line="360" w:lineRule="auto"/>
              <w:outlineLvl w:val="9"/>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地 址：郑州市纬四路13号</w:t>
            </w:r>
          </w:p>
          <w:p>
            <w:pPr>
              <w:pStyle w:val="21"/>
              <w:widowControl/>
              <w:shd w:val="clear" w:color="auto" w:fill="FFFFFF"/>
              <w:spacing w:line="360" w:lineRule="auto"/>
              <w:outlineLvl w:val="9"/>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联系人：刘</w:t>
            </w:r>
            <w:r>
              <w:rPr>
                <w:rFonts w:hint="eastAsia" w:ascii="宋体" w:hAnsi="宋体" w:cs="宋体"/>
                <w:color w:val="auto"/>
                <w:highlight w:val="none"/>
                <w:shd w:val="clear" w:color="auto" w:fill="FFFFFF"/>
                <w:lang w:val="en-US" w:eastAsia="zh-CN"/>
              </w:rPr>
              <w:t>宝丰</w:t>
            </w:r>
            <w:r>
              <w:rPr>
                <w:rFonts w:hint="eastAsia" w:ascii="宋体" w:hAnsi="宋体" w:cs="宋体"/>
                <w:color w:val="auto"/>
                <w:highlight w:val="none"/>
                <w:shd w:val="clear" w:color="auto" w:fill="FFFFFF"/>
              </w:rPr>
              <w:t xml:space="preserve">  </w:t>
            </w:r>
          </w:p>
          <w:p>
            <w:pPr>
              <w:pStyle w:val="21"/>
              <w:widowControl/>
              <w:shd w:val="clear" w:color="auto" w:fill="FFFFFF"/>
              <w:spacing w:line="360" w:lineRule="auto"/>
              <w:outlineLvl w:val="9"/>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电话：0374-2219766、18903747336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4</w:t>
            </w:r>
          </w:p>
        </w:tc>
        <w:tc>
          <w:tcPr>
            <w:tcW w:w="2268" w:type="dxa"/>
            <w:vAlign w:val="center"/>
          </w:tcPr>
          <w:p>
            <w:pPr>
              <w:autoSpaceDE w:val="0"/>
              <w:autoSpaceDN w:val="0"/>
              <w:adjustRightInd w:val="0"/>
              <w:spacing w:line="360" w:lineRule="auto"/>
              <w:jc w:val="center"/>
              <w:outlineLvl w:val="9"/>
              <w:rPr>
                <w:rFonts w:hAnsi="宋体" w:cs="仿宋_GB2312"/>
                <w:color w:val="auto"/>
                <w:sz w:val="24"/>
                <w:szCs w:val="24"/>
                <w:highlight w:val="none"/>
              </w:rPr>
            </w:pPr>
            <w:r>
              <w:rPr>
                <w:rFonts w:hint="eastAsia" w:hAnsi="宋体" w:cs="仿宋_GB2312"/>
                <w:color w:val="auto"/>
                <w:sz w:val="24"/>
                <w:szCs w:val="24"/>
                <w:highlight w:val="none"/>
              </w:rPr>
              <w:t>投标人资格要求</w:t>
            </w:r>
          </w:p>
        </w:tc>
        <w:tc>
          <w:tcPr>
            <w:tcW w:w="7038" w:type="dxa"/>
            <w:vAlign w:val="center"/>
          </w:tcPr>
          <w:p>
            <w:pPr>
              <w:autoSpaceDE w:val="0"/>
              <w:autoSpaceDN w:val="0"/>
              <w:adjustRightInd w:val="0"/>
              <w:spacing w:line="360" w:lineRule="auto"/>
              <w:jc w:val="left"/>
              <w:outlineLvl w:val="9"/>
              <w:rPr>
                <w:rFonts w:hAnsi="宋体" w:cs="仿宋_GB2312"/>
                <w:bCs/>
                <w:color w:val="auto"/>
                <w:sz w:val="24"/>
                <w:highlight w:val="none"/>
              </w:rPr>
            </w:pPr>
            <w:r>
              <w:rPr>
                <w:rFonts w:hint="eastAsia" w:hAnsi="宋体" w:cs="仿宋_GB2312"/>
                <w:bCs/>
                <w:color w:val="auto"/>
                <w:sz w:val="24"/>
                <w:highlight w:val="none"/>
              </w:rPr>
              <w:t>（一）符合《中华人民共和国政府采购法》第二十二条之规定。</w:t>
            </w:r>
          </w:p>
          <w:p>
            <w:pPr>
              <w:autoSpaceDE w:val="0"/>
              <w:autoSpaceDN w:val="0"/>
              <w:adjustRightInd w:val="0"/>
              <w:spacing w:line="360" w:lineRule="auto"/>
              <w:jc w:val="left"/>
              <w:outlineLvl w:val="9"/>
              <w:rPr>
                <w:rFonts w:hAnsi="宋体" w:cs="仿宋_GB2312"/>
                <w:bCs/>
                <w:color w:val="auto"/>
                <w:sz w:val="24"/>
                <w:highlight w:val="none"/>
              </w:rPr>
            </w:pPr>
            <w:r>
              <w:rPr>
                <w:rFonts w:hint="eastAsia" w:hAnsi="宋体" w:cs="仿宋_GB2312"/>
                <w:bCs/>
                <w:color w:val="auto"/>
                <w:sz w:val="24"/>
                <w:highlight w:val="none"/>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autoSpaceDE w:val="0"/>
              <w:autoSpaceDN w:val="0"/>
              <w:adjustRightInd w:val="0"/>
              <w:spacing w:line="360" w:lineRule="auto"/>
              <w:jc w:val="left"/>
              <w:outlineLvl w:val="9"/>
              <w:rPr>
                <w:rFonts w:hAnsi="宋体" w:cs="仿宋_GB2312"/>
                <w:bCs/>
                <w:color w:val="auto"/>
                <w:sz w:val="24"/>
                <w:highlight w:val="none"/>
              </w:rPr>
            </w:pPr>
            <w:r>
              <w:rPr>
                <w:rFonts w:hint="eastAsia" w:hAnsi="宋体" w:cs="仿宋_GB2312"/>
                <w:bCs/>
                <w:color w:val="auto"/>
                <w:sz w:val="24"/>
                <w:highlight w:val="none"/>
              </w:rPr>
              <w:t>（三）本次招标不接受联合体投标。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5</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最高限价</w:t>
            </w:r>
          </w:p>
        </w:tc>
        <w:tc>
          <w:tcPr>
            <w:tcW w:w="7038" w:type="dxa"/>
            <w:vAlign w:val="center"/>
          </w:tcPr>
          <w:p>
            <w:pPr>
              <w:pStyle w:val="35"/>
              <w:spacing w:line="360" w:lineRule="auto"/>
              <w:jc w:val="both"/>
              <w:outlineLvl w:val="9"/>
              <w:rPr>
                <w:color w:val="auto"/>
                <w:highlight w:val="none"/>
              </w:rPr>
            </w:pPr>
            <w:r>
              <w:rPr>
                <w:rFonts w:hint="eastAsia"/>
                <w:color w:val="auto"/>
                <w:highlight w:val="none"/>
              </w:rPr>
              <w:t>最高限价：</w:t>
            </w:r>
            <w:r>
              <w:rPr>
                <w:rFonts w:hint="eastAsia"/>
                <w:color w:val="auto"/>
                <w:highlight w:val="none"/>
                <w:lang w:eastAsia="zh-CN"/>
              </w:rPr>
              <w:t>415905元</w:t>
            </w:r>
            <w:r>
              <w:rPr>
                <w:rFonts w:hint="eastAsia"/>
                <w:color w:val="auto"/>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6</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ascii="宋体" w:cs="宋体"/>
                <w:bCs/>
                <w:color w:val="auto"/>
                <w:sz w:val="24"/>
                <w:szCs w:val="24"/>
                <w:highlight w:val="none"/>
                <w:lang w:val="zh-CN"/>
              </w:rPr>
              <w:t>现场考察</w:t>
            </w:r>
          </w:p>
        </w:tc>
        <w:tc>
          <w:tcPr>
            <w:tcW w:w="7038" w:type="dxa"/>
            <w:vAlign w:val="center"/>
          </w:tcPr>
          <w:p>
            <w:pPr>
              <w:autoSpaceDE w:val="0"/>
              <w:autoSpaceDN w:val="0"/>
              <w:adjustRightInd w:val="0"/>
              <w:spacing w:line="360" w:lineRule="auto"/>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7</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ascii="宋体" w:cs="宋体"/>
                <w:bCs/>
                <w:color w:val="auto"/>
                <w:sz w:val="24"/>
                <w:szCs w:val="24"/>
                <w:highlight w:val="none"/>
                <w:lang w:val="zh-CN"/>
              </w:rPr>
              <w:t>开标前答疑会</w:t>
            </w:r>
          </w:p>
        </w:tc>
        <w:tc>
          <w:tcPr>
            <w:tcW w:w="7038" w:type="dxa"/>
            <w:vAlign w:val="center"/>
          </w:tcPr>
          <w:p>
            <w:pPr>
              <w:autoSpaceDE w:val="0"/>
              <w:autoSpaceDN w:val="0"/>
              <w:adjustRightInd w:val="0"/>
              <w:spacing w:line="360" w:lineRule="auto"/>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8</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进口产品参与</w:t>
            </w:r>
          </w:p>
        </w:tc>
        <w:tc>
          <w:tcPr>
            <w:tcW w:w="7038" w:type="dxa"/>
            <w:vAlign w:val="center"/>
          </w:tcPr>
          <w:p>
            <w:pPr>
              <w:autoSpaceDE w:val="0"/>
              <w:autoSpaceDN w:val="0"/>
              <w:adjustRightInd w:val="0"/>
              <w:spacing w:line="360" w:lineRule="auto"/>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9</w:t>
            </w:r>
          </w:p>
        </w:tc>
        <w:tc>
          <w:tcPr>
            <w:tcW w:w="2268" w:type="dxa"/>
            <w:vAlign w:val="center"/>
          </w:tcPr>
          <w:p>
            <w:pPr>
              <w:autoSpaceDE w:val="0"/>
              <w:autoSpaceDN w:val="0"/>
              <w:adjustRightInd w:val="0"/>
              <w:spacing w:line="360" w:lineRule="auto"/>
              <w:jc w:val="center"/>
              <w:outlineLvl w:val="9"/>
              <w:rPr>
                <w:rFonts w:hAnsi="宋体" w:cs="仿宋_GB2312"/>
                <w:color w:val="auto"/>
                <w:sz w:val="24"/>
                <w:szCs w:val="24"/>
                <w:highlight w:val="none"/>
              </w:rPr>
            </w:pPr>
            <w:r>
              <w:rPr>
                <w:rFonts w:hint="eastAsia" w:hAnsi="宋体" w:cs="仿宋_GB2312"/>
                <w:color w:val="auto"/>
                <w:sz w:val="24"/>
                <w:szCs w:val="24"/>
                <w:highlight w:val="none"/>
              </w:rPr>
              <w:t>投标有效期</w:t>
            </w:r>
          </w:p>
        </w:tc>
        <w:tc>
          <w:tcPr>
            <w:tcW w:w="7038" w:type="dxa"/>
            <w:vAlign w:val="center"/>
          </w:tcPr>
          <w:p>
            <w:pPr>
              <w:autoSpaceDE w:val="0"/>
              <w:autoSpaceDN w:val="0"/>
              <w:adjustRightInd w:val="0"/>
              <w:spacing w:line="360" w:lineRule="auto"/>
              <w:ind w:firstLine="120" w:firstLineChars="50"/>
              <w:outlineLvl w:val="9"/>
              <w:rPr>
                <w:rFonts w:hAnsi="宋体" w:cs="仿宋_GB2312"/>
                <w:color w:val="auto"/>
                <w:sz w:val="24"/>
                <w:szCs w:val="24"/>
                <w:highlight w:val="none"/>
              </w:rPr>
            </w:pPr>
            <w:r>
              <w:rPr>
                <w:rFonts w:hint="eastAsia" w:hAnsi="宋体" w:cs="仿宋_GB2312"/>
                <w:color w:val="auto"/>
                <w:sz w:val="24"/>
                <w:szCs w:val="24"/>
                <w:highlight w:val="none"/>
              </w:rPr>
              <w:t>60天（自</w:t>
            </w:r>
            <w:r>
              <w:rPr>
                <w:rFonts w:hint="eastAsia" w:cs="宋体" w:asciiTheme="minorEastAsia" w:hAnsiTheme="minorEastAsia"/>
                <w:color w:val="auto"/>
                <w:kern w:val="0"/>
                <w:sz w:val="24"/>
                <w:szCs w:val="24"/>
                <w:highlight w:val="none"/>
              </w:rPr>
              <w:t>提交投标文件的截止之日起算</w:t>
            </w:r>
            <w:r>
              <w:rPr>
                <w:rFonts w:hint="eastAsia" w:hAnsi="宋体"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10</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ascii="宋体" w:cs="宋体"/>
                <w:bCs/>
                <w:color w:val="auto"/>
                <w:sz w:val="24"/>
                <w:szCs w:val="24"/>
                <w:highlight w:val="none"/>
                <w:lang w:val="zh-CN"/>
              </w:rPr>
              <w:t>中标人将本项目的非主体、非关键性</w:t>
            </w:r>
          </w:p>
          <w:p>
            <w:pPr>
              <w:autoSpaceDE w:val="0"/>
              <w:autoSpaceDN w:val="0"/>
              <w:adjustRightInd w:val="0"/>
              <w:spacing w:line="360" w:lineRule="auto"/>
              <w:jc w:val="center"/>
              <w:outlineLvl w:val="9"/>
              <w:rPr>
                <w:rFonts w:hAnsi="宋体" w:cs="仿宋_GB2312"/>
                <w:color w:val="auto"/>
                <w:sz w:val="24"/>
                <w:szCs w:val="24"/>
                <w:highlight w:val="none"/>
              </w:rPr>
            </w:pPr>
            <w:r>
              <w:rPr>
                <w:rFonts w:ascii="宋体" w:cs="宋体"/>
                <w:bCs/>
                <w:color w:val="auto"/>
                <w:sz w:val="24"/>
                <w:szCs w:val="24"/>
                <w:highlight w:val="none"/>
                <w:lang w:val="zh-CN"/>
              </w:rPr>
              <w:t>工作分包</w:t>
            </w:r>
          </w:p>
        </w:tc>
        <w:tc>
          <w:tcPr>
            <w:tcW w:w="7038" w:type="dxa"/>
            <w:vAlign w:val="center"/>
          </w:tcPr>
          <w:p>
            <w:pPr>
              <w:autoSpaceDE w:val="0"/>
              <w:autoSpaceDN w:val="0"/>
              <w:adjustRightInd w:val="0"/>
              <w:spacing w:line="360" w:lineRule="auto"/>
              <w:ind w:firstLine="120" w:firstLineChars="50"/>
              <w:outlineLvl w:val="9"/>
              <w:rPr>
                <w:rFonts w:hAnsi="宋体" w:cs="仿宋_GB2312"/>
                <w:color w:val="auto"/>
                <w:sz w:val="24"/>
                <w:szCs w:val="24"/>
                <w:highlight w:val="none"/>
              </w:rPr>
            </w:pPr>
            <w:r>
              <w:rPr>
                <w:rFonts w:hint="eastAsia" w:hAnsi="宋体" w:cs="仿宋_GB2312"/>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11</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hint="eastAsia" w:hAnsi="宋体" w:cs="黑体"/>
                <w:color w:val="auto"/>
                <w:sz w:val="24"/>
                <w:szCs w:val="24"/>
                <w:highlight w:val="none"/>
              </w:rPr>
              <w:t>电子投标文件递交截止时间及开标时间</w:t>
            </w:r>
          </w:p>
        </w:tc>
        <w:tc>
          <w:tcPr>
            <w:tcW w:w="7038" w:type="dxa"/>
            <w:vAlign w:val="center"/>
          </w:tcPr>
          <w:p>
            <w:pPr>
              <w:autoSpaceDE w:val="0"/>
              <w:autoSpaceDN w:val="0"/>
              <w:adjustRightInd w:val="0"/>
              <w:spacing w:line="360" w:lineRule="auto"/>
              <w:outlineLvl w:val="9"/>
              <w:rPr>
                <w:rFonts w:ascii="宋体" w:cs="宋体"/>
                <w:bCs/>
                <w:color w:val="auto"/>
                <w:sz w:val="24"/>
                <w:szCs w:val="24"/>
                <w:highlight w:val="none"/>
                <w:lang w:val="zh-CN"/>
              </w:rPr>
            </w:pPr>
            <w:r>
              <w:rPr>
                <w:rFonts w:hint="eastAsia" w:cs="仿宋_GB2312" w:asciiTheme="minorEastAsia" w:hAnsiTheme="minorEastAsia" w:eastAsiaTheme="minorEastAsia"/>
                <w:color w:val="auto"/>
                <w:sz w:val="24"/>
                <w:szCs w:val="24"/>
                <w:shd w:val="clear" w:color="auto" w:fill="FFFFFF"/>
              </w:rPr>
              <w:t>2020年</w:t>
            </w:r>
            <w:r>
              <w:rPr>
                <w:rFonts w:hint="eastAsia" w:cs="仿宋_GB2312" w:asciiTheme="minorEastAsia" w:hAnsiTheme="minorEastAsia" w:eastAsiaTheme="minorEastAsia"/>
                <w:color w:val="auto"/>
                <w:sz w:val="24"/>
                <w:szCs w:val="24"/>
                <w:shd w:val="clear" w:color="auto" w:fill="FFFFFF"/>
                <w:lang w:val="en-US" w:eastAsia="zh-CN"/>
              </w:rPr>
              <w:t>11</w:t>
            </w:r>
            <w:r>
              <w:rPr>
                <w:rFonts w:hint="eastAsia" w:cs="仿宋_GB2312" w:asciiTheme="minorEastAsia" w:hAnsiTheme="minorEastAsia" w:eastAsiaTheme="minorEastAsia"/>
                <w:color w:val="auto"/>
                <w:sz w:val="24"/>
                <w:szCs w:val="24"/>
                <w:shd w:val="clear" w:color="auto" w:fill="FFFFFF"/>
              </w:rPr>
              <w:t>月</w:t>
            </w:r>
            <w:r>
              <w:rPr>
                <w:rFonts w:hint="eastAsia" w:cs="仿宋_GB2312" w:asciiTheme="minorEastAsia" w:hAnsiTheme="minorEastAsia" w:eastAsiaTheme="minorEastAsia"/>
                <w:color w:val="auto"/>
                <w:sz w:val="24"/>
                <w:szCs w:val="24"/>
                <w:shd w:val="clear" w:color="auto" w:fill="FFFFFF"/>
                <w:lang w:val="en-US" w:eastAsia="zh-CN"/>
              </w:rPr>
              <w:t>9</w:t>
            </w:r>
            <w:r>
              <w:rPr>
                <w:rFonts w:hint="eastAsia" w:cs="仿宋_GB2312" w:asciiTheme="minorEastAsia" w:hAnsiTheme="minorEastAsia" w:eastAsiaTheme="minorEastAsia"/>
                <w:color w:val="auto"/>
                <w:sz w:val="24"/>
                <w:szCs w:val="24"/>
                <w:shd w:val="clear" w:color="auto" w:fill="FFFFFF"/>
              </w:rPr>
              <w:t>日</w:t>
            </w:r>
            <w:r>
              <w:rPr>
                <w:rFonts w:hint="eastAsia" w:cs="仿宋_GB2312" w:asciiTheme="minorEastAsia" w:hAnsiTheme="minorEastAsia" w:eastAsiaTheme="minorEastAsia"/>
                <w:color w:val="auto"/>
                <w:sz w:val="24"/>
                <w:szCs w:val="24"/>
                <w:shd w:val="clear" w:color="auto" w:fill="FFFFFF"/>
                <w:lang w:val="en-US" w:eastAsia="zh-CN"/>
              </w:rPr>
              <w:t>9</w:t>
            </w:r>
            <w:r>
              <w:rPr>
                <w:rFonts w:hint="eastAsia" w:cs="仿宋_GB2312" w:asciiTheme="minorEastAsia" w:hAnsiTheme="minorEastAsia" w:eastAsiaTheme="minorEastAsia"/>
                <w:color w:val="auto"/>
                <w:sz w:val="24"/>
                <w:szCs w:val="24"/>
                <w:shd w:val="clear" w:color="auto" w:fill="FFFFFF"/>
              </w:rPr>
              <w:t>点</w:t>
            </w:r>
            <w:r>
              <w:rPr>
                <w:rFonts w:hint="eastAsia" w:cs="仿宋_GB2312" w:asciiTheme="minorEastAsia" w:hAnsiTheme="minorEastAsia" w:eastAsiaTheme="minorEastAsia"/>
                <w:color w:val="auto"/>
                <w:sz w:val="24"/>
                <w:szCs w:val="24"/>
                <w:shd w:val="clear" w:color="auto" w:fill="FFFFFF"/>
                <w:lang w:val="en-US" w:eastAsia="zh-CN"/>
              </w:rPr>
              <w:t>00</w:t>
            </w:r>
            <w:r>
              <w:rPr>
                <w:rFonts w:hint="eastAsia" w:cs="仿宋_GB2312" w:asciiTheme="minorEastAsia" w:hAnsiTheme="minorEastAsia" w:eastAsiaTheme="minorEastAsia"/>
                <w:color w:val="auto"/>
                <w:sz w:val="24"/>
                <w:szCs w:val="24"/>
                <w:shd w:val="clear" w:color="auto" w:fill="FFFFFF"/>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12</w:t>
            </w:r>
          </w:p>
        </w:tc>
        <w:tc>
          <w:tcPr>
            <w:tcW w:w="2268"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开标地点</w:t>
            </w:r>
          </w:p>
        </w:tc>
        <w:tc>
          <w:tcPr>
            <w:tcW w:w="7038" w:type="dxa"/>
            <w:vAlign w:val="center"/>
          </w:tcPr>
          <w:p>
            <w:pPr>
              <w:autoSpaceDE w:val="0"/>
              <w:autoSpaceDN w:val="0"/>
              <w:adjustRightInd w:val="0"/>
              <w:spacing w:line="360" w:lineRule="auto"/>
              <w:jc w:val="left"/>
              <w:outlineLvl w:val="9"/>
              <w:rPr>
                <w:rFonts w:ascii="宋体" w:cs="宋体"/>
                <w:bCs/>
                <w:color w:val="auto"/>
                <w:sz w:val="24"/>
                <w:szCs w:val="24"/>
                <w:highlight w:val="none"/>
                <w:lang w:val="zh-CN"/>
              </w:rPr>
            </w:pPr>
            <w:r>
              <w:rPr>
                <w:rFonts w:hint="eastAsia" w:hAnsi="宋体" w:cs="黑体"/>
                <w:color w:val="auto"/>
                <w:sz w:val="24"/>
                <w:szCs w:val="24"/>
                <w:highlight w:val="none"/>
              </w:rPr>
              <w:t>鄢陵县公共资源交易中心（</w:t>
            </w:r>
            <w:r>
              <w:rPr>
                <w:rFonts w:hAnsi="宋体" w:cs="黑体"/>
                <w:color w:val="auto"/>
                <w:sz w:val="24"/>
                <w:szCs w:val="24"/>
                <w:highlight w:val="none"/>
              </w:rPr>
              <w:t>S219</w:t>
            </w:r>
            <w:r>
              <w:rPr>
                <w:rFonts w:hint="eastAsia" w:hAnsi="宋体" w:cs="黑体"/>
                <w:color w:val="auto"/>
                <w:sz w:val="24"/>
                <w:szCs w:val="24"/>
                <w:highlight w:val="none"/>
              </w:rPr>
              <w:t>鄢陶路与未来大道交叉口鄢陵创客园院内南楼四楼开标</w:t>
            </w:r>
            <w:r>
              <w:rPr>
                <w:rFonts w:hint="eastAsia" w:hAnsi="宋体" w:cs="黑体"/>
                <w:color w:val="auto"/>
                <w:sz w:val="24"/>
                <w:szCs w:val="24"/>
                <w:highlight w:val="none"/>
                <w:lang w:val="en-US" w:eastAsia="zh-CN"/>
              </w:rPr>
              <w:t>一</w:t>
            </w:r>
            <w:r>
              <w:rPr>
                <w:rFonts w:hint="eastAsia" w:hAnsi="宋体" w:cs="黑体"/>
                <w:color w:val="auto"/>
                <w:sz w:val="24"/>
                <w:szCs w:val="24"/>
                <w:highlight w:val="none"/>
              </w:rPr>
              <w:t>室）</w:t>
            </w:r>
            <w:r>
              <w:rPr>
                <w:rFonts w:hint="eastAsia" w:cs="仿宋_GB2312" w:asciiTheme="minorEastAsia" w:hAnsiTheme="minorEastAsia"/>
                <w:color w:val="auto"/>
                <w:sz w:val="24"/>
                <w:szCs w:val="21"/>
                <w:highlight w:val="none"/>
              </w:rPr>
              <w:t>（</w:t>
            </w:r>
            <w:r>
              <w:rPr>
                <w:rFonts w:hint="eastAsia" w:cs="Arial" w:asciiTheme="minorEastAsia" w:hAnsiTheme="minorEastAsia"/>
                <w:b/>
                <w:color w:val="auto"/>
                <w:sz w:val="24"/>
                <w:szCs w:val="21"/>
                <w:highlight w:val="none"/>
              </w:rPr>
              <w:t>本项目采用远程不见面开标，投标人无须到交易中心现场</w:t>
            </w:r>
            <w:r>
              <w:rPr>
                <w:rFonts w:hint="eastAsia" w:cs="Arial" w:asciiTheme="minorEastAsia" w:hAnsiTheme="minorEastAsia"/>
                <w:color w:val="auto"/>
                <w:sz w:val="24"/>
                <w:szCs w:val="21"/>
                <w:highlight w:val="none"/>
              </w:rPr>
              <w:t>）</w:t>
            </w:r>
            <w:r>
              <w:rPr>
                <w:rFonts w:hint="eastAsia" w:cs="仿宋_GB2312" w:asciiTheme="minorEastAsia" w:hAnsiTheme="minorEastAsia"/>
                <w:color w:val="auto"/>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13</w:t>
            </w:r>
          </w:p>
        </w:tc>
        <w:tc>
          <w:tcPr>
            <w:tcW w:w="2268" w:type="dxa"/>
            <w:vAlign w:val="center"/>
          </w:tcPr>
          <w:p>
            <w:pPr>
              <w:autoSpaceDE w:val="0"/>
              <w:autoSpaceDN w:val="0"/>
              <w:adjustRightInd w:val="0"/>
              <w:spacing w:line="360" w:lineRule="auto"/>
              <w:jc w:val="center"/>
              <w:outlineLvl w:val="9"/>
              <w:rPr>
                <w:rFonts w:ascii="宋体" w:cs="宋体"/>
                <w:b/>
                <w:bCs/>
                <w:color w:val="auto"/>
                <w:sz w:val="24"/>
                <w:szCs w:val="24"/>
                <w:highlight w:val="none"/>
                <w:lang w:val="zh-CN"/>
              </w:rPr>
            </w:pPr>
            <w:r>
              <w:rPr>
                <w:rFonts w:hint="eastAsia" w:cs="宋体" w:asciiTheme="minorEastAsia" w:hAnsiTheme="minorEastAsia"/>
                <w:b/>
                <w:bCs/>
                <w:color w:val="auto"/>
                <w:kern w:val="0"/>
                <w:sz w:val="24"/>
                <w:szCs w:val="24"/>
                <w:highlight w:val="none"/>
              </w:rPr>
              <w:t>投标保证金</w:t>
            </w:r>
          </w:p>
        </w:tc>
        <w:tc>
          <w:tcPr>
            <w:tcW w:w="7038" w:type="dxa"/>
            <w:vAlign w:val="center"/>
          </w:tcPr>
          <w:p>
            <w:pPr>
              <w:snapToGrid w:val="0"/>
              <w:spacing w:line="360" w:lineRule="auto"/>
              <w:outlineLvl w:val="9"/>
              <w:rPr>
                <w:rFonts w:ascii="宋体" w:cs="宋体"/>
                <w:b/>
                <w:bCs/>
                <w:color w:val="auto"/>
                <w:sz w:val="24"/>
                <w:szCs w:val="24"/>
                <w:highlight w:val="none"/>
                <w:lang w:val="zh-CN"/>
              </w:rPr>
            </w:pPr>
            <w:r>
              <w:rPr>
                <w:rFonts w:hint="eastAsia" w:ascii="宋体" w:cs="宋体"/>
                <w:b/>
                <w:bCs/>
                <w:color w:val="auto"/>
                <w:sz w:val="24"/>
                <w:szCs w:val="24"/>
                <w:highlight w:val="none"/>
                <w:lang w:val="zh-CN"/>
              </w:rPr>
              <w:t>不收取。</w:t>
            </w:r>
          </w:p>
          <w:p>
            <w:pPr>
              <w:snapToGrid w:val="0"/>
              <w:spacing w:line="360" w:lineRule="auto"/>
              <w:outlineLvl w:val="9"/>
              <w:rPr>
                <w:b/>
                <w:bCs/>
                <w:color w:val="auto"/>
                <w:highlight w:val="none"/>
              </w:rPr>
            </w:pPr>
            <w:r>
              <w:rPr>
                <w:rFonts w:hint="eastAsia" w:ascii="宋体" w:hAnsi="宋体" w:cs="仿宋_GB2312"/>
                <w:b/>
                <w:bCs/>
                <w:color w:val="auto"/>
                <w:sz w:val="24"/>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14</w:t>
            </w:r>
          </w:p>
        </w:tc>
        <w:tc>
          <w:tcPr>
            <w:tcW w:w="2268" w:type="dxa"/>
            <w:vAlign w:val="center"/>
          </w:tcPr>
          <w:p>
            <w:pPr>
              <w:spacing w:line="360" w:lineRule="auto"/>
              <w:ind w:left="-50" w:leftChars="-24" w:right="-1031" w:rightChars="-491" w:firstLine="600" w:firstLineChars="250"/>
              <w:outlineLvl w:val="9"/>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履约保证金</w:t>
            </w:r>
          </w:p>
          <w:p>
            <w:pPr>
              <w:autoSpaceDE w:val="0"/>
              <w:autoSpaceDN w:val="0"/>
              <w:adjustRightInd w:val="0"/>
              <w:spacing w:line="360" w:lineRule="auto"/>
              <w:jc w:val="center"/>
              <w:outlineLvl w:val="9"/>
              <w:rPr>
                <w:rFonts w:cs="宋体" w:asciiTheme="minorEastAsia" w:hAnsiTheme="minorEastAsia"/>
                <w:b/>
                <w:bCs/>
                <w:color w:val="auto"/>
                <w:kern w:val="0"/>
                <w:sz w:val="24"/>
                <w:szCs w:val="24"/>
                <w:highlight w:val="none"/>
              </w:rPr>
            </w:pPr>
            <w:r>
              <w:rPr>
                <w:rFonts w:hint="eastAsia" w:asciiTheme="minorEastAsia" w:hAnsiTheme="minorEastAsia"/>
                <w:color w:val="auto"/>
                <w:sz w:val="24"/>
                <w:szCs w:val="24"/>
                <w:highlight w:val="none"/>
              </w:rPr>
              <w:t>(签</w:t>
            </w:r>
            <w:r>
              <w:rPr>
                <w:rFonts w:hint="eastAsia" w:asciiTheme="minorEastAsia" w:hAnsiTheme="minorEastAsia"/>
                <w:color w:val="auto"/>
                <w:sz w:val="24"/>
                <w:highlight w:val="none"/>
              </w:rPr>
              <w:t>订合同前缴纳)</w:t>
            </w:r>
          </w:p>
        </w:tc>
        <w:tc>
          <w:tcPr>
            <w:tcW w:w="7038" w:type="dxa"/>
            <w:vAlign w:val="center"/>
          </w:tcPr>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缴纳形式：基本户转账或履约保函的形式。</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履约担保金额：中标合同金额的</w:t>
            </w:r>
            <w:r>
              <w:rPr>
                <w:rFonts w:hint="eastAsia" w:ascii="宋体" w:hAnsi="宋体" w:cs="仿宋_GB2312"/>
                <w:b/>
                <w:bCs/>
                <w:color w:val="auto"/>
                <w:sz w:val="24"/>
                <w:highlight w:val="none"/>
              </w:rPr>
              <w:t>3</w:t>
            </w:r>
            <w:r>
              <w:rPr>
                <w:rFonts w:hint="eastAsia" w:ascii="宋体" w:hAnsi="宋体" w:cs="仿宋_GB2312"/>
                <w:b/>
                <w:bCs/>
                <w:color w:val="auto"/>
                <w:sz w:val="24"/>
                <w:highlight w:val="none"/>
                <w:lang w:val="zh-CN"/>
              </w:rPr>
              <w:t>%（百元取整）</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投标人采用基本户转账方式缴纳履约担保的，在中标通知书领取后与招标人签订合同前办理，应缴纳至以下账户（履约担保缴纳时需备注项目名称、编号、标段）：</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 xml:space="preserve">开户行：中原银行鄢陵支行 </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户  名：鄢陵县公共资源交易中心</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账  号：411025010190014701</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注意事项:</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有下列情形之一的履约担保不予退还:</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1、中标人向他人转让中标项目或将中标项目肢解后分别向他人转让；</w:t>
            </w:r>
          </w:p>
          <w:p>
            <w:pPr>
              <w:snapToGri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2、法律法规、规章规定的其它不予退还的情形。</w:t>
            </w:r>
          </w:p>
          <w:p>
            <w:pPr>
              <w:autoSpaceDE w:val="0"/>
              <w:autoSpaceDN w:val="0"/>
              <w:adjustRightInd w:val="0"/>
              <w:spacing w:line="360" w:lineRule="auto"/>
              <w:outlineLvl w:val="9"/>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四楼政府采购中心财务室，联系电话：0374—76088</w:t>
            </w:r>
            <w:r>
              <w:rPr>
                <w:rFonts w:hint="eastAsia" w:ascii="宋体" w:hAnsi="宋体" w:cs="仿宋_GB2312"/>
                <w:b/>
                <w:bCs/>
                <w:color w:val="auto"/>
                <w:sz w:val="24"/>
                <w:highlight w:val="none"/>
                <w:lang w:val="en-US" w:eastAsia="zh-CN"/>
              </w:rPr>
              <w:t>18</w:t>
            </w:r>
            <w:r>
              <w:rPr>
                <w:rFonts w:hint="eastAsia" w:ascii="宋体" w:hAnsi="宋体" w:cs="仿宋_GB2312"/>
                <w:b/>
                <w:bCs/>
                <w:color w:val="auto"/>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 xml:space="preserve">15 </w:t>
            </w:r>
          </w:p>
        </w:tc>
        <w:tc>
          <w:tcPr>
            <w:tcW w:w="2268" w:type="dxa"/>
            <w:vAlign w:val="center"/>
          </w:tcPr>
          <w:p>
            <w:pPr>
              <w:autoSpaceDE w:val="0"/>
              <w:autoSpaceDN w:val="0"/>
              <w:adjustRightInd w:val="0"/>
              <w:spacing w:line="360" w:lineRule="auto"/>
              <w:jc w:val="center"/>
              <w:outlineLvl w:val="9"/>
              <w:rPr>
                <w:rFonts w:ascii="宋体" w:hAnsi="宋体"/>
                <w:color w:val="auto"/>
                <w:sz w:val="24"/>
                <w:szCs w:val="24"/>
                <w:highlight w:val="none"/>
              </w:rPr>
            </w:pPr>
            <w:r>
              <w:rPr>
                <w:rFonts w:hint="eastAsia" w:ascii="宋体" w:hAnsi="宋体" w:cs="宋体"/>
                <w:bCs/>
                <w:color w:val="auto"/>
                <w:sz w:val="24"/>
                <w:szCs w:val="24"/>
                <w:highlight w:val="none"/>
                <w:lang w:val="zh-CN"/>
              </w:rPr>
              <w:t>代理服务费</w:t>
            </w:r>
          </w:p>
        </w:tc>
        <w:tc>
          <w:tcPr>
            <w:tcW w:w="7038" w:type="dxa"/>
            <w:vAlign w:val="center"/>
          </w:tcPr>
          <w:p>
            <w:pPr>
              <w:autoSpaceDE w:val="0"/>
              <w:autoSpaceDN w:val="0"/>
              <w:spacing w:line="360" w:lineRule="auto"/>
              <w:contextualSpacing/>
              <w:outlineLvl w:val="9"/>
              <w:rPr>
                <w:rFonts w:ascii="宋体" w:hAnsi="宋体" w:cs="宋体"/>
                <w:bCs/>
                <w:color w:val="auto"/>
                <w:sz w:val="24"/>
                <w:szCs w:val="24"/>
                <w:highlight w:val="none"/>
                <w:lang w:val="zh-CN"/>
              </w:rPr>
            </w:pP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不收取</w:t>
            </w: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16"/>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收取中标人</w:t>
            </w: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收取采购人</w:t>
            </w:r>
          </w:p>
          <w:p>
            <w:pPr>
              <w:widowControl/>
              <w:spacing w:line="360" w:lineRule="auto"/>
              <w:jc w:val="left"/>
              <w:outlineLvl w:val="9"/>
              <w:rPr>
                <w:rFonts w:ascii="宋体" w:hAnsi="宋体"/>
                <w:color w:val="auto"/>
                <w:sz w:val="24"/>
                <w:szCs w:val="24"/>
                <w:highlight w:val="none"/>
              </w:rPr>
            </w:pPr>
            <w:r>
              <w:rPr>
                <w:rFonts w:ascii="宋体" w:hAnsi="宋体" w:cs="宋体"/>
                <w:color w:val="auto"/>
                <w:sz w:val="24"/>
                <w:szCs w:val="24"/>
                <w:highlight w:val="none"/>
              </w:rPr>
              <w:t>收取标准:</w:t>
            </w:r>
            <w:r>
              <w:rPr>
                <w:rFonts w:hint="eastAsia" w:ascii="宋体" w:hAnsi="宋体" w:cs="宋体"/>
                <w:color w:val="auto"/>
                <w:sz w:val="24"/>
                <w:szCs w:val="24"/>
                <w:highlight w:val="none"/>
              </w:rPr>
              <w:t xml:space="preserve"> 参照国家计委计价格[2002]1980号文、发改价格[2015]299号文、[2011]534号文文件费率标准计算。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16</w:t>
            </w:r>
          </w:p>
        </w:tc>
        <w:tc>
          <w:tcPr>
            <w:tcW w:w="2268"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仿宋_GB2312"/>
                <w:color w:val="auto"/>
                <w:sz w:val="24"/>
                <w:szCs w:val="24"/>
                <w:highlight w:val="none"/>
              </w:rPr>
              <w:t>采购人澄清的时间</w:t>
            </w:r>
          </w:p>
        </w:tc>
        <w:tc>
          <w:tcPr>
            <w:tcW w:w="7038" w:type="dxa"/>
            <w:vAlign w:val="center"/>
          </w:tcPr>
          <w:p>
            <w:pPr>
              <w:autoSpaceDE w:val="0"/>
              <w:autoSpaceDN w:val="0"/>
              <w:adjustRightInd w:val="0"/>
              <w:spacing w:line="360" w:lineRule="auto"/>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17</w:t>
            </w:r>
          </w:p>
        </w:tc>
        <w:tc>
          <w:tcPr>
            <w:tcW w:w="2268"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投标人对采购文件质疑的截止时间</w:t>
            </w:r>
          </w:p>
        </w:tc>
        <w:tc>
          <w:tcPr>
            <w:tcW w:w="7038" w:type="dxa"/>
            <w:vAlign w:val="center"/>
          </w:tcPr>
          <w:p>
            <w:pPr>
              <w:autoSpaceDE w:val="0"/>
              <w:autoSpaceDN w:val="0"/>
              <w:adjustRightInd w:val="0"/>
              <w:spacing w:line="360" w:lineRule="auto"/>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18</w:t>
            </w:r>
          </w:p>
        </w:tc>
        <w:tc>
          <w:tcPr>
            <w:tcW w:w="2268"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投标文件份数</w:t>
            </w:r>
          </w:p>
        </w:tc>
        <w:tc>
          <w:tcPr>
            <w:tcW w:w="7038" w:type="dxa"/>
            <w:vAlign w:val="center"/>
          </w:tcPr>
          <w:p>
            <w:pPr>
              <w:autoSpaceDE w:val="0"/>
              <w:autoSpaceDN w:val="0"/>
              <w:adjustRightInd w:val="0"/>
              <w:spacing w:line="276" w:lineRule="auto"/>
              <w:outlineLvl w:val="9"/>
              <w:rPr>
                <w:rFonts w:hAnsi="宋体" w:cs="宋体"/>
                <w:color w:val="auto"/>
                <w:sz w:val="24"/>
                <w:szCs w:val="21"/>
                <w:highlight w:val="none"/>
              </w:rPr>
            </w:pPr>
            <w:r>
              <w:rPr>
                <w:rFonts w:hint="eastAsia" w:hAnsi="宋体" w:cs="宋体"/>
                <w:color w:val="auto"/>
                <w:sz w:val="24"/>
                <w:szCs w:val="21"/>
                <w:highlight w:val="none"/>
              </w:rPr>
              <w:t>电子投标文件</w:t>
            </w:r>
          </w:p>
          <w:p>
            <w:pPr>
              <w:autoSpaceDE w:val="0"/>
              <w:autoSpaceDN w:val="0"/>
              <w:adjustRightInd w:val="0"/>
              <w:spacing w:line="276" w:lineRule="auto"/>
              <w:outlineLvl w:val="9"/>
              <w:rPr>
                <w:rFonts w:hAnsi="宋体" w:cs="宋体"/>
                <w:color w:val="auto"/>
                <w:sz w:val="24"/>
                <w:szCs w:val="21"/>
                <w:highlight w:val="none"/>
              </w:rPr>
            </w:pPr>
            <w:r>
              <w:rPr>
                <w:rFonts w:hint="eastAsia" w:hAnsi="宋体" w:cs="宋体"/>
                <w:color w:val="auto"/>
                <w:sz w:val="24"/>
                <w:szCs w:val="21"/>
                <w:highlight w:val="none"/>
              </w:rPr>
              <w:t>成功上传至【全国公共资源交易平台（河南省·许昌市）】公共资源交易系统电子投标文件1份（文件格式为：XX公司XXX项目编号.file）。</w:t>
            </w:r>
          </w:p>
          <w:p>
            <w:pPr>
              <w:autoSpaceDE w:val="0"/>
              <w:autoSpaceDN w:val="0"/>
              <w:adjustRightInd w:val="0"/>
              <w:spacing w:line="360" w:lineRule="auto"/>
              <w:outlineLvl w:val="9"/>
              <w:rPr>
                <w:rFonts w:ascii="宋体" w:hAnsi="宋体"/>
                <w:bCs/>
                <w:color w:val="auto"/>
                <w:kern w:val="0"/>
                <w:sz w:val="24"/>
                <w:szCs w:val="24"/>
                <w:highlight w:val="none"/>
              </w:rPr>
            </w:pPr>
            <w:r>
              <w:rPr>
                <w:rFonts w:hint="eastAsia" w:hAnsi="宋体" w:cs="宋体"/>
                <w:b/>
                <w:color w:val="auto"/>
                <w:sz w:val="24"/>
                <w:szCs w:val="21"/>
                <w:highlight w:val="none"/>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19</w:t>
            </w:r>
          </w:p>
        </w:tc>
        <w:tc>
          <w:tcPr>
            <w:tcW w:w="2268" w:type="dxa"/>
            <w:vAlign w:val="center"/>
          </w:tcPr>
          <w:p>
            <w:pPr>
              <w:autoSpaceDE w:val="0"/>
              <w:autoSpaceDN w:val="0"/>
              <w:adjustRightInd w:val="0"/>
              <w:spacing w:line="360" w:lineRule="auto"/>
              <w:jc w:val="center"/>
              <w:outlineLvl w:val="9"/>
              <w:rPr>
                <w:rFonts w:ascii="宋体" w:hAnsi="宋体"/>
                <w:color w:val="auto"/>
                <w:kern w:val="0"/>
                <w:sz w:val="24"/>
                <w:szCs w:val="24"/>
                <w:highlight w:val="none"/>
              </w:rPr>
            </w:pPr>
            <w:r>
              <w:rPr>
                <w:rFonts w:hint="eastAsia" w:ascii="宋体" w:hAnsi="宋体"/>
                <w:color w:val="auto"/>
                <w:kern w:val="0"/>
                <w:sz w:val="24"/>
                <w:szCs w:val="24"/>
                <w:highlight w:val="none"/>
              </w:rPr>
              <w:t>投标文件的</w:t>
            </w:r>
          </w:p>
          <w:p>
            <w:pPr>
              <w:autoSpaceDE w:val="0"/>
              <w:autoSpaceDN w:val="0"/>
              <w:adjustRightInd w:val="0"/>
              <w:spacing w:line="360" w:lineRule="auto"/>
              <w:jc w:val="center"/>
              <w:outlineLvl w:val="9"/>
              <w:rPr>
                <w:rFonts w:hAnsi="宋体" w:cs="黑体"/>
                <w:color w:val="auto"/>
                <w:sz w:val="24"/>
                <w:szCs w:val="24"/>
                <w:highlight w:val="none"/>
              </w:rPr>
            </w:pPr>
            <w:r>
              <w:rPr>
                <w:rFonts w:hint="eastAsia" w:ascii="宋体" w:hAnsi="宋体"/>
                <w:color w:val="auto"/>
                <w:kern w:val="0"/>
                <w:sz w:val="24"/>
                <w:szCs w:val="24"/>
                <w:highlight w:val="none"/>
              </w:rPr>
              <w:t>签署盖章</w:t>
            </w:r>
          </w:p>
        </w:tc>
        <w:tc>
          <w:tcPr>
            <w:tcW w:w="7038" w:type="dxa"/>
            <w:vAlign w:val="center"/>
          </w:tcPr>
          <w:p>
            <w:pPr>
              <w:autoSpaceDE w:val="0"/>
              <w:autoSpaceDN w:val="0"/>
              <w:adjustRightInd w:val="0"/>
              <w:spacing w:line="360" w:lineRule="auto"/>
              <w:ind w:right="-491"/>
              <w:outlineLvl w:val="9"/>
              <w:rPr>
                <w:rFonts w:hAnsi="宋体" w:cs="黑体"/>
                <w:color w:val="auto"/>
                <w:sz w:val="24"/>
                <w:szCs w:val="24"/>
                <w:highlight w:val="none"/>
              </w:rPr>
            </w:pPr>
            <w:r>
              <w:rPr>
                <w:rFonts w:hint="eastAsia" w:hAnsi="宋体" w:cs="黑体"/>
                <w:color w:val="auto"/>
                <w:sz w:val="24"/>
                <w:szCs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TimesNewRomanPSMT"/>
                <w:color w:val="auto"/>
                <w:sz w:val="24"/>
                <w:szCs w:val="24"/>
                <w:highlight w:val="none"/>
              </w:rPr>
            </w:pPr>
            <w:r>
              <w:rPr>
                <w:rFonts w:hint="eastAsia" w:hAnsi="宋体" w:cs="TimesNewRomanPSMT"/>
                <w:color w:val="auto"/>
                <w:sz w:val="24"/>
                <w:szCs w:val="24"/>
                <w:highlight w:val="none"/>
              </w:rPr>
              <w:t>20</w:t>
            </w:r>
          </w:p>
        </w:tc>
        <w:tc>
          <w:tcPr>
            <w:tcW w:w="2268" w:type="dxa"/>
            <w:vAlign w:val="center"/>
          </w:tcPr>
          <w:p>
            <w:pPr>
              <w:autoSpaceDE w:val="0"/>
              <w:autoSpaceDN w:val="0"/>
              <w:adjustRightInd w:val="0"/>
              <w:spacing w:line="360" w:lineRule="auto"/>
              <w:jc w:val="center"/>
              <w:outlineLvl w:val="9"/>
              <w:rPr>
                <w:rFonts w:hAnsi="宋体" w:cs="仿宋_GB2312"/>
                <w:color w:val="auto"/>
                <w:sz w:val="24"/>
                <w:szCs w:val="24"/>
                <w:highlight w:val="none"/>
              </w:rPr>
            </w:pPr>
            <w:r>
              <w:rPr>
                <w:rFonts w:hint="eastAsia" w:hAnsi="宋体" w:cs="黑体"/>
                <w:color w:val="auto"/>
                <w:sz w:val="24"/>
                <w:szCs w:val="24"/>
                <w:highlight w:val="none"/>
              </w:rPr>
              <w:t>评标委员会的组建</w:t>
            </w:r>
          </w:p>
        </w:tc>
        <w:tc>
          <w:tcPr>
            <w:tcW w:w="7038" w:type="dxa"/>
            <w:vAlign w:val="center"/>
          </w:tcPr>
          <w:p>
            <w:pPr>
              <w:autoSpaceDE w:val="0"/>
              <w:autoSpaceDN w:val="0"/>
              <w:adjustRightInd w:val="0"/>
              <w:spacing w:line="360" w:lineRule="auto"/>
              <w:outlineLvl w:val="9"/>
              <w:rPr>
                <w:rFonts w:hAnsi="宋体" w:cs="黑体"/>
                <w:color w:val="auto"/>
                <w:sz w:val="24"/>
                <w:szCs w:val="24"/>
                <w:highlight w:val="none"/>
              </w:rPr>
            </w:pPr>
            <w:r>
              <w:rPr>
                <w:rFonts w:hint="eastAsia" w:hAnsi="宋体" w:cs="黑体"/>
                <w:color w:val="auto"/>
                <w:sz w:val="24"/>
                <w:szCs w:val="24"/>
                <w:highlight w:val="none"/>
              </w:rPr>
              <w:t xml:space="preserve">评标委员会组建：由采购人代表1人和评审专4人组成。其中技术专家 </w:t>
            </w:r>
            <w:r>
              <w:rPr>
                <w:rFonts w:hint="eastAsia" w:hAnsi="宋体" w:cs="黑体"/>
                <w:color w:val="auto"/>
                <w:sz w:val="24"/>
                <w:szCs w:val="24"/>
                <w:highlight w:val="none"/>
                <w:u w:val="single"/>
              </w:rPr>
              <w:t xml:space="preserve">  2 </w:t>
            </w:r>
            <w:r>
              <w:rPr>
                <w:rFonts w:hint="eastAsia" w:hAnsi="宋体" w:cs="黑体"/>
                <w:color w:val="auto"/>
                <w:sz w:val="24"/>
                <w:szCs w:val="24"/>
                <w:highlight w:val="none"/>
              </w:rPr>
              <w:t>人，经济专家</w:t>
            </w:r>
            <w:r>
              <w:rPr>
                <w:rFonts w:hint="eastAsia" w:hAnsi="宋体" w:cs="黑体"/>
                <w:color w:val="auto"/>
                <w:sz w:val="24"/>
                <w:szCs w:val="24"/>
                <w:highlight w:val="none"/>
                <w:u w:val="single"/>
              </w:rPr>
              <w:t xml:space="preserve"> 2 </w:t>
            </w:r>
            <w:r>
              <w:rPr>
                <w:rFonts w:hint="eastAsia" w:hAnsi="宋体" w:cs="黑体"/>
                <w:color w:val="auto"/>
                <w:sz w:val="24"/>
                <w:szCs w:val="24"/>
                <w:highlight w:val="none"/>
              </w:rPr>
              <w:t>人。</w:t>
            </w:r>
          </w:p>
          <w:p>
            <w:pPr>
              <w:autoSpaceDE w:val="0"/>
              <w:autoSpaceDN w:val="0"/>
              <w:adjustRightInd w:val="0"/>
              <w:spacing w:line="360" w:lineRule="auto"/>
              <w:jc w:val="left"/>
              <w:outlineLvl w:val="9"/>
              <w:rPr>
                <w:rFonts w:ascii="宋体" w:cs="宋体"/>
                <w:bCs/>
                <w:color w:val="auto"/>
                <w:sz w:val="24"/>
                <w:szCs w:val="24"/>
                <w:highlight w:val="none"/>
                <w:lang w:val="zh-CN"/>
              </w:rPr>
            </w:pPr>
            <w:r>
              <w:rPr>
                <w:rFonts w:hint="eastAsia" w:hAnsi="宋体" w:cs="黑体"/>
                <w:color w:val="auto"/>
                <w:sz w:val="24"/>
                <w:szCs w:val="24"/>
                <w:highlight w:val="none"/>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21</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hint="eastAsia" w:hAnsi="宋体" w:cs="仿宋_GB2312"/>
                <w:color w:val="auto"/>
                <w:sz w:val="24"/>
                <w:szCs w:val="24"/>
                <w:highlight w:val="none"/>
              </w:rPr>
              <w:t>评标方法</w:t>
            </w:r>
          </w:p>
        </w:tc>
        <w:tc>
          <w:tcPr>
            <w:tcW w:w="7038" w:type="dxa"/>
            <w:vAlign w:val="center"/>
          </w:tcPr>
          <w:p>
            <w:pPr>
              <w:autoSpaceDE w:val="0"/>
              <w:autoSpaceDN w:val="0"/>
              <w:adjustRightInd w:val="0"/>
              <w:spacing w:line="360" w:lineRule="auto"/>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22</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中标候选人</w:t>
            </w:r>
          </w:p>
        </w:tc>
        <w:tc>
          <w:tcPr>
            <w:tcW w:w="7038" w:type="dxa"/>
            <w:vAlign w:val="center"/>
          </w:tcPr>
          <w:p>
            <w:pPr>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ascii="宋体" w:hAnsi="宋体"/>
                <w:color w:val="auto"/>
                <w:kern w:val="0"/>
                <w:sz w:val="24"/>
                <w:szCs w:val="24"/>
                <w:highlight w:val="none"/>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23</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中标人需提交的资料</w:t>
            </w:r>
          </w:p>
        </w:tc>
        <w:tc>
          <w:tcPr>
            <w:tcW w:w="7038" w:type="dxa"/>
            <w:vAlign w:val="center"/>
          </w:tcPr>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中标人在接到中标通知时，须向代理机构发送投标报价和主要中标标的的服务要求等电子文档，并同时通知代理机构联系人。邮箱xiaofeng20051115</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126</w:t>
            </w:r>
            <w:r>
              <w:rPr>
                <w:rFonts w:cs="宋体" w:asciiTheme="minorEastAsia" w:hAnsiTheme="minorEastAsia"/>
                <w:color w:val="auto"/>
                <w:kern w:val="0"/>
                <w:sz w:val="24"/>
                <w:szCs w:val="24"/>
                <w:highlight w:val="none"/>
              </w:rPr>
              <w:t>.com</w:t>
            </w:r>
            <w:r>
              <w:rPr>
                <w:rFonts w:hint="eastAsia" w:cs="宋体" w:asciiTheme="minorEastAsia" w:hAnsi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24</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hint="eastAsia" w:ascii="宋体" w:cs="宋体"/>
                <w:bCs/>
                <w:color w:val="auto"/>
                <w:sz w:val="24"/>
                <w:szCs w:val="24"/>
                <w:highlight w:val="none"/>
                <w:lang w:val="zh-CN"/>
              </w:rPr>
              <w:t>电子化采购模式</w:t>
            </w:r>
          </w:p>
        </w:tc>
        <w:tc>
          <w:tcPr>
            <w:tcW w:w="7038" w:type="dxa"/>
            <w:vAlign w:val="center"/>
          </w:tcPr>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□√是。投标人投标时须提供加密电子投标文件。投标人资质、业绩、荣誉及相关人员证明材料等资料原件开标现场不再提供(参加开标会议投标人代表须提供身份证明原件核验身份)。</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outlineLvl w:val="9"/>
              <w:rPr>
                <w:rFonts w:hAnsi="宋体" w:cs="黑体"/>
                <w:color w:val="auto"/>
                <w:sz w:val="24"/>
                <w:szCs w:val="24"/>
                <w:highlight w:val="none"/>
              </w:rPr>
            </w:pPr>
            <w:r>
              <w:rPr>
                <w:rFonts w:hint="eastAsia" w:hAnsi="宋体" w:cs="黑体"/>
                <w:color w:val="auto"/>
                <w:sz w:val="24"/>
                <w:szCs w:val="24"/>
                <w:highlight w:val="none"/>
              </w:rPr>
              <w:t>25</w:t>
            </w:r>
          </w:p>
        </w:tc>
        <w:tc>
          <w:tcPr>
            <w:tcW w:w="2268" w:type="dxa"/>
            <w:vAlign w:val="center"/>
          </w:tcPr>
          <w:p>
            <w:pPr>
              <w:autoSpaceDE w:val="0"/>
              <w:autoSpaceDN w:val="0"/>
              <w:adjustRightInd w:val="0"/>
              <w:spacing w:line="360" w:lineRule="auto"/>
              <w:jc w:val="center"/>
              <w:outlineLvl w:val="9"/>
              <w:rPr>
                <w:rFonts w:ascii="宋体" w:cs="宋体"/>
                <w:bCs/>
                <w:color w:val="auto"/>
                <w:sz w:val="24"/>
                <w:szCs w:val="24"/>
                <w:highlight w:val="none"/>
                <w:lang w:val="zh-CN"/>
              </w:rPr>
            </w:pPr>
            <w:r>
              <w:rPr>
                <w:rFonts w:hint="eastAsia" w:cs="宋体" w:asciiTheme="minorEastAsia" w:hAnsiTheme="minorEastAsia"/>
                <w:color w:val="auto"/>
                <w:kern w:val="0"/>
                <w:sz w:val="24"/>
                <w:szCs w:val="24"/>
                <w:highlight w:val="none"/>
                <w:lang w:val="zh-CN"/>
              </w:rPr>
              <w:t>投标人/供应商注意事项：</w:t>
            </w:r>
          </w:p>
        </w:tc>
        <w:tc>
          <w:tcPr>
            <w:tcW w:w="7038" w:type="dxa"/>
            <w:vAlign w:val="center"/>
          </w:tcPr>
          <w:p>
            <w:pPr>
              <w:autoSpaceDE w:val="0"/>
              <w:autoSpaceDN w:val="0"/>
              <w:spacing w:line="360" w:lineRule="auto"/>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1、需及时查看CA证书信息是否过期，确保所投项目从文件下载至项目结束整个周期CA证书的信息不能变更（包括不能办理延期、丢失补锁、损坏补锁等）。</w:t>
            </w:r>
          </w:p>
          <w:p>
            <w:pPr>
              <w:autoSpaceDE w:val="0"/>
              <w:autoSpaceDN w:val="0"/>
              <w:spacing w:line="360" w:lineRule="auto"/>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2、使用电子签章需下载PDF阅读器。</w:t>
            </w:r>
          </w:p>
          <w:p>
            <w:pPr>
              <w:autoSpaceDE w:val="0"/>
              <w:autoSpaceDN w:val="0"/>
              <w:spacing w:line="360" w:lineRule="auto"/>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3、投标人/供应商需确保CA证书的单位、法人等电子签章有效可用。</w:t>
            </w:r>
          </w:p>
          <w:p>
            <w:pPr>
              <w:autoSpaceDE w:val="0"/>
              <w:autoSpaceDN w:val="0"/>
              <w:spacing w:line="360" w:lineRule="auto"/>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4、招标文件中“投标文件格式”发生变更的，投标人/供应商需重新下载招标文件（EGP版）并重新制作、上传投标文件。</w:t>
            </w:r>
          </w:p>
          <w:p>
            <w:pPr>
              <w:autoSpaceDE w:val="0"/>
              <w:autoSpaceDN w:val="0"/>
              <w:spacing w:line="360" w:lineRule="auto"/>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5、按照《关于推进全流程电子化交易和在线监管工作有关问题的通知》（许公管办[2019]3号）规定：</w:t>
            </w:r>
          </w:p>
          <w:p>
            <w:pPr>
              <w:autoSpaceDE w:val="0"/>
              <w:autoSpaceDN w:val="0"/>
              <w:spacing w:line="360" w:lineRule="auto"/>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360" w:lineRule="auto"/>
              <w:contextualSpacing/>
              <w:jc w:val="left"/>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outlineLvl w:val="9"/>
        <w:rPr>
          <w:rFonts w:ascii="楷体" w:hAnsi="楷体" w:eastAsia="楷体" w:cs="宋体"/>
          <w:b/>
          <w:color w:val="auto"/>
          <w:kern w:val="0"/>
          <w:sz w:val="36"/>
          <w:szCs w:val="36"/>
          <w:highlight w:val="none"/>
        </w:rPr>
      </w:pPr>
    </w:p>
    <w:p>
      <w:pPr>
        <w:tabs>
          <w:tab w:val="left" w:pos="1260"/>
        </w:tabs>
        <w:autoSpaceDE w:val="0"/>
        <w:autoSpaceDN w:val="0"/>
        <w:adjustRightInd w:val="0"/>
        <w:spacing w:line="360" w:lineRule="auto"/>
        <w:contextualSpacing/>
        <w:jc w:val="center"/>
        <w:outlineLvl w:val="1"/>
        <w:rPr>
          <w:rFonts w:ascii="楷体" w:hAnsi="楷体" w:eastAsia="楷体" w:cs="宋体"/>
          <w:b/>
          <w:color w:val="auto"/>
          <w:kern w:val="0"/>
          <w:sz w:val="36"/>
          <w:szCs w:val="36"/>
          <w:highlight w:val="none"/>
        </w:rPr>
      </w:pPr>
      <w:bookmarkStart w:id="7" w:name="_Toc14438"/>
      <w:r>
        <w:rPr>
          <w:rFonts w:hint="eastAsia" w:ascii="楷体" w:hAnsi="楷体" w:eastAsia="楷体" w:cs="宋体"/>
          <w:b/>
          <w:color w:val="auto"/>
          <w:kern w:val="0"/>
          <w:sz w:val="36"/>
          <w:szCs w:val="36"/>
          <w:highlight w:val="none"/>
        </w:rPr>
        <w:t>一、说 明</w:t>
      </w:r>
      <w:bookmarkEnd w:id="7"/>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w:t>
      </w:r>
      <w:r>
        <w:rPr>
          <w:rFonts w:cs="宋体" w:asciiTheme="minorEastAsia" w:hAnsiTheme="minorEastAsia"/>
          <w:b/>
          <w:color w:val="auto"/>
          <w:kern w:val="0"/>
          <w:sz w:val="24"/>
          <w:szCs w:val="24"/>
          <w:highlight w:val="none"/>
        </w:rPr>
        <w:t>.</w:t>
      </w:r>
      <w:r>
        <w:rPr>
          <w:rFonts w:hint="eastAsia" w:cs="宋体" w:asciiTheme="minorEastAsia" w:hAnsiTheme="minorEastAsia"/>
          <w:b/>
          <w:color w:val="auto"/>
          <w:kern w:val="0"/>
          <w:sz w:val="24"/>
          <w:szCs w:val="24"/>
          <w:highlight w:val="none"/>
        </w:rPr>
        <w:t>适用范围</w:t>
      </w:r>
    </w:p>
    <w:p>
      <w:pPr>
        <w:autoSpaceDE w:val="0"/>
        <w:autoSpaceDN w:val="0"/>
        <w:spacing w:line="360" w:lineRule="auto"/>
        <w:contextualSpacing/>
        <w:outlineLvl w:val="9"/>
        <w:rPr>
          <w:rFonts w:ascii="宋体" w:hAnsi="宋体"/>
          <w:color w:val="auto"/>
          <w:sz w:val="24"/>
          <w:highlight w:val="none"/>
        </w:rPr>
      </w:pPr>
      <w:r>
        <w:rPr>
          <w:rFonts w:hint="eastAsia" w:cs="宋体" w:asciiTheme="minorEastAsia" w:hAnsiTheme="minorEastAsia"/>
          <w:color w:val="auto"/>
          <w:kern w:val="0"/>
          <w:sz w:val="24"/>
          <w:szCs w:val="24"/>
          <w:highlight w:val="none"/>
        </w:rPr>
        <w:t>1.1</w:t>
      </w:r>
      <w:r>
        <w:rPr>
          <w:rFonts w:hint="eastAsia" w:ascii="宋体" w:hAnsi="宋体"/>
          <w:color w:val="auto"/>
          <w:sz w:val="24"/>
          <w:highlight w:val="none"/>
        </w:rPr>
        <w:t>本招标文件仅适用于本次投标邀请中所述的货物及服务。</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1.2本招标文件解释权属于《投标邀请》所述的采购人。</w:t>
      </w:r>
    </w:p>
    <w:p>
      <w:pPr>
        <w:autoSpaceDE w:val="0"/>
        <w:autoSpaceDN w:val="0"/>
        <w:adjustRightInd w:val="0"/>
        <w:spacing w:line="360" w:lineRule="auto"/>
        <w:outlineLvl w:val="9"/>
        <w:rPr>
          <w:rFonts w:ascii="宋体" w:cs="宋体"/>
          <w:b/>
          <w:bCs/>
          <w:color w:val="auto"/>
          <w:sz w:val="24"/>
          <w:highlight w:val="none"/>
          <w:lang w:val="zh-CN"/>
        </w:rPr>
      </w:pPr>
      <w:r>
        <w:rPr>
          <w:rFonts w:ascii="宋体" w:cs="宋体"/>
          <w:b/>
          <w:bCs/>
          <w:color w:val="auto"/>
          <w:sz w:val="24"/>
          <w:highlight w:val="none"/>
          <w:lang w:val="zh-CN"/>
        </w:rPr>
        <w:t>2.</w:t>
      </w:r>
      <w:r>
        <w:rPr>
          <w:rFonts w:hint="eastAsia" w:ascii="宋体" w:cs="宋体"/>
          <w:b/>
          <w:bCs/>
          <w:color w:val="auto"/>
          <w:sz w:val="24"/>
          <w:highlight w:val="none"/>
          <w:lang w:val="zh-CN"/>
        </w:rPr>
        <w:t>定义</w:t>
      </w:r>
    </w:p>
    <w:p>
      <w:pPr>
        <w:wordWrap w:val="0"/>
        <w:topLinePunct/>
        <w:autoSpaceDE w:val="0"/>
        <w:autoSpaceDN w:val="0"/>
        <w:adjustRightInd w:val="0"/>
        <w:snapToGrid w:val="0"/>
        <w:spacing w:line="360" w:lineRule="auto"/>
        <w:outlineLvl w:val="9"/>
        <w:rPr>
          <w:rFonts w:ascii="宋体" w:cs="宋体"/>
          <w:color w:val="auto"/>
          <w:sz w:val="24"/>
          <w:highlight w:val="none"/>
          <w:lang w:val="zh-CN"/>
        </w:rPr>
      </w:pPr>
      <w:r>
        <w:rPr>
          <w:rFonts w:ascii="宋体" w:cs="宋体"/>
          <w:color w:val="auto"/>
          <w:sz w:val="24"/>
          <w:highlight w:val="none"/>
          <w:lang w:val="zh-CN"/>
        </w:rPr>
        <w:t>2.1</w:t>
      </w:r>
      <w:r>
        <w:rPr>
          <w:rFonts w:hint="eastAsia" w:ascii="宋体" w:cs="宋体"/>
          <w:color w:val="auto"/>
          <w:sz w:val="24"/>
          <w:highlight w:val="none"/>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pPr>
        <w:wordWrap w:val="0"/>
        <w:topLinePunct/>
        <w:autoSpaceDE w:val="0"/>
        <w:autoSpaceDN w:val="0"/>
        <w:adjustRightInd w:val="0"/>
        <w:snapToGrid w:val="0"/>
        <w:spacing w:line="360" w:lineRule="auto"/>
        <w:outlineLvl w:val="9"/>
        <w:rPr>
          <w:rFonts w:ascii="宋体" w:cs="宋体"/>
          <w:color w:val="auto"/>
          <w:sz w:val="24"/>
          <w:highlight w:val="none"/>
          <w:lang w:val="zh-CN"/>
        </w:rPr>
      </w:pPr>
      <w:r>
        <w:rPr>
          <w:rFonts w:ascii="宋体" w:cs="宋体"/>
          <w:color w:val="auto"/>
          <w:sz w:val="24"/>
          <w:highlight w:val="none"/>
          <w:lang w:val="zh-CN"/>
        </w:rPr>
        <w:t>2.2</w:t>
      </w:r>
      <w:r>
        <w:rPr>
          <w:rFonts w:hint="eastAsia" w:ascii="宋体" w:hAnsi="Times New Roman" w:cs="宋体"/>
          <w:color w:val="auto"/>
          <w:sz w:val="24"/>
          <w:highlight w:val="none"/>
          <w:lang w:val="zh-CN"/>
        </w:rPr>
        <w:t>招标文件所称的“以上”、“以下”、“内”、“以内”，包括本数；所称的“不足”，不包括本数。</w:t>
      </w:r>
    </w:p>
    <w:p>
      <w:pPr>
        <w:wordWrap w:val="0"/>
        <w:topLinePunct/>
        <w:autoSpaceDE w:val="0"/>
        <w:autoSpaceDN w:val="0"/>
        <w:adjustRightInd w:val="0"/>
        <w:snapToGrid w:val="0"/>
        <w:spacing w:line="360" w:lineRule="auto"/>
        <w:outlineLvl w:val="9"/>
        <w:rPr>
          <w:rFonts w:ascii="宋体" w:cs="宋体"/>
          <w:color w:val="auto"/>
          <w:sz w:val="24"/>
          <w:highlight w:val="none"/>
          <w:lang w:val="zh-CN"/>
        </w:rPr>
      </w:pPr>
      <w:r>
        <w:rPr>
          <w:rFonts w:ascii="宋体" w:cs="宋体"/>
          <w:color w:val="auto"/>
          <w:sz w:val="24"/>
          <w:highlight w:val="none"/>
          <w:lang w:val="zh-CN"/>
        </w:rPr>
        <w:t>2.3</w:t>
      </w:r>
      <w:r>
        <w:rPr>
          <w:color w:val="auto"/>
          <w:sz w:val="24"/>
          <w:highlight w:val="none"/>
        </w:rPr>
        <w:t>“</w:t>
      </w:r>
      <w:r>
        <w:rPr>
          <w:rFonts w:hint="eastAsia" w:ascii="宋体" w:cs="宋体"/>
          <w:color w:val="auto"/>
          <w:sz w:val="24"/>
          <w:highlight w:val="none"/>
          <w:lang w:val="zh-CN"/>
        </w:rPr>
        <w:t>招标人</w:t>
      </w:r>
      <w:r>
        <w:rPr>
          <w:color w:val="auto"/>
          <w:sz w:val="24"/>
          <w:highlight w:val="none"/>
        </w:rPr>
        <w:t>”</w:t>
      </w:r>
      <w:r>
        <w:rPr>
          <w:rFonts w:hint="eastAsia" w:ascii="宋体" w:cs="宋体"/>
          <w:color w:val="auto"/>
          <w:sz w:val="24"/>
          <w:highlight w:val="none"/>
          <w:lang w:val="zh-CN"/>
        </w:rPr>
        <w:t>系指组织本次招标的采购单位。</w:t>
      </w:r>
    </w:p>
    <w:p>
      <w:pPr>
        <w:wordWrap w:val="0"/>
        <w:topLinePunct/>
        <w:autoSpaceDE w:val="0"/>
        <w:autoSpaceDN w:val="0"/>
        <w:adjustRightInd w:val="0"/>
        <w:snapToGrid w:val="0"/>
        <w:spacing w:line="360" w:lineRule="auto"/>
        <w:outlineLvl w:val="9"/>
        <w:rPr>
          <w:rFonts w:ascii="宋体" w:cs="宋体"/>
          <w:color w:val="auto"/>
          <w:sz w:val="24"/>
          <w:highlight w:val="none"/>
          <w:lang w:val="zh-CN"/>
        </w:rPr>
      </w:pPr>
      <w:r>
        <w:rPr>
          <w:rFonts w:ascii="宋体" w:cs="宋体"/>
          <w:color w:val="auto"/>
          <w:sz w:val="24"/>
          <w:highlight w:val="none"/>
          <w:lang w:val="zh-CN"/>
        </w:rPr>
        <w:t>2.4</w:t>
      </w:r>
      <w:r>
        <w:rPr>
          <w:color w:val="auto"/>
          <w:sz w:val="24"/>
          <w:highlight w:val="none"/>
        </w:rPr>
        <w:t>“</w:t>
      </w:r>
      <w:r>
        <w:rPr>
          <w:rFonts w:hint="eastAsia" w:ascii="宋体" w:cs="宋体"/>
          <w:color w:val="auto"/>
          <w:sz w:val="24"/>
          <w:highlight w:val="none"/>
          <w:lang w:val="zh-CN"/>
        </w:rPr>
        <w:t>投标人</w:t>
      </w:r>
      <w:r>
        <w:rPr>
          <w:color w:val="auto"/>
          <w:sz w:val="24"/>
          <w:highlight w:val="none"/>
        </w:rPr>
        <w:t>”</w:t>
      </w:r>
      <w:r>
        <w:rPr>
          <w:rFonts w:hint="eastAsia" w:ascii="宋体" w:cs="宋体"/>
          <w:color w:val="auto"/>
          <w:sz w:val="24"/>
          <w:highlight w:val="none"/>
          <w:lang w:val="zh-CN"/>
        </w:rPr>
        <w:t>系指向招标人提交投标文件的供应商（公司或企业）。</w:t>
      </w:r>
    </w:p>
    <w:p>
      <w:pPr>
        <w:wordWrap w:val="0"/>
        <w:topLinePunct/>
        <w:autoSpaceDE w:val="0"/>
        <w:autoSpaceDN w:val="0"/>
        <w:adjustRightInd w:val="0"/>
        <w:snapToGrid w:val="0"/>
        <w:spacing w:line="360" w:lineRule="auto"/>
        <w:outlineLvl w:val="9"/>
        <w:rPr>
          <w:color w:val="auto"/>
          <w:highlight w:val="none"/>
          <w:lang w:val="zh-CN"/>
        </w:rPr>
      </w:pPr>
      <w:r>
        <w:rPr>
          <w:rFonts w:ascii="宋体" w:cs="宋体"/>
          <w:color w:val="auto"/>
          <w:sz w:val="24"/>
          <w:highlight w:val="none"/>
          <w:lang w:val="zh-CN"/>
        </w:rPr>
        <w:t>2.5</w:t>
      </w:r>
      <w:r>
        <w:rPr>
          <w:color w:val="auto"/>
          <w:sz w:val="24"/>
          <w:highlight w:val="none"/>
        </w:rPr>
        <w:t>“</w:t>
      </w:r>
      <w:r>
        <w:rPr>
          <w:rFonts w:hint="eastAsia" w:ascii="宋体" w:cs="宋体"/>
          <w:color w:val="auto"/>
          <w:sz w:val="24"/>
          <w:highlight w:val="none"/>
          <w:lang w:val="zh-CN"/>
        </w:rPr>
        <w:t>项目</w:t>
      </w:r>
      <w:r>
        <w:rPr>
          <w:color w:val="auto"/>
          <w:sz w:val="24"/>
          <w:highlight w:val="none"/>
        </w:rPr>
        <w:t>”</w:t>
      </w:r>
      <w:r>
        <w:rPr>
          <w:rFonts w:hint="eastAsia" w:ascii="宋体" w:cs="宋体"/>
          <w:color w:val="auto"/>
          <w:sz w:val="24"/>
          <w:highlight w:val="none"/>
          <w:lang w:val="zh-CN"/>
        </w:rPr>
        <w:t>系指供应商按招标文件规定，须向采购方提供的货物或服务。</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3.合格的投标人</w:t>
      </w:r>
    </w:p>
    <w:p>
      <w:pPr>
        <w:spacing w:line="360" w:lineRule="auto"/>
        <w:contextualSpacing/>
        <w:outlineLvl w:val="9"/>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 xml:space="preserve">3.1 </w:t>
      </w:r>
      <w:r>
        <w:rPr>
          <w:rFonts w:hint="eastAsia" w:cs="宋体" w:asciiTheme="minorEastAsia" w:hAnsiTheme="minorEastAsia"/>
          <w:color w:val="auto"/>
          <w:kern w:val="0"/>
          <w:sz w:val="24"/>
          <w:szCs w:val="24"/>
          <w:highlight w:val="none"/>
        </w:rPr>
        <w:t>符合本项目《投标邀请》和《投标人须知》前附表中规定的合格投标人所必须具备的条件。</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3.</w:t>
      </w:r>
      <w:r>
        <w:rPr>
          <w:rFonts w:hint="eastAsia" w:cs="宋体" w:asciiTheme="minorEastAsia" w:hAnsiTheme="minorEastAsia"/>
          <w:color w:val="auto"/>
          <w:kern w:val="0"/>
          <w:sz w:val="24"/>
          <w:szCs w:val="24"/>
          <w:highlight w:val="none"/>
        </w:rPr>
        <w:t>2单位负责人为同一人或者存在直接控股、管理关系的不同供应商，不得参加同一合同项下的政府采购活动；</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3.</w:t>
      </w:r>
      <w:r>
        <w:rPr>
          <w:rFonts w:hint="eastAsia" w:cs="宋体" w:asciiTheme="minorEastAsia" w:hAnsiTheme="minorEastAsia"/>
          <w:color w:val="auto"/>
          <w:kern w:val="0"/>
          <w:sz w:val="24"/>
          <w:szCs w:val="24"/>
          <w:highlight w:val="none"/>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outlineLvl w:val="9"/>
        <w:rPr>
          <w:rFonts w:ascii="宋体" w:cs="宋体"/>
          <w:color w:val="auto"/>
          <w:sz w:val="24"/>
          <w:highlight w:val="none"/>
          <w:lang w:val="zh-CN"/>
        </w:rPr>
      </w:pPr>
      <w:r>
        <w:rPr>
          <w:rFonts w:hint="eastAsia" w:ascii="宋体" w:cs="宋体"/>
          <w:color w:val="auto"/>
          <w:sz w:val="24"/>
          <w:highlight w:val="none"/>
          <w:lang w:val="zh-CN"/>
        </w:rPr>
        <w:t>3.4以联合体形式参加投标的供应商应当具备《中华人民共和国政府采购法》之规定。</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3.5 法律、行政法规规定的其他条件。</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4．合格的货物和服务</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3"/>
        </w:numPr>
        <w:autoSpaceDE w:val="0"/>
        <w:autoSpaceDN w:val="0"/>
        <w:spacing w:line="360" w:lineRule="auto"/>
        <w:ind w:firstLineChars="0"/>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投标人所提供的服务应当没有侵犯任何第三方的知识产权、技术秘密等合法权利。</w:t>
      </w:r>
    </w:p>
    <w:p>
      <w:pPr>
        <w:wordWrap w:val="0"/>
        <w:topLinePunct/>
        <w:autoSpaceDE w:val="0"/>
        <w:autoSpaceDN w:val="0"/>
        <w:adjustRightInd w:val="0"/>
        <w:spacing w:line="500" w:lineRule="exact"/>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wordWrap w:val="0"/>
        <w:topLinePunct/>
        <w:autoSpaceDE w:val="0"/>
        <w:autoSpaceDN w:val="0"/>
        <w:adjustRightInd w:val="0"/>
        <w:spacing w:line="500" w:lineRule="exact"/>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kern w:val="0"/>
          <w:sz w:val="24"/>
          <w:szCs w:val="24"/>
          <w:highlight w:val="none"/>
        </w:rPr>
        <w:t>4.4 根据《强制性产品认证管理规定》（质检总局第117号令）要求，如投标人所投产品被列入</w:t>
      </w:r>
      <w:r>
        <w:rPr>
          <w:rFonts w:cs="宋体" w:asciiTheme="minorEastAsia" w:hAnsiTheme="minorEastAsia"/>
          <w:color w:val="auto"/>
          <w:kern w:val="0"/>
          <w:sz w:val="24"/>
          <w:szCs w:val="24"/>
          <w:highlight w:val="none"/>
        </w:rPr>
        <w:t>《中华人民共和国实施强制性产品认证的产品目录》，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具备国家认监委</w:t>
      </w:r>
      <w:r>
        <w:rPr>
          <w:rFonts w:hint="eastAsia" w:cs="宋体" w:asciiTheme="minorEastAsia" w:hAnsiTheme="minorEastAsia"/>
          <w:color w:val="auto"/>
          <w:kern w:val="0"/>
          <w:sz w:val="24"/>
          <w:szCs w:val="24"/>
          <w:highlight w:val="none"/>
        </w:rPr>
        <w:t>指定强制性产品认证机构</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《中国</w:t>
      </w:r>
      <w:r>
        <w:rPr>
          <w:rFonts w:hint="eastAsia" w:cs="宋体" w:asciiTheme="minorEastAsia" w:hAnsiTheme="minorEastAsia"/>
          <w:color w:val="auto"/>
          <w:kern w:val="0"/>
          <w:sz w:val="24"/>
          <w:szCs w:val="24"/>
          <w:highlight w:val="none"/>
        </w:rPr>
        <w:t>国家</w:t>
      </w:r>
      <w:r>
        <w:rPr>
          <w:rFonts w:cs="宋体" w:asciiTheme="minorEastAsia" w:hAnsiTheme="minorEastAsia"/>
          <w:color w:val="auto"/>
          <w:kern w:val="0"/>
          <w:sz w:val="24"/>
          <w:szCs w:val="24"/>
          <w:highlight w:val="none"/>
        </w:rPr>
        <w:t>强制</w:t>
      </w:r>
      <w:r>
        <w:rPr>
          <w:rFonts w:hint="eastAsia" w:cs="宋体" w:asciiTheme="minorEastAsia" w:hAnsiTheme="minorEastAsia"/>
          <w:color w:val="auto"/>
          <w:kern w:val="0"/>
          <w:sz w:val="24"/>
          <w:szCs w:val="24"/>
          <w:highlight w:val="none"/>
        </w:rPr>
        <w:t>性产品</w:t>
      </w:r>
      <w:r>
        <w:rPr>
          <w:rFonts w:cs="宋体" w:asciiTheme="minorEastAsia" w:hAnsiTheme="minorEastAsia"/>
          <w:color w:val="auto"/>
          <w:kern w:val="0"/>
          <w:sz w:val="24"/>
          <w:szCs w:val="24"/>
          <w:highlight w:val="none"/>
        </w:rPr>
        <w:t>认证</w:t>
      </w:r>
      <w:r>
        <w:rPr>
          <w:rFonts w:hint="eastAsia" w:cs="宋体" w:asciiTheme="minorEastAsia" w:hAnsiTheme="minorEastAsia"/>
          <w:color w:val="auto"/>
          <w:kern w:val="0"/>
          <w:sz w:val="24"/>
          <w:szCs w:val="24"/>
          <w:highlight w:val="none"/>
        </w:rPr>
        <w:t>证书</w:t>
      </w:r>
      <w:r>
        <w:rPr>
          <w:rFonts w:cs="宋体" w:asciiTheme="minorEastAsia" w:hAnsiTheme="minorEastAsia"/>
          <w:color w:val="auto"/>
          <w:kern w:val="0"/>
          <w:sz w:val="24"/>
          <w:szCs w:val="24"/>
          <w:highlight w:val="none"/>
        </w:rPr>
        <w:t>》（CCC 认证）。</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并根据招标文件要求提供相关证明。</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并根据招标文件要求提供相关证明。</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5．投标费用</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不论投标的结果如何，投标人均应自行承担所有与投标有关的全部费用，招标人在任何情况下均无义务和责任承担这些费用。</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6．保密</w:t>
      </w:r>
    </w:p>
    <w:p>
      <w:pPr>
        <w:spacing w:line="360" w:lineRule="auto"/>
        <w:outlineLvl w:val="9"/>
        <w:rPr>
          <w:rFonts w:ascii="黑体" w:hAnsi="宋体" w:eastAsia="黑体"/>
          <w:b/>
          <w:bCs/>
          <w:color w:val="auto"/>
          <w:sz w:val="24"/>
          <w:szCs w:val="24"/>
          <w:highlight w:val="none"/>
        </w:rPr>
      </w:pPr>
      <w:r>
        <w:rPr>
          <w:rFonts w:hint="eastAsia" w:hAnsi="宋体"/>
          <w:color w:val="auto"/>
          <w:sz w:val="24"/>
          <w:szCs w:val="24"/>
          <w:highlight w:val="none"/>
        </w:rPr>
        <w:t>参与招标投标活动的各方应对招标文件和投标文件中的商业和技术等秘密保密，违者应对由此造成的后果承担法律责任。</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7.语言文字</w:t>
      </w:r>
    </w:p>
    <w:p>
      <w:pPr>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除专用术语外，与招标投标有关的语言均使用中文。必要时专用术语应附有中文注释。</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8.计量单位</w:t>
      </w:r>
    </w:p>
    <w:p>
      <w:pPr>
        <w:spacing w:line="360" w:lineRule="auto"/>
        <w:outlineLvl w:val="9"/>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pPr>
        <w:tabs>
          <w:tab w:val="left" w:pos="1260"/>
        </w:tabs>
        <w:autoSpaceDE w:val="0"/>
        <w:autoSpaceDN w:val="0"/>
        <w:adjustRightInd w:val="0"/>
        <w:spacing w:line="360" w:lineRule="auto"/>
        <w:contextualSpacing/>
        <w:jc w:val="center"/>
        <w:outlineLvl w:val="1"/>
        <w:rPr>
          <w:rFonts w:ascii="楷体" w:hAnsi="楷体" w:eastAsia="楷体" w:cs="宋体"/>
          <w:b/>
          <w:color w:val="auto"/>
          <w:kern w:val="0"/>
          <w:sz w:val="36"/>
          <w:szCs w:val="36"/>
          <w:highlight w:val="none"/>
        </w:rPr>
      </w:pPr>
      <w:bookmarkStart w:id="8" w:name="_Toc31331"/>
      <w:r>
        <w:rPr>
          <w:rFonts w:hint="eastAsia" w:ascii="楷体" w:hAnsi="楷体" w:eastAsia="楷体" w:cs="宋体"/>
          <w:b/>
          <w:color w:val="auto"/>
          <w:kern w:val="0"/>
          <w:sz w:val="36"/>
          <w:szCs w:val="36"/>
          <w:highlight w:val="none"/>
        </w:rPr>
        <w:t>二、招标文件</w:t>
      </w:r>
      <w:bookmarkEnd w:id="8"/>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9．招标文件构成</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9.1 招标文件由以下部分组成：</w:t>
      </w:r>
    </w:p>
    <w:p>
      <w:pPr>
        <w:autoSpaceDE w:val="0"/>
        <w:autoSpaceDN w:val="0"/>
        <w:spacing w:line="360" w:lineRule="auto"/>
        <w:ind w:firstLine="120" w:firstLineChars="50"/>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(1)投标邀请（招标公告）</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（2）投标人须知</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（3）项目需求及其他要求</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（4）政府采购政策功能</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（5）资格审查、评标方法与评标标准</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（6）合同条款及格式</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（7）投标文件有关格式</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根据本章第10款和第11款对招标文件所作的澄清、修改，构成招标文件的组成部分。</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color w:val="auto"/>
          <w:kern w:val="0"/>
          <w:sz w:val="24"/>
          <w:szCs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10.招标文件的澄清</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10.1</w:t>
      </w:r>
      <w:r>
        <w:rPr>
          <w:rFonts w:cs="宋体" w:asciiTheme="minorEastAsia" w:hAnsiTheme="minorEastAsia"/>
          <w:color w:val="auto"/>
          <w:kern w:val="0"/>
          <w:sz w:val="24"/>
          <w:szCs w:val="24"/>
          <w:highlight w:val="none"/>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color w:val="auto"/>
          <w:kern w:val="0"/>
          <w:sz w:val="24"/>
          <w:szCs w:val="24"/>
          <w:highlight w:val="none"/>
        </w:rPr>
        <w:t>全国公共资源交易平台（河南省·许昌市）</w:t>
      </w:r>
      <w:r>
        <w:rPr>
          <w:rFonts w:cs="宋体" w:asciiTheme="minorEastAsia" w:hAnsiTheme="minorEastAsia"/>
          <w:color w:val="auto"/>
          <w:kern w:val="0"/>
          <w:sz w:val="24"/>
          <w:szCs w:val="24"/>
          <w:highlight w:val="none"/>
        </w:rPr>
        <w:t>平台上发布疑问内容，要求招标人对招标文件予以澄清。</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10.2</w:t>
      </w:r>
      <w:r>
        <w:rPr>
          <w:rFonts w:cs="宋体" w:asciiTheme="minorEastAsia" w:hAnsiTheme="minorEastAsia"/>
          <w:color w:val="auto"/>
          <w:kern w:val="0"/>
          <w:sz w:val="24"/>
          <w:szCs w:val="24"/>
          <w:highlight w:val="none"/>
        </w:rPr>
        <w:t>招标文件的澄清将在投标人须知前附表规定的投标截止时间15天前发布在</w:t>
      </w:r>
      <w:r>
        <w:rPr>
          <w:rFonts w:hint="eastAsia" w:cs="宋体" w:asciiTheme="minorEastAsia" w:hAnsiTheme="minorEastAsia"/>
          <w:color w:val="auto"/>
          <w:kern w:val="0"/>
          <w:sz w:val="24"/>
          <w:szCs w:val="24"/>
          <w:highlight w:val="none"/>
        </w:rPr>
        <w:t>全国公共资源交易平台（河南省·许昌市）</w:t>
      </w:r>
      <w:r>
        <w:rPr>
          <w:rFonts w:cs="宋体" w:asciiTheme="minorEastAsia" w:hAnsiTheme="minorEastAsia"/>
          <w:color w:val="auto"/>
          <w:kern w:val="0"/>
          <w:sz w:val="24"/>
          <w:szCs w:val="24"/>
          <w:highlight w:val="none"/>
        </w:rPr>
        <w:t>平台上，所有下载招标文件的投标人请及时查看。如果澄清发出的时间距投标截止时间不足15天，相应延长投标截止时间。</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11.招标文件的修改</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bookmarkStart w:id="9" w:name="_Toc256519655"/>
      <w:r>
        <w:rPr>
          <w:rFonts w:hint="eastAsia" w:cs="宋体" w:asciiTheme="minorEastAsia" w:hAnsiTheme="minorEastAsia"/>
          <w:color w:val="auto"/>
          <w:kern w:val="0"/>
          <w:sz w:val="24"/>
          <w:szCs w:val="24"/>
          <w:highlight w:val="none"/>
        </w:rPr>
        <w:t>11.1</w:t>
      </w:r>
      <w:bookmarkEnd w:id="9"/>
      <w:r>
        <w:rPr>
          <w:rFonts w:cs="宋体" w:asciiTheme="minorEastAsia" w:hAnsiTheme="minorEastAsia"/>
          <w:color w:val="auto"/>
          <w:kern w:val="0"/>
          <w:sz w:val="24"/>
          <w:szCs w:val="24"/>
          <w:highlight w:val="none"/>
        </w:rPr>
        <w:t xml:space="preserve"> 在投标截止时间15天前，招标人在</w:t>
      </w:r>
      <w:r>
        <w:rPr>
          <w:rFonts w:hint="eastAsia" w:cs="宋体" w:asciiTheme="minorEastAsia" w:hAnsiTheme="minorEastAsia"/>
          <w:color w:val="auto"/>
          <w:kern w:val="0"/>
          <w:sz w:val="24"/>
          <w:szCs w:val="24"/>
          <w:highlight w:val="none"/>
        </w:rPr>
        <w:t>全国公共资源交易平台（河南省·许昌市）</w:t>
      </w:r>
      <w:r>
        <w:rPr>
          <w:rFonts w:cs="宋体" w:asciiTheme="minorEastAsia" w:hAnsiTheme="minorEastAsia"/>
          <w:color w:val="auto"/>
          <w:kern w:val="0"/>
          <w:sz w:val="24"/>
          <w:szCs w:val="24"/>
          <w:highlight w:val="none"/>
        </w:rPr>
        <w:t>平台上发布修改招标文件，各投标单位请及时查看。如果修改招标文件的时间距投标截止时间不足15天，相应延长投标截止时间。</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11</w:t>
      </w:r>
      <w:r>
        <w:rPr>
          <w:rFonts w:cs="宋体" w:asciiTheme="minorEastAsia" w:hAnsiTheme="minorEastAsia"/>
          <w:color w:val="auto"/>
          <w:kern w:val="0"/>
          <w:sz w:val="24"/>
          <w:szCs w:val="24"/>
          <w:highlight w:val="none"/>
        </w:rPr>
        <w:t xml:space="preserve">.2 </w:t>
      </w:r>
      <w:r>
        <w:rPr>
          <w:rFonts w:hint="eastAsia" w:cs="宋体" w:asciiTheme="minorEastAsia" w:hAnsiTheme="minorEastAsia"/>
          <w:color w:val="auto"/>
          <w:kern w:val="0"/>
          <w:sz w:val="24"/>
          <w:szCs w:val="24"/>
          <w:highlight w:val="none"/>
        </w:rPr>
        <w:t>招标文件澄清和修改作为招标文件的组成部分，前后矛盾时以最后发出的为准。</w:t>
      </w:r>
    </w:p>
    <w:p>
      <w:pPr>
        <w:autoSpaceDE w:val="0"/>
        <w:autoSpaceDN w:val="0"/>
        <w:spacing w:line="360" w:lineRule="auto"/>
        <w:ind w:firstLine="480" w:firstLineChars="200"/>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outlineLvl w:val="9"/>
        <w:rPr>
          <w:rFonts w:ascii="楷体" w:hAnsi="楷体" w:eastAsia="楷体" w:cs="宋体"/>
          <w:b/>
          <w:color w:val="auto"/>
          <w:kern w:val="0"/>
          <w:sz w:val="24"/>
          <w:szCs w:val="24"/>
          <w:highlight w:val="none"/>
        </w:rPr>
      </w:pPr>
    </w:p>
    <w:p>
      <w:pPr>
        <w:tabs>
          <w:tab w:val="left" w:pos="1260"/>
        </w:tabs>
        <w:autoSpaceDE w:val="0"/>
        <w:autoSpaceDN w:val="0"/>
        <w:adjustRightInd w:val="0"/>
        <w:spacing w:line="360" w:lineRule="auto"/>
        <w:contextualSpacing/>
        <w:jc w:val="center"/>
        <w:outlineLvl w:val="1"/>
        <w:rPr>
          <w:rFonts w:ascii="楷体" w:hAnsi="楷体" w:eastAsia="楷体" w:cs="宋体"/>
          <w:b/>
          <w:color w:val="auto"/>
          <w:kern w:val="0"/>
          <w:sz w:val="36"/>
          <w:szCs w:val="36"/>
          <w:highlight w:val="none"/>
        </w:rPr>
      </w:pPr>
      <w:bookmarkStart w:id="10" w:name="_Toc30065"/>
      <w:r>
        <w:rPr>
          <w:rFonts w:hint="eastAsia" w:ascii="楷体" w:hAnsi="楷体" w:eastAsia="楷体" w:cs="宋体"/>
          <w:b/>
          <w:color w:val="auto"/>
          <w:kern w:val="0"/>
          <w:sz w:val="36"/>
          <w:szCs w:val="36"/>
          <w:highlight w:val="none"/>
        </w:rPr>
        <w:t>三、投标文件</w:t>
      </w:r>
      <w:bookmarkEnd w:id="10"/>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12.投标文件的组成</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12.1 投标文件的构成应符合法律法规及招标文件的要求。</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12.2 投标人应当按照招标文件的要求编制投标文件。投标文件应当对招标文件提出的要求和条件作出明确响应。</w:t>
      </w:r>
    </w:p>
    <w:p>
      <w:pPr>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12.3 投标文件由资格证明材料、符合性证明材料、其它材料等组成。</w:t>
      </w:r>
    </w:p>
    <w:p>
      <w:pPr>
        <w:widowControl/>
        <w:spacing w:line="360" w:lineRule="auto"/>
        <w:jc w:val="left"/>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color w:val="auto"/>
          <w:kern w:val="0"/>
          <w:sz w:val="24"/>
          <w:szCs w:val="24"/>
          <w:highlight w:val="none"/>
        </w:rPr>
        <w:br w:type="textWrapping"/>
      </w:r>
      <w:r>
        <w:rPr>
          <w:rFonts w:hint="eastAsia" w:cs="宋体" w:asciiTheme="minorEastAsia" w:hAnsiTheme="minorEastAsia"/>
          <w:color w:val="auto"/>
          <w:kern w:val="0"/>
          <w:sz w:val="24"/>
          <w:szCs w:val="24"/>
          <w:highlight w:val="none"/>
        </w:rPr>
        <w:t xml:space="preserve">本项目采购单位不允许分包。 </w:t>
      </w:r>
    </w:p>
    <w:p>
      <w:pPr>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12.5 投标人登录许昌公共资源交易系统下载“许昌投标文件制作系统SEARUN V1.0”，按招标文件要求根据所投标段制作电子投标文件。 </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12.6 一个标段对应生成一个文件夹（xxxx项目xx标段）, 其中包含2个文件和1个文件夹。后缀名为“.file”的文件用于电子投标使用。</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电子投标文件制作技术咨询：0374-2961598。</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13.投标报价</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13.1 投标人根据采购人提供的有关资料、招标文件及招标文件补充答疑，结合本项目实际情况和市场行情自主合理报价。</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13.3 投标报价为投标人完成采购范围内各项费用的总和。投标人不得以任何理由重复计算相关费用。</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13.5 成交价结算时除合同约定可调整内容以外，均不作调整。</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13.6投标人所提供的产品必须是符合国家相关质量标准的正规厂家的合格产品。</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14</w:t>
      </w:r>
      <w:r>
        <w:rPr>
          <w:rFonts w:cs="宋体" w:asciiTheme="minorEastAsia" w:hAnsiTheme="minorEastAsia"/>
          <w:b/>
          <w:color w:val="auto"/>
          <w:kern w:val="0"/>
          <w:sz w:val="24"/>
          <w:szCs w:val="24"/>
          <w:highlight w:val="none"/>
        </w:rPr>
        <w:t xml:space="preserve">. </w:t>
      </w:r>
      <w:r>
        <w:rPr>
          <w:rFonts w:hint="eastAsia" w:cs="宋体" w:asciiTheme="minorEastAsia" w:hAnsiTheme="minorEastAsia"/>
          <w:b/>
          <w:color w:val="auto"/>
          <w:kern w:val="0"/>
          <w:sz w:val="24"/>
          <w:szCs w:val="24"/>
          <w:highlight w:val="none"/>
        </w:rPr>
        <w:t>投标货币</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本次招标项目的投标均以</w:t>
      </w:r>
      <w:r>
        <w:rPr>
          <w:rFonts w:hint="eastAsia" w:cs="宋体" w:asciiTheme="minorEastAsia" w:hAnsiTheme="minorEastAsia"/>
          <w:b/>
          <w:color w:val="auto"/>
          <w:kern w:val="0"/>
          <w:sz w:val="24"/>
          <w:szCs w:val="24"/>
          <w:highlight w:val="none"/>
        </w:rPr>
        <w:t>人民币</w:t>
      </w:r>
      <w:r>
        <w:rPr>
          <w:rFonts w:hint="eastAsia" w:cs="宋体" w:asciiTheme="minorEastAsia" w:hAnsiTheme="minorEastAsia"/>
          <w:color w:val="auto"/>
          <w:kern w:val="0"/>
          <w:sz w:val="24"/>
          <w:szCs w:val="24"/>
          <w:highlight w:val="none"/>
        </w:rPr>
        <w:t>报价。</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15．投标有效期</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15.1 投标有效期从提交投标文件的截止之日起算为</w:t>
      </w:r>
      <w:r>
        <w:rPr>
          <w:rFonts w:hint="eastAsia" w:cs="宋体" w:asciiTheme="minorEastAsia" w:hAnsiTheme="minorEastAsia"/>
          <w:b/>
          <w:color w:val="auto"/>
          <w:kern w:val="0"/>
          <w:sz w:val="24"/>
          <w:szCs w:val="24"/>
          <w:highlight w:val="none"/>
        </w:rPr>
        <w:t>60天</w:t>
      </w:r>
      <w:r>
        <w:rPr>
          <w:rFonts w:hint="eastAsia" w:cs="宋体" w:asciiTheme="minorEastAsia" w:hAnsiTheme="minorEastAsia"/>
          <w:color w:val="auto"/>
          <w:kern w:val="0"/>
          <w:sz w:val="24"/>
          <w:szCs w:val="24"/>
          <w:highlight w:val="none"/>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15.2 中标人的投标文件作为项目合同的附件，其有效期至中标人全部合同义务履行</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完毕为止。</w:t>
      </w:r>
    </w:p>
    <w:p>
      <w:pPr>
        <w:autoSpaceDE w:val="0"/>
        <w:autoSpaceDN w:val="0"/>
        <w:spacing w:line="360" w:lineRule="auto"/>
        <w:contextualSpacing/>
        <w:outlineLvl w:val="9"/>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16.投标文件格式</w:t>
      </w:r>
    </w:p>
    <w:p>
      <w:pPr>
        <w:tabs>
          <w:tab w:val="left" w:pos="1260"/>
        </w:tabs>
        <w:autoSpaceDE w:val="0"/>
        <w:autoSpaceDN w:val="0"/>
        <w:adjustRightInd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tabs>
          <w:tab w:val="left" w:pos="1260"/>
        </w:tabs>
        <w:autoSpaceDE w:val="0"/>
        <w:autoSpaceDN w:val="0"/>
        <w:adjustRightInd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16.2 投标人应按招标文件提供的格式编写投标文件。招标文件未提供标准格式的投标人可自行拟定。</w:t>
      </w:r>
    </w:p>
    <w:p>
      <w:pPr>
        <w:autoSpaceDE w:val="0"/>
        <w:autoSpaceDN w:val="0"/>
        <w:spacing w:line="360" w:lineRule="auto"/>
        <w:contextualSpacing/>
        <w:outlineLvl w:val="9"/>
        <w:rPr>
          <w:rFonts w:hint="eastAsia"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17. 投标文件的签署</w:t>
      </w:r>
    </w:p>
    <w:p>
      <w:pPr>
        <w:tabs>
          <w:tab w:val="left" w:pos="1260"/>
        </w:tabs>
        <w:autoSpaceDE w:val="0"/>
        <w:autoSpaceDN w:val="0"/>
        <w:adjustRightInd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outlineLvl w:val="9"/>
        <w:rPr>
          <w:rFonts w:ascii="新宋体" w:hAnsi="新宋体" w:eastAsia="新宋体" w:cs="仿宋_GB2312"/>
          <w:b/>
          <w:color w:val="auto"/>
          <w:sz w:val="24"/>
          <w:szCs w:val="24"/>
          <w:highlight w:val="none"/>
          <w:lang w:val="zh-CN"/>
        </w:rPr>
      </w:pPr>
      <w:r>
        <w:rPr>
          <w:rFonts w:hint="eastAsia" w:ascii="新宋体" w:hAnsi="新宋体" w:eastAsia="新宋体" w:cs="仿宋_GB2312"/>
          <w:b/>
          <w:color w:val="auto"/>
          <w:sz w:val="24"/>
          <w:szCs w:val="24"/>
          <w:highlight w:val="none"/>
          <w:lang w:val="zh-CN"/>
        </w:rPr>
        <w:t>18. 备选投标方案</w:t>
      </w:r>
    </w:p>
    <w:p>
      <w:pPr>
        <w:spacing w:line="360" w:lineRule="auto"/>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不允许递交备选投标方案。</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p>
    <w:p>
      <w:pPr>
        <w:tabs>
          <w:tab w:val="left" w:pos="1260"/>
        </w:tabs>
        <w:autoSpaceDE w:val="0"/>
        <w:autoSpaceDN w:val="0"/>
        <w:adjustRightInd w:val="0"/>
        <w:spacing w:line="360" w:lineRule="auto"/>
        <w:contextualSpacing/>
        <w:jc w:val="center"/>
        <w:outlineLvl w:val="1"/>
        <w:rPr>
          <w:rFonts w:ascii="楷体" w:hAnsi="楷体" w:eastAsia="楷体" w:cs="宋体"/>
          <w:b/>
          <w:color w:val="auto"/>
          <w:kern w:val="0"/>
          <w:sz w:val="36"/>
          <w:szCs w:val="36"/>
          <w:highlight w:val="none"/>
        </w:rPr>
      </w:pPr>
      <w:bookmarkStart w:id="11" w:name="_Toc10791"/>
      <w:r>
        <w:rPr>
          <w:rFonts w:hint="eastAsia" w:ascii="楷体" w:hAnsi="楷体" w:eastAsia="楷体" w:cs="宋体"/>
          <w:b/>
          <w:color w:val="auto"/>
          <w:kern w:val="0"/>
          <w:sz w:val="36"/>
          <w:szCs w:val="36"/>
          <w:highlight w:val="none"/>
        </w:rPr>
        <w:t>四、投标文件的递交</w:t>
      </w:r>
      <w:bookmarkEnd w:id="11"/>
    </w:p>
    <w:p>
      <w:pPr>
        <w:tabs>
          <w:tab w:val="left" w:pos="1260"/>
        </w:tabs>
        <w:autoSpaceDE w:val="0"/>
        <w:autoSpaceDN w:val="0"/>
        <w:adjustRightInd w:val="0"/>
        <w:spacing w:line="360" w:lineRule="auto"/>
        <w:outlineLvl w:val="9"/>
        <w:rPr>
          <w:rFonts w:ascii="新宋体" w:hAnsi="新宋体" w:eastAsia="新宋体" w:cs="仿宋_GB2312"/>
          <w:b/>
          <w:color w:val="auto"/>
          <w:sz w:val="24"/>
          <w:szCs w:val="24"/>
          <w:highlight w:val="none"/>
          <w:lang w:val="zh-CN"/>
        </w:rPr>
      </w:pPr>
      <w:r>
        <w:rPr>
          <w:rFonts w:hint="eastAsia" w:ascii="新宋体" w:hAnsi="新宋体" w:eastAsia="新宋体" w:cs="仿宋_GB2312"/>
          <w:b/>
          <w:color w:val="auto"/>
          <w:sz w:val="24"/>
          <w:szCs w:val="24"/>
          <w:highlight w:val="none"/>
        </w:rPr>
        <w:t>19</w:t>
      </w:r>
      <w:r>
        <w:rPr>
          <w:rFonts w:hint="eastAsia" w:ascii="新宋体" w:hAnsi="新宋体" w:eastAsia="新宋体" w:cs="仿宋_GB2312"/>
          <w:b/>
          <w:color w:val="auto"/>
          <w:sz w:val="24"/>
          <w:szCs w:val="24"/>
          <w:highlight w:val="none"/>
          <w:lang w:val="zh-CN"/>
        </w:rPr>
        <w:t>.投标文件的数量</w:t>
      </w:r>
    </w:p>
    <w:p>
      <w:pPr>
        <w:autoSpaceDE w:val="0"/>
        <w:autoSpaceDN w:val="0"/>
        <w:spacing w:line="360" w:lineRule="auto"/>
        <w:outlineLvl w:val="9"/>
        <w:rPr>
          <w:rFonts w:cs="宋体" w:asciiTheme="minorEastAsia" w:hAnsiTheme="minorEastAsia"/>
          <w:color w:val="auto"/>
          <w:kern w:val="0"/>
          <w:sz w:val="24"/>
          <w:szCs w:val="21"/>
          <w:highlight w:val="none"/>
        </w:rPr>
      </w:pPr>
      <w:r>
        <w:rPr>
          <w:rFonts w:hint="eastAsia" w:cs="宋体" w:asciiTheme="minorEastAsia" w:hAnsiTheme="minorEastAsia"/>
          <w:color w:val="auto"/>
          <w:kern w:val="0"/>
          <w:sz w:val="24"/>
          <w:szCs w:val="21"/>
          <w:highlight w:val="none"/>
        </w:rPr>
        <w:t>投标人应提交投标文件份数见“投标人须知前附表”。</w:t>
      </w:r>
    </w:p>
    <w:p>
      <w:pPr>
        <w:tabs>
          <w:tab w:val="left" w:pos="1260"/>
        </w:tabs>
        <w:autoSpaceDE w:val="0"/>
        <w:autoSpaceDN w:val="0"/>
        <w:adjustRightInd w:val="0"/>
        <w:spacing w:line="360" w:lineRule="auto"/>
        <w:outlineLvl w:val="9"/>
        <w:rPr>
          <w:rFonts w:ascii="新宋体" w:hAnsi="新宋体" w:eastAsia="新宋体" w:cs="仿宋_GB2312"/>
          <w:b/>
          <w:color w:val="auto"/>
          <w:sz w:val="24"/>
          <w:szCs w:val="24"/>
          <w:highlight w:val="none"/>
        </w:rPr>
      </w:pPr>
      <w:r>
        <w:rPr>
          <w:rFonts w:hint="eastAsia" w:ascii="新宋体" w:hAnsi="新宋体" w:eastAsia="新宋体" w:cs="仿宋_GB2312"/>
          <w:b/>
          <w:color w:val="auto"/>
          <w:sz w:val="24"/>
          <w:szCs w:val="24"/>
          <w:highlight w:val="none"/>
        </w:rPr>
        <w:t>20．投标截止时间</w:t>
      </w:r>
    </w:p>
    <w:p>
      <w:pPr>
        <w:autoSpaceDE w:val="0"/>
        <w:autoSpaceDN w:val="0"/>
        <w:spacing w:line="360" w:lineRule="auto"/>
        <w:outlineLvl w:val="9"/>
        <w:rPr>
          <w:rFonts w:cs="宋体" w:asciiTheme="minorEastAsia" w:hAnsiTheme="minorEastAsia"/>
          <w:color w:val="auto"/>
          <w:kern w:val="0"/>
          <w:sz w:val="24"/>
          <w:szCs w:val="21"/>
          <w:highlight w:val="none"/>
        </w:rPr>
      </w:pPr>
      <w:r>
        <w:rPr>
          <w:rFonts w:hint="eastAsia" w:cs="宋体" w:asciiTheme="minorEastAsia" w:hAnsiTheme="minorEastAsia"/>
          <w:color w:val="auto"/>
          <w:kern w:val="0"/>
          <w:sz w:val="24"/>
          <w:szCs w:val="21"/>
          <w:highlight w:val="none"/>
        </w:rPr>
        <w:t>投标人必须在“投标邀请”和“投标人须知前附表”中规定的投标截止时间前，将加密电子投标文件（.file格式）通过《全国公共资源交易平台(河南省</w:t>
      </w:r>
      <w:r>
        <w:rPr>
          <w:rFonts w:hint="eastAsia" w:ascii="MS Mincho" w:hAnsi="MS Mincho" w:eastAsia="MS Mincho" w:cs="MS Mincho"/>
          <w:color w:val="auto"/>
          <w:kern w:val="0"/>
          <w:sz w:val="24"/>
          <w:szCs w:val="21"/>
          <w:highlight w:val="none"/>
        </w:rPr>
        <w:t>▪</w:t>
      </w:r>
      <w:r>
        <w:rPr>
          <w:rFonts w:hint="eastAsia" w:cs="宋体" w:asciiTheme="minorEastAsia" w:hAnsiTheme="minorEastAsia"/>
          <w:color w:val="auto"/>
          <w:kern w:val="0"/>
          <w:sz w:val="24"/>
          <w:szCs w:val="21"/>
          <w:highlight w:val="none"/>
        </w:rPr>
        <w:t>许昌市)》公共资源交易系统成功上传。</w:t>
      </w:r>
    </w:p>
    <w:p>
      <w:pPr>
        <w:tabs>
          <w:tab w:val="left" w:pos="1260"/>
        </w:tabs>
        <w:autoSpaceDE w:val="0"/>
        <w:autoSpaceDN w:val="0"/>
        <w:adjustRightInd w:val="0"/>
        <w:spacing w:line="360" w:lineRule="auto"/>
        <w:outlineLvl w:val="9"/>
        <w:rPr>
          <w:rFonts w:ascii="新宋体" w:hAnsi="新宋体" w:eastAsia="新宋体" w:cs="仿宋_GB2312"/>
          <w:b/>
          <w:color w:val="auto"/>
          <w:sz w:val="24"/>
          <w:szCs w:val="24"/>
          <w:highlight w:val="none"/>
        </w:rPr>
      </w:pPr>
      <w:r>
        <w:rPr>
          <w:rFonts w:hint="eastAsia" w:ascii="新宋体" w:hAnsi="新宋体" w:eastAsia="新宋体" w:cs="仿宋_GB2312"/>
          <w:b/>
          <w:color w:val="auto"/>
          <w:sz w:val="24"/>
          <w:szCs w:val="24"/>
          <w:highlight w:val="none"/>
        </w:rPr>
        <w:t>21. 迟交的投标文件</w:t>
      </w:r>
    </w:p>
    <w:p>
      <w:pPr>
        <w:tabs>
          <w:tab w:val="left" w:pos="1260"/>
        </w:tabs>
        <w:autoSpaceDE w:val="0"/>
        <w:autoSpaceDN w:val="0"/>
        <w:adjustRightInd w:val="0"/>
        <w:spacing w:line="360" w:lineRule="auto"/>
        <w:outlineLvl w:val="9"/>
        <w:rPr>
          <w:rFonts w:ascii="新宋体" w:hAnsi="新宋体" w:eastAsia="新宋体" w:cs="仿宋_GB2312"/>
          <w:color w:val="auto"/>
          <w:sz w:val="24"/>
          <w:szCs w:val="24"/>
          <w:highlight w:val="none"/>
        </w:rPr>
      </w:pPr>
      <w:r>
        <w:rPr>
          <w:rFonts w:hint="eastAsia" w:ascii="新宋体" w:hAnsi="新宋体" w:eastAsia="新宋体" w:cs="仿宋_GB2312"/>
          <w:color w:val="auto"/>
          <w:sz w:val="24"/>
          <w:szCs w:val="24"/>
          <w:highlight w:val="none"/>
        </w:rPr>
        <w:t>投标截止时间之后上传的投标文件，招标人将拒绝接收。</w:t>
      </w:r>
    </w:p>
    <w:p>
      <w:pPr>
        <w:tabs>
          <w:tab w:val="left" w:pos="1260"/>
        </w:tabs>
        <w:autoSpaceDE w:val="0"/>
        <w:autoSpaceDN w:val="0"/>
        <w:adjustRightInd w:val="0"/>
        <w:spacing w:line="360" w:lineRule="auto"/>
        <w:outlineLvl w:val="9"/>
        <w:rPr>
          <w:rFonts w:ascii="新宋体" w:hAnsi="新宋体" w:eastAsia="新宋体" w:cs="仿宋_GB2312"/>
          <w:b/>
          <w:color w:val="auto"/>
          <w:sz w:val="24"/>
          <w:szCs w:val="24"/>
          <w:highlight w:val="none"/>
          <w:lang w:val="zh-CN"/>
        </w:rPr>
      </w:pPr>
      <w:r>
        <w:rPr>
          <w:rFonts w:hint="eastAsia" w:ascii="新宋体" w:hAnsi="新宋体" w:eastAsia="新宋体" w:cs="仿宋_GB2312"/>
          <w:b/>
          <w:color w:val="auto"/>
          <w:sz w:val="24"/>
          <w:szCs w:val="24"/>
          <w:highlight w:val="none"/>
          <w:lang w:val="zh-CN"/>
        </w:rPr>
        <w:t>2</w:t>
      </w:r>
      <w:r>
        <w:rPr>
          <w:rFonts w:hint="eastAsia" w:ascii="新宋体" w:hAnsi="新宋体" w:eastAsia="新宋体" w:cs="仿宋_GB2312"/>
          <w:b/>
          <w:color w:val="auto"/>
          <w:sz w:val="24"/>
          <w:szCs w:val="24"/>
          <w:highlight w:val="none"/>
        </w:rPr>
        <w:t>2</w:t>
      </w:r>
      <w:r>
        <w:rPr>
          <w:rFonts w:hint="eastAsia" w:ascii="新宋体" w:hAnsi="新宋体" w:eastAsia="新宋体" w:cs="仿宋_GB2312"/>
          <w:b/>
          <w:color w:val="auto"/>
          <w:sz w:val="24"/>
          <w:szCs w:val="24"/>
          <w:highlight w:val="none"/>
          <w:lang w:val="zh-CN"/>
        </w:rPr>
        <w:t>. 投标文件的修改和撤回</w:t>
      </w:r>
    </w:p>
    <w:p>
      <w:pPr>
        <w:tabs>
          <w:tab w:val="left" w:pos="1260"/>
        </w:tabs>
        <w:adjustRightInd w:val="0"/>
        <w:spacing w:line="360" w:lineRule="auto"/>
        <w:outlineLvl w:val="9"/>
        <w:rPr>
          <w:rFonts w:ascii="新宋体" w:hAnsi="新宋体" w:eastAsia="新宋体" w:cs="仿宋_GB2312"/>
          <w:color w:val="auto"/>
          <w:sz w:val="24"/>
          <w:szCs w:val="24"/>
          <w:highlight w:val="none"/>
        </w:rPr>
      </w:pPr>
      <w:r>
        <w:rPr>
          <w:rFonts w:hint="eastAsia" w:ascii="新宋体" w:hAnsi="新宋体" w:eastAsia="新宋体" w:cs="仿宋_GB2312"/>
          <w:color w:val="auto"/>
          <w:sz w:val="24"/>
          <w:szCs w:val="24"/>
          <w:highlight w:val="none"/>
          <w:lang w:val="zh-CN"/>
        </w:rPr>
        <w:t>2</w:t>
      </w:r>
      <w:r>
        <w:rPr>
          <w:rFonts w:hint="eastAsia" w:ascii="新宋体" w:hAnsi="新宋体" w:eastAsia="新宋体" w:cs="仿宋_GB2312"/>
          <w:color w:val="auto"/>
          <w:sz w:val="24"/>
          <w:szCs w:val="24"/>
          <w:highlight w:val="none"/>
        </w:rPr>
        <w:t>2</w:t>
      </w:r>
      <w:r>
        <w:rPr>
          <w:rFonts w:hint="eastAsia" w:ascii="新宋体" w:hAnsi="新宋体" w:eastAsia="新宋体" w:cs="仿宋_GB2312"/>
          <w:color w:val="auto"/>
          <w:sz w:val="24"/>
          <w:szCs w:val="24"/>
          <w:highlight w:val="none"/>
          <w:lang w:val="zh-CN"/>
        </w:rPr>
        <w:t>.1</w:t>
      </w:r>
      <w:r>
        <w:rPr>
          <w:rFonts w:hint="eastAsia" w:ascii="新宋体" w:hAnsi="新宋体" w:eastAsia="新宋体" w:cs="仿宋_GB2312"/>
          <w:color w:val="auto"/>
          <w:sz w:val="24"/>
          <w:szCs w:val="24"/>
          <w:highlight w:val="none"/>
        </w:rPr>
        <w:t>投标人在投标截止时间前，对投标文件进行补充、修改或者撤回的，须书面通知招标人。</w:t>
      </w:r>
    </w:p>
    <w:p>
      <w:pPr>
        <w:tabs>
          <w:tab w:val="left" w:pos="1260"/>
        </w:tabs>
        <w:autoSpaceDE w:val="0"/>
        <w:autoSpaceDN w:val="0"/>
        <w:adjustRightInd w:val="0"/>
        <w:spacing w:line="360" w:lineRule="auto"/>
        <w:outlineLvl w:val="9"/>
        <w:rPr>
          <w:rFonts w:ascii="新宋体" w:hAnsi="新宋体" w:eastAsia="新宋体" w:cs="仿宋_GB2312"/>
          <w:color w:val="auto"/>
          <w:sz w:val="24"/>
          <w:szCs w:val="24"/>
          <w:highlight w:val="none"/>
        </w:rPr>
      </w:pPr>
      <w:r>
        <w:rPr>
          <w:rFonts w:hint="eastAsia" w:ascii="新宋体" w:hAnsi="新宋体" w:eastAsia="新宋体" w:cs="仿宋_GB2312"/>
          <w:color w:val="auto"/>
          <w:sz w:val="24"/>
          <w:szCs w:val="24"/>
          <w:highlight w:val="none"/>
        </w:rPr>
        <w:t>投标人应当在投标截止时间前完成电子投标文件的提交，可以补充、修改或撤回。投标截止时间前未完成电子投标文件提交的，视为撤回投标文件。</w:t>
      </w:r>
    </w:p>
    <w:p>
      <w:pPr>
        <w:tabs>
          <w:tab w:val="left" w:pos="1260"/>
        </w:tabs>
        <w:adjustRightInd w:val="0"/>
        <w:spacing w:line="360" w:lineRule="auto"/>
        <w:outlineLvl w:val="9"/>
        <w:rPr>
          <w:rFonts w:ascii="新宋体" w:hAnsi="新宋体" w:eastAsia="新宋体" w:cs="仿宋_GB2312"/>
          <w:color w:val="auto"/>
          <w:sz w:val="24"/>
          <w:szCs w:val="24"/>
          <w:highlight w:val="none"/>
        </w:rPr>
      </w:pPr>
      <w:r>
        <w:rPr>
          <w:rFonts w:hint="eastAsia" w:ascii="新宋体" w:hAnsi="新宋体" w:eastAsia="新宋体" w:cs="仿宋_GB2312"/>
          <w:color w:val="auto"/>
          <w:sz w:val="24"/>
          <w:szCs w:val="24"/>
          <w:highlight w:val="none"/>
        </w:rPr>
        <w:t>22.2投标人补充、修改的内容并作为投标文件的组成部分。补充或修改应当按招标文件要求签署、盖章、提交，并应注明“修改”或“补充”字样。</w:t>
      </w:r>
    </w:p>
    <w:p>
      <w:pPr>
        <w:tabs>
          <w:tab w:val="left" w:pos="1260"/>
        </w:tabs>
        <w:adjustRightInd w:val="0"/>
        <w:spacing w:line="360" w:lineRule="auto"/>
        <w:outlineLvl w:val="9"/>
        <w:rPr>
          <w:rFonts w:ascii="新宋体" w:hAnsi="新宋体" w:eastAsia="新宋体" w:cs="仿宋_GB2312"/>
          <w:color w:val="auto"/>
          <w:sz w:val="24"/>
          <w:szCs w:val="24"/>
          <w:highlight w:val="none"/>
        </w:rPr>
      </w:pPr>
      <w:r>
        <w:rPr>
          <w:rFonts w:hint="eastAsia" w:ascii="新宋体" w:hAnsi="新宋体" w:eastAsia="新宋体" w:cs="仿宋_GB2312"/>
          <w:color w:val="auto"/>
          <w:sz w:val="24"/>
          <w:szCs w:val="24"/>
          <w:highlight w:val="none"/>
        </w:rPr>
        <w:t>22.3投标人在提交投标文件后，可以撤回其投标，但投标人必须在规定的投标截止时间前以书面形式告知招标人。</w:t>
      </w:r>
    </w:p>
    <w:p>
      <w:pPr>
        <w:tabs>
          <w:tab w:val="left" w:pos="1260"/>
        </w:tabs>
        <w:adjustRightInd w:val="0"/>
        <w:spacing w:line="360" w:lineRule="auto"/>
        <w:outlineLvl w:val="9"/>
        <w:rPr>
          <w:rFonts w:ascii="新宋体" w:hAnsi="新宋体" w:eastAsia="新宋体" w:cs="仿宋_GB2312"/>
          <w:color w:val="auto"/>
          <w:sz w:val="24"/>
          <w:szCs w:val="24"/>
          <w:highlight w:val="none"/>
        </w:rPr>
      </w:pPr>
      <w:r>
        <w:rPr>
          <w:rFonts w:hint="eastAsia" w:ascii="新宋体" w:hAnsi="新宋体" w:eastAsia="新宋体" w:cs="仿宋_GB2312"/>
          <w:color w:val="auto"/>
          <w:sz w:val="24"/>
          <w:szCs w:val="24"/>
          <w:highlight w:val="none"/>
        </w:rPr>
        <w:t>22.4投标人不得在投标有效期内撤销投标文件，否则投标人将承担违背投标承诺函的责任追究。</w:t>
      </w:r>
    </w:p>
    <w:p>
      <w:pPr>
        <w:autoSpaceDE w:val="0"/>
        <w:autoSpaceDN w:val="0"/>
        <w:spacing w:line="360" w:lineRule="auto"/>
        <w:jc w:val="center"/>
        <w:outlineLvl w:val="1"/>
        <w:rPr>
          <w:rFonts w:ascii="楷体" w:hAnsi="楷体" w:eastAsia="楷体" w:cs="宋体"/>
          <w:b/>
          <w:color w:val="auto"/>
          <w:kern w:val="0"/>
          <w:sz w:val="36"/>
          <w:szCs w:val="36"/>
          <w:highlight w:val="none"/>
        </w:rPr>
      </w:pPr>
      <w:bookmarkStart w:id="12" w:name="_Toc8087"/>
      <w:r>
        <w:rPr>
          <w:rFonts w:hint="eastAsia" w:ascii="楷体" w:hAnsi="楷体" w:eastAsia="楷体" w:cs="宋体"/>
          <w:b/>
          <w:color w:val="auto"/>
          <w:kern w:val="0"/>
          <w:sz w:val="36"/>
          <w:szCs w:val="36"/>
          <w:highlight w:val="none"/>
        </w:rPr>
        <w:t>五、开标和评标</w:t>
      </w:r>
      <w:bookmarkEnd w:id="12"/>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2</w:t>
      </w:r>
      <w:r>
        <w:rPr>
          <w:rFonts w:hint="eastAsia" w:cs="仿宋_GB2312" w:asciiTheme="minorEastAsia" w:hAnsiTheme="minorEastAsia"/>
          <w:b/>
          <w:color w:val="auto"/>
          <w:sz w:val="24"/>
          <w:szCs w:val="24"/>
          <w:highlight w:val="none"/>
        </w:rPr>
        <w:t>3</w:t>
      </w:r>
      <w:r>
        <w:rPr>
          <w:rFonts w:hint="eastAsia" w:cs="仿宋_GB2312" w:asciiTheme="minorEastAsia" w:hAnsiTheme="minorEastAsia"/>
          <w:b/>
          <w:color w:val="auto"/>
          <w:sz w:val="24"/>
          <w:szCs w:val="24"/>
          <w:highlight w:val="none"/>
          <w:lang w:val="zh-CN"/>
        </w:rPr>
        <w:t>. 开标</w:t>
      </w:r>
    </w:p>
    <w:p>
      <w:pPr>
        <w:tabs>
          <w:tab w:val="left" w:pos="1260"/>
        </w:tabs>
        <w:adjustRightInd w:val="0"/>
        <w:spacing w:line="276" w:lineRule="auto"/>
        <w:jc w:val="left"/>
        <w:outlineLvl w:val="9"/>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lang w:val="zh-CN"/>
        </w:rPr>
        <w:t>23.1</w:t>
      </w:r>
      <w:r>
        <w:rPr>
          <w:rFonts w:hint="eastAsia" w:cs="仿宋_GB2312" w:asciiTheme="minorEastAsia" w:hAnsiTheme="minorEastAsia"/>
          <w:color w:val="auto"/>
          <w:sz w:val="24"/>
          <w:szCs w:val="24"/>
          <w:highlight w:val="none"/>
        </w:rPr>
        <w:t>招标人将按招标文件规定的时间和地点组织远程不见面开标。开标由代理机构主持，投标人无须到现场。评标委员会成员不得参加开标活动。</w:t>
      </w:r>
    </w:p>
    <w:p>
      <w:pPr>
        <w:tabs>
          <w:tab w:val="left" w:pos="1260"/>
        </w:tabs>
        <w:autoSpaceDE w:val="0"/>
        <w:autoSpaceDN w:val="0"/>
        <w:adjustRightInd w:val="0"/>
        <w:spacing w:line="276" w:lineRule="auto"/>
        <w:jc w:val="left"/>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3</w:t>
      </w:r>
      <w:r>
        <w:rPr>
          <w:rFonts w:hint="eastAsia" w:cs="仿宋_GB2312" w:asciiTheme="minorEastAsia" w:hAnsiTheme="minorEastAsia"/>
          <w:color w:val="auto"/>
          <w:sz w:val="24"/>
          <w:szCs w:val="24"/>
          <w:highlight w:val="none"/>
          <w:lang w:val="zh-CN"/>
        </w:rPr>
        <w:t>.2 招标人应当对开标、评标现场活动进行全程录音录像。录音录像应当清晰可辨，音像资料作为采购文件一并存档。</w:t>
      </w:r>
    </w:p>
    <w:p>
      <w:pPr>
        <w:tabs>
          <w:tab w:val="left" w:pos="1260"/>
        </w:tabs>
        <w:spacing w:line="276" w:lineRule="auto"/>
        <w:jc w:val="left"/>
        <w:outlineLvl w:val="9"/>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lang w:val="zh-CN"/>
        </w:rPr>
        <w:t>23.3</w:t>
      </w:r>
      <w:r>
        <w:rPr>
          <w:rFonts w:hint="eastAsia" w:cs="仿宋_GB2312" w:asciiTheme="minorEastAsia" w:hAnsiTheme="minorEastAsia"/>
          <w:color w:val="auto"/>
          <w:sz w:val="24"/>
          <w:szCs w:val="24"/>
          <w:highlight w:val="none"/>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tabs>
          <w:tab w:val="left" w:pos="1260"/>
        </w:tabs>
        <w:autoSpaceDE w:val="0"/>
        <w:autoSpaceDN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rPr>
        <w:t>23.4</w:t>
      </w:r>
      <w:r>
        <w:rPr>
          <w:rFonts w:hint="eastAsia" w:cs="仿宋_GB2312" w:asciiTheme="minorEastAsia" w:hAnsiTheme="minorEastAsia"/>
          <w:color w:val="auto"/>
          <w:sz w:val="24"/>
          <w:szCs w:val="24"/>
          <w:highlight w:val="none"/>
          <w:lang w:val="zh-CN"/>
        </w:rPr>
        <w:t xml:space="preserve"> 电子投标文件的解密</w:t>
      </w:r>
    </w:p>
    <w:p>
      <w:pPr>
        <w:tabs>
          <w:tab w:val="left" w:pos="1260"/>
        </w:tabs>
        <w:autoSpaceDE w:val="0"/>
        <w:autoSpaceDN w:val="0"/>
        <w:spacing w:line="360" w:lineRule="auto"/>
        <w:ind w:firstLine="480" w:firstLineChars="200"/>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outlineLvl w:val="9"/>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lang w:val="zh-CN"/>
        </w:rPr>
        <w:t>（1）投标人解密：</w:t>
      </w:r>
      <w:r>
        <w:rPr>
          <w:rFonts w:hint="eastAsia" w:cs="仿宋_GB2312" w:asciiTheme="minorEastAsia" w:hAnsiTheme="minorEastAsia"/>
          <w:color w:val="auto"/>
          <w:sz w:val="24"/>
          <w:szCs w:val="24"/>
          <w:highlight w:val="none"/>
        </w:rPr>
        <w:t>投标人解密：投标人使用本单位CA数字证书远程进行解密</w:t>
      </w:r>
      <w:r>
        <w:rPr>
          <w:rFonts w:hint="eastAsia" w:cs="仿宋_GB2312" w:asciiTheme="minorEastAsia" w:hAnsiTheme="minorEastAsia"/>
          <w:color w:val="auto"/>
          <w:sz w:val="24"/>
          <w:szCs w:val="24"/>
          <w:highlight w:val="none"/>
          <w:lang w:val="zh-CN"/>
        </w:rPr>
        <w:t>。</w:t>
      </w:r>
    </w:p>
    <w:p>
      <w:pPr>
        <w:tabs>
          <w:tab w:val="left" w:pos="1260"/>
        </w:tabs>
        <w:autoSpaceDE w:val="0"/>
        <w:autoSpaceDN w:val="0"/>
        <w:spacing w:line="360" w:lineRule="auto"/>
        <w:ind w:firstLine="480" w:firstLineChars="200"/>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（2）代理机构解密：代理机构按电子投标文件到达交易系统的先后顺序，使用代理机构CA数字证书进行再次解密。</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23.5 电子投标文件解密异常情况处理</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因投标人原因电子投标文件解密失败的，其投标将被拒绝。</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23.6 投标人不足3家的，不得开标。</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23.7开标过程由采购代理机构负责记录，《开标记录表》经投标人进行电子签章、由参加开标相关工作人员签字确认后随采购文件一并存档。投标人未电子签章的，视同认可开标结果。</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23.9 投标人未参加开标的，视同认可开标结果。</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2</w:t>
      </w:r>
      <w:r>
        <w:rPr>
          <w:rFonts w:hint="eastAsia" w:cs="仿宋_GB2312" w:asciiTheme="minorEastAsia" w:hAnsiTheme="minorEastAsia"/>
          <w:b/>
          <w:color w:val="auto"/>
          <w:sz w:val="24"/>
          <w:szCs w:val="24"/>
          <w:highlight w:val="none"/>
        </w:rPr>
        <w:t>4</w:t>
      </w:r>
      <w:r>
        <w:rPr>
          <w:rFonts w:hint="eastAsia" w:cs="仿宋_GB2312" w:asciiTheme="minorEastAsia" w:hAnsiTheme="minorEastAsia"/>
          <w:b/>
          <w:color w:val="auto"/>
          <w:sz w:val="24"/>
          <w:szCs w:val="24"/>
          <w:highlight w:val="none"/>
          <w:lang w:val="zh-CN"/>
        </w:rPr>
        <w:t>. 资格审查</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asciiTheme="minorEastAsia" w:hAnsiTheme="minorEastAsia"/>
          <w:bCs/>
          <w:color w:val="auto"/>
          <w:sz w:val="24"/>
          <w:szCs w:val="24"/>
          <w:highlight w:val="none"/>
        </w:rPr>
        <w:t>开标结束后，采购人依法对投标人的资格进行审查。</w:t>
      </w:r>
      <w:r>
        <w:rPr>
          <w:rFonts w:hint="eastAsia" w:cs="仿宋_GB2312" w:asciiTheme="minorEastAsia" w:hAnsiTheme="minorEastAsia"/>
          <w:color w:val="auto"/>
          <w:sz w:val="24"/>
          <w:szCs w:val="24"/>
          <w:highlight w:val="none"/>
          <w:lang w:val="zh-CN"/>
        </w:rPr>
        <w:t>合格投标人不足3家的，不得评标。</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2</w:t>
      </w:r>
      <w:r>
        <w:rPr>
          <w:rFonts w:hint="eastAsia" w:cs="仿宋_GB2312" w:asciiTheme="minorEastAsia" w:hAnsiTheme="minorEastAsia"/>
          <w:b/>
          <w:color w:val="auto"/>
          <w:sz w:val="24"/>
          <w:szCs w:val="24"/>
          <w:highlight w:val="none"/>
        </w:rPr>
        <w:t>5</w:t>
      </w:r>
      <w:r>
        <w:rPr>
          <w:rFonts w:hint="eastAsia" w:cs="仿宋_GB2312" w:asciiTheme="minorEastAsia" w:hAnsiTheme="minorEastAsia"/>
          <w:b/>
          <w:color w:val="auto"/>
          <w:sz w:val="24"/>
          <w:szCs w:val="24"/>
          <w:highlight w:val="none"/>
          <w:lang w:val="zh-CN"/>
        </w:rPr>
        <w:t>.评标委员会的组成</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.3评标委员会成员有下列情形之一的，应当回避：</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（1）采购人或供应商的主要负责人的近亲属；</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（2）项目主管部门或者行政监督部门的人员；</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（3）与投标人有经济利益关系，可能影响对投标公正评审的；</w:t>
      </w:r>
    </w:p>
    <w:p>
      <w:pPr>
        <w:tabs>
          <w:tab w:val="left" w:pos="1260"/>
        </w:tabs>
        <w:autoSpaceDE w:val="0"/>
        <w:autoSpaceDN w:val="0"/>
        <w:adjustRightInd w:val="0"/>
        <w:spacing w:line="360" w:lineRule="auto"/>
        <w:jc w:val="left"/>
        <w:outlineLvl w:val="9"/>
        <w:rPr>
          <w:rFonts w:ascii="宋体" w:hAnsi="宋体" w:cs="仿宋_GB2312"/>
          <w:color w:val="auto"/>
          <w:kern w:val="0"/>
          <w:szCs w:val="21"/>
          <w:highlight w:val="none"/>
        </w:rPr>
      </w:pPr>
      <w:r>
        <w:rPr>
          <w:rFonts w:hint="eastAsia" w:cs="仿宋_GB2312" w:asciiTheme="minorEastAsia" w:hAnsiTheme="minorEastAsia"/>
          <w:color w:val="auto"/>
          <w:sz w:val="24"/>
          <w:szCs w:val="24"/>
          <w:highlight w:val="none"/>
          <w:lang w:val="zh-CN"/>
        </w:rPr>
        <w:t>（4）曾因在招标、评标以及其他与招标投标有关活动中从事违法行为而受过行政处罚或</w:t>
      </w:r>
      <w:r>
        <w:rPr>
          <w:rFonts w:hint="eastAsia" w:ascii="宋体" w:hAnsi="宋体" w:cs="仿宋_GB2312"/>
          <w:color w:val="auto"/>
          <w:kern w:val="0"/>
          <w:szCs w:val="21"/>
          <w:highlight w:val="none"/>
        </w:rPr>
        <w:t>刑事处罚的。</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.5 采购人不得担任评标小组长。</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.6 评标委员会成员名单在评标结果公告前应当保密。</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2</w:t>
      </w:r>
      <w:r>
        <w:rPr>
          <w:rFonts w:hint="eastAsia" w:cs="仿宋_GB2312" w:asciiTheme="minorEastAsia" w:hAnsiTheme="minorEastAsia"/>
          <w:b/>
          <w:color w:val="auto"/>
          <w:sz w:val="24"/>
          <w:szCs w:val="24"/>
          <w:highlight w:val="none"/>
        </w:rPr>
        <w:t>6</w:t>
      </w:r>
      <w:r>
        <w:rPr>
          <w:rFonts w:hint="eastAsia" w:cs="仿宋_GB2312" w:asciiTheme="minorEastAsia" w:hAnsiTheme="minorEastAsia"/>
          <w:b/>
          <w:color w:val="auto"/>
          <w:sz w:val="24"/>
          <w:szCs w:val="24"/>
          <w:highlight w:val="none"/>
          <w:lang w:val="zh-CN"/>
        </w:rPr>
        <w:t>. 符合性审查</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6</w:t>
      </w:r>
      <w:r>
        <w:rPr>
          <w:rFonts w:hint="eastAsia" w:cs="仿宋_GB2312" w:asciiTheme="minorEastAsia" w:hAnsiTheme="minorEastAsia"/>
          <w:color w:val="auto"/>
          <w:sz w:val="24"/>
          <w:szCs w:val="24"/>
          <w:highlight w:val="none"/>
          <w:lang w:val="zh-CN"/>
        </w:rPr>
        <w:t>.1</w:t>
      </w:r>
      <w:r>
        <w:rPr>
          <w:rFonts w:hint="eastAsia" w:ascii="宋体" w:cs="宋体"/>
          <w:color w:val="auto"/>
          <w:sz w:val="24"/>
          <w:highlight w:val="none"/>
          <w:lang w:val="zh-CN"/>
        </w:rPr>
        <w:t>评标委员会应当对符合资格的投标人的投标文件进行符合性审查，以确定其是否满足招标文件的实质性要求。</w:t>
      </w:r>
    </w:p>
    <w:p>
      <w:pPr>
        <w:wordWrap w:val="0"/>
        <w:topLinePunct/>
        <w:autoSpaceDE w:val="0"/>
        <w:autoSpaceDN w:val="0"/>
        <w:adjustRightInd w:val="0"/>
        <w:snapToGrid w:val="0"/>
        <w:spacing w:line="360" w:lineRule="auto"/>
        <w:outlineLvl w:val="9"/>
        <w:rPr>
          <w:rFonts w:ascii="宋体" w:cs="宋体"/>
          <w:color w:val="auto"/>
          <w:sz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6</w:t>
      </w:r>
      <w:r>
        <w:rPr>
          <w:rFonts w:hint="eastAsia" w:cs="仿宋_GB2312" w:asciiTheme="minorEastAsia" w:hAnsiTheme="minorEastAsia"/>
          <w:color w:val="auto"/>
          <w:sz w:val="24"/>
          <w:szCs w:val="24"/>
          <w:highlight w:val="none"/>
          <w:lang w:val="zh-CN"/>
        </w:rPr>
        <w:t>.2</w:t>
      </w:r>
      <w:r>
        <w:rPr>
          <w:rFonts w:hint="eastAsia" w:ascii="宋体" w:cs="宋体"/>
          <w:color w:val="auto"/>
          <w:sz w:val="24"/>
          <w:highlight w:val="none"/>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outlineLvl w:val="9"/>
        <w:rPr>
          <w:rFonts w:ascii="宋体" w:cs="宋体"/>
          <w:color w:val="auto"/>
          <w:sz w:val="24"/>
          <w:highlight w:val="none"/>
          <w:lang w:val="zh-CN"/>
        </w:rPr>
      </w:pPr>
      <w:r>
        <w:rPr>
          <w:rFonts w:hint="eastAsia" w:ascii="宋体" w:cs="宋体"/>
          <w:color w:val="auto"/>
          <w:sz w:val="24"/>
          <w:highlight w:val="none"/>
          <w:lang w:val="zh-CN"/>
        </w:rPr>
        <w:t>2</w:t>
      </w:r>
      <w:r>
        <w:rPr>
          <w:rFonts w:hint="eastAsia" w:ascii="宋体" w:cs="宋体"/>
          <w:color w:val="auto"/>
          <w:sz w:val="24"/>
          <w:highlight w:val="none"/>
        </w:rPr>
        <w:t>6</w:t>
      </w:r>
      <w:r>
        <w:rPr>
          <w:rFonts w:hint="eastAsia" w:ascii="宋体" w:cs="宋体"/>
          <w:color w:val="auto"/>
          <w:sz w:val="24"/>
          <w:highlight w:val="none"/>
          <w:lang w:val="zh-CN"/>
        </w:rPr>
        <w:t>.3.对投标文件的评估和比较</w:t>
      </w:r>
    </w:p>
    <w:p>
      <w:pPr>
        <w:wordWrap w:val="0"/>
        <w:topLinePunct/>
        <w:autoSpaceDE w:val="0"/>
        <w:autoSpaceDN w:val="0"/>
        <w:adjustRightInd w:val="0"/>
        <w:snapToGrid w:val="0"/>
        <w:spacing w:line="360" w:lineRule="auto"/>
        <w:outlineLvl w:val="9"/>
        <w:rPr>
          <w:rFonts w:ascii="宋体" w:cs="宋体"/>
          <w:color w:val="auto"/>
          <w:sz w:val="24"/>
          <w:highlight w:val="none"/>
          <w:lang w:val="zh-CN"/>
        </w:rPr>
      </w:pPr>
      <w:r>
        <w:rPr>
          <w:rFonts w:hint="eastAsia" w:ascii="宋体" w:cs="宋体"/>
          <w:color w:val="auto"/>
          <w:sz w:val="24"/>
          <w:highlight w:val="none"/>
          <w:lang w:val="zh-CN"/>
        </w:rPr>
        <w:t>评标委员会将对实质性响应的投标文件进行比较和评价。</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2</w:t>
      </w:r>
      <w:r>
        <w:rPr>
          <w:rFonts w:hint="eastAsia" w:cs="仿宋_GB2312" w:asciiTheme="minorEastAsia" w:hAnsiTheme="minorEastAsia"/>
          <w:b/>
          <w:color w:val="auto"/>
          <w:sz w:val="24"/>
          <w:szCs w:val="24"/>
          <w:highlight w:val="none"/>
        </w:rPr>
        <w:t>7</w:t>
      </w:r>
      <w:r>
        <w:rPr>
          <w:rFonts w:hint="eastAsia" w:cs="仿宋_GB2312" w:asciiTheme="minorEastAsia" w:hAnsiTheme="minorEastAsia"/>
          <w:b/>
          <w:color w:val="auto"/>
          <w:sz w:val="24"/>
          <w:szCs w:val="24"/>
          <w:highlight w:val="none"/>
          <w:lang w:val="zh-CN"/>
        </w:rPr>
        <w:t>. 投标文件的澄清</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7</w:t>
      </w:r>
      <w:r>
        <w:rPr>
          <w:rFonts w:hint="eastAsia" w:cs="仿宋_GB2312" w:asciiTheme="minorEastAsia" w:hAnsiTheme="minorEastAsia"/>
          <w:color w:val="auto"/>
          <w:sz w:val="24"/>
          <w:szCs w:val="24"/>
          <w:highlight w:val="none"/>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7</w:t>
      </w:r>
      <w:r>
        <w:rPr>
          <w:rFonts w:hint="eastAsia" w:cs="仿宋_GB2312" w:asciiTheme="minorEastAsia" w:hAnsiTheme="minorEastAsia"/>
          <w:color w:val="auto"/>
          <w:sz w:val="24"/>
          <w:szCs w:val="24"/>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hint="eastAsia" w:cs="仿宋_GB2312" w:asciiTheme="minorEastAsia" w:hAnsiTheme="minorEastAsia"/>
          <w:color w:val="auto"/>
          <w:sz w:val="24"/>
          <w:szCs w:val="24"/>
          <w:highlight w:val="none"/>
        </w:rPr>
        <w:t>7</w:t>
      </w:r>
      <w:r>
        <w:rPr>
          <w:rFonts w:hint="eastAsia" w:cs="仿宋_GB2312" w:asciiTheme="minorEastAsia" w:hAnsiTheme="minorEastAsia"/>
          <w:color w:val="auto"/>
          <w:sz w:val="24"/>
          <w:szCs w:val="24"/>
          <w:highlight w:val="none"/>
          <w:lang w:val="zh-CN"/>
        </w:rPr>
        <w:t>.3 投标人的澄清文件是其投标文件的组成部分。</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ascii="宋体" w:cs="宋体"/>
          <w:b/>
          <w:bCs/>
          <w:color w:val="auto"/>
          <w:sz w:val="24"/>
          <w:highlight w:val="none"/>
          <w:lang w:val="zh-CN"/>
        </w:rPr>
        <w:t>2</w:t>
      </w:r>
      <w:r>
        <w:rPr>
          <w:rFonts w:hint="eastAsia" w:ascii="宋体" w:cs="宋体"/>
          <w:b/>
          <w:bCs/>
          <w:color w:val="auto"/>
          <w:sz w:val="24"/>
          <w:highlight w:val="none"/>
        </w:rPr>
        <w:t>8</w:t>
      </w:r>
      <w:r>
        <w:rPr>
          <w:rFonts w:hint="eastAsia" w:ascii="宋体" w:cs="宋体"/>
          <w:b/>
          <w:bCs/>
          <w:color w:val="auto"/>
          <w:sz w:val="24"/>
          <w:highlight w:val="none"/>
          <w:lang w:val="zh-CN"/>
        </w:rPr>
        <w:t>.评标委员会判断投标文件的响应性仅基于投标文件本身而不依靠外部证据。</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rPr>
        <w:t>29</w:t>
      </w:r>
      <w:r>
        <w:rPr>
          <w:rFonts w:hint="eastAsia" w:cs="仿宋_GB2312" w:asciiTheme="minorEastAsia" w:hAnsiTheme="minorEastAsia"/>
          <w:b/>
          <w:color w:val="auto"/>
          <w:sz w:val="24"/>
          <w:szCs w:val="24"/>
          <w:highlight w:val="none"/>
          <w:lang w:val="zh-CN"/>
        </w:rPr>
        <w:t>. 投标文件报价出现前后不一致的修正</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rPr>
        <w:t>29</w:t>
      </w:r>
      <w:r>
        <w:rPr>
          <w:rFonts w:hint="eastAsia" w:cs="仿宋_GB2312" w:asciiTheme="minorEastAsia" w:hAnsiTheme="minorEastAsia"/>
          <w:color w:val="auto"/>
          <w:sz w:val="24"/>
          <w:szCs w:val="24"/>
          <w:highlight w:val="none"/>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rPr>
        <w:t>29</w:t>
      </w:r>
      <w:r>
        <w:rPr>
          <w:rFonts w:hint="eastAsia" w:cs="仿宋_GB2312" w:asciiTheme="minorEastAsia" w:hAnsiTheme="minorEastAsia"/>
          <w:color w:val="auto"/>
          <w:sz w:val="24"/>
          <w:szCs w:val="24"/>
          <w:highlight w:val="none"/>
          <w:lang w:val="zh-CN"/>
        </w:rPr>
        <w:t>.2 大写金额和小写金额不一致的，以大写金额为准；</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rPr>
        <w:t>29</w:t>
      </w:r>
      <w:r>
        <w:rPr>
          <w:rFonts w:hint="eastAsia" w:cs="仿宋_GB2312" w:asciiTheme="minorEastAsia" w:hAnsiTheme="minorEastAsia"/>
          <w:color w:val="auto"/>
          <w:sz w:val="24"/>
          <w:szCs w:val="24"/>
          <w:highlight w:val="none"/>
          <w:lang w:val="zh-CN"/>
        </w:rPr>
        <w:t>.3 单价金额小数点或者百分比有明显错位的，以开标一览表的总价为准，并修改单价；</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rPr>
        <w:t>29</w:t>
      </w:r>
      <w:r>
        <w:rPr>
          <w:rFonts w:hint="eastAsia" w:cs="仿宋_GB2312" w:asciiTheme="minorEastAsia" w:hAnsiTheme="minorEastAsia"/>
          <w:color w:val="auto"/>
          <w:sz w:val="24"/>
          <w:szCs w:val="24"/>
          <w:highlight w:val="none"/>
          <w:lang w:val="zh-CN"/>
        </w:rPr>
        <w:t>.4 总价金额与按单价汇总金额不一致的，以单价金额计算结果为准。</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同时出现两种以上不一致的，按照前款规定的顺序修正。修正后的报价按照《投标人须知》2</w:t>
      </w:r>
      <w:r>
        <w:rPr>
          <w:rFonts w:hint="eastAsia" w:cs="仿宋_GB2312" w:asciiTheme="minorEastAsia" w:hAnsiTheme="minorEastAsia"/>
          <w:color w:val="auto"/>
          <w:sz w:val="24"/>
          <w:szCs w:val="24"/>
          <w:highlight w:val="none"/>
        </w:rPr>
        <w:t>8</w:t>
      </w:r>
      <w:r>
        <w:rPr>
          <w:rFonts w:hint="eastAsia" w:cs="仿宋_GB2312" w:asciiTheme="minorEastAsia" w:hAnsiTheme="minorEastAsia"/>
          <w:color w:val="auto"/>
          <w:sz w:val="24"/>
          <w:szCs w:val="24"/>
          <w:highlight w:val="none"/>
          <w:lang w:val="zh-CN"/>
        </w:rPr>
        <w:t>.2规定经投标人确认后产生约束力，投标人不确认的，其投标无效。</w:t>
      </w:r>
    </w:p>
    <w:p>
      <w:pPr>
        <w:tabs>
          <w:tab w:val="left" w:pos="1260"/>
        </w:tabs>
        <w:autoSpaceDE w:val="0"/>
        <w:autoSpaceDN w:val="0"/>
        <w:adjustRightInd w:val="0"/>
        <w:spacing w:line="360" w:lineRule="auto"/>
        <w:outlineLvl w:val="9"/>
        <w:rPr>
          <w:rFonts w:hint="eastAsia" w:ascii="宋体" w:cs="宋体"/>
          <w:b/>
          <w:bCs/>
          <w:color w:val="auto"/>
          <w:sz w:val="24"/>
          <w:highlight w:val="none"/>
          <w:lang w:val="zh-CN"/>
        </w:rPr>
      </w:pPr>
      <w:r>
        <w:rPr>
          <w:rFonts w:hint="eastAsia" w:ascii="宋体" w:cs="宋体"/>
          <w:b/>
          <w:bCs/>
          <w:color w:val="auto"/>
          <w:sz w:val="24"/>
          <w:highlight w:val="none"/>
          <w:lang w:val="zh-CN"/>
        </w:rPr>
        <w:t>30.评标原则</w:t>
      </w:r>
    </w:p>
    <w:p>
      <w:pPr>
        <w:autoSpaceDE w:val="0"/>
        <w:autoSpaceDN w:val="0"/>
        <w:adjustRightInd w:val="0"/>
        <w:spacing w:line="360" w:lineRule="auto"/>
        <w:jc w:val="left"/>
        <w:outlineLvl w:val="9"/>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评标活动遵循公开、公平、公正的原则。</w:t>
      </w:r>
    </w:p>
    <w:p>
      <w:pPr>
        <w:spacing w:line="360" w:lineRule="auto"/>
        <w:ind w:left="5421" w:hanging="5400" w:hangingChars="2250"/>
        <w:jc w:val="left"/>
        <w:outlineLvl w:val="9"/>
        <w:rPr>
          <w:b/>
          <w:color w:val="auto"/>
          <w:sz w:val="24"/>
          <w:szCs w:val="24"/>
          <w:highlight w:val="none"/>
        </w:rPr>
      </w:pPr>
      <w:r>
        <w:rPr>
          <w:rFonts w:hint="eastAsia" w:cs="仿宋_GB2312" w:asciiTheme="minorEastAsia" w:hAnsiTheme="minorEastAsia"/>
          <w:b/>
          <w:color w:val="auto"/>
          <w:sz w:val="24"/>
          <w:szCs w:val="24"/>
          <w:highlight w:val="none"/>
          <w:lang w:val="zh-CN"/>
        </w:rPr>
        <w:t>3</w:t>
      </w:r>
      <w:r>
        <w:rPr>
          <w:rFonts w:hint="eastAsia" w:cs="仿宋_GB2312" w:asciiTheme="minorEastAsia" w:hAnsiTheme="minorEastAsia"/>
          <w:b/>
          <w:color w:val="auto"/>
          <w:sz w:val="24"/>
          <w:szCs w:val="24"/>
          <w:highlight w:val="none"/>
        </w:rPr>
        <w:t>1</w:t>
      </w:r>
      <w:r>
        <w:rPr>
          <w:rFonts w:hint="eastAsia" w:cs="仿宋_GB2312" w:asciiTheme="minorEastAsia" w:hAnsiTheme="minorEastAsia"/>
          <w:b/>
          <w:color w:val="auto"/>
          <w:sz w:val="24"/>
          <w:szCs w:val="24"/>
          <w:highlight w:val="none"/>
          <w:lang w:val="zh-CN"/>
        </w:rPr>
        <w:t>.评标方法及评标标准（见</w:t>
      </w:r>
      <w:r>
        <w:rPr>
          <w:rFonts w:hint="eastAsia"/>
          <w:b/>
          <w:color w:val="auto"/>
          <w:sz w:val="24"/>
          <w:szCs w:val="24"/>
          <w:highlight w:val="none"/>
        </w:rPr>
        <w:t>第五章资格审查、评标方法及评标标准）</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3</w:t>
      </w:r>
      <w:r>
        <w:rPr>
          <w:rFonts w:hint="eastAsia" w:cs="仿宋_GB2312" w:asciiTheme="minorEastAsia" w:hAnsiTheme="minorEastAsia"/>
          <w:b/>
          <w:color w:val="auto"/>
          <w:sz w:val="24"/>
          <w:szCs w:val="24"/>
          <w:highlight w:val="none"/>
        </w:rPr>
        <w:t>2</w:t>
      </w:r>
      <w:r>
        <w:rPr>
          <w:rFonts w:hint="eastAsia" w:cs="仿宋_GB2312" w:asciiTheme="minorEastAsia" w:hAnsiTheme="minorEastAsia"/>
          <w:b/>
          <w:color w:val="auto"/>
          <w:sz w:val="24"/>
          <w:szCs w:val="24"/>
          <w:highlight w:val="none"/>
          <w:lang w:val="zh-CN"/>
        </w:rPr>
        <w:t>.评审意见无效情形</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评标委员会及其成员有下列行为之一的，其评审意见无效：</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lang w:val="zh-CN"/>
        </w:rPr>
        <w:t>.1 确定参与评标至评标结束前私自接触投标人；</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lang w:val="zh-CN"/>
        </w:rPr>
        <w:t>.2 接受投标人提出的与投标文件不一致的澄清或者说明，《投标人须知》2</w:t>
      </w:r>
      <w:r>
        <w:rPr>
          <w:rFonts w:hint="eastAsia" w:cs="仿宋_GB2312" w:asciiTheme="minorEastAsia" w:hAnsiTheme="minorEastAsia"/>
          <w:color w:val="auto"/>
          <w:sz w:val="24"/>
          <w:szCs w:val="24"/>
          <w:highlight w:val="none"/>
        </w:rPr>
        <w:t>8</w:t>
      </w:r>
      <w:r>
        <w:rPr>
          <w:rFonts w:hint="eastAsia" w:cs="仿宋_GB2312" w:asciiTheme="minorEastAsia" w:hAnsiTheme="minorEastAsia"/>
          <w:color w:val="auto"/>
          <w:sz w:val="24"/>
          <w:szCs w:val="24"/>
          <w:highlight w:val="none"/>
          <w:lang w:val="zh-CN"/>
        </w:rPr>
        <w:t>条规定的情形除外；</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lang w:val="zh-CN"/>
        </w:rPr>
        <w:t>.3 违反评标纪律发表倾向性意见或者征询采购人的倾向性意见；</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lang w:val="zh-CN"/>
        </w:rPr>
        <w:t>.4 对需要专业判断的主观评审因素协商评分；</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32.5 在评标过程中擅离职守，影响评标程序正常进行的；</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lang w:val="zh-CN"/>
        </w:rPr>
        <w:t>.6 记录、复制或者带走任何评标资料；</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lang w:val="zh-CN"/>
        </w:rPr>
        <w:t>.7 其他不遵守评标纪律的行为。</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3</w:t>
      </w:r>
      <w:r>
        <w:rPr>
          <w:rFonts w:hint="eastAsia" w:cs="仿宋_GB2312" w:asciiTheme="minorEastAsia" w:hAnsiTheme="minorEastAsia"/>
          <w:b/>
          <w:color w:val="auto"/>
          <w:sz w:val="24"/>
          <w:szCs w:val="24"/>
          <w:highlight w:val="none"/>
        </w:rPr>
        <w:t>3</w:t>
      </w:r>
      <w:r>
        <w:rPr>
          <w:rFonts w:hint="eastAsia" w:cs="仿宋_GB2312" w:asciiTheme="minorEastAsia" w:hAnsiTheme="minorEastAsia"/>
          <w:b/>
          <w:color w:val="auto"/>
          <w:sz w:val="24"/>
          <w:szCs w:val="24"/>
          <w:highlight w:val="none"/>
          <w:lang w:val="zh-CN"/>
        </w:rPr>
        <w:t>. 保密</w:t>
      </w:r>
    </w:p>
    <w:p>
      <w:pPr>
        <w:wordWrap w:val="0"/>
        <w:topLinePunct/>
        <w:autoSpaceDE w:val="0"/>
        <w:autoSpaceDN w:val="0"/>
        <w:adjustRightInd w:val="0"/>
        <w:snapToGrid w:val="0"/>
        <w:spacing w:line="360" w:lineRule="auto"/>
        <w:outlineLvl w:val="9"/>
        <w:rPr>
          <w:rFonts w:ascii="宋体" w:cs="宋体"/>
          <w:color w:val="auto"/>
          <w:sz w:val="24"/>
          <w:highlight w:val="none"/>
          <w:lang w:val="zh-CN"/>
        </w:rPr>
      </w:pPr>
      <w:r>
        <w:rPr>
          <w:rFonts w:hint="eastAsia" w:ascii="宋体" w:cs="宋体"/>
          <w:color w:val="auto"/>
          <w:sz w:val="24"/>
          <w:highlight w:val="none"/>
          <w:lang w:val="zh-CN"/>
        </w:rPr>
        <w:t>33.1有关投标文件的审查、澄清、评估和比较以及有关授予合同的意向的一切情况都不得透露给任一投标人或与上述评标工作无关的人员。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outlineLvl w:val="9"/>
        <w:rPr>
          <w:rFonts w:ascii="楷体" w:hAnsi="楷体" w:eastAsia="楷体" w:cs="宋体"/>
          <w:b/>
          <w:color w:val="auto"/>
          <w:kern w:val="0"/>
          <w:sz w:val="24"/>
          <w:szCs w:val="24"/>
          <w:highlight w:val="none"/>
        </w:rPr>
      </w:pPr>
      <w:r>
        <w:rPr>
          <w:rFonts w:hint="eastAsia" w:ascii="宋体" w:cs="宋体"/>
          <w:color w:val="auto"/>
          <w:sz w:val="24"/>
          <w:highlight w:val="none"/>
          <w:lang w:val="zh-CN"/>
        </w:rPr>
        <w:t>33.2投标人不得干扰招标人的评标活动，否则将废除其投标。</w:t>
      </w:r>
    </w:p>
    <w:p>
      <w:pPr>
        <w:autoSpaceDE w:val="0"/>
        <w:autoSpaceDN w:val="0"/>
        <w:spacing w:line="360" w:lineRule="auto"/>
        <w:jc w:val="center"/>
        <w:outlineLvl w:val="1"/>
        <w:rPr>
          <w:rFonts w:ascii="楷体" w:hAnsi="楷体" w:eastAsia="楷体" w:cs="宋体"/>
          <w:b/>
          <w:color w:val="auto"/>
          <w:kern w:val="0"/>
          <w:sz w:val="36"/>
          <w:szCs w:val="36"/>
          <w:highlight w:val="none"/>
        </w:rPr>
      </w:pPr>
      <w:bookmarkStart w:id="13" w:name="_Toc13569"/>
      <w:r>
        <w:rPr>
          <w:rFonts w:hint="eastAsia" w:ascii="楷体" w:hAnsi="楷体" w:eastAsia="楷体" w:cs="宋体"/>
          <w:b/>
          <w:color w:val="auto"/>
          <w:kern w:val="0"/>
          <w:sz w:val="36"/>
          <w:szCs w:val="36"/>
          <w:highlight w:val="none"/>
        </w:rPr>
        <w:t>六、定标和授予合同</w:t>
      </w:r>
      <w:bookmarkEnd w:id="13"/>
    </w:p>
    <w:p>
      <w:pPr>
        <w:tabs>
          <w:tab w:val="left" w:pos="1260"/>
        </w:tabs>
        <w:autoSpaceDE w:val="0"/>
        <w:autoSpaceDN w:val="0"/>
        <w:adjustRightInd w:val="0"/>
        <w:spacing w:line="360" w:lineRule="auto"/>
        <w:outlineLvl w:val="9"/>
        <w:rPr>
          <w:rFonts w:ascii="新宋体" w:hAnsi="新宋体" w:eastAsia="新宋体" w:cs="仿宋_GB2312"/>
          <w:b/>
          <w:color w:val="auto"/>
          <w:sz w:val="24"/>
          <w:szCs w:val="24"/>
          <w:highlight w:val="none"/>
          <w:lang w:val="zh-CN"/>
        </w:rPr>
      </w:pPr>
      <w:r>
        <w:rPr>
          <w:rFonts w:hint="eastAsia" w:ascii="新宋体" w:hAnsi="新宋体" w:eastAsia="新宋体" w:cs="仿宋_GB2312"/>
          <w:b/>
          <w:color w:val="auto"/>
          <w:sz w:val="24"/>
          <w:szCs w:val="24"/>
          <w:highlight w:val="none"/>
          <w:lang w:val="zh-CN"/>
        </w:rPr>
        <w:t>3</w:t>
      </w:r>
      <w:r>
        <w:rPr>
          <w:rFonts w:hint="eastAsia" w:ascii="新宋体" w:hAnsi="新宋体" w:eastAsia="新宋体" w:cs="仿宋_GB2312"/>
          <w:b/>
          <w:color w:val="auto"/>
          <w:sz w:val="24"/>
          <w:szCs w:val="24"/>
          <w:highlight w:val="none"/>
        </w:rPr>
        <w:t>4</w:t>
      </w:r>
      <w:r>
        <w:rPr>
          <w:rFonts w:hint="eastAsia" w:ascii="新宋体" w:hAnsi="新宋体" w:eastAsia="新宋体" w:cs="仿宋_GB2312"/>
          <w:b/>
          <w:color w:val="auto"/>
          <w:sz w:val="24"/>
          <w:szCs w:val="24"/>
          <w:highlight w:val="none"/>
          <w:lang w:val="zh-CN"/>
        </w:rPr>
        <w:t>. 确定中标人</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4</w:t>
      </w:r>
      <w:r>
        <w:rPr>
          <w:rFonts w:hint="eastAsia" w:cs="仿宋_GB2312" w:asciiTheme="minorEastAsia" w:hAnsiTheme="minorEastAsia"/>
          <w:color w:val="auto"/>
          <w:sz w:val="24"/>
          <w:szCs w:val="24"/>
          <w:highlight w:val="none"/>
          <w:lang w:val="zh-CN"/>
        </w:rPr>
        <w:t>.1 采购人应当自收到评标报告之日起</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4</w:t>
      </w:r>
      <w:r>
        <w:rPr>
          <w:rFonts w:hint="eastAsia" w:cs="仿宋_GB2312" w:asciiTheme="minorEastAsia" w:hAnsiTheme="minorEastAsia"/>
          <w:color w:val="auto"/>
          <w:sz w:val="24"/>
          <w:szCs w:val="24"/>
          <w:highlight w:val="none"/>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3</w:t>
      </w:r>
      <w:r>
        <w:rPr>
          <w:rFonts w:hint="eastAsia" w:cs="仿宋_GB2312" w:asciiTheme="minorEastAsia" w:hAnsiTheme="minorEastAsia"/>
          <w:b/>
          <w:color w:val="auto"/>
          <w:sz w:val="24"/>
          <w:szCs w:val="24"/>
          <w:highlight w:val="none"/>
        </w:rPr>
        <w:t>5</w:t>
      </w:r>
      <w:r>
        <w:rPr>
          <w:rFonts w:hint="eastAsia" w:cs="仿宋_GB2312" w:asciiTheme="minorEastAsia" w:hAnsiTheme="minorEastAsia"/>
          <w:b/>
          <w:color w:val="auto"/>
          <w:sz w:val="24"/>
          <w:szCs w:val="24"/>
          <w:highlight w:val="none"/>
          <w:lang w:val="zh-CN"/>
        </w:rPr>
        <w:t>. 中标公告、发出中标通知书</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.1 采购人确认中标人后，招标人在公告中标结果的同时，向中标人发出中标通知书。</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w:t>
      </w: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.2 中标通知书发出后，采购人不得违法改变中标结果，中标人无正当理由不得放弃中标。</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rPr>
        <w:t>36.</w:t>
      </w:r>
      <w:r>
        <w:rPr>
          <w:rFonts w:hint="eastAsia" w:cs="仿宋_GB2312" w:asciiTheme="minorEastAsia" w:hAnsiTheme="minorEastAsia"/>
          <w:b/>
          <w:color w:val="auto"/>
          <w:sz w:val="24"/>
          <w:szCs w:val="24"/>
          <w:highlight w:val="none"/>
          <w:lang w:val="zh-CN"/>
        </w:rPr>
        <w:t>质疑</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outlineLvl w:val="9"/>
        <w:rPr>
          <w:rFonts w:cs="仿宋_GB2312" w:asciiTheme="minorEastAsia" w:hAnsiTheme="minorEastAsia"/>
          <w:b/>
          <w:bCs/>
          <w:color w:val="auto"/>
          <w:sz w:val="24"/>
          <w:szCs w:val="24"/>
          <w:highlight w:val="none"/>
        </w:rPr>
      </w:pPr>
      <w:r>
        <w:rPr>
          <w:rFonts w:hint="eastAsia" w:cs="仿宋_GB2312" w:asciiTheme="minorEastAsia" w:hAnsiTheme="minorEastAsia"/>
          <w:color w:val="auto"/>
          <w:sz w:val="24"/>
          <w:szCs w:val="24"/>
          <w:highlight w:val="none"/>
        </w:rPr>
        <w:t>36.2 供应商应知其权益受到损害之日，是指：</w:t>
      </w:r>
      <w:r>
        <w:rPr>
          <w:rFonts w:hint="eastAsia" w:cs="仿宋_GB2312" w:asciiTheme="minorEastAsia" w:hAnsiTheme="minorEastAsia"/>
          <w:color w:val="auto"/>
          <w:sz w:val="24"/>
          <w:szCs w:val="24"/>
          <w:highlight w:val="none"/>
        </w:rPr>
        <w:br w:type="textWrapping"/>
      </w:r>
      <w:r>
        <w:rPr>
          <w:rFonts w:hint="eastAsia" w:cs="仿宋_GB2312" w:asciiTheme="minorEastAsia" w:hAnsiTheme="minorEastAsia"/>
          <w:color w:val="auto"/>
          <w:sz w:val="24"/>
          <w:szCs w:val="24"/>
          <w:highlight w:val="none"/>
        </w:rPr>
        <w:t>36.2.1 对可以质疑的采购文件提出质疑的，为收到采购文件之日或者采购文件公告期限届满之日；</w:t>
      </w:r>
      <w:r>
        <w:rPr>
          <w:rFonts w:hint="eastAsia" w:cs="仿宋_GB2312" w:asciiTheme="minorEastAsia" w:hAnsiTheme="minorEastAsia"/>
          <w:color w:val="auto"/>
          <w:sz w:val="24"/>
          <w:szCs w:val="24"/>
          <w:highlight w:val="none"/>
        </w:rPr>
        <w:br w:type="textWrapping"/>
      </w:r>
      <w:r>
        <w:rPr>
          <w:rFonts w:hint="eastAsia" w:cs="仿宋_GB2312" w:asciiTheme="minorEastAsia" w:hAnsiTheme="minorEastAsia"/>
          <w:color w:val="auto"/>
          <w:sz w:val="24"/>
          <w:szCs w:val="24"/>
          <w:highlight w:val="none"/>
        </w:rPr>
        <w:t>36.2.2 对采购过程提出质疑的，为各采购程序环节结束之日；</w:t>
      </w:r>
      <w:r>
        <w:rPr>
          <w:rFonts w:hint="eastAsia" w:cs="仿宋_GB2312" w:asciiTheme="minorEastAsia" w:hAnsiTheme="minorEastAsia"/>
          <w:color w:val="auto"/>
          <w:sz w:val="24"/>
          <w:szCs w:val="24"/>
          <w:highlight w:val="none"/>
        </w:rPr>
        <w:br w:type="textWrapping"/>
      </w:r>
      <w:r>
        <w:rPr>
          <w:rFonts w:hint="eastAsia" w:cs="仿宋_GB2312" w:asciiTheme="minorEastAsia" w:hAnsiTheme="minorEastAsia"/>
          <w:color w:val="auto"/>
          <w:sz w:val="24"/>
          <w:szCs w:val="24"/>
          <w:highlight w:val="none"/>
        </w:rPr>
        <w:t>36.2.3 对中标或者成交结果提出质疑的，为中标或者成交结果公告期限届满之日。</w:t>
      </w:r>
      <w:r>
        <w:rPr>
          <w:rFonts w:hint="eastAsia" w:cs="仿宋_GB2312" w:asciiTheme="minorEastAsia" w:hAnsiTheme="minorEastAsia"/>
          <w:color w:val="auto"/>
          <w:sz w:val="24"/>
          <w:szCs w:val="24"/>
          <w:highlight w:val="none"/>
        </w:rPr>
        <w:br w:type="textWrapping"/>
      </w:r>
      <w:r>
        <w:rPr>
          <w:rFonts w:hint="eastAsia" w:cs="仿宋_GB2312" w:asciiTheme="minorEastAsia" w:hAnsiTheme="minorEastAsia"/>
          <w:b/>
          <w:bCs/>
          <w:color w:val="auto"/>
          <w:sz w:val="24"/>
          <w:szCs w:val="24"/>
          <w:highlight w:val="none"/>
        </w:rPr>
        <w:t>37.档案保存</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招标人及其代理机构需留存项目电子档案时，可在质疑期满后使用CA锁从交易平台自行下载。</w:t>
      </w:r>
    </w:p>
    <w:p>
      <w:pPr>
        <w:tabs>
          <w:tab w:val="left" w:pos="1260"/>
        </w:tabs>
        <w:autoSpaceDE w:val="0"/>
        <w:autoSpaceDN w:val="0"/>
        <w:adjustRightInd w:val="0"/>
        <w:spacing w:line="360" w:lineRule="auto"/>
        <w:outlineLvl w:val="9"/>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38.</w:t>
      </w:r>
      <w:r>
        <w:rPr>
          <w:rFonts w:hint="eastAsia" w:cs="仿宋_GB2312" w:asciiTheme="minorEastAsia" w:hAnsiTheme="minorEastAsia"/>
          <w:b/>
          <w:color w:val="auto"/>
          <w:sz w:val="24"/>
          <w:szCs w:val="24"/>
          <w:highlight w:val="none"/>
          <w:lang w:val="zh-CN"/>
        </w:rPr>
        <w:t>签订合同</w:t>
      </w:r>
    </w:p>
    <w:p>
      <w:pPr>
        <w:tabs>
          <w:tab w:val="left" w:pos="1260"/>
        </w:tabs>
        <w:autoSpaceDE w:val="0"/>
        <w:autoSpaceDN w:val="0"/>
        <w:adjustRightInd w:val="0"/>
        <w:spacing w:line="360" w:lineRule="auto"/>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outlineLvl w:val="9"/>
        <w:rPr>
          <w:rFonts w:hint="eastAsia"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39.重新招标</w:t>
      </w:r>
    </w:p>
    <w:p>
      <w:pPr>
        <w:autoSpaceDE w:val="0"/>
        <w:autoSpaceDN w:val="0"/>
        <w:adjustRightInd w:val="0"/>
        <w:spacing w:line="360" w:lineRule="auto"/>
        <w:jc w:val="left"/>
        <w:outlineLvl w:val="9"/>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 xml:space="preserve">有下列情形之一的，采购人将重新招标： </w:t>
      </w:r>
    </w:p>
    <w:p>
      <w:pPr>
        <w:autoSpaceDE w:val="0"/>
        <w:autoSpaceDN w:val="0"/>
        <w:adjustRightInd w:val="0"/>
        <w:spacing w:line="360" w:lineRule="auto"/>
        <w:jc w:val="left"/>
        <w:outlineLvl w:val="9"/>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w:t>
      </w:r>
      <w:r>
        <w:rPr>
          <w:rFonts w:hint="eastAsia" w:ascii="宋体" w:hAnsi="宋体" w:cs="TimesNewRomanPSMT"/>
          <w:color w:val="auto"/>
          <w:kern w:val="0"/>
          <w:sz w:val="24"/>
          <w:szCs w:val="24"/>
          <w:highlight w:val="none"/>
        </w:rPr>
        <w:t>1</w:t>
      </w:r>
      <w:r>
        <w:rPr>
          <w:rFonts w:hint="eastAsia" w:ascii="宋体" w:hAnsi="宋体" w:cs="仿宋_GB2312"/>
          <w:color w:val="auto"/>
          <w:kern w:val="0"/>
          <w:sz w:val="24"/>
          <w:szCs w:val="24"/>
          <w:highlight w:val="none"/>
        </w:rPr>
        <w:t>）投标截止时间止，供应商少于</w:t>
      </w:r>
      <w:r>
        <w:rPr>
          <w:rFonts w:hint="eastAsia" w:ascii="宋体" w:hAnsi="宋体" w:cs="TimesNewRomanPSMT"/>
          <w:color w:val="auto"/>
          <w:kern w:val="0"/>
          <w:sz w:val="24"/>
          <w:szCs w:val="24"/>
          <w:highlight w:val="none"/>
        </w:rPr>
        <w:t>3</w:t>
      </w:r>
      <w:r>
        <w:rPr>
          <w:rFonts w:hint="eastAsia" w:ascii="宋体" w:hAnsi="宋体" w:cs="仿宋_GB2312"/>
          <w:color w:val="auto"/>
          <w:kern w:val="0"/>
          <w:sz w:val="24"/>
          <w:szCs w:val="24"/>
          <w:highlight w:val="none"/>
        </w:rPr>
        <w:t>家的；</w:t>
      </w:r>
    </w:p>
    <w:p>
      <w:pPr>
        <w:autoSpaceDE w:val="0"/>
        <w:autoSpaceDN w:val="0"/>
        <w:adjustRightInd w:val="0"/>
        <w:spacing w:line="360" w:lineRule="auto"/>
        <w:jc w:val="left"/>
        <w:outlineLvl w:val="9"/>
        <w:rPr>
          <w:rFonts w:ascii="黑体" w:hAnsi="新宋体" w:eastAsia="黑体" w:cs="黑体"/>
          <w:b/>
          <w:bCs/>
          <w:color w:val="auto"/>
          <w:sz w:val="24"/>
          <w:szCs w:val="24"/>
          <w:highlight w:val="none"/>
        </w:rPr>
      </w:pPr>
      <w:r>
        <w:rPr>
          <w:rFonts w:hint="eastAsia" w:ascii="宋体" w:hAnsi="宋体" w:cs="仿宋_GB2312"/>
          <w:color w:val="auto"/>
          <w:kern w:val="0"/>
          <w:sz w:val="24"/>
          <w:szCs w:val="24"/>
          <w:highlight w:val="none"/>
        </w:rPr>
        <w:t>（</w:t>
      </w:r>
      <w:r>
        <w:rPr>
          <w:rFonts w:hint="eastAsia" w:ascii="宋体" w:hAnsi="宋体" w:cs="TimesNewRomanPSMT"/>
          <w:color w:val="auto"/>
          <w:kern w:val="0"/>
          <w:sz w:val="24"/>
          <w:szCs w:val="24"/>
          <w:highlight w:val="none"/>
        </w:rPr>
        <w:t>2</w:t>
      </w:r>
      <w:r>
        <w:rPr>
          <w:rFonts w:hint="eastAsia" w:ascii="宋体" w:hAnsi="宋体" w:cs="仿宋_GB2312"/>
          <w:color w:val="auto"/>
          <w:kern w:val="0"/>
          <w:sz w:val="24"/>
          <w:szCs w:val="24"/>
          <w:highlight w:val="none"/>
        </w:rPr>
        <w:t>）经评标委员会评审后实质性响应招标文件的供应商不足三家的。</w:t>
      </w:r>
    </w:p>
    <w:p>
      <w:pPr>
        <w:widowControl/>
        <w:jc w:val="center"/>
        <w:outlineLvl w:val="0"/>
        <w:rPr>
          <w:rFonts w:cs="宋体" w:asciiTheme="majorEastAsia" w:hAnsiTheme="majorEastAsia" w:eastAsiaTheme="majorEastAsia"/>
          <w:b/>
          <w:color w:val="auto"/>
          <w:kern w:val="0"/>
          <w:sz w:val="36"/>
          <w:szCs w:val="36"/>
          <w:highlight w:val="none"/>
        </w:rPr>
      </w:pPr>
      <w:r>
        <w:rPr>
          <w:rFonts w:cs="宋体" w:asciiTheme="majorEastAsia" w:hAnsiTheme="majorEastAsia" w:eastAsiaTheme="majorEastAsia"/>
          <w:b/>
          <w:color w:val="auto"/>
          <w:kern w:val="0"/>
          <w:sz w:val="36"/>
          <w:szCs w:val="36"/>
          <w:highlight w:val="none"/>
        </w:rPr>
        <w:br w:type="page"/>
      </w:r>
      <w:bookmarkStart w:id="14" w:name="_Toc16959"/>
      <w:bookmarkStart w:id="15" w:name="_Toc18388"/>
      <w:r>
        <w:rPr>
          <w:rFonts w:hint="eastAsia" w:cs="宋体" w:asciiTheme="majorEastAsia" w:hAnsiTheme="majorEastAsia" w:eastAsiaTheme="majorEastAsia"/>
          <w:b/>
          <w:color w:val="auto"/>
          <w:kern w:val="0"/>
          <w:sz w:val="36"/>
          <w:szCs w:val="36"/>
          <w:highlight w:val="none"/>
        </w:rPr>
        <w:t>第三章 项目需求及其他要求</w:t>
      </w:r>
      <w:bookmarkEnd w:id="14"/>
      <w:bookmarkEnd w:id="15"/>
    </w:p>
    <w:p>
      <w:pPr>
        <w:outlineLvl w:val="1"/>
        <w:rPr>
          <w:rFonts w:ascii="仿宋" w:hAnsi="仿宋" w:eastAsia="仿宋" w:cs="宋体"/>
          <w:b/>
          <w:color w:val="auto"/>
          <w:kern w:val="0"/>
          <w:sz w:val="28"/>
          <w:szCs w:val="28"/>
          <w:highlight w:val="none"/>
        </w:rPr>
      </w:pPr>
      <w:bookmarkStart w:id="16" w:name="_Toc26114"/>
      <w:bookmarkStart w:id="17" w:name="_Toc23730"/>
      <w:r>
        <w:rPr>
          <w:rFonts w:hint="eastAsia" w:ascii="宋体" w:hAnsi="宋体"/>
          <w:b/>
          <w:color w:val="auto"/>
          <w:sz w:val="32"/>
          <w:szCs w:val="32"/>
          <w:highlight w:val="none"/>
        </w:rPr>
        <w:t>一、</w:t>
      </w:r>
      <w:r>
        <w:rPr>
          <w:rFonts w:hint="eastAsia" w:ascii="仿宋" w:hAnsi="仿宋" w:eastAsia="仿宋" w:cs="仿宋"/>
          <w:b/>
          <w:bCs/>
          <w:color w:val="auto"/>
          <w:sz w:val="30"/>
          <w:szCs w:val="30"/>
        </w:rPr>
        <w:t>采购清单、数量、规格及技术参数</w:t>
      </w:r>
      <w:bookmarkEnd w:id="16"/>
      <w:bookmarkEnd w:id="17"/>
    </w:p>
    <w:tbl>
      <w:tblPr>
        <w:tblStyle w:val="24"/>
        <w:tblW w:w="10366" w:type="dxa"/>
        <w:jc w:val="center"/>
        <w:shd w:val="clear" w:color="auto" w:fill="auto"/>
        <w:tblLayout w:type="autofit"/>
        <w:tblCellMar>
          <w:top w:w="0" w:type="dxa"/>
          <w:left w:w="0" w:type="dxa"/>
          <w:bottom w:w="0" w:type="dxa"/>
          <w:right w:w="0" w:type="dxa"/>
        </w:tblCellMar>
      </w:tblPr>
      <w:tblGrid>
        <w:gridCol w:w="825"/>
        <w:gridCol w:w="1087"/>
        <w:gridCol w:w="5499"/>
        <w:gridCol w:w="951"/>
        <w:gridCol w:w="1002"/>
        <w:gridCol w:w="1002"/>
      </w:tblGrid>
      <w:tr>
        <w:tblPrEx>
          <w:shd w:val="clear" w:color="auto" w:fill="auto"/>
          <w:tblCellMar>
            <w:top w:w="0" w:type="dxa"/>
            <w:left w:w="0" w:type="dxa"/>
            <w:bottom w:w="0" w:type="dxa"/>
            <w:right w:w="0" w:type="dxa"/>
          </w:tblCellMar>
        </w:tblPrEx>
        <w:trPr>
          <w:trHeight w:val="517" w:hRule="atLeast"/>
          <w:jc w:val="center"/>
        </w:trPr>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序号</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名称</w:t>
            </w:r>
          </w:p>
        </w:tc>
        <w:tc>
          <w:tcPr>
            <w:tcW w:w="54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规格及技术参数</w:t>
            </w:r>
          </w:p>
        </w:tc>
        <w:tc>
          <w:tcPr>
            <w:tcW w:w="9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单位</w:t>
            </w:r>
          </w:p>
        </w:tc>
        <w:tc>
          <w:tcPr>
            <w:tcW w:w="10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数量</w:t>
            </w:r>
          </w:p>
        </w:tc>
        <w:tc>
          <w:tcPr>
            <w:tcW w:w="10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是否为核心产品</w:t>
            </w:r>
          </w:p>
        </w:tc>
      </w:tr>
      <w:tr>
        <w:tblPrEx>
          <w:shd w:val="clear" w:color="auto" w:fill="auto"/>
          <w:tblCellMar>
            <w:top w:w="0" w:type="dxa"/>
            <w:left w:w="0" w:type="dxa"/>
            <w:bottom w:w="0" w:type="dxa"/>
            <w:right w:w="0" w:type="dxa"/>
          </w:tblCellMar>
        </w:tblPrEx>
        <w:trPr>
          <w:trHeight w:val="2097" w:hRule="atLeast"/>
          <w:jc w:val="center"/>
        </w:trPr>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PAD终端</w:t>
            </w:r>
          </w:p>
        </w:tc>
        <w:tc>
          <w:tcPr>
            <w:tcW w:w="54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CPU核数:八核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运行内存≥4G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存储≥64G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屏幕尺寸≥8英寸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分辨率不低于1920*1200                            主摄不低于800万像素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副摄不低于500万像素</w:t>
            </w:r>
          </w:p>
          <w:p>
            <w:pPr>
              <w:widowControl/>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扩展支持≥128GB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操作系统：Android </w:t>
            </w:r>
          </w:p>
          <w:p>
            <w:pPr>
              <w:widowControl/>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电池容量≥4000mAh</w:t>
            </w:r>
          </w:p>
        </w:tc>
        <w:tc>
          <w:tcPr>
            <w:tcW w:w="9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部</w:t>
            </w:r>
          </w:p>
        </w:tc>
        <w:tc>
          <w:tcPr>
            <w:tcW w:w="10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233</w:t>
            </w:r>
          </w:p>
        </w:tc>
        <w:tc>
          <w:tcPr>
            <w:tcW w:w="10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w:t>
            </w:r>
          </w:p>
        </w:tc>
      </w:tr>
      <w:tr>
        <w:tblPrEx>
          <w:shd w:val="clear" w:color="auto" w:fill="auto"/>
          <w:tblCellMar>
            <w:top w:w="0" w:type="dxa"/>
            <w:left w:w="0" w:type="dxa"/>
            <w:bottom w:w="0" w:type="dxa"/>
            <w:right w:w="0" w:type="dxa"/>
          </w:tblCellMar>
        </w:tblPrEx>
        <w:trPr>
          <w:trHeight w:val="5100" w:hRule="atLeast"/>
          <w:jc w:val="center"/>
        </w:trPr>
        <w:tc>
          <w:tcPr>
            <w:tcW w:w="8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公网集群对讲系统及运营管理平台</w:t>
            </w:r>
          </w:p>
        </w:tc>
        <w:tc>
          <w:tcPr>
            <w:tcW w:w="54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outlineLvl w:val="9"/>
              <w:rPr>
                <w:rFonts w:hint="eastAsia" w:ascii="宋体" w:hAnsi="宋体" w:eastAsia="宋体" w:cs="宋体"/>
                <w:i w:val="0"/>
                <w:color w:val="auto"/>
                <w:sz w:val="24"/>
                <w:szCs w:val="24"/>
                <w:u w:val="none"/>
              </w:rPr>
            </w:pPr>
            <w:r>
              <w:rPr>
                <w:rStyle w:val="69"/>
                <w:color w:val="auto"/>
                <w:lang w:val="en-US" w:eastAsia="zh-CN" w:bidi="ar"/>
              </w:rPr>
              <w:t>1、一按即通：平台对讲机，呼叫接续快，支持单呼和组呼，实时性强。</w:t>
            </w:r>
            <w:r>
              <w:rPr>
                <w:rStyle w:val="70"/>
                <w:rFonts w:eastAsia="宋体"/>
                <w:color w:val="auto"/>
                <w:lang w:val="en-US" w:eastAsia="zh-CN" w:bidi="ar"/>
              </w:rPr>
              <w:t> </w:t>
            </w:r>
            <w:r>
              <w:rPr>
                <w:rStyle w:val="69"/>
                <w:color w:val="auto"/>
                <w:lang w:val="en-US" w:eastAsia="zh-CN" w:bidi="ar"/>
              </w:rPr>
              <w:t xml:space="preserve"> </w:t>
            </w:r>
            <w:r>
              <w:rPr>
                <w:rStyle w:val="69"/>
                <w:color w:val="auto"/>
                <w:lang w:val="en-US" w:eastAsia="zh-CN" w:bidi="ar"/>
              </w:rPr>
              <w:br w:type="textWrapping"/>
            </w:r>
            <w:r>
              <w:rPr>
                <w:rStyle w:val="69"/>
                <w:color w:val="auto"/>
                <w:lang w:val="en-US" w:eastAsia="zh-CN" w:bidi="ar"/>
              </w:rPr>
              <w:t>2、一呼百应：群组内用户容量大，群组呼叫，适用于现场指挥、现场协调、集群调度等工作场景。</w:t>
            </w:r>
            <w:r>
              <w:rPr>
                <w:rStyle w:val="70"/>
                <w:rFonts w:eastAsia="宋体"/>
                <w:color w:val="auto"/>
                <w:lang w:val="en-US" w:eastAsia="zh-CN" w:bidi="ar"/>
              </w:rPr>
              <w:t> </w:t>
            </w:r>
            <w:r>
              <w:rPr>
                <w:rStyle w:val="69"/>
                <w:color w:val="auto"/>
                <w:lang w:val="en-US" w:eastAsia="zh-CN" w:bidi="ar"/>
              </w:rPr>
              <w:t xml:space="preserve"> </w:t>
            </w:r>
            <w:r>
              <w:rPr>
                <w:rStyle w:val="69"/>
                <w:color w:val="auto"/>
                <w:lang w:val="en-US" w:eastAsia="zh-CN" w:bidi="ar"/>
              </w:rPr>
              <w:br w:type="textWrapping"/>
            </w:r>
            <w:r>
              <w:rPr>
                <w:rStyle w:val="69"/>
                <w:color w:val="auto"/>
                <w:lang w:val="en-US" w:eastAsia="zh-CN" w:bidi="ar"/>
              </w:rPr>
              <w:t>3、超强覆盖：不受地域、距离限制，可实现远程的实时调度。</w:t>
            </w:r>
            <w:r>
              <w:rPr>
                <w:rStyle w:val="70"/>
                <w:rFonts w:eastAsia="宋体"/>
                <w:color w:val="auto"/>
                <w:lang w:val="en-US" w:eastAsia="zh-CN" w:bidi="ar"/>
              </w:rPr>
              <w:t> </w:t>
            </w:r>
            <w:r>
              <w:rPr>
                <w:rStyle w:val="69"/>
                <w:color w:val="auto"/>
                <w:lang w:val="en-US" w:eastAsia="zh-CN" w:bidi="ar"/>
              </w:rPr>
              <w:t xml:space="preserve"> </w:t>
            </w:r>
            <w:r>
              <w:rPr>
                <w:rStyle w:val="69"/>
                <w:color w:val="auto"/>
                <w:lang w:val="en-US" w:eastAsia="zh-CN" w:bidi="ar"/>
              </w:rPr>
              <w:br w:type="textWrapping"/>
            </w:r>
            <w:r>
              <w:rPr>
                <w:rStyle w:val="69"/>
                <w:color w:val="auto"/>
                <w:lang w:val="en-US" w:eastAsia="zh-CN" w:bidi="ar"/>
              </w:rPr>
              <w:t>4、专业调度：平台多功能调度台，能满足集团客户日常工作中调度指挥的专业要求。</w:t>
            </w:r>
            <w:r>
              <w:rPr>
                <w:rStyle w:val="70"/>
                <w:rFonts w:eastAsia="宋体"/>
                <w:color w:val="auto"/>
                <w:lang w:val="en-US" w:eastAsia="zh-CN" w:bidi="ar"/>
              </w:rPr>
              <w:t> </w:t>
            </w:r>
            <w:r>
              <w:rPr>
                <w:rStyle w:val="69"/>
                <w:color w:val="auto"/>
                <w:lang w:val="en-US" w:eastAsia="zh-CN" w:bidi="ar"/>
              </w:rPr>
              <w:t xml:space="preserve"> </w:t>
            </w:r>
            <w:r>
              <w:rPr>
                <w:rStyle w:val="69"/>
                <w:color w:val="auto"/>
                <w:lang w:val="en-US" w:eastAsia="zh-CN" w:bidi="ar"/>
              </w:rPr>
              <w:br w:type="textWrapping"/>
            </w:r>
            <w:r>
              <w:rPr>
                <w:rStyle w:val="69"/>
                <w:color w:val="auto"/>
                <w:lang w:val="en-US" w:eastAsia="zh-CN" w:bidi="ar"/>
              </w:rPr>
              <w:t>5、分级管理：设有运营商和企业级别管理平台，便于实际当中操作与管理。</w:t>
            </w:r>
            <w:r>
              <w:rPr>
                <w:rStyle w:val="69"/>
                <w:color w:val="auto"/>
                <w:lang w:val="en-US" w:eastAsia="zh-CN" w:bidi="ar"/>
              </w:rPr>
              <w:br w:type="textWrapping"/>
            </w:r>
            <w:r>
              <w:rPr>
                <w:rStyle w:val="69"/>
                <w:color w:val="auto"/>
                <w:lang w:val="en-US" w:eastAsia="zh-CN" w:bidi="ar"/>
              </w:rPr>
              <w:t>6、发言管理：实现分权限强行插入发言，先下达紧急指令。</w:t>
            </w:r>
            <w:r>
              <w:rPr>
                <w:rStyle w:val="70"/>
                <w:rFonts w:eastAsia="宋体"/>
                <w:color w:val="auto"/>
                <w:lang w:val="en-US" w:eastAsia="zh-CN" w:bidi="ar"/>
              </w:rPr>
              <w:t> </w:t>
            </w:r>
            <w:r>
              <w:rPr>
                <w:rStyle w:val="69"/>
                <w:color w:val="auto"/>
                <w:lang w:val="en-US" w:eastAsia="zh-CN" w:bidi="ar"/>
              </w:rPr>
              <w:br w:type="textWrapping"/>
            </w:r>
            <w:r>
              <w:rPr>
                <w:rStyle w:val="69"/>
                <w:color w:val="auto"/>
                <w:lang w:val="en-US" w:eastAsia="zh-CN" w:bidi="ar"/>
              </w:rPr>
              <w:t>7、组网简单：跨网络，中国移动、联通、电信通信网络完美支持；</w:t>
            </w:r>
            <w:r>
              <w:rPr>
                <w:rStyle w:val="70"/>
                <w:rFonts w:eastAsia="宋体"/>
                <w:color w:val="auto"/>
                <w:lang w:val="en-US" w:eastAsia="zh-CN" w:bidi="ar"/>
              </w:rPr>
              <w:t> </w:t>
            </w:r>
            <w:r>
              <w:rPr>
                <w:rStyle w:val="69"/>
                <w:color w:val="auto"/>
                <w:lang w:val="en-US" w:eastAsia="zh-CN" w:bidi="ar"/>
              </w:rPr>
              <w:br w:type="textWrapping"/>
            </w:r>
            <w:r>
              <w:rPr>
                <w:rStyle w:val="69"/>
                <w:color w:val="auto"/>
                <w:lang w:val="en-US" w:eastAsia="zh-CN" w:bidi="ar"/>
              </w:rPr>
              <w:t>8、互联互通：通过安装组侧实现集群系统互联互通。</w:t>
            </w:r>
            <w:r>
              <w:rPr>
                <w:rStyle w:val="69"/>
                <w:color w:val="auto"/>
                <w:lang w:val="en-US" w:eastAsia="zh-CN" w:bidi="ar"/>
              </w:rPr>
              <w:br w:type="textWrapping"/>
            </w:r>
            <w:r>
              <w:rPr>
                <w:rStyle w:val="69"/>
                <w:color w:val="auto"/>
                <w:lang w:val="en-US" w:eastAsia="zh-CN" w:bidi="ar"/>
              </w:rPr>
              <w:t>9、强安全性：多重加密，确保数据万无一失。</w:t>
            </w:r>
          </w:p>
        </w:tc>
        <w:tc>
          <w:tcPr>
            <w:tcW w:w="9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c>
          <w:tcPr>
            <w:tcW w:w="10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w:t>
            </w:r>
          </w:p>
        </w:tc>
      </w:tr>
    </w:tbl>
    <w:p>
      <w:pPr>
        <w:widowControl/>
        <w:shd w:val="clear" w:color="auto" w:fill="FFFFFF"/>
        <w:spacing w:line="360" w:lineRule="auto"/>
        <w:jc w:val="left"/>
        <w:outlineLvl w:val="9"/>
        <w:rPr>
          <w:rFonts w:hint="eastAsia" w:ascii="仿宋" w:hAnsi="仿宋" w:eastAsia="仿宋" w:cs="宋体"/>
          <w:b/>
          <w:color w:val="auto"/>
          <w:kern w:val="0"/>
          <w:sz w:val="28"/>
          <w:szCs w:val="28"/>
          <w:highlight w:val="none"/>
        </w:rPr>
      </w:pPr>
    </w:p>
    <w:p>
      <w:pPr>
        <w:widowControl/>
        <w:shd w:val="clear" w:color="auto" w:fill="FFFFFF"/>
        <w:spacing w:line="360" w:lineRule="auto"/>
        <w:jc w:val="left"/>
        <w:outlineLvl w:val="1"/>
        <w:rPr>
          <w:rFonts w:ascii="宋体" w:hAnsi="宋体" w:cs="仿宋_GB2312"/>
          <w:b/>
          <w:color w:val="auto"/>
          <w:sz w:val="24"/>
          <w:highlight w:val="none"/>
          <w:lang w:val="zh-CN"/>
        </w:rPr>
      </w:pPr>
      <w:bookmarkStart w:id="18" w:name="_Toc9766"/>
      <w:bookmarkStart w:id="19" w:name="_Toc15477"/>
      <w:r>
        <w:rPr>
          <w:rFonts w:hint="eastAsia" w:ascii="仿宋" w:hAnsi="仿宋" w:eastAsia="仿宋" w:cs="宋体"/>
          <w:b/>
          <w:color w:val="auto"/>
          <w:kern w:val="0"/>
          <w:sz w:val="28"/>
          <w:szCs w:val="28"/>
          <w:highlight w:val="none"/>
        </w:rPr>
        <w:t>二、其他要求：</w:t>
      </w:r>
      <w:bookmarkEnd w:id="18"/>
      <w:bookmarkEnd w:id="19"/>
    </w:p>
    <w:p>
      <w:pPr>
        <w:spacing w:line="360" w:lineRule="auto"/>
        <w:ind w:firstLine="480" w:firstLineChars="200"/>
        <w:contextualSpacing/>
        <w:outlineLvl w:val="9"/>
        <w:rPr>
          <w:rFonts w:ascii="宋体" w:hAnsi="宋体" w:cs="仿宋_GB2312"/>
          <w:bCs/>
          <w:color w:val="auto"/>
          <w:sz w:val="24"/>
          <w:highlight w:val="none"/>
          <w:lang w:val="zh-CN"/>
        </w:rPr>
      </w:pPr>
      <w:r>
        <w:rPr>
          <w:rFonts w:hint="eastAsia" w:ascii="宋体" w:hAnsi="宋体" w:cs="仿宋_GB2312"/>
          <w:bCs/>
          <w:color w:val="auto"/>
          <w:sz w:val="24"/>
          <w:highlight w:val="none"/>
        </w:rPr>
        <w:t>1</w:t>
      </w:r>
      <w:r>
        <w:rPr>
          <w:rFonts w:hint="eastAsia" w:ascii="宋体" w:hAnsi="宋体" w:cs="仿宋_GB2312"/>
          <w:bCs/>
          <w:color w:val="auto"/>
          <w:sz w:val="24"/>
          <w:highlight w:val="none"/>
          <w:lang w:val="zh-CN"/>
        </w:rPr>
        <w:t>、投标人须明确投标产品的厂家、产地、品牌、型号、详细参数，否则为无效投标；</w:t>
      </w:r>
    </w:p>
    <w:p>
      <w:pPr>
        <w:spacing w:line="360" w:lineRule="auto"/>
        <w:ind w:firstLine="480" w:firstLineChars="200"/>
        <w:contextualSpacing/>
        <w:outlineLvl w:val="9"/>
        <w:rPr>
          <w:rFonts w:ascii="宋体" w:hAnsi="宋体" w:cs="仿宋_GB2312"/>
          <w:bCs/>
          <w:color w:val="auto"/>
          <w:sz w:val="24"/>
          <w:highlight w:val="none"/>
          <w:lang w:val="zh-CN"/>
        </w:rPr>
      </w:pPr>
      <w:r>
        <w:rPr>
          <w:rFonts w:hint="eastAsia" w:ascii="宋体" w:hAnsi="宋体" w:cs="仿宋_GB2312"/>
          <w:bCs/>
          <w:color w:val="auto"/>
          <w:sz w:val="24"/>
          <w:highlight w:val="none"/>
        </w:rPr>
        <w:t>2、</w:t>
      </w:r>
      <w:r>
        <w:rPr>
          <w:rFonts w:hint="eastAsia" w:ascii="宋体" w:hAnsi="宋体" w:cs="仿宋_GB2312"/>
          <w:bCs/>
          <w:color w:val="auto"/>
          <w:sz w:val="24"/>
          <w:highlight w:val="none"/>
          <w:lang w:val="zh-CN"/>
        </w:rPr>
        <w:t>投标人应就该项目完整投标，否则为无效投标。</w:t>
      </w:r>
    </w:p>
    <w:p>
      <w:pPr>
        <w:spacing w:line="360" w:lineRule="auto"/>
        <w:ind w:firstLine="480" w:firstLineChars="200"/>
        <w:contextualSpacing/>
        <w:outlineLvl w:val="9"/>
        <w:rPr>
          <w:rFonts w:ascii="宋体" w:hAnsi="宋体" w:cs="仿宋_GB2312"/>
          <w:bCs/>
          <w:color w:val="auto"/>
          <w:sz w:val="24"/>
          <w:highlight w:val="none"/>
          <w:lang w:val="zh-CN"/>
        </w:rPr>
      </w:pPr>
      <w:r>
        <w:rPr>
          <w:rFonts w:hint="eastAsia" w:ascii="宋体" w:hAnsi="宋体" w:cs="仿宋_GB2312"/>
          <w:bCs/>
          <w:color w:val="auto"/>
          <w:sz w:val="24"/>
          <w:highlight w:val="none"/>
        </w:rPr>
        <w:t>3</w:t>
      </w:r>
      <w:r>
        <w:rPr>
          <w:rFonts w:hint="eastAsia" w:ascii="宋体" w:hAnsi="宋体" w:cs="仿宋_GB2312"/>
          <w:bCs/>
          <w:color w:val="auto"/>
          <w:sz w:val="24"/>
          <w:highlight w:val="none"/>
          <w:lang w:val="zh-CN"/>
        </w:rPr>
        <w:t>、本招标文件所列需求为最低要求，投标产品不得低于最低要求，否则为无效投标。</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rPr>
        <w:t>4</w:t>
      </w:r>
      <w:r>
        <w:rPr>
          <w:rFonts w:hint="eastAsia" w:ascii="宋体" w:hAnsi="宋体" w:cs="仿宋_GB2312"/>
          <w:color w:val="auto"/>
          <w:sz w:val="24"/>
          <w:highlight w:val="none"/>
          <w:lang w:val="zh-CN"/>
        </w:rPr>
        <w:t>、履约时间 ：自合同生效之日起</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lang w:val="zh-CN"/>
        </w:rPr>
        <w:t>个日历天、完成安装调试并具备验收条件。</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rPr>
        <w:t>5</w:t>
      </w:r>
      <w:r>
        <w:rPr>
          <w:rFonts w:hint="eastAsia" w:ascii="宋体" w:hAnsi="宋体" w:cs="仿宋_GB2312"/>
          <w:color w:val="auto"/>
          <w:sz w:val="24"/>
          <w:highlight w:val="none"/>
          <w:lang w:val="zh-CN"/>
        </w:rPr>
        <w:t>、最高限价：</w:t>
      </w:r>
      <w:r>
        <w:rPr>
          <w:rFonts w:hint="eastAsia" w:ascii="宋体" w:hAnsi="宋体" w:cs="仿宋_GB2312"/>
          <w:color w:val="auto"/>
          <w:sz w:val="24"/>
          <w:highlight w:val="none"/>
          <w:lang w:eastAsia="zh-CN"/>
        </w:rPr>
        <w:t>415905元</w:t>
      </w:r>
      <w:r>
        <w:rPr>
          <w:rFonts w:hint="eastAsia" w:ascii="宋体" w:hAnsi="宋体" w:cs="仿宋_GB2312"/>
          <w:color w:val="auto"/>
          <w:sz w:val="24"/>
          <w:highlight w:val="none"/>
          <w:lang w:val="zh-CN"/>
        </w:rPr>
        <w:t>，超出者为无效投标。</w:t>
      </w:r>
    </w:p>
    <w:p>
      <w:pPr>
        <w:spacing w:line="360" w:lineRule="auto"/>
        <w:ind w:firstLine="480" w:firstLineChars="200"/>
        <w:contextualSpacing/>
        <w:outlineLvl w:val="9"/>
        <w:rPr>
          <w:rFonts w:hint="eastAsia" w:ascii="宋体" w:hAnsi="宋体" w:cs="仿宋_GB2312"/>
          <w:color w:val="auto"/>
          <w:sz w:val="24"/>
          <w:highlight w:val="none"/>
          <w:lang w:val="zh-CN"/>
        </w:rPr>
      </w:pPr>
      <w:r>
        <w:rPr>
          <w:rFonts w:hint="eastAsia" w:ascii="宋体" w:hAnsi="宋体" w:cs="仿宋_GB2312"/>
          <w:color w:val="auto"/>
          <w:sz w:val="24"/>
          <w:highlight w:val="none"/>
        </w:rPr>
        <w:t>6</w:t>
      </w: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zh-CN" w:eastAsia="zh-CN"/>
        </w:rPr>
        <w:t>质保期</w:t>
      </w: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lang w:val="zh-CN"/>
        </w:rPr>
        <w:t>年。</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lang w:val="zh-CN"/>
        </w:rPr>
        <w:t>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w:t>
      </w:r>
      <w:r>
        <w:rPr>
          <w:rFonts w:hint="eastAsia" w:ascii="宋体" w:hAnsi="宋体" w:cs="仿宋_GB2312"/>
          <w:color w:val="auto"/>
          <w:sz w:val="24"/>
          <w:highlight w:val="none"/>
          <w:lang w:val="zh-CN"/>
        </w:rPr>
        <w:t>专利权：投标人应保证用户在使用该货物或其任何一部分时不受第三方提出侵犯其专利权、商标权和工业设计权等的起诉。(须提供加盖公章的承诺函)</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lang w:val="zh-CN"/>
        </w:rPr>
        <w:t>、投标人须提供售后服务承诺书（须明确保证产品质量、并承诺承担因产品质量不合格造成的损失。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lang w:val="en-US" w:eastAsia="zh-CN"/>
        </w:rPr>
        <w:t>10</w:t>
      </w:r>
      <w:r>
        <w:rPr>
          <w:rFonts w:hint="eastAsia" w:ascii="宋体" w:hAnsi="宋体" w:cs="仿宋_GB2312"/>
          <w:color w:val="auto"/>
          <w:sz w:val="24"/>
          <w:highlight w:val="none"/>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lang w:val="zh-CN"/>
        </w:rPr>
        <w:t>、验收标准</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w:t>
      </w:r>
      <w:r>
        <w:rPr>
          <w:rFonts w:hint="eastAsia" w:ascii="宋体" w:hAnsi="宋体" w:cs="仿宋_GB2312"/>
          <w:color w:val="auto"/>
          <w:sz w:val="24"/>
          <w:highlight w:val="none"/>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w:t>
      </w:r>
      <w:r>
        <w:rPr>
          <w:rFonts w:hint="eastAsia" w:ascii="宋体" w:hAnsi="宋体" w:cs="仿宋_GB2312"/>
          <w:color w:val="auto"/>
          <w:sz w:val="24"/>
          <w:highlight w:val="none"/>
          <w:lang w:val="zh-CN"/>
        </w:rPr>
        <w:t>2、按照国家相关标准、行业标准、地方标准或者其他标准、规范验收。</w:t>
      </w:r>
    </w:p>
    <w:p>
      <w:pPr>
        <w:spacing w:line="360" w:lineRule="auto"/>
        <w:ind w:firstLine="480" w:firstLineChars="200"/>
        <w:contextualSpacing/>
        <w:outlineLvl w:val="9"/>
        <w:rPr>
          <w:rFonts w:ascii="宋体" w:hAnsi="宋体" w:cs="仿宋_GB2312"/>
          <w:color w:val="auto"/>
          <w:sz w:val="24"/>
          <w:highlight w:val="none"/>
          <w:lang w:val="zh-CN"/>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w:t>
      </w:r>
      <w:r>
        <w:rPr>
          <w:rFonts w:hint="eastAsia" w:ascii="宋体" w:hAnsi="宋体" w:cs="仿宋_GB2312"/>
          <w:color w:val="auto"/>
          <w:sz w:val="24"/>
          <w:highlight w:val="none"/>
          <w:lang w:val="zh-CN"/>
        </w:rPr>
        <w:t>3、按照招标文件要求、投标文件响应和承诺验收。</w:t>
      </w:r>
    </w:p>
    <w:p>
      <w:pPr>
        <w:pStyle w:val="22"/>
        <w:ind w:firstLine="0" w:firstLineChars="0"/>
        <w:outlineLvl w:val="9"/>
        <w:rPr>
          <w:color w:val="auto"/>
          <w:highlight w:val="none"/>
        </w:rPr>
        <w:sectPr>
          <w:footerReference r:id="rId4" w:type="default"/>
          <w:pgSz w:w="11906" w:h="16838"/>
          <w:pgMar w:top="1418" w:right="1474" w:bottom="1418" w:left="1474" w:header="851" w:footer="992" w:gutter="0"/>
          <w:pgNumType w:fmt="decimal" w:start="1"/>
          <w:cols w:space="425" w:num="1"/>
          <w:docGrid w:type="linesAndChars" w:linePitch="312" w:charSpace="0"/>
        </w:sectPr>
      </w:pPr>
    </w:p>
    <w:p>
      <w:pPr>
        <w:widowControl/>
        <w:ind w:firstLine="2331" w:firstLineChars="645"/>
        <w:outlineLvl w:val="0"/>
        <w:rPr>
          <w:rFonts w:cs="宋体" w:asciiTheme="majorEastAsia" w:hAnsiTheme="majorEastAsia" w:eastAsiaTheme="majorEastAsia"/>
          <w:b/>
          <w:color w:val="auto"/>
          <w:kern w:val="0"/>
          <w:sz w:val="36"/>
          <w:szCs w:val="36"/>
          <w:highlight w:val="none"/>
        </w:rPr>
      </w:pPr>
      <w:bookmarkStart w:id="20" w:name="_Toc10086"/>
      <w:bookmarkStart w:id="21" w:name="_Toc18258"/>
      <w:r>
        <w:rPr>
          <w:rFonts w:hint="eastAsia" w:cs="宋体" w:asciiTheme="majorEastAsia" w:hAnsiTheme="majorEastAsia" w:eastAsiaTheme="majorEastAsia"/>
          <w:b/>
          <w:color w:val="auto"/>
          <w:kern w:val="0"/>
          <w:sz w:val="36"/>
          <w:szCs w:val="36"/>
          <w:highlight w:val="none"/>
        </w:rPr>
        <w:t>第四章 政府采购政策功能</w:t>
      </w:r>
      <w:bookmarkEnd w:id="20"/>
      <w:bookmarkEnd w:id="21"/>
    </w:p>
    <w:p>
      <w:pPr>
        <w:spacing w:line="360" w:lineRule="auto"/>
        <w:ind w:firstLine="480" w:firstLineChars="200"/>
        <w:contextualSpacing/>
        <w:outlineLvl w:val="9"/>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根据《中华人民共和国政府采购法》、《中华人民共和国政府采购法实施条例》、《政府采购货物和服务招标投标管理办法》等规定，本项目</w:t>
      </w:r>
      <w:r>
        <w:rPr>
          <w:rFonts w:hint="eastAsia" w:ascii="宋体" w:hAnsi="宋体" w:cs="仿宋_GB2312"/>
          <w:color w:val="auto"/>
          <w:sz w:val="24"/>
          <w:szCs w:val="24"/>
          <w:highlight w:val="none"/>
          <w:lang w:val="zh-CN"/>
        </w:rPr>
        <w:t>落实节约能源、保护环境、</w:t>
      </w:r>
      <w:r>
        <w:rPr>
          <w:rFonts w:hint="eastAsia" w:cs="仿宋_GB2312" w:asciiTheme="minorEastAsia" w:hAnsiTheme="minorEastAsia"/>
          <w:color w:val="auto"/>
          <w:sz w:val="24"/>
          <w:highlight w:val="none"/>
          <w:lang w:val="zh-CN"/>
        </w:rPr>
        <w:t>促进中小企业发展、支持监狱企业发展、促进残疾人就业等政府采购政策。</w:t>
      </w:r>
    </w:p>
    <w:p>
      <w:pPr>
        <w:pStyle w:val="66"/>
        <w:spacing w:line="360" w:lineRule="auto"/>
        <w:ind w:firstLine="482" w:firstLineChars="200"/>
        <w:contextualSpacing/>
        <w:outlineLvl w:val="1"/>
        <w:rPr>
          <w:rFonts w:ascii="宋体" w:hAnsi="宋体" w:cs="仿宋_GB2312"/>
          <w:b/>
          <w:color w:val="auto"/>
          <w:szCs w:val="24"/>
          <w:highlight w:val="none"/>
          <w:lang w:val="zh-CN"/>
        </w:rPr>
      </w:pPr>
      <w:bookmarkStart w:id="22" w:name="_Toc22051"/>
      <w:bookmarkStart w:id="23" w:name="_Toc16842"/>
      <w:r>
        <w:rPr>
          <w:rFonts w:hint="eastAsia" w:ascii="宋体" w:hAnsi="宋体" w:cs="仿宋_GB2312"/>
          <w:b/>
          <w:color w:val="auto"/>
          <w:szCs w:val="24"/>
          <w:highlight w:val="none"/>
          <w:lang w:val="zh-CN"/>
        </w:rPr>
        <w:t>一、节能能源、保护环境</w:t>
      </w:r>
      <w:bookmarkEnd w:id="22"/>
      <w:bookmarkEnd w:id="23"/>
    </w:p>
    <w:p>
      <w:pPr>
        <w:spacing w:line="360" w:lineRule="auto"/>
        <w:ind w:firstLine="470" w:firstLineChars="196"/>
        <w:contextualSpacing/>
        <w:outlineLvl w:val="9"/>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72" w:firstLineChars="196"/>
        <w:contextualSpacing/>
        <w:outlineLvl w:val="1"/>
        <w:rPr>
          <w:rFonts w:cs="仿宋_GB2312" w:asciiTheme="minorEastAsia" w:hAnsiTheme="minorEastAsia"/>
          <w:b/>
          <w:color w:val="auto"/>
          <w:sz w:val="24"/>
          <w:highlight w:val="none"/>
          <w:lang w:val="zh-CN"/>
        </w:rPr>
      </w:pPr>
      <w:bookmarkStart w:id="24" w:name="_Toc28710"/>
      <w:bookmarkStart w:id="25" w:name="_Toc20210"/>
      <w:r>
        <w:rPr>
          <w:rFonts w:hint="eastAsia" w:cs="仿宋_GB2312" w:asciiTheme="minorEastAsia" w:hAnsiTheme="minorEastAsia"/>
          <w:b/>
          <w:color w:val="auto"/>
          <w:sz w:val="24"/>
          <w:highlight w:val="none"/>
          <w:lang w:val="zh-CN"/>
        </w:rPr>
        <w:t>二、促进中小企业发展（不含民办非企业）</w:t>
      </w:r>
      <w:bookmarkEnd w:id="24"/>
      <w:bookmarkEnd w:id="25"/>
    </w:p>
    <w:p>
      <w:pPr>
        <w:spacing w:line="360" w:lineRule="auto"/>
        <w:ind w:firstLine="480" w:firstLineChars="200"/>
        <w:outlineLvl w:val="9"/>
        <w:rPr>
          <w:rFonts w:ascii="宋体" w:hAnsi="宋体" w:cs="宋体"/>
          <w:b/>
          <w:color w:val="auto"/>
          <w:sz w:val="24"/>
          <w:szCs w:val="24"/>
          <w:highlight w:val="none"/>
        </w:rPr>
      </w:pPr>
      <w:r>
        <w:rPr>
          <w:rFonts w:hint="eastAsia" w:cs="仿宋_GB2312" w:asciiTheme="minorEastAsia" w:hAnsiTheme="minorEastAsia"/>
          <w:color w:val="auto"/>
          <w:sz w:val="24"/>
          <w:highlight w:val="none"/>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outlineLvl w:val="9"/>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outlineLvl w:val="9"/>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outlineLvl w:val="9"/>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4、中小企业投标应提供《中小企业声明函》，如为联合投标的，联合体各方需分别填写《中小企业声明函》。</w:t>
      </w:r>
    </w:p>
    <w:p>
      <w:pPr>
        <w:spacing w:line="360" w:lineRule="auto"/>
        <w:ind w:firstLine="482" w:firstLineChars="200"/>
        <w:outlineLvl w:val="9"/>
        <w:rPr>
          <w:rFonts w:ascii="宋体" w:hAnsi="宋体" w:cs="宋体"/>
          <w:b/>
          <w:color w:val="auto"/>
          <w:sz w:val="24"/>
          <w:szCs w:val="24"/>
          <w:highlight w:val="none"/>
        </w:rPr>
      </w:pPr>
      <w:r>
        <w:rPr>
          <w:rFonts w:ascii="宋体" w:hAnsi="宋体" w:cs="宋体"/>
          <w:b/>
          <w:color w:val="auto"/>
          <w:sz w:val="24"/>
          <w:highlight w:val="none"/>
        </w:rPr>
        <w:t>本项目的扣除比例为：对小型企业产品的价格给予 6% 的扣除；对微型企业产品的价格给予 6% 的扣除。</w:t>
      </w:r>
    </w:p>
    <w:p>
      <w:pPr>
        <w:topLinePunct/>
        <w:spacing w:line="360" w:lineRule="auto"/>
        <w:ind w:firstLine="482" w:firstLineChars="200"/>
        <w:contextualSpacing/>
        <w:outlineLvl w:val="1"/>
        <w:rPr>
          <w:rFonts w:cs="仿宋_GB2312" w:asciiTheme="minorEastAsia" w:hAnsiTheme="minorEastAsia"/>
          <w:b/>
          <w:color w:val="auto"/>
          <w:sz w:val="24"/>
          <w:highlight w:val="none"/>
          <w:lang w:val="zh-CN"/>
        </w:rPr>
      </w:pPr>
      <w:bookmarkStart w:id="26" w:name="_Toc32504"/>
      <w:bookmarkStart w:id="27" w:name="_Toc16368"/>
      <w:r>
        <w:rPr>
          <w:rFonts w:hint="eastAsia" w:cs="仿宋_GB2312" w:asciiTheme="minorEastAsia" w:hAnsiTheme="minorEastAsia"/>
          <w:b/>
          <w:color w:val="auto"/>
          <w:sz w:val="24"/>
          <w:highlight w:val="none"/>
          <w:lang w:val="zh-CN"/>
        </w:rPr>
        <w:t>三、支持监狱企业发展</w:t>
      </w:r>
      <w:bookmarkEnd w:id="26"/>
      <w:bookmarkEnd w:id="27"/>
    </w:p>
    <w:p>
      <w:pPr>
        <w:topLinePunct/>
        <w:spacing w:line="360" w:lineRule="auto"/>
        <w:ind w:firstLine="480" w:firstLineChars="200"/>
        <w:contextualSpacing/>
        <w:outlineLvl w:val="9"/>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opLinePunct/>
        <w:spacing w:line="360" w:lineRule="auto"/>
        <w:ind w:firstLine="482" w:firstLineChars="200"/>
        <w:contextualSpacing/>
        <w:outlineLvl w:val="1"/>
        <w:rPr>
          <w:rFonts w:hint="eastAsia" w:cs="仿宋_GB2312" w:asciiTheme="minorEastAsia" w:hAnsiTheme="minorEastAsia"/>
          <w:b/>
          <w:color w:val="auto"/>
          <w:sz w:val="24"/>
          <w:highlight w:val="none"/>
          <w:lang w:val="zh-CN"/>
        </w:rPr>
      </w:pPr>
      <w:bookmarkStart w:id="28" w:name="_Toc32164"/>
      <w:bookmarkStart w:id="29" w:name="_Toc27453"/>
      <w:r>
        <w:rPr>
          <w:rFonts w:hint="eastAsia" w:cs="仿宋_GB2312" w:asciiTheme="minorEastAsia" w:hAnsiTheme="minorEastAsia"/>
          <w:b/>
          <w:color w:val="auto"/>
          <w:sz w:val="24"/>
          <w:highlight w:val="none"/>
          <w:lang w:val="zh-CN"/>
        </w:rPr>
        <w:t>四、促进残疾人就业</w:t>
      </w:r>
      <w:bookmarkEnd w:id="28"/>
      <w:bookmarkEnd w:id="29"/>
    </w:p>
    <w:p>
      <w:pPr>
        <w:topLinePunct/>
        <w:spacing w:line="360" w:lineRule="auto"/>
        <w:ind w:firstLine="480" w:firstLineChars="200"/>
        <w:contextualSpacing/>
        <w:outlineLvl w:val="9"/>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outlineLvl w:val="9"/>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outlineLvl w:val="9"/>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3、成交人为残疾人福利性单位的，招标人应当随成交结果同时公告其《残疾人福利性单位声明函》，接受社会监督。</w:t>
      </w:r>
    </w:p>
    <w:p>
      <w:pPr>
        <w:topLinePunct/>
        <w:spacing w:line="360" w:lineRule="auto"/>
        <w:ind w:firstLine="480" w:firstLineChars="200"/>
        <w:contextualSpacing/>
        <w:outlineLvl w:val="9"/>
        <w:rPr>
          <w:rFonts w:cs="仿宋_GB2312" w:asciiTheme="minorEastAsia" w:hAnsiTheme="minorEastAsia"/>
          <w:color w:val="auto"/>
          <w:sz w:val="24"/>
          <w:highlight w:val="none"/>
          <w:lang w:val="zh-CN"/>
        </w:rPr>
      </w:pPr>
    </w:p>
    <w:p>
      <w:pPr>
        <w:topLinePunct/>
        <w:spacing w:line="360" w:lineRule="auto"/>
        <w:ind w:firstLine="1320" w:firstLineChars="550"/>
        <w:contextualSpacing/>
        <w:outlineLvl w:val="0"/>
        <w:rPr>
          <w:rFonts w:cs="仿宋_GB2312" w:asciiTheme="minorEastAsia" w:hAnsiTheme="minorEastAsia"/>
          <w:color w:val="auto"/>
          <w:sz w:val="36"/>
          <w:szCs w:val="36"/>
          <w:highlight w:val="none"/>
          <w:lang w:val="zh-CN"/>
        </w:rPr>
      </w:pPr>
      <w:r>
        <w:rPr>
          <w:rFonts w:cs="仿宋_GB2312" w:asciiTheme="minorEastAsia" w:hAnsiTheme="minorEastAsia"/>
          <w:color w:val="auto"/>
          <w:sz w:val="24"/>
          <w:highlight w:val="none"/>
          <w:lang w:val="zh-CN"/>
        </w:rPr>
        <w:br w:type="page"/>
      </w:r>
      <w:bookmarkStart w:id="30" w:name="_Toc30655"/>
      <w:bookmarkStart w:id="31" w:name="_Toc26861"/>
      <w:r>
        <w:rPr>
          <w:rFonts w:hint="eastAsia" w:cs="宋体" w:asciiTheme="majorEastAsia" w:hAnsiTheme="majorEastAsia" w:eastAsiaTheme="majorEastAsia"/>
          <w:b/>
          <w:color w:val="auto"/>
          <w:kern w:val="0"/>
          <w:sz w:val="36"/>
          <w:szCs w:val="36"/>
          <w:highlight w:val="none"/>
        </w:rPr>
        <w:t>第五章 资格审查与评标办法、评标标准</w:t>
      </w:r>
      <w:bookmarkEnd w:id="30"/>
      <w:bookmarkEnd w:id="31"/>
    </w:p>
    <w:p>
      <w:pPr>
        <w:pStyle w:val="12"/>
        <w:spacing w:line="360" w:lineRule="auto"/>
        <w:contextualSpacing/>
        <w:outlineLvl w:val="1"/>
        <w:rPr>
          <w:rFonts w:cs="仿宋_GB2312" w:asciiTheme="minorEastAsia" w:hAnsiTheme="minorEastAsia"/>
          <w:b/>
          <w:color w:val="auto"/>
          <w:szCs w:val="24"/>
          <w:highlight w:val="none"/>
          <w:lang w:val="zh-CN"/>
        </w:rPr>
      </w:pPr>
      <w:bookmarkStart w:id="32" w:name="_Toc28786"/>
      <w:bookmarkStart w:id="33" w:name="_Toc16980"/>
      <w:r>
        <w:rPr>
          <w:rFonts w:cs="仿宋_GB2312" w:asciiTheme="minorEastAsia" w:hAnsiTheme="minorEastAsia"/>
          <w:b/>
          <w:color w:val="auto"/>
          <w:szCs w:val="24"/>
          <w:highlight w:val="none"/>
          <w:lang w:val="zh-CN"/>
        </w:rPr>
        <w:t>一</w:t>
      </w:r>
      <w:r>
        <w:rPr>
          <w:rFonts w:hint="eastAsia" w:cs="仿宋_GB2312" w:asciiTheme="minorEastAsia" w:hAnsiTheme="minorEastAsia"/>
          <w:b/>
          <w:color w:val="auto"/>
          <w:szCs w:val="24"/>
          <w:highlight w:val="none"/>
          <w:lang w:val="zh-CN"/>
        </w:rPr>
        <w:t>、</w:t>
      </w:r>
      <w:r>
        <w:rPr>
          <w:rFonts w:cs="仿宋_GB2312" w:asciiTheme="minorEastAsia" w:hAnsiTheme="minorEastAsia"/>
          <w:b/>
          <w:color w:val="auto"/>
          <w:szCs w:val="24"/>
          <w:highlight w:val="none"/>
          <w:lang w:val="zh-CN"/>
        </w:rPr>
        <w:t>资格审查</w:t>
      </w:r>
      <w:bookmarkEnd w:id="32"/>
      <w:bookmarkEnd w:id="33"/>
    </w:p>
    <w:p>
      <w:pPr>
        <w:pStyle w:val="12"/>
        <w:spacing w:line="420" w:lineRule="exact"/>
        <w:ind w:firstLine="480" w:firstLineChars="200"/>
        <w:contextualSpacing/>
        <w:outlineLvl w:val="9"/>
        <w:rPr>
          <w:rFonts w:cs="仿宋_GB2312" w:asciiTheme="minorEastAsia" w:hAnsiTheme="minorEastAsia"/>
          <w:color w:val="auto"/>
          <w:szCs w:val="24"/>
          <w:highlight w:val="none"/>
          <w:lang w:val="zh-CN"/>
        </w:rPr>
      </w:pPr>
      <w:r>
        <w:rPr>
          <w:rFonts w:hint="eastAsia" w:cs="仿宋_GB2312" w:asciiTheme="minorEastAsia" w:hAnsiTheme="minorEastAsia"/>
          <w:color w:val="auto"/>
          <w:szCs w:val="24"/>
          <w:highlight w:val="none"/>
          <w:lang w:val="zh-CN"/>
        </w:rPr>
        <w:t>1、</w:t>
      </w:r>
      <w:r>
        <w:rPr>
          <w:rFonts w:cs="仿宋_GB2312" w:asciiTheme="minorEastAsia" w:hAnsiTheme="minorEastAsia"/>
          <w:color w:val="auto"/>
          <w:szCs w:val="24"/>
          <w:highlight w:val="none"/>
          <w:lang w:val="zh-CN"/>
        </w:rPr>
        <w:t>开标结束后，</w:t>
      </w:r>
      <w:r>
        <w:rPr>
          <w:rFonts w:hint="eastAsia" w:cs="仿宋_GB2312" w:asciiTheme="minorEastAsia" w:hAnsiTheme="minorEastAsia"/>
          <w:color w:val="auto"/>
          <w:szCs w:val="24"/>
          <w:highlight w:val="none"/>
          <w:lang w:val="zh-CN"/>
        </w:rPr>
        <w:t>采购人依法对投标人资格进行审查</w:t>
      </w:r>
      <w:r>
        <w:rPr>
          <w:rFonts w:cs="仿宋_GB2312" w:asciiTheme="minorEastAsia" w:hAnsiTheme="minorEastAsia"/>
          <w:color w:val="auto"/>
          <w:szCs w:val="24"/>
          <w:highlight w:val="none"/>
          <w:lang w:val="zh-CN"/>
        </w:rPr>
        <w:t>。</w:t>
      </w:r>
    </w:p>
    <w:p>
      <w:pPr>
        <w:spacing w:line="420" w:lineRule="exact"/>
        <w:ind w:left="120" w:leftChars="57" w:right="420" w:rightChars="200" w:firstLine="360" w:firstLineChars="150"/>
        <w:contextualSpacing/>
        <w:outlineLvl w:val="9"/>
        <w:rPr>
          <w:rFonts w:eastAsia="宋体" w:cs="仿宋_GB2312" w:asciiTheme="minorEastAsia" w:hAnsiTheme="minorEastAsia"/>
          <w:color w:val="auto"/>
          <w:sz w:val="24"/>
          <w:szCs w:val="24"/>
          <w:highlight w:val="none"/>
          <w:lang w:val="zh-CN"/>
        </w:rPr>
      </w:pPr>
      <w:r>
        <w:rPr>
          <w:rFonts w:hint="eastAsia" w:eastAsia="宋体" w:cs="仿宋_GB2312" w:asciiTheme="minorEastAsia" w:hAnsiTheme="minorEastAsia"/>
          <w:color w:val="auto"/>
          <w:sz w:val="24"/>
          <w:szCs w:val="24"/>
          <w:highlight w:val="none"/>
          <w:lang w:val="zh-CN"/>
        </w:rPr>
        <w:t>2、资格证明材料（本栏所列内容为本项目的资格审查条件，如有一项不符合要求，则不能进入下一步评审）。</w:t>
      </w:r>
    </w:p>
    <w:p>
      <w:pPr>
        <w:pStyle w:val="12"/>
        <w:spacing w:line="420" w:lineRule="exact"/>
        <w:ind w:firstLine="480" w:firstLineChars="200"/>
        <w:contextualSpacing/>
        <w:outlineLvl w:val="9"/>
        <w:rPr>
          <w:rFonts w:cs="仿宋_GB2312" w:asciiTheme="minorEastAsia" w:hAnsiTheme="minorEastAsia"/>
          <w:color w:val="auto"/>
          <w:szCs w:val="24"/>
          <w:highlight w:val="none"/>
          <w:lang w:val="zh-CN"/>
        </w:rPr>
      </w:pPr>
      <w:r>
        <w:rPr>
          <w:rFonts w:hint="eastAsia" w:cs="仿宋_GB2312" w:asciiTheme="minorEastAsia" w:hAnsiTheme="minorEastAsia"/>
          <w:color w:val="auto"/>
          <w:szCs w:val="24"/>
          <w:highlight w:val="none"/>
          <w:lang w:val="zh-CN"/>
        </w:rPr>
        <w:t>3、资格审查中所涉及到的证书材料，均需在电子投标文件中提供原件扫描件（或图片），否则为无效投标。</w:t>
      </w:r>
    </w:p>
    <w:tbl>
      <w:tblPr>
        <w:tblStyle w:val="2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outlineLvl w:val="9"/>
              <w:rPr>
                <w:rFonts w:ascii="宋体" w:hAnsi="宋体"/>
                <w:b/>
                <w:color w:val="auto"/>
                <w:sz w:val="24"/>
                <w:szCs w:val="24"/>
                <w:highlight w:val="none"/>
              </w:rPr>
            </w:pPr>
            <w:r>
              <w:rPr>
                <w:rFonts w:hint="eastAsia" w:ascii="宋体" w:hAnsi="宋体"/>
                <w:b/>
                <w:color w:val="auto"/>
                <w:sz w:val="24"/>
                <w:szCs w:val="24"/>
                <w:highlight w:val="none"/>
              </w:rPr>
              <w:t>资格审查</w:t>
            </w:r>
            <w:r>
              <w:rPr>
                <w:rFonts w:ascii="宋体" w:hAnsi="宋体"/>
                <w:b/>
                <w:color w:val="auto"/>
                <w:sz w:val="24"/>
                <w:szCs w:val="24"/>
                <w:highlight w:val="none"/>
              </w:rPr>
              <w:t>因素</w:t>
            </w:r>
            <w:r>
              <w:rPr>
                <w:rFonts w:hint="eastAsia" w:ascii="宋体" w:hAnsi="宋体"/>
                <w:b/>
                <w:color w:val="auto"/>
                <w:sz w:val="24"/>
                <w:szCs w:val="24"/>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outlineLvl w:val="9"/>
              <w:rPr>
                <w:rFonts w:ascii="宋体" w:hAnsi="宋体"/>
                <w:bCs/>
                <w:color w:val="auto"/>
                <w:sz w:val="24"/>
                <w:szCs w:val="24"/>
                <w:highlight w:val="none"/>
              </w:rPr>
            </w:pPr>
            <w:r>
              <w:rPr>
                <w:rFonts w:hint="eastAsia" w:ascii="宋体" w:hAnsi="宋体"/>
                <w:b/>
                <w:bCs/>
                <w:color w:val="auto"/>
                <w:sz w:val="24"/>
                <w:szCs w:val="24"/>
                <w:highlight w:val="none"/>
              </w:rPr>
              <w:t>一、法人或者其他组织的营业执照等证明文件，自然人的身份证明</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1、企业法人营业执照或营业执照。（企业投标提供）</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2、事业单位法人证书。（事业单位投标提供）</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3、执业许可证。（非专业服务机构投标提供）</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4、个体工商户营业执照。（个体工商户投标提供）</w:t>
            </w:r>
          </w:p>
          <w:p>
            <w:pPr>
              <w:spacing w:line="420" w:lineRule="exact"/>
              <w:jc w:val="left"/>
              <w:outlineLvl w:val="9"/>
              <w:rPr>
                <w:rFonts w:ascii="宋体" w:hAnsi="宋体"/>
                <w:b/>
                <w:color w:val="auto"/>
                <w:sz w:val="24"/>
                <w:szCs w:val="24"/>
                <w:highlight w:val="none"/>
              </w:rPr>
            </w:pPr>
            <w:r>
              <w:rPr>
                <w:rFonts w:hint="eastAsia" w:ascii="宋体" w:hAnsi="宋体"/>
                <w:bCs/>
                <w:color w:val="auto"/>
                <w:sz w:val="24"/>
                <w:szCs w:val="24"/>
                <w:highlight w:val="none"/>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outlineLvl w:val="9"/>
              <w:rPr>
                <w:rFonts w:ascii="宋体" w:hAnsi="宋体"/>
                <w:bCs/>
                <w:color w:val="auto"/>
                <w:sz w:val="24"/>
                <w:szCs w:val="24"/>
                <w:highlight w:val="none"/>
              </w:rPr>
            </w:pPr>
            <w:r>
              <w:rPr>
                <w:rFonts w:hint="eastAsia" w:ascii="宋体" w:hAnsi="宋体"/>
                <w:b/>
                <w:bCs/>
                <w:color w:val="auto"/>
                <w:sz w:val="24"/>
                <w:szCs w:val="24"/>
                <w:highlight w:val="none"/>
              </w:rPr>
              <w:t>二、财务状况报告相关材料</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1、2019年度经审计的财务报告或基本开户银行出具的资信证明(有效期内)。（法人投标提供。法人包括企业法人、机关法人、事业单位法人和社会团体法人。）</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outlineLvl w:val="9"/>
              <w:rPr>
                <w:rFonts w:ascii="宋体" w:hAnsi="宋体"/>
                <w:bCs/>
                <w:color w:val="auto"/>
                <w:sz w:val="24"/>
                <w:szCs w:val="24"/>
                <w:highlight w:val="none"/>
              </w:rPr>
            </w:pPr>
            <w:r>
              <w:rPr>
                <w:rFonts w:hint="eastAsia" w:ascii="宋体" w:hAnsi="宋体"/>
                <w:b/>
                <w:bCs/>
                <w:color w:val="auto"/>
                <w:sz w:val="24"/>
                <w:szCs w:val="24"/>
                <w:highlight w:val="none"/>
              </w:rPr>
              <w:t>三、依法缴纳税收相关材料</w:t>
            </w:r>
          </w:p>
          <w:p>
            <w:pPr>
              <w:spacing w:line="420" w:lineRule="exact"/>
              <w:jc w:val="left"/>
              <w:outlineLvl w:val="9"/>
              <w:rPr>
                <w:rFonts w:ascii="宋体" w:hAnsi="宋体"/>
                <w:b/>
                <w:color w:val="auto"/>
                <w:sz w:val="24"/>
                <w:szCs w:val="24"/>
                <w:highlight w:val="none"/>
              </w:rPr>
            </w:pPr>
            <w:r>
              <w:rPr>
                <w:rFonts w:hint="eastAsia" w:ascii="宋体" w:hAnsi="宋体"/>
                <w:bCs/>
                <w:color w:val="auto"/>
                <w:sz w:val="24"/>
                <w:szCs w:val="24"/>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040" w:type="dxa"/>
            <w:vAlign w:val="center"/>
          </w:tcPr>
          <w:p>
            <w:pPr>
              <w:spacing w:line="420" w:lineRule="exact"/>
              <w:jc w:val="left"/>
              <w:outlineLvl w:val="9"/>
              <w:rPr>
                <w:rFonts w:ascii="宋体" w:hAnsi="宋体"/>
                <w:bCs/>
                <w:color w:val="auto"/>
                <w:sz w:val="24"/>
                <w:szCs w:val="24"/>
                <w:highlight w:val="none"/>
              </w:rPr>
            </w:pPr>
            <w:r>
              <w:rPr>
                <w:rFonts w:hint="eastAsia" w:ascii="宋体" w:hAnsi="宋体"/>
                <w:b/>
                <w:bCs/>
                <w:color w:val="auto"/>
                <w:sz w:val="24"/>
                <w:szCs w:val="24"/>
                <w:highlight w:val="none"/>
              </w:rPr>
              <w:t>四、依法缴纳社会保障资金的证明材料</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投标截止时间前六个月内任意一个月投标人缴纳社会保险凭据。（依法不需要缴纳社会保障资金的投标人，应提供相应文件证明依法不需要缴纳社会保障资金）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40" w:type="dxa"/>
            <w:vAlign w:val="center"/>
          </w:tcPr>
          <w:p>
            <w:pPr>
              <w:spacing w:line="420" w:lineRule="exact"/>
              <w:jc w:val="left"/>
              <w:outlineLvl w:val="9"/>
              <w:rPr>
                <w:rFonts w:ascii="宋体" w:hAnsi="宋体"/>
                <w:b/>
                <w:bCs/>
                <w:color w:val="auto"/>
                <w:sz w:val="24"/>
                <w:szCs w:val="24"/>
                <w:highlight w:val="none"/>
              </w:rPr>
            </w:pPr>
            <w:r>
              <w:rPr>
                <w:rFonts w:hint="eastAsia" w:ascii="宋体" w:hAnsi="宋体"/>
                <w:b/>
                <w:bCs/>
                <w:color w:val="auto"/>
                <w:sz w:val="24"/>
                <w:szCs w:val="24"/>
                <w:highlight w:val="none"/>
              </w:rPr>
              <w:t>五、参加政府采购活动前3年内在经营活动中没有重大违法记录的书面声明（</w:t>
            </w:r>
            <w:r>
              <w:rPr>
                <w:rFonts w:hint="eastAsia" w:ascii="宋体" w:hAnsi="宋体" w:eastAsia="宋体" w:cs="Times New Roman"/>
                <w:b/>
                <w:bCs/>
                <w:color w:val="auto"/>
                <w:sz w:val="24"/>
                <w:szCs w:val="24"/>
                <w:highlight w:val="none"/>
              </w:rPr>
              <w:t>投标人成立不足三年的，按成立之日计算）</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0" w:type="dxa"/>
            <w:vAlign w:val="center"/>
          </w:tcPr>
          <w:p>
            <w:pPr>
              <w:spacing w:line="420" w:lineRule="exact"/>
              <w:contextualSpacing/>
              <w:outlineLvl w:val="9"/>
              <w:rPr>
                <w:rFonts w:ascii="宋体" w:hAnsi="宋体"/>
                <w:color w:val="auto"/>
                <w:sz w:val="24"/>
                <w:szCs w:val="24"/>
                <w:highlight w:val="none"/>
              </w:rPr>
            </w:pPr>
            <w:r>
              <w:rPr>
                <w:rFonts w:hint="eastAsia" w:ascii="宋体" w:hAnsi="宋体"/>
                <w:b/>
                <w:color w:val="auto"/>
                <w:sz w:val="24"/>
                <w:szCs w:val="24"/>
                <w:highlight w:val="none"/>
              </w:rPr>
              <w:t>六</w:t>
            </w:r>
            <w:r>
              <w:rPr>
                <w:rFonts w:hint="eastAsia" w:ascii="宋体" w:hAnsi="宋体"/>
                <w:color w:val="auto"/>
                <w:sz w:val="24"/>
                <w:szCs w:val="24"/>
                <w:highlight w:val="none"/>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outlineLvl w:val="9"/>
              <w:rPr>
                <w:rFonts w:ascii="宋体" w:hAnsi="宋体"/>
                <w:b/>
                <w:color w:val="auto"/>
                <w:sz w:val="24"/>
                <w:szCs w:val="24"/>
                <w:highlight w:val="none"/>
              </w:rPr>
            </w:pPr>
            <w:r>
              <w:rPr>
                <w:rFonts w:hint="eastAsia" w:ascii="宋体" w:hAnsi="宋体"/>
                <w:b/>
                <w:color w:val="auto"/>
                <w:sz w:val="24"/>
                <w:szCs w:val="24"/>
                <w:highlight w:val="none"/>
              </w:rPr>
              <w:t>七、未被列入“信用中国”网站(www.creditchina.gov.cn)失信被执行人、重大税收违法案件当事人名单；“中国政府采购网” (www.ccgp.gov.cn)政府采购严重违法失信行为记录名单的投标人；“国家企业信用信息公示系统”（</w:t>
            </w:r>
            <w:r>
              <w:rPr>
                <w:rFonts w:hint="eastAsia" w:ascii="宋体" w:hAnsi="宋体"/>
                <w:b/>
                <w:color w:val="auto"/>
                <w:sz w:val="24"/>
                <w:szCs w:val="24"/>
                <w:highlight w:val="none"/>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
                <w:color w:val="auto"/>
                <w:sz w:val="24"/>
                <w:szCs w:val="24"/>
                <w:highlight w:val="none"/>
              </w:rPr>
              <w:t>http://www.gsxt.gov.cn/） 经营异常名录或严重失信黑名单；“中国社会组织公共服务平台”网站（www.chinanpo.gov.cn）严重违法失信名单的社会组织。</w:t>
            </w:r>
          </w:p>
        </w:tc>
      </w:tr>
    </w:tbl>
    <w:p>
      <w:pPr>
        <w:autoSpaceDE w:val="0"/>
        <w:autoSpaceDN w:val="0"/>
        <w:adjustRightInd w:val="0"/>
        <w:spacing w:line="360" w:lineRule="auto"/>
        <w:outlineLvl w:val="9"/>
        <w:rPr>
          <w:rFonts w:cs="仿宋_GB2312" w:asciiTheme="minorEastAsia" w:hAnsiTheme="minorEastAsia"/>
          <w:b/>
          <w:color w:val="auto"/>
          <w:highlight w:val="none"/>
        </w:rPr>
      </w:pPr>
      <w:r>
        <w:rPr>
          <w:rFonts w:hint="eastAsia" w:cs="仿宋_GB2312" w:asciiTheme="minorEastAsia" w:hAnsiTheme="minorEastAsia"/>
          <w:b/>
          <w:color w:val="auto"/>
          <w:highlight w:val="none"/>
        </w:rPr>
        <w:t>4、供应商信用信息查询：</w:t>
      </w:r>
    </w:p>
    <w:p>
      <w:pPr>
        <w:autoSpaceDE w:val="0"/>
        <w:autoSpaceDN w:val="0"/>
        <w:adjustRightInd w:val="0"/>
        <w:spacing w:line="360" w:lineRule="auto"/>
        <w:ind w:firstLine="482" w:firstLineChars="200"/>
        <w:outlineLvl w:val="9"/>
        <w:rPr>
          <w:rFonts w:ascii="宋体" w:hAnsi="宋体"/>
          <w:b/>
          <w:bCs/>
          <w:color w:val="auto"/>
          <w:sz w:val="24"/>
          <w:szCs w:val="24"/>
          <w:highlight w:val="none"/>
        </w:rPr>
      </w:pPr>
      <w:r>
        <w:rPr>
          <w:rFonts w:hint="eastAsia" w:ascii="宋体" w:hAnsi="宋体"/>
          <w:b/>
          <w:color w:val="auto"/>
          <w:sz w:val="24"/>
          <w:szCs w:val="24"/>
          <w:highlight w:val="none"/>
        </w:rPr>
        <w:t>未被列入“信用中国”网站(www.creditchina.gov.cn)失信被执行人、重大税收违法案件当事人名单；“中国政府采购网” (www.ccgp.gov.cn)政府采购严重违法失信行为记录名单的投标人；“国家企业信用信息公示系统”（</w:t>
      </w:r>
      <w:r>
        <w:rPr>
          <w:rFonts w:hint="eastAsia" w:ascii="宋体" w:hAnsi="宋体"/>
          <w:b/>
          <w:color w:val="auto"/>
          <w:sz w:val="24"/>
          <w:szCs w:val="24"/>
          <w:highlight w:val="none"/>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
          <w:color w:val="auto"/>
          <w:sz w:val="24"/>
          <w:szCs w:val="24"/>
          <w:highlight w:val="none"/>
        </w:rPr>
        <w:t>http://www.gsxt.gov.cn/） 经营异常名录或严重失信黑名单；“中国社会组织公共服务平台”网站（www.chinanpo.gov.cn）严重违法失信名单的社会组织。</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（1）查询渠道：“信用中国”网站（www.creditchina.gov.cn）、中国政府采购网（www.ccgp.gov.cn）、“国家企业信用信息公示系统”（</w:t>
      </w:r>
      <w:r>
        <w:rPr>
          <w:rFonts w:hint="eastAsia" w:ascii="宋体" w:hAnsi="宋体"/>
          <w:bCs/>
          <w:color w:val="auto"/>
          <w:sz w:val="24"/>
          <w:szCs w:val="24"/>
          <w:highlight w:val="none"/>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Cs/>
          <w:color w:val="auto"/>
          <w:sz w:val="24"/>
          <w:szCs w:val="24"/>
          <w:highlight w:val="none"/>
        </w:rPr>
        <w:t>http://www.gsxt.gov.cn/）、“中国社会组织公共服务平台”网站（www.chinanpo.gov.cn）；</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（2）截止时间：</w:t>
      </w:r>
      <w:r>
        <w:rPr>
          <w:rFonts w:hint="eastAsia" w:cs="宋体" w:asciiTheme="minorEastAsia" w:hAnsiTheme="minorEastAsia"/>
          <w:color w:val="auto"/>
          <w:kern w:val="0"/>
          <w:sz w:val="24"/>
          <w:szCs w:val="24"/>
          <w:highlight w:val="none"/>
        </w:rPr>
        <w:t>投标截止时间至资格性审查结束</w:t>
      </w:r>
      <w:r>
        <w:rPr>
          <w:rFonts w:hint="eastAsia" w:ascii="宋体" w:hAnsi="宋体"/>
          <w:bCs/>
          <w:color w:val="auto"/>
          <w:sz w:val="24"/>
          <w:szCs w:val="24"/>
          <w:highlight w:val="none"/>
        </w:rPr>
        <w:t>；</w:t>
      </w:r>
    </w:p>
    <w:p>
      <w:pPr>
        <w:spacing w:line="420" w:lineRule="exact"/>
        <w:jc w:val="left"/>
        <w:outlineLvl w:val="9"/>
        <w:rPr>
          <w:rFonts w:ascii="宋体" w:hAnsi="宋体"/>
          <w:bCs/>
          <w:color w:val="auto"/>
          <w:sz w:val="24"/>
          <w:szCs w:val="24"/>
          <w:highlight w:val="none"/>
        </w:rPr>
      </w:pPr>
      <w:r>
        <w:rPr>
          <w:rFonts w:hint="eastAsia" w:ascii="宋体" w:hAnsi="宋体"/>
          <w:bCs/>
          <w:color w:val="auto"/>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outlineLvl w:val="9"/>
        <w:rPr>
          <w:rFonts w:ascii="宋体" w:hAnsi="宋体"/>
          <w:bCs/>
          <w:color w:val="auto"/>
          <w:sz w:val="24"/>
          <w:szCs w:val="24"/>
          <w:highlight w:val="none"/>
        </w:rPr>
      </w:pPr>
      <w:r>
        <w:rPr>
          <w:rFonts w:hint="eastAsia" w:ascii="宋体" w:hAnsi="宋体"/>
          <w:bCs/>
          <w:color w:val="auto"/>
          <w:sz w:val="24"/>
          <w:szCs w:val="24"/>
          <w:highlight w:val="none"/>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outlineLvl w:val="9"/>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pStyle w:val="12"/>
        <w:spacing w:line="420" w:lineRule="exact"/>
        <w:contextualSpacing/>
        <w:outlineLvl w:val="1"/>
        <w:rPr>
          <w:rFonts w:cs="仿宋_GB2312" w:asciiTheme="minorEastAsia" w:hAnsiTheme="minorEastAsia"/>
          <w:b/>
          <w:color w:val="auto"/>
          <w:szCs w:val="24"/>
          <w:highlight w:val="none"/>
          <w:lang w:val="zh-CN"/>
        </w:rPr>
      </w:pPr>
      <w:bookmarkStart w:id="34" w:name="_Toc3103"/>
      <w:bookmarkStart w:id="35" w:name="_Toc12521"/>
      <w:r>
        <w:rPr>
          <w:rFonts w:hint="eastAsia" w:ascii="宋体" w:hAnsi="宋体" w:cs="宋体"/>
          <w:b/>
          <w:bCs/>
          <w:color w:val="auto"/>
          <w:szCs w:val="21"/>
          <w:highlight w:val="none"/>
        </w:rPr>
        <w:t>二、评标方法</w:t>
      </w:r>
      <w:bookmarkEnd w:id="34"/>
      <w:bookmarkEnd w:id="35"/>
    </w:p>
    <w:p>
      <w:pPr>
        <w:pStyle w:val="12"/>
        <w:spacing w:line="360" w:lineRule="auto"/>
        <w:ind w:firstLine="480" w:firstLineChars="200"/>
        <w:contextualSpacing/>
        <w:outlineLvl w:val="9"/>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1、本次评标采用综合评分法，是指投标文件满足招标文件全部实质性要求，且按照评审因素的量化指标评审得分最高的投标人为中标候选人的评标方法。</w:t>
      </w:r>
    </w:p>
    <w:p>
      <w:pPr>
        <w:pStyle w:val="12"/>
        <w:spacing w:line="360" w:lineRule="auto"/>
        <w:ind w:firstLine="480" w:firstLineChars="200"/>
        <w:contextualSpacing/>
        <w:outlineLvl w:val="9"/>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2、评标过程中，不得去掉报价中的最高报价和最低报价。</w:t>
      </w:r>
    </w:p>
    <w:p>
      <w:pPr>
        <w:pStyle w:val="12"/>
        <w:spacing w:line="360" w:lineRule="auto"/>
        <w:ind w:firstLine="480" w:firstLineChars="200"/>
        <w:contextualSpacing/>
        <w:outlineLvl w:val="9"/>
        <w:rPr>
          <w:rFonts w:cs="仿宋_GB2312" w:asciiTheme="minorEastAsia" w:hAnsiTheme="minorEastAsia"/>
          <w:b/>
          <w:color w:val="auto"/>
          <w:highlight w:val="none"/>
          <w:lang w:val="zh-CN"/>
        </w:rPr>
      </w:pPr>
      <w:r>
        <w:rPr>
          <w:rFonts w:hint="eastAsia" w:cs="仿宋_GB2312" w:asciiTheme="minorEastAsia" w:hAnsiTheme="minorEastAsia" w:eastAsiaTheme="minorEastAsia"/>
          <w:color w:val="auto"/>
          <w:szCs w:val="24"/>
          <w:highlight w:val="none"/>
          <w:lang w:val="zh-CN"/>
        </w:rPr>
        <w:t>3、因落实政府采购政策进行价格调整的，以调整后的价格计算评标基准价和投标报价。</w:t>
      </w:r>
    </w:p>
    <w:p>
      <w:pPr>
        <w:pStyle w:val="12"/>
        <w:spacing w:line="420" w:lineRule="exact"/>
        <w:contextualSpacing/>
        <w:outlineLvl w:val="1"/>
        <w:rPr>
          <w:rFonts w:cs="仿宋_GB2312" w:asciiTheme="minorEastAsia" w:hAnsiTheme="minorEastAsia"/>
          <w:b/>
          <w:color w:val="auto"/>
          <w:highlight w:val="none"/>
          <w:lang w:val="zh-CN"/>
        </w:rPr>
      </w:pPr>
      <w:bookmarkStart w:id="36" w:name="_Toc14151"/>
      <w:bookmarkStart w:id="37" w:name="_Toc24120"/>
      <w:r>
        <w:rPr>
          <w:rFonts w:hint="eastAsia" w:cs="仿宋_GB2312" w:asciiTheme="minorEastAsia" w:hAnsiTheme="minorEastAsia"/>
          <w:b/>
          <w:color w:val="auto"/>
          <w:highlight w:val="none"/>
          <w:lang w:val="zh-CN"/>
        </w:rPr>
        <w:t>三、符合性审查</w:t>
      </w:r>
      <w:bookmarkEnd w:id="36"/>
      <w:bookmarkEnd w:id="37"/>
    </w:p>
    <w:p>
      <w:pPr>
        <w:pStyle w:val="12"/>
        <w:spacing w:line="360" w:lineRule="auto"/>
        <w:ind w:firstLine="482" w:firstLineChars="200"/>
        <w:contextualSpacing/>
        <w:outlineLvl w:val="9"/>
        <w:rPr>
          <w:rFonts w:ascii="宋体" w:hAnsi="宋体" w:eastAsiaTheme="minorEastAsia"/>
          <w:b/>
          <w:color w:val="auto"/>
          <w:szCs w:val="24"/>
          <w:highlight w:val="none"/>
          <w:lang w:val="zh-CN"/>
        </w:rPr>
      </w:pPr>
      <w:r>
        <w:rPr>
          <w:rFonts w:hint="eastAsia" w:cs="仿宋_GB2312" w:asciiTheme="minorEastAsia" w:hAnsiTheme="minorEastAsia"/>
          <w:b/>
          <w:color w:val="auto"/>
          <w:highlight w:val="none"/>
          <w:lang w:val="zh-CN"/>
        </w:rPr>
        <w:t>符合性审查中所涉及到的证明文件及材料，均需在电子投标文件中提供原件扫描件（或图片），</w:t>
      </w:r>
      <w:r>
        <w:rPr>
          <w:rFonts w:hint="eastAsia" w:ascii="宋体" w:hAnsi="宋体" w:eastAsiaTheme="minorEastAsia"/>
          <w:b/>
          <w:color w:val="auto"/>
          <w:szCs w:val="24"/>
          <w:highlight w:val="none"/>
          <w:lang w:val="zh-CN"/>
        </w:rPr>
        <w:t>否则为无效投标。</w:t>
      </w:r>
    </w:p>
    <w:p>
      <w:pPr>
        <w:pStyle w:val="12"/>
        <w:spacing w:line="360" w:lineRule="auto"/>
        <w:ind w:firstLine="480" w:firstLineChars="200"/>
        <w:contextualSpacing/>
        <w:outlineLvl w:val="9"/>
        <w:rPr>
          <w:rFonts w:ascii="宋体" w:hAnsi="宋体" w:cs="宋体"/>
          <w:bCs/>
          <w:color w:val="auto"/>
          <w:szCs w:val="21"/>
          <w:highlight w:val="none"/>
        </w:rPr>
      </w:pPr>
      <w:r>
        <w:rPr>
          <w:rFonts w:hint="eastAsia" w:ascii="宋体" w:hAnsi="宋体" w:eastAsiaTheme="minorEastAsia"/>
          <w:color w:val="auto"/>
          <w:szCs w:val="24"/>
          <w:highlight w:val="none"/>
          <w:lang w:val="zh-CN"/>
        </w:rPr>
        <w:t>评标委员会依据有关法律法规和招标文件的规定，对符合资格的投标人的投标文件进行符合性审查，以确定其是否满足招标文件的实质性要求，</w:t>
      </w:r>
      <w:r>
        <w:rPr>
          <w:rFonts w:hint="eastAsia" w:ascii="宋体" w:hAnsi="宋体" w:cs="宋体"/>
          <w:bCs/>
          <w:color w:val="auto"/>
          <w:szCs w:val="21"/>
          <w:highlight w:val="none"/>
        </w:rPr>
        <w:t>并记录评审结果。</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lang w:val="zh-CN"/>
        </w:rPr>
        <w:t>、投标文件属下列情况之一的，按照无效投标处理：</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（1）</w:t>
      </w:r>
      <w:r>
        <w:rPr>
          <w:rFonts w:hint="eastAsia" w:ascii="宋体" w:hAnsi="宋体" w:cs="宋体"/>
          <w:color w:val="auto"/>
          <w:sz w:val="24"/>
          <w:szCs w:val="24"/>
          <w:highlight w:val="none"/>
        </w:rPr>
        <w:t>未按照招标文件的规定提交投标承诺函的</w:t>
      </w:r>
      <w:r>
        <w:rPr>
          <w:rFonts w:hint="eastAsia" w:cs="仿宋_GB2312" w:asciiTheme="minorEastAsia" w:hAnsiTheme="minorEastAsia"/>
          <w:color w:val="auto"/>
          <w:sz w:val="24"/>
          <w:szCs w:val="24"/>
          <w:highlight w:val="none"/>
          <w:lang w:val="zh-CN"/>
        </w:rPr>
        <w:t>；</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（2）投标文件未按招标文件要求签署、盖章的；</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（3）不具备招标文件中规定的资格要求的；</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（4）</w:t>
      </w:r>
      <w:r>
        <w:rPr>
          <w:rFonts w:cs="仿宋_GB2312" w:asciiTheme="minorEastAsia" w:hAnsiTheme="minorEastAsia"/>
          <w:color w:val="auto"/>
          <w:sz w:val="24"/>
          <w:szCs w:val="24"/>
          <w:highlight w:val="none"/>
          <w:lang w:val="zh-CN"/>
        </w:rPr>
        <w:t>不符合第三章采购项目内容及其他要求的</w:t>
      </w:r>
      <w:r>
        <w:rPr>
          <w:rFonts w:hint="eastAsia" w:cs="仿宋_GB2312" w:asciiTheme="minorEastAsia" w:hAnsiTheme="minorEastAsia"/>
          <w:color w:val="auto"/>
          <w:sz w:val="24"/>
          <w:szCs w:val="24"/>
          <w:highlight w:val="none"/>
          <w:lang w:val="zh-CN"/>
        </w:rPr>
        <w:t>；</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（5）报价超过招标文件中规定的预算金额或者最高限价的；</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（6）</w:t>
      </w:r>
      <w:r>
        <w:rPr>
          <w:rFonts w:cs="仿宋_GB2312" w:asciiTheme="minorEastAsia" w:hAnsiTheme="minorEastAsia"/>
          <w:color w:val="auto"/>
          <w:sz w:val="24"/>
          <w:szCs w:val="24"/>
          <w:highlight w:val="none"/>
          <w:lang w:val="zh-CN"/>
        </w:rPr>
        <w:t>投标文件含有采购人不能接受的附加条件的</w:t>
      </w:r>
      <w:r>
        <w:rPr>
          <w:rFonts w:hint="eastAsia" w:cs="仿宋_GB2312" w:asciiTheme="minorEastAsia" w:hAnsiTheme="minorEastAsia"/>
          <w:color w:val="auto"/>
          <w:sz w:val="24"/>
          <w:szCs w:val="24"/>
          <w:highlight w:val="none"/>
          <w:lang w:val="zh-CN"/>
        </w:rPr>
        <w:t>；</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（7）</w:t>
      </w:r>
      <w:r>
        <w:rPr>
          <w:rFonts w:cs="仿宋_GB2312" w:asciiTheme="minorEastAsia" w:hAnsiTheme="minorEastAsia"/>
          <w:color w:val="auto"/>
          <w:sz w:val="24"/>
          <w:szCs w:val="24"/>
          <w:highlight w:val="none"/>
          <w:lang w:val="zh-CN"/>
        </w:rPr>
        <w:t>法律、法规和招标文件规定的其他无效情形。</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rPr>
        <w:t>3</w:t>
      </w:r>
      <w:r>
        <w:rPr>
          <w:rFonts w:hint="eastAsia" w:cs="仿宋_GB2312" w:asciiTheme="minorEastAsia" w:hAnsiTheme="minorEastAsia"/>
          <w:color w:val="auto"/>
          <w:sz w:val="24"/>
          <w:szCs w:val="24"/>
          <w:highlight w:val="none"/>
          <w:lang w:val="zh-CN"/>
        </w:rPr>
        <w:t>、有下列情形之一的，视为投标人串通投标，其投标无效：</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（1）不同投标人的投标文件由同一单位或者个人编制；</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（2）不同投标人委托同一单位或者个人办理投标事宜；</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（3）不同投标人的投标文件载明的项目管理成员或者联系人员为同一人；</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（4）不同投标人的投标文件异常一致或者投标报价呈规律性差异；</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（5）不同投标人的投标文件相互混装；</w:t>
      </w:r>
    </w:p>
    <w:p>
      <w:pPr>
        <w:tabs>
          <w:tab w:val="left" w:pos="1260"/>
        </w:tabs>
        <w:autoSpaceDE w:val="0"/>
        <w:autoSpaceDN w:val="0"/>
        <w:adjustRightInd w:val="0"/>
        <w:spacing w:line="360" w:lineRule="auto"/>
        <w:contextualSpacing/>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4、</w:t>
      </w:r>
      <w:r>
        <w:rPr>
          <w:rFonts w:cs="仿宋_GB2312" w:asciiTheme="minorEastAsia" w:hAnsiTheme="minorEastAsia"/>
          <w:b/>
          <w:color w:val="auto"/>
          <w:sz w:val="24"/>
          <w:szCs w:val="24"/>
          <w:highlight w:val="none"/>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480" w:firstLineChars="200"/>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rPr>
        <w:t>5</w:t>
      </w:r>
      <w:r>
        <w:rPr>
          <w:rFonts w:hint="eastAsia" w:cs="仿宋_GB2312" w:asciiTheme="minorEastAsia" w:hAnsiTheme="minorEastAsia"/>
          <w:color w:val="auto"/>
          <w:sz w:val="24"/>
          <w:szCs w:val="24"/>
          <w:highlight w:val="none"/>
          <w:lang w:val="zh-CN"/>
        </w:rPr>
        <w:t>、细微偏差不影响投标文件的有效性。</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adjustRightInd w:val="0"/>
        <w:spacing w:line="360" w:lineRule="auto"/>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6、相同品牌的认定</w:t>
      </w:r>
    </w:p>
    <w:p>
      <w:pPr>
        <w:tabs>
          <w:tab w:val="left" w:pos="1260"/>
        </w:tabs>
        <w:autoSpaceDE w:val="0"/>
        <w:autoSpaceDN w:val="0"/>
        <w:adjustRightInd w:val="0"/>
        <w:spacing w:line="360" w:lineRule="auto"/>
        <w:ind w:firstLine="480" w:firstLineChars="200"/>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ind w:firstLine="480" w:firstLineChars="200"/>
        <w:contextualSpacing/>
        <w:outlineLvl w:val="9"/>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276" w:lineRule="auto"/>
        <w:contextualSpacing/>
        <w:outlineLvl w:val="1"/>
        <w:rPr>
          <w:rFonts w:ascii="宋体" w:hAnsi="宋体" w:eastAsia="宋体" w:cs="仿宋_GB2312"/>
          <w:b/>
          <w:color w:val="auto"/>
          <w:sz w:val="24"/>
          <w:szCs w:val="24"/>
          <w:highlight w:val="none"/>
          <w:lang w:val="zh-CN"/>
        </w:rPr>
      </w:pPr>
      <w:bookmarkStart w:id="38" w:name="_Toc20848"/>
      <w:bookmarkStart w:id="39" w:name="_Toc28371"/>
      <w:r>
        <w:rPr>
          <w:rFonts w:hint="eastAsia" w:ascii="宋体" w:hAnsi="宋体" w:eastAsia="宋体" w:cs="仿宋_GB2312"/>
          <w:b/>
          <w:color w:val="auto"/>
          <w:sz w:val="24"/>
          <w:szCs w:val="24"/>
          <w:highlight w:val="none"/>
          <w:lang w:val="zh-CN"/>
        </w:rPr>
        <w:t>四、评标标准</w:t>
      </w:r>
      <w:bookmarkEnd w:id="38"/>
      <w:bookmarkEnd w:id="39"/>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firstLine="1304" w:firstLineChars="621"/>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价格分值：</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 分</w:t>
            </w:r>
          </w:p>
          <w:p>
            <w:pPr>
              <w:widowControl/>
              <w:spacing w:line="276" w:lineRule="auto"/>
              <w:ind w:firstLine="1304" w:firstLineChars="621"/>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 分</w:t>
            </w:r>
          </w:p>
          <w:p>
            <w:pPr>
              <w:widowControl/>
              <w:spacing w:line="276" w:lineRule="auto"/>
              <w:ind w:firstLine="1304" w:firstLineChars="621"/>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一、价格部分（满分</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评分因素</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评标基准价：满足招标文件要求的有效投标报价中，最低的投标报价为评标基准价。</w:t>
            </w:r>
          </w:p>
          <w:p>
            <w:pPr>
              <w:widowControl/>
              <w:spacing w:line="276" w:lineRule="auto"/>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二、商务部分（满分</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评分因素</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具有201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以来（以合同签订时间为准）类似项目业绩者，每份得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分。（提供合同协议书、中标通知书、中标网站截图）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1、软件平台厂家具有高新技术企业证书及知识产权管理体系认证，得5分，缺项不得分。</w:t>
            </w:r>
            <w:r>
              <w:rPr>
                <w:rFonts w:hint="eastAsia" w:ascii="宋体" w:hAnsi="宋体" w:eastAsia="宋体" w:cs="宋体"/>
                <w:color w:val="auto"/>
                <w:sz w:val="21"/>
                <w:szCs w:val="21"/>
                <w:highlight w:val="none"/>
              </w:rPr>
              <w:t>（以证书为准）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2、软件平台厂家具有公网集群对讲系统及运营管理平台软件产品证书，得5分。</w:t>
            </w:r>
            <w:r>
              <w:rPr>
                <w:rFonts w:hint="eastAsia" w:ascii="宋体" w:hAnsi="宋体" w:eastAsia="宋体" w:cs="宋体"/>
                <w:color w:val="auto"/>
                <w:sz w:val="21"/>
                <w:szCs w:val="21"/>
                <w:highlight w:val="none"/>
              </w:rPr>
              <w:t>（以证书为准）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3、软件平台厂家具有智能视频分析系统软件产品证书，得5分。</w:t>
            </w:r>
            <w:r>
              <w:rPr>
                <w:rFonts w:hint="eastAsia" w:ascii="宋体" w:hAnsi="宋体" w:eastAsia="宋体" w:cs="宋体"/>
                <w:color w:val="auto"/>
                <w:sz w:val="21"/>
                <w:szCs w:val="21"/>
                <w:highlight w:val="none"/>
              </w:rPr>
              <w:t>（以证书为准）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4、提供所投PAD终端产品厂家设备参数证明材料的得5分，缺项不得分。（以证明材料为准）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三、技术部分（满分</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评分因素</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项目整体方案</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投标人对本项目具体实施进度安排、组织计划、时间节点、阶段任务的安排。 </w:t>
            </w:r>
            <w:bookmarkStart w:id="136" w:name="_GoBack"/>
            <w:bookmarkEnd w:id="136"/>
          </w:p>
          <w:p>
            <w:pPr>
              <w:widowControl/>
              <w:spacing w:line="276"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具体实施进度安排、组织计划、时间节点、阶段任务的安排合理、完整，完全适用项目需求得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分； </w:t>
            </w:r>
          </w:p>
          <w:p>
            <w:pPr>
              <w:widowControl/>
              <w:spacing w:line="276"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具体实施进度安排、组织计划、时间节点、阶段任务的安排较合理、较完整，基本适用项目需求得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 </w:t>
            </w:r>
          </w:p>
          <w:p>
            <w:pPr>
              <w:widowControl/>
              <w:spacing w:line="276"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具体实施进度安排、组织计划、时间节点、阶段任务的安排不合理、不完整，不能适用项目需求得0分； </w:t>
            </w:r>
          </w:p>
          <w:p>
            <w:pPr>
              <w:widowControl/>
              <w:spacing w:line="276" w:lineRule="auto"/>
              <w:jc w:val="left"/>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rPr>
              <w:t>项目团队有明确的组织形式、人员结构、职责任务明确、工作计划及时间安排，符合项目实际情况、针对性强等内容。</w:t>
            </w:r>
          </w:p>
          <w:p>
            <w:pPr>
              <w:widowControl/>
              <w:spacing w:line="276" w:lineRule="auto"/>
              <w:jc w:val="left"/>
              <w:outlineLvl w:val="9"/>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组织形式、人员结构、职责任务明确、工作计划及时间安排，符合项目实际情况、针对性强等内容合理、完整</w:t>
            </w:r>
            <w:r>
              <w:rPr>
                <w:rFonts w:hint="eastAsia" w:ascii="宋体" w:hAnsi="宋体" w:eastAsia="宋体" w:cs="宋体"/>
                <w:color w:val="auto"/>
                <w:sz w:val="21"/>
                <w:szCs w:val="21"/>
                <w:highlight w:val="none"/>
                <w:lang w:eastAsia="zh-CN"/>
              </w:rPr>
              <w:t>，且配备有中级及以上互联网技术类工程师、三级及以上网络通信安全管理员，</w:t>
            </w:r>
            <w:r>
              <w:rPr>
                <w:rFonts w:hint="default"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分；</w:t>
            </w:r>
          </w:p>
          <w:p>
            <w:pPr>
              <w:widowControl/>
              <w:spacing w:line="276" w:lineRule="auto"/>
              <w:jc w:val="left"/>
              <w:outlineLvl w:val="9"/>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组织形式、人员结构、职责任务明确、工作计划及时间安排，符合项目实际情况、针对性强等内容较合理、较完整得：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rPr>
              <w:t>分；</w:t>
            </w:r>
          </w:p>
          <w:p>
            <w:pPr>
              <w:widowControl/>
              <w:spacing w:line="276" w:lineRule="auto"/>
              <w:jc w:val="left"/>
              <w:outlineLvl w:val="9"/>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组织形式、人员结构、职责任务明确、工作计划及时间安排，符合项目实际情况、针对性强等内容不够合理、不够完整得：1分；</w:t>
            </w:r>
          </w:p>
          <w:p>
            <w:pPr>
              <w:widowControl/>
              <w:spacing w:line="276" w:lineRule="auto"/>
              <w:jc w:val="left"/>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未提供不得分。</w:t>
            </w:r>
          </w:p>
          <w:p>
            <w:pPr>
              <w:widowControl/>
              <w:spacing w:line="276" w:lineRule="auto"/>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根据投标人提供的</w:t>
            </w:r>
            <w:r>
              <w:rPr>
                <w:rFonts w:hint="eastAsia" w:ascii="宋体" w:hAnsi="宋体" w:eastAsia="宋体" w:cs="宋体"/>
                <w:color w:val="auto"/>
                <w:sz w:val="21"/>
                <w:szCs w:val="21"/>
                <w:highlight w:val="none"/>
                <w:lang w:eastAsia="zh-CN"/>
              </w:rPr>
              <w:t>整体实施方案全面性综合</w:t>
            </w:r>
            <w:r>
              <w:rPr>
                <w:rFonts w:hint="eastAsia" w:ascii="宋体" w:hAnsi="宋体" w:eastAsia="宋体" w:cs="宋体"/>
                <w:color w:val="auto"/>
                <w:sz w:val="21"/>
                <w:szCs w:val="21"/>
                <w:highlight w:val="none"/>
              </w:rPr>
              <w:t>评审：</w:t>
            </w:r>
          </w:p>
          <w:p>
            <w:pPr>
              <w:widowControl/>
              <w:spacing w:line="276" w:lineRule="auto"/>
              <w:jc w:val="left"/>
              <w:outlineLvl w:val="9"/>
              <w:rPr>
                <w:rFonts w:hint="default" w:ascii="宋体" w:hAnsi="宋体" w:eastAsia="宋体" w:cs="宋体"/>
                <w:color w:val="auto"/>
                <w:sz w:val="21"/>
                <w:szCs w:val="21"/>
                <w:highlight w:val="none"/>
                <w:lang w:val="en-US" w:eastAsia="zh-CN"/>
              </w:rPr>
            </w:pPr>
            <w:r>
              <w:rPr>
                <w:rFonts w:hint="eastAsia" w:ascii="新宋体" w:hAnsi="新宋体" w:eastAsia="新宋体" w:cs="新宋体"/>
                <w:color w:val="auto"/>
                <w:sz w:val="21"/>
                <w:szCs w:val="21"/>
              </w:rPr>
              <w:t>方案详细，整体性强、理念先进及产品技术参数完全满足招标文件为优，得</w:t>
            </w:r>
            <w:r>
              <w:rPr>
                <w:rFonts w:hint="eastAsia" w:ascii="新宋体" w:hAnsi="新宋体" w:eastAsia="新宋体" w:cs="新宋体"/>
                <w:color w:val="auto"/>
                <w:sz w:val="21"/>
                <w:szCs w:val="21"/>
                <w:lang w:val="en-US" w:eastAsia="zh-CN"/>
              </w:rPr>
              <w:t>7</w:t>
            </w:r>
            <w:r>
              <w:rPr>
                <w:rFonts w:hint="eastAsia" w:ascii="新宋体" w:hAnsi="新宋体" w:eastAsia="新宋体" w:cs="新宋体"/>
                <w:color w:val="auto"/>
                <w:sz w:val="21"/>
                <w:szCs w:val="21"/>
              </w:rPr>
              <w:t>分；方案一般，整体性一般、理念一般及产品技术参数基本满足招标文件为良，得</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分；方案简单，整体性较差、无相关理念，不得分。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76" w:lineRule="auto"/>
              <w:jc w:val="left"/>
              <w:outlineLvl w:val="9"/>
              <w:rPr>
                <w:color w:val="auto"/>
                <w:sz w:val="21"/>
                <w:szCs w:val="21"/>
              </w:rPr>
            </w:pPr>
            <w:r>
              <w:rPr>
                <w:rFonts w:hint="eastAsia"/>
                <w:color w:val="auto"/>
                <w:sz w:val="21"/>
                <w:szCs w:val="21"/>
                <w:lang w:val="en-US" w:eastAsia="zh-CN"/>
              </w:rPr>
              <w:t>对各投标人售后服务方案、服务响应时限、售后服务承诺、质保期、培训计划等进行综合评比：售后服务与培训方案完整合理、可行性强，完全满足或优于采购文件要求得10分；售后服务与培训方案完整、可行性一般，符合采购文件要求，得6分；售后服务与培训方案基本完整、可行性较差，不符合采购文件要求，得3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bl>
    <w:p>
      <w:pPr>
        <w:tabs>
          <w:tab w:val="left" w:pos="1260"/>
        </w:tabs>
        <w:autoSpaceDE w:val="0"/>
        <w:autoSpaceDN w:val="0"/>
        <w:adjustRightInd w:val="0"/>
        <w:spacing w:line="360" w:lineRule="auto"/>
        <w:contextualSpacing/>
        <w:outlineLvl w:val="9"/>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注：1、评标标准中所涉及到的证书及材料，均须在电子投标文件中提供原件扫描件（或图片），否则不得分。</w:t>
      </w:r>
    </w:p>
    <w:p>
      <w:pPr>
        <w:tabs>
          <w:tab w:val="left" w:pos="1260"/>
        </w:tabs>
        <w:autoSpaceDE w:val="0"/>
        <w:autoSpaceDN w:val="0"/>
        <w:adjustRightInd w:val="0"/>
        <w:spacing w:line="360" w:lineRule="auto"/>
        <w:contextualSpacing/>
        <w:outlineLvl w:val="9"/>
        <w:rPr>
          <w:rFonts w:cs="仿宋_GB2312" w:asciiTheme="minorEastAsia" w:hAnsiTheme="minorEastAsia"/>
          <w:b/>
          <w:color w:val="auto"/>
          <w:sz w:val="24"/>
          <w:szCs w:val="24"/>
          <w:highlight w:val="none"/>
          <w:lang w:val="zh-CN"/>
        </w:rPr>
      </w:pPr>
    </w:p>
    <w:p>
      <w:pPr>
        <w:tabs>
          <w:tab w:val="left" w:pos="1260"/>
        </w:tabs>
        <w:autoSpaceDE w:val="0"/>
        <w:autoSpaceDN w:val="0"/>
        <w:adjustRightInd w:val="0"/>
        <w:spacing w:line="360" w:lineRule="auto"/>
        <w:contextualSpacing/>
        <w:outlineLvl w:val="1"/>
        <w:rPr>
          <w:rFonts w:cs="仿宋_GB2312" w:asciiTheme="minorEastAsia" w:hAnsiTheme="minorEastAsia"/>
          <w:b/>
          <w:color w:val="auto"/>
          <w:sz w:val="24"/>
          <w:szCs w:val="24"/>
          <w:highlight w:val="none"/>
          <w:lang w:val="zh-CN"/>
        </w:rPr>
      </w:pPr>
      <w:bookmarkStart w:id="40" w:name="_Toc10329"/>
      <w:bookmarkStart w:id="41" w:name="_Toc11651"/>
      <w:r>
        <w:rPr>
          <w:rFonts w:hint="eastAsia" w:cs="仿宋_GB2312" w:asciiTheme="minorEastAsia" w:hAnsiTheme="minorEastAsia"/>
          <w:b/>
          <w:color w:val="auto"/>
          <w:sz w:val="24"/>
          <w:szCs w:val="24"/>
          <w:highlight w:val="none"/>
          <w:lang w:val="zh-CN"/>
        </w:rPr>
        <w:t>五、评标结果</w:t>
      </w:r>
      <w:bookmarkEnd w:id="40"/>
      <w:bookmarkEnd w:id="41"/>
    </w:p>
    <w:p>
      <w:pPr>
        <w:pStyle w:val="12"/>
        <w:spacing w:line="360" w:lineRule="auto"/>
        <w:contextualSpacing/>
        <w:jc w:val="left"/>
        <w:outlineLvl w:val="9"/>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eastAsiaTheme="minorEastAsia"/>
          <w:color w:val="auto"/>
          <w:szCs w:val="24"/>
          <w:highlight w:val="none"/>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2"/>
        <w:spacing w:line="360" w:lineRule="auto"/>
        <w:ind w:firstLine="2530" w:firstLineChars="700"/>
        <w:contextualSpacing/>
        <w:outlineLvl w:val="9"/>
        <w:rPr>
          <w:rFonts w:cs="宋体" w:asciiTheme="majorEastAsia" w:hAnsiTheme="majorEastAsia" w:eastAsiaTheme="majorEastAsia"/>
          <w:b/>
          <w:color w:val="auto"/>
          <w:kern w:val="0"/>
          <w:sz w:val="36"/>
          <w:szCs w:val="36"/>
          <w:highlight w:val="none"/>
        </w:rPr>
      </w:pPr>
    </w:p>
    <w:p>
      <w:pPr>
        <w:pStyle w:val="12"/>
        <w:spacing w:line="360" w:lineRule="auto"/>
        <w:ind w:firstLine="2530" w:firstLineChars="700"/>
        <w:contextualSpacing/>
        <w:outlineLvl w:val="9"/>
        <w:rPr>
          <w:rFonts w:cs="宋体" w:asciiTheme="majorEastAsia" w:hAnsiTheme="majorEastAsia" w:eastAsiaTheme="majorEastAsia"/>
          <w:b/>
          <w:color w:val="auto"/>
          <w:kern w:val="0"/>
          <w:sz w:val="36"/>
          <w:szCs w:val="36"/>
          <w:highlight w:val="none"/>
        </w:rPr>
      </w:pPr>
    </w:p>
    <w:p>
      <w:pPr>
        <w:outlineLvl w:val="9"/>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br w:type="page"/>
      </w:r>
    </w:p>
    <w:p>
      <w:pPr>
        <w:pStyle w:val="12"/>
        <w:spacing w:line="360" w:lineRule="auto"/>
        <w:ind w:firstLine="2530" w:firstLineChars="700"/>
        <w:contextualSpacing/>
        <w:outlineLvl w:val="0"/>
        <w:rPr>
          <w:rFonts w:cs="宋体" w:asciiTheme="majorEastAsia" w:hAnsiTheme="majorEastAsia" w:eastAsiaTheme="majorEastAsia"/>
          <w:b/>
          <w:color w:val="auto"/>
          <w:kern w:val="0"/>
          <w:sz w:val="36"/>
          <w:szCs w:val="36"/>
          <w:highlight w:val="none"/>
        </w:rPr>
      </w:pPr>
      <w:bookmarkStart w:id="42" w:name="_Toc23284"/>
      <w:bookmarkStart w:id="43" w:name="_Toc13688"/>
      <w:r>
        <w:rPr>
          <w:rFonts w:hint="eastAsia" w:cs="宋体" w:asciiTheme="majorEastAsia" w:hAnsiTheme="majorEastAsia" w:eastAsiaTheme="majorEastAsia"/>
          <w:b/>
          <w:color w:val="auto"/>
          <w:kern w:val="0"/>
          <w:sz w:val="36"/>
          <w:szCs w:val="36"/>
          <w:highlight w:val="none"/>
        </w:rPr>
        <w:t>第六章</w:t>
      </w:r>
      <w:r>
        <w:rPr>
          <w:rFonts w:hint="eastAsia" w:cs="宋体" w:asciiTheme="majorEastAsia" w:hAnsiTheme="majorEastAsia" w:eastAsiaTheme="majorEastAsia"/>
          <w:b/>
          <w:color w:val="auto"/>
          <w:kern w:val="0"/>
          <w:sz w:val="36"/>
          <w:szCs w:val="36"/>
          <w:highlight w:val="none"/>
          <w:lang w:val="en-US" w:eastAsia="zh-CN"/>
        </w:rPr>
        <w:t xml:space="preserve"> </w:t>
      </w:r>
      <w:r>
        <w:rPr>
          <w:rFonts w:hint="eastAsia" w:cs="宋体" w:asciiTheme="majorEastAsia" w:hAnsiTheme="majorEastAsia" w:eastAsiaTheme="majorEastAsia"/>
          <w:b/>
          <w:color w:val="auto"/>
          <w:kern w:val="0"/>
          <w:sz w:val="36"/>
          <w:szCs w:val="36"/>
          <w:highlight w:val="none"/>
        </w:rPr>
        <w:t>合同条款及格式</w:t>
      </w:r>
      <w:bookmarkEnd w:id="42"/>
      <w:bookmarkEnd w:id="43"/>
    </w:p>
    <w:p>
      <w:pPr>
        <w:autoSpaceDE w:val="0"/>
        <w:autoSpaceDN w:val="0"/>
        <w:adjustRightInd w:val="0"/>
        <w:spacing w:line="360" w:lineRule="auto"/>
        <w:jc w:val="center"/>
        <w:outlineLvl w:val="1"/>
        <w:rPr>
          <w:rFonts w:ascii="黑体" w:eastAsia="黑体" w:cs="黑体"/>
          <w:b/>
          <w:bCs/>
          <w:color w:val="auto"/>
          <w:sz w:val="28"/>
          <w:szCs w:val="28"/>
          <w:highlight w:val="none"/>
          <w:lang w:val="zh-CN"/>
        </w:rPr>
      </w:pPr>
      <w:bookmarkStart w:id="44" w:name="_Toc526"/>
      <w:bookmarkStart w:id="45" w:name="_Toc22217"/>
      <w:r>
        <w:rPr>
          <w:rFonts w:hint="eastAsia" w:ascii="黑体" w:eastAsia="黑体" w:cs="黑体"/>
          <w:b/>
          <w:bCs/>
          <w:color w:val="auto"/>
          <w:sz w:val="28"/>
          <w:szCs w:val="28"/>
          <w:highlight w:val="none"/>
          <w:lang w:val="zh-CN"/>
        </w:rPr>
        <w:t>一、合同一般条款</w:t>
      </w:r>
      <w:bookmarkEnd w:id="44"/>
      <w:bookmarkEnd w:id="45"/>
    </w:p>
    <w:p>
      <w:pPr>
        <w:autoSpaceDE w:val="0"/>
        <w:autoSpaceDN w:val="0"/>
        <w:adjustRightInd w:val="0"/>
        <w:spacing w:line="360" w:lineRule="auto"/>
        <w:jc w:val="center"/>
        <w:outlineLvl w:val="9"/>
        <w:rPr>
          <w:rFonts w:ascii="黑体" w:eastAsia="黑体" w:cs="黑体"/>
          <w:b/>
          <w:bCs/>
          <w:color w:val="auto"/>
          <w:sz w:val="28"/>
          <w:szCs w:val="28"/>
          <w:highlight w:val="none"/>
          <w:lang w:val="zh-CN"/>
        </w:rPr>
      </w:pP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1. </w:t>
      </w:r>
      <w:r>
        <w:rPr>
          <w:rFonts w:hint="eastAsia" w:ascii="宋体" w:cs="宋体"/>
          <w:color w:val="auto"/>
          <w:sz w:val="24"/>
          <w:highlight w:val="none"/>
          <w:lang w:val="zh-CN"/>
        </w:rPr>
        <w:t>定义</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1.1</w:t>
      </w:r>
      <w:r>
        <w:rPr>
          <w:color w:val="auto"/>
          <w:sz w:val="24"/>
          <w:highlight w:val="none"/>
        </w:rPr>
        <w:t>“</w:t>
      </w:r>
      <w:r>
        <w:rPr>
          <w:rFonts w:hint="eastAsia" w:ascii="宋体" w:cs="宋体"/>
          <w:color w:val="auto"/>
          <w:sz w:val="24"/>
          <w:highlight w:val="none"/>
          <w:lang w:val="zh-CN"/>
        </w:rPr>
        <w:t>合同</w:t>
      </w:r>
      <w:r>
        <w:rPr>
          <w:color w:val="auto"/>
          <w:sz w:val="24"/>
          <w:highlight w:val="none"/>
        </w:rPr>
        <w:t>”</w:t>
      </w:r>
      <w:r>
        <w:rPr>
          <w:rFonts w:hint="eastAsia" w:ascii="宋体" w:cs="宋体"/>
          <w:color w:val="auto"/>
          <w:sz w:val="24"/>
          <w:highlight w:val="none"/>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1.2</w:t>
      </w:r>
      <w:r>
        <w:rPr>
          <w:color w:val="auto"/>
          <w:sz w:val="24"/>
          <w:highlight w:val="none"/>
        </w:rPr>
        <w:t>“</w:t>
      </w:r>
      <w:r>
        <w:rPr>
          <w:rFonts w:hint="eastAsia" w:ascii="宋体" w:cs="宋体"/>
          <w:color w:val="auto"/>
          <w:sz w:val="24"/>
          <w:highlight w:val="none"/>
          <w:lang w:val="zh-CN"/>
        </w:rPr>
        <w:t>合同价格</w:t>
      </w:r>
      <w:r>
        <w:rPr>
          <w:color w:val="auto"/>
          <w:sz w:val="24"/>
          <w:highlight w:val="none"/>
        </w:rPr>
        <w:t>”</w:t>
      </w:r>
      <w:r>
        <w:rPr>
          <w:rFonts w:hint="eastAsia" w:ascii="宋体" w:cs="宋体"/>
          <w:color w:val="auto"/>
          <w:sz w:val="24"/>
          <w:highlight w:val="none"/>
          <w:lang w:val="zh-CN"/>
        </w:rPr>
        <w:t>系指根据合同规定，在乙方全面正确地履行合同义务时应支付给乙方的款项。</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1.3</w:t>
      </w:r>
      <w:r>
        <w:rPr>
          <w:color w:val="auto"/>
          <w:sz w:val="24"/>
          <w:highlight w:val="none"/>
        </w:rPr>
        <w:t>“</w:t>
      </w:r>
      <w:r>
        <w:rPr>
          <w:rFonts w:hint="eastAsia" w:ascii="宋体" w:cs="宋体"/>
          <w:color w:val="auto"/>
          <w:sz w:val="24"/>
          <w:highlight w:val="none"/>
          <w:lang w:val="zh-CN"/>
        </w:rPr>
        <w:t>甲方</w:t>
      </w:r>
      <w:r>
        <w:rPr>
          <w:color w:val="auto"/>
          <w:sz w:val="24"/>
          <w:highlight w:val="none"/>
        </w:rPr>
        <w:t>”</w:t>
      </w:r>
      <w:r>
        <w:rPr>
          <w:rFonts w:hint="eastAsia" w:ascii="宋体" w:cs="宋体"/>
          <w:color w:val="auto"/>
          <w:sz w:val="24"/>
          <w:highlight w:val="none"/>
          <w:lang w:val="zh-CN"/>
        </w:rPr>
        <w:t>系指通过招标方式，接受合同服务的采购人</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1.4</w:t>
      </w:r>
      <w:r>
        <w:rPr>
          <w:color w:val="auto"/>
          <w:sz w:val="24"/>
          <w:highlight w:val="none"/>
        </w:rPr>
        <w:t>“</w:t>
      </w:r>
      <w:r>
        <w:rPr>
          <w:rFonts w:hint="eastAsia" w:ascii="宋体" w:cs="宋体"/>
          <w:color w:val="auto"/>
          <w:sz w:val="24"/>
          <w:highlight w:val="none"/>
          <w:lang w:val="zh-CN"/>
        </w:rPr>
        <w:t>乙方</w:t>
      </w:r>
      <w:r>
        <w:rPr>
          <w:color w:val="auto"/>
          <w:sz w:val="24"/>
          <w:highlight w:val="none"/>
        </w:rPr>
        <w:t>”</w:t>
      </w:r>
      <w:r>
        <w:rPr>
          <w:rFonts w:hint="eastAsia" w:ascii="宋体" w:cs="宋体"/>
          <w:color w:val="auto"/>
          <w:sz w:val="24"/>
          <w:highlight w:val="none"/>
          <w:lang w:val="zh-CN"/>
        </w:rPr>
        <w:t>系指中标后提供合同服务的</w:t>
      </w:r>
      <w:r>
        <w:rPr>
          <w:rFonts w:hint="eastAsia" w:ascii="宋体" w:cs="宋体"/>
          <w:bCs/>
          <w:color w:val="auto"/>
          <w:sz w:val="24"/>
          <w:highlight w:val="none"/>
          <w:lang w:val="zh-CN"/>
        </w:rPr>
        <w:t>中标方</w:t>
      </w:r>
      <w:r>
        <w:rPr>
          <w:rFonts w:hint="eastAsia" w:ascii="宋体" w:cs="宋体"/>
          <w:color w:val="auto"/>
          <w:sz w:val="24"/>
          <w:highlight w:val="none"/>
          <w:lang w:val="zh-CN"/>
        </w:rPr>
        <w:t>或供应商。</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2.</w:t>
      </w:r>
      <w:r>
        <w:rPr>
          <w:rFonts w:hint="eastAsia" w:ascii="宋体" w:cs="宋体"/>
          <w:color w:val="auto"/>
          <w:sz w:val="24"/>
          <w:highlight w:val="none"/>
          <w:lang w:val="zh-CN"/>
        </w:rPr>
        <w:t>适用范围</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本合同条款仅适用于本次招标活动。</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3.</w:t>
      </w:r>
      <w:r>
        <w:rPr>
          <w:rFonts w:hint="eastAsia" w:ascii="宋体" w:cs="宋体"/>
          <w:color w:val="auto"/>
          <w:sz w:val="24"/>
          <w:highlight w:val="none"/>
          <w:lang w:val="zh-CN"/>
        </w:rPr>
        <w:t>技术规格和标准</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本合同项下所提供服务的技术规格标准应与本招标文件技术规格规定的标准相一致。</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4.</w:t>
      </w:r>
      <w:r>
        <w:rPr>
          <w:rFonts w:hint="eastAsia" w:ascii="宋体" w:cs="宋体"/>
          <w:color w:val="auto"/>
          <w:sz w:val="24"/>
          <w:highlight w:val="none"/>
          <w:lang w:val="zh-CN"/>
        </w:rPr>
        <w:t>合同期限</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即自</w:t>
      </w:r>
      <w:r>
        <w:rPr>
          <w:rFonts w:ascii="宋体" w:cs="宋体"/>
          <w:color w:val="auto"/>
          <w:sz w:val="24"/>
          <w:highlight w:val="none"/>
          <w:lang w:val="zh-CN"/>
        </w:rPr>
        <w:tab/>
      </w:r>
      <w:r>
        <w:rPr>
          <w:rFonts w:hint="eastAsia" w:ascii="宋体" w:cs="宋体"/>
          <w:color w:val="auto"/>
          <w:sz w:val="24"/>
          <w:highlight w:val="none"/>
          <w:lang w:val="zh-CN"/>
        </w:rPr>
        <w:t>年</w:t>
      </w:r>
      <w:r>
        <w:rPr>
          <w:rFonts w:ascii="宋体" w:cs="宋体"/>
          <w:color w:val="auto"/>
          <w:sz w:val="24"/>
          <w:highlight w:val="none"/>
          <w:lang w:val="zh-CN"/>
        </w:rPr>
        <w:tab/>
      </w:r>
      <w:r>
        <w:rPr>
          <w:rFonts w:hint="eastAsia" w:ascii="宋体" w:cs="宋体"/>
          <w:color w:val="auto"/>
          <w:sz w:val="24"/>
          <w:highlight w:val="none"/>
          <w:lang w:val="zh-CN"/>
        </w:rPr>
        <w:t>月</w:t>
      </w:r>
      <w:r>
        <w:rPr>
          <w:rFonts w:ascii="宋体" w:cs="宋体"/>
          <w:color w:val="auto"/>
          <w:sz w:val="24"/>
          <w:highlight w:val="none"/>
          <w:lang w:val="zh-CN"/>
        </w:rPr>
        <w:tab/>
      </w:r>
      <w:r>
        <w:rPr>
          <w:rFonts w:hint="eastAsia" w:ascii="宋体" w:cs="宋体"/>
          <w:color w:val="auto"/>
          <w:sz w:val="24"/>
          <w:highlight w:val="none"/>
          <w:lang w:val="zh-CN"/>
        </w:rPr>
        <w:t>日起至</w:t>
      </w:r>
      <w:r>
        <w:rPr>
          <w:rFonts w:ascii="宋体" w:cs="宋体"/>
          <w:color w:val="auto"/>
          <w:sz w:val="24"/>
          <w:highlight w:val="none"/>
          <w:lang w:val="zh-CN"/>
        </w:rPr>
        <w:tab/>
      </w:r>
      <w:r>
        <w:rPr>
          <w:rFonts w:hint="eastAsia" w:ascii="宋体" w:cs="宋体"/>
          <w:color w:val="auto"/>
          <w:sz w:val="24"/>
          <w:highlight w:val="none"/>
          <w:lang w:val="zh-CN"/>
        </w:rPr>
        <w:t>年</w:t>
      </w:r>
      <w:r>
        <w:rPr>
          <w:rFonts w:ascii="宋体" w:cs="宋体"/>
          <w:color w:val="auto"/>
          <w:sz w:val="24"/>
          <w:highlight w:val="none"/>
          <w:lang w:val="zh-CN"/>
        </w:rPr>
        <w:tab/>
      </w:r>
      <w:r>
        <w:rPr>
          <w:rFonts w:hint="eastAsia" w:ascii="宋体" w:cs="宋体"/>
          <w:color w:val="auto"/>
          <w:sz w:val="24"/>
          <w:highlight w:val="none"/>
          <w:lang w:val="zh-CN"/>
        </w:rPr>
        <w:t>月</w:t>
      </w:r>
      <w:r>
        <w:rPr>
          <w:rFonts w:ascii="宋体" w:cs="宋体"/>
          <w:color w:val="auto"/>
          <w:sz w:val="24"/>
          <w:highlight w:val="none"/>
          <w:lang w:val="zh-CN"/>
        </w:rPr>
        <w:tab/>
      </w:r>
      <w:r>
        <w:rPr>
          <w:rFonts w:hint="eastAsia" w:ascii="宋体" w:cs="宋体"/>
          <w:color w:val="auto"/>
          <w:sz w:val="24"/>
          <w:highlight w:val="none"/>
          <w:lang w:val="zh-CN"/>
        </w:rPr>
        <w:t>日止。</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5.</w:t>
      </w:r>
      <w:r>
        <w:rPr>
          <w:rFonts w:hint="eastAsia" w:ascii="宋体" w:cs="宋体"/>
          <w:color w:val="auto"/>
          <w:sz w:val="24"/>
          <w:highlight w:val="none"/>
          <w:lang w:val="zh-CN"/>
        </w:rPr>
        <w:t>价格</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除非合同中另有规定，乙方为其所提供货物设备和服务而要求甲方支付的金额应与其投标报价一致。</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6.</w:t>
      </w:r>
      <w:r>
        <w:rPr>
          <w:rFonts w:hint="eastAsia" w:ascii="宋体" w:cs="宋体"/>
          <w:color w:val="auto"/>
          <w:sz w:val="24"/>
          <w:highlight w:val="none"/>
          <w:lang w:val="zh-CN"/>
        </w:rPr>
        <w:t>索赔</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6.1</w:t>
      </w:r>
      <w:r>
        <w:rPr>
          <w:rFonts w:hint="eastAsia" w:ascii="宋体" w:cs="宋体"/>
          <w:color w:val="auto"/>
          <w:sz w:val="24"/>
          <w:highlight w:val="none"/>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6.1.1</w:t>
      </w:r>
      <w:r>
        <w:rPr>
          <w:rFonts w:hint="eastAsia" w:ascii="宋体" w:cs="宋体"/>
          <w:color w:val="auto"/>
          <w:sz w:val="24"/>
          <w:highlight w:val="none"/>
          <w:lang w:val="zh-CN"/>
        </w:rPr>
        <w:t>乙方同意甲方取消其不符合要求的货物设备和服务项目，退还已经收取的该类货物设备的货款。</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6.1.2</w:t>
      </w:r>
      <w:r>
        <w:rPr>
          <w:rFonts w:hint="eastAsia" w:ascii="宋体" w:cs="宋体"/>
          <w:color w:val="auto"/>
          <w:sz w:val="24"/>
          <w:highlight w:val="none"/>
          <w:lang w:val="zh-CN"/>
        </w:rPr>
        <w:t>对于情节严重、造成甲方损失金额巨大的，同意甲方终止全部项目合同，并赔偿甲方因此造成的损失。</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6.2 </w:t>
      </w:r>
      <w:r>
        <w:rPr>
          <w:rFonts w:hint="eastAsia" w:ascii="宋体" w:cs="宋体"/>
          <w:color w:val="auto"/>
          <w:sz w:val="24"/>
          <w:highlight w:val="none"/>
          <w:lang w:val="zh-CN"/>
        </w:rPr>
        <w:t>如果甲方提出索赔通知后</w:t>
      </w:r>
      <w:r>
        <w:rPr>
          <w:rFonts w:ascii="宋体" w:cs="宋体"/>
          <w:color w:val="auto"/>
          <w:sz w:val="24"/>
          <w:highlight w:val="none"/>
          <w:lang w:val="zh-CN"/>
        </w:rPr>
        <w:t xml:space="preserve"> 30</w:t>
      </w:r>
      <w:r>
        <w:rPr>
          <w:rFonts w:hint="eastAsia" w:ascii="宋体" w:cs="宋体"/>
          <w:color w:val="auto"/>
          <w:sz w:val="24"/>
          <w:highlight w:val="none"/>
          <w:lang w:val="zh-CN"/>
        </w:rPr>
        <w:t>天内乙方未能予以签复，该索赔应视为已被乙方接受。若乙方未能在甲方提出索赔通知的</w:t>
      </w:r>
      <w:r>
        <w:rPr>
          <w:rFonts w:ascii="宋体" w:cs="宋体"/>
          <w:color w:val="auto"/>
          <w:sz w:val="24"/>
          <w:highlight w:val="none"/>
          <w:lang w:val="zh-CN"/>
        </w:rPr>
        <w:t xml:space="preserve"> 30</w:t>
      </w:r>
      <w:r>
        <w:rPr>
          <w:rFonts w:hint="eastAsia" w:ascii="宋体" w:cs="宋体"/>
          <w:color w:val="auto"/>
          <w:sz w:val="24"/>
          <w:highlight w:val="none"/>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7.</w:t>
      </w:r>
      <w:r>
        <w:rPr>
          <w:rFonts w:hint="eastAsia" w:ascii="宋体" w:cs="宋体"/>
          <w:color w:val="auto"/>
          <w:sz w:val="24"/>
          <w:highlight w:val="none"/>
          <w:lang w:val="zh-CN"/>
        </w:rPr>
        <w:t>不可抗力</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7.1</w:t>
      </w:r>
      <w:r>
        <w:rPr>
          <w:rFonts w:hint="eastAsia" w:ascii="宋体" w:cs="宋体"/>
          <w:color w:val="auto"/>
          <w:sz w:val="24"/>
          <w:highlight w:val="none"/>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7.2</w:t>
      </w:r>
      <w:r>
        <w:rPr>
          <w:rFonts w:hint="eastAsia" w:ascii="宋体" w:cs="宋体"/>
          <w:color w:val="auto"/>
          <w:sz w:val="24"/>
          <w:highlight w:val="none"/>
          <w:lang w:val="zh-CN"/>
        </w:rPr>
        <w:t>受损一方应在不可抗力事故发生后尽快用电报、传真或电传通知对方，并于事故发生后</w:t>
      </w:r>
      <w:r>
        <w:rPr>
          <w:rFonts w:ascii="宋体" w:cs="宋体"/>
          <w:color w:val="auto"/>
          <w:sz w:val="24"/>
          <w:highlight w:val="none"/>
          <w:lang w:val="zh-CN"/>
        </w:rPr>
        <w:t xml:space="preserve"> 14</w:t>
      </w:r>
      <w:r>
        <w:rPr>
          <w:rFonts w:hint="eastAsia" w:ascii="宋体" w:cs="宋体"/>
          <w:color w:val="auto"/>
          <w:sz w:val="24"/>
          <w:highlight w:val="none"/>
          <w:lang w:val="zh-CN"/>
        </w:rPr>
        <w:t>天内将有关部门出具的证明文件用特快专递或挂号信寄给对方审阅确认。一旦不可抗力事故的影响持续</w:t>
      </w:r>
      <w:r>
        <w:rPr>
          <w:rFonts w:ascii="宋体" w:cs="宋体"/>
          <w:color w:val="auto"/>
          <w:sz w:val="24"/>
          <w:highlight w:val="none"/>
          <w:lang w:val="zh-CN"/>
        </w:rPr>
        <w:t xml:space="preserve"> 60</w:t>
      </w:r>
      <w:r>
        <w:rPr>
          <w:rFonts w:hint="eastAsia" w:ascii="宋体" w:cs="宋体"/>
          <w:color w:val="auto"/>
          <w:sz w:val="24"/>
          <w:highlight w:val="none"/>
          <w:lang w:val="zh-CN"/>
        </w:rPr>
        <w:t>天以上，双方应通过友好协商，在合理的时间内达成进一步履行合同的协议。</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8.</w:t>
      </w:r>
      <w:r>
        <w:rPr>
          <w:rFonts w:hint="eastAsia" w:ascii="宋体" w:cs="宋体"/>
          <w:color w:val="auto"/>
          <w:sz w:val="24"/>
          <w:highlight w:val="none"/>
          <w:lang w:val="zh-CN"/>
        </w:rPr>
        <w:t>履约保证金</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8.1</w:t>
      </w:r>
      <w:r>
        <w:rPr>
          <w:rFonts w:hint="eastAsia" w:ascii="宋体" w:cs="宋体"/>
          <w:color w:val="auto"/>
          <w:sz w:val="24"/>
          <w:highlight w:val="none"/>
          <w:lang w:val="zh-CN"/>
        </w:rPr>
        <w:t>履约保证金的有效期至供货完毕且验收合格。</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8.2</w:t>
      </w:r>
      <w:r>
        <w:rPr>
          <w:rFonts w:hint="eastAsia" w:ascii="宋体" w:cs="宋体"/>
          <w:color w:val="auto"/>
          <w:sz w:val="24"/>
          <w:highlight w:val="none"/>
          <w:lang w:val="zh-CN"/>
        </w:rPr>
        <w:t>乙方提供的履约保证金按规定格式转帐支票、电汇的形式提供，与此有关的费用由乙方负担。</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8.4</w:t>
      </w:r>
      <w:r>
        <w:rPr>
          <w:rFonts w:hint="eastAsia" w:ascii="宋体" w:cs="宋体"/>
          <w:color w:val="auto"/>
          <w:sz w:val="24"/>
          <w:highlight w:val="none"/>
          <w:lang w:val="zh-CN"/>
        </w:rPr>
        <w:t>如果乙方未能按合同规定履行其义务，甲方有权从履约保证金取得补偿。</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9.</w:t>
      </w:r>
      <w:r>
        <w:rPr>
          <w:rFonts w:hint="eastAsia" w:ascii="宋体" w:cs="宋体"/>
          <w:color w:val="auto"/>
          <w:sz w:val="24"/>
          <w:highlight w:val="none"/>
          <w:lang w:val="zh-CN"/>
        </w:rPr>
        <w:t>争议的解决</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9.1</w:t>
      </w:r>
      <w:r>
        <w:rPr>
          <w:rFonts w:hint="eastAsia" w:ascii="宋体" w:cs="宋体"/>
          <w:color w:val="auto"/>
          <w:sz w:val="24"/>
          <w:highlight w:val="none"/>
          <w:lang w:val="zh-CN"/>
        </w:rPr>
        <w:t>在执行合同中发生的与本合同有关的争端，双方应通过友好协商解决，经协商在</w:t>
      </w:r>
      <w:r>
        <w:rPr>
          <w:rFonts w:ascii="宋体" w:cs="宋体"/>
          <w:color w:val="auto"/>
          <w:sz w:val="24"/>
          <w:highlight w:val="none"/>
          <w:lang w:val="zh-CN"/>
        </w:rPr>
        <w:t xml:space="preserve"> 60</w:t>
      </w:r>
      <w:r>
        <w:rPr>
          <w:rFonts w:hint="eastAsia" w:ascii="宋体" w:cs="宋体"/>
          <w:color w:val="auto"/>
          <w:sz w:val="24"/>
          <w:highlight w:val="none"/>
          <w:lang w:val="zh-CN"/>
        </w:rPr>
        <w:t>天内不能达成协议时，应提交仲裁。</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9.2 </w:t>
      </w:r>
      <w:r>
        <w:rPr>
          <w:rFonts w:hint="eastAsia" w:ascii="宋体" w:cs="宋体"/>
          <w:color w:val="auto"/>
          <w:sz w:val="24"/>
          <w:highlight w:val="none"/>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9.3 </w:t>
      </w:r>
      <w:r>
        <w:rPr>
          <w:rFonts w:hint="eastAsia" w:ascii="宋体" w:cs="宋体"/>
          <w:color w:val="auto"/>
          <w:sz w:val="24"/>
          <w:highlight w:val="none"/>
          <w:lang w:val="zh-CN"/>
        </w:rPr>
        <w:t>合同双方均为国内法人的，其争端的仲裁应由合同发生地许昌市仲裁委员会根据其仲裁程序进行。</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9.4 </w:t>
      </w:r>
      <w:r>
        <w:rPr>
          <w:rFonts w:hint="eastAsia" w:ascii="宋体" w:cs="宋体"/>
          <w:color w:val="auto"/>
          <w:sz w:val="24"/>
          <w:highlight w:val="none"/>
          <w:lang w:val="zh-CN"/>
        </w:rPr>
        <w:t>仲裁裁决应为最终决定，并对双方具有约束力。</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9.5 </w:t>
      </w:r>
      <w:r>
        <w:rPr>
          <w:rFonts w:hint="eastAsia" w:ascii="宋体" w:cs="宋体"/>
          <w:color w:val="auto"/>
          <w:sz w:val="24"/>
          <w:highlight w:val="none"/>
          <w:lang w:val="zh-CN"/>
        </w:rPr>
        <w:t>除另有裁决外，仲裁费应由败诉方负担。</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9.6 </w:t>
      </w:r>
      <w:r>
        <w:rPr>
          <w:rFonts w:hint="eastAsia" w:ascii="宋体" w:cs="宋体"/>
          <w:color w:val="auto"/>
          <w:sz w:val="24"/>
          <w:highlight w:val="none"/>
          <w:lang w:val="zh-CN"/>
        </w:rPr>
        <w:t>在仲裁期间，除正在进行的仲裁部分外，合同其他部分继续执行。</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10.</w:t>
      </w:r>
      <w:r>
        <w:rPr>
          <w:rFonts w:hint="eastAsia" w:ascii="宋体" w:cs="宋体"/>
          <w:color w:val="auto"/>
          <w:sz w:val="24"/>
          <w:highlight w:val="none"/>
          <w:lang w:val="zh-CN"/>
        </w:rPr>
        <w:t>合同终止</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10.1</w:t>
      </w:r>
      <w:r>
        <w:rPr>
          <w:rFonts w:hint="eastAsia" w:ascii="宋体" w:cs="宋体"/>
          <w:color w:val="auto"/>
          <w:sz w:val="24"/>
          <w:highlight w:val="none"/>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10.2 </w:t>
      </w:r>
      <w:r>
        <w:rPr>
          <w:rFonts w:hint="eastAsia" w:ascii="宋体" w:cs="宋体"/>
          <w:color w:val="auto"/>
          <w:sz w:val="24"/>
          <w:highlight w:val="none"/>
          <w:lang w:val="zh-CN"/>
        </w:rPr>
        <w:t>出现下列情况时合同自动终止：</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10.2.1</w:t>
      </w:r>
      <w:r>
        <w:rPr>
          <w:rFonts w:hint="eastAsia" w:ascii="宋体" w:cs="宋体"/>
          <w:color w:val="auto"/>
          <w:sz w:val="24"/>
          <w:highlight w:val="none"/>
          <w:lang w:val="zh-CN"/>
        </w:rPr>
        <w:t>发生不可抗力时。</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10.2.2</w:t>
      </w:r>
      <w:r>
        <w:rPr>
          <w:rFonts w:hint="eastAsia" w:ascii="宋体" w:cs="宋体"/>
          <w:color w:val="auto"/>
          <w:sz w:val="24"/>
          <w:highlight w:val="none"/>
          <w:lang w:val="zh-CN"/>
        </w:rPr>
        <w:t>一方不履行合同条款，造成另一方无法执行合同协议，协商又不能求得解决，合同终止，责任方赔偿损失。</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11.</w:t>
      </w:r>
      <w:r>
        <w:rPr>
          <w:rFonts w:hint="eastAsia" w:ascii="宋体" w:cs="宋体"/>
          <w:color w:val="auto"/>
          <w:sz w:val="24"/>
          <w:highlight w:val="none"/>
          <w:lang w:val="zh-CN"/>
        </w:rPr>
        <w:t>合同修改</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12.</w:t>
      </w:r>
      <w:r>
        <w:rPr>
          <w:rFonts w:hint="eastAsia" w:ascii="宋体" w:cs="宋体"/>
          <w:color w:val="auto"/>
          <w:sz w:val="24"/>
          <w:highlight w:val="none"/>
          <w:lang w:val="zh-CN"/>
        </w:rPr>
        <w:t>适用法律</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本合同应按中华人民共和国的法律解释。</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13.</w:t>
      </w:r>
      <w:r>
        <w:rPr>
          <w:rFonts w:hint="eastAsia" w:ascii="宋体" w:cs="宋体"/>
          <w:color w:val="auto"/>
          <w:sz w:val="24"/>
          <w:highlight w:val="none"/>
          <w:lang w:val="zh-CN"/>
        </w:rPr>
        <w:t>主导语言与计量单位</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13.1 </w:t>
      </w:r>
      <w:r>
        <w:rPr>
          <w:rFonts w:hint="eastAsia" w:ascii="宋体" w:cs="宋体"/>
          <w:color w:val="auto"/>
          <w:sz w:val="24"/>
          <w:highlight w:val="none"/>
          <w:lang w:val="zh-CN"/>
        </w:rPr>
        <w:t>合同书写应用中文书写。</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 xml:space="preserve">13.2 </w:t>
      </w:r>
      <w:r>
        <w:rPr>
          <w:rFonts w:hint="eastAsia" w:ascii="宋体" w:cs="宋体"/>
          <w:color w:val="auto"/>
          <w:sz w:val="24"/>
          <w:highlight w:val="none"/>
          <w:lang w:val="zh-CN"/>
        </w:rPr>
        <w:t>除技术规格另有规定外，计量单位均使用中华人民共和国法定计量单位。</w:t>
      </w:r>
    </w:p>
    <w:p>
      <w:pPr>
        <w:autoSpaceDE w:val="0"/>
        <w:autoSpaceDN w:val="0"/>
        <w:adjustRightInd w:val="0"/>
        <w:spacing w:line="360" w:lineRule="auto"/>
        <w:ind w:firstLine="480"/>
        <w:outlineLvl w:val="9"/>
        <w:rPr>
          <w:rFonts w:ascii="宋体" w:cs="宋体"/>
          <w:color w:val="auto"/>
          <w:sz w:val="24"/>
          <w:highlight w:val="none"/>
          <w:lang w:val="zh-CN"/>
        </w:rPr>
      </w:pPr>
      <w:r>
        <w:rPr>
          <w:rFonts w:ascii="宋体" w:cs="宋体"/>
          <w:color w:val="auto"/>
          <w:sz w:val="24"/>
          <w:highlight w:val="none"/>
          <w:lang w:val="zh-CN"/>
        </w:rPr>
        <w:t>14.</w:t>
      </w:r>
      <w:r>
        <w:rPr>
          <w:rFonts w:hint="eastAsia" w:ascii="宋体" w:cs="宋体"/>
          <w:color w:val="auto"/>
          <w:sz w:val="24"/>
          <w:highlight w:val="none"/>
          <w:lang w:val="zh-CN"/>
        </w:rPr>
        <w:t>合同生效</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除非合同中另有说明，本合同经双方签字盖章，并在招标人收到乙方的履约保证金后，即开始生效。</w:t>
      </w:r>
    </w:p>
    <w:p>
      <w:pPr>
        <w:autoSpaceDE w:val="0"/>
        <w:autoSpaceDN w:val="0"/>
        <w:adjustRightInd w:val="0"/>
        <w:spacing w:line="360" w:lineRule="auto"/>
        <w:jc w:val="center"/>
        <w:outlineLvl w:val="9"/>
        <w:rPr>
          <w:rFonts w:ascii="黑体" w:eastAsia="黑体" w:cs="黑体"/>
          <w:b/>
          <w:bCs/>
          <w:color w:val="auto"/>
          <w:sz w:val="28"/>
          <w:szCs w:val="28"/>
          <w:highlight w:val="none"/>
          <w:lang w:val="zh-CN"/>
        </w:rPr>
      </w:pPr>
    </w:p>
    <w:p>
      <w:pPr>
        <w:autoSpaceDE w:val="0"/>
        <w:autoSpaceDN w:val="0"/>
        <w:adjustRightInd w:val="0"/>
        <w:spacing w:line="360" w:lineRule="auto"/>
        <w:jc w:val="center"/>
        <w:outlineLvl w:val="9"/>
        <w:rPr>
          <w:rFonts w:ascii="黑体" w:eastAsia="黑体" w:cs="黑体"/>
          <w:b/>
          <w:bCs/>
          <w:color w:val="auto"/>
          <w:sz w:val="28"/>
          <w:szCs w:val="28"/>
          <w:highlight w:val="none"/>
          <w:lang w:val="zh-CN"/>
        </w:rPr>
      </w:pPr>
    </w:p>
    <w:p>
      <w:pPr>
        <w:widowControl/>
        <w:jc w:val="center"/>
        <w:outlineLvl w:val="1"/>
        <w:rPr>
          <w:rFonts w:ascii="黑体" w:eastAsia="黑体" w:cs="黑体"/>
          <w:b/>
          <w:bCs/>
          <w:color w:val="auto"/>
          <w:sz w:val="28"/>
          <w:szCs w:val="28"/>
          <w:highlight w:val="none"/>
          <w:lang w:val="zh-CN"/>
        </w:rPr>
      </w:pPr>
      <w:bookmarkStart w:id="46" w:name="_Toc31408"/>
      <w:bookmarkStart w:id="47" w:name="_Toc18671"/>
      <w:r>
        <w:rPr>
          <w:rFonts w:hint="eastAsia" w:ascii="黑体" w:eastAsia="黑体" w:cs="黑体"/>
          <w:b/>
          <w:bCs/>
          <w:color w:val="auto"/>
          <w:sz w:val="28"/>
          <w:szCs w:val="28"/>
          <w:highlight w:val="none"/>
          <w:lang w:val="zh-CN"/>
        </w:rPr>
        <w:t>二、合同特殊条款</w:t>
      </w:r>
      <w:bookmarkEnd w:id="46"/>
      <w:bookmarkEnd w:id="47"/>
    </w:p>
    <w:p>
      <w:pPr>
        <w:autoSpaceDE w:val="0"/>
        <w:autoSpaceDN w:val="0"/>
        <w:adjustRightInd w:val="0"/>
        <w:spacing w:line="360" w:lineRule="auto"/>
        <w:jc w:val="center"/>
        <w:outlineLvl w:val="9"/>
        <w:rPr>
          <w:rFonts w:ascii="宋体" w:cs="宋体"/>
          <w:b/>
          <w:bCs/>
          <w:color w:val="auto"/>
          <w:sz w:val="30"/>
          <w:szCs w:val="30"/>
          <w:highlight w:val="none"/>
          <w:lang w:val="zh-CN"/>
        </w:rPr>
      </w:pP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（具体条款由甲乙双方根据该项目的特殊性协商约定）略。</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合同特殊条款是合同一般条款的补充和修改。如果两者之间有抵触，应以特殊条款为准。</w:t>
      </w:r>
    </w:p>
    <w:p>
      <w:pPr>
        <w:autoSpaceDE w:val="0"/>
        <w:autoSpaceDN w:val="0"/>
        <w:adjustRightInd w:val="0"/>
        <w:spacing w:line="360" w:lineRule="auto"/>
        <w:ind w:firstLine="480"/>
        <w:outlineLvl w:val="9"/>
        <w:rPr>
          <w:rFonts w:ascii="宋体" w:cs="宋体"/>
          <w:color w:val="auto"/>
          <w:sz w:val="24"/>
          <w:highlight w:val="none"/>
          <w:lang w:val="zh-CN"/>
        </w:rPr>
      </w:pPr>
    </w:p>
    <w:p>
      <w:pPr>
        <w:autoSpaceDE w:val="0"/>
        <w:autoSpaceDN w:val="0"/>
        <w:adjustRightInd w:val="0"/>
        <w:spacing w:line="360" w:lineRule="auto"/>
        <w:jc w:val="center"/>
        <w:outlineLvl w:val="1"/>
        <w:rPr>
          <w:rFonts w:ascii="黑体" w:eastAsia="黑体" w:cs="黑体"/>
          <w:b/>
          <w:bCs/>
          <w:color w:val="auto"/>
          <w:sz w:val="28"/>
          <w:szCs w:val="28"/>
          <w:highlight w:val="none"/>
          <w:lang w:val="zh-CN"/>
        </w:rPr>
      </w:pPr>
      <w:bookmarkStart w:id="48" w:name="_Toc1773"/>
      <w:bookmarkStart w:id="49" w:name="_Toc11067"/>
      <w:r>
        <w:rPr>
          <w:rFonts w:hint="eastAsia" w:ascii="黑体" w:eastAsia="黑体" w:cs="黑体"/>
          <w:b/>
          <w:bCs/>
          <w:color w:val="auto"/>
          <w:sz w:val="28"/>
          <w:szCs w:val="28"/>
          <w:highlight w:val="none"/>
          <w:lang w:val="zh-CN"/>
        </w:rPr>
        <w:t>三、 合同书</w:t>
      </w:r>
      <w:bookmarkEnd w:id="48"/>
      <w:bookmarkEnd w:id="49"/>
    </w:p>
    <w:p>
      <w:pPr>
        <w:autoSpaceDE w:val="0"/>
        <w:autoSpaceDN w:val="0"/>
        <w:adjustRightInd w:val="0"/>
        <w:spacing w:line="360" w:lineRule="auto"/>
        <w:jc w:val="center"/>
        <w:outlineLvl w:val="1"/>
        <w:rPr>
          <w:rFonts w:ascii="黑体" w:eastAsia="黑体" w:cs="黑体"/>
          <w:b/>
          <w:bCs/>
          <w:color w:val="auto"/>
          <w:sz w:val="24"/>
          <w:szCs w:val="24"/>
          <w:highlight w:val="none"/>
          <w:lang w:val="zh-CN"/>
        </w:rPr>
      </w:pPr>
      <w:bookmarkStart w:id="50" w:name="_Toc32766"/>
      <w:bookmarkStart w:id="51" w:name="_Toc2259"/>
      <w:r>
        <w:rPr>
          <w:rFonts w:hint="eastAsia" w:ascii="黑体" w:eastAsia="黑体" w:cs="黑体"/>
          <w:b/>
          <w:bCs/>
          <w:color w:val="auto"/>
          <w:sz w:val="24"/>
          <w:szCs w:val="24"/>
          <w:highlight w:val="none"/>
          <w:lang w:val="zh-CN"/>
        </w:rPr>
        <w:t>（仅供参考，最终以签订合同为准，最终签订合同的主要条款不能与招标文件有冲突）</w:t>
      </w:r>
      <w:bookmarkEnd w:id="50"/>
      <w:bookmarkEnd w:id="51"/>
    </w:p>
    <w:p>
      <w:pPr>
        <w:autoSpaceDE w:val="0"/>
        <w:autoSpaceDN w:val="0"/>
        <w:adjustRightInd w:val="0"/>
        <w:spacing w:line="360" w:lineRule="auto"/>
        <w:outlineLvl w:val="9"/>
        <w:rPr>
          <w:rFonts w:ascii="宋体" w:cs="宋体"/>
          <w:color w:val="auto"/>
          <w:sz w:val="24"/>
          <w:highlight w:val="none"/>
          <w:lang w:val="zh-CN"/>
        </w:rPr>
      </w:pPr>
      <w:r>
        <w:rPr>
          <w:rFonts w:hint="eastAsia" w:ascii="宋体" w:cs="宋体"/>
          <w:color w:val="auto"/>
          <w:sz w:val="24"/>
          <w:highlight w:val="none"/>
          <w:lang w:val="zh-CN"/>
        </w:rPr>
        <w:t>合同编号：</w:t>
      </w:r>
    </w:p>
    <w:p>
      <w:pPr>
        <w:autoSpaceDE w:val="0"/>
        <w:autoSpaceDN w:val="0"/>
        <w:adjustRightInd w:val="0"/>
        <w:spacing w:line="360" w:lineRule="auto"/>
        <w:outlineLvl w:val="9"/>
        <w:rPr>
          <w:rFonts w:ascii="宋体" w:cs="宋体"/>
          <w:color w:val="auto"/>
          <w:sz w:val="24"/>
          <w:highlight w:val="none"/>
          <w:lang w:val="zh-CN"/>
        </w:rPr>
      </w:pPr>
      <w:r>
        <w:rPr>
          <w:rFonts w:hint="eastAsia" w:ascii="宋体" w:cs="宋体"/>
          <w:color w:val="auto"/>
          <w:sz w:val="24"/>
          <w:highlight w:val="none"/>
          <w:lang w:val="zh-CN"/>
        </w:rPr>
        <w:t>供方：需方：</w:t>
      </w:r>
    </w:p>
    <w:p>
      <w:pPr>
        <w:autoSpaceDE w:val="0"/>
        <w:autoSpaceDN w:val="0"/>
        <w:adjustRightInd w:val="0"/>
        <w:spacing w:line="360" w:lineRule="auto"/>
        <w:outlineLvl w:val="9"/>
        <w:rPr>
          <w:rFonts w:ascii="宋体" w:cs="宋体"/>
          <w:color w:val="auto"/>
          <w:sz w:val="24"/>
          <w:highlight w:val="none"/>
          <w:lang w:val="zh-CN"/>
        </w:rPr>
      </w:pPr>
      <w:r>
        <w:rPr>
          <w:rFonts w:hint="eastAsia" w:ascii="宋体" w:cs="宋体"/>
          <w:color w:val="auto"/>
          <w:sz w:val="24"/>
          <w:highlight w:val="none"/>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outlineLvl w:val="9"/>
              <w:rPr>
                <w:color w:val="auto"/>
                <w:sz w:val="24"/>
                <w:highlight w:val="none"/>
              </w:rPr>
            </w:pPr>
            <w:r>
              <w:rPr>
                <w:rFonts w:hint="eastAsia" w:ascii="宋体" w:cs="宋体"/>
                <w:color w:val="auto"/>
                <w:sz w:val="24"/>
                <w:highlight w:val="none"/>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outlineLvl w:val="9"/>
              <w:rPr>
                <w:color w:val="auto"/>
                <w:sz w:val="24"/>
                <w:highlight w:val="none"/>
              </w:rPr>
            </w:pPr>
            <w:r>
              <w:rPr>
                <w:rFonts w:hint="eastAsia" w:ascii="宋体" w:cs="宋体"/>
                <w:color w:val="auto"/>
                <w:sz w:val="24"/>
                <w:highlight w:val="none"/>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outlineLvl w:val="9"/>
              <w:rPr>
                <w:color w:val="auto"/>
                <w:sz w:val="24"/>
                <w:highlight w:val="none"/>
              </w:rPr>
            </w:pPr>
            <w:r>
              <w:rPr>
                <w:rFonts w:hint="eastAsia" w:ascii="宋体" w:cs="宋体"/>
                <w:color w:val="auto"/>
                <w:sz w:val="24"/>
                <w:highlight w:val="none"/>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outlineLvl w:val="9"/>
              <w:rPr>
                <w:color w:val="auto"/>
                <w:sz w:val="24"/>
                <w:highlight w:val="none"/>
              </w:rPr>
            </w:pPr>
            <w:r>
              <w:rPr>
                <w:rFonts w:hint="eastAsia" w:ascii="宋体" w:cs="宋体"/>
                <w:color w:val="auto"/>
                <w:sz w:val="24"/>
                <w:highlight w:val="none"/>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outlineLvl w:val="9"/>
              <w:rPr>
                <w:color w:val="auto"/>
                <w:sz w:val="24"/>
                <w:highlight w:val="none"/>
              </w:rPr>
            </w:pPr>
            <w:r>
              <w:rPr>
                <w:rFonts w:hint="eastAsia" w:ascii="宋体" w:cs="宋体"/>
                <w:color w:val="auto"/>
                <w:sz w:val="24"/>
                <w:highlight w:val="none"/>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outlineLvl w:val="9"/>
              <w:rPr>
                <w:color w:val="auto"/>
                <w:sz w:val="24"/>
                <w:highlight w:val="none"/>
              </w:rPr>
            </w:pPr>
            <w:r>
              <w:rPr>
                <w:rFonts w:hint="eastAsia" w:ascii="宋体" w:cs="宋体"/>
                <w:color w:val="auto"/>
                <w:sz w:val="24"/>
                <w:highlight w:val="none"/>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outlineLvl w:val="9"/>
              <w:rPr>
                <w:color w:val="auto"/>
                <w:sz w:val="24"/>
                <w:highlight w:val="none"/>
              </w:rPr>
            </w:pPr>
            <w:r>
              <w:rPr>
                <w:rFonts w:hint="eastAsia" w:ascii="宋体" w:cs="宋体"/>
                <w:color w:val="auto"/>
                <w:sz w:val="24"/>
                <w:highlight w:val="none"/>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outlineLvl w:val="9"/>
              <w:rPr>
                <w:color w:val="auto"/>
                <w:sz w:val="24"/>
                <w:highlight w:val="none"/>
              </w:rPr>
            </w:pPr>
            <w:r>
              <w:rPr>
                <w:rFonts w:hint="eastAsia" w:ascii="宋体" w:cs="宋体"/>
                <w:color w:val="auto"/>
                <w:sz w:val="24"/>
                <w:highlight w:val="none"/>
                <w:lang w:val="zh-CN"/>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color w:val="auto"/>
                <w:sz w:val="24"/>
                <w:highlight w:val="none"/>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outlineLvl w:val="9"/>
              <w:rPr>
                <w:color w:val="auto"/>
                <w:sz w:val="24"/>
                <w:highlight w:val="none"/>
              </w:rPr>
            </w:pPr>
            <w:r>
              <w:rPr>
                <w:rFonts w:hint="eastAsia" w:ascii="宋体" w:cs="宋体"/>
                <w:color w:val="auto"/>
                <w:sz w:val="24"/>
                <w:highlight w:val="none"/>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outlineLvl w:val="9"/>
              <w:rPr>
                <w:rFonts w:ascii="宋体" w:cs="宋体"/>
                <w:color w:val="auto"/>
                <w:sz w:val="24"/>
                <w:highlight w:val="none"/>
                <w:lang w:val="zh-CN"/>
              </w:rPr>
            </w:pPr>
            <w:r>
              <w:rPr>
                <w:rFonts w:hint="eastAsia" w:ascii="宋体" w:cs="宋体"/>
                <w:color w:val="auto"/>
                <w:sz w:val="24"/>
                <w:highlight w:val="none"/>
                <w:lang w:val="zh-CN"/>
              </w:rPr>
              <w:t>大写：　　　　　　小写：</w:t>
            </w:r>
          </w:p>
        </w:tc>
      </w:tr>
    </w:tbl>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三、设备质量要求及供方对质量负责的条件和期限</w:t>
      </w:r>
    </w:p>
    <w:p>
      <w:pPr>
        <w:autoSpaceDE w:val="0"/>
        <w:autoSpaceDN w:val="0"/>
        <w:adjustRightInd w:val="0"/>
        <w:spacing w:line="360" w:lineRule="auto"/>
        <w:outlineLvl w:val="9"/>
        <w:rPr>
          <w:rFonts w:ascii="宋体" w:cs="宋体"/>
          <w:color w:val="auto"/>
          <w:sz w:val="24"/>
          <w:highlight w:val="none"/>
          <w:lang w:val="zh-CN"/>
        </w:rPr>
      </w:pPr>
      <w:r>
        <w:rPr>
          <w:rFonts w:ascii="宋体" w:cs="宋体"/>
          <w:color w:val="auto"/>
          <w:sz w:val="24"/>
          <w:highlight w:val="none"/>
          <w:lang w:val="zh-CN"/>
        </w:rPr>
        <w:t xml:space="preserve">    1</w:t>
      </w:r>
      <w:r>
        <w:rPr>
          <w:rFonts w:hint="eastAsia" w:ascii="宋体" w:cs="宋体"/>
          <w:color w:val="auto"/>
          <w:sz w:val="24"/>
          <w:highlight w:val="none"/>
          <w:lang w:val="zh-CN"/>
        </w:rPr>
        <w:t>、供方提供的货物须是全新的且保证不是库存或积压品</w:t>
      </w:r>
      <w:r>
        <w:rPr>
          <w:rFonts w:ascii="宋体" w:cs="宋体"/>
          <w:color w:val="auto"/>
          <w:sz w:val="24"/>
          <w:highlight w:val="none"/>
          <w:lang w:val="zh-CN"/>
        </w:rPr>
        <w:t>(</w:t>
      </w:r>
      <w:r>
        <w:rPr>
          <w:rFonts w:hint="eastAsia" w:ascii="宋体" w:cs="宋体"/>
          <w:color w:val="auto"/>
          <w:sz w:val="24"/>
          <w:highlight w:val="none"/>
          <w:lang w:val="zh-CN"/>
        </w:rPr>
        <w:t>包括零部件</w:t>
      </w:r>
      <w:r>
        <w:rPr>
          <w:rFonts w:ascii="宋体" w:cs="宋体"/>
          <w:color w:val="auto"/>
          <w:sz w:val="24"/>
          <w:highlight w:val="none"/>
          <w:lang w:val="zh-CN"/>
        </w:rPr>
        <w:t>)</w:t>
      </w:r>
      <w:r>
        <w:rPr>
          <w:rFonts w:hint="eastAsia" w:ascii="宋体" w:cs="宋体"/>
          <w:color w:val="auto"/>
          <w:sz w:val="24"/>
          <w:highlight w:val="none"/>
          <w:lang w:val="zh-CN"/>
        </w:rPr>
        <w:t>，符合国家、部委或地方相关标准以及该产品的出厂标准。</w:t>
      </w:r>
    </w:p>
    <w:p>
      <w:pPr>
        <w:autoSpaceDE w:val="0"/>
        <w:autoSpaceDN w:val="0"/>
        <w:adjustRightInd w:val="0"/>
        <w:spacing w:line="360" w:lineRule="auto"/>
        <w:ind w:firstLine="480" w:firstLineChars="200"/>
        <w:outlineLvl w:val="9"/>
        <w:rPr>
          <w:rFonts w:ascii="宋体" w:cs="宋体"/>
          <w:color w:val="auto"/>
          <w:sz w:val="24"/>
          <w:highlight w:val="none"/>
          <w:lang w:val="zh-CN"/>
        </w:rPr>
      </w:pPr>
      <w:r>
        <w:rPr>
          <w:rFonts w:ascii="宋体" w:cs="宋体"/>
          <w:color w:val="auto"/>
          <w:sz w:val="24"/>
          <w:highlight w:val="none"/>
          <w:lang w:val="zh-CN"/>
        </w:rPr>
        <w:t>2</w:t>
      </w:r>
      <w:r>
        <w:rPr>
          <w:rFonts w:hint="eastAsia" w:ascii="宋体" w:cs="宋体"/>
          <w:color w:val="auto"/>
          <w:sz w:val="24"/>
          <w:highlight w:val="none"/>
          <w:lang w:val="zh-CN"/>
        </w:rPr>
        <w:t>、供方应在产品使用期限内，承担所提供的货物因自身质量原因产生的责任。</w:t>
      </w:r>
    </w:p>
    <w:p>
      <w:pPr>
        <w:autoSpaceDE w:val="0"/>
        <w:autoSpaceDN w:val="0"/>
        <w:adjustRightInd w:val="0"/>
        <w:spacing w:line="360" w:lineRule="auto"/>
        <w:ind w:firstLine="570"/>
        <w:outlineLvl w:val="9"/>
        <w:rPr>
          <w:rFonts w:ascii="宋体" w:cs="宋体"/>
          <w:color w:val="auto"/>
          <w:sz w:val="24"/>
          <w:highlight w:val="none"/>
          <w:lang w:val="zh-CN"/>
        </w:rPr>
      </w:pPr>
      <w:r>
        <w:rPr>
          <w:rFonts w:hint="eastAsia" w:ascii="宋体" w:cs="宋体"/>
          <w:color w:val="auto"/>
          <w:sz w:val="24"/>
          <w:highlight w:val="none"/>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五、货物标志、包装、运输：按招标文件办理。供方将货物直接运至规定的地点，运费自理。</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七、货物验收：验收标准按招标文件规定执行。需方有权对供方所交货物抽样做试运行实验、实验室检查。</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八、售后服务：按招标文件及投标文件相应条款执行。</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九、结算方式：</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十、法律责任</w:t>
      </w:r>
    </w:p>
    <w:p>
      <w:pPr>
        <w:autoSpaceDE w:val="0"/>
        <w:autoSpaceDN w:val="0"/>
        <w:adjustRightInd w:val="0"/>
        <w:spacing w:line="360" w:lineRule="auto"/>
        <w:outlineLvl w:val="9"/>
        <w:rPr>
          <w:rFonts w:ascii="宋体" w:cs="宋体"/>
          <w:color w:val="auto"/>
          <w:sz w:val="24"/>
          <w:highlight w:val="none"/>
          <w:lang w:val="zh-CN"/>
        </w:rPr>
      </w:pPr>
      <w:r>
        <w:rPr>
          <w:rFonts w:ascii="宋体" w:cs="宋体"/>
          <w:color w:val="auto"/>
          <w:sz w:val="24"/>
          <w:highlight w:val="none"/>
          <w:lang w:val="zh-CN"/>
        </w:rPr>
        <w:t xml:space="preserve">    1</w:t>
      </w:r>
      <w:r>
        <w:rPr>
          <w:rFonts w:hint="eastAsia" w:ascii="宋体" w:cs="宋体"/>
          <w:color w:val="auto"/>
          <w:sz w:val="24"/>
          <w:highlight w:val="none"/>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outlineLvl w:val="9"/>
        <w:rPr>
          <w:rFonts w:ascii="宋体" w:cs="宋体"/>
          <w:color w:val="auto"/>
          <w:sz w:val="24"/>
          <w:highlight w:val="none"/>
          <w:lang w:val="zh-CN"/>
        </w:rPr>
      </w:pPr>
      <w:r>
        <w:rPr>
          <w:rFonts w:ascii="宋体" w:cs="宋体"/>
          <w:color w:val="auto"/>
          <w:sz w:val="24"/>
          <w:highlight w:val="none"/>
          <w:lang w:val="zh-CN"/>
        </w:rPr>
        <w:t xml:space="preserve">    2</w:t>
      </w:r>
      <w:r>
        <w:rPr>
          <w:rFonts w:hint="eastAsia" w:ascii="宋体" w:cs="宋体"/>
          <w:color w:val="auto"/>
          <w:sz w:val="24"/>
          <w:highlight w:val="none"/>
          <w:lang w:val="zh-CN"/>
        </w:rPr>
        <w:t>、供方逾期交付货物，应向需方每日支付逾期交货部分货款总值</w:t>
      </w:r>
      <w:r>
        <w:rPr>
          <w:rFonts w:ascii="宋体" w:cs="宋体"/>
          <w:color w:val="auto"/>
          <w:sz w:val="24"/>
          <w:highlight w:val="none"/>
          <w:lang w:val="zh-CN"/>
        </w:rPr>
        <w:t>5%</w:t>
      </w:r>
      <w:r>
        <w:rPr>
          <w:rFonts w:hint="eastAsia" w:ascii="宋体" w:cs="宋体"/>
          <w:color w:val="auto"/>
          <w:sz w:val="24"/>
          <w:highlight w:val="none"/>
          <w:lang w:val="zh-CN"/>
        </w:rPr>
        <w:t>的违约金；在合同规定的交货期满</w:t>
      </w:r>
      <w:r>
        <w:rPr>
          <w:rFonts w:ascii="宋体" w:cs="宋体"/>
          <w:color w:val="auto"/>
          <w:sz w:val="24"/>
          <w:highlight w:val="none"/>
          <w:lang w:val="zh-CN"/>
        </w:rPr>
        <w:t>15</w:t>
      </w:r>
      <w:r>
        <w:rPr>
          <w:rFonts w:hint="eastAsia" w:ascii="宋体" w:cs="宋体"/>
          <w:color w:val="auto"/>
          <w:sz w:val="24"/>
          <w:highlight w:val="none"/>
          <w:lang w:val="zh-CN"/>
        </w:rPr>
        <w:t>日仍未全部交货，按不能交货处理。仅支付已验收货物的货款，供方应承担由此发生的全部费用。</w:t>
      </w:r>
    </w:p>
    <w:p>
      <w:pPr>
        <w:autoSpaceDE w:val="0"/>
        <w:autoSpaceDN w:val="0"/>
        <w:adjustRightInd w:val="0"/>
        <w:spacing w:line="360" w:lineRule="auto"/>
        <w:outlineLvl w:val="9"/>
        <w:rPr>
          <w:rFonts w:ascii="宋体" w:cs="宋体"/>
          <w:color w:val="auto"/>
          <w:sz w:val="24"/>
          <w:highlight w:val="none"/>
          <w:lang w:val="zh-CN"/>
        </w:rPr>
      </w:pPr>
      <w:r>
        <w:rPr>
          <w:rFonts w:ascii="宋体" w:cs="宋体"/>
          <w:color w:val="auto"/>
          <w:sz w:val="24"/>
          <w:highlight w:val="none"/>
          <w:lang w:val="zh-CN"/>
        </w:rPr>
        <w:t xml:space="preserve">    3</w:t>
      </w:r>
      <w:r>
        <w:rPr>
          <w:rFonts w:hint="eastAsia" w:ascii="宋体" w:cs="宋体"/>
          <w:color w:val="auto"/>
          <w:sz w:val="24"/>
          <w:highlight w:val="none"/>
          <w:lang w:val="zh-CN"/>
        </w:rPr>
        <w:t>、供方在本合同规定的交货期内不能交货，应向需方支付全部合同金额</w:t>
      </w:r>
      <w:r>
        <w:rPr>
          <w:rFonts w:ascii="宋体" w:cs="宋体"/>
          <w:color w:val="auto"/>
          <w:sz w:val="24"/>
          <w:highlight w:val="none"/>
          <w:lang w:val="zh-CN"/>
        </w:rPr>
        <w:t>5%</w:t>
      </w:r>
      <w:r>
        <w:rPr>
          <w:rFonts w:hint="eastAsia" w:ascii="宋体" w:cs="宋体"/>
          <w:color w:val="auto"/>
          <w:sz w:val="24"/>
          <w:highlight w:val="none"/>
          <w:lang w:val="zh-CN"/>
        </w:rPr>
        <w:t>的违约金，需方有权终止合同。</w:t>
      </w:r>
    </w:p>
    <w:p>
      <w:pPr>
        <w:autoSpaceDE w:val="0"/>
        <w:autoSpaceDN w:val="0"/>
        <w:adjustRightInd w:val="0"/>
        <w:spacing w:line="360" w:lineRule="auto"/>
        <w:outlineLvl w:val="9"/>
        <w:rPr>
          <w:rFonts w:ascii="宋体" w:cs="宋体"/>
          <w:color w:val="auto"/>
          <w:sz w:val="24"/>
          <w:highlight w:val="none"/>
          <w:lang w:val="zh-CN"/>
        </w:rPr>
      </w:pPr>
      <w:r>
        <w:rPr>
          <w:rFonts w:ascii="宋体" w:cs="宋体"/>
          <w:color w:val="auto"/>
          <w:sz w:val="24"/>
          <w:highlight w:val="none"/>
          <w:lang w:val="zh-CN"/>
        </w:rPr>
        <w:t xml:space="preserve">    4</w:t>
      </w:r>
      <w:r>
        <w:rPr>
          <w:rFonts w:hint="eastAsia" w:ascii="宋体" w:cs="宋体"/>
          <w:color w:val="auto"/>
          <w:sz w:val="24"/>
          <w:highlight w:val="none"/>
          <w:lang w:val="zh-CN"/>
        </w:rPr>
        <w:t>、需方无正当理由拒收设备，应向供方支付无正当理由拒收设备金额</w:t>
      </w:r>
      <w:r>
        <w:rPr>
          <w:rFonts w:ascii="宋体" w:cs="宋体"/>
          <w:color w:val="auto"/>
          <w:sz w:val="24"/>
          <w:highlight w:val="none"/>
          <w:lang w:val="zh-CN"/>
        </w:rPr>
        <w:t>5%</w:t>
      </w:r>
      <w:r>
        <w:rPr>
          <w:rFonts w:hint="eastAsia" w:ascii="宋体" w:cs="宋体"/>
          <w:color w:val="auto"/>
          <w:sz w:val="24"/>
          <w:highlight w:val="none"/>
          <w:lang w:val="zh-CN"/>
        </w:rPr>
        <w:t>的违约金。</w:t>
      </w:r>
    </w:p>
    <w:p>
      <w:pPr>
        <w:autoSpaceDE w:val="0"/>
        <w:autoSpaceDN w:val="0"/>
        <w:adjustRightInd w:val="0"/>
        <w:spacing w:line="360" w:lineRule="auto"/>
        <w:outlineLvl w:val="9"/>
        <w:rPr>
          <w:rFonts w:ascii="宋体" w:cs="宋体"/>
          <w:color w:val="auto"/>
          <w:sz w:val="24"/>
          <w:highlight w:val="none"/>
          <w:lang w:val="zh-CN"/>
        </w:rPr>
      </w:pPr>
      <w:r>
        <w:rPr>
          <w:rFonts w:ascii="宋体" w:cs="宋体"/>
          <w:color w:val="auto"/>
          <w:sz w:val="24"/>
          <w:highlight w:val="none"/>
          <w:lang w:val="zh-CN"/>
        </w:rPr>
        <w:t xml:space="preserve">    5</w:t>
      </w:r>
      <w:r>
        <w:rPr>
          <w:rFonts w:hint="eastAsia" w:ascii="宋体" w:cs="宋体"/>
          <w:color w:val="auto"/>
          <w:sz w:val="24"/>
          <w:highlight w:val="none"/>
          <w:lang w:val="zh-CN"/>
        </w:rPr>
        <w:t>、因供方原因造成逾期付款，需方不承担责任。</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outlineLvl w:val="9"/>
        <w:rPr>
          <w:rFonts w:ascii="宋体" w:cs="宋体"/>
          <w:color w:val="auto"/>
          <w:sz w:val="24"/>
          <w:highlight w:val="none"/>
          <w:lang w:val="zh-CN"/>
        </w:rPr>
      </w:pPr>
      <w:r>
        <w:rPr>
          <w:rFonts w:hint="eastAsia" w:ascii="宋体" w:cs="宋体"/>
          <w:color w:val="auto"/>
          <w:sz w:val="24"/>
          <w:highlight w:val="none"/>
          <w:lang w:val="zh-CN"/>
        </w:rPr>
        <w:t>十二、合同生效及其它：本合同经双方法定代表人或委托代理人签字并加盖公章后生效。</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供方：                                需方：</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地址：                                 地址：</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法定代表人：                         法定代表人：</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委托代理人：                        委托代理人：</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电话：                                 电话：</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开户银行：                           开户银行：</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帐号：                                 帐号：</w:t>
      </w:r>
    </w:p>
    <w:p>
      <w:pPr>
        <w:autoSpaceDE w:val="0"/>
        <w:autoSpaceDN w:val="0"/>
        <w:adjustRightInd w:val="0"/>
        <w:spacing w:line="360" w:lineRule="auto"/>
        <w:ind w:firstLine="480"/>
        <w:outlineLvl w:val="9"/>
        <w:rPr>
          <w:rFonts w:ascii="宋体" w:cs="宋体"/>
          <w:color w:val="auto"/>
          <w:sz w:val="24"/>
          <w:highlight w:val="none"/>
          <w:lang w:val="zh-CN"/>
        </w:rPr>
      </w:pPr>
      <w:r>
        <w:rPr>
          <w:rFonts w:hint="eastAsia" w:ascii="宋体" w:cs="宋体"/>
          <w:color w:val="auto"/>
          <w:sz w:val="24"/>
          <w:highlight w:val="none"/>
          <w:lang w:val="zh-CN"/>
        </w:rPr>
        <w:t>税务登记证号：                         签定时间：</w:t>
      </w:r>
    </w:p>
    <w:p>
      <w:pPr>
        <w:widowControl/>
        <w:jc w:val="left"/>
        <w:outlineLvl w:val="9"/>
        <w:rPr>
          <w:rFonts w:cs="宋体" w:asciiTheme="majorEastAsia" w:hAnsiTheme="majorEastAsia" w:eastAsiaTheme="majorEastAsia"/>
          <w:color w:val="auto"/>
          <w:kern w:val="0"/>
          <w:sz w:val="36"/>
          <w:szCs w:val="36"/>
          <w:highlight w:val="none"/>
        </w:rPr>
      </w:pPr>
      <w:r>
        <w:rPr>
          <w:rFonts w:cs="宋体" w:asciiTheme="majorEastAsia" w:hAnsiTheme="majorEastAsia" w:eastAsiaTheme="majorEastAsia"/>
          <w:color w:val="auto"/>
          <w:kern w:val="0"/>
          <w:sz w:val="36"/>
          <w:szCs w:val="36"/>
          <w:highlight w:val="none"/>
        </w:rPr>
        <w:br w:type="page"/>
      </w:r>
    </w:p>
    <w:p>
      <w:pPr>
        <w:pStyle w:val="12"/>
        <w:spacing w:line="360" w:lineRule="auto"/>
        <w:contextualSpacing/>
        <w:jc w:val="center"/>
        <w:outlineLvl w:val="0"/>
        <w:rPr>
          <w:rFonts w:cs="宋体" w:asciiTheme="majorEastAsia" w:hAnsiTheme="majorEastAsia" w:eastAsiaTheme="majorEastAsia"/>
          <w:b/>
          <w:color w:val="auto"/>
          <w:kern w:val="0"/>
          <w:sz w:val="36"/>
          <w:szCs w:val="36"/>
          <w:highlight w:val="none"/>
        </w:rPr>
      </w:pPr>
      <w:bookmarkStart w:id="52" w:name="_Toc15406"/>
      <w:bookmarkStart w:id="53" w:name="_Toc31455"/>
      <w:r>
        <w:rPr>
          <w:rFonts w:hint="eastAsia" w:cs="宋体" w:asciiTheme="majorEastAsia" w:hAnsiTheme="majorEastAsia" w:eastAsiaTheme="majorEastAsia"/>
          <w:b/>
          <w:color w:val="auto"/>
          <w:kern w:val="0"/>
          <w:sz w:val="36"/>
          <w:szCs w:val="36"/>
          <w:highlight w:val="none"/>
        </w:rPr>
        <w:t>第七章 投标文件有关格式</w:t>
      </w:r>
      <w:bookmarkEnd w:id="52"/>
      <w:bookmarkEnd w:id="53"/>
    </w:p>
    <w:p>
      <w:pPr>
        <w:adjustRightInd w:val="0"/>
        <w:snapToGrid w:val="0"/>
        <w:spacing w:line="360" w:lineRule="auto"/>
        <w:jc w:val="center"/>
        <w:outlineLvl w:val="9"/>
        <w:rPr>
          <w:rFonts w:ascii="宋体" w:hAnsi="宋体"/>
          <w:color w:val="auto"/>
          <w:sz w:val="24"/>
          <w:szCs w:val="24"/>
          <w:highlight w:val="none"/>
        </w:rPr>
      </w:pPr>
    </w:p>
    <w:p>
      <w:pPr>
        <w:jc w:val="right"/>
        <w:outlineLvl w:val="9"/>
        <w:rPr>
          <w:rStyle w:val="44"/>
          <w:rFonts w:ascii="宋体" w:hAnsi="宋体" w:eastAsia="宋体"/>
          <w:color w:val="auto"/>
          <w:highlight w:val="none"/>
        </w:rPr>
      </w:pPr>
      <w:bookmarkStart w:id="54" w:name="_Toc5131"/>
      <w:bookmarkStart w:id="55" w:name="_Toc12595"/>
      <w:bookmarkStart w:id="56" w:name="_Toc14398"/>
      <w:bookmarkStart w:id="57" w:name="_Toc16238"/>
    </w:p>
    <w:bookmarkEnd w:id="54"/>
    <w:bookmarkEnd w:id="55"/>
    <w:bookmarkEnd w:id="56"/>
    <w:bookmarkEnd w:id="57"/>
    <w:p>
      <w:pPr>
        <w:jc w:val="left"/>
        <w:outlineLvl w:val="9"/>
        <w:rPr>
          <w:rStyle w:val="44"/>
          <w:rFonts w:ascii="宋体" w:hAnsi="宋体" w:eastAsia="宋体"/>
          <w:color w:val="auto"/>
          <w:highlight w:val="none"/>
        </w:rPr>
      </w:pPr>
    </w:p>
    <w:p>
      <w:pPr>
        <w:outlineLvl w:val="9"/>
        <w:rPr>
          <w:rFonts w:ascii="宋体" w:hAnsi="宋体" w:eastAsia="宋体" w:cs="微软雅黑"/>
          <w:color w:val="auto"/>
          <w:sz w:val="28"/>
          <w:szCs w:val="28"/>
          <w:highlight w:val="none"/>
          <w:u w:val="single"/>
        </w:rPr>
      </w:pPr>
    </w:p>
    <w:p>
      <w:pPr>
        <w:spacing w:line="276" w:lineRule="auto"/>
        <w:jc w:val="center"/>
        <w:outlineLvl w:val="0"/>
        <w:rPr>
          <w:rFonts w:ascii="宋体" w:hAnsi="宋体" w:eastAsia="宋体" w:cs="宋体"/>
          <w:b/>
          <w:bCs/>
          <w:color w:val="auto"/>
          <w:sz w:val="40"/>
          <w:szCs w:val="40"/>
          <w:highlight w:val="none"/>
          <w:u w:val="single"/>
        </w:rPr>
      </w:pPr>
      <w:r>
        <w:rPr>
          <w:rFonts w:hint="eastAsia" w:ascii="宋体" w:hAnsi="宋体" w:eastAsia="宋体" w:cs="宋体"/>
          <w:b/>
          <w:bCs/>
          <w:color w:val="auto"/>
          <w:sz w:val="40"/>
          <w:szCs w:val="40"/>
          <w:highlight w:val="none"/>
          <w:u w:val="single"/>
        </w:rPr>
        <w:t xml:space="preserve">  </w:t>
      </w:r>
      <w:bookmarkStart w:id="58" w:name="_Toc11048"/>
      <w:bookmarkStart w:id="59" w:name="_Toc17373"/>
      <w:bookmarkStart w:id="60" w:name="_Toc7722"/>
      <w:bookmarkStart w:id="61" w:name="_Toc22958"/>
      <w:r>
        <w:rPr>
          <w:rFonts w:hint="eastAsia" w:ascii="宋体" w:hAnsi="宋体" w:eastAsia="宋体" w:cs="宋体"/>
          <w:b/>
          <w:bCs/>
          <w:color w:val="auto"/>
          <w:sz w:val="40"/>
          <w:szCs w:val="40"/>
          <w:highlight w:val="none"/>
          <w:u w:val="single"/>
        </w:rPr>
        <w:t>项目名称</w:t>
      </w:r>
      <w:bookmarkEnd w:id="58"/>
      <w:bookmarkEnd w:id="59"/>
      <w:bookmarkEnd w:id="60"/>
      <w:bookmarkEnd w:id="61"/>
      <w:r>
        <w:rPr>
          <w:rFonts w:hint="eastAsia" w:ascii="宋体" w:hAnsi="宋体" w:eastAsia="宋体" w:cs="宋体"/>
          <w:b/>
          <w:bCs/>
          <w:color w:val="auto"/>
          <w:sz w:val="40"/>
          <w:szCs w:val="40"/>
          <w:highlight w:val="none"/>
          <w:u w:val="single"/>
        </w:rPr>
        <w:t xml:space="preserve"> </w:t>
      </w:r>
    </w:p>
    <w:p>
      <w:pPr>
        <w:outlineLvl w:val="9"/>
        <w:rPr>
          <w:rFonts w:ascii="宋体" w:hAnsi="宋体" w:eastAsia="宋体" w:cs="微软雅黑"/>
          <w:color w:val="auto"/>
          <w:sz w:val="20"/>
          <w:szCs w:val="20"/>
          <w:highlight w:val="none"/>
        </w:rPr>
      </w:pPr>
    </w:p>
    <w:p>
      <w:pPr>
        <w:outlineLvl w:val="9"/>
        <w:rPr>
          <w:rFonts w:ascii="宋体" w:hAnsi="宋体" w:eastAsia="宋体" w:cs="微软雅黑"/>
          <w:color w:val="auto"/>
          <w:sz w:val="20"/>
          <w:szCs w:val="20"/>
          <w:highlight w:val="none"/>
        </w:rPr>
      </w:pPr>
    </w:p>
    <w:p>
      <w:pPr>
        <w:jc w:val="center"/>
        <w:outlineLvl w:val="0"/>
        <w:rPr>
          <w:rFonts w:ascii="宋体" w:hAnsi="宋体" w:eastAsia="宋体" w:cs="微软雅黑"/>
          <w:color w:val="auto"/>
          <w:sz w:val="72"/>
          <w:szCs w:val="72"/>
          <w:highlight w:val="none"/>
        </w:rPr>
      </w:pPr>
      <w:bookmarkStart w:id="62" w:name="_Toc13646"/>
      <w:bookmarkStart w:id="63" w:name="_Toc1808"/>
      <w:bookmarkStart w:id="64" w:name="_Toc18549"/>
      <w:bookmarkStart w:id="65" w:name="_Toc2522"/>
      <w:r>
        <w:rPr>
          <w:rFonts w:hint="eastAsia" w:ascii="宋体" w:hAnsi="宋体" w:eastAsia="宋体" w:cs="微软雅黑"/>
          <w:color w:val="auto"/>
          <w:sz w:val="72"/>
          <w:szCs w:val="72"/>
          <w:highlight w:val="none"/>
        </w:rPr>
        <w:t>投 标 文 件</w:t>
      </w:r>
      <w:bookmarkEnd w:id="62"/>
      <w:bookmarkEnd w:id="63"/>
      <w:bookmarkEnd w:id="64"/>
      <w:bookmarkEnd w:id="65"/>
    </w:p>
    <w:p>
      <w:pPr>
        <w:outlineLvl w:val="9"/>
        <w:rPr>
          <w:rFonts w:ascii="宋体" w:hAnsi="宋体" w:eastAsia="宋体" w:cs="微软雅黑"/>
          <w:color w:val="auto"/>
          <w:sz w:val="28"/>
          <w:szCs w:val="28"/>
          <w:highlight w:val="none"/>
        </w:rPr>
      </w:pPr>
    </w:p>
    <w:p>
      <w:pPr>
        <w:ind w:firstLine="3080" w:firstLineChars="1100"/>
        <w:outlineLvl w:val="0"/>
        <w:rPr>
          <w:rFonts w:ascii="宋体" w:hAnsi="宋体" w:eastAsia="宋体" w:cs="微软雅黑"/>
          <w:color w:val="auto"/>
          <w:sz w:val="28"/>
          <w:szCs w:val="28"/>
          <w:highlight w:val="none"/>
        </w:rPr>
      </w:pPr>
      <w:bookmarkStart w:id="66" w:name="_Toc31950"/>
      <w:bookmarkStart w:id="67" w:name="_Toc26020"/>
      <w:bookmarkStart w:id="68" w:name="_Toc19363"/>
      <w:bookmarkStart w:id="69" w:name="_Toc8889"/>
      <w:r>
        <w:rPr>
          <w:rFonts w:hint="eastAsia" w:ascii="宋体" w:hAnsi="宋体" w:eastAsia="宋体" w:cs="微软雅黑"/>
          <w:color w:val="auto"/>
          <w:sz w:val="28"/>
          <w:szCs w:val="28"/>
          <w:highlight w:val="none"/>
        </w:rPr>
        <w:t>项目编号：</w:t>
      </w:r>
      <w:bookmarkEnd w:id="66"/>
      <w:bookmarkEnd w:id="67"/>
      <w:bookmarkEnd w:id="68"/>
      <w:bookmarkEnd w:id="69"/>
    </w:p>
    <w:p>
      <w:pPr>
        <w:ind w:firstLine="3080" w:firstLineChars="1100"/>
        <w:outlineLvl w:val="0"/>
        <w:rPr>
          <w:rFonts w:ascii="宋体" w:hAnsi="宋体" w:eastAsia="宋体" w:cs="微软雅黑"/>
          <w:color w:val="auto"/>
          <w:sz w:val="28"/>
          <w:szCs w:val="28"/>
          <w:highlight w:val="none"/>
        </w:rPr>
      </w:pPr>
      <w:bookmarkStart w:id="70" w:name="_Toc22182"/>
      <w:bookmarkStart w:id="71" w:name="_Toc27794"/>
      <w:bookmarkStart w:id="72" w:name="_Toc10971"/>
      <w:bookmarkStart w:id="73" w:name="_Toc28264"/>
      <w:r>
        <w:rPr>
          <w:rFonts w:hint="eastAsia" w:ascii="宋体" w:hAnsi="宋体" w:eastAsia="宋体" w:cs="微软雅黑"/>
          <w:color w:val="auto"/>
          <w:sz w:val="28"/>
          <w:szCs w:val="28"/>
          <w:highlight w:val="none"/>
        </w:rPr>
        <w:t>招标编号:</w:t>
      </w:r>
      <w:bookmarkEnd w:id="70"/>
      <w:bookmarkEnd w:id="71"/>
      <w:bookmarkEnd w:id="72"/>
      <w:bookmarkEnd w:id="73"/>
    </w:p>
    <w:p>
      <w:pPr>
        <w:outlineLvl w:val="9"/>
        <w:rPr>
          <w:rFonts w:ascii="宋体" w:hAnsi="宋体" w:eastAsia="宋体" w:cs="微软雅黑"/>
          <w:color w:val="auto"/>
          <w:sz w:val="28"/>
          <w:szCs w:val="28"/>
          <w:highlight w:val="none"/>
        </w:rPr>
      </w:pPr>
    </w:p>
    <w:p>
      <w:pPr>
        <w:outlineLvl w:val="9"/>
        <w:rPr>
          <w:rFonts w:ascii="宋体" w:hAnsi="宋体" w:eastAsia="宋体" w:cs="微软雅黑"/>
          <w:color w:val="auto"/>
          <w:sz w:val="28"/>
          <w:szCs w:val="28"/>
          <w:highlight w:val="none"/>
        </w:rPr>
      </w:pPr>
    </w:p>
    <w:p>
      <w:pPr>
        <w:outlineLvl w:val="9"/>
        <w:rPr>
          <w:rFonts w:ascii="宋体" w:hAnsi="宋体" w:eastAsia="宋体" w:cs="微软雅黑"/>
          <w:color w:val="auto"/>
          <w:sz w:val="28"/>
          <w:szCs w:val="28"/>
          <w:highlight w:val="none"/>
        </w:rPr>
      </w:pPr>
    </w:p>
    <w:p>
      <w:pPr>
        <w:ind w:left="1079" w:leftChars="514" w:firstLine="700" w:firstLineChars="250"/>
        <w:jc w:val="left"/>
        <w:outlineLvl w:val="0"/>
        <w:rPr>
          <w:rFonts w:ascii="宋体" w:hAnsi="宋体" w:eastAsia="宋体" w:cs="微软雅黑"/>
          <w:color w:val="auto"/>
          <w:sz w:val="28"/>
          <w:szCs w:val="28"/>
          <w:highlight w:val="none"/>
          <w:u w:val="single"/>
        </w:rPr>
      </w:pPr>
      <w:bookmarkStart w:id="74" w:name="_Toc20869"/>
      <w:bookmarkStart w:id="75" w:name="_Toc24124"/>
      <w:bookmarkStart w:id="76" w:name="_Toc17946"/>
      <w:bookmarkStart w:id="77" w:name="_Toc20779"/>
      <w:r>
        <w:rPr>
          <w:rFonts w:hint="eastAsia" w:ascii="宋体" w:hAnsi="宋体" w:eastAsia="宋体" w:cs="微软雅黑"/>
          <w:color w:val="auto"/>
          <w:sz w:val="28"/>
          <w:szCs w:val="28"/>
          <w:highlight w:val="none"/>
        </w:rPr>
        <w:t>投  标  人：（盖单位章）</w:t>
      </w:r>
      <w:bookmarkEnd w:id="74"/>
      <w:bookmarkEnd w:id="75"/>
      <w:bookmarkEnd w:id="76"/>
      <w:bookmarkEnd w:id="77"/>
    </w:p>
    <w:p>
      <w:pPr>
        <w:ind w:left="1079" w:leftChars="514" w:firstLine="700" w:firstLineChars="250"/>
        <w:jc w:val="left"/>
        <w:outlineLvl w:val="0"/>
        <w:rPr>
          <w:rFonts w:ascii="宋体" w:hAnsi="宋体" w:eastAsia="宋体" w:cs="微软雅黑"/>
          <w:color w:val="auto"/>
          <w:sz w:val="28"/>
          <w:szCs w:val="28"/>
          <w:highlight w:val="none"/>
        </w:rPr>
      </w:pPr>
      <w:bookmarkStart w:id="78" w:name="_Toc15198"/>
      <w:bookmarkStart w:id="79" w:name="_Toc27277"/>
      <w:bookmarkStart w:id="80" w:name="_Toc12312"/>
      <w:bookmarkStart w:id="81" w:name="_Toc32097"/>
      <w:r>
        <w:rPr>
          <w:rFonts w:hint="eastAsia" w:ascii="宋体" w:hAnsi="宋体" w:eastAsia="宋体" w:cs="微软雅黑"/>
          <w:color w:val="auto"/>
          <w:sz w:val="28"/>
          <w:szCs w:val="28"/>
          <w:highlight w:val="none"/>
        </w:rPr>
        <w:t>法定代表人或其委托代理人：（签字或盖章）</w:t>
      </w:r>
      <w:bookmarkEnd w:id="78"/>
      <w:bookmarkEnd w:id="79"/>
      <w:bookmarkEnd w:id="80"/>
      <w:bookmarkEnd w:id="81"/>
    </w:p>
    <w:p>
      <w:pPr>
        <w:ind w:left="1079" w:leftChars="514" w:firstLine="700" w:firstLineChars="250"/>
        <w:jc w:val="left"/>
        <w:outlineLvl w:val="0"/>
        <w:rPr>
          <w:rFonts w:ascii="宋体" w:hAnsi="宋体" w:eastAsia="宋体" w:cs="微软雅黑"/>
          <w:color w:val="auto"/>
          <w:sz w:val="28"/>
          <w:szCs w:val="28"/>
          <w:highlight w:val="none"/>
        </w:rPr>
      </w:pPr>
      <w:bookmarkStart w:id="82" w:name="_Toc21351"/>
      <w:bookmarkStart w:id="83" w:name="_Toc923"/>
      <w:bookmarkStart w:id="84" w:name="_Toc19355"/>
      <w:bookmarkStart w:id="85" w:name="_Toc18805"/>
      <w:r>
        <w:rPr>
          <w:rFonts w:hint="eastAsia" w:ascii="宋体" w:hAnsi="宋体" w:eastAsia="宋体" w:cs="微软雅黑"/>
          <w:color w:val="auto"/>
          <w:sz w:val="28"/>
          <w:szCs w:val="28"/>
          <w:highlight w:val="none"/>
        </w:rPr>
        <w:t>日      期： 年  月  日</w:t>
      </w:r>
      <w:bookmarkEnd w:id="82"/>
      <w:bookmarkEnd w:id="83"/>
      <w:bookmarkEnd w:id="84"/>
      <w:bookmarkEnd w:id="85"/>
    </w:p>
    <w:p>
      <w:pPr>
        <w:pStyle w:val="12"/>
        <w:spacing w:line="360" w:lineRule="auto"/>
        <w:contextualSpacing/>
        <w:outlineLvl w:val="0"/>
        <w:rPr>
          <w:rFonts w:cs="宋体" w:asciiTheme="majorEastAsia" w:hAnsiTheme="majorEastAsia" w:eastAsiaTheme="majorEastAsia"/>
          <w:b/>
          <w:color w:val="auto"/>
          <w:kern w:val="0"/>
          <w:sz w:val="44"/>
          <w:szCs w:val="44"/>
          <w:highlight w:val="none"/>
        </w:rPr>
      </w:pPr>
      <w:r>
        <w:rPr>
          <w:rFonts w:ascii="宋体" w:hAnsi="宋体"/>
          <w:color w:val="auto"/>
          <w:szCs w:val="24"/>
          <w:highlight w:val="none"/>
        </w:rPr>
        <w:br w:type="page"/>
      </w:r>
      <w:bookmarkStart w:id="86" w:name="_Toc7107"/>
      <w:bookmarkStart w:id="87" w:name="_Toc6304"/>
      <w:bookmarkStart w:id="88" w:name="_Toc1674"/>
      <w:bookmarkStart w:id="89" w:name="_Toc18564"/>
      <w:r>
        <w:rPr>
          <w:rFonts w:hint="eastAsia" w:cs="宋体" w:asciiTheme="majorEastAsia" w:hAnsiTheme="majorEastAsia" w:eastAsiaTheme="majorEastAsia"/>
          <w:b/>
          <w:color w:val="auto"/>
          <w:kern w:val="0"/>
          <w:sz w:val="44"/>
          <w:szCs w:val="44"/>
          <w:highlight w:val="none"/>
        </w:rPr>
        <w:t>目录</w:t>
      </w:r>
      <w:bookmarkEnd w:id="86"/>
      <w:bookmarkEnd w:id="87"/>
      <w:bookmarkEnd w:id="88"/>
      <w:bookmarkEnd w:id="89"/>
    </w:p>
    <w:p>
      <w:pPr>
        <w:pStyle w:val="12"/>
        <w:spacing w:line="360" w:lineRule="auto"/>
        <w:ind w:left="750"/>
        <w:contextualSpacing/>
        <w:outlineLvl w:val="0"/>
        <w:rPr>
          <w:rFonts w:cs="宋体" w:asciiTheme="majorEastAsia" w:hAnsiTheme="majorEastAsia" w:eastAsiaTheme="majorEastAsia"/>
          <w:b/>
          <w:color w:val="auto"/>
          <w:kern w:val="0"/>
          <w:sz w:val="32"/>
          <w:szCs w:val="32"/>
          <w:highlight w:val="none"/>
        </w:rPr>
      </w:pPr>
      <w:bookmarkStart w:id="90" w:name="_Toc7607"/>
      <w:bookmarkStart w:id="91" w:name="_Toc10872"/>
      <w:bookmarkStart w:id="92" w:name="_Toc8072"/>
      <w:bookmarkStart w:id="93" w:name="_Toc24865"/>
      <w:r>
        <w:rPr>
          <w:rFonts w:hint="eastAsia" w:cs="宋体" w:asciiTheme="majorEastAsia" w:hAnsiTheme="majorEastAsia" w:eastAsiaTheme="majorEastAsia"/>
          <w:b/>
          <w:color w:val="auto"/>
          <w:kern w:val="0"/>
          <w:sz w:val="32"/>
          <w:szCs w:val="32"/>
          <w:highlight w:val="none"/>
        </w:rPr>
        <w:t>一、开标一览表</w:t>
      </w:r>
      <w:bookmarkEnd w:id="90"/>
      <w:bookmarkEnd w:id="91"/>
      <w:bookmarkEnd w:id="92"/>
      <w:bookmarkEnd w:id="93"/>
    </w:p>
    <w:p>
      <w:pPr>
        <w:pStyle w:val="12"/>
        <w:spacing w:line="360" w:lineRule="auto"/>
        <w:ind w:firstLine="790" w:firstLineChars="246"/>
        <w:contextualSpacing/>
        <w:outlineLvl w:val="0"/>
        <w:rPr>
          <w:rFonts w:cs="宋体" w:asciiTheme="majorEastAsia" w:hAnsiTheme="majorEastAsia" w:eastAsiaTheme="majorEastAsia"/>
          <w:b/>
          <w:color w:val="auto"/>
          <w:kern w:val="0"/>
          <w:sz w:val="32"/>
          <w:szCs w:val="32"/>
          <w:highlight w:val="none"/>
        </w:rPr>
      </w:pPr>
      <w:bookmarkStart w:id="94" w:name="_Toc8564"/>
      <w:bookmarkStart w:id="95" w:name="_Toc28137"/>
      <w:bookmarkStart w:id="96" w:name="_Toc24733"/>
      <w:bookmarkStart w:id="97" w:name="_Toc22233"/>
      <w:r>
        <w:rPr>
          <w:rFonts w:hint="eastAsia" w:cs="宋体" w:asciiTheme="majorEastAsia" w:hAnsiTheme="majorEastAsia" w:eastAsiaTheme="majorEastAsia"/>
          <w:b/>
          <w:color w:val="auto"/>
          <w:kern w:val="0"/>
          <w:sz w:val="32"/>
          <w:szCs w:val="32"/>
          <w:highlight w:val="none"/>
        </w:rPr>
        <w:t>二、资格审查证明材料</w:t>
      </w:r>
      <w:bookmarkEnd w:id="94"/>
      <w:bookmarkEnd w:id="95"/>
      <w:bookmarkEnd w:id="96"/>
      <w:bookmarkEnd w:id="97"/>
    </w:p>
    <w:p>
      <w:pPr>
        <w:spacing w:line="480" w:lineRule="exact"/>
        <w:ind w:firstLine="1430" w:firstLineChars="445"/>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2.1法定代表人资格证明书</w:t>
      </w:r>
    </w:p>
    <w:p>
      <w:pPr>
        <w:spacing w:line="480" w:lineRule="exact"/>
        <w:ind w:firstLine="1430" w:firstLineChars="445"/>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2.2法定代表人授权书</w:t>
      </w:r>
    </w:p>
    <w:p>
      <w:pPr>
        <w:spacing w:line="480" w:lineRule="exact"/>
        <w:ind w:firstLine="1430" w:firstLineChars="445"/>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2.3没有重大违法记录的声明</w:t>
      </w:r>
    </w:p>
    <w:p>
      <w:pPr>
        <w:spacing w:line="480" w:lineRule="exact"/>
        <w:ind w:firstLine="1430" w:firstLineChars="445"/>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2.4其他资格证明文件或材料 </w:t>
      </w:r>
    </w:p>
    <w:p>
      <w:pPr>
        <w:spacing w:line="480" w:lineRule="exact"/>
        <w:ind w:firstLine="790" w:firstLineChars="246"/>
        <w:outlineLvl w:val="0"/>
        <w:rPr>
          <w:rFonts w:ascii="宋体" w:hAnsi="宋体" w:eastAsia="宋体" w:cs="宋体"/>
          <w:b/>
          <w:bCs/>
          <w:color w:val="auto"/>
          <w:sz w:val="32"/>
          <w:szCs w:val="32"/>
          <w:highlight w:val="none"/>
        </w:rPr>
      </w:pPr>
      <w:bookmarkStart w:id="98" w:name="_Toc26972"/>
      <w:bookmarkStart w:id="99" w:name="_Toc13720"/>
      <w:bookmarkStart w:id="100" w:name="_Toc31974"/>
      <w:bookmarkStart w:id="101" w:name="_Toc29753"/>
      <w:r>
        <w:rPr>
          <w:rFonts w:hint="eastAsia" w:ascii="宋体" w:hAnsi="宋体" w:eastAsia="宋体" w:cs="宋体"/>
          <w:b/>
          <w:bCs/>
          <w:color w:val="auto"/>
          <w:sz w:val="32"/>
          <w:szCs w:val="32"/>
          <w:highlight w:val="none"/>
        </w:rPr>
        <w:t>三、符合性审查证明材料</w:t>
      </w:r>
      <w:bookmarkEnd w:id="98"/>
      <w:bookmarkEnd w:id="99"/>
      <w:bookmarkEnd w:id="100"/>
      <w:bookmarkEnd w:id="101"/>
    </w:p>
    <w:p>
      <w:pPr>
        <w:spacing w:line="480" w:lineRule="exact"/>
        <w:ind w:firstLine="1430" w:firstLineChars="445"/>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3.1投 标 函</w:t>
      </w:r>
    </w:p>
    <w:p>
      <w:pPr>
        <w:spacing w:line="480" w:lineRule="exact"/>
        <w:ind w:firstLine="1430" w:firstLineChars="445"/>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3.2投标承诺函</w:t>
      </w:r>
    </w:p>
    <w:p>
      <w:pPr>
        <w:pStyle w:val="12"/>
        <w:spacing w:line="360" w:lineRule="auto"/>
        <w:ind w:left="750" w:leftChars="357" w:firstLine="630" w:firstLineChars="196"/>
        <w:contextualSpacing/>
        <w:outlineLvl w:val="9"/>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3.3投标</w:t>
      </w:r>
      <w:r>
        <w:rPr>
          <w:rFonts w:hint="eastAsia" w:cs="宋体" w:asciiTheme="majorEastAsia" w:hAnsiTheme="majorEastAsia" w:eastAsiaTheme="majorEastAsia"/>
          <w:b/>
          <w:color w:val="auto"/>
          <w:kern w:val="0"/>
          <w:sz w:val="32"/>
          <w:szCs w:val="32"/>
          <w:highlight w:val="none"/>
          <w:lang w:eastAsia="zh-CN"/>
        </w:rPr>
        <w:t>分项</w:t>
      </w:r>
      <w:r>
        <w:rPr>
          <w:rFonts w:hint="eastAsia" w:cs="宋体" w:asciiTheme="majorEastAsia" w:hAnsiTheme="majorEastAsia" w:eastAsiaTheme="majorEastAsia"/>
          <w:b/>
          <w:color w:val="auto"/>
          <w:kern w:val="0"/>
          <w:sz w:val="32"/>
          <w:szCs w:val="32"/>
          <w:highlight w:val="none"/>
        </w:rPr>
        <w:t>报价一览表</w:t>
      </w:r>
    </w:p>
    <w:p>
      <w:pPr>
        <w:pStyle w:val="12"/>
        <w:spacing w:line="360" w:lineRule="auto"/>
        <w:ind w:left="750" w:leftChars="357" w:firstLine="630" w:firstLineChars="196"/>
        <w:contextualSpacing/>
        <w:outlineLvl w:val="9"/>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3.4技术规格偏离表</w:t>
      </w:r>
    </w:p>
    <w:p>
      <w:pPr>
        <w:pStyle w:val="12"/>
        <w:spacing w:line="360" w:lineRule="auto"/>
        <w:ind w:left="750" w:leftChars="357" w:firstLine="630" w:firstLineChars="196"/>
        <w:contextualSpacing/>
        <w:outlineLvl w:val="9"/>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3.5服务承诺</w:t>
      </w:r>
    </w:p>
    <w:p>
      <w:pPr>
        <w:pStyle w:val="12"/>
        <w:spacing w:line="360" w:lineRule="auto"/>
        <w:ind w:left="750" w:leftChars="357" w:firstLine="630" w:firstLineChars="196"/>
        <w:contextualSpacing/>
        <w:outlineLvl w:val="9"/>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3.6其他符合性证明文件或材料</w:t>
      </w:r>
    </w:p>
    <w:p>
      <w:pPr>
        <w:pStyle w:val="12"/>
        <w:spacing w:line="360" w:lineRule="auto"/>
        <w:ind w:left="750" w:leftChars="357" w:firstLine="630" w:firstLineChars="196"/>
        <w:contextualSpacing/>
        <w:outlineLvl w:val="9"/>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3.7中小企业、监狱企业、残疾人福利性单位声明函</w:t>
      </w:r>
    </w:p>
    <w:p>
      <w:pPr>
        <w:pStyle w:val="12"/>
        <w:spacing w:line="360" w:lineRule="auto"/>
        <w:ind w:left="750"/>
        <w:contextualSpacing/>
        <w:outlineLvl w:val="9"/>
        <w:rPr>
          <w:rFonts w:cs="宋体" w:asciiTheme="majorEastAsia" w:hAnsiTheme="majorEastAsia" w:eastAsiaTheme="majorEastAsia"/>
          <w:b/>
          <w:color w:val="auto"/>
          <w:kern w:val="0"/>
          <w:sz w:val="32"/>
          <w:szCs w:val="32"/>
          <w:highlight w:val="none"/>
        </w:rPr>
      </w:pPr>
    </w:p>
    <w:p>
      <w:pPr>
        <w:widowControl/>
        <w:jc w:val="left"/>
        <w:outlineLvl w:val="9"/>
        <w:rPr>
          <w:rFonts w:ascii="宋体" w:hAnsi="宋体"/>
          <w:color w:val="auto"/>
          <w:sz w:val="24"/>
          <w:szCs w:val="24"/>
          <w:highlight w:val="none"/>
        </w:rPr>
      </w:pPr>
    </w:p>
    <w:p>
      <w:pPr>
        <w:pStyle w:val="12"/>
        <w:spacing w:line="360" w:lineRule="auto"/>
        <w:jc w:val="center"/>
        <w:outlineLvl w:val="9"/>
        <w:rPr>
          <w:rFonts w:hAnsi="宋体"/>
          <w:b/>
          <w:snapToGrid w:val="0"/>
          <w:color w:val="auto"/>
          <w:kern w:val="0"/>
          <w:sz w:val="36"/>
          <w:szCs w:val="36"/>
          <w:highlight w:val="none"/>
        </w:rPr>
      </w:pPr>
    </w:p>
    <w:p>
      <w:pPr>
        <w:pStyle w:val="12"/>
        <w:spacing w:line="360" w:lineRule="auto"/>
        <w:jc w:val="center"/>
        <w:outlineLvl w:val="9"/>
        <w:rPr>
          <w:rFonts w:hAnsi="宋体"/>
          <w:b/>
          <w:snapToGrid w:val="0"/>
          <w:color w:val="auto"/>
          <w:kern w:val="0"/>
          <w:sz w:val="32"/>
          <w:szCs w:val="32"/>
          <w:highlight w:val="none"/>
        </w:rPr>
      </w:pPr>
    </w:p>
    <w:p>
      <w:pPr>
        <w:pStyle w:val="12"/>
        <w:spacing w:line="360" w:lineRule="auto"/>
        <w:jc w:val="center"/>
        <w:outlineLvl w:val="9"/>
        <w:rPr>
          <w:rFonts w:hAnsi="宋体"/>
          <w:b/>
          <w:snapToGrid w:val="0"/>
          <w:color w:val="auto"/>
          <w:kern w:val="0"/>
          <w:sz w:val="32"/>
          <w:szCs w:val="32"/>
          <w:highlight w:val="none"/>
        </w:rPr>
      </w:pPr>
    </w:p>
    <w:p>
      <w:pPr>
        <w:pStyle w:val="12"/>
        <w:spacing w:line="360" w:lineRule="auto"/>
        <w:jc w:val="center"/>
        <w:outlineLvl w:val="9"/>
        <w:rPr>
          <w:rFonts w:hAnsi="宋体"/>
          <w:b/>
          <w:snapToGrid w:val="0"/>
          <w:color w:val="auto"/>
          <w:kern w:val="0"/>
          <w:sz w:val="32"/>
          <w:szCs w:val="32"/>
          <w:highlight w:val="none"/>
        </w:rPr>
      </w:pPr>
    </w:p>
    <w:p>
      <w:pPr>
        <w:pStyle w:val="12"/>
        <w:spacing w:line="360" w:lineRule="auto"/>
        <w:jc w:val="center"/>
        <w:outlineLvl w:val="9"/>
        <w:rPr>
          <w:rFonts w:hAnsi="宋体"/>
          <w:b/>
          <w:snapToGrid w:val="0"/>
          <w:color w:val="auto"/>
          <w:kern w:val="0"/>
          <w:sz w:val="32"/>
          <w:szCs w:val="32"/>
          <w:highlight w:val="none"/>
        </w:rPr>
      </w:pPr>
    </w:p>
    <w:p>
      <w:pPr>
        <w:pStyle w:val="12"/>
        <w:spacing w:line="360" w:lineRule="auto"/>
        <w:jc w:val="center"/>
        <w:outlineLvl w:val="9"/>
        <w:rPr>
          <w:rFonts w:hAnsi="宋体"/>
          <w:b/>
          <w:snapToGrid w:val="0"/>
          <w:color w:val="auto"/>
          <w:kern w:val="0"/>
          <w:sz w:val="32"/>
          <w:szCs w:val="32"/>
          <w:highlight w:val="none"/>
        </w:rPr>
      </w:pPr>
    </w:p>
    <w:p>
      <w:pPr>
        <w:pStyle w:val="12"/>
        <w:spacing w:line="360" w:lineRule="auto"/>
        <w:jc w:val="center"/>
        <w:outlineLvl w:val="0"/>
        <w:rPr>
          <w:rFonts w:hAnsi="宋体"/>
          <w:b/>
          <w:snapToGrid w:val="0"/>
          <w:color w:val="auto"/>
          <w:kern w:val="0"/>
          <w:sz w:val="32"/>
          <w:szCs w:val="32"/>
          <w:highlight w:val="none"/>
        </w:rPr>
      </w:pPr>
      <w:bookmarkStart w:id="102" w:name="_Toc2169"/>
      <w:bookmarkStart w:id="103" w:name="_Toc29113"/>
      <w:bookmarkStart w:id="104" w:name="_Toc15968"/>
      <w:bookmarkStart w:id="105" w:name="_Toc10483"/>
      <w:r>
        <w:rPr>
          <w:rFonts w:hint="eastAsia" w:hAnsi="宋体"/>
          <w:b/>
          <w:snapToGrid w:val="0"/>
          <w:color w:val="auto"/>
          <w:kern w:val="0"/>
          <w:sz w:val="32"/>
          <w:szCs w:val="32"/>
          <w:highlight w:val="none"/>
        </w:rPr>
        <w:t>一、开标一览表</w:t>
      </w:r>
      <w:bookmarkEnd w:id="102"/>
      <w:bookmarkEnd w:id="103"/>
      <w:bookmarkEnd w:id="104"/>
      <w:bookmarkEnd w:id="105"/>
    </w:p>
    <w:p>
      <w:pPr>
        <w:pStyle w:val="12"/>
        <w:spacing w:line="360" w:lineRule="auto"/>
        <w:jc w:val="center"/>
        <w:outlineLvl w:val="9"/>
        <w:rPr>
          <w:rFonts w:hAnsi="宋体"/>
          <w:b/>
          <w:snapToGrid w:val="0"/>
          <w:color w:val="auto"/>
          <w:kern w:val="0"/>
          <w:sz w:val="36"/>
          <w:szCs w:val="36"/>
          <w:highlight w:val="none"/>
        </w:rPr>
      </w:pPr>
    </w:p>
    <w:tbl>
      <w:tblPr>
        <w:tblStyle w:val="24"/>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560"/>
        <w:gridCol w:w="1984"/>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outlineLvl w:val="9"/>
              <w:rPr>
                <w:rFonts w:ascii="宋体" w:hAnsi="宋体"/>
                <w:color w:val="auto"/>
                <w:sz w:val="24"/>
                <w:szCs w:val="24"/>
                <w:highlight w:val="none"/>
                <w:lang w:val="zh-CN"/>
              </w:rPr>
            </w:pPr>
            <w:r>
              <w:rPr>
                <w:rFonts w:hint="eastAsia" w:ascii="宋体" w:hAnsi="宋体"/>
                <w:color w:val="auto"/>
                <w:sz w:val="24"/>
                <w:szCs w:val="24"/>
                <w:highlight w:val="none"/>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投标报价（元）</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ind w:left="240" w:leftChars="57" w:hanging="120" w:hangingChars="5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履约时间（天）</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outlineLvl w:val="9"/>
              <w:rPr>
                <w:color w:val="auto"/>
                <w:sz w:val="24"/>
                <w:highlight w:val="none"/>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outlineLvl w:val="9"/>
              <w:rPr>
                <w:color w:val="auto"/>
                <w:sz w:val="24"/>
                <w:highlight w:val="none"/>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outlineLvl w:val="9"/>
              <w:rPr>
                <w:rFonts w:ascii="宋体" w:cs="宋体"/>
                <w:color w:val="auto"/>
                <w:sz w:val="24"/>
                <w:highlight w:val="none"/>
                <w:lang w:val="zh-CN"/>
              </w:rPr>
            </w:pPr>
            <w:r>
              <w:rPr>
                <w:rFonts w:hint="eastAsia" w:ascii="宋体" w:cs="宋体"/>
                <w:color w:val="auto"/>
                <w:sz w:val="24"/>
                <w:highlight w:val="none"/>
                <w:lang w:val="zh-CN"/>
              </w:rPr>
              <w:t>大写：    小写：</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outlineLvl w:val="9"/>
              <w:rPr>
                <w:rFonts w:ascii="宋体" w:cs="宋体"/>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outlineLvl w:val="9"/>
              <w:rPr>
                <w:rFonts w:ascii="宋体" w:cs="宋体"/>
                <w:color w:val="auto"/>
                <w:sz w:val="24"/>
                <w:highlight w:val="none"/>
                <w:lang w:val="zh-CN"/>
              </w:rPr>
            </w:pPr>
          </w:p>
        </w:tc>
      </w:tr>
    </w:tbl>
    <w:p>
      <w:pPr>
        <w:spacing w:line="300" w:lineRule="exact"/>
        <w:outlineLvl w:val="9"/>
        <w:rPr>
          <w:rFonts w:ascii="宋体" w:hAnsi="宋体"/>
          <w:color w:val="auto"/>
          <w:sz w:val="24"/>
          <w:szCs w:val="24"/>
          <w:highlight w:val="none"/>
        </w:rPr>
      </w:pPr>
    </w:p>
    <w:p>
      <w:pPr>
        <w:snapToGrid w:val="0"/>
        <w:spacing w:before="50" w:after="156" w:afterLines="50"/>
        <w:jc w:val="left"/>
        <w:outlineLvl w:val="9"/>
        <w:rPr>
          <w:rFonts w:ascii="宋体" w:hAnsi="宋体"/>
          <w:color w:val="auto"/>
          <w:sz w:val="24"/>
          <w:szCs w:val="24"/>
          <w:highlight w:val="none"/>
        </w:rPr>
      </w:pPr>
    </w:p>
    <w:p>
      <w:pPr>
        <w:autoSpaceDE w:val="0"/>
        <w:autoSpaceDN w:val="0"/>
        <w:adjustRightInd w:val="0"/>
        <w:spacing w:line="360" w:lineRule="auto"/>
        <w:outlineLvl w:val="9"/>
        <w:rPr>
          <w:rFonts w:ascii="宋体" w:cs="宋体"/>
          <w:color w:val="auto"/>
          <w:sz w:val="24"/>
          <w:szCs w:val="24"/>
          <w:highlight w:val="none"/>
        </w:rPr>
      </w:pPr>
      <w:r>
        <w:rPr>
          <w:rFonts w:hint="eastAsia" w:ascii="宋体" w:cs="宋体"/>
          <w:color w:val="auto"/>
          <w:sz w:val="24"/>
          <w:szCs w:val="24"/>
          <w:highlight w:val="none"/>
        </w:rPr>
        <w:t>注：</w:t>
      </w:r>
      <w:r>
        <w:rPr>
          <w:rFonts w:hint="eastAsia" w:ascii="宋体" w:hAnsi="宋体"/>
          <w:color w:val="auto"/>
          <w:sz w:val="24"/>
          <w:szCs w:val="24"/>
          <w:highlight w:val="none"/>
        </w:rPr>
        <w:t>本表为本次招标的所有项目及服务的总报价</w:t>
      </w:r>
      <w:r>
        <w:rPr>
          <w:rFonts w:hint="eastAsia"/>
          <w:color w:val="auto"/>
          <w:sz w:val="24"/>
          <w:szCs w:val="24"/>
          <w:highlight w:val="none"/>
        </w:rPr>
        <w:t>是</w:t>
      </w:r>
      <w:r>
        <w:rPr>
          <w:rFonts w:ascii="宋体" w:hAnsi="宋体"/>
          <w:color w:val="auto"/>
          <w:sz w:val="24"/>
          <w:szCs w:val="24"/>
          <w:highlight w:val="none"/>
          <w:shd w:val="clear" w:color="auto" w:fill="FFFFFF"/>
        </w:rPr>
        <w:t>交付使用前的全部费用，</w:t>
      </w:r>
    </w:p>
    <w:p>
      <w:pPr>
        <w:autoSpaceDE w:val="0"/>
        <w:autoSpaceDN w:val="0"/>
        <w:adjustRightInd w:val="0"/>
        <w:spacing w:line="480" w:lineRule="auto"/>
        <w:outlineLvl w:val="9"/>
        <w:rPr>
          <w:rFonts w:ascii="宋体" w:cs="宋体"/>
          <w:color w:val="auto"/>
          <w:sz w:val="24"/>
          <w:szCs w:val="24"/>
          <w:highlight w:val="none"/>
          <w:lang w:val="zh-CN"/>
        </w:rPr>
      </w:pPr>
    </w:p>
    <w:p>
      <w:pPr>
        <w:autoSpaceDE w:val="0"/>
        <w:autoSpaceDN w:val="0"/>
        <w:adjustRightInd w:val="0"/>
        <w:spacing w:line="480" w:lineRule="auto"/>
        <w:ind w:firstLine="4800" w:firstLineChars="2000"/>
        <w:outlineLvl w:val="9"/>
        <w:rPr>
          <w:rFonts w:ascii="宋体" w:cs="宋体"/>
          <w:color w:val="auto"/>
          <w:sz w:val="24"/>
          <w:szCs w:val="24"/>
          <w:highlight w:val="none"/>
          <w:lang w:val="zh-CN"/>
        </w:rPr>
      </w:pPr>
      <w:r>
        <w:rPr>
          <w:rFonts w:hint="eastAsia" w:ascii="宋体" w:cs="宋体"/>
          <w:color w:val="auto"/>
          <w:sz w:val="24"/>
          <w:szCs w:val="24"/>
          <w:highlight w:val="none"/>
          <w:lang w:val="zh-CN"/>
        </w:rPr>
        <w:t>投标人</w:t>
      </w:r>
      <w:r>
        <w:rPr>
          <w:rFonts w:hint="eastAsia" w:ascii="宋体" w:cs="宋体"/>
          <w:color w:val="auto"/>
          <w:sz w:val="24"/>
          <w:szCs w:val="24"/>
          <w:highlight w:val="none"/>
          <w:u w:val="single"/>
          <w:lang w:val="zh-CN"/>
        </w:rPr>
        <w:t xml:space="preserve">        (全称)  </w:t>
      </w:r>
      <w:r>
        <w:rPr>
          <w:rFonts w:hint="eastAsia" w:ascii="宋体" w:cs="宋体"/>
          <w:color w:val="auto"/>
          <w:sz w:val="24"/>
          <w:szCs w:val="24"/>
          <w:highlight w:val="none"/>
          <w:lang w:val="zh-CN"/>
        </w:rPr>
        <w:t>（公章）：</w:t>
      </w:r>
    </w:p>
    <w:p>
      <w:pPr>
        <w:autoSpaceDE w:val="0"/>
        <w:autoSpaceDN w:val="0"/>
        <w:adjustRightInd w:val="0"/>
        <w:spacing w:line="480" w:lineRule="auto"/>
        <w:outlineLvl w:val="9"/>
        <w:rPr>
          <w:rFonts w:ascii="宋体" w:cs="宋体"/>
          <w:color w:val="auto"/>
          <w:sz w:val="24"/>
          <w:szCs w:val="24"/>
          <w:highlight w:val="none"/>
          <w:lang w:val="zh-CN"/>
        </w:rPr>
      </w:pPr>
      <w:r>
        <w:rPr>
          <w:rFonts w:hint="eastAsia" w:ascii="宋体" w:cs="宋体"/>
          <w:color w:val="auto"/>
          <w:sz w:val="24"/>
          <w:szCs w:val="24"/>
          <w:highlight w:val="none"/>
          <w:lang w:val="zh-CN"/>
        </w:rPr>
        <w:t xml:space="preserve">                         投标人法定代表人或授权代表:</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(签字或盖章)</w:t>
      </w:r>
    </w:p>
    <w:p>
      <w:pPr>
        <w:autoSpaceDE w:val="0"/>
        <w:autoSpaceDN w:val="0"/>
        <w:adjustRightInd w:val="0"/>
        <w:spacing w:line="480" w:lineRule="auto"/>
        <w:ind w:firstLine="5400" w:firstLineChars="2250"/>
        <w:outlineLvl w:val="9"/>
        <w:rPr>
          <w:rFonts w:ascii="宋体" w:cs="宋体"/>
          <w:color w:val="auto"/>
          <w:sz w:val="24"/>
          <w:szCs w:val="24"/>
          <w:highlight w:val="none"/>
          <w:lang w:val="zh-CN"/>
        </w:rPr>
      </w:pPr>
      <w:r>
        <w:rPr>
          <w:rFonts w:hint="eastAsia" w:ascii="宋体" w:cs="宋体"/>
          <w:color w:val="auto"/>
          <w:sz w:val="24"/>
          <w:szCs w:val="24"/>
          <w:highlight w:val="none"/>
          <w:lang w:val="zh-CN"/>
        </w:rPr>
        <w:t>日 期(</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年  月  日)</w:t>
      </w:r>
    </w:p>
    <w:p>
      <w:pPr>
        <w:widowControl/>
        <w:jc w:val="left"/>
        <w:outlineLvl w:val="9"/>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br w:type="page"/>
      </w:r>
    </w:p>
    <w:p>
      <w:pPr>
        <w:autoSpaceDE w:val="0"/>
        <w:autoSpaceDN w:val="0"/>
        <w:adjustRightInd w:val="0"/>
        <w:spacing w:line="360" w:lineRule="auto"/>
        <w:ind w:firstLine="1966" w:firstLineChars="445"/>
        <w:outlineLvl w:val="0"/>
        <w:rPr>
          <w:rFonts w:ascii="宋体" w:hAnsi="宋体" w:eastAsia="宋体" w:cs="宋体"/>
          <w:b/>
          <w:bCs/>
          <w:color w:val="auto"/>
          <w:sz w:val="44"/>
          <w:szCs w:val="44"/>
          <w:highlight w:val="none"/>
          <w:lang w:val="zh-CN"/>
        </w:rPr>
      </w:pPr>
      <w:bookmarkStart w:id="106" w:name="_Toc13843"/>
      <w:bookmarkStart w:id="107" w:name="_Toc26681"/>
      <w:bookmarkStart w:id="108" w:name="_Toc22560"/>
      <w:bookmarkStart w:id="109" w:name="_Toc2789"/>
      <w:r>
        <w:rPr>
          <w:rFonts w:hint="eastAsia" w:ascii="宋体" w:hAnsi="宋体" w:eastAsia="宋体" w:cs="宋体"/>
          <w:b/>
          <w:bCs/>
          <w:color w:val="auto"/>
          <w:sz w:val="44"/>
          <w:szCs w:val="44"/>
          <w:highlight w:val="none"/>
          <w:lang w:val="zh-CN"/>
        </w:rPr>
        <w:t>二、资格审查证明材料</w:t>
      </w:r>
      <w:bookmarkEnd w:id="106"/>
      <w:bookmarkEnd w:id="107"/>
      <w:bookmarkEnd w:id="108"/>
      <w:bookmarkEnd w:id="109"/>
    </w:p>
    <w:p>
      <w:pPr>
        <w:spacing w:line="480" w:lineRule="exact"/>
        <w:jc w:val="center"/>
        <w:outlineLvl w:val="9"/>
        <w:rPr>
          <w:rFonts w:ascii="宋体" w:hAnsi="宋体" w:eastAsia="宋体" w:cs="宋体"/>
          <w:b/>
          <w:bCs/>
          <w:color w:val="auto"/>
          <w:sz w:val="32"/>
          <w:szCs w:val="32"/>
          <w:highlight w:val="none"/>
        </w:rPr>
      </w:pPr>
    </w:p>
    <w:p>
      <w:pPr>
        <w:spacing w:line="480" w:lineRule="exact"/>
        <w:jc w:val="center"/>
        <w:outlineLvl w:val="1"/>
        <w:rPr>
          <w:rFonts w:ascii="宋体" w:hAnsi="宋体" w:eastAsia="宋体" w:cs="宋体"/>
          <w:b/>
          <w:bCs/>
          <w:color w:val="auto"/>
          <w:sz w:val="32"/>
          <w:szCs w:val="32"/>
          <w:highlight w:val="none"/>
        </w:rPr>
      </w:pPr>
      <w:bookmarkStart w:id="110" w:name="_Toc19659"/>
      <w:bookmarkStart w:id="111" w:name="_Toc12441"/>
      <w:r>
        <w:rPr>
          <w:rFonts w:hint="eastAsia" w:ascii="宋体" w:hAnsi="宋体" w:eastAsia="宋体" w:cs="宋体"/>
          <w:b/>
          <w:bCs/>
          <w:color w:val="auto"/>
          <w:sz w:val="32"/>
          <w:szCs w:val="32"/>
          <w:highlight w:val="none"/>
        </w:rPr>
        <w:t>2.1法定代表人资格证明书</w:t>
      </w:r>
      <w:bookmarkEnd w:id="110"/>
      <w:bookmarkEnd w:id="111"/>
    </w:p>
    <w:p>
      <w:pPr>
        <w:autoSpaceDE w:val="0"/>
        <w:autoSpaceDN w:val="0"/>
        <w:adjustRightInd w:val="0"/>
        <w:spacing w:line="480" w:lineRule="auto"/>
        <w:ind w:firstLine="616" w:firstLineChars="257"/>
        <w:outlineLvl w:val="9"/>
        <w:rPr>
          <w:rFonts w:ascii="宋体" w:hAnsi="宋体" w:eastAsia="宋体" w:cs="宋体"/>
          <w:color w:val="auto"/>
          <w:sz w:val="24"/>
          <w:szCs w:val="24"/>
          <w:highlight w:val="none"/>
        </w:rPr>
      </w:pPr>
    </w:p>
    <w:p>
      <w:pPr>
        <w:spacing w:line="360" w:lineRule="auto"/>
        <w:ind w:firstLine="510"/>
        <w:outlineLvl w:val="9"/>
        <w:rPr>
          <w:color w:val="auto"/>
          <w:sz w:val="24"/>
          <w:szCs w:val="24"/>
          <w:highlight w:val="none"/>
          <w:u w:val="single"/>
        </w:rPr>
      </w:pPr>
      <w:r>
        <w:rPr>
          <w:rFonts w:hint="eastAsia"/>
          <w:color w:val="auto"/>
          <w:sz w:val="24"/>
          <w:szCs w:val="24"/>
          <w:highlight w:val="none"/>
        </w:rPr>
        <w:t>投标人名称：</w:t>
      </w:r>
    </w:p>
    <w:p>
      <w:pPr>
        <w:spacing w:line="360" w:lineRule="auto"/>
        <w:ind w:firstLine="510"/>
        <w:outlineLvl w:val="9"/>
        <w:rPr>
          <w:color w:val="auto"/>
          <w:sz w:val="24"/>
          <w:szCs w:val="24"/>
          <w:highlight w:val="none"/>
          <w:u w:val="single"/>
        </w:rPr>
      </w:pPr>
      <w:r>
        <w:rPr>
          <w:rFonts w:hint="eastAsia" w:ascii="宋体" w:hAnsi="宋体"/>
          <w:color w:val="auto"/>
          <w:sz w:val="24"/>
          <w:szCs w:val="24"/>
          <w:highlight w:val="none"/>
        </w:rPr>
        <w:t>单位性质：</w:t>
      </w:r>
    </w:p>
    <w:p>
      <w:pPr>
        <w:spacing w:line="360" w:lineRule="auto"/>
        <w:ind w:firstLine="510"/>
        <w:outlineLvl w:val="9"/>
        <w:rPr>
          <w:color w:val="auto"/>
          <w:sz w:val="24"/>
          <w:szCs w:val="24"/>
          <w:highlight w:val="none"/>
          <w:u w:val="single"/>
        </w:rPr>
      </w:pPr>
      <w:r>
        <w:rPr>
          <w:rFonts w:hint="eastAsia" w:ascii="宋体" w:hAnsi="宋体"/>
          <w:color w:val="auto"/>
          <w:sz w:val="24"/>
          <w:szCs w:val="24"/>
          <w:highlight w:val="none"/>
        </w:rPr>
        <w:t>地    址：</w:t>
      </w:r>
    </w:p>
    <w:p>
      <w:pPr>
        <w:spacing w:line="360" w:lineRule="auto"/>
        <w:ind w:firstLine="510"/>
        <w:outlineLvl w:val="9"/>
        <w:rPr>
          <w:rFonts w:ascii="宋体" w:hAnsi="宋体"/>
          <w:color w:val="auto"/>
          <w:sz w:val="24"/>
          <w:szCs w:val="24"/>
          <w:highlight w:val="none"/>
        </w:rPr>
      </w:pPr>
      <w:r>
        <w:rPr>
          <w:rFonts w:hint="eastAsia" w:ascii="宋体" w:hAnsi="宋体"/>
          <w:color w:val="auto"/>
          <w:sz w:val="24"/>
          <w:szCs w:val="24"/>
          <w:highlight w:val="none"/>
        </w:rPr>
        <w:t>成立时间：年月日</w:t>
      </w:r>
    </w:p>
    <w:p>
      <w:pPr>
        <w:spacing w:line="360" w:lineRule="auto"/>
        <w:ind w:firstLine="510"/>
        <w:outlineLvl w:val="9"/>
        <w:rPr>
          <w:rFonts w:ascii="宋体" w:hAnsi="宋体"/>
          <w:color w:val="auto"/>
          <w:sz w:val="24"/>
          <w:szCs w:val="24"/>
          <w:highlight w:val="none"/>
        </w:rPr>
      </w:pPr>
      <w:r>
        <w:rPr>
          <w:rFonts w:hint="eastAsia" w:ascii="宋体" w:hAnsi="宋体"/>
          <w:color w:val="auto"/>
          <w:sz w:val="24"/>
          <w:szCs w:val="24"/>
          <w:highlight w:val="none"/>
        </w:rPr>
        <w:t>经营期限：</w:t>
      </w:r>
    </w:p>
    <w:p>
      <w:pPr>
        <w:spacing w:line="360" w:lineRule="auto"/>
        <w:ind w:firstLine="491" w:firstLineChars="205"/>
        <w:jc w:val="left"/>
        <w:outlineLvl w:val="9"/>
        <w:rPr>
          <w:rFonts w:ascii="宋体" w:hAnsi="宋体"/>
          <w:color w:val="auto"/>
          <w:sz w:val="24"/>
          <w:szCs w:val="24"/>
          <w:highlight w:val="none"/>
        </w:rPr>
      </w:pPr>
      <w:r>
        <w:rPr>
          <w:rFonts w:hint="eastAsia" w:ascii="宋体" w:hAnsi="宋体"/>
          <w:color w:val="auto"/>
          <w:sz w:val="24"/>
          <w:szCs w:val="24"/>
          <w:highlight w:val="none"/>
        </w:rPr>
        <w:t>姓名：性别：年龄 职务</w:t>
      </w:r>
    </w:p>
    <w:p>
      <w:pPr>
        <w:spacing w:line="360" w:lineRule="auto"/>
        <w:ind w:firstLine="491" w:firstLineChars="205"/>
        <w:jc w:val="left"/>
        <w:outlineLvl w:val="9"/>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（投标人名称）     </w:t>
      </w:r>
      <w:r>
        <w:rPr>
          <w:rFonts w:hint="eastAsia" w:ascii="宋体" w:hAnsi="宋体"/>
          <w:color w:val="auto"/>
          <w:sz w:val="24"/>
          <w:szCs w:val="24"/>
          <w:highlight w:val="none"/>
        </w:rPr>
        <w:t>的法定代表人。</w:t>
      </w:r>
    </w:p>
    <w:p>
      <w:pPr>
        <w:spacing w:line="360" w:lineRule="auto"/>
        <w:ind w:firstLine="491" w:firstLineChars="205"/>
        <w:jc w:val="left"/>
        <w:outlineLvl w:val="9"/>
        <w:rPr>
          <w:rFonts w:ascii="宋体" w:hAnsi="宋体"/>
          <w:color w:val="auto"/>
          <w:sz w:val="24"/>
          <w:szCs w:val="24"/>
          <w:highlight w:val="none"/>
        </w:rPr>
      </w:pPr>
      <w:r>
        <w:rPr>
          <w:rFonts w:hint="eastAsia" w:ascii="宋体" w:hAnsi="宋体"/>
          <w:color w:val="auto"/>
          <w:sz w:val="24"/>
          <w:szCs w:val="24"/>
          <w:highlight w:val="none"/>
        </w:rPr>
        <w:t>特此证明。</w:t>
      </w:r>
    </w:p>
    <w:p>
      <w:pPr>
        <w:spacing w:line="360" w:lineRule="auto"/>
        <w:ind w:firstLine="540" w:firstLineChars="225"/>
        <w:jc w:val="left"/>
        <w:outlineLvl w:val="9"/>
        <w:rPr>
          <w:color w:val="auto"/>
          <w:sz w:val="24"/>
          <w:szCs w:val="24"/>
          <w:highlight w:val="none"/>
        </w:rPr>
      </w:pPr>
    </w:p>
    <w:tbl>
      <w:tblPr>
        <w:tblStyle w:val="2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法定代表人身份证（正面）</w:t>
            </w:r>
          </w:p>
        </w:tc>
        <w:tc>
          <w:tcPr>
            <w:tcW w:w="4485" w:type="dxa"/>
            <w:vAlign w:val="center"/>
          </w:tcPr>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法定代表人身份证（反面）</w:t>
            </w:r>
          </w:p>
        </w:tc>
      </w:tr>
    </w:tbl>
    <w:p>
      <w:pPr>
        <w:spacing w:line="360" w:lineRule="auto"/>
        <w:jc w:val="left"/>
        <w:outlineLvl w:val="9"/>
        <w:rPr>
          <w:rFonts w:ascii="宋体" w:hAnsi="宋体"/>
          <w:color w:val="auto"/>
          <w:sz w:val="24"/>
          <w:szCs w:val="24"/>
          <w:highlight w:val="none"/>
        </w:rPr>
      </w:pPr>
    </w:p>
    <w:p>
      <w:pPr>
        <w:spacing w:line="360" w:lineRule="auto"/>
        <w:ind w:firstLine="5280" w:firstLineChars="2200"/>
        <w:outlineLvl w:val="9"/>
        <w:rPr>
          <w:color w:val="auto"/>
          <w:sz w:val="24"/>
          <w:szCs w:val="24"/>
          <w:highlight w:val="none"/>
        </w:rPr>
      </w:pPr>
      <w:r>
        <w:rPr>
          <w:rFonts w:hint="eastAsia"/>
          <w:color w:val="auto"/>
          <w:sz w:val="24"/>
          <w:szCs w:val="24"/>
          <w:highlight w:val="none"/>
        </w:rPr>
        <w:t>投标人（盖章）：</w:t>
      </w:r>
    </w:p>
    <w:p>
      <w:pPr>
        <w:spacing w:line="360" w:lineRule="auto"/>
        <w:ind w:firstLine="5280" w:firstLineChars="2200"/>
        <w:outlineLvl w:val="9"/>
        <w:rPr>
          <w:color w:val="auto"/>
          <w:sz w:val="24"/>
          <w:szCs w:val="24"/>
          <w:highlight w:val="none"/>
        </w:rPr>
      </w:pPr>
      <w:r>
        <w:rPr>
          <w:rFonts w:hint="eastAsia"/>
          <w:color w:val="auto"/>
          <w:sz w:val="24"/>
          <w:szCs w:val="24"/>
          <w:highlight w:val="none"/>
        </w:rPr>
        <w:t>法定代表人：（签字或盖章）</w:t>
      </w:r>
    </w:p>
    <w:p>
      <w:pPr>
        <w:spacing w:line="360" w:lineRule="auto"/>
        <w:ind w:right="480" w:firstLine="5400" w:firstLineChars="2250"/>
        <w:outlineLvl w:val="9"/>
        <w:rPr>
          <w:color w:val="auto"/>
          <w:sz w:val="24"/>
          <w:szCs w:val="24"/>
          <w:highlight w:val="none"/>
        </w:rPr>
      </w:pPr>
      <w:r>
        <w:rPr>
          <w:rFonts w:hint="eastAsia"/>
          <w:color w:val="auto"/>
          <w:sz w:val="24"/>
          <w:szCs w:val="24"/>
          <w:highlight w:val="none"/>
        </w:rPr>
        <w:t>年     月     日</w:t>
      </w:r>
    </w:p>
    <w:p>
      <w:pPr>
        <w:pStyle w:val="42"/>
        <w:spacing w:line="480" w:lineRule="auto"/>
        <w:outlineLvl w:val="9"/>
        <w:rPr>
          <w:rFonts w:ascii="宋体" w:hAnsi="宋体" w:cs="宋体"/>
          <w:color w:val="auto"/>
          <w:szCs w:val="24"/>
          <w:highlight w:val="none"/>
        </w:rPr>
      </w:pPr>
    </w:p>
    <w:p>
      <w:pPr>
        <w:spacing w:line="320" w:lineRule="exact"/>
        <w:ind w:firstLine="420"/>
        <w:outlineLvl w:val="9"/>
        <w:rPr>
          <w:rFonts w:ascii="宋体" w:hAnsi="宋体" w:eastAsia="宋体" w:cs="宋体"/>
          <w:bCs/>
          <w:color w:val="auto"/>
          <w:kern w:val="12"/>
          <w:sz w:val="24"/>
          <w:szCs w:val="24"/>
          <w:highlight w:val="none"/>
        </w:rPr>
      </w:pPr>
    </w:p>
    <w:p>
      <w:pPr>
        <w:spacing w:line="320" w:lineRule="exact"/>
        <w:outlineLvl w:val="9"/>
        <w:rPr>
          <w:rFonts w:ascii="宋体" w:hAnsi="宋体"/>
          <w:b/>
          <w:bCs/>
          <w:color w:val="auto"/>
          <w:sz w:val="36"/>
          <w:szCs w:val="36"/>
          <w:highlight w:val="none"/>
        </w:rPr>
      </w:pPr>
      <w:r>
        <w:rPr>
          <w:rFonts w:hint="eastAsia" w:asciiTheme="minorEastAsia" w:hAnsiTheme="minorEastAsia"/>
          <w:bCs/>
          <w:color w:val="auto"/>
          <w:kern w:val="12"/>
          <w:sz w:val="24"/>
          <w:szCs w:val="24"/>
          <w:highlight w:val="none"/>
        </w:rPr>
        <w:t>说明：法定代表人</w:t>
      </w:r>
      <w:r>
        <w:rPr>
          <w:rFonts w:asciiTheme="minorEastAsia" w:hAnsiTheme="minorEastAsia"/>
          <w:bCs/>
          <w:color w:val="auto"/>
          <w:kern w:val="12"/>
          <w:sz w:val="24"/>
          <w:szCs w:val="24"/>
          <w:highlight w:val="none"/>
        </w:rPr>
        <w:t>参</w:t>
      </w:r>
      <w:r>
        <w:rPr>
          <w:rFonts w:hint="eastAsia" w:asciiTheme="minorEastAsia" w:hAnsiTheme="minorEastAsia"/>
          <w:bCs/>
          <w:color w:val="auto"/>
          <w:kern w:val="12"/>
          <w:sz w:val="24"/>
          <w:szCs w:val="24"/>
          <w:highlight w:val="none"/>
        </w:rPr>
        <w:t>加本招</w:t>
      </w:r>
      <w:r>
        <w:rPr>
          <w:rFonts w:asciiTheme="minorEastAsia" w:hAnsiTheme="minorEastAsia"/>
          <w:bCs/>
          <w:color w:val="auto"/>
          <w:kern w:val="12"/>
          <w:sz w:val="24"/>
          <w:szCs w:val="24"/>
          <w:highlight w:val="none"/>
        </w:rPr>
        <w:t>标项目</w:t>
      </w:r>
      <w:r>
        <w:rPr>
          <w:rFonts w:hint="eastAsia" w:asciiTheme="minorEastAsia" w:hAnsiTheme="minorEastAsia"/>
          <w:bCs/>
          <w:color w:val="auto"/>
          <w:kern w:val="12"/>
          <w:sz w:val="24"/>
          <w:szCs w:val="24"/>
          <w:highlight w:val="none"/>
        </w:rPr>
        <w:t>投</w:t>
      </w:r>
      <w:r>
        <w:rPr>
          <w:rFonts w:asciiTheme="minorEastAsia" w:hAnsiTheme="minorEastAsia"/>
          <w:bCs/>
          <w:color w:val="auto"/>
          <w:kern w:val="12"/>
          <w:sz w:val="24"/>
          <w:szCs w:val="24"/>
          <w:highlight w:val="none"/>
        </w:rPr>
        <w:t>标</w:t>
      </w:r>
      <w:r>
        <w:rPr>
          <w:rFonts w:hint="eastAsia" w:asciiTheme="minorEastAsia" w:hAnsiTheme="minorEastAsia"/>
          <w:bCs/>
          <w:color w:val="auto"/>
          <w:kern w:val="12"/>
          <w:sz w:val="24"/>
          <w:szCs w:val="24"/>
          <w:highlight w:val="none"/>
        </w:rPr>
        <w:t>的，</w:t>
      </w:r>
      <w:r>
        <w:rPr>
          <w:rFonts w:asciiTheme="minorEastAsia" w:hAnsiTheme="minorEastAsia"/>
          <w:bCs/>
          <w:color w:val="auto"/>
          <w:kern w:val="12"/>
          <w:sz w:val="24"/>
          <w:szCs w:val="24"/>
          <w:highlight w:val="none"/>
        </w:rPr>
        <w:t>仅须</w:t>
      </w:r>
      <w:r>
        <w:rPr>
          <w:rFonts w:hint="eastAsia" w:asciiTheme="minorEastAsia" w:hAnsiTheme="minorEastAsia"/>
          <w:bCs/>
          <w:color w:val="auto"/>
          <w:kern w:val="12"/>
          <w:sz w:val="24"/>
          <w:szCs w:val="24"/>
          <w:highlight w:val="none"/>
        </w:rPr>
        <w:t>出具此</w:t>
      </w:r>
      <w:r>
        <w:rPr>
          <w:rFonts w:asciiTheme="minorEastAsia" w:hAnsiTheme="minorEastAsia"/>
          <w:bCs/>
          <w:color w:val="auto"/>
          <w:kern w:val="12"/>
          <w:sz w:val="24"/>
          <w:szCs w:val="24"/>
          <w:highlight w:val="none"/>
        </w:rPr>
        <w:t>证</w:t>
      </w:r>
      <w:r>
        <w:rPr>
          <w:rFonts w:hint="eastAsia" w:asciiTheme="minorEastAsia" w:hAnsiTheme="minorEastAsia"/>
          <w:bCs/>
          <w:color w:val="auto"/>
          <w:kern w:val="12"/>
          <w:sz w:val="24"/>
          <w:szCs w:val="24"/>
          <w:highlight w:val="none"/>
        </w:rPr>
        <w:t>明</w:t>
      </w:r>
      <w:r>
        <w:rPr>
          <w:rFonts w:asciiTheme="minorEastAsia" w:hAnsiTheme="minorEastAsia"/>
          <w:bCs/>
          <w:color w:val="auto"/>
          <w:kern w:val="12"/>
          <w:sz w:val="24"/>
          <w:szCs w:val="24"/>
          <w:highlight w:val="none"/>
        </w:rPr>
        <w:t>书</w:t>
      </w:r>
      <w:r>
        <w:rPr>
          <w:rFonts w:hint="eastAsia" w:asciiTheme="minorEastAsia" w:hAnsiTheme="minorEastAsia"/>
          <w:bCs/>
          <w:color w:val="auto"/>
          <w:kern w:val="12"/>
          <w:sz w:val="24"/>
          <w:szCs w:val="24"/>
          <w:highlight w:val="none"/>
        </w:rPr>
        <w:t>。</w:t>
      </w:r>
    </w:p>
    <w:p>
      <w:pPr>
        <w:widowControl/>
        <w:jc w:val="left"/>
        <w:outlineLvl w:val="9"/>
        <w:rPr>
          <w:rFonts w:ascii="宋体" w:hAnsi="宋体" w:eastAsia="宋体" w:cs="宋体"/>
          <w:b/>
          <w:bCs/>
          <w:color w:val="auto"/>
          <w:sz w:val="32"/>
          <w:szCs w:val="32"/>
          <w:highlight w:val="none"/>
        </w:rPr>
      </w:pPr>
      <w:r>
        <w:rPr>
          <w:rFonts w:ascii="宋体" w:hAnsi="宋体" w:eastAsia="宋体" w:cs="宋体"/>
          <w:b/>
          <w:bCs/>
          <w:color w:val="auto"/>
          <w:sz w:val="32"/>
          <w:szCs w:val="32"/>
          <w:highlight w:val="none"/>
        </w:rPr>
        <w:br w:type="page"/>
      </w:r>
    </w:p>
    <w:p>
      <w:pPr>
        <w:spacing w:line="480" w:lineRule="exact"/>
        <w:ind w:firstLine="2715" w:firstLineChars="845"/>
        <w:outlineLvl w:val="1"/>
        <w:rPr>
          <w:rFonts w:ascii="宋体" w:hAnsi="宋体" w:eastAsia="宋体" w:cs="宋体"/>
          <w:b/>
          <w:bCs/>
          <w:color w:val="auto"/>
          <w:sz w:val="32"/>
          <w:szCs w:val="32"/>
          <w:highlight w:val="none"/>
        </w:rPr>
      </w:pPr>
      <w:bookmarkStart w:id="112" w:name="_Toc14610"/>
      <w:bookmarkStart w:id="113" w:name="_Toc21432"/>
      <w:r>
        <w:rPr>
          <w:rFonts w:hint="eastAsia" w:ascii="宋体" w:hAnsi="宋体" w:eastAsia="宋体" w:cs="宋体"/>
          <w:b/>
          <w:bCs/>
          <w:color w:val="auto"/>
          <w:sz w:val="32"/>
          <w:szCs w:val="32"/>
          <w:highlight w:val="none"/>
        </w:rPr>
        <w:t>2.2法定代表人授权书</w:t>
      </w:r>
      <w:bookmarkEnd w:id="112"/>
      <w:bookmarkEnd w:id="113"/>
    </w:p>
    <w:p>
      <w:pPr>
        <w:spacing w:line="480" w:lineRule="exact"/>
        <w:jc w:val="center"/>
        <w:outlineLvl w:val="9"/>
        <w:rPr>
          <w:rFonts w:ascii="宋体" w:hAnsi="宋体" w:eastAsia="宋体" w:cs="宋体"/>
          <w:b/>
          <w:bCs/>
          <w:color w:val="auto"/>
          <w:sz w:val="36"/>
          <w:szCs w:val="36"/>
          <w:highlight w:val="none"/>
        </w:rPr>
      </w:pPr>
    </w:p>
    <w:p>
      <w:pPr>
        <w:autoSpaceDE w:val="0"/>
        <w:autoSpaceDN w:val="0"/>
        <w:adjustRightInd w:val="0"/>
        <w:spacing w:line="360" w:lineRule="auto"/>
        <w:ind w:firstLine="480"/>
        <w:contextualSpacing/>
        <w:outlineLvl w:val="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i/>
          <w:color w:val="auto"/>
          <w:sz w:val="24"/>
          <w:szCs w:val="24"/>
          <w:highlight w:val="none"/>
          <w:u w:val="single"/>
          <w:lang w:val="zh-CN"/>
        </w:rPr>
        <w:t>法人姓名</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w:t>
      </w:r>
      <w:r>
        <w:rPr>
          <w:rFonts w:hint="eastAsia" w:ascii="宋体" w:hAnsi="宋体" w:eastAsia="宋体" w:cs="宋体"/>
          <w:i/>
          <w:color w:val="auto"/>
          <w:sz w:val="24"/>
          <w:szCs w:val="24"/>
          <w:highlight w:val="none"/>
          <w:u w:val="single"/>
          <w:lang w:val="zh-CN"/>
        </w:rPr>
        <w:t>投标人名称</w:t>
      </w:r>
      <w:r>
        <w:rPr>
          <w:rFonts w:hint="eastAsia" w:ascii="宋体" w:hAnsi="宋体" w:eastAsia="宋体" w:cs="宋体"/>
          <w:color w:val="auto"/>
          <w:sz w:val="24"/>
          <w:szCs w:val="24"/>
          <w:highlight w:val="none"/>
          <w:lang w:val="zh-CN"/>
        </w:rPr>
        <w:t>的法定代表人，现委托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i/>
          <w:color w:val="auto"/>
          <w:sz w:val="24"/>
          <w:szCs w:val="24"/>
          <w:highlight w:val="none"/>
          <w:u w:val="single"/>
          <w:lang w:val="zh-CN"/>
        </w:rPr>
        <w:t xml:space="preserve">姓名 </w:t>
      </w:r>
      <w:r>
        <w:rPr>
          <w:rFonts w:hint="eastAsia" w:ascii="宋体" w:hAnsi="宋体" w:eastAsia="宋体" w:cs="宋体"/>
          <w:color w:val="auto"/>
          <w:sz w:val="24"/>
          <w:szCs w:val="24"/>
          <w:highlight w:val="none"/>
          <w:lang w:val="zh-CN"/>
        </w:rPr>
        <w:t>为我方代理人。代理人根据授权，以我方名义签署、澄清、说明、补正、递交、撤回、修改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i/>
          <w:color w:val="auto"/>
          <w:sz w:val="24"/>
          <w:szCs w:val="24"/>
          <w:highlight w:val="none"/>
          <w:u w:val="single"/>
          <w:lang w:val="zh-CN"/>
        </w:rPr>
        <w:t>项目名称</w:t>
      </w:r>
      <w:r>
        <w:rPr>
          <w:rFonts w:hint="eastAsia" w:ascii="宋体" w:hAnsi="宋体" w:eastAsia="宋体" w:cs="宋体"/>
          <w:color w:val="auto"/>
          <w:sz w:val="24"/>
          <w:szCs w:val="24"/>
          <w:highlight w:val="none"/>
          <w:lang w:val="zh-CN"/>
        </w:rPr>
        <w:t>投标文件、签订合同和处理有关事宜，其法律后果由我方承担。</w:t>
      </w:r>
    </w:p>
    <w:p>
      <w:pPr>
        <w:autoSpaceDE w:val="0"/>
        <w:autoSpaceDN w:val="0"/>
        <w:adjustRightInd w:val="0"/>
        <w:spacing w:line="360" w:lineRule="auto"/>
        <w:ind w:firstLine="480"/>
        <w:contextualSpacing/>
        <w:outlineLvl w:val="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本授权书于　  年     月　  日签字生效，特此声明。</w:t>
      </w:r>
    </w:p>
    <w:p>
      <w:pPr>
        <w:spacing w:line="360" w:lineRule="auto"/>
        <w:ind w:firstLine="480" w:firstLineChars="200"/>
        <w:contextualSpacing/>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代理人无转委托权。</w:t>
      </w:r>
    </w:p>
    <w:p>
      <w:pPr>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投标人：（盖单位公章）</w:t>
      </w:r>
    </w:p>
    <w:p>
      <w:pPr>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委托代理人：（签字或盖章）</w:t>
      </w:r>
    </w:p>
    <w:p>
      <w:pPr>
        <w:spacing w:line="360" w:lineRule="auto"/>
        <w:outlineLvl w:val="9"/>
        <w:rPr>
          <w:rFonts w:ascii="宋体" w:hAnsi="宋体" w:eastAsia="宋体" w:cs="宋体"/>
          <w:color w:val="auto"/>
          <w:sz w:val="24"/>
          <w:highlight w:val="none"/>
        </w:rPr>
      </w:pPr>
    </w:p>
    <w:tbl>
      <w:tblPr>
        <w:tblStyle w:val="2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法定代表人身份证（正面）</w:t>
            </w:r>
          </w:p>
        </w:tc>
        <w:tc>
          <w:tcPr>
            <w:tcW w:w="4485" w:type="dxa"/>
            <w:vAlign w:val="center"/>
          </w:tcPr>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法定代表人身份证（反面）</w:t>
            </w:r>
          </w:p>
        </w:tc>
      </w:tr>
    </w:tbl>
    <w:p>
      <w:pPr>
        <w:jc w:val="center"/>
        <w:outlineLvl w:val="9"/>
        <w:rPr>
          <w:rFonts w:ascii="宋体"/>
          <w:color w:val="auto"/>
          <w:highlight w:val="none"/>
        </w:rPr>
      </w:pP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法定代表人授权代表身份证（正面）</w:t>
            </w:r>
          </w:p>
        </w:tc>
        <w:tc>
          <w:tcPr>
            <w:tcW w:w="4492" w:type="dxa"/>
            <w:vAlign w:val="center"/>
          </w:tcPr>
          <w:p>
            <w:pPr>
              <w:jc w:val="center"/>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法定代表人授权代表身份证（反面）</w:t>
            </w:r>
          </w:p>
        </w:tc>
      </w:tr>
    </w:tbl>
    <w:p>
      <w:pPr>
        <w:jc w:val="center"/>
        <w:outlineLvl w:val="9"/>
        <w:rPr>
          <w:rFonts w:ascii="宋体" w:hAnsi="宋体" w:eastAsia="宋体" w:cs="宋体"/>
          <w:color w:val="auto"/>
          <w:sz w:val="24"/>
          <w:szCs w:val="24"/>
          <w:highlight w:val="none"/>
          <w:lang w:val="zh-CN"/>
        </w:rPr>
      </w:pPr>
    </w:p>
    <w:p>
      <w:pPr>
        <w:autoSpaceDE w:val="0"/>
        <w:autoSpaceDN w:val="0"/>
        <w:adjustRightInd w:val="0"/>
        <w:spacing w:line="360" w:lineRule="auto"/>
        <w:outlineLvl w:val="9"/>
        <w:rPr>
          <w:rFonts w:ascii="宋体" w:hAnsi="宋体" w:eastAsia="宋体" w:cs="宋体"/>
          <w:color w:val="auto"/>
          <w:sz w:val="24"/>
          <w:szCs w:val="24"/>
          <w:highlight w:val="none"/>
          <w:lang w:val="zh-CN"/>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widowControl/>
        <w:spacing w:before="100" w:beforeAutospacing="1" w:after="100" w:afterAutospacing="1" w:line="360" w:lineRule="auto"/>
        <w:outlineLvl w:val="9"/>
        <w:rPr>
          <w:rFonts w:ascii="宋体" w:hAnsi="宋体"/>
          <w:b/>
          <w:bCs/>
          <w:color w:val="auto"/>
          <w:sz w:val="32"/>
          <w:szCs w:val="32"/>
          <w:highlight w:val="none"/>
        </w:rPr>
      </w:pPr>
    </w:p>
    <w:p>
      <w:pPr>
        <w:widowControl/>
        <w:spacing w:before="100" w:beforeAutospacing="1" w:after="100" w:afterAutospacing="1" w:line="360" w:lineRule="auto"/>
        <w:jc w:val="center"/>
        <w:outlineLvl w:val="1"/>
        <w:rPr>
          <w:rFonts w:ascii="宋体" w:hAnsi="宋体"/>
          <w:b/>
          <w:bCs/>
          <w:color w:val="auto"/>
          <w:sz w:val="32"/>
          <w:szCs w:val="32"/>
          <w:highlight w:val="none"/>
        </w:rPr>
      </w:pPr>
      <w:bookmarkStart w:id="114" w:name="_Toc20501"/>
      <w:bookmarkStart w:id="115" w:name="_Toc24155"/>
      <w:r>
        <w:rPr>
          <w:rFonts w:hint="eastAsia" w:ascii="宋体" w:hAnsi="宋体"/>
          <w:b/>
          <w:bCs/>
          <w:color w:val="auto"/>
          <w:sz w:val="32"/>
          <w:szCs w:val="32"/>
          <w:highlight w:val="none"/>
        </w:rPr>
        <w:t>2.3没有重大违法记录的声明</w:t>
      </w:r>
      <w:bookmarkEnd w:id="114"/>
      <w:bookmarkEnd w:id="115"/>
    </w:p>
    <w:p>
      <w:pPr>
        <w:spacing w:before="156" w:beforeLines="50" w:after="156" w:afterLines="50"/>
        <w:jc w:val="center"/>
        <w:outlineLvl w:val="9"/>
        <w:rPr>
          <w:rFonts w:ascii="宋体" w:hAnsi="宋体" w:cs="Arial"/>
          <w:color w:val="auto"/>
          <w:kern w:val="0"/>
          <w:sz w:val="32"/>
          <w:szCs w:val="32"/>
          <w:highlight w:val="none"/>
        </w:rPr>
      </w:pPr>
      <w:r>
        <w:rPr>
          <w:rFonts w:hint="eastAsia" w:ascii="宋体" w:hAnsi="宋体" w:cs="Arial"/>
          <w:color w:val="auto"/>
          <w:kern w:val="0"/>
          <w:sz w:val="32"/>
          <w:szCs w:val="32"/>
          <w:highlight w:val="none"/>
        </w:rPr>
        <w:t>声　   明</w:t>
      </w:r>
    </w:p>
    <w:p>
      <w:pPr>
        <w:spacing w:before="156" w:beforeLines="50" w:after="156" w:afterLines="50" w:line="360" w:lineRule="auto"/>
        <w:ind w:firstLine="480" w:firstLineChars="200"/>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特此声明。</w:t>
      </w:r>
    </w:p>
    <w:p>
      <w:pPr>
        <w:spacing w:before="156" w:beforeLines="50" w:after="156" w:afterLines="50" w:line="360" w:lineRule="auto"/>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本公司对上述声明的真实性负责。如有虚假，将依法承担相应责任。</w:t>
      </w:r>
    </w:p>
    <w:p>
      <w:pPr>
        <w:spacing w:before="156" w:beforeLines="50" w:after="156" w:afterLines="50" w:line="360" w:lineRule="auto"/>
        <w:ind w:firstLine="566" w:firstLineChars="236"/>
        <w:outlineLvl w:val="9"/>
        <w:rPr>
          <w:rFonts w:cs="宋体" w:asciiTheme="minorEastAsia" w:hAnsiTheme="minorEastAsia"/>
          <w:color w:val="auto"/>
          <w:sz w:val="24"/>
          <w:szCs w:val="24"/>
          <w:highlight w:val="none"/>
          <w:lang w:val="zh-CN"/>
        </w:rPr>
      </w:pPr>
    </w:p>
    <w:p>
      <w:pPr>
        <w:spacing w:line="360" w:lineRule="auto"/>
        <w:ind w:firstLine="5280" w:firstLineChars="2200"/>
        <w:outlineLvl w:val="9"/>
        <w:rPr>
          <w:color w:val="auto"/>
          <w:sz w:val="24"/>
          <w:szCs w:val="24"/>
          <w:highlight w:val="none"/>
        </w:rPr>
      </w:pPr>
      <w:r>
        <w:rPr>
          <w:rFonts w:hint="eastAsia"/>
          <w:color w:val="auto"/>
          <w:sz w:val="24"/>
          <w:szCs w:val="24"/>
          <w:highlight w:val="none"/>
        </w:rPr>
        <w:t>投标人（盖章）：</w:t>
      </w:r>
    </w:p>
    <w:p>
      <w:pPr>
        <w:spacing w:line="360" w:lineRule="auto"/>
        <w:ind w:firstLine="3720" w:firstLineChars="1550"/>
        <w:outlineLvl w:val="9"/>
        <w:rPr>
          <w:color w:val="auto"/>
          <w:sz w:val="24"/>
          <w:szCs w:val="24"/>
          <w:highlight w:val="none"/>
        </w:rPr>
      </w:pPr>
      <w:r>
        <w:rPr>
          <w:rFonts w:hint="eastAsia"/>
          <w:color w:val="auto"/>
          <w:sz w:val="24"/>
          <w:szCs w:val="24"/>
          <w:highlight w:val="none"/>
        </w:rPr>
        <w:t>法定代表人或授权委托人：（签字或盖章）</w:t>
      </w:r>
    </w:p>
    <w:p>
      <w:pPr>
        <w:spacing w:line="360" w:lineRule="auto"/>
        <w:ind w:right="480" w:firstLine="5400" w:firstLineChars="2250"/>
        <w:outlineLvl w:val="9"/>
        <w:rPr>
          <w:color w:val="auto"/>
          <w:sz w:val="24"/>
          <w:szCs w:val="24"/>
          <w:highlight w:val="none"/>
        </w:rPr>
      </w:pPr>
      <w:r>
        <w:rPr>
          <w:rFonts w:hint="eastAsia"/>
          <w:color w:val="auto"/>
          <w:sz w:val="24"/>
          <w:szCs w:val="24"/>
          <w:highlight w:val="none"/>
        </w:rPr>
        <w:t>年     月     日</w:t>
      </w:r>
    </w:p>
    <w:p>
      <w:pPr>
        <w:pStyle w:val="42"/>
        <w:spacing w:line="480" w:lineRule="auto"/>
        <w:outlineLvl w:val="9"/>
        <w:rPr>
          <w:rFonts w:ascii="宋体" w:hAnsi="宋体" w:cs="宋体"/>
          <w:color w:val="auto"/>
          <w:szCs w:val="24"/>
          <w:highlight w:val="none"/>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9"/>
        <w:rPr>
          <w:rFonts w:hAnsi="宋体" w:eastAsia="宋体"/>
          <w:b/>
          <w:snapToGrid w:val="0"/>
          <w:color w:val="auto"/>
          <w:kern w:val="0"/>
          <w:sz w:val="36"/>
          <w:szCs w:val="36"/>
          <w:highlight w:val="none"/>
        </w:rPr>
      </w:pPr>
    </w:p>
    <w:p>
      <w:pPr>
        <w:autoSpaceDE w:val="0"/>
        <w:autoSpaceDN w:val="0"/>
        <w:adjustRightInd w:val="0"/>
        <w:spacing w:line="480" w:lineRule="auto"/>
        <w:outlineLvl w:val="9"/>
        <w:rPr>
          <w:rFonts w:ascii="宋体" w:hAnsi="宋体" w:eastAsia="宋体" w:cs="宋体"/>
          <w:color w:val="auto"/>
          <w:sz w:val="24"/>
          <w:szCs w:val="24"/>
          <w:highlight w:val="none"/>
          <w:lang w:val="zh-CN"/>
        </w:rPr>
      </w:pPr>
    </w:p>
    <w:p>
      <w:pPr>
        <w:widowControl/>
        <w:spacing w:before="100" w:beforeAutospacing="1" w:after="100" w:afterAutospacing="1" w:line="360" w:lineRule="auto"/>
        <w:outlineLvl w:val="9"/>
        <w:rPr>
          <w:rFonts w:ascii="宋体" w:hAnsi="宋体"/>
          <w:b/>
          <w:bCs/>
          <w:color w:val="auto"/>
          <w:sz w:val="32"/>
          <w:szCs w:val="32"/>
          <w:highlight w:val="none"/>
        </w:rPr>
      </w:pPr>
    </w:p>
    <w:p>
      <w:pPr>
        <w:widowControl/>
        <w:spacing w:before="100" w:beforeAutospacing="1" w:after="100" w:afterAutospacing="1" w:line="360" w:lineRule="auto"/>
        <w:jc w:val="center"/>
        <w:outlineLvl w:val="1"/>
        <w:rPr>
          <w:rFonts w:cs="黑体" w:asciiTheme="minorEastAsia" w:hAnsiTheme="minorEastAsia"/>
          <w:b/>
          <w:bCs/>
          <w:color w:val="auto"/>
          <w:sz w:val="32"/>
          <w:szCs w:val="32"/>
          <w:highlight w:val="none"/>
        </w:rPr>
      </w:pPr>
      <w:bookmarkStart w:id="116" w:name="_Toc28693"/>
      <w:bookmarkStart w:id="117" w:name="_Toc10183"/>
      <w:r>
        <w:rPr>
          <w:rFonts w:hint="eastAsia" w:ascii="宋体" w:hAnsi="宋体"/>
          <w:b/>
          <w:bCs/>
          <w:color w:val="auto"/>
          <w:sz w:val="32"/>
          <w:szCs w:val="32"/>
          <w:highlight w:val="none"/>
        </w:rPr>
        <w:t>2.4其他资格证明文件或材料</w:t>
      </w:r>
      <w:bookmarkEnd w:id="116"/>
      <w:bookmarkEnd w:id="117"/>
      <w:r>
        <w:rPr>
          <w:rFonts w:hint="eastAsia" w:ascii="宋体" w:hAnsi="宋体"/>
          <w:b/>
          <w:bCs/>
          <w:color w:val="auto"/>
          <w:sz w:val="32"/>
          <w:szCs w:val="32"/>
          <w:highlight w:val="none"/>
        </w:rPr>
        <w:t xml:space="preserve"> </w:t>
      </w:r>
    </w:p>
    <w:p>
      <w:pPr>
        <w:widowControl/>
        <w:spacing w:line="360" w:lineRule="auto"/>
        <w:ind w:firstLine="480" w:firstLineChars="200"/>
        <w:jc w:val="left"/>
        <w:outlineLvl w:val="9"/>
        <w:rPr>
          <w:rFonts w:ascii="宋体" w:hAnsi="宋体"/>
          <w:bCs/>
          <w:color w:val="auto"/>
          <w:sz w:val="22"/>
          <w:highlight w:val="none"/>
        </w:rPr>
      </w:pPr>
      <w:r>
        <w:rPr>
          <w:rFonts w:hint="eastAsia" w:ascii="宋体" w:hAnsi="宋体"/>
          <w:bCs/>
          <w:color w:val="auto"/>
          <w:sz w:val="24"/>
          <w:szCs w:val="28"/>
          <w:highlight w:val="none"/>
        </w:rPr>
        <w:t>（投标人须按照“第五章 资格审查与评标办法、评标标准”中“资格审查因素表”要求，</w:t>
      </w:r>
      <w:r>
        <w:rPr>
          <w:rFonts w:ascii="宋体" w:hAnsi="宋体"/>
          <w:bCs/>
          <w:color w:val="auto"/>
          <w:sz w:val="24"/>
          <w:szCs w:val="28"/>
          <w:highlight w:val="none"/>
        </w:rPr>
        <w:t>提交</w:t>
      </w:r>
      <w:r>
        <w:rPr>
          <w:rFonts w:hint="eastAsia" w:ascii="宋体" w:hAnsi="宋体"/>
          <w:bCs/>
          <w:color w:val="auto"/>
          <w:sz w:val="24"/>
          <w:szCs w:val="28"/>
          <w:highlight w:val="none"/>
        </w:rPr>
        <w:t>其他资格</w:t>
      </w:r>
      <w:r>
        <w:rPr>
          <w:rFonts w:ascii="宋体" w:hAnsi="宋体"/>
          <w:bCs/>
          <w:color w:val="auto"/>
          <w:sz w:val="24"/>
          <w:szCs w:val="28"/>
          <w:highlight w:val="none"/>
        </w:rPr>
        <w:t>证明</w:t>
      </w:r>
      <w:r>
        <w:rPr>
          <w:rFonts w:hint="eastAsia" w:ascii="宋体" w:hAnsi="宋体"/>
          <w:bCs/>
          <w:color w:val="auto"/>
          <w:sz w:val="24"/>
          <w:szCs w:val="28"/>
          <w:highlight w:val="none"/>
        </w:rPr>
        <w:t>文件</w:t>
      </w:r>
      <w:r>
        <w:rPr>
          <w:rFonts w:ascii="宋体" w:hAnsi="宋体"/>
          <w:bCs/>
          <w:color w:val="auto"/>
          <w:sz w:val="24"/>
          <w:szCs w:val="28"/>
          <w:highlight w:val="none"/>
        </w:rPr>
        <w:t>或</w:t>
      </w:r>
      <w:r>
        <w:rPr>
          <w:rFonts w:hint="eastAsia" w:ascii="宋体" w:hAnsi="宋体"/>
          <w:bCs/>
          <w:color w:val="auto"/>
          <w:sz w:val="24"/>
          <w:szCs w:val="28"/>
          <w:highlight w:val="none"/>
        </w:rPr>
        <w:t>材料，</w:t>
      </w:r>
      <w:r>
        <w:rPr>
          <w:rFonts w:ascii="宋体" w:hAnsi="宋体"/>
          <w:bCs/>
          <w:color w:val="auto"/>
          <w:sz w:val="24"/>
          <w:szCs w:val="28"/>
          <w:highlight w:val="none"/>
        </w:rPr>
        <w:t>加盖投标人的单位公章后在此项下提交。</w:t>
      </w:r>
      <w:r>
        <w:rPr>
          <w:rFonts w:hint="eastAsia" w:ascii="宋体" w:hAnsi="宋体"/>
          <w:bCs/>
          <w:color w:val="auto"/>
          <w:sz w:val="24"/>
          <w:szCs w:val="28"/>
          <w:highlight w:val="none"/>
        </w:rPr>
        <w:t>）</w:t>
      </w:r>
    </w:p>
    <w:p>
      <w:pPr>
        <w:widowControl/>
        <w:jc w:val="left"/>
        <w:outlineLvl w:val="9"/>
        <w:rPr>
          <w:rFonts w:ascii="宋体" w:hAnsi="宋体" w:eastAsia="宋体" w:cs="宋体"/>
          <w:color w:val="auto"/>
          <w:sz w:val="28"/>
          <w:szCs w:val="28"/>
          <w:highlight w:val="none"/>
          <w:lang w:val="zh-CN"/>
        </w:rPr>
      </w:pPr>
    </w:p>
    <w:p>
      <w:pPr>
        <w:widowControl/>
        <w:jc w:val="left"/>
        <w:outlineLvl w:val="9"/>
        <w:rPr>
          <w:rFonts w:ascii="宋体" w:hAnsi="宋体" w:eastAsia="宋体" w:cs="宋体"/>
          <w:color w:val="auto"/>
          <w:sz w:val="28"/>
          <w:szCs w:val="28"/>
          <w:highlight w:val="none"/>
          <w:lang w:val="zh-CN"/>
        </w:rPr>
      </w:pPr>
    </w:p>
    <w:p>
      <w:pPr>
        <w:widowControl/>
        <w:jc w:val="left"/>
        <w:outlineLvl w:val="9"/>
        <w:rPr>
          <w:rFonts w:ascii="宋体" w:hAnsi="宋体" w:eastAsia="宋体" w:cs="宋体"/>
          <w:color w:val="auto"/>
          <w:sz w:val="28"/>
          <w:szCs w:val="28"/>
          <w:highlight w:val="none"/>
          <w:lang w:val="zh-CN"/>
        </w:rPr>
      </w:pPr>
    </w:p>
    <w:p>
      <w:pPr>
        <w:widowControl/>
        <w:jc w:val="left"/>
        <w:outlineLvl w:val="9"/>
        <w:rPr>
          <w:rFonts w:ascii="宋体" w:hAnsi="宋体" w:eastAsia="宋体" w:cs="宋体"/>
          <w:color w:val="auto"/>
          <w:sz w:val="28"/>
          <w:szCs w:val="28"/>
          <w:highlight w:val="none"/>
          <w:lang w:val="zh-CN"/>
        </w:rPr>
      </w:pPr>
      <w:r>
        <w:rPr>
          <w:rFonts w:ascii="宋体" w:hAnsi="宋体" w:eastAsia="宋体" w:cs="宋体"/>
          <w:color w:val="auto"/>
          <w:sz w:val="28"/>
          <w:szCs w:val="28"/>
          <w:highlight w:val="none"/>
          <w:lang w:val="zh-CN"/>
        </w:rPr>
        <w:br w:type="page"/>
      </w:r>
    </w:p>
    <w:p>
      <w:pPr>
        <w:pStyle w:val="38"/>
        <w:numPr>
          <w:ilvl w:val="0"/>
          <w:numId w:val="4"/>
        </w:numPr>
        <w:autoSpaceDE w:val="0"/>
        <w:autoSpaceDN w:val="0"/>
        <w:adjustRightInd w:val="0"/>
        <w:spacing w:line="360" w:lineRule="auto"/>
        <w:ind w:firstLineChars="0"/>
        <w:jc w:val="center"/>
        <w:outlineLvl w:val="0"/>
        <w:rPr>
          <w:rFonts w:ascii="宋体" w:hAnsi="宋体" w:eastAsia="宋体" w:cs="宋体"/>
          <w:color w:val="auto"/>
          <w:sz w:val="24"/>
          <w:szCs w:val="24"/>
          <w:highlight w:val="none"/>
        </w:rPr>
      </w:pPr>
      <w:bookmarkStart w:id="118" w:name="_Toc32290"/>
      <w:bookmarkStart w:id="119" w:name="_Toc5819"/>
      <w:bookmarkStart w:id="120" w:name="_Toc31173"/>
      <w:bookmarkStart w:id="121" w:name="_Toc15640"/>
      <w:r>
        <w:rPr>
          <w:rFonts w:hint="eastAsia" w:cs="黑体" w:asciiTheme="minorEastAsia" w:hAnsiTheme="minorEastAsia"/>
          <w:b/>
          <w:bCs/>
          <w:color w:val="auto"/>
          <w:sz w:val="32"/>
          <w:szCs w:val="32"/>
          <w:highlight w:val="none"/>
          <w:lang w:val="zh-CN"/>
        </w:rPr>
        <w:t>符合性审查证明材料</w:t>
      </w:r>
      <w:bookmarkEnd w:id="118"/>
      <w:bookmarkEnd w:id="119"/>
      <w:bookmarkEnd w:id="120"/>
      <w:bookmarkEnd w:id="121"/>
    </w:p>
    <w:p>
      <w:pPr>
        <w:widowControl/>
        <w:spacing w:before="100" w:beforeAutospacing="1" w:after="100" w:afterAutospacing="1" w:line="360" w:lineRule="auto"/>
        <w:jc w:val="center"/>
        <w:outlineLvl w:val="1"/>
        <w:rPr>
          <w:rFonts w:hint="eastAsia" w:ascii="宋体" w:hAnsi="宋体"/>
          <w:b/>
          <w:bCs/>
          <w:color w:val="auto"/>
          <w:sz w:val="32"/>
          <w:szCs w:val="32"/>
          <w:highlight w:val="none"/>
        </w:rPr>
      </w:pPr>
      <w:bookmarkStart w:id="122" w:name="_Toc31403"/>
      <w:bookmarkStart w:id="123" w:name="_Toc31291"/>
      <w:r>
        <w:rPr>
          <w:rFonts w:hint="eastAsia" w:ascii="宋体" w:hAnsi="宋体"/>
          <w:b/>
          <w:bCs/>
          <w:color w:val="auto"/>
          <w:sz w:val="32"/>
          <w:szCs w:val="32"/>
          <w:highlight w:val="none"/>
        </w:rPr>
        <w:t>3.1</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投 标 函</w:t>
      </w:r>
      <w:bookmarkEnd w:id="122"/>
      <w:bookmarkEnd w:id="123"/>
    </w:p>
    <w:p>
      <w:pPr>
        <w:pStyle w:val="12"/>
        <w:spacing w:line="360" w:lineRule="auto"/>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致：</w:t>
      </w:r>
      <w:r>
        <w:rPr>
          <w:rFonts w:hint="eastAsia" w:ascii="宋体" w:hAnsi="宋体" w:cs="宋体"/>
          <w:snapToGrid w:val="0"/>
          <w:color w:val="auto"/>
          <w:kern w:val="0"/>
          <w:szCs w:val="24"/>
          <w:highlight w:val="none"/>
          <w:u w:val="single"/>
          <w:lang w:val="en-US" w:eastAsia="zh-CN"/>
        </w:rPr>
        <w:t xml:space="preserve">   </w:t>
      </w:r>
      <w:r>
        <w:rPr>
          <w:rFonts w:hint="eastAsia" w:ascii="宋体" w:hAnsi="宋体" w:cs="宋体"/>
          <w:snapToGrid w:val="0"/>
          <w:color w:val="auto"/>
          <w:kern w:val="0"/>
          <w:szCs w:val="24"/>
          <w:highlight w:val="none"/>
          <w:u w:val="single"/>
        </w:rPr>
        <w:t>（采购人）</w:t>
      </w:r>
      <w:r>
        <w:rPr>
          <w:rFonts w:hint="eastAsia" w:ascii="宋体" w:hAnsi="宋体" w:cs="宋体"/>
          <w:snapToGrid w:val="0"/>
          <w:color w:val="auto"/>
          <w:kern w:val="0"/>
          <w:szCs w:val="24"/>
          <w:highlight w:val="none"/>
        </w:rPr>
        <w:t xml:space="preserve">  </w:t>
      </w:r>
    </w:p>
    <w:p>
      <w:pPr>
        <w:pStyle w:val="12"/>
        <w:spacing w:line="360" w:lineRule="auto"/>
        <w:ind w:firstLine="235" w:firstLineChars="98"/>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我们收到了</w:t>
      </w:r>
      <w:r>
        <w:rPr>
          <w:rFonts w:hint="eastAsia" w:ascii="宋体" w:hAnsi="宋体" w:cs="宋体"/>
          <w:snapToGrid w:val="0"/>
          <w:color w:val="auto"/>
          <w:kern w:val="0"/>
          <w:szCs w:val="24"/>
          <w:highlight w:val="none"/>
          <w:u w:val="single"/>
        </w:rPr>
        <w:t>（项目编号）</w:t>
      </w:r>
      <w:r>
        <w:rPr>
          <w:rFonts w:hint="eastAsia" w:ascii="宋体" w:hAnsi="宋体" w:cs="宋体"/>
          <w:snapToGrid w:val="0"/>
          <w:color w:val="auto"/>
          <w:kern w:val="0"/>
          <w:szCs w:val="24"/>
          <w:highlight w:val="none"/>
        </w:rPr>
        <w:t>的招标文件，经详细研究，我们决定参加该项目的投标，我们郑重声明以下诸点并负法律责任。</w:t>
      </w:r>
    </w:p>
    <w:p>
      <w:pPr>
        <w:pStyle w:val="12"/>
        <w:spacing w:line="360" w:lineRule="auto"/>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1、愿按照招标文件中的条款和要求提供</w:t>
      </w:r>
      <w:r>
        <w:rPr>
          <w:rFonts w:hint="eastAsia" w:ascii="宋体" w:hAnsi="宋体" w:cs="宋体"/>
          <w:snapToGrid w:val="0"/>
          <w:color w:val="auto"/>
          <w:kern w:val="0"/>
          <w:szCs w:val="24"/>
          <w:highlight w:val="none"/>
          <w:u w:val="single"/>
        </w:rPr>
        <w:t xml:space="preserve"> （项目名称）  </w:t>
      </w:r>
      <w:r>
        <w:rPr>
          <w:rFonts w:hint="eastAsia" w:ascii="宋体" w:hAnsi="宋体" w:cs="宋体"/>
          <w:snapToGrid w:val="0"/>
          <w:color w:val="auto"/>
          <w:kern w:val="0"/>
          <w:szCs w:val="24"/>
          <w:highlight w:val="none"/>
        </w:rPr>
        <w:t xml:space="preserve">的所有采购内容 ，投标总报价为 </w:t>
      </w:r>
      <w:r>
        <w:rPr>
          <w:rFonts w:hint="eastAsia" w:ascii="宋体" w:hAnsi="宋体" w:cs="宋体"/>
          <w:snapToGrid w:val="0"/>
          <w:color w:val="auto"/>
          <w:kern w:val="0"/>
          <w:szCs w:val="24"/>
          <w:highlight w:val="none"/>
          <w:u w:val="single"/>
        </w:rPr>
        <w:t xml:space="preserve"> 大写    </w:t>
      </w:r>
      <w:r>
        <w:rPr>
          <w:rFonts w:hint="eastAsia" w:ascii="宋体" w:hAnsi="宋体" w:cs="宋体"/>
          <w:snapToGrid w:val="0"/>
          <w:color w:val="auto"/>
          <w:kern w:val="0"/>
          <w:szCs w:val="24"/>
          <w:highlight w:val="none"/>
          <w:u w:val="single"/>
          <w:lang w:val="en-US" w:eastAsia="zh-CN"/>
        </w:rPr>
        <w:t xml:space="preserve">  </w:t>
      </w:r>
      <w:r>
        <w:rPr>
          <w:rFonts w:hint="eastAsia" w:ascii="宋体" w:hAnsi="宋体" w:cs="宋体"/>
          <w:snapToGrid w:val="0"/>
          <w:color w:val="auto"/>
          <w:kern w:val="0"/>
          <w:szCs w:val="24"/>
          <w:highlight w:val="none"/>
          <w:u w:val="single"/>
        </w:rPr>
        <w:t>小写</w:t>
      </w:r>
      <w:r>
        <w:rPr>
          <w:rFonts w:hint="eastAsia" w:ascii="宋体" w:hAnsi="宋体" w:cs="宋体"/>
          <w:snapToGrid w:val="0"/>
          <w:color w:val="auto"/>
          <w:kern w:val="0"/>
          <w:szCs w:val="24"/>
          <w:highlight w:val="none"/>
          <w:u w:val="single"/>
          <w:lang w:val="en-US" w:eastAsia="zh-CN"/>
        </w:rPr>
        <w:t xml:space="preserve">   </w:t>
      </w:r>
      <w:r>
        <w:rPr>
          <w:rFonts w:hint="eastAsia" w:ascii="宋体" w:hAnsi="宋体" w:cs="宋体"/>
          <w:snapToGrid w:val="0"/>
          <w:color w:val="auto"/>
          <w:kern w:val="0"/>
          <w:szCs w:val="24"/>
          <w:highlight w:val="none"/>
          <w:u w:val="single"/>
        </w:rPr>
        <w:t xml:space="preserve">  </w:t>
      </w:r>
      <w:r>
        <w:rPr>
          <w:rFonts w:hint="eastAsia" w:ascii="宋体" w:hAnsi="宋体" w:cs="宋体"/>
          <w:snapToGrid w:val="0"/>
          <w:color w:val="auto"/>
          <w:kern w:val="0"/>
          <w:szCs w:val="24"/>
          <w:highlight w:val="none"/>
        </w:rPr>
        <w:t>元人民币。详见“开标一览表”。</w:t>
      </w:r>
    </w:p>
    <w:p>
      <w:pPr>
        <w:pStyle w:val="12"/>
        <w:spacing w:line="360" w:lineRule="auto"/>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2、如果我们的投标文件被接受，我们将履行招标文件中规定的各项要求。</w:t>
      </w:r>
    </w:p>
    <w:p>
      <w:pPr>
        <w:pStyle w:val="12"/>
        <w:spacing w:line="360" w:lineRule="auto"/>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3、我们同意按招标文件中的规定，本投标文件的有效期为投标截止之日起</w:t>
      </w:r>
      <w:r>
        <w:rPr>
          <w:rFonts w:hint="eastAsia" w:ascii="宋体" w:hAnsi="宋体" w:cs="宋体"/>
          <w:snapToGrid w:val="0"/>
          <w:color w:val="auto"/>
          <w:kern w:val="0"/>
          <w:szCs w:val="24"/>
          <w:highlight w:val="none"/>
          <w:u w:val="single"/>
          <w:lang w:val="en-US" w:eastAsia="zh-CN"/>
        </w:rPr>
        <w:t xml:space="preserve">    </w:t>
      </w:r>
      <w:r>
        <w:rPr>
          <w:rFonts w:hint="eastAsia" w:ascii="宋体" w:hAnsi="宋体" w:cs="宋体"/>
          <w:snapToGrid w:val="0"/>
          <w:color w:val="auto"/>
          <w:kern w:val="0"/>
          <w:szCs w:val="24"/>
          <w:highlight w:val="none"/>
        </w:rPr>
        <w:t>天。</w:t>
      </w:r>
    </w:p>
    <w:p>
      <w:pPr>
        <w:pStyle w:val="12"/>
        <w:spacing w:line="360" w:lineRule="auto"/>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如果成交，有效期延长至合同终止日止。</w:t>
      </w:r>
    </w:p>
    <w:p>
      <w:pPr>
        <w:pStyle w:val="12"/>
        <w:spacing w:line="360" w:lineRule="auto"/>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4、我们愿提供招标文件中要求的所有文件资料。</w:t>
      </w:r>
    </w:p>
    <w:p>
      <w:pPr>
        <w:pStyle w:val="12"/>
        <w:spacing w:line="360" w:lineRule="auto"/>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5、我们保证在收到中标通知书后，按招标文件的规定提交履约保证金。</w:t>
      </w:r>
    </w:p>
    <w:p>
      <w:pPr>
        <w:pStyle w:val="12"/>
        <w:spacing w:line="360" w:lineRule="auto"/>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6、投标人同意提供按照贵方可能要求的与其投标有关的一切数据或资料，完全理解贵方不一定接受最低价的投标或收到的任何投标。</w:t>
      </w:r>
    </w:p>
    <w:p>
      <w:pPr>
        <w:pStyle w:val="12"/>
        <w:spacing w:line="360" w:lineRule="auto"/>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7、如果所提供的货物及服务没有达到采购方所提要求，由投标方负责按实际损失赔偿。</w:t>
      </w:r>
    </w:p>
    <w:p>
      <w:pPr>
        <w:pStyle w:val="12"/>
        <w:spacing w:line="360" w:lineRule="auto"/>
        <w:jc w:val="left"/>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8、我们已经详细审阅了全部招标文件，包括修改、补充的文件（如果有的话）和参考资料及有关附件，我们完全理解并同意放弃对这方面有不明及误解的权利。</w:t>
      </w:r>
    </w:p>
    <w:p>
      <w:pPr>
        <w:pStyle w:val="12"/>
        <w:spacing w:line="360" w:lineRule="auto"/>
        <w:jc w:val="center"/>
        <w:outlineLvl w:val="9"/>
        <w:rPr>
          <w:rFonts w:ascii="宋体" w:hAnsi="宋体" w:cs="宋体"/>
          <w:snapToGrid w:val="0"/>
          <w:color w:val="auto"/>
          <w:kern w:val="0"/>
          <w:szCs w:val="24"/>
          <w:highlight w:val="none"/>
        </w:rPr>
      </w:pPr>
    </w:p>
    <w:p>
      <w:pPr>
        <w:pStyle w:val="12"/>
        <w:spacing w:line="360" w:lineRule="auto"/>
        <w:jc w:val="center"/>
        <w:outlineLvl w:val="9"/>
        <w:rPr>
          <w:rFonts w:ascii="宋体" w:hAnsi="宋体" w:cs="宋体"/>
          <w:snapToGrid w:val="0"/>
          <w:color w:val="auto"/>
          <w:kern w:val="0"/>
          <w:szCs w:val="24"/>
          <w:highlight w:val="none"/>
        </w:rPr>
      </w:pPr>
    </w:p>
    <w:p>
      <w:pPr>
        <w:pStyle w:val="12"/>
        <w:spacing w:line="360" w:lineRule="auto"/>
        <w:jc w:val="center"/>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 xml:space="preserve">                    投标人：（盖章）</w:t>
      </w:r>
    </w:p>
    <w:p>
      <w:pPr>
        <w:pStyle w:val="12"/>
        <w:spacing w:line="360" w:lineRule="auto"/>
        <w:jc w:val="center"/>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 xml:space="preserve">                                       法定代表人或授权委托人：（签字或盖章）                                                               </w:t>
      </w:r>
    </w:p>
    <w:p>
      <w:pPr>
        <w:pStyle w:val="12"/>
        <w:spacing w:line="360" w:lineRule="auto"/>
        <w:jc w:val="center"/>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 xml:space="preserve">              地     址：            </w:t>
      </w:r>
    </w:p>
    <w:p>
      <w:pPr>
        <w:pStyle w:val="12"/>
        <w:spacing w:line="360" w:lineRule="auto"/>
        <w:jc w:val="center"/>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 xml:space="preserve">              电     话：                    </w:t>
      </w:r>
    </w:p>
    <w:p>
      <w:pPr>
        <w:pStyle w:val="12"/>
        <w:spacing w:line="360" w:lineRule="auto"/>
        <w:jc w:val="center"/>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 xml:space="preserve">               传     真：</w:t>
      </w:r>
    </w:p>
    <w:p>
      <w:pPr>
        <w:pStyle w:val="12"/>
        <w:spacing w:line="360" w:lineRule="auto"/>
        <w:jc w:val="center"/>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 xml:space="preserve">               邮     编：</w:t>
      </w:r>
    </w:p>
    <w:p>
      <w:pPr>
        <w:pStyle w:val="12"/>
        <w:spacing w:line="360" w:lineRule="auto"/>
        <w:ind w:firstLine="5160" w:firstLineChars="2150"/>
        <w:outlineLvl w:val="9"/>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年    月    日</w:t>
      </w:r>
    </w:p>
    <w:p>
      <w:pPr>
        <w:widowControl/>
        <w:spacing w:before="100" w:beforeAutospacing="1" w:after="100" w:afterAutospacing="1" w:line="360" w:lineRule="auto"/>
        <w:jc w:val="center"/>
        <w:outlineLvl w:val="1"/>
        <w:rPr>
          <w:rFonts w:ascii="宋体" w:hAnsi="宋体"/>
          <w:b/>
          <w:bCs/>
          <w:color w:val="auto"/>
          <w:sz w:val="32"/>
          <w:szCs w:val="32"/>
          <w:highlight w:val="none"/>
        </w:rPr>
      </w:pPr>
      <w:bookmarkStart w:id="124" w:name="_Toc4748"/>
      <w:bookmarkStart w:id="125" w:name="_Toc20595"/>
      <w:r>
        <w:rPr>
          <w:rFonts w:hint="eastAsia" w:ascii="宋体" w:hAnsi="宋体"/>
          <w:b/>
          <w:bCs/>
          <w:color w:val="auto"/>
          <w:sz w:val="32"/>
          <w:szCs w:val="32"/>
          <w:highlight w:val="none"/>
        </w:rPr>
        <w:t>3.2</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投标承诺函</w:t>
      </w:r>
      <w:bookmarkEnd w:id="124"/>
      <w:bookmarkEnd w:id="125"/>
    </w:p>
    <w:p>
      <w:pPr>
        <w:autoSpaceDE w:val="0"/>
        <w:autoSpaceDN w:val="0"/>
        <w:snapToGrid w:val="0"/>
        <w:spacing w:line="360" w:lineRule="auto"/>
        <w:jc w:val="center"/>
        <w:outlineLvl w:val="9"/>
        <w:rPr>
          <w:rFonts w:ascii="宋体" w:hAnsi="宋体"/>
          <w:b/>
          <w:bCs/>
          <w:color w:val="auto"/>
          <w:sz w:val="24"/>
          <w:highlight w:val="none"/>
        </w:rPr>
      </w:pPr>
    </w:p>
    <w:p>
      <w:pPr>
        <w:spacing w:before="156" w:beforeLines="50" w:after="156" w:afterLines="50" w:line="360" w:lineRule="auto"/>
        <w:contextualSpacing/>
        <w:outlineLvl w:val="9"/>
        <w:rPr>
          <w:rFonts w:ascii="宋体" w:hAnsi="宋体" w:cs="宋体"/>
          <w:color w:val="auto"/>
          <w:sz w:val="24"/>
          <w:highlight w:val="none"/>
          <w:u w:val="single"/>
          <w:lang w:val="zh-CN"/>
        </w:rPr>
      </w:pPr>
      <w:r>
        <w:rPr>
          <w:rFonts w:hint="eastAsia" w:ascii="宋体" w:hAnsi="宋体" w:cs="宋体"/>
          <w:color w:val="auto"/>
          <w:sz w:val="24"/>
          <w:highlight w:val="none"/>
          <w:lang w:val="zh-CN"/>
        </w:rPr>
        <w:t>致采购人</w:t>
      </w:r>
      <w:r>
        <w:rPr>
          <w:rFonts w:ascii="宋体" w:hAnsi="宋体" w:cs="宋体"/>
          <w:color w:val="auto"/>
          <w:sz w:val="24"/>
          <w:highlight w:val="none"/>
          <w:lang w:val="zh-CN"/>
        </w:rPr>
        <w:t>：</w:t>
      </w:r>
    </w:p>
    <w:p>
      <w:pPr>
        <w:spacing w:before="156" w:beforeLines="50" w:after="156" w:afterLines="50" w:line="360" w:lineRule="auto"/>
        <w:ind w:firstLine="480" w:firstLineChars="200"/>
        <w:contextualSpacing/>
        <w:jc w:val="left"/>
        <w:outlineLvl w:val="9"/>
        <w:rPr>
          <w:rFonts w:ascii="宋体" w:hAnsi="宋体" w:cs="宋体"/>
          <w:color w:val="auto"/>
          <w:sz w:val="24"/>
          <w:highlight w:val="none"/>
          <w:lang w:val="zh-CN"/>
        </w:rPr>
      </w:pPr>
      <w:r>
        <w:rPr>
          <w:rFonts w:ascii="宋体" w:hAnsi="宋体" w:cs="宋体"/>
          <w:color w:val="auto"/>
          <w:sz w:val="24"/>
          <w:highlight w:val="none"/>
          <w:lang w:val="zh-CN"/>
        </w:rPr>
        <w:t>经研究，我</w:t>
      </w:r>
      <w:r>
        <w:rPr>
          <w:rFonts w:hint="eastAsia" w:ascii="宋体" w:hAnsi="宋体" w:cs="宋体"/>
          <w:color w:val="auto"/>
          <w:sz w:val="24"/>
          <w:highlight w:val="none"/>
          <w:lang w:val="zh-CN"/>
        </w:rPr>
        <w:t>方自愿参与贵方</w:t>
      </w:r>
      <w:r>
        <w:rPr>
          <w:rFonts w:ascii="宋体" w:hAnsi="宋体" w:cs="宋体"/>
          <w:color w:val="auto"/>
          <w:sz w:val="24"/>
          <w:highlight w:val="none"/>
          <w:lang w:val="zh-CN"/>
        </w:rPr>
        <w:t>年月日</w:t>
      </w:r>
      <w:r>
        <w:rPr>
          <w:rFonts w:hint="eastAsia" w:ascii="宋体" w:hAnsi="宋体" w:cs="宋体"/>
          <w:color w:val="auto"/>
          <w:sz w:val="24"/>
          <w:highlight w:val="none"/>
          <w:lang w:val="zh-CN"/>
        </w:rPr>
        <w:t>（招标编号、项目名称）的</w:t>
      </w:r>
      <w:r>
        <w:rPr>
          <w:rFonts w:ascii="宋体" w:hAnsi="宋体" w:cs="宋体"/>
          <w:color w:val="auto"/>
          <w:sz w:val="24"/>
          <w:highlight w:val="none"/>
          <w:lang w:val="zh-CN"/>
        </w:rPr>
        <w:t>投标，</w:t>
      </w:r>
      <w:r>
        <w:rPr>
          <w:rFonts w:hint="eastAsia" w:ascii="宋体" w:hAnsi="宋体" w:cs="宋体"/>
          <w:color w:val="auto"/>
          <w:sz w:val="24"/>
          <w:highlight w:val="none"/>
          <w:lang w:val="zh-CN"/>
        </w:rPr>
        <w:t>将</w:t>
      </w:r>
      <w:r>
        <w:rPr>
          <w:rFonts w:ascii="宋体" w:hAnsi="宋体" w:cs="宋体"/>
          <w:color w:val="auto"/>
          <w:sz w:val="24"/>
          <w:highlight w:val="none"/>
          <w:lang w:val="zh-CN"/>
        </w:rPr>
        <w:t>严格</w:t>
      </w:r>
      <w:r>
        <w:rPr>
          <w:rFonts w:hint="eastAsia" w:ascii="宋体" w:hAnsi="宋体" w:cs="宋体"/>
          <w:color w:val="auto"/>
          <w:sz w:val="24"/>
          <w:highlight w:val="none"/>
          <w:lang w:val="zh-CN"/>
        </w:rPr>
        <w:t>遵守</w:t>
      </w:r>
      <w:r>
        <w:rPr>
          <w:rFonts w:ascii="宋体" w:hAnsi="宋体" w:cs="宋体"/>
          <w:color w:val="auto"/>
          <w:sz w:val="24"/>
          <w:highlight w:val="none"/>
          <w:lang w:val="zh-CN"/>
        </w:rPr>
        <w:t>《</w:t>
      </w:r>
      <w:r>
        <w:rPr>
          <w:rFonts w:hint="eastAsia" w:ascii="宋体" w:hAnsi="宋体" w:cs="宋体"/>
          <w:color w:val="auto"/>
          <w:sz w:val="24"/>
          <w:highlight w:val="none"/>
          <w:lang w:val="zh-CN"/>
        </w:rPr>
        <w:t>中华人民共和国政府采购</w:t>
      </w:r>
      <w:r>
        <w:rPr>
          <w:rFonts w:ascii="宋体" w:hAnsi="宋体" w:cs="宋体"/>
          <w:color w:val="auto"/>
          <w:sz w:val="24"/>
          <w:highlight w:val="none"/>
          <w:lang w:val="zh-CN"/>
        </w:rPr>
        <w:t>法》等</w:t>
      </w:r>
      <w:r>
        <w:rPr>
          <w:rFonts w:hint="eastAsia" w:ascii="宋体" w:hAnsi="宋体" w:cs="宋体"/>
          <w:color w:val="auto"/>
          <w:sz w:val="24"/>
          <w:highlight w:val="none"/>
          <w:lang w:val="zh-CN"/>
        </w:rPr>
        <w:t>相关</w:t>
      </w:r>
      <w:r>
        <w:rPr>
          <w:rFonts w:ascii="宋体" w:hAnsi="宋体" w:cs="宋体"/>
          <w:color w:val="auto"/>
          <w:sz w:val="24"/>
          <w:highlight w:val="none"/>
          <w:lang w:val="zh-CN"/>
        </w:rPr>
        <w:t>法律法规</w:t>
      </w:r>
      <w:r>
        <w:rPr>
          <w:rFonts w:hint="eastAsia" w:ascii="宋体" w:hAnsi="宋体" w:cs="宋体"/>
          <w:color w:val="auto"/>
          <w:sz w:val="24"/>
          <w:highlight w:val="none"/>
          <w:lang w:val="zh-CN"/>
        </w:rPr>
        <w:t>规定</w:t>
      </w:r>
      <w:r>
        <w:rPr>
          <w:rFonts w:ascii="宋体" w:hAnsi="宋体" w:cs="宋体"/>
          <w:color w:val="auto"/>
          <w:sz w:val="24"/>
          <w:highlight w:val="none"/>
          <w:lang w:val="zh-CN"/>
        </w:rPr>
        <w:t>，并无条件地遵守本次采购活动各项规定。我们郑重承诺：</w:t>
      </w:r>
      <w:r>
        <w:rPr>
          <w:rFonts w:hint="eastAsia" w:ascii="宋体" w:hAnsi="宋体" w:cs="宋体"/>
          <w:color w:val="auto"/>
          <w:sz w:val="24"/>
          <w:highlight w:val="none"/>
          <w:lang w:val="zh-CN"/>
        </w:rPr>
        <w:t>我方</w:t>
      </w:r>
      <w:r>
        <w:rPr>
          <w:rFonts w:ascii="宋体" w:hAnsi="宋体" w:cs="宋体"/>
          <w:color w:val="auto"/>
          <w:sz w:val="24"/>
          <w:highlight w:val="none"/>
          <w:lang w:val="zh-CN"/>
        </w:rPr>
        <w:t>如果在本次</w:t>
      </w:r>
      <w:r>
        <w:rPr>
          <w:rFonts w:hint="eastAsia" w:ascii="宋体" w:hAnsi="宋体" w:cs="宋体"/>
          <w:color w:val="auto"/>
          <w:sz w:val="24"/>
          <w:highlight w:val="none"/>
          <w:lang w:val="zh-CN"/>
        </w:rPr>
        <w:t>投标</w:t>
      </w:r>
      <w:r>
        <w:rPr>
          <w:rFonts w:ascii="宋体" w:hAnsi="宋体" w:cs="宋体"/>
          <w:color w:val="auto"/>
          <w:sz w:val="24"/>
          <w:highlight w:val="none"/>
          <w:lang w:val="zh-CN"/>
        </w:rPr>
        <w:t>活动中有</w:t>
      </w:r>
      <w:r>
        <w:rPr>
          <w:rFonts w:hint="eastAsia" w:ascii="宋体" w:hAnsi="宋体" w:cs="宋体"/>
          <w:color w:val="auto"/>
          <w:sz w:val="24"/>
          <w:highlight w:val="none"/>
          <w:lang w:val="zh-CN"/>
        </w:rPr>
        <w:t>下列</w:t>
      </w:r>
      <w:r>
        <w:rPr>
          <w:rFonts w:ascii="宋体" w:hAnsi="宋体" w:cs="宋体"/>
          <w:color w:val="auto"/>
          <w:sz w:val="24"/>
          <w:highlight w:val="none"/>
          <w:lang w:val="zh-CN"/>
        </w:rPr>
        <w:t>情形</w:t>
      </w:r>
      <w:r>
        <w:rPr>
          <w:rFonts w:hint="eastAsia" w:ascii="宋体" w:hAnsi="宋体" w:cs="宋体"/>
          <w:color w:val="auto"/>
          <w:sz w:val="24"/>
          <w:highlight w:val="none"/>
          <w:lang w:val="zh-CN"/>
        </w:rPr>
        <w:t>之一</w:t>
      </w:r>
      <w:r>
        <w:rPr>
          <w:rFonts w:ascii="宋体" w:hAnsi="宋体" w:cs="宋体"/>
          <w:color w:val="auto"/>
          <w:sz w:val="24"/>
          <w:highlight w:val="none"/>
          <w:lang w:val="zh-CN"/>
        </w:rPr>
        <w:t>的，愿接受政府采购</w:t>
      </w:r>
      <w:r>
        <w:rPr>
          <w:rFonts w:hint="eastAsia" w:ascii="宋体" w:hAnsi="宋体" w:cs="宋体"/>
          <w:color w:val="auto"/>
          <w:sz w:val="24"/>
          <w:highlight w:val="none"/>
          <w:lang w:val="zh-CN"/>
        </w:rPr>
        <w:t>监督管理</w:t>
      </w:r>
      <w:r>
        <w:rPr>
          <w:rFonts w:ascii="宋体" w:hAnsi="宋体" w:cs="宋体"/>
          <w:color w:val="auto"/>
          <w:sz w:val="24"/>
          <w:highlight w:val="none"/>
          <w:lang w:val="zh-CN"/>
        </w:rPr>
        <w:t>部门给予相关处罚并</w:t>
      </w:r>
      <w:r>
        <w:rPr>
          <w:rFonts w:hint="eastAsia" w:ascii="宋体" w:hAnsi="宋体" w:cs="宋体"/>
          <w:color w:val="auto"/>
          <w:sz w:val="24"/>
          <w:highlight w:val="none"/>
          <w:lang w:val="zh-CN"/>
        </w:rPr>
        <w:t>承诺依法</w:t>
      </w:r>
      <w:r>
        <w:rPr>
          <w:rFonts w:ascii="宋体" w:hAnsi="宋体" w:cs="宋体"/>
          <w:color w:val="auto"/>
          <w:sz w:val="24"/>
          <w:highlight w:val="none"/>
          <w:lang w:val="zh-CN"/>
        </w:rPr>
        <w:t>承担</w:t>
      </w:r>
      <w:r>
        <w:rPr>
          <w:rFonts w:hint="eastAsia" w:ascii="宋体" w:hAnsi="宋体" w:cs="宋体"/>
          <w:color w:val="auto"/>
          <w:sz w:val="24"/>
          <w:highlight w:val="none"/>
          <w:lang w:val="zh-CN"/>
        </w:rPr>
        <w:t>相关的经济赔偿责任和</w:t>
      </w:r>
      <w:r>
        <w:rPr>
          <w:rFonts w:ascii="宋体" w:hAnsi="宋体" w:cs="宋体"/>
          <w:color w:val="auto"/>
          <w:sz w:val="24"/>
          <w:highlight w:val="none"/>
          <w:lang w:val="zh-CN"/>
        </w:rPr>
        <w:t>法律责任。</w:t>
      </w:r>
    </w:p>
    <w:p>
      <w:pPr>
        <w:spacing w:before="156" w:beforeLines="50" w:after="156" w:afterLines="50" w:line="360" w:lineRule="auto"/>
        <w:ind w:firstLine="480" w:firstLineChars="200"/>
        <w:contextualSpacing/>
        <w:outlineLvl w:val="9"/>
        <w:rPr>
          <w:rFonts w:ascii="宋体" w:hAnsi="宋体" w:cs="宋体"/>
          <w:color w:val="auto"/>
          <w:sz w:val="24"/>
          <w:highlight w:val="none"/>
          <w:lang w:val="zh-CN"/>
        </w:rPr>
      </w:pPr>
      <w:r>
        <w:rPr>
          <w:rFonts w:hint="eastAsia" w:ascii="宋体" w:hAnsi="宋体" w:cs="宋体"/>
          <w:color w:val="auto"/>
          <w:sz w:val="24"/>
          <w:highlight w:val="none"/>
          <w:lang w:val="zh-CN"/>
        </w:rPr>
        <w:t>一、在投标有效期内撤销投标文件；</w:t>
      </w:r>
    </w:p>
    <w:p>
      <w:pPr>
        <w:spacing w:before="156" w:beforeLines="50" w:after="156" w:afterLines="50" w:line="360" w:lineRule="auto"/>
        <w:ind w:firstLine="480" w:firstLineChars="200"/>
        <w:contextualSpacing/>
        <w:outlineLvl w:val="9"/>
        <w:rPr>
          <w:rFonts w:ascii="宋体" w:hAnsi="宋体" w:cs="宋体"/>
          <w:color w:val="auto"/>
          <w:sz w:val="24"/>
          <w:highlight w:val="none"/>
          <w:lang w:val="zh-CN"/>
        </w:rPr>
      </w:pPr>
      <w:r>
        <w:rPr>
          <w:rFonts w:hint="eastAsia" w:ascii="宋体" w:hAnsi="宋体" w:cs="宋体"/>
          <w:color w:val="auto"/>
          <w:sz w:val="24"/>
          <w:highlight w:val="none"/>
          <w:lang w:val="zh-CN"/>
        </w:rPr>
        <w:t>二、在投标文件中提供虚假材料；</w:t>
      </w:r>
    </w:p>
    <w:p>
      <w:pPr>
        <w:spacing w:before="156" w:beforeLines="50" w:after="156" w:afterLines="50" w:line="360" w:lineRule="auto"/>
        <w:ind w:firstLine="480" w:firstLineChars="200"/>
        <w:contextualSpacing/>
        <w:outlineLvl w:val="9"/>
        <w:rPr>
          <w:rFonts w:ascii="宋体" w:hAnsi="宋体" w:cs="宋体"/>
          <w:color w:val="auto"/>
          <w:sz w:val="24"/>
          <w:highlight w:val="none"/>
          <w:lang w:val="zh-CN"/>
        </w:rPr>
      </w:pPr>
      <w:r>
        <w:rPr>
          <w:rFonts w:hint="eastAsia" w:ascii="宋体" w:hAnsi="宋体" w:cs="宋体"/>
          <w:color w:val="auto"/>
          <w:sz w:val="24"/>
          <w:highlight w:val="none"/>
          <w:lang w:val="zh-CN"/>
        </w:rPr>
        <w:t>三、除因不可抗力或招标文件认可的情形以外，中标后不与采购人签订合同；</w:t>
      </w:r>
    </w:p>
    <w:p>
      <w:pPr>
        <w:spacing w:before="156" w:beforeLines="50" w:after="156" w:afterLines="50" w:line="360" w:lineRule="auto"/>
        <w:ind w:firstLine="480" w:firstLineChars="200"/>
        <w:contextualSpacing/>
        <w:outlineLvl w:val="9"/>
        <w:rPr>
          <w:rFonts w:ascii="宋体" w:hAnsi="宋体" w:cs="宋体"/>
          <w:color w:val="auto"/>
          <w:sz w:val="24"/>
          <w:highlight w:val="none"/>
          <w:lang w:val="zh-CN"/>
        </w:rPr>
      </w:pPr>
      <w:r>
        <w:rPr>
          <w:rFonts w:hint="eastAsia" w:ascii="宋体" w:hAnsi="宋体" w:cs="宋体"/>
          <w:color w:val="auto"/>
          <w:sz w:val="24"/>
          <w:highlight w:val="none"/>
          <w:lang w:val="zh-CN"/>
        </w:rPr>
        <w:t>四、与采购人、其他投标人或者采购代理机构恶意串通；</w:t>
      </w:r>
    </w:p>
    <w:p>
      <w:pPr>
        <w:spacing w:before="156" w:beforeLines="50" w:after="156" w:afterLines="50" w:line="360" w:lineRule="auto"/>
        <w:ind w:firstLine="480" w:firstLineChars="200"/>
        <w:contextualSpacing/>
        <w:outlineLvl w:val="9"/>
        <w:rPr>
          <w:rFonts w:ascii="宋体" w:hAnsi="宋体" w:cs="宋体"/>
          <w:color w:val="auto"/>
          <w:sz w:val="24"/>
          <w:highlight w:val="none"/>
          <w:lang w:val="zh-CN"/>
        </w:rPr>
      </w:pPr>
      <w:r>
        <w:rPr>
          <w:rFonts w:hint="eastAsia" w:ascii="宋体" w:hAnsi="宋体" w:cs="宋体"/>
          <w:color w:val="auto"/>
          <w:sz w:val="24"/>
          <w:highlight w:val="none"/>
          <w:lang w:val="zh-CN"/>
        </w:rPr>
        <w:t>五、法律法规及本招标文件规定的其他严重违法行为。</w:t>
      </w:r>
    </w:p>
    <w:p>
      <w:pPr>
        <w:outlineLvl w:val="9"/>
        <w:rPr>
          <w:color w:val="auto"/>
          <w:sz w:val="24"/>
          <w:highlight w:val="none"/>
          <w:u w:val="single"/>
        </w:rPr>
      </w:pPr>
    </w:p>
    <w:p>
      <w:pPr>
        <w:outlineLvl w:val="9"/>
        <w:rPr>
          <w:color w:val="auto"/>
          <w:sz w:val="24"/>
          <w:highlight w:val="none"/>
          <w:u w:val="single"/>
        </w:rPr>
      </w:pPr>
    </w:p>
    <w:p>
      <w:pPr>
        <w:spacing w:line="480" w:lineRule="auto"/>
        <w:ind w:firstLine="4980" w:firstLineChars="2075"/>
        <w:outlineLvl w:val="9"/>
        <w:rPr>
          <w:rFonts w:ascii="宋体" w:hAnsi="宋体" w:cs="Arial"/>
          <w:color w:val="auto"/>
          <w:sz w:val="24"/>
          <w:highlight w:val="none"/>
        </w:rPr>
      </w:pPr>
      <w:r>
        <w:rPr>
          <w:rFonts w:hint="eastAsia" w:ascii="宋体" w:hAnsi="宋体" w:cs="Arial"/>
          <w:color w:val="auto"/>
          <w:sz w:val="24"/>
          <w:highlight w:val="none"/>
        </w:rPr>
        <w:t>投标人名称:（盖章）　　　　　　　　　</w:t>
      </w:r>
    </w:p>
    <w:p>
      <w:pPr>
        <w:widowControl/>
        <w:ind w:firstLine="4920" w:firstLineChars="2050"/>
        <w:jc w:val="left"/>
        <w:outlineLvl w:val="9"/>
        <w:rPr>
          <w:rFonts w:ascii="宋体" w:hAnsi="宋体" w:cs="Arial"/>
          <w:color w:val="auto"/>
          <w:sz w:val="24"/>
          <w:highlight w:val="none"/>
        </w:rPr>
      </w:pPr>
      <w:r>
        <w:rPr>
          <w:rFonts w:hint="eastAsia" w:ascii="宋体" w:hAnsi="宋体" w:cs="Arial"/>
          <w:color w:val="auto"/>
          <w:sz w:val="24"/>
          <w:highlight w:val="none"/>
        </w:rPr>
        <w:t>日　  期：    年   月    日</w:t>
      </w:r>
    </w:p>
    <w:p>
      <w:pPr>
        <w:widowControl/>
        <w:ind w:firstLine="1554" w:firstLineChars="645"/>
        <w:jc w:val="left"/>
        <w:outlineLvl w:val="9"/>
        <w:rPr>
          <w:rFonts w:ascii="宋体" w:hAnsi="宋体"/>
          <w:b/>
          <w:bCs/>
          <w:color w:val="auto"/>
          <w:sz w:val="24"/>
          <w:highlight w:val="none"/>
        </w:rPr>
      </w:pPr>
    </w:p>
    <w:p>
      <w:pPr>
        <w:widowControl/>
        <w:ind w:firstLine="2072" w:firstLineChars="645"/>
        <w:jc w:val="left"/>
        <w:outlineLvl w:val="9"/>
        <w:rPr>
          <w:rFonts w:ascii="宋体" w:hAnsi="宋体"/>
          <w:b/>
          <w:bCs/>
          <w:color w:val="auto"/>
          <w:sz w:val="32"/>
          <w:szCs w:val="32"/>
          <w:highlight w:val="none"/>
        </w:rPr>
      </w:pPr>
    </w:p>
    <w:p>
      <w:pPr>
        <w:widowControl/>
        <w:spacing w:before="100" w:beforeAutospacing="1" w:after="100" w:afterAutospacing="1" w:line="360" w:lineRule="auto"/>
        <w:jc w:val="center"/>
        <w:outlineLvl w:val="9"/>
        <w:rPr>
          <w:rFonts w:ascii="宋体" w:hAnsi="宋体"/>
          <w:b/>
          <w:bCs/>
          <w:color w:val="auto"/>
          <w:sz w:val="32"/>
          <w:szCs w:val="32"/>
          <w:highlight w:val="none"/>
        </w:rPr>
      </w:pPr>
    </w:p>
    <w:p>
      <w:pPr>
        <w:autoSpaceDE w:val="0"/>
        <w:autoSpaceDN w:val="0"/>
        <w:adjustRightInd w:val="0"/>
        <w:spacing w:line="360" w:lineRule="auto"/>
        <w:outlineLvl w:val="9"/>
        <w:rPr>
          <w:rFonts w:ascii="宋体" w:hAnsi="宋体" w:eastAsia="宋体" w:cs="宋体"/>
          <w:color w:val="auto"/>
          <w:sz w:val="28"/>
          <w:szCs w:val="28"/>
          <w:highlight w:val="none"/>
          <w:lang w:val="zh-CN"/>
        </w:rPr>
      </w:pPr>
    </w:p>
    <w:p>
      <w:pPr>
        <w:autoSpaceDE w:val="0"/>
        <w:autoSpaceDN w:val="0"/>
        <w:adjustRightInd w:val="0"/>
        <w:spacing w:line="360" w:lineRule="auto"/>
        <w:jc w:val="center"/>
        <w:outlineLvl w:val="9"/>
        <w:rPr>
          <w:rFonts w:hAnsi="宋体" w:eastAsia="宋体"/>
          <w:b/>
          <w:snapToGrid w:val="0"/>
          <w:color w:val="auto"/>
          <w:kern w:val="0"/>
          <w:sz w:val="32"/>
          <w:szCs w:val="32"/>
          <w:highlight w:val="none"/>
        </w:rPr>
      </w:pPr>
    </w:p>
    <w:p>
      <w:pPr>
        <w:autoSpaceDE w:val="0"/>
        <w:autoSpaceDN w:val="0"/>
        <w:adjustRightInd w:val="0"/>
        <w:spacing w:line="360" w:lineRule="auto"/>
        <w:jc w:val="center"/>
        <w:outlineLvl w:val="9"/>
        <w:rPr>
          <w:rFonts w:hAnsi="宋体" w:eastAsia="宋体"/>
          <w:b/>
          <w:snapToGrid w:val="0"/>
          <w:color w:val="auto"/>
          <w:kern w:val="0"/>
          <w:sz w:val="32"/>
          <w:szCs w:val="32"/>
          <w:highlight w:val="none"/>
        </w:rPr>
      </w:pPr>
    </w:p>
    <w:p>
      <w:pPr>
        <w:autoSpaceDE w:val="0"/>
        <w:autoSpaceDN w:val="0"/>
        <w:adjustRightInd w:val="0"/>
        <w:spacing w:line="360" w:lineRule="auto"/>
        <w:jc w:val="center"/>
        <w:outlineLvl w:val="9"/>
        <w:rPr>
          <w:rFonts w:hAnsi="宋体" w:eastAsia="宋体"/>
          <w:b/>
          <w:snapToGrid w:val="0"/>
          <w:color w:val="auto"/>
          <w:kern w:val="0"/>
          <w:sz w:val="32"/>
          <w:szCs w:val="32"/>
          <w:highlight w:val="none"/>
        </w:rPr>
      </w:pPr>
    </w:p>
    <w:p>
      <w:pPr>
        <w:widowControl/>
        <w:jc w:val="left"/>
        <w:outlineLvl w:val="9"/>
        <w:rPr>
          <w:rFonts w:hAnsi="宋体" w:eastAsia="宋体"/>
          <w:b/>
          <w:snapToGrid w:val="0"/>
          <w:color w:val="auto"/>
          <w:kern w:val="0"/>
          <w:sz w:val="32"/>
          <w:szCs w:val="32"/>
          <w:highlight w:val="none"/>
        </w:rPr>
      </w:pPr>
      <w:r>
        <w:rPr>
          <w:rFonts w:hAnsi="宋体" w:eastAsia="宋体"/>
          <w:b/>
          <w:snapToGrid w:val="0"/>
          <w:color w:val="auto"/>
          <w:kern w:val="0"/>
          <w:sz w:val="32"/>
          <w:szCs w:val="32"/>
          <w:highlight w:val="none"/>
        </w:rPr>
        <w:br w:type="page"/>
      </w:r>
    </w:p>
    <w:p>
      <w:pPr>
        <w:autoSpaceDE w:val="0"/>
        <w:autoSpaceDN w:val="0"/>
        <w:adjustRightInd w:val="0"/>
        <w:spacing w:line="360" w:lineRule="auto"/>
        <w:jc w:val="center"/>
        <w:outlineLvl w:val="1"/>
        <w:rPr>
          <w:rFonts w:hAnsi="宋体" w:eastAsia="宋体"/>
          <w:b/>
          <w:snapToGrid w:val="0"/>
          <w:color w:val="auto"/>
          <w:kern w:val="0"/>
          <w:sz w:val="32"/>
          <w:szCs w:val="32"/>
          <w:highlight w:val="none"/>
        </w:rPr>
      </w:pPr>
      <w:bookmarkStart w:id="126" w:name="_Toc22062"/>
      <w:bookmarkStart w:id="127" w:name="_Toc24011"/>
      <w:r>
        <w:rPr>
          <w:rFonts w:hint="eastAsia" w:hAnsi="宋体" w:eastAsia="宋体"/>
          <w:b/>
          <w:snapToGrid w:val="0"/>
          <w:color w:val="auto"/>
          <w:kern w:val="0"/>
          <w:sz w:val="32"/>
          <w:szCs w:val="32"/>
          <w:highlight w:val="none"/>
        </w:rPr>
        <w:t>3.3</w:t>
      </w:r>
      <w:r>
        <w:rPr>
          <w:rFonts w:hint="eastAsia" w:hAnsi="宋体" w:eastAsia="宋体"/>
          <w:b/>
          <w:snapToGrid w:val="0"/>
          <w:color w:val="auto"/>
          <w:kern w:val="0"/>
          <w:sz w:val="32"/>
          <w:szCs w:val="32"/>
          <w:highlight w:val="none"/>
          <w:lang w:val="en-US" w:eastAsia="zh-CN"/>
        </w:rPr>
        <w:t xml:space="preserve"> </w:t>
      </w:r>
      <w:r>
        <w:rPr>
          <w:rFonts w:hint="eastAsia" w:hAnsi="宋体" w:eastAsia="宋体"/>
          <w:b/>
          <w:snapToGrid w:val="0"/>
          <w:color w:val="auto"/>
          <w:kern w:val="0"/>
          <w:sz w:val="32"/>
          <w:szCs w:val="32"/>
          <w:highlight w:val="none"/>
        </w:rPr>
        <w:t>投标分项报价一览表</w:t>
      </w:r>
      <w:bookmarkEnd w:id="126"/>
      <w:bookmarkEnd w:id="127"/>
    </w:p>
    <w:p>
      <w:pPr>
        <w:autoSpaceDE w:val="0"/>
        <w:autoSpaceDN w:val="0"/>
        <w:adjustRightInd w:val="0"/>
        <w:spacing w:line="360" w:lineRule="auto"/>
        <w:jc w:val="center"/>
        <w:outlineLvl w:val="9"/>
        <w:rPr>
          <w:rFonts w:hAnsi="宋体"/>
          <w:bCs/>
          <w:snapToGrid w:val="0"/>
          <w:color w:val="auto"/>
          <w:kern w:val="0"/>
          <w:sz w:val="24"/>
          <w:szCs w:val="24"/>
          <w:highlight w:val="none"/>
        </w:rPr>
      </w:pPr>
      <w:r>
        <w:rPr>
          <w:rFonts w:hint="eastAsia" w:hAnsi="宋体"/>
          <w:bCs/>
          <w:snapToGrid w:val="0"/>
          <w:color w:val="auto"/>
          <w:kern w:val="0"/>
          <w:sz w:val="24"/>
          <w:szCs w:val="24"/>
          <w:highlight w:val="none"/>
        </w:rPr>
        <w:t>（投标人根据本项目具体情况自行修改投标分项报价一览表格式）</w:t>
      </w:r>
    </w:p>
    <w:p>
      <w:pPr>
        <w:outlineLvl w:val="9"/>
        <w:rPr>
          <w:rFonts w:ascii="宋体" w:hAnsi="宋体" w:eastAsia="宋体" w:cs="宋体"/>
          <w:color w:val="auto"/>
          <w:sz w:val="24"/>
          <w:szCs w:val="24"/>
          <w:highlight w:val="none"/>
        </w:rPr>
      </w:pPr>
    </w:p>
    <w:tbl>
      <w:tblPr>
        <w:tblStyle w:val="24"/>
        <w:tblW w:w="9328" w:type="dxa"/>
        <w:tblInd w:w="0" w:type="dxa"/>
        <w:tblLayout w:type="fixed"/>
        <w:tblCellMar>
          <w:top w:w="0" w:type="dxa"/>
          <w:left w:w="108" w:type="dxa"/>
          <w:bottom w:w="0" w:type="dxa"/>
          <w:right w:w="108" w:type="dxa"/>
        </w:tblCellMar>
      </w:tblPr>
      <w:tblGrid>
        <w:gridCol w:w="418"/>
        <w:gridCol w:w="1416"/>
        <w:gridCol w:w="1195"/>
        <w:gridCol w:w="1195"/>
        <w:gridCol w:w="755"/>
        <w:gridCol w:w="1030"/>
        <w:gridCol w:w="997"/>
        <w:gridCol w:w="1161"/>
        <w:gridCol w:w="1161"/>
      </w:tblGrid>
      <w:tr>
        <w:tblPrEx>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序号</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名称</w:t>
            </w:r>
          </w:p>
        </w:tc>
        <w:tc>
          <w:tcPr>
            <w:tcW w:w="1195"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360" w:lineRule="auto"/>
              <w:ind w:firstLine="120"/>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规格</w:t>
            </w:r>
          </w:p>
          <w:p>
            <w:pPr>
              <w:autoSpaceDE w:val="0"/>
              <w:autoSpaceDN w:val="0"/>
              <w:adjustRightInd w:val="0"/>
              <w:spacing w:line="360" w:lineRule="auto"/>
              <w:ind w:firstLine="120"/>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型号</w:t>
            </w:r>
          </w:p>
        </w:tc>
        <w:tc>
          <w:tcPr>
            <w:tcW w:w="11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技术</w:t>
            </w:r>
          </w:p>
          <w:p>
            <w:pPr>
              <w:autoSpaceDE w:val="0"/>
              <w:autoSpaceDN w:val="0"/>
              <w:adjustRightInd w:val="0"/>
              <w:spacing w:line="360" w:lineRule="auto"/>
              <w:ind w:firstLine="120"/>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参数</w:t>
            </w:r>
          </w:p>
        </w:tc>
        <w:tc>
          <w:tcPr>
            <w:tcW w:w="75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单位</w:t>
            </w:r>
          </w:p>
        </w:tc>
        <w:tc>
          <w:tcPr>
            <w:tcW w:w="103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数量</w:t>
            </w:r>
          </w:p>
        </w:tc>
        <w:tc>
          <w:tcPr>
            <w:tcW w:w="99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单价</w:t>
            </w:r>
          </w:p>
        </w:tc>
        <w:tc>
          <w:tcPr>
            <w:tcW w:w="11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leftChars="57"/>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总价</w:t>
            </w:r>
          </w:p>
        </w:tc>
        <w:tc>
          <w:tcPr>
            <w:tcW w:w="1161"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360" w:lineRule="auto"/>
              <w:ind w:left="120" w:leftChars="57"/>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品牌/</w:t>
            </w:r>
          </w:p>
          <w:p>
            <w:pPr>
              <w:autoSpaceDE w:val="0"/>
              <w:autoSpaceDN w:val="0"/>
              <w:adjustRightInd w:val="0"/>
              <w:spacing w:line="360" w:lineRule="auto"/>
              <w:ind w:left="120" w:leftChars="57"/>
              <w:outlineLvl w:val="9"/>
              <w:rPr>
                <w:rFonts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厂家</w:t>
            </w:r>
          </w:p>
        </w:tc>
      </w:tr>
      <w:tr>
        <w:tblPrEx>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outlineLvl w:val="9"/>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w:t>
            </w:r>
          </w:p>
        </w:tc>
        <w:tc>
          <w:tcPr>
            <w:tcW w:w="14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r>
      <w:tr>
        <w:tblPrEx>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outlineLvl w:val="9"/>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p>
        </w:tc>
        <w:tc>
          <w:tcPr>
            <w:tcW w:w="14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r>
      <w:tr>
        <w:tblPrEx>
          <w:tblCellMar>
            <w:top w:w="0" w:type="dxa"/>
            <w:left w:w="108" w:type="dxa"/>
            <w:bottom w:w="0" w:type="dxa"/>
            <w:right w:w="108" w:type="dxa"/>
          </w:tblCellMar>
        </w:tblPrEx>
        <w:trPr>
          <w:trHeight w:val="809" w:hRule="atLeast"/>
        </w:trPr>
        <w:tc>
          <w:tcPr>
            <w:tcW w:w="18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outlineLvl w:val="9"/>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合计</w:t>
            </w:r>
          </w:p>
        </w:tc>
        <w:tc>
          <w:tcPr>
            <w:tcW w:w="7494"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outlineLvl w:val="9"/>
              <w:rPr>
                <w:rFonts w:asciiTheme="minorEastAsia" w:hAnsiTheme="minorEastAsia"/>
                <w:color w:val="auto"/>
                <w:sz w:val="24"/>
                <w:szCs w:val="24"/>
                <w:highlight w:val="none"/>
              </w:rPr>
            </w:pPr>
          </w:p>
        </w:tc>
      </w:tr>
    </w:tbl>
    <w:p>
      <w:pPr>
        <w:autoSpaceDE w:val="0"/>
        <w:autoSpaceDN w:val="0"/>
        <w:adjustRightInd w:val="0"/>
        <w:spacing w:line="480" w:lineRule="auto"/>
        <w:outlineLvl w:val="9"/>
        <w:rPr>
          <w:rFonts w:cs="宋体" w:asciiTheme="minorEastAsia" w:hAnsiTheme="minorEastAsia"/>
          <w:color w:val="auto"/>
          <w:sz w:val="24"/>
          <w:szCs w:val="24"/>
          <w:highlight w:val="none"/>
          <w:lang w:val="zh-CN"/>
        </w:rPr>
      </w:pPr>
    </w:p>
    <w:p>
      <w:pPr>
        <w:autoSpaceDE w:val="0"/>
        <w:autoSpaceDN w:val="0"/>
        <w:adjustRightInd w:val="0"/>
        <w:spacing w:line="480" w:lineRule="auto"/>
        <w:ind w:firstLine="6000" w:firstLineChars="2500"/>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投标人（公章）：</w:t>
      </w:r>
    </w:p>
    <w:p>
      <w:pPr>
        <w:autoSpaceDE w:val="0"/>
        <w:autoSpaceDN w:val="0"/>
        <w:adjustRightInd w:val="0"/>
        <w:spacing w:line="480" w:lineRule="auto"/>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 xml:space="preserve">                                       法定代表人或授权代表:(签字或盖章)</w:t>
      </w:r>
    </w:p>
    <w:p>
      <w:pPr>
        <w:autoSpaceDE w:val="0"/>
        <w:autoSpaceDN w:val="0"/>
        <w:adjustRightInd w:val="0"/>
        <w:spacing w:line="360" w:lineRule="auto"/>
        <w:jc w:val="center"/>
        <w:outlineLvl w:val="9"/>
        <w:rPr>
          <w:rFonts w:hAnsi="宋体" w:eastAsia="宋体"/>
          <w:b/>
          <w:snapToGrid w:val="0"/>
          <w:color w:val="auto"/>
          <w:kern w:val="0"/>
          <w:sz w:val="32"/>
          <w:szCs w:val="32"/>
          <w:highlight w:val="none"/>
        </w:rPr>
      </w:pPr>
    </w:p>
    <w:p>
      <w:pPr>
        <w:autoSpaceDE w:val="0"/>
        <w:autoSpaceDN w:val="0"/>
        <w:adjustRightInd w:val="0"/>
        <w:spacing w:line="360" w:lineRule="auto"/>
        <w:jc w:val="center"/>
        <w:outlineLvl w:val="1"/>
        <w:rPr>
          <w:rFonts w:hAnsi="宋体" w:eastAsia="宋体"/>
          <w:b/>
          <w:snapToGrid w:val="0"/>
          <w:color w:val="auto"/>
          <w:kern w:val="0"/>
          <w:sz w:val="32"/>
          <w:szCs w:val="32"/>
          <w:highlight w:val="none"/>
        </w:rPr>
      </w:pPr>
      <w:bookmarkStart w:id="128" w:name="_Toc15943"/>
      <w:bookmarkStart w:id="129" w:name="_Toc30035"/>
      <w:r>
        <w:rPr>
          <w:rFonts w:hint="eastAsia" w:hAnsi="宋体" w:eastAsia="宋体"/>
          <w:b/>
          <w:snapToGrid w:val="0"/>
          <w:color w:val="auto"/>
          <w:kern w:val="0"/>
          <w:sz w:val="32"/>
          <w:szCs w:val="32"/>
          <w:highlight w:val="none"/>
        </w:rPr>
        <w:t>3.4</w:t>
      </w:r>
      <w:r>
        <w:rPr>
          <w:rFonts w:hint="eastAsia" w:hAnsi="宋体" w:eastAsia="宋体"/>
          <w:b/>
          <w:snapToGrid w:val="0"/>
          <w:color w:val="auto"/>
          <w:kern w:val="0"/>
          <w:sz w:val="32"/>
          <w:szCs w:val="32"/>
          <w:highlight w:val="none"/>
          <w:lang w:val="en-US" w:eastAsia="zh-CN"/>
        </w:rPr>
        <w:t xml:space="preserve"> </w:t>
      </w:r>
      <w:r>
        <w:rPr>
          <w:rFonts w:hint="eastAsia" w:hAnsi="宋体" w:eastAsia="宋体"/>
          <w:b/>
          <w:snapToGrid w:val="0"/>
          <w:color w:val="auto"/>
          <w:kern w:val="0"/>
          <w:sz w:val="32"/>
          <w:szCs w:val="32"/>
          <w:highlight w:val="none"/>
        </w:rPr>
        <w:t>技术规格偏离表</w:t>
      </w:r>
      <w:bookmarkEnd w:id="128"/>
      <w:bookmarkEnd w:id="129"/>
    </w:p>
    <w:p>
      <w:pPr>
        <w:spacing w:line="300" w:lineRule="exact"/>
        <w:outlineLvl w:val="9"/>
        <w:rPr>
          <w:rFonts w:asciiTheme="minorEastAsia" w:hAnsiTheme="minorEastAsia"/>
          <w:color w:val="auto"/>
          <w:sz w:val="24"/>
          <w:szCs w:val="24"/>
          <w:highlight w:val="none"/>
        </w:rPr>
      </w:pPr>
    </w:p>
    <w:tbl>
      <w:tblPr>
        <w:tblStyle w:val="24"/>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3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10"/>
              <w:jc w:val="center"/>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10"/>
              <w:jc w:val="center"/>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1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tc>
        <w:tc>
          <w:tcPr>
            <w:tcW w:w="98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outlineLvl w:val="9"/>
              <w:rPr>
                <w:rFonts w:asciiTheme="minorEastAsia" w:hAnsiTheme="minorEastAsia"/>
                <w:bCs/>
                <w:color w:val="auto"/>
                <w:sz w:val="24"/>
                <w:szCs w:val="24"/>
                <w:highlight w:val="none"/>
              </w:rPr>
            </w:pPr>
            <w:r>
              <w:rPr>
                <w:rFonts w:hint="eastAsia" w:asciiTheme="minorEastAsia" w:hAnsiTheme="minorEastAsia"/>
                <w:bCs/>
                <w:color w:val="auto"/>
                <w:sz w:val="24"/>
                <w:szCs w:val="24"/>
                <w:highlight w:val="none"/>
              </w:rPr>
              <w:t>1</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outlineLvl w:val="9"/>
              <w:rPr>
                <w:rFonts w:asciiTheme="minorEastAsia" w:hAnsiTheme="minorEastAsia"/>
                <w:b/>
                <w:bCs/>
                <w:color w:val="auto"/>
                <w:sz w:val="24"/>
                <w:szCs w:val="24"/>
                <w:highlight w:val="none"/>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outlineLvl w:val="9"/>
              <w:rPr>
                <w:rFonts w:asciiTheme="minorEastAsia" w:hAnsiTheme="minorEastAsia"/>
                <w:b/>
                <w:bCs/>
                <w:color w:val="auto"/>
                <w:sz w:val="24"/>
                <w:szCs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outlineLvl w:val="9"/>
              <w:rPr>
                <w:rFonts w:asciiTheme="minorEastAsia" w:hAnsiTheme="minorEastAsia"/>
                <w:b/>
                <w:bCs/>
                <w:color w:val="auto"/>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outlineLvl w:val="9"/>
              <w:rPr>
                <w:rFonts w:asciiTheme="minorEastAsia" w:hAnsiTheme="minorEastAsia"/>
                <w:b/>
                <w:bCs/>
                <w:color w:val="auto"/>
                <w:sz w:val="24"/>
                <w:szCs w:val="24"/>
                <w:highlight w:val="none"/>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outlineLvl w:val="9"/>
              <w:rPr>
                <w:rFonts w:asciiTheme="minorEastAsia" w:hAnsiTheme="minorEastAsia"/>
                <w:b/>
                <w:bCs/>
                <w:color w:val="auto"/>
                <w:sz w:val="24"/>
                <w:szCs w:val="24"/>
                <w:highlight w:val="none"/>
              </w:rPr>
            </w:pP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outlineLvl w:val="9"/>
              <w:rPr>
                <w:rFonts w:asciiTheme="minorEastAsia" w:hAnsiTheme="minorEastAsia"/>
                <w:bCs/>
                <w:color w:val="auto"/>
                <w:sz w:val="24"/>
                <w:szCs w:val="24"/>
                <w:highlight w:val="none"/>
              </w:rPr>
            </w:pPr>
            <w:r>
              <w:rPr>
                <w:rFonts w:hint="eastAsia" w:asciiTheme="minorEastAsia" w:hAnsiTheme="minorEastAsia"/>
                <w:color w:val="auto"/>
                <w:sz w:val="24"/>
                <w:szCs w:val="24"/>
                <w:highlight w:val="none"/>
              </w:rPr>
              <w:t>…</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outlineLvl w:val="9"/>
              <w:rPr>
                <w:rFonts w:asciiTheme="minorEastAsia" w:hAnsiTheme="minorEastAsia"/>
                <w:b/>
                <w:bCs/>
                <w:color w:val="auto"/>
                <w:sz w:val="24"/>
                <w:szCs w:val="24"/>
                <w:highlight w:val="none"/>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outlineLvl w:val="9"/>
              <w:rPr>
                <w:rFonts w:asciiTheme="minorEastAsia" w:hAnsiTheme="minorEastAsia"/>
                <w:b/>
                <w:bCs/>
                <w:color w:val="auto"/>
                <w:sz w:val="24"/>
                <w:szCs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outlineLvl w:val="9"/>
              <w:rPr>
                <w:rFonts w:asciiTheme="minorEastAsia" w:hAnsiTheme="minorEastAsia"/>
                <w:b/>
                <w:bCs/>
                <w:color w:val="auto"/>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outlineLvl w:val="9"/>
              <w:rPr>
                <w:rFonts w:asciiTheme="minorEastAsia" w:hAnsiTheme="minorEastAsia"/>
                <w:b/>
                <w:bCs/>
                <w:color w:val="auto"/>
                <w:sz w:val="24"/>
                <w:szCs w:val="24"/>
                <w:highlight w:val="none"/>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outlineLvl w:val="9"/>
              <w:rPr>
                <w:rFonts w:asciiTheme="minorEastAsia" w:hAnsiTheme="minorEastAsia"/>
                <w:b/>
                <w:bCs/>
                <w:color w:val="auto"/>
                <w:sz w:val="24"/>
                <w:szCs w:val="24"/>
                <w:highlight w:val="none"/>
              </w:rPr>
            </w:pPr>
          </w:p>
        </w:tc>
      </w:tr>
    </w:tbl>
    <w:p>
      <w:pPr>
        <w:autoSpaceDE w:val="0"/>
        <w:autoSpaceDN w:val="0"/>
        <w:adjustRightInd w:val="0"/>
        <w:spacing w:line="480" w:lineRule="auto"/>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投标人（公章）：</w:t>
      </w:r>
    </w:p>
    <w:p>
      <w:pPr>
        <w:autoSpaceDE w:val="0"/>
        <w:autoSpaceDN w:val="0"/>
        <w:adjustRightInd w:val="0"/>
        <w:spacing w:line="480" w:lineRule="auto"/>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法定代表人或授权代表:(签字或盖章)</w:t>
      </w:r>
    </w:p>
    <w:p>
      <w:pPr>
        <w:widowControl/>
        <w:jc w:val="center"/>
        <w:outlineLvl w:val="9"/>
        <w:rPr>
          <w:rFonts w:ascii="宋体" w:hAnsi="宋体"/>
          <w:b/>
          <w:bCs/>
          <w:color w:val="auto"/>
          <w:sz w:val="30"/>
          <w:szCs w:val="30"/>
          <w:highlight w:val="none"/>
        </w:rPr>
      </w:pPr>
      <w:r>
        <w:rPr>
          <w:rFonts w:ascii="宋体" w:hAnsi="宋体"/>
          <w:b/>
          <w:bCs/>
          <w:color w:val="auto"/>
          <w:sz w:val="36"/>
          <w:szCs w:val="36"/>
          <w:highlight w:val="none"/>
        </w:rPr>
        <w:br w:type="page"/>
      </w:r>
    </w:p>
    <w:p>
      <w:pPr>
        <w:widowControl/>
        <w:ind w:firstLine="3301" w:firstLineChars="1096"/>
        <w:outlineLvl w:val="1"/>
        <w:rPr>
          <w:rFonts w:ascii="宋体" w:hAnsi="宋体"/>
          <w:b/>
          <w:bCs/>
          <w:color w:val="auto"/>
          <w:sz w:val="30"/>
          <w:szCs w:val="30"/>
          <w:highlight w:val="none"/>
        </w:rPr>
      </w:pPr>
      <w:bookmarkStart w:id="130" w:name="_Toc8909"/>
      <w:bookmarkStart w:id="131" w:name="_Toc27934"/>
      <w:r>
        <w:rPr>
          <w:rFonts w:hint="eastAsia" w:ascii="宋体" w:hAnsi="宋体"/>
          <w:b/>
          <w:bCs/>
          <w:color w:val="auto"/>
          <w:sz w:val="30"/>
          <w:szCs w:val="30"/>
          <w:highlight w:val="none"/>
        </w:rPr>
        <w:t>3.5</w:t>
      </w: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rPr>
        <w:t>服务承诺</w:t>
      </w:r>
      <w:bookmarkEnd w:id="130"/>
      <w:bookmarkEnd w:id="131"/>
    </w:p>
    <w:p>
      <w:pPr>
        <w:autoSpaceDE w:val="0"/>
        <w:autoSpaceDN w:val="0"/>
        <w:adjustRightInd w:val="0"/>
        <w:spacing w:line="360" w:lineRule="auto"/>
        <w:jc w:val="center"/>
        <w:outlineLvl w:val="9"/>
        <w:rPr>
          <w:rFonts w:cs="宋体" w:asciiTheme="minorEastAsia" w:hAnsiTheme="minorEastAsia"/>
          <w:color w:val="auto"/>
          <w:sz w:val="24"/>
          <w:szCs w:val="24"/>
          <w:highlight w:val="none"/>
          <w:lang w:val="zh-CN"/>
        </w:rPr>
      </w:pPr>
    </w:p>
    <w:p>
      <w:pPr>
        <w:autoSpaceDE w:val="0"/>
        <w:autoSpaceDN w:val="0"/>
        <w:adjustRightInd w:val="0"/>
        <w:spacing w:line="360" w:lineRule="auto"/>
        <w:jc w:val="center"/>
        <w:outlineLvl w:val="9"/>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（投标人根据招标文件要求自行编制）</w:t>
      </w:r>
    </w:p>
    <w:p>
      <w:pPr>
        <w:autoSpaceDE w:val="0"/>
        <w:autoSpaceDN w:val="0"/>
        <w:adjustRightInd w:val="0"/>
        <w:spacing w:line="360" w:lineRule="auto"/>
        <w:jc w:val="left"/>
        <w:outlineLvl w:val="9"/>
        <w:rPr>
          <w:rFonts w:ascii="宋体" w:hAnsi="宋体"/>
          <w:b/>
          <w:bCs/>
          <w:color w:val="auto"/>
          <w:sz w:val="24"/>
          <w:highlight w:val="none"/>
        </w:rPr>
      </w:pPr>
    </w:p>
    <w:p>
      <w:pPr>
        <w:autoSpaceDE w:val="0"/>
        <w:autoSpaceDN w:val="0"/>
        <w:adjustRightInd w:val="0"/>
        <w:spacing w:line="360" w:lineRule="auto"/>
        <w:jc w:val="center"/>
        <w:outlineLvl w:val="9"/>
        <w:rPr>
          <w:rFonts w:cs="黑体" w:asciiTheme="minorEastAsia" w:hAnsiTheme="minorEastAsia"/>
          <w:b/>
          <w:bCs/>
          <w:color w:val="auto"/>
          <w:sz w:val="32"/>
          <w:szCs w:val="32"/>
          <w:highlight w:val="none"/>
          <w:lang w:val="zh-CN"/>
        </w:rPr>
      </w:pPr>
    </w:p>
    <w:p>
      <w:pPr>
        <w:autoSpaceDE w:val="0"/>
        <w:autoSpaceDN w:val="0"/>
        <w:adjustRightInd w:val="0"/>
        <w:spacing w:line="360" w:lineRule="auto"/>
        <w:jc w:val="center"/>
        <w:outlineLvl w:val="9"/>
        <w:rPr>
          <w:rFonts w:cs="黑体" w:asciiTheme="minorEastAsia" w:hAnsiTheme="minorEastAsia"/>
          <w:b/>
          <w:bCs/>
          <w:color w:val="auto"/>
          <w:sz w:val="32"/>
          <w:szCs w:val="32"/>
          <w:highlight w:val="none"/>
          <w:lang w:val="zh-CN"/>
        </w:rPr>
      </w:pPr>
    </w:p>
    <w:p>
      <w:pPr>
        <w:autoSpaceDE w:val="0"/>
        <w:autoSpaceDN w:val="0"/>
        <w:adjustRightInd w:val="0"/>
        <w:spacing w:line="360" w:lineRule="auto"/>
        <w:jc w:val="center"/>
        <w:outlineLvl w:val="9"/>
        <w:rPr>
          <w:rFonts w:cs="黑体" w:asciiTheme="minorEastAsia" w:hAnsiTheme="minorEastAsia"/>
          <w:b/>
          <w:bCs/>
          <w:color w:val="auto"/>
          <w:sz w:val="32"/>
          <w:szCs w:val="32"/>
          <w:highlight w:val="none"/>
          <w:lang w:val="zh-CN"/>
        </w:rPr>
      </w:pPr>
    </w:p>
    <w:p>
      <w:pPr>
        <w:autoSpaceDE w:val="0"/>
        <w:autoSpaceDN w:val="0"/>
        <w:adjustRightInd w:val="0"/>
        <w:spacing w:line="360" w:lineRule="auto"/>
        <w:jc w:val="center"/>
        <w:outlineLvl w:val="9"/>
        <w:rPr>
          <w:rFonts w:cs="黑体" w:asciiTheme="minorEastAsia" w:hAnsiTheme="minorEastAsia"/>
          <w:b/>
          <w:bCs/>
          <w:color w:val="auto"/>
          <w:sz w:val="32"/>
          <w:szCs w:val="32"/>
          <w:highlight w:val="none"/>
          <w:lang w:val="zh-CN"/>
        </w:rPr>
      </w:pPr>
    </w:p>
    <w:p>
      <w:pPr>
        <w:autoSpaceDE w:val="0"/>
        <w:autoSpaceDN w:val="0"/>
        <w:adjustRightInd w:val="0"/>
        <w:spacing w:line="360" w:lineRule="auto"/>
        <w:jc w:val="center"/>
        <w:outlineLvl w:val="9"/>
        <w:rPr>
          <w:rFonts w:cs="黑体" w:asciiTheme="minorEastAsia" w:hAnsiTheme="minorEastAsia"/>
          <w:b/>
          <w:bCs/>
          <w:color w:val="auto"/>
          <w:sz w:val="32"/>
          <w:szCs w:val="32"/>
          <w:highlight w:val="none"/>
          <w:lang w:val="zh-CN"/>
        </w:rPr>
      </w:pPr>
    </w:p>
    <w:p>
      <w:pPr>
        <w:autoSpaceDE w:val="0"/>
        <w:autoSpaceDN w:val="0"/>
        <w:adjustRightInd w:val="0"/>
        <w:spacing w:line="360" w:lineRule="auto"/>
        <w:jc w:val="center"/>
        <w:outlineLvl w:val="1"/>
        <w:rPr>
          <w:rFonts w:cs="黑体" w:asciiTheme="minorEastAsia" w:hAnsiTheme="minorEastAsia"/>
          <w:b/>
          <w:bCs/>
          <w:color w:val="auto"/>
          <w:sz w:val="32"/>
          <w:szCs w:val="32"/>
          <w:highlight w:val="none"/>
          <w:lang w:val="zh-CN"/>
        </w:rPr>
      </w:pPr>
      <w:bookmarkStart w:id="132" w:name="_Toc3080"/>
      <w:bookmarkStart w:id="133" w:name="_Toc17594"/>
      <w:r>
        <w:rPr>
          <w:rFonts w:hint="eastAsia" w:cs="黑体" w:asciiTheme="minorEastAsia" w:hAnsiTheme="minorEastAsia"/>
          <w:b/>
          <w:bCs/>
          <w:color w:val="auto"/>
          <w:sz w:val="32"/>
          <w:szCs w:val="32"/>
          <w:highlight w:val="none"/>
          <w:lang w:val="zh-CN"/>
        </w:rPr>
        <w:t>3.6</w:t>
      </w:r>
      <w:r>
        <w:rPr>
          <w:rFonts w:hint="eastAsia" w:cs="黑体" w:asciiTheme="minorEastAsia" w:hAnsiTheme="minorEastAsia"/>
          <w:b/>
          <w:bCs/>
          <w:color w:val="auto"/>
          <w:sz w:val="32"/>
          <w:szCs w:val="32"/>
          <w:highlight w:val="none"/>
          <w:lang w:val="en-US" w:eastAsia="zh-CN"/>
        </w:rPr>
        <w:t xml:space="preserve"> </w:t>
      </w:r>
      <w:r>
        <w:rPr>
          <w:rFonts w:cs="黑体" w:asciiTheme="minorEastAsia" w:hAnsiTheme="minorEastAsia"/>
          <w:b/>
          <w:color w:val="auto"/>
          <w:sz w:val="32"/>
          <w:szCs w:val="32"/>
          <w:highlight w:val="none"/>
          <w:lang w:val="zh-CN"/>
        </w:rPr>
        <w:t>其他</w:t>
      </w:r>
      <w:r>
        <w:rPr>
          <w:rFonts w:hint="eastAsia" w:cs="黑体" w:asciiTheme="minorEastAsia" w:hAnsiTheme="minorEastAsia"/>
          <w:b/>
          <w:color w:val="auto"/>
          <w:sz w:val="32"/>
          <w:szCs w:val="32"/>
          <w:highlight w:val="none"/>
          <w:lang w:val="zh-CN"/>
        </w:rPr>
        <w:t>符合性证明文件或材料</w:t>
      </w:r>
      <w:bookmarkEnd w:id="132"/>
      <w:bookmarkEnd w:id="133"/>
    </w:p>
    <w:p>
      <w:pPr>
        <w:outlineLvl w:val="9"/>
        <w:rPr>
          <w:color w:val="auto"/>
          <w:highlight w:val="none"/>
        </w:rPr>
      </w:pPr>
    </w:p>
    <w:p>
      <w:pPr>
        <w:widowControl/>
        <w:spacing w:line="480" w:lineRule="auto"/>
        <w:ind w:firstLine="480" w:firstLineChars="200"/>
        <w:jc w:val="left"/>
        <w:outlineLvl w:val="9"/>
        <w:rPr>
          <w:rFonts w:ascii="宋体" w:hAnsi="宋体"/>
          <w:bCs/>
          <w:color w:val="auto"/>
          <w:sz w:val="24"/>
          <w:szCs w:val="24"/>
          <w:highlight w:val="none"/>
        </w:rPr>
      </w:pPr>
      <w:r>
        <w:rPr>
          <w:rFonts w:hint="eastAsia" w:ascii="宋体" w:hAnsi="宋体"/>
          <w:bCs/>
          <w:color w:val="auto"/>
          <w:sz w:val="24"/>
          <w:szCs w:val="24"/>
          <w:highlight w:val="none"/>
        </w:rPr>
        <w:t>根据招标文件要求或投标人认为需要提交的其他证明文件或材料，加盖投标人的单位公章后应在此项下提交。</w:t>
      </w:r>
    </w:p>
    <w:p>
      <w:pPr>
        <w:widowControl/>
        <w:ind w:firstLine="480" w:firstLineChars="200"/>
        <w:jc w:val="left"/>
        <w:outlineLvl w:val="9"/>
        <w:rPr>
          <w:rFonts w:ascii="宋体" w:hAnsi="宋体"/>
          <w:bCs/>
          <w:color w:val="auto"/>
          <w:sz w:val="24"/>
          <w:szCs w:val="24"/>
          <w:highlight w:val="none"/>
        </w:rPr>
      </w:pPr>
    </w:p>
    <w:p>
      <w:pPr>
        <w:widowControl/>
        <w:ind w:firstLine="480" w:firstLineChars="200"/>
        <w:jc w:val="left"/>
        <w:outlineLvl w:val="9"/>
        <w:rPr>
          <w:rFonts w:ascii="宋体" w:hAnsi="宋体"/>
          <w:bCs/>
          <w:color w:val="auto"/>
          <w:sz w:val="24"/>
          <w:szCs w:val="24"/>
          <w:highlight w:val="none"/>
        </w:rPr>
      </w:pPr>
    </w:p>
    <w:p>
      <w:pPr>
        <w:widowControl/>
        <w:ind w:firstLine="640" w:firstLineChars="200"/>
        <w:jc w:val="left"/>
        <w:outlineLvl w:val="9"/>
        <w:rPr>
          <w:rFonts w:ascii="宋体" w:hAnsi="宋体"/>
          <w:bCs/>
          <w:color w:val="auto"/>
          <w:sz w:val="32"/>
          <w:szCs w:val="32"/>
          <w:highlight w:val="none"/>
        </w:rPr>
      </w:pPr>
      <w:r>
        <w:rPr>
          <w:rFonts w:ascii="宋体" w:hAnsi="宋体"/>
          <w:bCs/>
          <w:color w:val="auto"/>
          <w:sz w:val="32"/>
          <w:szCs w:val="32"/>
          <w:highlight w:val="none"/>
        </w:rPr>
        <w:br w:type="page"/>
      </w:r>
    </w:p>
    <w:p>
      <w:pPr>
        <w:autoSpaceDE w:val="0"/>
        <w:autoSpaceDN w:val="0"/>
        <w:adjustRightInd w:val="0"/>
        <w:spacing w:line="360" w:lineRule="auto"/>
        <w:jc w:val="center"/>
        <w:outlineLvl w:val="1"/>
        <w:rPr>
          <w:rFonts w:ascii="宋体" w:hAnsi="宋体"/>
          <w:b/>
          <w:bCs/>
          <w:color w:val="auto"/>
          <w:sz w:val="32"/>
          <w:szCs w:val="32"/>
          <w:highlight w:val="none"/>
        </w:rPr>
      </w:pPr>
      <w:bookmarkStart w:id="134" w:name="_Toc16039"/>
      <w:bookmarkStart w:id="135" w:name="_Toc6167"/>
      <w:r>
        <w:rPr>
          <w:rFonts w:hint="eastAsia" w:ascii="宋体" w:hAnsi="宋体"/>
          <w:b/>
          <w:bCs/>
          <w:color w:val="auto"/>
          <w:sz w:val="32"/>
          <w:szCs w:val="32"/>
          <w:highlight w:val="none"/>
        </w:rPr>
        <w:t>3.7</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中小企业、监狱企业、残疾人福利性单位声明函</w:t>
      </w:r>
      <w:bookmarkEnd w:id="134"/>
      <w:bookmarkEnd w:id="135"/>
    </w:p>
    <w:p>
      <w:pPr>
        <w:pStyle w:val="22"/>
        <w:ind w:firstLine="0" w:firstLineChars="0"/>
        <w:jc w:val="center"/>
        <w:outlineLvl w:val="9"/>
        <w:rPr>
          <w:rFonts w:ascii="宋体" w:hAnsi="宋体" w:cs="宋体"/>
          <w:bCs/>
          <w:color w:val="auto"/>
          <w:sz w:val="24"/>
          <w:highlight w:val="none"/>
        </w:rPr>
      </w:pPr>
      <w:r>
        <w:rPr>
          <w:rFonts w:hint="eastAsia" w:ascii="宋体" w:hAnsi="宋体" w:cs="宋体"/>
          <w:bCs/>
          <w:color w:val="auto"/>
          <w:sz w:val="24"/>
          <w:highlight w:val="none"/>
        </w:rPr>
        <w:t>（投标人属于该类型的提供,否则不提供）</w:t>
      </w:r>
    </w:p>
    <w:p>
      <w:pPr>
        <w:pStyle w:val="22"/>
        <w:ind w:firstLine="0" w:firstLineChars="0"/>
        <w:jc w:val="center"/>
        <w:outlineLvl w:val="9"/>
        <w:rPr>
          <w:rFonts w:ascii="宋体" w:hAnsi="宋体" w:cs="宋体"/>
          <w:color w:val="auto"/>
          <w:sz w:val="32"/>
          <w:szCs w:val="32"/>
          <w:highlight w:val="none"/>
        </w:rPr>
      </w:pPr>
      <w:r>
        <w:rPr>
          <w:rFonts w:hint="eastAsia" w:ascii="宋体" w:hAnsi="宋体" w:cs="宋体"/>
          <w:b/>
          <w:bCs/>
          <w:color w:val="auto"/>
          <w:sz w:val="32"/>
          <w:szCs w:val="32"/>
          <w:highlight w:val="none"/>
        </w:rPr>
        <w:t>3.7.1中小企业声明函</w:t>
      </w:r>
    </w:p>
    <w:p>
      <w:pPr>
        <w:widowControl/>
        <w:spacing w:after="240"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本公司郑重声明，根据《政府采购促进中小企业发展暂行办法》（财库[2011]181号的规定，本公司为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（请填写：中型、小型、微型）企业。即，本公司同时满足以下条件：</w:t>
      </w:r>
    </w:p>
    <w:p>
      <w:pPr>
        <w:widowControl/>
        <w:numPr>
          <w:ilvl w:val="0"/>
          <w:numId w:val="5"/>
        </w:numPr>
        <w:spacing w:after="240"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（请填写：中型、小型、微型）企业。</w:t>
      </w:r>
    </w:p>
    <w:p>
      <w:pPr>
        <w:widowControl/>
        <w:numPr>
          <w:ilvl w:val="0"/>
          <w:numId w:val="5"/>
        </w:numPr>
        <w:spacing w:after="240"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本公司参加</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单位的</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项目采购活动提供本企业制造的货物，由本企业承担工程、提供服务，或者提供其他</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（请填写：中型、小型、微型）企业制造的货物。本条所称货物不包括使用大型企业注册商标的货物。</w:t>
      </w:r>
    </w:p>
    <w:p>
      <w:pPr>
        <w:widowControl/>
        <w:numPr>
          <w:ilvl w:val="0"/>
          <w:numId w:val="5"/>
        </w:numPr>
        <w:spacing w:after="240"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pacing w:after="240" w:line="360" w:lineRule="auto"/>
        <w:ind w:firstLine="4200" w:firstLineChars="1750"/>
        <w:outlineLvl w:val="9"/>
        <w:rPr>
          <w:rFonts w:ascii="宋体" w:hAnsi="宋体" w:cs="宋体"/>
          <w:color w:val="auto"/>
          <w:kern w:val="0"/>
          <w:sz w:val="24"/>
          <w:highlight w:val="none"/>
        </w:rPr>
      </w:pPr>
      <w:r>
        <w:rPr>
          <w:rFonts w:hint="eastAsia" w:ascii="宋体" w:hAnsi="宋体" w:cs="宋体"/>
          <w:color w:val="auto"/>
          <w:kern w:val="0"/>
          <w:sz w:val="24"/>
          <w:highlight w:val="none"/>
        </w:rPr>
        <w:t>企业名称（盖章）：   </w:t>
      </w:r>
    </w:p>
    <w:p>
      <w:pPr>
        <w:widowControl/>
        <w:spacing w:after="240" w:line="360" w:lineRule="auto"/>
        <w:ind w:firstLine="4200" w:firstLineChars="1750"/>
        <w:outlineLvl w:val="9"/>
        <w:rPr>
          <w:rFonts w:ascii="宋体" w:hAnsi="宋体" w:cs="宋体"/>
          <w:color w:val="auto"/>
          <w:kern w:val="0"/>
          <w:sz w:val="24"/>
          <w:highlight w:val="none"/>
        </w:rPr>
      </w:pPr>
      <w:r>
        <w:rPr>
          <w:rFonts w:hint="eastAsia" w:ascii="宋体" w:hAnsi="宋体" w:cs="宋体"/>
          <w:color w:val="auto"/>
          <w:kern w:val="0"/>
          <w:sz w:val="24"/>
          <w:highlight w:val="none"/>
        </w:rPr>
        <w:t>日  期： </w:t>
      </w:r>
    </w:p>
    <w:p>
      <w:pPr>
        <w:spacing w:line="588" w:lineRule="exact"/>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3.7.2残疾人福利性单位声明函</w:t>
      </w:r>
    </w:p>
    <w:p>
      <w:pPr>
        <w:spacing w:line="588" w:lineRule="exact"/>
        <w:outlineLvl w:val="9"/>
        <w:rPr>
          <w:rFonts w:ascii="宋体" w:hAnsi="宋体" w:cs="宋体"/>
          <w:b/>
          <w:color w:val="auto"/>
          <w:spacing w:val="6"/>
          <w:sz w:val="30"/>
          <w:szCs w:val="30"/>
          <w:highlight w:val="none"/>
        </w:rPr>
      </w:pPr>
    </w:p>
    <w:p>
      <w:pPr>
        <w:spacing w:line="588" w:lineRule="exact"/>
        <w:ind w:firstLine="504" w:firstLineChars="200"/>
        <w:outlineLvl w:val="9"/>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outlineLvl w:val="9"/>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ind w:firstLine="504" w:firstLineChars="200"/>
        <w:outlineLvl w:val="9"/>
        <w:rPr>
          <w:rFonts w:ascii="宋体" w:hAnsi="宋体" w:cs="宋体"/>
          <w:color w:val="auto"/>
          <w:spacing w:val="6"/>
          <w:sz w:val="24"/>
          <w:highlight w:val="none"/>
        </w:rPr>
      </w:pPr>
    </w:p>
    <w:p>
      <w:pPr>
        <w:tabs>
          <w:tab w:val="left" w:pos="4860"/>
        </w:tabs>
        <w:spacing w:line="588" w:lineRule="exact"/>
        <w:ind w:right="1560" w:firstLine="504" w:firstLineChars="200"/>
        <w:jc w:val="center"/>
        <w:outlineLvl w:val="9"/>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outlineLvl w:val="9"/>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spacing w:line="588" w:lineRule="exact"/>
        <w:ind w:firstLine="506" w:firstLineChars="200"/>
        <w:outlineLvl w:val="9"/>
        <w:rPr>
          <w:rFonts w:ascii="宋体" w:hAnsi="宋体" w:cs="宋体"/>
          <w:b/>
          <w:color w:val="auto"/>
          <w:spacing w:val="6"/>
          <w:sz w:val="24"/>
          <w:highlight w:val="none"/>
        </w:rPr>
      </w:pPr>
      <w:r>
        <w:rPr>
          <w:rFonts w:hint="eastAsia" w:ascii="宋体" w:hAnsi="宋体" w:cs="宋体"/>
          <w:b/>
          <w:color w:val="auto"/>
          <w:spacing w:val="6"/>
          <w:sz w:val="24"/>
          <w:highlight w:val="none"/>
        </w:rPr>
        <w:t>注：1.供应商符合中小型、微型企业的须填写以上相应声明函；残疾人福利性单位提供残疾人福利性单位声明函，并对声明的真实性负责。</w:t>
      </w:r>
    </w:p>
    <w:p>
      <w:pPr>
        <w:spacing w:line="588" w:lineRule="exact"/>
        <w:ind w:firstLine="506" w:firstLineChars="200"/>
        <w:outlineLvl w:val="9"/>
        <w:rPr>
          <w:rFonts w:ascii="宋体" w:hAnsi="宋体" w:cs="宋体"/>
          <w:b/>
          <w:color w:val="auto"/>
          <w:spacing w:val="6"/>
          <w:sz w:val="24"/>
          <w:highlight w:val="none"/>
        </w:rPr>
      </w:pPr>
      <w:r>
        <w:rPr>
          <w:rFonts w:hint="eastAsia" w:ascii="宋体" w:hAnsi="宋体" w:cs="宋体"/>
          <w:b/>
          <w:color w:val="auto"/>
          <w:spacing w:val="6"/>
          <w:sz w:val="24"/>
          <w:highlight w:val="none"/>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9"/>
        <w:rPr>
          <w:rFonts w:ascii="宋体" w:cs="宋体"/>
          <w:color w:val="auto"/>
          <w:sz w:val="24"/>
          <w:highlight w:val="none"/>
          <w:lang w:val="zh-CN"/>
        </w:rPr>
      </w:pPr>
    </w:p>
    <w:p>
      <w:pPr>
        <w:outlineLvl w:val="9"/>
        <w:rPr>
          <w:color w:val="auto"/>
          <w:sz w:val="24"/>
          <w:szCs w:val="24"/>
          <w:highlight w:val="none"/>
        </w:rPr>
      </w:pPr>
    </w:p>
    <w:p>
      <w:pPr>
        <w:outlineLvl w:val="9"/>
        <w:rPr>
          <w:color w:val="auto"/>
          <w:sz w:val="24"/>
          <w:szCs w:val="24"/>
          <w:highlight w:val="none"/>
        </w:rPr>
      </w:pPr>
    </w:p>
    <w:p>
      <w:pPr>
        <w:outlineLvl w:val="9"/>
        <w:rPr>
          <w:color w:val="auto"/>
          <w:sz w:val="24"/>
          <w:szCs w:val="24"/>
          <w:highlight w:val="none"/>
        </w:rPr>
      </w:pPr>
    </w:p>
    <w:p>
      <w:pPr>
        <w:outlineLvl w:val="9"/>
        <w:rPr>
          <w:color w:val="auto"/>
          <w:sz w:val="24"/>
          <w:szCs w:val="24"/>
          <w:highlight w:val="none"/>
        </w:rPr>
      </w:pPr>
    </w:p>
    <w:p>
      <w:pPr>
        <w:outlineLvl w:val="9"/>
        <w:rPr>
          <w:color w:val="auto"/>
          <w:sz w:val="24"/>
          <w:szCs w:val="24"/>
          <w:highlight w:val="none"/>
        </w:rPr>
      </w:pPr>
    </w:p>
    <w:p>
      <w:pPr>
        <w:outlineLvl w:val="9"/>
        <w:rPr>
          <w:color w:val="auto"/>
          <w:sz w:val="24"/>
          <w:szCs w:val="24"/>
          <w:highlight w:val="none"/>
        </w:rPr>
      </w:pPr>
    </w:p>
    <w:p>
      <w:pPr>
        <w:outlineLvl w:val="9"/>
        <w:rPr>
          <w:color w:val="auto"/>
          <w:sz w:val="24"/>
          <w:szCs w:val="24"/>
          <w:highlight w:val="none"/>
        </w:rPr>
      </w:pPr>
    </w:p>
    <w:p>
      <w:pPr>
        <w:outlineLvl w:val="9"/>
        <w:rPr>
          <w:color w:val="auto"/>
          <w:highlight w:val="none"/>
        </w:rPr>
      </w:pPr>
    </w:p>
    <w:sectPr>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811056437"/>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22"/>
                </w:pPr>
              </w:p>
            </w:txbxContent>
          </v:textbox>
        </v:shape>
      </w:pic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B333ACD"/>
    <w:multiLevelType w:val="multilevel"/>
    <w:tmpl w:val="1B333AC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24FF4D"/>
    <w:multiLevelType w:val="singleLevel"/>
    <w:tmpl w:val="5524FF4D"/>
    <w:lvl w:ilvl="0" w:tentative="0">
      <w:start w:val="1"/>
      <w:numFmt w:val="decimal"/>
      <w:suff w:val="nothing"/>
      <w:lvlText w:val="%1．"/>
      <w:lvlJc w:val="left"/>
    </w:lvl>
  </w:abstractNum>
  <w:abstractNum w:abstractNumId="3">
    <w:nsid w:val="6EEB6C75"/>
    <w:multiLevelType w:val="multilevel"/>
    <w:tmpl w:val="6EEB6C75"/>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7D242C66"/>
    <w:multiLevelType w:val="multilevel"/>
    <w:tmpl w:val="7D242C6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2F28"/>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43D9"/>
    <w:rsid w:val="00165088"/>
    <w:rsid w:val="00165D95"/>
    <w:rsid w:val="00166529"/>
    <w:rsid w:val="0016729C"/>
    <w:rsid w:val="0017020D"/>
    <w:rsid w:val="0017068D"/>
    <w:rsid w:val="00172CD0"/>
    <w:rsid w:val="001733AC"/>
    <w:rsid w:val="001739BA"/>
    <w:rsid w:val="00176211"/>
    <w:rsid w:val="00177A79"/>
    <w:rsid w:val="00180072"/>
    <w:rsid w:val="00180177"/>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169C"/>
    <w:rsid w:val="001A279D"/>
    <w:rsid w:val="001A36E1"/>
    <w:rsid w:val="001A43FB"/>
    <w:rsid w:val="001A471C"/>
    <w:rsid w:val="001A486B"/>
    <w:rsid w:val="001A4DF9"/>
    <w:rsid w:val="001A5D73"/>
    <w:rsid w:val="001A6219"/>
    <w:rsid w:val="001A69C5"/>
    <w:rsid w:val="001A789B"/>
    <w:rsid w:val="001A7C0A"/>
    <w:rsid w:val="001B1B6F"/>
    <w:rsid w:val="001B2577"/>
    <w:rsid w:val="001B25DA"/>
    <w:rsid w:val="001B347A"/>
    <w:rsid w:val="001B3CBE"/>
    <w:rsid w:val="001B597A"/>
    <w:rsid w:val="001B7115"/>
    <w:rsid w:val="001C0F05"/>
    <w:rsid w:val="001C59EE"/>
    <w:rsid w:val="001C5FEB"/>
    <w:rsid w:val="001C660A"/>
    <w:rsid w:val="001C71FB"/>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553C"/>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074"/>
    <w:rsid w:val="00264AAA"/>
    <w:rsid w:val="00267612"/>
    <w:rsid w:val="00267917"/>
    <w:rsid w:val="00270153"/>
    <w:rsid w:val="00270F5D"/>
    <w:rsid w:val="00270FEE"/>
    <w:rsid w:val="00271355"/>
    <w:rsid w:val="0027305F"/>
    <w:rsid w:val="00273F3D"/>
    <w:rsid w:val="00274E88"/>
    <w:rsid w:val="00274F53"/>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A33"/>
    <w:rsid w:val="002C4B7A"/>
    <w:rsid w:val="002C5E8B"/>
    <w:rsid w:val="002C5FFF"/>
    <w:rsid w:val="002C647B"/>
    <w:rsid w:val="002C6CF7"/>
    <w:rsid w:val="002D035A"/>
    <w:rsid w:val="002D0AC8"/>
    <w:rsid w:val="002D0F9B"/>
    <w:rsid w:val="002D259C"/>
    <w:rsid w:val="002D29A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878"/>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3759"/>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0E26"/>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0FF"/>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84C"/>
    <w:rsid w:val="003D1900"/>
    <w:rsid w:val="003D20A5"/>
    <w:rsid w:val="003D24B0"/>
    <w:rsid w:val="003D4A3B"/>
    <w:rsid w:val="003D4EFE"/>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1E4B"/>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2BE0"/>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354"/>
    <w:rsid w:val="00504544"/>
    <w:rsid w:val="005048D4"/>
    <w:rsid w:val="0050578F"/>
    <w:rsid w:val="005063D9"/>
    <w:rsid w:val="00506A3C"/>
    <w:rsid w:val="00507421"/>
    <w:rsid w:val="00507925"/>
    <w:rsid w:val="00507FA6"/>
    <w:rsid w:val="005109F4"/>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4B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62D"/>
    <w:rsid w:val="0059271E"/>
    <w:rsid w:val="00592A17"/>
    <w:rsid w:val="005940C7"/>
    <w:rsid w:val="0059414F"/>
    <w:rsid w:val="005945E1"/>
    <w:rsid w:val="005969BE"/>
    <w:rsid w:val="0059705A"/>
    <w:rsid w:val="005974D4"/>
    <w:rsid w:val="005A1471"/>
    <w:rsid w:val="005A1540"/>
    <w:rsid w:val="005A1D2F"/>
    <w:rsid w:val="005A21D0"/>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2C2"/>
    <w:rsid w:val="005F2E5E"/>
    <w:rsid w:val="005F3BD2"/>
    <w:rsid w:val="005F4451"/>
    <w:rsid w:val="005F5022"/>
    <w:rsid w:val="005F54DD"/>
    <w:rsid w:val="005F6F70"/>
    <w:rsid w:val="005F7452"/>
    <w:rsid w:val="00600DD3"/>
    <w:rsid w:val="00600EA4"/>
    <w:rsid w:val="00602076"/>
    <w:rsid w:val="00602740"/>
    <w:rsid w:val="00604549"/>
    <w:rsid w:val="00604FF4"/>
    <w:rsid w:val="00605D3E"/>
    <w:rsid w:val="0060727E"/>
    <w:rsid w:val="00610240"/>
    <w:rsid w:val="00611270"/>
    <w:rsid w:val="00611765"/>
    <w:rsid w:val="00611C4D"/>
    <w:rsid w:val="0061294B"/>
    <w:rsid w:val="00612F1E"/>
    <w:rsid w:val="00613546"/>
    <w:rsid w:val="0061385F"/>
    <w:rsid w:val="00613B7C"/>
    <w:rsid w:val="00615479"/>
    <w:rsid w:val="00617773"/>
    <w:rsid w:val="00617B45"/>
    <w:rsid w:val="00620343"/>
    <w:rsid w:val="00620C84"/>
    <w:rsid w:val="00621AFE"/>
    <w:rsid w:val="006238E9"/>
    <w:rsid w:val="00623DC7"/>
    <w:rsid w:val="00624BCA"/>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3F04"/>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889"/>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0B03"/>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762"/>
    <w:rsid w:val="006D6C56"/>
    <w:rsid w:val="006D77ED"/>
    <w:rsid w:val="006E190F"/>
    <w:rsid w:val="006E1A1B"/>
    <w:rsid w:val="006E26B6"/>
    <w:rsid w:val="006E2A5D"/>
    <w:rsid w:val="006E2E93"/>
    <w:rsid w:val="006E375A"/>
    <w:rsid w:val="006E3FA8"/>
    <w:rsid w:val="006E43AE"/>
    <w:rsid w:val="006E5306"/>
    <w:rsid w:val="006E5534"/>
    <w:rsid w:val="006E64F3"/>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1C8B"/>
    <w:rsid w:val="00742EDB"/>
    <w:rsid w:val="00743AAA"/>
    <w:rsid w:val="007442DA"/>
    <w:rsid w:val="0074498D"/>
    <w:rsid w:val="0074544B"/>
    <w:rsid w:val="00745C68"/>
    <w:rsid w:val="00745E15"/>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6FC0"/>
    <w:rsid w:val="00767C6D"/>
    <w:rsid w:val="0077060C"/>
    <w:rsid w:val="00771504"/>
    <w:rsid w:val="00771B9D"/>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5554"/>
    <w:rsid w:val="007978FC"/>
    <w:rsid w:val="00797FF8"/>
    <w:rsid w:val="007A05EF"/>
    <w:rsid w:val="007A1F7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2897"/>
    <w:rsid w:val="00803205"/>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7BC"/>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96334"/>
    <w:rsid w:val="008A00E8"/>
    <w:rsid w:val="008A04FB"/>
    <w:rsid w:val="008A0759"/>
    <w:rsid w:val="008A0CFD"/>
    <w:rsid w:val="008A1FCA"/>
    <w:rsid w:val="008A26E9"/>
    <w:rsid w:val="008A2F57"/>
    <w:rsid w:val="008A436F"/>
    <w:rsid w:val="008A4FD8"/>
    <w:rsid w:val="008B3882"/>
    <w:rsid w:val="008B5BCC"/>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CEA"/>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2AB3"/>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69CE"/>
    <w:rsid w:val="009471D8"/>
    <w:rsid w:val="009476E3"/>
    <w:rsid w:val="00950ABF"/>
    <w:rsid w:val="00952917"/>
    <w:rsid w:val="00954817"/>
    <w:rsid w:val="00955736"/>
    <w:rsid w:val="00960B46"/>
    <w:rsid w:val="00960C12"/>
    <w:rsid w:val="00961701"/>
    <w:rsid w:val="00961946"/>
    <w:rsid w:val="009619B3"/>
    <w:rsid w:val="00964784"/>
    <w:rsid w:val="009648A9"/>
    <w:rsid w:val="00965875"/>
    <w:rsid w:val="00965CA0"/>
    <w:rsid w:val="00967108"/>
    <w:rsid w:val="0096712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635C"/>
    <w:rsid w:val="00997111"/>
    <w:rsid w:val="009A01C8"/>
    <w:rsid w:val="009A09B4"/>
    <w:rsid w:val="009A1464"/>
    <w:rsid w:val="009A16F0"/>
    <w:rsid w:val="009A1B50"/>
    <w:rsid w:val="009A27A1"/>
    <w:rsid w:val="009A3AD4"/>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208"/>
    <w:rsid w:val="009D3346"/>
    <w:rsid w:val="009D33BC"/>
    <w:rsid w:val="009D379E"/>
    <w:rsid w:val="009D395A"/>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779"/>
    <w:rsid w:val="00A32A32"/>
    <w:rsid w:val="00A33F0D"/>
    <w:rsid w:val="00A40F7B"/>
    <w:rsid w:val="00A41136"/>
    <w:rsid w:val="00A41C25"/>
    <w:rsid w:val="00A42C04"/>
    <w:rsid w:val="00A43586"/>
    <w:rsid w:val="00A43AFC"/>
    <w:rsid w:val="00A442C7"/>
    <w:rsid w:val="00A44540"/>
    <w:rsid w:val="00A46421"/>
    <w:rsid w:val="00A4658D"/>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8E9"/>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390"/>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21A9"/>
    <w:rsid w:val="00AB33D4"/>
    <w:rsid w:val="00AB34A7"/>
    <w:rsid w:val="00AB3711"/>
    <w:rsid w:val="00AB3B6A"/>
    <w:rsid w:val="00AB5004"/>
    <w:rsid w:val="00AB6093"/>
    <w:rsid w:val="00AB7F3E"/>
    <w:rsid w:val="00AC186F"/>
    <w:rsid w:val="00AC25BB"/>
    <w:rsid w:val="00AC3038"/>
    <w:rsid w:val="00AC3834"/>
    <w:rsid w:val="00AC3917"/>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3F91"/>
    <w:rsid w:val="00B444A0"/>
    <w:rsid w:val="00B44C7A"/>
    <w:rsid w:val="00B44F07"/>
    <w:rsid w:val="00B45148"/>
    <w:rsid w:val="00B479D4"/>
    <w:rsid w:val="00B52AEA"/>
    <w:rsid w:val="00B52EEE"/>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2FAD"/>
    <w:rsid w:val="00BC343C"/>
    <w:rsid w:val="00BC3B7C"/>
    <w:rsid w:val="00BC4189"/>
    <w:rsid w:val="00BC43B6"/>
    <w:rsid w:val="00BC59F4"/>
    <w:rsid w:val="00BC61E0"/>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098"/>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D0B"/>
    <w:rsid w:val="00C52F13"/>
    <w:rsid w:val="00C533B2"/>
    <w:rsid w:val="00C545BE"/>
    <w:rsid w:val="00C54771"/>
    <w:rsid w:val="00C54962"/>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6"/>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3B9A"/>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AA1"/>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64F"/>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176D"/>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10D"/>
    <w:rsid w:val="00F0728B"/>
    <w:rsid w:val="00F1133F"/>
    <w:rsid w:val="00F1159E"/>
    <w:rsid w:val="00F116A1"/>
    <w:rsid w:val="00F13311"/>
    <w:rsid w:val="00F136AA"/>
    <w:rsid w:val="00F13860"/>
    <w:rsid w:val="00F13A1C"/>
    <w:rsid w:val="00F13E29"/>
    <w:rsid w:val="00F14552"/>
    <w:rsid w:val="00F1569C"/>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0B"/>
    <w:rsid w:val="00F42FCA"/>
    <w:rsid w:val="00F43E3B"/>
    <w:rsid w:val="00F44994"/>
    <w:rsid w:val="00F4658C"/>
    <w:rsid w:val="00F50AF4"/>
    <w:rsid w:val="00F50F0C"/>
    <w:rsid w:val="00F53059"/>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8E8"/>
    <w:rsid w:val="00F80C97"/>
    <w:rsid w:val="00F81ECB"/>
    <w:rsid w:val="00F831A8"/>
    <w:rsid w:val="00F839DC"/>
    <w:rsid w:val="00F8586F"/>
    <w:rsid w:val="00F858E0"/>
    <w:rsid w:val="00F858E8"/>
    <w:rsid w:val="00F86D31"/>
    <w:rsid w:val="00F871F4"/>
    <w:rsid w:val="00F872FA"/>
    <w:rsid w:val="00F901F0"/>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9FF"/>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CC14E7"/>
    <w:rsid w:val="06DE43C4"/>
    <w:rsid w:val="07343BF6"/>
    <w:rsid w:val="07670A21"/>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50BE4"/>
    <w:rsid w:val="0F0B45D0"/>
    <w:rsid w:val="0F207970"/>
    <w:rsid w:val="0F58618F"/>
    <w:rsid w:val="0FC7443F"/>
    <w:rsid w:val="0FF926AF"/>
    <w:rsid w:val="100F0259"/>
    <w:rsid w:val="10267CB9"/>
    <w:rsid w:val="10C04182"/>
    <w:rsid w:val="10DA6AAC"/>
    <w:rsid w:val="10DD6E07"/>
    <w:rsid w:val="11542167"/>
    <w:rsid w:val="11E0182A"/>
    <w:rsid w:val="1202240B"/>
    <w:rsid w:val="12087AF7"/>
    <w:rsid w:val="122B51D2"/>
    <w:rsid w:val="12555B49"/>
    <w:rsid w:val="128C6797"/>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6C061B"/>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4E1764"/>
    <w:rsid w:val="27BC641D"/>
    <w:rsid w:val="28331CBB"/>
    <w:rsid w:val="28B42C32"/>
    <w:rsid w:val="29406139"/>
    <w:rsid w:val="2977538F"/>
    <w:rsid w:val="29894948"/>
    <w:rsid w:val="29AB6728"/>
    <w:rsid w:val="29B27BEC"/>
    <w:rsid w:val="29BA48B9"/>
    <w:rsid w:val="29E20CDA"/>
    <w:rsid w:val="2A167F42"/>
    <w:rsid w:val="2B0955EB"/>
    <w:rsid w:val="2BC01A8A"/>
    <w:rsid w:val="2CA24E45"/>
    <w:rsid w:val="2D9E3E65"/>
    <w:rsid w:val="2E1026D2"/>
    <w:rsid w:val="2E506684"/>
    <w:rsid w:val="2E7F6013"/>
    <w:rsid w:val="2EBF1C56"/>
    <w:rsid w:val="2EDE51A8"/>
    <w:rsid w:val="2EED667E"/>
    <w:rsid w:val="2F4A0569"/>
    <w:rsid w:val="2FB30D36"/>
    <w:rsid w:val="307526CD"/>
    <w:rsid w:val="3108172A"/>
    <w:rsid w:val="311C5B84"/>
    <w:rsid w:val="31456E38"/>
    <w:rsid w:val="32282A32"/>
    <w:rsid w:val="322875E4"/>
    <w:rsid w:val="33190348"/>
    <w:rsid w:val="333D3330"/>
    <w:rsid w:val="33D42F04"/>
    <w:rsid w:val="34472ACC"/>
    <w:rsid w:val="34C95AC0"/>
    <w:rsid w:val="35B22E0B"/>
    <w:rsid w:val="360A6BA0"/>
    <w:rsid w:val="3785354F"/>
    <w:rsid w:val="37E2130C"/>
    <w:rsid w:val="38432644"/>
    <w:rsid w:val="393028A9"/>
    <w:rsid w:val="39981C14"/>
    <w:rsid w:val="39BF5D27"/>
    <w:rsid w:val="39FE036B"/>
    <w:rsid w:val="3A087AF9"/>
    <w:rsid w:val="3A125BFB"/>
    <w:rsid w:val="3A5148A3"/>
    <w:rsid w:val="3A600617"/>
    <w:rsid w:val="3A603A62"/>
    <w:rsid w:val="3A61125A"/>
    <w:rsid w:val="3A7B7C41"/>
    <w:rsid w:val="3A8D7D00"/>
    <w:rsid w:val="3B02136A"/>
    <w:rsid w:val="3BA75ED3"/>
    <w:rsid w:val="3BCA0505"/>
    <w:rsid w:val="3BE44603"/>
    <w:rsid w:val="3C264C46"/>
    <w:rsid w:val="3C3A4CC1"/>
    <w:rsid w:val="3D0C492C"/>
    <w:rsid w:val="3D1B7736"/>
    <w:rsid w:val="3D222D9F"/>
    <w:rsid w:val="3D94533B"/>
    <w:rsid w:val="3DE01AAE"/>
    <w:rsid w:val="3E1F20E4"/>
    <w:rsid w:val="3E310271"/>
    <w:rsid w:val="3E366118"/>
    <w:rsid w:val="3EB27969"/>
    <w:rsid w:val="3EBA71C9"/>
    <w:rsid w:val="3F015944"/>
    <w:rsid w:val="3F8C6BED"/>
    <w:rsid w:val="3FC37058"/>
    <w:rsid w:val="3FFF7BA9"/>
    <w:rsid w:val="400C177D"/>
    <w:rsid w:val="40E979FE"/>
    <w:rsid w:val="40F572CD"/>
    <w:rsid w:val="41576673"/>
    <w:rsid w:val="41632683"/>
    <w:rsid w:val="41866ABE"/>
    <w:rsid w:val="41AC237D"/>
    <w:rsid w:val="421D25BB"/>
    <w:rsid w:val="4226786D"/>
    <w:rsid w:val="423F15D8"/>
    <w:rsid w:val="42547F08"/>
    <w:rsid w:val="42B9053C"/>
    <w:rsid w:val="42CD5785"/>
    <w:rsid w:val="435E4EE5"/>
    <w:rsid w:val="43DB0665"/>
    <w:rsid w:val="44A10DC3"/>
    <w:rsid w:val="44B41CFC"/>
    <w:rsid w:val="44BB042C"/>
    <w:rsid w:val="44CC067A"/>
    <w:rsid w:val="44D707BA"/>
    <w:rsid w:val="44E43392"/>
    <w:rsid w:val="44F72463"/>
    <w:rsid w:val="45252E57"/>
    <w:rsid w:val="45BF0B33"/>
    <w:rsid w:val="45D0535A"/>
    <w:rsid w:val="45DB5C50"/>
    <w:rsid w:val="45DB6A50"/>
    <w:rsid w:val="45E56936"/>
    <w:rsid w:val="462B3383"/>
    <w:rsid w:val="462D5D3B"/>
    <w:rsid w:val="46322783"/>
    <w:rsid w:val="46440D53"/>
    <w:rsid w:val="4736232C"/>
    <w:rsid w:val="475A46F7"/>
    <w:rsid w:val="47710CC8"/>
    <w:rsid w:val="47753B39"/>
    <w:rsid w:val="47796D5F"/>
    <w:rsid w:val="47D779E9"/>
    <w:rsid w:val="48AC7ABA"/>
    <w:rsid w:val="48C32E32"/>
    <w:rsid w:val="497573ED"/>
    <w:rsid w:val="498B7293"/>
    <w:rsid w:val="49B77D0A"/>
    <w:rsid w:val="4A865F76"/>
    <w:rsid w:val="4AA35E5D"/>
    <w:rsid w:val="4AEB2AAD"/>
    <w:rsid w:val="4B045A02"/>
    <w:rsid w:val="4C1B5175"/>
    <w:rsid w:val="4C4A143F"/>
    <w:rsid w:val="4D460E2B"/>
    <w:rsid w:val="4DAD76EF"/>
    <w:rsid w:val="4DCB7DDB"/>
    <w:rsid w:val="4E1C1049"/>
    <w:rsid w:val="4F131574"/>
    <w:rsid w:val="4FCF5C99"/>
    <w:rsid w:val="4FF26AE2"/>
    <w:rsid w:val="500015FF"/>
    <w:rsid w:val="500B0E72"/>
    <w:rsid w:val="5013760A"/>
    <w:rsid w:val="503913CB"/>
    <w:rsid w:val="50794617"/>
    <w:rsid w:val="50AA545F"/>
    <w:rsid w:val="51356582"/>
    <w:rsid w:val="5161613B"/>
    <w:rsid w:val="518679EC"/>
    <w:rsid w:val="51A525D9"/>
    <w:rsid w:val="51D63598"/>
    <w:rsid w:val="52135044"/>
    <w:rsid w:val="52D95499"/>
    <w:rsid w:val="52F31C4D"/>
    <w:rsid w:val="52FE211E"/>
    <w:rsid w:val="53815A5D"/>
    <w:rsid w:val="539E539C"/>
    <w:rsid w:val="53D92F2E"/>
    <w:rsid w:val="53DE7DD1"/>
    <w:rsid w:val="542C1166"/>
    <w:rsid w:val="54697257"/>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3C334A"/>
    <w:rsid w:val="5E511CA3"/>
    <w:rsid w:val="5EA77FAE"/>
    <w:rsid w:val="5ECB24BD"/>
    <w:rsid w:val="5ECC2A4F"/>
    <w:rsid w:val="5EEF0465"/>
    <w:rsid w:val="5F461CEF"/>
    <w:rsid w:val="5F7F42C7"/>
    <w:rsid w:val="5FB528C2"/>
    <w:rsid w:val="5FC0786E"/>
    <w:rsid w:val="602B48EC"/>
    <w:rsid w:val="60A31932"/>
    <w:rsid w:val="61D568A0"/>
    <w:rsid w:val="620C4AC0"/>
    <w:rsid w:val="6249464B"/>
    <w:rsid w:val="629E3A7E"/>
    <w:rsid w:val="62C05D17"/>
    <w:rsid w:val="63211531"/>
    <w:rsid w:val="639871BE"/>
    <w:rsid w:val="64914B33"/>
    <w:rsid w:val="649800FE"/>
    <w:rsid w:val="64C517C3"/>
    <w:rsid w:val="64D678CB"/>
    <w:rsid w:val="6562476C"/>
    <w:rsid w:val="65B038FD"/>
    <w:rsid w:val="65DA3187"/>
    <w:rsid w:val="65DD649C"/>
    <w:rsid w:val="66102AC7"/>
    <w:rsid w:val="665864D0"/>
    <w:rsid w:val="66647260"/>
    <w:rsid w:val="6699236E"/>
    <w:rsid w:val="66D47FE7"/>
    <w:rsid w:val="66E02E28"/>
    <w:rsid w:val="66F321A7"/>
    <w:rsid w:val="670D0BDB"/>
    <w:rsid w:val="6719435C"/>
    <w:rsid w:val="674D4FFB"/>
    <w:rsid w:val="678B4052"/>
    <w:rsid w:val="67CF5160"/>
    <w:rsid w:val="67DA59D6"/>
    <w:rsid w:val="67E04192"/>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01138B"/>
    <w:rsid w:val="6C5D40AD"/>
    <w:rsid w:val="6C7F60B9"/>
    <w:rsid w:val="6CC26D6A"/>
    <w:rsid w:val="6DB044E3"/>
    <w:rsid w:val="6DBB057B"/>
    <w:rsid w:val="6DD347F7"/>
    <w:rsid w:val="6E67552C"/>
    <w:rsid w:val="6E922CEB"/>
    <w:rsid w:val="6EB34193"/>
    <w:rsid w:val="6EDE6FCD"/>
    <w:rsid w:val="6EE40F00"/>
    <w:rsid w:val="6F15317A"/>
    <w:rsid w:val="6F2711A9"/>
    <w:rsid w:val="6F472D92"/>
    <w:rsid w:val="6F71476C"/>
    <w:rsid w:val="6FA746B2"/>
    <w:rsid w:val="70144EAD"/>
    <w:rsid w:val="703C5FD3"/>
    <w:rsid w:val="70663A0C"/>
    <w:rsid w:val="70F547D2"/>
    <w:rsid w:val="719C582B"/>
    <w:rsid w:val="72251365"/>
    <w:rsid w:val="722E6668"/>
    <w:rsid w:val="729E517B"/>
    <w:rsid w:val="72FA6E99"/>
    <w:rsid w:val="731B1938"/>
    <w:rsid w:val="73392ABC"/>
    <w:rsid w:val="733C0B01"/>
    <w:rsid w:val="733D728C"/>
    <w:rsid w:val="73D547C8"/>
    <w:rsid w:val="73DA1414"/>
    <w:rsid w:val="73EA3902"/>
    <w:rsid w:val="7527635A"/>
    <w:rsid w:val="755E7C6D"/>
    <w:rsid w:val="75896E70"/>
    <w:rsid w:val="75CC4AFE"/>
    <w:rsid w:val="767B27B0"/>
    <w:rsid w:val="76FD5A80"/>
    <w:rsid w:val="776709A0"/>
    <w:rsid w:val="781A4E11"/>
    <w:rsid w:val="786C53ED"/>
    <w:rsid w:val="78CD0911"/>
    <w:rsid w:val="78E3634C"/>
    <w:rsid w:val="7916409E"/>
    <w:rsid w:val="792616A5"/>
    <w:rsid w:val="792A27B1"/>
    <w:rsid w:val="799322AC"/>
    <w:rsid w:val="79BE48D7"/>
    <w:rsid w:val="79F91778"/>
    <w:rsid w:val="7A5E7693"/>
    <w:rsid w:val="7A90690F"/>
    <w:rsid w:val="7A9D3C0F"/>
    <w:rsid w:val="7B51234F"/>
    <w:rsid w:val="7B671583"/>
    <w:rsid w:val="7B6F27CE"/>
    <w:rsid w:val="7B7218F9"/>
    <w:rsid w:val="7C113FAE"/>
    <w:rsid w:val="7DD40E04"/>
    <w:rsid w:val="7E1A3C3F"/>
    <w:rsid w:val="7E211576"/>
    <w:rsid w:val="7E502725"/>
    <w:rsid w:val="7F235320"/>
    <w:rsid w:val="7F640B02"/>
    <w:rsid w:val="7FBB5EA1"/>
    <w:rsid w:val="7FD824D9"/>
    <w:rsid w:val="7FE90212"/>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qFormat="1" w:unhideWhenUsed="0" w:uiPriority="39"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line="576" w:lineRule="auto"/>
      <w:outlineLvl w:val="0"/>
    </w:pPr>
    <w:rPr>
      <w:b/>
      <w:kern w:val="44"/>
      <w:sz w:val="44"/>
    </w:rPr>
  </w:style>
  <w:style w:type="paragraph" w:styleId="6">
    <w:name w:val="heading 2"/>
    <w:basedOn w:val="1"/>
    <w:next w:val="1"/>
    <w:link w:val="44"/>
    <w:unhideWhenUsed/>
    <w:qFormat/>
    <w:uiPriority w:val="99"/>
    <w:pPr>
      <w:keepNext/>
      <w:keepLines/>
      <w:spacing w:line="413" w:lineRule="auto"/>
      <w:outlineLvl w:val="1"/>
    </w:pPr>
    <w:rPr>
      <w:rFonts w:ascii="Arial" w:hAnsi="Arial" w:eastAsia="微软雅黑" w:cs="Times New Roman"/>
      <w:b/>
      <w:kern w:val="0"/>
      <w:sz w:val="28"/>
      <w:szCs w:val="20"/>
    </w:rPr>
  </w:style>
  <w:style w:type="paragraph" w:styleId="7">
    <w:name w:val="heading 3"/>
    <w:basedOn w:val="1"/>
    <w:next w:val="1"/>
    <w:link w:val="63"/>
    <w:unhideWhenUsed/>
    <w:qFormat/>
    <w:uiPriority w:val="99"/>
    <w:pPr>
      <w:keepNext/>
      <w:keepLines/>
      <w:spacing w:line="413" w:lineRule="auto"/>
      <w:outlineLvl w:val="2"/>
    </w:pPr>
    <w:rPr>
      <w:b/>
      <w:sz w:val="32"/>
    </w:rPr>
  </w:style>
  <w:style w:type="paragraph" w:styleId="8">
    <w:name w:val="heading 4"/>
    <w:basedOn w:val="1"/>
    <w:next w:val="1"/>
    <w:link w:val="5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customStyle="1" w:styleId="3">
    <w:name w:val="style4"/>
    <w:basedOn w:val="1"/>
    <w:next w:val="4"/>
    <w:qFormat/>
    <w:uiPriority w:val="0"/>
    <w:pPr>
      <w:widowControl/>
      <w:spacing w:before="280" w:after="280"/>
    </w:pPr>
    <w:rPr>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Indent"/>
    <w:basedOn w:val="1"/>
    <w:qFormat/>
    <w:uiPriority w:val="0"/>
    <w:pPr>
      <w:spacing w:after="120"/>
      <w:ind w:left="420" w:leftChars="200"/>
    </w:pPr>
  </w:style>
  <w:style w:type="paragraph" w:styleId="12">
    <w:name w:val="Plain Text"/>
    <w:basedOn w:val="1"/>
    <w:link w:val="34"/>
    <w:qFormat/>
    <w:uiPriority w:val="0"/>
    <w:rPr>
      <w:rFonts w:eastAsia="宋体"/>
      <w:sz w:val="24"/>
    </w:rPr>
  </w:style>
  <w:style w:type="paragraph" w:styleId="13">
    <w:name w:val="toc 8"/>
    <w:basedOn w:val="1"/>
    <w:next w:val="1"/>
    <w:qFormat/>
    <w:uiPriority w:val="39"/>
    <w:pPr>
      <w:ind w:left="2940" w:leftChars="1400"/>
    </w:pPr>
    <w:rPr>
      <w:rFonts w:ascii="Calibri" w:hAnsi="Calibri" w:eastAsia="宋体" w:cs="Times New Roman"/>
      <w:szCs w:val="24"/>
    </w:rPr>
  </w:style>
  <w:style w:type="paragraph" w:styleId="14">
    <w:name w:val="Date"/>
    <w:basedOn w:val="1"/>
    <w:next w:val="1"/>
    <w:link w:val="37"/>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toc 2"/>
    <w:basedOn w:val="1"/>
    <w:next w:val="1"/>
    <w:semiHidden/>
    <w:unhideWhenUsed/>
    <w:qFormat/>
    <w:uiPriority w:val="39"/>
    <w:pPr>
      <w:ind w:left="420" w:leftChars="200"/>
    </w:pPr>
  </w:style>
  <w:style w:type="paragraph" w:styleId="20">
    <w:name w:val="Message Header"/>
    <w:basedOn w:val="1"/>
    <w:link w:val="46"/>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2"/>
    <w:next w:val="23"/>
    <w:unhideWhenUsed/>
    <w:qFormat/>
    <w:uiPriority w:val="99"/>
    <w:pPr>
      <w:ind w:firstLine="420" w:firstLineChars="100"/>
    </w:pPr>
  </w:style>
  <w:style w:type="paragraph" w:styleId="23">
    <w:name w:val="Body Text First Indent 2"/>
    <w:basedOn w:val="11"/>
    <w:next w:val="1"/>
    <w:qFormat/>
    <w:uiPriority w:val="0"/>
    <w:pPr>
      <w:ind w:firstLine="420" w:firstLineChars="200"/>
    </w:pPr>
  </w:style>
  <w:style w:type="table" w:styleId="25">
    <w:name w:val="Table Grid"/>
    <w:basedOn w:val="24"/>
    <w:qFormat/>
    <w:uiPriority w:val="39"/>
    <w:rPr>
      <w:rFonts w:ascii="Calibri" w:hAnsi="Calibri" w:eastAsia="微软雅黑"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FollowedHyperlink"/>
    <w:basedOn w:val="26"/>
    <w:unhideWhenUsed/>
    <w:qFormat/>
    <w:uiPriority w:val="99"/>
    <w:rPr>
      <w:color w:val="000000"/>
      <w:u w:val="none"/>
    </w:rPr>
  </w:style>
  <w:style w:type="character" w:styleId="29">
    <w:name w:val="Emphasis"/>
    <w:basedOn w:val="26"/>
    <w:qFormat/>
    <w:uiPriority w:val="20"/>
  </w:style>
  <w:style w:type="character" w:styleId="30">
    <w:name w:val="Hyperlink"/>
    <w:basedOn w:val="26"/>
    <w:unhideWhenUsed/>
    <w:qFormat/>
    <w:uiPriority w:val="99"/>
    <w:rPr>
      <w:color w:val="000000"/>
      <w:u w:val="none"/>
    </w:rPr>
  </w:style>
  <w:style w:type="character" w:customStyle="1" w:styleId="31">
    <w:name w:val="页眉 字符"/>
    <w:basedOn w:val="26"/>
    <w:link w:val="17"/>
    <w:semiHidden/>
    <w:qFormat/>
    <w:uiPriority w:val="99"/>
    <w:rPr>
      <w:sz w:val="18"/>
      <w:szCs w:val="18"/>
    </w:rPr>
  </w:style>
  <w:style w:type="character" w:customStyle="1" w:styleId="32">
    <w:name w:val="页脚 字符"/>
    <w:basedOn w:val="26"/>
    <w:link w:val="16"/>
    <w:qFormat/>
    <w:uiPriority w:val="99"/>
    <w:rPr>
      <w:sz w:val="18"/>
      <w:szCs w:val="18"/>
    </w:rPr>
  </w:style>
  <w:style w:type="character" w:customStyle="1" w:styleId="33">
    <w:name w:val="纯文本 Char1"/>
    <w:qFormat/>
    <w:uiPriority w:val="0"/>
    <w:rPr>
      <w:rFonts w:eastAsia="宋体"/>
      <w:sz w:val="24"/>
    </w:rPr>
  </w:style>
  <w:style w:type="character" w:customStyle="1" w:styleId="34">
    <w:name w:val="纯文本 字符"/>
    <w:basedOn w:val="26"/>
    <w:link w:val="12"/>
    <w:qFormat/>
    <w:uiPriority w:val="0"/>
    <w:rPr>
      <w:rFonts w:ascii="宋体" w:hAnsi="Courier New" w:eastAsia="宋体" w:cs="Courier New"/>
      <w:szCs w:val="21"/>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0"/>
    <w:pPr>
      <w:ind w:firstLine="420" w:firstLineChars="200"/>
    </w:pPr>
  </w:style>
  <w:style w:type="character" w:customStyle="1" w:styleId="37">
    <w:name w:val="日期 字符"/>
    <w:basedOn w:val="26"/>
    <w:link w:val="14"/>
    <w:semiHidden/>
    <w:qFormat/>
    <w:uiPriority w:val="99"/>
  </w:style>
  <w:style w:type="paragraph" w:styleId="38">
    <w:name w:val="List Paragraph"/>
    <w:basedOn w:val="1"/>
    <w:unhideWhenUsed/>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rFonts w:ascii="Times New Roman" w:hAnsi="Times New Roman" w:eastAsia="宋体" w:cs="Times New Roman"/>
      <w:kern w:val="0"/>
      <w:sz w:val="24"/>
      <w:szCs w:val="20"/>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4">
    <w:name w:val="标题 2 字符"/>
    <w:basedOn w:val="26"/>
    <w:link w:val="6"/>
    <w:qFormat/>
    <w:uiPriority w:val="99"/>
    <w:rPr>
      <w:rFonts w:ascii="Arial" w:hAnsi="Arial" w:eastAsia="微软雅黑" w:cs="Times New Roman"/>
      <w:b/>
      <w:kern w:val="0"/>
      <w:sz w:val="28"/>
      <w:szCs w:val="20"/>
    </w:rPr>
  </w:style>
  <w:style w:type="character" w:customStyle="1" w:styleId="45">
    <w:name w:val="apple-converted-space"/>
    <w:basedOn w:val="26"/>
    <w:qFormat/>
    <w:uiPriority w:val="0"/>
  </w:style>
  <w:style w:type="character" w:customStyle="1" w:styleId="46">
    <w:name w:val="信息标题 字符"/>
    <w:basedOn w:val="26"/>
    <w:link w:val="20"/>
    <w:qFormat/>
    <w:uiPriority w:val="99"/>
    <w:rPr>
      <w:rFonts w:ascii="Arial" w:hAnsi="Arial" w:cs="Arial" w:eastAsiaTheme="minorEastAsia"/>
      <w:kern w:val="2"/>
      <w:sz w:val="24"/>
      <w:szCs w:val="24"/>
      <w:shd w:val="clear" w:color="auto" w:fill="7F7F7F"/>
    </w:rPr>
  </w:style>
  <w:style w:type="character" w:customStyle="1" w:styleId="47">
    <w:name w:val="hover25"/>
    <w:basedOn w:val="26"/>
    <w:qFormat/>
    <w:uiPriority w:val="0"/>
  </w:style>
  <w:style w:type="character" w:customStyle="1" w:styleId="48">
    <w:name w:val="red"/>
    <w:basedOn w:val="26"/>
    <w:qFormat/>
    <w:uiPriority w:val="0"/>
    <w:rPr>
      <w:color w:val="FF0000"/>
      <w:sz w:val="18"/>
      <w:szCs w:val="18"/>
    </w:rPr>
  </w:style>
  <w:style w:type="character" w:customStyle="1" w:styleId="49">
    <w:name w:val="red1"/>
    <w:basedOn w:val="26"/>
    <w:qFormat/>
    <w:uiPriority w:val="0"/>
    <w:rPr>
      <w:color w:val="FF0000"/>
      <w:sz w:val="18"/>
      <w:szCs w:val="18"/>
    </w:rPr>
  </w:style>
  <w:style w:type="character" w:customStyle="1" w:styleId="50">
    <w:name w:val="red2"/>
    <w:basedOn w:val="26"/>
    <w:qFormat/>
    <w:uiPriority w:val="0"/>
    <w:rPr>
      <w:color w:val="FF0000"/>
    </w:rPr>
  </w:style>
  <w:style w:type="character" w:customStyle="1" w:styleId="51">
    <w:name w:val="blue"/>
    <w:basedOn w:val="26"/>
    <w:qFormat/>
    <w:uiPriority w:val="0"/>
    <w:rPr>
      <w:color w:val="0371C6"/>
      <w:sz w:val="21"/>
      <w:szCs w:val="21"/>
    </w:rPr>
  </w:style>
  <w:style w:type="character" w:customStyle="1" w:styleId="52">
    <w:name w:val="green"/>
    <w:basedOn w:val="26"/>
    <w:qFormat/>
    <w:uiPriority w:val="0"/>
    <w:rPr>
      <w:color w:val="66AE00"/>
      <w:sz w:val="18"/>
      <w:szCs w:val="18"/>
    </w:rPr>
  </w:style>
  <w:style w:type="character" w:customStyle="1" w:styleId="53">
    <w:name w:val="green1"/>
    <w:basedOn w:val="26"/>
    <w:qFormat/>
    <w:uiPriority w:val="0"/>
    <w:rPr>
      <w:color w:val="66AE00"/>
      <w:sz w:val="18"/>
      <w:szCs w:val="18"/>
    </w:rPr>
  </w:style>
  <w:style w:type="character" w:customStyle="1" w:styleId="54">
    <w:name w:val="right"/>
    <w:basedOn w:val="26"/>
    <w:qFormat/>
    <w:uiPriority w:val="0"/>
    <w:rPr>
      <w:color w:val="999999"/>
      <w:sz w:val="18"/>
      <w:szCs w:val="18"/>
    </w:rPr>
  </w:style>
  <w:style w:type="character" w:customStyle="1" w:styleId="55">
    <w:name w:val="gb-jt"/>
    <w:basedOn w:val="26"/>
    <w:qFormat/>
    <w:uiPriority w:val="0"/>
  </w:style>
  <w:style w:type="character" w:customStyle="1" w:styleId="56">
    <w:name w:val="批注框文本 字符"/>
    <w:basedOn w:val="26"/>
    <w:link w:val="15"/>
    <w:semiHidden/>
    <w:qFormat/>
    <w:uiPriority w:val="99"/>
    <w:rPr>
      <w:rFonts w:asciiTheme="minorHAnsi" w:hAnsiTheme="minorHAnsi" w:eastAsiaTheme="minorEastAsia" w:cstheme="minorBidi"/>
      <w:kern w:val="2"/>
      <w:sz w:val="18"/>
      <w:szCs w:val="18"/>
    </w:rPr>
  </w:style>
  <w:style w:type="paragraph" w:customStyle="1" w:styleId="57">
    <w:name w:val="普通(网站)1"/>
    <w:basedOn w:val="1"/>
    <w:qFormat/>
    <w:uiPriority w:val="0"/>
    <w:rPr>
      <w:rFonts w:ascii="Calibri" w:hAnsi="Calibri" w:eastAsia="宋体" w:cs="Times New Roman"/>
      <w:sz w:val="24"/>
      <w:szCs w:val="24"/>
    </w:rPr>
  </w:style>
  <w:style w:type="character" w:customStyle="1" w:styleId="58">
    <w:name w:val="标题 4 字符"/>
    <w:basedOn w:val="26"/>
    <w:link w:val="8"/>
    <w:semiHidden/>
    <w:qFormat/>
    <w:uiPriority w:val="9"/>
    <w:rPr>
      <w:rFonts w:asciiTheme="majorHAnsi" w:hAnsiTheme="majorHAnsi" w:eastAsiaTheme="majorEastAsia" w:cstheme="majorBidi"/>
      <w:b/>
      <w:bCs/>
      <w:kern w:val="2"/>
      <w:sz w:val="28"/>
      <w:szCs w:val="28"/>
    </w:rPr>
  </w:style>
  <w:style w:type="paragraph" w:customStyle="1" w:styleId="59">
    <w:name w:val="首行缩进:  0.85 厘米"/>
    <w:basedOn w:val="1"/>
    <w:qFormat/>
    <w:uiPriority w:val="0"/>
    <w:pPr>
      <w:widowControl/>
      <w:spacing w:after="100" w:line="360" w:lineRule="auto"/>
      <w:ind w:firstLine="482"/>
      <w:jc w:val="left"/>
    </w:pPr>
    <w:rPr>
      <w:rFonts w:ascii="Times New Roman" w:hAnsi="Times New Roman" w:eastAsia="宋体" w:cs="宋体"/>
      <w:kern w:val="0"/>
      <w:sz w:val="24"/>
      <w:szCs w:val="20"/>
      <w:lang w:eastAsia="en-US" w:bidi="en-US"/>
    </w:rPr>
  </w:style>
  <w:style w:type="character" w:customStyle="1" w:styleId="60">
    <w:name w:val="red3"/>
    <w:basedOn w:val="26"/>
    <w:qFormat/>
    <w:uiPriority w:val="0"/>
    <w:rPr>
      <w:color w:val="FF0000"/>
    </w:rPr>
  </w:style>
  <w:style w:type="paragraph" w:customStyle="1" w:styleId="61">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sz w:val="18"/>
      <w:szCs w:val="24"/>
    </w:rPr>
  </w:style>
  <w:style w:type="character" w:customStyle="1" w:styleId="63">
    <w:name w:val="标题 3 字符"/>
    <w:basedOn w:val="26"/>
    <w:link w:val="7"/>
    <w:qFormat/>
    <w:uiPriority w:val="99"/>
    <w:rPr>
      <w:rFonts w:asciiTheme="minorHAnsi" w:hAnsiTheme="minorHAnsi" w:eastAsiaTheme="minorEastAsia" w:cstheme="minorBidi"/>
      <w:b/>
      <w:kern w:val="2"/>
      <w:sz w:val="32"/>
      <w:szCs w:val="22"/>
    </w:rPr>
  </w:style>
  <w:style w:type="character" w:customStyle="1" w:styleId="64">
    <w:name w:val="10"/>
    <w:basedOn w:val="26"/>
    <w:qFormat/>
    <w:uiPriority w:val="0"/>
    <w:rPr>
      <w:rFonts w:hint="default" w:ascii="Tahoma" w:hAnsi="Tahoma" w:cs="Tahoma"/>
    </w:rPr>
  </w:style>
  <w:style w:type="character" w:customStyle="1" w:styleId="65">
    <w:name w:val="15"/>
    <w:basedOn w:val="26"/>
    <w:qFormat/>
    <w:uiPriority w:val="0"/>
    <w:rPr>
      <w:rFonts w:hint="default" w:ascii="Tahoma" w:hAnsi="Tahoma" w:cs="Tahoma"/>
      <w:color w:val="0000FF"/>
      <w:u w:val="single"/>
    </w:rPr>
  </w:style>
  <w:style w:type="paragraph" w:customStyle="1" w:styleId="66">
    <w:name w:val="纯文本1"/>
    <w:basedOn w:val="1"/>
    <w:qFormat/>
    <w:uiPriority w:val="0"/>
    <w:rPr>
      <w:rFonts w:ascii="Calibri" w:hAnsi="Calibri" w:eastAsia="宋体" w:cs="黑体"/>
      <w:sz w:val="24"/>
    </w:rPr>
  </w:style>
  <w:style w:type="paragraph" w:customStyle="1" w:styleId="67">
    <w:name w:val="正文缩进5"/>
    <w:basedOn w:val="1"/>
    <w:qFormat/>
    <w:uiPriority w:val="0"/>
    <w:pPr>
      <w:spacing w:after="200" w:line="360" w:lineRule="auto"/>
      <w:ind w:firstLine="540" w:firstLineChars="225"/>
    </w:pPr>
    <w:rPr>
      <w:rFonts w:ascii="Times New Roman" w:hAnsi="Times New Roman" w:eastAsia="宋体" w:cs="Times New Roman"/>
      <w:sz w:val="24"/>
      <w:szCs w:val="24"/>
    </w:rPr>
  </w:style>
  <w:style w:type="character" w:customStyle="1" w:styleId="68">
    <w:name w:val="hover24"/>
    <w:basedOn w:val="26"/>
    <w:qFormat/>
    <w:uiPriority w:val="0"/>
  </w:style>
  <w:style w:type="character" w:customStyle="1" w:styleId="69">
    <w:name w:val="font11"/>
    <w:basedOn w:val="26"/>
    <w:qFormat/>
    <w:uiPriority w:val="0"/>
    <w:rPr>
      <w:rFonts w:hint="eastAsia" w:ascii="宋体" w:hAnsi="宋体" w:eastAsia="宋体" w:cs="宋体"/>
      <w:color w:val="000000"/>
      <w:sz w:val="24"/>
      <w:szCs w:val="24"/>
      <w:u w:val="none"/>
    </w:rPr>
  </w:style>
  <w:style w:type="character" w:customStyle="1" w:styleId="70">
    <w:name w:val="font01"/>
    <w:basedOn w:val="26"/>
    <w:qFormat/>
    <w:uiPriority w:val="0"/>
    <w:rPr>
      <w:rFonts w:hint="default" w:ascii="Times New Roman" w:hAnsi="Times New Roman" w:cs="Times New Roman"/>
      <w:color w:val="000000"/>
      <w:sz w:val="24"/>
      <w:szCs w:val="24"/>
      <w:u w:val="none"/>
    </w:rPr>
  </w:style>
  <w:style w:type="paragraph" w:customStyle="1" w:styleId="71">
    <w:name w:val="WPSOffice手动目录 1"/>
    <w:qFormat/>
    <w:uiPriority w:val="0"/>
    <w:pPr>
      <w:ind w:leftChars="0"/>
    </w:pPr>
    <w:rPr>
      <w:rFonts w:ascii="Calibri" w:hAnsi="Calibri" w:eastAsia="宋体" w:cs="Times New Roman"/>
      <w:sz w:val="20"/>
      <w:szCs w:val="20"/>
    </w:rPr>
  </w:style>
  <w:style w:type="paragraph" w:customStyle="1" w:styleId="7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217C5-3FCF-42E8-845D-758B64EE8CF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5135</Words>
  <Characters>29273</Characters>
  <Lines>243</Lines>
  <Paragraphs>68</Paragraphs>
  <TotalTime>14</TotalTime>
  <ScaleCrop>false</ScaleCrop>
  <LinksUpToDate>false</LinksUpToDate>
  <CharactersWithSpaces>34340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2019-11-21T05:59:00Z</dcterms:created>
  <dc:creator>许昌市公共资源交易中心:孟莉</dc:creator>
  <cp:lastModifiedBy>李雅洁</cp:lastModifiedBy>
  <cp:lastPrinted>2020-10-10T08:44:00Z</cp:lastPrinted>
  <dcterms:modified xsi:type="dcterms:W3CDTF">2020-10-15T03:24:42Z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