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1325" w:firstLineChars="300"/>
        <w:rPr>
          <w:rFonts w:ascii="宋体" w:hAnsi="宋体" w:eastAsia="宋体" w:cs="宋体"/>
          <w:b/>
          <w:bCs/>
          <w:sz w:val="44"/>
          <w:szCs w:val="44"/>
        </w:rPr>
      </w:pPr>
    </w:p>
    <w:p>
      <w:pPr>
        <w:jc w:val="center"/>
        <w:rPr>
          <w:rFonts w:ascii="宋体" w:hAnsi="宋体" w:eastAsia="宋体"/>
          <w:b/>
          <w:sz w:val="52"/>
          <w:szCs w:val="52"/>
          <w:u w:val="single"/>
        </w:rPr>
      </w:pPr>
      <w:r>
        <w:rPr>
          <w:rFonts w:hint="eastAsia" w:ascii="宋体" w:hAnsi="宋体" w:eastAsia="宋体" w:cs="仿宋"/>
          <w:b/>
          <w:sz w:val="52"/>
          <w:szCs w:val="52"/>
        </w:rPr>
        <w:t>襄城县教育体育局采购户外健身器材项目（不见面开标）</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eastAsia="宋体"/>
          <w:sz w:val="110"/>
          <w:szCs w:val="110"/>
        </w:rPr>
      </w:pPr>
      <w:r>
        <w:rPr>
          <w:rFonts w:hint="eastAsia" w:ascii="宋体" w:hAnsi="宋体" w:eastAsia="宋体"/>
          <w:sz w:val="110"/>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hAnsi="宋体" w:eastAsia="宋体" w:cs="宋体"/>
          <w:bCs/>
          <w:sz w:val="36"/>
          <w:szCs w:val="36"/>
        </w:rPr>
      </w:pPr>
      <w:r>
        <w:rPr>
          <w:rFonts w:hint="eastAsia" w:ascii="宋体" w:hAnsi="宋体" w:eastAsia="宋体" w:cs="宋体"/>
          <w:b/>
          <w:bCs/>
          <w:sz w:val="36"/>
          <w:szCs w:val="36"/>
        </w:rPr>
        <w:t xml:space="preserve">      </w:t>
      </w:r>
      <w:r>
        <w:rPr>
          <w:rFonts w:hint="eastAsia" w:ascii="宋体" w:hAnsi="宋体" w:eastAsia="宋体" w:cs="宋体"/>
          <w:bCs/>
          <w:sz w:val="36"/>
          <w:szCs w:val="36"/>
        </w:rPr>
        <w:t>项目编号：</w:t>
      </w:r>
      <w:r>
        <w:rPr>
          <w:rFonts w:hint="eastAsia" w:ascii="宋体" w:hAnsi="宋体" w:eastAsia="宋体" w:cs="仿宋"/>
          <w:sz w:val="36"/>
          <w:szCs w:val="36"/>
        </w:rPr>
        <w:t>襄财询价采购-2020-28</w:t>
      </w:r>
    </w:p>
    <w:p>
      <w:pPr>
        <w:ind w:firstLine="1080" w:firstLineChars="300"/>
        <w:rPr>
          <w:rFonts w:ascii="宋体" w:hAnsi="宋体" w:eastAsia="宋体" w:cs="宋体"/>
          <w:bCs/>
          <w:sz w:val="36"/>
          <w:szCs w:val="36"/>
        </w:rPr>
      </w:pPr>
      <w:r>
        <w:rPr>
          <w:rFonts w:hint="eastAsia" w:ascii="宋体" w:hAnsi="宋体" w:eastAsia="宋体" w:cs="宋体"/>
          <w:bCs/>
          <w:sz w:val="36"/>
          <w:szCs w:val="36"/>
        </w:rPr>
        <w:t>采购单位：</w:t>
      </w:r>
      <w:r>
        <w:rPr>
          <w:rFonts w:hint="eastAsia" w:ascii="宋体" w:hAnsi="宋体" w:cs="仿宋"/>
          <w:sz w:val="36"/>
          <w:szCs w:val="36"/>
          <w:shd w:val="clear" w:color="auto" w:fill="FFFFFF"/>
        </w:rPr>
        <w:t>襄城县教育体育局</w:t>
      </w:r>
    </w:p>
    <w:p>
      <w:pPr>
        <w:ind w:firstLine="1080" w:firstLineChars="300"/>
        <w:rPr>
          <w:rFonts w:ascii="宋体" w:hAnsi="宋体" w:eastAsia="宋体" w:cs="宋体"/>
          <w:bCs/>
          <w:sz w:val="36"/>
          <w:szCs w:val="36"/>
        </w:rPr>
      </w:pPr>
      <w:r>
        <w:rPr>
          <w:rFonts w:hint="eastAsia" w:ascii="宋体" w:hAnsi="宋体" w:eastAsia="宋体" w:cs="宋体"/>
          <w:bCs/>
          <w:sz w:val="36"/>
          <w:szCs w:val="36"/>
        </w:rPr>
        <w:t>代理机构：襄城县政府采购中心</w:t>
      </w:r>
    </w:p>
    <w:p>
      <w:pPr>
        <w:rPr>
          <w:rFonts w:ascii="宋体" w:hAnsi="宋体" w:eastAsia="宋体" w:cs="宋体"/>
          <w:b/>
          <w:bCs/>
          <w:sz w:val="36"/>
          <w:szCs w:val="36"/>
        </w:rPr>
      </w:pPr>
    </w:p>
    <w:p>
      <w:pPr>
        <w:rPr>
          <w:rFonts w:ascii="宋体" w:hAnsi="宋体" w:eastAsia="宋体" w:cs="宋体"/>
          <w:b/>
          <w:bCs/>
          <w:sz w:val="36"/>
          <w:szCs w:val="36"/>
        </w:rPr>
      </w:pPr>
    </w:p>
    <w:p>
      <w:pPr>
        <w:ind w:firstLine="2520" w:firstLineChars="700"/>
        <w:rPr>
          <w:rFonts w:ascii="宋体" w:hAnsi="宋体" w:eastAsia="宋体" w:cs="宋体"/>
          <w:bCs/>
          <w:sz w:val="36"/>
          <w:szCs w:val="36"/>
        </w:rPr>
      </w:pPr>
      <w:r>
        <w:rPr>
          <w:rFonts w:hint="eastAsia" w:ascii="宋体" w:hAnsi="宋体" w:eastAsia="宋体" w:cs="宋体"/>
          <w:bCs/>
          <w:sz w:val="36"/>
          <w:szCs w:val="36"/>
        </w:rPr>
        <w:t>二0二0年七月十日</w:t>
      </w:r>
    </w:p>
    <w:p>
      <w:pPr>
        <w:widowControl/>
        <w:jc w:val="center"/>
        <w:rPr>
          <w:rFonts w:ascii="宋体" w:hAnsi="宋体" w:cs="黑体"/>
          <w:b/>
          <w:bCs/>
          <w:sz w:val="44"/>
          <w:szCs w:val="44"/>
          <w:lang w:val="zh-CN"/>
        </w:rPr>
      </w:pPr>
      <w:r>
        <w:rPr>
          <w:rFonts w:ascii="宋体" w:hAnsi="宋体" w:cs="黑体"/>
          <w:b/>
          <w:bCs/>
          <w:sz w:val="44"/>
          <w:szCs w:val="44"/>
          <w:lang w:val="zh-CN"/>
        </w:rPr>
        <w:br w:type="page"/>
      </w: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采购邀请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autoSpaceDE w:val="0"/>
        <w:autoSpaceDN w:val="0"/>
        <w:adjustRightInd w:val="0"/>
        <w:spacing w:line="700" w:lineRule="exact"/>
        <w:ind w:firstLine="551"/>
        <w:rPr>
          <w:rFonts w:ascii="宋体" w:hAnsi="宋体" w:eastAsia="宋体" w:cs="宋体"/>
          <w:b/>
          <w:kern w:val="0"/>
          <w:sz w:val="32"/>
          <w:szCs w:val="32"/>
        </w:rPr>
      </w:pPr>
    </w:p>
    <w:p>
      <w:pPr>
        <w:widowControl/>
        <w:jc w:val="left"/>
        <w:rPr>
          <w:rFonts w:ascii="宋体" w:hAnsi="宋体" w:eastAsia="宋体" w:cs="宋体"/>
          <w:b/>
          <w:sz w:val="36"/>
          <w:szCs w:val="36"/>
          <w:shd w:val="clear" w:color="auto" w:fill="FFFFFF"/>
        </w:rPr>
      </w:pPr>
    </w:p>
    <w:p>
      <w:pPr>
        <w:jc w:val="center"/>
        <w:rPr>
          <w:rFonts w:ascii="宋体" w:hAnsi="宋体" w:eastAsia="宋体" w:cs="宋体"/>
          <w:b/>
          <w:kern w:val="0"/>
          <w:sz w:val="32"/>
          <w:szCs w:val="32"/>
        </w:rPr>
      </w:pPr>
      <w:r>
        <w:rPr>
          <w:rFonts w:hint="eastAsia" w:ascii="宋体" w:hAnsi="宋体" w:eastAsia="宋体" w:cs="宋体"/>
          <w:b/>
          <w:kern w:val="0"/>
          <w:sz w:val="32"/>
          <w:szCs w:val="32"/>
        </w:rPr>
        <w:t>第一章 采购邀请</w:t>
      </w:r>
    </w:p>
    <w:p>
      <w:pPr>
        <w:pStyle w:val="23"/>
        <w:widowControl/>
        <w:shd w:val="clear" w:color="auto" w:fill="FFFFFF"/>
        <w:spacing w:line="360" w:lineRule="auto"/>
        <w:contextualSpacing/>
        <w:jc w:val="left"/>
        <w:rPr>
          <w:rFonts w:ascii="宋体" w:hAnsi="宋体" w:eastAsia="宋体" w:cs="仿宋_GB2312"/>
          <w:sz w:val="21"/>
          <w:szCs w:val="21"/>
          <w:shd w:val="clear" w:color="auto" w:fill="FFFFFF"/>
        </w:rPr>
      </w:pPr>
    </w:p>
    <w:p>
      <w:pPr>
        <w:spacing w:line="360" w:lineRule="auto"/>
        <w:jc w:val="left"/>
        <w:rPr>
          <w:rFonts w:ascii="宋体" w:hAnsi="宋体" w:cs="仿宋"/>
          <w:sz w:val="24"/>
          <w:szCs w:val="24"/>
        </w:rPr>
      </w:pPr>
      <w:r>
        <w:rPr>
          <w:rFonts w:hint="eastAsia" w:ascii="宋体" w:hAnsi="宋体" w:cs="仿宋"/>
          <w:sz w:val="24"/>
          <w:szCs w:val="24"/>
        </w:rPr>
        <w:t>　　襄城县政府采购中心受襄城县教育体育局的委托，对“襄城县教育体育局采购户外健身器材项目（不见面开标）”进行询价采购，欢迎符合条件的供应商参加。</w:t>
      </w:r>
    </w:p>
    <w:p>
      <w:pPr>
        <w:pStyle w:val="23"/>
        <w:widowControl/>
        <w:shd w:val="clear" w:color="auto" w:fill="FFFFFF"/>
        <w:spacing w:line="360" w:lineRule="auto"/>
        <w:contextualSpacing/>
        <w:jc w:val="left"/>
        <w:rPr>
          <w:rFonts w:ascii="宋体" w:hAnsi="宋体" w:eastAsia="宋体" w:cs="黑体"/>
          <w:b/>
          <w:bCs/>
        </w:rPr>
      </w:pPr>
      <w:r>
        <w:rPr>
          <w:rFonts w:hint="eastAsia" w:ascii="宋体" w:hAnsi="宋体" w:eastAsia="宋体" w:cs="黑体"/>
          <w:b/>
          <w:bCs/>
          <w:shd w:val="clear" w:color="auto" w:fill="FFFFFF"/>
        </w:rPr>
        <w:t>　　一、项目基本情况</w:t>
      </w:r>
    </w:p>
    <w:p>
      <w:pPr>
        <w:pStyle w:val="23"/>
        <w:widowControl/>
        <w:shd w:val="clear" w:color="auto" w:fill="FFFFFF"/>
        <w:spacing w:line="360" w:lineRule="auto"/>
        <w:ind w:firstLine="420"/>
        <w:contextualSpacing/>
        <w:jc w:val="left"/>
        <w:rPr>
          <w:rFonts w:ascii="宋体" w:hAnsi="宋体" w:eastAsia="宋体" w:cs="仿宋"/>
        </w:rPr>
      </w:pPr>
      <w:r>
        <w:rPr>
          <w:rFonts w:hint="eastAsia" w:ascii="宋体" w:hAnsi="宋体" w:eastAsia="宋体" w:cs="仿宋_GB2312"/>
          <w:shd w:val="clear" w:color="auto" w:fill="FFFFFF"/>
        </w:rPr>
        <w:t>（一）项目名称：</w:t>
      </w:r>
      <w:r>
        <w:rPr>
          <w:rFonts w:hint="eastAsia" w:ascii="宋体" w:hAnsi="宋体" w:eastAsia="宋体" w:cs="仿宋"/>
        </w:rPr>
        <w:t>襄城县教育体育局采购户外健身器材项目（不见面开标）</w:t>
      </w:r>
    </w:p>
    <w:p>
      <w:pPr>
        <w:pStyle w:val="2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（二）项目编号：</w:t>
      </w:r>
      <w:r>
        <w:rPr>
          <w:rFonts w:hint="eastAsia" w:ascii="宋体" w:hAnsi="宋体" w:cs="仿宋"/>
        </w:rPr>
        <w:t>襄财询价采购-2020-28</w:t>
      </w:r>
      <w:r>
        <w:rPr>
          <w:rFonts w:hint="eastAsia" w:ascii="宋体" w:hAnsi="宋体" w:cs="仿宋_GB2312"/>
          <w:shd w:val="clear" w:color="auto" w:fill="FFFFFF"/>
        </w:rPr>
        <w:t xml:space="preserve">  </w:t>
      </w:r>
    </w:p>
    <w:p>
      <w:pPr>
        <w:pStyle w:val="2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 xml:space="preserve">（三）采购方式：询价                                                                                                                         </w:t>
      </w:r>
    </w:p>
    <w:p>
      <w:pPr>
        <w:pStyle w:val="2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（四）项目主要内容、数量及简要规格描述或项目基本概况介绍：</w:t>
      </w:r>
      <w:r>
        <w:rPr>
          <w:rFonts w:hint="eastAsia" w:ascii="宋体" w:hAnsi="宋体" w:cs="仿宋"/>
        </w:rPr>
        <w:t>襄城县教育体育局采购户外健身器材(二位漫步机10套、腰背按摩器10套、骑马机10套等健身器材)</w:t>
      </w:r>
      <w:r>
        <w:rPr>
          <w:rFonts w:hint="eastAsia" w:ascii="宋体" w:hAnsi="宋体" w:cs="宋体"/>
          <w:kern w:val="0"/>
        </w:rPr>
        <w:t>。</w:t>
      </w:r>
      <w:r>
        <w:rPr>
          <w:rFonts w:ascii="宋体" w:hAnsi="宋体" w:cs="仿宋_GB2312"/>
          <w:shd w:val="clear" w:color="auto" w:fill="FFFFFF"/>
        </w:rPr>
        <w:t xml:space="preserve"> </w:t>
      </w:r>
    </w:p>
    <w:p>
      <w:pPr>
        <w:pStyle w:val="2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（五）预算金额（最高限价）：</w:t>
      </w:r>
      <w:r>
        <w:rPr>
          <w:rFonts w:ascii="宋体" w:hAnsi="宋体" w:cs="仿宋_GB2312"/>
          <w:shd w:val="clear" w:color="auto" w:fill="FFFFFF"/>
        </w:rPr>
        <w:t>1161800.00</w:t>
      </w:r>
      <w:r>
        <w:rPr>
          <w:rFonts w:hint="eastAsia" w:ascii="宋体" w:hAnsi="宋体" w:cs="仿宋_GB2312"/>
          <w:shd w:val="clear" w:color="auto" w:fill="FFFFFF"/>
        </w:rPr>
        <w:t>元。</w:t>
      </w:r>
    </w:p>
    <w:p>
      <w:pPr>
        <w:pStyle w:val="2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（六）交付（服务、完工）时间 ：</w:t>
      </w:r>
      <w:r>
        <w:rPr>
          <w:rFonts w:hint="eastAsia" w:ascii="宋体" w:hAnsi="宋体" w:eastAsia="宋体"/>
        </w:rPr>
        <w:t>合同签订后15日历天。</w:t>
      </w:r>
    </w:p>
    <w:p>
      <w:pPr>
        <w:pStyle w:val="23"/>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（七）交付（服务、完工）地点：襄城县</w:t>
      </w:r>
    </w:p>
    <w:p>
      <w:pPr>
        <w:pStyle w:val="23"/>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（八）进口产品：不允许。</w:t>
      </w:r>
    </w:p>
    <w:p>
      <w:pPr>
        <w:pStyle w:val="23"/>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（九）分包：不允许。</w:t>
      </w:r>
    </w:p>
    <w:p>
      <w:pPr>
        <w:pStyle w:val="23"/>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二、需要落实的政府采购政策</w:t>
      </w:r>
    </w:p>
    <w:p>
      <w:pPr>
        <w:pStyle w:val="23"/>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本项目落实</w:t>
      </w:r>
      <w:r>
        <w:rPr>
          <w:rFonts w:hint="eastAsia" w:ascii="宋体" w:hAnsi="宋体" w:cs="宋体"/>
          <w:color w:val="000000"/>
          <w:kern w:val="0"/>
          <w:shd w:val="clear" w:color="040000" w:fill="FFFFFF"/>
        </w:rPr>
        <w:t>节能环保、</w:t>
      </w:r>
      <w:r>
        <w:rPr>
          <w:rFonts w:hint="eastAsia" w:ascii="宋体" w:hAnsi="宋体" w:eastAsia="宋体" w:cs="仿宋_GB2312"/>
          <w:shd w:val="clear" w:color="auto" w:fill="FFFFFF"/>
        </w:rPr>
        <w:t>中小微型企业、监狱企业、残疾人福利性单位扶持等相关政府采购政策。</w:t>
      </w:r>
    </w:p>
    <w:p>
      <w:pPr>
        <w:pStyle w:val="23"/>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三、供应商资格条件</w:t>
      </w:r>
    </w:p>
    <w:p>
      <w:pPr>
        <w:pStyle w:val="23"/>
        <w:widowControl/>
        <w:shd w:val="clear" w:color="auto" w:fill="FFFFFF"/>
        <w:spacing w:line="360" w:lineRule="auto"/>
        <w:ind w:firstLine="420"/>
        <w:contextualSpacing/>
        <w:jc w:val="left"/>
        <w:rPr>
          <w:rFonts w:ascii="宋体" w:hAnsi="宋体" w:cs="宋体"/>
          <w:kern w:val="0"/>
        </w:rPr>
      </w:pPr>
      <w:r>
        <w:rPr>
          <w:rFonts w:hint="eastAsia" w:ascii="宋体" w:hAnsi="宋体" w:cs="仿宋_GB2312"/>
          <w:shd w:val="clear" w:color="auto" w:fill="FFFFFF"/>
        </w:rPr>
        <w:t>（一）</w:t>
      </w:r>
      <w:r>
        <w:rPr>
          <w:rFonts w:hint="eastAsia" w:ascii="宋体" w:hAnsi="宋体" w:cs="宋体"/>
          <w:kern w:val="0"/>
        </w:rPr>
        <w:t>具备《政府采购法》第二十二条之规定。</w:t>
      </w:r>
    </w:p>
    <w:p>
      <w:pPr>
        <w:pStyle w:val="23"/>
        <w:widowControl/>
        <w:shd w:val="clear" w:color="auto" w:fill="FFFFFF"/>
        <w:spacing w:line="360" w:lineRule="auto"/>
        <w:ind w:firstLine="420"/>
        <w:contextualSpacing/>
        <w:jc w:val="left"/>
        <w:rPr>
          <w:rFonts w:ascii="宋体" w:hAnsi="宋体" w:eastAsia="宋体" w:cs="宋体"/>
        </w:rPr>
      </w:pPr>
      <w:r>
        <w:rPr>
          <w:rFonts w:hint="eastAsia" w:ascii="宋体" w:hAnsi="宋体" w:cs="宋体"/>
          <w:kern w:val="0"/>
        </w:rPr>
        <w:t>（二）</w:t>
      </w:r>
      <w:r>
        <w:rPr>
          <w:rFonts w:hint="eastAsia" w:ascii="宋体" w:hAnsi="宋体" w:eastAsia="宋体" w:cs="宋体"/>
        </w:rPr>
        <w:t>投标人具有相关经营范围的供应商或生产制造商。</w:t>
      </w:r>
    </w:p>
    <w:p>
      <w:pPr>
        <w:pStyle w:val="2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（三）</w:t>
      </w:r>
      <w:r>
        <w:rPr>
          <w:rFonts w:ascii="宋体" w:hAnsi="宋体" w:cs="仿宋_GB2312"/>
          <w:color w:val="000000"/>
          <w:shd w:val="clear" w:color="auto" w:fill="FFFFFF"/>
        </w:rPr>
        <w:t>未被列入“信用中国”网站(www.creditchina.gov.cn)失信被执行人、重大税收违法案件当事人名单、</w:t>
      </w:r>
      <w:r>
        <w:rPr>
          <w:rFonts w:hint="eastAsia" w:ascii="宋体" w:hAnsi="宋体" w:cs="仿宋_GB2312"/>
          <w:color w:val="000000"/>
          <w:shd w:val="clear" w:color="auto" w:fill="FFFFFF"/>
        </w:rPr>
        <w:t>企业经营异常名录</w:t>
      </w:r>
      <w:r>
        <w:rPr>
          <w:rFonts w:ascii="宋体" w:hAnsi="宋体" w:cs="仿宋_GB2312"/>
          <w:color w:val="000000"/>
          <w:shd w:val="clear" w:color="auto" w:fill="FFFFFF"/>
        </w:rPr>
        <w:t>的</w:t>
      </w:r>
      <w:r>
        <w:rPr>
          <w:rFonts w:hint="eastAsia" w:ascii="宋体" w:hAnsi="宋体" w:cs="仿宋_GB2312"/>
          <w:color w:val="000000"/>
          <w:shd w:val="clear" w:color="auto" w:fill="FFFFFF"/>
        </w:rPr>
        <w:t>供应商</w:t>
      </w:r>
      <w:r>
        <w:rPr>
          <w:rFonts w:ascii="宋体" w:hAnsi="宋体" w:cs="仿宋_GB2312"/>
          <w:color w:val="000000"/>
          <w:shd w:val="clear" w:color="auto" w:fill="FFFFFF"/>
        </w:rPr>
        <w:t>；</w:t>
      </w:r>
      <w:r>
        <w:rPr>
          <w:rFonts w:hint="eastAsia" w:ascii="宋体" w:hAnsi="宋体" w:cs="仿宋_GB2312"/>
          <w:color w:val="000000"/>
          <w:shd w:val="clear" w:color="auto" w:fill="FFFFFF"/>
        </w:rPr>
        <w:t>“</w:t>
      </w:r>
      <w:r>
        <w:rPr>
          <w:rFonts w:ascii="宋体" w:hAnsi="宋体" w:cs="仿宋_GB2312"/>
          <w:color w:val="000000"/>
          <w:shd w:val="clear" w:color="auto" w:fill="FFFFFF"/>
        </w:rPr>
        <w:t>中国政府采购网</w:t>
      </w:r>
      <w:r>
        <w:rPr>
          <w:rFonts w:hint="eastAsia" w:ascii="宋体" w:hAnsi="宋体" w:cs="仿宋_GB2312"/>
          <w:color w:val="000000"/>
          <w:shd w:val="clear" w:color="auto" w:fill="FFFFFF"/>
        </w:rPr>
        <w:t>”</w:t>
      </w:r>
      <w:r>
        <w:rPr>
          <w:rFonts w:ascii="宋体" w:hAnsi="宋体" w:cs="仿宋_GB2312"/>
          <w:color w:val="000000"/>
          <w:shd w:val="clear" w:color="auto" w:fill="FFFFFF"/>
        </w:rPr>
        <w:t xml:space="preserve"> (www.ccgp.gov.cn)政府采购严重违法失信行为记录名单的</w:t>
      </w:r>
      <w:r>
        <w:rPr>
          <w:rFonts w:hint="eastAsia" w:ascii="宋体" w:hAnsi="宋体" w:cs="仿宋_GB2312"/>
          <w:color w:val="000000"/>
          <w:shd w:val="clear" w:color="auto" w:fill="FFFFFF"/>
        </w:rPr>
        <w:t>供应商；“中国社会组织公共服务平台”网站（</w:t>
      </w:r>
      <w:r>
        <w:rPr>
          <w:rFonts w:ascii="宋体" w:hAnsi="宋体" w:cs="仿宋_GB2312"/>
          <w:color w:val="000000"/>
          <w:shd w:val="clear" w:color="auto" w:fill="FFFFFF"/>
        </w:rPr>
        <w:t>www.chinanpo.gov.cn</w:t>
      </w:r>
      <w:r>
        <w:rPr>
          <w:rFonts w:hint="eastAsia" w:ascii="宋体" w:hAnsi="宋体" w:cs="仿宋_GB2312"/>
          <w:color w:val="000000"/>
          <w:shd w:val="clear" w:color="auto" w:fill="FFFFFF"/>
        </w:rPr>
        <w:t>）严重违法失信名单的社会组织；上述查询结果页面</w:t>
      </w:r>
      <w:r>
        <w:rPr>
          <w:rFonts w:ascii="宋体" w:hAnsi="宋体" w:cs="仿宋_GB2312"/>
          <w:color w:val="000000"/>
          <w:shd w:val="clear" w:color="auto" w:fill="FFFFFF"/>
        </w:rPr>
        <w:t>截图查询时间应在本公告发布</w:t>
      </w:r>
      <w:r>
        <w:rPr>
          <w:rFonts w:hint="eastAsia" w:ascii="宋体" w:hAnsi="宋体" w:cs="仿宋_GB2312"/>
          <w:color w:val="000000"/>
          <w:shd w:val="clear" w:color="auto" w:fill="FFFFFF"/>
        </w:rPr>
        <w:t>之</w:t>
      </w:r>
      <w:r>
        <w:rPr>
          <w:rFonts w:ascii="宋体" w:hAnsi="宋体" w:cs="仿宋_GB2312"/>
          <w:color w:val="000000"/>
          <w:shd w:val="clear" w:color="auto" w:fill="FFFFFF"/>
        </w:rPr>
        <w:t>日起至开</w:t>
      </w:r>
      <w:r>
        <w:rPr>
          <w:rFonts w:hint="eastAsia" w:ascii="宋体" w:hAnsi="宋体" w:cs="仿宋_GB2312"/>
          <w:color w:val="000000"/>
          <w:shd w:val="clear" w:color="auto" w:fill="FFFFFF"/>
        </w:rPr>
        <w:t>标前。</w:t>
      </w:r>
    </w:p>
    <w:p>
      <w:pPr>
        <w:pStyle w:val="23"/>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cs="仿宋_GB2312"/>
          <w:color w:val="000000"/>
          <w:shd w:val="clear" w:color="auto" w:fill="FFFFFF"/>
        </w:rPr>
        <w:t>（四）</w:t>
      </w:r>
      <w:r>
        <w:rPr>
          <w:rFonts w:hint="eastAsia" w:ascii="宋体" w:hAnsi="宋体" w:cs="宋体"/>
          <w:kern w:val="0"/>
        </w:rPr>
        <w:t>本次招标不接受联合体响应</w:t>
      </w:r>
      <w:r>
        <w:rPr>
          <w:rFonts w:hint="eastAsia" w:ascii="宋体" w:hAnsi="宋体" w:cs="仿宋_GB2312"/>
          <w:color w:val="000000"/>
          <w:shd w:val="clear" w:color="auto" w:fill="FFFFFF"/>
        </w:rPr>
        <w:t>。</w:t>
      </w:r>
    </w:p>
    <w:p>
      <w:pPr>
        <w:pStyle w:val="23"/>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四、询</w:t>
      </w:r>
      <w:r>
        <w:rPr>
          <w:rFonts w:hint="eastAsia" w:ascii="宋体" w:hAnsi="宋体" w:eastAsia="宋体" w:cs="黑体"/>
          <w:bCs/>
          <w:shd w:val="clear" w:color="auto" w:fill="FFFFFF"/>
        </w:rPr>
        <w:t>价文件的</w:t>
      </w:r>
      <w:r>
        <w:rPr>
          <w:rFonts w:hint="eastAsia" w:ascii="宋体" w:hAnsi="宋体" w:eastAsia="宋体" w:cs="黑体"/>
          <w:b/>
          <w:bCs/>
          <w:shd w:val="clear" w:color="auto" w:fill="FFFFFF"/>
        </w:rPr>
        <w:t>获取</w:t>
      </w:r>
    </w:p>
    <w:p>
      <w:pPr>
        <w:pStyle w:val="23"/>
        <w:widowControl/>
        <w:shd w:val="clear" w:color="auto" w:fill="FFFFFF"/>
        <w:spacing w:line="360" w:lineRule="auto"/>
        <w:ind w:firstLine="480" w:firstLineChars="20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3"/>
        <w:widowControl/>
        <w:shd w:val="clear" w:color="auto" w:fill="FFFFFF"/>
        <w:spacing w:line="360" w:lineRule="auto"/>
        <w:ind w:firstLine="480" w:firstLineChars="20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（二）在投标截止时间前均可登录《全国公共资源交易平台（河南省·许昌市）》“投标人/供应商登录”入口（http://221.14.6.70:8088/ggzy/）自行下载询价文件（详见“常见问题解答-交易系统操作手册”）。</w:t>
      </w:r>
    </w:p>
    <w:p>
      <w:pPr>
        <w:pStyle w:val="23"/>
        <w:widowControl/>
        <w:shd w:val="clear" w:color="auto" w:fill="FFFFFF"/>
        <w:spacing w:line="360" w:lineRule="auto"/>
        <w:ind w:firstLine="480" w:firstLineChars="200"/>
        <w:contextualSpacing/>
        <w:jc w:val="left"/>
        <w:rPr>
          <w:rFonts w:ascii="宋体" w:hAnsi="宋体" w:eastAsia="宋体" w:cs="仿宋_GB2312"/>
          <w:shd w:val="clear" w:color="auto" w:fill="FFFFFF"/>
        </w:rPr>
      </w:pPr>
      <w:r>
        <w:rPr>
          <w:rFonts w:hint="eastAsia" w:ascii="宋体" w:hAnsi="宋体" w:cs="仿宋_GB2312"/>
          <w:shd w:val="clear" w:color="auto" w:fill="FFFFFF"/>
        </w:rPr>
        <w:t>（三）询价文件售价：供应商在递交电子投标文件前缴纳询价文件费用100元（售后不退），缴纳回执单附投标文件中。</w:t>
      </w:r>
    </w:p>
    <w:p>
      <w:pPr>
        <w:widowControl/>
        <w:shd w:val="clear" w:color="auto" w:fill="FFFFFF"/>
        <w:spacing w:line="360" w:lineRule="auto"/>
        <w:ind w:firstLine="672"/>
        <w:jc w:val="left"/>
        <w:rPr>
          <w:rFonts w:ascii="宋体" w:hAnsi="宋体" w:cs="宋体"/>
          <w:b/>
          <w:kern w:val="0"/>
          <w:sz w:val="24"/>
          <w:szCs w:val="24"/>
        </w:rPr>
      </w:pPr>
      <w:r>
        <w:rPr>
          <w:rFonts w:hint="eastAsia" w:ascii="宋体" w:hAnsi="宋体" w:cs="宋体"/>
          <w:b/>
          <w:kern w:val="0"/>
          <w:sz w:val="24"/>
          <w:szCs w:val="24"/>
        </w:rPr>
        <w:t>五、询价响应截止时间、开标时间及地点</w:t>
      </w:r>
    </w:p>
    <w:p>
      <w:pPr>
        <w:widowControl/>
        <w:shd w:val="clear" w:color="auto" w:fill="FFFFFF"/>
        <w:spacing w:line="360" w:lineRule="auto"/>
        <w:ind w:firstLine="672"/>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（一）询价响应文件提交截止时间及询价响应截止时间、询价时间：2020年7月21日15时30分（北京时间），</w:t>
      </w:r>
      <w:r>
        <w:rPr>
          <w:rFonts w:hint="eastAsia" w:ascii="宋体" w:hAnsi="宋体" w:cs="Arial"/>
          <w:color w:val="000000"/>
          <w:sz w:val="24"/>
          <w:szCs w:val="24"/>
        </w:rPr>
        <w:t>逾期提交或不符合规定的响应文件不予接受。</w:t>
      </w:r>
    </w:p>
    <w:p>
      <w:pPr>
        <w:widowControl/>
        <w:shd w:val="clear" w:color="auto" w:fill="FFFFFF"/>
        <w:spacing w:line="360" w:lineRule="auto"/>
        <w:ind w:firstLine="480" w:firstLineChars="200"/>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（二）开标地点：襄城县公共资源交易中心（八七路东段电子商务产业园）十二楼开标一室</w:t>
      </w:r>
      <w:r>
        <w:rPr>
          <w:rFonts w:hint="eastAsia" w:ascii="宋体" w:hAnsi="宋体"/>
          <w:color w:val="000000"/>
          <w:sz w:val="24"/>
          <w:szCs w:val="24"/>
        </w:rPr>
        <w:t>。（</w:t>
      </w:r>
      <w:r>
        <w:rPr>
          <w:rFonts w:hint="eastAsia" w:ascii="宋体" w:hAnsi="宋体"/>
          <w:b/>
          <w:bCs/>
          <w:color w:val="000000"/>
          <w:sz w:val="24"/>
          <w:szCs w:val="24"/>
        </w:rPr>
        <w:t>本项目采用远程不见面开标，投标人无须到现场</w:t>
      </w:r>
      <w:r>
        <w:rPr>
          <w:rFonts w:hint="eastAsia" w:ascii="宋体" w:hAnsi="宋体"/>
          <w:color w:val="000000"/>
          <w:sz w:val="24"/>
          <w:szCs w:val="24"/>
        </w:rPr>
        <w:t>）</w:t>
      </w:r>
      <w:r>
        <w:rPr>
          <w:rFonts w:hint="eastAsia" w:ascii="宋体" w:hAnsi="宋体" w:cs="宋体"/>
          <w:kern w:val="0"/>
          <w:sz w:val="24"/>
          <w:szCs w:val="24"/>
          <w:shd w:val="clear" w:color="auto" w:fill="FFFFFF"/>
        </w:rPr>
        <w:t>。</w:t>
      </w:r>
    </w:p>
    <w:p>
      <w:pPr>
        <w:shd w:val="clear" w:color="auto" w:fill="FFFFFF"/>
        <w:spacing w:line="360" w:lineRule="auto"/>
        <w:ind w:firstLine="480" w:firstLineChars="200"/>
        <w:rPr>
          <w:rFonts w:ascii="宋体" w:hAnsi="宋体" w:cs="宋体"/>
          <w:color w:val="000000"/>
          <w:kern w:val="0"/>
          <w:sz w:val="24"/>
          <w:szCs w:val="24"/>
        </w:rPr>
      </w:pPr>
      <w:r>
        <w:rPr>
          <w:rFonts w:hint="eastAsia" w:ascii="宋体" w:hAnsi="宋体" w:cs="宋体"/>
          <w:kern w:val="0"/>
          <w:sz w:val="24"/>
          <w:szCs w:val="24"/>
          <w:shd w:val="clear" w:color="auto" w:fill="FFFFFF"/>
        </w:rPr>
        <w:t>（三）</w:t>
      </w:r>
      <w:r>
        <w:rPr>
          <w:rFonts w:hint="eastAsia" w:ascii="宋体" w:hAnsi="宋体" w:cs="宋体"/>
          <w:color w:val="000000"/>
          <w:kern w:val="0"/>
          <w:sz w:val="24"/>
          <w:szCs w:val="24"/>
        </w:rPr>
        <w:t>本项目为全流程电子化交易项目，投标人须提交电子投标文件。</w:t>
      </w:r>
    </w:p>
    <w:p>
      <w:pPr>
        <w:widowControl/>
        <w:shd w:val="clear" w:color="auto" w:fill="FFFFFF"/>
        <w:spacing w:line="360" w:lineRule="auto"/>
        <w:ind w:firstLine="420"/>
        <w:jc w:val="left"/>
        <w:rPr>
          <w:rFonts w:ascii="宋体" w:hAnsi="宋体" w:cs="宋体"/>
          <w:color w:val="000000"/>
          <w:kern w:val="0"/>
          <w:sz w:val="24"/>
          <w:szCs w:val="24"/>
        </w:rPr>
      </w:pPr>
      <w:r>
        <w:rPr>
          <w:rFonts w:hint="eastAsia" w:ascii="宋体" w:hAnsi="宋体" w:cs="宋体"/>
          <w:color w:val="000000"/>
          <w:kern w:val="0"/>
          <w:sz w:val="24"/>
          <w:szCs w:val="24"/>
        </w:rPr>
        <w:t>1、加密电子投标文件（.file格式）须在投标截止时间（开标时间）前通过《全国公共资源交易平台(河南省</w:t>
      </w:r>
      <w:r>
        <w:rPr>
          <w:rFonts w:hint="eastAsia" w:ascii="宋体" w:hAnsi="MS Mincho" w:eastAsia="MS Mincho" w:cs="宋体"/>
          <w:color w:val="000000"/>
          <w:kern w:val="0"/>
          <w:sz w:val="24"/>
          <w:szCs w:val="24"/>
        </w:rPr>
        <w:t>▪</w:t>
      </w:r>
      <w:r>
        <w:rPr>
          <w:rFonts w:hint="eastAsia" w:ascii="宋体" w:hAnsi="宋体" w:cs="宋体"/>
          <w:color w:val="000000"/>
          <w:kern w:val="0"/>
          <w:sz w:val="24"/>
          <w:szCs w:val="24"/>
        </w:rPr>
        <w:t>许昌市)》公共资源交易系统成功上传。</w:t>
      </w:r>
    </w:p>
    <w:p>
      <w:pPr>
        <w:widowControl/>
        <w:shd w:val="clear" w:color="auto" w:fill="FFFFFF"/>
        <w:spacing w:line="360" w:lineRule="auto"/>
        <w:ind w:firstLine="420"/>
        <w:jc w:val="left"/>
        <w:rPr>
          <w:rFonts w:ascii="宋体" w:hAnsi="宋体" w:cs="宋体"/>
          <w:color w:val="000000"/>
          <w:kern w:val="0"/>
          <w:sz w:val="24"/>
          <w:szCs w:val="24"/>
        </w:rPr>
      </w:pPr>
      <w:r>
        <w:rPr>
          <w:rFonts w:hint="eastAsia" w:ascii="宋体" w:hAnsi="宋体" w:cs="宋体"/>
          <w:color w:val="000000"/>
          <w:kern w:val="0"/>
          <w:sz w:val="24"/>
          <w:szCs w:val="24"/>
        </w:rPr>
        <w:t>2、开标时间前，投标人</w:t>
      </w:r>
      <w:r>
        <w:rPr>
          <w:rFonts w:hint="eastAsia" w:ascii="宋体" w:hAnsi="宋体" w:cs="宋体"/>
          <w:color w:val="000000"/>
          <w:kern w:val="0"/>
          <w:sz w:val="24"/>
          <w:szCs w:val="24"/>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ascii="宋体" w:hAnsi="宋体" w:cs="宋体"/>
          <w:color w:val="000000"/>
          <w:kern w:val="0"/>
          <w:sz w:val="24"/>
          <w:szCs w:val="24"/>
        </w:rPr>
        <w:t>按照开标时间准时参加线上开标，进行远程解密、在线询问、电子签章等。</w:t>
      </w:r>
    </w:p>
    <w:p>
      <w:pPr>
        <w:widowControl/>
        <w:shd w:val="clear" w:color="auto" w:fill="FFFFFF"/>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六、公告媒体</w:t>
      </w:r>
    </w:p>
    <w:p>
      <w:pPr>
        <w:widowControl/>
        <w:shd w:val="clear" w:color="auto" w:fill="FFFFFF"/>
        <w:spacing w:line="360" w:lineRule="auto"/>
        <w:ind w:firstLine="480" w:firstLineChars="200"/>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本次采购公告同时在以下网站发布：《河南省政府采购网》、《许昌市政府采购网》、《全国公共资源交易平台（河南省·许昌市）》。</w:t>
      </w:r>
    </w:p>
    <w:p>
      <w:pPr>
        <w:pStyle w:val="23"/>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宋体"/>
          <w:b/>
          <w:kern w:val="0"/>
        </w:rPr>
        <w:t>七、公告期限</w:t>
      </w:r>
    </w:p>
    <w:p>
      <w:pPr>
        <w:pStyle w:val="23"/>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本公告自发布之日起公告期限为3个工作日。</w:t>
      </w:r>
    </w:p>
    <w:p>
      <w:pPr>
        <w:pStyle w:val="23"/>
        <w:widowControl/>
        <w:shd w:val="clear" w:color="auto" w:fill="FFFFFF"/>
        <w:spacing w:line="360" w:lineRule="auto"/>
        <w:ind w:firstLine="420"/>
        <w:contextualSpacing/>
        <w:jc w:val="left"/>
        <w:rPr>
          <w:rFonts w:ascii="宋体" w:hAnsi="宋体" w:eastAsia="宋体" w:cs="黑体"/>
          <w:b/>
          <w:bCs/>
        </w:rPr>
      </w:pPr>
      <w:r>
        <w:rPr>
          <w:rFonts w:hint="eastAsia" w:ascii="宋体" w:hAnsi="宋体" w:eastAsia="宋体" w:cs="黑体"/>
          <w:b/>
          <w:bCs/>
        </w:rPr>
        <w:t>八、联系方式</w:t>
      </w:r>
    </w:p>
    <w:p>
      <w:pPr>
        <w:widowControl/>
        <w:shd w:val="clear" w:color="auto" w:fill="FFFFFF"/>
        <w:topLinePunct w:val="1"/>
        <w:spacing w:line="360" w:lineRule="auto"/>
        <w:ind w:firstLine="640"/>
        <w:jc w:val="left"/>
        <w:rPr>
          <w:rFonts w:ascii="宋体" w:hAnsi="宋体" w:eastAsia="宋体" w:cs="宋体"/>
          <w:kern w:val="0"/>
          <w:sz w:val="24"/>
          <w:szCs w:val="24"/>
        </w:rPr>
      </w:pPr>
      <w:r>
        <w:rPr>
          <w:rFonts w:hint="eastAsia" w:ascii="宋体" w:hAnsi="宋体" w:eastAsia="宋体"/>
          <w:b/>
          <w:sz w:val="24"/>
          <w:szCs w:val="24"/>
        </w:rPr>
        <w:t>采购人：</w:t>
      </w:r>
      <w:r>
        <w:rPr>
          <w:rFonts w:hint="eastAsia" w:ascii="宋体" w:hAnsi="宋体" w:eastAsia="宋体" w:cs="仿宋"/>
          <w:sz w:val="24"/>
          <w:szCs w:val="24"/>
          <w:shd w:val="clear" w:color="auto" w:fill="FFFFFF"/>
        </w:rPr>
        <w:t>襄城县教育体育局</w:t>
      </w:r>
    </w:p>
    <w:p>
      <w:pPr>
        <w:widowControl/>
        <w:shd w:val="clear" w:color="auto" w:fill="FFFFFF"/>
        <w:topLinePunct w:val="1"/>
        <w:spacing w:line="360" w:lineRule="auto"/>
        <w:ind w:firstLine="640"/>
        <w:jc w:val="left"/>
        <w:rPr>
          <w:rFonts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kern w:val="0"/>
          <w:sz w:val="24"/>
          <w:szCs w:val="24"/>
          <w:shd w:val="clear" w:color="auto" w:fill="FFFFFF"/>
        </w:rPr>
        <w:t>襄城县</w:t>
      </w:r>
    </w:p>
    <w:p>
      <w:pPr>
        <w:adjustRightInd w:val="0"/>
        <w:spacing w:line="360" w:lineRule="auto"/>
        <w:ind w:firstLine="720" w:firstLineChars="300"/>
        <w:contextualSpacing/>
        <w:jc w:val="left"/>
        <w:rPr>
          <w:rFonts w:ascii="宋体" w:hAnsi="宋体" w:eastAsia="宋体" w:cs="仿宋_GB2312"/>
          <w:sz w:val="24"/>
          <w:szCs w:val="24"/>
          <w:shd w:val="clear" w:color="auto" w:fill="FFFFFF"/>
        </w:rPr>
      </w:pPr>
      <w:r>
        <w:rPr>
          <w:rFonts w:hint="eastAsia" w:ascii="宋体" w:hAnsi="宋体" w:eastAsia="宋体" w:cs="宋体"/>
          <w:kern w:val="0"/>
          <w:sz w:val="24"/>
          <w:szCs w:val="24"/>
        </w:rPr>
        <w:t>联系人：曹先生　    </w:t>
      </w:r>
      <w:r>
        <w:rPr>
          <w:rFonts w:hint="eastAsia" w:ascii="宋体" w:hAnsi="宋体" w:eastAsia="宋体" w:cs="仿宋"/>
          <w:kern w:val="0"/>
          <w:sz w:val="24"/>
          <w:szCs w:val="24"/>
        </w:rPr>
        <w:t xml:space="preserve"> </w:t>
      </w:r>
      <w:r>
        <w:rPr>
          <w:rFonts w:hint="eastAsia" w:ascii="宋体" w:hAnsi="宋体" w:eastAsia="宋体" w:cs="宋体"/>
          <w:kern w:val="0"/>
          <w:sz w:val="24"/>
          <w:szCs w:val="24"/>
        </w:rPr>
        <w:t>联系电话：</w:t>
      </w:r>
      <w:r>
        <w:rPr>
          <w:rFonts w:ascii="宋体" w:hAnsi="宋体" w:eastAsia="宋体" w:cs="宋体"/>
          <w:kern w:val="0"/>
          <w:sz w:val="24"/>
          <w:szCs w:val="24"/>
        </w:rPr>
        <w:t>13837489699</w:t>
      </w:r>
    </w:p>
    <w:p>
      <w:pPr>
        <w:adjustRightInd w:val="0"/>
        <w:spacing w:line="360" w:lineRule="auto"/>
        <w:ind w:firstLine="723" w:firstLineChars="300"/>
        <w:contextualSpacing/>
        <w:jc w:val="left"/>
        <w:rPr>
          <w:rFonts w:ascii="宋体" w:hAnsi="宋体"/>
          <w:sz w:val="24"/>
          <w:szCs w:val="24"/>
        </w:rPr>
      </w:pPr>
      <w:r>
        <w:rPr>
          <w:rFonts w:hint="eastAsia" w:ascii="宋体" w:hAnsi="宋体"/>
          <w:b/>
          <w:sz w:val="24"/>
          <w:szCs w:val="24"/>
        </w:rPr>
        <w:t>集中采购机构</w:t>
      </w:r>
      <w:r>
        <w:rPr>
          <w:rFonts w:hint="eastAsia" w:ascii="宋体" w:hAnsi="宋体"/>
          <w:sz w:val="24"/>
          <w:szCs w:val="24"/>
        </w:rPr>
        <w:t xml:space="preserve">：襄城县政府采购中心 </w:t>
      </w:r>
    </w:p>
    <w:p>
      <w:pPr>
        <w:adjustRightInd w:val="0"/>
        <w:spacing w:line="360" w:lineRule="auto"/>
        <w:ind w:firstLine="720" w:firstLineChars="300"/>
        <w:contextualSpacing/>
        <w:jc w:val="left"/>
        <w:rPr>
          <w:rFonts w:ascii="宋体" w:hAnsi="宋体"/>
          <w:sz w:val="24"/>
          <w:szCs w:val="24"/>
        </w:rPr>
      </w:pPr>
      <w:r>
        <w:rPr>
          <w:rFonts w:hint="eastAsia" w:ascii="宋体" w:hAnsi="宋体"/>
          <w:sz w:val="24"/>
          <w:szCs w:val="24"/>
        </w:rPr>
        <w:t>地址：襄城县八七路东段电子商务产业园12楼1204室</w:t>
      </w:r>
    </w:p>
    <w:p>
      <w:pPr>
        <w:adjustRightInd w:val="0"/>
        <w:spacing w:line="360" w:lineRule="auto"/>
        <w:ind w:firstLine="720" w:firstLineChars="300"/>
        <w:contextualSpacing/>
        <w:jc w:val="left"/>
        <w:rPr>
          <w:rFonts w:ascii="宋体" w:hAnsi="宋体"/>
          <w:sz w:val="24"/>
          <w:szCs w:val="24"/>
        </w:rPr>
      </w:pPr>
      <w:r>
        <w:rPr>
          <w:rFonts w:hint="eastAsia" w:ascii="宋体" w:hAnsi="宋体"/>
          <w:sz w:val="24"/>
          <w:szCs w:val="24"/>
        </w:rPr>
        <w:t>联系人：万女士            联系电话：</w:t>
      </w:r>
      <w:bookmarkStart w:id="0" w:name="联系人电话"/>
      <w:r>
        <w:rPr>
          <w:rFonts w:ascii="宋体" w:hAnsi="宋体"/>
          <w:sz w:val="24"/>
          <w:szCs w:val="24"/>
        </w:rPr>
        <w:t>0</w:t>
      </w:r>
      <w:bookmarkEnd w:id="0"/>
      <w:r>
        <w:rPr>
          <w:rFonts w:hint="eastAsia" w:ascii="宋体" w:hAnsi="宋体"/>
          <w:sz w:val="24"/>
          <w:szCs w:val="24"/>
        </w:rPr>
        <w:t>374-3998026</w:t>
      </w:r>
    </w:p>
    <w:p>
      <w:pPr>
        <w:adjustRightInd w:val="0"/>
        <w:spacing w:line="360" w:lineRule="auto"/>
        <w:ind w:firstLine="960" w:firstLineChars="400"/>
        <w:contextualSpacing/>
        <w:jc w:val="left"/>
        <w:rPr>
          <w:rFonts w:ascii="宋体" w:hAnsi="宋体"/>
          <w:sz w:val="24"/>
          <w:szCs w:val="24"/>
        </w:rPr>
      </w:pPr>
    </w:p>
    <w:p>
      <w:pPr>
        <w:adjustRightInd w:val="0"/>
        <w:spacing w:line="360" w:lineRule="auto"/>
        <w:ind w:firstLine="960" w:firstLineChars="400"/>
        <w:contextualSpacing/>
        <w:jc w:val="left"/>
        <w:rPr>
          <w:rFonts w:ascii="宋体" w:hAnsi="宋体"/>
          <w:sz w:val="24"/>
          <w:szCs w:val="24"/>
        </w:rPr>
      </w:pPr>
    </w:p>
    <w:p>
      <w:pPr>
        <w:adjustRightInd w:val="0"/>
        <w:spacing w:line="360" w:lineRule="auto"/>
        <w:ind w:firstLine="960" w:firstLineChars="400"/>
        <w:contextualSpacing/>
        <w:jc w:val="left"/>
        <w:rPr>
          <w:rFonts w:ascii="宋体" w:hAnsi="宋体" w:cs="仿宋_GB2312"/>
          <w:sz w:val="24"/>
          <w:szCs w:val="24"/>
          <w:shd w:val="clear" w:color="auto" w:fill="FFFFFF"/>
        </w:rPr>
      </w:pPr>
      <w:r>
        <w:rPr>
          <w:rFonts w:hint="eastAsia" w:ascii="宋体" w:hAnsi="宋体" w:cs="仿宋_GB2312"/>
          <w:sz w:val="24"/>
          <w:szCs w:val="24"/>
          <w:shd w:val="clear" w:color="auto" w:fill="FFFFFF"/>
        </w:rPr>
        <w:t>　　　　　　　　　　　　　　　　   襄城县政府采购中心</w:t>
      </w:r>
    </w:p>
    <w:p>
      <w:pPr>
        <w:adjustRightInd w:val="0"/>
        <w:spacing w:line="360" w:lineRule="auto"/>
        <w:ind w:firstLine="960" w:firstLineChars="400"/>
        <w:contextualSpacing/>
        <w:jc w:val="left"/>
        <w:rPr>
          <w:rFonts w:ascii="宋体" w:hAnsi="宋体" w:cs="仿宋_GB2312"/>
          <w:sz w:val="24"/>
          <w:szCs w:val="24"/>
          <w:shd w:val="clear" w:color="auto" w:fill="FFFFFF"/>
        </w:rPr>
      </w:pPr>
      <w:r>
        <w:rPr>
          <w:rFonts w:hint="eastAsia" w:ascii="宋体" w:hAnsi="宋体" w:cs="仿宋_GB2312"/>
          <w:sz w:val="24"/>
          <w:szCs w:val="24"/>
          <w:shd w:val="clear" w:color="auto" w:fill="FFFFFF"/>
        </w:rPr>
        <w:t>　　　　　　　　　　　　　　　     二0二0年七月十日</w:t>
      </w:r>
    </w:p>
    <w:p>
      <w:pPr>
        <w:adjustRightInd w:val="0"/>
        <w:snapToGrid w:val="0"/>
        <w:spacing w:line="360" w:lineRule="auto"/>
        <w:ind w:firstLine="960" w:firstLineChars="400"/>
        <w:jc w:val="left"/>
        <w:rPr>
          <w:rFonts w:ascii="宋体" w:hAnsi="宋体"/>
          <w:sz w:val="24"/>
          <w:szCs w:val="24"/>
        </w:rPr>
      </w:pPr>
    </w:p>
    <w:p>
      <w:pPr>
        <w:spacing w:line="360" w:lineRule="auto"/>
        <w:rPr>
          <w:rFonts w:hAnsi="宋体"/>
          <w:b/>
          <w:sz w:val="24"/>
          <w:szCs w:val="24"/>
        </w:rPr>
      </w:pPr>
      <w:r>
        <w:rPr>
          <w:rFonts w:hint="eastAsia" w:hAnsi="宋体"/>
          <w:b/>
          <w:sz w:val="24"/>
          <w:szCs w:val="24"/>
        </w:rPr>
        <w:t>温馨提示：</w:t>
      </w:r>
    </w:p>
    <w:p>
      <w:pPr>
        <w:spacing w:line="360" w:lineRule="auto"/>
        <w:ind w:firstLine="482" w:firstLineChars="200"/>
        <w:rPr>
          <w:rFonts w:hAnsi="宋体"/>
          <w:b/>
          <w:sz w:val="24"/>
          <w:szCs w:val="24"/>
        </w:rPr>
      </w:pPr>
      <w:r>
        <w:rPr>
          <w:rFonts w:hint="eastAsia" w:hAnsi="宋体"/>
          <w:b/>
          <w:sz w:val="24"/>
          <w:szCs w:val="24"/>
        </w:rPr>
        <w:t>本项目为全流程电子化交易项目，请认真阅读询价文件，并注意以下事项。</w:t>
      </w:r>
    </w:p>
    <w:p>
      <w:pPr>
        <w:pStyle w:val="6"/>
        <w:ind w:firstLine="241"/>
        <w:rPr>
          <w:rFonts w:ascii="仿宋_GB2312" w:eastAsia="仿宋_GB2312"/>
          <w:b/>
          <w:sz w:val="24"/>
          <w:szCs w:val="24"/>
        </w:rPr>
      </w:pPr>
    </w:p>
    <w:p>
      <w:pPr>
        <w:shd w:val="clear" w:color="auto" w:fill="FFFFFF"/>
        <w:spacing w:line="360" w:lineRule="auto"/>
        <w:ind w:firstLine="422"/>
        <w:rPr>
          <w:rFonts w:ascii="宋体" w:hAnsi="宋体"/>
          <w:color w:val="000000"/>
          <w:sz w:val="24"/>
          <w:szCs w:val="24"/>
        </w:rPr>
      </w:pPr>
      <w:r>
        <w:rPr>
          <w:rFonts w:hint="eastAsia" w:ascii="宋体" w:hAnsi="宋体"/>
          <w:b/>
          <w:bCs/>
          <w:color w:val="000000"/>
          <w:sz w:val="24"/>
          <w:szCs w:val="24"/>
        </w:rPr>
        <w:t>1.投标人应按询价文件规定编制、提交、解密电子投标文件。</w:t>
      </w:r>
    </w:p>
    <w:p>
      <w:pPr>
        <w:shd w:val="clear" w:color="auto" w:fill="FFFFFF"/>
        <w:spacing w:line="360" w:lineRule="auto"/>
        <w:ind w:firstLine="422"/>
        <w:rPr>
          <w:rFonts w:ascii="宋体" w:hAnsi="宋体"/>
          <w:color w:val="000000"/>
          <w:sz w:val="24"/>
          <w:szCs w:val="24"/>
        </w:rPr>
      </w:pPr>
      <w:r>
        <w:rPr>
          <w:rFonts w:hint="eastAsia" w:ascii="宋体" w:hAnsi="宋体"/>
          <w:b/>
          <w:bCs/>
          <w:color w:val="000000"/>
          <w:sz w:val="24"/>
          <w:szCs w:val="24"/>
        </w:rPr>
        <w:t>2.电子文件下载、制作、提交期间和远程不见面开标（</w:t>
      </w:r>
      <w:r>
        <w:rPr>
          <w:rFonts w:hint="eastAsia" w:ascii="宋体" w:hAnsi="宋体"/>
          <w:color w:val="000000"/>
          <w:sz w:val="24"/>
          <w:szCs w:val="24"/>
        </w:rPr>
        <w:t>电子投标文件的解密</w:t>
      </w:r>
      <w:r>
        <w:rPr>
          <w:rFonts w:hint="eastAsia" w:ascii="宋体" w:hAnsi="宋体"/>
          <w:b/>
          <w:bCs/>
          <w:color w:val="000000"/>
          <w:sz w:val="24"/>
          <w:szCs w:val="24"/>
        </w:rPr>
        <w:t>）环节，投标人须使用同一个</w:t>
      </w:r>
      <w:r>
        <w:rPr>
          <w:rFonts w:ascii="宋体" w:hAnsi="宋体"/>
          <w:b/>
          <w:bCs/>
          <w:color w:val="000000"/>
          <w:sz w:val="24"/>
          <w:szCs w:val="24"/>
        </w:rPr>
        <w:t>CA</w:t>
      </w:r>
      <w:r>
        <w:rPr>
          <w:rFonts w:hint="eastAsia" w:ascii="宋体" w:hAnsi="宋体"/>
          <w:b/>
          <w:bCs/>
          <w:color w:val="000000"/>
          <w:sz w:val="24"/>
          <w:szCs w:val="24"/>
        </w:rPr>
        <w:t>数字证书（证书须在有效期内并可正常使用）。</w:t>
      </w:r>
    </w:p>
    <w:p>
      <w:pPr>
        <w:shd w:val="clear" w:color="auto" w:fill="FFFFFF"/>
        <w:spacing w:line="360" w:lineRule="auto"/>
        <w:ind w:firstLine="422"/>
        <w:rPr>
          <w:rFonts w:ascii="宋体" w:hAnsi="宋体"/>
          <w:color w:val="000000"/>
          <w:sz w:val="24"/>
          <w:szCs w:val="24"/>
        </w:rPr>
      </w:pPr>
      <w:r>
        <w:rPr>
          <w:rFonts w:hint="eastAsia" w:ascii="宋体" w:hAnsi="宋体"/>
          <w:b/>
          <w:bCs/>
          <w:color w:val="000000"/>
          <w:sz w:val="24"/>
          <w:szCs w:val="24"/>
        </w:rPr>
        <w:t>3.电子投标文件的制作</w:t>
      </w:r>
    </w:p>
    <w:p>
      <w:pPr>
        <w:shd w:val="clear" w:color="auto" w:fill="FFFFFF"/>
        <w:spacing w:line="360" w:lineRule="auto"/>
        <w:ind w:firstLine="420"/>
        <w:rPr>
          <w:rFonts w:ascii="宋体" w:hAnsi="宋体"/>
          <w:color w:val="000000"/>
          <w:sz w:val="24"/>
          <w:szCs w:val="24"/>
        </w:rPr>
      </w:pPr>
      <w:r>
        <w:rPr>
          <w:rFonts w:hint="eastAsia" w:ascii="宋体" w:hAnsi="宋体"/>
          <w:color w:val="000000"/>
          <w:sz w:val="24"/>
          <w:szCs w:val="24"/>
        </w:rPr>
        <w:t>3.1</w:t>
      </w:r>
      <w:r>
        <w:rPr>
          <w:rFonts w:ascii="宋体" w:hAnsi="宋体"/>
          <w:color w:val="000000"/>
          <w:sz w:val="24"/>
          <w:szCs w:val="24"/>
        </w:rPr>
        <w:t xml:space="preserve"> </w:t>
      </w:r>
      <w:r>
        <w:rPr>
          <w:rFonts w:hint="eastAsia" w:ascii="宋体" w:hAnsi="宋体"/>
          <w:color w:val="000000"/>
          <w:sz w:val="24"/>
          <w:szCs w:val="24"/>
        </w:rPr>
        <w:t>投标人登录《全国公共资源交易平台(河南省</w:t>
      </w:r>
      <w:r>
        <w:rPr>
          <w:rFonts w:hint="eastAsia" w:ascii="宋体" w:hAnsi="宋体" w:eastAsia="MS Mincho"/>
          <w:color w:val="000000"/>
          <w:sz w:val="24"/>
          <w:szCs w:val="24"/>
        </w:rPr>
        <w:t>▪</w:t>
      </w:r>
      <w:r>
        <w:rPr>
          <w:rFonts w:hint="eastAsia" w:ascii="宋体" w:hAnsi="宋体"/>
          <w:color w:val="000000"/>
          <w:sz w:val="24"/>
          <w:szCs w:val="24"/>
        </w:rPr>
        <w:t>许昌市)》公共资源交易系统（</w:t>
      </w:r>
      <w:r>
        <w:fldChar w:fldCharType="begin"/>
      </w:r>
      <w:r>
        <w:instrText xml:space="preserve"> HYPERLINK "http://221.14.6.70:8088/ggzy/" </w:instrText>
      </w:r>
      <w:r>
        <w:fldChar w:fldCharType="separate"/>
      </w:r>
      <w:r>
        <w:rPr>
          <w:rStyle w:val="28"/>
          <w:rFonts w:ascii="宋体" w:hAnsi="宋体"/>
          <w:sz w:val="24"/>
          <w:szCs w:val="24"/>
        </w:rPr>
        <w:t>http://221.14.6.70:8088/ggzy/</w:t>
      </w:r>
      <w:r>
        <w:rPr>
          <w:rFonts w:ascii="宋体" w:hAnsi="宋体"/>
          <w:sz w:val="24"/>
          <w:szCs w:val="24"/>
        </w:rPr>
        <w:fldChar w:fldCharType="end"/>
      </w:r>
      <w:r>
        <w:rPr>
          <w:rFonts w:hint="eastAsia" w:ascii="宋体" w:hAnsi="宋体"/>
          <w:color w:val="000000"/>
          <w:sz w:val="24"/>
          <w:szCs w:val="24"/>
        </w:rPr>
        <w:t>）下载“许昌投标文件制作系统</w:t>
      </w:r>
      <w:r>
        <w:rPr>
          <w:rFonts w:ascii="宋体" w:hAnsi="宋体"/>
          <w:color w:val="000000"/>
          <w:sz w:val="24"/>
          <w:szCs w:val="24"/>
        </w:rPr>
        <w:t xml:space="preserve">SEARUN </w:t>
      </w:r>
      <w:r>
        <w:rPr>
          <w:rFonts w:hint="eastAsia" w:ascii="宋体" w:hAnsi="宋体"/>
          <w:color w:val="000000"/>
          <w:sz w:val="24"/>
          <w:szCs w:val="24"/>
        </w:rPr>
        <w:t>最新版本”，按询价文件要求制作电子投标文件。</w:t>
      </w:r>
    </w:p>
    <w:p>
      <w:pPr>
        <w:shd w:val="clear" w:color="auto" w:fill="FFFFFF"/>
        <w:spacing w:line="360" w:lineRule="auto"/>
        <w:ind w:firstLine="420"/>
        <w:rPr>
          <w:rFonts w:ascii="宋体" w:hAnsi="宋体"/>
          <w:color w:val="000000"/>
          <w:sz w:val="24"/>
          <w:szCs w:val="24"/>
        </w:rPr>
      </w:pPr>
      <w:r>
        <w:rPr>
          <w:rFonts w:hint="eastAsia" w:ascii="宋体" w:hAnsi="宋体"/>
          <w:color w:val="000000"/>
          <w:sz w:val="24"/>
          <w:szCs w:val="24"/>
        </w:rPr>
        <w:t>电子投标文件的制作，参考《全国公共资源交易平台(河南省</w:t>
      </w:r>
      <w:r>
        <w:rPr>
          <w:rFonts w:hint="eastAsia" w:ascii="宋体" w:hAnsi="宋体" w:eastAsia="MS Mincho"/>
          <w:color w:val="000000"/>
          <w:sz w:val="24"/>
          <w:szCs w:val="24"/>
        </w:rPr>
        <w:t>▪</w:t>
      </w:r>
      <w:r>
        <w:rPr>
          <w:rFonts w:hint="eastAsia" w:ascii="宋体" w:hAnsi="宋体"/>
          <w:color w:val="000000"/>
          <w:sz w:val="24"/>
          <w:szCs w:val="24"/>
        </w:rPr>
        <w:t>许昌市)》公共资源交易系统——组件下载——交易系统操作手册（投标人、供应商）。</w:t>
      </w:r>
    </w:p>
    <w:p>
      <w:pPr>
        <w:shd w:val="clear" w:color="auto" w:fill="FFFFFF"/>
        <w:spacing w:line="360" w:lineRule="auto"/>
        <w:ind w:firstLine="420"/>
        <w:rPr>
          <w:rFonts w:ascii="宋体" w:hAnsi="宋体"/>
          <w:color w:val="000000"/>
          <w:sz w:val="24"/>
          <w:szCs w:val="24"/>
        </w:rPr>
      </w:pPr>
      <w:r>
        <w:rPr>
          <w:rFonts w:hint="eastAsia" w:ascii="宋体" w:hAnsi="宋体"/>
          <w:color w:val="000000"/>
          <w:sz w:val="24"/>
          <w:szCs w:val="24"/>
        </w:rPr>
        <w:t>3.2</w:t>
      </w:r>
      <w:r>
        <w:rPr>
          <w:rFonts w:ascii="宋体" w:hAnsi="宋体"/>
          <w:color w:val="000000"/>
          <w:sz w:val="24"/>
          <w:szCs w:val="24"/>
        </w:rPr>
        <w:t xml:space="preserve"> </w:t>
      </w:r>
      <w:r>
        <w:rPr>
          <w:rFonts w:hint="eastAsia" w:ascii="宋体" w:hAnsi="宋体"/>
          <w:color w:val="000000"/>
          <w:sz w:val="24"/>
          <w:szCs w:val="24"/>
        </w:rPr>
        <w:t>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宋体" w:hAnsi="宋体"/>
          <w:color w:val="000000"/>
          <w:sz w:val="24"/>
          <w:szCs w:val="24"/>
        </w:rPr>
      </w:pPr>
      <w:r>
        <w:rPr>
          <w:rFonts w:hint="eastAsia" w:ascii="宋体" w:hAnsi="宋体"/>
          <w:color w:val="000000"/>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宋体" w:hAnsi="宋体"/>
          <w:color w:val="000000"/>
          <w:sz w:val="24"/>
          <w:szCs w:val="24"/>
        </w:rPr>
      </w:pPr>
      <w:r>
        <w:rPr>
          <w:rFonts w:hint="eastAsia" w:ascii="宋体" w:hAnsi="宋体"/>
          <w:color w:val="000000"/>
          <w:sz w:val="24"/>
          <w:szCs w:val="24"/>
        </w:rPr>
        <w:t>一个标段对应生成一个文件夹（</w:t>
      </w:r>
      <w:r>
        <w:rPr>
          <w:rFonts w:ascii="宋体" w:hAnsi="宋体"/>
          <w:color w:val="000000"/>
          <w:sz w:val="24"/>
          <w:szCs w:val="24"/>
        </w:rPr>
        <w:t>xxxx</w:t>
      </w:r>
      <w:r>
        <w:rPr>
          <w:rFonts w:hint="eastAsia" w:ascii="宋体" w:hAnsi="宋体"/>
          <w:color w:val="000000"/>
          <w:sz w:val="24"/>
          <w:szCs w:val="24"/>
        </w:rPr>
        <w:t>项目</w:t>
      </w:r>
      <w:r>
        <w:rPr>
          <w:rFonts w:ascii="宋体" w:hAnsi="宋体"/>
          <w:color w:val="000000"/>
          <w:sz w:val="24"/>
          <w:szCs w:val="24"/>
        </w:rPr>
        <w:t>xx</w:t>
      </w:r>
      <w:r>
        <w:rPr>
          <w:rFonts w:hint="eastAsia" w:ascii="宋体" w:hAnsi="宋体"/>
          <w:color w:val="000000"/>
          <w:sz w:val="24"/>
          <w:szCs w:val="24"/>
        </w:rPr>
        <w:t>标段）</w:t>
      </w:r>
      <w:r>
        <w:rPr>
          <w:rFonts w:ascii="宋体" w:hAnsi="宋体"/>
          <w:color w:val="000000"/>
          <w:sz w:val="24"/>
          <w:szCs w:val="24"/>
        </w:rPr>
        <w:t>,</w:t>
      </w:r>
      <w:r>
        <w:rPr>
          <w:rFonts w:hint="eastAsia" w:ascii="宋体" w:hAnsi="宋体"/>
          <w:color w:val="000000"/>
          <w:sz w:val="24"/>
          <w:szCs w:val="24"/>
        </w:rPr>
        <w:t>其中后缀名为“</w:t>
      </w:r>
      <w:r>
        <w:rPr>
          <w:rFonts w:ascii="宋体" w:hAnsi="宋体"/>
          <w:color w:val="000000"/>
          <w:sz w:val="24"/>
          <w:szCs w:val="24"/>
        </w:rPr>
        <w:t>.file</w:t>
      </w:r>
      <w:r>
        <w:rPr>
          <w:rFonts w:hint="eastAsia" w:ascii="宋体" w:hAnsi="宋体"/>
          <w:color w:val="000000"/>
          <w:sz w:val="24"/>
          <w:szCs w:val="24"/>
        </w:rPr>
        <w:t>”的文件用于电子投标使用。</w:t>
      </w:r>
    </w:p>
    <w:p>
      <w:pPr>
        <w:shd w:val="clear" w:color="auto" w:fill="FFFFFF"/>
        <w:spacing w:line="360" w:lineRule="auto"/>
        <w:ind w:firstLine="422"/>
        <w:rPr>
          <w:rFonts w:ascii="宋体" w:hAnsi="宋体"/>
          <w:color w:val="000000"/>
          <w:sz w:val="24"/>
          <w:szCs w:val="24"/>
        </w:rPr>
      </w:pPr>
      <w:r>
        <w:rPr>
          <w:rFonts w:hint="eastAsia" w:ascii="宋体" w:hAnsi="宋体"/>
          <w:b/>
          <w:bCs/>
          <w:color w:val="000000"/>
          <w:sz w:val="24"/>
          <w:szCs w:val="24"/>
        </w:rPr>
        <w:t>4.加密电子投标文件的提交</w:t>
      </w:r>
    </w:p>
    <w:p>
      <w:pPr>
        <w:shd w:val="clear" w:color="auto" w:fill="FFFFFF"/>
        <w:spacing w:line="36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4.1加密电子投标文件应按规定在投标截止时间（开标时间）之前成功提交至《全国公共资源交易平台</w:t>
      </w:r>
      <w:r>
        <w:rPr>
          <w:rFonts w:ascii="宋体" w:hAnsi="宋体"/>
          <w:color w:val="000000"/>
          <w:sz w:val="24"/>
          <w:szCs w:val="24"/>
        </w:rPr>
        <w:t>(</w:t>
      </w:r>
      <w:r>
        <w:rPr>
          <w:rFonts w:hint="eastAsia" w:ascii="宋体" w:hAnsi="宋体"/>
          <w:color w:val="000000"/>
          <w:sz w:val="24"/>
          <w:szCs w:val="24"/>
        </w:rPr>
        <w:t>河南省</w:t>
      </w:r>
      <w:r>
        <w:rPr>
          <w:rFonts w:hint="eastAsia" w:ascii="宋体" w:hAnsi="宋体" w:eastAsia="MS Mincho"/>
          <w:color w:val="000000"/>
          <w:sz w:val="24"/>
          <w:szCs w:val="24"/>
        </w:rPr>
        <w:t>▪</w:t>
      </w:r>
      <w:r>
        <w:rPr>
          <w:rFonts w:hint="eastAsia" w:ascii="宋体" w:hAnsi="宋体"/>
          <w:color w:val="000000"/>
          <w:sz w:val="24"/>
          <w:szCs w:val="24"/>
        </w:rPr>
        <w:t>许昌市</w:t>
      </w:r>
      <w:r>
        <w:rPr>
          <w:rFonts w:ascii="宋体" w:hAnsi="宋体"/>
          <w:color w:val="000000"/>
          <w:sz w:val="24"/>
          <w:szCs w:val="24"/>
        </w:rPr>
        <w:t>)</w:t>
      </w:r>
      <w:r>
        <w:rPr>
          <w:rFonts w:hint="eastAsia" w:ascii="宋体" w:hAnsi="宋体"/>
          <w:color w:val="000000"/>
          <w:sz w:val="24"/>
          <w:szCs w:val="24"/>
        </w:rPr>
        <w:t>》公共资源交易系统（</w:t>
      </w:r>
      <w:r>
        <w:fldChar w:fldCharType="begin"/>
      </w:r>
      <w:r>
        <w:instrText xml:space="preserve"> HYPERLINK "http://221.14.6.70:8088/ggzy/" </w:instrText>
      </w:r>
      <w:r>
        <w:fldChar w:fldCharType="separate"/>
      </w:r>
      <w:r>
        <w:rPr>
          <w:rStyle w:val="28"/>
          <w:rFonts w:ascii="宋体" w:hAnsi="宋体"/>
          <w:sz w:val="24"/>
          <w:szCs w:val="24"/>
        </w:rPr>
        <w:t>http://221.14.6.70:8088/ggzy/</w:t>
      </w:r>
      <w:r>
        <w:rPr>
          <w:rFonts w:ascii="宋体" w:hAnsi="宋体"/>
          <w:sz w:val="24"/>
          <w:szCs w:val="24"/>
        </w:rPr>
        <w:fldChar w:fldCharType="end"/>
      </w:r>
      <w:r>
        <w:rPr>
          <w:rFonts w:hint="eastAsia" w:ascii="宋体" w:hAnsi="宋体"/>
          <w:color w:val="000000"/>
          <w:sz w:val="24"/>
          <w:szCs w:val="24"/>
        </w:rPr>
        <w:t>）。</w:t>
      </w:r>
    </w:p>
    <w:p>
      <w:pPr>
        <w:shd w:val="clear" w:color="auto" w:fill="FFFFFF"/>
        <w:spacing w:line="360" w:lineRule="auto"/>
        <w:ind w:firstLine="420"/>
        <w:rPr>
          <w:rFonts w:ascii="宋体" w:hAnsi="宋体"/>
          <w:color w:val="000000"/>
          <w:sz w:val="24"/>
          <w:szCs w:val="24"/>
        </w:rPr>
      </w:pPr>
      <w:r>
        <w:rPr>
          <w:rFonts w:hint="eastAsia" w:ascii="宋体" w:hAnsi="宋体"/>
          <w:color w:val="000000"/>
          <w:sz w:val="24"/>
          <w:szCs w:val="24"/>
        </w:rPr>
        <w:t>投标人应充分考虑并预留技术处理和上传数据所需时间。</w:t>
      </w:r>
    </w:p>
    <w:p>
      <w:pPr>
        <w:shd w:val="clear" w:color="auto" w:fill="FFFFFF"/>
        <w:spacing w:line="360" w:lineRule="auto"/>
        <w:ind w:firstLine="420"/>
        <w:rPr>
          <w:rFonts w:ascii="宋体" w:hAnsi="宋体"/>
          <w:color w:val="000000"/>
          <w:sz w:val="24"/>
          <w:szCs w:val="24"/>
        </w:rPr>
      </w:pPr>
      <w:r>
        <w:rPr>
          <w:rFonts w:hint="eastAsia" w:ascii="宋体" w:hAnsi="宋体"/>
          <w:color w:val="000000"/>
          <w:sz w:val="24"/>
          <w:szCs w:val="24"/>
        </w:rPr>
        <w:t>4.2 投标人对同一项目多个标段进行投标的，加密电子投标文件应按标段分别提交。</w:t>
      </w:r>
    </w:p>
    <w:p>
      <w:pPr>
        <w:shd w:val="clear" w:color="auto" w:fill="FFFFFF"/>
        <w:spacing w:line="360" w:lineRule="auto"/>
        <w:ind w:firstLine="420"/>
        <w:rPr>
          <w:rFonts w:ascii="宋体" w:hAnsi="宋体"/>
          <w:color w:val="000000"/>
          <w:sz w:val="24"/>
          <w:szCs w:val="24"/>
        </w:rPr>
      </w:pPr>
      <w:r>
        <w:rPr>
          <w:rFonts w:hint="eastAsia" w:ascii="宋体" w:hAnsi="宋体"/>
          <w:color w:val="000000"/>
          <w:sz w:val="24"/>
          <w:szCs w:val="24"/>
        </w:rPr>
        <w:t>4.3 加密电子投标文件成功提交后，《全国公共资源交易平台</w:t>
      </w:r>
      <w:r>
        <w:rPr>
          <w:rFonts w:ascii="宋体" w:hAnsi="宋体"/>
          <w:color w:val="000000"/>
          <w:sz w:val="24"/>
          <w:szCs w:val="24"/>
        </w:rPr>
        <w:t>(</w:t>
      </w:r>
      <w:r>
        <w:rPr>
          <w:rFonts w:hint="eastAsia" w:ascii="宋体" w:hAnsi="宋体"/>
          <w:color w:val="000000"/>
          <w:sz w:val="24"/>
          <w:szCs w:val="24"/>
        </w:rPr>
        <w:t>河南省</w:t>
      </w:r>
      <w:r>
        <w:rPr>
          <w:rFonts w:hint="eastAsia" w:ascii="宋体" w:hAnsi="宋体" w:eastAsia="MS Mincho"/>
          <w:color w:val="000000"/>
          <w:sz w:val="24"/>
          <w:szCs w:val="24"/>
        </w:rPr>
        <w:t>▪</w:t>
      </w:r>
      <w:r>
        <w:rPr>
          <w:rFonts w:hint="eastAsia" w:ascii="宋体" w:hAnsi="宋体"/>
          <w:color w:val="000000"/>
          <w:sz w:val="24"/>
          <w:szCs w:val="24"/>
        </w:rPr>
        <w:t>许昌市</w:t>
      </w:r>
      <w:r>
        <w:rPr>
          <w:rFonts w:ascii="宋体" w:hAnsi="宋体"/>
          <w:color w:val="000000"/>
          <w:sz w:val="24"/>
          <w:szCs w:val="24"/>
        </w:rPr>
        <w:t>)</w:t>
      </w:r>
      <w:r>
        <w:rPr>
          <w:rFonts w:hint="eastAsia" w:ascii="宋体" w:hAnsi="宋体"/>
          <w:color w:val="000000"/>
          <w:sz w:val="24"/>
          <w:szCs w:val="24"/>
        </w:rPr>
        <w:t>》公共资源交易系统（</w:t>
      </w:r>
      <w:r>
        <w:fldChar w:fldCharType="begin"/>
      </w:r>
      <w:r>
        <w:instrText xml:space="preserve"> HYPERLINK "http://221.14.6.70:8088/ggzy/" </w:instrText>
      </w:r>
      <w:r>
        <w:fldChar w:fldCharType="separate"/>
      </w:r>
      <w:r>
        <w:rPr>
          <w:rStyle w:val="28"/>
          <w:rFonts w:ascii="宋体" w:hAnsi="宋体"/>
          <w:sz w:val="24"/>
          <w:szCs w:val="24"/>
        </w:rPr>
        <w:t>http://221.14.6.70:8088/ggzy/</w:t>
      </w:r>
      <w:r>
        <w:rPr>
          <w:rFonts w:ascii="宋体" w:hAnsi="宋体"/>
          <w:sz w:val="24"/>
          <w:szCs w:val="24"/>
        </w:rPr>
        <w:fldChar w:fldCharType="end"/>
      </w:r>
      <w:r>
        <w:rPr>
          <w:rFonts w:hint="eastAsia" w:ascii="宋体" w:hAnsi="宋体"/>
          <w:color w:val="000000"/>
          <w:sz w:val="24"/>
          <w:szCs w:val="24"/>
        </w:rPr>
        <w:t>）生成“投标文件提交回执单”。</w:t>
      </w:r>
    </w:p>
    <w:p>
      <w:pPr>
        <w:shd w:val="clear" w:color="auto" w:fill="FFFFFF"/>
        <w:spacing w:line="360" w:lineRule="auto"/>
        <w:ind w:firstLine="422"/>
        <w:rPr>
          <w:rFonts w:ascii="宋体" w:hAnsi="宋体"/>
          <w:color w:val="000000"/>
          <w:sz w:val="24"/>
          <w:szCs w:val="24"/>
        </w:rPr>
      </w:pPr>
      <w:r>
        <w:rPr>
          <w:rFonts w:hint="eastAsia" w:ascii="宋体" w:hAnsi="宋体"/>
          <w:b/>
          <w:bCs/>
          <w:color w:val="000000"/>
          <w:sz w:val="24"/>
          <w:szCs w:val="24"/>
        </w:rPr>
        <w:t>5.远程不见面开标（电子投标文件的解密）</w:t>
      </w:r>
    </w:p>
    <w:p>
      <w:pPr>
        <w:shd w:val="clear" w:color="auto" w:fill="FFFFFF"/>
        <w:spacing w:line="360" w:lineRule="auto"/>
        <w:ind w:firstLine="420"/>
        <w:rPr>
          <w:rFonts w:ascii="宋体" w:hAnsi="宋体"/>
          <w:color w:val="000000"/>
          <w:sz w:val="24"/>
          <w:szCs w:val="24"/>
        </w:rPr>
      </w:pPr>
      <w:r>
        <w:rPr>
          <w:rFonts w:hint="eastAsia" w:ascii="宋体" w:hAnsi="宋体"/>
          <w:color w:val="000000"/>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宋体" w:hAnsi="宋体"/>
          <w:color w:val="000000"/>
          <w:sz w:val="24"/>
          <w:szCs w:val="24"/>
        </w:rPr>
      </w:pPr>
      <w:r>
        <w:rPr>
          <w:rFonts w:hint="eastAsia" w:ascii="宋体" w:hAnsi="宋体"/>
          <w:color w:val="000000"/>
          <w:sz w:val="24"/>
          <w:szCs w:val="24"/>
        </w:rPr>
        <w:t>5.2 《许昌市不见面操作手册》下载路径：全国公共资源交易平台（河南省·许昌市）—“资料下载”栏目。</w:t>
      </w:r>
    </w:p>
    <w:p>
      <w:pPr>
        <w:shd w:val="clear" w:color="auto" w:fill="FFFFFF"/>
        <w:spacing w:line="360" w:lineRule="auto"/>
        <w:ind w:firstLine="420"/>
        <w:rPr>
          <w:rFonts w:ascii="宋体" w:hAnsi="宋体"/>
          <w:color w:val="000000"/>
          <w:sz w:val="24"/>
          <w:szCs w:val="24"/>
        </w:rPr>
      </w:pPr>
      <w:r>
        <w:rPr>
          <w:rFonts w:hint="eastAsia" w:ascii="宋体" w:hAnsi="宋体"/>
          <w:color w:val="000000"/>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宋体" w:hAnsi="宋体"/>
          <w:color w:val="000000"/>
          <w:sz w:val="24"/>
          <w:szCs w:val="24"/>
        </w:rPr>
      </w:pPr>
      <w:r>
        <w:rPr>
          <w:rFonts w:hint="eastAsia" w:ascii="宋体" w:hAnsi="宋体"/>
          <w:color w:val="000000"/>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宋体" w:hAnsi="宋体"/>
          <w:color w:val="000000"/>
          <w:sz w:val="24"/>
          <w:szCs w:val="24"/>
        </w:rPr>
      </w:pPr>
      <w:r>
        <w:rPr>
          <w:rFonts w:hint="eastAsia" w:ascii="宋体" w:hAnsi="宋体"/>
          <w:color w:val="000000"/>
          <w:sz w:val="24"/>
          <w:szCs w:val="24"/>
        </w:rPr>
        <w:t>5.5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pPr>
        <w:shd w:val="clear" w:color="auto" w:fill="FFFFFF"/>
        <w:spacing w:line="360" w:lineRule="auto"/>
        <w:ind w:firstLine="420"/>
        <w:rPr>
          <w:rFonts w:ascii="宋体" w:hAnsi="宋体"/>
          <w:color w:val="000000"/>
          <w:sz w:val="24"/>
          <w:szCs w:val="24"/>
        </w:rPr>
      </w:pPr>
      <w:r>
        <w:rPr>
          <w:rFonts w:hint="eastAsia" w:ascii="宋体" w:hAnsi="宋体"/>
          <w:color w:val="000000"/>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宋体" w:hAnsi="宋体"/>
          <w:color w:val="000000"/>
          <w:sz w:val="24"/>
          <w:szCs w:val="24"/>
        </w:rPr>
      </w:pPr>
      <w:r>
        <w:rPr>
          <w:rFonts w:hint="eastAsia" w:ascii="宋体" w:hAnsi="宋体"/>
          <w:b/>
          <w:bCs/>
          <w:color w:val="000000"/>
          <w:sz w:val="24"/>
          <w:szCs w:val="24"/>
        </w:rPr>
        <w:t>6.评标依据</w:t>
      </w:r>
    </w:p>
    <w:p>
      <w:pPr>
        <w:shd w:val="clear" w:color="auto" w:fill="FFFFFF"/>
        <w:spacing w:line="360" w:lineRule="auto"/>
        <w:ind w:firstLine="420"/>
        <w:rPr>
          <w:rFonts w:ascii="宋体" w:hAnsi="宋体"/>
          <w:color w:val="000000"/>
          <w:sz w:val="24"/>
          <w:szCs w:val="24"/>
        </w:rPr>
      </w:pPr>
      <w:r>
        <w:rPr>
          <w:rFonts w:hint="eastAsia" w:ascii="宋体" w:hAnsi="宋体"/>
          <w:color w:val="000000"/>
          <w:sz w:val="24"/>
          <w:szCs w:val="24"/>
        </w:rPr>
        <w:t>6.1全流程电子化交易（不见面开标）项目，评标委员会以成功上传、解密的电子投标文件为依据评审。</w:t>
      </w:r>
    </w:p>
    <w:p>
      <w:pPr>
        <w:shd w:val="clear" w:color="auto" w:fill="FFFFFF"/>
        <w:spacing w:line="360" w:lineRule="auto"/>
        <w:ind w:firstLine="420"/>
        <w:rPr>
          <w:rFonts w:ascii="宋体" w:hAnsi="宋体"/>
          <w:color w:val="000000"/>
          <w:sz w:val="24"/>
          <w:szCs w:val="24"/>
        </w:rPr>
      </w:pPr>
      <w:r>
        <w:rPr>
          <w:rFonts w:hint="eastAsia" w:ascii="宋体" w:hAnsi="宋体"/>
          <w:color w:val="000000"/>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宋体" w:hAnsi="宋体"/>
          <w:sz w:val="24"/>
          <w:szCs w:val="24"/>
        </w:rPr>
      </w:pPr>
      <w:r>
        <w:rPr>
          <w:rFonts w:hint="eastAsia" w:ascii="宋体" w:hAnsi="宋体"/>
          <w:color w:val="000000"/>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4" w:type="default"/>
          <w:pgSz w:w="11906" w:h="16838"/>
          <w:pgMar w:top="2098" w:right="1474" w:bottom="1928" w:left="1588" w:header="851" w:footer="992" w:gutter="0"/>
          <w:cols w:space="720" w:num="1"/>
          <w:docGrid w:type="lines" w:linePitch="312"/>
        </w:sectPr>
      </w:pPr>
      <w:r>
        <w:rPr>
          <w:rFonts w:hint="eastAsia" w:hAnsi="宋体"/>
          <w:sz w:val="24"/>
          <w:szCs w:val="24"/>
        </w:rPr>
        <w:t xml:space="preserve">                                                                      </w:t>
      </w:r>
    </w:p>
    <w:p>
      <w:pPr>
        <w:jc w:val="center"/>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一、本项目需实现的功能或者目标</w:t>
      </w:r>
    </w:p>
    <w:p>
      <w:pPr>
        <w:autoSpaceDN w:val="0"/>
        <w:spacing w:line="360" w:lineRule="auto"/>
        <w:ind w:firstLine="480" w:firstLineChars="200"/>
        <w:rPr>
          <w:rFonts w:ascii="宋体" w:hAnsi="宋体" w:cs="仿宋_GB2312"/>
          <w:sz w:val="24"/>
          <w:szCs w:val="24"/>
          <w:shd w:val="clear" w:color="auto" w:fill="FFFFFF"/>
        </w:rPr>
      </w:pPr>
      <w:r>
        <w:rPr>
          <w:rFonts w:hint="eastAsia" w:ascii="宋体" w:hAnsi="宋体" w:cs="仿宋"/>
          <w:sz w:val="24"/>
          <w:szCs w:val="24"/>
          <w:lang w:val="en-US" w:eastAsia="zh-CN"/>
        </w:rPr>
        <w:t>1</w:t>
      </w:r>
      <w:r>
        <w:rPr>
          <w:rFonts w:hint="eastAsia" w:ascii="宋体" w:hAnsi="宋体" w:cs="仿宋"/>
          <w:sz w:val="24"/>
          <w:szCs w:val="24"/>
        </w:rPr>
        <w:t>、为保证本项目产品统一及协调性、成熟性，本次所采购的室外健身器材要求各项技术指标必须满足GB19272—2011《室外健身器材的安全通用要求》的有关规定，所有器材需通过国家体育用品质量监督检验中心检测及NSCC国体认证，（证书颁发日期为公告之前有效），且所投器材为同一品牌</w:t>
      </w:r>
      <w:r>
        <w:rPr>
          <w:rFonts w:hint="eastAsia" w:ascii="宋体" w:hAnsi="宋体" w:cs="仿宋"/>
          <w:color w:val="auto"/>
          <w:sz w:val="24"/>
          <w:szCs w:val="24"/>
          <w:lang w:eastAsia="zh-CN"/>
        </w:rPr>
        <w:t>（</w:t>
      </w:r>
      <w:r>
        <w:rPr>
          <w:rFonts w:hint="eastAsia" w:ascii="宋体" w:hAnsi="宋体" w:eastAsia="宋体" w:cs="宋体"/>
          <w:color w:val="auto"/>
          <w:sz w:val="24"/>
        </w:rPr>
        <w:t>多功能球场</w:t>
      </w:r>
      <w:r>
        <w:rPr>
          <w:rFonts w:hint="eastAsia" w:ascii="宋体" w:hAnsi="宋体" w:cs="仿宋"/>
          <w:color w:val="auto"/>
          <w:sz w:val="24"/>
          <w:szCs w:val="24"/>
          <w:lang w:val="en-US" w:eastAsia="zh-CN"/>
        </w:rPr>
        <w:t>除外，休闲椅除外</w:t>
      </w:r>
      <w:r>
        <w:rPr>
          <w:rFonts w:hint="eastAsia" w:ascii="宋体" w:hAnsi="宋体" w:cs="仿宋"/>
          <w:color w:val="auto"/>
          <w:sz w:val="24"/>
          <w:szCs w:val="24"/>
          <w:lang w:eastAsia="zh-CN"/>
        </w:rPr>
        <w:t>）</w:t>
      </w:r>
      <w:r>
        <w:rPr>
          <w:rFonts w:hint="eastAsia" w:ascii="宋体" w:hAnsi="宋体" w:cs="仿宋"/>
          <w:sz w:val="24"/>
          <w:szCs w:val="24"/>
        </w:rPr>
        <w:t>，否则视为无效投标。2、投标人中标后必须提供生产厂家的售后服务承诺函且加盖生产厂家公章。3、文化广场、三角花园、和谐广场、廉租房小区、相成一品广场共五处健身器材由中标方负责安装。</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二、采购清单（详细参数）</w:t>
      </w:r>
    </w:p>
    <w:tbl>
      <w:tblPr>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496"/>
        <w:gridCol w:w="5687"/>
        <w:gridCol w:w="791"/>
      </w:tblGrid>
      <w:tr>
        <w:trPr>
          <w:trHeight w:val="521" w:hRule="atLeast"/>
          <w:jc w:val="center"/>
        </w:trPr>
        <w:tc>
          <w:tcPr>
            <w:tcW w:w="1023" w:type="dxa"/>
            <w:vAlign w:val="top"/>
          </w:tcPr>
          <w:p>
            <w:pPr>
              <w:spacing w:line="320" w:lineRule="exact"/>
              <w:jc w:val="center"/>
              <w:rPr>
                <w:rFonts w:hint="eastAsia" w:ascii="仿宋" w:hAnsi="仿宋" w:eastAsia="仿宋" w:cs="仿宋"/>
                <w:sz w:val="22"/>
              </w:rPr>
            </w:pPr>
            <w:r>
              <w:rPr>
                <w:rFonts w:hint="eastAsia" w:ascii="仿宋" w:hAnsi="仿宋" w:eastAsia="仿宋" w:cs="仿宋"/>
                <w:sz w:val="22"/>
              </w:rPr>
              <w:t>序号</w:t>
            </w:r>
          </w:p>
        </w:tc>
        <w:tc>
          <w:tcPr>
            <w:tcW w:w="1496" w:type="dxa"/>
            <w:vAlign w:val="top"/>
          </w:tcPr>
          <w:p>
            <w:pPr>
              <w:spacing w:line="320" w:lineRule="exact"/>
              <w:jc w:val="center"/>
              <w:rPr>
                <w:rFonts w:hint="eastAsia" w:ascii="仿宋" w:hAnsi="仿宋" w:eastAsia="仿宋" w:cs="仿宋"/>
                <w:sz w:val="22"/>
              </w:rPr>
            </w:pPr>
            <w:r>
              <w:rPr>
                <w:rFonts w:hint="eastAsia" w:ascii="仿宋" w:hAnsi="仿宋" w:eastAsia="仿宋" w:cs="仿宋"/>
                <w:sz w:val="22"/>
              </w:rPr>
              <w:t>产品</w:t>
            </w:r>
          </w:p>
          <w:p>
            <w:pPr>
              <w:spacing w:line="320" w:lineRule="exact"/>
              <w:jc w:val="center"/>
              <w:rPr>
                <w:rFonts w:hint="eastAsia" w:ascii="仿宋" w:hAnsi="仿宋" w:eastAsia="仿宋" w:cs="仿宋"/>
                <w:sz w:val="22"/>
              </w:rPr>
            </w:pPr>
            <w:r>
              <w:rPr>
                <w:rFonts w:hint="eastAsia" w:ascii="仿宋" w:hAnsi="仿宋" w:eastAsia="仿宋" w:cs="仿宋"/>
                <w:sz w:val="22"/>
              </w:rPr>
              <w:t>名称</w:t>
            </w:r>
          </w:p>
        </w:tc>
        <w:tc>
          <w:tcPr>
            <w:tcW w:w="5687"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参   数</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数量</w:t>
            </w:r>
          </w:p>
          <w:p>
            <w:pPr>
              <w:spacing w:line="320" w:lineRule="exact"/>
              <w:jc w:val="center"/>
              <w:rPr>
                <w:rFonts w:hint="eastAsia" w:ascii="仿宋" w:hAnsi="仿宋" w:eastAsia="仿宋" w:cs="仿宋"/>
                <w:sz w:val="22"/>
              </w:rPr>
            </w:pPr>
            <w:r>
              <w:rPr>
                <w:rFonts w:hint="eastAsia" w:ascii="仿宋" w:hAnsi="仿宋" w:eastAsia="仿宋" w:cs="仿宋"/>
                <w:sz w:val="22"/>
              </w:rPr>
              <w:t>（件）</w:t>
            </w:r>
          </w:p>
        </w:tc>
      </w:tr>
      <w:tr>
        <w:trPr>
          <w:trHeight w:val="521" w:hRule="atLeast"/>
          <w:jc w:val="center"/>
        </w:trPr>
        <w:tc>
          <w:tcPr>
            <w:tcW w:w="1023" w:type="dxa"/>
            <w:vAlign w:val="center"/>
          </w:tcPr>
          <w:p>
            <w:pPr>
              <w:autoSpaceDN w:val="0"/>
              <w:spacing w:line="2400" w:lineRule="auto"/>
              <w:jc w:val="center"/>
              <w:textAlignment w:val="center"/>
              <w:rPr>
                <w:rFonts w:hint="eastAsia" w:ascii="仿宋" w:hAnsi="仿宋" w:eastAsia="仿宋" w:cs="仿宋"/>
                <w:sz w:val="22"/>
              </w:rPr>
            </w:pPr>
            <w:r>
              <w:rPr>
                <w:rFonts w:ascii="宋体" w:hAnsi="宋体" w:eastAsia="宋体"/>
                <w:color w:val="000000"/>
                <w:sz w:val="24"/>
              </w:rPr>
              <w:t>1</w:t>
            </w:r>
          </w:p>
        </w:tc>
        <w:tc>
          <w:tcPr>
            <w:tcW w:w="1496"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二位漫步机</w:t>
            </w:r>
          </w:p>
        </w:tc>
        <w:tc>
          <w:tcPr>
            <w:tcW w:w="5687" w:type="dxa"/>
            <w:vAlign w:val="top"/>
          </w:tcPr>
          <w:p>
            <w:pPr>
              <w:spacing w:line="320" w:lineRule="exact"/>
              <w:rPr>
                <w:rFonts w:hint="eastAsia" w:ascii="仿宋" w:hAnsi="仿宋" w:eastAsia="仿宋" w:cs="仿宋"/>
                <w:sz w:val="22"/>
              </w:rPr>
            </w:pPr>
            <w:r>
              <w:rPr>
                <w:rFonts w:hint="eastAsia" w:ascii="仿宋" w:hAnsi="仿宋" w:eastAsia="仿宋" w:cs="仿宋"/>
                <w:sz w:val="22"/>
              </w:rPr>
              <w:t>主承载立柱规格Φ114mm×3mm;</w:t>
            </w:r>
          </w:p>
          <w:p>
            <w:pPr>
              <w:spacing w:line="320" w:lineRule="exact"/>
              <w:rPr>
                <w:rFonts w:hint="eastAsia" w:ascii="仿宋" w:hAnsi="仿宋" w:eastAsia="仿宋" w:cs="仿宋"/>
                <w:sz w:val="22"/>
              </w:rPr>
            </w:pPr>
            <w:r>
              <w:rPr>
                <w:rFonts w:hint="eastAsia" w:ascii="仿宋" w:hAnsi="仿宋" w:eastAsia="仿宋" w:cs="仿宋"/>
                <w:sz w:val="22"/>
              </w:rPr>
              <w:t>主承载横梁规格Φ60mm×3mm;</w:t>
            </w:r>
          </w:p>
          <w:p>
            <w:pPr>
              <w:spacing w:line="320" w:lineRule="exact"/>
              <w:rPr>
                <w:rFonts w:hint="eastAsia" w:ascii="仿宋" w:hAnsi="仿宋" w:eastAsia="仿宋" w:cs="仿宋"/>
                <w:sz w:val="22"/>
              </w:rPr>
            </w:pPr>
            <w:r>
              <w:rPr>
                <w:rFonts w:hint="eastAsia" w:ascii="仿宋" w:hAnsi="仿宋" w:eastAsia="仿宋" w:cs="仿宋"/>
                <w:sz w:val="22"/>
              </w:rPr>
              <w:t>摆杆选用不小于Φ60×3mm的钢管</w:t>
            </w:r>
          </w:p>
          <w:p>
            <w:pPr>
              <w:spacing w:line="320" w:lineRule="exact"/>
              <w:rPr>
                <w:rFonts w:hint="eastAsia" w:ascii="仿宋" w:hAnsi="仿宋" w:eastAsia="仿宋" w:cs="仿宋"/>
                <w:sz w:val="22"/>
              </w:rPr>
            </w:pPr>
            <w:r>
              <w:rPr>
                <w:rFonts w:hint="eastAsia" w:ascii="仿宋" w:hAnsi="仿宋" w:eastAsia="仿宋" w:cs="仿宋"/>
                <w:sz w:val="22"/>
              </w:rPr>
              <w:t>摆杆有限位装置，单侧摆动幅度不大于65°，立柱与摆杆之间距离应不小于60mm；相邻两踏板之间距离不小于100mm；脚踏板前后设有防撞缓冲垫，且用不锈钢防盗螺丝紧固；不存在衣服头发钩挂或缠绕危险；不存在和使用功能无关的凸出物；产品符合GB19272-2011【室外健身器材安全 通用要求】标准，具有国家体育用品质量监督检验中心的检验报告。具有NSCC国体认证证书。</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10</w:t>
            </w:r>
          </w:p>
        </w:tc>
      </w:tr>
      <w:tr>
        <w:trPr>
          <w:trHeight w:val="2592" w:hRule="atLeast"/>
          <w:jc w:val="center"/>
        </w:trPr>
        <w:tc>
          <w:tcPr>
            <w:tcW w:w="1023" w:type="dxa"/>
            <w:vAlign w:val="center"/>
          </w:tcPr>
          <w:p>
            <w:pPr>
              <w:autoSpaceDN w:val="0"/>
              <w:spacing w:line="2400" w:lineRule="auto"/>
              <w:jc w:val="center"/>
              <w:textAlignment w:val="center"/>
              <w:rPr>
                <w:rFonts w:hint="eastAsia" w:ascii="仿宋" w:hAnsi="仿宋" w:eastAsia="仿宋" w:cs="仿宋"/>
                <w:sz w:val="22"/>
              </w:rPr>
            </w:pPr>
            <w:r>
              <w:rPr>
                <w:rFonts w:ascii="宋体" w:hAnsi="宋体" w:eastAsia="宋体"/>
                <w:color w:val="000000"/>
                <w:sz w:val="24"/>
              </w:rPr>
              <w:t>2</w:t>
            </w:r>
          </w:p>
        </w:tc>
        <w:tc>
          <w:tcPr>
            <w:tcW w:w="1496"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腰背按摩器</w:t>
            </w:r>
          </w:p>
        </w:tc>
        <w:tc>
          <w:tcPr>
            <w:tcW w:w="5687" w:type="dxa"/>
            <w:vAlign w:val="top"/>
          </w:tcPr>
          <w:p>
            <w:pPr>
              <w:spacing w:line="320" w:lineRule="exact"/>
              <w:rPr>
                <w:rFonts w:hint="eastAsia" w:ascii="仿宋" w:hAnsi="仿宋" w:eastAsia="仿宋" w:cs="仿宋"/>
                <w:sz w:val="22"/>
              </w:rPr>
            </w:pPr>
            <w:r>
              <w:rPr>
                <w:rFonts w:hint="eastAsia" w:ascii="仿宋" w:hAnsi="仿宋" w:eastAsia="仿宋" w:cs="仿宋"/>
                <w:sz w:val="22"/>
              </w:rPr>
              <w:t>主承载立柱规格：Φ114x3mm主承载横梁规格：Φ42x3活动部件与固定部件之间的距离应不小于60mm；</w:t>
            </w:r>
          </w:p>
          <w:p>
            <w:pPr>
              <w:spacing w:line="320" w:lineRule="exact"/>
              <w:rPr>
                <w:rFonts w:hint="eastAsia" w:ascii="仿宋" w:hAnsi="仿宋" w:eastAsia="仿宋" w:cs="仿宋"/>
                <w:sz w:val="22"/>
              </w:rPr>
            </w:pPr>
            <w:r>
              <w:rPr>
                <w:rFonts w:hint="eastAsia" w:ascii="仿宋" w:hAnsi="仿宋" w:eastAsia="仿宋" w:cs="仿宋"/>
                <w:sz w:val="22"/>
              </w:rPr>
              <w:t>扶手直径应不小于16mm且不大于45mm轴承采用6205 两型号深沟球轴承，并有防尘、防水结构转动部件与端面固定件之间距离为1.5mm不允许存在剪切点、挤压点、引入点，不允许存在刚性碰撞；产品符合GB19272-2011【室外健身器材安全 通用要求】标准，具有国家体育用品质量监督检验中心的检验报告。具有NSCC国体认证证书。</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10</w:t>
            </w:r>
          </w:p>
        </w:tc>
      </w:tr>
      <w:tr>
        <w:trPr>
          <w:trHeight w:val="90" w:hRule="atLeast"/>
          <w:jc w:val="center"/>
        </w:trPr>
        <w:tc>
          <w:tcPr>
            <w:tcW w:w="1023" w:type="dxa"/>
            <w:vAlign w:val="center"/>
          </w:tcPr>
          <w:p>
            <w:pPr>
              <w:autoSpaceDN w:val="0"/>
              <w:spacing w:line="2400" w:lineRule="auto"/>
              <w:jc w:val="center"/>
              <w:textAlignment w:val="center"/>
              <w:rPr>
                <w:rFonts w:hint="eastAsia" w:ascii="仿宋" w:hAnsi="仿宋" w:eastAsia="仿宋" w:cs="仿宋"/>
                <w:sz w:val="22"/>
              </w:rPr>
            </w:pPr>
            <w:r>
              <w:rPr>
                <w:rFonts w:ascii="宋体" w:hAnsi="宋体" w:eastAsia="宋体"/>
                <w:color w:val="000000"/>
                <w:sz w:val="24"/>
              </w:rPr>
              <w:t>3</w:t>
            </w:r>
          </w:p>
        </w:tc>
        <w:tc>
          <w:tcPr>
            <w:tcW w:w="1496"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上肢牵引器</w:t>
            </w:r>
          </w:p>
        </w:tc>
        <w:tc>
          <w:tcPr>
            <w:tcW w:w="5687" w:type="dxa"/>
            <w:vAlign w:val="top"/>
          </w:tcPr>
          <w:p>
            <w:pPr>
              <w:spacing w:line="320" w:lineRule="exact"/>
              <w:rPr>
                <w:rFonts w:hint="eastAsia" w:ascii="仿宋" w:hAnsi="仿宋" w:eastAsia="仿宋" w:cs="仿宋"/>
                <w:sz w:val="22"/>
              </w:rPr>
            </w:pPr>
            <w:r>
              <w:rPr>
                <w:rFonts w:hint="eastAsia" w:ascii="仿宋" w:hAnsi="仿宋" w:eastAsia="仿宋" w:cs="仿宋"/>
                <w:sz w:val="22"/>
              </w:rPr>
              <w:t>主承载立柱规格（mm）：Φ114×3</w:t>
            </w:r>
          </w:p>
          <w:p>
            <w:pPr>
              <w:spacing w:line="320" w:lineRule="exact"/>
              <w:rPr>
                <w:rFonts w:hint="eastAsia" w:ascii="仿宋" w:hAnsi="仿宋" w:eastAsia="仿宋" w:cs="仿宋"/>
                <w:sz w:val="22"/>
              </w:rPr>
            </w:pPr>
            <w:r>
              <w:rPr>
                <w:rFonts w:hint="eastAsia" w:ascii="仿宋" w:hAnsi="仿宋" w:eastAsia="仿宋" w:cs="仿宋"/>
                <w:sz w:val="22"/>
              </w:rPr>
              <w:t>主承载横梁钢管（mm）：φ89×3；</w:t>
            </w:r>
          </w:p>
          <w:p>
            <w:pPr>
              <w:spacing w:line="320" w:lineRule="exact"/>
              <w:rPr>
                <w:rFonts w:hint="eastAsia" w:ascii="仿宋" w:hAnsi="仿宋" w:eastAsia="仿宋" w:cs="仿宋"/>
                <w:sz w:val="22"/>
              </w:rPr>
            </w:pPr>
            <w:r>
              <w:rPr>
                <w:rFonts w:hint="eastAsia" w:ascii="仿宋" w:hAnsi="仿宋" w:eastAsia="仿宋" w:cs="仿宋"/>
                <w:sz w:val="22"/>
              </w:rPr>
              <w:t>采用内置限位装置，把手重量不大于600g，柔性连接装置小于把手重量承受载荷拉力不小于16000N；</w:t>
            </w:r>
          </w:p>
          <w:p>
            <w:pPr>
              <w:spacing w:line="320" w:lineRule="exact"/>
              <w:rPr>
                <w:rFonts w:hint="eastAsia" w:ascii="仿宋" w:hAnsi="仿宋" w:eastAsia="仿宋" w:cs="仿宋"/>
                <w:sz w:val="22"/>
              </w:rPr>
            </w:pPr>
            <w:r>
              <w:rPr>
                <w:rFonts w:hint="eastAsia" w:ascii="仿宋" w:hAnsi="仿宋" w:eastAsia="仿宋" w:cs="仿宋"/>
                <w:sz w:val="22"/>
              </w:rPr>
              <w:t>摆杆运动至极限位置时，摆杆最低点与地面的距离大于1850mm；紧固件材质为不锈钢，具有防盗、防锈、防松功能，需专用工具方可拆卸；产品符合GB19272-2011【室外健身器材安全 通用要求】标准，具有国家体育用品质量监督检验中心的检验报告。具有NSCC国体认证证书。</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10</w:t>
            </w:r>
          </w:p>
        </w:tc>
      </w:tr>
      <w:tr>
        <w:trPr>
          <w:trHeight w:val="521" w:hRule="atLeast"/>
          <w:jc w:val="center"/>
        </w:trPr>
        <w:tc>
          <w:tcPr>
            <w:tcW w:w="1023" w:type="dxa"/>
            <w:vAlign w:val="center"/>
          </w:tcPr>
          <w:p>
            <w:pPr>
              <w:autoSpaceDN w:val="0"/>
              <w:spacing w:line="2400" w:lineRule="auto"/>
              <w:jc w:val="center"/>
              <w:textAlignment w:val="center"/>
              <w:rPr>
                <w:rFonts w:hint="eastAsia" w:ascii="仿宋" w:hAnsi="仿宋" w:eastAsia="仿宋" w:cs="仿宋"/>
                <w:sz w:val="22"/>
              </w:rPr>
            </w:pPr>
            <w:r>
              <w:rPr>
                <w:rFonts w:ascii="宋体" w:hAnsi="宋体" w:eastAsia="宋体"/>
                <w:color w:val="000000"/>
                <w:sz w:val="24"/>
              </w:rPr>
              <w:t>4</w:t>
            </w:r>
          </w:p>
        </w:tc>
        <w:tc>
          <w:tcPr>
            <w:tcW w:w="1496"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骑马机</w:t>
            </w:r>
          </w:p>
        </w:tc>
        <w:tc>
          <w:tcPr>
            <w:tcW w:w="5687" w:type="dxa"/>
            <w:vAlign w:val="top"/>
          </w:tcPr>
          <w:p>
            <w:pPr>
              <w:spacing w:line="320" w:lineRule="exact"/>
              <w:rPr>
                <w:rFonts w:hint="eastAsia" w:ascii="仿宋" w:hAnsi="仿宋" w:eastAsia="仿宋" w:cs="仿宋"/>
                <w:sz w:val="22"/>
              </w:rPr>
            </w:pPr>
            <w:r>
              <w:rPr>
                <w:rFonts w:hint="eastAsia" w:ascii="仿宋" w:hAnsi="仿宋" w:eastAsia="仿宋" w:cs="仿宋"/>
                <w:sz w:val="22"/>
              </w:rPr>
              <w:t>主承载立柱规格（mm）：Φ114×3</w:t>
            </w:r>
          </w:p>
          <w:p>
            <w:pPr>
              <w:spacing w:line="320" w:lineRule="exact"/>
              <w:rPr>
                <w:rFonts w:hint="eastAsia" w:ascii="仿宋" w:hAnsi="仿宋" w:eastAsia="仿宋" w:cs="仿宋"/>
                <w:sz w:val="22"/>
              </w:rPr>
            </w:pPr>
            <w:r>
              <w:rPr>
                <w:rFonts w:hint="eastAsia" w:ascii="仿宋" w:hAnsi="仿宋" w:eastAsia="仿宋" w:cs="仿宋"/>
                <w:sz w:val="22"/>
              </w:rPr>
              <w:t>主承载横梁钢管（mm）：φ60×3；</w:t>
            </w:r>
          </w:p>
          <w:p>
            <w:pPr>
              <w:spacing w:line="320" w:lineRule="exact"/>
              <w:rPr>
                <w:rFonts w:hint="eastAsia" w:ascii="仿宋" w:hAnsi="仿宋" w:eastAsia="仿宋" w:cs="仿宋"/>
                <w:sz w:val="22"/>
              </w:rPr>
            </w:pPr>
            <w:r>
              <w:rPr>
                <w:rFonts w:hint="eastAsia" w:ascii="仿宋" w:hAnsi="仿宋" w:eastAsia="仿宋" w:cs="仿宋"/>
                <w:sz w:val="22"/>
              </w:rPr>
              <w:t>所有管材壁厚不小于2mm，耳片、连接片壁厚不小于5mm</w:t>
            </w:r>
          </w:p>
          <w:p>
            <w:pPr>
              <w:spacing w:line="320" w:lineRule="exact"/>
              <w:rPr>
                <w:rFonts w:hint="eastAsia" w:ascii="仿宋" w:hAnsi="仿宋" w:eastAsia="仿宋" w:cs="仿宋"/>
                <w:sz w:val="22"/>
              </w:rPr>
            </w:pPr>
            <w:r>
              <w:rPr>
                <w:rFonts w:hint="eastAsia" w:ascii="仿宋" w:hAnsi="仿宋" w:eastAsia="仿宋" w:cs="仿宋"/>
                <w:sz w:val="22"/>
              </w:rPr>
              <w:t>转轴直径不小于20mm；</w:t>
            </w:r>
          </w:p>
          <w:p>
            <w:pPr>
              <w:spacing w:line="320" w:lineRule="exact"/>
              <w:rPr>
                <w:rFonts w:hint="eastAsia" w:ascii="仿宋" w:hAnsi="仿宋" w:eastAsia="仿宋" w:cs="仿宋"/>
                <w:sz w:val="22"/>
              </w:rPr>
            </w:pPr>
            <w:r>
              <w:rPr>
                <w:rFonts w:hint="eastAsia" w:ascii="仿宋" w:hAnsi="仿宋" w:eastAsia="仿宋" w:cs="仿宋"/>
                <w:sz w:val="22"/>
              </w:rPr>
              <w:t>脚踏杆底部离地高度不小于120mm；</w:t>
            </w:r>
          </w:p>
          <w:p>
            <w:pPr>
              <w:spacing w:line="320" w:lineRule="exact"/>
              <w:rPr>
                <w:rFonts w:hint="eastAsia" w:ascii="仿宋" w:hAnsi="仿宋" w:eastAsia="仿宋" w:cs="仿宋"/>
                <w:sz w:val="22"/>
              </w:rPr>
            </w:pPr>
            <w:r>
              <w:rPr>
                <w:rFonts w:hint="eastAsia" w:ascii="仿宋" w:hAnsi="仿宋" w:eastAsia="仿宋" w:cs="仿宋"/>
                <w:sz w:val="22"/>
              </w:rPr>
              <w:t>扶手采用橡胶把套, 可有效防滑，座板采用优质钢板一次冲压成型，厚度4.0mm</w:t>
            </w:r>
          </w:p>
          <w:p>
            <w:pPr>
              <w:spacing w:line="320" w:lineRule="exact"/>
              <w:rPr>
                <w:rFonts w:hint="eastAsia" w:ascii="仿宋" w:hAnsi="仿宋" w:eastAsia="仿宋" w:cs="仿宋"/>
                <w:sz w:val="22"/>
              </w:rPr>
            </w:pPr>
            <w:r>
              <w:rPr>
                <w:rFonts w:hint="eastAsia" w:ascii="仿宋" w:hAnsi="仿宋" w:eastAsia="仿宋" w:cs="仿宋"/>
                <w:sz w:val="22"/>
              </w:rPr>
              <w:t>座管摆动设有内置双限位装置，可有效防止挤压；</w:t>
            </w:r>
          </w:p>
          <w:p>
            <w:pPr>
              <w:spacing w:line="320" w:lineRule="exact"/>
              <w:rPr>
                <w:rFonts w:hint="eastAsia" w:ascii="仿宋" w:hAnsi="仿宋" w:eastAsia="仿宋" w:cs="仿宋"/>
                <w:sz w:val="22"/>
              </w:rPr>
            </w:pPr>
            <w:r>
              <w:rPr>
                <w:rFonts w:hint="eastAsia" w:ascii="仿宋" w:hAnsi="仿宋" w:eastAsia="仿宋" w:cs="仿宋"/>
                <w:sz w:val="22"/>
              </w:rPr>
              <w:t>产品符合GB19272-2011【室外健身器材安全 通用要求】标准，具有国家体育用品质量监督检验中心的检验报告。具有NSCC国体认证证书。</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10</w:t>
            </w:r>
          </w:p>
        </w:tc>
      </w:tr>
      <w:tr>
        <w:trPr>
          <w:trHeight w:val="521" w:hRule="atLeast"/>
          <w:jc w:val="center"/>
        </w:trPr>
        <w:tc>
          <w:tcPr>
            <w:tcW w:w="1023" w:type="dxa"/>
            <w:vAlign w:val="center"/>
          </w:tcPr>
          <w:p>
            <w:pPr>
              <w:autoSpaceDN w:val="0"/>
              <w:spacing w:line="2400" w:lineRule="auto"/>
              <w:jc w:val="center"/>
              <w:textAlignment w:val="center"/>
              <w:rPr>
                <w:rFonts w:hint="eastAsia" w:ascii="仿宋" w:hAnsi="仿宋" w:eastAsia="仿宋" w:cs="仿宋"/>
                <w:sz w:val="22"/>
              </w:rPr>
            </w:pPr>
            <w:r>
              <w:rPr>
                <w:rFonts w:ascii="宋体" w:hAnsi="宋体" w:eastAsia="宋体"/>
                <w:color w:val="000000"/>
                <w:sz w:val="24"/>
              </w:rPr>
              <w:t>5</w:t>
            </w:r>
          </w:p>
        </w:tc>
        <w:tc>
          <w:tcPr>
            <w:tcW w:w="1496"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腹肌板</w:t>
            </w:r>
          </w:p>
        </w:tc>
        <w:tc>
          <w:tcPr>
            <w:tcW w:w="5687" w:type="dxa"/>
            <w:vAlign w:val="top"/>
          </w:tcPr>
          <w:p>
            <w:pPr>
              <w:spacing w:line="320" w:lineRule="exact"/>
              <w:rPr>
                <w:rFonts w:hint="eastAsia" w:ascii="仿宋" w:hAnsi="仿宋" w:eastAsia="仿宋" w:cs="仿宋"/>
                <w:sz w:val="22"/>
              </w:rPr>
            </w:pPr>
            <w:r>
              <w:rPr>
                <w:rFonts w:hint="eastAsia" w:ascii="仿宋" w:hAnsi="仿宋" w:eastAsia="仿宋" w:cs="仿宋"/>
                <w:sz w:val="22"/>
              </w:rPr>
              <w:t>立柱规格Φ114×3mm的钢管；</w:t>
            </w:r>
          </w:p>
          <w:p>
            <w:pPr>
              <w:spacing w:line="320" w:lineRule="exact"/>
              <w:rPr>
                <w:rFonts w:hint="eastAsia" w:ascii="仿宋" w:hAnsi="仿宋" w:eastAsia="仿宋" w:cs="仿宋"/>
                <w:sz w:val="22"/>
              </w:rPr>
            </w:pPr>
            <w:r>
              <w:rPr>
                <w:rFonts w:hint="eastAsia" w:ascii="仿宋" w:hAnsi="仿宋" w:eastAsia="仿宋" w:cs="仿宋"/>
                <w:sz w:val="22"/>
              </w:rPr>
              <w:t>主要承载横梁Φ60×3.0mm钢管。</w:t>
            </w:r>
          </w:p>
          <w:p>
            <w:pPr>
              <w:spacing w:line="320" w:lineRule="exact"/>
              <w:rPr>
                <w:rFonts w:hint="eastAsia" w:ascii="仿宋" w:hAnsi="仿宋" w:eastAsia="仿宋" w:cs="仿宋"/>
                <w:sz w:val="22"/>
              </w:rPr>
            </w:pPr>
            <w:r>
              <w:rPr>
                <w:rFonts w:hint="eastAsia" w:ascii="仿宋" w:hAnsi="仿宋" w:eastAsia="仿宋" w:cs="仿宋"/>
                <w:sz w:val="22"/>
              </w:rPr>
              <w:t>弧形板面为一次冲压成型</w:t>
            </w:r>
          </w:p>
          <w:p>
            <w:pPr>
              <w:spacing w:line="320" w:lineRule="exact"/>
              <w:rPr>
                <w:rFonts w:hint="eastAsia" w:ascii="仿宋" w:hAnsi="仿宋" w:eastAsia="仿宋" w:cs="仿宋"/>
                <w:sz w:val="22"/>
              </w:rPr>
            </w:pPr>
            <w:r>
              <w:rPr>
                <w:rFonts w:hint="eastAsia" w:ascii="仿宋" w:hAnsi="仿宋" w:eastAsia="仿宋" w:cs="仿宋"/>
                <w:sz w:val="22"/>
              </w:rPr>
              <w:t>不存在和使用功能无关的凸出物；器材各支撑人体的表面所有棱边和尖角半径3.0mm，使用者或第三者易接触的零部件的其他所有棱边进行圆滑过渡</w:t>
            </w:r>
          </w:p>
          <w:p>
            <w:pPr>
              <w:spacing w:line="320" w:lineRule="exact"/>
              <w:rPr>
                <w:rFonts w:hint="eastAsia" w:ascii="仿宋" w:hAnsi="仿宋" w:eastAsia="仿宋" w:cs="仿宋"/>
                <w:sz w:val="22"/>
              </w:rPr>
            </w:pPr>
            <w:r>
              <w:rPr>
                <w:rFonts w:hint="eastAsia" w:ascii="仿宋" w:hAnsi="仿宋" w:eastAsia="仿宋" w:cs="仿宋"/>
                <w:sz w:val="22"/>
              </w:rPr>
              <w:t>产品符合GB19272-2011【室外健身器材安全 通用要求】标准，具有国家体育用品质量监督检验中心的检验报告。具有NSCC国体认证证书。</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10</w:t>
            </w:r>
          </w:p>
        </w:tc>
      </w:tr>
      <w:tr>
        <w:trPr>
          <w:trHeight w:val="2783" w:hRule="atLeast"/>
          <w:jc w:val="center"/>
        </w:trPr>
        <w:tc>
          <w:tcPr>
            <w:tcW w:w="1023" w:type="dxa"/>
            <w:vAlign w:val="center"/>
          </w:tcPr>
          <w:p>
            <w:pPr>
              <w:autoSpaceDN w:val="0"/>
              <w:spacing w:line="2400" w:lineRule="auto"/>
              <w:jc w:val="center"/>
              <w:textAlignment w:val="center"/>
              <w:rPr>
                <w:rFonts w:hint="eastAsia" w:ascii="仿宋" w:hAnsi="仿宋" w:eastAsia="仿宋" w:cs="仿宋"/>
                <w:sz w:val="22"/>
              </w:rPr>
            </w:pPr>
            <w:r>
              <w:rPr>
                <w:rFonts w:ascii="宋体" w:hAnsi="宋体" w:eastAsia="宋体"/>
                <w:color w:val="000000"/>
                <w:sz w:val="24"/>
              </w:rPr>
              <w:t>6</w:t>
            </w:r>
          </w:p>
        </w:tc>
        <w:tc>
          <w:tcPr>
            <w:tcW w:w="1496"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腿部按摩器</w:t>
            </w:r>
          </w:p>
        </w:tc>
        <w:tc>
          <w:tcPr>
            <w:tcW w:w="5687" w:type="dxa"/>
            <w:vAlign w:val="top"/>
          </w:tcPr>
          <w:p>
            <w:pPr>
              <w:spacing w:line="320" w:lineRule="exact"/>
              <w:rPr>
                <w:rFonts w:hint="eastAsia" w:ascii="仿宋" w:hAnsi="仿宋" w:eastAsia="仿宋" w:cs="仿宋"/>
                <w:sz w:val="22"/>
              </w:rPr>
            </w:pPr>
            <w:r>
              <w:rPr>
                <w:rFonts w:hint="eastAsia" w:ascii="仿宋" w:hAnsi="仿宋" w:eastAsia="仿宋" w:cs="仿宋"/>
                <w:sz w:val="22"/>
              </w:rPr>
              <w:t>主立柱管采用Φ114×3.0mm钢管，支撑管为25圆钢，把手管采用Φ42×3mm钢管；按摩轮为ABS材质。不存在和使用功能无关的凸出物；器材各支撑人体的表面所有棱边和尖角半径3.0mm，使用者或第三者易接触的零部件的其他所有棱边进行圆滑过渡。</w:t>
            </w:r>
          </w:p>
          <w:p>
            <w:pPr>
              <w:spacing w:line="320" w:lineRule="exact"/>
              <w:rPr>
                <w:rFonts w:hint="eastAsia" w:ascii="仿宋" w:hAnsi="仿宋" w:eastAsia="仿宋" w:cs="仿宋"/>
                <w:sz w:val="22"/>
              </w:rPr>
            </w:pPr>
            <w:r>
              <w:rPr>
                <w:rFonts w:hint="eastAsia" w:ascii="仿宋" w:hAnsi="仿宋" w:eastAsia="仿宋" w:cs="仿宋"/>
                <w:sz w:val="22"/>
              </w:rPr>
              <w:t>产品符合GB19272-2011【室外健身器材安全 通用要求】标准，具有国家体育用品质量监督检验中心的检验报告。具有NSCC国体认证证书。</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10</w:t>
            </w:r>
          </w:p>
        </w:tc>
      </w:tr>
      <w:tr>
        <w:trPr>
          <w:trHeight w:val="521" w:hRule="atLeast"/>
          <w:jc w:val="center"/>
        </w:trPr>
        <w:tc>
          <w:tcPr>
            <w:tcW w:w="1023" w:type="dxa"/>
            <w:vAlign w:val="center"/>
          </w:tcPr>
          <w:p>
            <w:pPr>
              <w:autoSpaceDN w:val="0"/>
              <w:spacing w:line="2400" w:lineRule="auto"/>
              <w:jc w:val="center"/>
              <w:textAlignment w:val="center"/>
              <w:rPr>
                <w:rFonts w:hint="eastAsia" w:ascii="仿宋" w:hAnsi="仿宋" w:eastAsia="仿宋" w:cs="仿宋"/>
                <w:sz w:val="22"/>
              </w:rPr>
            </w:pPr>
            <w:r>
              <w:rPr>
                <w:rFonts w:ascii="宋体" w:hAnsi="宋体" w:eastAsia="宋体"/>
                <w:color w:val="000000"/>
                <w:sz w:val="24"/>
              </w:rPr>
              <w:t>7</w:t>
            </w:r>
          </w:p>
        </w:tc>
        <w:tc>
          <w:tcPr>
            <w:tcW w:w="1496"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太极揉推器</w:t>
            </w:r>
          </w:p>
        </w:tc>
        <w:tc>
          <w:tcPr>
            <w:tcW w:w="5687" w:type="dxa"/>
            <w:vAlign w:val="top"/>
          </w:tcPr>
          <w:p>
            <w:pPr>
              <w:spacing w:line="320" w:lineRule="exact"/>
              <w:rPr>
                <w:rFonts w:hint="eastAsia" w:ascii="仿宋" w:hAnsi="仿宋" w:eastAsia="仿宋" w:cs="仿宋"/>
                <w:sz w:val="22"/>
              </w:rPr>
            </w:pPr>
            <w:r>
              <w:rPr>
                <w:rFonts w:hint="eastAsia" w:ascii="仿宋" w:hAnsi="仿宋" w:eastAsia="仿宋" w:cs="仿宋"/>
                <w:sz w:val="22"/>
              </w:rPr>
              <w:t>主要承载立柱尺寸不小于φ114mm×3mm,其他管材壁厚不小于3mm；</w:t>
            </w:r>
          </w:p>
          <w:p>
            <w:pPr>
              <w:spacing w:line="320" w:lineRule="exact"/>
              <w:rPr>
                <w:rFonts w:hint="eastAsia" w:ascii="仿宋" w:hAnsi="仿宋" w:eastAsia="仿宋" w:cs="仿宋"/>
                <w:sz w:val="22"/>
              </w:rPr>
            </w:pPr>
            <w:r>
              <w:rPr>
                <w:rFonts w:hint="eastAsia" w:ascii="仿宋" w:hAnsi="仿宋" w:eastAsia="仿宋" w:cs="仿宋"/>
                <w:sz w:val="22"/>
              </w:rPr>
              <w:t>产品应采用优质铁圆盘，两圆盘间距应≥230mm；</w:t>
            </w:r>
          </w:p>
          <w:p>
            <w:pPr>
              <w:spacing w:line="320" w:lineRule="exact"/>
              <w:rPr>
                <w:rFonts w:hint="eastAsia" w:ascii="仿宋" w:hAnsi="仿宋" w:eastAsia="仿宋" w:cs="仿宋"/>
                <w:sz w:val="22"/>
              </w:rPr>
            </w:pPr>
            <w:r>
              <w:rPr>
                <w:rFonts w:hint="eastAsia" w:ascii="仿宋" w:hAnsi="仿宋" w:eastAsia="仿宋" w:cs="仿宋"/>
                <w:sz w:val="22"/>
              </w:rPr>
              <w:t>主承载横梁钢管（mm）：φ60×3；</w:t>
            </w:r>
          </w:p>
          <w:p>
            <w:pPr>
              <w:spacing w:line="320" w:lineRule="exact"/>
              <w:rPr>
                <w:rFonts w:hint="eastAsia" w:ascii="仿宋" w:hAnsi="仿宋" w:eastAsia="仿宋" w:cs="仿宋"/>
                <w:sz w:val="22"/>
              </w:rPr>
            </w:pPr>
            <w:r>
              <w:rPr>
                <w:rFonts w:hint="eastAsia" w:ascii="仿宋" w:hAnsi="仿宋" w:eastAsia="仿宋" w:cs="仿宋"/>
                <w:sz w:val="22"/>
              </w:rPr>
              <w:t>产品采用∮450mm 优一次冲压而成的圆盘。</w:t>
            </w:r>
          </w:p>
          <w:p>
            <w:pPr>
              <w:spacing w:line="320" w:lineRule="exact"/>
              <w:rPr>
                <w:rFonts w:hint="eastAsia" w:ascii="仿宋" w:hAnsi="仿宋" w:eastAsia="仿宋" w:cs="仿宋"/>
                <w:sz w:val="22"/>
              </w:rPr>
            </w:pPr>
            <w:r>
              <w:rPr>
                <w:rFonts w:hint="eastAsia" w:ascii="仿宋" w:hAnsi="仿宋" w:eastAsia="仿宋" w:cs="仿宋"/>
                <w:sz w:val="22"/>
              </w:rPr>
              <w:t>转轴采用∮20mm 圆钢，转轴部位设置有防止超速转动的阻尼装置，轴承部位设置有密封圈，防尘、防水。</w:t>
            </w:r>
          </w:p>
          <w:p>
            <w:pPr>
              <w:spacing w:line="320" w:lineRule="exact"/>
              <w:rPr>
                <w:rFonts w:hint="eastAsia" w:ascii="仿宋" w:hAnsi="仿宋" w:eastAsia="仿宋" w:cs="仿宋"/>
                <w:sz w:val="22"/>
              </w:rPr>
            </w:pPr>
            <w:r>
              <w:rPr>
                <w:rFonts w:hint="eastAsia" w:ascii="仿宋" w:hAnsi="仿宋" w:eastAsia="仿宋" w:cs="仿宋"/>
                <w:sz w:val="22"/>
              </w:rPr>
              <w:t>产品符合GB19272-2011【室外健身器材安全 通用要求】标准，具有国家体育用品质量监督检验中心的检验报告。具有NSCC国体认证证书。</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10</w:t>
            </w:r>
          </w:p>
        </w:tc>
      </w:tr>
      <w:tr>
        <w:trPr>
          <w:trHeight w:val="580" w:hRule="atLeast"/>
          <w:jc w:val="center"/>
        </w:trPr>
        <w:tc>
          <w:tcPr>
            <w:tcW w:w="1023" w:type="dxa"/>
            <w:vAlign w:val="center"/>
          </w:tcPr>
          <w:p>
            <w:pPr>
              <w:autoSpaceDN w:val="0"/>
              <w:spacing w:line="2400" w:lineRule="auto"/>
              <w:jc w:val="center"/>
              <w:textAlignment w:val="center"/>
              <w:rPr>
                <w:rFonts w:hint="eastAsia" w:ascii="仿宋" w:hAnsi="仿宋" w:eastAsia="仿宋" w:cs="仿宋"/>
                <w:sz w:val="22"/>
              </w:rPr>
            </w:pPr>
            <w:r>
              <w:rPr>
                <w:rFonts w:ascii="宋体" w:hAnsi="宋体" w:eastAsia="宋体"/>
                <w:color w:val="000000"/>
                <w:sz w:val="24"/>
              </w:rPr>
              <w:t>8</w:t>
            </w:r>
          </w:p>
        </w:tc>
        <w:tc>
          <w:tcPr>
            <w:tcW w:w="1496"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伸腰伸背器</w:t>
            </w:r>
          </w:p>
        </w:tc>
        <w:tc>
          <w:tcPr>
            <w:tcW w:w="5687" w:type="dxa"/>
            <w:vAlign w:val="top"/>
          </w:tcPr>
          <w:p>
            <w:pPr>
              <w:spacing w:line="320" w:lineRule="exact"/>
              <w:rPr>
                <w:rFonts w:hint="eastAsia" w:ascii="仿宋" w:hAnsi="仿宋" w:eastAsia="仿宋" w:cs="仿宋"/>
                <w:sz w:val="22"/>
              </w:rPr>
            </w:pPr>
            <w:r>
              <w:rPr>
                <w:rFonts w:hint="eastAsia" w:ascii="仿宋" w:hAnsi="仿宋" w:eastAsia="仿宋" w:cs="仿宋"/>
                <w:sz w:val="22"/>
              </w:rPr>
              <w:t>主承载立柱尺寸：φ114x3</w:t>
            </w:r>
          </w:p>
          <w:p>
            <w:pPr>
              <w:spacing w:line="320" w:lineRule="exact"/>
              <w:rPr>
                <w:rFonts w:hint="eastAsia" w:ascii="仿宋" w:hAnsi="仿宋" w:eastAsia="仿宋" w:cs="仿宋"/>
                <w:sz w:val="22"/>
              </w:rPr>
            </w:pPr>
            <w:r>
              <w:rPr>
                <w:rFonts w:hint="eastAsia" w:ascii="仿宋" w:hAnsi="仿宋" w:eastAsia="仿宋" w:cs="仿宋"/>
                <w:sz w:val="22"/>
              </w:rPr>
              <w:t>主承载横梁尺寸；□160x40x2.5</w:t>
            </w:r>
          </w:p>
          <w:p>
            <w:pPr>
              <w:spacing w:line="320" w:lineRule="exact"/>
              <w:rPr>
                <w:rFonts w:hint="eastAsia" w:ascii="仿宋" w:hAnsi="仿宋" w:eastAsia="仿宋" w:cs="仿宋"/>
                <w:sz w:val="22"/>
              </w:rPr>
            </w:pPr>
            <w:r>
              <w:rPr>
                <w:rFonts w:hint="eastAsia" w:ascii="仿宋" w:hAnsi="仿宋" w:eastAsia="仿宋" w:cs="仿宋"/>
                <w:sz w:val="22"/>
              </w:rPr>
              <w:t>不存在卡夹，衣服、头发钩挂或缠绕结构。主承载横梁尺寸；42*2.5mm</w:t>
            </w:r>
          </w:p>
          <w:p>
            <w:pPr>
              <w:spacing w:line="320" w:lineRule="exact"/>
              <w:rPr>
                <w:rFonts w:hint="eastAsia" w:ascii="仿宋" w:hAnsi="仿宋" w:eastAsia="仿宋" w:cs="仿宋"/>
                <w:sz w:val="22"/>
              </w:rPr>
            </w:pPr>
            <w:r>
              <w:rPr>
                <w:rFonts w:hint="eastAsia" w:ascii="仿宋" w:hAnsi="仿宋" w:eastAsia="仿宋" w:cs="仿宋"/>
                <w:sz w:val="22"/>
              </w:rPr>
              <w:t>弧形板面为一次成型；</w:t>
            </w:r>
          </w:p>
          <w:p>
            <w:pPr>
              <w:spacing w:line="320" w:lineRule="exact"/>
              <w:rPr>
                <w:rFonts w:hint="eastAsia" w:ascii="仿宋" w:hAnsi="仿宋" w:eastAsia="仿宋" w:cs="仿宋"/>
                <w:sz w:val="22"/>
              </w:rPr>
            </w:pPr>
            <w:r>
              <w:rPr>
                <w:rFonts w:hint="eastAsia" w:ascii="仿宋" w:hAnsi="仿宋" w:eastAsia="仿宋" w:cs="仿宋"/>
                <w:sz w:val="22"/>
              </w:rPr>
              <w:t>抓紧支撑部位的厚度≤60mm；</w:t>
            </w:r>
          </w:p>
          <w:p>
            <w:pPr>
              <w:spacing w:line="320" w:lineRule="exact"/>
              <w:rPr>
                <w:rFonts w:hint="eastAsia" w:ascii="仿宋" w:hAnsi="仿宋" w:eastAsia="仿宋" w:cs="仿宋"/>
                <w:sz w:val="22"/>
              </w:rPr>
            </w:pPr>
            <w:r>
              <w:rPr>
                <w:rFonts w:hint="eastAsia" w:ascii="仿宋" w:hAnsi="仿宋" w:eastAsia="仿宋" w:cs="仿宋"/>
                <w:sz w:val="22"/>
              </w:rPr>
              <w:t>产品符合GB19272-2011【室外健身器材安全 通用要求】标准，具有国家体育用品质量监督检验中心的检验报告。具有NSCC国体认证证书。</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10</w:t>
            </w:r>
          </w:p>
        </w:tc>
      </w:tr>
      <w:tr>
        <w:trPr>
          <w:trHeight w:val="521" w:hRule="atLeast"/>
          <w:jc w:val="center"/>
        </w:trPr>
        <w:tc>
          <w:tcPr>
            <w:tcW w:w="1023" w:type="dxa"/>
            <w:vAlign w:val="center"/>
          </w:tcPr>
          <w:p>
            <w:pPr>
              <w:autoSpaceDN w:val="0"/>
              <w:spacing w:line="2400" w:lineRule="auto"/>
              <w:jc w:val="center"/>
              <w:textAlignment w:val="center"/>
              <w:rPr>
                <w:rFonts w:hint="eastAsia" w:ascii="仿宋" w:hAnsi="仿宋" w:eastAsia="仿宋" w:cs="仿宋"/>
                <w:sz w:val="22"/>
              </w:rPr>
            </w:pPr>
            <w:r>
              <w:rPr>
                <w:rFonts w:ascii="宋体" w:hAnsi="宋体" w:eastAsia="宋体"/>
                <w:color w:val="000000"/>
                <w:sz w:val="24"/>
              </w:rPr>
              <w:t>9</w:t>
            </w:r>
          </w:p>
        </w:tc>
        <w:tc>
          <w:tcPr>
            <w:tcW w:w="1496"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棋牌桌</w:t>
            </w:r>
          </w:p>
        </w:tc>
        <w:tc>
          <w:tcPr>
            <w:tcW w:w="5687" w:type="dxa"/>
            <w:vAlign w:val="top"/>
          </w:tcPr>
          <w:p>
            <w:pPr>
              <w:spacing w:line="320" w:lineRule="exact"/>
              <w:rPr>
                <w:rFonts w:hint="eastAsia" w:ascii="仿宋" w:hAnsi="仿宋" w:eastAsia="仿宋" w:cs="仿宋"/>
                <w:sz w:val="22"/>
              </w:rPr>
            </w:pPr>
            <w:r>
              <w:rPr>
                <w:rFonts w:hint="eastAsia" w:ascii="仿宋" w:hAnsi="仿宋" w:eastAsia="仿宋" w:cs="仿宋"/>
                <w:sz w:val="22"/>
              </w:rPr>
              <w:t>立柱规格：114×3 mm钢管；</w:t>
            </w:r>
          </w:p>
          <w:p>
            <w:pPr>
              <w:spacing w:line="320" w:lineRule="exact"/>
              <w:rPr>
                <w:rFonts w:hint="eastAsia" w:ascii="仿宋" w:hAnsi="仿宋" w:eastAsia="仿宋" w:cs="仿宋"/>
                <w:sz w:val="22"/>
              </w:rPr>
            </w:pPr>
            <w:r>
              <w:rPr>
                <w:rFonts w:hint="eastAsia" w:ascii="仿宋" w:hAnsi="仿宋" w:eastAsia="仿宋" w:cs="仿宋"/>
                <w:sz w:val="22"/>
              </w:rPr>
              <w:t>座椅为钢板一次冲压成型，支撑管为60×3 mm钢管；</w:t>
            </w:r>
          </w:p>
          <w:p>
            <w:pPr>
              <w:spacing w:line="320" w:lineRule="exact"/>
              <w:rPr>
                <w:rFonts w:hint="eastAsia" w:ascii="仿宋" w:hAnsi="仿宋" w:eastAsia="仿宋" w:cs="仿宋"/>
                <w:sz w:val="22"/>
              </w:rPr>
            </w:pPr>
            <w:r>
              <w:rPr>
                <w:rFonts w:hint="eastAsia" w:ascii="仿宋" w:hAnsi="仿宋" w:eastAsia="仿宋" w:cs="仿宋"/>
                <w:sz w:val="22"/>
              </w:rPr>
              <w:t>紧固件材质为不锈钢，具有防盗、防锈、防松功能，需专用工具方可拆卸；</w:t>
            </w:r>
          </w:p>
          <w:p>
            <w:pPr>
              <w:spacing w:line="320" w:lineRule="exact"/>
              <w:rPr>
                <w:rFonts w:hint="eastAsia" w:ascii="仿宋" w:hAnsi="仿宋" w:eastAsia="仿宋" w:cs="仿宋"/>
                <w:sz w:val="22"/>
              </w:rPr>
            </w:pPr>
            <w:r>
              <w:rPr>
                <w:rFonts w:hint="eastAsia" w:ascii="仿宋" w:hAnsi="仿宋" w:eastAsia="仿宋" w:cs="仿宋"/>
                <w:sz w:val="22"/>
              </w:rPr>
              <w:t>桌面面板采用不锈钢304材质，棋盘线为黑色3mm线条，‘楚河汉界’为红色，经过特殊药液腐蚀而成</w:t>
            </w:r>
          </w:p>
          <w:p>
            <w:pPr>
              <w:spacing w:line="320" w:lineRule="exact"/>
              <w:rPr>
                <w:rFonts w:hint="eastAsia" w:ascii="仿宋" w:hAnsi="仿宋" w:eastAsia="仿宋" w:cs="仿宋"/>
                <w:sz w:val="22"/>
              </w:rPr>
            </w:pPr>
            <w:r>
              <w:rPr>
                <w:rFonts w:hint="eastAsia" w:ascii="仿宋" w:hAnsi="仿宋" w:eastAsia="仿宋" w:cs="仿宋"/>
                <w:sz w:val="22"/>
              </w:rPr>
              <w:t>产品符合GB19272-2011【室外健身器材安全 通用要求】标准，具有国家体育用品质量监督检验中心的检验报告。具有NSCC国体认证证书。</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10</w:t>
            </w:r>
          </w:p>
        </w:tc>
      </w:tr>
      <w:tr>
        <w:trPr>
          <w:trHeight w:val="2878" w:hRule="atLeast"/>
          <w:jc w:val="center"/>
        </w:trPr>
        <w:tc>
          <w:tcPr>
            <w:tcW w:w="1023" w:type="dxa"/>
            <w:vAlign w:val="center"/>
          </w:tcPr>
          <w:p>
            <w:pPr>
              <w:autoSpaceDN w:val="0"/>
              <w:spacing w:line="2400" w:lineRule="auto"/>
              <w:jc w:val="center"/>
              <w:textAlignment w:val="center"/>
              <w:rPr>
                <w:rFonts w:hint="eastAsia" w:ascii="仿宋" w:hAnsi="仿宋" w:eastAsia="仿宋" w:cs="仿宋"/>
                <w:sz w:val="22"/>
              </w:rPr>
            </w:pPr>
            <w:r>
              <w:rPr>
                <w:rFonts w:ascii="宋体" w:hAnsi="宋体" w:eastAsia="宋体"/>
                <w:color w:val="000000"/>
                <w:sz w:val="24"/>
              </w:rPr>
              <w:t>10</w:t>
            </w:r>
          </w:p>
        </w:tc>
        <w:tc>
          <w:tcPr>
            <w:tcW w:w="1496"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肋木架</w:t>
            </w:r>
          </w:p>
        </w:tc>
        <w:tc>
          <w:tcPr>
            <w:tcW w:w="5687" w:type="dxa"/>
            <w:vAlign w:val="top"/>
          </w:tcPr>
          <w:p>
            <w:pPr>
              <w:spacing w:line="320" w:lineRule="exact"/>
              <w:rPr>
                <w:rFonts w:hint="eastAsia" w:ascii="仿宋" w:hAnsi="仿宋" w:eastAsia="仿宋" w:cs="仿宋"/>
                <w:sz w:val="22"/>
              </w:rPr>
            </w:pPr>
            <w:r>
              <w:rPr>
                <w:rFonts w:hint="eastAsia" w:ascii="仿宋" w:hAnsi="仿宋" w:eastAsia="仿宋" w:cs="仿宋"/>
                <w:sz w:val="22"/>
              </w:rPr>
              <w:t>主要承载立柱规格(mm):Φ114×3</w:t>
            </w:r>
          </w:p>
          <w:p>
            <w:pPr>
              <w:spacing w:line="320" w:lineRule="exact"/>
              <w:rPr>
                <w:rFonts w:hint="eastAsia" w:ascii="仿宋" w:hAnsi="仿宋" w:eastAsia="仿宋" w:cs="仿宋"/>
                <w:sz w:val="22"/>
              </w:rPr>
            </w:pPr>
            <w:r>
              <w:rPr>
                <w:rFonts w:hint="eastAsia" w:ascii="仿宋" w:hAnsi="仿宋" w:eastAsia="仿宋" w:cs="仿宋"/>
                <w:sz w:val="22"/>
              </w:rPr>
              <w:t>主承载横梁规格(mm)：Φ32x3</w:t>
            </w:r>
          </w:p>
          <w:p>
            <w:pPr>
              <w:spacing w:line="320" w:lineRule="exact"/>
              <w:rPr>
                <w:rFonts w:hint="eastAsia" w:ascii="仿宋" w:hAnsi="仿宋" w:eastAsia="仿宋" w:cs="仿宋"/>
                <w:sz w:val="22"/>
              </w:rPr>
            </w:pPr>
            <w:r>
              <w:rPr>
                <w:rFonts w:hint="eastAsia" w:ascii="仿宋" w:hAnsi="仿宋" w:eastAsia="仿宋" w:cs="仿宋"/>
                <w:sz w:val="22"/>
              </w:rPr>
              <w:t>横管间距为300mm；</w:t>
            </w:r>
            <w:r>
              <w:rPr>
                <w:rFonts w:hint="eastAsia" w:ascii="仿宋" w:hAnsi="仿宋" w:eastAsia="仿宋" w:cs="仿宋"/>
                <w:sz w:val="22"/>
              </w:rPr>
              <w:br/>
            </w:r>
            <w:r>
              <w:rPr>
                <w:rFonts w:hint="eastAsia" w:ascii="仿宋" w:hAnsi="仿宋" w:eastAsia="仿宋" w:cs="仿宋"/>
                <w:sz w:val="22"/>
              </w:rPr>
              <w:t>立柱顶部不允许高出横管；</w:t>
            </w:r>
          </w:p>
          <w:p>
            <w:pPr>
              <w:spacing w:line="320" w:lineRule="exact"/>
              <w:rPr>
                <w:rFonts w:hint="eastAsia" w:ascii="仿宋" w:hAnsi="仿宋" w:eastAsia="仿宋" w:cs="仿宋"/>
                <w:sz w:val="22"/>
              </w:rPr>
            </w:pPr>
            <w:r>
              <w:rPr>
                <w:rFonts w:hint="eastAsia" w:ascii="仿宋" w:hAnsi="仿宋" w:eastAsia="仿宋" w:cs="仿宋"/>
                <w:sz w:val="22"/>
                <w:lang w:val="zh-TW" w:eastAsia="zh-TW"/>
              </w:rPr>
              <w:t>不存在剪切点、挤压点、引入点，不存在刚性碰撞；不存在卡夹，衣服、头发钩挂或缠绕危险；</w:t>
            </w:r>
          </w:p>
          <w:p>
            <w:pPr>
              <w:spacing w:line="320" w:lineRule="exact"/>
              <w:rPr>
                <w:rFonts w:hint="eastAsia" w:ascii="仿宋" w:hAnsi="仿宋" w:eastAsia="仿宋" w:cs="仿宋"/>
                <w:sz w:val="22"/>
              </w:rPr>
            </w:pPr>
            <w:r>
              <w:rPr>
                <w:rFonts w:hint="eastAsia" w:ascii="仿宋" w:hAnsi="仿宋" w:eastAsia="仿宋" w:cs="仿宋"/>
                <w:sz w:val="22"/>
              </w:rPr>
              <w:t>产品符合GB19272-2011【室外健身器材安全 通用要求】标准，具有国家体育用品质量监督检验中心的检验报告。具有NSCC国体认证证书。</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10</w:t>
            </w:r>
          </w:p>
        </w:tc>
      </w:tr>
      <w:tr>
        <w:trPr>
          <w:trHeight w:val="521" w:hRule="atLeast"/>
          <w:jc w:val="center"/>
        </w:trPr>
        <w:tc>
          <w:tcPr>
            <w:tcW w:w="1023" w:type="dxa"/>
            <w:vAlign w:val="center"/>
          </w:tcPr>
          <w:p>
            <w:pPr>
              <w:autoSpaceDN w:val="0"/>
              <w:spacing w:line="2400" w:lineRule="auto"/>
              <w:jc w:val="center"/>
              <w:textAlignment w:val="center"/>
              <w:rPr>
                <w:rFonts w:hint="eastAsia" w:ascii="仿宋" w:hAnsi="仿宋" w:eastAsia="仿宋" w:cs="仿宋"/>
                <w:sz w:val="22"/>
              </w:rPr>
            </w:pPr>
            <w:r>
              <w:rPr>
                <w:rFonts w:ascii="宋体" w:hAnsi="宋体" w:eastAsia="宋体"/>
                <w:color w:val="000000"/>
                <w:sz w:val="24"/>
              </w:rPr>
              <w:t>11</w:t>
            </w:r>
          </w:p>
        </w:tc>
        <w:tc>
          <w:tcPr>
            <w:tcW w:w="1496"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划船器</w:t>
            </w:r>
          </w:p>
        </w:tc>
        <w:tc>
          <w:tcPr>
            <w:tcW w:w="5687" w:type="dxa"/>
            <w:vAlign w:val="top"/>
          </w:tcPr>
          <w:p>
            <w:pPr>
              <w:spacing w:line="320" w:lineRule="exact"/>
              <w:rPr>
                <w:rFonts w:hint="eastAsia" w:ascii="仿宋" w:hAnsi="仿宋" w:eastAsia="仿宋" w:cs="仿宋"/>
                <w:sz w:val="22"/>
              </w:rPr>
            </w:pPr>
            <w:r>
              <w:rPr>
                <w:rFonts w:hint="eastAsia" w:ascii="仿宋" w:hAnsi="仿宋" w:eastAsia="仿宋" w:cs="仿宋"/>
                <w:sz w:val="22"/>
              </w:rPr>
              <w:t>主承载立柱规格（mm）：Φ114×3</w:t>
            </w:r>
          </w:p>
          <w:p>
            <w:pPr>
              <w:spacing w:line="320" w:lineRule="exact"/>
              <w:rPr>
                <w:rFonts w:hint="eastAsia" w:ascii="仿宋" w:hAnsi="仿宋" w:eastAsia="仿宋" w:cs="仿宋"/>
                <w:sz w:val="22"/>
              </w:rPr>
            </w:pPr>
            <w:r>
              <w:rPr>
                <w:rFonts w:hint="eastAsia" w:ascii="仿宋" w:hAnsi="仿宋" w:eastAsia="仿宋" w:cs="仿宋"/>
                <w:sz w:val="22"/>
              </w:rPr>
              <w:t>主承载横梁钢管（mm）：φ42×3；</w:t>
            </w:r>
          </w:p>
          <w:p>
            <w:pPr>
              <w:spacing w:line="320" w:lineRule="exact"/>
              <w:rPr>
                <w:rFonts w:hint="eastAsia" w:ascii="仿宋" w:hAnsi="仿宋" w:eastAsia="仿宋" w:cs="仿宋"/>
                <w:sz w:val="22"/>
              </w:rPr>
            </w:pPr>
            <w:r>
              <w:rPr>
                <w:rFonts w:hint="eastAsia" w:ascii="仿宋" w:hAnsi="仿宋" w:eastAsia="仿宋" w:cs="仿宋"/>
                <w:sz w:val="22"/>
              </w:rPr>
              <w:t>器材内有限位装置，转动部位不应有剪切点、挤压点、引入点；</w:t>
            </w:r>
          </w:p>
          <w:p>
            <w:pPr>
              <w:spacing w:line="320" w:lineRule="exact"/>
              <w:rPr>
                <w:rFonts w:hint="eastAsia" w:ascii="仿宋" w:hAnsi="仿宋" w:eastAsia="仿宋" w:cs="仿宋"/>
                <w:sz w:val="22"/>
              </w:rPr>
            </w:pPr>
            <w:r>
              <w:rPr>
                <w:rFonts w:hint="eastAsia" w:ascii="仿宋" w:hAnsi="仿宋" w:eastAsia="仿宋" w:cs="仿宋"/>
                <w:sz w:val="22"/>
              </w:rPr>
              <w:t>座板与靠背采用一次冲压成形，板材厚度不小于3.0mm，座椅、靠背上表面边缘应以R不小于3mm的圆弧过渡；座椅下部、靠背后侧棱边R不小于2mm；脚踏面应采取防滑措施；产品符合GB19272-2011【室外健身器材安全 通用要求】标准，具有国家体育用品质量监督检验中心的检验报告。具有NSCC国体认证证书。</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10</w:t>
            </w:r>
          </w:p>
        </w:tc>
      </w:tr>
      <w:tr>
        <w:trPr>
          <w:trHeight w:val="580" w:hRule="atLeast"/>
          <w:jc w:val="center"/>
        </w:trPr>
        <w:tc>
          <w:tcPr>
            <w:tcW w:w="1023" w:type="dxa"/>
            <w:vAlign w:val="center"/>
          </w:tcPr>
          <w:p>
            <w:pPr>
              <w:autoSpaceDN w:val="0"/>
              <w:spacing w:line="2400" w:lineRule="auto"/>
              <w:jc w:val="center"/>
              <w:textAlignment w:val="center"/>
              <w:rPr>
                <w:rFonts w:hint="eastAsia" w:ascii="仿宋" w:hAnsi="仿宋" w:eastAsia="仿宋" w:cs="仿宋"/>
                <w:sz w:val="22"/>
              </w:rPr>
            </w:pPr>
            <w:r>
              <w:rPr>
                <w:rFonts w:ascii="宋体" w:hAnsi="宋体" w:eastAsia="宋体"/>
                <w:color w:val="000000"/>
                <w:sz w:val="24"/>
              </w:rPr>
              <w:t>12</w:t>
            </w:r>
          </w:p>
        </w:tc>
        <w:tc>
          <w:tcPr>
            <w:tcW w:w="1496"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双人钟摆器</w:t>
            </w:r>
          </w:p>
        </w:tc>
        <w:tc>
          <w:tcPr>
            <w:tcW w:w="5687" w:type="dxa"/>
            <w:vAlign w:val="top"/>
          </w:tcPr>
          <w:p>
            <w:pPr>
              <w:spacing w:line="320" w:lineRule="exact"/>
              <w:rPr>
                <w:rFonts w:hint="eastAsia" w:ascii="仿宋" w:hAnsi="仿宋" w:eastAsia="仿宋" w:cs="仿宋"/>
                <w:sz w:val="22"/>
              </w:rPr>
            </w:pPr>
            <w:r>
              <w:rPr>
                <w:rFonts w:hint="eastAsia" w:ascii="仿宋" w:hAnsi="仿宋" w:eastAsia="仿宋" w:cs="仿宋"/>
                <w:sz w:val="22"/>
              </w:rPr>
              <w:t>主立柱尺寸：φ114MM×3.00MM国标优质钢管，</w:t>
            </w:r>
          </w:p>
          <w:p>
            <w:pPr>
              <w:spacing w:line="320" w:lineRule="exact"/>
              <w:rPr>
                <w:rFonts w:hint="eastAsia" w:ascii="仿宋" w:hAnsi="仿宋" w:eastAsia="仿宋" w:cs="仿宋"/>
                <w:sz w:val="22"/>
              </w:rPr>
            </w:pPr>
            <w:r>
              <w:rPr>
                <w:rFonts w:hint="eastAsia" w:ascii="仿宋" w:hAnsi="仿宋" w:eastAsia="仿宋" w:cs="仿宋"/>
                <w:sz w:val="22"/>
              </w:rPr>
              <w:t>主要承载横梁为φ60MM×3.00MM并与其他管材、配件同时满足GB19272-2011标准中相关静荷载、稳定性要求；主要承载横梁采用φ100MM×3MM国标优质钢管。摆杆设有可靠限位装置，且单侧摆动幅度小于65°，限位不存在刚性碰撞；</w:t>
            </w:r>
          </w:p>
          <w:p>
            <w:pPr>
              <w:spacing w:line="320" w:lineRule="exact"/>
              <w:rPr>
                <w:rFonts w:hint="eastAsia" w:ascii="仿宋" w:hAnsi="仿宋" w:eastAsia="仿宋" w:cs="仿宋"/>
                <w:sz w:val="22"/>
              </w:rPr>
            </w:pPr>
            <w:r>
              <w:rPr>
                <w:rFonts w:hint="eastAsia" w:ascii="仿宋" w:hAnsi="仿宋" w:eastAsia="仿宋" w:cs="仿宋"/>
                <w:sz w:val="22"/>
              </w:rPr>
              <w:t>把手端部无穿刺危险；人体易接触区域无剪切点、卡夹、钩挂、缠绕结构；脚踏部位设有防滑措施，站立使用的单脚防滑面不小于（3×104）平方毫米，摩擦系数不小于0.5；</w:t>
            </w:r>
          </w:p>
          <w:p>
            <w:pPr>
              <w:spacing w:line="320" w:lineRule="exact"/>
              <w:rPr>
                <w:rFonts w:hint="eastAsia" w:ascii="仿宋" w:hAnsi="仿宋" w:eastAsia="仿宋" w:cs="仿宋"/>
                <w:sz w:val="22"/>
              </w:rPr>
            </w:pPr>
            <w:r>
              <w:rPr>
                <w:rFonts w:hint="eastAsia" w:ascii="仿宋" w:hAnsi="仿宋" w:eastAsia="仿宋" w:cs="仿宋"/>
                <w:sz w:val="22"/>
              </w:rPr>
              <w:t>产品符合GB19272-2011【室外健身器材安全 通用要求】标准，具有国家体育用品质量监督检验中心的检验报告。具有NSCC国体认证证书。</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10</w:t>
            </w:r>
          </w:p>
        </w:tc>
      </w:tr>
      <w:tr>
        <w:trPr>
          <w:trHeight w:val="580" w:hRule="atLeast"/>
          <w:jc w:val="center"/>
        </w:trPr>
        <w:tc>
          <w:tcPr>
            <w:tcW w:w="1023" w:type="dxa"/>
            <w:vAlign w:val="center"/>
          </w:tcPr>
          <w:p>
            <w:pPr>
              <w:autoSpaceDN w:val="0"/>
              <w:spacing w:line="2400" w:lineRule="auto"/>
              <w:jc w:val="center"/>
              <w:textAlignment w:val="center"/>
              <w:rPr>
                <w:rFonts w:hint="eastAsia" w:ascii="仿宋" w:hAnsi="仿宋" w:eastAsia="仿宋" w:cs="仿宋"/>
                <w:sz w:val="22"/>
              </w:rPr>
            </w:pPr>
            <w:r>
              <w:rPr>
                <w:rFonts w:ascii="宋体" w:hAnsi="宋体" w:eastAsia="宋体"/>
                <w:color w:val="000000"/>
                <w:sz w:val="24"/>
              </w:rPr>
              <w:t>13</w:t>
            </w:r>
          </w:p>
        </w:tc>
        <w:tc>
          <w:tcPr>
            <w:tcW w:w="1496"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手指按摩引体架</w:t>
            </w:r>
          </w:p>
        </w:tc>
        <w:tc>
          <w:tcPr>
            <w:tcW w:w="5687" w:type="dxa"/>
            <w:vAlign w:val="top"/>
          </w:tcPr>
          <w:p>
            <w:pPr>
              <w:spacing w:line="320" w:lineRule="exact"/>
              <w:rPr>
                <w:rFonts w:hint="eastAsia" w:ascii="仿宋" w:hAnsi="仿宋" w:eastAsia="仿宋" w:cs="仿宋"/>
                <w:sz w:val="22"/>
              </w:rPr>
            </w:pPr>
            <w:r>
              <w:rPr>
                <w:rFonts w:hint="eastAsia" w:ascii="仿宋" w:hAnsi="仿宋" w:eastAsia="仿宋" w:cs="仿宋"/>
                <w:sz w:val="22"/>
              </w:rPr>
              <w:t>主承载立柱规格：钢管Φ114x3mm</w:t>
            </w:r>
          </w:p>
          <w:p>
            <w:pPr>
              <w:spacing w:line="320" w:lineRule="exact"/>
              <w:rPr>
                <w:rFonts w:hint="eastAsia" w:ascii="仿宋" w:hAnsi="仿宋" w:eastAsia="仿宋" w:cs="仿宋"/>
                <w:sz w:val="22"/>
              </w:rPr>
            </w:pPr>
            <w:r>
              <w:rPr>
                <w:rFonts w:hint="eastAsia" w:ascii="仿宋" w:hAnsi="仿宋" w:eastAsia="仿宋" w:cs="仿宋"/>
                <w:sz w:val="22"/>
              </w:rPr>
              <w:t>主承载横梁规格：钢管Φ42x3mm</w:t>
            </w:r>
          </w:p>
          <w:p>
            <w:pPr>
              <w:spacing w:line="320" w:lineRule="exact"/>
              <w:rPr>
                <w:rFonts w:hint="eastAsia" w:ascii="仿宋" w:hAnsi="仿宋" w:eastAsia="仿宋" w:cs="仿宋"/>
                <w:sz w:val="22"/>
              </w:rPr>
            </w:pPr>
            <w:r>
              <w:rPr>
                <w:rFonts w:hint="eastAsia" w:ascii="仿宋" w:hAnsi="仿宋" w:eastAsia="仿宋" w:cs="仿宋"/>
                <w:sz w:val="22"/>
              </w:rPr>
              <w:t>不存在衣服、头发钩挂或缠绕危险；不存在和使用功能无关的凸出物。</w:t>
            </w:r>
          </w:p>
          <w:p>
            <w:pPr>
              <w:spacing w:line="320" w:lineRule="exact"/>
              <w:rPr>
                <w:rFonts w:hint="eastAsia" w:ascii="仿宋" w:hAnsi="仿宋" w:eastAsia="仿宋" w:cs="仿宋"/>
                <w:sz w:val="22"/>
              </w:rPr>
            </w:pPr>
            <w:r>
              <w:rPr>
                <w:rFonts w:hint="eastAsia" w:ascii="仿宋" w:hAnsi="仿宋" w:eastAsia="仿宋" w:cs="仿宋"/>
                <w:sz w:val="22"/>
              </w:rPr>
              <w:t>器材可供4人同时使用，两块按摩面板、两个引体向上训练位，且按摩模块应为塑木材质。</w:t>
            </w:r>
          </w:p>
          <w:p>
            <w:pPr>
              <w:spacing w:line="320" w:lineRule="exact"/>
              <w:rPr>
                <w:rFonts w:hint="eastAsia" w:ascii="仿宋" w:hAnsi="仿宋" w:eastAsia="仿宋" w:cs="仿宋"/>
                <w:sz w:val="22"/>
              </w:rPr>
            </w:pPr>
            <w:r>
              <w:rPr>
                <w:rFonts w:hint="eastAsia" w:ascii="仿宋" w:hAnsi="仿宋" w:eastAsia="仿宋" w:cs="仿宋"/>
                <w:sz w:val="22"/>
              </w:rPr>
              <w:t>器材有安全警示标志采用图文形式提示使用者可能存在风险。</w:t>
            </w:r>
          </w:p>
          <w:p>
            <w:pPr>
              <w:spacing w:line="320" w:lineRule="exact"/>
              <w:rPr>
                <w:rFonts w:hint="eastAsia" w:ascii="仿宋" w:hAnsi="仿宋" w:eastAsia="仿宋" w:cs="仿宋"/>
                <w:sz w:val="22"/>
              </w:rPr>
            </w:pPr>
            <w:r>
              <w:rPr>
                <w:rFonts w:hint="eastAsia" w:ascii="仿宋" w:hAnsi="仿宋" w:eastAsia="仿宋" w:cs="仿宋"/>
                <w:sz w:val="22"/>
              </w:rPr>
              <w:t>产品符合GB19272-2011【室外健身器材安全 通用要求】标准，具有国家体育用品质量监督检验中心的检验报告。具有NSCC国体认证证书。</w:t>
            </w:r>
          </w:p>
          <w:p>
            <w:pPr>
              <w:spacing w:line="320" w:lineRule="exact"/>
              <w:rPr>
                <w:rFonts w:hint="eastAsia" w:ascii="仿宋" w:hAnsi="仿宋" w:eastAsia="仿宋" w:cs="仿宋"/>
                <w:sz w:val="22"/>
              </w:rPr>
            </w:pPr>
          </w:p>
          <w:p>
            <w:pPr>
              <w:spacing w:line="320" w:lineRule="exact"/>
              <w:rPr>
                <w:rFonts w:hint="eastAsia" w:ascii="仿宋" w:hAnsi="仿宋" w:eastAsia="仿宋" w:cs="仿宋"/>
                <w:sz w:val="22"/>
              </w:rPr>
            </w:pP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10</w:t>
            </w:r>
          </w:p>
        </w:tc>
      </w:tr>
      <w:tr>
        <w:trPr>
          <w:trHeight w:val="580" w:hRule="atLeast"/>
          <w:jc w:val="center"/>
        </w:trPr>
        <w:tc>
          <w:tcPr>
            <w:tcW w:w="1023" w:type="dxa"/>
            <w:vAlign w:val="center"/>
          </w:tcPr>
          <w:p>
            <w:pPr>
              <w:autoSpaceDN w:val="0"/>
              <w:spacing w:line="2400" w:lineRule="auto"/>
              <w:jc w:val="center"/>
              <w:textAlignment w:val="center"/>
              <w:rPr>
                <w:rFonts w:hint="eastAsia" w:ascii="仿宋" w:hAnsi="仿宋" w:eastAsia="仿宋" w:cs="仿宋"/>
                <w:sz w:val="22"/>
              </w:rPr>
            </w:pPr>
            <w:r>
              <w:rPr>
                <w:rFonts w:ascii="宋体" w:hAnsi="宋体" w:eastAsia="宋体"/>
                <w:color w:val="000000"/>
                <w:sz w:val="24"/>
              </w:rPr>
              <w:t>14</w:t>
            </w:r>
          </w:p>
        </w:tc>
        <w:tc>
          <w:tcPr>
            <w:tcW w:w="1496"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双人大转轮</w:t>
            </w:r>
          </w:p>
        </w:tc>
        <w:tc>
          <w:tcPr>
            <w:tcW w:w="5687" w:type="dxa"/>
            <w:vAlign w:val="top"/>
          </w:tcPr>
          <w:p>
            <w:pPr>
              <w:spacing w:line="320" w:lineRule="exact"/>
              <w:rPr>
                <w:rFonts w:hint="eastAsia" w:ascii="仿宋" w:hAnsi="仿宋" w:eastAsia="仿宋" w:cs="仿宋"/>
                <w:sz w:val="22"/>
              </w:rPr>
            </w:pPr>
            <w:r>
              <w:rPr>
                <w:rFonts w:hint="eastAsia" w:ascii="仿宋" w:hAnsi="仿宋" w:eastAsia="仿宋" w:cs="仿宋"/>
                <w:sz w:val="22"/>
              </w:rPr>
              <w:t>主承载立柱规格（mm）：Φ114×3</w:t>
            </w:r>
          </w:p>
          <w:p>
            <w:pPr>
              <w:spacing w:line="320" w:lineRule="exact"/>
              <w:rPr>
                <w:rFonts w:hint="eastAsia" w:ascii="仿宋" w:hAnsi="仿宋" w:eastAsia="仿宋" w:cs="仿宋"/>
                <w:sz w:val="22"/>
              </w:rPr>
            </w:pPr>
            <w:r>
              <w:rPr>
                <w:rFonts w:hint="eastAsia" w:ascii="仿宋" w:hAnsi="仿宋" w:eastAsia="仿宋" w:cs="仿宋"/>
                <w:sz w:val="22"/>
              </w:rPr>
              <w:t>主承载横梁钢管（mm）：φ60×3；</w:t>
            </w:r>
          </w:p>
          <w:p>
            <w:pPr>
              <w:spacing w:line="320" w:lineRule="exact"/>
              <w:rPr>
                <w:rFonts w:hint="eastAsia" w:ascii="仿宋" w:hAnsi="仿宋" w:eastAsia="仿宋" w:cs="仿宋"/>
                <w:sz w:val="22"/>
              </w:rPr>
            </w:pPr>
            <w:r>
              <w:rPr>
                <w:rFonts w:hint="eastAsia" w:ascii="仿宋" w:hAnsi="仿宋" w:eastAsia="仿宋" w:cs="仿宋"/>
                <w:sz w:val="22"/>
              </w:rPr>
              <w:t>不存在衣服、头发钩挂或缠绕危险；不存在和使用功能无关的凸出物。</w:t>
            </w:r>
          </w:p>
          <w:p>
            <w:pPr>
              <w:spacing w:line="320" w:lineRule="exact"/>
              <w:rPr>
                <w:rFonts w:hint="eastAsia" w:ascii="仿宋" w:hAnsi="仿宋" w:eastAsia="仿宋" w:cs="仿宋"/>
                <w:sz w:val="22"/>
              </w:rPr>
            </w:pPr>
            <w:r>
              <w:rPr>
                <w:rFonts w:hint="eastAsia" w:ascii="仿宋" w:hAnsi="仿宋" w:eastAsia="仿宋" w:cs="仿宋"/>
                <w:sz w:val="22"/>
              </w:rPr>
              <w:t>所有弯管采用液压弯管机工艺，表面无折皱，上主轴Φ≥30mm，材料采用45#弹簧钢；每个转轮配有2个ABS料按摩手柄。器材整体不允许存在卡夹，衣服.头发钩挂或缠绕结构。</w:t>
            </w:r>
          </w:p>
          <w:p>
            <w:pPr>
              <w:spacing w:line="320" w:lineRule="exact"/>
              <w:rPr>
                <w:rFonts w:hint="eastAsia" w:ascii="仿宋" w:hAnsi="仿宋" w:eastAsia="仿宋" w:cs="仿宋"/>
                <w:sz w:val="22"/>
              </w:rPr>
            </w:pPr>
            <w:r>
              <w:rPr>
                <w:rFonts w:hint="eastAsia" w:ascii="仿宋" w:hAnsi="仿宋" w:eastAsia="仿宋" w:cs="仿宋"/>
                <w:sz w:val="22"/>
              </w:rPr>
              <w:t>产品符合GB19272-2011【室外健身器材安全 通用要求】标准，具有国家体育用品质量监督检验中心的检验报告。具有NSCC国体认证证书。</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10</w:t>
            </w:r>
          </w:p>
        </w:tc>
      </w:tr>
      <w:tr>
        <w:trPr>
          <w:trHeight w:val="580" w:hRule="atLeast"/>
          <w:jc w:val="center"/>
        </w:trPr>
        <w:tc>
          <w:tcPr>
            <w:tcW w:w="1023" w:type="dxa"/>
            <w:vAlign w:val="center"/>
          </w:tcPr>
          <w:p>
            <w:pPr>
              <w:autoSpaceDN w:val="0"/>
              <w:spacing w:line="2400" w:lineRule="auto"/>
              <w:jc w:val="center"/>
              <w:textAlignment w:val="center"/>
              <w:rPr>
                <w:rFonts w:hint="eastAsia" w:ascii="仿宋" w:hAnsi="仿宋" w:eastAsia="仿宋" w:cs="仿宋"/>
                <w:sz w:val="22"/>
              </w:rPr>
            </w:pPr>
            <w:r>
              <w:rPr>
                <w:rFonts w:ascii="宋体" w:hAnsi="宋体" w:eastAsia="宋体"/>
                <w:color w:val="000000"/>
                <w:sz w:val="24"/>
              </w:rPr>
              <w:t>15</w:t>
            </w:r>
          </w:p>
        </w:tc>
        <w:tc>
          <w:tcPr>
            <w:tcW w:w="1496"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二位蹬力器</w:t>
            </w:r>
          </w:p>
        </w:tc>
        <w:tc>
          <w:tcPr>
            <w:tcW w:w="5687" w:type="dxa"/>
            <w:vAlign w:val="top"/>
          </w:tcPr>
          <w:p>
            <w:pPr>
              <w:spacing w:line="320" w:lineRule="exact"/>
              <w:rPr>
                <w:rFonts w:hint="eastAsia" w:ascii="仿宋" w:hAnsi="仿宋" w:eastAsia="仿宋" w:cs="仿宋"/>
                <w:sz w:val="22"/>
              </w:rPr>
            </w:pPr>
            <w:r>
              <w:rPr>
                <w:rFonts w:hint="eastAsia" w:ascii="仿宋" w:hAnsi="仿宋" w:eastAsia="仿宋" w:cs="仿宋"/>
                <w:sz w:val="22"/>
              </w:rPr>
              <w:t>1.主要承载立柱尺寸:φ114×3.0mm；</w:t>
            </w:r>
          </w:p>
          <w:p>
            <w:pPr>
              <w:spacing w:line="320" w:lineRule="exact"/>
              <w:rPr>
                <w:rFonts w:hint="eastAsia" w:ascii="仿宋" w:hAnsi="仿宋" w:eastAsia="仿宋" w:cs="仿宋"/>
                <w:sz w:val="22"/>
              </w:rPr>
            </w:pPr>
            <w:r>
              <w:rPr>
                <w:rFonts w:hint="eastAsia" w:ascii="仿宋" w:hAnsi="仿宋" w:eastAsia="仿宋" w:cs="仿宋"/>
                <w:sz w:val="22"/>
              </w:rPr>
              <w:t>2.主要承载横梁尺寸：φ89×3.0mm；</w:t>
            </w:r>
          </w:p>
          <w:p>
            <w:pPr>
              <w:spacing w:line="320" w:lineRule="exact"/>
              <w:rPr>
                <w:rFonts w:hint="eastAsia" w:ascii="仿宋" w:hAnsi="仿宋" w:eastAsia="仿宋" w:cs="仿宋"/>
                <w:sz w:val="22"/>
              </w:rPr>
            </w:pPr>
            <w:r>
              <w:rPr>
                <w:rFonts w:hint="eastAsia" w:ascii="仿宋" w:hAnsi="仿宋" w:eastAsia="仿宋" w:cs="仿宋"/>
                <w:sz w:val="22"/>
              </w:rPr>
              <w:t>3.摆杆有内限位装置。</w:t>
            </w:r>
          </w:p>
          <w:p>
            <w:pPr>
              <w:spacing w:line="320" w:lineRule="exact"/>
              <w:rPr>
                <w:rFonts w:hint="eastAsia" w:ascii="仿宋" w:hAnsi="仿宋" w:eastAsia="仿宋" w:cs="仿宋"/>
                <w:sz w:val="22"/>
              </w:rPr>
            </w:pPr>
            <w:r>
              <w:rPr>
                <w:rFonts w:hint="eastAsia" w:ascii="仿宋" w:hAnsi="仿宋" w:eastAsia="仿宋" w:cs="仿宋"/>
                <w:sz w:val="22"/>
              </w:rPr>
              <w:t>4.不存在衣服、头发钩挂或缠绕危险；不存在和使用功能无关的凸出物；</w:t>
            </w:r>
          </w:p>
          <w:p>
            <w:pPr>
              <w:spacing w:line="320" w:lineRule="exact"/>
              <w:rPr>
                <w:rFonts w:hint="eastAsia" w:ascii="仿宋" w:hAnsi="仿宋" w:eastAsia="仿宋" w:cs="仿宋"/>
                <w:sz w:val="22"/>
              </w:rPr>
            </w:pPr>
            <w:r>
              <w:rPr>
                <w:rFonts w:hint="eastAsia" w:ascii="仿宋" w:hAnsi="仿宋" w:eastAsia="仿宋" w:cs="仿宋"/>
                <w:sz w:val="22"/>
              </w:rPr>
              <w:t>5.器材在正常使用过程中不应存在染色、掉沫及感官所能察觉到的较浓异味等现象；</w:t>
            </w:r>
          </w:p>
          <w:p>
            <w:pPr>
              <w:spacing w:line="320" w:lineRule="exact"/>
              <w:rPr>
                <w:rFonts w:hint="eastAsia" w:ascii="仿宋" w:hAnsi="仿宋" w:eastAsia="仿宋" w:cs="仿宋"/>
                <w:sz w:val="22"/>
              </w:rPr>
            </w:pPr>
            <w:r>
              <w:rPr>
                <w:rFonts w:hint="eastAsia" w:ascii="仿宋" w:hAnsi="仿宋" w:eastAsia="仿宋" w:cs="仿宋"/>
                <w:sz w:val="22"/>
              </w:rPr>
              <w:t>6.安装方式：采用直埋式  埋地深度不小于500mm :</w:t>
            </w:r>
          </w:p>
          <w:p>
            <w:pPr>
              <w:spacing w:line="320" w:lineRule="exact"/>
              <w:rPr>
                <w:rFonts w:hint="eastAsia" w:ascii="仿宋" w:hAnsi="仿宋" w:eastAsia="仿宋" w:cs="仿宋"/>
                <w:sz w:val="22"/>
              </w:rPr>
            </w:pPr>
            <w:r>
              <w:rPr>
                <w:rFonts w:hint="eastAsia" w:ascii="仿宋" w:hAnsi="仿宋" w:eastAsia="仿宋" w:cs="仿宋"/>
                <w:sz w:val="22"/>
              </w:rPr>
              <w:t>产品符合GB19272-2011《室外健身器材的安全通用要求》执行标准且具有NSCC国体认证证书</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10</w:t>
            </w:r>
          </w:p>
        </w:tc>
      </w:tr>
      <w:tr>
        <w:trPr>
          <w:trHeight w:val="580" w:hRule="atLeast"/>
          <w:jc w:val="center"/>
        </w:trPr>
        <w:tc>
          <w:tcPr>
            <w:tcW w:w="1023" w:type="dxa"/>
            <w:vAlign w:val="center"/>
          </w:tcPr>
          <w:p>
            <w:pPr>
              <w:autoSpaceDN w:val="0"/>
              <w:spacing w:line="2400" w:lineRule="auto"/>
              <w:jc w:val="center"/>
              <w:textAlignment w:val="center"/>
              <w:rPr>
                <w:rFonts w:hint="eastAsia" w:ascii="仿宋" w:hAnsi="仿宋" w:eastAsia="仿宋" w:cs="仿宋"/>
                <w:sz w:val="22"/>
              </w:rPr>
            </w:pPr>
            <w:r>
              <w:rPr>
                <w:rFonts w:ascii="宋体" w:hAnsi="宋体" w:eastAsia="宋体"/>
                <w:color w:val="000000"/>
                <w:sz w:val="24"/>
              </w:rPr>
              <w:t>16</w:t>
            </w:r>
          </w:p>
        </w:tc>
        <w:tc>
          <w:tcPr>
            <w:tcW w:w="1496"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鞍马训练器</w:t>
            </w:r>
          </w:p>
        </w:tc>
        <w:tc>
          <w:tcPr>
            <w:tcW w:w="5687" w:type="dxa"/>
            <w:vAlign w:val="top"/>
          </w:tcPr>
          <w:p>
            <w:pPr>
              <w:spacing w:line="320" w:lineRule="exact"/>
              <w:rPr>
                <w:rFonts w:hint="eastAsia" w:ascii="仿宋" w:hAnsi="仿宋" w:eastAsia="仿宋" w:cs="仿宋"/>
                <w:sz w:val="22"/>
              </w:rPr>
            </w:pPr>
            <w:r>
              <w:rPr>
                <w:rFonts w:hint="eastAsia" w:ascii="仿宋" w:hAnsi="仿宋" w:eastAsia="仿宋" w:cs="仿宋"/>
                <w:sz w:val="22"/>
              </w:rPr>
              <w:t>1.主承载立柱规格：Φ114x3mm</w:t>
            </w:r>
          </w:p>
          <w:p>
            <w:pPr>
              <w:spacing w:line="320" w:lineRule="exact"/>
              <w:rPr>
                <w:rFonts w:hint="eastAsia" w:ascii="仿宋" w:hAnsi="仿宋" w:eastAsia="仿宋" w:cs="仿宋"/>
                <w:sz w:val="22"/>
              </w:rPr>
            </w:pPr>
            <w:r>
              <w:rPr>
                <w:rFonts w:hint="eastAsia" w:ascii="仿宋" w:hAnsi="仿宋" w:eastAsia="仿宋" w:cs="仿宋"/>
                <w:sz w:val="22"/>
              </w:rPr>
              <w:t>2.主承载横梁规格：Φ114x3mm</w:t>
            </w:r>
          </w:p>
          <w:p>
            <w:pPr>
              <w:spacing w:line="320" w:lineRule="exact"/>
              <w:rPr>
                <w:rFonts w:hint="eastAsia" w:ascii="仿宋" w:hAnsi="仿宋" w:eastAsia="仿宋" w:cs="仿宋"/>
                <w:sz w:val="22"/>
              </w:rPr>
            </w:pPr>
            <w:r>
              <w:rPr>
                <w:rFonts w:hint="eastAsia" w:ascii="仿宋" w:hAnsi="仿宋" w:eastAsia="仿宋" w:cs="仿宋"/>
                <w:sz w:val="22"/>
              </w:rPr>
              <w:t>3.不存在衣服、头发钩挂或缠绕危险；不存在和使用功能无关的凸出物。</w:t>
            </w:r>
          </w:p>
          <w:p>
            <w:pPr>
              <w:spacing w:line="320" w:lineRule="exact"/>
              <w:rPr>
                <w:rFonts w:hint="eastAsia" w:ascii="仿宋" w:hAnsi="仿宋" w:eastAsia="仿宋" w:cs="仿宋"/>
                <w:sz w:val="22"/>
              </w:rPr>
            </w:pPr>
            <w:r>
              <w:rPr>
                <w:rFonts w:hint="eastAsia" w:ascii="仿宋" w:hAnsi="仿宋" w:eastAsia="仿宋" w:cs="仿宋"/>
                <w:sz w:val="22"/>
              </w:rPr>
              <w:t>4.器材在正常使用过程中不应存在染色、掉沫及感官所能察觉到的较浓异味等现象。</w:t>
            </w:r>
          </w:p>
          <w:p>
            <w:pPr>
              <w:spacing w:line="320" w:lineRule="exact"/>
              <w:rPr>
                <w:rFonts w:hint="eastAsia" w:ascii="仿宋" w:hAnsi="仿宋" w:eastAsia="仿宋" w:cs="仿宋"/>
                <w:sz w:val="22"/>
              </w:rPr>
            </w:pPr>
            <w:r>
              <w:rPr>
                <w:rFonts w:hint="eastAsia" w:ascii="仿宋" w:hAnsi="仿宋" w:eastAsia="仿宋" w:cs="仿宋"/>
                <w:sz w:val="22"/>
              </w:rPr>
              <w:t>5.器材有安全警示标志采用图文形式提示使用者可能存在风险。</w:t>
            </w:r>
          </w:p>
          <w:p>
            <w:pPr>
              <w:spacing w:line="320" w:lineRule="exact"/>
              <w:rPr>
                <w:rFonts w:hint="eastAsia" w:ascii="仿宋" w:hAnsi="仿宋" w:eastAsia="仿宋" w:cs="仿宋"/>
                <w:sz w:val="22"/>
              </w:rPr>
            </w:pPr>
            <w:r>
              <w:rPr>
                <w:rFonts w:hint="eastAsia" w:ascii="仿宋" w:hAnsi="仿宋" w:eastAsia="仿宋" w:cs="仿宋"/>
                <w:sz w:val="22"/>
              </w:rPr>
              <w:t>6.产品符合GB19272-2011《室外健身器材的安全通用要求》执行标准且具有NSCC国体认证证书。</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10</w:t>
            </w:r>
          </w:p>
        </w:tc>
      </w:tr>
      <w:tr>
        <w:trPr>
          <w:trHeight w:val="580" w:hRule="atLeast"/>
          <w:jc w:val="center"/>
        </w:trPr>
        <w:tc>
          <w:tcPr>
            <w:tcW w:w="1023" w:type="dxa"/>
            <w:vAlign w:val="center"/>
          </w:tcPr>
          <w:p>
            <w:pPr>
              <w:autoSpaceDN w:val="0"/>
              <w:spacing w:line="3120" w:lineRule="auto"/>
              <w:jc w:val="center"/>
              <w:textAlignment w:val="center"/>
              <w:rPr>
                <w:rFonts w:hint="eastAsia" w:ascii="仿宋" w:hAnsi="仿宋" w:eastAsia="仿宋" w:cs="仿宋"/>
                <w:sz w:val="22"/>
              </w:rPr>
            </w:pPr>
            <w:r>
              <w:rPr>
                <w:rFonts w:ascii="宋体" w:hAnsi="宋体" w:eastAsia="宋体"/>
                <w:color w:val="000000"/>
                <w:sz w:val="24"/>
              </w:rPr>
              <w:t>17</w:t>
            </w:r>
          </w:p>
        </w:tc>
        <w:tc>
          <w:tcPr>
            <w:tcW w:w="1496" w:type="dxa"/>
            <w:vAlign w:val="center"/>
          </w:tcPr>
          <w:p>
            <w:pPr>
              <w:autoSpaceDN w:val="0"/>
              <w:spacing w:line="480" w:lineRule="auto"/>
              <w:jc w:val="center"/>
              <w:textAlignment w:val="center"/>
              <w:rPr>
                <w:rFonts w:hint="eastAsia" w:ascii="仿宋" w:hAnsi="仿宋" w:eastAsia="仿宋" w:cs="仿宋"/>
                <w:sz w:val="22"/>
              </w:rPr>
            </w:pPr>
            <w:r>
              <w:rPr>
                <w:rFonts w:hint="eastAsia" w:ascii="仿宋" w:hAnsi="仿宋" w:eastAsia="仿宋" w:cs="仿宋"/>
                <w:color w:val="000000"/>
                <w:sz w:val="24"/>
                <w:szCs w:val="24"/>
              </w:rPr>
              <w:t>腰部按摩腹肌训练器</w:t>
            </w:r>
          </w:p>
        </w:tc>
        <w:tc>
          <w:tcPr>
            <w:tcW w:w="5687" w:type="dxa"/>
            <w:vAlign w:val="top"/>
          </w:tcPr>
          <w:p>
            <w:pPr>
              <w:spacing w:line="320" w:lineRule="exact"/>
              <w:rPr>
                <w:rFonts w:hint="eastAsia" w:ascii="仿宋_GB2312" w:hAnsi="宋体" w:eastAsia="仿宋_GB2312" w:cs="仿宋_GB2312"/>
                <w:sz w:val="24"/>
                <w:szCs w:val="24"/>
              </w:rPr>
            </w:pPr>
            <w:r>
              <w:rPr>
                <w:rFonts w:hint="eastAsia" w:ascii="仿宋_GB2312" w:hAnsi="宋体" w:eastAsia="仿宋_GB2312" w:cs="仿宋_GB2312"/>
                <w:b/>
                <w:bCs/>
                <w:sz w:val="24"/>
                <w:szCs w:val="24"/>
              </w:rPr>
              <w:t>1.</w:t>
            </w:r>
            <w:r>
              <w:rPr>
                <w:rFonts w:hint="eastAsia" w:ascii="仿宋_GB2312" w:hAnsi="宋体" w:eastAsia="仿宋_GB2312" w:cs="仿宋_GB2312"/>
                <w:sz w:val="24"/>
                <w:szCs w:val="24"/>
              </w:rPr>
              <w:t>主承载立柱规格（mm）：Φ114x3mm</w:t>
            </w:r>
          </w:p>
          <w:p>
            <w:pPr>
              <w:spacing w:line="320" w:lineRule="exact"/>
              <w:rPr>
                <w:rFonts w:ascii="仿宋_GB2312" w:hAnsi="宋体" w:eastAsia="仿宋_GB2312" w:cs="仿宋_GB2312"/>
                <w:sz w:val="24"/>
                <w:szCs w:val="24"/>
              </w:rPr>
            </w:pPr>
            <w:r>
              <w:rPr>
                <w:rFonts w:hint="eastAsia" w:ascii="仿宋_GB2312" w:hAnsi="宋体" w:eastAsia="仿宋_GB2312" w:cs="仿宋_GB2312"/>
                <w:b/>
                <w:bCs/>
                <w:sz w:val="24"/>
                <w:szCs w:val="24"/>
              </w:rPr>
              <w:t>2.</w:t>
            </w:r>
            <w:r>
              <w:rPr>
                <w:rFonts w:hint="eastAsia" w:ascii="仿宋_GB2312" w:hAnsi="宋体" w:eastAsia="仿宋_GB2312" w:cs="仿宋_GB2312"/>
                <w:sz w:val="24"/>
                <w:szCs w:val="24"/>
              </w:rPr>
              <w:t>主承载横梁规格（mm）：Φ60x3、42x3mm</w:t>
            </w:r>
          </w:p>
          <w:p>
            <w:pPr>
              <w:spacing w:line="320" w:lineRule="exact"/>
              <w:rPr>
                <w:rFonts w:hint="eastAsia" w:ascii="仿宋_GB2312" w:hAnsi="宋体" w:eastAsia="仿宋_GB2312" w:cs="仿宋_GB2312"/>
                <w:sz w:val="24"/>
                <w:szCs w:val="24"/>
              </w:rPr>
            </w:pPr>
            <w:r>
              <w:rPr>
                <w:rFonts w:hint="eastAsia" w:ascii="仿宋_GB2312" w:hAnsi="宋体" w:eastAsia="仿宋_GB2312" w:cs="仿宋_GB2312"/>
                <w:b/>
                <w:bCs/>
                <w:sz w:val="24"/>
                <w:szCs w:val="24"/>
              </w:rPr>
              <w:t>3.</w:t>
            </w:r>
            <w:r>
              <w:rPr>
                <w:rFonts w:hint="eastAsia" w:ascii="仿宋_GB2312" w:hAnsi="宋体" w:eastAsia="仿宋_GB2312" w:cs="仿宋_GB2312"/>
                <w:sz w:val="24"/>
                <w:szCs w:val="24"/>
              </w:rPr>
              <w:t>不存在衣服、头发钩挂或缠绕危险；不存在和使用功能无关的凸出物，腹肌部分应采用整体式板面；符合GB19272-2011标准中相关静载荷、稳定性要求；本器材需采用一体化设计不得分开使用。</w:t>
            </w:r>
          </w:p>
          <w:p>
            <w:pPr>
              <w:spacing w:line="320" w:lineRule="exact"/>
              <w:rPr>
                <w:rFonts w:hint="eastAsia" w:ascii="仿宋" w:hAnsi="仿宋" w:eastAsia="仿宋" w:cs="仿宋"/>
                <w:sz w:val="22"/>
              </w:rPr>
            </w:pPr>
            <w:r>
              <w:rPr>
                <w:rFonts w:hint="eastAsia" w:ascii="仿宋_GB2312" w:hAnsi="宋体" w:eastAsia="仿宋_GB2312" w:cs="仿宋_GB2312"/>
                <w:b/>
                <w:bCs/>
                <w:sz w:val="24"/>
                <w:szCs w:val="24"/>
              </w:rPr>
              <w:t>4.</w:t>
            </w:r>
            <w:r>
              <w:rPr>
                <w:rFonts w:hint="eastAsia" w:ascii="仿宋_GB2312" w:hAnsi="宋体" w:eastAsia="仿宋_GB2312" w:cs="仿宋_GB2312"/>
                <w:sz w:val="24"/>
                <w:szCs w:val="24"/>
              </w:rPr>
              <w:t>产品符合GB19272-2011【室外健身器材安全 通用要求】标准，具有国家体育用品质量监督检验中心的检验报告。具有NSCC国体认证证书。</w:t>
            </w:r>
          </w:p>
        </w:tc>
        <w:tc>
          <w:tcPr>
            <w:tcW w:w="791" w:type="dxa"/>
            <w:vAlign w:val="center"/>
          </w:tcPr>
          <w:p>
            <w:pPr>
              <w:spacing w:line="320" w:lineRule="exact"/>
              <w:jc w:val="center"/>
              <w:rPr>
                <w:rFonts w:hint="eastAsia" w:ascii="Calibri" w:hAnsi="Calibri" w:eastAsia="宋体" w:cs="Times New Roman"/>
                <w:szCs w:val="24"/>
              </w:rPr>
            </w:pPr>
            <w:r>
              <w:rPr>
                <w:rFonts w:hint="eastAsia" w:cs="Times New Roman"/>
                <w:szCs w:val="24"/>
              </w:rPr>
              <w:t>10</w:t>
            </w:r>
          </w:p>
        </w:tc>
      </w:tr>
      <w:tr>
        <w:trPr>
          <w:trHeight w:val="579" w:hRule="atLeast"/>
          <w:jc w:val="center"/>
        </w:trPr>
        <w:tc>
          <w:tcPr>
            <w:tcW w:w="1023" w:type="dxa"/>
            <w:vAlign w:val="center"/>
          </w:tcPr>
          <w:p>
            <w:pPr>
              <w:autoSpaceDN w:val="0"/>
              <w:spacing w:line="3120" w:lineRule="auto"/>
              <w:jc w:val="center"/>
              <w:textAlignment w:val="center"/>
              <w:rPr>
                <w:rFonts w:hint="eastAsia" w:ascii="仿宋" w:hAnsi="仿宋" w:eastAsia="仿宋" w:cs="仿宋"/>
                <w:sz w:val="22"/>
              </w:rPr>
            </w:pPr>
            <w:r>
              <w:rPr>
                <w:rFonts w:ascii="宋体" w:hAnsi="宋体" w:eastAsia="宋体"/>
                <w:color w:val="000000"/>
                <w:sz w:val="24"/>
              </w:rPr>
              <w:t>18</w:t>
            </w:r>
          </w:p>
        </w:tc>
        <w:tc>
          <w:tcPr>
            <w:tcW w:w="1496" w:type="dxa"/>
            <w:vAlign w:val="center"/>
          </w:tcPr>
          <w:p>
            <w:pPr>
              <w:autoSpaceDN w:val="0"/>
              <w:spacing w:line="360" w:lineRule="auto"/>
              <w:jc w:val="center"/>
              <w:textAlignment w:val="center"/>
              <w:rPr>
                <w:rFonts w:hint="eastAsia" w:ascii="仿宋" w:hAnsi="仿宋" w:eastAsia="仿宋" w:cs="仿宋"/>
                <w:sz w:val="22"/>
              </w:rPr>
            </w:pPr>
            <w:r>
              <w:rPr>
                <w:rFonts w:ascii="仿宋" w:hAnsi="仿宋" w:eastAsia="仿宋"/>
                <w:color w:val="000000"/>
                <w:sz w:val="22"/>
              </w:rPr>
              <w:t>反屈伸训练器</w:t>
            </w:r>
          </w:p>
        </w:tc>
        <w:tc>
          <w:tcPr>
            <w:tcW w:w="5687" w:type="dxa"/>
            <w:vAlign w:val="top"/>
          </w:tcPr>
          <w:p>
            <w:pPr>
              <w:spacing w:line="320" w:lineRule="exact"/>
              <w:rPr>
                <w:rFonts w:hint="eastAsia" w:ascii="仿宋" w:hAnsi="仿宋" w:eastAsia="仿宋" w:cs="仿宋"/>
                <w:sz w:val="22"/>
              </w:rPr>
            </w:pPr>
            <w:r>
              <w:rPr>
                <w:rFonts w:hint="eastAsia" w:ascii="仿宋" w:hAnsi="仿宋" w:eastAsia="仿宋" w:cs="仿宋"/>
                <w:sz w:val="22"/>
              </w:rPr>
              <w:t>1）主承载立柱规格：钢管Φ114x3mm</w:t>
            </w:r>
          </w:p>
          <w:p>
            <w:pPr>
              <w:spacing w:line="320" w:lineRule="exact"/>
              <w:rPr>
                <w:rFonts w:hint="eastAsia" w:ascii="仿宋" w:hAnsi="仿宋" w:eastAsia="仿宋" w:cs="仿宋"/>
                <w:sz w:val="22"/>
              </w:rPr>
            </w:pPr>
            <w:r>
              <w:rPr>
                <w:rFonts w:hint="eastAsia" w:ascii="仿宋" w:hAnsi="仿宋" w:eastAsia="仿宋" w:cs="仿宋"/>
                <w:sz w:val="22"/>
              </w:rPr>
              <w:t>2）主承载横梁规格：钢管Φ60x3mm</w:t>
            </w:r>
          </w:p>
          <w:p>
            <w:pPr>
              <w:spacing w:line="320" w:lineRule="exact"/>
              <w:rPr>
                <w:rFonts w:hint="eastAsia" w:ascii="仿宋" w:hAnsi="仿宋" w:eastAsia="仿宋" w:cs="仿宋"/>
                <w:sz w:val="22"/>
              </w:rPr>
            </w:pPr>
            <w:r>
              <w:rPr>
                <w:rFonts w:hint="eastAsia" w:ascii="仿宋" w:hAnsi="仿宋" w:eastAsia="仿宋" w:cs="仿宋"/>
                <w:sz w:val="22"/>
              </w:rPr>
              <w:t>3）不存在衣服、头发钩挂或缠绕危险；不存在和使用功能无关的凸出物。</w:t>
            </w:r>
          </w:p>
          <w:p>
            <w:pPr>
              <w:spacing w:line="320" w:lineRule="exact"/>
              <w:rPr>
                <w:rFonts w:hint="eastAsia" w:ascii="仿宋" w:hAnsi="仿宋" w:eastAsia="仿宋" w:cs="仿宋"/>
                <w:sz w:val="22"/>
              </w:rPr>
            </w:pPr>
            <w:r>
              <w:rPr>
                <w:rFonts w:hint="eastAsia" w:ascii="仿宋" w:hAnsi="仿宋" w:eastAsia="仿宋" w:cs="仿宋"/>
                <w:sz w:val="22"/>
              </w:rPr>
              <w:t>4）器材有安全警示标志采用图文形式提示使用者可能存在风险。</w:t>
            </w:r>
          </w:p>
          <w:p>
            <w:pPr>
              <w:spacing w:line="320" w:lineRule="exact"/>
              <w:rPr>
                <w:rFonts w:hint="eastAsia" w:ascii="仿宋" w:hAnsi="仿宋" w:eastAsia="仿宋" w:cs="仿宋"/>
                <w:sz w:val="22"/>
              </w:rPr>
            </w:pPr>
            <w:r>
              <w:rPr>
                <w:rFonts w:hint="eastAsia" w:ascii="仿宋" w:hAnsi="仿宋" w:eastAsia="仿宋" w:cs="仿宋"/>
                <w:sz w:val="22"/>
              </w:rPr>
              <w:t>5）产品符合GB19272-2011【室外健身器材安全 通用要求】标准，具有国家体育用品质量监督检验中心的检验报告。具有NSCC国体认证证书。</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10</w:t>
            </w:r>
          </w:p>
        </w:tc>
      </w:tr>
      <w:tr>
        <w:trPr>
          <w:trHeight w:val="1040" w:hRule="atLeast"/>
          <w:jc w:val="center"/>
        </w:trPr>
        <w:tc>
          <w:tcPr>
            <w:tcW w:w="1023" w:type="dxa"/>
            <w:vAlign w:val="center"/>
          </w:tcPr>
          <w:p>
            <w:pPr>
              <w:autoSpaceDN w:val="0"/>
              <w:spacing w:line="2880" w:lineRule="auto"/>
              <w:jc w:val="center"/>
              <w:textAlignment w:val="center"/>
              <w:rPr>
                <w:rFonts w:hint="eastAsia" w:ascii="仿宋" w:hAnsi="仿宋" w:eastAsia="仿宋" w:cs="仿宋"/>
                <w:sz w:val="22"/>
              </w:rPr>
            </w:pPr>
            <w:r>
              <w:rPr>
                <w:rFonts w:ascii="宋体" w:hAnsi="宋体" w:eastAsia="宋体"/>
                <w:color w:val="000000"/>
                <w:sz w:val="24"/>
              </w:rPr>
              <w:t>19</w:t>
            </w:r>
          </w:p>
        </w:tc>
        <w:tc>
          <w:tcPr>
            <w:tcW w:w="1496"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臂力训练器</w:t>
            </w:r>
          </w:p>
        </w:tc>
        <w:tc>
          <w:tcPr>
            <w:tcW w:w="5687" w:type="dxa"/>
            <w:vAlign w:val="top"/>
          </w:tcPr>
          <w:p>
            <w:pPr>
              <w:rPr>
                <w:rFonts w:hint="eastAsia" w:ascii="仿宋" w:hAnsi="仿宋" w:eastAsia="仿宋" w:cs="仿宋"/>
                <w:sz w:val="22"/>
              </w:rPr>
            </w:pPr>
            <w:r>
              <w:rPr>
                <w:rFonts w:hint="eastAsia" w:ascii="仿宋" w:hAnsi="仿宋" w:eastAsia="仿宋" w:cs="仿宋"/>
                <w:sz w:val="22"/>
              </w:rPr>
              <w:t>1.主承载立柱规格（mm）：Φ114×3</w:t>
            </w:r>
          </w:p>
          <w:p>
            <w:pPr>
              <w:rPr>
                <w:rFonts w:hint="eastAsia" w:ascii="仿宋" w:hAnsi="仿宋" w:eastAsia="仿宋" w:cs="仿宋"/>
                <w:sz w:val="22"/>
              </w:rPr>
            </w:pPr>
            <w:r>
              <w:rPr>
                <w:rFonts w:hint="eastAsia" w:ascii="仿宋" w:hAnsi="仿宋" w:eastAsia="仿宋" w:cs="仿宋"/>
                <w:sz w:val="22"/>
              </w:rPr>
              <w:t>2.主承载横梁钢管（mm）：φ68×5；</w:t>
            </w:r>
          </w:p>
          <w:p>
            <w:pPr>
              <w:rPr>
                <w:rFonts w:hint="eastAsia" w:ascii="仿宋" w:hAnsi="仿宋" w:eastAsia="仿宋" w:cs="仿宋"/>
                <w:sz w:val="22"/>
              </w:rPr>
            </w:pPr>
            <w:r>
              <w:rPr>
                <w:rFonts w:hint="eastAsia" w:ascii="仿宋" w:hAnsi="仿宋" w:eastAsia="仿宋" w:cs="仿宋"/>
                <w:sz w:val="22"/>
              </w:rPr>
              <w:t>3.不存在衣服、头发钩挂或缠绕危险；不存在和使用功能无关的凸出物。</w:t>
            </w:r>
          </w:p>
          <w:p>
            <w:pPr>
              <w:rPr>
                <w:rFonts w:hint="eastAsia" w:ascii="仿宋" w:hAnsi="仿宋" w:eastAsia="仿宋" w:cs="仿宋"/>
                <w:sz w:val="22"/>
              </w:rPr>
            </w:pPr>
            <w:r>
              <w:rPr>
                <w:rFonts w:hint="eastAsia" w:ascii="仿宋" w:hAnsi="仿宋" w:eastAsia="仿宋" w:cs="仿宋"/>
                <w:sz w:val="22"/>
              </w:rPr>
              <w:t>4.器材在正常使用过程中不应存在染色、掉沫及感官所能察觉到的较浓异味等现象。</w:t>
            </w:r>
          </w:p>
          <w:p>
            <w:pPr>
              <w:rPr>
                <w:rFonts w:hint="eastAsia" w:ascii="仿宋" w:hAnsi="仿宋" w:eastAsia="仿宋" w:cs="仿宋"/>
                <w:sz w:val="22"/>
              </w:rPr>
            </w:pPr>
            <w:r>
              <w:rPr>
                <w:rFonts w:hint="eastAsia" w:ascii="仿宋" w:hAnsi="仿宋" w:eastAsia="仿宋" w:cs="仿宋"/>
                <w:sz w:val="22"/>
              </w:rPr>
              <w:t>5.器材内置阻尼且有安全警示标志采用图文形式提示使用者可能存在风险。</w:t>
            </w:r>
          </w:p>
          <w:p>
            <w:pPr>
              <w:rPr>
                <w:rFonts w:hint="eastAsia" w:ascii="仿宋" w:hAnsi="仿宋" w:eastAsia="仿宋" w:cs="仿宋"/>
                <w:sz w:val="22"/>
              </w:rPr>
            </w:pPr>
            <w:r>
              <w:rPr>
                <w:rFonts w:hint="eastAsia" w:ascii="仿宋" w:hAnsi="仿宋" w:eastAsia="仿宋" w:cs="仿宋"/>
                <w:sz w:val="22"/>
              </w:rPr>
              <w:t>6.产品符合GB19272-2011《室外健身器材的安全通用要求》执行标准且具有NSCC国体认证证书。</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10</w:t>
            </w:r>
          </w:p>
        </w:tc>
      </w:tr>
      <w:tr>
        <w:trPr>
          <w:trHeight w:val="580" w:hRule="atLeast"/>
          <w:jc w:val="center"/>
        </w:trPr>
        <w:tc>
          <w:tcPr>
            <w:tcW w:w="1023" w:type="dxa"/>
            <w:vAlign w:val="center"/>
          </w:tcPr>
          <w:p>
            <w:pPr>
              <w:autoSpaceDN w:val="0"/>
              <w:spacing w:line="1920" w:lineRule="auto"/>
              <w:jc w:val="center"/>
              <w:textAlignment w:val="center"/>
              <w:rPr>
                <w:rFonts w:hint="eastAsia" w:ascii="仿宋" w:hAnsi="仿宋" w:eastAsia="仿宋" w:cs="仿宋"/>
                <w:sz w:val="22"/>
              </w:rPr>
            </w:pPr>
            <w:r>
              <w:rPr>
                <w:rFonts w:ascii="宋体" w:hAnsi="宋体" w:eastAsia="宋体"/>
                <w:color w:val="000000"/>
                <w:sz w:val="24"/>
              </w:rPr>
              <w:t>20</w:t>
            </w:r>
          </w:p>
        </w:tc>
        <w:tc>
          <w:tcPr>
            <w:tcW w:w="1496" w:type="dxa"/>
            <w:vAlign w:val="center"/>
          </w:tcPr>
          <w:p>
            <w:pPr>
              <w:jc w:val="center"/>
              <w:rPr>
                <w:rFonts w:hint="eastAsia" w:ascii="仿宋" w:hAnsi="仿宋" w:eastAsia="仿宋" w:cs="仿宋"/>
                <w:sz w:val="22"/>
              </w:rPr>
            </w:pPr>
            <w:r>
              <w:rPr>
                <w:rFonts w:hint="eastAsia" w:ascii="仿宋_GB2312" w:hAnsi="宋体" w:eastAsia="仿宋_GB2312" w:cs="仿宋_GB2312"/>
                <w:sz w:val="24"/>
              </w:rPr>
              <w:t>休闲椅</w:t>
            </w:r>
          </w:p>
        </w:tc>
        <w:tc>
          <w:tcPr>
            <w:tcW w:w="5687" w:type="dxa"/>
            <w:vAlign w:val="top"/>
          </w:tcPr>
          <w:p>
            <w:pPr>
              <w:pStyle w:val="10"/>
              <w:jc w:val="both"/>
              <w:rPr>
                <w:rFonts w:hint="eastAsia" w:ascii="仿宋" w:hAnsi="仿宋" w:eastAsia="仿宋" w:cs="仿宋"/>
                <w:sz w:val="24"/>
                <w:szCs w:val="24"/>
              </w:rPr>
            </w:pPr>
            <w:r>
              <w:rPr>
                <w:rFonts w:hint="eastAsia" w:ascii="仿宋" w:hAnsi="仿宋" w:eastAsia="仿宋" w:cs="仿宋"/>
                <w:kern w:val="0"/>
                <w:sz w:val="22"/>
                <w:szCs w:val="22"/>
              </w:rPr>
              <w:t>1</w:t>
            </w:r>
            <w:r>
              <w:rPr>
                <w:rFonts w:hint="eastAsia" w:ascii="仿宋" w:hAnsi="仿宋" w:eastAsia="仿宋" w:cs="仿宋"/>
                <w:sz w:val="24"/>
                <w:szCs w:val="24"/>
              </w:rPr>
              <w:t>.主承载立柱规格（mm）：Φ89×3</w:t>
            </w:r>
          </w:p>
          <w:p>
            <w:pPr>
              <w:pStyle w:val="10"/>
              <w:jc w:val="both"/>
              <w:rPr>
                <w:rFonts w:hint="eastAsia" w:ascii="仿宋" w:hAnsi="仿宋" w:eastAsia="仿宋" w:cs="仿宋"/>
                <w:sz w:val="24"/>
                <w:szCs w:val="24"/>
              </w:rPr>
            </w:pPr>
            <w:r>
              <w:rPr>
                <w:rFonts w:hint="eastAsia" w:ascii="仿宋" w:hAnsi="仿宋" w:eastAsia="仿宋" w:cs="仿宋"/>
                <w:sz w:val="24"/>
                <w:szCs w:val="24"/>
              </w:rPr>
              <w:t>2.主承载横梁钢管（mm）：□40×80×3；</w:t>
            </w:r>
          </w:p>
          <w:p>
            <w:pPr>
              <w:pStyle w:val="10"/>
              <w:jc w:val="both"/>
              <w:rPr>
                <w:rFonts w:hint="eastAsia" w:ascii="仿宋" w:hAnsi="仿宋" w:eastAsia="仿宋" w:cs="仿宋"/>
                <w:sz w:val="24"/>
                <w:szCs w:val="24"/>
              </w:rPr>
            </w:pPr>
            <w:r>
              <w:rPr>
                <w:rFonts w:hint="eastAsia" w:ascii="仿宋" w:hAnsi="仿宋" w:eastAsia="仿宋" w:cs="仿宋"/>
                <w:sz w:val="24"/>
                <w:szCs w:val="24"/>
              </w:rPr>
              <w:t>3.器材不允许存在衣服、头发钩挂或缠绕危险；不存在和使用功能无关的凸出物；</w:t>
            </w:r>
          </w:p>
          <w:p>
            <w:pPr>
              <w:pStyle w:val="10"/>
              <w:jc w:val="both"/>
              <w:rPr>
                <w:rFonts w:hint="eastAsia" w:ascii="仿宋" w:hAnsi="仿宋" w:eastAsia="仿宋" w:cs="仿宋"/>
                <w:sz w:val="24"/>
                <w:szCs w:val="24"/>
              </w:rPr>
            </w:pPr>
            <w:r>
              <w:rPr>
                <w:rFonts w:hint="eastAsia" w:ascii="仿宋" w:hAnsi="仿宋" w:eastAsia="仿宋" w:cs="仿宋"/>
                <w:sz w:val="24"/>
                <w:szCs w:val="24"/>
              </w:rPr>
              <w:t>4.器材在正常使用过程中不应存在染色、掉沫及感官所能察觉到的较浓异味等现象；</w:t>
            </w:r>
          </w:p>
          <w:p>
            <w:pPr>
              <w:spacing w:line="320" w:lineRule="exact"/>
              <w:rPr>
                <w:rFonts w:hint="eastAsia" w:ascii="仿宋" w:hAnsi="仿宋" w:eastAsia="仿宋" w:cs="仿宋"/>
                <w:sz w:val="22"/>
              </w:rPr>
            </w:pPr>
          </w:p>
        </w:tc>
        <w:tc>
          <w:tcPr>
            <w:tcW w:w="791" w:type="dxa"/>
            <w:vAlign w:val="center"/>
          </w:tcPr>
          <w:p>
            <w:pPr>
              <w:spacing w:line="320" w:lineRule="exact"/>
              <w:jc w:val="center"/>
              <w:rPr>
                <w:rFonts w:hint="eastAsia" w:ascii="Calibri" w:hAnsi="Calibri" w:eastAsia="宋体" w:cs="Times New Roman"/>
                <w:sz w:val="24"/>
                <w:szCs w:val="24"/>
              </w:rPr>
            </w:pPr>
            <w:r>
              <w:rPr>
                <w:rFonts w:hint="eastAsia" w:cs="Times New Roman"/>
                <w:sz w:val="24"/>
                <w:szCs w:val="24"/>
              </w:rPr>
              <w:t>10</w:t>
            </w:r>
          </w:p>
        </w:tc>
      </w:tr>
      <w:tr>
        <w:trPr>
          <w:trHeight w:val="580" w:hRule="atLeast"/>
          <w:jc w:val="center"/>
        </w:trPr>
        <w:tc>
          <w:tcPr>
            <w:tcW w:w="1023" w:type="dxa"/>
            <w:vAlign w:val="center"/>
          </w:tcPr>
          <w:p>
            <w:pPr>
              <w:autoSpaceDN w:val="0"/>
              <w:spacing w:line="3360" w:lineRule="auto"/>
              <w:jc w:val="center"/>
              <w:textAlignment w:val="center"/>
              <w:rPr>
                <w:rFonts w:hint="eastAsia" w:ascii="仿宋" w:hAnsi="仿宋" w:eastAsia="仿宋" w:cs="仿宋"/>
                <w:sz w:val="22"/>
              </w:rPr>
            </w:pPr>
            <w:r>
              <w:rPr>
                <w:rFonts w:ascii="宋体" w:hAnsi="宋体" w:eastAsia="宋体"/>
                <w:color w:val="000000"/>
                <w:sz w:val="24"/>
              </w:rPr>
              <w:t>21</w:t>
            </w:r>
          </w:p>
        </w:tc>
        <w:tc>
          <w:tcPr>
            <w:tcW w:w="1496" w:type="dxa"/>
            <w:vAlign w:val="center"/>
          </w:tcPr>
          <w:p>
            <w:pPr>
              <w:jc w:val="center"/>
              <w:rPr>
                <w:rFonts w:hint="eastAsia" w:ascii="仿宋" w:hAnsi="仿宋" w:eastAsia="仿宋" w:cs="仿宋"/>
                <w:sz w:val="22"/>
              </w:rPr>
            </w:pPr>
            <w:r>
              <w:rPr>
                <w:rFonts w:hint="eastAsia" w:ascii="仿宋" w:hAnsi="仿宋" w:eastAsia="仿宋" w:cs="仿宋"/>
                <w:sz w:val="22"/>
              </w:rPr>
              <w:t>篮球架</w:t>
            </w:r>
          </w:p>
        </w:tc>
        <w:tc>
          <w:tcPr>
            <w:tcW w:w="5687" w:type="dxa"/>
            <w:vAlign w:val="top"/>
          </w:tcPr>
          <w:p>
            <w:pPr>
              <w:spacing w:line="320" w:lineRule="exact"/>
              <w:rPr>
                <w:rFonts w:hint="eastAsia" w:ascii="仿宋" w:hAnsi="仿宋" w:eastAsia="仿宋" w:cs="仿宋"/>
                <w:sz w:val="22"/>
              </w:rPr>
            </w:pPr>
            <w:r>
              <w:rPr>
                <w:rFonts w:hint="eastAsia" w:ascii="仿宋" w:hAnsi="仿宋" w:eastAsia="仿宋" w:cs="仿宋"/>
                <w:sz w:val="22"/>
              </w:rPr>
              <w:t>篮板规格：1800mm×1050mm。篮球架立柱、悬臂梁采用直径为Φ165mm、壁厚4mm的优质管材，一次冷弯成形。 篮板支撑：篮架上、下拉杆采用Φ42mm×3mm优质钢管，篮板应选用1800mm×1050mm的矩形篮板（材质为SMC）；采用SMC片状模塑料，整体高温模压一次成型。矩形篮板背部连接有不少于5点的连接安装位置，篮圈：采用实心钢材制成，篮圈圈条直径为20mm，篮圈下沿有12个均匀分布篮网装置，装置无锐边、毛刺，且装置不大于8 mm的间隙；篮圈选用弹性篮圈，在去除压力后可自动返回原位置。</w:t>
            </w:r>
          </w:p>
          <w:p>
            <w:pPr>
              <w:spacing w:line="320" w:lineRule="exact"/>
              <w:rPr>
                <w:rFonts w:hint="eastAsia" w:ascii="仿宋" w:hAnsi="仿宋" w:eastAsia="仿宋" w:cs="仿宋"/>
                <w:sz w:val="22"/>
              </w:rPr>
            </w:pPr>
            <w:r>
              <w:rPr>
                <w:rFonts w:hint="eastAsia" w:ascii="仿宋" w:hAnsi="仿宋" w:eastAsia="仿宋" w:cs="仿宋"/>
                <w:sz w:val="22"/>
              </w:rPr>
              <w:t>产品符合GB19272-2011【室外健身器材安全 通用要求】标准，具有国家体育用品质量监督检验中心的检验报告。具有NSCC国体认证证书。</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15付</w:t>
            </w:r>
          </w:p>
        </w:tc>
      </w:tr>
      <w:tr>
        <w:trPr>
          <w:trHeight w:val="579" w:hRule="atLeast"/>
          <w:jc w:val="center"/>
        </w:trPr>
        <w:tc>
          <w:tcPr>
            <w:tcW w:w="1023" w:type="dxa"/>
            <w:vAlign w:val="center"/>
          </w:tcPr>
          <w:p>
            <w:pPr>
              <w:autoSpaceDN w:val="0"/>
              <w:spacing w:line="2520" w:lineRule="auto"/>
              <w:jc w:val="center"/>
              <w:textAlignment w:val="center"/>
              <w:rPr>
                <w:rFonts w:hint="eastAsia" w:ascii="仿宋" w:hAnsi="仿宋" w:eastAsia="仿宋" w:cs="仿宋"/>
                <w:sz w:val="22"/>
              </w:rPr>
            </w:pPr>
            <w:r>
              <w:rPr>
                <w:rFonts w:ascii="宋体" w:hAnsi="宋体" w:eastAsia="宋体"/>
                <w:color w:val="000000"/>
                <w:sz w:val="24"/>
              </w:rPr>
              <w:t>22</w:t>
            </w:r>
          </w:p>
        </w:tc>
        <w:tc>
          <w:tcPr>
            <w:tcW w:w="1496" w:type="dxa"/>
            <w:vAlign w:val="center"/>
          </w:tcPr>
          <w:p>
            <w:pPr>
              <w:jc w:val="center"/>
              <w:rPr>
                <w:rFonts w:hint="eastAsia" w:ascii="仿宋" w:hAnsi="仿宋" w:eastAsia="仿宋" w:cs="仿宋"/>
                <w:sz w:val="22"/>
              </w:rPr>
            </w:pPr>
            <w:r>
              <w:rPr>
                <w:rFonts w:hint="eastAsia" w:ascii="仿宋" w:hAnsi="仿宋" w:eastAsia="仿宋" w:cs="仿宋"/>
                <w:sz w:val="22"/>
              </w:rPr>
              <w:t>乒乓球台</w:t>
            </w:r>
          </w:p>
        </w:tc>
        <w:tc>
          <w:tcPr>
            <w:tcW w:w="5687" w:type="dxa"/>
            <w:vAlign w:val="top"/>
          </w:tcPr>
          <w:p>
            <w:pPr>
              <w:spacing w:line="320" w:lineRule="exact"/>
              <w:rPr>
                <w:rFonts w:hint="eastAsia" w:ascii="仿宋" w:hAnsi="仿宋" w:eastAsia="仿宋" w:cs="仿宋"/>
                <w:sz w:val="22"/>
              </w:rPr>
            </w:pPr>
            <w:r>
              <w:rPr>
                <w:rFonts w:hint="eastAsia" w:ascii="仿宋" w:hAnsi="仿宋" w:eastAsia="仿宋" w:cs="仿宋"/>
                <w:sz w:val="22"/>
              </w:rPr>
              <w:t>球台长度2740mm±3mm，球台宽度1585mm±2mm，球台高度913mm±3mm，</w:t>
            </w:r>
          </w:p>
          <w:p>
            <w:pPr>
              <w:spacing w:line="320" w:lineRule="exact"/>
              <w:rPr>
                <w:rFonts w:hint="eastAsia" w:ascii="仿宋" w:hAnsi="仿宋" w:eastAsia="仿宋" w:cs="仿宋"/>
                <w:sz w:val="22"/>
              </w:rPr>
            </w:pPr>
            <w:r>
              <w:rPr>
                <w:rFonts w:hint="eastAsia" w:ascii="仿宋" w:hAnsi="仿宋" w:eastAsia="仿宋" w:cs="仿宋"/>
                <w:sz w:val="22"/>
              </w:rPr>
              <w:t>球台台面材质用于适于室外使用SMC材质，防水、抗寒、耐热，并能长期保持不变形、不翘曲、不开裂。</w:t>
            </w:r>
            <w:r>
              <w:rPr>
                <w:rFonts w:hint="eastAsia" w:ascii="仿宋" w:hAnsi="仿宋" w:eastAsia="仿宋" w:cs="仿宋"/>
                <w:sz w:val="22"/>
              </w:rPr>
              <w:br/>
            </w:r>
            <w:r>
              <w:rPr>
                <w:rFonts w:hint="eastAsia" w:ascii="仿宋" w:hAnsi="仿宋" w:eastAsia="仿宋" w:cs="仿宋"/>
                <w:sz w:val="22"/>
              </w:rPr>
              <w:t>端、边线和中线为白色，厚度没有手感凸起感觉。</w:t>
            </w:r>
            <w:r>
              <w:rPr>
                <w:rFonts w:hint="eastAsia" w:ascii="仿宋" w:hAnsi="仿宋" w:eastAsia="仿宋" w:cs="仿宋"/>
                <w:sz w:val="22"/>
              </w:rPr>
              <w:br/>
            </w:r>
            <w:r>
              <w:rPr>
                <w:rFonts w:hint="eastAsia" w:ascii="仿宋" w:hAnsi="仿宋" w:eastAsia="仿宋" w:cs="仿宋"/>
                <w:sz w:val="22"/>
              </w:rPr>
              <w:t>球台台面的颜色为蓝色，无光泽。</w:t>
            </w:r>
            <w:r>
              <w:rPr>
                <w:rFonts w:hint="eastAsia" w:ascii="仿宋" w:hAnsi="仿宋" w:eastAsia="仿宋" w:cs="仿宋"/>
                <w:sz w:val="22"/>
              </w:rPr>
              <w:br/>
            </w:r>
            <w:r>
              <w:rPr>
                <w:rFonts w:hint="eastAsia" w:ascii="仿宋" w:hAnsi="仿宋" w:eastAsia="仿宋" w:cs="仿宋"/>
                <w:sz w:val="22"/>
              </w:rPr>
              <w:t>球台弹性230~260mm，弹性均匀度≤10mm，台面与球面摩擦系数COF值≤0.6。</w:t>
            </w:r>
            <w:r>
              <w:rPr>
                <w:rFonts w:hint="eastAsia" w:ascii="仿宋" w:hAnsi="仿宋" w:eastAsia="仿宋" w:cs="仿宋"/>
                <w:sz w:val="22"/>
              </w:rPr>
              <w:br/>
            </w:r>
            <w:r>
              <w:rPr>
                <w:rFonts w:hint="eastAsia" w:ascii="仿宋" w:hAnsi="仿宋" w:eastAsia="仿宋" w:cs="仿宋"/>
                <w:sz w:val="22"/>
              </w:rPr>
              <w:t>球台表面平整无开裂、脱胶、伤痕、明显翘曲等缺陷。</w:t>
            </w:r>
            <w:r>
              <w:rPr>
                <w:rFonts w:hint="eastAsia" w:ascii="仿宋" w:hAnsi="仿宋" w:eastAsia="仿宋" w:cs="仿宋"/>
                <w:sz w:val="22"/>
              </w:rPr>
              <w:br/>
            </w:r>
            <w:r>
              <w:rPr>
                <w:rFonts w:hint="eastAsia" w:ascii="仿宋" w:hAnsi="仿宋" w:eastAsia="仿宋" w:cs="仿宋"/>
                <w:sz w:val="22"/>
              </w:rPr>
              <w:t>主立柱为φ60×3 mm，支撑管尺寸30×20×1.5mm，球台稳定性≤14mm。</w:t>
            </w:r>
          </w:p>
          <w:p>
            <w:pPr>
              <w:spacing w:line="320" w:lineRule="exact"/>
              <w:rPr>
                <w:rFonts w:hint="eastAsia" w:ascii="仿宋" w:hAnsi="仿宋" w:eastAsia="仿宋" w:cs="仿宋"/>
                <w:sz w:val="22"/>
              </w:rPr>
            </w:pPr>
            <w:r>
              <w:rPr>
                <w:rFonts w:hint="eastAsia" w:ascii="仿宋" w:hAnsi="仿宋" w:eastAsia="仿宋" w:cs="仿宋"/>
                <w:sz w:val="22"/>
              </w:rPr>
              <w:t>球网架材质为Q235，与台面配合严密稳固，长期室外使用能保持不变形、不锈蚀.</w:t>
            </w:r>
          </w:p>
          <w:p>
            <w:pPr>
              <w:spacing w:line="320" w:lineRule="exact"/>
              <w:rPr>
                <w:rFonts w:hint="eastAsia" w:ascii="仿宋" w:hAnsi="仿宋" w:eastAsia="仿宋" w:cs="仿宋"/>
                <w:sz w:val="22"/>
              </w:rPr>
            </w:pPr>
            <w:r>
              <w:rPr>
                <w:rFonts w:hint="eastAsia" w:ascii="仿宋" w:hAnsi="仿宋" w:eastAsia="仿宋" w:cs="仿宋"/>
                <w:sz w:val="22"/>
              </w:rPr>
              <w:t>产品符合GB19272-2011【室外健身器材安全 通用要求】标准，具有国家体育用品质量监督检验中心的检验报告。具有NSCC国体认证证书。</w:t>
            </w:r>
          </w:p>
        </w:tc>
        <w:tc>
          <w:tcPr>
            <w:tcW w:w="791" w:type="dxa"/>
            <w:vAlign w:val="center"/>
          </w:tcPr>
          <w:p>
            <w:pPr>
              <w:spacing w:line="320" w:lineRule="exact"/>
              <w:jc w:val="center"/>
              <w:rPr>
                <w:rFonts w:hint="eastAsia" w:ascii="仿宋" w:hAnsi="仿宋" w:eastAsia="仿宋" w:cs="仿宋"/>
                <w:sz w:val="22"/>
              </w:rPr>
            </w:pPr>
            <w:r>
              <w:rPr>
                <w:rFonts w:hint="eastAsia" w:ascii="仿宋" w:hAnsi="仿宋" w:eastAsia="仿宋" w:cs="仿宋"/>
                <w:sz w:val="22"/>
              </w:rPr>
              <w:t>30</w:t>
            </w:r>
          </w:p>
        </w:tc>
      </w:tr>
      <w:tr>
        <w:trPr>
          <w:trHeight w:val="580" w:hRule="atLeast"/>
          <w:jc w:val="center"/>
        </w:trPr>
        <w:tc>
          <w:tcPr>
            <w:tcW w:w="1023" w:type="dxa"/>
            <w:vAlign w:val="center"/>
          </w:tcPr>
          <w:p>
            <w:pPr>
              <w:autoSpaceDN w:val="0"/>
              <w:spacing w:line="3600" w:lineRule="auto"/>
              <w:jc w:val="center"/>
              <w:textAlignment w:val="center"/>
              <w:rPr>
                <w:rFonts w:hint="eastAsia" w:ascii="仿宋" w:hAnsi="仿宋" w:eastAsia="仿宋" w:cs="仿宋"/>
                <w:sz w:val="22"/>
              </w:rPr>
            </w:pPr>
            <w:r>
              <w:rPr>
                <w:rFonts w:ascii="宋体" w:hAnsi="宋体" w:eastAsia="宋体"/>
                <w:color w:val="000000"/>
                <w:sz w:val="24"/>
              </w:rPr>
              <w:t>23</w:t>
            </w:r>
          </w:p>
        </w:tc>
        <w:tc>
          <w:tcPr>
            <w:tcW w:w="1496" w:type="dxa"/>
            <w:vAlign w:val="center"/>
          </w:tcPr>
          <w:p>
            <w:pPr>
              <w:spacing w:line="360" w:lineRule="auto"/>
              <w:jc w:val="center"/>
              <w:rPr>
                <w:rFonts w:hint="eastAsia" w:ascii="仿宋" w:hAnsi="仿宋" w:eastAsia="仿宋" w:cs="仿宋"/>
                <w:sz w:val="22"/>
              </w:rPr>
            </w:pPr>
            <w:r>
              <w:rPr>
                <w:rFonts w:hint="eastAsia" w:ascii="仿宋_GB2312" w:hAnsi="宋体" w:eastAsia="仿宋_GB2312" w:cs="仿宋_GB2312"/>
                <w:sz w:val="24"/>
              </w:rPr>
              <w:t>多功能球场</w:t>
            </w:r>
          </w:p>
        </w:tc>
        <w:tc>
          <w:tcPr>
            <w:tcW w:w="5687" w:type="dxa"/>
            <w:vAlign w:val="top"/>
          </w:tcPr>
          <w:p>
            <w:pPr>
              <w:pStyle w:val="40"/>
              <w:spacing w:line="400" w:lineRule="exact"/>
              <w:ind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一、围网：</w:t>
            </w:r>
          </w:p>
          <w:p>
            <w:pPr>
              <w:rPr>
                <w:rFonts w:hint="eastAsia" w:ascii="仿宋" w:hAnsi="仿宋" w:eastAsia="仿宋" w:cs="仿宋"/>
                <w:bCs/>
                <w:sz w:val="22"/>
              </w:rPr>
            </w:pPr>
            <w:r>
              <w:rPr>
                <w:rFonts w:hint="eastAsia" w:ascii="仿宋" w:hAnsi="仿宋" w:eastAsia="仿宋" w:cs="仿宋"/>
                <w:bCs/>
                <w:sz w:val="22"/>
              </w:rPr>
              <w:t>1.框架：围网立柱采用不小于（Q235B材质）Ф76mm，管壁厚度为不小于3mm的优质钢管，围网采用模块拼接式，单个网片规格为3000(长)mm</w:t>
            </w:r>
            <w:r>
              <w:rPr>
                <w:rFonts w:hint="eastAsia" w:ascii="仿宋" w:hAnsi="仿宋" w:eastAsia="仿宋" w:cs="仿宋"/>
                <w:sz w:val="22"/>
              </w:rPr>
              <w:t>*</w:t>
            </w:r>
            <w:r>
              <w:rPr>
                <w:rFonts w:hint="eastAsia" w:ascii="仿宋" w:hAnsi="仿宋" w:eastAsia="仿宋" w:cs="仿宋"/>
                <w:bCs/>
                <w:sz w:val="22"/>
              </w:rPr>
              <w:t>2000（高）mm，围网总高度不小于4000mm，现场立柱预埋后安装网片，立柱选用不少于28个独立地埋固定方式，围网框架采用不小于（Q235B材质）Ф48mm，管壁厚度不小于2mm的优质钢管，立柱间隔不大于3ｍ，所有管材表面须经过静电粉末喷塑,颜色为墨绿色．立柱埋入地下深度应不小于400mm，地基尺寸应不小于400mmｘ400mm。</w:t>
            </w:r>
          </w:p>
          <w:p>
            <w:pPr>
              <w:rPr>
                <w:rFonts w:hint="eastAsia" w:ascii="仿宋" w:hAnsi="仿宋" w:eastAsia="仿宋" w:cs="仿宋"/>
                <w:bCs/>
                <w:sz w:val="22"/>
              </w:rPr>
            </w:pPr>
            <w:r>
              <w:rPr>
                <w:rFonts w:hint="eastAsia" w:ascii="仿宋" w:hAnsi="仿宋" w:eastAsia="仿宋" w:cs="仿宋"/>
                <w:bCs/>
                <w:sz w:val="22"/>
              </w:rPr>
              <w:t>2.围网带有两个1.4米宽、2米高的双开式框架进出口，采用50</w:t>
            </w:r>
            <w:r>
              <w:rPr>
                <w:rFonts w:hint="eastAsia" w:ascii="仿宋" w:hAnsi="仿宋" w:eastAsia="仿宋" w:cs="仿宋"/>
                <w:sz w:val="22"/>
              </w:rPr>
              <w:t>*</w:t>
            </w:r>
            <w:r>
              <w:rPr>
                <w:rFonts w:hint="eastAsia" w:ascii="仿宋" w:hAnsi="仿宋" w:eastAsia="仿宋" w:cs="仿宋"/>
                <w:bCs/>
                <w:sz w:val="22"/>
              </w:rPr>
              <w:t>50</w:t>
            </w:r>
            <w:r>
              <w:rPr>
                <w:rFonts w:hint="eastAsia" w:ascii="仿宋" w:hAnsi="仿宋" w:eastAsia="仿宋" w:cs="仿宋"/>
                <w:b/>
                <w:bCs/>
                <w:sz w:val="22"/>
              </w:rPr>
              <w:t>*</w:t>
            </w:r>
            <w:r>
              <w:rPr>
                <w:rFonts w:hint="eastAsia" w:ascii="仿宋" w:hAnsi="仿宋" w:eastAsia="仿宋" w:cs="仿宋"/>
                <w:bCs/>
                <w:sz w:val="22"/>
              </w:rPr>
              <w:t>t2.0mm的方管。围网网片使用压框覆盖包塑网，防止刮伤。围网全部采用防盗不锈钢螺栓，并采用防松螺母防松方式，保证连接长期可靠。立柱与连接横管采用固态粉静电喷涂工艺，颜色为墨绿色，色泽保持八年不变，围网风载荷标准值应不小于0.35kn/m</w:t>
            </w:r>
            <w:r>
              <w:rPr>
                <w:rFonts w:hint="eastAsia" w:ascii="仿宋" w:hAnsi="仿宋" w:eastAsia="仿宋" w:cs="仿宋"/>
                <w:bCs/>
                <w:sz w:val="22"/>
                <w:vertAlign w:val="superscript"/>
              </w:rPr>
              <w:t>2</w:t>
            </w:r>
            <w:r>
              <w:rPr>
                <w:rFonts w:hint="eastAsia" w:ascii="仿宋" w:hAnsi="仿宋" w:eastAsia="仿宋" w:cs="仿宋"/>
                <w:bCs/>
                <w:sz w:val="22"/>
              </w:rPr>
              <w:t>。</w:t>
            </w:r>
          </w:p>
          <w:p>
            <w:pPr>
              <w:pStyle w:val="40"/>
              <w:spacing w:line="400" w:lineRule="exact"/>
              <w:ind w:firstLine="0" w:firstLineChars="0"/>
              <w:rPr>
                <w:rFonts w:hint="eastAsia" w:ascii="仿宋" w:hAnsi="仿宋" w:eastAsia="仿宋" w:cs="仿宋"/>
                <w:bCs/>
                <w:sz w:val="22"/>
                <w:szCs w:val="22"/>
              </w:rPr>
            </w:pPr>
            <w:r>
              <w:rPr>
                <w:rFonts w:hint="eastAsia" w:ascii="仿宋" w:hAnsi="仿宋" w:eastAsia="仿宋" w:cs="仿宋"/>
                <w:bCs/>
                <w:sz w:val="22"/>
                <w:szCs w:val="22"/>
              </w:rPr>
              <w:t>3.网丝:包塑网片丝浸塑处理后网片径不小于Ф4mm,采用优质低碳镀锌钢丝，处理前丝径不小于Ф3mm，网孔50</w:t>
            </w:r>
            <w:r>
              <w:rPr>
                <w:rFonts w:hint="eastAsia" w:ascii="仿宋" w:hAnsi="仿宋" w:eastAsia="仿宋" w:cs="仿宋"/>
                <w:sz w:val="22"/>
                <w:szCs w:val="22"/>
              </w:rPr>
              <w:t>*</w:t>
            </w:r>
            <w:r>
              <w:rPr>
                <w:rFonts w:hint="eastAsia" w:ascii="仿宋" w:hAnsi="仿宋" w:eastAsia="仿宋" w:cs="仿宋"/>
                <w:bCs/>
                <w:sz w:val="22"/>
                <w:szCs w:val="22"/>
              </w:rPr>
              <w:t>50mm，勾花网，网孔50±3mm,颜色为墨绿色，表面光滑细腻，各项性能指标达到GB15065-94和IE60502标准，吸水率为0%。围网孔径应与运动功能相适应，具有防止球脱出的功能。</w:t>
            </w:r>
          </w:p>
          <w:p>
            <w:pPr>
              <w:pStyle w:val="40"/>
              <w:spacing w:line="400" w:lineRule="exact"/>
              <w:ind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二、篮球架：</w:t>
            </w:r>
          </w:p>
          <w:p>
            <w:pPr>
              <w:spacing w:line="400" w:lineRule="exact"/>
              <w:rPr>
                <w:rFonts w:hint="eastAsia" w:ascii="仿宋" w:hAnsi="仿宋" w:eastAsia="仿宋" w:cs="仿宋"/>
                <w:sz w:val="22"/>
              </w:rPr>
            </w:pPr>
            <w:r>
              <w:rPr>
                <w:rFonts w:hint="eastAsia" w:ascii="仿宋" w:hAnsi="仿宋" w:eastAsia="仿宋" w:cs="仿宋"/>
                <w:sz w:val="22"/>
              </w:rPr>
              <w:t>1、主架采用Φ165×4mm定制的优质国标钢管整体弯制而成，篮架上、下拉杆采用不小于Ф48×3mm优质国标钢管。</w:t>
            </w:r>
          </w:p>
          <w:p>
            <w:pPr>
              <w:spacing w:line="400" w:lineRule="exact"/>
              <w:rPr>
                <w:rFonts w:hint="eastAsia" w:ascii="仿宋" w:hAnsi="仿宋" w:eastAsia="仿宋" w:cs="仿宋"/>
                <w:sz w:val="22"/>
              </w:rPr>
            </w:pPr>
            <w:r>
              <w:rPr>
                <w:rFonts w:hint="eastAsia" w:ascii="仿宋" w:hAnsi="仿宋" w:eastAsia="仿宋" w:cs="仿宋"/>
                <w:sz w:val="22"/>
              </w:rPr>
              <w:t>2、通过调节上拉杆可调节篮板的板面垂直度，通过调节下拉杆，可调节篮圈与地面的平行度，通过调节篮板与探臂连接部位，可微调篮板垂直和平行度，篮板与主架连接采用5点支撑；</w:t>
            </w:r>
          </w:p>
          <w:p>
            <w:pPr>
              <w:spacing w:line="400" w:lineRule="exact"/>
              <w:rPr>
                <w:rFonts w:hint="eastAsia" w:ascii="仿宋" w:hAnsi="仿宋" w:eastAsia="仿宋" w:cs="仿宋"/>
                <w:sz w:val="22"/>
              </w:rPr>
            </w:pPr>
            <w:r>
              <w:rPr>
                <w:rFonts w:hint="eastAsia" w:ascii="仿宋" w:hAnsi="仿宋" w:eastAsia="仿宋" w:cs="仿宋"/>
                <w:sz w:val="22"/>
              </w:rPr>
              <w:t>3、篮板：材料采用SMC材料制成，规格：1800×1050×50mm（翻边），整体高温模压一次成型。</w:t>
            </w:r>
          </w:p>
          <w:p>
            <w:pPr>
              <w:spacing w:line="400" w:lineRule="exact"/>
              <w:rPr>
                <w:rFonts w:hint="eastAsia" w:ascii="仿宋" w:hAnsi="仿宋" w:eastAsia="仿宋" w:cs="仿宋"/>
                <w:sz w:val="22"/>
              </w:rPr>
            </w:pPr>
            <w:r>
              <w:rPr>
                <w:rFonts w:hint="eastAsia" w:ascii="仿宋" w:hAnsi="仿宋" w:eastAsia="仿宋" w:cs="仿宋"/>
                <w:sz w:val="22"/>
              </w:rPr>
              <w:t>4、篮球板SMC面板厚度不低于5mm，翻边宽度不低于50mm，翻边厚度不低于7 mm；背面加强筋采用V字型与井字型相结合结构，加强筋厚度不低于6mm，加强筋高度不小于45 mm；</w:t>
            </w:r>
          </w:p>
          <w:p>
            <w:pPr>
              <w:pStyle w:val="40"/>
              <w:spacing w:line="400" w:lineRule="exact"/>
              <w:ind w:firstLine="0" w:firstLineChars="0"/>
              <w:rPr>
                <w:rFonts w:hint="eastAsia" w:ascii="仿宋" w:hAnsi="仿宋" w:eastAsia="仿宋" w:cs="仿宋"/>
                <w:sz w:val="22"/>
                <w:szCs w:val="22"/>
              </w:rPr>
            </w:pPr>
            <w:r>
              <w:rPr>
                <w:rFonts w:hint="eastAsia" w:ascii="仿宋" w:hAnsi="仿宋" w:eastAsia="仿宋" w:cs="仿宋"/>
                <w:sz w:val="22"/>
                <w:szCs w:val="22"/>
              </w:rPr>
              <w:t>5、篮板投篮区背面安装加强钢板，加强钢板尺寸为570㎜*150㎜*5㎜；</w:t>
            </w:r>
          </w:p>
          <w:p>
            <w:pPr>
              <w:pStyle w:val="40"/>
              <w:spacing w:line="400" w:lineRule="exact"/>
              <w:ind w:firstLine="0" w:firstLineChars="0"/>
              <w:rPr>
                <w:rFonts w:hint="eastAsia" w:ascii="仿宋" w:hAnsi="仿宋" w:eastAsia="仿宋" w:cs="仿宋"/>
                <w:sz w:val="22"/>
                <w:szCs w:val="22"/>
              </w:rPr>
            </w:pPr>
            <w:r>
              <w:rPr>
                <w:rFonts w:hint="eastAsia" w:ascii="仿宋" w:hAnsi="仿宋" w:eastAsia="仿宋" w:cs="仿宋"/>
                <w:sz w:val="22"/>
                <w:szCs w:val="22"/>
              </w:rPr>
              <w:t>三、宣传标牌:</w:t>
            </w:r>
          </w:p>
          <w:p>
            <w:pPr>
              <w:pStyle w:val="40"/>
              <w:spacing w:line="400" w:lineRule="exact"/>
              <w:ind w:firstLine="0" w:firstLineChars="0"/>
              <w:rPr>
                <w:rFonts w:hint="eastAsia" w:ascii="仿宋" w:hAnsi="仿宋" w:eastAsia="仿宋" w:cs="仿宋"/>
                <w:sz w:val="22"/>
                <w:szCs w:val="22"/>
              </w:rPr>
            </w:pPr>
            <w:r>
              <w:rPr>
                <w:rFonts w:hint="eastAsia" w:ascii="仿宋" w:hAnsi="仿宋" w:eastAsia="仿宋" w:cs="仿宋"/>
                <w:sz w:val="22"/>
                <w:szCs w:val="22"/>
              </w:rPr>
              <w:t>尺寸：100cm×60cm；要求与围网系统融为一体，在显著位置合理设计，采用不锈钢材质，经久耐用，美观大方。内容为：厂家信息、服务电话等。应配备安全警示，应有禁止攀 爬的警示语，安全出/入口的标示。</w:t>
            </w:r>
          </w:p>
          <w:p>
            <w:pPr>
              <w:pStyle w:val="40"/>
              <w:numPr>
                <w:ilvl w:val="0"/>
                <w:numId w:val="4"/>
              </w:numPr>
              <w:spacing w:line="400" w:lineRule="exact"/>
              <w:ind w:firstLine="0" w:firstLineChars="0"/>
              <w:rPr>
                <w:rFonts w:hint="eastAsia" w:ascii="仿宋" w:hAnsi="仿宋" w:eastAsia="仿宋" w:cs="仿宋"/>
                <w:sz w:val="22"/>
                <w:szCs w:val="22"/>
              </w:rPr>
            </w:pPr>
            <w:r>
              <w:rPr>
                <w:rFonts w:hint="eastAsia" w:ascii="仿宋" w:hAnsi="仿宋" w:eastAsia="仿宋" w:cs="仿宋"/>
                <w:sz w:val="22"/>
                <w:szCs w:val="22"/>
              </w:rPr>
              <w:t>羽毛球柱：</w:t>
            </w:r>
          </w:p>
          <w:p>
            <w:pPr>
              <w:pStyle w:val="40"/>
              <w:spacing w:line="400" w:lineRule="exact"/>
              <w:ind w:firstLine="0" w:firstLineChars="0"/>
              <w:rPr>
                <w:rFonts w:hint="eastAsia" w:ascii="仿宋" w:hAnsi="仿宋" w:eastAsia="仿宋" w:cs="仿宋"/>
                <w:sz w:val="22"/>
                <w:szCs w:val="22"/>
              </w:rPr>
            </w:pPr>
            <w:r>
              <w:rPr>
                <w:rFonts w:hint="eastAsia" w:ascii="仿宋" w:hAnsi="仿宋" w:eastAsia="仿宋" w:cs="仿宋"/>
                <w:sz w:val="22"/>
                <w:szCs w:val="22"/>
              </w:rPr>
              <w:t>主要材料：钢管</w:t>
            </w:r>
          </w:p>
          <w:p>
            <w:pPr>
              <w:pStyle w:val="40"/>
              <w:spacing w:line="400" w:lineRule="exact"/>
              <w:ind w:firstLine="0" w:firstLineChars="0"/>
              <w:rPr>
                <w:rFonts w:hint="eastAsia" w:ascii="仿宋" w:hAnsi="仿宋" w:eastAsia="仿宋" w:cs="仿宋"/>
                <w:sz w:val="22"/>
                <w:szCs w:val="22"/>
              </w:rPr>
            </w:pPr>
            <w:r>
              <w:rPr>
                <w:rFonts w:hint="eastAsia" w:ascii="仿宋" w:hAnsi="仿宋" w:eastAsia="仿宋" w:cs="仿宋"/>
                <w:sz w:val="22"/>
                <w:szCs w:val="22"/>
              </w:rPr>
              <w:t>主要承载立柱尺寸：Φ60mm×3.0mm</w:t>
            </w:r>
          </w:p>
          <w:p>
            <w:pPr>
              <w:pStyle w:val="40"/>
              <w:spacing w:line="400" w:lineRule="exact"/>
              <w:ind w:firstLine="0" w:firstLineChars="0"/>
              <w:rPr>
                <w:rFonts w:hint="eastAsia" w:ascii="仿宋" w:hAnsi="仿宋" w:eastAsia="仿宋" w:cs="仿宋"/>
                <w:sz w:val="22"/>
                <w:szCs w:val="22"/>
              </w:rPr>
            </w:pPr>
            <w:r>
              <w:rPr>
                <w:rFonts w:hint="eastAsia" w:ascii="仿宋" w:hAnsi="仿宋" w:eastAsia="仿宋" w:cs="仿宋"/>
                <w:sz w:val="22"/>
                <w:szCs w:val="22"/>
              </w:rPr>
              <w:t>安装方式：移动式</w:t>
            </w:r>
          </w:p>
          <w:p>
            <w:pPr>
              <w:pStyle w:val="40"/>
              <w:spacing w:line="400" w:lineRule="exact"/>
              <w:ind w:firstLine="0" w:firstLineChars="0"/>
              <w:rPr>
                <w:rFonts w:hint="eastAsia" w:ascii="仿宋" w:hAnsi="仿宋" w:eastAsia="仿宋" w:cs="仿宋"/>
                <w:sz w:val="22"/>
                <w:szCs w:val="22"/>
              </w:rPr>
            </w:pPr>
            <w:r>
              <w:rPr>
                <w:rFonts w:hint="eastAsia" w:ascii="仿宋" w:hAnsi="仿宋" w:eastAsia="仿宋" w:cs="仿宋"/>
                <w:sz w:val="22"/>
                <w:szCs w:val="22"/>
              </w:rPr>
              <w:t>1.移动式羽毛球柱由移动式箱体、立柱、锁紧装置组成。</w:t>
            </w:r>
          </w:p>
          <w:p>
            <w:pPr>
              <w:pStyle w:val="40"/>
              <w:spacing w:line="400" w:lineRule="exact"/>
              <w:ind w:firstLine="0" w:firstLineChars="0"/>
              <w:rPr>
                <w:rFonts w:hint="eastAsia" w:ascii="仿宋" w:hAnsi="仿宋" w:eastAsia="仿宋" w:cs="仿宋"/>
                <w:sz w:val="22"/>
                <w:szCs w:val="22"/>
              </w:rPr>
            </w:pPr>
            <w:r>
              <w:rPr>
                <w:rFonts w:hint="eastAsia" w:ascii="仿宋" w:hAnsi="仿宋" w:eastAsia="仿宋" w:cs="仿宋"/>
                <w:sz w:val="22"/>
                <w:szCs w:val="22"/>
              </w:rPr>
              <w:t>2.两立柱管采用Φ60×3mm优质钢管制作，其中一根立柱置有一系绳柱，另一立柱置有棘轮、紧线机构装置，通过手柄转动，实现球网的中央高度要求：1550mm。</w:t>
            </w:r>
          </w:p>
          <w:p>
            <w:pPr>
              <w:pStyle w:val="40"/>
              <w:spacing w:line="400" w:lineRule="exact"/>
              <w:ind w:firstLine="0" w:firstLineChars="0"/>
              <w:rPr>
                <w:rFonts w:hint="eastAsia" w:ascii="仿宋" w:hAnsi="仿宋" w:eastAsia="仿宋" w:cs="仿宋"/>
                <w:sz w:val="22"/>
                <w:szCs w:val="22"/>
              </w:rPr>
            </w:pPr>
            <w:r>
              <w:rPr>
                <w:rFonts w:hint="eastAsia" w:ascii="仿宋" w:hAnsi="仿宋" w:eastAsia="仿宋" w:cs="仿宋"/>
                <w:sz w:val="22"/>
                <w:szCs w:val="22"/>
              </w:rPr>
              <w:t>3.移动式箱体采用3mm厚钢板拼焊而成，水泥配重，增强底座的稳定性。箱体底部装有PU滚轮，移动方便且不伤地板。</w:t>
            </w:r>
          </w:p>
          <w:p>
            <w:pPr>
              <w:pStyle w:val="40"/>
              <w:spacing w:line="400" w:lineRule="exact"/>
              <w:ind w:firstLine="0" w:firstLineChars="0"/>
              <w:rPr>
                <w:rFonts w:hint="eastAsia" w:ascii="仿宋" w:hAnsi="仿宋" w:eastAsia="仿宋" w:cs="仿宋"/>
                <w:sz w:val="22"/>
                <w:szCs w:val="22"/>
              </w:rPr>
            </w:pPr>
            <w:r>
              <w:rPr>
                <w:rFonts w:hint="eastAsia" w:ascii="仿宋" w:hAnsi="仿宋" w:eastAsia="仿宋" w:cs="仿宋"/>
                <w:sz w:val="22"/>
                <w:szCs w:val="22"/>
              </w:rPr>
              <w:t>4.所有钢制件经除油、除锈、磷化等处理后再进行喷涂作业，涂层厚度70-140um,铅笔硬度达3H+,试品经GB1771-91,36小时盐雾实验,涂膜无变化,划格处单面腐蚀&lt;2mm,产品具有耐酸碱、耐湿热、抗老化、外观美观，色泽光亮， 整体外观光滑，漆层表面无皱纹，无漏喷、脱漆等缺陷等优点,能适合潮湿和酸雨环境,且产品涂料配方不含有有毒元素,避免损害使用者的健康.</w:t>
            </w:r>
          </w:p>
          <w:p>
            <w:pPr>
              <w:pStyle w:val="40"/>
              <w:spacing w:line="400" w:lineRule="exact"/>
              <w:ind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五、悬浮式拼装地板：</w:t>
            </w:r>
          </w:p>
          <w:p>
            <w:pPr>
              <w:pStyle w:val="40"/>
              <w:spacing w:line="400" w:lineRule="exact"/>
              <w:ind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悬浮式拼装地板一套，各项运动指标完全满足篮球、五人制足球、羽毛球等各项运动技术要求，无毒、无味、防水耐湿、抗紫外线辐射、抗氧化、抗寒、不寄生细菌、绿色环保，安全卫生。球反弹率达95%，滑动摩擦系数0.46，厚度为：不小于1.2mm以上，尺寸为：250mm x250mm或</w:t>
            </w:r>
            <w:r>
              <w:rPr>
                <w:rFonts w:hint="eastAsia" w:ascii="仿宋" w:hAnsi="仿宋" w:eastAsia="仿宋" w:cs="仿宋"/>
                <w:sz w:val="22"/>
                <w:szCs w:val="22"/>
              </w:rPr>
              <w:t>30.5cm×30.5cm</w:t>
            </w:r>
            <w:r>
              <w:rPr>
                <w:rFonts w:hint="eastAsia" w:ascii="仿宋" w:hAnsi="仿宋" w:eastAsia="仿宋" w:cs="仿宋"/>
                <w:kern w:val="0"/>
                <w:sz w:val="22"/>
                <w:szCs w:val="22"/>
              </w:rPr>
              <w:t>，表面为米字型网格，材料硬度在邵氏D 50度-70度之间。</w:t>
            </w:r>
            <w:r>
              <w:rPr>
                <w:rStyle w:val="25"/>
                <w:rFonts w:hint="eastAsia" w:ascii="仿宋" w:hAnsi="仿宋" w:eastAsia="仿宋" w:cs="仿宋"/>
                <w:sz w:val="22"/>
                <w:szCs w:val="22"/>
              </w:rPr>
              <w:t>连接方式：</w:t>
            </w:r>
            <w:r>
              <w:rPr>
                <w:rFonts w:hint="eastAsia" w:ascii="仿宋" w:hAnsi="仿宋" w:eastAsia="仿宋" w:cs="仿宋"/>
                <w:kern w:val="0"/>
                <w:sz w:val="22"/>
                <w:szCs w:val="22"/>
              </w:rPr>
              <w:t>锁扣式结构,使用年限8年以上。</w:t>
            </w:r>
          </w:p>
          <w:p>
            <w:pPr>
              <w:spacing w:line="400" w:lineRule="exact"/>
              <w:rPr>
                <w:rFonts w:hint="eastAsia" w:ascii="仿宋" w:hAnsi="仿宋" w:eastAsia="仿宋" w:cs="仿宋"/>
                <w:kern w:val="0"/>
                <w:sz w:val="22"/>
              </w:rPr>
            </w:pPr>
            <w:r>
              <w:rPr>
                <w:rFonts w:hint="eastAsia" w:ascii="仿宋" w:hAnsi="仿宋" w:eastAsia="仿宋" w:cs="仿宋"/>
                <w:kern w:val="0"/>
                <w:sz w:val="22"/>
              </w:rPr>
              <w:t>六、场地照明系统:</w:t>
            </w:r>
          </w:p>
          <w:p>
            <w:pPr>
              <w:spacing w:line="400" w:lineRule="exact"/>
              <w:rPr>
                <w:rFonts w:hint="eastAsia" w:ascii="仿宋" w:hAnsi="仿宋" w:eastAsia="仿宋" w:cs="仿宋"/>
                <w:sz w:val="22"/>
              </w:rPr>
            </w:pPr>
            <w:r>
              <w:rPr>
                <w:rFonts w:hint="eastAsia" w:ascii="仿宋" w:hAnsi="仿宋" w:eastAsia="仿宋" w:cs="仿宋"/>
                <w:sz w:val="22"/>
              </w:rPr>
              <w:t>1、灯柱为围网的一部分，在整场围网中亦为围网的主立柱，增强围网的稳定性</w:t>
            </w:r>
          </w:p>
          <w:p>
            <w:pPr>
              <w:spacing w:line="400" w:lineRule="exact"/>
              <w:rPr>
                <w:rFonts w:hint="eastAsia" w:ascii="仿宋" w:hAnsi="仿宋" w:eastAsia="仿宋" w:cs="仿宋"/>
                <w:sz w:val="22"/>
              </w:rPr>
            </w:pPr>
            <w:r>
              <w:rPr>
                <w:rFonts w:hint="eastAsia" w:ascii="仿宋" w:hAnsi="仿宋" w:eastAsia="仿宋" w:cs="仿宋"/>
                <w:sz w:val="22"/>
              </w:rPr>
              <w:t>2、照明系统光源采用LED灯，每组含有两个光源。</w:t>
            </w:r>
          </w:p>
          <w:p>
            <w:pPr>
              <w:spacing w:line="400" w:lineRule="exact"/>
              <w:rPr>
                <w:rFonts w:hint="eastAsia" w:ascii="仿宋" w:hAnsi="仿宋" w:eastAsia="仿宋" w:cs="仿宋"/>
                <w:sz w:val="22"/>
              </w:rPr>
            </w:pPr>
            <w:r>
              <w:rPr>
                <w:rFonts w:hint="eastAsia" w:ascii="仿宋" w:hAnsi="仿宋" w:eastAsia="仿宋" w:cs="仿宋"/>
                <w:sz w:val="22"/>
              </w:rPr>
              <w:t>3、灯柱采用预埋式，预埋深度500mm，灯柱离地面高度6米。</w:t>
            </w:r>
          </w:p>
          <w:p>
            <w:pPr>
              <w:pStyle w:val="40"/>
              <w:spacing w:line="400" w:lineRule="exact"/>
              <w:ind w:firstLine="0" w:firstLineChars="0"/>
              <w:rPr>
                <w:rFonts w:hint="eastAsia" w:ascii="仿宋" w:hAnsi="仿宋" w:eastAsia="仿宋" w:cs="仿宋"/>
                <w:kern w:val="0"/>
                <w:sz w:val="22"/>
                <w:szCs w:val="22"/>
              </w:rPr>
            </w:pPr>
            <w:r>
              <w:rPr>
                <w:rFonts w:hint="eastAsia" w:ascii="仿宋" w:hAnsi="仿宋" w:eastAsia="仿宋" w:cs="仿宋"/>
                <w:sz w:val="22"/>
                <w:szCs w:val="22"/>
              </w:rPr>
              <w:t>4、灯柱采用独立的整体灯柱或连接式灯柱，上口径不小于φ70mm ，下口径不小于φ114mm，壁厚不小于3.0mm的锥形独立灯柱。</w:t>
            </w:r>
          </w:p>
          <w:p>
            <w:pPr>
              <w:pStyle w:val="40"/>
              <w:spacing w:line="400" w:lineRule="exact"/>
              <w:ind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七、五人制足球门：</w:t>
            </w:r>
          </w:p>
          <w:p>
            <w:pPr>
              <w:pStyle w:val="40"/>
              <w:spacing w:line="400" w:lineRule="exact"/>
              <w:ind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主要材料：钢管</w:t>
            </w:r>
          </w:p>
          <w:p>
            <w:pPr>
              <w:pStyle w:val="40"/>
              <w:spacing w:line="400" w:lineRule="exact"/>
              <w:ind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主要承载立柱尺寸：Φ76mm×3.0mm</w:t>
            </w:r>
          </w:p>
          <w:p>
            <w:pPr>
              <w:pStyle w:val="40"/>
              <w:spacing w:line="400" w:lineRule="exact"/>
              <w:ind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主要承载横梁尺寸：Φ76mm×3.0mm</w:t>
            </w:r>
          </w:p>
          <w:p>
            <w:pPr>
              <w:pStyle w:val="40"/>
              <w:spacing w:line="400" w:lineRule="exact"/>
              <w:ind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安装方式：移动式</w:t>
            </w:r>
          </w:p>
          <w:p>
            <w:pPr>
              <w:pStyle w:val="40"/>
              <w:spacing w:line="400" w:lineRule="exact"/>
              <w:ind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1、足球门类型为矩形球门，球门内口高度2000±10mm、球门内口宽度3000±10mm、球门下方深度1500mm、球门上方深度900mm。</w:t>
            </w:r>
          </w:p>
          <w:p>
            <w:pPr>
              <w:pStyle w:val="40"/>
              <w:spacing w:line="400" w:lineRule="exact"/>
              <w:ind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2、门柱及横梁为Φ76mm×3.0mm钢管，材质为Q235。横压杆及后压杆为30×50×2.5mm矩形管，材质为Q235。斜支撑为Φ48mm×2.5mm钢管，材质为Q235。</w:t>
            </w:r>
          </w:p>
          <w:p>
            <w:pPr>
              <w:pStyle w:val="40"/>
              <w:spacing w:line="400" w:lineRule="exact"/>
              <w:ind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3、螺栓均防盗、防锈，安装为预埋方式。</w:t>
            </w:r>
          </w:p>
          <w:p>
            <w:pPr>
              <w:pStyle w:val="40"/>
              <w:spacing w:line="400" w:lineRule="exact"/>
              <w:ind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4、所有零部件表面光滑、平整，所有棱边和尖角均半径不小于2.5mm。</w:t>
            </w:r>
          </w:p>
          <w:p>
            <w:pPr>
              <w:pStyle w:val="40"/>
              <w:spacing w:line="400" w:lineRule="exact"/>
              <w:ind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5、涂饰件色泽均匀，结合牢固，无起皮脱落、漏涂等缺陷。</w:t>
            </w:r>
          </w:p>
          <w:p>
            <w:pPr>
              <w:pStyle w:val="40"/>
              <w:spacing w:line="400" w:lineRule="exact"/>
              <w:ind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6、在足球门横梁中部约100mm宽度的承载面上，施加2700N的静负载，横梁无出现断裂和明显的永久变形等现象。</w:t>
            </w:r>
          </w:p>
          <w:p>
            <w:pPr>
              <w:spacing w:line="320" w:lineRule="exact"/>
              <w:rPr>
                <w:rFonts w:hint="eastAsia" w:ascii="仿宋" w:hAnsi="仿宋" w:eastAsia="仿宋" w:cs="仿宋"/>
                <w:sz w:val="22"/>
              </w:rPr>
            </w:pPr>
            <w:r>
              <w:rPr>
                <w:rFonts w:hint="eastAsia" w:ascii="仿宋" w:hAnsi="仿宋" w:eastAsia="仿宋" w:cs="仿宋"/>
                <w:kern w:val="0"/>
                <w:sz w:val="22"/>
              </w:rPr>
              <w:t>7、足球门承受水平拉力为1000N，无出现任何方面的倾斜、翻倒或明显的永久变形。</w:t>
            </w:r>
          </w:p>
        </w:tc>
        <w:tc>
          <w:tcPr>
            <w:tcW w:w="791" w:type="dxa"/>
            <w:vAlign w:val="center"/>
          </w:tcPr>
          <w:p>
            <w:pPr>
              <w:jc w:val="center"/>
              <w:rPr>
                <w:rFonts w:ascii="宋体" w:hAnsi="宋体" w:eastAsia="宋体" w:cs="Times New Roman"/>
                <w:sz w:val="24"/>
                <w:szCs w:val="24"/>
              </w:rPr>
            </w:pPr>
            <w:r>
              <w:rPr>
                <w:rFonts w:hint="eastAsia" w:ascii="宋体" w:hAnsi="宋体" w:cs="Times New Roman"/>
                <w:sz w:val="24"/>
                <w:szCs w:val="24"/>
              </w:rPr>
              <w:t>2套</w:t>
            </w:r>
          </w:p>
        </w:tc>
      </w:tr>
    </w:tbl>
    <w:p>
      <w:pPr>
        <w:widowControl/>
        <w:shd w:val="clear" w:color="auto" w:fill="FFFFFF"/>
        <w:spacing w:line="360" w:lineRule="auto"/>
        <w:contextualSpacing/>
        <w:jc w:val="left"/>
        <w:rPr>
          <w:rFonts w:hint="eastAsia" w:ascii="宋体" w:hAnsi="宋体" w:eastAsia="宋体" w:cs="黑体"/>
          <w:b/>
          <w:bCs/>
          <w:sz w:val="24"/>
          <w:szCs w:val="24"/>
          <w:shd w:val="clear" w:color="auto" w:fill="FFFFFF"/>
          <w:lang w:val="en-US" w:eastAsia="zh-CN"/>
        </w:rPr>
      </w:pPr>
      <w:r>
        <w:rPr>
          <w:rFonts w:hint="eastAsia" w:ascii="宋体" w:hAnsi="宋体" w:cs="黑体"/>
          <w:b/>
          <w:bCs/>
          <w:sz w:val="24"/>
          <w:szCs w:val="24"/>
          <w:shd w:val="clear" w:color="auto" w:fill="FFFFFF"/>
          <w:lang w:val="en-US" w:eastAsia="zh-CN"/>
        </w:rPr>
        <w:t xml:space="preserve">     备注：以上</w:t>
      </w:r>
      <w:r>
        <w:rPr>
          <w:rFonts w:hint="eastAsia" w:ascii="宋体" w:hAnsi="宋体" w:cs="黑体"/>
          <w:b/>
          <w:bCs/>
          <w:sz w:val="24"/>
          <w:szCs w:val="24"/>
          <w:shd w:val="clear" w:color="auto" w:fill="FFFFFF"/>
          <w:lang w:eastAsia="zh-CN"/>
        </w:rPr>
        <w:t>所投器材参数</w:t>
      </w:r>
      <w:r>
        <w:rPr>
          <w:rFonts w:hint="eastAsia" w:ascii="宋体" w:hAnsi="宋体" w:cs="黑体"/>
          <w:b/>
          <w:bCs/>
          <w:sz w:val="24"/>
          <w:szCs w:val="24"/>
          <w:shd w:val="clear" w:color="auto" w:fill="FFFFFF"/>
          <w:lang w:val="en-US" w:eastAsia="zh-CN"/>
        </w:rPr>
        <w:t>允许正偏离不允许负偏离。</w:t>
      </w:r>
      <w:bookmarkStart w:id="1" w:name="_GoBack"/>
      <w:bookmarkEnd w:id="1"/>
    </w:p>
    <w:p>
      <w:pPr>
        <w:wordWrap w:val="0"/>
        <w:topLinePunct w:val="1"/>
        <w:autoSpaceDE w:val="0"/>
        <w:autoSpaceDN w:val="0"/>
        <w:adjustRightInd w:val="0"/>
        <w:spacing w:line="360" w:lineRule="auto"/>
        <w:ind w:firstLine="482"/>
        <w:rPr>
          <w:rFonts w:hint="eastAsia" w:ascii="宋体" w:hAnsi="宋体" w:cs="宋体"/>
          <w:b/>
          <w:kern w:val="0"/>
          <w:sz w:val="24"/>
          <w:szCs w:val="24"/>
          <w:lang w:val="zh-CN"/>
        </w:rPr>
      </w:pPr>
      <w:r>
        <w:rPr>
          <w:rFonts w:hint="eastAsia" w:ascii="宋体" w:hAnsi="宋体" w:cs="微软雅黑"/>
          <w:b/>
        </w:rPr>
        <w:t>★</w:t>
      </w:r>
      <w:r>
        <w:rPr>
          <w:rFonts w:hint="eastAsia" w:ascii="宋体" w:hAnsi="宋体" w:cs="宋体"/>
          <w:b/>
          <w:kern w:val="0"/>
          <w:sz w:val="24"/>
          <w:szCs w:val="24"/>
          <w:lang w:val="zh-CN"/>
        </w:rPr>
        <w:t>三、验收标准</w:t>
      </w:r>
    </w:p>
    <w:p>
      <w:pPr>
        <w:wordWrap w:val="0"/>
        <w:topLinePunct w:val="1"/>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val="1"/>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2、按照招标文件要求、投标文件响应和承诺验收；</w:t>
      </w:r>
    </w:p>
    <w:p>
      <w:pPr>
        <w:spacing w:line="360" w:lineRule="auto"/>
        <w:ind w:firstLine="480" w:firstLineChars="200"/>
        <w:contextualSpacing/>
        <w:rPr>
          <w:rFonts w:ascii="宋体" w:cs="宋体"/>
          <w:sz w:val="24"/>
          <w:szCs w:val="24"/>
          <w:lang w:val="zh-CN"/>
        </w:rPr>
      </w:pPr>
      <w:r>
        <w:rPr>
          <w:rFonts w:ascii="宋体" w:cs="宋体"/>
          <w:sz w:val="24"/>
          <w:szCs w:val="24"/>
          <w:lang w:val="zh-CN"/>
        </w:rPr>
        <w:t>3、按照国家相关标准、行业标准、地方标准或者其他标准、规范验收</w:t>
      </w:r>
    </w:p>
    <w:p>
      <w:pPr>
        <w:widowControl/>
        <w:shd w:val="clear" w:color="auto" w:fill="FFFFFF"/>
        <w:spacing w:line="360" w:lineRule="auto"/>
        <w:ind w:firstLine="422" w:firstLineChars="200"/>
        <w:contextualSpacing/>
        <w:jc w:val="left"/>
        <w:rPr>
          <w:rFonts w:ascii="楷体" w:hAnsi="楷体" w:eastAsia="楷体" w:cs="宋体"/>
          <w:kern w:val="0"/>
          <w:sz w:val="24"/>
          <w:szCs w:val="24"/>
          <w:lang w:val="zh-CN"/>
        </w:rPr>
      </w:pPr>
      <w:r>
        <w:rPr>
          <w:rFonts w:hint="eastAsia" w:ascii="宋体" w:hAnsi="宋体" w:cs="微软雅黑"/>
          <w:b/>
        </w:rPr>
        <w:t>★</w:t>
      </w:r>
      <w:r>
        <w:rPr>
          <w:rFonts w:hint="eastAsia" w:ascii="宋体" w:hAnsi="宋体" w:cs="宋体"/>
          <w:b/>
          <w:kern w:val="0"/>
          <w:sz w:val="24"/>
          <w:szCs w:val="24"/>
          <w:lang w:val="zh-CN"/>
        </w:rPr>
        <w:t>四、</w:t>
      </w:r>
      <w:r>
        <w:rPr>
          <w:rFonts w:hint="eastAsia" w:ascii="宋体" w:hAnsi="宋体" w:cs="黑体"/>
          <w:b/>
          <w:bCs/>
          <w:shd w:val="clear" w:color="auto" w:fill="FFFFFF"/>
        </w:rPr>
        <w:t>本项目预算金额</w:t>
      </w:r>
      <w:r>
        <w:rPr>
          <w:rFonts w:ascii="宋体" w:hAnsi="宋体" w:cs="黑体"/>
          <w:b/>
          <w:bCs/>
          <w:shd w:val="clear" w:color="auto" w:fill="FFFFFF"/>
        </w:rPr>
        <w:t>1161800.00</w:t>
      </w:r>
      <w:r>
        <w:rPr>
          <w:rFonts w:hint="eastAsia" w:ascii="宋体" w:hAnsi="宋体" w:cs="黑体"/>
          <w:b/>
          <w:bCs/>
          <w:shd w:val="clear" w:color="auto" w:fill="FFFFFF"/>
        </w:rPr>
        <w:t>元。</w:t>
      </w:r>
      <w:r>
        <w:rPr>
          <w:rFonts w:hint="eastAsia" w:ascii="宋体" w:hAnsi="宋体" w:cs="宋体"/>
          <w:b/>
          <w:kern w:val="0"/>
          <w:lang w:val="zh-CN"/>
        </w:rPr>
        <w:t>超出预算金额的投标无效</w:t>
      </w:r>
      <w:r>
        <w:rPr>
          <w:rFonts w:hint="eastAsia" w:ascii="宋体" w:cs="宋体"/>
          <w:sz w:val="24"/>
          <w:szCs w:val="24"/>
          <w:lang w:val="zh-CN"/>
        </w:rPr>
        <w:t>。</w:t>
      </w:r>
    </w:p>
    <w:p>
      <w:pPr>
        <w:widowControl/>
        <w:shd w:val="clear" w:color="auto" w:fill="FFFFFF"/>
        <w:spacing w:line="360" w:lineRule="auto"/>
        <w:ind w:firstLine="422" w:firstLineChars="200"/>
        <w:contextualSpacing/>
        <w:jc w:val="left"/>
        <w:rPr>
          <w:rFonts w:ascii="宋体" w:hAnsi="宋体" w:cs="宋体"/>
          <w:b/>
          <w:kern w:val="0"/>
          <w:sz w:val="24"/>
          <w:szCs w:val="24"/>
          <w:lang w:val="zh-CN"/>
        </w:rPr>
      </w:pPr>
      <w:r>
        <w:rPr>
          <w:rFonts w:hint="eastAsia" w:ascii="宋体" w:hAnsi="宋体" w:cs="微软雅黑"/>
          <w:b/>
        </w:rPr>
        <w:t>★五</w:t>
      </w:r>
      <w:r>
        <w:rPr>
          <w:rFonts w:hint="eastAsia" w:ascii="宋体" w:hAnsi="宋体" w:cs="黑体"/>
          <w:b/>
          <w:bCs/>
          <w:shd w:val="clear" w:color="auto" w:fill="FFFFFF"/>
        </w:rPr>
        <w:t>、</w:t>
      </w:r>
      <w:r>
        <w:rPr>
          <w:rFonts w:hint="eastAsia" w:ascii="宋体" w:hAnsi="宋体" w:cs="宋体"/>
          <w:b/>
          <w:kern w:val="0"/>
          <w:sz w:val="24"/>
          <w:szCs w:val="24"/>
          <w:lang w:val="zh-CN"/>
        </w:rPr>
        <w:t>资金支付</w:t>
      </w:r>
    </w:p>
    <w:p>
      <w:pPr>
        <w:widowControl/>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lang w:val="zh-CN"/>
        </w:rPr>
        <w:t>1、支付方式：</w:t>
      </w:r>
      <w:r>
        <w:rPr>
          <w:rFonts w:hint="eastAsia" w:ascii="宋体" w:hAnsi="宋体" w:cs="宋体"/>
          <w:kern w:val="0"/>
          <w:sz w:val="24"/>
          <w:szCs w:val="24"/>
        </w:rPr>
        <w:t>银行转账支付。</w:t>
      </w:r>
    </w:p>
    <w:p>
      <w:pPr>
        <w:pStyle w:val="23"/>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cs="宋体"/>
          <w:kern w:val="0"/>
          <w:lang w:val="zh-CN"/>
        </w:rPr>
        <w:t>2、支付时间及条件：</w:t>
      </w:r>
      <w:r>
        <w:rPr>
          <w:rFonts w:hint="eastAsia" w:ascii="宋体" w:hAnsi="宋体" w:cs="宋体"/>
        </w:rPr>
        <w:t>收到货物，验收合格后一次性付清货款</w:t>
      </w:r>
      <w:r>
        <w:rPr>
          <w:rFonts w:hint="eastAsia" w:ascii="宋体" w:hAnsi="宋体" w:eastAsia="宋体" w:cs="宋体"/>
          <w:b/>
          <w:kern w:val="0"/>
          <w:lang w:val="zh-CN"/>
        </w:rPr>
        <w:t>。</w:t>
      </w:r>
    </w:p>
    <w:p>
      <w:pPr>
        <w:widowControl/>
        <w:shd w:val="clear" w:color="auto" w:fill="FFFFFF"/>
        <w:ind w:firstLine="480" w:firstLineChars="200"/>
        <w:contextualSpacing/>
        <w:jc w:val="left"/>
        <w:rPr>
          <w:rFonts w:ascii="宋体" w:hAnsi="宋体" w:cs="宋体"/>
          <w:kern w:val="0"/>
          <w:sz w:val="24"/>
          <w:szCs w:val="24"/>
          <w:lang w:val="zh-CN"/>
        </w:rPr>
      </w:pPr>
    </w:p>
    <w:p>
      <w:pPr>
        <w:autoSpaceDE w:val="0"/>
        <w:autoSpaceDN w:val="0"/>
        <w:adjustRightInd w:val="0"/>
        <w:jc w:val="both"/>
        <w:rPr>
          <w:rFonts w:hint="eastAsia" w:ascii="宋体" w:hAnsi="宋体" w:eastAsia="宋体" w:cs="宋体"/>
          <w:b/>
          <w:kern w:val="0"/>
          <w:sz w:val="32"/>
          <w:szCs w:val="32"/>
        </w:rPr>
      </w:pPr>
    </w:p>
    <w:p>
      <w:pPr>
        <w:autoSpaceDE w:val="0"/>
        <w:autoSpaceDN w:val="0"/>
        <w:adjustRightInd w:val="0"/>
        <w:jc w:val="center"/>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sz w:val="24"/>
          <w:szCs w:val="24"/>
        </w:rPr>
        <w:t>询价文件中凡标有</w:t>
      </w:r>
      <w:r>
        <w:rPr>
          <w:rFonts w:hint="eastAsia" w:ascii="宋体" w:hAnsi="宋体" w:cs="微软雅黑"/>
          <w:b/>
          <w:sz w:val="24"/>
          <w:szCs w:val="24"/>
        </w:rPr>
        <w:t>★</w:t>
      </w:r>
      <w:r>
        <w:rPr>
          <w:rFonts w:hint="eastAsia" w:cs="微软雅黑"/>
          <w:b/>
          <w:sz w:val="24"/>
          <w:szCs w:val="24"/>
        </w:rPr>
        <w:t>条款均为实质性要求条款，响应文件须完全响应，未实质响应的，按照无效报价处理。</w:t>
      </w:r>
    </w:p>
    <w:tbl>
      <w:tblPr>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vAlign w:val="top"/>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项目名称：</w:t>
            </w:r>
            <w:r>
              <w:rPr>
                <w:rFonts w:hint="eastAsia" w:ascii="宋体" w:hAnsi="宋体" w:cs="仿宋"/>
                <w:sz w:val="24"/>
                <w:szCs w:val="24"/>
              </w:rPr>
              <w:t>襄城县教育体育局采购户外健身器材项目（不见面开标）</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项目编号：</w:t>
            </w:r>
            <w:r>
              <w:rPr>
                <w:rFonts w:hint="eastAsia" w:ascii="宋体" w:hAnsi="宋体" w:cs="仿宋"/>
                <w:sz w:val="24"/>
                <w:szCs w:val="24"/>
              </w:rPr>
              <w:t>襄财询价采购-2020-28</w:t>
            </w:r>
          </w:p>
          <w:p>
            <w:pPr>
              <w:autoSpaceDE w:val="0"/>
              <w:autoSpaceDN w:val="0"/>
              <w:adjustRightInd w:val="0"/>
              <w:spacing w:line="360" w:lineRule="auto"/>
              <w:jc w:val="left"/>
              <w:rPr>
                <w:rFonts w:ascii="宋体" w:hAnsi="宋体" w:cs="仿宋"/>
                <w:sz w:val="24"/>
                <w:szCs w:val="24"/>
              </w:rPr>
            </w:pPr>
            <w:r>
              <w:rPr>
                <w:rFonts w:hint="eastAsia" w:ascii="宋体" w:hAnsi="宋体" w:cs="仿宋_GB2312"/>
                <w:sz w:val="24"/>
                <w:szCs w:val="24"/>
              </w:rPr>
              <w:t>项目内容：</w:t>
            </w:r>
            <w:r>
              <w:rPr>
                <w:rFonts w:hint="eastAsia" w:ascii="宋体" w:hAnsi="宋体" w:cs="仿宋"/>
                <w:sz w:val="24"/>
                <w:szCs w:val="24"/>
              </w:rPr>
              <w:t>襄城县教育体育局采购户外健身器材(二位漫步机10套、腰背按摩器10套、骑马机10套等健身器材)</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项目地址：襄城县</w:t>
            </w:r>
          </w:p>
        </w:tc>
      </w:tr>
      <w:tr>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widowControl/>
              <w:shd w:val="clear" w:color="auto" w:fill="FFFFFF"/>
              <w:topLinePunct w:val="1"/>
              <w:spacing w:line="360" w:lineRule="auto"/>
              <w:jc w:val="left"/>
              <w:rPr>
                <w:rFonts w:ascii="宋体" w:hAnsi="宋体" w:cs="宋体"/>
                <w:kern w:val="0"/>
                <w:sz w:val="24"/>
                <w:szCs w:val="24"/>
              </w:rPr>
            </w:pPr>
            <w:r>
              <w:rPr>
                <w:rFonts w:hint="eastAsia" w:ascii="宋体" w:hAnsi="宋体" w:cs="仿宋_GB2312"/>
                <w:sz w:val="24"/>
                <w:szCs w:val="24"/>
              </w:rPr>
              <w:t>名称：</w:t>
            </w:r>
            <w:r>
              <w:rPr>
                <w:rFonts w:hint="eastAsia" w:ascii="宋体" w:hAnsi="宋体" w:cs="仿宋"/>
                <w:sz w:val="24"/>
                <w:szCs w:val="24"/>
                <w:shd w:val="clear" w:color="auto" w:fill="FFFFFF"/>
              </w:rPr>
              <w:t>襄城县教育体育局</w:t>
            </w:r>
          </w:p>
          <w:p>
            <w:pPr>
              <w:widowControl/>
              <w:shd w:val="clear" w:color="auto" w:fill="FFFFFF"/>
              <w:topLinePunct w:val="1"/>
              <w:spacing w:line="360" w:lineRule="auto"/>
              <w:jc w:val="left"/>
              <w:rPr>
                <w:rFonts w:ascii="宋体" w:hAnsi="宋体" w:cs="宋体"/>
                <w:kern w:val="0"/>
                <w:sz w:val="24"/>
                <w:szCs w:val="24"/>
              </w:rPr>
            </w:pPr>
            <w:r>
              <w:rPr>
                <w:rFonts w:hint="eastAsia" w:ascii="宋体" w:hAnsi="宋体" w:cs="宋体"/>
                <w:kern w:val="0"/>
                <w:sz w:val="24"/>
                <w:szCs w:val="24"/>
              </w:rPr>
              <w:t>地址：</w:t>
            </w:r>
            <w:r>
              <w:rPr>
                <w:rFonts w:hint="eastAsia" w:ascii="宋体" w:hAnsi="宋体" w:cs="宋体"/>
                <w:kern w:val="0"/>
                <w:sz w:val="24"/>
                <w:szCs w:val="24"/>
                <w:shd w:val="clear" w:color="auto" w:fill="FFFFFF"/>
              </w:rPr>
              <w:t>襄城县</w:t>
            </w:r>
          </w:p>
          <w:p>
            <w:pPr>
              <w:autoSpaceDE w:val="0"/>
              <w:autoSpaceDN w:val="0"/>
              <w:adjustRightInd w:val="0"/>
              <w:spacing w:line="360" w:lineRule="auto"/>
              <w:jc w:val="left"/>
              <w:rPr>
                <w:rFonts w:ascii="宋体" w:hAnsi="宋体" w:cs="仿宋_GB2312"/>
                <w:sz w:val="24"/>
                <w:szCs w:val="24"/>
              </w:rPr>
            </w:pPr>
            <w:r>
              <w:rPr>
                <w:rFonts w:hint="eastAsia" w:ascii="宋体" w:hAnsi="宋体" w:cs="宋体"/>
                <w:kern w:val="0"/>
                <w:sz w:val="24"/>
                <w:szCs w:val="24"/>
              </w:rPr>
              <w:t>联系人：曹先生　    </w:t>
            </w:r>
            <w:r>
              <w:rPr>
                <w:rFonts w:hint="eastAsia" w:ascii="宋体" w:hAnsi="宋体" w:cs="仿宋"/>
                <w:kern w:val="0"/>
                <w:sz w:val="24"/>
                <w:szCs w:val="24"/>
              </w:rPr>
              <w:t xml:space="preserve"> </w:t>
            </w:r>
            <w:r>
              <w:rPr>
                <w:rFonts w:hint="eastAsia" w:ascii="宋体" w:hAnsi="宋体" w:cs="宋体"/>
                <w:kern w:val="0"/>
                <w:sz w:val="24"/>
                <w:szCs w:val="24"/>
              </w:rPr>
              <w:t>联系电话：</w:t>
            </w:r>
            <w:r>
              <w:rPr>
                <w:rFonts w:ascii="宋体" w:hAnsi="宋体" w:cs="宋体"/>
                <w:kern w:val="0"/>
                <w:sz w:val="24"/>
                <w:szCs w:val="24"/>
              </w:rPr>
              <w:t>13837489699</w:t>
            </w:r>
          </w:p>
        </w:tc>
      </w:tr>
      <w:tr>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集中采购机构</w:t>
            </w: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名称：襄城县政府采购中心</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地址：襄城县八七路东段电子商务产业园12楼1204室</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联系人：万女士             电话：0374-3998026</w:t>
            </w:r>
          </w:p>
        </w:tc>
      </w:tr>
      <w:tr>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微软雅黑"/>
                <w:b/>
                <w:color w:val="FF0000"/>
                <w:sz w:val="24"/>
                <w:szCs w:val="24"/>
              </w:rPr>
              <w:t>★</w:t>
            </w:r>
            <w:r>
              <w:rPr>
                <w:rFonts w:hint="eastAsia" w:ascii="宋体" w:hAnsi="宋体" w:cs="仿宋_GB2312"/>
                <w:sz w:val="24"/>
                <w:szCs w:val="24"/>
              </w:rPr>
              <w:t>供应商资格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3、执业许可证。（非企业专业服务机构提供）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4、个体工商户营业执照。（个体工商户提供）</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5、自然人身份证明。（自然人提供）</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6、民办非企业单位登记证书。（民办非企业单位提供）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spacing w:line="360" w:lineRule="auto"/>
              <w:rPr>
                <w:rFonts w:ascii="宋体" w:hAnsi="宋体"/>
                <w:bCs/>
                <w:sz w:val="24"/>
                <w:szCs w:val="24"/>
              </w:rPr>
            </w:pPr>
            <w:r>
              <w:rPr>
                <w:rFonts w:hint="eastAsia" w:ascii="宋体" w:hAnsi="宋体"/>
                <w:bCs/>
                <w:sz w:val="24"/>
                <w:szCs w:val="24"/>
              </w:rPr>
              <w:t>（1）供应商是法人（法人包括企业法人、机关法人、事业单位法人和社会团体法人），提供本单位：</w:t>
            </w:r>
          </w:p>
          <w:p>
            <w:pPr>
              <w:spacing w:line="360" w:lineRule="auto"/>
              <w:rPr>
                <w:rFonts w:ascii="宋体" w:hAnsi="宋体"/>
                <w:bCs/>
                <w:sz w:val="24"/>
                <w:szCs w:val="24"/>
              </w:rPr>
            </w:pPr>
            <w:r>
              <w:rPr>
                <w:rFonts w:hint="eastAsia" w:ascii="宋体" w:hAnsi="宋体"/>
                <w:bCs/>
                <w:sz w:val="24"/>
                <w:szCs w:val="24"/>
              </w:rPr>
              <w:t>2018年度或2019年度经审计的财务报告，包括资产负债表、利润表、现金流量表、所有者权益变动表及其附注；或基本开户银行出具的资信证明；或财政部门认可的政府采购专业担保机构的证明文件和担保机构出具的投标担保函。</w:t>
            </w:r>
          </w:p>
          <w:p>
            <w:pPr>
              <w:spacing w:line="360" w:lineRule="auto"/>
              <w:rPr>
                <w:rFonts w:ascii="宋体" w:hAnsi="宋体"/>
                <w:bCs/>
                <w:sz w:val="24"/>
                <w:szCs w:val="24"/>
              </w:rPr>
            </w:pPr>
            <w:r>
              <w:rPr>
                <w:rFonts w:hint="eastAsia" w:ascii="宋体" w:hAnsi="宋体"/>
                <w:bCs/>
                <w:sz w:val="24"/>
                <w:szCs w:val="24"/>
              </w:rPr>
              <w:t>（2）供应商（其他组织和自然人）提供本单位：</w:t>
            </w:r>
          </w:p>
          <w:p>
            <w:pPr>
              <w:spacing w:line="360" w:lineRule="auto"/>
              <w:rPr>
                <w:rFonts w:ascii="宋体" w:hAnsi="宋体"/>
                <w:bCs/>
                <w:sz w:val="24"/>
                <w:szCs w:val="24"/>
              </w:rPr>
            </w:pPr>
            <w:r>
              <w:rPr>
                <w:rFonts w:hint="eastAsia" w:ascii="宋体" w:hAnsi="宋体"/>
                <w:bCs/>
                <w:sz w:val="24"/>
                <w:szCs w:val="24"/>
              </w:rPr>
              <w:t>2018年度或2019年度经审计的财务报告，包括资产负债表、利润表、现金流量表、所有者权益变动表及其附注；或银行出具的资信证明；</w:t>
            </w:r>
          </w:p>
          <w:p>
            <w:pPr>
              <w:spacing w:line="360" w:lineRule="auto"/>
              <w:rPr>
                <w:rFonts w:ascii="宋体" w:hAnsi="宋体"/>
                <w:bCs/>
                <w:sz w:val="24"/>
                <w:szCs w:val="24"/>
              </w:rPr>
            </w:pPr>
            <w:r>
              <w:rPr>
                <w:rFonts w:hint="eastAsia" w:ascii="宋体" w:hAnsi="宋体"/>
                <w:bCs/>
                <w:sz w:val="24"/>
                <w:szCs w:val="24"/>
              </w:rPr>
              <w:t>或财政部门认可的政府采购专业担保机构的证明文件和担保机构出具的投标担保函。</w:t>
            </w:r>
          </w:p>
          <w:p>
            <w:pPr>
              <w:spacing w:line="360" w:lineRule="auto"/>
              <w:rPr>
                <w:rFonts w:ascii="宋体" w:hAnsi="宋体" w:eastAsia="宋体" w:cs="Arial"/>
                <w:b/>
                <w:bCs/>
                <w:sz w:val="24"/>
                <w:szCs w:val="24"/>
                <w:lang w:val="zh-CN"/>
              </w:rPr>
            </w:pPr>
            <w:r>
              <w:rPr>
                <w:rFonts w:hint="eastAsia" w:ascii="宋体" w:hAnsi="宋体" w:eastAsia="宋体" w:cs="Arial"/>
                <w:b/>
                <w:bCs/>
                <w:sz w:val="24"/>
                <w:szCs w:val="24"/>
              </w:rPr>
              <w:t>三、</w:t>
            </w:r>
            <w:r>
              <w:rPr>
                <w:rFonts w:hint="eastAsia" w:ascii="宋体" w:hAnsi="宋体" w:eastAsia="宋体" w:cs="Arial"/>
                <w:b/>
                <w:bCs/>
                <w:sz w:val="24"/>
                <w:szCs w:val="24"/>
                <w:lang w:val="zh-CN"/>
              </w:rPr>
              <w:t>依法缴纳税收相关材料</w:t>
            </w:r>
          </w:p>
          <w:p>
            <w:pPr>
              <w:spacing w:line="360" w:lineRule="auto"/>
              <w:rPr>
                <w:rFonts w:ascii="宋体" w:hAnsi="宋体" w:cs="Arial"/>
                <w:sz w:val="24"/>
                <w:szCs w:val="24"/>
                <w:lang w:val="zh-CN"/>
              </w:rPr>
            </w:pPr>
            <w:r>
              <w:rPr>
                <w:rFonts w:hint="eastAsia" w:ascii="宋体" w:hAnsi="宋体" w:eastAsia="宋体" w:cs="Arial"/>
                <w:sz w:val="24"/>
                <w:szCs w:val="24"/>
                <w:lang w:val="zh-CN"/>
              </w:rPr>
              <w:t>参加本次采购活动谈判响应投标截止时间前</w:t>
            </w:r>
            <w:r>
              <w:rPr>
                <w:rFonts w:hint="eastAsia" w:ascii="宋体" w:hAnsi="宋体" w:cs="Arial"/>
                <w:sz w:val="24"/>
                <w:szCs w:val="24"/>
                <w:lang w:val="zh-CN"/>
              </w:rPr>
              <w:t>六</w:t>
            </w:r>
            <w:r>
              <w:rPr>
                <w:rFonts w:hint="eastAsia" w:ascii="宋体" w:hAnsi="宋体" w:eastAsia="宋体" w:cs="Arial"/>
                <w:sz w:val="24"/>
                <w:szCs w:val="24"/>
                <w:lang w:val="zh-CN"/>
              </w:rPr>
              <w:t>个月内任意一个月缴纳税收凭据。（依法免税的供应商，应提供相应文件证明依法免税）</w:t>
            </w:r>
          </w:p>
          <w:p>
            <w:pPr>
              <w:spacing w:line="360" w:lineRule="auto"/>
              <w:rPr>
                <w:rFonts w:ascii="宋体" w:hAnsi="宋体" w:eastAsia="宋体" w:cs="Arial"/>
                <w:b/>
                <w:bCs/>
                <w:sz w:val="24"/>
                <w:szCs w:val="24"/>
                <w:lang w:val="zh-CN"/>
              </w:rPr>
            </w:pPr>
            <w:r>
              <w:rPr>
                <w:rFonts w:hint="eastAsia" w:ascii="宋体" w:hAnsi="宋体" w:eastAsia="宋体" w:cs="Arial"/>
                <w:b/>
                <w:bCs/>
                <w:sz w:val="24"/>
                <w:szCs w:val="24"/>
              </w:rPr>
              <w:t>四、</w:t>
            </w:r>
            <w:r>
              <w:rPr>
                <w:rFonts w:hint="eastAsia" w:ascii="宋体" w:hAnsi="宋体" w:eastAsia="宋体" w:cs="Arial"/>
                <w:b/>
                <w:bCs/>
                <w:sz w:val="24"/>
                <w:szCs w:val="24"/>
                <w:lang w:val="zh-CN"/>
              </w:rPr>
              <w:t>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eastAsia="宋体" w:cs="Arial"/>
                <w:sz w:val="24"/>
                <w:szCs w:val="24"/>
                <w:lang w:val="zh-CN"/>
              </w:rPr>
              <w:t>参加本次采购活动谈判响应截止时间前</w:t>
            </w:r>
            <w:r>
              <w:rPr>
                <w:rFonts w:hint="eastAsia" w:ascii="宋体" w:hAnsi="宋体" w:cs="Arial"/>
                <w:sz w:val="24"/>
                <w:szCs w:val="24"/>
                <w:lang w:val="zh-CN"/>
              </w:rPr>
              <w:t>六</w:t>
            </w:r>
            <w:r>
              <w:rPr>
                <w:rFonts w:hint="eastAsia" w:ascii="宋体" w:hAnsi="宋体" w:eastAsia="宋体" w:cs="Arial"/>
                <w:sz w:val="24"/>
                <w:szCs w:val="24"/>
                <w:lang w:val="zh-CN"/>
              </w:rPr>
              <w:t>个月内任意一个月缴纳社会保险资金凭据。（依法不需要缴纳社会保障资金的供应商，应提供相应文件证明依法不需要缴纳社会保障资金）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相关设备的购置发票、专业技术人员职称证书、用工合同等；</w:t>
            </w:r>
            <w:r>
              <w:rPr>
                <w:rFonts w:hint="eastAsia" w:ascii="宋体" w:hAnsi="宋体"/>
                <w:bCs/>
                <w:sz w:val="24"/>
                <w:szCs w:val="24"/>
              </w:rPr>
              <w:t>或供应商具备履行合同所必须的设备和专业技术能力承诺函或声明（承诺函或声明格式自拟）。</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供应商“</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重大违法记录，是指供应商因违法经营受到刑事处罚或者责令停产停业、吊销许可证或者执照、较大数额罚款等行政处罚。</w:t>
            </w:r>
          </w:p>
          <w:p>
            <w:pPr>
              <w:pStyle w:val="23"/>
              <w:widowControl/>
              <w:shd w:val="clear" w:color="auto" w:fill="FFFFFF"/>
              <w:spacing w:line="360" w:lineRule="auto"/>
              <w:contextualSpacing/>
              <w:jc w:val="left"/>
              <w:rPr>
                <w:rFonts w:ascii="宋体" w:hAnsi="宋体" w:cs="仿宋_GB2312"/>
                <w:b/>
                <w:shd w:val="clear" w:color="auto" w:fill="FFFFFF"/>
              </w:rPr>
            </w:pPr>
            <w:r>
              <w:rPr>
                <w:rFonts w:hint="eastAsia" w:ascii="宋体" w:hAnsi="宋体" w:cs="宋体"/>
                <w:b/>
                <w:bCs/>
                <w:szCs w:val="21"/>
                <w:lang w:val="zh-CN"/>
              </w:rPr>
              <w:t>七、</w:t>
            </w:r>
            <w:r>
              <w:rPr>
                <w:rFonts w:ascii="宋体" w:hAnsi="宋体" w:cs="仿宋_GB2312"/>
                <w:b/>
                <w:color w:val="000000"/>
                <w:szCs w:val="21"/>
                <w:shd w:val="clear" w:color="auto" w:fill="FFFFFF"/>
              </w:rPr>
              <w:t>未被列入“信用中国”网站(www.creditchina.gov.cn)失信被执行人、</w:t>
            </w:r>
            <w:r>
              <w:rPr>
                <w:rFonts w:hint="eastAsia" w:ascii="宋体" w:hAnsi="宋体" w:cs="仿宋_GB2312"/>
                <w:b/>
                <w:color w:val="000000"/>
                <w:szCs w:val="21"/>
                <w:shd w:val="clear" w:color="auto" w:fill="FFFFFF"/>
              </w:rPr>
              <w:t>企业经营异常名录、</w:t>
            </w:r>
            <w:r>
              <w:rPr>
                <w:rFonts w:ascii="宋体" w:hAnsi="宋体" w:cs="仿宋_GB2312"/>
                <w:b/>
                <w:color w:val="000000"/>
                <w:szCs w:val="21"/>
                <w:shd w:val="clear" w:color="auto" w:fill="FFFFFF"/>
              </w:rPr>
              <w:t>重大税收违法案件当事人名单的</w:t>
            </w:r>
            <w:r>
              <w:rPr>
                <w:rFonts w:hint="eastAsia" w:ascii="宋体" w:hAnsi="宋体" w:cs="仿宋_GB2312"/>
                <w:b/>
                <w:color w:val="000000"/>
                <w:szCs w:val="21"/>
                <w:shd w:val="clear" w:color="auto" w:fill="FFFFFF"/>
              </w:rPr>
              <w:t>供应商</w:t>
            </w:r>
            <w:r>
              <w:rPr>
                <w:rFonts w:ascii="宋体" w:hAnsi="宋体" w:cs="仿宋_GB2312"/>
                <w:b/>
                <w:color w:val="000000"/>
                <w:szCs w:val="21"/>
                <w:shd w:val="clear" w:color="auto" w:fill="FFFFFF"/>
              </w:rPr>
              <w:t>；</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中国政府采购网</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(www.ccgp.gov.cn)政府采购严重违法失信行为记录名单的</w:t>
            </w:r>
            <w:r>
              <w:rPr>
                <w:rFonts w:hint="eastAsia" w:ascii="宋体" w:hAnsi="宋体" w:cs="仿宋_GB2312"/>
                <w:b/>
                <w:color w:val="000000"/>
                <w:szCs w:val="21"/>
                <w:shd w:val="clear" w:color="auto" w:fill="FFFFFF"/>
              </w:rPr>
              <w:t>供应商</w:t>
            </w:r>
            <w:r>
              <w:rPr>
                <w:rFonts w:hint="eastAsia" w:ascii="宋体" w:hAnsi="宋体" w:cs="宋体"/>
                <w:b/>
                <w:bCs/>
                <w:szCs w:val="21"/>
                <w:lang w:val="zh-CN"/>
              </w:rPr>
              <w:t>；</w:t>
            </w:r>
            <w:r>
              <w:rPr>
                <w:rFonts w:hint="eastAsia" w:ascii="宋体" w:hAnsi="宋体" w:cs="仿宋_GB2312"/>
                <w:b/>
                <w:color w:val="000000"/>
                <w:szCs w:val="21"/>
                <w:shd w:val="clear" w:color="auto" w:fill="FFFFFF"/>
              </w:rPr>
              <w:t xml:space="preserve"> “中国社会组织公共服务平台”网站（</w:t>
            </w:r>
            <w:r>
              <w:rPr>
                <w:rFonts w:ascii="宋体" w:hAnsi="宋体" w:cs="仿宋_GB2312"/>
                <w:b/>
                <w:color w:val="000000"/>
                <w:szCs w:val="21"/>
                <w:shd w:val="clear" w:color="auto" w:fill="FFFFFF"/>
              </w:rPr>
              <w:t>www.chinanpo.gov.cn</w:t>
            </w:r>
            <w:r>
              <w:rPr>
                <w:rFonts w:hint="eastAsia" w:ascii="宋体" w:hAnsi="宋体" w:cs="仿宋_GB2312"/>
                <w:b/>
                <w:color w:val="000000"/>
                <w:szCs w:val="21"/>
                <w:shd w:val="clear" w:color="auto" w:fill="FFFFFF"/>
              </w:rPr>
              <w:t>）严重违法失信社会组织名单的社会组织；</w:t>
            </w:r>
            <w:r>
              <w:rPr>
                <w:rFonts w:hint="eastAsia" w:ascii="宋体" w:hAnsi="宋体" w:cs="仿宋_GB2312"/>
                <w:shd w:val="clear" w:color="auto" w:fill="FFFFFF"/>
              </w:rPr>
              <w:t>上述查询结果页面</w:t>
            </w:r>
            <w:r>
              <w:rPr>
                <w:rFonts w:ascii="宋体" w:hAnsi="宋体" w:cs="仿宋_GB2312"/>
                <w:shd w:val="clear" w:color="auto" w:fill="FFFFFF"/>
              </w:rPr>
              <w:t>截图查询时间应在本公告发布之</w:t>
            </w:r>
            <w:r>
              <w:rPr>
                <w:rFonts w:hint="eastAsia" w:ascii="宋体" w:hAnsi="宋体" w:cs="仿宋_GB2312"/>
                <w:shd w:val="clear" w:color="auto" w:fill="FFFFFF"/>
              </w:rPr>
              <w:t>日起</w:t>
            </w:r>
            <w:r>
              <w:rPr>
                <w:rFonts w:ascii="宋体" w:hAnsi="宋体" w:cs="仿宋_GB2312"/>
                <w:shd w:val="clear" w:color="auto" w:fill="FFFFFF"/>
              </w:rPr>
              <w:t>至开</w:t>
            </w:r>
            <w:r>
              <w:rPr>
                <w:rFonts w:hint="eastAsia" w:ascii="宋体" w:hAnsi="宋体" w:cs="仿宋_GB2312"/>
                <w:shd w:val="clear" w:color="auto" w:fill="FFFFFF"/>
              </w:rPr>
              <w:t>标前。</w:t>
            </w:r>
            <w:r>
              <w:rPr>
                <w:rFonts w:hint="eastAsia" w:ascii="宋体" w:hAnsi="宋体" w:cs="仿宋_GB2312"/>
                <w:b/>
                <w:shd w:val="clear" w:color="auto" w:fill="FFFFFF"/>
              </w:rPr>
              <w:t>（</w:t>
            </w:r>
            <w:r>
              <w:rPr>
                <w:rFonts w:hint="eastAsia" w:ascii="宋体" w:hAnsi="宋体" w:cs="宋体"/>
                <w:kern w:val="0"/>
              </w:rPr>
              <w:t>联合体形式响应的，联合体成员存在不良信用记录，视同联合体存在不良信用记录）。</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1、查询渠道：</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 w:val="24"/>
                <w:szCs w:val="24"/>
              </w:rPr>
              <w:t>www.creditchina.gov.cn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②“中国政府采购网”（www.ccgp.gov.cn）</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③“中国社会组织公共服务平台”网站（</w:t>
            </w:r>
            <w:r>
              <w:rPr>
                <w:rFonts w:ascii="宋体" w:hAnsi="宋体" w:eastAsia="宋体" w:cs="宋体"/>
                <w:kern w:val="0"/>
                <w:sz w:val="24"/>
                <w:szCs w:val="24"/>
              </w:rPr>
              <w:t>www.chinanpo.gov.cn</w:t>
            </w:r>
            <w:r>
              <w:rPr>
                <w:rFonts w:hint="eastAsia" w:ascii="宋体" w:hAnsi="宋体" w:eastAsia="宋体" w:cs="宋体"/>
                <w:kern w:val="0"/>
                <w:sz w:val="24"/>
                <w:szCs w:val="24"/>
              </w:rPr>
              <w:t>）（仅查询社会组织）；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2、截止时间：同询价响应截止时间；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w:t>
            </w:r>
            <w:r>
              <w:rPr>
                <w:rFonts w:hint="eastAsia" w:ascii="宋体" w:hAnsi="宋体" w:cs="宋体"/>
                <w:sz w:val="24"/>
                <w:szCs w:val="21"/>
              </w:rPr>
              <w:t>查询时要将查询网页内容进行截图，截图内容要完整清晰；</w:t>
            </w:r>
            <w:r>
              <w:rPr>
                <w:rFonts w:hint="eastAsia" w:ascii="宋体" w:hAnsi="宋体" w:cs="宋体"/>
                <w:kern w:val="0"/>
                <w:sz w:val="24"/>
                <w:szCs w:val="24"/>
              </w:rPr>
              <w:t>经询价小组确认的查询结果网页截图作为查询记录和证据，与其他采购文件一并保存；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询价小组认定的被列入失信被执行人、企业经营异常名录、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r>
              <w:rPr>
                <w:rFonts w:ascii="宋体" w:hAnsi="宋体" w:cs="宋体"/>
                <w:kern w:val="0"/>
                <w:sz w:val="24"/>
                <w:szCs w:val="24"/>
              </w:rPr>
              <w:t xml:space="preserve"> </w:t>
            </w:r>
          </w:p>
          <w:p>
            <w:pPr>
              <w:autoSpaceDE w:val="0"/>
              <w:autoSpaceDN w:val="0"/>
              <w:spacing w:line="360" w:lineRule="auto"/>
              <w:contextualSpacing/>
              <w:rPr>
                <w:rFonts w:ascii="宋体" w:hAnsi="宋体" w:cs="宋体"/>
                <w:b/>
                <w:kern w:val="0"/>
                <w:sz w:val="24"/>
                <w:szCs w:val="24"/>
              </w:rPr>
            </w:pPr>
            <w:r>
              <w:rPr>
                <w:rFonts w:hint="eastAsia" w:ascii="宋体" w:hAnsi="宋体" w:cs="仿宋"/>
                <w:b/>
                <w:color w:val="000000"/>
                <w:kern w:val="0"/>
                <w:sz w:val="24"/>
                <w:szCs w:val="24"/>
                <w:shd w:val="clear" w:color="auto" w:fill="FFFFFF"/>
              </w:rPr>
              <w:t>八、</w:t>
            </w:r>
            <w:r>
              <w:rPr>
                <w:rFonts w:hint="eastAsia" w:ascii="宋体" w:hAnsi="宋体" w:cs="宋体"/>
                <w:kern w:val="0"/>
                <w:sz w:val="24"/>
                <w:szCs w:val="24"/>
              </w:rPr>
              <w:t>投标人具有相关经营范围的供应商或生产制造商</w:t>
            </w:r>
            <w:r>
              <w:rPr>
                <w:rFonts w:hint="eastAsia" w:ascii="宋体" w:hAnsi="宋体" w:cs="宋体"/>
                <w:sz w:val="24"/>
                <w:szCs w:val="24"/>
              </w:rPr>
              <w:t>。</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宋体"/>
                <w:bCs/>
                <w:color w:val="000000"/>
                <w:sz w:val="24"/>
                <w:szCs w:val="24"/>
                <w:lang w:val="zh-CN"/>
              </w:rPr>
              <w:t>联合体响应</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separate"/>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联合体响应</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预算金额</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ascii="宋体" w:hAnsi="宋体" w:cs="宋体"/>
                <w:bCs/>
                <w:sz w:val="24"/>
                <w:szCs w:val="24"/>
                <w:lang w:val="zh-CN"/>
              </w:rPr>
              <w:t>1161800.00</w:t>
            </w:r>
            <w:r>
              <w:rPr>
                <w:rFonts w:hint="eastAsia" w:ascii="宋体" w:hAnsi="宋体" w:cs="宋体"/>
                <w:bCs/>
                <w:sz w:val="24"/>
                <w:szCs w:val="24"/>
                <w:lang w:val="zh-CN"/>
              </w:rPr>
              <w:t>元，超出预算金额的响应无效</w:t>
            </w:r>
          </w:p>
        </w:tc>
      </w:tr>
      <w:tr>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separate"/>
            </w:r>
            <w:r>
              <w:rPr>
                <w:rFonts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bCs/>
                <w:sz w:val="24"/>
                <w:szCs w:val="24"/>
                <w:lang w:val="zh-CN"/>
              </w:rPr>
              <w:t>询价</w:t>
            </w:r>
            <w:r>
              <w:rPr>
                <w:rFonts w:ascii="宋体" w:hAnsi="宋体" w:cs="宋体"/>
                <w:bCs/>
                <w:sz w:val="24"/>
                <w:szCs w:val="24"/>
                <w:lang w:val="zh-CN"/>
              </w:rPr>
              <w:t>前答疑会</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separate"/>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separate"/>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询价有效期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90天（自</w:t>
            </w:r>
            <w:r>
              <w:rPr>
                <w:rFonts w:hint="eastAsia" w:ascii="宋体" w:hAnsi="宋体" w:cs="宋体"/>
                <w:kern w:val="0"/>
                <w:sz w:val="24"/>
                <w:szCs w:val="24"/>
              </w:rPr>
              <w:t>提交询价响应文件的截止之日起算</w:t>
            </w:r>
            <w:r>
              <w:rPr>
                <w:rFonts w:hint="eastAsia" w:ascii="宋体" w:hAnsi="宋体" w:cs="仿宋_GB2312"/>
                <w:sz w:val="24"/>
                <w:szCs w:val="24"/>
              </w:rPr>
              <w:t>）</w:t>
            </w:r>
          </w:p>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lang w:val="zh-CN"/>
              </w:rPr>
              <w:t>成交供应商询价</w:t>
            </w:r>
            <w:r>
              <w:rPr>
                <w:rFonts w:ascii="宋体" w:hAnsi="宋体" w:cs="仿宋_GB2312"/>
                <w:sz w:val="24"/>
                <w:szCs w:val="24"/>
                <w:lang w:val="zh-CN"/>
              </w:rPr>
              <w:t>有效期延</w:t>
            </w:r>
            <w:r>
              <w:rPr>
                <w:rFonts w:hint="eastAsia" w:ascii="宋体" w:hAnsi="宋体" w:cs="仿宋_GB2312"/>
                <w:sz w:val="24"/>
                <w:szCs w:val="24"/>
                <w:lang w:val="zh-CN"/>
              </w:rPr>
              <w:t>至合同</w:t>
            </w:r>
            <w:r>
              <w:rPr>
                <w:rFonts w:ascii="宋体" w:hAnsi="宋体" w:cs="仿宋_GB2312"/>
                <w:sz w:val="24"/>
                <w:szCs w:val="24"/>
                <w:lang w:val="zh-CN"/>
              </w:rPr>
              <w:t>验收之日</w:t>
            </w:r>
            <w:r>
              <w:rPr>
                <w:rFonts w:hint="eastAsia" w:ascii="宋体" w:hAnsi="宋体" w:cs="仿宋_GB2312"/>
                <w:sz w:val="24"/>
                <w:szCs w:val="24"/>
                <w:lang w:val="zh-CN"/>
              </w:rPr>
              <w:t>，</w:t>
            </w:r>
            <w:r>
              <w:rPr>
                <w:rFonts w:hint="eastAsia" w:ascii="宋体" w:hAnsi="宋体" w:cs="宋体"/>
                <w:kern w:val="0"/>
                <w:sz w:val="24"/>
                <w:szCs w:val="24"/>
              </w:rPr>
              <w:t>成交供应商全部合同义务履行完毕为止。</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宋体"/>
                <w:bCs/>
                <w:sz w:val="24"/>
                <w:szCs w:val="24"/>
                <w:lang w:val="zh-CN"/>
              </w:rPr>
              <w:t>成交供应商</w:t>
            </w:r>
            <w:r>
              <w:rPr>
                <w:rFonts w:ascii="宋体" w:hAnsi="宋体" w:cs="宋体"/>
                <w:bCs/>
                <w:sz w:val="24"/>
                <w:szCs w:val="24"/>
                <w:lang w:val="zh-CN"/>
              </w:rPr>
              <w:t>将本项目非主体、非关键性工作分包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separate"/>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仿宋_GB2312"/>
                <w:sz w:val="24"/>
                <w:szCs w:val="24"/>
                <w:shd w:val="clear" w:color="auto" w:fill="FFFFFF"/>
              </w:rPr>
              <w:t>响应文件提交截止、</w:t>
            </w:r>
            <w:r>
              <w:rPr>
                <w:rFonts w:hint="eastAsia" w:ascii="宋体" w:hAnsi="宋体" w:cs="宋体"/>
                <w:bCs/>
                <w:sz w:val="24"/>
                <w:szCs w:val="24"/>
                <w:lang w:val="zh-CN"/>
              </w:rPr>
              <w:t>询价响应截止及询价时间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2020年7月21日15时30分（北京时间）</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询价地点</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rPr>
              <w:t>询价地点：襄城县公共资源交易中心十二楼开标一室。（</w:t>
            </w:r>
            <w:r>
              <w:rPr>
                <w:rFonts w:hint="eastAsia" w:ascii="宋体" w:hAnsi="宋体" w:cs="Arial"/>
                <w:b/>
                <w:sz w:val="24"/>
                <w:szCs w:val="24"/>
              </w:rPr>
              <w:t>本项目采用远程不见面开标，投标人无须到交易中心现场</w:t>
            </w:r>
            <w:r>
              <w:rPr>
                <w:rFonts w:hint="eastAsia" w:ascii="宋体" w:hAnsi="宋体" w:cs="Arial"/>
                <w:sz w:val="24"/>
                <w:szCs w:val="24"/>
              </w:rPr>
              <w:t>）</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本项目不收取。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投标人应提供投标承诺函。</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宋体"/>
                <w:kern w:val="0"/>
                <w:sz w:val="24"/>
                <w:szCs w:val="24"/>
              </w:rPr>
            </w:pPr>
            <w:r>
              <w:rPr>
                <w:rFonts w:hint="eastAsia" w:ascii="宋体" w:hAnsi="宋体" w:cs="宋体"/>
                <w:kern w:val="0"/>
                <w:sz w:val="24"/>
                <w:szCs w:val="24"/>
              </w:rPr>
              <w:t>招标文件费用缴纳方式</w:t>
            </w:r>
          </w:p>
        </w:tc>
        <w:tc>
          <w:tcPr>
            <w:tcW w:w="6813" w:type="dxa"/>
            <w:vAlign w:val="center"/>
          </w:tcPr>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1、户名：襄城县会计委派中心</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2、开户行：中国银行襄城支行</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3、账号：246806286825</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特别提示：</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1、投标人须从本公司基本账号转入。</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2、必须备注：2206和项目名称或采购编号。</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3、缴纳回执单复印件附响应文件。</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（未按以上要求缴纳、备注和未附缴纳回执的视为无效投标）</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发票开具联系人：李先生        联系电话：0374-3998019</w:t>
            </w:r>
          </w:p>
        </w:tc>
      </w:tr>
      <w:tr>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询价公告、成交公告、变更（更正）公告、现场勘察答复等相关信息同时在以下网站发布：《河南省政府采购网》、《许昌市政府采购网》、《全国公共资源交易平台（河南省·许昌市）》</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仿宋_GB2312"/>
                <w:sz w:val="24"/>
                <w:szCs w:val="24"/>
              </w:rPr>
              <w:t>采购人澄清或修改</w:t>
            </w:r>
          </w:p>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询价文件时间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询价响应截止时间3个工作日前（</w:t>
            </w:r>
            <w:r>
              <w:rPr>
                <w:rFonts w:hint="eastAsia" w:ascii="宋体" w:hAnsi="宋体" w:cs="仿宋_GB2312"/>
                <w:sz w:val="24"/>
                <w:szCs w:val="24"/>
                <w:lang w:val="zh-CN"/>
              </w:rPr>
              <w:t>澄清内容可能影响询价响应文件编制的）</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供应商对采购文件</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质疑截止时间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kern w:val="0"/>
                <w:sz w:val="24"/>
                <w:szCs w:val="24"/>
              </w:rPr>
              <w:t>询价响应截止时间前</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响应文件份数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separate"/>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ascii="宋体" w:hAnsi="宋体" w:cs="宋体"/>
                <w:bCs/>
                <w:sz w:val="24"/>
                <w:szCs w:val="24"/>
                <w:lang w:val="zh-CN"/>
              </w:rPr>
            </w:pPr>
            <w:r>
              <w:rPr>
                <w:rFonts w:hint="eastAsia" w:ascii="新宋体" w:hAnsi="新宋体" w:eastAsia="新宋体"/>
                <w:sz w:val="24"/>
                <w:szCs w:val="24"/>
              </w:rPr>
              <w:t>电子响应文件的内容、格式、水印码、签章应一致。</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20</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响应文件的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separate"/>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21</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询价小组组建</w:t>
            </w:r>
          </w:p>
        </w:tc>
        <w:tc>
          <w:tcPr>
            <w:tcW w:w="6813" w:type="dxa"/>
            <w:vAlign w:val="center"/>
          </w:tcPr>
          <w:p>
            <w:pPr>
              <w:autoSpaceDE w:val="0"/>
              <w:autoSpaceDN w:val="0"/>
              <w:adjustRightInd w:val="0"/>
              <w:spacing w:line="360" w:lineRule="auto"/>
              <w:rPr>
                <w:rFonts w:ascii="宋体" w:hAnsi="宋体" w:cs="仿宋_GB2312"/>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separate"/>
            </w:r>
            <w:r>
              <w:rPr>
                <w:rFonts w:ascii="新宋体" w:hAnsi="新宋体" w:eastAsia="新宋体"/>
                <w:b/>
                <w:sz w:val="24"/>
                <w:szCs w:val="24"/>
              </w:rPr>
              <w:fldChar w:fldCharType="end"/>
            </w:r>
            <w:r>
              <w:rPr>
                <w:rFonts w:hint="eastAsia" w:ascii="宋体" w:hAnsi="宋体" w:cs="仿宋_GB2312"/>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□由评审专家组成。评审专家从政府采购评审专家库中随机抽取。</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22</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评审方法</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质量和服务均能满足询价文件实质性响应要求且最后报价最低的原则确定成交供应商</w:t>
            </w:r>
            <w:r>
              <w:rPr>
                <w:rFonts w:hint="eastAsia" w:ascii="新宋体" w:hAnsi="新宋体" w:eastAsia="新宋体"/>
                <w:sz w:val="24"/>
                <w:szCs w:val="24"/>
              </w:rPr>
              <w:t>。</w:t>
            </w:r>
          </w:p>
        </w:tc>
      </w:tr>
      <w:tr>
        <w:trPr>
          <w:trHeight w:val="699"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采购单位委派代表参加询价小组的，须向集中采购机构出具授权函。</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separate"/>
            </w:r>
            <w:r>
              <w:rPr>
                <w:rFonts w:ascii="宋体" w:hAnsi="宋体" w:cs="宋体"/>
                <w:b/>
                <w:kern w:val="0"/>
                <w:sz w:val="24"/>
                <w:szCs w:val="24"/>
                <w:lang w:val="zh-CN"/>
              </w:rPr>
              <w:fldChar w:fldCharType="end"/>
            </w:r>
            <w:r>
              <w:rPr>
                <w:rFonts w:hint="eastAsia" w:ascii="宋体" w:hAnsi="宋体" w:cs="宋体"/>
                <w:bCs/>
                <w:sz w:val="24"/>
                <w:szCs w:val="24"/>
                <w:lang w:val="zh-CN"/>
              </w:rPr>
              <w:t>无要求</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sz w:val="24"/>
                <w:szCs w:val="24"/>
              </w:rPr>
              <w:t>要求提交。履约保证金的数额为合同金额</w:t>
            </w:r>
            <w:r>
              <w:rPr>
                <w:rFonts w:hint="eastAsia" w:ascii="新宋体" w:hAnsi="新宋体" w:eastAsia="新宋体"/>
                <w:sz w:val="24"/>
                <w:szCs w:val="24"/>
              </w:rPr>
              <w:t>的10%</w:t>
            </w:r>
            <w:r>
              <w:rPr>
                <w:rFonts w:hint="eastAsia" w:ascii="宋体" w:hAnsi="宋体" w:cs="宋体"/>
                <w:sz w:val="24"/>
                <w:szCs w:val="24"/>
              </w:rPr>
              <w:t>。成交供应商以支票、汇票、本票或者金融机构、担保机构出具的保函等非现金形式向采购人提交。</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separate"/>
            </w:r>
            <w:r>
              <w:rPr>
                <w:rFonts w:ascii="宋体" w:hAnsi="宋体" w:cs="宋体"/>
                <w:b/>
                <w:kern w:val="0"/>
                <w:sz w:val="24"/>
                <w:szCs w:val="24"/>
                <w:lang w:val="zh-CN"/>
              </w:rPr>
              <w:fldChar w:fldCharType="end"/>
            </w:r>
            <w:r>
              <w:rPr>
                <w:rFonts w:hint="eastAsia" w:ascii="宋体" w:hAnsi="宋体" w:cs="宋体"/>
                <w:bCs/>
                <w:sz w:val="24"/>
                <w:szCs w:val="24"/>
                <w:lang w:val="zh-CN"/>
              </w:rPr>
              <w:t>不收取</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成交供应商需提交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lang w:val="zh-CN"/>
              </w:rPr>
              <w:t>成交供应商须在评标结束之时24小时内</w:t>
            </w:r>
            <w:r>
              <w:rPr>
                <w:rFonts w:hint="eastAsia" w:ascii="宋体" w:hAnsi="宋体" w:cs="宋体"/>
                <w:bCs/>
                <w:sz w:val="24"/>
                <w:szCs w:val="24"/>
                <w:lang w:val="zh-CN"/>
              </w:rPr>
              <w:t>，</w:t>
            </w:r>
            <w:r>
              <w:rPr>
                <w:rFonts w:hint="eastAsia" w:ascii="新宋体" w:hAnsi="新宋体" w:eastAsia="新宋体"/>
                <w:sz w:val="24"/>
                <w:szCs w:val="24"/>
              </w:rPr>
              <w:t>向襄城县公共资源交易中心业务二室发</w:t>
            </w:r>
            <w:r>
              <w:rPr>
                <w:rFonts w:hint="eastAsia" w:ascii="宋体" w:hAnsi="宋体" w:cs="宋体"/>
                <w:bCs/>
                <w:sz w:val="24"/>
                <w:szCs w:val="24"/>
                <w:lang w:val="zh-CN"/>
              </w:rPr>
              <w:t>送响应报价及分项报价一览表（包含主要成交标的的名称、规格型号、数量、单价、服务要求等）电子文档，并同时电话告知工作人员。联系电话：0374-3998026；邮箱：zfcgg456@163.com。</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separate"/>
            </w:r>
            <w:r>
              <w:rPr>
                <w:rFonts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hAnsi="宋体" w:cs="宋体"/>
                <w:sz w:val="24"/>
                <w:szCs w:val="24"/>
                <w:lang w:val="zh-CN"/>
              </w:rPr>
              <w:t>供应商响应时须成功上传、解密电子投标文件。</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特别提示</w:t>
            </w:r>
          </w:p>
        </w:tc>
        <w:tc>
          <w:tcPr>
            <w:tcW w:w="6813" w:type="dxa"/>
            <w:vAlign w:val="center"/>
          </w:tcPr>
          <w:p>
            <w:pPr>
              <w:autoSpaceDE w:val="0"/>
              <w:autoSpaceDN w:val="0"/>
              <w:adjustRightInd w:val="0"/>
              <w:spacing w:line="360" w:lineRule="auto"/>
              <w:contextualSpacing/>
              <w:rPr>
                <w:rFonts w:ascii="宋体" w:hAnsi="宋体"/>
                <w:sz w:val="24"/>
              </w:rPr>
            </w:pPr>
            <w:r>
              <w:rPr>
                <w:rFonts w:hint="eastAsia" w:ascii="宋体" w:hAnsi="宋体"/>
                <w:sz w:val="24"/>
              </w:rPr>
              <w:t>按照《关于推进全流程电子化交易和在线监管工作有关问题的通知》规定：</w:t>
            </w:r>
          </w:p>
          <w:p>
            <w:pPr>
              <w:autoSpaceDE w:val="0"/>
              <w:autoSpaceDN w:val="0"/>
              <w:adjustRightInd w:val="0"/>
              <w:spacing w:line="360" w:lineRule="auto"/>
              <w:contextualSpacing/>
              <w:rPr>
                <w:rFonts w:ascii="宋体" w:hAnsi="宋体"/>
                <w:sz w:val="24"/>
              </w:rPr>
            </w:pPr>
            <w:r>
              <w:rPr>
                <w:rFonts w:hint="eastAsia" w:ascii="宋体" w:hAnsi="宋体"/>
                <w:sz w:val="24"/>
              </w:rPr>
              <w:t>不同投标人电子投标文件记录的网卡MAC地址、CPU序号、硬盘序列号等硬件特征码均相同时，视为‘</w:t>
            </w:r>
            <w:r>
              <w:rPr>
                <w:rFonts w:ascii="宋体" w:hAnsi="宋体"/>
                <w:sz w:val="24"/>
              </w:rPr>
              <w:t>不同</w:t>
            </w:r>
            <w:r>
              <w:rPr>
                <w:rFonts w:hint="eastAsia" w:ascii="宋体" w:hAnsi="宋体"/>
                <w:sz w:val="24"/>
              </w:rPr>
              <w:t>投标人的投标</w:t>
            </w:r>
            <w:r>
              <w:rPr>
                <w:rFonts w:ascii="宋体" w:hAnsi="宋体"/>
                <w:sz w:val="24"/>
              </w:rPr>
              <w:t>文件由同一单位或者个人编制</w:t>
            </w:r>
            <w:r>
              <w:rPr>
                <w:rFonts w:hint="eastAsia" w:ascii="宋体" w:hAnsi="宋体"/>
                <w:sz w:val="24"/>
              </w:rPr>
              <w:t>’或‘</w:t>
            </w:r>
            <w:r>
              <w:rPr>
                <w:rFonts w:ascii="宋体" w:hAnsi="宋体"/>
                <w:sz w:val="24"/>
              </w:rPr>
              <w:t>不同</w:t>
            </w:r>
            <w:r>
              <w:rPr>
                <w:rFonts w:hint="eastAsia" w:ascii="宋体" w:hAnsi="宋体"/>
                <w:sz w:val="24"/>
              </w:rPr>
              <w:t>投标人</w:t>
            </w:r>
            <w:r>
              <w:rPr>
                <w:rFonts w:ascii="宋体" w:hAnsi="宋体"/>
                <w:sz w:val="24"/>
              </w:rPr>
              <w:t>委托同一单位或者个人办理</w:t>
            </w:r>
            <w:r>
              <w:rPr>
                <w:rFonts w:hint="eastAsia" w:ascii="宋体" w:hAnsi="宋体"/>
                <w:sz w:val="24"/>
              </w:rPr>
              <w:t>响应</w:t>
            </w:r>
            <w:r>
              <w:rPr>
                <w:rFonts w:ascii="宋体" w:hAnsi="宋体"/>
                <w:sz w:val="24"/>
              </w:rPr>
              <w:t>事宜</w:t>
            </w:r>
            <w:r>
              <w:rPr>
                <w:rFonts w:hint="eastAsia" w:ascii="宋体" w:hAnsi="宋体"/>
                <w:sz w:val="24"/>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sz w:val="24"/>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Cs w:val="21"/>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31"/>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31"/>
        <w:numPr>
          <w:ilvl w:val="0"/>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31"/>
        <w:numPr>
          <w:ilvl w:val="1"/>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本询价文件解释权属于“采购邀请”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所述的采购人、集中采购机构。</w:t>
      </w:r>
    </w:p>
    <w:p>
      <w:pPr>
        <w:pStyle w:val="31"/>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31"/>
        <w:numPr>
          <w:ilvl w:val="0"/>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“采购项目”：</w:t>
      </w:r>
      <w:r>
        <w:rPr>
          <w:rFonts w:hint="eastAsia" w:ascii="宋体" w:hAnsi="宋体"/>
          <w:sz w:val="24"/>
          <w:szCs w:val="24"/>
        </w:rPr>
        <w:t xml:space="preserve"> 系指</w:t>
      </w:r>
      <w:r>
        <w:rPr>
          <w:rFonts w:hint="eastAsia" w:ascii="宋体" w:hAnsi="宋体" w:cs="宋体"/>
          <w:kern w:val="0"/>
          <w:sz w:val="24"/>
          <w:szCs w:val="24"/>
        </w:rPr>
        <w:t>“供应商须知前附表”中所述的采购项目。</w:t>
      </w:r>
    </w:p>
    <w:p>
      <w:pPr>
        <w:pStyle w:val="31"/>
        <w:numPr>
          <w:ilvl w:val="1"/>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“采购人、集中采购机构”：</w:t>
      </w:r>
      <w:r>
        <w:rPr>
          <w:rFonts w:hint="eastAsia" w:ascii="宋体" w:hAnsi="宋体"/>
          <w:sz w:val="24"/>
          <w:szCs w:val="24"/>
        </w:rPr>
        <w:t>系指“供应商须知前附表”中所述的组织本次采购的集中采购机构和采购人。</w:t>
      </w:r>
    </w:p>
    <w:p>
      <w:pPr>
        <w:pStyle w:val="31"/>
        <w:numPr>
          <w:ilvl w:val="1"/>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“供应商”系指从采购人、集中采购机构处按规定获取询价文件，并按照询价文件向采购人、集中采购机构提交响应文件的供应商。</w:t>
      </w:r>
    </w:p>
    <w:p>
      <w:pPr>
        <w:pStyle w:val="31"/>
        <w:numPr>
          <w:ilvl w:val="1"/>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“成交供应商”系指成交的供应商。</w:t>
      </w:r>
    </w:p>
    <w:p>
      <w:pPr>
        <w:pStyle w:val="31"/>
        <w:numPr>
          <w:ilvl w:val="1"/>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“甲方”系指采购人。</w:t>
      </w:r>
    </w:p>
    <w:p>
      <w:pPr>
        <w:pStyle w:val="31"/>
        <w:numPr>
          <w:ilvl w:val="1"/>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“乙方”系指成交并向采购人提供服务的供应商。</w:t>
      </w:r>
    </w:p>
    <w:p>
      <w:pPr>
        <w:pStyle w:val="31"/>
        <w:numPr>
          <w:ilvl w:val="1"/>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“服务”系指询价文件规定的供应商为完成采购项目所需承担的全部义务。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  询价文件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 xml:space="preserve">2.8.2  </w:t>
      </w:r>
      <w:r>
        <w:rPr>
          <w:rFonts w:ascii="宋体" w:hAnsi="宋体" w:cs="宋体"/>
          <w:kern w:val="0"/>
          <w:sz w:val="24"/>
          <w:szCs w:val="24"/>
        </w:rPr>
        <w:t>如</w:t>
      </w:r>
      <w:r>
        <w:rPr>
          <w:rFonts w:hint="eastAsia" w:ascii="宋体" w:hAnsi="宋体" w:cs="宋体"/>
          <w:kern w:val="0"/>
          <w:sz w:val="24"/>
          <w:szCs w:val="24"/>
        </w:rPr>
        <w:t>响应</w:t>
      </w:r>
      <w:r>
        <w:rPr>
          <w:rFonts w:ascii="宋体" w:hAnsi="宋体" w:cs="宋体"/>
          <w:kern w:val="0"/>
          <w:sz w:val="24"/>
          <w:szCs w:val="24"/>
        </w:rPr>
        <w:t>文件中已说明，经财政部门审核同意，允许部分或全部产品采购进口产品，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31"/>
        <w:numPr>
          <w:ilvl w:val="1"/>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询价文件中凡标有“★”的条款均系实质性要求条款。</w:t>
      </w:r>
    </w:p>
    <w:p>
      <w:pPr>
        <w:pStyle w:val="31"/>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3.3 政府采购活动中查询及使用响应人信用记录的具体要求为：响应人未被列入失信被执行人、重大税收违法案件当事人名单、</w:t>
      </w:r>
      <w:r>
        <w:rPr>
          <w:rFonts w:ascii="宋体" w:hAnsi="宋体" w:cs="宋体"/>
          <w:kern w:val="0"/>
          <w:sz w:val="24"/>
          <w:szCs w:val="24"/>
        </w:rPr>
        <w:t>政府采购严重违法失信名单</w:t>
      </w:r>
      <w:r>
        <w:rPr>
          <w:rFonts w:hint="eastAsia" w:ascii="宋体" w:hAnsi="宋体" w:cs="宋体"/>
          <w:kern w:val="0"/>
          <w:sz w:val="24"/>
          <w:szCs w:val="24"/>
        </w:rPr>
        <w:t>、政府采购严重违法失信行为记录名单、严重违法失信社会组织名单（联合体形式响应的，联合体成员存在不良信用记录，视同联合体存在不良信用记录）。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）、“中国社会组织公共服务平台”网站（</w:t>
      </w:r>
      <w:r>
        <w:rPr>
          <w:rFonts w:ascii="宋体" w:hAnsi="宋体" w:cs="宋体"/>
          <w:kern w:val="0"/>
          <w:sz w:val="24"/>
          <w:szCs w:val="24"/>
        </w:rPr>
        <w:t>www.chinanpo.gov.cn</w:t>
      </w:r>
      <w:r>
        <w:rPr>
          <w:rFonts w:hint="eastAsia" w:ascii="宋体" w:hAnsi="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（2）截止时间：同响应截止时间。</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（3）信用信息查询记录和证据留存具体方式：经询价小组确认的查询结果网页截图作为查询记录和证据，与其他采购文件一并保存。</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3.4 单位负责人为同一人或者存在直接控股、管理关系的不同供应商，不得同时参加本项目报价。违反规定的，相关响应均无效。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3.5 为采购项目提供整体设计、规范编制或者项目管理、监理、检测等服务的供应商，不得再参加该采购项目的其他采购活动。</w:t>
      </w:r>
    </w:p>
    <w:p>
      <w:pPr>
        <w:pStyle w:val="31"/>
        <w:numPr>
          <w:ilvl w:val="1"/>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 xml:space="preserve"> “采购邀请”和“供应商须知前附表”规定接受联合体响应的，除应符合本章第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31"/>
        <w:autoSpaceDE w:val="0"/>
        <w:autoSpaceDN w:val="0"/>
        <w:spacing w:line="360" w:lineRule="auto"/>
        <w:ind w:left="464" w:leftChars="221" w:firstLine="0" w:firstLineChars="0"/>
        <w:contextualSpacing/>
        <w:rPr>
          <w:rFonts w:ascii="宋体" w:hAnsi="宋体" w:cs="宋体"/>
          <w:kern w:val="0"/>
          <w:sz w:val="24"/>
          <w:szCs w:val="24"/>
        </w:rPr>
      </w:pPr>
      <w:r>
        <w:rPr>
          <w:rFonts w:hint="eastAsia" w:ascii="宋体" w:hAnsi="宋体" w:cs="宋体"/>
          <w:kern w:val="0"/>
          <w:sz w:val="24"/>
          <w:szCs w:val="24"/>
        </w:rPr>
        <w:t>3.6.1  在响应文件中向采购人提交联合体协议书，明确联合体各方承担的工作和义务；</w:t>
      </w:r>
    </w:p>
    <w:p>
      <w:pPr>
        <w:pStyle w:val="31"/>
        <w:autoSpaceDE w:val="0"/>
        <w:autoSpaceDN w:val="0"/>
        <w:spacing w:line="360" w:lineRule="auto"/>
        <w:ind w:left="464" w:leftChars="221" w:firstLine="0" w:firstLineChars="0"/>
        <w:contextualSpacing/>
        <w:rPr>
          <w:rFonts w:ascii="宋体" w:hAnsi="宋体" w:cs="宋体"/>
          <w:kern w:val="0"/>
          <w:sz w:val="24"/>
          <w:szCs w:val="24"/>
        </w:rPr>
      </w:pPr>
      <w:r>
        <w:rPr>
          <w:rFonts w:hint="eastAsia" w:ascii="宋体" w:hAnsi="宋体" w:cs="宋体"/>
          <w:kern w:val="0"/>
          <w:sz w:val="24"/>
          <w:szCs w:val="24"/>
        </w:rPr>
        <w:t>3.6.2  联合体中有同类资质的供应商按联合体分工承担相同工作的，应当按照资质等级较低的供应商确定资质等级；</w:t>
      </w:r>
    </w:p>
    <w:p>
      <w:pPr>
        <w:pStyle w:val="31"/>
        <w:autoSpaceDE w:val="0"/>
        <w:autoSpaceDN w:val="0"/>
        <w:spacing w:line="360" w:lineRule="auto"/>
        <w:ind w:left="464" w:leftChars="221" w:firstLine="0" w:firstLineChars="0"/>
        <w:contextualSpacing/>
        <w:rPr>
          <w:rFonts w:ascii="宋体" w:hAnsi="宋体" w:cs="宋体"/>
          <w:kern w:val="0"/>
          <w:sz w:val="24"/>
          <w:szCs w:val="24"/>
        </w:rPr>
      </w:pPr>
      <w:r>
        <w:rPr>
          <w:rFonts w:hint="eastAsia" w:ascii="宋体" w:hAnsi="宋体" w:cs="宋体"/>
          <w:kern w:val="0"/>
          <w:sz w:val="24"/>
          <w:szCs w:val="24"/>
        </w:rPr>
        <w:t>3.6.3  采购人根据采购项目的特殊要求规定供应商特定条件的，联合体各方中至少应当有一方符合采购规定的特定条件。</w:t>
      </w:r>
    </w:p>
    <w:p>
      <w:pPr>
        <w:pStyle w:val="31"/>
        <w:autoSpaceDE w:val="0"/>
        <w:autoSpaceDN w:val="0"/>
        <w:spacing w:line="360" w:lineRule="auto"/>
        <w:ind w:left="464" w:leftChars="221" w:firstLine="0" w:firstLineChars="0"/>
        <w:contextualSpacing/>
        <w:rPr>
          <w:rFonts w:ascii="宋体" w:hAnsi="宋体" w:cs="宋体"/>
          <w:kern w:val="0"/>
          <w:sz w:val="24"/>
          <w:szCs w:val="24"/>
        </w:rPr>
      </w:pPr>
      <w:r>
        <w:rPr>
          <w:rFonts w:hint="eastAsia" w:ascii="宋体" w:hAnsi="宋体" w:cs="宋体"/>
          <w:kern w:val="0"/>
          <w:sz w:val="24"/>
          <w:szCs w:val="24"/>
        </w:rPr>
        <w:t>3.6.4  联合体各方不得再单独参加或者与其他供应商另外组成联合体参加同一合同项下的政府采购活动。</w:t>
      </w:r>
    </w:p>
    <w:p>
      <w:pPr>
        <w:pStyle w:val="31"/>
        <w:autoSpaceDE w:val="0"/>
        <w:autoSpaceDN w:val="0"/>
        <w:spacing w:line="360" w:lineRule="auto"/>
        <w:ind w:left="464" w:leftChars="221" w:firstLine="0" w:firstLineChars="0"/>
        <w:contextualSpacing/>
        <w:rPr>
          <w:rFonts w:ascii="宋体" w:hAnsi="宋体" w:cs="宋体"/>
          <w:kern w:val="0"/>
          <w:sz w:val="24"/>
          <w:szCs w:val="24"/>
        </w:rPr>
      </w:pPr>
      <w:r>
        <w:rPr>
          <w:rFonts w:hint="eastAsia" w:ascii="宋体" w:hAnsi="宋体" w:cs="宋体"/>
          <w:kern w:val="0"/>
          <w:sz w:val="24"/>
          <w:szCs w:val="24"/>
        </w:rPr>
        <w:t xml:space="preserve">3.6.5  </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31"/>
        <w:numPr>
          <w:ilvl w:val="1"/>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 xml:space="preserve">  法律、行政法规规定的其他条件。 </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4.3 如供应商所投产品被列入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w:t>
      </w:r>
      <w:r>
        <w:rPr>
          <w:rFonts w:ascii="宋体" w:hAnsi="宋体" w:cs="宋体"/>
          <w:kern w:val="0"/>
          <w:sz w:val="24"/>
          <w:szCs w:val="24"/>
        </w:rPr>
        <w:t>具备国家认监委</w:t>
      </w:r>
      <w:r>
        <w:rPr>
          <w:rFonts w:hint="eastAsia" w:ascii="宋体" w:hAnsi="宋体" w:cs="宋体"/>
          <w:kern w:val="0"/>
          <w:sz w:val="24"/>
          <w:szCs w:val="24"/>
        </w:rPr>
        <w:t>指定强制性产品认证机构</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《中国</w:t>
      </w:r>
      <w:r>
        <w:rPr>
          <w:rFonts w:hint="eastAsia" w:ascii="宋体" w:hAnsi="宋体" w:cs="宋体"/>
          <w:kern w:val="0"/>
          <w:sz w:val="24"/>
          <w:szCs w:val="24"/>
        </w:rPr>
        <w:t>国家</w:t>
      </w:r>
      <w:r>
        <w:rPr>
          <w:rFonts w:ascii="宋体" w:hAnsi="宋体" w:cs="宋体"/>
          <w:kern w:val="0"/>
          <w:sz w:val="24"/>
          <w:szCs w:val="24"/>
        </w:rPr>
        <w:t>强制</w:t>
      </w:r>
      <w:r>
        <w:rPr>
          <w:rFonts w:hint="eastAsia" w:ascii="宋体" w:hAnsi="宋体" w:cs="宋体"/>
          <w:kern w:val="0"/>
          <w:sz w:val="24"/>
          <w:szCs w:val="24"/>
        </w:rPr>
        <w:t>性产品</w:t>
      </w:r>
      <w:r>
        <w:rPr>
          <w:rFonts w:ascii="宋体" w:hAnsi="宋体" w:cs="宋体"/>
          <w:kern w:val="0"/>
          <w:sz w:val="24"/>
          <w:szCs w:val="24"/>
        </w:rPr>
        <w:t>认证</w:t>
      </w:r>
      <w:r>
        <w:rPr>
          <w:rFonts w:hint="eastAsia" w:ascii="宋体" w:hAnsi="宋体" w:cs="宋体"/>
          <w:kern w:val="0"/>
          <w:sz w:val="24"/>
          <w:szCs w:val="24"/>
        </w:rPr>
        <w:t>证书</w:t>
      </w:r>
      <w:r>
        <w:rPr>
          <w:rFonts w:ascii="宋体" w:hAnsi="宋体" w:cs="宋体"/>
          <w:kern w:val="0"/>
          <w:sz w:val="24"/>
          <w:szCs w:val="24"/>
        </w:rPr>
        <w:t>》（CCC 认证）。</w:t>
      </w:r>
      <w:r>
        <w:rPr>
          <w:rFonts w:hint="eastAsia" w:ascii="宋体" w:hAnsi="宋体" w:cs="宋体"/>
          <w:kern w:val="0"/>
          <w:sz w:val="24"/>
          <w:szCs w:val="24"/>
        </w:rPr>
        <w:t>供应商</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4.4 供应商所投产品如被列入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供应商</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  投标费用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 . 信息发布</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 代理费用</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集中采购机构提供询价文件自行下载或获取，在递交询价响价文件前缴纳询价文件工本费100元，不收取成交服务费。</w:t>
      </w:r>
    </w:p>
    <w:p>
      <w:pPr>
        <w:pStyle w:val="31"/>
        <w:numPr>
          <w:ilvl w:val="0"/>
          <w:numId w:val="8"/>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contextualSpacing/>
        <w:rPr>
          <w:rFonts w:ascii="宋体" w:hAnsi="宋体" w:cs="宋体"/>
          <w:kern w:val="0"/>
          <w:sz w:val="24"/>
          <w:szCs w:val="24"/>
        </w:rPr>
      </w:pPr>
    </w:p>
    <w:p>
      <w:pPr>
        <w:pStyle w:val="31"/>
        <w:numPr>
          <w:ilvl w:val="1"/>
          <w:numId w:val="8"/>
        </w:numPr>
        <w:tabs>
          <w:tab w:val="left" w:pos="1260"/>
        </w:tabs>
        <w:autoSpaceDE w:val="0"/>
        <w:autoSpaceDN w:val="0"/>
        <w:spacing w:line="360" w:lineRule="auto"/>
        <w:ind w:firstLineChars="0"/>
        <w:contextualSpacing/>
        <w:jc w:val="center"/>
        <w:rPr>
          <w:rFonts w:ascii="宋体" w:hAnsi="宋体" w:cs="宋体"/>
          <w:b/>
          <w:kern w:val="0"/>
          <w:sz w:val="28"/>
          <w:szCs w:val="28"/>
        </w:rPr>
      </w:pPr>
      <w:r>
        <w:rPr>
          <w:rFonts w:hint="eastAsia" w:ascii="宋体" w:hAnsi="宋体" w:cs="宋体"/>
          <w:b/>
          <w:kern w:val="0"/>
          <w:sz w:val="28"/>
          <w:szCs w:val="28"/>
        </w:rPr>
        <w:t>询价文件说明</w:t>
      </w:r>
    </w:p>
    <w:p>
      <w:pPr>
        <w:pStyle w:val="31"/>
        <w:numPr>
          <w:ilvl w:val="0"/>
          <w:numId w:val="8"/>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 xml:space="preserve"> 询价文件构成</w:t>
      </w:r>
    </w:p>
    <w:p>
      <w:pPr>
        <w:pStyle w:val="31"/>
        <w:numPr>
          <w:ilvl w:val="0"/>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询价文件由以下部分组成：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（1）采购邀请（采购公告）</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（2）采购需求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（3）供应商须知前附表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（4）供应商须知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（6）资格审查与评审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（7）合同书格式及合同条款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（8）响应文件有关格式</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（9）本项目询价文件的澄清、答复、修改、补充内容（如有的话）</w:t>
      </w:r>
    </w:p>
    <w:p>
      <w:pPr>
        <w:pStyle w:val="31"/>
        <w:numPr>
          <w:ilvl w:val="1"/>
          <w:numId w:val="10"/>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31"/>
        <w:numPr>
          <w:ilvl w:val="1"/>
          <w:numId w:val="10"/>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1"/>
        <w:numPr>
          <w:ilvl w:val="0"/>
          <w:numId w:val="8"/>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询价文件的澄清或修改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10.4 如果澄清或者修改发出的时间距规定的询价响应截止时间不足3个工作日的，采购人、集中采购机构将顺延提交响应文件的截止时间。</w:t>
      </w:r>
    </w:p>
    <w:p>
      <w:pPr>
        <w:autoSpaceDE w:val="0"/>
        <w:autoSpaceDN w:val="0"/>
        <w:spacing w:line="360" w:lineRule="auto"/>
        <w:ind w:left="420"/>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三、响应文件的编制</w:t>
      </w:r>
    </w:p>
    <w:p>
      <w:pPr>
        <w:pStyle w:val="31"/>
        <w:numPr>
          <w:ilvl w:val="0"/>
          <w:numId w:val="8"/>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响应文件的语言及计量单位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11.2 响应文件计量单位，询价文件已有明确规定的，使用询价文件规定的计量单位；询价文件没有规定的，一律采用中华人民共和国法定计量单位。</w:t>
      </w:r>
    </w:p>
    <w:p>
      <w:pPr>
        <w:pStyle w:val="31"/>
        <w:numPr>
          <w:ilvl w:val="0"/>
          <w:numId w:val="8"/>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12.1 本次采购项目的报价均以人民币为计算单位。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12.2 采购人不得向供应商索要或者接受其给予的赠品、回扣或者与采购无关的其他商品、服务。</w:t>
      </w:r>
    </w:p>
    <w:p>
      <w:pPr>
        <w:pStyle w:val="31"/>
        <w:numPr>
          <w:ilvl w:val="1"/>
          <w:numId w:val="11"/>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 xml:space="preserve"> 供应商应对项目要求的全部内容进行报价，少报漏报将导致其响应为非实质性响应予以拒绝。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12.6  报价不得高于本项目预算金额，且不低于成本价。供应商的响应报价高于预算金额（项目控制金额上限）的，该供应商的响应文件将被视为非实质性响应予以拒绝。</w:t>
      </w:r>
    </w:p>
    <w:p>
      <w:pPr>
        <w:pStyle w:val="31"/>
        <w:numPr>
          <w:ilvl w:val="1"/>
          <w:numId w:val="12"/>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最低报价不能做为成交的保证。</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13.响应文件有效期</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14.响应文件构成</w:t>
      </w:r>
    </w:p>
    <w:p>
      <w:pPr>
        <w:pStyle w:val="31"/>
        <w:numPr>
          <w:ilvl w:val="1"/>
          <w:numId w:val="1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响应文件的构成应符合法律法规及询价文件的要求。</w:t>
      </w:r>
    </w:p>
    <w:p>
      <w:pPr>
        <w:pStyle w:val="31"/>
        <w:numPr>
          <w:ilvl w:val="1"/>
          <w:numId w:val="1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供应商应当按照询价文件的要求编制响应文件。响应文件应当对询价文件提出的要求和条件作出明确响应。</w:t>
      </w:r>
    </w:p>
    <w:p>
      <w:pPr>
        <w:pStyle w:val="31"/>
        <w:numPr>
          <w:ilvl w:val="1"/>
          <w:numId w:val="1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响应文件由资格证明材料、符合性证明材料、其它材料等组成。</w:t>
      </w:r>
    </w:p>
    <w:p>
      <w:pPr>
        <w:pStyle w:val="31"/>
        <w:numPr>
          <w:ilvl w:val="1"/>
          <w:numId w:val="1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31"/>
        <w:numPr>
          <w:ilvl w:val="1"/>
          <w:numId w:val="1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宋体" w:hAnsi="宋体" w:cs="宋体"/>
          <w:kern w:val="0"/>
          <w:sz w:val="24"/>
          <w:szCs w:val="24"/>
        </w:rPr>
        <w:t>.file</w:t>
      </w:r>
      <w:r>
        <w:rPr>
          <w:rFonts w:hint="eastAsia" w:ascii="宋体" w:hAnsi="宋体" w:cs="宋体"/>
          <w:kern w:val="0"/>
          <w:sz w:val="24"/>
          <w:szCs w:val="24"/>
        </w:rPr>
        <w:t>”的文件用于电子响应使用。</w:t>
      </w:r>
      <w:r>
        <w:rPr>
          <w:rFonts w:ascii="宋体" w:hAnsi="宋体" w:cs="宋体"/>
          <w:kern w:val="0"/>
          <w:sz w:val="24"/>
          <w:szCs w:val="24"/>
        </w:rPr>
        <w:t xml:space="preserve"> </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电子响应文件制作技术咨询：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15.响应文件格式</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16.投标保证金</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16.1  本项目不收取投标保证金。</w:t>
      </w:r>
    </w:p>
    <w:p>
      <w:pPr>
        <w:pStyle w:val="31"/>
        <w:numPr>
          <w:ilvl w:val="1"/>
          <w:numId w:val="1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投标人应提供投标承诺函。</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17.询价文件的数量和签署盖章</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17.1  供应商应提交响应文件份数见“供应商须知前附表”。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contextualSpacing/>
        <w:rPr>
          <w:rFonts w:ascii="宋体" w:hAnsi="宋体" w:cs="仿宋_GB2312"/>
          <w:sz w:val="28"/>
          <w:szCs w:val="28"/>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四、响应文件的递交</w:t>
      </w:r>
    </w:p>
    <w:p>
      <w:pPr>
        <w:autoSpaceDE w:val="0"/>
        <w:autoSpaceDN w:val="0"/>
        <w:spacing w:line="360" w:lineRule="auto"/>
        <w:contextualSpacing/>
        <w:rPr>
          <w:rFonts w:ascii="宋体" w:hAnsi="宋体" w:cs="宋体"/>
          <w:kern w:val="0"/>
          <w:sz w:val="24"/>
          <w:szCs w:val="24"/>
        </w:rPr>
      </w:pPr>
      <w:r>
        <w:rPr>
          <w:rFonts w:hint="eastAsia" w:ascii="宋体" w:hAnsi="宋体" w:cs="宋体"/>
          <w:b/>
          <w:kern w:val="0"/>
          <w:sz w:val="24"/>
          <w:szCs w:val="24"/>
        </w:rPr>
        <w:t>18.</w:t>
      </w:r>
      <w:r>
        <w:rPr>
          <w:rFonts w:ascii="宋体" w:hAnsi="宋体" w:cs="宋体"/>
          <w:kern w:val="0"/>
          <w:sz w:val="24"/>
          <w:szCs w:val="24"/>
        </w:rPr>
        <w:t xml:space="preserve"> </w:t>
      </w:r>
      <w:r>
        <w:rPr>
          <w:rFonts w:hint="eastAsia" w:ascii="宋体" w:hAnsi="宋体" w:cs="宋体"/>
          <w:b/>
          <w:kern w:val="0"/>
          <w:sz w:val="24"/>
          <w:szCs w:val="24"/>
        </w:rPr>
        <w:t>询价响应截止时间</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18.1  供应商必须在“采购邀请”和“供应商须知前附表”中规定的询价响应文件截止时间前，将</w:t>
      </w:r>
      <w:r>
        <w:rPr>
          <w:rFonts w:hint="eastAsia" w:ascii="宋体" w:hAnsi="宋体" w:cs="仿宋_GB2312"/>
          <w:sz w:val="24"/>
          <w:szCs w:val="24"/>
        </w:rPr>
        <w:t>加密电子投标文件</w:t>
      </w:r>
      <w:r>
        <w:rPr>
          <w:rFonts w:hint="eastAsia" w:ascii="宋体" w:hAnsi="宋体" w:cs="宋体"/>
          <w:sz w:val="24"/>
          <w:szCs w:val="24"/>
        </w:rPr>
        <w:t>（</w:t>
      </w:r>
      <w:r>
        <w:rPr>
          <w:rFonts w:ascii="宋体" w:hAnsi="宋体"/>
          <w:sz w:val="24"/>
          <w:szCs w:val="24"/>
        </w:rPr>
        <w:t>.file</w:t>
      </w:r>
      <w:r>
        <w:rPr>
          <w:rFonts w:hint="eastAsia" w:ascii="宋体" w:hAnsi="宋体" w:cs="宋体"/>
          <w:sz w:val="24"/>
          <w:szCs w:val="24"/>
        </w:rPr>
        <w:t>格式）</w:t>
      </w:r>
      <w:r>
        <w:rPr>
          <w:rFonts w:hint="eastAsia" w:ascii="宋体" w:hAnsi="宋体" w:cs="仿宋_GB2312"/>
          <w:sz w:val="24"/>
          <w:szCs w:val="24"/>
        </w:rPr>
        <w:t>通过《全国公共资源交易平台(河南省</w:t>
      </w:r>
      <w:r>
        <w:rPr>
          <w:rFonts w:hint="eastAsia" w:ascii="宋体" w:hAnsi="MS Mincho" w:eastAsia="MS Mincho" w:cs="MS Mincho"/>
          <w:sz w:val="24"/>
          <w:szCs w:val="24"/>
        </w:rPr>
        <w:t>▪</w:t>
      </w:r>
      <w:r>
        <w:rPr>
          <w:rFonts w:hint="eastAsia" w:ascii="宋体" w:hAnsi="宋体" w:cs="宋体"/>
          <w:sz w:val="24"/>
          <w:szCs w:val="24"/>
        </w:rPr>
        <w:t>许昌市</w:t>
      </w:r>
      <w:r>
        <w:rPr>
          <w:rFonts w:hint="eastAsia" w:ascii="宋体" w:hAnsi="宋体" w:cs="仿宋_GB2312"/>
          <w:sz w:val="24"/>
          <w:szCs w:val="24"/>
        </w:rPr>
        <w:t>)》公共资源交易系统成功上传。</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19.迟交的响应文件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20.响应文件的修改和撤回</w:t>
      </w:r>
    </w:p>
    <w:p>
      <w:pPr>
        <w:widowControl w:val="0"/>
        <w:wordWrap/>
        <w:autoSpaceDE w:val="0"/>
        <w:autoSpaceDN w:val="0"/>
        <w:adjustRightInd w:val="0"/>
        <w:snapToGrid/>
        <w:spacing w:before="0" w:after="0" w:line="360" w:lineRule="auto"/>
        <w:ind w:left="0" w:leftChars="0" w:right="0" w:firstLine="480" w:firstLineChars="200"/>
        <w:contextualSpacing/>
        <w:jc w:val="left"/>
        <w:textAlignment w:val="auto"/>
        <w:outlineLvl w:val="9"/>
        <w:rPr>
          <w:rFonts w:ascii="宋体" w:hAnsi="宋体" w:cs="宋体"/>
          <w:kern w:val="0"/>
          <w:sz w:val="24"/>
          <w:szCs w:val="24"/>
        </w:rPr>
      </w:pPr>
      <w:r>
        <w:rPr>
          <w:rFonts w:hint="eastAsia" w:ascii="宋体" w:hAnsi="宋体" w:cs="宋体"/>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20.2 投标人补充、修改的内容并作为投标文件的组成部分。补充或修改应当按招标文件要求签署、盖章、提交，并应注明“修改</w:t>
      </w:r>
      <w:r>
        <w:rPr>
          <w:rFonts w:ascii="宋体" w:hAnsi="宋体" w:cs="宋体"/>
          <w:kern w:val="0"/>
          <w:sz w:val="24"/>
          <w:szCs w:val="24"/>
        </w:rPr>
        <w:t>”</w:t>
      </w:r>
      <w:r>
        <w:rPr>
          <w:rFonts w:hint="eastAsia" w:ascii="宋体" w:hAnsi="宋体" w:cs="宋体"/>
          <w:kern w:val="0"/>
          <w:sz w:val="24"/>
          <w:szCs w:val="24"/>
        </w:rPr>
        <w:t>或“补充</w:t>
      </w:r>
      <w:r>
        <w:rPr>
          <w:rFonts w:ascii="宋体" w:hAnsi="宋体" w:cs="宋体"/>
          <w:kern w:val="0"/>
          <w:sz w:val="24"/>
          <w:szCs w:val="24"/>
        </w:rPr>
        <w:t>”</w:t>
      </w:r>
      <w:r>
        <w:rPr>
          <w:rFonts w:hint="eastAsia" w:ascii="宋体" w:hAnsi="宋体" w:cs="宋体"/>
          <w:kern w:val="0"/>
          <w:sz w:val="24"/>
          <w:szCs w:val="24"/>
        </w:rPr>
        <w:t>字样。</w:t>
      </w:r>
    </w:p>
    <w:p>
      <w:pPr>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21.除供应商须知前附表另有规定外，供应商所提交的电子响应文件不予退还。</w:t>
      </w:r>
    </w:p>
    <w:p>
      <w:pPr>
        <w:autoSpaceDE w:val="0"/>
        <w:autoSpaceDN w:val="0"/>
        <w:spacing w:line="360" w:lineRule="auto"/>
        <w:contextualSpacing/>
        <w:rPr>
          <w:rFonts w:ascii="宋体" w:hAnsi="宋体" w:cs="宋体"/>
          <w:kern w:val="0"/>
          <w:sz w:val="24"/>
          <w:szCs w:val="24"/>
        </w:rPr>
      </w:pPr>
    </w:p>
    <w:p>
      <w:pPr>
        <w:pStyle w:val="31"/>
        <w:numPr>
          <w:ilvl w:val="3"/>
          <w:numId w:val="10"/>
        </w:numPr>
        <w:tabs>
          <w:tab w:val="left" w:pos="1260"/>
        </w:tabs>
        <w:autoSpaceDE w:val="0"/>
        <w:autoSpaceDN w:val="0"/>
        <w:spacing w:line="360" w:lineRule="auto"/>
        <w:ind w:firstLineChars="0"/>
        <w:contextualSpacing/>
        <w:jc w:val="center"/>
        <w:rPr>
          <w:rFonts w:ascii="宋体" w:hAnsi="宋体" w:cs="宋体"/>
          <w:b/>
          <w:kern w:val="0"/>
          <w:sz w:val="28"/>
          <w:szCs w:val="28"/>
        </w:rPr>
      </w:pPr>
      <w:r>
        <w:rPr>
          <w:rFonts w:hint="eastAsia" w:ascii="宋体" w:hAnsi="宋体" w:cs="宋体"/>
          <w:b/>
          <w:kern w:val="0"/>
          <w:sz w:val="28"/>
          <w:szCs w:val="28"/>
        </w:rPr>
        <w:t>开标和评审</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22.开标</w:t>
      </w:r>
    </w:p>
    <w:p>
      <w:pPr>
        <w:pStyle w:val="3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22.1 招标人将按招标文件规定的时间和地点组织远程不见面开标。开标由代理机构主持，投标人无须到现场。评标委员会成员不得参加开标活动。</w:t>
      </w:r>
    </w:p>
    <w:p>
      <w:pPr>
        <w:pStyle w:val="3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22.2 招标人应当对开标、评标现场活动进行全程录音录像。录音录像应当清晰可辨，音像资料作为采购文件一并存档。</w:t>
      </w:r>
    </w:p>
    <w:p>
      <w:pPr>
        <w:pStyle w:val="3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22.3 开标时，由代理机构开通远程不见面开标大厅及开启“文字互动”等功能；投标人、代理机构进行电子投标文件的解密。解密后</w:t>
      </w:r>
      <w:r>
        <w:rPr>
          <w:rFonts w:hint="eastAsia" w:ascii="宋体" w:hAnsi="宋体"/>
          <w:sz w:val="24"/>
          <w:szCs w:val="24"/>
        </w:rPr>
        <w:t>投标人选择功能栏“开标记录”按钮可查看</w:t>
      </w:r>
      <w:r>
        <w:rPr>
          <w:rFonts w:hint="eastAsia" w:ascii="宋体" w:hAnsi="宋体" w:cs="宋体"/>
          <w:kern w:val="0"/>
          <w:sz w:val="24"/>
          <w:szCs w:val="24"/>
        </w:rPr>
        <w:t>投标人名称、投标价格、修改和撤回投标的通知（如有的话）和招标文件规定的需要宣布的其他内容。</w:t>
      </w:r>
    </w:p>
    <w:p>
      <w:pPr>
        <w:pStyle w:val="3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22.3.1 电子投标文件的解密。全流程电子化交易项目电子投标文件采用双重加密。解密需分标段进行两次解密。</w:t>
      </w:r>
    </w:p>
    <w:p>
      <w:pPr>
        <w:pStyle w:val="3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22.3.1.1 投标人解密：投标人使用本单位CA数字证书远程进行解密。</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22.3.1.2 代理机构解密：代理机构</w:t>
      </w:r>
      <w:r>
        <w:rPr>
          <w:rFonts w:ascii="宋体" w:hAnsi="宋体" w:cs="宋体"/>
          <w:kern w:val="0"/>
          <w:sz w:val="24"/>
          <w:szCs w:val="24"/>
        </w:rPr>
        <w:t>按</w:t>
      </w:r>
      <w:r>
        <w:rPr>
          <w:rFonts w:hint="eastAsia" w:ascii="宋体" w:hAnsi="宋体" w:cs="宋体"/>
          <w:kern w:val="0"/>
          <w:sz w:val="24"/>
          <w:szCs w:val="24"/>
        </w:rPr>
        <w:t>电子</w:t>
      </w:r>
      <w:r>
        <w:rPr>
          <w:rFonts w:ascii="宋体" w:hAnsi="宋体" w:cs="宋体"/>
          <w:kern w:val="0"/>
          <w:sz w:val="24"/>
          <w:szCs w:val="24"/>
        </w:rPr>
        <w:t>投标</w:t>
      </w:r>
      <w:r>
        <w:rPr>
          <w:rFonts w:hint="eastAsia" w:ascii="宋体" w:hAnsi="宋体" w:cs="宋体"/>
          <w:kern w:val="0"/>
          <w:sz w:val="24"/>
          <w:szCs w:val="24"/>
        </w:rPr>
        <w:t>文件到达交易系统</w:t>
      </w:r>
      <w:r>
        <w:rPr>
          <w:rFonts w:ascii="宋体" w:hAnsi="宋体" w:cs="宋体"/>
          <w:kern w:val="0"/>
          <w:sz w:val="24"/>
          <w:szCs w:val="24"/>
        </w:rPr>
        <w:t>的先后顺序</w:t>
      </w:r>
      <w:r>
        <w:rPr>
          <w:rFonts w:hint="eastAsia" w:ascii="宋体" w:hAnsi="宋体" w:cs="宋体"/>
          <w:kern w:val="0"/>
          <w:sz w:val="24"/>
          <w:szCs w:val="24"/>
        </w:rPr>
        <w:t>，使用本单位CA数字证书进行再次解密。</w:t>
      </w:r>
    </w:p>
    <w:p>
      <w:pPr>
        <w:pStyle w:val="3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22.3.1.3 因投标人原因电子投标文件解密失败的，其投标将被拒绝。</w:t>
      </w:r>
    </w:p>
    <w:p>
      <w:pPr>
        <w:pStyle w:val="3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22.3.2 投标人不足3家的，不得开标。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22.3.3 开标过程由采购代理机构负责记录，</w:t>
      </w:r>
      <w:r>
        <w:rPr>
          <w:rFonts w:hint="eastAsia" w:hAnsi="宋体"/>
          <w:sz w:val="24"/>
          <w:szCs w:val="24"/>
        </w:rPr>
        <w:t>《开标记录表》经投标人进行电子签章、</w:t>
      </w:r>
      <w:r>
        <w:rPr>
          <w:rFonts w:hint="eastAsia" w:ascii="宋体" w:hAnsi="宋体" w:cs="宋体"/>
          <w:kern w:val="0"/>
          <w:sz w:val="24"/>
          <w:szCs w:val="24"/>
        </w:rPr>
        <w:t>由参加开标相关工作人员签字确认后随采购文件一并存档。</w:t>
      </w:r>
      <w:r>
        <w:rPr>
          <w:rFonts w:hint="eastAsia" w:hAnsi="宋体"/>
          <w:sz w:val="24"/>
          <w:szCs w:val="24"/>
        </w:rPr>
        <w:t>投标人未电子签章的，视同认可开标结果。</w:t>
      </w:r>
    </w:p>
    <w:p>
      <w:pPr>
        <w:pStyle w:val="3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3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22.3.5 项目远程不见面开标活动结束时，投标人应在《开标记录表》上进行电子签章。投标人未签章的，视同认可开标结果。</w:t>
      </w:r>
    </w:p>
    <w:p>
      <w:pPr>
        <w:pStyle w:val="31"/>
        <w:numPr>
          <w:ilvl w:val="0"/>
          <w:numId w:val="1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询价小组组成</w:t>
      </w:r>
    </w:p>
    <w:p>
      <w:pPr>
        <w:widowControl w:val="0"/>
        <w:wordWrap/>
        <w:autoSpaceDE w:val="0"/>
        <w:autoSpaceDN w:val="0"/>
        <w:adjustRightInd/>
        <w:snapToGrid/>
        <w:spacing w:before="0" w:after="0" w:line="360" w:lineRule="auto"/>
        <w:ind w:right="0" w:firstLine="480" w:firstLineChars="200"/>
        <w:contextualSpacing/>
        <w:textAlignment w:val="auto"/>
        <w:outlineLvl w:val="9"/>
        <w:rPr>
          <w:rFonts w:ascii="宋体" w:hAnsi="宋体" w:cs="宋体"/>
          <w:kern w:val="0"/>
          <w:sz w:val="24"/>
          <w:szCs w:val="24"/>
        </w:rPr>
      </w:pPr>
      <w:r>
        <w:rPr>
          <w:rFonts w:hint="eastAsia" w:ascii="宋体" w:hAnsi="宋体" w:cs="宋体"/>
          <w:kern w:val="0"/>
          <w:sz w:val="24"/>
          <w:szCs w:val="24"/>
        </w:rPr>
        <w:t>23.1  采购人将依法组建询价小组，询价小组</w:t>
      </w:r>
      <w:r>
        <w:rPr>
          <w:rFonts w:ascii="ˎ̥" w:hAnsi="ˎ̥"/>
          <w:sz w:val="24"/>
          <w:szCs w:val="24"/>
        </w:rPr>
        <w:t>由采购人代表和评审专家共3人以上单数组成，其中评审专家人数不得少于询价小组成员总数</w:t>
      </w:r>
      <w:r>
        <w:rPr>
          <w:rFonts w:hint="eastAsia" w:ascii="宋体" w:hAnsi="宋体" w:cs="宋体"/>
          <w:kern w:val="0"/>
          <w:sz w:val="24"/>
          <w:szCs w:val="24"/>
        </w:rPr>
        <w:t>的三分之二。评审专家依法从政府采购评审专家库中随机抽取。</w:t>
      </w:r>
    </w:p>
    <w:p>
      <w:pPr>
        <w:widowControl w:val="0"/>
        <w:wordWrap/>
        <w:autoSpaceDE w:val="0"/>
        <w:autoSpaceDN w:val="0"/>
        <w:adjustRightInd/>
        <w:snapToGrid/>
        <w:spacing w:before="0" w:after="0" w:line="360" w:lineRule="auto"/>
        <w:ind w:right="0" w:firstLine="480" w:firstLineChars="200"/>
        <w:contextualSpacing/>
        <w:jc w:val="left"/>
        <w:textAlignment w:val="auto"/>
        <w:outlineLvl w:val="9"/>
        <w:rPr>
          <w:rFonts w:ascii="宋体" w:hAnsi="宋体" w:cs="宋体"/>
          <w:kern w:val="0"/>
          <w:sz w:val="24"/>
          <w:szCs w:val="24"/>
        </w:rPr>
      </w:pPr>
      <w:r>
        <w:rPr>
          <w:rFonts w:hint="eastAsia" w:ascii="宋体" w:hAnsi="宋体" w:cs="宋体"/>
          <w:kern w:val="0"/>
          <w:sz w:val="24"/>
          <w:szCs w:val="24"/>
        </w:rPr>
        <w:t>23.1.1  采购人将依法组建询价小组，询价小组由评审专家组成，成员人数应当为</w:t>
      </w:r>
      <w:r>
        <w:rPr>
          <w:rFonts w:ascii="ˎ̥" w:hAnsi="ˎ̥"/>
          <w:sz w:val="24"/>
          <w:szCs w:val="24"/>
        </w:rPr>
        <w:t>3人以上单数组成</w:t>
      </w:r>
      <w:r>
        <w:rPr>
          <w:rFonts w:hint="eastAsia" w:ascii="宋体" w:hAnsi="宋体" w:cs="宋体"/>
          <w:kern w:val="0"/>
          <w:sz w:val="24"/>
          <w:szCs w:val="24"/>
        </w:rPr>
        <w:t>。评审专家依法从政府采购评审专家库中随机抽取。</w:t>
      </w:r>
    </w:p>
    <w:p>
      <w:pPr>
        <w:widowControl w:val="0"/>
        <w:wordWrap/>
        <w:autoSpaceDE w:val="0"/>
        <w:autoSpaceDN w:val="0"/>
        <w:adjustRightInd/>
        <w:snapToGrid/>
        <w:spacing w:before="0" w:after="0" w:line="360" w:lineRule="auto"/>
        <w:ind w:right="0" w:firstLine="480" w:firstLineChars="200"/>
        <w:contextualSpacing/>
        <w:textAlignment w:val="auto"/>
        <w:outlineLvl w:val="9"/>
        <w:rPr>
          <w:rFonts w:ascii="宋体" w:hAnsi="宋体" w:cs="宋体"/>
          <w:kern w:val="0"/>
          <w:sz w:val="24"/>
          <w:szCs w:val="24"/>
        </w:rPr>
      </w:pPr>
      <w:r>
        <w:rPr>
          <w:rFonts w:hint="eastAsia" w:ascii="宋体" w:hAnsi="宋体" w:cs="宋体"/>
          <w:kern w:val="0"/>
          <w:sz w:val="24"/>
          <w:szCs w:val="24"/>
        </w:rPr>
        <w:t xml:space="preserve">23.1.2  </w:t>
      </w:r>
      <w:r>
        <w:rPr>
          <w:rFonts w:ascii="ˎ̥" w:hAnsi="ˎ̥"/>
          <w:sz w:val="24"/>
          <w:szCs w:val="24"/>
        </w:rPr>
        <w:t>达到公开招标数额标准的货物或者服务采购项目，或者达到招标规模标准的政府采购工程，询价小组应当由5人以上单数组成</w:t>
      </w:r>
      <w:r>
        <w:rPr>
          <w:rFonts w:hint="eastAsia" w:ascii="ˎ̥" w:hAnsi="ˎ̥"/>
          <w:sz w:val="24"/>
          <w:szCs w:val="24"/>
        </w:rPr>
        <w:t>。</w:t>
      </w:r>
    </w:p>
    <w:p>
      <w:pPr>
        <w:pStyle w:val="31"/>
        <w:widowControl w:val="0"/>
        <w:numPr>
          <w:ilvl w:val="1"/>
          <w:numId w:val="15"/>
        </w:numPr>
        <w:wordWrap/>
        <w:autoSpaceDE w:val="0"/>
        <w:autoSpaceDN w:val="0"/>
        <w:adjustRightInd/>
        <w:snapToGrid/>
        <w:spacing w:before="0" w:after="0" w:line="360" w:lineRule="auto"/>
        <w:ind w:right="0" w:firstLine="480" w:firstLineChars="200"/>
        <w:contextualSpacing/>
        <w:textAlignment w:val="auto"/>
        <w:outlineLvl w:val="9"/>
        <w:rPr>
          <w:rFonts w:hint="eastAsia" w:ascii="ˎ̥" w:hAnsi="ˎ̥"/>
          <w:vanish/>
          <w:sz w:val="24"/>
          <w:szCs w:val="24"/>
        </w:rPr>
      </w:pPr>
    </w:p>
    <w:p>
      <w:pPr>
        <w:widowControl w:val="0"/>
        <w:wordWrap/>
        <w:autoSpaceDE w:val="0"/>
        <w:autoSpaceDN w:val="0"/>
        <w:adjustRightInd/>
        <w:snapToGrid/>
        <w:spacing w:before="0" w:after="0" w:line="360" w:lineRule="auto"/>
        <w:ind w:right="0" w:firstLine="480" w:firstLineChars="200"/>
        <w:contextualSpacing/>
        <w:textAlignment w:val="auto"/>
        <w:outlineLvl w:val="9"/>
        <w:rPr>
          <w:rFonts w:ascii="宋体" w:hAnsi="宋体" w:cs="宋体"/>
          <w:kern w:val="0"/>
          <w:sz w:val="24"/>
          <w:szCs w:val="24"/>
        </w:rPr>
      </w:pPr>
      <w:r>
        <w:rPr>
          <w:rFonts w:hint="eastAsia" w:ascii="ˎ̥" w:hAnsi="ˎ̥"/>
          <w:sz w:val="24"/>
          <w:szCs w:val="24"/>
        </w:rPr>
        <w:t xml:space="preserve">23.2  </w:t>
      </w:r>
      <w:r>
        <w:rPr>
          <w:rFonts w:ascii="ˎ̥" w:hAnsi="ˎ̥"/>
          <w:sz w:val="24"/>
          <w:szCs w:val="24"/>
        </w:rPr>
        <w:t>采购人不得以评审专家身份参加本部门或本单位采购项目的评审</w:t>
      </w:r>
      <w:r>
        <w:rPr>
          <w:rFonts w:hint="eastAsia" w:ascii="宋体" w:hAnsi="宋体" w:cs="宋体"/>
          <w:kern w:val="0"/>
          <w:sz w:val="24"/>
          <w:szCs w:val="24"/>
        </w:rPr>
        <w:t>。</w:t>
      </w:r>
    </w:p>
    <w:p>
      <w:pPr>
        <w:widowControl w:val="0"/>
        <w:wordWrap/>
        <w:autoSpaceDE w:val="0"/>
        <w:autoSpaceDN w:val="0"/>
        <w:adjustRightInd/>
        <w:snapToGrid/>
        <w:spacing w:before="0" w:after="0" w:line="360" w:lineRule="auto"/>
        <w:ind w:right="0" w:firstLine="480" w:firstLineChars="200"/>
        <w:contextualSpacing/>
        <w:textAlignment w:val="auto"/>
        <w:outlineLvl w:val="9"/>
        <w:rPr>
          <w:rFonts w:ascii="宋体" w:hAnsi="宋体" w:cs="宋体"/>
          <w:kern w:val="0"/>
          <w:sz w:val="24"/>
          <w:szCs w:val="24"/>
        </w:rPr>
      </w:pPr>
      <w:r>
        <w:rPr>
          <w:rFonts w:hint="eastAsia" w:ascii="宋体" w:hAnsi="宋体" w:cs="宋体"/>
          <w:kern w:val="0"/>
          <w:sz w:val="24"/>
          <w:szCs w:val="24"/>
        </w:rPr>
        <w:t>23.3  询价小组成员与供应商存在下列利害关系之一的,应当回避:</w:t>
      </w:r>
    </w:p>
    <w:p>
      <w:pPr>
        <w:widowControl w:val="0"/>
        <w:wordWrap/>
        <w:autoSpaceDE w:val="0"/>
        <w:autoSpaceDN w:val="0"/>
        <w:adjustRightInd/>
        <w:snapToGrid/>
        <w:spacing w:before="0" w:after="0" w:line="360" w:lineRule="auto"/>
        <w:ind w:right="0" w:firstLine="480" w:firstLineChars="200"/>
        <w:contextualSpacing/>
        <w:textAlignment w:val="auto"/>
        <w:outlineLvl w:val="9"/>
        <w:rPr>
          <w:rFonts w:hint="eastAsia" w:ascii="ˎ̥" w:hAnsi="ˎ̥"/>
          <w:sz w:val="24"/>
          <w:szCs w:val="24"/>
        </w:rPr>
      </w:pPr>
      <w:r>
        <w:rPr>
          <w:rFonts w:hint="eastAsia" w:ascii="宋体" w:hAnsi="宋体" w:cs="宋体"/>
          <w:kern w:val="0"/>
          <w:sz w:val="24"/>
          <w:szCs w:val="24"/>
        </w:rPr>
        <w:t xml:space="preserve">23.3.1  </w:t>
      </w:r>
      <w:r>
        <w:rPr>
          <w:rFonts w:hint="eastAsia" w:ascii="ˎ̥" w:hAnsi="ˎ̥"/>
          <w:sz w:val="24"/>
          <w:szCs w:val="24"/>
        </w:rPr>
        <w:t>参加采购活动前三年内,与供应商存在劳动关系,或者担任过供应商的董事、监事,或者是供应商的控股股东或实际控制人；</w:t>
      </w:r>
    </w:p>
    <w:p>
      <w:pPr>
        <w:widowControl w:val="0"/>
        <w:wordWrap/>
        <w:autoSpaceDE w:val="0"/>
        <w:autoSpaceDN w:val="0"/>
        <w:adjustRightInd/>
        <w:snapToGrid/>
        <w:spacing w:before="0" w:after="0" w:line="360" w:lineRule="auto"/>
        <w:ind w:right="0" w:firstLine="480" w:firstLineChars="200"/>
        <w:contextualSpacing/>
        <w:textAlignment w:val="auto"/>
        <w:outlineLvl w:val="9"/>
        <w:rPr>
          <w:rFonts w:hint="eastAsia" w:ascii="ˎ̥" w:hAnsi="ˎ̥"/>
          <w:sz w:val="24"/>
          <w:szCs w:val="24"/>
        </w:rPr>
      </w:pPr>
      <w:r>
        <w:rPr>
          <w:rFonts w:hint="eastAsia" w:ascii="宋体" w:hAnsi="宋体" w:cs="宋体"/>
          <w:kern w:val="0"/>
          <w:sz w:val="24"/>
          <w:szCs w:val="24"/>
        </w:rPr>
        <w:t xml:space="preserve">23.3.2  </w:t>
      </w:r>
      <w:r>
        <w:rPr>
          <w:rFonts w:hint="eastAsia" w:ascii="ˎ̥" w:hAnsi="ˎ̥"/>
          <w:sz w:val="24"/>
          <w:szCs w:val="24"/>
        </w:rPr>
        <w:t>与供应商的法定代表人或者负责人有夫妻、直系血亲、三代以内旁系血亲或者近姻亲关系；</w:t>
      </w:r>
    </w:p>
    <w:p>
      <w:pPr>
        <w:widowControl w:val="0"/>
        <w:wordWrap/>
        <w:autoSpaceDE w:val="0"/>
        <w:autoSpaceDN w:val="0"/>
        <w:adjustRightInd/>
        <w:snapToGrid/>
        <w:spacing w:before="0" w:after="0" w:line="360" w:lineRule="auto"/>
        <w:ind w:right="0" w:firstLine="480" w:firstLineChars="200"/>
        <w:contextualSpacing/>
        <w:textAlignment w:val="auto"/>
        <w:outlineLvl w:val="9"/>
        <w:rPr>
          <w:rFonts w:hint="eastAsia" w:ascii="ˎ̥" w:hAnsi="ˎ̥"/>
          <w:sz w:val="24"/>
          <w:szCs w:val="24"/>
        </w:rPr>
      </w:pPr>
      <w:r>
        <w:rPr>
          <w:rFonts w:hint="eastAsia" w:ascii="宋体" w:hAnsi="宋体" w:cs="宋体"/>
          <w:kern w:val="0"/>
          <w:sz w:val="24"/>
          <w:szCs w:val="24"/>
        </w:rPr>
        <w:t xml:space="preserve">23.3.3 </w:t>
      </w:r>
      <w:r>
        <w:rPr>
          <w:rFonts w:hint="eastAsia" w:ascii="ˎ̥" w:hAnsi="ˎ̥"/>
          <w:sz w:val="24"/>
          <w:szCs w:val="24"/>
        </w:rPr>
        <w:t>与供应商有其他可能影响政府采购活动公平、公正进行的关系。</w:t>
      </w:r>
    </w:p>
    <w:p>
      <w:pPr>
        <w:widowControl w:val="0"/>
        <w:wordWrap/>
        <w:autoSpaceDE w:val="0"/>
        <w:autoSpaceDN w:val="0"/>
        <w:adjustRightInd/>
        <w:snapToGrid/>
        <w:spacing w:before="0" w:after="0" w:line="360" w:lineRule="auto"/>
        <w:ind w:right="0" w:firstLine="480" w:firstLineChars="200"/>
        <w:contextualSpacing/>
        <w:textAlignment w:val="auto"/>
        <w:outlineLvl w:val="9"/>
        <w:rPr>
          <w:rFonts w:ascii="宋体" w:hAnsi="宋体" w:cs="宋体"/>
          <w:kern w:val="0"/>
          <w:sz w:val="24"/>
          <w:szCs w:val="24"/>
        </w:rPr>
      </w:pPr>
      <w:r>
        <w:rPr>
          <w:rFonts w:hint="eastAsia" w:ascii="宋体" w:hAnsi="宋体" w:cs="宋体"/>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widowControl w:val="0"/>
        <w:wordWrap/>
        <w:autoSpaceDE w:val="0"/>
        <w:autoSpaceDN w:val="0"/>
        <w:adjustRightInd/>
        <w:snapToGrid/>
        <w:spacing w:before="0" w:after="0" w:line="360" w:lineRule="auto"/>
        <w:ind w:right="0" w:firstLine="480" w:firstLineChars="200"/>
        <w:contextualSpacing/>
        <w:textAlignment w:val="auto"/>
        <w:outlineLvl w:val="9"/>
        <w:rPr>
          <w:rFonts w:ascii="宋体" w:hAnsi="宋体" w:cs="宋体"/>
          <w:kern w:val="0"/>
          <w:sz w:val="24"/>
          <w:szCs w:val="24"/>
        </w:rPr>
      </w:pPr>
      <w:r>
        <w:rPr>
          <w:rFonts w:hint="eastAsia" w:ascii="宋体" w:hAnsi="宋体" w:cs="宋体"/>
          <w:kern w:val="0"/>
          <w:sz w:val="24"/>
          <w:szCs w:val="24"/>
        </w:rPr>
        <w:t>23.5  采购人不得担任询价小组组长。</w:t>
      </w:r>
    </w:p>
    <w:p>
      <w:pPr>
        <w:widowControl w:val="0"/>
        <w:wordWrap/>
        <w:autoSpaceDE w:val="0"/>
        <w:autoSpaceDN w:val="0"/>
        <w:adjustRightInd/>
        <w:snapToGrid/>
        <w:spacing w:before="0" w:after="0" w:line="360" w:lineRule="auto"/>
        <w:ind w:right="0" w:firstLine="480" w:firstLineChars="200"/>
        <w:contextualSpacing/>
        <w:textAlignment w:val="auto"/>
        <w:outlineLvl w:val="9"/>
        <w:rPr>
          <w:rFonts w:ascii="宋体" w:hAnsi="宋体" w:cs="宋体"/>
          <w:kern w:val="0"/>
          <w:sz w:val="24"/>
          <w:szCs w:val="24"/>
        </w:rPr>
      </w:pPr>
      <w:r>
        <w:rPr>
          <w:rFonts w:hint="eastAsia" w:ascii="宋体" w:hAnsi="宋体" w:cs="宋体"/>
          <w:kern w:val="0"/>
          <w:sz w:val="24"/>
          <w:szCs w:val="24"/>
        </w:rPr>
        <w:t>23.6  询价小组成员名单在成交结果公告前应当保密。</w:t>
      </w:r>
    </w:p>
    <w:p>
      <w:pPr>
        <w:pStyle w:val="31"/>
        <w:numPr>
          <w:ilvl w:val="0"/>
          <w:numId w:val="16"/>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资格审查和符合性审查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ascii="宋体" w:hAnsi="宋体" w:cs="宋体"/>
          <w:kern w:val="0"/>
          <w:sz w:val="24"/>
          <w:szCs w:val="24"/>
        </w:rPr>
      </w:pPr>
      <w:r>
        <w:rPr>
          <w:rFonts w:hint="eastAsia" w:ascii="宋体" w:hAnsi="宋体" w:cs="宋体"/>
          <w:b/>
          <w:kern w:val="0"/>
          <w:sz w:val="24"/>
          <w:szCs w:val="24"/>
        </w:rPr>
        <w:t>本项目具体资格审查详见（第六章 资格审查与评审）</w:t>
      </w:r>
      <w:r>
        <w:rPr>
          <w:rFonts w:hint="eastAsia" w:ascii="宋体" w:hAnsi="宋体" w:cs="宋体"/>
          <w:kern w:val="0"/>
          <w:sz w:val="24"/>
          <w:szCs w:val="24"/>
        </w:rPr>
        <w:t>。</w:t>
      </w:r>
    </w:p>
    <w:p>
      <w:pPr>
        <w:pStyle w:val="31"/>
        <w:numPr>
          <w:ilvl w:val="0"/>
          <w:numId w:val="17"/>
        </w:numPr>
        <w:autoSpaceDE w:val="0"/>
        <w:autoSpaceDN w:val="0"/>
        <w:spacing w:line="360" w:lineRule="auto"/>
        <w:ind w:firstLineChars="0"/>
        <w:contextualSpacing/>
        <w:rPr>
          <w:rFonts w:ascii="宋体" w:hAnsi="宋体" w:cs="宋体"/>
          <w:vanish/>
          <w:kern w:val="0"/>
          <w:sz w:val="24"/>
          <w:szCs w:val="24"/>
        </w:rPr>
      </w:pPr>
    </w:p>
    <w:p>
      <w:pPr>
        <w:pStyle w:val="31"/>
        <w:numPr>
          <w:ilvl w:val="0"/>
          <w:numId w:val="17"/>
        </w:numPr>
        <w:autoSpaceDE w:val="0"/>
        <w:autoSpaceDN w:val="0"/>
        <w:spacing w:line="360" w:lineRule="auto"/>
        <w:ind w:firstLineChars="0"/>
        <w:contextualSpacing/>
        <w:rPr>
          <w:rFonts w:ascii="宋体" w:hAnsi="宋体" w:cs="宋体"/>
          <w:vanish/>
          <w:kern w:val="0"/>
          <w:sz w:val="24"/>
          <w:szCs w:val="24"/>
        </w:rPr>
      </w:pPr>
    </w:p>
    <w:p>
      <w:pPr>
        <w:pStyle w:val="31"/>
        <w:autoSpaceDE w:val="0"/>
        <w:autoSpaceDN w:val="0"/>
        <w:spacing w:line="360" w:lineRule="auto"/>
        <w:ind w:left="0" w:leftChars="0" w:firstLine="0" w:firstLineChars="0"/>
        <w:contextualSpacing/>
        <w:rPr>
          <w:rFonts w:ascii="宋体" w:hAnsi="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25  响应文件的澄清</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25.1</w:t>
      </w:r>
      <w:r>
        <w:rPr>
          <w:rFonts w:hint="eastAsia" w:ascii="ˎ̥" w:hAnsi="ˎ̥"/>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31"/>
        <w:numPr>
          <w:ilvl w:val="1"/>
          <w:numId w:val="18"/>
        </w:numPr>
        <w:autoSpaceDE w:val="0"/>
        <w:autoSpaceDN w:val="0"/>
        <w:spacing w:line="360" w:lineRule="auto"/>
        <w:ind w:firstLine="48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ascii="宋体" w:hAnsi="宋体" w:cs="宋体"/>
          <w:kern w:val="0"/>
          <w:sz w:val="24"/>
          <w:szCs w:val="24"/>
        </w:rPr>
        <w:t>投标文件的范围或者改变投标文件的实质性内容。</w:t>
      </w:r>
    </w:p>
    <w:p>
      <w:pPr>
        <w:pStyle w:val="31"/>
        <w:autoSpaceDE w:val="0"/>
        <w:autoSpaceDN w:val="0"/>
        <w:spacing w:line="360" w:lineRule="auto"/>
        <w:ind w:left="480" w:firstLine="0" w:firstLineChars="0"/>
        <w:contextualSpacing/>
        <w:rPr>
          <w:rFonts w:ascii="宋体" w:hAnsi="宋体" w:cs="宋体"/>
          <w:kern w:val="0"/>
          <w:sz w:val="24"/>
          <w:szCs w:val="24"/>
        </w:rPr>
      </w:pPr>
      <w:r>
        <w:rPr>
          <w:rFonts w:hint="eastAsia" w:ascii="宋体" w:hAnsi="宋体" w:cs="宋体"/>
          <w:kern w:val="0"/>
          <w:sz w:val="24"/>
          <w:szCs w:val="24"/>
        </w:rPr>
        <w:t>25.3 供应商的澄清文件是其响应文件的组成部分。</w:t>
      </w:r>
    </w:p>
    <w:p>
      <w:pPr>
        <w:pStyle w:val="31"/>
        <w:numPr>
          <w:ilvl w:val="0"/>
          <w:numId w:val="18"/>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响应文件报价出现前后不一致的修正</w:t>
      </w:r>
    </w:p>
    <w:p>
      <w:pPr>
        <w:pStyle w:val="31"/>
        <w:widowControl w:val="0"/>
        <w:numPr>
          <w:ilvl w:val="1"/>
          <w:numId w:val="18"/>
        </w:numPr>
        <w:wordWrap/>
        <w:autoSpaceDE w:val="0"/>
        <w:autoSpaceDN w:val="0"/>
        <w:adjustRightInd/>
        <w:snapToGrid/>
        <w:spacing w:before="0" w:after="0" w:line="360" w:lineRule="auto"/>
        <w:ind w:left="0" w:leftChars="0" w:right="0" w:firstLine="406" w:firstLineChars="0"/>
        <w:contextualSpacing/>
        <w:jc w:val="both"/>
        <w:textAlignment w:val="auto"/>
        <w:outlineLvl w:val="9"/>
        <w:rPr>
          <w:rFonts w:ascii="宋体" w:hAnsi="宋体" w:cs="宋体"/>
          <w:kern w:val="0"/>
          <w:sz w:val="24"/>
          <w:szCs w:val="24"/>
        </w:rPr>
      </w:pPr>
      <w:r>
        <w:rPr>
          <w:rFonts w:hint="eastAsia" w:ascii="宋体" w:hAnsi="宋体" w:cs="宋体"/>
          <w:kern w:val="0"/>
          <w:sz w:val="24"/>
          <w:szCs w:val="24"/>
        </w:rPr>
        <w:t>大写金额和小写金额不一致的，以大写金额为准；</w:t>
      </w:r>
    </w:p>
    <w:p>
      <w:pPr>
        <w:pStyle w:val="31"/>
        <w:widowControl w:val="0"/>
        <w:numPr>
          <w:ilvl w:val="1"/>
          <w:numId w:val="18"/>
        </w:numPr>
        <w:wordWrap/>
        <w:autoSpaceDE w:val="0"/>
        <w:autoSpaceDN w:val="0"/>
        <w:adjustRightInd/>
        <w:snapToGrid/>
        <w:spacing w:before="0" w:after="0" w:line="360" w:lineRule="auto"/>
        <w:ind w:left="0" w:leftChars="0" w:right="0" w:firstLine="406" w:firstLineChars="0"/>
        <w:contextualSpacing/>
        <w:jc w:val="both"/>
        <w:textAlignment w:val="auto"/>
        <w:outlineLvl w:val="9"/>
        <w:rPr>
          <w:rFonts w:ascii="宋体" w:hAnsi="宋体" w:cs="宋体"/>
          <w:kern w:val="0"/>
          <w:sz w:val="24"/>
          <w:szCs w:val="24"/>
        </w:rPr>
      </w:pPr>
      <w:r>
        <w:rPr>
          <w:rFonts w:hint="eastAsia" w:ascii="宋体" w:hAnsi="宋体" w:cs="宋体"/>
          <w:kern w:val="0"/>
          <w:sz w:val="24"/>
          <w:szCs w:val="24"/>
        </w:rPr>
        <w:t>单价金额小数点或者百分比有明显错位的，以开标一览表的总价为准，并修改单价；</w:t>
      </w:r>
    </w:p>
    <w:p>
      <w:pPr>
        <w:pStyle w:val="31"/>
        <w:widowControl w:val="0"/>
        <w:numPr>
          <w:ilvl w:val="1"/>
          <w:numId w:val="18"/>
        </w:numPr>
        <w:wordWrap/>
        <w:autoSpaceDE w:val="0"/>
        <w:autoSpaceDN w:val="0"/>
        <w:adjustRightInd/>
        <w:snapToGrid/>
        <w:spacing w:before="0" w:after="0" w:line="360" w:lineRule="auto"/>
        <w:ind w:left="446" w:leftChars="0" w:right="0" w:hanging="446" w:firstLineChars="0"/>
        <w:contextualSpacing/>
        <w:jc w:val="both"/>
        <w:textAlignment w:val="auto"/>
        <w:outlineLvl w:val="9"/>
        <w:rPr>
          <w:rFonts w:ascii="宋体" w:hAnsi="宋体" w:cs="宋体"/>
          <w:kern w:val="0"/>
          <w:sz w:val="24"/>
          <w:szCs w:val="24"/>
        </w:rPr>
      </w:pPr>
      <w:r>
        <w:rPr>
          <w:rFonts w:hint="eastAsia" w:ascii="宋体" w:hAnsi="宋体" w:cs="宋体"/>
          <w:kern w:val="0"/>
          <w:sz w:val="24"/>
          <w:szCs w:val="24"/>
        </w:rPr>
        <w:t>总价金额与按单价汇总金额不一致的，以单价金额计算结果为准。同时出现两种以上不一致的，按照前款规定的顺序修正。修正后的报价按照“供应商须知</w:t>
      </w:r>
    </w:p>
    <w:p>
      <w:pPr>
        <w:pStyle w:val="31"/>
        <w:widowControl w:val="0"/>
        <w:numPr>
          <w:ilvl w:val="1"/>
          <w:numId w:val="18"/>
        </w:numPr>
        <w:wordWrap/>
        <w:autoSpaceDE w:val="0"/>
        <w:autoSpaceDN w:val="0"/>
        <w:adjustRightInd/>
        <w:snapToGrid/>
        <w:spacing w:before="0" w:after="0" w:line="360" w:lineRule="auto"/>
        <w:ind w:left="446" w:leftChars="0" w:right="0" w:hanging="446" w:firstLineChars="0"/>
        <w:contextualSpacing/>
        <w:jc w:val="both"/>
        <w:textAlignment w:val="auto"/>
        <w:outlineLvl w:val="9"/>
        <w:rPr>
          <w:rFonts w:ascii="宋体" w:hAnsi="宋体" w:cs="宋体"/>
          <w:kern w:val="0"/>
          <w:sz w:val="24"/>
          <w:szCs w:val="24"/>
        </w:rPr>
      </w:pPr>
      <w:r>
        <w:rPr>
          <w:rFonts w:hint="eastAsia" w:ascii="宋体" w:hAnsi="宋体" w:cs="宋体"/>
          <w:kern w:val="0"/>
          <w:sz w:val="24"/>
          <w:szCs w:val="24"/>
        </w:rPr>
        <w:t>规定经供应商确认后产生约束力，供应商不确认的，为无效报价。</w:t>
      </w:r>
    </w:p>
    <w:p>
      <w:pPr>
        <w:pStyle w:val="31"/>
        <w:numPr>
          <w:ilvl w:val="0"/>
          <w:numId w:val="18"/>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.响应无效情形</w:t>
      </w:r>
    </w:p>
    <w:p>
      <w:pPr>
        <w:pStyle w:val="31"/>
        <w:numPr>
          <w:ilvl w:val="1"/>
          <w:numId w:val="18"/>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响应文件属下列情况之一的，按照无效响应处理：</w:t>
      </w: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numPr>
          <w:ilvl w:val="0"/>
          <w:numId w:val="19"/>
        </w:numPr>
        <w:autoSpaceDE w:val="0"/>
        <w:autoSpaceDN w:val="0"/>
        <w:spacing w:line="360" w:lineRule="auto"/>
        <w:ind w:firstLine="0" w:firstLineChars="0"/>
        <w:contextualSpacing/>
        <w:rPr>
          <w:rFonts w:ascii="宋体" w:hAnsi="宋体" w:cs="宋体"/>
          <w:vanish/>
          <w:kern w:val="0"/>
          <w:sz w:val="24"/>
          <w:szCs w:val="24"/>
        </w:rPr>
      </w:pPr>
    </w:p>
    <w:p>
      <w:pPr>
        <w:pStyle w:val="3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cs="宋体"/>
          <w:kern w:val="0"/>
          <w:sz w:val="24"/>
          <w:szCs w:val="24"/>
        </w:rPr>
        <w:t>27.1.1 未按照询价文件的规定提交投标承诺函的；</w:t>
      </w:r>
    </w:p>
    <w:p>
      <w:pPr>
        <w:pStyle w:val="3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cs="宋体"/>
          <w:kern w:val="0"/>
          <w:sz w:val="24"/>
          <w:szCs w:val="24"/>
        </w:rPr>
        <w:t>27.1.2 响应文件未按招标文件要求签署、盖章的；</w:t>
      </w:r>
    </w:p>
    <w:p>
      <w:pPr>
        <w:pStyle w:val="3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cs="宋体"/>
          <w:kern w:val="0"/>
          <w:sz w:val="24"/>
          <w:szCs w:val="24"/>
        </w:rPr>
        <w:t>27.1.3 不具备询价文件中规定的资格要求的；</w:t>
      </w:r>
    </w:p>
    <w:p>
      <w:pPr>
        <w:pStyle w:val="3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cs="宋体"/>
          <w:kern w:val="0"/>
          <w:sz w:val="24"/>
          <w:szCs w:val="24"/>
        </w:rPr>
        <w:t>27.1.4 报价超过询价文件中规定的预算金额的；</w:t>
      </w:r>
    </w:p>
    <w:p>
      <w:pPr>
        <w:pStyle w:val="3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cs="宋体"/>
          <w:kern w:val="0"/>
          <w:sz w:val="24"/>
          <w:szCs w:val="24"/>
        </w:rPr>
        <w:t>27.1.5 响应</w:t>
      </w:r>
      <w:r>
        <w:rPr>
          <w:rFonts w:ascii="宋体" w:hAnsi="宋体" w:cs="宋体"/>
          <w:kern w:val="0"/>
          <w:sz w:val="24"/>
          <w:szCs w:val="24"/>
        </w:rPr>
        <w:t>文件含有采购人不能接受的附加条件的</w:t>
      </w:r>
      <w:r>
        <w:rPr>
          <w:rFonts w:hint="eastAsia" w:ascii="宋体" w:hAnsi="宋体" w:cs="宋体"/>
          <w:kern w:val="0"/>
          <w:sz w:val="24"/>
          <w:szCs w:val="24"/>
        </w:rPr>
        <w:t>。</w:t>
      </w:r>
    </w:p>
    <w:p>
      <w:pPr>
        <w:pStyle w:val="3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cs="宋体"/>
          <w:kern w:val="0"/>
          <w:sz w:val="24"/>
          <w:szCs w:val="24"/>
        </w:rPr>
        <w:t>27.1.6未按招标文件要求缴纳招标文件费用的。</w:t>
      </w:r>
    </w:p>
    <w:p>
      <w:pPr>
        <w:pStyle w:val="31"/>
        <w:numPr>
          <w:ilvl w:val="1"/>
          <w:numId w:val="18"/>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 xml:space="preserve">  有下列情形之一的，视为供应商串通投标，其响应无效：</w:t>
      </w:r>
    </w:p>
    <w:p>
      <w:pPr>
        <w:pStyle w:val="3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cs="宋体"/>
          <w:kern w:val="0"/>
          <w:sz w:val="24"/>
          <w:szCs w:val="24"/>
        </w:rPr>
        <w:t>27.2.1 不同供应商的响应文件由同一单位或者个人编制；</w:t>
      </w:r>
    </w:p>
    <w:p>
      <w:pPr>
        <w:pStyle w:val="3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cs="宋体"/>
          <w:kern w:val="0"/>
          <w:sz w:val="24"/>
          <w:szCs w:val="24"/>
        </w:rPr>
        <w:t>27.2.2 不同供应商委托同一单位或者个人办理响应事宜；</w:t>
      </w:r>
    </w:p>
    <w:p>
      <w:pPr>
        <w:pStyle w:val="3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cs="宋体"/>
          <w:kern w:val="0"/>
          <w:sz w:val="24"/>
          <w:szCs w:val="24"/>
        </w:rPr>
        <w:t>27.2.3 不同供应商的响应文件载明的项目管理成员或者联系人员为同一人；</w:t>
      </w:r>
    </w:p>
    <w:p>
      <w:pPr>
        <w:pStyle w:val="3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cs="宋体"/>
          <w:kern w:val="0"/>
          <w:sz w:val="24"/>
          <w:szCs w:val="24"/>
        </w:rPr>
        <w:t>27.2.4 不同供应商的响应文件异常一致或者响应报价呈规律性差异；</w:t>
      </w:r>
    </w:p>
    <w:p>
      <w:pPr>
        <w:pStyle w:val="3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cs="宋体"/>
          <w:kern w:val="0"/>
          <w:sz w:val="24"/>
          <w:szCs w:val="24"/>
        </w:rPr>
        <w:t>27.2.5 不同供应商的响应文件相互混装；</w:t>
      </w:r>
    </w:p>
    <w:p>
      <w:pPr>
        <w:pStyle w:val="31"/>
        <w:numPr>
          <w:ilvl w:val="1"/>
          <w:numId w:val="18"/>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31"/>
        <w:numPr>
          <w:ilvl w:val="1"/>
          <w:numId w:val="18"/>
        </w:numPr>
        <w:autoSpaceDE w:val="0"/>
        <w:autoSpaceDN w:val="0"/>
        <w:spacing w:line="360" w:lineRule="auto"/>
        <w:ind w:firstLineChars="0"/>
        <w:contextualSpacing/>
        <w:rPr>
          <w:rFonts w:ascii="宋体" w:hAnsi="宋体" w:cs="宋体"/>
          <w:b/>
          <w:kern w:val="0"/>
          <w:sz w:val="24"/>
          <w:szCs w:val="24"/>
        </w:rPr>
      </w:pPr>
      <w:r>
        <w:rPr>
          <w:rFonts w:hint="eastAsia" w:ascii="宋体" w:hAnsi="宋体"/>
          <w:sz w:val="24"/>
        </w:rPr>
        <w:t>按照《关于推进全流程电子化交易和在线监管工作有关问题的通知》规定：不同投标人电子投标文件记录的网卡MAC地址、CPU序号、硬盘序列号等硬件特征码均相同时，视为‘</w:t>
      </w:r>
      <w:r>
        <w:rPr>
          <w:rFonts w:ascii="宋体" w:hAnsi="宋体"/>
          <w:sz w:val="24"/>
        </w:rPr>
        <w:t>不同</w:t>
      </w:r>
      <w:r>
        <w:rPr>
          <w:rFonts w:hint="eastAsia" w:ascii="宋体" w:hAnsi="宋体"/>
          <w:sz w:val="24"/>
        </w:rPr>
        <w:t>投标人的投标</w:t>
      </w:r>
      <w:r>
        <w:rPr>
          <w:rFonts w:ascii="宋体" w:hAnsi="宋体"/>
          <w:sz w:val="24"/>
        </w:rPr>
        <w:t>文件由同一单位或者个人编制</w:t>
      </w:r>
      <w:r>
        <w:rPr>
          <w:rFonts w:hint="eastAsia" w:ascii="宋体" w:hAnsi="宋体"/>
          <w:sz w:val="24"/>
        </w:rPr>
        <w:t>’或‘</w:t>
      </w:r>
      <w:r>
        <w:rPr>
          <w:rFonts w:ascii="宋体" w:hAnsi="宋体"/>
          <w:sz w:val="24"/>
        </w:rPr>
        <w:t>不同</w:t>
      </w:r>
      <w:r>
        <w:rPr>
          <w:rFonts w:hint="eastAsia" w:ascii="宋体" w:hAnsi="宋体"/>
          <w:sz w:val="24"/>
        </w:rPr>
        <w:t>投标人</w:t>
      </w:r>
      <w:r>
        <w:rPr>
          <w:rFonts w:ascii="宋体" w:hAnsi="宋体"/>
          <w:sz w:val="24"/>
        </w:rPr>
        <w:t>委托同一单位或者个人办理</w:t>
      </w:r>
      <w:r>
        <w:rPr>
          <w:rFonts w:hint="eastAsia" w:ascii="宋体" w:hAnsi="宋体"/>
          <w:sz w:val="24"/>
        </w:rPr>
        <w:t>响应</w:t>
      </w:r>
      <w:r>
        <w:rPr>
          <w:rFonts w:ascii="宋体" w:hAnsi="宋体"/>
          <w:sz w:val="24"/>
        </w:rPr>
        <w:t>事宜</w:t>
      </w:r>
      <w:r>
        <w:rPr>
          <w:rFonts w:hint="eastAsia" w:ascii="宋体" w:hAnsi="宋体"/>
          <w:sz w:val="24"/>
        </w:rPr>
        <w:t>’，其投标无效。</w:t>
      </w:r>
    </w:p>
    <w:p>
      <w:pPr>
        <w:pStyle w:val="31"/>
        <w:numPr>
          <w:ilvl w:val="1"/>
          <w:numId w:val="18"/>
        </w:numPr>
        <w:autoSpaceDE w:val="0"/>
        <w:autoSpaceDN w:val="0"/>
        <w:spacing w:line="360" w:lineRule="auto"/>
        <w:ind w:firstLineChars="0"/>
        <w:contextualSpacing/>
        <w:rPr>
          <w:rFonts w:ascii="宋体" w:hAnsi="宋体" w:cs="宋体"/>
          <w:kern w:val="0"/>
          <w:sz w:val="24"/>
          <w:szCs w:val="24"/>
        </w:rPr>
      </w:pPr>
      <w:r>
        <w:rPr>
          <w:rFonts w:ascii="宋体" w:hAnsi="宋体" w:cs="宋体"/>
          <w:kern w:val="0"/>
          <w:sz w:val="24"/>
          <w:szCs w:val="24"/>
        </w:rPr>
        <w:t>法律、法规和</w:t>
      </w:r>
      <w:r>
        <w:rPr>
          <w:rFonts w:hint="eastAsia" w:ascii="宋体" w:hAnsi="宋体" w:cs="宋体"/>
          <w:kern w:val="0"/>
          <w:sz w:val="24"/>
          <w:szCs w:val="24"/>
        </w:rPr>
        <w:t>响应</w:t>
      </w:r>
      <w:r>
        <w:rPr>
          <w:rFonts w:ascii="宋体" w:hAnsi="宋体" w:cs="宋体"/>
          <w:kern w:val="0"/>
          <w:sz w:val="24"/>
          <w:szCs w:val="24"/>
        </w:rPr>
        <w:t>文件规定的其他无效情形。</w:t>
      </w:r>
    </w:p>
    <w:p>
      <w:pPr>
        <w:pStyle w:val="31"/>
        <w:numPr>
          <w:ilvl w:val="0"/>
          <w:numId w:val="18"/>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评审方法与提出成交候选人</w:t>
      </w:r>
    </w:p>
    <w:p>
      <w:pPr>
        <w:autoSpaceDE w:val="0"/>
        <w:autoSpaceDN w:val="0"/>
        <w:spacing w:line="360" w:lineRule="auto"/>
        <w:ind w:firstLine="480" w:firstLineChars="200"/>
        <w:contextualSpacing/>
        <w:rPr>
          <w:rFonts w:ascii="宋体" w:hAnsi="宋体" w:cs="宋体"/>
          <w:kern w:val="0"/>
          <w:sz w:val="24"/>
          <w:szCs w:val="24"/>
        </w:rPr>
      </w:pPr>
      <w:r>
        <w:rPr>
          <w:rFonts w:ascii="ˎ̥" w:hAnsi="ˎ̥"/>
          <w:sz w:val="24"/>
          <w:szCs w:val="24"/>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ascii="宋体" w:hAnsi="宋体" w:cs="宋体"/>
          <w:b/>
          <w:kern w:val="0"/>
          <w:sz w:val="24"/>
          <w:szCs w:val="24"/>
        </w:rPr>
      </w:pPr>
    </w:p>
    <w:p>
      <w:pPr>
        <w:pStyle w:val="31"/>
        <w:numPr>
          <w:ilvl w:val="3"/>
          <w:numId w:val="10"/>
        </w:numPr>
        <w:tabs>
          <w:tab w:val="left" w:pos="1260"/>
        </w:tabs>
        <w:autoSpaceDE w:val="0"/>
        <w:autoSpaceDN w:val="0"/>
        <w:spacing w:line="360" w:lineRule="auto"/>
        <w:ind w:firstLineChars="0"/>
        <w:contextualSpacing/>
        <w:jc w:val="center"/>
        <w:rPr>
          <w:rFonts w:ascii="宋体" w:hAnsi="宋体" w:cs="宋体"/>
          <w:b/>
          <w:kern w:val="0"/>
          <w:sz w:val="28"/>
          <w:szCs w:val="28"/>
        </w:rPr>
      </w:pPr>
      <w:r>
        <w:rPr>
          <w:rFonts w:hint="eastAsia" w:ascii="宋体" w:hAnsi="宋体" w:cs="宋体"/>
          <w:b/>
          <w:kern w:val="0"/>
          <w:sz w:val="28"/>
          <w:szCs w:val="28"/>
        </w:rPr>
        <w:t>确定成交供应商和授予合同</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30. 确定成交供应商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ˎ̥" w:hAnsi="ˎ̥"/>
          <w:sz w:val="24"/>
          <w:szCs w:val="24"/>
        </w:rPr>
        <w:t xml:space="preserve">30.1 </w:t>
      </w:r>
      <w:r>
        <w:rPr>
          <w:rFonts w:ascii="ˎ̥" w:hAnsi="ˎ̥"/>
          <w:sz w:val="24"/>
          <w:szCs w:val="24"/>
        </w:rPr>
        <w:t>采购人应当在收到评审报告后5个工作日内，从评审报告提出的成交候选人中，根据质量和服务均能满足采购文件实质性响应要求且报价最低的原则确定成交供应商</w:t>
      </w:r>
      <w:r>
        <w:rPr>
          <w:rFonts w:hint="eastAsia" w:ascii="宋体" w:hAnsi="宋体" w:cs="宋体"/>
          <w:kern w:val="0"/>
          <w:sz w:val="24"/>
          <w:szCs w:val="24"/>
        </w:rPr>
        <w:t>。</w:t>
      </w:r>
    </w:p>
    <w:p>
      <w:pPr>
        <w:autoSpaceDE w:val="0"/>
        <w:autoSpaceDN w:val="0"/>
        <w:spacing w:line="360" w:lineRule="auto"/>
        <w:ind w:firstLine="480" w:firstLineChars="200"/>
        <w:contextualSpacing/>
        <w:rPr>
          <w:rFonts w:hint="eastAsia" w:ascii="ˎ̥" w:hAnsi="ˎ̥"/>
          <w:sz w:val="24"/>
          <w:szCs w:val="24"/>
        </w:rPr>
      </w:pPr>
      <w:r>
        <w:rPr>
          <w:rFonts w:hint="eastAsia" w:ascii="ˎ̥" w:hAnsi="ˎ̥"/>
          <w:sz w:val="24"/>
          <w:szCs w:val="24"/>
        </w:rPr>
        <w:t xml:space="preserve">30.2 </w:t>
      </w:r>
      <w:r>
        <w:rPr>
          <w:rFonts w:ascii="ˎ̥" w:hAnsi="ˎ̥"/>
          <w:sz w:val="24"/>
          <w:szCs w:val="24"/>
        </w:rPr>
        <w:t>采购人逾期未确定成交供应商且不提出异议的，视为确定评审报告提出的报价最低的供应商为成交供应商</w:t>
      </w:r>
      <w:r>
        <w:rPr>
          <w:rFonts w:hint="eastAsia" w:ascii="ˎ̥" w:hAnsi="ˎ̥"/>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 xml:space="preserve">31. </w:t>
      </w:r>
      <w:r>
        <w:rPr>
          <w:rFonts w:hint="eastAsia" w:cs="微软雅黑"/>
          <w:sz w:val="24"/>
          <w:szCs w:val="24"/>
        </w:rPr>
        <w:t>在询价采购中，出现下列情形之一的，采购人应当终止询价采购活动，发布项目终止公告并说明原因，重新开展采购活动：</w:t>
      </w:r>
    </w:p>
    <w:p>
      <w:pPr>
        <w:pStyle w:val="31"/>
        <w:numPr>
          <w:ilvl w:val="0"/>
          <w:numId w:val="10"/>
        </w:numPr>
        <w:autoSpaceDE w:val="0"/>
        <w:autoSpaceDN w:val="0"/>
        <w:spacing w:line="360" w:lineRule="auto"/>
        <w:ind w:firstLineChars="0"/>
        <w:contextualSpacing/>
        <w:rPr>
          <w:rFonts w:ascii="宋体" w:hAnsi="宋体" w:cs="宋体"/>
          <w:vanish/>
          <w:kern w:val="0"/>
          <w:sz w:val="24"/>
          <w:szCs w:val="24"/>
        </w:rPr>
      </w:pPr>
    </w:p>
    <w:p>
      <w:pPr>
        <w:pStyle w:val="31"/>
        <w:numPr>
          <w:ilvl w:val="1"/>
          <w:numId w:val="10"/>
        </w:numPr>
        <w:autoSpaceDE w:val="0"/>
        <w:autoSpaceDN w:val="0"/>
        <w:spacing w:line="360" w:lineRule="auto"/>
        <w:ind w:firstLineChars="0"/>
        <w:contextualSpacing/>
        <w:rPr>
          <w:rFonts w:ascii="宋体" w:hAnsi="宋体" w:cs="宋体"/>
          <w:kern w:val="0"/>
          <w:sz w:val="24"/>
          <w:szCs w:val="24"/>
        </w:rPr>
      </w:pPr>
      <w:r>
        <w:rPr>
          <w:rFonts w:ascii="宋体" w:hAnsi="宋体" w:cs="宋体"/>
          <w:kern w:val="0"/>
          <w:sz w:val="24"/>
          <w:szCs w:val="24"/>
        </w:rPr>
        <w:t>因情况变化，不再符合规定的</w:t>
      </w:r>
      <w:r>
        <w:rPr>
          <w:rFonts w:hint="eastAsia" w:ascii="宋体" w:hAnsi="宋体" w:cs="宋体"/>
          <w:kern w:val="0"/>
          <w:sz w:val="24"/>
          <w:szCs w:val="24"/>
        </w:rPr>
        <w:t>询价</w:t>
      </w:r>
      <w:r>
        <w:rPr>
          <w:rFonts w:ascii="宋体" w:hAnsi="宋体" w:cs="宋体"/>
          <w:kern w:val="0"/>
          <w:sz w:val="24"/>
          <w:szCs w:val="24"/>
        </w:rPr>
        <w:t>采购方式适用情形的；</w:t>
      </w:r>
    </w:p>
    <w:p>
      <w:pPr>
        <w:pStyle w:val="31"/>
        <w:numPr>
          <w:ilvl w:val="1"/>
          <w:numId w:val="10"/>
        </w:numPr>
        <w:autoSpaceDE w:val="0"/>
        <w:autoSpaceDN w:val="0"/>
        <w:spacing w:line="360" w:lineRule="auto"/>
        <w:ind w:firstLineChars="0"/>
        <w:contextualSpacing/>
        <w:rPr>
          <w:rFonts w:ascii="宋体" w:hAnsi="宋体" w:cs="宋体"/>
          <w:kern w:val="0"/>
          <w:sz w:val="24"/>
          <w:szCs w:val="24"/>
        </w:rPr>
      </w:pPr>
      <w:r>
        <w:rPr>
          <w:rFonts w:ascii="宋体" w:hAnsi="宋体" w:cs="宋体"/>
          <w:kern w:val="0"/>
          <w:sz w:val="24"/>
          <w:szCs w:val="24"/>
        </w:rPr>
        <w:t>出现影响采购公正的违法、违规行为的</w:t>
      </w:r>
      <w:r>
        <w:rPr>
          <w:rFonts w:hint="eastAsia" w:ascii="宋体" w:hAnsi="宋体" w:cs="宋体"/>
          <w:kern w:val="0"/>
          <w:sz w:val="24"/>
          <w:szCs w:val="24"/>
        </w:rPr>
        <w:t>；</w:t>
      </w:r>
    </w:p>
    <w:p>
      <w:pPr>
        <w:pStyle w:val="31"/>
        <w:numPr>
          <w:ilvl w:val="1"/>
          <w:numId w:val="10"/>
        </w:numPr>
        <w:autoSpaceDE w:val="0"/>
        <w:autoSpaceDN w:val="0"/>
        <w:spacing w:line="360" w:lineRule="auto"/>
        <w:ind w:firstLineChars="0"/>
        <w:contextualSpacing/>
        <w:rPr>
          <w:rFonts w:hint="eastAsia" w:ascii="ˎ̥" w:hAnsi="ˎ̥"/>
          <w:sz w:val="24"/>
          <w:szCs w:val="24"/>
        </w:rPr>
      </w:pPr>
      <w:r>
        <w:rPr>
          <w:rFonts w:hint="eastAsia" w:ascii="ˎ̥" w:hAnsi="ˎ̥"/>
          <w:sz w:val="24"/>
          <w:szCs w:val="24"/>
        </w:rPr>
        <w:t>在采购过程中符合竞争要求的供应商或者报价未超过采购预算的供应商不足3家的。</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32.成交公告、发出成交通知书</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32.1  采购人确认成交供应商后，采购人在公告成交结果的同时，向成交供应商发出成交通知书。</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ascii="宋体" w:hAnsi="宋体" w:cs="宋体"/>
          <w:kern w:val="0"/>
          <w:sz w:val="24"/>
          <w:szCs w:val="24"/>
        </w:rPr>
        <w:t>供应商</w:t>
      </w:r>
      <w:r>
        <w:rPr>
          <w:rFonts w:hint="eastAsia" w:ascii="宋体" w:hAnsi="宋体" w:cs="宋体"/>
          <w:bCs/>
          <w:sz w:val="24"/>
          <w:lang w:val="zh-CN"/>
        </w:rPr>
        <w:t>须在评标结束之时24小时内</w:t>
      </w:r>
      <w:r>
        <w:rPr>
          <w:rFonts w:hint="eastAsia" w:ascii="宋体" w:hAnsi="宋体" w:cs="宋体"/>
          <w:bCs/>
          <w:sz w:val="24"/>
          <w:szCs w:val="24"/>
          <w:lang w:val="zh-CN"/>
        </w:rPr>
        <w:t>，</w:t>
      </w:r>
      <w:r>
        <w:rPr>
          <w:rFonts w:hint="eastAsia" w:ascii="宋体" w:hAnsi="宋体" w:cs="宋体"/>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33.质疑提出与答复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33.1 供应商认为询价文件、采购过程和成交结果使自己的权益受到损害的，可以按照《政府采购质疑和投诉办法》（财政部令第94号）提出质疑。</w:t>
      </w:r>
      <w:r>
        <w:rPr>
          <w:rFonts w:ascii="宋体" w:hAnsi="宋体" w:cs="宋体"/>
          <w:kern w:val="0"/>
          <w:sz w:val="24"/>
          <w:szCs w:val="24"/>
        </w:rPr>
        <w:t>提出质疑的供应商应当是参与</w:t>
      </w:r>
      <w:r>
        <w:rPr>
          <w:rFonts w:hint="eastAsia" w:ascii="宋体" w:hAnsi="宋体" w:cs="宋体"/>
          <w:kern w:val="0"/>
          <w:sz w:val="24"/>
          <w:szCs w:val="24"/>
        </w:rPr>
        <w:t>本</w:t>
      </w:r>
      <w:r>
        <w:rPr>
          <w:rFonts w:ascii="宋体" w:hAnsi="宋体" w:cs="宋体"/>
          <w:kern w:val="0"/>
          <w:sz w:val="24"/>
          <w:szCs w:val="24"/>
        </w:rPr>
        <w:t>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33.1.1 对询价文件提出质疑的，供应商应</w:t>
      </w:r>
      <w:r>
        <w:rPr>
          <w:rFonts w:ascii="宋体" w:hAnsi="宋体" w:cs="宋体"/>
          <w:kern w:val="0"/>
          <w:sz w:val="24"/>
          <w:szCs w:val="24"/>
        </w:rPr>
        <w:t>已依法获取</w:t>
      </w:r>
      <w:r>
        <w:rPr>
          <w:rFonts w:hint="eastAsia" w:ascii="宋体" w:hAnsi="宋体" w:cs="宋体"/>
          <w:kern w:val="0"/>
          <w:sz w:val="24"/>
          <w:szCs w:val="24"/>
        </w:rPr>
        <w:t>询价文件，且应当在询价响应截止时间前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33.1.2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33.1.3 对成交结果提出质疑的，为成交结果公告期限届满之日起七个工作日内，以书面形式向采购人和采购代理机构一次性提出。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 xml:space="preserve">33.2 </w:t>
      </w:r>
      <w:r>
        <w:rPr>
          <w:rFonts w:ascii="宋体" w:hAnsi="宋体" w:cs="宋体"/>
          <w:kern w:val="0"/>
          <w:sz w:val="24"/>
          <w:szCs w:val="24"/>
        </w:rPr>
        <w:t>采购人、采购代理机构认为供应商质疑不成立，或者成立但未对</w:t>
      </w:r>
      <w:r>
        <w:rPr>
          <w:rFonts w:hint="eastAsia" w:ascii="宋体" w:hAnsi="宋体" w:cs="宋体"/>
          <w:kern w:val="0"/>
          <w:sz w:val="24"/>
          <w:szCs w:val="24"/>
        </w:rPr>
        <w:t>成交</w:t>
      </w:r>
      <w:r>
        <w:rPr>
          <w:rFonts w:ascii="宋体" w:hAnsi="宋体" w:cs="宋体"/>
          <w:kern w:val="0"/>
          <w:sz w:val="24"/>
          <w:szCs w:val="24"/>
        </w:rPr>
        <w:t>结果构成影响的，继续开展采购活动；认为供应商质疑成立且影响或者可能影响成交结果的，按照下列情况处理：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 xml:space="preserve">33.2.1 </w:t>
      </w:r>
      <w:r>
        <w:rPr>
          <w:rFonts w:ascii="宋体" w:hAnsi="宋体" w:cs="宋体"/>
          <w:kern w:val="0"/>
          <w:sz w:val="24"/>
          <w:szCs w:val="24"/>
        </w:rPr>
        <w:t>对</w:t>
      </w:r>
      <w:r>
        <w:rPr>
          <w:rFonts w:hint="eastAsia" w:ascii="宋体" w:hAnsi="宋体" w:cs="宋体"/>
          <w:kern w:val="0"/>
          <w:sz w:val="24"/>
          <w:szCs w:val="24"/>
        </w:rPr>
        <w:t>询价文件</w:t>
      </w:r>
      <w:r>
        <w:rPr>
          <w:rFonts w:ascii="宋体" w:hAnsi="宋体" w:cs="宋体"/>
          <w:kern w:val="0"/>
          <w:sz w:val="24"/>
          <w:szCs w:val="24"/>
        </w:rPr>
        <w:t>提出的质疑，依法通过澄清或者修改可以继续开展采购活动的，澄清或者修改</w:t>
      </w:r>
      <w:r>
        <w:rPr>
          <w:rFonts w:hint="eastAsia" w:ascii="宋体" w:hAnsi="宋体" w:cs="宋体"/>
          <w:kern w:val="0"/>
          <w:sz w:val="24"/>
          <w:szCs w:val="24"/>
        </w:rPr>
        <w:t>询价文件</w:t>
      </w:r>
      <w:r>
        <w:rPr>
          <w:rFonts w:ascii="宋体" w:hAnsi="宋体" w:cs="宋体"/>
          <w:kern w:val="0"/>
          <w:sz w:val="24"/>
          <w:szCs w:val="24"/>
        </w:rPr>
        <w:t>后继续开展采购活动；否则应当修改</w:t>
      </w:r>
      <w:r>
        <w:rPr>
          <w:rFonts w:hint="eastAsia" w:ascii="宋体" w:hAnsi="宋体" w:cs="宋体"/>
          <w:kern w:val="0"/>
          <w:sz w:val="24"/>
          <w:szCs w:val="24"/>
        </w:rPr>
        <w:t>询价文件</w:t>
      </w:r>
      <w:r>
        <w:rPr>
          <w:rFonts w:ascii="宋体" w:hAnsi="宋体" w:cs="宋体"/>
          <w:kern w:val="0"/>
          <w:sz w:val="24"/>
          <w:szCs w:val="24"/>
        </w:rPr>
        <w:t>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 xml:space="preserve">33.2.2 </w:t>
      </w:r>
      <w:r>
        <w:rPr>
          <w:rFonts w:ascii="宋体" w:hAnsi="宋体" w:cs="宋体"/>
          <w:kern w:val="0"/>
          <w:sz w:val="24"/>
          <w:szCs w:val="24"/>
        </w:rPr>
        <w:t>对采购过程、</w:t>
      </w:r>
      <w:r>
        <w:rPr>
          <w:rFonts w:hint="eastAsia" w:ascii="宋体" w:hAnsi="宋体" w:cs="宋体"/>
          <w:kern w:val="0"/>
          <w:sz w:val="24"/>
          <w:szCs w:val="24"/>
        </w:rPr>
        <w:t>成交</w:t>
      </w:r>
      <w:r>
        <w:rPr>
          <w:rFonts w:ascii="宋体" w:hAnsi="宋体" w:cs="宋体"/>
          <w:kern w:val="0"/>
          <w:sz w:val="24"/>
          <w:szCs w:val="24"/>
        </w:rPr>
        <w:t>结果提出的质疑，合格供应商符合法定数量时，可以从合格的</w:t>
      </w:r>
      <w:r>
        <w:rPr>
          <w:rFonts w:hint="eastAsia" w:ascii="宋体" w:hAnsi="宋体" w:cs="宋体"/>
          <w:kern w:val="0"/>
          <w:sz w:val="24"/>
          <w:szCs w:val="24"/>
        </w:rPr>
        <w:t>成交候选人</w:t>
      </w:r>
      <w:r>
        <w:rPr>
          <w:rFonts w:ascii="宋体" w:hAnsi="宋体" w:cs="宋体"/>
          <w:kern w:val="0"/>
          <w:sz w:val="24"/>
          <w:szCs w:val="24"/>
        </w:rPr>
        <w:t>中另行确定</w:t>
      </w:r>
      <w:r>
        <w:rPr>
          <w:rFonts w:hint="eastAsia" w:ascii="宋体" w:hAnsi="宋体" w:cs="宋体"/>
          <w:kern w:val="0"/>
          <w:sz w:val="24"/>
          <w:szCs w:val="24"/>
        </w:rPr>
        <w:t>成交</w:t>
      </w:r>
      <w:r>
        <w:rPr>
          <w:rFonts w:ascii="宋体" w:hAnsi="宋体" w:cs="宋体"/>
          <w:kern w:val="0"/>
          <w:sz w:val="24"/>
          <w:szCs w:val="24"/>
        </w:rPr>
        <w:t>供应商的，应当依法另行确定</w:t>
      </w:r>
      <w:r>
        <w:rPr>
          <w:rFonts w:hint="eastAsia" w:ascii="宋体" w:hAnsi="宋体" w:cs="宋体"/>
          <w:kern w:val="0"/>
          <w:sz w:val="24"/>
          <w:szCs w:val="24"/>
        </w:rPr>
        <w:t>成交</w:t>
      </w:r>
      <w:r>
        <w:rPr>
          <w:rFonts w:ascii="宋体" w:hAnsi="宋体" w:cs="宋体"/>
          <w:kern w:val="0"/>
          <w:sz w:val="24"/>
          <w:szCs w:val="24"/>
        </w:rPr>
        <w:t>供应商；否则应当重新开展采购活动。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34.签订合同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 xml:space="preserve">34.1  </w:t>
      </w:r>
      <w:r>
        <w:rPr>
          <w:rFonts w:ascii="宋体" w:hAnsi="宋体" w:cs="宋体"/>
          <w:kern w:val="0"/>
          <w:sz w:val="24"/>
          <w:szCs w:val="24"/>
        </w:rPr>
        <w:t>采购人与成交供应商应当在成交通知书发出之日起30日内，按照</w:t>
      </w:r>
      <w:r>
        <w:rPr>
          <w:rFonts w:hint="eastAsia" w:ascii="宋体" w:hAnsi="宋体" w:cs="宋体"/>
          <w:kern w:val="0"/>
          <w:sz w:val="24"/>
          <w:szCs w:val="24"/>
        </w:rPr>
        <w:t>询价文件</w:t>
      </w:r>
      <w:r>
        <w:rPr>
          <w:rFonts w:ascii="宋体" w:hAnsi="宋体" w:cs="宋体"/>
          <w:kern w:val="0"/>
          <w:sz w:val="24"/>
          <w:szCs w:val="24"/>
        </w:rPr>
        <w:t>确定的合同文本以及采购标的、规格型号、采购金额、采购数量、技术和服务要求等事项签订政府采购合同</w:t>
      </w:r>
      <w:r>
        <w:rPr>
          <w:rFonts w:hint="eastAsia" w:ascii="宋体" w:hAnsi="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 xml:space="preserve">34.2  </w:t>
      </w:r>
      <w:r>
        <w:rPr>
          <w:rFonts w:ascii="宋体" w:hAnsi="宋体" w:cs="宋体"/>
          <w:kern w:val="0"/>
          <w:sz w:val="24"/>
          <w:szCs w:val="24"/>
        </w:rPr>
        <w:t>采购人不得向成交供应商提出超出采购文件以外的任何要求作为签订合同的条件，不得与成交供应商订立背离</w:t>
      </w:r>
      <w:r>
        <w:rPr>
          <w:rFonts w:hint="eastAsia" w:ascii="宋体" w:hAnsi="宋体" w:cs="宋体"/>
          <w:kern w:val="0"/>
          <w:sz w:val="24"/>
          <w:szCs w:val="24"/>
        </w:rPr>
        <w:t>询价文件</w:t>
      </w:r>
      <w:r>
        <w:rPr>
          <w:rFonts w:ascii="宋体" w:hAnsi="宋体" w:cs="宋体"/>
          <w:kern w:val="0"/>
          <w:sz w:val="24"/>
          <w:szCs w:val="24"/>
        </w:rPr>
        <w:t>确定的合同文本以及采购标的、规格型号、采购金额、采购数量、技术和服务要求等实质性内容的协议</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35.履约保证金</w:t>
      </w:r>
    </w:p>
    <w:p>
      <w:pPr>
        <w:autoSpaceDE w:val="0"/>
        <w:autoSpaceDN w:val="0"/>
        <w:spacing w:line="360" w:lineRule="auto"/>
        <w:ind w:firstLine="480" w:firstLineChars="200"/>
        <w:contextualSpacing/>
        <w:rPr>
          <w:rFonts w:ascii="宋体" w:hAnsi="宋体" w:eastAsia="宋体" w:cs="宋体"/>
          <w:b/>
          <w:kern w:val="0"/>
          <w:sz w:val="36"/>
          <w:szCs w:val="36"/>
        </w:rPr>
      </w:pPr>
      <w:r>
        <w:rPr>
          <w:rFonts w:hint="eastAsia" w:ascii="宋体" w:hAnsi="宋体" w:cs="宋体"/>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both"/>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6"/>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一、节能能源、保护环境</w:t>
      </w:r>
    </w:p>
    <w:p>
      <w:pPr>
        <w:pStyle w:val="16"/>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82" w:firstLineChars="200"/>
        <w:contextualSpacing/>
        <w:rPr>
          <w:rFonts w:ascii="宋体" w:hAnsi="宋体" w:cs="仿宋_GB2312"/>
          <w:b/>
          <w:szCs w:val="24"/>
          <w:lang w:val="zh-CN"/>
        </w:rPr>
      </w:pPr>
      <w:r>
        <w:rPr>
          <w:rFonts w:hint="eastAsia" w:hAnsi="宋体" w:cs="仿宋_GB2312"/>
          <w:b/>
          <w:szCs w:val="24"/>
          <w:lang w:val="zh-CN"/>
        </w:rPr>
        <w:t>二、</w:t>
      </w:r>
      <w:r>
        <w:rPr>
          <w:rFonts w:hint="eastAsia" w:ascii="宋体" w:hAnsi="宋体" w:cs="仿宋_GB2312"/>
          <w:b/>
          <w:szCs w:val="24"/>
          <w:lang w:val="zh-CN"/>
        </w:rPr>
        <w:t>促进中小企业发展（不含民办非企业）</w:t>
      </w:r>
    </w:p>
    <w:p>
      <w:pPr>
        <w:topLinePunct w:val="1"/>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val="1"/>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val="1"/>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val="1"/>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四、促进残疾人就业</w:t>
      </w:r>
    </w:p>
    <w:p>
      <w:pPr>
        <w:pStyle w:val="16"/>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szCs w:val="24"/>
        </w:rPr>
        <w:t>残疾人福利性单位属于小型、微型企业的，不重复享受政策。</w:t>
      </w:r>
    </w:p>
    <w:p>
      <w:pPr>
        <w:pStyle w:val="16"/>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3、成交人为残疾人福利性单位的，招标人应当随成交结果同时公告其《残疾人福利性单位声明函》，接受社会监督。</w:t>
      </w:r>
    </w:p>
    <w:p>
      <w:pPr>
        <w:pStyle w:val="16"/>
        <w:spacing w:line="360" w:lineRule="auto"/>
        <w:ind w:left="282" w:hanging="282" w:hangingChars="78"/>
        <w:contextualSpacing/>
        <w:jc w:val="center"/>
        <w:rPr>
          <w:rFonts w:ascii="宋体" w:hAnsi="宋体" w:eastAsia="宋体" w:cs="宋体"/>
          <w:b/>
          <w:kern w:val="0"/>
          <w:sz w:val="36"/>
          <w:szCs w:val="36"/>
        </w:rPr>
      </w:pPr>
    </w:p>
    <w:p>
      <w:pPr>
        <w:pStyle w:val="16"/>
        <w:spacing w:line="360" w:lineRule="auto"/>
        <w:ind w:left="282" w:hanging="282" w:hangingChars="78"/>
        <w:contextualSpacing/>
        <w:jc w:val="center"/>
        <w:rPr>
          <w:rFonts w:ascii="宋体" w:hAnsi="宋体" w:eastAsia="宋体" w:cs="宋体"/>
          <w:b/>
          <w:kern w:val="0"/>
          <w:sz w:val="36"/>
          <w:szCs w:val="36"/>
        </w:rPr>
      </w:pPr>
    </w:p>
    <w:p>
      <w:pPr>
        <w:pStyle w:val="16"/>
        <w:spacing w:line="360" w:lineRule="auto"/>
        <w:ind w:left="282" w:hanging="282" w:hangingChars="78"/>
        <w:contextualSpacing/>
        <w:jc w:val="center"/>
        <w:rPr>
          <w:rFonts w:ascii="宋体" w:hAnsi="宋体" w:eastAsia="宋体" w:cs="宋体"/>
          <w:b/>
          <w:kern w:val="0"/>
          <w:sz w:val="36"/>
          <w:szCs w:val="36"/>
        </w:rPr>
      </w:pPr>
    </w:p>
    <w:p>
      <w:pPr>
        <w:pStyle w:val="16"/>
        <w:spacing w:line="360" w:lineRule="auto"/>
        <w:ind w:left="282" w:hanging="282" w:hangingChars="78"/>
        <w:contextualSpacing/>
        <w:jc w:val="center"/>
        <w:rPr>
          <w:rFonts w:ascii="宋体" w:hAnsi="宋体" w:eastAsia="宋体" w:cs="宋体"/>
          <w:b/>
          <w:kern w:val="0"/>
          <w:sz w:val="36"/>
          <w:szCs w:val="36"/>
        </w:rPr>
      </w:pPr>
    </w:p>
    <w:p>
      <w:pPr>
        <w:pStyle w:val="16"/>
        <w:spacing w:line="360" w:lineRule="auto"/>
        <w:contextualSpacing/>
        <w:rPr>
          <w:rFonts w:ascii="宋体" w:hAnsi="宋体" w:eastAsia="宋体" w:cs="宋体"/>
          <w:b/>
          <w:kern w:val="0"/>
          <w:sz w:val="36"/>
          <w:szCs w:val="36"/>
        </w:rPr>
      </w:pPr>
    </w:p>
    <w:p>
      <w:pPr>
        <w:pStyle w:val="16"/>
        <w:spacing w:line="360" w:lineRule="auto"/>
        <w:contextualSpacing/>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6"/>
        <w:spacing w:line="360" w:lineRule="auto"/>
        <w:contextualSpacing/>
        <w:rPr>
          <w:rFonts w:ascii="宋体" w:hAnsi="宋体" w:cs="仿宋_GB2312"/>
          <w:lang w:val="zh-CN"/>
        </w:rPr>
      </w:pPr>
    </w:p>
    <w:p>
      <w:pPr>
        <w:pStyle w:val="16"/>
        <w:spacing w:line="360" w:lineRule="auto"/>
        <w:contextualSpacing/>
        <w:rPr>
          <w:rFonts w:ascii="宋体" w:hAnsi="宋体" w:eastAsia="宋体"/>
          <w:bCs/>
          <w:szCs w:val="24"/>
        </w:rPr>
      </w:pPr>
      <w:r>
        <w:rPr>
          <w:rFonts w:ascii="宋体" w:hAnsi="宋体" w:eastAsia="宋体" w:cs="仿宋_GB2312"/>
          <w:b/>
          <w:szCs w:val="24"/>
          <w:lang w:val="zh-CN"/>
        </w:rPr>
        <w:t>一、资格审查</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bCs/>
          <w:sz w:val="24"/>
          <w:szCs w:val="24"/>
        </w:rPr>
        <w:t>（一）询价小组依法对供应商资格进行审查</w:t>
      </w:r>
      <w:r>
        <w:rPr>
          <w:rFonts w:ascii="宋体" w:hAnsi="宋体" w:cs="仿宋_GB2312"/>
          <w:sz w:val="24"/>
          <w:szCs w:val="24"/>
          <w:lang w:val="zh-CN"/>
        </w:rPr>
        <w:t>。</w:t>
      </w:r>
      <w:r>
        <w:rPr>
          <w:rFonts w:hint="eastAsia" w:ascii="宋体" w:hAnsi="宋体" w:cs="仿宋_GB2312"/>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ascii="宋体" w:hAnsi="宋体" w:cs="仿宋_GB2312"/>
          <w:sz w:val="24"/>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rPr>
          <w:trHeight w:val="567" w:hRule="atLeast"/>
        </w:trPr>
        <w:tc>
          <w:tcPr>
            <w:tcW w:w="675" w:type="dxa"/>
            <w:vAlign w:val="center"/>
          </w:tcPr>
          <w:p>
            <w:pPr>
              <w:spacing w:line="360" w:lineRule="auto"/>
              <w:jc w:val="center"/>
              <w:rPr>
                <w:rFonts w:ascii="宋体" w:hAnsi="宋体"/>
                <w:b/>
                <w:sz w:val="24"/>
                <w:szCs w:val="24"/>
              </w:rPr>
            </w:pPr>
            <w:r>
              <w:rPr>
                <w:rFonts w:hint="eastAsia" w:ascii="宋体" w:hAnsi="宋体"/>
                <w:b/>
                <w:sz w:val="24"/>
                <w:szCs w:val="24"/>
              </w:rPr>
              <w:t>序号</w:t>
            </w:r>
          </w:p>
        </w:tc>
        <w:tc>
          <w:tcPr>
            <w:tcW w:w="2410"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c>
          <w:tcPr>
            <w:tcW w:w="5954" w:type="dxa"/>
            <w:vAlign w:val="center"/>
          </w:tcPr>
          <w:p>
            <w:pPr>
              <w:spacing w:line="360" w:lineRule="auto"/>
              <w:jc w:val="center"/>
              <w:rPr>
                <w:rFonts w:ascii="宋体" w:hAnsi="宋体"/>
                <w:b/>
                <w:sz w:val="24"/>
                <w:szCs w:val="24"/>
              </w:rPr>
            </w:pPr>
            <w:r>
              <w:rPr>
                <w:rFonts w:hint="eastAsia" w:ascii="宋体" w:hAnsi="宋体"/>
                <w:b/>
                <w:sz w:val="24"/>
                <w:szCs w:val="24"/>
              </w:rPr>
              <w:t>说明与要求</w:t>
            </w:r>
          </w:p>
        </w:tc>
      </w:tr>
      <w:tr>
        <w:trPr>
          <w:trHeight w:val="567" w:hRule="atLeast"/>
        </w:trPr>
        <w:tc>
          <w:tcPr>
            <w:tcW w:w="675" w:type="dxa"/>
            <w:vAlign w:val="center"/>
          </w:tcPr>
          <w:p>
            <w:pPr>
              <w:spacing w:line="360" w:lineRule="auto"/>
              <w:jc w:val="center"/>
              <w:rPr>
                <w:rFonts w:ascii="宋体" w:hAnsi="宋体"/>
                <w:b/>
                <w:sz w:val="24"/>
                <w:szCs w:val="24"/>
              </w:rPr>
            </w:pPr>
            <w:r>
              <w:rPr>
                <w:rFonts w:hint="eastAsia" w:ascii="宋体" w:hAnsi="宋体"/>
                <w:b/>
                <w:sz w:val="24"/>
                <w:szCs w:val="24"/>
              </w:rPr>
              <w:t>1</w:t>
            </w:r>
          </w:p>
        </w:tc>
        <w:tc>
          <w:tcPr>
            <w:tcW w:w="2410" w:type="dxa"/>
            <w:vAlign w:val="center"/>
          </w:tcPr>
          <w:p>
            <w:pPr>
              <w:spacing w:line="360" w:lineRule="auto"/>
              <w:jc w:val="center"/>
              <w:rPr>
                <w:rFonts w:ascii="宋体" w:hAnsi="宋体"/>
                <w:b/>
                <w:sz w:val="24"/>
                <w:szCs w:val="24"/>
              </w:rPr>
            </w:pPr>
            <w:r>
              <w:rPr>
                <w:rFonts w:hint="eastAsia" w:ascii="宋体" w:hAnsi="宋体"/>
                <w:b/>
                <w:sz w:val="24"/>
                <w:szCs w:val="24"/>
              </w:rPr>
              <w:t>投标函</w:t>
            </w:r>
          </w:p>
        </w:tc>
        <w:tc>
          <w:tcPr>
            <w:tcW w:w="5954" w:type="dxa"/>
            <w:vAlign w:val="center"/>
          </w:tcPr>
          <w:p>
            <w:pPr>
              <w:spacing w:line="360" w:lineRule="auto"/>
              <w:rPr>
                <w:rFonts w:ascii="宋体" w:hAnsi="宋体"/>
                <w:b/>
                <w:sz w:val="24"/>
                <w:szCs w:val="24"/>
              </w:rPr>
            </w:pPr>
            <w:r>
              <w:rPr>
                <w:rFonts w:hint="eastAsia" w:ascii="宋体" w:hAnsi="宋体" w:cs="微软雅黑"/>
                <w:bCs/>
                <w:sz w:val="24"/>
                <w:szCs w:val="24"/>
              </w:rPr>
              <w:t>参考招标文件第八章3.1格式填写</w:t>
            </w:r>
          </w:p>
        </w:tc>
      </w:tr>
      <w:tr>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2</w:t>
            </w:r>
          </w:p>
        </w:tc>
        <w:tc>
          <w:tcPr>
            <w:tcW w:w="2410" w:type="dxa"/>
            <w:vAlign w:val="center"/>
          </w:tcPr>
          <w:p>
            <w:pPr>
              <w:spacing w:line="360" w:lineRule="auto"/>
              <w:rPr>
                <w:rFonts w:ascii="宋体" w:hAnsi="宋体"/>
                <w:b/>
                <w:sz w:val="24"/>
                <w:szCs w:val="24"/>
              </w:rPr>
            </w:pPr>
            <w:r>
              <w:rPr>
                <w:rFonts w:hint="eastAsia" w:ascii="宋体" w:hAnsi="宋体"/>
                <w:b/>
                <w:bCs/>
                <w:sz w:val="24"/>
                <w:szCs w:val="24"/>
              </w:rPr>
              <w:t>法人或者其他组织的营业执照等证明文件，自然人的身份证明</w:t>
            </w:r>
          </w:p>
        </w:tc>
        <w:tc>
          <w:tcPr>
            <w:tcW w:w="5954" w:type="dxa"/>
            <w:vAlign w:val="center"/>
          </w:tcPr>
          <w:p>
            <w:pPr>
              <w:spacing w:line="360" w:lineRule="auto"/>
              <w:jc w:val="left"/>
              <w:rPr>
                <w:rFonts w:ascii="宋体" w:hAnsi="宋体"/>
                <w:bCs/>
                <w:sz w:val="24"/>
                <w:szCs w:val="24"/>
              </w:rPr>
            </w:pPr>
            <w:r>
              <w:rPr>
                <w:rFonts w:hint="eastAsia" w:ascii="宋体" w:hAnsi="宋体"/>
                <w:bCs/>
                <w:sz w:val="24"/>
                <w:szCs w:val="24"/>
              </w:rPr>
              <w:t>（1）企业法人营业执照或营业执照。（企业提供）</w:t>
            </w:r>
          </w:p>
          <w:p>
            <w:pPr>
              <w:spacing w:line="360" w:lineRule="auto"/>
              <w:jc w:val="left"/>
              <w:rPr>
                <w:rFonts w:ascii="宋体" w:hAnsi="宋体"/>
                <w:bCs/>
                <w:sz w:val="24"/>
                <w:szCs w:val="24"/>
              </w:rPr>
            </w:pPr>
            <w:r>
              <w:rPr>
                <w:rFonts w:hint="eastAsia" w:ascii="宋体" w:hAnsi="宋体"/>
                <w:bCs/>
                <w:sz w:val="24"/>
                <w:szCs w:val="24"/>
              </w:rPr>
              <w:t>（2）事业单位法人证书。（事业单位提供）</w:t>
            </w:r>
          </w:p>
          <w:p>
            <w:pPr>
              <w:spacing w:line="360" w:lineRule="auto"/>
              <w:jc w:val="left"/>
              <w:rPr>
                <w:rFonts w:ascii="宋体" w:hAnsi="宋体"/>
                <w:bCs/>
                <w:sz w:val="24"/>
                <w:szCs w:val="24"/>
              </w:rPr>
            </w:pPr>
            <w:r>
              <w:rPr>
                <w:rFonts w:hint="eastAsia" w:ascii="宋体" w:hAnsi="宋体"/>
                <w:bCs/>
                <w:sz w:val="24"/>
                <w:szCs w:val="24"/>
              </w:rPr>
              <w:t>（3）执业许可证。（非企业专业服务机构提供）</w:t>
            </w:r>
          </w:p>
          <w:p>
            <w:pPr>
              <w:spacing w:line="360" w:lineRule="auto"/>
              <w:jc w:val="left"/>
              <w:rPr>
                <w:rFonts w:ascii="宋体" w:hAnsi="宋体"/>
                <w:bCs/>
                <w:sz w:val="24"/>
                <w:szCs w:val="24"/>
              </w:rPr>
            </w:pPr>
            <w:r>
              <w:rPr>
                <w:rFonts w:hint="eastAsia" w:ascii="宋体" w:hAnsi="宋体"/>
                <w:bCs/>
                <w:sz w:val="24"/>
                <w:szCs w:val="24"/>
              </w:rPr>
              <w:t>（4）个体工商户营业执照。（个体工商户提供）</w:t>
            </w:r>
          </w:p>
          <w:p>
            <w:pPr>
              <w:spacing w:line="360" w:lineRule="auto"/>
              <w:jc w:val="left"/>
              <w:rPr>
                <w:rFonts w:ascii="宋体" w:hAnsi="宋体"/>
                <w:bCs/>
                <w:sz w:val="24"/>
                <w:szCs w:val="24"/>
              </w:rPr>
            </w:pPr>
            <w:r>
              <w:rPr>
                <w:rFonts w:hint="eastAsia" w:ascii="宋体" w:hAnsi="宋体"/>
                <w:bCs/>
                <w:sz w:val="24"/>
                <w:szCs w:val="24"/>
              </w:rPr>
              <w:t>（5）自然人身份证明。（自然人提供）</w:t>
            </w:r>
          </w:p>
          <w:p>
            <w:pPr>
              <w:spacing w:line="360" w:lineRule="auto"/>
              <w:jc w:val="left"/>
              <w:rPr>
                <w:rFonts w:ascii="宋体" w:hAnsi="宋体"/>
                <w:b/>
                <w:bCs/>
                <w:sz w:val="24"/>
                <w:szCs w:val="24"/>
              </w:rPr>
            </w:pPr>
            <w:r>
              <w:rPr>
                <w:rFonts w:hint="eastAsia" w:ascii="宋体" w:hAnsi="宋体"/>
                <w:bCs/>
                <w:sz w:val="24"/>
                <w:szCs w:val="24"/>
              </w:rPr>
              <w:t>（6）民办非企业单位登记证书。（民办非企业单位提供）</w:t>
            </w:r>
          </w:p>
        </w:tc>
      </w:tr>
      <w:tr>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3</w:t>
            </w:r>
          </w:p>
        </w:tc>
        <w:tc>
          <w:tcPr>
            <w:tcW w:w="2410" w:type="dxa"/>
            <w:vAlign w:val="center"/>
          </w:tcPr>
          <w:p>
            <w:pPr>
              <w:spacing w:line="360" w:lineRule="auto"/>
              <w:rPr>
                <w:rFonts w:ascii="宋体" w:hAnsi="宋体"/>
                <w:b/>
                <w:sz w:val="24"/>
                <w:szCs w:val="24"/>
              </w:rPr>
            </w:pPr>
            <w:r>
              <w:rPr>
                <w:rFonts w:hint="eastAsia" w:ascii="宋体" w:hAnsi="宋体"/>
                <w:b/>
                <w:bCs/>
                <w:sz w:val="24"/>
                <w:szCs w:val="24"/>
              </w:rPr>
              <w:t>财务状况报告相关材料</w:t>
            </w:r>
          </w:p>
        </w:tc>
        <w:tc>
          <w:tcPr>
            <w:tcW w:w="5954" w:type="dxa"/>
            <w:vAlign w:val="top"/>
          </w:tcPr>
          <w:p>
            <w:pPr>
              <w:spacing w:line="360" w:lineRule="auto"/>
              <w:rPr>
                <w:rFonts w:ascii="宋体" w:hAnsi="宋体"/>
                <w:bCs/>
                <w:sz w:val="24"/>
                <w:szCs w:val="24"/>
              </w:rPr>
            </w:pPr>
            <w:r>
              <w:rPr>
                <w:rFonts w:hint="eastAsia" w:ascii="宋体" w:hAnsi="宋体"/>
                <w:bCs/>
                <w:sz w:val="24"/>
                <w:szCs w:val="24"/>
              </w:rPr>
              <w:t>（1）供应商是法人（法人包括企业法人、机关法人、事业单位法人和社会团体法人），提供本单位：</w:t>
            </w:r>
          </w:p>
          <w:p>
            <w:pPr>
              <w:spacing w:line="360" w:lineRule="auto"/>
              <w:rPr>
                <w:rFonts w:ascii="宋体" w:hAnsi="宋体"/>
                <w:bCs/>
                <w:sz w:val="24"/>
                <w:szCs w:val="24"/>
              </w:rPr>
            </w:pPr>
            <w:r>
              <w:rPr>
                <w:rFonts w:hint="eastAsia" w:ascii="宋体" w:hAnsi="宋体"/>
                <w:bCs/>
                <w:sz w:val="24"/>
                <w:szCs w:val="24"/>
              </w:rPr>
              <w:t>2018年度或2019年度经审计的财务报告，包括资产负债表、利润表、现金流量表、所有者权益变动表及其附注；或基本开户银行出具的资信证明；或财政部门认可的政府采购专业担保机构的证明文件和担保机构出具的投标担保函。</w:t>
            </w:r>
          </w:p>
          <w:p>
            <w:pPr>
              <w:spacing w:line="360" w:lineRule="auto"/>
              <w:rPr>
                <w:rFonts w:ascii="宋体" w:hAnsi="宋体"/>
                <w:bCs/>
                <w:sz w:val="24"/>
                <w:szCs w:val="24"/>
              </w:rPr>
            </w:pPr>
            <w:r>
              <w:rPr>
                <w:rFonts w:hint="eastAsia" w:ascii="宋体" w:hAnsi="宋体"/>
                <w:bCs/>
                <w:sz w:val="24"/>
                <w:szCs w:val="24"/>
              </w:rPr>
              <w:t>（2）供应商（其他组织和自然人）提供本单位：</w:t>
            </w:r>
          </w:p>
          <w:p>
            <w:pPr>
              <w:spacing w:line="360" w:lineRule="auto"/>
              <w:rPr>
                <w:rFonts w:ascii="宋体" w:hAnsi="宋体"/>
                <w:bCs/>
                <w:sz w:val="24"/>
                <w:szCs w:val="24"/>
              </w:rPr>
            </w:pPr>
            <w:r>
              <w:rPr>
                <w:rFonts w:hint="eastAsia" w:ascii="宋体" w:hAnsi="宋体"/>
                <w:bCs/>
                <w:sz w:val="24"/>
                <w:szCs w:val="24"/>
              </w:rPr>
              <w:t>2018年度2019年度经审计的财务报告，包括资产负债表、利润表、现金流量表、所有者权益变动表及其附注；或银行出具的资信证明；或财政部门认可的政府采购专业担保机构的证明文件和担保机构出具的投标担保函。</w:t>
            </w:r>
          </w:p>
        </w:tc>
      </w:tr>
      <w:tr>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4</w:t>
            </w:r>
          </w:p>
        </w:tc>
        <w:tc>
          <w:tcPr>
            <w:tcW w:w="2410" w:type="dxa"/>
            <w:vAlign w:val="center"/>
          </w:tcPr>
          <w:p>
            <w:pPr>
              <w:spacing w:line="360" w:lineRule="auto"/>
              <w:rPr>
                <w:rFonts w:ascii="宋体" w:hAnsi="宋体"/>
                <w:b/>
                <w:sz w:val="24"/>
                <w:szCs w:val="24"/>
              </w:rPr>
            </w:pPr>
            <w:r>
              <w:rPr>
                <w:rFonts w:hint="eastAsia" w:ascii="宋体" w:hAnsi="宋体"/>
                <w:b/>
                <w:bCs/>
                <w:sz w:val="24"/>
                <w:szCs w:val="24"/>
              </w:rPr>
              <w:t>依法缴纳税收相关材料</w:t>
            </w:r>
          </w:p>
        </w:tc>
        <w:tc>
          <w:tcPr>
            <w:tcW w:w="5954" w:type="dxa"/>
            <w:vAlign w:val="top"/>
          </w:tcPr>
          <w:p>
            <w:pPr>
              <w:spacing w:line="360" w:lineRule="auto"/>
              <w:rPr>
                <w:rFonts w:ascii="宋体" w:hAnsi="宋体" w:eastAsia="宋体"/>
                <w:b/>
                <w:bCs/>
                <w:sz w:val="24"/>
                <w:szCs w:val="24"/>
              </w:rPr>
            </w:pPr>
            <w:r>
              <w:rPr>
                <w:rFonts w:hint="eastAsia" w:ascii="宋体" w:hAnsi="宋体" w:eastAsia="宋体" w:cs="Arial"/>
                <w:sz w:val="24"/>
                <w:szCs w:val="24"/>
                <w:lang w:val="zh-CN"/>
              </w:rPr>
              <w:t>参加本次采购活动谈判响应投标截止时间前</w:t>
            </w:r>
            <w:r>
              <w:rPr>
                <w:rFonts w:hint="eastAsia" w:ascii="宋体" w:hAnsi="宋体" w:cs="Arial"/>
                <w:sz w:val="24"/>
                <w:szCs w:val="24"/>
                <w:lang w:val="zh-CN"/>
              </w:rPr>
              <w:t>六</w:t>
            </w:r>
            <w:r>
              <w:rPr>
                <w:rFonts w:hint="eastAsia" w:ascii="宋体" w:hAnsi="宋体" w:eastAsia="宋体" w:cs="Arial"/>
                <w:sz w:val="24"/>
                <w:szCs w:val="24"/>
                <w:lang w:val="zh-CN"/>
              </w:rPr>
              <w:t>个月内任意一个月缴纳税收凭据。（依法免税的供应商，应提供相应文件证明依法免税）</w:t>
            </w:r>
          </w:p>
        </w:tc>
      </w:tr>
      <w:tr>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5</w:t>
            </w:r>
          </w:p>
        </w:tc>
        <w:tc>
          <w:tcPr>
            <w:tcW w:w="2410" w:type="dxa"/>
            <w:vAlign w:val="center"/>
          </w:tcPr>
          <w:p>
            <w:pPr>
              <w:spacing w:line="360" w:lineRule="auto"/>
              <w:rPr>
                <w:rFonts w:ascii="宋体" w:hAnsi="宋体"/>
                <w:bCs/>
                <w:sz w:val="24"/>
                <w:szCs w:val="24"/>
              </w:rPr>
            </w:pPr>
            <w:r>
              <w:rPr>
                <w:rFonts w:hint="eastAsia" w:ascii="宋体" w:hAnsi="宋体"/>
                <w:b/>
                <w:bCs/>
                <w:sz w:val="24"/>
                <w:szCs w:val="24"/>
              </w:rPr>
              <w:t>依法缴纳社会保障资金的证明材料</w:t>
            </w:r>
          </w:p>
        </w:tc>
        <w:tc>
          <w:tcPr>
            <w:tcW w:w="5954" w:type="dxa"/>
            <w:vAlign w:val="top"/>
          </w:tcPr>
          <w:p>
            <w:pPr>
              <w:spacing w:line="360" w:lineRule="auto"/>
              <w:rPr>
                <w:rFonts w:ascii="宋体" w:hAnsi="宋体" w:eastAsia="宋体"/>
                <w:b/>
                <w:bCs/>
                <w:sz w:val="24"/>
                <w:szCs w:val="24"/>
              </w:rPr>
            </w:pPr>
            <w:r>
              <w:rPr>
                <w:rFonts w:hint="eastAsia" w:ascii="宋体" w:hAnsi="宋体" w:eastAsia="宋体" w:cs="Arial"/>
                <w:sz w:val="24"/>
                <w:szCs w:val="24"/>
                <w:lang w:val="zh-CN"/>
              </w:rPr>
              <w:t>参加本次采购活动谈判响应截止时间前</w:t>
            </w:r>
            <w:r>
              <w:rPr>
                <w:rFonts w:hint="eastAsia" w:ascii="宋体" w:hAnsi="宋体" w:cs="Arial"/>
                <w:sz w:val="24"/>
                <w:szCs w:val="24"/>
                <w:lang w:val="zh-CN"/>
              </w:rPr>
              <w:t>六</w:t>
            </w:r>
            <w:r>
              <w:rPr>
                <w:rFonts w:hint="eastAsia" w:ascii="宋体" w:hAnsi="宋体" w:eastAsia="宋体" w:cs="Arial"/>
                <w:sz w:val="24"/>
                <w:szCs w:val="24"/>
                <w:lang w:val="zh-CN"/>
              </w:rPr>
              <w:t>个月内任意一个月缴纳社会保险资金凭据。（依法不需要缴纳社会保障资金的供应商，应提供相应文件证明依法不需要缴纳社会保障资金）</w:t>
            </w:r>
          </w:p>
        </w:tc>
      </w:tr>
      <w:tr>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6</w:t>
            </w:r>
          </w:p>
        </w:tc>
        <w:tc>
          <w:tcPr>
            <w:tcW w:w="2410" w:type="dxa"/>
            <w:vAlign w:val="center"/>
          </w:tcPr>
          <w:p>
            <w:pPr>
              <w:spacing w:line="360" w:lineRule="auto"/>
              <w:rPr>
                <w:rFonts w:ascii="宋体" w:hAnsi="宋体"/>
                <w:b/>
                <w:sz w:val="24"/>
                <w:szCs w:val="24"/>
              </w:rPr>
            </w:pPr>
            <w:r>
              <w:rPr>
                <w:rFonts w:hint="eastAsia" w:ascii="宋体" w:hAnsi="宋体"/>
                <w:b/>
                <w:bCs/>
                <w:sz w:val="24"/>
                <w:szCs w:val="24"/>
              </w:rPr>
              <w:t>履行合同所必须的设备和专业技术能力的证明材料</w:t>
            </w:r>
          </w:p>
        </w:tc>
        <w:tc>
          <w:tcPr>
            <w:tcW w:w="5954" w:type="dxa"/>
            <w:vAlign w:val="top"/>
          </w:tcPr>
          <w:p>
            <w:pPr>
              <w:spacing w:line="360" w:lineRule="auto"/>
              <w:rPr>
                <w:rFonts w:ascii="宋体" w:hAnsi="宋体"/>
                <w:bCs/>
                <w:sz w:val="24"/>
                <w:szCs w:val="24"/>
              </w:rPr>
            </w:pPr>
            <w:r>
              <w:rPr>
                <w:rFonts w:hint="eastAsia" w:ascii="宋体" w:hAnsi="宋体"/>
                <w:bCs/>
                <w:sz w:val="24"/>
                <w:szCs w:val="24"/>
              </w:rPr>
              <w:t>与本项目投标相关设备的购置发票、专业技术人员职称证书、用工合同等；或供应商具备履行合同所必须的设备和专业技术能力承诺函或声明（承诺函或声明格式自拟）。</w:t>
            </w:r>
          </w:p>
        </w:tc>
      </w:tr>
      <w:tr>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7</w:t>
            </w:r>
          </w:p>
        </w:tc>
        <w:tc>
          <w:tcPr>
            <w:tcW w:w="2410" w:type="dxa"/>
            <w:vAlign w:val="center"/>
          </w:tcPr>
          <w:p>
            <w:pPr>
              <w:spacing w:line="360" w:lineRule="auto"/>
              <w:rPr>
                <w:rFonts w:ascii="宋体" w:hAnsi="宋体"/>
                <w:bCs/>
                <w:sz w:val="24"/>
                <w:szCs w:val="24"/>
              </w:rPr>
            </w:pPr>
            <w:r>
              <w:rPr>
                <w:rFonts w:hint="eastAsia" w:ascii="宋体" w:hAnsi="宋体"/>
                <w:b/>
                <w:bCs/>
                <w:sz w:val="24"/>
                <w:szCs w:val="24"/>
              </w:rPr>
              <w:t>参加政府采购活动前3年内在经营活动中没有重大违法记录的声明</w:t>
            </w:r>
          </w:p>
        </w:tc>
        <w:tc>
          <w:tcPr>
            <w:tcW w:w="5954" w:type="dxa"/>
            <w:vAlign w:val="center"/>
          </w:tcPr>
          <w:p>
            <w:pPr>
              <w:spacing w:line="360" w:lineRule="auto"/>
              <w:jc w:val="left"/>
              <w:rPr>
                <w:rFonts w:ascii="宋体" w:hAnsi="宋体" w:cs="微软雅黑"/>
                <w:bCs/>
                <w:sz w:val="24"/>
                <w:szCs w:val="24"/>
              </w:rPr>
            </w:pPr>
            <w:r>
              <w:rPr>
                <w:rFonts w:hint="eastAsia" w:ascii="宋体" w:hAnsi="宋体" w:cs="微软雅黑"/>
                <w:bCs/>
                <w:sz w:val="24"/>
                <w:szCs w:val="24"/>
              </w:rPr>
              <w:t>如无重大违法记录请按照询价文件提供格式填写。</w:t>
            </w:r>
          </w:p>
          <w:p>
            <w:pPr>
              <w:spacing w:line="360" w:lineRule="auto"/>
              <w:jc w:val="left"/>
              <w:rPr>
                <w:rFonts w:ascii="宋体" w:hAnsi="宋体"/>
                <w:b/>
                <w:bCs/>
                <w:sz w:val="24"/>
                <w:szCs w:val="24"/>
              </w:rPr>
            </w:pPr>
            <w:r>
              <w:rPr>
                <w:rFonts w:hint="eastAsia" w:ascii="宋体" w:hAnsi="宋体"/>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8</w:t>
            </w:r>
          </w:p>
        </w:tc>
        <w:tc>
          <w:tcPr>
            <w:tcW w:w="2410" w:type="dxa"/>
            <w:vAlign w:val="center"/>
          </w:tcPr>
          <w:p>
            <w:pPr>
              <w:spacing w:line="360" w:lineRule="auto"/>
              <w:rPr>
                <w:rFonts w:ascii="宋体" w:hAnsi="宋体"/>
                <w:bCs/>
                <w:sz w:val="24"/>
                <w:szCs w:val="24"/>
              </w:rPr>
            </w:pPr>
            <w:r>
              <w:rPr>
                <w:rFonts w:hint="eastAsia" w:ascii="宋体" w:hAnsi="宋体"/>
                <w:b/>
                <w:bCs/>
                <w:sz w:val="24"/>
                <w:szCs w:val="24"/>
              </w:rPr>
              <w:t>信用记录查询及使用</w:t>
            </w:r>
          </w:p>
        </w:tc>
        <w:tc>
          <w:tcPr>
            <w:tcW w:w="5954" w:type="dxa"/>
            <w:vAlign w:val="top"/>
          </w:tcPr>
          <w:p>
            <w:pPr>
              <w:widowControl/>
              <w:shd w:val="clear" w:color="auto" w:fill="FFFFFF"/>
              <w:spacing w:line="360" w:lineRule="auto"/>
              <w:rPr>
                <w:rFonts w:ascii="宋体" w:hAnsi="宋体" w:cs="宋体"/>
                <w:b/>
                <w:kern w:val="0"/>
                <w:sz w:val="24"/>
                <w:szCs w:val="24"/>
              </w:rPr>
            </w:pPr>
            <w:r>
              <w:rPr>
                <w:rFonts w:hint="eastAsia" w:ascii="宋体" w:hAnsi="宋体"/>
                <w:bCs/>
                <w:sz w:val="24"/>
                <w:szCs w:val="24"/>
              </w:rPr>
              <w:t>供应商未被列入</w:t>
            </w:r>
            <w:r>
              <w:rPr>
                <w:rFonts w:ascii="宋体" w:hAnsi="宋体"/>
                <w:bCs/>
                <w:sz w:val="24"/>
                <w:szCs w:val="24"/>
              </w:rPr>
              <w:t>“信用中国”网站</w:t>
            </w:r>
            <w:r>
              <w:rPr>
                <w:rFonts w:hint="eastAsia" w:ascii="宋体" w:hAnsi="宋体"/>
                <w:bCs/>
                <w:sz w:val="24"/>
                <w:szCs w:val="24"/>
              </w:rPr>
              <w:t>失信被执行人、重大税收违法案件当事人名单、企业经营异常名录、“</w:t>
            </w:r>
            <w:r>
              <w:rPr>
                <w:rFonts w:ascii="宋体" w:hAnsi="宋体"/>
                <w:bCs/>
                <w:sz w:val="24"/>
                <w:szCs w:val="24"/>
              </w:rPr>
              <w:t>中国政府采购网</w:t>
            </w:r>
            <w:r>
              <w:rPr>
                <w:rFonts w:hint="eastAsia" w:ascii="宋体" w:hAnsi="宋体"/>
                <w:bCs/>
                <w:sz w:val="24"/>
                <w:szCs w:val="24"/>
              </w:rPr>
              <w:t>”政府采购严重违法失信行为记录名单、“中国社会组织公共服务平台”网站（</w:t>
            </w:r>
            <w:r>
              <w:rPr>
                <w:rFonts w:ascii="宋体" w:hAnsi="宋体"/>
                <w:bCs/>
                <w:sz w:val="24"/>
                <w:szCs w:val="24"/>
              </w:rPr>
              <w:t>www.chinanpo.gov.cn</w:t>
            </w:r>
            <w:r>
              <w:rPr>
                <w:rFonts w:hint="eastAsia" w:ascii="宋体" w:hAnsi="宋体"/>
                <w:bCs/>
                <w:sz w:val="24"/>
                <w:szCs w:val="24"/>
              </w:rPr>
              <w:t>）严重违法失信社会组织名单的供应商；</w:t>
            </w:r>
            <w:r>
              <w:rPr>
                <w:rFonts w:hint="eastAsia" w:ascii="宋体" w:hAnsi="宋体" w:cs="宋体"/>
                <w:kern w:val="0"/>
                <w:sz w:val="24"/>
                <w:szCs w:val="24"/>
              </w:rPr>
              <w:t>上述查询结果页面</w:t>
            </w:r>
            <w:r>
              <w:rPr>
                <w:rFonts w:ascii="宋体" w:hAnsi="宋体" w:cs="宋体"/>
                <w:kern w:val="0"/>
                <w:sz w:val="24"/>
                <w:szCs w:val="24"/>
              </w:rPr>
              <w:t>截图查询时间应在本公告发布之日起至开</w:t>
            </w:r>
            <w:r>
              <w:rPr>
                <w:rFonts w:hint="eastAsia" w:ascii="宋体" w:hAnsi="宋体" w:cs="宋体"/>
                <w:kern w:val="0"/>
                <w:sz w:val="24"/>
                <w:szCs w:val="24"/>
              </w:rPr>
              <w:t>标前</w:t>
            </w:r>
            <w:r>
              <w:rPr>
                <w:rFonts w:hint="eastAsia" w:ascii="宋体" w:hAnsi="宋体"/>
                <w:bCs/>
                <w:sz w:val="24"/>
                <w:szCs w:val="24"/>
              </w:rPr>
              <w:t>（联合体形式投标的，联合体成员存在不良信用记录，视同联合体存在不良信用记录）。</w:t>
            </w:r>
          </w:p>
          <w:p>
            <w:pPr>
              <w:widowControl/>
              <w:shd w:val="clear" w:color="auto" w:fill="FFFFFF"/>
              <w:spacing w:line="360" w:lineRule="auto"/>
              <w:rPr>
                <w:rFonts w:ascii="宋体" w:hAnsi="宋体" w:cs="宋体"/>
                <w:b/>
                <w:kern w:val="0"/>
                <w:sz w:val="24"/>
                <w:szCs w:val="24"/>
              </w:rPr>
            </w:pPr>
            <w:r>
              <w:rPr>
                <w:rFonts w:hint="eastAsia" w:ascii="宋体" w:hAnsi="宋体"/>
                <w:bCs/>
                <w:sz w:val="24"/>
                <w:szCs w:val="24"/>
              </w:rPr>
              <w:t>（1）查询渠道：</w:t>
            </w:r>
          </w:p>
          <w:p>
            <w:pPr>
              <w:spacing w:line="360" w:lineRule="auto"/>
              <w:rPr>
                <w:rFonts w:ascii="宋体" w:hAnsi="宋体"/>
                <w:bCs/>
                <w:sz w:val="24"/>
                <w:szCs w:val="24"/>
              </w:rPr>
            </w:pPr>
            <w:r>
              <w:rPr>
                <w:rFonts w:hint="eastAsia" w:ascii="宋体" w:hAnsi="宋体"/>
                <w:bCs/>
                <w:sz w:val="24"/>
                <w:szCs w:val="24"/>
              </w:rPr>
              <w:t>①“信用中国”网站（</w:t>
            </w:r>
            <w:r>
              <w:fldChar w:fldCharType="begin"/>
            </w:r>
            <w:r>
              <w:instrText xml:space="preserve"> HYPERLINK "http://www.creditchina.gov.cn" </w:instrText>
            </w:r>
            <w:r>
              <w:fldChar w:fldCharType="separate"/>
            </w:r>
            <w:r>
              <w:rPr>
                <w:rStyle w:val="28"/>
                <w:rFonts w:hint="eastAsia" w:ascii="宋体" w:hAnsi="宋体"/>
                <w:color w:val="auto"/>
                <w:sz w:val="24"/>
                <w:szCs w:val="24"/>
              </w:rPr>
              <w:t>www.creditchina.gov.cn</w:t>
            </w:r>
            <w:r>
              <w:rPr>
                <w:rFonts w:hint="eastAsia" w:ascii="宋体" w:hAnsi="宋体"/>
                <w:color w:val="auto"/>
                <w:sz w:val="24"/>
                <w:szCs w:val="24"/>
              </w:rPr>
              <w:fldChar w:fldCharType="end"/>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bCs/>
                <w:sz w:val="24"/>
                <w:szCs w:val="24"/>
              </w:rPr>
              <w:t>②“中国政府采购网”（www.ccgp.gov.cn）</w:t>
            </w:r>
          </w:p>
          <w:p>
            <w:pPr>
              <w:spacing w:line="360" w:lineRule="auto"/>
              <w:rPr>
                <w:rFonts w:ascii="宋体" w:hAnsi="宋体"/>
                <w:bCs/>
                <w:sz w:val="24"/>
                <w:szCs w:val="24"/>
              </w:rPr>
            </w:pPr>
            <w:r>
              <w:rPr>
                <w:rFonts w:hint="eastAsia" w:ascii="宋体" w:hAnsi="宋体"/>
                <w:bCs/>
                <w:sz w:val="24"/>
                <w:szCs w:val="24"/>
              </w:rPr>
              <w:t>③“中国社会组织公共服务平台”网站（</w:t>
            </w:r>
            <w:r>
              <w:rPr>
                <w:rFonts w:ascii="宋体" w:hAnsi="宋体"/>
                <w:bCs/>
                <w:sz w:val="24"/>
                <w:szCs w:val="24"/>
              </w:rPr>
              <w:t>www.chinanpo.gov.cn</w:t>
            </w:r>
            <w:r>
              <w:rPr>
                <w:rFonts w:hint="eastAsia" w:ascii="宋体" w:hAnsi="宋体"/>
                <w:bCs/>
                <w:sz w:val="24"/>
                <w:szCs w:val="24"/>
              </w:rPr>
              <w:t>）（仅查询社会组织）；</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（3）信用信息查询记录和证据留存具体方式：查询时要将查询网页内容进行截图，截图内容要完整清晰，经</w:t>
            </w:r>
            <w:r>
              <w:rPr>
                <w:rFonts w:hint="eastAsia" w:ascii="宋体" w:hAnsi="宋体" w:cs="宋体"/>
                <w:kern w:val="0"/>
                <w:sz w:val="24"/>
                <w:szCs w:val="24"/>
              </w:rPr>
              <w:t>询价小组</w:t>
            </w:r>
            <w:r>
              <w:rPr>
                <w:rFonts w:hint="eastAsia" w:ascii="宋体" w:hAnsi="宋体"/>
                <w:bCs/>
                <w:sz w:val="24"/>
                <w:szCs w:val="24"/>
              </w:rPr>
              <w:t>确认的查询结果网页截图作为查询记录和证据，与其他采购文件一并保存；</w:t>
            </w:r>
          </w:p>
          <w:p>
            <w:pPr>
              <w:spacing w:line="360" w:lineRule="auto"/>
              <w:rPr>
                <w:rFonts w:ascii="宋体" w:hAnsi="宋体"/>
                <w:b/>
                <w:bCs/>
                <w:sz w:val="24"/>
                <w:szCs w:val="24"/>
              </w:rPr>
            </w:pPr>
            <w:r>
              <w:rPr>
                <w:rFonts w:hint="eastAsia" w:ascii="宋体" w:hAnsi="宋体"/>
                <w:bCs/>
                <w:sz w:val="24"/>
                <w:szCs w:val="24"/>
              </w:rPr>
              <w:t>（4）信用信息的使用原则：经</w:t>
            </w:r>
            <w:r>
              <w:rPr>
                <w:rFonts w:hint="eastAsia" w:ascii="宋体" w:hAnsi="宋体" w:cs="宋体"/>
                <w:kern w:val="0"/>
                <w:sz w:val="24"/>
                <w:szCs w:val="24"/>
              </w:rPr>
              <w:t>询价小组</w:t>
            </w:r>
            <w:r>
              <w:rPr>
                <w:rFonts w:hint="eastAsia" w:ascii="宋体" w:hAnsi="宋体"/>
                <w:bCs/>
                <w:sz w:val="24"/>
                <w:szCs w:val="24"/>
              </w:rPr>
              <w:t>确认认定的被列入失信被执行人、重大税收违法案件当事人名单、企业经营异常名录的供应商，严重违法失信社会组织名单的社会组织，将拒绝其参与本次政府采购活动。</w:t>
            </w:r>
          </w:p>
        </w:tc>
      </w:tr>
      <w:tr>
        <w:trPr>
          <w:trHeight w:val="624" w:hRule="atLeast"/>
        </w:trPr>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9</w:t>
            </w:r>
          </w:p>
        </w:tc>
        <w:tc>
          <w:tcPr>
            <w:tcW w:w="2410" w:type="dxa"/>
            <w:vAlign w:val="center"/>
          </w:tcPr>
          <w:p>
            <w:pPr>
              <w:spacing w:line="360" w:lineRule="auto"/>
              <w:rPr>
                <w:rFonts w:ascii="宋体" w:hAnsi="宋体"/>
                <w:b/>
                <w:sz w:val="24"/>
                <w:szCs w:val="24"/>
              </w:rPr>
            </w:pPr>
            <w:r>
              <w:rPr>
                <w:rFonts w:hint="eastAsia" w:ascii="宋体" w:hAnsi="宋体"/>
                <w:b/>
                <w:sz w:val="24"/>
                <w:szCs w:val="24"/>
              </w:rPr>
              <w:t>供应商须具备的特殊</w:t>
            </w:r>
          </w:p>
          <w:p>
            <w:pPr>
              <w:spacing w:line="360" w:lineRule="auto"/>
              <w:rPr>
                <w:rFonts w:ascii="宋体" w:hAnsi="宋体"/>
                <w:b/>
                <w:bCs/>
                <w:sz w:val="24"/>
                <w:szCs w:val="24"/>
              </w:rPr>
            </w:pPr>
            <w:r>
              <w:rPr>
                <w:rFonts w:hint="eastAsia" w:ascii="宋体" w:hAnsi="宋体"/>
                <w:b/>
                <w:sz w:val="24"/>
                <w:szCs w:val="24"/>
              </w:rPr>
              <w:t>资质证书</w:t>
            </w:r>
          </w:p>
        </w:tc>
        <w:tc>
          <w:tcPr>
            <w:tcW w:w="5954" w:type="dxa"/>
            <w:vAlign w:val="center"/>
          </w:tcPr>
          <w:p>
            <w:pPr>
              <w:spacing w:line="360" w:lineRule="auto"/>
              <w:rPr>
                <w:rFonts w:ascii="宋体" w:hAnsi="宋体"/>
                <w:b/>
                <w:bCs/>
                <w:sz w:val="24"/>
                <w:szCs w:val="24"/>
              </w:rPr>
            </w:pPr>
            <w:r>
              <w:rPr>
                <w:rFonts w:hint="eastAsia" w:ascii="宋体" w:hAnsi="宋体" w:cs="仿宋_GB2312"/>
                <w:sz w:val="24"/>
                <w:szCs w:val="24"/>
                <w:lang w:val="zh-CN"/>
              </w:rPr>
              <w:t>无</w:t>
            </w:r>
          </w:p>
        </w:tc>
      </w:tr>
      <w:tr>
        <w:trPr>
          <w:trHeight w:val="624" w:hRule="atLeast"/>
        </w:trPr>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10</w:t>
            </w:r>
          </w:p>
        </w:tc>
        <w:tc>
          <w:tcPr>
            <w:tcW w:w="2410" w:type="dxa"/>
            <w:vAlign w:val="center"/>
          </w:tcPr>
          <w:p>
            <w:pPr>
              <w:spacing w:line="360" w:lineRule="auto"/>
              <w:rPr>
                <w:rFonts w:ascii="宋体" w:hAnsi="宋体"/>
                <w:b/>
                <w:bCs/>
                <w:sz w:val="24"/>
                <w:szCs w:val="24"/>
              </w:rPr>
            </w:pPr>
            <w:r>
              <w:rPr>
                <w:rFonts w:hint="eastAsia" w:ascii="宋体" w:hAnsi="宋体"/>
                <w:b/>
                <w:bCs/>
                <w:sz w:val="24"/>
                <w:szCs w:val="24"/>
              </w:rPr>
              <w:t>响应报价</w:t>
            </w:r>
          </w:p>
        </w:tc>
        <w:tc>
          <w:tcPr>
            <w:tcW w:w="5954" w:type="dxa"/>
            <w:vAlign w:val="top"/>
          </w:tcPr>
          <w:p>
            <w:pPr>
              <w:spacing w:line="360" w:lineRule="auto"/>
              <w:rPr>
                <w:rFonts w:ascii="宋体" w:hAnsi="宋体"/>
                <w:b/>
                <w:bCs/>
                <w:sz w:val="24"/>
                <w:szCs w:val="24"/>
              </w:rPr>
            </w:pPr>
            <w:r>
              <w:rPr>
                <w:rFonts w:hint="eastAsia" w:ascii="宋体" w:hAnsi="宋体" w:cs="仿宋_GB2312"/>
                <w:sz w:val="24"/>
                <w:szCs w:val="24"/>
                <w:lang w:val="zh-CN"/>
              </w:rPr>
              <w:t>响应报价是否超出询价文件中规定的预算金额，超出预算金额的报价无效。</w:t>
            </w:r>
          </w:p>
        </w:tc>
      </w:tr>
      <w:tr>
        <w:trPr>
          <w:trHeight w:val="624" w:hRule="atLeast"/>
        </w:trPr>
        <w:tc>
          <w:tcPr>
            <w:tcW w:w="675" w:type="dxa"/>
            <w:vAlign w:val="center"/>
          </w:tcPr>
          <w:p>
            <w:pPr>
              <w:spacing w:line="360" w:lineRule="auto"/>
              <w:jc w:val="center"/>
              <w:rPr>
                <w:rFonts w:ascii="宋体" w:hAnsi="宋体"/>
                <w:b/>
                <w:bCs/>
                <w:sz w:val="24"/>
                <w:szCs w:val="24"/>
              </w:rPr>
            </w:pPr>
            <w:r>
              <w:rPr>
                <w:rFonts w:hint="eastAsia" w:ascii="宋体" w:hAnsi="宋体"/>
                <w:b/>
                <w:bCs/>
                <w:sz w:val="24"/>
                <w:szCs w:val="24"/>
              </w:rPr>
              <w:t>11</w:t>
            </w:r>
          </w:p>
        </w:tc>
        <w:tc>
          <w:tcPr>
            <w:tcW w:w="2410" w:type="dxa"/>
            <w:vAlign w:val="center"/>
          </w:tcPr>
          <w:p>
            <w:pPr>
              <w:spacing w:line="360" w:lineRule="auto"/>
              <w:rPr>
                <w:rFonts w:ascii="宋体" w:hAnsi="宋体"/>
                <w:sz w:val="24"/>
                <w:szCs w:val="24"/>
              </w:rPr>
            </w:pPr>
            <w:r>
              <w:rPr>
                <w:rFonts w:hint="eastAsia" w:ascii="宋体" w:hAnsi="宋体"/>
                <w:b/>
                <w:sz w:val="24"/>
                <w:szCs w:val="24"/>
              </w:rPr>
              <w:t>投标保证金</w:t>
            </w:r>
          </w:p>
        </w:tc>
        <w:tc>
          <w:tcPr>
            <w:tcW w:w="5954" w:type="dxa"/>
            <w:vAlign w:val="center"/>
          </w:tcPr>
          <w:p>
            <w:pPr>
              <w:spacing w:line="360" w:lineRule="auto"/>
              <w:rPr>
                <w:rFonts w:ascii="宋体" w:hAnsi="宋体"/>
                <w:b/>
                <w:sz w:val="24"/>
                <w:szCs w:val="24"/>
              </w:rPr>
            </w:pPr>
            <w:r>
              <w:rPr>
                <w:rFonts w:hint="eastAsia" w:ascii="宋体" w:hAnsi="宋体" w:cs="仿宋_GB2312"/>
                <w:sz w:val="24"/>
                <w:szCs w:val="24"/>
                <w:lang w:val="zh-CN"/>
              </w:rPr>
              <w:t>投标人以投标承诺函的形式替代投标保证金。</w:t>
            </w:r>
          </w:p>
        </w:tc>
      </w:tr>
      <w:tr>
        <w:trPr>
          <w:trHeight w:val="624" w:hRule="atLeast"/>
        </w:trPr>
        <w:tc>
          <w:tcPr>
            <w:tcW w:w="675" w:type="dxa"/>
            <w:vAlign w:val="center"/>
          </w:tcPr>
          <w:p>
            <w:pPr>
              <w:spacing w:line="360" w:lineRule="auto"/>
              <w:jc w:val="center"/>
              <w:rPr>
                <w:rFonts w:ascii="宋体" w:hAnsi="宋体"/>
                <w:b/>
                <w:sz w:val="24"/>
                <w:szCs w:val="24"/>
              </w:rPr>
            </w:pPr>
            <w:r>
              <w:rPr>
                <w:rFonts w:hint="eastAsia" w:ascii="宋体" w:hAnsi="宋体"/>
                <w:b/>
                <w:sz w:val="24"/>
                <w:szCs w:val="24"/>
              </w:rPr>
              <w:t>12</w:t>
            </w:r>
          </w:p>
        </w:tc>
        <w:tc>
          <w:tcPr>
            <w:tcW w:w="2410" w:type="dxa"/>
            <w:vAlign w:val="center"/>
          </w:tcPr>
          <w:p>
            <w:pPr>
              <w:spacing w:line="360" w:lineRule="auto"/>
              <w:rPr>
                <w:rFonts w:ascii="宋体" w:hAnsi="宋体"/>
                <w:b/>
                <w:bCs/>
                <w:sz w:val="24"/>
                <w:szCs w:val="24"/>
              </w:rPr>
            </w:pPr>
            <w:r>
              <w:rPr>
                <w:rFonts w:hint="eastAsia" w:ascii="宋体" w:hAnsi="宋体"/>
                <w:b/>
                <w:bCs/>
                <w:sz w:val="24"/>
                <w:szCs w:val="24"/>
              </w:rPr>
              <w:t>联合体协议</w:t>
            </w:r>
          </w:p>
        </w:tc>
        <w:tc>
          <w:tcPr>
            <w:tcW w:w="5954" w:type="dxa"/>
            <w:vAlign w:val="top"/>
          </w:tcPr>
          <w:p>
            <w:pPr>
              <w:spacing w:line="360" w:lineRule="auto"/>
              <w:rPr>
                <w:rFonts w:ascii="宋体" w:hAnsi="宋体"/>
                <w:b/>
                <w:bCs/>
                <w:sz w:val="24"/>
                <w:szCs w:val="24"/>
              </w:rPr>
            </w:pPr>
            <w:r>
              <w:rPr>
                <w:rFonts w:hint="eastAsia" w:ascii="宋体" w:hAnsi="宋体"/>
                <w:bCs/>
                <w:sz w:val="24"/>
                <w:szCs w:val="24"/>
              </w:rPr>
              <w:t>询价文件接受联合体投标且供应商为联合体的，供应商应提供本协议；否则无须提供。</w:t>
            </w:r>
          </w:p>
        </w:tc>
      </w:tr>
      <w:tr>
        <w:trPr>
          <w:trHeight w:val="567" w:hRule="atLeast"/>
        </w:trPr>
        <w:tc>
          <w:tcPr>
            <w:tcW w:w="675" w:type="dxa"/>
            <w:vAlign w:val="center"/>
          </w:tcPr>
          <w:p>
            <w:pPr>
              <w:spacing w:line="360" w:lineRule="auto"/>
              <w:contextualSpacing/>
              <w:jc w:val="center"/>
              <w:rPr>
                <w:rFonts w:ascii="宋体" w:hAnsi="宋体"/>
                <w:b/>
                <w:sz w:val="24"/>
                <w:szCs w:val="24"/>
              </w:rPr>
            </w:pPr>
            <w:r>
              <w:rPr>
                <w:rFonts w:hint="eastAsia" w:ascii="宋体" w:hAnsi="宋体"/>
                <w:b/>
                <w:sz w:val="24"/>
                <w:szCs w:val="24"/>
              </w:rPr>
              <w:t>13</w:t>
            </w:r>
          </w:p>
        </w:tc>
        <w:tc>
          <w:tcPr>
            <w:tcW w:w="2410" w:type="dxa"/>
            <w:vAlign w:val="center"/>
          </w:tcPr>
          <w:p>
            <w:pPr>
              <w:spacing w:line="360" w:lineRule="auto"/>
              <w:contextualSpacing/>
              <w:rPr>
                <w:rFonts w:ascii="宋体" w:hAnsi="宋体"/>
                <w:b/>
                <w:sz w:val="24"/>
                <w:szCs w:val="24"/>
              </w:rPr>
            </w:pPr>
            <w:r>
              <w:rPr>
                <w:rFonts w:hint="eastAsia" w:ascii="宋体" w:hAnsi="宋体"/>
                <w:b/>
                <w:sz w:val="24"/>
                <w:szCs w:val="24"/>
              </w:rPr>
              <w:t>供应商身份证明及授权</w:t>
            </w:r>
          </w:p>
        </w:tc>
        <w:tc>
          <w:tcPr>
            <w:tcW w:w="5954" w:type="dxa"/>
            <w:vAlign w:val="top"/>
          </w:tcPr>
          <w:p>
            <w:pPr>
              <w:spacing w:line="360" w:lineRule="auto"/>
              <w:rPr>
                <w:rFonts w:ascii="宋体" w:hAnsi="宋体"/>
                <w:bCs/>
                <w:sz w:val="24"/>
                <w:szCs w:val="24"/>
              </w:rPr>
            </w:pPr>
            <w:r>
              <w:rPr>
                <w:rFonts w:hint="eastAsia" w:ascii="宋体" w:hAnsi="宋体"/>
                <w:bCs/>
                <w:sz w:val="24"/>
                <w:szCs w:val="24"/>
              </w:rPr>
              <w:t>（1）法定代表人身份证明或提供法定代表人授权委托书及被授权人身份证明。（法人提供）</w:t>
            </w:r>
          </w:p>
          <w:p>
            <w:pPr>
              <w:spacing w:line="360" w:lineRule="auto"/>
              <w:rPr>
                <w:rFonts w:ascii="宋体" w:hAnsi="宋体"/>
                <w:bCs/>
                <w:sz w:val="24"/>
                <w:szCs w:val="24"/>
              </w:rPr>
            </w:pPr>
            <w:r>
              <w:rPr>
                <w:rFonts w:hint="eastAsia" w:ascii="宋体" w:hAnsi="宋体"/>
                <w:bCs/>
                <w:sz w:val="24"/>
                <w:szCs w:val="24"/>
              </w:rPr>
              <w:t>（2）单位负责人身份证明或提供单位负责人授权委托书及被授权人身份证明。（非法人提供）</w:t>
            </w:r>
          </w:p>
          <w:p>
            <w:pPr>
              <w:spacing w:line="360" w:lineRule="auto"/>
              <w:rPr>
                <w:rFonts w:ascii="宋体" w:hAnsi="宋体"/>
                <w:bCs/>
                <w:sz w:val="24"/>
                <w:szCs w:val="24"/>
              </w:rPr>
            </w:pPr>
            <w:r>
              <w:rPr>
                <w:rFonts w:hint="eastAsia" w:ascii="宋体" w:hAnsi="宋体"/>
                <w:bCs/>
                <w:sz w:val="24"/>
                <w:szCs w:val="24"/>
              </w:rPr>
              <w:t>注：</w:t>
            </w:r>
          </w:p>
          <w:p>
            <w:pPr>
              <w:spacing w:line="360" w:lineRule="auto"/>
              <w:rPr>
                <w:rFonts w:ascii="宋体" w:hAnsi="宋体"/>
                <w:bCs/>
                <w:sz w:val="24"/>
                <w:szCs w:val="24"/>
              </w:rPr>
            </w:pPr>
            <w:r>
              <w:rPr>
                <w:rFonts w:hint="eastAsia" w:ascii="宋体" w:hAnsi="宋体"/>
                <w:bCs/>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宋体" w:hAnsi="宋体"/>
                <w:bCs/>
                <w:sz w:val="24"/>
                <w:szCs w:val="24"/>
              </w:rPr>
            </w:pPr>
            <w:r>
              <w:rPr>
                <w:rFonts w:hint="eastAsia" w:ascii="宋体" w:hAnsi="宋体"/>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宋体" w:hAnsi="宋体" w:cs="仿宋_GB2312"/>
                <w:sz w:val="24"/>
                <w:szCs w:val="24"/>
                <w:lang w:val="zh-CN"/>
              </w:rPr>
            </w:pPr>
            <w:r>
              <w:rPr>
                <w:rFonts w:hint="eastAsia" w:ascii="宋体" w:hAnsi="宋体"/>
                <w:bCs/>
                <w:sz w:val="24"/>
                <w:szCs w:val="24"/>
              </w:rPr>
              <w:t>③供应商为自然人的，无需填写法定代表人授权书。</w:t>
            </w:r>
          </w:p>
        </w:tc>
      </w:tr>
      <w:tr>
        <w:trPr>
          <w:trHeight w:val="567" w:hRule="atLeast"/>
        </w:trPr>
        <w:tc>
          <w:tcPr>
            <w:tcW w:w="675" w:type="dxa"/>
            <w:vAlign w:val="center"/>
          </w:tcPr>
          <w:p>
            <w:pPr>
              <w:spacing w:line="360" w:lineRule="auto"/>
              <w:contextualSpacing/>
              <w:jc w:val="center"/>
              <w:rPr>
                <w:rFonts w:ascii="宋体" w:hAnsi="宋体"/>
                <w:b/>
                <w:sz w:val="24"/>
                <w:szCs w:val="24"/>
              </w:rPr>
            </w:pPr>
            <w:r>
              <w:rPr>
                <w:rFonts w:hint="eastAsia" w:ascii="宋体" w:hAnsi="宋体"/>
                <w:b/>
                <w:sz w:val="24"/>
                <w:szCs w:val="24"/>
              </w:rPr>
              <w:t>14</w:t>
            </w:r>
          </w:p>
        </w:tc>
        <w:tc>
          <w:tcPr>
            <w:tcW w:w="2410" w:type="dxa"/>
            <w:vAlign w:val="center"/>
          </w:tcPr>
          <w:p>
            <w:pPr>
              <w:spacing w:line="360" w:lineRule="auto"/>
              <w:rPr>
                <w:rFonts w:ascii="宋体" w:hAnsi="宋体"/>
                <w:b/>
                <w:bCs/>
                <w:sz w:val="24"/>
                <w:szCs w:val="24"/>
              </w:rPr>
            </w:pPr>
            <w:r>
              <w:rPr>
                <w:rFonts w:hint="eastAsia" w:ascii="宋体" w:hAnsi="宋体"/>
                <w:b/>
                <w:bCs/>
                <w:sz w:val="24"/>
                <w:szCs w:val="24"/>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 w:val="24"/>
                <w:szCs w:val="24"/>
                <w:lang w:val="zh-CN"/>
              </w:rPr>
            </w:pPr>
            <w:r>
              <w:rPr>
                <w:rFonts w:hint="eastAsia" w:ascii="宋体" w:hAnsi="宋体" w:cs="仿宋_GB2312"/>
                <w:sz w:val="24"/>
                <w:szCs w:val="24"/>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 w:val="24"/>
                <w:szCs w:val="24"/>
                <w:lang w:val="zh-CN"/>
              </w:rPr>
            </w:pPr>
          </w:p>
        </w:tc>
      </w:tr>
      <w:tr>
        <w:trPr>
          <w:trHeight w:val="567" w:hRule="atLeast"/>
        </w:trPr>
        <w:tc>
          <w:tcPr>
            <w:tcW w:w="675" w:type="dxa"/>
            <w:vAlign w:val="center"/>
          </w:tcPr>
          <w:p>
            <w:pPr>
              <w:spacing w:line="360" w:lineRule="auto"/>
              <w:contextualSpacing/>
              <w:jc w:val="center"/>
              <w:rPr>
                <w:rFonts w:ascii="宋体" w:hAnsi="宋体"/>
                <w:b/>
                <w:sz w:val="24"/>
                <w:szCs w:val="24"/>
              </w:rPr>
            </w:pPr>
            <w:r>
              <w:rPr>
                <w:rFonts w:hint="eastAsia" w:ascii="宋体" w:hAnsi="宋体"/>
                <w:b/>
                <w:sz w:val="24"/>
                <w:szCs w:val="24"/>
              </w:rPr>
              <w:t>15</w:t>
            </w:r>
          </w:p>
        </w:tc>
        <w:tc>
          <w:tcPr>
            <w:tcW w:w="2410" w:type="dxa"/>
            <w:vAlign w:val="center"/>
          </w:tcPr>
          <w:p>
            <w:pPr>
              <w:spacing w:line="360" w:lineRule="auto"/>
              <w:rPr>
                <w:rFonts w:ascii="宋体" w:hAnsi="宋体"/>
                <w:b/>
                <w:bCs/>
                <w:sz w:val="24"/>
                <w:szCs w:val="24"/>
              </w:rPr>
            </w:pPr>
            <w:r>
              <w:rPr>
                <w:rFonts w:hint="eastAsia" w:ascii="宋体" w:hAnsi="宋体"/>
                <w:b/>
                <w:bCs/>
                <w:sz w:val="24"/>
                <w:szCs w:val="24"/>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 w:val="24"/>
                <w:szCs w:val="24"/>
                <w:lang w:val="zh-CN"/>
              </w:rPr>
            </w:pPr>
            <w:r>
              <w:rPr>
                <w:rFonts w:hint="eastAsia" w:ascii="宋体" w:hAnsi="宋体" w:cs="仿宋_GB2312"/>
                <w:sz w:val="24"/>
                <w:szCs w:val="24"/>
                <w:lang w:val="zh-CN"/>
              </w:rPr>
              <w:t>供应商提供未为本项目提供整体设计、规范编制或者项目管理、监理、检测等服务承诺函（承诺函格式自拟）。</w:t>
            </w:r>
          </w:p>
          <w:p>
            <w:pPr>
              <w:spacing w:line="360" w:lineRule="auto"/>
              <w:rPr>
                <w:rFonts w:ascii="宋体" w:hAnsi="宋体"/>
                <w:bCs/>
                <w:sz w:val="24"/>
                <w:szCs w:val="24"/>
              </w:rPr>
            </w:pPr>
          </w:p>
        </w:tc>
      </w:tr>
    </w:tbl>
    <w:p>
      <w:pPr>
        <w:pStyle w:val="16"/>
        <w:spacing w:line="360" w:lineRule="auto"/>
        <w:ind w:firstLine="482" w:firstLineChars="200"/>
        <w:contextualSpacing/>
        <w:rPr>
          <w:rFonts w:ascii="宋体" w:hAnsi="宋体" w:eastAsia="宋体" w:cs="仿宋_GB2312"/>
          <w:b/>
          <w:szCs w:val="24"/>
          <w:lang w:val="zh-CN"/>
        </w:rPr>
      </w:pPr>
    </w:p>
    <w:p>
      <w:pPr>
        <w:pStyle w:val="16"/>
        <w:spacing w:line="360" w:lineRule="auto"/>
        <w:contextualSpacing/>
        <w:rPr>
          <w:rFonts w:ascii="宋体" w:hAnsi="宋体" w:eastAsia="宋体" w:cs="仿宋_GB2312"/>
          <w:b/>
          <w:szCs w:val="24"/>
          <w:lang w:val="zh-CN"/>
        </w:rPr>
      </w:pPr>
      <w:r>
        <w:rPr>
          <w:rFonts w:hint="eastAsia" w:ascii="宋体" w:hAnsi="宋体" w:eastAsia="宋体" w:cs="仿宋_GB2312"/>
          <w:b/>
          <w:szCs w:val="24"/>
          <w:lang w:val="zh-CN"/>
        </w:rPr>
        <w:t>二、评审</w:t>
      </w:r>
    </w:p>
    <w:p>
      <w:pPr>
        <w:pStyle w:val="16"/>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（一）评审方法</w:t>
      </w:r>
    </w:p>
    <w:p>
      <w:pPr>
        <w:pStyle w:val="16"/>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从质量和服务均能满足采购文件实质性响应要求的供应商中，按照报价由低到高的顺序提出</w:t>
      </w:r>
      <w:r>
        <w:rPr>
          <w:rFonts w:ascii="宋体" w:hAnsi="宋体" w:eastAsia="宋体" w:cs="仿宋_GB2312"/>
          <w:szCs w:val="24"/>
          <w:lang w:val="zh-CN"/>
        </w:rPr>
        <w:t>3</w:t>
      </w:r>
      <w:r>
        <w:rPr>
          <w:rFonts w:hint="eastAsia" w:ascii="宋体" w:hAnsi="宋体" w:eastAsia="宋体" w:cs="仿宋_GB2312"/>
          <w:szCs w:val="24"/>
          <w:lang w:val="zh-CN"/>
        </w:rPr>
        <w:t>名成交候选人。根据规定</w:t>
      </w:r>
      <w:r>
        <w:rPr>
          <w:rFonts w:ascii="宋体" w:hAnsi="宋体" w:eastAsia="宋体" w:cs="仿宋_GB2312"/>
          <w:szCs w:val="24"/>
          <w:lang w:val="zh-CN"/>
        </w:rPr>
        <w:t>,</w:t>
      </w:r>
      <w:r>
        <w:rPr>
          <w:rFonts w:hint="eastAsia" w:ascii="宋体" w:hAnsi="宋体" w:eastAsia="宋体" w:cs="仿宋_GB2312"/>
          <w:szCs w:val="24"/>
          <w:lang w:val="zh-CN"/>
        </w:rPr>
        <w:t>采购人按照成交候选人排名顺序确定成交供应商。</w:t>
      </w:r>
    </w:p>
    <w:p>
      <w:pPr>
        <w:pStyle w:val="16"/>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（二）落实政府采购政策及强制性认证</w:t>
      </w:r>
    </w:p>
    <w:p>
      <w:pPr>
        <w:pStyle w:val="16"/>
        <w:spacing w:line="360" w:lineRule="auto"/>
        <w:ind w:firstLine="482" w:firstLineChars="200"/>
        <w:contextualSpacing/>
        <w:jc w:val="left"/>
        <w:rPr>
          <w:rFonts w:ascii="宋体" w:hAnsi="宋体" w:cs="仿宋_GB2312"/>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因落实政府采购政策进行价格调整的，以调整后的价格计算报价。</w:t>
      </w:r>
    </w:p>
    <w:p>
      <w:pPr>
        <w:pStyle w:val="16"/>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6"/>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小型和微型企业不包含民办非企业单位。</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80" w:firstLineChars="200"/>
        <w:contextualSpacing/>
        <w:rPr>
          <w:rFonts w:ascii="宋体" w:hAnsi="宋体" w:eastAsia="宋体"/>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Cs w:val="24"/>
        </w:rPr>
        <w:t>残疾人福利性单位属于小型、微型企业的，不重复享受政策。</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落实政府采购政策计算报价</w:t>
      </w:r>
    </w:p>
    <w:tbl>
      <w:tblPr>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rPr>
          <w:trHeight w:val="557" w:hRule="atLeast"/>
        </w:trPr>
        <w:tc>
          <w:tcPr>
            <w:tcW w:w="721" w:type="dxa"/>
            <w:vAlign w:val="center"/>
          </w:tcPr>
          <w:p>
            <w:pPr>
              <w:jc w:val="center"/>
              <w:rPr>
                <w:rFonts w:ascii="宋体" w:hAnsi="宋体"/>
                <w:b/>
                <w:sz w:val="24"/>
                <w:szCs w:val="24"/>
              </w:rPr>
            </w:pPr>
            <w:r>
              <w:rPr>
                <w:rFonts w:hint="eastAsia" w:ascii="宋体" w:hAnsi="宋体"/>
                <w:b/>
                <w:sz w:val="24"/>
                <w:szCs w:val="24"/>
              </w:rPr>
              <w:t>序号</w:t>
            </w:r>
          </w:p>
        </w:tc>
        <w:tc>
          <w:tcPr>
            <w:tcW w:w="2823" w:type="dxa"/>
            <w:vAlign w:val="center"/>
          </w:tcPr>
          <w:p>
            <w:pPr>
              <w:jc w:val="center"/>
              <w:rPr>
                <w:rFonts w:ascii="宋体" w:hAnsi="宋体"/>
                <w:b/>
                <w:sz w:val="24"/>
                <w:szCs w:val="24"/>
              </w:rPr>
            </w:pPr>
            <w:r>
              <w:rPr>
                <w:rFonts w:hint="eastAsia" w:ascii="宋体" w:hAnsi="宋体"/>
                <w:b/>
                <w:sz w:val="24"/>
                <w:szCs w:val="24"/>
              </w:rPr>
              <w:t>情形</w:t>
            </w:r>
          </w:p>
        </w:tc>
        <w:tc>
          <w:tcPr>
            <w:tcW w:w="2552" w:type="dxa"/>
            <w:vAlign w:val="center"/>
          </w:tcPr>
          <w:p>
            <w:pPr>
              <w:jc w:val="center"/>
              <w:rPr>
                <w:rFonts w:ascii="宋体" w:hAnsi="宋体"/>
                <w:b/>
                <w:sz w:val="24"/>
                <w:szCs w:val="24"/>
              </w:rPr>
            </w:pPr>
            <w:r>
              <w:rPr>
                <w:rFonts w:hint="eastAsia" w:ascii="宋体" w:hAnsi="宋体"/>
                <w:b/>
                <w:sz w:val="24"/>
                <w:szCs w:val="24"/>
              </w:rPr>
              <w:t>价格扣除比例</w:t>
            </w:r>
          </w:p>
        </w:tc>
        <w:tc>
          <w:tcPr>
            <w:tcW w:w="2835" w:type="dxa"/>
            <w:vAlign w:val="center"/>
          </w:tcPr>
          <w:p>
            <w:pPr>
              <w:jc w:val="center"/>
              <w:rPr>
                <w:rFonts w:ascii="宋体" w:hAnsi="宋体"/>
                <w:b/>
                <w:sz w:val="24"/>
                <w:szCs w:val="24"/>
              </w:rPr>
            </w:pPr>
            <w:r>
              <w:rPr>
                <w:rFonts w:hint="eastAsia" w:ascii="宋体" w:hAnsi="宋体"/>
                <w:b/>
                <w:sz w:val="24"/>
                <w:szCs w:val="24"/>
              </w:rPr>
              <w:t>计算公式</w:t>
            </w:r>
          </w:p>
        </w:tc>
      </w:tr>
      <w:tr>
        <w:trPr>
          <w:trHeight w:val="891" w:hRule="atLeast"/>
        </w:trPr>
        <w:tc>
          <w:tcPr>
            <w:tcW w:w="721" w:type="dxa"/>
            <w:vAlign w:val="center"/>
          </w:tcPr>
          <w:p>
            <w:pPr>
              <w:jc w:val="center"/>
              <w:rPr>
                <w:rFonts w:ascii="宋体" w:hAnsi="宋体"/>
                <w:b/>
                <w:sz w:val="24"/>
                <w:szCs w:val="24"/>
              </w:rPr>
            </w:pPr>
            <w:r>
              <w:rPr>
                <w:rFonts w:hint="eastAsia" w:ascii="宋体" w:hAnsi="宋体"/>
                <w:b/>
                <w:sz w:val="24"/>
                <w:szCs w:val="24"/>
              </w:rPr>
              <w:t>1</w:t>
            </w:r>
          </w:p>
        </w:tc>
        <w:tc>
          <w:tcPr>
            <w:tcW w:w="2823" w:type="dxa"/>
            <w:vAlign w:val="center"/>
          </w:tcPr>
          <w:p>
            <w:pPr>
              <w:jc w:val="center"/>
              <w:rPr>
                <w:rFonts w:ascii="宋体" w:hAnsi="宋体"/>
                <w:b/>
                <w:sz w:val="24"/>
                <w:szCs w:val="24"/>
              </w:rPr>
            </w:pPr>
            <w:r>
              <w:rPr>
                <w:rFonts w:hint="eastAsia" w:ascii="宋体" w:hAnsi="宋体"/>
                <w:sz w:val="24"/>
                <w:szCs w:val="24"/>
              </w:rPr>
              <w:t>非联合体供应商</w:t>
            </w:r>
          </w:p>
        </w:tc>
        <w:tc>
          <w:tcPr>
            <w:tcW w:w="2552" w:type="dxa"/>
            <w:vAlign w:val="center"/>
          </w:tcPr>
          <w:p>
            <w:pPr>
              <w:jc w:val="center"/>
              <w:rPr>
                <w:rFonts w:ascii="宋体" w:hAnsi="宋体"/>
                <w:b/>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sz w:val="24"/>
                <w:szCs w:val="24"/>
              </w:rPr>
            </w:pPr>
            <w:r>
              <w:rPr>
                <w:rFonts w:hint="eastAsia"/>
                <w:sz w:val="24"/>
                <w:szCs w:val="24"/>
              </w:rPr>
              <w:t>评审价格＝响应报价—小型和微型企业产品的价格</w:t>
            </w:r>
            <w:r>
              <w:rPr>
                <w:rFonts w:hint="eastAsia" w:ascii="宋体" w:hAnsi="宋体"/>
                <w:sz w:val="24"/>
                <w:szCs w:val="24"/>
              </w:rPr>
              <w:t>×</w:t>
            </w:r>
            <w:r>
              <w:rPr>
                <w:rFonts w:hint="eastAsia"/>
                <w:sz w:val="24"/>
                <w:szCs w:val="24"/>
              </w:rPr>
              <w:t>6%</w:t>
            </w:r>
          </w:p>
          <w:p>
            <w:pPr>
              <w:jc w:val="center"/>
              <w:rPr>
                <w:rFonts w:ascii="宋体" w:hAnsi="宋体"/>
                <w:b/>
                <w:sz w:val="24"/>
                <w:szCs w:val="24"/>
              </w:rPr>
            </w:pPr>
          </w:p>
        </w:tc>
      </w:tr>
      <w:tr>
        <w:trPr>
          <w:trHeight w:val="1414" w:hRule="atLeast"/>
        </w:trPr>
        <w:tc>
          <w:tcPr>
            <w:tcW w:w="721" w:type="dxa"/>
            <w:vAlign w:val="center"/>
          </w:tcPr>
          <w:p>
            <w:pPr>
              <w:jc w:val="center"/>
              <w:rPr>
                <w:rFonts w:ascii="宋体" w:hAnsi="宋体"/>
                <w:b/>
                <w:sz w:val="24"/>
                <w:szCs w:val="24"/>
              </w:rPr>
            </w:pPr>
            <w:r>
              <w:rPr>
                <w:rFonts w:hint="eastAsia" w:ascii="宋体" w:hAnsi="宋体"/>
                <w:b/>
                <w:sz w:val="24"/>
                <w:szCs w:val="24"/>
              </w:rPr>
              <w:t>2</w:t>
            </w:r>
          </w:p>
        </w:tc>
        <w:tc>
          <w:tcPr>
            <w:tcW w:w="2823" w:type="dxa"/>
            <w:vAlign w:val="center"/>
          </w:tcPr>
          <w:p>
            <w:pPr>
              <w:jc w:val="center"/>
              <w:rPr>
                <w:rFonts w:ascii="宋体" w:hAnsi="宋体"/>
                <w:b/>
                <w:sz w:val="24"/>
                <w:szCs w:val="24"/>
              </w:rPr>
            </w:pPr>
            <w:r>
              <w:rPr>
                <w:rFonts w:hint="eastAsia" w:ascii="宋体" w:hAnsi="宋体"/>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sz w:val="24"/>
                <w:szCs w:val="24"/>
              </w:rPr>
            </w:pPr>
          </w:p>
        </w:tc>
      </w:tr>
      <w:tr>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3</w:t>
            </w:r>
          </w:p>
        </w:tc>
        <w:tc>
          <w:tcPr>
            <w:tcW w:w="2823" w:type="dxa"/>
            <w:vAlign w:val="center"/>
          </w:tcPr>
          <w:p>
            <w:pPr>
              <w:jc w:val="center"/>
              <w:rPr>
                <w:rFonts w:ascii="宋体" w:hAnsi="宋体"/>
                <w:b/>
                <w:sz w:val="24"/>
                <w:szCs w:val="24"/>
              </w:rPr>
            </w:pPr>
            <w:r>
              <w:rPr>
                <w:rFonts w:hint="eastAsia" w:ascii="宋体" w:hAnsi="宋体"/>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rPr>
            </w:pPr>
            <w:r>
              <w:rPr>
                <w:rFonts w:hint="eastAsia" w:ascii="宋体" w:hAnsi="宋体"/>
                <w:sz w:val="24"/>
                <w:szCs w:val="24"/>
              </w:rPr>
              <w:t>对联合体总金额扣除</w:t>
            </w:r>
          </w:p>
          <w:p>
            <w:pPr>
              <w:jc w:val="center"/>
              <w:rPr>
                <w:rFonts w:ascii="宋体" w:hAnsi="宋体"/>
                <w:b/>
                <w:sz w:val="24"/>
                <w:szCs w:val="24"/>
              </w:rPr>
            </w:pPr>
            <w:r>
              <w:rPr>
                <w:rFonts w:ascii="宋体" w:hAnsi="宋体"/>
                <w:sz w:val="24"/>
                <w:szCs w:val="24"/>
                <w:u w:val="single"/>
              </w:rPr>
              <w:t>2</w:t>
            </w:r>
            <w:r>
              <w:rPr>
                <w:rFonts w:hint="eastAsia" w:ascii="宋体" w:hAnsi="宋体"/>
                <w:sz w:val="24"/>
                <w:szCs w:val="24"/>
              </w:rPr>
              <w:t>%</w:t>
            </w:r>
          </w:p>
        </w:tc>
        <w:tc>
          <w:tcPr>
            <w:tcW w:w="2835" w:type="dxa"/>
            <w:vAlign w:val="center"/>
          </w:tcPr>
          <w:p>
            <w:pPr>
              <w:jc w:val="center"/>
              <w:rPr>
                <w:rFonts w:ascii="宋体" w:hAnsi="宋体"/>
                <w:sz w:val="24"/>
                <w:szCs w:val="24"/>
                <w:u w:val="single"/>
              </w:rPr>
            </w:pPr>
            <w:r>
              <w:rPr>
                <w:rFonts w:hint="eastAsia" w:ascii="宋体" w:hAnsi="宋体"/>
                <w:sz w:val="24"/>
                <w:szCs w:val="24"/>
              </w:rPr>
              <w:t>评审价格＝响应报价×(1-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rPr>
            </w:pPr>
          </w:p>
        </w:tc>
      </w:tr>
      <w:tr>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评审价格＝响应报价—监狱企业产品的价格</w:t>
            </w:r>
            <w:r>
              <w:rPr>
                <w:rFonts w:hint="eastAsia" w:ascii="宋体" w:hAnsi="宋体"/>
                <w:sz w:val="24"/>
                <w:szCs w:val="24"/>
              </w:rPr>
              <w:t>×</w:t>
            </w:r>
            <w:r>
              <w:rPr>
                <w:rFonts w:hint="eastAsia"/>
                <w:sz w:val="24"/>
                <w:szCs w:val="24"/>
              </w:rPr>
              <w:t>6%</w:t>
            </w:r>
          </w:p>
        </w:tc>
      </w:tr>
      <w:tr>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5</w:t>
            </w:r>
          </w:p>
        </w:tc>
        <w:tc>
          <w:tcPr>
            <w:tcW w:w="2823" w:type="dxa"/>
            <w:vAlign w:val="center"/>
          </w:tcPr>
          <w:p>
            <w:pPr>
              <w:jc w:val="center"/>
              <w:rPr>
                <w:rFonts w:ascii="宋体" w:hAnsi="宋体"/>
                <w:sz w:val="24"/>
                <w:szCs w:val="24"/>
              </w:rPr>
            </w:pPr>
            <w:r>
              <w:rPr>
                <w:rFonts w:hint="eastAsia" w:ascii="宋体" w:hAnsi="宋体"/>
                <w:sz w:val="24"/>
                <w:szCs w:val="24"/>
              </w:rPr>
              <w:t>残疾人福利性单位</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sz w:val="24"/>
                <w:szCs w:val="24"/>
              </w:rPr>
            </w:pPr>
            <w:r>
              <w:rPr>
                <w:rFonts w:hint="eastAsia"/>
                <w:sz w:val="24"/>
                <w:szCs w:val="24"/>
              </w:rPr>
              <w:t>评审价格＝响应报价—残疾人福利性单位产品的价格</w:t>
            </w:r>
            <w:r>
              <w:rPr>
                <w:rFonts w:hint="eastAsia" w:ascii="宋体" w:hAnsi="宋体"/>
                <w:sz w:val="24"/>
                <w:szCs w:val="24"/>
              </w:rPr>
              <w:t>×</w:t>
            </w:r>
            <w:r>
              <w:rPr>
                <w:rFonts w:hint="eastAsia"/>
                <w:sz w:val="24"/>
                <w:szCs w:val="24"/>
              </w:rPr>
              <w:t>6%</w:t>
            </w:r>
          </w:p>
        </w:tc>
      </w:tr>
      <w:tr>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w:t>
            </w:r>
            <w:r>
              <w:rPr>
                <w:rFonts w:hint="eastAsia" w:ascii="宋体" w:hAnsi="宋体" w:cs="仿宋_GB2312"/>
                <w:sz w:val="24"/>
                <w:szCs w:val="24"/>
                <w:lang w:val="zh-CN"/>
              </w:rPr>
              <w:t>询价小组审查、评价</w:t>
            </w:r>
            <w:r>
              <w:rPr>
                <w:rFonts w:ascii="宋体" w:hAnsi="宋体" w:cs="仿宋_GB2312"/>
                <w:sz w:val="24"/>
                <w:szCs w:val="24"/>
                <w:lang w:val="zh-CN"/>
              </w:rPr>
              <w:t>，</w:t>
            </w:r>
            <w:r>
              <w:rPr>
                <w:rFonts w:hint="eastAsia" w:ascii="宋体" w:hAnsi="宋体" w:cs="仿宋_GB2312"/>
                <w:sz w:val="24"/>
                <w:szCs w:val="24"/>
                <w:lang w:val="zh-CN"/>
              </w:rPr>
              <w:t>响应文件符合询价文件实质性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评审价格由低到高的顺序提出</w:t>
            </w:r>
            <w:r>
              <w:rPr>
                <w:rFonts w:ascii="宋体" w:hAnsi="宋体" w:cs="仿宋_GB2312"/>
                <w:sz w:val="24"/>
                <w:szCs w:val="24"/>
                <w:lang w:val="zh-CN"/>
              </w:rPr>
              <w:t>3</w:t>
            </w:r>
            <w:r>
              <w:rPr>
                <w:rFonts w:hint="eastAsia" w:ascii="宋体" w:hAnsi="宋体" w:cs="仿宋_GB2312"/>
                <w:sz w:val="24"/>
                <w:szCs w:val="24"/>
                <w:lang w:val="zh-CN"/>
              </w:rPr>
              <w:t>名成交候选人。</w:t>
            </w:r>
          </w:p>
        </w:tc>
      </w:tr>
    </w:tbl>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备注：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rPr>
      </w:pPr>
      <w:r>
        <w:rPr>
          <w:rFonts w:hint="eastAsia" w:ascii="宋体" w:hAnsi="宋体" w:cs="仿宋_GB2312"/>
          <w:sz w:val="24"/>
          <w:szCs w:val="24"/>
          <w:lang w:val="zh-CN"/>
        </w:rPr>
        <w:t>d、残疾人福利性单位属于小型、微型企业的，不重复享受政策</w:t>
      </w:r>
      <w:r>
        <w:rPr>
          <w:rFonts w:hint="eastAsia" w:ascii="宋体" w:hAnsi="宋体"/>
          <w:bCs/>
          <w:sz w:val="24"/>
          <w:szCs w:val="24"/>
        </w:rPr>
        <w:t>。</w:t>
      </w:r>
    </w:p>
    <w:p>
      <w:pPr>
        <w:spacing w:line="360" w:lineRule="auto"/>
        <w:ind w:firstLine="480" w:firstLineChars="200"/>
        <w:rPr>
          <w:rFonts w:ascii="宋体" w:hAnsi="宋体" w:cs="仿宋_GB2312"/>
          <w:sz w:val="24"/>
          <w:szCs w:val="24"/>
          <w:lang w:val="zh-CN"/>
        </w:rPr>
      </w:pPr>
      <w:r>
        <w:rPr>
          <w:rFonts w:ascii="宋体" w:hAnsi="宋体" w:cs="仿宋_GB2312"/>
          <w:sz w:val="24"/>
          <w:szCs w:val="24"/>
          <w:lang w:val="zh-CN"/>
        </w:rPr>
        <w:t>E</w:t>
      </w:r>
      <w:r>
        <w:rPr>
          <w:rFonts w:hint="eastAsia" w:ascii="宋体" w:hAnsi="宋体" w:cs="仿宋_GB2312"/>
          <w:sz w:val="24"/>
          <w:szCs w:val="24"/>
          <w:lang w:val="zh-CN"/>
        </w:rPr>
        <w:t>、小型和微型企业不包括民办非企业单位。</w:t>
      </w:r>
    </w:p>
    <w:p>
      <w:pPr>
        <w:pStyle w:val="16"/>
        <w:spacing w:line="360" w:lineRule="auto"/>
        <w:ind w:firstLine="482" w:firstLineChars="200"/>
        <w:contextualSpacing/>
        <w:rPr>
          <w:rFonts w:ascii="宋体" w:hAnsi="宋体" w:eastAsia="宋体" w:cs="仿宋_GB2312"/>
          <w:b/>
          <w:szCs w:val="24"/>
          <w:lang w:val="zh-CN"/>
        </w:rPr>
      </w:pPr>
      <w:r>
        <w:rPr>
          <w:rFonts w:hint="eastAsia" w:ascii="宋体" w:hAnsi="宋体" w:eastAsia="宋体"/>
          <w:b/>
          <w:szCs w:val="24"/>
        </w:rPr>
        <w:t>2、</w:t>
      </w:r>
      <w:r>
        <w:rPr>
          <w:rFonts w:hint="eastAsia" w:ascii="宋体" w:hAnsi="宋体" w:eastAsia="宋体" w:cs="仿宋_GB2312"/>
          <w:b/>
          <w:szCs w:val="24"/>
          <w:lang w:val="zh-CN"/>
        </w:rPr>
        <w:t>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（1）如供应商所响应产品属于“中国强制性产品认证”（3C认证）范围内,则必须承诺采用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（2）供应商所响应产品如被列入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则响应文件中应根据本项目询价文件“第二章 采购需求”</w:t>
      </w:r>
      <w:r>
        <w:rPr>
          <w:rFonts w:ascii="宋体" w:hAnsi="宋体" w:cs="仿宋_GB2312"/>
          <w:sz w:val="24"/>
          <w:szCs w:val="24"/>
          <w:lang w:val="zh-CN"/>
        </w:rPr>
        <w:t>提供</w:t>
      </w:r>
      <w:r>
        <w:rPr>
          <w:rFonts w:hint="eastAsia" w:ascii="宋体" w:hAnsi="宋体" w:cs="仿宋_GB2312"/>
          <w:sz w:val="24"/>
          <w:szCs w:val="24"/>
          <w:lang w:val="zh-CN"/>
        </w:rPr>
        <w:t>：</w:t>
      </w:r>
    </w:p>
    <w:p>
      <w:pPr>
        <w:wordWrap w:val="0"/>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①中国信息安全认证中心官网（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）产品查询结果截图并加盖供应商公章；</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②中国信息安全认证中心</w:t>
      </w:r>
      <w:r>
        <w:rPr>
          <w:rFonts w:hint="eastAsia" w:ascii="宋体" w:hAnsi="宋体" w:cs="仿宋_GB2312"/>
          <w:sz w:val="24"/>
          <w:szCs w:val="24"/>
          <w:lang w:val="zh-CN"/>
        </w:rPr>
        <w:t>颁发的《中国国家信息安全产品认证证书》加盖供应商公章的原件扫描件（或图片）。</w:t>
      </w:r>
    </w:p>
    <w:p>
      <w:pPr>
        <w:wordWrap w:val="0"/>
        <w:spacing w:line="360" w:lineRule="auto"/>
        <w:ind w:firstLine="480" w:firstLineChars="200"/>
        <w:contextualSpacing/>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6"/>
        <w:spacing w:line="360" w:lineRule="auto"/>
        <w:ind w:firstLine="482" w:firstLineChars="200"/>
        <w:contextualSpacing/>
        <w:rPr>
          <w:rFonts w:ascii="宋体" w:hAnsi="宋体" w:eastAsia="宋体" w:cs="仿宋_GB2312"/>
          <w:b/>
          <w:szCs w:val="24"/>
          <w:lang w:val="zh-CN"/>
        </w:rPr>
      </w:pPr>
      <w:r>
        <w:rPr>
          <w:rFonts w:hint="eastAsia" w:ascii="宋体" w:hAnsi="宋体" w:eastAsia="宋体"/>
          <w:b/>
          <w:color w:val="000000"/>
          <w:szCs w:val="24"/>
        </w:rPr>
        <w:t>（3）强制采购节能产品和优先采购节能产品、优先采购环保产品</w:t>
      </w:r>
    </w:p>
    <w:p>
      <w:pPr>
        <w:pStyle w:val="16"/>
        <w:spacing w:line="360" w:lineRule="auto"/>
        <w:ind w:firstLine="465"/>
        <w:contextualSpacing/>
        <w:rPr>
          <w:rFonts w:ascii="宋体" w:hAnsi="宋体" w:eastAsia="宋体" w:cs="仿宋_GB2312"/>
          <w:szCs w:val="24"/>
          <w:lang w:val="zh-CN"/>
        </w:rPr>
      </w:pPr>
      <w:r>
        <w:rPr>
          <w:rFonts w:hint="eastAsia" w:ascii="宋体" w:hAnsi="宋体" w:eastAsia="宋体" w:cs="仿宋_GB2312"/>
          <w:szCs w:val="24"/>
          <w:lang w:val="zh-CN"/>
        </w:rPr>
        <w:t>1）对《节能产品政府采购品目清单》所列的政府强制采购节能产品</w:t>
      </w:r>
      <w:r>
        <w:rPr>
          <w:rFonts w:hint="eastAsia" w:ascii="宋体" w:hAnsi="宋体" w:eastAsia="宋体" w:cs="仿宋_GB2312"/>
          <w:szCs w:val="24"/>
        </w:rPr>
        <w:t>，</w:t>
      </w:r>
      <w:r>
        <w:rPr>
          <w:rFonts w:hint="eastAsia" w:ascii="宋体" w:hAnsi="宋体" w:eastAsia="宋体" w:cs="仿宋_GB2312"/>
          <w:szCs w:val="24"/>
          <w:lang w:val="zh-CN"/>
        </w:rPr>
        <w:t>投标人投标文件中应提供具有国家确定的认证机构出具的、处于有效期之内的节能产品或环境标志产品认证证书，否则将承担其投标被视为非实质性响应投标的风险。</w:t>
      </w:r>
    </w:p>
    <w:p>
      <w:pPr>
        <w:pStyle w:val="16"/>
        <w:spacing w:line="360" w:lineRule="auto"/>
        <w:ind w:firstLine="465"/>
        <w:contextualSpacing/>
        <w:rPr>
          <w:rFonts w:ascii="宋体" w:hAnsi="宋体" w:eastAsia="宋体" w:cs="仿宋_GB2312"/>
          <w:szCs w:val="24"/>
          <w:lang w:val="zh-CN"/>
        </w:rPr>
      </w:pPr>
      <w:r>
        <w:rPr>
          <w:rFonts w:hint="eastAsia" w:ascii="宋体" w:hAnsi="宋体" w:eastAsia="宋体" w:cs="仿宋_GB2312"/>
          <w:szCs w:val="24"/>
          <w:lang w:val="zh-CN"/>
        </w:rPr>
        <w:t>投标人所投其他产品若属于《节能产品政府采购品目清单》优先采购产品，</w:t>
      </w:r>
      <w:r>
        <w:rPr>
          <w:rFonts w:hint="eastAsia" w:ascii="宋体" w:hAnsi="宋体" w:cs="仿宋_GB2312"/>
          <w:szCs w:val="24"/>
          <w:lang w:val="zh-CN"/>
        </w:rPr>
        <w:t>投标文件中应提供</w:t>
      </w:r>
      <w:r>
        <w:rPr>
          <w:rFonts w:hint="eastAsia" w:ascii="宋体" w:hAnsi="宋体" w:eastAsia="宋体" w:cs="仿宋_GB2312"/>
          <w:szCs w:val="24"/>
          <w:lang w:val="zh-CN"/>
        </w:rPr>
        <w:t>具有国家确定的认证机构出具的、处于有效期之内的节能产品认证证书</w:t>
      </w:r>
      <w:r>
        <w:rPr>
          <w:rFonts w:hint="eastAsia" w:ascii="宋体" w:hAnsi="宋体" w:cs="仿宋_GB2312"/>
          <w:szCs w:val="24"/>
          <w:lang w:val="zh-CN"/>
        </w:rPr>
        <w:t>，评标委员会根据本项目评标标准予以判定并赋分。</w:t>
      </w:r>
    </w:p>
    <w:p>
      <w:pPr>
        <w:pStyle w:val="16"/>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w:t>
      </w:r>
      <w:r>
        <w:rPr>
          <w:rFonts w:hint="eastAsia" w:ascii="宋体" w:hAnsi="宋体" w:cs="仿宋_GB2312"/>
          <w:szCs w:val="24"/>
          <w:lang w:val="zh-CN"/>
        </w:rPr>
        <w:t>投标人所投产品若属于《环境标志产品政府采购品目清单》内产品，投标文件中应提供</w:t>
      </w:r>
      <w:r>
        <w:rPr>
          <w:rFonts w:hint="eastAsia" w:ascii="宋体" w:hAnsi="宋体" w:eastAsia="宋体" w:cs="仿宋_GB2312"/>
          <w:szCs w:val="24"/>
          <w:lang w:val="zh-CN"/>
        </w:rPr>
        <w:t>具有国家确定的认证机构出具的、处于有效期之内的环境标志产品认证证书</w:t>
      </w:r>
      <w:r>
        <w:rPr>
          <w:rFonts w:hint="eastAsia" w:ascii="宋体" w:hAnsi="宋体" w:cs="仿宋_GB2312"/>
          <w:szCs w:val="24"/>
          <w:lang w:val="zh-CN"/>
        </w:rPr>
        <w:t>，</w:t>
      </w:r>
      <w:r>
        <w:rPr>
          <w:rFonts w:hint="eastAsia" w:ascii="宋体" w:hAnsi="宋体" w:eastAsia="宋体" w:cs="仿宋_GB2312"/>
          <w:szCs w:val="24"/>
          <w:lang w:val="zh-CN"/>
        </w:rPr>
        <w:t>评标委员会根据本项目评标标准予以判定并赋分。</w:t>
      </w:r>
    </w:p>
    <w:p>
      <w:pPr>
        <w:pStyle w:val="16"/>
        <w:spacing w:line="360" w:lineRule="auto"/>
        <w:contextualSpacing/>
        <w:rPr>
          <w:rFonts w:ascii="宋体" w:hAnsi="宋体" w:eastAsia="宋体" w:cs="仿宋_GB2312"/>
          <w:b/>
          <w:szCs w:val="24"/>
          <w:lang w:val="zh-CN"/>
        </w:rPr>
      </w:pPr>
      <w:r>
        <w:rPr>
          <w:rFonts w:hint="eastAsia" w:ascii="宋体" w:hAnsi="宋体" w:eastAsia="宋体" w:cs="仿宋_GB2312"/>
          <w:b/>
          <w:szCs w:val="24"/>
          <w:lang w:val="zh-CN"/>
        </w:rPr>
        <w:t>三、询价小组编写评审报告。</w:t>
      </w:r>
    </w:p>
    <w:p>
      <w:pPr>
        <w:wordWrap w:val="0"/>
        <w:spacing w:line="360" w:lineRule="auto"/>
        <w:ind w:firstLine="480" w:firstLineChars="200"/>
        <w:contextualSpacing/>
        <w:rPr>
          <w:rFonts w:ascii="华文楷体" w:hAnsi="华文楷体" w:eastAsia="华文楷体" w:cs="仿宋_GB2312"/>
          <w:b/>
          <w:sz w:val="24"/>
          <w:szCs w:val="24"/>
          <w:lang w:val="zh-CN"/>
        </w:rPr>
      </w:pPr>
      <w:r>
        <w:rPr>
          <w:rFonts w:hint="eastAsia" w:ascii="华文楷体" w:hAnsi="华文楷体" w:eastAsia="华文楷体" w:cs="仿宋_GB2312"/>
          <w:b/>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82" w:firstLineChars="200"/>
        <w:rPr>
          <w:rFonts w:ascii="宋体" w:hAnsi="宋体" w:cs="Courier New"/>
          <w:b/>
          <w:sz w:val="24"/>
          <w:szCs w:val="24"/>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16"/>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3"/>
        <w:spacing w:before="75" w:after="75"/>
        <w:rPr>
          <w:rFonts w:ascii="微软雅黑" w:hAnsi="微软雅黑" w:eastAsia="微软雅黑"/>
          <w:sz w:val="27"/>
          <w:szCs w:val="27"/>
        </w:rPr>
      </w:pPr>
      <w:r>
        <w:rPr>
          <w:rFonts w:ascii="宋体" w:hAnsi="宋体" w:eastAsia="微软雅黑"/>
          <w:u w:val="single"/>
        </w:rPr>
        <w:t> </w:t>
      </w:r>
    </w:p>
    <w:p>
      <w:pPr>
        <w:pStyle w:val="23"/>
        <w:spacing w:before="75" w:after="75" w:line="360" w:lineRule="auto"/>
        <w:rPr>
          <w:rFonts w:ascii="宋体" w:hAnsi="宋体" w:eastAsia="宋体"/>
          <w:sz w:val="21"/>
          <w:szCs w:val="21"/>
        </w:rPr>
      </w:pPr>
      <w:r>
        <w:rPr>
          <w:rFonts w:ascii="宋体" w:hAnsi="宋体" w:eastAsia="宋体"/>
          <w:sz w:val="21"/>
          <w:szCs w:val="21"/>
        </w:rPr>
        <w:t>甲方：</w:t>
      </w:r>
      <w:r>
        <w:rPr>
          <w:rFonts w:ascii="宋体" w:hAnsi="宋体" w:eastAsia="宋体"/>
          <w:sz w:val="21"/>
          <w:szCs w:val="21"/>
          <w:u w:val="single"/>
        </w:rPr>
        <w:t>（采购人全称）</w:t>
      </w:r>
    </w:p>
    <w:p>
      <w:pPr>
        <w:pStyle w:val="23"/>
        <w:spacing w:before="75" w:after="75" w:line="360" w:lineRule="auto"/>
        <w:rPr>
          <w:rFonts w:ascii="宋体" w:hAnsi="宋体" w:eastAsia="宋体"/>
          <w:sz w:val="21"/>
          <w:szCs w:val="21"/>
        </w:rPr>
      </w:pPr>
      <w:r>
        <w:rPr>
          <w:rFonts w:ascii="宋体" w:hAnsi="宋体" w:eastAsia="宋体"/>
          <w:sz w:val="21"/>
          <w:szCs w:val="21"/>
        </w:rPr>
        <w:t>乙方：</w:t>
      </w:r>
      <w:r>
        <w:rPr>
          <w:rFonts w:ascii="宋体" w:hAnsi="宋体" w:eastAsia="宋体"/>
          <w:sz w:val="21"/>
          <w:szCs w:val="21"/>
          <w:u w:val="single"/>
        </w:rPr>
        <w:t>（</w:t>
      </w:r>
      <w:r>
        <w:rPr>
          <w:rFonts w:hint="eastAsia" w:ascii="宋体" w:hAnsi="宋体" w:eastAsia="宋体"/>
          <w:sz w:val="21"/>
          <w:szCs w:val="21"/>
          <w:u w:val="single"/>
        </w:rPr>
        <w:t>成交供应商</w:t>
      </w:r>
      <w:r>
        <w:rPr>
          <w:rFonts w:ascii="宋体" w:hAnsi="宋体" w:eastAsia="宋体"/>
          <w:sz w:val="21"/>
          <w:szCs w:val="21"/>
          <w:u w:val="single"/>
        </w:rPr>
        <w:t>全称）</w:t>
      </w:r>
    </w:p>
    <w:p>
      <w:pPr>
        <w:pStyle w:val="23"/>
        <w:spacing w:before="75" w:after="75"/>
        <w:rPr>
          <w:rFonts w:ascii="宋体" w:hAnsi="宋体" w:eastAsia="宋体"/>
          <w:sz w:val="21"/>
          <w:szCs w:val="21"/>
        </w:rPr>
      </w:pPr>
      <w:r>
        <w:rPr>
          <w:rFonts w:ascii="宋体" w:hAnsi="宋体" w:eastAsia="宋体"/>
          <w:sz w:val="21"/>
          <w:szCs w:val="21"/>
        </w:rPr>
        <w:t> </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根据招标编号为</w:t>
      </w:r>
      <w:r>
        <w:rPr>
          <w:rFonts w:ascii="宋体" w:hAnsi="宋体" w:eastAsia="宋体"/>
          <w:sz w:val="21"/>
          <w:szCs w:val="21"/>
          <w:u w:val="single"/>
        </w:rPr>
        <w:t>            </w:t>
      </w:r>
      <w:r>
        <w:rPr>
          <w:rFonts w:ascii="宋体" w:hAnsi="宋体" w:eastAsia="宋体"/>
          <w:sz w:val="21"/>
          <w:szCs w:val="21"/>
        </w:rPr>
        <w:t>的</w:t>
      </w:r>
      <w:r>
        <w:rPr>
          <w:rFonts w:ascii="宋体" w:hAnsi="宋体" w:eastAsia="宋体"/>
          <w:sz w:val="21"/>
          <w:szCs w:val="21"/>
          <w:u w:val="single"/>
        </w:rPr>
        <w:t>（填写“项目名称”）</w:t>
      </w:r>
      <w:r>
        <w:rPr>
          <w:rFonts w:ascii="宋体" w:hAnsi="宋体" w:eastAsia="宋体"/>
          <w:sz w:val="21"/>
          <w:szCs w:val="21"/>
        </w:rPr>
        <w:t>项目（以下简称：“本项目”）的招标结果，乙方为</w:t>
      </w:r>
      <w:r>
        <w:rPr>
          <w:rFonts w:hint="eastAsia" w:ascii="宋体" w:hAnsi="宋体" w:eastAsia="宋体"/>
          <w:sz w:val="21"/>
          <w:szCs w:val="21"/>
        </w:rPr>
        <w:t>成交供应商</w:t>
      </w:r>
      <w:r>
        <w:rPr>
          <w:rFonts w:ascii="宋体" w:hAnsi="宋体" w:eastAsia="宋体"/>
          <w:sz w:val="21"/>
          <w:szCs w:val="21"/>
        </w:rPr>
        <w:t>。现经甲乙双方友好协商，就以下事项达成一致并签订本合同：</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1、下列合同文件是构成本合同不可分割的部分：</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1.1合同条款；</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询价文件</w:t>
      </w:r>
      <w:r>
        <w:rPr>
          <w:rFonts w:ascii="宋体" w:hAnsi="宋体" w:eastAsia="宋体"/>
          <w:sz w:val="21"/>
          <w:szCs w:val="21"/>
        </w:rPr>
        <w:t>、乙方的</w:t>
      </w:r>
      <w:r>
        <w:rPr>
          <w:rFonts w:hint="eastAsia" w:ascii="宋体" w:hAnsi="宋体" w:eastAsia="宋体"/>
          <w:sz w:val="21"/>
          <w:szCs w:val="21"/>
        </w:rPr>
        <w:t>响应</w:t>
      </w:r>
      <w:r>
        <w:rPr>
          <w:rFonts w:ascii="宋体" w:hAnsi="宋体" w:eastAsia="宋体"/>
          <w:sz w:val="21"/>
          <w:szCs w:val="21"/>
        </w:rPr>
        <w:t>文件；</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1.3其他文件或材料：□无。□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2、合同标的</w:t>
      </w:r>
    </w:p>
    <w:p>
      <w:pPr>
        <w:pStyle w:val="23"/>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3、合同总金额</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3.1合同总金额为人民币大写：</w:t>
      </w:r>
      <w:r>
        <w:rPr>
          <w:rFonts w:ascii="宋体" w:hAnsi="宋体" w:eastAsia="宋体"/>
          <w:sz w:val="21"/>
          <w:szCs w:val="21"/>
          <w:u w:val="single"/>
        </w:rPr>
        <w:t>           </w:t>
      </w:r>
      <w:r>
        <w:rPr>
          <w:rFonts w:ascii="宋体" w:hAnsi="宋体" w:eastAsia="宋体"/>
          <w:sz w:val="21"/>
          <w:szCs w:val="21"/>
        </w:rPr>
        <w:t>元（￥</w:t>
      </w:r>
      <w:r>
        <w:rPr>
          <w:rFonts w:ascii="宋体" w:hAnsi="宋体" w:eastAsia="宋体"/>
          <w:sz w:val="21"/>
          <w:szCs w:val="21"/>
          <w:u w:val="single"/>
        </w:rPr>
        <w:t>          </w:t>
      </w:r>
      <w:r>
        <w:rPr>
          <w:rFonts w:ascii="宋体" w:hAnsi="宋体" w:eastAsia="宋体"/>
          <w:sz w:val="21"/>
          <w:szCs w:val="21"/>
        </w:rPr>
        <w:t>）。</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4、合同标的交付时间、地点和条件</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4.1交付时间：</w:t>
      </w:r>
      <w:r>
        <w:rPr>
          <w:rFonts w:ascii="宋体" w:hAnsi="宋体" w:eastAsia="宋体"/>
          <w:sz w:val="21"/>
          <w:szCs w:val="21"/>
          <w:u w:val="single"/>
        </w:rPr>
        <w:t>                     </w:t>
      </w:r>
      <w:r>
        <w:rPr>
          <w:rFonts w:ascii="宋体" w:hAnsi="宋体" w:eastAsia="宋体"/>
          <w:sz w:val="21"/>
          <w:szCs w:val="21"/>
        </w:rPr>
        <w:t>；</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4.2交付地点：</w:t>
      </w:r>
      <w:r>
        <w:rPr>
          <w:rFonts w:ascii="宋体" w:hAnsi="宋体" w:eastAsia="宋体"/>
          <w:sz w:val="21"/>
          <w:szCs w:val="21"/>
          <w:u w:val="single"/>
        </w:rPr>
        <w:t>                     </w:t>
      </w:r>
      <w:r>
        <w:rPr>
          <w:rFonts w:ascii="宋体" w:hAnsi="宋体" w:eastAsia="宋体"/>
          <w:sz w:val="21"/>
          <w:szCs w:val="21"/>
        </w:rPr>
        <w:t>；</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4.3交付条件：</w:t>
      </w:r>
      <w:r>
        <w:rPr>
          <w:rFonts w:ascii="宋体" w:hAnsi="宋体" w:eastAsia="宋体"/>
          <w:sz w:val="21"/>
          <w:szCs w:val="21"/>
          <w:u w:val="single"/>
        </w:rPr>
        <w:t>                     </w:t>
      </w:r>
      <w:r>
        <w:rPr>
          <w:rFonts w:ascii="宋体" w:hAnsi="宋体" w:eastAsia="宋体"/>
          <w:sz w:val="21"/>
          <w:szCs w:val="21"/>
        </w:rPr>
        <w:t>。</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5、合同标的应符合</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文件的规定或约定，具体如下：</w:t>
      </w:r>
    </w:p>
    <w:p>
      <w:pPr>
        <w:pStyle w:val="23"/>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6、验收</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6.1验收应按照</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文件的规定或约定进行，具体如下：</w:t>
      </w:r>
    </w:p>
    <w:p>
      <w:pPr>
        <w:pStyle w:val="23"/>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6.2本项目是否邀请其他</w:t>
      </w:r>
      <w:r>
        <w:rPr>
          <w:rFonts w:hint="eastAsia" w:ascii="宋体" w:hAnsi="宋体" w:eastAsia="宋体"/>
          <w:sz w:val="21"/>
          <w:szCs w:val="21"/>
        </w:rPr>
        <w:t>供应商</w:t>
      </w:r>
      <w:r>
        <w:rPr>
          <w:rFonts w:ascii="宋体" w:hAnsi="宋体" w:eastAsia="宋体"/>
          <w:sz w:val="21"/>
          <w:szCs w:val="21"/>
        </w:rPr>
        <w:t>参与验收：</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□不邀请。□邀请，具体如下：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7、合同款项的支付应按照</w:t>
      </w:r>
      <w:r>
        <w:rPr>
          <w:rFonts w:hint="eastAsia" w:ascii="宋体" w:hAnsi="宋体" w:eastAsia="宋体"/>
          <w:sz w:val="21"/>
          <w:szCs w:val="21"/>
        </w:rPr>
        <w:t>询价文件</w:t>
      </w:r>
      <w:r>
        <w:rPr>
          <w:rFonts w:ascii="宋体" w:hAnsi="宋体" w:eastAsia="宋体"/>
          <w:sz w:val="21"/>
          <w:szCs w:val="21"/>
        </w:rPr>
        <w:t>的规定进行，具体如下：</w:t>
      </w:r>
    </w:p>
    <w:p>
      <w:pPr>
        <w:pStyle w:val="23"/>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（按照实际情况编制填写，可以是表格或文字描述，包括一次性支付或分期支付等）</w:t>
      </w:r>
      <w:r>
        <w:rPr>
          <w:rFonts w:ascii="宋体" w:hAnsi="宋体" w:eastAsia="宋体"/>
          <w:sz w:val="21"/>
          <w:szCs w:val="21"/>
        </w:rPr>
        <w:t>。</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8、履约保证金</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□无。□有，具体如下：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9、合同有效期</w:t>
      </w:r>
    </w:p>
    <w:p>
      <w:pPr>
        <w:pStyle w:val="23"/>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10、违约责任</w:t>
      </w:r>
    </w:p>
    <w:p>
      <w:pPr>
        <w:pStyle w:val="23"/>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11、知识产权</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11.2若乙方提供的采购标的不符合国家知识产权法律、法规的规定或被有关主管机关认定为假冒伪劣品，则乙方</w:t>
      </w:r>
      <w:r>
        <w:rPr>
          <w:rFonts w:hint="eastAsia" w:ascii="宋体" w:hAnsi="宋体" w:eastAsia="宋体"/>
          <w:sz w:val="21"/>
          <w:szCs w:val="21"/>
        </w:rPr>
        <w:t>成交</w:t>
      </w:r>
      <w:r>
        <w:rPr>
          <w:rFonts w:ascii="宋体" w:hAnsi="宋体" w:eastAsia="宋体"/>
          <w:sz w:val="21"/>
          <w:szCs w:val="21"/>
        </w:rPr>
        <w:t>资格将被取消；甲方还将按照有关法律、法规和规章的规定进行处理，具体如下：</w:t>
      </w:r>
      <w:r>
        <w:rPr>
          <w:rFonts w:ascii="宋体" w:hAnsi="宋体" w:eastAsia="宋体"/>
          <w:sz w:val="21"/>
          <w:szCs w:val="21"/>
          <w:u w:val="single"/>
        </w:rPr>
        <w:t>（按照实际情况编制填写）</w:t>
      </w:r>
      <w:r>
        <w:rPr>
          <w:rFonts w:ascii="宋体" w:hAnsi="宋体" w:eastAsia="宋体"/>
          <w:sz w:val="21"/>
          <w:szCs w:val="21"/>
        </w:rPr>
        <w:t>。</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12、解决争议的方法</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12.1甲、乙双方协商解决。</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12.2若协商解决不成，则通过下列途径之一解决：</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□提交仲裁委员会仲裁，具体如下：</w:t>
      </w:r>
      <w:r>
        <w:rPr>
          <w:rFonts w:ascii="宋体" w:hAnsi="宋体" w:eastAsia="宋体"/>
          <w:sz w:val="21"/>
          <w:szCs w:val="21"/>
          <w:u w:val="single"/>
        </w:rPr>
        <w:t>（按照实际情况编制填写）</w:t>
      </w:r>
      <w:r>
        <w:rPr>
          <w:rFonts w:ascii="宋体" w:hAnsi="宋体" w:eastAsia="宋体"/>
          <w:sz w:val="21"/>
          <w:szCs w:val="21"/>
        </w:rPr>
        <w:t>。</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□向人民法院提起诉讼，具体如下：</w:t>
      </w:r>
      <w:r>
        <w:rPr>
          <w:rFonts w:ascii="宋体" w:hAnsi="宋体" w:eastAsia="宋体"/>
          <w:sz w:val="21"/>
          <w:szCs w:val="21"/>
          <w:u w:val="single"/>
        </w:rPr>
        <w:t>（按照实际情况编制填写）</w:t>
      </w:r>
      <w:r>
        <w:rPr>
          <w:rFonts w:ascii="宋体" w:hAnsi="宋体" w:eastAsia="宋体"/>
          <w:sz w:val="21"/>
          <w:szCs w:val="21"/>
        </w:rPr>
        <w:t>。</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13、不可抗力</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14、合同条款</w:t>
      </w:r>
    </w:p>
    <w:p>
      <w:pPr>
        <w:pStyle w:val="23"/>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w:t>
      </w:r>
      <w:r>
        <w:rPr>
          <w:rFonts w:hint="eastAsia" w:ascii="宋体" w:hAnsi="宋体" w:eastAsia="宋体"/>
          <w:sz w:val="21"/>
          <w:szCs w:val="21"/>
          <w:u w:val="single"/>
        </w:rPr>
        <w:t>询价文件</w:t>
      </w:r>
      <w:r>
        <w:rPr>
          <w:rFonts w:ascii="宋体" w:hAnsi="宋体" w:eastAsia="宋体"/>
          <w:sz w:val="21"/>
          <w:szCs w:val="21"/>
          <w:u w:val="single"/>
        </w:rPr>
        <w:t>已有规定的，双方均不得变更或调整；</w:t>
      </w:r>
      <w:r>
        <w:rPr>
          <w:rFonts w:hint="eastAsia" w:ascii="宋体" w:hAnsi="宋体" w:eastAsia="宋体"/>
          <w:sz w:val="21"/>
          <w:szCs w:val="21"/>
          <w:u w:val="single"/>
        </w:rPr>
        <w:t>询价文件</w:t>
      </w:r>
      <w:r>
        <w:rPr>
          <w:rFonts w:ascii="宋体" w:hAnsi="宋体" w:eastAsia="宋体"/>
          <w:sz w:val="21"/>
          <w:szCs w:val="21"/>
          <w:u w:val="single"/>
        </w:rPr>
        <w:t>未作规定的，双方可通过友好协商进行约定）</w:t>
      </w:r>
      <w:r>
        <w:rPr>
          <w:rFonts w:ascii="宋体" w:hAnsi="宋体" w:eastAsia="宋体"/>
          <w:sz w:val="21"/>
          <w:szCs w:val="21"/>
        </w:rPr>
        <w:t>。</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15、其他约定</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15.1合同文件与本合同具有同等法律效力。</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15.2本合同未尽事宜，双方可另行补充。</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15.3合同生效：自签订之日起生效。</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15.4本合同一式</w:t>
      </w:r>
      <w:r>
        <w:rPr>
          <w:rFonts w:ascii="宋体" w:hAnsi="宋体" w:eastAsia="宋体"/>
          <w:sz w:val="21"/>
          <w:szCs w:val="21"/>
          <w:u w:val="single"/>
        </w:rPr>
        <w:t>（填写具体份数）</w:t>
      </w:r>
      <w:r>
        <w:rPr>
          <w:rFonts w:ascii="宋体" w:hAnsi="宋体" w:eastAsia="宋体"/>
          <w:sz w:val="21"/>
          <w:szCs w:val="21"/>
        </w:rPr>
        <w:t>份，经双方授权代表签字并盖章后生效。甲方、乙方各执</w:t>
      </w:r>
      <w:r>
        <w:rPr>
          <w:rFonts w:ascii="宋体" w:hAnsi="宋体" w:eastAsia="宋体"/>
          <w:sz w:val="21"/>
          <w:szCs w:val="21"/>
          <w:u w:val="single"/>
        </w:rPr>
        <w:t>（填写具体份数）</w:t>
      </w:r>
      <w:r>
        <w:rPr>
          <w:rFonts w:ascii="宋体" w:hAnsi="宋体" w:eastAsia="宋体"/>
          <w:sz w:val="21"/>
          <w:szCs w:val="21"/>
        </w:rPr>
        <w:t>份，送</w:t>
      </w:r>
      <w:r>
        <w:rPr>
          <w:rFonts w:ascii="宋体" w:hAnsi="宋体" w:eastAsia="宋体"/>
          <w:sz w:val="21"/>
          <w:szCs w:val="21"/>
          <w:u w:val="single"/>
        </w:rPr>
        <w:t>（填写需要备案的监管部门的全称）</w:t>
      </w:r>
      <w:r>
        <w:rPr>
          <w:rFonts w:ascii="宋体" w:hAnsi="宋体" w:eastAsia="宋体"/>
          <w:sz w:val="21"/>
          <w:szCs w:val="21"/>
        </w:rPr>
        <w:t>备案</w:t>
      </w:r>
      <w:r>
        <w:rPr>
          <w:rFonts w:ascii="宋体" w:hAnsi="宋体" w:eastAsia="宋体"/>
          <w:sz w:val="21"/>
          <w:szCs w:val="21"/>
          <w:u w:val="single"/>
        </w:rPr>
        <w:t>（填写具体份数）</w:t>
      </w:r>
      <w:r>
        <w:rPr>
          <w:rFonts w:ascii="宋体" w:hAnsi="宋体" w:eastAsia="宋体"/>
          <w:sz w:val="21"/>
          <w:szCs w:val="21"/>
        </w:rPr>
        <w:t>份，具有同等效力。</w:t>
      </w:r>
    </w:p>
    <w:p>
      <w:pPr>
        <w:pStyle w:val="23"/>
        <w:spacing w:before="75" w:after="75" w:line="360" w:lineRule="auto"/>
        <w:ind w:firstLine="482"/>
        <w:rPr>
          <w:rFonts w:ascii="宋体" w:hAnsi="宋体" w:eastAsia="宋体"/>
          <w:sz w:val="21"/>
          <w:szCs w:val="21"/>
        </w:rPr>
      </w:pPr>
      <w:r>
        <w:rPr>
          <w:rFonts w:ascii="宋体" w:hAnsi="宋体" w:eastAsia="宋体"/>
          <w:sz w:val="21"/>
          <w:szCs w:val="21"/>
        </w:rPr>
        <w:t>15.5其他：□无。□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3"/>
        <w:spacing w:before="75" w:after="75"/>
        <w:rPr>
          <w:rFonts w:ascii="宋体" w:hAnsi="宋体" w:eastAsia="宋体"/>
          <w:sz w:val="21"/>
          <w:szCs w:val="21"/>
        </w:rPr>
      </w:pPr>
      <w:r>
        <w:rPr>
          <w:rFonts w:ascii="宋体" w:hAnsi="宋体" w:eastAsia="宋体"/>
          <w:sz w:val="21"/>
          <w:szCs w:val="21"/>
        </w:rPr>
        <w:t> </w:t>
      </w:r>
    </w:p>
    <w:p>
      <w:pPr>
        <w:pStyle w:val="23"/>
        <w:spacing w:before="75" w:after="75"/>
        <w:rPr>
          <w:rFonts w:ascii="宋体" w:hAnsi="宋体" w:eastAsia="宋体"/>
          <w:sz w:val="21"/>
          <w:szCs w:val="21"/>
        </w:rPr>
      </w:pPr>
      <w:r>
        <w:rPr>
          <w:rFonts w:ascii="宋体" w:hAnsi="宋体" w:eastAsia="宋体"/>
          <w:sz w:val="21"/>
          <w:szCs w:val="21"/>
        </w:rPr>
        <w:t> </w:t>
      </w:r>
    </w:p>
    <w:p>
      <w:pPr>
        <w:pStyle w:val="23"/>
        <w:spacing w:before="75" w:after="75"/>
        <w:rPr>
          <w:rFonts w:ascii="宋体" w:hAnsi="宋体" w:eastAsia="宋体"/>
          <w:sz w:val="21"/>
          <w:szCs w:val="21"/>
        </w:rPr>
      </w:pPr>
    </w:p>
    <w:p>
      <w:pPr>
        <w:pStyle w:val="23"/>
        <w:spacing w:before="75" w:after="75" w:line="360" w:lineRule="auto"/>
        <w:rPr>
          <w:rFonts w:ascii="宋体" w:hAnsi="宋体" w:eastAsia="宋体"/>
          <w:sz w:val="21"/>
          <w:szCs w:val="21"/>
        </w:rPr>
      </w:pPr>
      <w:r>
        <w:rPr>
          <w:rFonts w:ascii="宋体" w:hAnsi="宋体" w:eastAsia="宋体"/>
          <w:sz w:val="21"/>
          <w:szCs w:val="21"/>
        </w:rPr>
        <w:t>甲方：                        乙方：</w:t>
      </w:r>
    </w:p>
    <w:p>
      <w:pPr>
        <w:pStyle w:val="23"/>
        <w:spacing w:before="75" w:after="75" w:line="360" w:lineRule="auto"/>
        <w:rPr>
          <w:rFonts w:ascii="宋体" w:hAnsi="宋体" w:eastAsia="宋体"/>
          <w:sz w:val="21"/>
          <w:szCs w:val="21"/>
        </w:rPr>
      </w:pPr>
      <w:r>
        <w:rPr>
          <w:rFonts w:ascii="宋体" w:hAnsi="宋体" w:eastAsia="宋体"/>
          <w:sz w:val="21"/>
          <w:szCs w:val="21"/>
        </w:rPr>
        <w:t>住所：                        住所：</w:t>
      </w:r>
    </w:p>
    <w:p>
      <w:pPr>
        <w:pStyle w:val="23"/>
        <w:spacing w:before="75" w:after="75" w:line="360" w:lineRule="auto"/>
        <w:rPr>
          <w:rFonts w:ascii="宋体" w:hAnsi="宋体" w:eastAsia="宋体"/>
          <w:sz w:val="21"/>
          <w:szCs w:val="21"/>
        </w:rPr>
      </w:pPr>
      <w:r>
        <w:rPr>
          <w:rFonts w:hint="eastAsia" w:ascii="宋体" w:hAnsi="宋体" w:eastAsia="宋体"/>
          <w:sz w:val="21"/>
          <w:szCs w:val="21"/>
        </w:rPr>
        <w:t>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       </w:t>
      </w:r>
      <w:r>
        <w:rPr>
          <w:rFonts w:hint="eastAsia" w:ascii="宋体" w:hAnsi="宋体" w:eastAsia="宋体"/>
          <w:sz w:val="21"/>
          <w:szCs w:val="21"/>
        </w:rPr>
        <w:t xml:space="preserve">               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w:t>
      </w:r>
    </w:p>
    <w:p>
      <w:pPr>
        <w:pStyle w:val="23"/>
        <w:spacing w:before="75" w:after="75" w:line="360" w:lineRule="auto"/>
        <w:rPr>
          <w:rFonts w:ascii="宋体" w:hAnsi="宋体" w:eastAsia="宋体"/>
          <w:sz w:val="21"/>
          <w:szCs w:val="21"/>
        </w:rPr>
      </w:pPr>
      <w:r>
        <w:rPr>
          <w:rFonts w:ascii="宋体" w:hAnsi="宋体" w:eastAsia="宋体"/>
          <w:sz w:val="21"/>
          <w:szCs w:val="21"/>
        </w:rPr>
        <w:t>联系方法：                      联系方法：</w:t>
      </w:r>
    </w:p>
    <w:p>
      <w:pPr>
        <w:pStyle w:val="23"/>
        <w:spacing w:before="75" w:after="75" w:line="360" w:lineRule="auto"/>
        <w:rPr>
          <w:rFonts w:ascii="宋体" w:hAnsi="宋体" w:eastAsia="宋体"/>
          <w:sz w:val="21"/>
          <w:szCs w:val="21"/>
        </w:rPr>
      </w:pPr>
      <w:r>
        <w:rPr>
          <w:rFonts w:ascii="宋体" w:hAnsi="宋体" w:eastAsia="宋体"/>
          <w:sz w:val="21"/>
          <w:szCs w:val="21"/>
        </w:rPr>
        <w:t>开户银行：                      开户银行：</w:t>
      </w:r>
    </w:p>
    <w:p>
      <w:pPr>
        <w:pStyle w:val="23"/>
        <w:spacing w:before="75" w:after="75" w:line="360" w:lineRule="auto"/>
        <w:rPr>
          <w:rFonts w:ascii="宋体" w:hAnsi="宋体" w:eastAsia="宋体"/>
          <w:sz w:val="21"/>
          <w:szCs w:val="21"/>
        </w:rPr>
      </w:pPr>
      <w:r>
        <w:rPr>
          <w:rFonts w:ascii="宋体" w:hAnsi="宋体" w:eastAsia="宋体"/>
          <w:sz w:val="21"/>
          <w:szCs w:val="21"/>
        </w:rPr>
        <w:t>账号：                        账号：</w:t>
      </w:r>
    </w:p>
    <w:p>
      <w:pPr>
        <w:pStyle w:val="23"/>
        <w:spacing w:before="75" w:after="75" w:line="360" w:lineRule="auto"/>
        <w:rPr>
          <w:rFonts w:ascii="宋体" w:hAnsi="宋体" w:eastAsia="宋体"/>
          <w:sz w:val="21"/>
          <w:szCs w:val="21"/>
        </w:rPr>
      </w:pPr>
      <w:r>
        <w:rPr>
          <w:rFonts w:ascii="宋体" w:hAnsi="宋体" w:eastAsia="宋体"/>
          <w:sz w:val="21"/>
          <w:szCs w:val="21"/>
        </w:rPr>
        <w:t> </w:t>
      </w:r>
    </w:p>
    <w:p>
      <w:pPr>
        <w:pStyle w:val="23"/>
        <w:spacing w:before="75" w:after="75"/>
        <w:rPr>
          <w:rFonts w:ascii="宋体" w:hAnsi="宋体" w:eastAsia="宋体"/>
          <w:sz w:val="21"/>
          <w:szCs w:val="21"/>
        </w:rPr>
      </w:pPr>
      <w:r>
        <w:rPr>
          <w:rFonts w:ascii="宋体" w:hAnsi="宋体" w:eastAsia="宋体"/>
          <w:sz w:val="21"/>
          <w:szCs w:val="21"/>
        </w:rPr>
        <w:t> </w:t>
      </w:r>
    </w:p>
    <w:p>
      <w:pPr>
        <w:pStyle w:val="23"/>
        <w:spacing w:before="75" w:after="75" w:line="360" w:lineRule="auto"/>
        <w:rPr>
          <w:rFonts w:ascii="宋体" w:hAnsi="宋体" w:eastAsia="宋体"/>
          <w:sz w:val="21"/>
          <w:szCs w:val="21"/>
        </w:rPr>
      </w:pPr>
      <w:r>
        <w:rPr>
          <w:rFonts w:ascii="宋体" w:hAnsi="宋体" w:eastAsia="宋体"/>
          <w:sz w:val="21"/>
          <w:szCs w:val="21"/>
        </w:rPr>
        <w:t>签订地点：</w:t>
      </w:r>
      <w:r>
        <w:rPr>
          <w:rFonts w:ascii="宋体" w:hAnsi="宋体" w:eastAsia="宋体"/>
          <w:sz w:val="21"/>
          <w:szCs w:val="21"/>
          <w:u w:val="single"/>
        </w:rPr>
        <w:t>                </w:t>
      </w:r>
    </w:p>
    <w:p>
      <w:pPr>
        <w:pStyle w:val="23"/>
        <w:spacing w:before="75" w:after="75" w:line="360" w:lineRule="auto"/>
        <w:rPr>
          <w:rFonts w:ascii="宋体" w:hAnsi="宋体" w:eastAsia="宋体"/>
          <w:sz w:val="21"/>
          <w:szCs w:val="21"/>
        </w:rPr>
      </w:pPr>
      <w:r>
        <w:rPr>
          <w:rFonts w:ascii="宋体" w:hAnsi="宋体" w:eastAsia="宋体"/>
          <w:sz w:val="21"/>
          <w:szCs w:val="21"/>
        </w:rPr>
        <w:t>签订日期：</w:t>
      </w:r>
      <w:r>
        <w:rPr>
          <w:rFonts w:ascii="宋体" w:hAnsi="宋体" w:eastAsia="宋体"/>
          <w:sz w:val="21"/>
          <w:szCs w:val="21"/>
          <w:u w:val="single"/>
        </w:rPr>
        <w:t>    </w:t>
      </w:r>
      <w:r>
        <w:rPr>
          <w:rFonts w:ascii="宋体" w:hAnsi="宋体" w:eastAsia="宋体"/>
          <w:sz w:val="21"/>
          <w:szCs w:val="21"/>
        </w:rPr>
        <w:t>年</w:t>
      </w:r>
      <w:r>
        <w:rPr>
          <w:rFonts w:ascii="宋体" w:hAnsi="宋体" w:eastAsia="宋体"/>
          <w:sz w:val="21"/>
          <w:szCs w:val="21"/>
          <w:u w:val="single"/>
        </w:rPr>
        <w:t>   </w:t>
      </w:r>
      <w:r>
        <w:rPr>
          <w:rFonts w:ascii="宋体" w:hAnsi="宋体" w:eastAsia="宋体"/>
          <w:sz w:val="21"/>
          <w:szCs w:val="21"/>
        </w:rPr>
        <w:t>月</w:t>
      </w:r>
      <w:r>
        <w:rPr>
          <w:rFonts w:ascii="宋体" w:hAnsi="宋体" w:eastAsia="宋体"/>
          <w:sz w:val="21"/>
          <w:szCs w:val="21"/>
          <w:u w:val="single"/>
        </w:rPr>
        <w:t>   </w:t>
      </w:r>
      <w:r>
        <w:rPr>
          <w:rFonts w:ascii="宋体" w:hAnsi="宋体" w:eastAsia="宋体"/>
          <w:sz w:val="21"/>
          <w:szCs w:val="21"/>
        </w:rPr>
        <w:t>日</w:t>
      </w:r>
    </w:p>
    <w:p>
      <w:pPr>
        <w:pStyle w:val="16"/>
        <w:spacing w:line="360" w:lineRule="auto"/>
        <w:contextualSpacing/>
        <w:jc w:val="center"/>
        <w:rPr>
          <w:rFonts w:ascii="宋体" w:hAnsi="宋体" w:eastAsia="宋体" w:cs="宋体"/>
          <w:b/>
          <w:kern w:val="0"/>
          <w:sz w:val="36"/>
          <w:szCs w:val="36"/>
        </w:rPr>
      </w:pPr>
    </w:p>
    <w:p>
      <w:pPr>
        <w:pStyle w:val="16"/>
        <w:spacing w:line="360" w:lineRule="auto"/>
        <w:contextualSpacing/>
        <w:jc w:val="center"/>
        <w:rPr>
          <w:rFonts w:ascii="宋体" w:hAnsi="宋体" w:eastAsia="宋体" w:cs="宋体"/>
          <w:b/>
          <w:kern w:val="0"/>
          <w:sz w:val="36"/>
          <w:szCs w:val="36"/>
        </w:rPr>
      </w:pPr>
    </w:p>
    <w:p>
      <w:pPr>
        <w:pStyle w:val="16"/>
        <w:spacing w:line="360" w:lineRule="auto"/>
        <w:contextualSpacing/>
        <w:jc w:val="center"/>
        <w:rPr>
          <w:rFonts w:ascii="宋体" w:hAnsi="宋体" w:eastAsia="宋体" w:cs="宋体"/>
          <w:b/>
          <w:kern w:val="0"/>
          <w:sz w:val="36"/>
          <w:szCs w:val="36"/>
        </w:rPr>
      </w:pPr>
    </w:p>
    <w:p>
      <w:pPr>
        <w:pStyle w:val="16"/>
        <w:spacing w:line="360" w:lineRule="auto"/>
        <w:contextualSpacing/>
        <w:jc w:val="center"/>
        <w:rPr>
          <w:rFonts w:ascii="宋体" w:hAnsi="宋体" w:eastAsia="宋体" w:cs="宋体"/>
          <w:b/>
          <w:kern w:val="0"/>
          <w:sz w:val="36"/>
          <w:szCs w:val="36"/>
        </w:rPr>
      </w:pPr>
    </w:p>
    <w:p>
      <w:pPr>
        <w:pStyle w:val="16"/>
        <w:spacing w:line="360" w:lineRule="auto"/>
        <w:contextualSpacing/>
        <w:jc w:val="center"/>
        <w:rPr>
          <w:rFonts w:ascii="宋体" w:hAnsi="宋体" w:eastAsia="宋体" w:cs="宋体"/>
          <w:b/>
          <w:kern w:val="0"/>
          <w:sz w:val="36"/>
          <w:szCs w:val="36"/>
        </w:rPr>
      </w:pPr>
    </w:p>
    <w:p>
      <w:pPr>
        <w:pStyle w:val="16"/>
        <w:spacing w:line="360" w:lineRule="auto"/>
        <w:contextualSpacing/>
        <w:jc w:val="center"/>
        <w:rPr>
          <w:rFonts w:ascii="宋体" w:hAnsi="宋体" w:eastAsia="宋体" w:cs="宋体"/>
          <w:b/>
          <w:kern w:val="0"/>
          <w:sz w:val="36"/>
          <w:szCs w:val="36"/>
        </w:rPr>
      </w:pPr>
    </w:p>
    <w:p>
      <w:pPr>
        <w:pStyle w:val="16"/>
        <w:spacing w:line="360" w:lineRule="auto"/>
        <w:contextualSpacing/>
        <w:jc w:val="center"/>
        <w:rPr>
          <w:rFonts w:ascii="宋体" w:hAnsi="宋体" w:eastAsia="宋体" w:cs="宋体"/>
          <w:b/>
          <w:kern w:val="0"/>
          <w:sz w:val="36"/>
          <w:szCs w:val="36"/>
        </w:rPr>
      </w:pPr>
    </w:p>
    <w:p>
      <w:pPr>
        <w:pStyle w:val="16"/>
        <w:spacing w:line="360" w:lineRule="auto"/>
        <w:contextualSpacing/>
        <w:jc w:val="center"/>
        <w:rPr>
          <w:rFonts w:ascii="宋体" w:hAnsi="宋体" w:eastAsia="宋体" w:cs="宋体"/>
          <w:b/>
          <w:kern w:val="0"/>
          <w:sz w:val="36"/>
          <w:szCs w:val="36"/>
        </w:rPr>
      </w:pPr>
    </w:p>
    <w:p>
      <w:pPr>
        <w:pStyle w:val="16"/>
        <w:spacing w:line="360" w:lineRule="auto"/>
        <w:contextualSpacing/>
        <w:jc w:val="center"/>
        <w:rPr>
          <w:rFonts w:ascii="宋体" w:hAnsi="宋体" w:eastAsia="宋体" w:cs="宋体"/>
          <w:b/>
          <w:kern w:val="0"/>
          <w:sz w:val="36"/>
          <w:szCs w:val="36"/>
        </w:rPr>
      </w:pPr>
    </w:p>
    <w:p>
      <w:pPr>
        <w:pStyle w:val="16"/>
        <w:spacing w:line="360" w:lineRule="auto"/>
        <w:contextualSpacing/>
        <w:jc w:val="center"/>
        <w:rPr>
          <w:rFonts w:ascii="宋体" w:hAnsi="宋体" w:eastAsia="宋体" w:cs="宋体"/>
          <w:b/>
          <w:kern w:val="0"/>
          <w:sz w:val="36"/>
          <w:szCs w:val="36"/>
        </w:rPr>
      </w:pPr>
    </w:p>
    <w:p>
      <w:pPr>
        <w:pStyle w:val="16"/>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autoSpaceDE w:val="0"/>
        <w:autoSpaceDN w:val="0"/>
        <w:adjustRightInd w:val="0"/>
        <w:spacing w:line="700" w:lineRule="exact"/>
        <w:jc w:val="center"/>
        <w:rPr>
          <w:rFonts w:ascii="宋体" w:hAnsi="宋体" w:eastAsia="宋体" w:cs="宋体"/>
          <w:b/>
          <w:kern w:val="0"/>
          <w:sz w:val="36"/>
          <w:szCs w:val="36"/>
        </w:rPr>
      </w:pPr>
      <w:r>
        <w:rPr>
          <w:rFonts w:hint="eastAsia" w:ascii="宋体" w:hAnsi="宋体" w:eastAsia="宋体" w:cs="宋体"/>
          <w:b/>
          <w:kern w:val="0"/>
          <w:sz w:val="36"/>
          <w:szCs w:val="36"/>
        </w:rPr>
        <w:t xml:space="preserve">        </w:t>
      </w: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rPr>
          <w:rStyle w:val="42"/>
          <w:rFonts w:ascii="宋体" w:hAnsi="宋体" w:eastAsia="宋体" w:cs="宋体"/>
          <w:sz w:val="36"/>
          <w:szCs w:val="36"/>
        </w:rPr>
      </w:pPr>
      <w:r>
        <w:rPr>
          <w:rFonts w:hint="eastAsia" w:ascii="宋体" w:hAnsi="宋体" w:eastAsia="宋体" w:cs="宋体"/>
          <w:b/>
          <w:kern w:val="0"/>
          <w:sz w:val="36"/>
          <w:szCs w:val="36"/>
        </w:rPr>
        <w:t xml:space="preserve">一、封面                         </w:t>
      </w:r>
    </w:p>
    <w:p>
      <w:pPr>
        <w:jc w:val="left"/>
        <w:rPr>
          <w:rStyle w:val="42"/>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6"/>
        <w:ind w:firstLine="0" w:firstLineChars="0"/>
        <w:rPr>
          <w:rFonts w:hAnsi="宋体" w:cs="微软雅黑"/>
          <w:szCs w:val="28"/>
        </w:rPr>
      </w:pPr>
    </w:p>
    <w:p>
      <w:pPr>
        <w:pStyle w:val="6"/>
        <w:ind w:firstLine="340"/>
        <w:rPr>
          <w:rFonts w:hAnsi="宋体" w:cs="微软雅黑"/>
          <w:szCs w:val="28"/>
        </w:rPr>
      </w:pPr>
    </w:p>
    <w:p>
      <w:pPr>
        <w:ind w:left="1079" w:leftChars="514"/>
        <w:jc w:val="left"/>
        <w:rPr>
          <w:rFonts w:ascii="宋体" w:hAnsi="宋体" w:cs="微软雅黑"/>
          <w:sz w:val="28"/>
          <w:szCs w:val="28"/>
          <w:u w:val="single"/>
        </w:rPr>
      </w:pPr>
      <w:r>
        <w:rPr>
          <w:rFonts w:hint="eastAsia" w:ascii="宋体" w:hAnsi="宋体" w:cs="微软雅黑"/>
          <w:sz w:val="28"/>
          <w:szCs w:val="28"/>
        </w:rPr>
        <w:t>响应人：</w:t>
      </w:r>
      <w:r>
        <w:rPr>
          <w:rFonts w:hint="eastAsia" w:ascii="宋体" w:hAnsi="宋体" w:cs="微软雅黑"/>
          <w:sz w:val="28"/>
          <w:szCs w:val="28"/>
          <w:u w:val="single"/>
        </w:rPr>
        <w:t xml:space="preserve">                            </w:t>
      </w:r>
      <w:r>
        <w:rPr>
          <w:rFonts w:hint="eastAsia" w:ascii="宋体" w:hAnsi="宋体" w:cs="微软雅黑"/>
          <w:sz w:val="28"/>
          <w:szCs w:val="28"/>
        </w:rPr>
        <w:t>（盖单位章）</w:t>
      </w:r>
    </w:p>
    <w:p>
      <w:pPr>
        <w:ind w:left="1079" w:leftChars="514"/>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 xml:space="preserve">          </w:t>
      </w:r>
      <w:r>
        <w:rPr>
          <w:rFonts w:hint="eastAsia" w:ascii="宋体" w:hAnsi="宋体" w:cs="微软雅黑"/>
          <w:sz w:val="28"/>
          <w:szCs w:val="28"/>
        </w:rPr>
        <w:t>（签字）</w:t>
      </w:r>
    </w:p>
    <w:p>
      <w:pPr>
        <w:pStyle w:val="6"/>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ind w:firstLine="3360" w:firstLineChars="1200"/>
        <w:rPr>
          <w:rFonts w:ascii="宋体" w:hAnsi="宋体" w:cs="微软雅黑"/>
          <w:sz w:val="28"/>
          <w:szCs w:val="28"/>
        </w:rPr>
      </w:pPr>
    </w:p>
    <w:p>
      <w:pPr>
        <w:ind w:firstLine="3360" w:firstLineChars="1200"/>
        <w:rPr>
          <w:rFonts w:ascii="宋体" w:hAnsi="宋体" w:cs="微软雅黑"/>
          <w:sz w:val="28"/>
          <w:szCs w:val="28"/>
        </w:rPr>
      </w:pPr>
    </w:p>
    <w:p>
      <w:pPr>
        <w:pStyle w:val="38"/>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二、投标人应答索引表</w:t>
      </w:r>
    </w:p>
    <w:tbl>
      <w:tblPr>
        <w:tblW w:w="93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依法纳税凭据扫描件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vAlign w:val="center"/>
          </w:tcPr>
          <w:p>
            <w:pPr>
              <w:pStyle w:val="16"/>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vAlign w:val="center"/>
          </w:tcPr>
          <w:p>
            <w:pPr>
              <w:pStyle w:val="16"/>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vAlign w:val="center"/>
          </w:tcPr>
          <w:p>
            <w:pPr>
              <w:pStyle w:val="16"/>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招标文件费用缴纳</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6"/>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三、报价一览表</w:t>
      </w:r>
    </w:p>
    <w:p>
      <w:pPr>
        <w:pStyle w:val="16"/>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日期：年月日</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注：1、交付日期指完成该项目的最终时间（日历天）。</w:t>
      </w:r>
    </w:p>
    <w:p>
      <w:pPr>
        <w:autoSpaceDE w:val="0"/>
        <w:autoSpaceDN w:val="0"/>
        <w:adjustRightIn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四、资格审查证明材料</w:t>
      </w:r>
    </w:p>
    <w:p>
      <w:pPr>
        <w:pStyle w:val="16"/>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4.1 投 标 函</w:t>
      </w:r>
    </w:p>
    <w:p>
      <w:pPr>
        <w:pStyle w:val="16"/>
        <w:spacing w:line="360" w:lineRule="auto"/>
        <w:jc w:val="center"/>
        <w:rPr>
          <w:rFonts w:ascii="宋体" w:hAnsi="宋体" w:eastAsia="宋体"/>
          <w:b/>
          <w:snapToGrid w:val="0"/>
          <w:kern w:val="0"/>
          <w:sz w:val="28"/>
          <w:szCs w:val="28"/>
        </w:rPr>
      </w:pP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襄城县政府采购中心</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_（项目名称、招标编号）采购的采购公告及采购邀请，_______（姓名和职务）被正式授权并代表供应商</w:t>
      </w:r>
      <w:r>
        <w:rPr>
          <w:rFonts w:hint="eastAsia" w:ascii="宋体" w:hAnsi="宋体"/>
          <w:snapToGrid w:val="0"/>
          <w:kern w:val="0"/>
          <w:sz w:val="24"/>
          <w:szCs w:val="24"/>
          <w:u w:val="single"/>
        </w:rPr>
        <w:t xml:space="preserve">        </w:t>
      </w:r>
      <w:r>
        <w:rPr>
          <w:rFonts w:hint="eastAsia" w:ascii="宋体" w:hAnsi="宋体"/>
          <w:snapToGrid w:val="0"/>
          <w:kern w:val="0"/>
          <w:sz w:val="24"/>
          <w:szCs w:val="24"/>
        </w:rPr>
        <w:t>（供应商名称、地址）提交。</w:t>
      </w:r>
    </w:p>
    <w:p>
      <w:pPr>
        <w:pStyle w:val="16"/>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hint="eastAsia" w:ascii="宋体" w:hAnsi="宋体" w:eastAsia="宋体"/>
          <w:snapToGrid w:val="0"/>
          <w:kern w:val="0"/>
          <w:szCs w:val="24"/>
          <w:u w:val="single"/>
        </w:rPr>
        <w:t xml:space="preserve">       </w:t>
      </w:r>
      <w:r>
        <w:rPr>
          <w:rFonts w:hint="eastAsia" w:ascii="宋体" w:hAnsi="宋体" w:eastAsia="宋体"/>
          <w:snapToGrid w:val="0"/>
          <w:kern w:val="0"/>
          <w:szCs w:val="24"/>
        </w:rPr>
        <w:t>（项目名称、招标编号）询价文件的全部内容。</w:t>
      </w:r>
    </w:p>
    <w:p>
      <w:pPr>
        <w:pStyle w:val="16"/>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宋体" w:hAnsi="宋体" w:eastAsia="宋体"/>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代表我方全权处理有关本项目询价响应的一切事宜。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我方已完全明白询价文件的所有条款要求，并申明如下：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一、按询价文件提供的全部货物与相关服务的响应总价</w:t>
      </w:r>
      <w:r>
        <w:rPr>
          <w:rFonts w:hint="eastAsia" w:cs="Arial"/>
          <w:sz w:val="26"/>
          <w:szCs w:val="26"/>
        </w:rPr>
        <w:t>大写</w:t>
      </w:r>
      <w:r>
        <w:rPr>
          <w:rFonts w:hint="eastAsia" w:cs="Arial"/>
          <w:sz w:val="26"/>
          <w:szCs w:val="26"/>
          <w:u w:val="single"/>
        </w:rPr>
        <w:t xml:space="preserve">     </w:t>
      </w:r>
      <w:r>
        <w:rPr>
          <w:rFonts w:hint="eastAsia" w:ascii="宋体" w:hAnsi="宋体" w:cs="Courier New"/>
          <w:sz w:val="24"/>
          <w:szCs w:val="24"/>
        </w:rPr>
        <w:t>,小写</w:t>
      </w:r>
      <w:r>
        <w:rPr>
          <w:rFonts w:hint="eastAsia" w:ascii="宋体" w:hAnsi="宋体" w:cs="Courier New"/>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二、本询价文件的有效期为询价响应截止时间起</w:t>
      </w:r>
      <w:r>
        <w:rPr>
          <w:rFonts w:hint="eastAsia" w:ascii="宋体" w:hAnsi="宋体"/>
          <w:i/>
          <w:snapToGrid w:val="0"/>
          <w:kern w:val="0"/>
          <w:sz w:val="24"/>
          <w:szCs w:val="24"/>
          <w:u w:val="single"/>
        </w:rPr>
        <w:t xml:space="preserve">    </w:t>
      </w:r>
      <w:r>
        <w:rPr>
          <w:rFonts w:hint="eastAsia" w:ascii="宋体" w:hAnsi="宋体" w:cs="Courier New"/>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3"/>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三、我方明白并同意，在规定的询价响应时间截止之后，响应有效期之内撤销询价响应的，</w:t>
      </w:r>
      <w:r>
        <w:rPr>
          <w:rFonts w:hint="eastAsia" w:cs="Courier New"/>
        </w:rPr>
        <w:t>则我方承担违背投标承诺的责任追究。</w:t>
      </w:r>
    </w:p>
    <w:p>
      <w:pPr>
        <w:pStyle w:val="23"/>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四、我方同意按照贵方可能提出的要求而提供与询价响应有关的任何其它数据、信息或资料。</w:t>
      </w:r>
    </w:p>
    <w:p>
      <w:pPr>
        <w:pStyle w:val="23"/>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五、我方理解贵方不一定接受最低响应价或任何贵方可能收到的询价响应。</w:t>
      </w:r>
    </w:p>
    <w:p>
      <w:pPr>
        <w:pStyle w:val="23"/>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六、我方如果成交，将保证履行询价文件及其澄清、修改文件（如果有）中的全部责任和义务，按质、按量、按期完成《采购需求》及《合同书》中的全部任务。</w:t>
      </w:r>
    </w:p>
    <w:p>
      <w:pPr>
        <w:pStyle w:val="23"/>
        <w:adjustRightInd w:val="0"/>
        <w:spacing w:line="360" w:lineRule="auto"/>
        <w:ind w:firstLine="480" w:firstLineChars="200"/>
        <w:contextualSpacing/>
        <w:rPr>
          <w:rFonts w:ascii="宋体" w:hAnsi="宋体" w:eastAsia="宋体" w:cs="宋体"/>
        </w:rPr>
      </w:pPr>
      <w:r>
        <w:rPr>
          <w:rFonts w:hint="eastAsia" w:ascii="宋体" w:hAnsi="宋体" w:eastAsia="宋体" w:cs="Courier New"/>
        </w:rPr>
        <w:t>七、我方在此保证所提交的所有文件和全部说明是真实的和正确的。</w:t>
      </w:r>
    </w:p>
    <w:p>
      <w:pPr>
        <w:pStyle w:val="16"/>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九、我方具备《政府采购法》第二十二条规定的条件；承诺如下：</w:t>
      </w:r>
    </w:p>
    <w:p>
      <w:pPr>
        <w:pStyle w:val="16"/>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 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以上内容如有虚假或与事实不符的，询价小组可将</w:t>
      </w:r>
      <w:r>
        <w:rPr>
          <w:rFonts w:hint="eastAsia" w:ascii="宋体" w:hAnsi="宋体" w:cs="Arial"/>
          <w:sz w:val="24"/>
          <w:szCs w:val="24"/>
        </w:rPr>
        <w:t>我方做无效投标处理，我方愿意承担相应的法律责任。</w:t>
      </w:r>
    </w:p>
    <w:p>
      <w:pPr>
        <w:pStyle w:val="16"/>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十、我方具备履行合同所必需的设备和专业技术能力。</w:t>
      </w:r>
    </w:p>
    <w:p>
      <w:pPr>
        <w:pStyle w:val="16"/>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十一、</w:t>
      </w:r>
      <w:r>
        <w:rPr>
          <w:rFonts w:hint="eastAsia" w:ascii="宋体" w:hAnsi="宋体" w:eastAsia="宋体"/>
          <w:szCs w:val="24"/>
        </w:rPr>
        <w:t>我方对在本函及响应文件中所作的所有承诺承担法律责任。</w:t>
      </w:r>
    </w:p>
    <w:p>
      <w:pPr>
        <w:pStyle w:val="16"/>
        <w:adjustRightInd w:val="0"/>
        <w:snapToGrid w:val="0"/>
        <w:spacing w:line="360" w:lineRule="auto"/>
        <w:rPr>
          <w:rFonts w:ascii="宋体" w:hAnsi="宋体" w:eastAsia="宋体"/>
          <w:szCs w:val="24"/>
        </w:rPr>
      </w:pPr>
      <w:r>
        <w:rPr>
          <w:rFonts w:hint="eastAsia" w:ascii="宋体" w:hAnsi="宋体" w:eastAsia="宋体"/>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供应商法定代表人（单位负责人</w:t>
      </w:r>
      <w:r>
        <w:rPr>
          <w:rFonts w:ascii="宋体" w:hAnsi="宋体" w:cs="宋体"/>
          <w:sz w:val="24"/>
          <w:szCs w:val="24"/>
        </w:rPr>
        <w:t>）</w:t>
      </w:r>
      <w:r>
        <w:rPr>
          <w:rFonts w:hint="eastAsia" w:ascii="宋体" w:hAnsi="宋体" w:cs="宋体"/>
          <w:sz w:val="24"/>
          <w:szCs w:val="24"/>
        </w:rPr>
        <w:t>或授权代表签字：</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ind w:firstLine="4935" w:firstLineChars="2350"/>
        <w:rPr>
          <w:rFonts w:ascii="宋体" w:hAnsi="宋体" w:cs="宋体"/>
          <w:szCs w:val="21"/>
        </w:rPr>
      </w:pPr>
      <w:r>
        <w:rPr>
          <w:rFonts w:hint="eastAsia" w:ascii="宋体" w:hAnsi="宋体" w:cs="宋体"/>
          <w:szCs w:val="21"/>
        </w:rPr>
        <w:t>日期：    年    月    日</w:t>
      </w:r>
    </w:p>
    <w:p>
      <w:pPr>
        <w:spacing w:line="480" w:lineRule="exact"/>
        <w:jc w:val="center"/>
        <w:rPr>
          <w:rFonts w:ascii="宋体" w:hAnsi="宋体" w:eastAsia="宋体"/>
          <w:b/>
          <w:bCs/>
          <w:sz w:val="24"/>
          <w:szCs w:val="24"/>
        </w:rPr>
      </w:pPr>
      <w:r>
        <w:rPr>
          <w:rFonts w:hint="eastAsia" w:ascii="宋体" w:hAnsi="宋体" w:eastAsia="宋体"/>
          <w:b/>
          <w:bCs/>
          <w:sz w:val="24"/>
          <w:szCs w:val="24"/>
        </w:rPr>
        <w:t>4.2 法定代表人（单位负责人）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32"/>
        <w:spacing w:line="480" w:lineRule="auto"/>
        <w:ind w:firstLine="540" w:firstLineChars="225"/>
        <w:jc w:val="left"/>
        <w:rPr>
          <w:rFonts w:ascii="宋体" w:hAnsi="宋体"/>
          <w:szCs w:val="24"/>
        </w:rPr>
      </w:pPr>
      <w:r>
        <w:rPr>
          <w:rFonts w:ascii="宋体" w:hAnsi="宋体"/>
          <w:szCs w:val="24"/>
        </w:rPr>
        <w:t>单</w:t>
      </w:r>
      <w:r>
        <w:rPr>
          <w:rFonts w:hint="eastAsia" w:ascii="宋体" w:hAnsi="宋体"/>
          <w:szCs w:val="24"/>
        </w:rPr>
        <w:t>位名</w:t>
      </w:r>
      <w:r>
        <w:rPr>
          <w:rFonts w:ascii="宋体" w:hAnsi="宋体"/>
          <w:szCs w:val="24"/>
        </w:rPr>
        <w:t>称</w:t>
      </w:r>
      <w:r>
        <w:rPr>
          <w:rFonts w:hint="eastAsia" w:ascii="宋体" w:hAnsi="宋体"/>
          <w:szCs w:val="24"/>
        </w:rPr>
        <w:t>：</w:t>
      </w:r>
    </w:p>
    <w:p>
      <w:pPr>
        <w:pStyle w:val="32"/>
        <w:spacing w:line="480" w:lineRule="auto"/>
        <w:ind w:firstLine="540" w:firstLineChars="225"/>
        <w:jc w:val="left"/>
        <w:rPr>
          <w:rFonts w:ascii="宋体" w:hAnsi="宋体"/>
          <w:szCs w:val="24"/>
        </w:rPr>
      </w:pPr>
      <w:r>
        <w:rPr>
          <w:rFonts w:hint="eastAsia" w:ascii="宋体" w:hAnsi="宋体"/>
          <w:szCs w:val="24"/>
        </w:rPr>
        <w:t>地址：</w:t>
      </w:r>
    </w:p>
    <w:p>
      <w:pPr>
        <w:pStyle w:val="32"/>
        <w:spacing w:line="480" w:lineRule="auto"/>
        <w:ind w:firstLine="540" w:firstLineChars="225"/>
        <w:jc w:val="left"/>
        <w:rPr>
          <w:rFonts w:ascii="宋体" w:hAnsi="宋体"/>
          <w:szCs w:val="24"/>
        </w:rPr>
      </w:pPr>
      <w:r>
        <w:rPr>
          <w:rFonts w:hint="eastAsia" w:ascii="宋体" w:hAnsi="宋体"/>
          <w:szCs w:val="24"/>
        </w:rPr>
        <w:t>姓名：       性</w:t>
      </w:r>
      <w:r>
        <w:rPr>
          <w:rFonts w:ascii="宋体" w:hAnsi="宋体"/>
          <w:szCs w:val="24"/>
        </w:rPr>
        <w:t>别</w:t>
      </w:r>
      <w:r>
        <w:rPr>
          <w:rFonts w:hint="eastAsia" w:ascii="宋体" w:hAnsi="宋体"/>
          <w:szCs w:val="24"/>
        </w:rPr>
        <w:t>：     年</w:t>
      </w:r>
      <w:r>
        <w:rPr>
          <w:rFonts w:ascii="宋体" w:hAnsi="宋体"/>
          <w:szCs w:val="24"/>
        </w:rPr>
        <w:t>龄</w:t>
      </w:r>
      <w:r>
        <w:rPr>
          <w:rFonts w:hint="eastAsia" w:ascii="宋体" w:hAnsi="宋体"/>
          <w:szCs w:val="24"/>
        </w:rPr>
        <w:t>：</w:t>
      </w:r>
      <w:r>
        <w:rPr>
          <w:rFonts w:ascii="宋体" w:hAnsi="宋体"/>
          <w:szCs w:val="24"/>
        </w:rPr>
        <w:t xml:space="preserve">     职务</w:t>
      </w:r>
      <w:r>
        <w:rPr>
          <w:rFonts w:hint="eastAsia" w:ascii="宋体" w:hAnsi="宋体"/>
          <w:szCs w:val="24"/>
        </w:rPr>
        <w:t xml:space="preserve">：        </w:t>
      </w:r>
    </w:p>
    <w:p>
      <w:pPr>
        <w:pStyle w:val="32"/>
        <w:spacing w:line="480" w:lineRule="auto"/>
        <w:ind w:firstLine="540" w:firstLineChars="225"/>
        <w:jc w:val="left"/>
        <w:rPr>
          <w:rFonts w:ascii="宋体" w:hAnsi="宋体"/>
          <w:szCs w:val="24"/>
        </w:rPr>
      </w:pPr>
      <w:r>
        <w:rPr>
          <w:rFonts w:hint="eastAsia" w:ascii="宋体" w:hAnsi="宋体"/>
          <w:szCs w:val="24"/>
        </w:rPr>
        <w:t>本人系</w:t>
      </w:r>
      <w:r>
        <w:rPr>
          <w:rFonts w:hint="eastAsia" w:ascii="宋体" w:hAnsi="宋体"/>
          <w:i/>
          <w:snapToGrid w:val="0"/>
          <w:szCs w:val="24"/>
          <w:u w:val="single"/>
        </w:rPr>
        <w:t>供应商名</w:t>
      </w:r>
      <w:r>
        <w:rPr>
          <w:rFonts w:ascii="宋体" w:hAnsi="宋体"/>
          <w:i/>
          <w:snapToGrid w:val="0"/>
          <w:szCs w:val="24"/>
          <w:u w:val="single"/>
        </w:rPr>
        <w:t>称</w:t>
      </w:r>
      <w:r>
        <w:rPr>
          <w:rFonts w:hint="eastAsia" w:ascii="宋体" w:hAnsi="宋体"/>
          <w:szCs w:val="24"/>
        </w:rPr>
        <w:t>的法定代表人（单位负责人）。就</w:t>
      </w:r>
      <w:r>
        <w:rPr>
          <w:rFonts w:ascii="宋体" w:hAnsi="宋体"/>
          <w:szCs w:val="24"/>
        </w:rPr>
        <w:t>参</w:t>
      </w:r>
      <w:r>
        <w:rPr>
          <w:rFonts w:hint="eastAsia" w:ascii="宋体" w:hAnsi="宋体"/>
          <w:szCs w:val="24"/>
        </w:rPr>
        <w:t>加贵方招</w:t>
      </w:r>
      <w:r>
        <w:rPr>
          <w:rFonts w:ascii="宋体" w:hAnsi="宋体"/>
          <w:szCs w:val="24"/>
        </w:rPr>
        <w:t>标编号为</w:t>
      </w:r>
      <w:r>
        <w:rPr>
          <w:rFonts w:ascii="宋体" w:hAnsi="宋体"/>
          <w:i/>
          <w:szCs w:val="24"/>
          <w:u w:val="single"/>
        </w:rPr>
        <w:t>项目编号</w:t>
      </w:r>
      <w:r>
        <w:rPr>
          <w:rFonts w:hint="eastAsia" w:ascii="宋体" w:hAnsi="宋体"/>
          <w:szCs w:val="24"/>
        </w:rPr>
        <w:t>的</w:t>
      </w:r>
      <w:r>
        <w:rPr>
          <w:rFonts w:ascii="宋体" w:hAnsi="宋体"/>
          <w:i/>
          <w:szCs w:val="24"/>
          <w:u w:val="single"/>
        </w:rPr>
        <w:t>项目</w:t>
      </w:r>
      <w:r>
        <w:rPr>
          <w:rFonts w:hint="eastAsia" w:ascii="宋体" w:hAnsi="宋体"/>
          <w:i/>
          <w:szCs w:val="24"/>
          <w:u w:val="single"/>
        </w:rPr>
        <w:t>名</w:t>
      </w:r>
      <w:r>
        <w:rPr>
          <w:rFonts w:ascii="宋体" w:hAnsi="宋体"/>
          <w:i/>
          <w:szCs w:val="24"/>
          <w:u w:val="single"/>
        </w:rPr>
        <w:t>称</w:t>
      </w:r>
      <w:r>
        <w:rPr>
          <w:rFonts w:hint="eastAsia" w:ascii="宋体" w:hAnsi="宋体"/>
          <w:szCs w:val="24"/>
        </w:rPr>
        <w:t>询价</w:t>
      </w:r>
      <w:r>
        <w:rPr>
          <w:rFonts w:ascii="宋体" w:hAnsi="宋体"/>
          <w:szCs w:val="24"/>
        </w:rPr>
        <w:t>项目</w:t>
      </w:r>
      <w:r>
        <w:rPr>
          <w:rFonts w:hint="eastAsia" w:ascii="宋体" w:hAnsi="宋体"/>
          <w:szCs w:val="24"/>
        </w:rPr>
        <w:t>的响应</w:t>
      </w:r>
      <w:r>
        <w:rPr>
          <w:rFonts w:ascii="宋体" w:hAnsi="宋体"/>
          <w:szCs w:val="24"/>
        </w:rPr>
        <w:t>报价</w:t>
      </w:r>
      <w:r>
        <w:rPr>
          <w:rFonts w:hint="eastAsia" w:ascii="宋体" w:hAnsi="宋体"/>
          <w:szCs w:val="24"/>
        </w:rPr>
        <w:t>，</w:t>
      </w:r>
      <w:r>
        <w:rPr>
          <w:rFonts w:ascii="宋体" w:hAnsi="宋体"/>
          <w:szCs w:val="24"/>
        </w:rPr>
        <w:t>签</w:t>
      </w:r>
      <w:r>
        <w:rPr>
          <w:rFonts w:hint="eastAsia" w:ascii="宋体" w:hAnsi="宋体"/>
          <w:szCs w:val="24"/>
        </w:rPr>
        <w:t>署上</w:t>
      </w:r>
      <w:r>
        <w:rPr>
          <w:rFonts w:ascii="宋体" w:hAnsi="宋体"/>
          <w:szCs w:val="24"/>
        </w:rPr>
        <w:t>述项目</w:t>
      </w:r>
      <w:r>
        <w:rPr>
          <w:rFonts w:hint="eastAsia" w:ascii="宋体" w:hAnsi="宋体"/>
          <w:szCs w:val="24"/>
        </w:rPr>
        <w:t>的响应文件及合同的</w:t>
      </w:r>
      <w:r>
        <w:rPr>
          <w:rFonts w:ascii="宋体" w:hAnsi="宋体"/>
          <w:szCs w:val="24"/>
        </w:rPr>
        <w:t>执</w:t>
      </w:r>
      <w:r>
        <w:rPr>
          <w:rFonts w:hint="eastAsia" w:ascii="宋体" w:hAnsi="宋体"/>
          <w:szCs w:val="24"/>
        </w:rPr>
        <w:t>行、完成、服</w:t>
      </w:r>
      <w:r>
        <w:rPr>
          <w:rFonts w:ascii="宋体" w:hAnsi="宋体"/>
          <w:szCs w:val="24"/>
        </w:rPr>
        <w:t>务</w:t>
      </w:r>
      <w:r>
        <w:rPr>
          <w:rFonts w:hint="eastAsia" w:ascii="宋体" w:hAnsi="宋体"/>
          <w:szCs w:val="24"/>
        </w:rPr>
        <w:t>和保修，</w:t>
      </w:r>
      <w:r>
        <w:rPr>
          <w:rFonts w:ascii="宋体" w:hAnsi="宋体"/>
          <w:szCs w:val="24"/>
        </w:rPr>
        <w:t>签</w:t>
      </w:r>
      <w:r>
        <w:rPr>
          <w:rFonts w:hint="eastAsia" w:ascii="宋体" w:hAnsi="宋体"/>
          <w:szCs w:val="24"/>
        </w:rPr>
        <w:t>署合同和</w:t>
      </w:r>
      <w:r>
        <w:rPr>
          <w:rFonts w:ascii="宋体" w:hAnsi="宋体"/>
          <w:szCs w:val="24"/>
        </w:rPr>
        <w:t>处</w:t>
      </w:r>
      <w:r>
        <w:rPr>
          <w:rFonts w:hint="eastAsia" w:ascii="宋体" w:hAnsi="宋体"/>
          <w:szCs w:val="24"/>
        </w:rPr>
        <w:t>理与之有</w:t>
      </w:r>
      <w:r>
        <w:rPr>
          <w:rFonts w:ascii="宋体" w:hAnsi="宋体"/>
          <w:szCs w:val="24"/>
        </w:rPr>
        <w:t>关的</w:t>
      </w:r>
      <w:r>
        <w:rPr>
          <w:rFonts w:hint="eastAsia" w:ascii="宋体" w:hAnsi="宋体"/>
          <w:szCs w:val="24"/>
        </w:rPr>
        <w:t>一切事</w:t>
      </w:r>
      <w:r>
        <w:rPr>
          <w:rFonts w:ascii="宋体" w:hAnsi="宋体"/>
          <w:szCs w:val="24"/>
        </w:rPr>
        <w:t>务</w:t>
      </w:r>
      <w:r>
        <w:rPr>
          <w:rFonts w:hint="eastAsia" w:ascii="宋体" w:hAnsi="宋体"/>
          <w:szCs w:val="24"/>
        </w:rPr>
        <w:t>。</w:t>
      </w:r>
    </w:p>
    <w:p>
      <w:pPr>
        <w:pStyle w:val="32"/>
        <w:spacing w:line="480" w:lineRule="auto"/>
        <w:ind w:firstLine="540" w:firstLineChars="225"/>
        <w:jc w:val="left"/>
        <w:rPr>
          <w:rFonts w:ascii="宋体" w:hAnsi="宋体"/>
          <w:szCs w:val="24"/>
        </w:rPr>
      </w:pPr>
      <w:r>
        <w:rPr>
          <w:rFonts w:hint="eastAsia" w:ascii="宋体" w:hAnsi="宋体"/>
          <w:szCs w:val="24"/>
        </w:rPr>
        <w:t>特此</w:t>
      </w:r>
      <w:r>
        <w:rPr>
          <w:rFonts w:ascii="宋体" w:hAnsi="宋体"/>
          <w:szCs w:val="24"/>
        </w:rPr>
        <w:t>证</w:t>
      </w:r>
      <w:r>
        <w:rPr>
          <w:rFonts w:hint="eastAsia" w:ascii="宋体" w:hAnsi="宋体"/>
          <w:szCs w:val="24"/>
        </w:rPr>
        <w:t>明。</w:t>
      </w:r>
    </w:p>
    <w:p>
      <w:pPr>
        <w:pStyle w:val="32"/>
        <w:spacing w:line="480" w:lineRule="auto"/>
        <w:ind w:firstLine="540" w:firstLineChars="225"/>
        <w:jc w:val="left"/>
        <w:rPr>
          <w:rFonts w:ascii="宋体" w:hAnsi="宋体"/>
          <w:szCs w:val="24"/>
        </w:rPr>
      </w:pPr>
    </w:p>
    <w:p>
      <w:pPr>
        <w:pStyle w:val="32"/>
        <w:spacing w:line="480" w:lineRule="auto"/>
        <w:ind w:firstLine="540" w:firstLineChars="225"/>
        <w:jc w:val="left"/>
        <w:rPr>
          <w:rFonts w:ascii="宋体" w:hAnsi="宋体"/>
          <w:szCs w:val="24"/>
        </w:rPr>
      </w:pPr>
    </w:p>
    <w:p>
      <w:pPr>
        <w:pStyle w:val="32"/>
        <w:spacing w:line="480" w:lineRule="auto"/>
        <w:ind w:left="-538" w:leftChars="-256" w:firstLine="616" w:firstLineChars="257"/>
        <w:jc w:val="center"/>
        <w:rPr>
          <w:rFonts w:ascii="宋体" w:hAnsi="宋体"/>
          <w:bCs/>
          <w:szCs w:val="24"/>
        </w:rPr>
      </w:pPr>
      <w:r>
        <w:rPr>
          <w:rFonts w:hint="eastAsia" w:ascii="宋体" w:hAnsi="宋体"/>
          <w:bCs/>
          <w:szCs w:val="24"/>
        </w:rPr>
        <w:t>【此</w:t>
      </w:r>
      <w:r>
        <w:rPr>
          <w:rFonts w:ascii="宋体" w:hAnsi="宋体"/>
          <w:bCs/>
          <w:szCs w:val="24"/>
        </w:rPr>
        <w:t>处请</w:t>
      </w:r>
      <w:r>
        <w:rPr>
          <w:rFonts w:hint="eastAsia" w:ascii="宋体" w:hAnsi="宋体"/>
          <w:bCs/>
          <w:szCs w:val="24"/>
        </w:rPr>
        <w:t>粘</w:t>
      </w:r>
      <w:r>
        <w:rPr>
          <w:rFonts w:ascii="宋体" w:hAnsi="宋体"/>
          <w:bCs/>
          <w:szCs w:val="24"/>
        </w:rPr>
        <w:t>贴</w:t>
      </w:r>
      <w:r>
        <w:rPr>
          <w:rFonts w:hint="eastAsia" w:ascii="宋体" w:hAnsi="宋体"/>
          <w:bCs/>
          <w:szCs w:val="24"/>
        </w:rPr>
        <w:t>法定代表人（单位负责人）身份</w:t>
      </w:r>
      <w:r>
        <w:rPr>
          <w:rFonts w:ascii="宋体" w:hAnsi="宋体"/>
          <w:bCs/>
          <w:szCs w:val="24"/>
        </w:rPr>
        <w:t>证</w:t>
      </w:r>
      <w:r>
        <w:rPr>
          <w:rFonts w:hint="eastAsia" w:ascii="宋体" w:hAnsi="宋体"/>
          <w:bCs/>
          <w:szCs w:val="24"/>
        </w:rPr>
        <w:t>扫描件或图片，需清晰反映身份证有效期限】</w:t>
      </w:r>
    </w:p>
    <w:p>
      <w:pPr>
        <w:pStyle w:val="32"/>
        <w:spacing w:line="480" w:lineRule="auto"/>
        <w:ind w:left="-538" w:leftChars="-256" w:firstLine="616" w:firstLineChars="257"/>
        <w:jc w:val="center"/>
        <w:rPr>
          <w:rFonts w:ascii="宋体"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4500" w:firstLineChars="1875"/>
        <w:rPr>
          <w:rFonts w:ascii="宋体" w:hAnsi="宋体" w:cs="Arial"/>
          <w:sz w:val="24"/>
          <w:szCs w:val="24"/>
          <w:u w:val="single"/>
        </w:rPr>
      </w:pPr>
      <w:r>
        <w:rPr>
          <w:rFonts w:hint="eastAsia" w:ascii="宋体" w:hAnsi="宋体" w:cs="Arial"/>
          <w:sz w:val="24"/>
          <w:szCs w:val="24"/>
        </w:rPr>
        <w:t>供应商名称（并加盖公章）：</w:t>
      </w:r>
    </w:p>
    <w:p>
      <w:pPr>
        <w:pStyle w:val="34"/>
        <w:spacing w:before="60" w:line="480" w:lineRule="auto"/>
        <w:ind w:firstLine="4500" w:firstLineChars="1875"/>
        <w:rPr>
          <w:rFonts w:ascii="宋体" w:hAnsi="宋体" w:eastAsia="宋体" w:cs="Arial"/>
          <w:szCs w:val="24"/>
        </w:rPr>
      </w:pPr>
      <w:r>
        <w:rPr>
          <w:rFonts w:hint="eastAsia" w:ascii="宋体" w:hAnsi="宋体" w:eastAsia="宋体" w:cs="Arial"/>
          <w:szCs w:val="24"/>
        </w:rPr>
        <w:t>签署日期：   年   月  日</w:t>
      </w:r>
    </w:p>
    <w:p>
      <w:pPr>
        <w:pStyle w:val="33"/>
        <w:spacing w:line="480" w:lineRule="auto"/>
        <w:rPr>
          <w:rFonts w:ascii="宋体" w:hAnsi="宋体" w:cs="Arial"/>
          <w:sz w:val="21"/>
          <w:szCs w:val="21"/>
        </w:rPr>
      </w:pPr>
    </w:p>
    <w:p>
      <w:pPr>
        <w:rPr>
          <w:szCs w:val="21"/>
        </w:rPr>
      </w:pPr>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加本询价</w:t>
      </w:r>
      <w:r>
        <w:rPr>
          <w:rFonts w:ascii="宋体" w:hAnsi="宋体"/>
          <w:bCs/>
          <w:kern w:val="12"/>
          <w:sz w:val="24"/>
          <w:szCs w:val="24"/>
        </w:rPr>
        <w:t>项目</w:t>
      </w:r>
      <w:r>
        <w:rPr>
          <w:rFonts w:hint="eastAsia" w:ascii="宋体" w:hAnsi="宋体"/>
          <w:bCs/>
          <w:kern w:val="12"/>
          <w:sz w:val="24"/>
          <w:szCs w:val="24"/>
        </w:rPr>
        <w:t>响应的，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24"/>
          <w:szCs w:val="24"/>
        </w:rPr>
      </w:pPr>
      <w:r>
        <w:rPr>
          <w:rFonts w:hint="eastAsia" w:ascii="宋体" w:hAnsi="宋体"/>
          <w:b/>
          <w:bCs/>
          <w:sz w:val="24"/>
          <w:szCs w:val="24"/>
        </w:rPr>
        <w:t>4.3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的法定代表人（单位负责人），现委托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cs="Arial"/>
          <w:sz w:val="24"/>
          <w:szCs w:val="24"/>
        </w:rPr>
      </w:pPr>
      <w:r>
        <w:rPr>
          <w:rFonts w:hint="eastAsia" w:ascii="宋体" w:hAnsi="宋体" w:cs="Arial"/>
          <w:sz w:val="24"/>
          <w:szCs w:val="24"/>
        </w:rPr>
        <w:t>法定代表人（单位负责人）：              （签字或加盖名章）</w:t>
      </w:r>
    </w:p>
    <w:p>
      <w:pPr>
        <w:spacing w:line="480" w:lineRule="auto"/>
        <w:ind w:firstLine="480" w:firstLineChars="200"/>
        <w:rPr>
          <w:rFonts w:ascii="宋体" w:hAnsi="宋体"/>
          <w:sz w:val="24"/>
          <w:szCs w:val="24"/>
        </w:rPr>
      </w:pPr>
      <w:r>
        <w:rPr>
          <w:rFonts w:hint="eastAsia" w:ascii="宋体" w:hAnsi="宋体" w:cs="Arial"/>
          <w:sz w:val="24"/>
          <w:szCs w:val="24"/>
        </w:rPr>
        <w:t>法定代表人（单位负责人）</w:t>
      </w:r>
      <w:r>
        <w:rPr>
          <w:rFonts w:hint="eastAsia" w:ascii="宋体" w:hAnsi="宋体"/>
          <w:sz w:val="24"/>
          <w:szCs w:val="24"/>
        </w:rPr>
        <w:t>授权代表：  （签字或加盖名章）</w:t>
      </w:r>
    </w:p>
    <w:tbl>
      <w:tblPr>
        <w:tblW w:w="89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法定代表人（单位负责人）身份证（正面）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法定代表人（单位负责人）身份证（反面）</w:t>
            </w:r>
          </w:p>
        </w:tc>
      </w:tr>
      <w:tr>
        <w:trPr>
          <w:trHeight w:val="2781" w:hRule="atLeast"/>
        </w:trPr>
        <w:tc>
          <w:tcPr>
            <w:tcW w:w="4491" w:type="dxa"/>
            <w:gridSpan w:val="2"/>
            <w:vAlign w:val="center"/>
          </w:tcPr>
          <w:p>
            <w:pPr>
              <w:jc w:val="center"/>
              <w:rPr>
                <w:rFonts w:ascii="宋体" w:hAnsi="宋体"/>
                <w:sz w:val="24"/>
                <w:szCs w:val="24"/>
              </w:rPr>
            </w:pPr>
            <w:r>
              <w:rPr>
                <w:rFonts w:hint="eastAsia" w:ascii="宋体" w:hAnsi="宋体"/>
                <w:sz w:val="24"/>
                <w:szCs w:val="24"/>
              </w:rPr>
              <w:t>法定代表人（单位负责人）授权代表身份证（正面）</w:t>
            </w:r>
          </w:p>
        </w:tc>
        <w:tc>
          <w:tcPr>
            <w:tcW w:w="4492" w:type="dxa"/>
            <w:gridSpan w:val="2"/>
            <w:vAlign w:val="center"/>
          </w:tcPr>
          <w:p>
            <w:pPr>
              <w:jc w:val="center"/>
              <w:rPr>
                <w:rFonts w:ascii="宋体" w:hAnsi="宋体"/>
                <w:sz w:val="24"/>
                <w:szCs w:val="24"/>
              </w:rPr>
            </w:pPr>
            <w:r>
              <w:rPr>
                <w:rFonts w:hint="eastAsia" w:ascii="宋体" w:hAnsi="宋体"/>
                <w:sz w:val="24"/>
                <w:szCs w:val="24"/>
              </w:rPr>
              <w:t>法定代表人（单位负责人）授权代表身份证（反面）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4.4 没有重大违法记录的声明</w:t>
      </w:r>
    </w:p>
    <w:p>
      <w:pPr>
        <w:spacing w:beforeLines="50" w:afterLines="50"/>
        <w:jc w:val="center"/>
        <w:rPr>
          <w:rFonts w:ascii="宋体" w:hAnsi="宋体" w:cs="Arial"/>
          <w:b/>
          <w:kern w:val="0"/>
          <w:sz w:val="28"/>
          <w:szCs w:val="28"/>
        </w:rPr>
      </w:pPr>
      <w:r>
        <w:rPr>
          <w:rFonts w:hint="eastAsia" w:ascii="宋体" w:hAnsi="宋体" w:cs="Arial"/>
          <w:b/>
          <w:kern w:val="0"/>
          <w:sz w:val="28"/>
          <w:szCs w:val="28"/>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4800" w:firstLineChars="2000"/>
        <w:rPr>
          <w:rFonts w:ascii="宋体" w:hAnsi="宋体" w:cs="宋体"/>
          <w:sz w:val="24"/>
          <w:szCs w:val="24"/>
          <w:lang w:val="zh-CN"/>
        </w:rPr>
      </w:pPr>
      <w:r>
        <w:rPr>
          <w:rFonts w:hint="eastAsia" w:ascii="宋体" w:hAnsi="宋体" w:cs="宋体"/>
          <w:sz w:val="24"/>
          <w:szCs w:val="24"/>
          <w:lang w:val="zh-CN"/>
        </w:rPr>
        <w:t xml:space="preserve">日    期：     </w:t>
      </w:r>
      <w:r>
        <w:rPr>
          <w:rFonts w:hint="eastAsia" w:ascii="宋体" w:hAnsi="宋体" w:cs="宋体"/>
          <w:sz w:val="24"/>
          <w:szCs w:val="24"/>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r>
        <w:rPr>
          <w:rFonts w:hint="eastAsia" w:ascii="宋体" w:hAnsi="宋体"/>
          <w:b/>
          <w:bCs/>
          <w:color w:val="000000"/>
          <w:sz w:val="24"/>
          <w:szCs w:val="24"/>
        </w:rPr>
        <w:t>4.5 投标承诺函</w:t>
      </w:r>
    </w:p>
    <w:p>
      <w:pPr>
        <w:autoSpaceDE w:val="0"/>
        <w:autoSpaceDN w:val="0"/>
        <w:snapToGrid w:val="0"/>
        <w:spacing w:line="360" w:lineRule="auto"/>
        <w:rPr>
          <w:rFonts w:ascii="宋体" w:hAnsi="宋体"/>
          <w:b/>
          <w:bCs/>
          <w:color w:val="000000"/>
          <w:sz w:val="24"/>
        </w:rPr>
      </w:pPr>
    </w:p>
    <w:p>
      <w:pPr>
        <w:spacing w:beforeLines="50" w:afterLines="50" w:line="360" w:lineRule="auto"/>
        <w:contextualSpacing/>
        <w:rPr>
          <w:rFonts w:ascii="宋体" w:hAnsi="宋体" w:cs="宋体"/>
          <w:sz w:val="24"/>
          <w:szCs w:val="24"/>
          <w:lang w:val="zh-CN"/>
        </w:rPr>
      </w:pP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lang w:val="zh-CN"/>
        </w:rPr>
        <w:t>（</w:t>
      </w:r>
      <w:r>
        <w:rPr>
          <w:rFonts w:hint="eastAsia" w:ascii="宋体" w:hAnsi="宋体" w:cs="宋体"/>
          <w:sz w:val="24"/>
          <w:szCs w:val="24"/>
          <w:lang w:val="zh-CN"/>
        </w:rPr>
        <w:t>采购</w:t>
      </w:r>
      <w:r>
        <w:rPr>
          <w:rFonts w:ascii="宋体" w:hAnsi="宋体" w:cs="宋体"/>
          <w:sz w:val="24"/>
          <w:szCs w:val="24"/>
          <w:lang w:val="zh-CN"/>
        </w:rPr>
        <w:t>人名称）：</w:t>
      </w:r>
    </w:p>
    <w:p>
      <w:pPr>
        <w:spacing w:beforeLines="50" w:afterLines="50" w:line="360" w:lineRule="auto"/>
        <w:ind w:firstLine="480" w:firstLineChars="200"/>
        <w:contextualSpacing/>
        <w:rPr>
          <w:rFonts w:ascii="宋体" w:hAnsi="宋体" w:cs="宋体"/>
          <w:sz w:val="24"/>
          <w:szCs w:val="24"/>
          <w:lang w:val="zh-CN"/>
        </w:rPr>
      </w:pPr>
      <w:r>
        <w:rPr>
          <w:rFonts w:ascii="宋体" w:hAnsi="宋体" w:cs="宋体"/>
          <w:sz w:val="24"/>
          <w:szCs w:val="24"/>
          <w:lang w:val="zh-CN"/>
        </w:rPr>
        <w:t>经研究，我</w:t>
      </w:r>
      <w:r>
        <w:rPr>
          <w:rFonts w:hint="eastAsia" w:ascii="宋体" w:hAnsi="宋体" w:cs="宋体"/>
          <w:sz w:val="24"/>
          <w:szCs w:val="24"/>
          <w:lang w:val="zh-CN"/>
        </w:rPr>
        <w:t>方自愿参与贵方</w:t>
      </w:r>
      <w:r>
        <w:rPr>
          <w:rFonts w:hint="eastAsia" w:ascii="宋体" w:hAnsi="宋体" w:cs="宋体"/>
          <w:sz w:val="24"/>
          <w:szCs w:val="24"/>
          <w:u w:val="single"/>
          <w:lang w:val="zh-CN"/>
        </w:rPr>
        <w:t xml:space="preserve">       </w:t>
      </w:r>
      <w:r>
        <w:rPr>
          <w:rFonts w:ascii="宋体" w:hAnsi="宋体" w:cs="宋体"/>
          <w:sz w:val="24"/>
          <w:szCs w:val="24"/>
          <w:lang w:val="zh-CN"/>
        </w:rPr>
        <w:t>年____月</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w:t>
      </w:r>
      <w:r>
        <w:rPr>
          <w:rFonts w:ascii="宋体" w:hAnsi="宋体" w:cs="宋体"/>
          <w:sz w:val="24"/>
          <w:szCs w:val="24"/>
          <w:lang w:val="zh-CN"/>
        </w:rPr>
        <w:t>日</w:t>
      </w:r>
      <w:r>
        <w:rPr>
          <w:rFonts w:hint="eastAsia" w:ascii="宋体" w:hAnsi="宋体" w:cs="宋体"/>
          <w:sz w:val="24"/>
          <w:szCs w:val="24"/>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_</w:t>
      </w:r>
      <w:r>
        <w:rPr>
          <w:rFonts w:hint="eastAsia" w:ascii="宋体" w:hAnsi="宋体" w:cs="宋体"/>
          <w:sz w:val="24"/>
          <w:szCs w:val="24"/>
          <w:lang w:val="zh-CN"/>
        </w:rPr>
        <w:t>（招标编号、项目名称）的</w:t>
      </w:r>
      <w:r>
        <w:rPr>
          <w:rFonts w:ascii="宋体" w:hAnsi="宋体" w:cs="宋体"/>
          <w:sz w:val="24"/>
          <w:szCs w:val="24"/>
          <w:lang w:val="zh-CN"/>
        </w:rPr>
        <w:t>投标，</w:t>
      </w:r>
      <w:r>
        <w:rPr>
          <w:rFonts w:hint="eastAsia" w:ascii="宋体" w:hAnsi="宋体" w:cs="宋体"/>
          <w:sz w:val="24"/>
          <w:szCs w:val="24"/>
          <w:lang w:val="zh-CN"/>
        </w:rPr>
        <w:t>将</w:t>
      </w:r>
      <w:r>
        <w:rPr>
          <w:rFonts w:ascii="宋体" w:hAnsi="宋体" w:cs="宋体"/>
          <w:sz w:val="24"/>
          <w:szCs w:val="24"/>
          <w:lang w:val="zh-CN"/>
        </w:rPr>
        <w:t>严格</w:t>
      </w:r>
      <w:r>
        <w:rPr>
          <w:rFonts w:hint="eastAsia" w:ascii="宋体" w:hAnsi="宋体" w:cs="宋体"/>
          <w:sz w:val="24"/>
          <w:szCs w:val="24"/>
          <w:lang w:val="zh-CN"/>
        </w:rPr>
        <w:t>遵守</w:t>
      </w:r>
      <w:r>
        <w:rPr>
          <w:rFonts w:ascii="宋体" w:hAnsi="宋体" w:cs="宋体"/>
          <w:sz w:val="24"/>
          <w:szCs w:val="24"/>
          <w:lang w:val="zh-CN"/>
        </w:rPr>
        <w:t>《</w:t>
      </w:r>
      <w:r>
        <w:rPr>
          <w:rFonts w:hint="eastAsia" w:ascii="宋体" w:hAnsi="宋体" w:cs="宋体"/>
          <w:sz w:val="24"/>
          <w:szCs w:val="24"/>
          <w:lang w:val="zh-CN"/>
        </w:rPr>
        <w:t>中华人民共和国政府采购</w:t>
      </w:r>
      <w:r>
        <w:rPr>
          <w:rFonts w:ascii="宋体" w:hAnsi="宋体" w:cs="宋体"/>
          <w:sz w:val="24"/>
          <w:szCs w:val="24"/>
          <w:lang w:val="zh-CN"/>
        </w:rPr>
        <w:t>法》等</w:t>
      </w:r>
      <w:r>
        <w:rPr>
          <w:rFonts w:hint="eastAsia" w:ascii="宋体" w:hAnsi="宋体" w:cs="宋体"/>
          <w:sz w:val="24"/>
          <w:szCs w:val="24"/>
          <w:lang w:val="zh-CN"/>
        </w:rPr>
        <w:t>相关</w:t>
      </w:r>
      <w:r>
        <w:rPr>
          <w:rFonts w:ascii="宋体" w:hAnsi="宋体" w:cs="宋体"/>
          <w:sz w:val="24"/>
          <w:szCs w:val="24"/>
          <w:lang w:val="zh-CN"/>
        </w:rPr>
        <w:t>法律法规</w:t>
      </w:r>
      <w:r>
        <w:rPr>
          <w:rFonts w:hint="eastAsia" w:ascii="宋体" w:hAnsi="宋体" w:cs="宋体"/>
          <w:sz w:val="24"/>
          <w:szCs w:val="24"/>
          <w:lang w:val="zh-CN"/>
        </w:rPr>
        <w:t>规定</w:t>
      </w:r>
      <w:r>
        <w:rPr>
          <w:rFonts w:ascii="宋体" w:hAnsi="宋体" w:cs="宋体"/>
          <w:sz w:val="24"/>
          <w:szCs w:val="24"/>
          <w:lang w:val="zh-CN"/>
        </w:rPr>
        <w:t>，并无条件地遵守本次采购活动各项规定。我们郑重承诺：</w:t>
      </w:r>
      <w:r>
        <w:rPr>
          <w:rFonts w:hint="eastAsia" w:ascii="宋体" w:hAnsi="宋体" w:cs="宋体"/>
          <w:sz w:val="24"/>
          <w:szCs w:val="24"/>
          <w:lang w:val="zh-CN"/>
        </w:rPr>
        <w:t>我方</w:t>
      </w:r>
      <w:r>
        <w:rPr>
          <w:rFonts w:ascii="宋体" w:hAnsi="宋体" w:cs="宋体"/>
          <w:sz w:val="24"/>
          <w:szCs w:val="24"/>
          <w:lang w:val="zh-CN"/>
        </w:rPr>
        <w:t>如果在本次</w:t>
      </w:r>
      <w:r>
        <w:rPr>
          <w:rFonts w:hint="eastAsia" w:ascii="宋体" w:hAnsi="宋体" w:cs="宋体"/>
          <w:sz w:val="24"/>
          <w:szCs w:val="24"/>
          <w:lang w:val="zh-CN"/>
        </w:rPr>
        <w:t>投标</w:t>
      </w:r>
      <w:r>
        <w:rPr>
          <w:rFonts w:ascii="宋体" w:hAnsi="宋体" w:cs="宋体"/>
          <w:sz w:val="24"/>
          <w:szCs w:val="24"/>
          <w:lang w:val="zh-CN"/>
        </w:rPr>
        <w:t>活动中有</w:t>
      </w:r>
      <w:r>
        <w:rPr>
          <w:rFonts w:hint="eastAsia" w:ascii="宋体" w:hAnsi="宋体" w:cs="宋体"/>
          <w:sz w:val="24"/>
          <w:szCs w:val="24"/>
          <w:lang w:val="zh-CN"/>
        </w:rPr>
        <w:t>下列</w:t>
      </w:r>
      <w:r>
        <w:rPr>
          <w:rFonts w:ascii="宋体" w:hAnsi="宋体" w:cs="宋体"/>
          <w:sz w:val="24"/>
          <w:szCs w:val="24"/>
          <w:lang w:val="zh-CN"/>
        </w:rPr>
        <w:t>情形</w:t>
      </w:r>
      <w:r>
        <w:rPr>
          <w:rFonts w:hint="eastAsia" w:ascii="宋体" w:hAnsi="宋体" w:cs="宋体"/>
          <w:sz w:val="24"/>
          <w:szCs w:val="24"/>
          <w:lang w:val="zh-CN"/>
        </w:rPr>
        <w:t>之一</w:t>
      </w:r>
      <w:r>
        <w:rPr>
          <w:rFonts w:ascii="宋体" w:hAnsi="宋体" w:cs="宋体"/>
          <w:sz w:val="24"/>
          <w:szCs w:val="24"/>
          <w:lang w:val="zh-CN"/>
        </w:rPr>
        <w:t>的，愿接受政府采购</w:t>
      </w:r>
      <w:r>
        <w:rPr>
          <w:rFonts w:hint="eastAsia" w:ascii="宋体" w:hAnsi="宋体" w:cs="宋体"/>
          <w:sz w:val="24"/>
          <w:szCs w:val="24"/>
          <w:lang w:val="zh-CN"/>
        </w:rPr>
        <w:t>监督管理</w:t>
      </w:r>
      <w:r>
        <w:rPr>
          <w:rFonts w:ascii="宋体" w:hAnsi="宋体" w:cs="宋体"/>
          <w:sz w:val="24"/>
          <w:szCs w:val="24"/>
          <w:lang w:val="zh-CN"/>
        </w:rPr>
        <w:t>部门给予相关处罚并</w:t>
      </w:r>
      <w:r>
        <w:rPr>
          <w:rFonts w:hint="eastAsia" w:ascii="宋体" w:hAnsi="宋体" w:cs="宋体"/>
          <w:sz w:val="24"/>
          <w:szCs w:val="24"/>
          <w:lang w:val="zh-CN"/>
        </w:rPr>
        <w:t>承诺依法</w:t>
      </w:r>
      <w:r>
        <w:rPr>
          <w:rFonts w:ascii="宋体" w:hAnsi="宋体" w:cs="宋体"/>
          <w:sz w:val="24"/>
          <w:szCs w:val="24"/>
          <w:lang w:val="zh-CN"/>
        </w:rPr>
        <w:t>承担</w:t>
      </w:r>
      <w:r>
        <w:rPr>
          <w:rFonts w:hint="eastAsia" w:ascii="宋体" w:hAnsi="宋体" w:cs="宋体"/>
          <w:sz w:val="24"/>
          <w:szCs w:val="24"/>
          <w:lang w:val="zh-CN"/>
        </w:rPr>
        <w:t>相关的经济赔偿责任和</w:t>
      </w:r>
      <w:r>
        <w:rPr>
          <w:rFonts w:ascii="宋体" w:hAnsi="宋体" w:cs="宋体"/>
          <w:sz w:val="24"/>
          <w:szCs w:val="24"/>
          <w:lang w:val="zh-CN"/>
        </w:rPr>
        <w:t>法律责任。</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一、在投标有效期内撤销投标文件；</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二、在投标文件中提供虚假材料；</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四、与采购人、其他投标人或者采购代理机构恶意串通；</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r>
      <w:r>
        <w:rPr>
          <w:rFonts w:hint="eastAsia" w:ascii="宋体" w:hAnsi="宋体" w:cs="Arial"/>
          <w:color w:val="000000"/>
          <w:kern w:val="0"/>
          <w:sz w:val="24"/>
          <w:szCs w:val="24"/>
        </w:rPr>
        <w:t xml:space="preserve">日　  期：      </w:t>
      </w:r>
      <w:r>
        <w:rPr>
          <w:rFonts w:hint="eastAsia" w:ascii="宋体" w:hAnsi="宋体" w:cs="宋体"/>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4.6 其他资格证书或材料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招标文件费用缴纳</w:t>
      </w:r>
    </w:p>
    <w:p>
      <w:pPr>
        <w:autoSpaceDE w:val="0"/>
        <w:autoSpaceDN w:val="0"/>
        <w:adjustRightInd w:val="0"/>
        <w:spacing w:line="360" w:lineRule="auto"/>
        <w:jc w:val="center"/>
        <w:outlineLvl w:val="0"/>
        <w:rPr>
          <w:rFonts w:hAnsi="宋体" w:eastAsia="宋体"/>
          <w:snapToGrid w:val="0"/>
          <w:kern w:val="0"/>
          <w:szCs w:val="21"/>
        </w:rPr>
      </w:pPr>
      <w:r>
        <w:rPr>
          <w:rFonts w:hint="eastAsia" w:hAnsi="宋体" w:eastAsia="宋体"/>
          <w:snapToGrid w:val="0"/>
          <w:kern w:val="0"/>
          <w:szCs w:val="21"/>
        </w:rPr>
        <w:t>缴纳回执单扫描件或图片</w:t>
      </w: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5.1分项报价表（货物类项目）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W w:w="94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5.2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W w:w="9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5.3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5.4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eastAsia="宋体"/>
          <w:b/>
          <w:snapToGrid w:val="0"/>
          <w:kern w:val="0"/>
          <w:szCs w:val="21"/>
        </w:rPr>
      </w:pPr>
      <w:r>
        <w:rPr>
          <w:rFonts w:hint="eastAsia" w:ascii="宋体" w:hAnsi="宋体"/>
          <w:szCs w:val="21"/>
        </w:rPr>
        <w:t xml:space="preserve">项目名称：   </w:t>
      </w:r>
    </w:p>
    <w:tbl>
      <w:tblPr>
        <w:tblW w:w="9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5.5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5.6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5.7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ascii="宋体" w:hAnsi="宋体" w:cs="宋体"/>
          <w:sz w:val="24"/>
          <w:szCs w:val="24"/>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5.8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六、</w:t>
      </w:r>
      <w:r>
        <w:rPr>
          <w:rFonts w:ascii="宋体" w:hAnsi="宋体" w:cs="黑体"/>
          <w:b/>
          <w:bCs/>
          <w:sz w:val="28"/>
          <w:szCs w:val="28"/>
          <w:lang w:val="zh-CN"/>
        </w:rPr>
        <w:t>其他资料（若有）</w:t>
      </w:r>
    </w:p>
    <w:p/>
    <w:p/>
    <w:p/>
    <w:p>
      <w:pPr>
        <w:spacing w:line="360" w:lineRule="auto"/>
        <w:jc w:val="left"/>
        <w:rPr>
          <w:rFonts w:ascii="宋体" w:hAnsi="宋体"/>
          <w:b/>
          <w:bCs/>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MS Mincho">
    <w:panose1 w:val="020206090402050803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
    </w:pPr>
    <w:r>
      <w:rPr>
        <w:rFonts w:ascii="Calibri" w:hAnsi="Calibri" w:eastAsia="宋体" w:cs="黑体"/>
        <w:kern w:val="2"/>
        <w:sz w:val="18"/>
        <w:szCs w:val="18"/>
        <w:lang w:val="en-US" w:eastAsia="zh-CN" w:bidi="ar-SA"/>
      </w:rPr>
      <w:pict>
        <v:shape id="_x0000_s4097"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9"/>
                </w:pPr>
                <w:r>
                  <w:fldChar w:fldCharType="begin"/>
                </w:r>
                <w:r>
                  <w:instrText xml:space="preserve"> PAGE  \* MERGEFORMAT </w:instrText>
                </w:r>
                <w:r>
                  <w:fldChar w:fldCharType="separate"/>
                </w:r>
                <w:r>
                  <w:t>29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18720338">
    <w:nsid w:val="18F52A52"/>
    <w:multiLevelType w:val="multilevel"/>
    <w:tmpl w:val="18F52A52"/>
    <w:lvl w:ilvl="0" w:tentative="1">
      <w:start w:val="9"/>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56303350">
    <w:nsid w:val="271E64F6"/>
    <w:multiLevelType w:val="multilevel"/>
    <w:tmpl w:val="271E64F6"/>
    <w:lvl w:ilvl="0" w:tentative="1">
      <w:start w:val="3"/>
      <w:numFmt w:val="decimal"/>
      <w:lvlText w:val="%1"/>
      <w:lvlJc w:val="left"/>
      <w:pPr>
        <w:ind w:left="360" w:hanging="360"/>
      </w:pPr>
      <w:rPr>
        <w:rFonts w:hint="default"/>
      </w:rPr>
    </w:lvl>
    <w:lvl w:ilvl="1" w:tentative="1">
      <w:start w:val="6"/>
      <w:numFmt w:val="decimal"/>
      <w:lvlText w:val="%1.%2"/>
      <w:lvlJc w:val="left"/>
      <w:pPr>
        <w:ind w:left="840" w:hanging="360"/>
      </w:pPr>
      <w:rPr>
        <w:rFonts w:hint="default"/>
      </w:rPr>
    </w:lvl>
    <w:lvl w:ilvl="2" w:tentative="1">
      <w:start w:val="1"/>
      <w:numFmt w:val="decimal"/>
      <w:lvlText w:val="%1.%2.%3"/>
      <w:lvlJc w:val="left"/>
      <w:pPr>
        <w:ind w:left="1680" w:hanging="720"/>
      </w:pPr>
      <w:rPr>
        <w:rFonts w:hint="default"/>
      </w:rPr>
    </w:lvl>
    <w:lvl w:ilvl="3" w:tentative="1">
      <w:start w:val="1"/>
      <w:numFmt w:val="decimal"/>
      <w:lvlText w:val="%1.%2.%3.%4"/>
      <w:lvlJc w:val="left"/>
      <w:pPr>
        <w:ind w:left="2520" w:hanging="1080"/>
      </w:pPr>
      <w:rPr>
        <w:rFonts w:hint="default"/>
      </w:rPr>
    </w:lvl>
    <w:lvl w:ilvl="4" w:tentative="1">
      <w:start w:val="1"/>
      <w:numFmt w:val="decimal"/>
      <w:lvlText w:val="%1.%2.%3.%4.%5"/>
      <w:lvlJc w:val="left"/>
      <w:pPr>
        <w:ind w:left="3000" w:hanging="1080"/>
      </w:pPr>
      <w:rPr>
        <w:rFonts w:hint="default"/>
      </w:rPr>
    </w:lvl>
    <w:lvl w:ilvl="5" w:tentative="1">
      <w:start w:val="1"/>
      <w:numFmt w:val="decimal"/>
      <w:lvlText w:val="%1.%2.%3.%4.%5.%6"/>
      <w:lvlJc w:val="left"/>
      <w:pPr>
        <w:ind w:left="3840" w:hanging="1440"/>
      </w:pPr>
      <w:rPr>
        <w:rFonts w:hint="default"/>
      </w:rPr>
    </w:lvl>
    <w:lvl w:ilvl="6" w:tentative="1">
      <w:start w:val="1"/>
      <w:numFmt w:val="decimal"/>
      <w:lvlText w:val="%1.%2.%3.%4.%5.%6.%7"/>
      <w:lvlJc w:val="left"/>
      <w:pPr>
        <w:ind w:left="4680" w:hanging="1800"/>
      </w:pPr>
      <w:rPr>
        <w:rFonts w:hint="default"/>
      </w:rPr>
    </w:lvl>
    <w:lvl w:ilvl="7" w:tentative="1">
      <w:start w:val="1"/>
      <w:numFmt w:val="decimal"/>
      <w:lvlText w:val="%1.%2.%3.%4.%5.%6.%7.%8"/>
      <w:lvlJc w:val="left"/>
      <w:pPr>
        <w:ind w:left="5160" w:hanging="1800"/>
      </w:pPr>
      <w:rPr>
        <w:rFonts w:hint="default"/>
      </w:rPr>
    </w:lvl>
    <w:lvl w:ilvl="8" w:tentative="1">
      <w:start w:val="1"/>
      <w:numFmt w:val="decimal"/>
      <w:lvlText w:val="%1.%2.%3.%4.%5.%6.%7.%8.%9"/>
      <w:lvlJc w:val="left"/>
      <w:pPr>
        <w:ind w:left="6000" w:hanging="2160"/>
      </w:pPr>
      <w:rPr>
        <w:rFonts w:hint="default"/>
      </w:rPr>
    </w:lvl>
  </w:abstractNum>
  <w:abstractNum w:abstractNumId="609972546">
    <w:nsid w:val="245B7142"/>
    <w:multiLevelType w:val="multilevel"/>
    <w:tmpl w:val="245B7142"/>
    <w:lvl w:ilvl="0" w:tentative="1">
      <w:start w:val="23"/>
      <w:numFmt w:val="decimal"/>
      <w:lvlText w:val="%1."/>
      <w:lvlJc w:val="left"/>
      <w:pPr>
        <w:ind w:left="420" w:hanging="420"/>
      </w:pPr>
      <w:rPr>
        <w:rFonts w:hint="eastAsia"/>
      </w:rPr>
    </w:lvl>
    <w:lvl w:ilvl="1" w:tentative="1">
      <w:start w:val="1"/>
      <w:numFmt w:val="decimal"/>
      <w:isLgl/>
      <w:lvlText w:val="%1.%2"/>
      <w:lvlJc w:val="left"/>
      <w:pPr>
        <w:ind w:left="964" w:hanging="544"/>
      </w:pPr>
      <w:rPr>
        <w:rFonts w:hint="default" w:ascii="宋体" w:hAnsi="宋体" w:eastAsia="宋体"/>
      </w:rPr>
    </w:lvl>
    <w:lvl w:ilvl="2" w:tentative="1">
      <w:start w:val="1"/>
      <w:numFmt w:val="decimal"/>
      <w:isLgl/>
      <w:lvlText w:val="%1.%2.%3"/>
      <w:lvlJc w:val="left"/>
      <w:pPr>
        <w:ind w:left="1560" w:hanging="720"/>
      </w:pPr>
      <w:rPr>
        <w:rFonts w:hint="default"/>
      </w:rPr>
    </w:lvl>
    <w:lvl w:ilvl="3" w:tentative="1">
      <w:start w:val="1"/>
      <w:numFmt w:val="decimal"/>
      <w:isLgl/>
      <w:lvlText w:val="%1.%2.%3.%4"/>
      <w:lvlJc w:val="left"/>
      <w:pPr>
        <w:ind w:left="2340" w:hanging="1080"/>
      </w:pPr>
      <w:rPr>
        <w:rFonts w:hint="default"/>
      </w:rPr>
    </w:lvl>
    <w:lvl w:ilvl="4" w:tentative="1">
      <w:start w:val="1"/>
      <w:numFmt w:val="decimal"/>
      <w:isLgl/>
      <w:lvlText w:val="%1.%2.%3.%4.%5"/>
      <w:lvlJc w:val="left"/>
      <w:pPr>
        <w:ind w:left="2760" w:hanging="1080"/>
      </w:pPr>
      <w:rPr>
        <w:rFonts w:hint="default"/>
      </w:rPr>
    </w:lvl>
    <w:lvl w:ilvl="5" w:tentative="1">
      <w:start w:val="1"/>
      <w:numFmt w:val="decimal"/>
      <w:isLgl/>
      <w:lvlText w:val="%1.%2.%3.%4.%5.%6"/>
      <w:lvlJc w:val="left"/>
      <w:pPr>
        <w:ind w:left="3540" w:hanging="144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740" w:hanging="1800"/>
      </w:pPr>
      <w:rPr>
        <w:rFonts w:hint="default"/>
      </w:rPr>
    </w:lvl>
    <w:lvl w:ilvl="8" w:tentative="1">
      <w:start w:val="1"/>
      <w:numFmt w:val="decimal"/>
      <w:isLgl/>
      <w:lvlText w:val="%1.%2.%3.%4.%5.%6.%7.%8.%9"/>
      <w:lvlJc w:val="left"/>
      <w:pPr>
        <w:ind w:left="5160" w:hanging="1800"/>
      </w:pPr>
      <w:rPr>
        <w:rFonts w:hint="default"/>
      </w:rPr>
    </w:lvl>
  </w:abstractNum>
  <w:abstractNum w:abstractNumId="395475411">
    <w:nsid w:val="179279D3"/>
    <w:multiLevelType w:val="multilevel"/>
    <w:tmpl w:val="179279D3"/>
    <w:lvl w:ilvl="0" w:tentative="1">
      <w:start w:val="7"/>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20"/>
      <w:numFmt w:val="decimal"/>
      <w:lvlText w:val="%3."/>
      <w:lvlJc w:val="left"/>
      <w:pPr>
        <w:ind w:left="1245" w:hanging="405"/>
      </w:pPr>
      <w:rPr>
        <w:rFonts w:hint="default"/>
      </w:rPr>
    </w:lvl>
    <w:lvl w:ilvl="3" w:tentative="1">
      <w:start w:val="5"/>
      <w:numFmt w:val="japaneseCounting"/>
      <w:lvlText w:val="%4、"/>
      <w:lvlJc w:val="left"/>
      <w:pPr>
        <w:ind w:left="1980" w:hanging="720"/>
      </w:pPr>
      <w:rPr>
        <w:rFonts w:hint="default"/>
      </w:r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08353777">
    <w:nsid w:val="421022F1"/>
    <w:multiLevelType w:val="multilevel"/>
    <w:tmpl w:val="421022F1"/>
    <w:lvl w:ilvl="0" w:tentative="1">
      <w:start w:val="19"/>
      <w:numFmt w:val="decimal"/>
      <w:lvlText w:val="%1"/>
      <w:lvlJc w:val="left"/>
      <w:pPr>
        <w:ind w:left="480" w:hanging="480"/>
      </w:pPr>
      <w:rPr>
        <w:rFonts w:hint="default"/>
      </w:rPr>
    </w:lvl>
    <w:lvl w:ilvl="1" w:tentative="1">
      <w:start w:val="2"/>
      <w:numFmt w:val="decimal"/>
      <w:lvlText w:val="%1.%2"/>
      <w:lvlJc w:val="left"/>
      <w:pPr>
        <w:ind w:left="480" w:hanging="48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568083017">
    <w:nsid w:val="5D770C49"/>
    <w:multiLevelType w:val="singleLevel"/>
    <w:tmpl w:val="5D770C49"/>
    <w:lvl w:ilvl="0" w:tentative="1">
      <w:start w:val="3"/>
      <w:numFmt w:val="chineseCounting"/>
      <w:suff w:val="nothing"/>
      <w:lvlText w:val="%1、"/>
      <w:lvlJc w:val="left"/>
    </w:lvl>
  </w:abstractNum>
  <w:abstractNum w:abstractNumId="558367427">
    <w:nsid w:val="214802C3"/>
    <w:multiLevelType w:val="multilevel"/>
    <w:tmpl w:val="214802C3"/>
    <w:lvl w:ilvl="0" w:tentative="1">
      <w:start w:val="1"/>
      <w:numFmt w:val="decimal"/>
      <w:lvlText w:val="%1."/>
      <w:lvlJc w:val="left"/>
      <w:pPr>
        <w:ind w:left="420" w:hanging="420"/>
      </w:pPr>
      <w:rPr>
        <w:rFonts w:hint="eastAsia"/>
      </w:rPr>
    </w:lvl>
    <w:lvl w:ilvl="1" w:tentative="1">
      <w:start w:val="2"/>
      <w:numFmt w:val="decimal"/>
      <w:isLgl/>
      <w:lvlText w:val="%1.%2"/>
      <w:lvlJc w:val="left"/>
      <w:pPr>
        <w:ind w:left="964" w:hanging="544"/>
      </w:pPr>
      <w:rPr>
        <w:rFonts w:hint="default"/>
      </w:rPr>
    </w:lvl>
    <w:lvl w:ilvl="2" w:tentative="1">
      <w:start w:val="1"/>
      <w:numFmt w:val="decimal"/>
      <w:isLgl/>
      <w:lvlText w:val="%1.%2.%3"/>
      <w:lvlJc w:val="left"/>
      <w:pPr>
        <w:ind w:left="1560" w:hanging="720"/>
      </w:pPr>
      <w:rPr>
        <w:rFonts w:hint="default"/>
      </w:rPr>
    </w:lvl>
    <w:lvl w:ilvl="3" w:tentative="1">
      <w:start w:val="1"/>
      <w:numFmt w:val="decimal"/>
      <w:isLgl/>
      <w:lvlText w:val="%1.%2.%3.%4"/>
      <w:lvlJc w:val="left"/>
      <w:pPr>
        <w:ind w:left="2340" w:hanging="1080"/>
      </w:pPr>
      <w:rPr>
        <w:rFonts w:hint="default"/>
      </w:rPr>
    </w:lvl>
    <w:lvl w:ilvl="4" w:tentative="1">
      <w:start w:val="1"/>
      <w:numFmt w:val="decimal"/>
      <w:isLgl/>
      <w:lvlText w:val="%1.%2.%3.%4.%5"/>
      <w:lvlJc w:val="left"/>
      <w:pPr>
        <w:ind w:left="2760" w:hanging="1080"/>
      </w:pPr>
      <w:rPr>
        <w:rFonts w:hint="default"/>
      </w:rPr>
    </w:lvl>
    <w:lvl w:ilvl="5" w:tentative="1">
      <w:start w:val="1"/>
      <w:numFmt w:val="decimal"/>
      <w:isLgl/>
      <w:lvlText w:val="%1.%2.%3.%4.%5.%6"/>
      <w:lvlJc w:val="left"/>
      <w:pPr>
        <w:ind w:left="3540" w:hanging="144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740" w:hanging="1800"/>
      </w:pPr>
      <w:rPr>
        <w:rFonts w:hint="default"/>
      </w:rPr>
    </w:lvl>
    <w:lvl w:ilvl="8" w:tentative="1">
      <w:start w:val="1"/>
      <w:numFmt w:val="decimal"/>
      <w:isLgl/>
      <w:lvlText w:val="%1.%2.%3.%4.%5.%6.%7.%8.%9"/>
      <w:lvlJc w:val="left"/>
      <w:pPr>
        <w:ind w:left="5160" w:hanging="1800"/>
      </w:pPr>
      <w:rPr>
        <w:rFonts w:hint="default"/>
      </w:rPr>
    </w:lvl>
  </w:abstractNum>
  <w:abstractNum w:abstractNumId="748430756">
    <w:nsid w:val="2C9C25A4"/>
    <w:multiLevelType w:val="multilevel"/>
    <w:tmpl w:val="2C9C25A4"/>
    <w:lvl w:ilvl="0" w:tentative="1">
      <w:start w:val="12"/>
      <w:numFmt w:val="decimal"/>
      <w:lvlText w:val="%1"/>
      <w:lvlJc w:val="left"/>
      <w:pPr>
        <w:ind w:left="480" w:hanging="480"/>
      </w:pPr>
      <w:rPr>
        <w:rFonts w:hint="default"/>
      </w:rPr>
    </w:lvl>
    <w:lvl w:ilvl="1" w:tentative="1">
      <w:start w:val="7"/>
      <w:numFmt w:val="decimal"/>
      <w:lvlText w:val="%1.%2"/>
      <w:lvlJc w:val="left"/>
      <w:pPr>
        <w:ind w:left="960" w:hanging="480"/>
      </w:pPr>
      <w:rPr>
        <w:rFonts w:hint="default"/>
      </w:rPr>
    </w:lvl>
    <w:lvl w:ilvl="2" w:tentative="1">
      <w:start w:val="1"/>
      <w:numFmt w:val="decimal"/>
      <w:lvlText w:val="%1.%2.%3"/>
      <w:lvlJc w:val="left"/>
      <w:pPr>
        <w:ind w:left="1680" w:hanging="720"/>
      </w:pPr>
      <w:rPr>
        <w:rFonts w:hint="default"/>
      </w:rPr>
    </w:lvl>
    <w:lvl w:ilvl="3" w:tentative="1">
      <w:start w:val="1"/>
      <w:numFmt w:val="decimal"/>
      <w:lvlText w:val="%1.%2.%3.%4"/>
      <w:lvlJc w:val="left"/>
      <w:pPr>
        <w:ind w:left="2520" w:hanging="1080"/>
      </w:pPr>
      <w:rPr>
        <w:rFonts w:hint="default"/>
      </w:rPr>
    </w:lvl>
    <w:lvl w:ilvl="4" w:tentative="1">
      <w:start w:val="1"/>
      <w:numFmt w:val="decimal"/>
      <w:lvlText w:val="%1.%2.%3.%4.%5"/>
      <w:lvlJc w:val="left"/>
      <w:pPr>
        <w:ind w:left="3000" w:hanging="1080"/>
      </w:pPr>
      <w:rPr>
        <w:rFonts w:hint="default"/>
      </w:rPr>
    </w:lvl>
    <w:lvl w:ilvl="5" w:tentative="1">
      <w:start w:val="1"/>
      <w:numFmt w:val="decimal"/>
      <w:lvlText w:val="%1.%2.%3.%4.%5.%6"/>
      <w:lvlJc w:val="left"/>
      <w:pPr>
        <w:ind w:left="3840" w:hanging="1440"/>
      </w:pPr>
      <w:rPr>
        <w:rFonts w:hint="default"/>
      </w:rPr>
    </w:lvl>
    <w:lvl w:ilvl="6" w:tentative="1">
      <w:start w:val="1"/>
      <w:numFmt w:val="decimal"/>
      <w:lvlText w:val="%1.%2.%3.%4.%5.%6.%7"/>
      <w:lvlJc w:val="left"/>
      <w:pPr>
        <w:ind w:left="4680" w:hanging="1800"/>
      </w:pPr>
      <w:rPr>
        <w:rFonts w:hint="default"/>
      </w:rPr>
    </w:lvl>
    <w:lvl w:ilvl="7" w:tentative="1">
      <w:start w:val="1"/>
      <w:numFmt w:val="decimal"/>
      <w:lvlText w:val="%1.%2.%3.%4.%5.%6.%7.%8"/>
      <w:lvlJc w:val="left"/>
      <w:pPr>
        <w:ind w:left="5160" w:hanging="1800"/>
      </w:pPr>
      <w:rPr>
        <w:rFonts w:hint="default"/>
      </w:rPr>
    </w:lvl>
    <w:lvl w:ilvl="8" w:tentative="1">
      <w:start w:val="1"/>
      <w:numFmt w:val="decimal"/>
      <w:lvlText w:val="%1.%2.%3.%4.%5.%6.%7.%8.%9"/>
      <w:lvlJc w:val="left"/>
      <w:pPr>
        <w:ind w:left="6000" w:hanging="2160"/>
      </w:pPr>
      <w:rPr>
        <w:rFonts w:hint="default"/>
      </w:rPr>
    </w:lvl>
  </w:abstractNum>
  <w:abstractNum w:abstractNumId="850879025">
    <w:nsid w:val="32B76231"/>
    <w:multiLevelType w:val="multilevel"/>
    <w:tmpl w:val="32B76231"/>
    <w:lvl w:ilvl="0" w:tentative="1">
      <w:start w:val="24"/>
      <w:numFmt w:val="decimal"/>
      <w:lvlText w:val="%1"/>
      <w:lvlJc w:val="left"/>
      <w:pPr>
        <w:ind w:left="480" w:hanging="480"/>
      </w:pPr>
      <w:rPr>
        <w:rFonts w:hint="default"/>
      </w:rPr>
    </w:lvl>
    <w:lvl w:ilvl="1" w:tentative="1">
      <w:start w:val="5"/>
      <w:numFmt w:val="decimal"/>
      <w:lvlText w:val="%1.%2"/>
      <w:lvlJc w:val="left"/>
      <w:pPr>
        <w:ind w:left="480" w:hanging="48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509431272">
    <w:nsid w:val="59F817E8"/>
    <w:multiLevelType w:val="singleLevel"/>
    <w:tmpl w:val="59F817E8"/>
    <w:lvl w:ilvl="0" w:tentative="1">
      <w:start w:val="1"/>
      <w:numFmt w:val="chineseCounting"/>
      <w:pStyle w:val="38"/>
      <w:suff w:val="nothing"/>
      <w:lvlText w:val="%1、"/>
      <w:lvlJc w:val="left"/>
    </w:lvl>
  </w:abstractNum>
  <w:abstractNum w:abstractNumId="1088580207">
    <w:nsid w:val="40E26A6F"/>
    <w:multiLevelType w:val="multilevel"/>
    <w:tmpl w:val="40E26A6F"/>
    <w:lvl w:ilvl="0" w:tentative="1">
      <w:start w:val="8"/>
      <w:numFmt w:val="decimal"/>
      <w:lvlText w:val="%1."/>
      <w:lvlJc w:val="left"/>
      <w:pPr>
        <w:ind w:left="360" w:hanging="360"/>
      </w:pPr>
      <w:rPr>
        <w:rFonts w:hint="default"/>
      </w:rPr>
    </w:lvl>
    <w:lvl w:ilvl="1" w:tentative="1">
      <w:start w:val="2"/>
      <w:numFmt w:val="japaneseCounting"/>
      <w:lvlText w:val="%2、"/>
      <w:lvlJc w:val="left"/>
      <w:pPr>
        <w:ind w:left="1140" w:hanging="7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20953784">
    <w:nsid w:val="19173EB8"/>
    <w:multiLevelType w:val="multilevel"/>
    <w:tmpl w:val="19173EB8"/>
    <w:lvl w:ilvl="0" w:tentative="1">
      <w:start w:val="25"/>
      <w:numFmt w:val="decimal"/>
      <w:lvlText w:val="%1"/>
      <w:lvlJc w:val="left"/>
      <w:pPr>
        <w:ind w:left="480" w:hanging="480"/>
      </w:pPr>
      <w:rPr>
        <w:rFonts w:hint="default"/>
      </w:rPr>
    </w:lvl>
    <w:lvl w:ilvl="1" w:tentative="1">
      <w:start w:val="1"/>
      <w:numFmt w:val="decimal"/>
      <w:lvlText w:val="%1.%2"/>
      <w:lvlJc w:val="left"/>
      <w:pPr>
        <w:ind w:left="480" w:hanging="48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517354193">
    <w:nsid w:val="1ED632D1"/>
    <w:multiLevelType w:val="multilevel"/>
    <w:tmpl w:val="1ED632D1"/>
    <w:lvl w:ilvl="0" w:tentative="1">
      <w:start w:val="12"/>
      <w:numFmt w:val="decimal"/>
      <w:lvlText w:val="%1"/>
      <w:lvlJc w:val="left"/>
      <w:pPr>
        <w:ind w:left="480" w:hanging="480"/>
      </w:pPr>
      <w:rPr>
        <w:rFonts w:hint="default"/>
      </w:rPr>
    </w:lvl>
    <w:lvl w:ilvl="1" w:tentative="1">
      <w:start w:val="3"/>
      <w:numFmt w:val="decimal"/>
      <w:lvlText w:val="%1.%2"/>
      <w:lvlJc w:val="left"/>
      <w:pPr>
        <w:ind w:left="960" w:hanging="480"/>
      </w:pPr>
      <w:rPr>
        <w:rFonts w:hint="default"/>
      </w:rPr>
    </w:lvl>
    <w:lvl w:ilvl="2" w:tentative="1">
      <w:start w:val="1"/>
      <w:numFmt w:val="decimal"/>
      <w:lvlText w:val="%1.%2.%3"/>
      <w:lvlJc w:val="left"/>
      <w:pPr>
        <w:ind w:left="1680" w:hanging="720"/>
      </w:pPr>
      <w:rPr>
        <w:rFonts w:hint="default"/>
      </w:rPr>
    </w:lvl>
    <w:lvl w:ilvl="3" w:tentative="1">
      <w:start w:val="1"/>
      <w:numFmt w:val="decimal"/>
      <w:lvlText w:val="%1.%2.%3.%4"/>
      <w:lvlJc w:val="left"/>
      <w:pPr>
        <w:ind w:left="2520" w:hanging="1080"/>
      </w:pPr>
      <w:rPr>
        <w:rFonts w:hint="default"/>
      </w:rPr>
    </w:lvl>
    <w:lvl w:ilvl="4" w:tentative="1">
      <w:start w:val="1"/>
      <w:numFmt w:val="decimal"/>
      <w:lvlText w:val="%1.%2.%3.%4.%5"/>
      <w:lvlJc w:val="left"/>
      <w:pPr>
        <w:ind w:left="3000" w:hanging="1080"/>
      </w:pPr>
      <w:rPr>
        <w:rFonts w:hint="default"/>
      </w:rPr>
    </w:lvl>
    <w:lvl w:ilvl="5" w:tentative="1">
      <w:start w:val="1"/>
      <w:numFmt w:val="decimal"/>
      <w:lvlText w:val="%1.%2.%3.%4.%5.%6"/>
      <w:lvlJc w:val="left"/>
      <w:pPr>
        <w:ind w:left="3840" w:hanging="1440"/>
      </w:pPr>
      <w:rPr>
        <w:rFonts w:hint="default"/>
      </w:rPr>
    </w:lvl>
    <w:lvl w:ilvl="6" w:tentative="1">
      <w:start w:val="1"/>
      <w:numFmt w:val="decimal"/>
      <w:lvlText w:val="%1.%2.%3.%4.%5.%6.%7"/>
      <w:lvlJc w:val="left"/>
      <w:pPr>
        <w:ind w:left="4680" w:hanging="1800"/>
      </w:pPr>
      <w:rPr>
        <w:rFonts w:hint="default"/>
      </w:rPr>
    </w:lvl>
    <w:lvl w:ilvl="7" w:tentative="1">
      <w:start w:val="1"/>
      <w:numFmt w:val="decimal"/>
      <w:lvlText w:val="%1.%2.%3.%4.%5.%6.%7.%8"/>
      <w:lvlJc w:val="left"/>
      <w:pPr>
        <w:ind w:left="5160" w:hanging="1800"/>
      </w:pPr>
      <w:rPr>
        <w:rFonts w:hint="default"/>
      </w:rPr>
    </w:lvl>
    <w:lvl w:ilvl="8" w:tentative="1">
      <w:start w:val="1"/>
      <w:numFmt w:val="decimal"/>
      <w:lvlText w:val="%1.%2.%3.%4.%5.%6.%7.%8.%9"/>
      <w:lvlJc w:val="left"/>
      <w:pPr>
        <w:ind w:left="6000" w:hanging="2160"/>
      </w:pPr>
      <w:rPr>
        <w:rFonts w:hint="default"/>
      </w:rPr>
    </w:lvl>
  </w:abstractNum>
  <w:abstractNum w:abstractNumId="6">
    <w:nsid w:val="00000006"/>
    <w:multiLevelType w:val="multilevel"/>
    <w:tmpl w:val="00000006"/>
    <w:lvl w:ilvl="0" w:tentative="1">
      <w:start w:val="1"/>
      <w:numFmt w:val="chineseCountingThousand"/>
      <w:pStyle w:val="2"/>
      <w:suff w:val="nothing"/>
      <w:lvlText w:val="第%1部分"/>
      <w:lvlJc w:val="center"/>
      <w:pPr>
        <w:ind w:left="-288" w:firstLine="288"/>
      </w:pPr>
      <w:rPr>
        <w:rFonts w:hint="eastAsia"/>
        <w:sz w:val="28"/>
        <w:szCs w:val="28"/>
      </w:rPr>
    </w:lvl>
    <w:lvl w:ilvl="1" w:tentative="1">
      <w:start w:val="1"/>
      <w:numFmt w:val="chineseCountingThousand"/>
      <w:pStyle w:val="3"/>
      <w:suff w:val="nothing"/>
      <w:lvlText w:val="%2、"/>
      <w:lvlJc w:val="left"/>
      <w:pPr>
        <w:ind w:left="254" w:firstLine="0"/>
      </w:pPr>
      <w:rPr>
        <w:rFonts w:hint="eastAsia" w:ascii="宋体" w:hAnsi="宋体" w:eastAsia="宋体"/>
        <w:sz w:val="21"/>
        <w:szCs w:val="24"/>
      </w:rPr>
    </w:lvl>
    <w:lvl w:ilvl="2" w:tentative="1">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1">
      <w:start w:val="1"/>
      <w:numFmt w:val="decimal"/>
      <w:pStyle w:val="5"/>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1786463317">
    <w:nsid w:val="6A7B4455"/>
    <w:multiLevelType w:val="multilevel"/>
    <w:tmpl w:val="6A7B4455"/>
    <w:lvl w:ilvl="0" w:tentative="1">
      <w:start w:val="1"/>
      <w:numFmt w:val="decimal"/>
      <w:lvlText w:val="%1.1 "/>
      <w:lvlJc w:val="left"/>
      <w:pPr>
        <w:ind w:left="964" w:hanging="544"/>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27491866">
    <w:nsid w:val="72E3311A"/>
    <w:multiLevelType w:val="multilevel"/>
    <w:tmpl w:val="72E3311A"/>
    <w:lvl w:ilvl="0" w:tentative="1">
      <w:start w:val="14"/>
      <w:numFmt w:val="decimal"/>
      <w:lvlText w:val="%1"/>
      <w:lvlJc w:val="left"/>
      <w:pPr>
        <w:ind w:left="480" w:hanging="480"/>
      </w:pPr>
      <w:rPr>
        <w:rFonts w:hint="default"/>
      </w:rPr>
    </w:lvl>
    <w:lvl w:ilvl="1" w:tentative="1">
      <w:start w:val="1"/>
      <w:numFmt w:val="decimal"/>
      <w:lvlText w:val="%1.%2"/>
      <w:lvlJc w:val="left"/>
      <w:pPr>
        <w:ind w:left="480" w:hanging="48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775952300">
    <w:nsid w:val="2E4017AC"/>
    <w:multiLevelType w:val="multilevel"/>
    <w:tmpl w:val="2E4017AC"/>
    <w:lvl w:ilvl="0" w:tentative="1">
      <w:start w:val="16"/>
      <w:numFmt w:val="decimal"/>
      <w:lvlText w:val="%1"/>
      <w:lvlJc w:val="left"/>
      <w:pPr>
        <w:ind w:left="480" w:hanging="480"/>
      </w:pPr>
      <w:rPr>
        <w:rFonts w:hint="default"/>
      </w:rPr>
    </w:lvl>
    <w:lvl w:ilvl="1" w:tentative="1">
      <w:start w:val="2"/>
      <w:numFmt w:val="decimal"/>
      <w:lvlText w:val="%1.%2"/>
      <w:lvlJc w:val="left"/>
      <w:pPr>
        <w:ind w:left="1200" w:hanging="720"/>
      </w:pPr>
      <w:rPr>
        <w:rFonts w:hint="default"/>
      </w:rPr>
    </w:lvl>
    <w:lvl w:ilvl="2" w:tentative="1">
      <w:start w:val="1"/>
      <w:numFmt w:val="decimal"/>
      <w:lvlText w:val="%1.%2.%3"/>
      <w:lvlJc w:val="left"/>
      <w:pPr>
        <w:ind w:left="1680" w:hanging="720"/>
      </w:pPr>
      <w:rPr>
        <w:rFonts w:hint="default"/>
      </w:rPr>
    </w:lvl>
    <w:lvl w:ilvl="3" w:tentative="1">
      <w:start w:val="1"/>
      <w:numFmt w:val="decimal"/>
      <w:lvlText w:val="%1.%2.%3.%4"/>
      <w:lvlJc w:val="left"/>
      <w:pPr>
        <w:ind w:left="2520" w:hanging="1080"/>
      </w:pPr>
      <w:rPr>
        <w:rFonts w:hint="default"/>
      </w:rPr>
    </w:lvl>
    <w:lvl w:ilvl="4" w:tentative="1">
      <w:start w:val="1"/>
      <w:numFmt w:val="decimal"/>
      <w:lvlText w:val="%1.%2.%3.%4.%5"/>
      <w:lvlJc w:val="left"/>
      <w:pPr>
        <w:ind w:left="3360" w:hanging="1440"/>
      </w:pPr>
      <w:rPr>
        <w:rFonts w:hint="default"/>
      </w:rPr>
    </w:lvl>
    <w:lvl w:ilvl="5" w:tentative="1">
      <w:start w:val="1"/>
      <w:numFmt w:val="decimal"/>
      <w:lvlText w:val="%1.%2.%3.%4.%5.%6"/>
      <w:lvlJc w:val="left"/>
      <w:pPr>
        <w:ind w:left="3840" w:hanging="1440"/>
      </w:pPr>
      <w:rPr>
        <w:rFonts w:hint="default"/>
      </w:rPr>
    </w:lvl>
    <w:lvl w:ilvl="6" w:tentative="1">
      <w:start w:val="1"/>
      <w:numFmt w:val="decimal"/>
      <w:lvlText w:val="%1.%2.%3.%4.%5.%6.%7"/>
      <w:lvlJc w:val="left"/>
      <w:pPr>
        <w:ind w:left="4680" w:hanging="1800"/>
      </w:pPr>
      <w:rPr>
        <w:rFonts w:hint="default"/>
      </w:rPr>
    </w:lvl>
    <w:lvl w:ilvl="7" w:tentative="1">
      <w:start w:val="1"/>
      <w:numFmt w:val="decimal"/>
      <w:lvlText w:val="%1.%2.%3.%4.%5.%6.%7.%8"/>
      <w:lvlJc w:val="left"/>
      <w:pPr>
        <w:ind w:left="5520" w:hanging="2160"/>
      </w:pPr>
      <w:rPr>
        <w:rFonts w:hint="default"/>
      </w:rPr>
    </w:lvl>
    <w:lvl w:ilvl="8" w:tentative="1">
      <w:start w:val="1"/>
      <w:numFmt w:val="decimal"/>
      <w:lvlText w:val="%1.%2.%3.%4.%5.%6.%7.%8.%9"/>
      <w:lvlJc w:val="left"/>
      <w:pPr>
        <w:ind w:left="6000" w:hanging="2160"/>
      </w:pPr>
      <w:rPr>
        <w:rFonts w:hint="default"/>
      </w:rPr>
    </w:lvl>
  </w:abstractNum>
  <w:abstractNum w:abstractNumId="1789815194">
    <w:nsid w:val="6AAE699A"/>
    <w:multiLevelType w:val="multilevel"/>
    <w:tmpl w:val="6AAE699A"/>
    <w:lvl w:ilvl="0" w:tentative="1">
      <w:start w:val="1"/>
      <w:numFmt w:val="decimal"/>
      <w:lvlText w:val="%1.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5576532">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0">
    <w:nsid w:val="00000014"/>
    <w:multiLevelType w:val="multilevel"/>
    <w:tmpl w:val="00000014"/>
    <w:lvl w:ilvl="0" w:tentative="1">
      <w:start w:val="1"/>
      <w:numFmt w:val="decimal"/>
      <w:pStyle w:val="35"/>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num w:numId="1">
    <w:abstractNumId w:val="6"/>
  </w:num>
  <w:num w:numId="2">
    <w:abstractNumId w:val="20"/>
  </w:num>
  <w:num w:numId="3">
    <w:abstractNumId w:val="1509431272"/>
  </w:num>
  <w:num w:numId="4">
    <w:abstractNumId w:val="1568083017"/>
  </w:num>
  <w:num w:numId="5">
    <w:abstractNumId w:val="558367427"/>
  </w:num>
  <w:num w:numId="6">
    <w:abstractNumId w:val="1786463317"/>
  </w:num>
  <w:num w:numId="7">
    <w:abstractNumId w:val="656303350"/>
  </w:num>
  <w:num w:numId="8">
    <w:abstractNumId w:val="1088580207"/>
  </w:num>
  <w:num w:numId="9">
    <w:abstractNumId w:val="418720338"/>
  </w:num>
  <w:num w:numId="10">
    <w:abstractNumId w:val="395475411"/>
  </w:num>
  <w:num w:numId="11">
    <w:abstractNumId w:val="517354193"/>
  </w:num>
  <w:num w:numId="12">
    <w:abstractNumId w:val="748430756"/>
  </w:num>
  <w:num w:numId="13">
    <w:abstractNumId w:val="1927491866"/>
  </w:num>
  <w:num w:numId="14">
    <w:abstractNumId w:val="775952300"/>
  </w:num>
  <w:num w:numId="15">
    <w:abstractNumId w:val="609972546"/>
  </w:num>
  <w:num w:numId="16">
    <w:abstractNumId w:val="850879025"/>
  </w:num>
  <w:num w:numId="17">
    <w:abstractNumId w:val="1108353777"/>
  </w:num>
  <w:num w:numId="18">
    <w:abstractNumId w:val="420953784"/>
  </w:num>
  <w:num w:numId="19">
    <w:abstractNumId w:val="1789815194"/>
  </w:num>
  <w:num w:numId="20">
    <w:abstractNumId w:val="2655765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4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4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4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uiPriority w:val="1"/>
  </w:style>
  <w:style w:type="paragraph" w:styleId="6">
    <w:name w:val="Body Text First Indent"/>
    <w:basedOn w:val="7"/>
    <w:link w:val="52"/>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6"/>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link w:val="59"/>
    <w:unhideWhenUsed/>
    <w:qFormat/>
    <w:uiPriority w:val="99"/>
    <w:pPr>
      <w:jc w:val="left"/>
    </w:pPr>
    <w:rPr>
      <w:rFonts w:ascii="Times New Roman" w:hAnsi="Times New Roman" w:eastAsia="宋体" w:cs="Times New Roman"/>
      <w:szCs w:val="20"/>
    </w:rPr>
  </w:style>
  <w:style w:type="paragraph" w:styleId="11">
    <w:name w:val="Body Text 3"/>
    <w:basedOn w:val="1"/>
    <w:link w:val="45"/>
    <w:qFormat/>
    <w:uiPriority w:val="0"/>
    <w:rPr>
      <w:rFonts w:ascii="Times New Roman" w:hAnsi="Times New Roman" w:eastAsia="宋体" w:cs="Times New Roman"/>
      <w:color w:val="FF0000"/>
      <w:sz w:val="24"/>
      <w:szCs w:val="24"/>
    </w:rPr>
  </w:style>
  <w:style w:type="paragraph" w:styleId="12">
    <w:name w:val="Body Text Indent"/>
    <w:basedOn w:val="1"/>
    <w:link w:val="56"/>
    <w:qFormat/>
    <w:uiPriority w:val="0"/>
    <w:pPr>
      <w:adjustRightInd w:val="0"/>
      <w:spacing w:after="120" w:line="360" w:lineRule="atLeast"/>
      <w:ind w:left="420" w:leftChars="200"/>
      <w:jc w:val="left"/>
      <w:textAlignment w:val="baseline"/>
    </w:pPr>
    <w:rPr>
      <w:sz w:val="24"/>
    </w:rPr>
  </w:style>
  <w:style w:type="character" w:customStyle="1" w:styleId="13">
    <w:name w:val="正文文本缩进 Char"/>
    <w:qFormat/>
    <w:uiPriority w:val="0"/>
    <w:rPr>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7"/>
    <w:qFormat/>
    <w:uiPriority w:val="0"/>
    <w:rPr>
      <w:rFonts w:eastAsia="宋体"/>
      <w:sz w:val="24"/>
    </w:rPr>
  </w:style>
  <w:style w:type="paragraph" w:styleId="17">
    <w:name w:val="Date"/>
    <w:basedOn w:val="1"/>
    <w:next w:val="1"/>
    <w:unhideWhenUsed/>
    <w:qFormat/>
    <w:uiPriority w:val="99"/>
    <w:pPr>
      <w:ind w:left="100" w:leftChars="2500"/>
    </w:pPr>
  </w:style>
  <w:style w:type="paragraph" w:styleId="18">
    <w:name w:val="Balloon Text"/>
    <w:basedOn w:val="1"/>
    <w:link w:val="57"/>
    <w:semiHidden/>
    <w:unhideWhenUsed/>
    <w:qFormat/>
    <w:uiPriority w:val="99"/>
    <w:rPr>
      <w:sz w:val="18"/>
      <w:szCs w:val="18"/>
    </w:rPr>
  </w:style>
  <w:style w:type="paragraph" w:styleId="19">
    <w:name w:val="footer"/>
    <w:basedOn w:val="1"/>
    <w:link w:val="49"/>
    <w:unhideWhenUsed/>
    <w:qFormat/>
    <w:uiPriority w:val="99"/>
    <w:pPr>
      <w:tabs>
        <w:tab w:val="center" w:pos="4153"/>
        <w:tab w:val="right" w:pos="8306"/>
      </w:tabs>
      <w:snapToGrid w:val="0"/>
      <w:jc w:val="left"/>
    </w:pPr>
    <w:rPr>
      <w:sz w:val="18"/>
      <w:szCs w:val="18"/>
    </w:rPr>
  </w:style>
  <w:style w:type="paragraph" w:styleId="20">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列出段落1"/>
    <w:basedOn w:val="1"/>
    <w:qFormat/>
    <w:uiPriority w:val="34"/>
    <w:pPr>
      <w:ind w:firstLine="420" w:firstLineChars="200"/>
    </w:pPr>
  </w:style>
  <w:style w:type="paragraph" w:customStyle="1" w:styleId="31">
    <w:name w:val="List Paragraph"/>
    <w:basedOn w:val="1"/>
    <w:unhideWhenUsed/>
    <w:qFormat/>
    <w:uiPriority w:val="99"/>
    <w:pPr>
      <w:ind w:firstLine="420" w:firstLineChars="200"/>
    </w:pPr>
  </w:style>
  <w:style w:type="paragraph" w:customStyle="1" w:styleId="32">
    <w:name w:val="正文文本缩进1"/>
    <w:basedOn w:val="1"/>
    <w:link w:val="54"/>
    <w:qFormat/>
    <w:uiPriority w:val="0"/>
    <w:pPr>
      <w:spacing w:line="360" w:lineRule="auto"/>
      <w:ind w:firstLine="480" w:firstLineChars="200"/>
    </w:pPr>
    <w:rPr>
      <w:rFonts w:ascii="宋体"/>
      <w:sz w:val="24"/>
    </w:rPr>
  </w:style>
  <w:style w:type="paragraph" w:customStyle="1" w:styleId="33">
    <w:name w:val="日期1"/>
    <w:basedOn w:val="1"/>
    <w:next w:val="1"/>
    <w:link w:val="48"/>
    <w:qFormat/>
    <w:uiPriority w:val="0"/>
    <w:rPr>
      <w:sz w:val="24"/>
    </w:rPr>
  </w:style>
  <w:style w:type="paragraph" w:customStyle="1" w:styleId="3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39">
    <w:name w:val="BodyText"/>
    <w:basedOn w:val="1"/>
    <w:next w:val="1"/>
    <w:qFormat/>
    <w:uiPriority w:val="0"/>
    <w:pPr>
      <w:widowControl/>
      <w:spacing w:after="120"/>
    </w:pPr>
    <w:rPr>
      <w:rFonts w:ascii="Calibri" w:hAnsi="Calibri" w:eastAsia="宋体"/>
      <w:szCs w:val="24"/>
    </w:rPr>
  </w:style>
  <w:style w:type="paragraph" w:customStyle="1" w:styleId="40">
    <w:name w:val="列出段落5"/>
    <w:basedOn w:val="1"/>
    <w:qFormat/>
    <w:uiPriority w:val="34"/>
    <w:pPr>
      <w:ind w:firstLine="420" w:firstLineChars="200"/>
    </w:pPr>
    <w:rPr>
      <w:rFonts w:ascii="Calibri" w:hAnsi="Calibri" w:eastAsia="宋体" w:cs="Times New Roman"/>
      <w:szCs w:val="24"/>
    </w:rPr>
  </w:style>
  <w:style w:type="character" w:customStyle="1" w:styleId="41">
    <w:name w:val="标题 1 Char Char"/>
    <w:basedOn w:val="24"/>
    <w:link w:val="2"/>
    <w:uiPriority w:val="0"/>
    <w:rPr>
      <w:rFonts w:ascii="Calibri" w:hAnsi="Calibri" w:eastAsia="宋体" w:cs="Times New Roman"/>
      <w:b/>
      <w:bCs/>
      <w:kern w:val="44"/>
      <w:sz w:val="44"/>
      <w:szCs w:val="44"/>
    </w:rPr>
  </w:style>
  <w:style w:type="character" w:customStyle="1" w:styleId="42">
    <w:name w:val="标题 2 Char Char"/>
    <w:basedOn w:val="24"/>
    <w:link w:val="3"/>
    <w:uiPriority w:val="0"/>
    <w:rPr>
      <w:rFonts w:ascii="Arial" w:hAnsi="Arial" w:eastAsia="黑体" w:cs="Times New Roman"/>
      <w:b/>
      <w:bCs/>
      <w:sz w:val="32"/>
      <w:szCs w:val="32"/>
    </w:rPr>
  </w:style>
  <w:style w:type="character" w:customStyle="1" w:styleId="43">
    <w:name w:val="标题 3 Char Char"/>
    <w:basedOn w:val="24"/>
    <w:link w:val="4"/>
    <w:uiPriority w:val="0"/>
    <w:rPr>
      <w:rFonts w:ascii="宋体" w:hAnsi="宋体" w:eastAsia="宋体" w:cs="Times New Roman"/>
      <w:b/>
      <w:color w:val="000000"/>
      <w:kern w:val="0"/>
      <w:sz w:val="24"/>
      <w:szCs w:val="20"/>
    </w:rPr>
  </w:style>
  <w:style w:type="character" w:customStyle="1" w:styleId="44">
    <w:name w:val="标题 4 Char Char"/>
    <w:basedOn w:val="24"/>
    <w:link w:val="5"/>
    <w:uiPriority w:val="0"/>
    <w:rPr>
      <w:rFonts w:ascii="Arial" w:hAnsi="Arial" w:eastAsia="黑体" w:cs="Times New Roman"/>
      <w:b/>
      <w:bCs/>
      <w:sz w:val="28"/>
      <w:szCs w:val="28"/>
    </w:rPr>
  </w:style>
  <w:style w:type="character" w:customStyle="1" w:styleId="45">
    <w:name w:val="正文文本 3 Char Char"/>
    <w:basedOn w:val="24"/>
    <w:link w:val="11"/>
    <w:uiPriority w:val="0"/>
    <w:rPr>
      <w:rFonts w:ascii="Times New Roman" w:hAnsi="Times New Roman" w:eastAsia="宋体" w:cs="Times New Roman"/>
      <w:color w:val="FF0000"/>
      <w:sz w:val="24"/>
      <w:szCs w:val="24"/>
    </w:rPr>
  </w:style>
  <w:style w:type="character" w:customStyle="1" w:styleId="46">
    <w:name w:val="正文文本 Char Char"/>
    <w:basedOn w:val="24"/>
    <w:link w:val="7"/>
    <w:uiPriority w:val="99"/>
    <w:rPr/>
  </w:style>
  <w:style w:type="character" w:customStyle="1" w:styleId="47">
    <w:name w:val="纯文本 Char Char"/>
    <w:basedOn w:val="24"/>
    <w:link w:val="16"/>
    <w:uiPriority w:val="0"/>
    <w:rPr>
      <w:rFonts w:eastAsia="宋体"/>
      <w:sz w:val="24"/>
    </w:rPr>
  </w:style>
  <w:style w:type="character" w:customStyle="1" w:styleId="48">
    <w:name w:val="日期 Char Char"/>
    <w:basedOn w:val="24"/>
    <w:link w:val="33"/>
    <w:qFormat/>
    <w:uiPriority w:val="0"/>
    <w:rPr>
      <w:sz w:val="24"/>
    </w:rPr>
  </w:style>
  <w:style w:type="character" w:customStyle="1" w:styleId="49">
    <w:name w:val="页脚 Char Char"/>
    <w:basedOn w:val="24"/>
    <w:link w:val="19"/>
    <w:uiPriority w:val="99"/>
    <w:rPr>
      <w:sz w:val="18"/>
      <w:szCs w:val="18"/>
    </w:rPr>
  </w:style>
  <w:style w:type="character" w:customStyle="1" w:styleId="50">
    <w:name w:val="页眉 Char Char"/>
    <w:basedOn w:val="24"/>
    <w:link w:val="20"/>
    <w:uiPriority w:val="99"/>
    <w:rPr>
      <w:sz w:val="18"/>
      <w:szCs w:val="18"/>
    </w:rPr>
  </w:style>
  <w:style w:type="character" w:customStyle="1" w:styleId="51">
    <w:name w:val="HTML 预设格式 Char Char"/>
    <w:basedOn w:val="24"/>
    <w:link w:val="22"/>
    <w:uiPriority w:val="99"/>
    <w:rPr>
      <w:rFonts w:ascii="宋体" w:hAnsi="宋体" w:eastAsia="宋体" w:cs="宋体"/>
      <w:kern w:val="0"/>
      <w:sz w:val="24"/>
      <w:szCs w:val="24"/>
    </w:rPr>
  </w:style>
  <w:style w:type="character" w:customStyle="1" w:styleId="52">
    <w:name w:val="正文首行缩进 Char Char"/>
    <w:basedOn w:val="46"/>
    <w:link w:val="6"/>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character" w:customStyle="1" w:styleId="54">
    <w:name w:val="正文文本缩进 Char Char"/>
    <w:link w:val="32"/>
    <w:qFormat/>
    <w:uiPriority w:val="0"/>
    <w:rPr>
      <w:rFonts w:ascii="宋体"/>
      <w:sz w:val="24"/>
    </w:rPr>
  </w:style>
  <w:style w:type="character" w:customStyle="1" w:styleId="55">
    <w:name w:val="edittexttarea"/>
    <w:basedOn w:val="24"/>
    <w:qFormat/>
    <w:uiPriority w:val="0"/>
    <w:rPr/>
  </w:style>
  <w:style w:type="character" w:customStyle="1" w:styleId="56">
    <w:name w:val="正文文本缩进 Char1"/>
    <w:basedOn w:val="24"/>
    <w:link w:val="12"/>
    <w:uiPriority w:val="99"/>
    <w:rPr>
      <w:kern w:val="2"/>
      <w:sz w:val="21"/>
      <w:szCs w:val="22"/>
    </w:rPr>
  </w:style>
  <w:style w:type="character" w:customStyle="1" w:styleId="57">
    <w:name w:val="批注框文本 Char Char"/>
    <w:basedOn w:val="24"/>
    <w:link w:val="18"/>
    <w:uiPriority w:val="99"/>
    <w:rPr>
      <w:kern w:val="2"/>
      <w:sz w:val="18"/>
      <w:szCs w:val="18"/>
    </w:rPr>
  </w:style>
  <w:style w:type="character" w:customStyle="1" w:styleId="58">
    <w:name w:val="NormalCharacter"/>
    <w:semiHidden/>
    <w:qFormat/>
    <w:uiPriority w:val="0"/>
  </w:style>
  <w:style w:type="character" w:customStyle="1" w:styleId="59">
    <w:name w:val="批注文字 Char Char"/>
    <w:basedOn w:val="24"/>
    <w:link w:val="10"/>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70</Pages>
  <Words>5824</Words>
  <Characters>33199</Characters>
  <Lines>276</Lines>
  <Paragraphs>77</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etianjain</cp:lastModifiedBy>
  <cp:lastPrinted>2019-08-12T10:21:00Z</cp:lastPrinted>
  <dcterms:modified xsi:type="dcterms:W3CDTF">2020-07-10T00:46:15Z</dcterms:modified>
  <dc:title>襄城县教育体育局采购户外健身器材项目（不见面开标）</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