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z w:val="40"/>
          <w:szCs w:val="40"/>
          <w:lang w:val="en-US" w:eastAsia="zh-CN"/>
        </w:rPr>
        <w:t>禹州市禹浅路至二郎庙至朱阁马坟村公路工程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sz w:val="40"/>
          <w:szCs w:val="40"/>
          <w:lang w:val="en-US" w:eastAsia="zh-CN"/>
        </w:rPr>
        <w:t>（二次）中标公告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</w:p>
    <w:tbl>
      <w:tblPr>
        <w:tblStyle w:val="7"/>
        <w:tblW w:w="920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057"/>
        <w:gridCol w:w="2020"/>
        <w:gridCol w:w="1454"/>
        <w:gridCol w:w="31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66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禹州市禹浅路至二郎庙至朱阁马坟村公路工程（二次）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JSGC-J-2020046-1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 xml:space="preserve"> 禹州市浅井镇人民政府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2492755.00元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8时30分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禹州市公共资源交易中心开标一室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禹州市禹浅路至二郎庙至朱阁马坟村公路工程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 xml:space="preserve">方大国际工程咨询股份有限公司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樊迎菊、司燕华、王利霞、胡建勇、周小兵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技术评分最低标价法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eastAsia="zh-CN"/>
              </w:rPr>
              <w:t>河南优建美实业有限公司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  <w:t>市政公用工程施工总承包叁级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2486914.00元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  <w:t>合格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蒋高阳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二级建造师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，证书编号：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24114156146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项目总工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李红涛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，证书编号：C11901010900007）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财务负责人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韩红克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 41108100900066）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王松杰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41171091000224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测量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朱广亮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41170031000130）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试验员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陈慧丽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41170021000105）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机械员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朱帅豪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（岗位证书编号：41171121000259）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专职安全员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宋战杰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（岗位证书编号：豫建安C（2019）0016157）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2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记录查询情况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未发现有行贿犯罪记录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902817"/>
    <w:rsid w:val="2AEA1051"/>
    <w:rsid w:val="362D3A8B"/>
    <w:rsid w:val="4C4A438C"/>
    <w:rsid w:val="50EC417B"/>
    <w:rsid w:val="59B427E6"/>
    <w:rsid w:val="5A9C7ABB"/>
    <w:rsid w:val="721839B7"/>
    <w:rsid w:val="7C9434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2020-07-10T01:13:00Z</cp:lastPrinted>
  <dcterms:modified xsi:type="dcterms:W3CDTF">2020-07-10T03:04:49Z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