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禹州市朱阁镇道路改造工程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评标结果公示</w:t>
      </w: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基本情况和数据表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（一）项目概况</w:t>
      </w:r>
    </w:p>
    <w:p>
      <w:pPr>
        <w:ind w:firstLine="560" w:firstLineChars="200"/>
        <w:rPr>
          <w:rFonts w:hint="eastAsia" w:ascii="仿宋_GB2312" w:eastAsia="仿宋_GB2312"/>
          <w:i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iCs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iCs/>
          <w:sz w:val="28"/>
          <w:szCs w:val="28"/>
        </w:rPr>
        <w:t>禹州市朱阁镇道路改造工程</w:t>
      </w:r>
    </w:p>
    <w:p>
      <w:pPr>
        <w:ind w:firstLine="560" w:firstLineChars="200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2、项目编号：JSGC-J-2020062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、项目地点：</w:t>
      </w:r>
      <w:r>
        <w:rPr>
          <w:rFonts w:hint="eastAsia" w:ascii="仿宋_GB2312" w:eastAsia="仿宋_GB2312"/>
          <w:iCs/>
          <w:sz w:val="28"/>
          <w:szCs w:val="28"/>
        </w:rPr>
        <w:t>禹州市朱阁镇</w:t>
      </w:r>
    </w:p>
    <w:p>
      <w:pPr>
        <w:ind w:firstLine="560" w:firstLineChars="200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4、招标控制价：1181470.00元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、质量要求：合格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tabs>
          <w:tab w:val="center" w:pos="4706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、计划工期：20日历天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ab/>
      </w:r>
    </w:p>
    <w:p>
      <w:pPr>
        <w:ind w:firstLine="397" w:firstLineChars="14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、评标办法：技术评分最低标价法。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、资格审查方式：资格后审。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（二）招标过程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招标采用公开招标方式进行，按照法定公开招标程序和要求，于2020年6月12日至2020年7月9日在《全国公共资源交易平台(河南省▪许昌市)》、《河南省电子招标投标公共服务平台》上公开发布招标信息，于投标截止时间递交投标文件及投标保证金的投标单位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（三）项目开标数据表</w:t>
      </w:r>
    </w:p>
    <w:tbl>
      <w:tblPr>
        <w:tblStyle w:val="7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35"/>
        <w:gridCol w:w="1760"/>
        <w:gridCol w:w="1391"/>
        <w:gridCol w:w="3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招标人名称</w:t>
            </w:r>
          </w:p>
        </w:tc>
        <w:tc>
          <w:tcPr>
            <w:tcW w:w="68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禹州市朱阁镇人民政府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招标代理机构名称</w:t>
            </w:r>
          </w:p>
        </w:tc>
        <w:tc>
          <w:tcPr>
            <w:tcW w:w="68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汇龙工程咨询有限公司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68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禹州市朱阁镇道路改造工程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开标时间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2020年7月9日8时30分</w:t>
            </w:r>
          </w:p>
        </w:tc>
        <w:tc>
          <w:tcPr>
            <w:tcW w:w="1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开标地点</w:t>
            </w:r>
          </w:p>
        </w:tc>
        <w:tc>
          <w:tcPr>
            <w:tcW w:w="3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禹州市公共资源交易中心开标一室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评标时间</w:t>
            </w:r>
          </w:p>
        </w:tc>
        <w:tc>
          <w:tcPr>
            <w:tcW w:w="24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2020年7月9日11 时 00 分</w:t>
            </w:r>
          </w:p>
        </w:tc>
        <w:tc>
          <w:tcPr>
            <w:tcW w:w="1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评标地点</w:t>
            </w:r>
          </w:p>
        </w:tc>
        <w:tc>
          <w:tcPr>
            <w:tcW w:w="3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禹州市公共资源交易中心评标1室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二、第一信封开标记录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560"/>
        <w:gridCol w:w="1220"/>
        <w:gridCol w:w="855"/>
        <w:gridCol w:w="87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3603" w:type="dxa"/>
            <w:vAlign w:val="center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投标单位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项目经理</w:t>
            </w: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工期（日历天）</w:t>
            </w:r>
          </w:p>
        </w:tc>
        <w:tc>
          <w:tcPr>
            <w:tcW w:w="855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密封情况</w:t>
            </w:r>
          </w:p>
        </w:tc>
        <w:tc>
          <w:tcPr>
            <w:tcW w:w="15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60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刘佳佳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</w:t>
            </w:r>
          </w:p>
        </w:tc>
        <w:tc>
          <w:tcPr>
            <w:tcW w:w="1592" w:type="dxa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黄建勋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李亚如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完好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3" w:type="dxa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20日历天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质量要求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合格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三、评审情况（通过名单，流废标情况等）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1、第一信封初步评审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硬件特征码分析：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家投标人电子投标文件制作硬件特征码（网卡MAC地址、CPU序号、硬盘序列号）均不一致，均为有效投标。</w:t>
      </w:r>
    </w:p>
    <w:tbl>
      <w:tblPr>
        <w:tblStyle w:val="7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7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7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3240" w:hanging="3240" w:hangingChars="13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第一信封</w:t>
      </w:r>
      <w:r>
        <w:rPr>
          <w:rFonts w:ascii="仿宋_GB2312" w:eastAsia="仿宋_GB2312"/>
          <w:sz w:val="28"/>
          <w:szCs w:val="28"/>
        </w:rPr>
        <w:t>详细评审：</w:t>
      </w:r>
    </w:p>
    <w:p>
      <w:r>
        <w:rPr>
          <w:rFonts w:ascii="仿宋_GB2312" w:eastAsia="仿宋_GB2312"/>
          <w:sz w:val="28"/>
          <w:szCs w:val="28"/>
        </w:rPr>
        <w:t>评标委员会对通过初步评审的投标人的投标文件进行了详细评审，评审情况如下：</w:t>
      </w:r>
    </w:p>
    <w:tbl>
      <w:tblPr>
        <w:tblStyle w:val="7"/>
        <w:tblW w:w="9409" w:type="dxa"/>
        <w:tblInd w:w="-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9"/>
        <w:gridCol w:w="2361"/>
        <w:gridCol w:w="26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投标人</w:t>
            </w:r>
          </w:p>
        </w:tc>
        <w:tc>
          <w:tcPr>
            <w:tcW w:w="2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商务及技术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按得分由高到低进行排名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  <w:tc>
          <w:tcPr>
            <w:tcW w:w="2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70.18</w:t>
            </w:r>
          </w:p>
        </w:tc>
        <w:tc>
          <w:tcPr>
            <w:tcW w:w="2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  <w:tc>
          <w:tcPr>
            <w:tcW w:w="2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68.86 </w:t>
            </w:r>
          </w:p>
        </w:tc>
        <w:tc>
          <w:tcPr>
            <w:tcW w:w="2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  <w:tc>
          <w:tcPr>
            <w:tcW w:w="23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68.84</w:t>
            </w:r>
          </w:p>
        </w:tc>
        <w:tc>
          <w:tcPr>
            <w:tcW w:w="2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评标委员会按商务及技术</w:t>
      </w:r>
      <w:r>
        <w:rPr>
          <w:rFonts w:ascii="仿宋_GB2312" w:eastAsia="仿宋_GB2312"/>
          <w:sz w:val="28"/>
          <w:szCs w:val="28"/>
        </w:rPr>
        <w:t>得分</w:t>
      </w:r>
      <w:r>
        <w:rPr>
          <w:rFonts w:hint="eastAsia" w:ascii="仿宋_GB2312" w:eastAsia="仿宋_GB2312"/>
          <w:sz w:val="28"/>
          <w:szCs w:val="28"/>
        </w:rPr>
        <w:t>得分由高到低顺序取前三名进入第二信封（投标报价和工程量清单）评审，详细</w:t>
      </w:r>
      <w:r>
        <w:rPr>
          <w:rFonts w:ascii="仿宋_GB2312" w:eastAsia="仿宋_GB2312"/>
          <w:sz w:val="28"/>
          <w:szCs w:val="28"/>
        </w:rPr>
        <w:t>评审情况如下：</w:t>
      </w:r>
    </w:p>
    <w:tbl>
      <w:tblPr>
        <w:tblStyle w:val="7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39"/>
        <w:gridCol w:w="2360"/>
        <w:gridCol w:w="1055"/>
        <w:gridCol w:w="156"/>
        <w:gridCol w:w="1094"/>
        <w:gridCol w:w="117"/>
        <w:gridCol w:w="1133"/>
        <w:gridCol w:w="78"/>
        <w:gridCol w:w="1172"/>
        <w:gridCol w:w="39"/>
        <w:gridCol w:w="1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60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施工组织设计50分</w:t>
            </w:r>
          </w:p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adjustRightInd w:val="0"/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总体施工组织布置及规划5分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主要工程项目的施工方案、方法与技术措施（尤其对重点、关键和难点工程的施工方案、方法及其措施）5分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工期的保证体系及保证措施5分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工程质量管理体系及保证措施3分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安全生产管理体系及保证措施 3分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环境保护、水土保持保证体系及保证措施（含扬尘治理措施）3分                                                                              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文明施工、文物保护保证体系及保证措施 3分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项目风险预测与防范，事故应急预案 5分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附表一  施工总体计划表 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附表二分项工程进度率计划（斜率图）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附表三  工程管理曲线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附表四  分项工程生产率和施工周期表2分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附表五  施工总平面图2分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附表六劳动力计划表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附表七  临时用地计划表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附表八  外供电力需求计划表2分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附表九  合同用款估算表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项目管理机构20分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1.拟派项目总工中级职称者得10分；【须提供证书原件扫描件（或图片）】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2.拟派项目班子中主要进场人员证件齐全者得10分，缺一项扣3分，扣完为止。【须提供证书原件扫描件（或图片）】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10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技术能力10分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1、企业业绩（6分）企业近年来承建过类似项目者每项得6分，本项最高得6分【须提供合同原件、中标通知书原件的原件扫描件（或图片）和中标公示网页版】。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2、项目经理业绩（4分）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年来拟派建造师承建过类似项目者每项得4分，本项最高得4分【须提供合同原件、中标通知书原件4的原件扫描件（或图片）和中标公示网页版】，若上述资料不显示项目经理姓名，还须同时提供建设单位出具的相关证明文件。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履约信誉（0-20分）</w:t>
            </w: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企业信用（4分）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12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服务承诺（含扬尘治理等内容）（16分）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68.86 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ind w:firstLine="442"/>
      </w:pPr>
    </w:p>
    <w:tbl>
      <w:tblPr>
        <w:tblStyle w:val="7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13"/>
        <w:gridCol w:w="1786"/>
        <w:gridCol w:w="1055"/>
        <w:gridCol w:w="156"/>
        <w:gridCol w:w="1094"/>
        <w:gridCol w:w="117"/>
        <w:gridCol w:w="1133"/>
        <w:gridCol w:w="78"/>
        <w:gridCol w:w="1172"/>
        <w:gridCol w:w="39"/>
        <w:gridCol w:w="1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60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施工组织设计50分</w:t>
            </w:r>
          </w:p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adjustRightInd w:val="0"/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总体施工组织布置及规划5分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主要工程项目的施工方案、方法与技术措施（尤其对重点、关键和难点工程的施工方案、方法及其措施）5分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工期的保证体系及保证措施5分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工程质量管理体系及保证措施3分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安全生产管理体系及保证措施 3分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环境保护、水土保持保证体系及保证措施（含扬尘治理措施）3分                                                                              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文明施工、文物保护保证体系及保证措施 3分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项目风险预测与防范，事故应急预案 5分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4.1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附表一  施工总体计划表 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附表二分项工程进度率计划（斜率图）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附表三  工程管理曲线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附表四  分项工程生产率和施工周期表2分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附表五  施工总平面图2分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附表六劳动力计划表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附表七  临时用地计划表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附表八  外供电力需求计划表2分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附表九  合同用款估算表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项目管理机构20分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1.拟派项目总工中级职称者得10分；【须提供证书原件扫描件（或图片）】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2.拟派项目班子中主要进场人员证件齐全者得10分，缺一项扣3分，扣完为止。【须提供证书原件扫描件（或图片）】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技术能力10分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1、企业业绩（6分）企业近年来承建过类似项目者每项得6分，本项最高得6分【须提供合同原件、中标通知书原件的原件扫描件（或图片）和中标公示网页版】。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2、项目经理业绩（4分）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年来拟派建造师承建过类似项目者每项得4分，本项最高得4分【须提供合同原件、中标通知书原件4的原件扫描件（或图片）和中标公示网页版】，若上述资料不显示项目经理姓名，还须同时提供建设单位出具的相关证明文件。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786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履约信誉（0-20分）</w:t>
            </w:r>
          </w:p>
        </w:tc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企业信用（4分）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78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服务承诺（含扬尘治理等内容）（16分）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68.84</w:t>
            </w:r>
          </w:p>
        </w:tc>
      </w:tr>
    </w:tbl>
    <w:p>
      <w:pPr>
        <w:pStyle w:val="4"/>
        <w:ind w:left="420" w:firstLine="420"/>
        <w:rPr>
          <w:rFonts w:hint="default"/>
        </w:rPr>
      </w:pPr>
    </w:p>
    <w:p>
      <w:pPr>
        <w:pStyle w:val="4"/>
        <w:ind w:left="420" w:firstLine="420"/>
        <w:rPr>
          <w:rFonts w:hint="default"/>
        </w:rPr>
      </w:pPr>
    </w:p>
    <w:tbl>
      <w:tblPr>
        <w:tblStyle w:val="7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13"/>
        <w:gridCol w:w="1786"/>
        <w:gridCol w:w="1055"/>
        <w:gridCol w:w="156"/>
        <w:gridCol w:w="1094"/>
        <w:gridCol w:w="117"/>
        <w:gridCol w:w="1133"/>
        <w:gridCol w:w="78"/>
        <w:gridCol w:w="1172"/>
        <w:gridCol w:w="39"/>
        <w:gridCol w:w="1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投标人</w:t>
            </w:r>
          </w:p>
        </w:tc>
        <w:tc>
          <w:tcPr>
            <w:tcW w:w="60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firstLine="420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left="1084" w:hanging="1084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评标委员会成员</w:t>
            </w:r>
          </w:p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施工组织设计50分</w:t>
            </w:r>
          </w:p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12"/>
              <w:adjustRightInd w:val="0"/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总体施工组织布置及规划5分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主要工程项目的施工方案、方法与技术措施（尤其对重点、关键和难点工程的施工方案、方法及其措施）5分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工期的保证体系及保证措施5分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工程质量管理体系及保证措施3分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安全生产管理体系及保证措施 3分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环境保护、水土保持保证体系及保证措施（含扬尘治理措施）3分                                                                                      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文明施工、文物保护保证体系及保证措施 3分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项目风险预测与防范，事故应急预案 5分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附表一  施工总体计划表 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附表二分项工程进度率计划（斜率图）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附表三  工程管理曲线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附表四  分项工程生产率和施工周期表2分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附表五  施工总平面图2分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附表六劳动力计划表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附表七  临时用地计划表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附表八  外供电力需求计划表2分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1.4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附表九  合同用款估算表 2分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1.3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项目管理机构20分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1.拟派项目总工中级职称者得10分；【须提供证书原件扫描件（或图片）】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2.拟派项目班子中主要进场人员证件齐全者得10分，缺一项扣3分，扣完为止。【须提供证书原件扫描件（或图片）】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211" w:hanging="211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技术能力10分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1、企业业绩（6分）企业近年来承建过类似项目者每项得6分，本项最高得6分【须提供合同原件、中标通知书原件的原件扫描件（或图片）和中标公示网页版】。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2、项目经理业绩（4分）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年来拟派建造师承建过类似项目者每项得4分，本项最高得4分【须提供合同原件、中标通知书原件4的原件扫描件（或图片）和中标公示网页版】，若上述资料不显示项目经理姓名，还须同时提供建设单位出具的相关证明文件。</w:t>
            </w:r>
          </w:p>
        </w:tc>
        <w:tc>
          <w:tcPr>
            <w:tcW w:w="10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5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786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履约信誉（0-20分）</w:t>
            </w:r>
          </w:p>
        </w:tc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企业信用（4分）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78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服务承诺（含扬尘治理等内容）（16分）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10.5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小    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平均得分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5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最终得分</w:t>
            </w:r>
          </w:p>
        </w:tc>
        <w:tc>
          <w:tcPr>
            <w:tcW w:w="6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70.18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</w:pPr>
      <w:r>
        <w:rPr>
          <w:rFonts w:hint="eastAsia"/>
        </w:rPr>
        <w:t>第二信封开标记录</w:t>
      </w: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942"/>
        <w:gridCol w:w="1413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3223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投标单位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密封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246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1178438.28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完好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1181202.73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完好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1179453.60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完好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2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招标控制价</w:t>
            </w:r>
          </w:p>
        </w:tc>
        <w:tc>
          <w:tcPr>
            <w:tcW w:w="581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1181470.00元</w:t>
            </w:r>
          </w:p>
        </w:tc>
      </w:tr>
    </w:tbl>
    <w:p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第二信封初步评审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硬件特征码分析：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家投标人电子投标文件制作硬件特征码（网卡MAC地址、CPU序号、硬盘序列号）均不一致，均为有效投标。</w:t>
      </w:r>
    </w:p>
    <w:p>
      <w:pPr>
        <w:ind w:firstLine="420" w:firstLineChars="200"/>
      </w:pPr>
    </w:p>
    <w:tbl>
      <w:tblPr>
        <w:tblStyle w:val="7"/>
        <w:tblW w:w="8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第二信封</w:t>
      </w:r>
      <w:r>
        <w:rPr>
          <w:rFonts w:ascii="仿宋_GB2312" w:eastAsia="仿宋_GB2312"/>
          <w:sz w:val="28"/>
          <w:szCs w:val="28"/>
        </w:rPr>
        <w:t>详细评审：</w:t>
      </w:r>
    </w:p>
    <w:tbl>
      <w:tblPr>
        <w:tblStyle w:val="7"/>
        <w:tblW w:w="90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6"/>
        <w:gridCol w:w="2044"/>
        <w:gridCol w:w="2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投标人</w:t>
            </w:r>
          </w:p>
        </w:tc>
        <w:tc>
          <w:tcPr>
            <w:tcW w:w="2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投标报价（元）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>报价由低到高排名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1178438.28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1179453.60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1181202.73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</w:t>
            </w:r>
          </w:p>
        </w:tc>
      </w:tr>
    </w:tbl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四、中标候选人排名：</w:t>
      </w:r>
    </w:p>
    <w:tbl>
      <w:tblPr>
        <w:tblStyle w:val="7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55"/>
        <w:gridCol w:w="2591"/>
        <w:gridCol w:w="1501"/>
        <w:gridCol w:w="81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排名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中标候选人名称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注册建造师及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证书编号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（日历天）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中标价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河南安疆建筑工程有限公司</w:t>
            </w:r>
          </w:p>
        </w:tc>
        <w:tc>
          <w:tcPr>
            <w:tcW w:w="259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刘佳佳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豫241151687215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1178438.28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河南正天建筑工程有限公司</w:t>
            </w:r>
          </w:p>
        </w:tc>
        <w:tc>
          <w:tcPr>
            <w:tcW w:w="259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李亚如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豫241141447695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1179453.60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45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中创市政建设发展有限公司</w:t>
            </w:r>
          </w:p>
        </w:tc>
        <w:tc>
          <w:tcPr>
            <w:tcW w:w="259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黄建勋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豫241131335498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1181202.73</w:t>
            </w:r>
          </w:p>
        </w:tc>
      </w:tr>
    </w:tbl>
    <w:p>
      <w:pPr>
        <w:pStyle w:val="6"/>
        <w:widowControl/>
        <w:numPr>
          <w:ilvl w:val="0"/>
          <w:numId w:val="2"/>
        </w:numPr>
        <w:jc w:val="both"/>
        <w:rPr>
          <w:rFonts w:hint="eastAsia" w:ascii="黑体" w:hAnsi="黑体" w:eastAsia="黑体"/>
          <w:kern w:val="2"/>
          <w:sz w:val="32"/>
          <w:szCs w:val="28"/>
        </w:rPr>
      </w:pPr>
      <w:r>
        <w:rPr>
          <w:rFonts w:hint="eastAsia" w:ascii="黑体" w:hAnsi="黑体" w:eastAsia="黑体"/>
          <w:kern w:val="2"/>
          <w:sz w:val="32"/>
          <w:szCs w:val="28"/>
        </w:rPr>
        <w:t>推荐的中标候选人情况与签订合同前要处理的事宜</w:t>
      </w:r>
    </w:p>
    <w:p>
      <w:pPr>
        <w:pStyle w:val="6"/>
        <w:widowControl/>
        <w:numPr>
          <w:ilvl w:val="0"/>
          <w:numId w:val="0"/>
        </w:numPr>
        <w:jc w:val="both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（一）推荐的中标候选人名单：</w:t>
      </w:r>
    </w:p>
    <w:p>
      <w:pPr>
        <w:widowControl/>
        <w:ind w:firstLine="519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第一中标候选人：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河南安疆建筑工程有限公司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ind w:firstLine="517"/>
        <w:rPr>
          <w:rFonts w:hint="default" w:ascii="宋体" w:hAnsi="宋体" w:eastAsia="仿宋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投标报价：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1178438.28元</w:t>
      </w:r>
    </w:p>
    <w:p>
      <w:pPr>
        <w:widowControl/>
        <w:ind w:firstLine="517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大写：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壹佰壹拾柒万捌仟肆佰叁拾捌元贰角捌分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工期：  20日历天       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质量标准：合格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刘佳佳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证书名称、编号：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市政注册二级建造师  豫241151687215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中标候选人：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河南正天建筑工程有限公司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ind w:firstLine="517"/>
        <w:rPr>
          <w:rFonts w:hint="default" w:ascii="宋体" w:hAnsi="宋体" w:cs="宋体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投标报价：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1179453.60元</w:t>
      </w:r>
    </w:p>
    <w:p>
      <w:pPr>
        <w:widowControl/>
        <w:ind w:firstLine="517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大写：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壹佰壹拾柒万玖仟肆佰伍拾叁元陆角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工期： 20 日历天       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质量标准：合格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李亚如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ind w:firstLine="517"/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证书名称、编号：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市政注册二级建造师  豫241141447695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中标候选人：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中创市政建设发展有限公司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widowControl/>
        <w:ind w:firstLine="517"/>
        <w:rPr>
          <w:rFonts w:hint="default" w:ascii="宋体" w:hAnsi="宋体" w:cs="宋体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投标报价：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1181202.73元</w:t>
      </w:r>
    </w:p>
    <w:p>
      <w:pPr>
        <w:widowControl/>
        <w:ind w:firstLine="517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大写：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壹佰壹拾捌万壹仟贰佰零贰元柒角叁分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工期： 20 日历天       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质量标准：合格</w:t>
      </w:r>
    </w:p>
    <w:p>
      <w:pPr>
        <w:widowControl/>
        <w:ind w:firstLine="517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黄建勋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证书名称、编号：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市政注册二级建造师  豫241131335498</w:t>
      </w:r>
    </w:p>
    <w:p>
      <w:pPr>
        <w:numPr>
          <w:ilvl w:val="0"/>
          <w:numId w:val="3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澄清、说明、补正事项纪要：无</w:t>
      </w:r>
    </w:p>
    <w:p>
      <w:pPr>
        <w:numPr>
          <w:ilvl w:val="0"/>
          <w:numId w:val="3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公示期</w:t>
      </w:r>
      <w:r>
        <w:rPr>
          <w:rFonts w:hint="eastAsia"/>
          <w:b/>
          <w:bCs/>
          <w:sz w:val="30"/>
          <w:szCs w:val="30"/>
          <w:lang w:val="en-US" w:eastAsia="zh-CN"/>
        </w:rPr>
        <w:t>:2020年7月10日----2020年7月13日</w:t>
      </w:r>
    </w:p>
    <w:p>
      <w:pPr>
        <w:pStyle w:val="2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联系方式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人：禹州市朱阁镇人民政府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项目负责人：靳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先生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电话：</w:t>
      </w:r>
      <w:r>
        <w:rPr>
          <w:rFonts w:hint="eastAsia"/>
          <w:sz w:val="28"/>
          <w:szCs w:val="28"/>
          <w:lang w:val="en-US" w:eastAsia="zh-CN"/>
        </w:rPr>
        <w:t>0374-8120209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监督部门：禹州市交通运输局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联系人：孙先生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电话：15836555566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代理机构：汇龙工程咨询有限公司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联系人：宋先生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电话：0374-8081277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pStyle w:val="4"/>
        <w:numPr>
          <w:ilvl w:val="0"/>
          <w:numId w:val="0"/>
        </w:numPr>
        <w:spacing w:line="240" w:lineRule="auto"/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2020年7月10日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FFB602"/>
    <w:multiLevelType w:val="singleLevel"/>
    <w:tmpl w:val="97FFB6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CA4C92"/>
    <w:multiLevelType w:val="singleLevel"/>
    <w:tmpl w:val="A0CA4C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293E5F"/>
    <w:multiLevelType w:val="singleLevel"/>
    <w:tmpl w:val="BA293E5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5D5E"/>
    <w:rsid w:val="096E3071"/>
    <w:rsid w:val="0F6C2DA3"/>
    <w:rsid w:val="14BA735A"/>
    <w:rsid w:val="1A5D2FDE"/>
    <w:rsid w:val="21320D60"/>
    <w:rsid w:val="319E2CAA"/>
    <w:rsid w:val="339612DF"/>
    <w:rsid w:val="3CBD398E"/>
    <w:rsid w:val="45B87C46"/>
    <w:rsid w:val="65A9304C"/>
    <w:rsid w:val="6C0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jc w:val="center"/>
    </w:pPr>
    <w:rPr>
      <w:b/>
      <w:bCs/>
      <w:sz w:val="44"/>
      <w:szCs w:val="20"/>
    </w:rPr>
  </w:style>
  <w:style w:type="paragraph" w:styleId="4">
    <w:name w:val="Body Text First Indent 2"/>
    <w:basedOn w:val="5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15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8"/>
    <w:uiPriority w:val="0"/>
    <w:rPr>
      <w:color w:val="CC0000"/>
    </w:rPr>
  </w:style>
  <w:style w:type="character" w:customStyle="1" w:styleId="18">
    <w:name w:val="red3"/>
    <w:basedOn w:val="8"/>
    <w:qFormat/>
    <w:uiPriority w:val="0"/>
    <w:rPr>
      <w:color w:val="FF0000"/>
    </w:rPr>
  </w:style>
  <w:style w:type="character" w:customStyle="1" w:styleId="19">
    <w:name w:val="hover24"/>
    <w:basedOn w:val="8"/>
    <w:uiPriority w:val="0"/>
  </w:style>
  <w:style w:type="character" w:customStyle="1" w:styleId="20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gb-jt"/>
    <w:basedOn w:val="8"/>
    <w:qFormat/>
    <w:uiPriority w:val="0"/>
  </w:style>
  <w:style w:type="character" w:customStyle="1" w:styleId="22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8"/>
    <w:qFormat/>
    <w:uiPriority w:val="0"/>
  </w:style>
  <w:style w:type="character" w:customStyle="1" w:styleId="24">
    <w:name w:val="hover25"/>
    <w:basedOn w:val="8"/>
    <w:uiPriority w:val="0"/>
  </w:style>
  <w:style w:type="character" w:customStyle="1" w:styleId="25">
    <w:name w:val="swapimg"/>
    <w:basedOn w:val="8"/>
    <w:qFormat/>
    <w:uiPriority w:val="0"/>
  </w:style>
  <w:style w:type="character" w:customStyle="1" w:styleId="26">
    <w:name w:val="swapimg1"/>
    <w:basedOn w:val="8"/>
    <w:uiPriority w:val="0"/>
  </w:style>
  <w:style w:type="character" w:customStyle="1" w:styleId="27">
    <w:name w:val="icon_lzrz"/>
    <w:basedOn w:val="8"/>
    <w:qFormat/>
    <w:uiPriority w:val="0"/>
  </w:style>
  <w:style w:type="character" w:customStyle="1" w:styleId="28">
    <w:name w:val="focus3"/>
    <w:basedOn w:val="8"/>
    <w:qFormat/>
    <w:uiPriority w:val="0"/>
    <w:rPr>
      <w:b/>
      <w:color w:val="000000"/>
    </w:rPr>
  </w:style>
  <w:style w:type="character" w:customStyle="1" w:styleId="29">
    <w:name w:val="icon_gzkj"/>
    <w:basedOn w:val="8"/>
    <w:qFormat/>
    <w:uiPriority w:val="0"/>
  </w:style>
  <w:style w:type="character" w:customStyle="1" w:styleId="30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1">
    <w:name w:val="menutitle1"/>
    <w:basedOn w:val="8"/>
    <w:uiPriority w:val="0"/>
    <w:rPr>
      <w:color w:val="333333"/>
      <w:sz w:val="24"/>
      <w:szCs w:val="24"/>
    </w:rPr>
  </w:style>
  <w:style w:type="character" w:customStyle="1" w:styleId="32">
    <w:name w:val="l_3"/>
    <w:basedOn w:val="8"/>
    <w:qFormat/>
    <w:uiPriority w:val="0"/>
  </w:style>
  <w:style w:type="character" w:customStyle="1" w:styleId="33">
    <w:name w:val="l_31"/>
    <w:basedOn w:val="8"/>
    <w:uiPriority w:val="0"/>
  </w:style>
  <w:style w:type="character" w:customStyle="1" w:styleId="34">
    <w:name w:val="close5"/>
    <w:basedOn w:val="8"/>
    <w:qFormat/>
    <w:uiPriority w:val="0"/>
  </w:style>
  <w:style w:type="character" w:customStyle="1" w:styleId="35">
    <w:name w:val="l_8"/>
    <w:basedOn w:val="8"/>
    <w:qFormat/>
    <w:uiPriority w:val="0"/>
  </w:style>
  <w:style w:type="character" w:customStyle="1" w:styleId="36">
    <w:name w:val="l_81"/>
    <w:basedOn w:val="8"/>
    <w:qFormat/>
    <w:uiPriority w:val="0"/>
  </w:style>
  <w:style w:type="character" w:customStyle="1" w:styleId="37">
    <w:name w:val="searchopen"/>
    <w:basedOn w:val="8"/>
    <w:qFormat/>
    <w:uiPriority w:val="0"/>
  </w:style>
  <w:style w:type="character" w:customStyle="1" w:styleId="38">
    <w:name w:val="icon_dljg"/>
    <w:basedOn w:val="8"/>
    <w:uiPriority w:val="0"/>
  </w:style>
  <w:style w:type="character" w:customStyle="1" w:styleId="39">
    <w:name w:val="icon_cxktbr"/>
    <w:basedOn w:val="8"/>
    <w:qFormat/>
    <w:uiPriority w:val="0"/>
  </w:style>
  <w:style w:type="character" w:customStyle="1" w:styleId="40">
    <w:name w:val="icon_cxkcyry"/>
    <w:basedOn w:val="8"/>
    <w:uiPriority w:val="0"/>
  </w:style>
  <w:style w:type="character" w:customStyle="1" w:styleId="41">
    <w:name w:val="searchclose"/>
    <w:basedOn w:val="8"/>
    <w:uiPriority w:val="0"/>
  </w:style>
  <w:style w:type="character" w:customStyle="1" w:styleId="42">
    <w:name w:val="l_2"/>
    <w:basedOn w:val="8"/>
    <w:qFormat/>
    <w:uiPriority w:val="0"/>
  </w:style>
  <w:style w:type="character" w:customStyle="1" w:styleId="43">
    <w:name w:val="icon_xglc"/>
    <w:basedOn w:val="8"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m-text"/>
    <w:basedOn w:val="8"/>
    <w:qFormat/>
    <w:uiPriority w:val="0"/>
  </w:style>
  <w:style w:type="character" w:customStyle="1" w:styleId="46">
    <w:name w:val="l_0"/>
    <w:basedOn w:val="8"/>
    <w:qFormat/>
    <w:uiPriority w:val="0"/>
  </w:style>
  <w:style w:type="character" w:customStyle="1" w:styleId="47">
    <w:name w:val="l_01"/>
    <w:basedOn w:val="8"/>
    <w:qFormat/>
    <w:uiPriority w:val="0"/>
  </w:style>
  <w:style w:type="character" w:customStyle="1" w:styleId="48">
    <w:name w:val="l_1"/>
    <w:basedOn w:val="8"/>
    <w:uiPriority w:val="0"/>
  </w:style>
  <w:style w:type="character" w:customStyle="1" w:styleId="49">
    <w:name w:val="l_11"/>
    <w:basedOn w:val="8"/>
    <w:qFormat/>
    <w:uiPriority w:val="0"/>
  </w:style>
  <w:style w:type="character" w:customStyle="1" w:styleId="50">
    <w:name w:val="l_6"/>
    <w:basedOn w:val="8"/>
    <w:uiPriority w:val="0"/>
  </w:style>
  <w:style w:type="character" w:customStyle="1" w:styleId="51">
    <w:name w:val="l_61"/>
    <w:basedOn w:val="8"/>
    <w:qFormat/>
    <w:uiPriority w:val="0"/>
  </w:style>
  <w:style w:type="character" w:customStyle="1" w:styleId="52">
    <w:name w:val="l_111"/>
    <w:basedOn w:val="8"/>
    <w:qFormat/>
    <w:uiPriority w:val="0"/>
  </w:style>
  <w:style w:type="character" w:customStyle="1" w:styleId="53">
    <w:name w:val="l_112"/>
    <w:basedOn w:val="8"/>
    <w:qFormat/>
    <w:uiPriority w:val="0"/>
  </w:style>
  <w:style w:type="character" w:customStyle="1" w:styleId="54">
    <w:name w:val="l_4"/>
    <w:basedOn w:val="8"/>
    <w:qFormat/>
    <w:uiPriority w:val="0"/>
  </w:style>
  <w:style w:type="character" w:customStyle="1" w:styleId="55">
    <w:name w:val="l_41"/>
    <w:basedOn w:val="8"/>
    <w:qFormat/>
    <w:uiPriority w:val="0"/>
  </w:style>
  <w:style w:type="character" w:customStyle="1" w:styleId="56">
    <w:name w:val="l_5"/>
    <w:basedOn w:val="8"/>
    <w:qFormat/>
    <w:uiPriority w:val="0"/>
  </w:style>
  <w:style w:type="character" w:customStyle="1" w:styleId="57">
    <w:name w:val="l_51"/>
    <w:basedOn w:val="8"/>
    <w:qFormat/>
    <w:uiPriority w:val="0"/>
  </w:style>
  <w:style w:type="character" w:customStyle="1" w:styleId="58">
    <w:name w:val="l_7"/>
    <w:basedOn w:val="8"/>
    <w:qFormat/>
    <w:uiPriority w:val="0"/>
  </w:style>
  <w:style w:type="character" w:customStyle="1" w:styleId="59">
    <w:name w:val="l_71"/>
    <w:basedOn w:val="8"/>
    <w:qFormat/>
    <w:uiPriority w:val="0"/>
  </w:style>
  <w:style w:type="character" w:customStyle="1" w:styleId="60">
    <w:name w:val="l_9"/>
    <w:basedOn w:val="8"/>
    <w:qFormat/>
    <w:uiPriority w:val="0"/>
  </w:style>
  <w:style w:type="character" w:customStyle="1" w:styleId="61">
    <w:name w:val="l_91"/>
    <w:basedOn w:val="8"/>
    <w:qFormat/>
    <w:uiPriority w:val="0"/>
  </w:style>
  <w:style w:type="character" w:customStyle="1" w:styleId="62">
    <w:name w:val="l_10"/>
    <w:basedOn w:val="8"/>
    <w:qFormat/>
    <w:uiPriority w:val="0"/>
  </w:style>
  <w:style w:type="character" w:customStyle="1" w:styleId="63">
    <w:name w:val="l_101"/>
    <w:basedOn w:val="8"/>
    <w:qFormat/>
    <w:uiPriority w:val="0"/>
  </w:style>
  <w:style w:type="character" w:customStyle="1" w:styleId="64">
    <w:name w:val="l_12"/>
    <w:basedOn w:val="8"/>
    <w:qFormat/>
    <w:uiPriority w:val="0"/>
  </w:style>
  <w:style w:type="character" w:customStyle="1" w:styleId="65">
    <w:name w:val="l_121"/>
    <w:basedOn w:val="8"/>
    <w:qFormat/>
    <w:uiPriority w:val="0"/>
  </w:style>
  <w:style w:type="character" w:customStyle="1" w:styleId="66">
    <w:name w:val="l_13"/>
    <w:basedOn w:val="8"/>
    <w:qFormat/>
    <w:uiPriority w:val="0"/>
  </w:style>
  <w:style w:type="character" w:customStyle="1" w:styleId="67">
    <w:name w:val="l_131"/>
    <w:basedOn w:val="8"/>
    <w:qFormat/>
    <w:uiPriority w:val="0"/>
  </w:style>
  <w:style w:type="character" w:customStyle="1" w:styleId="68">
    <w:name w:val="l_14"/>
    <w:basedOn w:val="8"/>
    <w:qFormat/>
    <w:uiPriority w:val="0"/>
  </w:style>
  <w:style w:type="character" w:customStyle="1" w:styleId="69">
    <w:name w:val="l_141"/>
    <w:basedOn w:val="8"/>
    <w:qFormat/>
    <w:uiPriority w:val="0"/>
  </w:style>
  <w:style w:type="character" w:customStyle="1" w:styleId="70">
    <w:name w:val="l_15"/>
    <w:basedOn w:val="8"/>
    <w:qFormat/>
    <w:uiPriority w:val="0"/>
  </w:style>
  <w:style w:type="character" w:customStyle="1" w:styleId="71">
    <w:name w:val="l_151"/>
    <w:basedOn w:val="8"/>
    <w:qFormat/>
    <w:uiPriority w:val="0"/>
  </w:style>
  <w:style w:type="character" w:customStyle="1" w:styleId="72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73">
    <w:name w:val="close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2020-07-10T02:01:51Z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