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361"/>
        <w:jc w:val="center"/>
        <w:rPr>
          <w:rFonts w:hint="eastAsia"/>
          <w:b/>
          <w:sz w:val="52"/>
          <w:szCs w:val="52"/>
        </w:rPr>
      </w:pPr>
      <w:r>
        <w:rPr>
          <w:rFonts w:hint="eastAsia"/>
          <w:b/>
          <w:sz w:val="52"/>
          <w:szCs w:val="52"/>
        </w:rPr>
        <w:t>长葛市和尚桥</w:t>
      </w:r>
      <w:r>
        <w:rPr>
          <w:rFonts w:hint="eastAsia"/>
          <w:b/>
          <w:sz w:val="52"/>
          <w:szCs w:val="52"/>
          <w:lang w:eastAsia="zh-CN"/>
        </w:rPr>
        <w:t>镇</w:t>
      </w:r>
      <w:r>
        <w:rPr>
          <w:rFonts w:hint="eastAsia"/>
          <w:b/>
          <w:sz w:val="52"/>
          <w:szCs w:val="52"/>
        </w:rPr>
        <w:t>2.4万亩高标准农田</w:t>
      </w:r>
    </w:p>
    <w:p>
      <w:pPr>
        <w:pStyle w:val="6"/>
        <w:ind w:firstLine="361"/>
        <w:jc w:val="center"/>
        <w:rPr>
          <w:rFonts w:hint="eastAsia"/>
          <w:b/>
          <w:bCs/>
          <w:sz w:val="36"/>
          <w:szCs w:val="21"/>
        </w:rPr>
      </w:pPr>
      <w:r>
        <w:rPr>
          <w:rFonts w:hint="eastAsia"/>
          <w:b/>
          <w:sz w:val="52"/>
          <w:szCs w:val="52"/>
        </w:rPr>
        <w:t>建设项目(不见面开标)</w:t>
      </w:r>
    </w:p>
    <w:p>
      <w:pPr>
        <w:jc w:val="center"/>
        <w:rPr>
          <w:rFonts w:ascii="宋体" w:hAnsi="宋体"/>
          <w:b/>
          <w:bCs/>
          <w:sz w:val="32"/>
        </w:rPr>
      </w:pPr>
      <w:r>
        <w:rPr>
          <w:rFonts w:ascii="宋体" w:hAnsi="宋体"/>
          <w:b/>
          <w:bCs/>
          <w:sz w:val="32"/>
        </w:rPr>
        <w:br w:type="textWrapping"/>
      </w:r>
    </w:p>
    <w:p>
      <w:pPr>
        <w:jc w:val="both"/>
        <w:rPr>
          <w:rFonts w:hint="eastAsia" w:ascii="宋体" w:hAnsi="宋体"/>
          <w:b/>
          <w:bCs/>
          <w:sz w:val="72"/>
          <w:szCs w:val="72"/>
        </w:rPr>
      </w:pPr>
    </w:p>
    <w:p>
      <w:pPr>
        <w:jc w:val="center"/>
        <w:rPr>
          <w:rFonts w:ascii="宋体" w:hAnsi="宋体"/>
          <w:b/>
          <w:sz w:val="28"/>
          <w:szCs w:val="28"/>
        </w:rPr>
      </w:pPr>
      <w:r>
        <w:rPr>
          <w:rFonts w:hint="eastAsia" w:ascii="宋体" w:hAnsi="宋体"/>
          <w:b/>
          <w:bCs/>
          <w:sz w:val="72"/>
          <w:szCs w:val="72"/>
        </w:rPr>
        <w:t>监理招标文件</w:t>
      </w:r>
    </w:p>
    <w:p>
      <w:pPr>
        <w:pStyle w:val="6"/>
      </w:pPr>
    </w:p>
    <w:p>
      <w:pPr>
        <w:pStyle w:val="6"/>
        <w:ind w:firstLine="210"/>
      </w:pPr>
    </w:p>
    <w:p>
      <w:pPr>
        <w:jc w:val="center"/>
        <w:rPr>
          <w:rFonts w:hint="eastAsia" w:hAnsi="宋体"/>
          <w:b/>
          <w:bCs/>
          <w:kern w:val="2"/>
          <w:sz w:val="32"/>
          <w:szCs w:val="32"/>
        </w:rPr>
      </w:pPr>
      <w:r>
        <w:rPr>
          <w:rFonts w:hint="eastAsia" w:hAnsi="宋体"/>
          <w:b/>
          <w:sz w:val="32"/>
          <w:szCs w:val="32"/>
        </w:rPr>
        <w:t>项目编号：</w:t>
      </w:r>
      <w:r>
        <w:rPr>
          <w:rFonts w:hint="eastAsia" w:hAnsi="宋体"/>
          <w:b/>
          <w:bCs/>
          <w:kern w:val="2"/>
          <w:sz w:val="32"/>
          <w:szCs w:val="32"/>
          <w:lang w:val="en-US" w:eastAsia="zh-CN"/>
        </w:rPr>
        <w:t>长交建【2020】GZ084号</w:t>
      </w:r>
      <w:r>
        <w:rPr>
          <w:rFonts w:hint="eastAsia" w:hAnsi="宋体"/>
          <w:b/>
          <w:bCs/>
          <w:color w:val="0000FF"/>
          <w:kern w:val="2"/>
          <w:sz w:val="32"/>
          <w:szCs w:val="32"/>
        </w:rPr>
        <w:t xml:space="preserve"> </w:t>
      </w:r>
    </w:p>
    <w:p>
      <w:pPr>
        <w:autoSpaceDE w:val="0"/>
        <w:autoSpaceDN w:val="0"/>
        <w:adjustRightInd w:val="0"/>
        <w:jc w:val="center"/>
        <w:rPr>
          <w:rFonts w:hAnsi="宋体"/>
          <w:b/>
          <w:sz w:val="32"/>
          <w:szCs w:val="32"/>
        </w:rPr>
      </w:pPr>
    </w:p>
    <w:p>
      <w:pPr>
        <w:pStyle w:val="6"/>
        <w:ind w:firstLine="361"/>
        <w:jc w:val="center"/>
        <w:rPr>
          <w:rFonts w:hint="eastAsia"/>
          <w:b/>
          <w:bCs/>
          <w:sz w:val="36"/>
          <w:szCs w:val="21"/>
        </w:rPr>
      </w:pPr>
      <w:r>
        <w:rPr>
          <w:rFonts w:hint="eastAsia"/>
          <w:b/>
          <w:bCs/>
          <w:sz w:val="36"/>
          <w:szCs w:val="21"/>
        </w:rPr>
        <w:t>（21标段）</w:t>
      </w:r>
    </w:p>
    <w:p>
      <w:pPr>
        <w:pStyle w:val="6"/>
        <w:ind w:firstLine="210"/>
      </w:pPr>
    </w:p>
    <w:p>
      <w:pPr>
        <w:tabs>
          <w:tab w:val="left" w:pos="2850"/>
        </w:tabs>
        <w:spacing w:line="580" w:lineRule="exact"/>
        <w:jc w:val="left"/>
        <w:rPr>
          <w:rFonts w:ascii="宋体" w:hAnsi="宋体"/>
          <w:b/>
          <w:bCs/>
          <w:sz w:val="28"/>
        </w:rPr>
      </w:pPr>
    </w:p>
    <w:p>
      <w:pPr>
        <w:pStyle w:val="2"/>
      </w:pPr>
    </w:p>
    <w:p/>
    <w:p>
      <w:pPr>
        <w:ind w:firstLine="1606" w:firstLineChars="500"/>
        <w:rPr>
          <w:rFonts w:hAnsi="宋体" w:cs="黑体"/>
          <w:b/>
          <w:sz w:val="32"/>
          <w:szCs w:val="32"/>
        </w:rPr>
      </w:pPr>
      <w:r>
        <w:rPr>
          <w:rFonts w:hint="eastAsia"/>
          <w:b/>
          <w:bCs/>
          <w:sz w:val="32"/>
        </w:rPr>
        <w:t>招标单位：长葛市农业农村局</w:t>
      </w:r>
    </w:p>
    <w:p>
      <w:pPr>
        <w:ind w:firstLine="1606" w:firstLineChars="500"/>
        <w:rPr>
          <w:rFonts w:hAnsi="宋体" w:cs="黑体"/>
          <w:b/>
          <w:sz w:val="32"/>
          <w:szCs w:val="32"/>
        </w:rPr>
      </w:pPr>
    </w:p>
    <w:p>
      <w:pPr>
        <w:ind w:firstLine="1606" w:firstLineChars="500"/>
        <w:rPr>
          <w:rFonts w:hAnsi="宋体" w:cs="黑体"/>
          <w:b/>
          <w:sz w:val="32"/>
          <w:szCs w:val="32"/>
        </w:rPr>
      </w:pPr>
      <w:r>
        <w:rPr>
          <w:rFonts w:hint="eastAsia" w:hAnsi="宋体" w:cs="黑体"/>
          <w:b/>
          <w:sz w:val="32"/>
          <w:szCs w:val="32"/>
        </w:rPr>
        <w:t>招标代理机构：许昌建设工程项目管理有限公司</w:t>
      </w:r>
    </w:p>
    <w:p>
      <w:pPr>
        <w:ind w:firstLine="2249" w:firstLineChars="700"/>
        <w:rPr>
          <w:rFonts w:hAnsi="宋体" w:cs="黑体"/>
          <w:b/>
          <w:sz w:val="32"/>
          <w:szCs w:val="32"/>
        </w:rPr>
      </w:pPr>
      <w:r>
        <w:rPr>
          <w:rFonts w:hint="eastAsia" w:hAnsi="宋体" w:cs="黑体"/>
          <w:b/>
          <w:sz w:val="32"/>
          <w:szCs w:val="32"/>
        </w:rPr>
        <w:t xml:space="preserve">       </w:t>
      </w:r>
    </w:p>
    <w:p>
      <w:pPr>
        <w:ind w:firstLine="3213" w:firstLineChars="1000"/>
        <w:rPr>
          <w:rFonts w:hAnsi="宋体" w:cs="黑体"/>
          <w:b/>
          <w:sz w:val="32"/>
          <w:szCs w:val="32"/>
        </w:rPr>
      </w:pPr>
      <w:r>
        <w:rPr>
          <w:rFonts w:hint="eastAsia" w:hAnsi="宋体" w:cs="黑体"/>
          <w:b/>
          <w:sz w:val="32"/>
          <w:szCs w:val="32"/>
        </w:rPr>
        <w:t xml:space="preserve"> 二〇二〇年</w:t>
      </w:r>
      <w:r>
        <w:rPr>
          <w:rFonts w:hint="eastAsia" w:hAnsi="宋体" w:cs="黑体"/>
          <w:b/>
          <w:sz w:val="32"/>
          <w:szCs w:val="32"/>
          <w:lang w:eastAsia="zh-CN"/>
        </w:rPr>
        <w:t>七</w:t>
      </w:r>
      <w:r>
        <w:rPr>
          <w:rFonts w:hint="eastAsia" w:hAnsi="宋体" w:cs="黑体"/>
          <w:b/>
          <w:sz w:val="32"/>
          <w:szCs w:val="32"/>
        </w:rPr>
        <w:t>月</w:t>
      </w:r>
    </w:p>
    <w:p>
      <w:pPr>
        <w:spacing w:line="312" w:lineRule="auto"/>
        <w:jc w:val="center"/>
        <w:rPr>
          <w:rFonts w:ascii="宋体" w:hAnsi="宋体" w:cs="宋体"/>
          <w:b/>
          <w:sz w:val="30"/>
          <w:szCs w:val="30"/>
        </w:rPr>
        <w:sectPr>
          <w:headerReference r:id="rId3" w:type="default"/>
          <w:footerReference r:id="rId5" w:type="default"/>
          <w:headerReference r:id="rId4" w:type="even"/>
          <w:footerReference r:id="rId6" w:type="even"/>
          <w:pgSz w:w="11850" w:h="16783"/>
          <w:pgMar w:top="1247" w:right="1191" w:bottom="1247" w:left="1191" w:header="851" w:footer="992" w:gutter="0"/>
          <w:pgNumType w:start="1"/>
          <w:cols w:space="720" w:num="1"/>
          <w:titlePg/>
          <w:docGrid w:type="lines" w:linePitch="312" w:charSpace="0"/>
        </w:sectPr>
      </w:pPr>
    </w:p>
    <w:p>
      <w:pPr>
        <w:rPr>
          <w:rFonts w:ascii="黑体" w:hAnsi="宋体" w:eastAsia="黑体"/>
          <w:b/>
          <w:sz w:val="44"/>
        </w:rPr>
      </w:pPr>
    </w:p>
    <w:p>
      <w:pPr>
        <w:jc w:val="center"/>
        <w:rPr>
          <w:rFonts w:ascii="黑体" w:hAnsi="宋体" w:eastAsia="黑体"/>
          <w:b/>
          <w:sz w:val="44"/>
        </w:rPr>
      </w:pPr>
      <w:r>
        <w:rPr>
          <w:rFonts w:hint="eastAsia" w:ascii="黑体" w:hAnsi="宋体" w:eastAsia="黑体"/>
          <w:b/>
          <w:sz w:val="44"/>
        </w:rPr>
        <w:t>目录</w:t>
      </w:r>
    </w:p>
    <w:p>
      <w:pPr>
        <w:jc w:val="center"/>
        <w:rPr>
          <w:rFonts w:ascii="宋体" w:hAnsi="宋体"/>
          <w:b/>
          <w:sz w:val="32"/>
        </w:rPr>
      </w:pPr>
    </w:p>
    <w:p>
      <w:pPr>
        <w:tabs>
          <w:tab w:val="left" w:leader="hyphen" w:pos="7919"/>
        </w:tabs>
        <w:snapToGrid w:val="0"/>
        <w:spacing w:line="480" w:lineRule="auto"/>
        <w:ind w:firstLine="562" w:firstLineChars="200"/>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ab/>
      </w:r>
    </w:p>
    <w:p>
      <w:pPr>
        <w:tabs>
          <w:tab w:val="left" w:leader="hyphen" w:pos="7919"/>
        </w:tabs>
        <w:snapToGrid w:val="0"/>
        <w:spacing w:line="480" w:lineRule="auto"/>
        <w:ind w:firstLine="570"/>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p>
    <w:p>
      <w:pPr>
        <w:tabs>
          <w:tab w:val="left" w:leader="hyphen" w:pos="7919"/>
        </w:tabs>
        <w:snapToGrid w:val="0"/>
        <w:spacing w:line="480" w:lineRule="auto"/>
        <w:ind w:firstLine="570"/>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第四章  合同条款及格式</w:t>
      </w:r>
      <w:r>
        <w:rPr>
          <w:rFonts w:ascii="黑体" w:hAnsi="宋体" w:eastAsia="黑体"/>
          <w:b/>
          <w:sz w:val="28"/>
        </w:rPr>
        <w:tab/>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第五章  委托人要求</w:t>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第六章  投标文件格式</w:t>
      </w:r>
      <w:r>
        <w:rPr>
          <w:rFonts w:ascii="黑体" w:hAnsi="宋体" w:eastAsia="黑体"/>
          <w:b/>
          <w:sz w:val="28"/>
        </w:rPr>
        <w:tab/>
      </w:r>
      <w:r>
        <w:rPr>
          <w:rFonts w:ascii="黑体" w:hAnsi="宋体" w:eastAsia="黑体"/>
          <w:b/>
          <w:sz w:val="28"/>
        </w:rPr>
        <w:tab/>
      </w:r>
    </w:p>
    <w:p>
      <w:pPr>
        <w:spacing w:line="312" w:lineRule="auto"/>
      </w:pPr>
    </w:p>
    <w:p>
      <w:pPr>
        <w:widowControl/>
        <w:jc w:val="left"/>
      </w:pPr>
      <w:r>
        <w:br w:type="page"/>
      </w:r>
    </w:p>
    <w:p>
      <w:pPr>
        <w:pStyle w:val="23"/>
        <w:snapToGrid w:val="0"/>
        <w:spacing w:line="276" w:lineRule="auto"/>
        <w:jc w:val="center"/>
        <w:rPr>
          <w:rFonts w:ascii="宋体" w:hAnsi="宋体"/>
          <w:sz w:val="52"/>
          <w:szCs w:val="52"/>
        </w:rPr>
      </w:pPr>
      <w:bookmarkStart w:id="0" w:name="_Toc17593"/>
      <w:bookmarkStart w:id="1" w:name="_Toc18374"/>
      <w:bookmarkStart w:id="2" w:name="_Toc19466"/>
      <w:bookmarkStart w:id="3" w:name="_Toc15029"/>
      <w:r>
        <w:rPr>
          <w:rFonts w:hint="eastAsia" w:cs="Arial"/>
          <w:b/>
          <w:bCs/>
          <w:color w:val="000000"/>
          <w:sz w:val="52"/>
          <w:szCs w:val="52"/>
        </w:rPr>
        <w:t>第一章  招标公告</w:t>
      </w:r>
    </w:p>
    <w:p>
      <w:pPr>
        <w:widowControl/>
        <w:snapToGrid w:val="0"/>
        <w:spacing w:line="276" w:lineRule="auto"/>
        <w:jc w:val="center"/>
        <w:rPr>
          <w:rFonts w:hint="eastAsia" w:cs="Arial"/>
          <w:b/>
          <w:bCs/>
          <w:color w:val="auto"/>
          <w:kern w:val="0"/>
          <w:sz w:val="36"/>
          <w:szCs w:val="36"/>
          <w:lang w:val="en-US" w:eastAsia="zh-CN"/>
        </w:rPr>
      </w:pPr>
      <w:r>
        <w:rPr>
          <w:rFonts w:hint="eastAsia" w:cs="Arial"/>
          <w:b/>
          <w:bCs/>
          <w:color w:val="auto"/>
          <w:kern w:val="0"/>
          <w:sz w:val="36"/>
          <w:szCs w:val="36"/>
          <w:lang w:val="en-US" w:eastAsia="zh-CN"/>
        </w:rPr>
        <w:t>长葛市和尚桥镇2.4万亩高标准农田建设项目</w:t>
      </w:r>
    </w:p>
    <w:p>
      <w:pPr>
        <w:widowControl/>
        <w:snapToGrid w:val="0"/>
        <w:spacing w:line="276" w:lineRule="auto"/>
        <w:jc w:val="center"/>
        <w:rPr>
          <w:rFonts w:cs="Arial"/>
          <w:b/>
          <w:bCs/>
          <w:color w:val="auto"/>
          <w:kern w:val="0"/>
          <w:sz w:val="44"/>
          <w:szCs w:val="44"/>
        </w:rPr>
      </w:pPr>
      <w:r>
        <w:rPr>
          <w:rFonts w:hint="eastAsia" w:cs="Arial"/>
          <w:b/>
          <w:bCs/>
          <w:color w:val="auto"/>
          <w:kern w:val="0"/>
          <w:sz w:val="36"/>
          <w:szCs w:val="36"/>
        </w:rPr>
        <w:t>（</w:t>
      </w:r>
      <w:r>
        <w:rPr>
          <w:rFonts w:hint="eastAsia" w:cs="Arial"/>
          <w:b/>
          <w:bCs/>
          <w:color w:val="auto"/>
          <w:kern w:val="0"/>
          <w:sz w:val="36"/>
          <w:szCs w:val="36"/>
          <w:lang w:val="en-US" w:eastAsia="zh-CN"/>
        </w:rPr>
        <w:t>1</w:t>
      </w:r>
      <w:r>
        <w:rPr>
          <w:rFonts w:hint="eastAsia" w:cs="Arial"/>
          <w:b/>
          <w:bCs/>
          <w:color w:val="auto"/>
          <w:kern w:val="0"/>
          <w:sz w:val="36"/>
          <w:szCs w:val="36"/>
          <w:lang w:eastAsia="zh-CN"/>
        </w:rPr>
        <w:t>〜</w:t>
      </w:r>
      <w:r>
        <w:rPr>
          <w:rFonts w:hint="eastAsia" w:cs="Arial"/>
          <w:b/>
          <w:bCs/>
          <w:color w:val="auto"/>
          <w:kern w:val="0"/>
          <w:sz w:val="36"/>
          <w:szCs w:val="36"/>
          <w:lang w:val="en-US" w:eastAsia="zh-CN"/>
        </w:rPr>
        <w:t>5、21</w:t>
      </w:r>
      <w:r>
        <w:rPr>
          <w:rFonts w:hint="eastAsia" w:cs="Arial"/>
          <w:b/>
          <w:bCs/>
          <w:color w:val="auto"/>
          <w:kern w:val="0"/>
          <w:sz w:val="36"/>
          <w:szCs w:val="36"/>
        </w:rPr>
        <w:t>标）招 标 公 告</w:t>
      </w:r>
    </w:p>
    <w:p>
      <w:pPr>
        <w:widowControl/>
        <w:snapToGrid w:val="0"/>
        <w:spacing w:line="360" w:lineRule="auto"/>
        <w:rPr>
          <w:rFonts w:ascii="宋体" w:hAnsi="宋体"/>
          <w:b/>
          <w:color w:val="auto"/>
          <w:kern w:val="0"/>
          <w:sz w:val="28"/>
          <w:szCs w:val="28"/>
        </w:rPr>
      </w:pPr>
      <w:r>
        <w:rPr>
          <w:rFonts w:hint="eastAsia" w:ascii="宋体" w:hAnsi="宋体"/>
          <w:b/>
          <w:color w:val="auto"/>
          <w:kern w:val="0"/>
          <w:sz w:val="28"/>
          <w:szCs w:val="28"/>
          <w:lang w:eastAsia="zh-CN"/>
        </w:rPr>
        <w:t>一</w:t>
      </w:r>
      <w:r>
        <w:rPr>
          <w:rFonts w:hint="eastAsia" w:ascii="宋体" w:hAnsi="宋体"/>
          <w:b/>
          <w:color w:val="auto"/>
          <w:kern w:val="0"/>
          <w:sz w:val="28"/>
          <w:szCs w:val="28"/>
        </w:rPr>
        <w:t xml:space="preserve">、招标条件 </w:t>
      </w:r>
    </w:p>
    <w:p>
      <w:pPr>
        <w:widowControl/>
        <w:snapToGrid w:val="0"/>
        <w:spacing w:line="360" w:lineRule="auto"/>
        <w:ind w:firstLine="480" w:firstLineChars="200"/>
        <w:rPr>
          <w:rFonts w:ascii="宋体" w:hAnsi="宋体" w:cs="楷体"/>
          <w:color w:val="auto"/>
          <w:sz w:val="24"/>
        </w:rPr>
      </w:pPr>
      <w:r>
        <w:rPr>
          <w:rFonts w:hint="eastAsia" w:ascii="宋体" w:hAnsi="宋体" w:cs="楷体"/>
          <w:color w:val="auto"/>
          <w:sz w:val="24"/>
        </w:rPr>
        <w:t>本次招标项目</w:t>
      </w:r>
      <w:r>
        <w:rPr>
          <w:rFonts w:hint="eastAsia" w:ascii="宋体" w:hAnsi="宋体" w:cs="楷体"/>
          <w:color w:val="auto"/>
          <w:sz w:val="24"/>
          <w:lang w:val="en-US" w:eastAsia="zh-CN"/>
        </w:rPr>
        <w:t>长葛市和尚桥镇2.4万亩高标准农田建设项目（1〜5、21标）</w:t>
      </w:r>
      <w:r>
        <w:rPr>
          <w:rFonts w:hint="eastAsia" w:ascii="宋体" w:hAnsi="宋体" w:cs="楷体"/>
          <w:color w:val="auto"/>
          <w:sz w:val="24"/>
        </w:rPr>
        <w:t>已由</w:t>
      </w:r>
      <w:r>
        <w:rPr>
          <w:rFonts w:hint="eastAsia" w:ascii="宋体" w:hAnsi="宋体" w:cs="楷体"/>
          <w:color w:val="auto"/>
          <w:sz w:val="24"/>
          <w:lang w:eastAsia="zh-CN"/>
        </w:rPr>
        <w:t>河南省</w:t>
      </w:r>
      <w:r>
        <w:rPr>
          <w:rFonts w:hint="eastAsia" w:ascii="宋体" w:hAnsi="宋体" w:cs="楷体"/>
          <w:color w:val="auto"/>
          <w:sz w:val="24"/>
        </w:rPr>
        <w:t>农业农村</w:t>
      </w:r>
      <w:r>
        <w:rPr>
          <w:rFonts w:hint="eastAsia" w:ascii="宋体" w:hAnsi="宋体" w:cs="楷体"/>
          <w:color w:val="auto"/>
          <w:sz w:val="24"/>
          <w:lang w:eastAsia="zh-CN"/>
        </w:rPr>
        <w:t>厅</w:t>
      </w:r>
      <w:r>
        <w:rPr>
          <w:rFonts w:hint="eastAsia" w:ascii="宋体" w:hAnsi="宋体" w:cs="楷体"/>
          <w:color w:val="auto"/>
          <w:sz w:val="24"/>
        </w:rPr>
        <w:t>以</w:t>
      </w:r>
      <w:r>
        <w:rPr>
          <w:rFonts w:hint="eastAsia" w:ascii="宋体" w:hAnsi="宋体" w:cs="楷体"/>
          <w:color w:val="auto"/>
          <w:sz w:val="24"/>
          <w:lang w:eastAsia="zh-CN"/>
        </w:rPr>
        <w:t>豫</w:t>
      </w:r>
      <w:r>
        <w:rPr>
          <w:rFonts w:hint="eastAsia" w:ascii="宋体" w:hAnsi="宋体" w:cs="楷体"/>
          <w:color w:val="auto"/>
          <w:sz w:val="24"/>
        </w:rPr>
        <w:t>农</w:t>
      </w:r>
      <w:r>
        <w:rPr>
          <w:rFonts w:hint="eastAsia" w:ascii="宋体" w:hAnsi="宋体" w:cs="楷体"/>
          <w:color w:val="auto"/>
          <w:sz w:val="24"/>
          <w:lang w:eastAsia="zh-CN"/>
        </w:rPr>
        <w:t>文</w:t>
      </w:r>
      <w:r>
        <w:rPr>
          <w:rFonts w:hint="eastAsia" w:ascii="宋体" w:hAnsi="宋体" w:cs="楷体"/>
          <w:color w:val="auto"/>
          <w:sz w:val="24"/>
        </w:rPr>
        <w:t>【20</w:t>
      </w:r>
      <w:r>
        <w:rPr>
          <w:rFonts w:hint="eastAsia" w:ascii="宋体" w:hAnsi="宋体" w:cs="楷体"/>
          <w:color w:val="auto"/>
          <w:sz w:val="24"/>
          <w:lang w:val="en-US" w:eastAsia="zh-CN"/>
        </w:rPr>
        <w:t>20</w:t>
      </w:r>
      <w:r>
        <w:rPr>
          <w:rFonts w:hint="eastAsia" w:ascii="宋体" w:hAnsi="宋体" w:cs="楷体"/>
          <w:color w:val="auto"/>
          <w:sz w:val="24"/>
        </w:rPr>
        <w:t>】8</w:t>
      </w:r>
      <w:r>
        <w:rPr>
          <w:rFonts w:hint="eastAsia" w:ascii="宋体" w:hAnsi="宋体" w:cs="楷体"/>
          <w:color w:val="auto"/>
          <w:sz w:val="24"/>
          <w:lang w:val="en-US" w:eastAsia="zh-CN"/>
        </w:rPr>
        <w:t>2</w:t>
      </w:r>
      <w:r>
        <w:rPr>
          <w:rFonts w:hint="eastAsia" w:ascii="宋体" w:hAnsi="宋体" w:cs="楷体"/>
          <w:color w:val="auto"/>
          <w:sz w:val="24"/>
        </w:rPr>
        <w:t>号文件批准建设,建设资金为财政资金,</w:t>
      </w:r>
      <w:r>
        <w:rPr>
          <w:rFonts w:hint="eastAsia" w:ascii="宋体" w:hAnsi="宋体" w:cs="楷体"/>
          <w:color w:val="auto"/>
          <w:sz w:val="24"/>
          <w:lang w:eastAsia="zh-CN"/>
        </w:rPr>
        <w:t>资金</w:t>
      </w:r>
      <w:r>
        <w:rPr>
          <w:rFonts w:hint="eastAsia" w:ascii="宋体" w:hAnsi="宋体" w:cs="楷体"/>
          <w:color w:val="auto"/>
          <w:sz w:val="24"/>
        </w:rPr>
        <w:t>已落实，招标人为</w:t>
      </w:r>
      <w:r>
        <w:rPr>
          <w:rFonts w:hint="eastAsia" w:ascii="宋体" w:hAnsi="宋体" w:cs="楷体"/>
          <w:color w:val="auto"/>
          <w:sz w:val="24"/>
          <w:lang w:eastAsia="zh-CN"/>
        </w:rPr>
        <w:t>长葛市农业农村局</w:t>
      </w:r>
      <w:r>
        <w:rPr>
          <w:rFonts w:hint="eastAsia" w:ascii="宋体" w:hAnsi="宋体" w:cs="楷体"/>
          <w:color w:val="auto"/>
          <w:sz w:val="24"/>
        </w:rPr>
        <w:t>，招标代理机构为许昌建设工程项目管理有限公司，项目已具备招标条件，现对本项目</w:t>
      </w:r>
      <w:r>
        <w:rPr>
          <w:rFonts w:hint="eastAsia" w:ascii="宋体" w:hAnsi="宋体" w:cs="楷体"/>
          <w:color w:val="auto"/>
          <w:sz w:val="24"/>
          <w:lang w:eastAsia="zh-CN"/>
        </w:rPr>
        <w:t>（</w:t>
      </w:r>
      <w:r>
        <w:rPr>
          <w:rFonts w:hint="eastAsia" w:ascii="宋体" w:hAnsi="宋体" w:cs="楷体"/>
          <w:color w:val="auto"/>
          <w:sz w:val="24"/>
          <w:lang w:val="en-US" w:eastAsia="zh-CN"/>
        </w:rPr>
        <w:t>1〜5标</w:t>
      </w:r>
      <w:r>
        <w:rPr>
          <w:rFonts w:hint="eastAsia" w:ascii="宋体" w:hAnsi="宋体" w:cs="楷体"/>
          <w:color w:val="auto"/>
          <w:sz w:val="24"/>
          <w:lang w:eastAsia="zh-CN"/>
        </w:rPr>
        <w:t>）</w:t>
      </w:r>
      <w:r>
        <w:rPr>
          <w:rFonts w:hint="eastAsia" w:ascii="宋体" w:hAnsi="宋体" w:cs="楷体"/>
          <w:color w:val="auto"/>
          <w:sz w:val="24"/>
        </w:rPr>
        <w:t>货物及</w:t>
      </w:r>
      <w:r>
        <w:rPr>
          <w:rFonts w:hint="eastAsia" w:ascii="宋体" w:hAnsi="宋体" w:cs="楷体"/>
          <w:color w:val="auto"/>
          <w:sz w:val="24"/>
          <w:lang w:eastAsia="zh-CN"/>
        </w:rPr>
        <w:t>监理（</w:t>
      </w:r>
      <w:r>
        <w:rPr>
          <w:rFonts w:hint="eastAsia" w:ascii="宋体" w:hAnsi="宋体" w:cs="楷体"/>
          <w:color w:val="auto"/>
          <w:sz w:val="24"/>
          <w:lang w:val="en-US" w:eastAsia="zh-CN"/>
        </w:rPr>
        <w:t>21标</w:t>
      </w:r>
      <w:r>
        <w:rPr>
          <w:rFonts w:hint="eastAsia" w:ascii="宋体" w:hAnsi="宋体" w:cs="楷体"/>
          <w:color w:val="auto"/>
          <w:sz w:val="24"/>
          <w:lang w:eastAsia="zh-CN"/>
        </w:rPr>
        <w:t>）</w:t>
      </w:r>
      <w:r>
        <w:rPr>
          <w:rFonts w:hint="eastAsia" w:ascii="宋体" w:hAnsi="宋体" w:cs="楷体"/>
          <w:color w:val="auto"/>
          <w:sz w:val="24"/>
        </w:rPr>
        <w:t>进行国内公开招标。</w:t>
      </w:r>
    </w:p>
    <w:p>
      <w:pPr>
        <w:widowControl/>
        <w:snapToGrid w:val="0"/>
        <w:spacing w:line="360" w:lineRule="auto"/>
        <w:rPr>
          <w:rFonts w:ascii="宋体" w:hAnsi="宋体"/>
          <w:b/>
          <w:color w:val="auto"/>
          <w:kern w:val="0"/>
          <w:sz w:val="28"/>
          <w:szCs w:val="28"/>
        </w:rPr>
      </w:pPr>
      <w:r>
        <w:rPr>
          <w:rFonts w:hint="eastAsia" w:ascii="宋体" w:hAnsi="宋体"/>
          <w:b/>
          <w:color w:val="auto"/>
          <w:kern w:val="0"/>
          <w:sz w:val="28"/>
          <w:szCs w:val="28"/>
          <w:lang w:eastAsia="zh-CN"/>
        </w:rPr>
        <w:t>二</w:t>
      </w:r>
      <w:r>
        <w:rPr>
          <w:rFonts w:hint="eastAsia" w:ascii="宋体" w:hAnsi="宋体"/>
          <w:b/>
          <w:color w:val="auto"/>
          <w:kern w:val="0"/>
          <w:sz w:val="28"/>
          <w:szCs w:val="28"/>
        </w:rPr>
        <w:t>、项目概况与招标范围</w:t>
      </w:r>
    </w:p>
    <w:p>
      <w:pPr>
        <w:widowControl/>
        <w:snapToGrid w:val="0"/>
        <w:spacing w:line="360" w:lineRule="auto"/>
        <w:ind w:firstLine="240" w:firstLineChars="100"/>
        <w:rPr>
          <w:rFonts w:ascii="宋体" w:hAnsi="宋体" w:cs="楷体"/>
          <w:color w:val="auto"/>
          <w:sz w:val="24"/>
        </w:rPr>
      </w:pPr>
      <w:r>
        <w:rPr>
          <w:rFonts w:hint="eastAsia" w:ascii="宋体" w:hAnsi="宋体" w:cs="楷体"/>
          <w:color w:val="auto"/>
          <w:sz w:val="24"/>
        </w:rPr>
        <w:t>2.1</w:t>
      </w:r>
      <w:r>
        <w:rPr>
          <w:rFonts w:ascii="宋体" w:hAnsi="宋体" w:cs="楷体"/>
          <w:color w:val="auto"/>
          <w:sz w:val="24"/>
        </w:rPr>
        <w:t xml:space="preserve"> </w:t>
      </w:r>
      <w:r>
        <w:rPr>
          <w:rFonts w:hint="eastAsia" w:ascii="宋体" w:hAnsi="宋体" w:cs="楷体"/>
          <w:color w:val="auto"/>
          <w:sz w:val="24"/>
        </w:rPr>
        <w:t>项目</w:t>
      </w:r>
      <w:r>
        <w:rPr>
          <w:rFonts w:ascii="宋体" w:hAnsi="宋体" w:cs="楷体"/>
          <w:color w:val="auto"/>
          <w:sz w:val="24"/>
        </w:rPr>
        <w:t>名称：</w:t>
      </w:r>
      <w:r>
        <w:rPr>
          <w:rFonts w:hint="eastAsia" w:ascii="宋体" w:hAnsi="宋体" w:cs="楷体"/>
          <w:color w:val="auto"/>
          <w:sz w:val="24"/>
          <w:lang w:val="en-US" w:eastAsia="zh-CN"/>
        </w:rPr>
        <w:t>长葛市和尚桥镇2.4万亩高标准农田建设项目（1〜5、21标）</w:t>
      </w:r>
      <w:r>
        <w:rPr>
          <w:rFonts w:hint="eastAsia" w:ascii="宋体" w:hAnsi="宋体" w:cs="楷体"/>
          <w:color w:val="auto"/>
          <w:sz w:val="24"/>
        </w:rPr>
        <w:t>；</w:t>
      </w:r>
    </w:p>
    <w:p>
      <w:pPr>
        <w:widowControl/>
        <w:snapToGrid w:val="0"/>
        <w:spacing w:line="360" w:lineRule="auto"/>
        <w:ind w:firstLine="240" w:firstLineChars="100"/>
        <w:rPr>
          <w:rFonts w:ascii="宋体" w:hAnsi="宋体" w:cs="楷体"/>
          <w:color w:val="auto"/>
          <w:sz w:val="24"/>
        </w:rPr>
      </w:pPr>
      <w:r>
        <w:rPr>
          <w:rFonts w:hint="eastAsia" w:ascii="宋体" w:hAnsi="宋体" w:cs="楷体"/>
          <w:color w:val="auto"/>
          <w:sz w:val="24"/>
        </w:rPr>
        <w:t>2.2</w:t>
      </w:r>
      <w:r>
        <w:rPr>
          <w:rFonts w:ascii="宋体" w:hAnsi="宋体" w:cs="楷体"/>
          <w:color w:val="auto"/>
          <w:sz w:val="24"/>
        </w:rPr>
        <w:t xml:space="preserve"> </w:t>
      </w:r>
      <w:r>
        <w:rPr>
          <w:rFonts w:hint="eastAsia" w:ascii="宋体" w:hAnsi="宋体" w:cs="楷体"/>
          <w:color w:val="auto"/>
          <w:sz w:val="24"/>
        </w:rPr>
        <w:t>项目</w:t>
      </w:r>
      <w:r>
        <w:rPr>
          <w:rFonts w:ascii="宋体" w:hAnsi="宋体" w:cs="楷体"/>
          <w:color w:val="auto"/>
          <w:sz w:val="24"/>
        </w:rPr>
        <w:t>编</w:t>
      </w:r>
      <w:r>
        <w:rPr>
          <w:rFonts w:hint="eastAsia" w:ascii="宋体" w:hAnsi="宋体" w:cs="楷体"/>
          <w:color w:val="auto"/>
          <w:sz w:val="24"/>
        </w:rPr>
        <w:t>号</w:t>
      </w:r>
      <w:r>
        <w:rPr>
          <w:rFonts w:ascii="宋体" w:hAnsi="宋体" w:cs="楷体"/>
          <w:color w:val="auto"/>
          <w:sz w:val="24"/>
        </w:rPr>
        <w:t>：</w:t>
      </w:r>
      <w:r>
        <w:rPr>
          <w:rFonts w:hint="eastAsia" w:ascii="宋体" w:hAnsi="宋体" w:cs="楷体"/>
          <w:color w:val="auto"/>
          <w:sz w:val="24"/>
          <w:lang w:val="en-US" w:eastAsia="zh-CN"/>
        </w:rPr>
        <w:t>长交建【2020】GZ084号</w:t>
      </w:r>
      <w:r>
        <w:rPr>
          <w:rFonts w:hint="eastAsia" w:ascii="宋体" w:hAnsi="宋体" w:cs="楷体"/>
          <w:color w:val="FF0000"/>
          <w:sz w:val="24"/>
        </w:rPr>
        <w:t xml:space="preserve"> </w:t>
      </w:r>
      <w:r>
        <w:rPr>
          <w:rFonts w:ascii="宋体" w:hAnsi="宋体" w:cs="楷体"/>
          <w:color w:val="FF0000"/>
          <w:sz w:val="24"/>
        </w:rPr>
        <w:t>；</w:t>
      </w:r>
    </w:p>
    <w:p>
      <w:pPr>
        <w:widowControl/>
        <w:snapToGrid w:val="0"/>
        <w:spacing w:line="360" w:lineRule="auto"/>
        <w:ind w:firstLine="240" w:firstLineChars="100"/>
        <w:rPr>
          <w:rFonts w:ascii="宋体" w:hAnsi="宋体" w:cs="楷体"/>
          <w:color w:val="auto"/>
          <w:sz w:val="24"/>
        </w:rPr>
      </w:pPr>
      <w:r>
        <w:rPr>
          <w:rFonts w:hint="eastAsia" w:ascii="宋体" w:hAnsi="宋体" w:cs="楷体"/>
          <w:color w:val="auto"/>
          <w:sz w:val="24"/>
        </w:rPr>
        <w:t>2.3</w:t>
      </w:r>
      <w:r>
        <w:rPr>
          <w:rFonts w:ascii="宋体" w:hAnsi="宋体" w:cs="楷体"/>
          <w:color w:val="auto"/>
          <w:sz w:val="24"/>
        </w:rPr>
        <w:t xml:space="preserve"> </w:t>
      </w:r>
      <w:r>
        <w:rPr>
          <w:rFonts w:hint="eastAsia" w:ascii="宋体" w:hAnsi="宋体" w:cs="楷体"/>
          <w:color w:val="auto"/>
          <w:sz w:val="24"/>
        </w:rPr>
        <w:t>项目</w:t>
      </w:r>
      <w:r>
        <w:rPr>
          <w:rFonts w:ascii="宋体" w:hAnsi="宋体" w:cs="楷体"/>
          <w:color w:val="auto"/>
          <w:sz w:val="24"/>
        </w:rPr>
        <w:t>地点：</w:t>
      </w:r>
      <w:r>
        <w:rPr>
          <w:rFonts w:hint="eastAsia" w:ascii="宋体" w:hAnsi="宋体" w:cs="楷体"/>
          <w:color w:val="auto"/>
          <w:sz w:val="24"/>
          <w:lang w:eastAsia="zh-CN"/>
        </w:rPr>
        <w:t>位于</w:t>
      </w:r>
      <w:r>
        <w:rPr>
          <w:rFonts w:hint="eastAsia" w:ascii="宋体" w:hAnsi="宋体" w:cs="楷体"/>
          <w:color w:val="auto"/>
          <w:sz w:val="24"/>
        </w:rPr>
        <w:t>长葛市和尚桥镇。</w:t>
      </w:r>
    </w:p>
    <w:p>
      <w:pPr>
        <w:widowControl/>
        <w:snapToGrid w:val="0"/>
        <w:spacing w:line="360" w:lineRule="auto"/>
        <w:ind w:firstLine="240" w:firstLineChars="100"/>
        <w:rPr>
          <w:rFonts w:hint="eastAsia" w:ascii="宋体" w:hAnsi="宋体" w:eastAsia="宋体" w:cs="楷体"/>
          <w:color w:val="auto"/>
          <w:sz w:val="24"/>
          <w:lang w:val="en-US" w:eastAsia="zh-CN"/>
        </w:rPr>
      </w:pPr>
      <w:r>
        <w:rPr>
          <w:rFonts w:hint="eastAsia" w:ascii="宋体" w:hAnsi="宋体" w:cs="楷体"/>
          <w:color w:val="auto"/>
          <w:sz w:val="24"/>
        </w:rPr>
        <w:t>2.4</w:t>
      </w:r>
      <w:r>
        <w:rPr>
          <w:rFonts w:ascii="宋体" w:hAnsi="宋体" w:cs="楷体"/>
          <w:color w:val="auto"/>
          <w:sz w:val="24"/>
        </w:rPr>
        <w:t xml:space="preserve"> </w:t>
      </w:r>
      <w:r>
        <w:rPr>
          <w:rFonts w:hint="eastAsia" w:ascii="宋体" w:hAnsi="宋体" w:cs="楷体"/>
          <w:color w:val="auto"/>
          <w:sz w:val="24"/>
        </w:rPr>
        <w:t>工程概况</w:t>
      </w:r>
      <w:r>
        <w:rPr>
          <w:rFonts w:ascii="宋体" w:hAnsi="宋体" w:cs="楷体"/>
          <w:color w:val="auto"/>
          <w:sz w:val="24"/>
        </w:rPr>
        <w:t>：</w:t>
      </w:r>
      <w:r>
        <w:rPr>
          <w:rFonts w:hint="eastAsia" w:ascii="宋体" w:hAnsi="宋体" w:cs="楷体"/>
          <w:color w:val="auto"/>
          <w:sz w:val="24"/>
          <w:lang w:eastAsia="zh-CN"/>
        </w:rPr>
        <w:t>本项目</w:t>
      </w:r>
      <w:r>
        <w:rPr>
          <w:rFonts w:hint="eastAsia" w:ascii="宋体" w:hAnsi="宋体" w:cs="楷体"/>
          <w:color w:val="auto"/>
          <w:sz w:val="24"/>
        </w:rPr>
        <w:t>涉及太平店村岗杨村</w:t>
      </w:r>
      <w:r>
        <w:rPr>
          <w:rFonts w:hint="eastAsia" w:ascii="宋体" w:hAnsi="宋体" w:cs="楷体"/>
          <w:color w:val="auto"/>
          <w:sz w:val="24"/>
          <w:lang w:eastAsia="zh-CN"/>
        </w:rPr>
        <w:t>、</w:t>
      </w:r>
      <w:r>
        <w:rPr>
          <w:rFonts w:hint="eastAsia" w:ascii="宋体" w:hAnsi="宋体" w:cs="楷体"/>
          <w:color w:val="auto"/>
          <w:sz w:val="24"/>
        </w:rPr>
        <w:t>张固店村</w:t>
      </w:r>
      <w:r>
        <w:rPr>
          <w:rFonts w:hint="eastAsia" w:ascii="宋体" w:hAnsi="宋体" w:cs="楷体"/>
          <w:color w:val="auto"/>
          <w:sz w:val="24"/>
          <w:lang w:eastAsia="zh-CN"/>
        </w:rPr>
        <w:t>、</w:t>
      </w:r>
      <w:r>
        <w:rPr>
          <w:rFonts w:hint="eastAsia" w:ascii="宋体" w:hAnsi="宋体" w:cs="楷体"/>
          <w:color w:val="auto"/>
          <w:sz w:val="24"/>
        </w:rPr>
        <w:t>樊楼村、牛庄村、蒋庄村、段庄村、楼张村（含新张营移民村）、秦庄村、贾庄村、任庄村等11个行政村</w:t>
      </w:r>
      <w:r>
        <w:rPr>
          <w:rFonts w:hint="eastAsia" w:ascii="宋体" w:hAnsi="宋体" w:cs="楷体"/>
          <w:color w:val="auto"/>
          <w:sz w:val="24"/>
          <w:lang w:eastAsia="zh-CN"/>
        </w:rPr>
        <w:t>。</w:t>
      </w:r>
      <w:r>
        <w:rPr>
          <w:rFonts w:hint="eastAsia" w:ascii="宋体" w:hAnsi="宋体" w:cs="楷体"/>
          <w:color w:val="auto"/>
          <w:sz w:val="24"/>
        </w:rPr>
        <w:t>由土壤改良工程、灌溉与排水工程、田间道路工程、农田输配电工程和其他工程五个方面组成</w:t>
      </w:r>
      <w:r>
        <w:rPr>
          <w:rFonts w:hint="eastAsia" w:ascii="宋体" w:hAnsi="宋体" w:cs="楷体"/>
          <w:color w:val="auto"/>
          <w:sz w:val="24"/>
          <w:lang w:eastAsia="zh-CN"/>
        </w:rPr>
        <w:t>。本项目总投资额约为3773.57万元。</w:t>
      </w:r>
      <w:r>
        <w:rPr>
          <w:rFonts w:hint="eastAsia" w:ascii="宋体" w:hAnsi="宋体" w:cs="楷体"/>
          <w:color w:val="auto"/>
          <w:sz w:val="24"/>
        </w:rPr>
        <w:t>本次招标主要建设内容为</w:t>
      </w:r>
      <w:r>
        <w:rPr>
          <w:rFonts w:hint="eastAsia" w:ascii="宋体" w:hAnsi="宋体" w:cs="楷体"/>
          <w:color w:val="auto"/>
          <w:sz w:val="24"/>
          <w:lang w:eastAsia="zh-CN"/>
        </w:rPr>
        <w:t>土壤改良、地埋线采购及安装、地埋管（含出水口及保护装置）采购及安装、井堡（含超声波流量计）采购及安装、网络信息化建设等工程</w:t>
      </w:r>
      <w:r>
        <w:rPr>
          <w:rFonts w:hint="eastAsia" w:ascii="宋体" w:hAnsi="宋体" w:cs="楷体"/>
          <w:color w:val="auto"/>
          <w:sz w:val="24"/>
        </w:rPr>
        <w:t>。</w:t>
      </w:r>
      <w:r>
        <w:rPr>
          <w:rFonts w:hint="eastAsia" w:ascii="宋体" w:hAnsi="宋体" w:cs="楷体"/>
          <w:color w:val="auto"/>
          <w:sz w:val="24"/>
          <w:lang w:eastAsia="zh-CN"/>
        </w:rPr>
        <w:t>本次招标金额约9</w:t>
      </w:r>
      <w:r>
        <w:rPr>
          <w:rFonts w:hint="eastAsia" w:ascii="宋体" w:hAnsi="宋体" w:cs="楷体"/>
          <w:color w:val="auto"/>
          <w:sz w:val="24"/>
          <w:lang w:val="en-US" w:eastAsia="zh-CN"/>
        </w:rPr>
        <w:t>69.4</w:t>
      </w:r>
      <w:r>
        <w:rPr>
          <w:rFonts w:hint="eastAsia" w:ascii="宋体" w:hAnsi="宋体" w:cs="楷体"/>
          <w:color w:val="auto"/>
          <w:sz w:val="24"/>
          <w:lang w:eastAsia="zh-CN"/>
        </w:rPr>
        <w:t>万元。</w:t>
      </w:r>
    </w:p>
    <w:p>
      <w:pPr>
        <w:widowControl/>
        <w:snapToGrid w:val="0"/>
        <w:spacing w:line="360" w:lineRule="auto"/>
        <w:ind w:firstLine="240" w:firstLineChars="100"/>
        <w:rPr>
          <w:rFonts w:hint="eastAsia" w:ascii="宋体" w:hAnsi="宋体" w:cs="楷体"/>
          <w:color w:val="auto"/>
          <w:sz w:val="24"/>
          <w:lang w:val="en-US" w:eastAsia="zh-CN"/>
        </w:rPr>
      </w:pPr>
      <w:r>
        <w:rPr>
          <w:rFonts w:hint="eastAsia" w:ascii="宋体" w:hAnsi="宋体" w:cs="楷体"/>
          <w:color w:val="auto"/>
          <w:sz w:val="24"/>
        </w:rPr>
        <w:t>2.5</w:t>
      </w:r>
      <w:r>
        <w:rPr>
          <w:rFonts w:ascii="宋体" w:hAnsi="宋体" w:cs="楷体"/>
          <w:color w:val="auto"/>
          <w:sz w:val="24"/>
        </w:rPr>
        <w:t xml:space="preserve"> </w:t>
      </w:r>
      <w:r>
        <w:rPr>
          <w:rFonts w:hint="eastAsia" w:ascii="宋体" w:hAnsi="宋体" w:cs="楷体"/>
          <w:color w:val="auto"/>
          <w:sz w:val="24"/>
        </w:rPr>
        <w:t>招</w:t>
      </w:r>
      <w:r>
        <w:rPr>
          <w:rFonts w:ascii="宋体" w:hAnsi="宋体" w:cs="楷体"/>
          <w:color w:val="auto"/>
          <w:sz w:val="24"/>
        </w:rPr>
        <w:t>标范围：</w:t>
      </w:r>
      <w:r>
        <w:rPr>
          <w:rFonts w:hint="eastAsia" w:ascii="宋体" w:hAnsi="宋体" w:cs="楷体"/>
          <w:color w:val="auto"/>
          <w:sz w:val="24"/>
          <w:lang w:val="en-US" w:eastAsia="zh-CN"/>
        </w:rPr>
        <w:t>1〜5标段招标范围为</w:t>
      </w:r>
      <w:r>
        <w:rPr>
          <w:rFonts w:hint="eastAsia" w:ascii="宋体" w:hAnsi="宋体" w:cs="楷体"/>
          <w:sz w:val="24"/>
        </w:rPr>
        <w:t>招标文件</w:t>
      </w:r>
      <w:r>
        <w:rPr>
          <w:rFonts w:hint="eastAsia" w:ascii="宋体" w:hAnsi="宋体" w:cs="楷体"/>
          <w:sz w:val="24"/>
          <w:lang w:eastAsia="zh-CN"/>
        </w:rPr>
        <w:t>、</w:t>
      </w:r>
      <w:r>
        <w:rPr>
          <w:rFonts w:hint="eastAsia" w:ascii="宋体" w:hAnsi="宋体" w:cs="楷体"/>
          <w:color w:val="auto"/>
          <w:sz w:val="24"/>
          <w:lang w:val="en-US" w:eastAsia="zh-CN"/>
        </w:rPr>
        <w:t>货物采购清单、施工图纸、设计变更、答疑纪要等全部内容；21标段监理招标范围为本项目施工阶段和保修期的监理工作。</w:t>
      </w:r>
    </w:p>
    <w:p>
      <w:pPr>
        <w:widowControl/>
        <w:snapToGrid w:val="0"/>
        <w:spacing w:line="360" w:lineRule="auto"/>
        <w:ind w:firstLine="240" w:firstLineChars="100"/>
        <w:rPr>
          <w:rFonts w:hint="eastAsia" w:ascii="宋体" w:hAnsi="宋体" w:eastAsia="宋体" w:cs="楷体"/>
          <w:color w:val="auto"/>
          <w:sz w:val="24"/>
          <w:lang w:eastAsia="zh-CN"/>
        </w:rPr>
      </w:pPr>
      <w:r>
        <w:rPr>
          <w:rFonts w:hint="eastAsia" w:ascii="宋体" w:hAnsi="宋体" w:cs="楷体"/>
          <w:color w:val="auto"/>
          <w:sz w:val="24"/>
        </w:rPr>
        <w:t>2.6</w:t>
      </w:r>
      <w:r>
        <w:rPr>
          <w:rFonts w:ascii="宋体" w:hAnsi="宋体" w:cs="楷体"/>
          <w:color w:val="auto"/>
          <w:sz w:val="24"/>
        </w:rPr>
        <w:t xml:space="preserve"> </w:t>
      </w:r>
      <w:r>
        <w:rPr>
          <w:rFonts w:hint="eastAsia" w:ascii="宋体" w:hAnsi="宋体" w:cs="楷体"/>
          <w:color w:val="auto"/>
          <w:sz w:val="24"/>
        </w:rPr>
        <w:t>质量要求：</w:t>
      </w:r>
      <w:r>
        <w:rPr>
          <w:rFonts w:hint="eastAsia" w:ascii="宋体" w:hAnsi="宋体" w:cs="楷体"/>
          <w:color w:val="auto"/>
          <w:sz w:val="24"/>
          <w:lang w:eastAsia="zh-CN"/>
        </w:rPr>
        <w:t>合格（</w:t>
      </w:r>
      <w:r>
        <w:rPr>
          <w:rFonts w:hint="eastAsia" w:ascii="宋体" w:hAnsi="宋体" w:cs="楷体"/>
          <w:color w:val="auto"/>
          <w:sz w:val="24"/>
        </w:rPr>
        <w:t>达到国家施工验收规范合格标准</w:t>
      </w:r>
      <w:r>
        <w:rPr>
          <w:rFonts w:hint="eastAsia" w:ascii="宋体" w:hAnsi="宋体" w:cs="楷体"/>
          <w:color w:val="auto"/>
          <w:sz w:val="24"/>
          <w:lang w:eastAsia="zh-CN"/>
        </w:rPr>
        <w:t>）</w:t>
      </w:r>
      <w:r>
        <w:rPr>
          <w:rFonts w:ascii="宋体" w:hAnsi="宋体" w:cs="楷体"/>
          <w:color w:val="auto"/>
          <w:sz w:val="24"/>
        </w:rPr>
        <w:t xml:space="preserve"> </w:t>
      </w:r>
      <w:r>
        <w:rPr>
          <w:rFonts w:hint="eastAsia" w:ascii="宋体" w:hAnsi="宋体" w:cs="楷体"/>
          <w:color w:val="auto"/>
          <w:sz w:val="24"/>
          <w:lang w:eastAsia="zh-CN"/>
        </w:rPr>
        <w:t>。</w:t>
      </w:r>
    </w:p>
    <w:p>
      <w:pPr>
        <w:widowControl/>
        <w:snapToGrid w:val="0"/>
        <w:spacing w:line="360" w:lineRule="auto"/>
        <w:ind w:firstLine="240" w:firstLineChars="100"/>
        <w:rPr>
          <w:rFonts w:ascii="宋体" w:hAnsi="宋体" w:cs="楷体"/>
          <w:color w:val="auto"/>
          <w:sz w:val="24"/>
        </w:rPr>
      </w:pPr>
      <w:r>
        <w:rPr>
          <w:rFonts w:hint="eastAsia" w:ascii="宋体" w:hAnsi="宋体" w:cs="楷体"/>
          <w:color w:val="auto"/>
          <w:sz w:val="24"/>
        </w:rPr>
        <w:t>2.7 工期：</w:t>
      </w:r>
      <w:r>
        <w:rPr>
          <w:rFonts w:hint="eastAsia" w:ascii="宋体" w:hAnsi="宋体" w:cs="楷体"/>
          <w:color w:val="auto"/>
          <w:sz w:val="24"/>
          <w:lang w:val="en-US" w:eastAsia="zh-CN"/>
        </w:rPr>
        <w:t>1〜5标段：9</w:t>
      </w:r>
      <w:r>
        <w:rPr>
          <w:rFonts w:hint="eastAsia" w:ascii="宋体" w:hAnsi="宋体" w:cs="楷体"/>
          <w:color w:val="auto"/>
          <w:sz w:val="24"/>
        </w:rPr>
        <w:t>0日历天/标段</w:t>
      </w:r>
      <w:r>
        <w:rPr>
          <w:rFonts w:hint="eastAsia" w:ascii="宋体" w:hAnsi="宋体" w:cs="楷体"/>
          <w:color w:val="auto"/>
          <w:sz w:val="24"/>
          <w:lang w:eastAsia="zh-CN"/>
        </w:rPr>
        <w:t>；</w:t>
      </w:r>
      <w:r>
        <w:rPr>
          <w:rFonts w:hint="eastAsia" w:ascii="宋体" w:hAnsi="宋体" w:cs="楷体"/>
          <w:color w:val="auto"/>
          <w:sz w:val="24"/>
          <w:lang w:val="en-US" w:eastAsia="zh-CN"/>
        </w:rPr>
        <w:t>21标段：同施工工期（含保修期）</w:t>
      </w:r>
    </w:p>
    <w:p>
      <w:pPr>
        <w:widowControl/>
        <w:snapToGrid w:val="0"/>
        <w:spacing w:line="360" w:lineRule="auto"/>
        <w:ind w:firstLine="240" w:firstLineChars="100"/>
        <w:rPr>
          <w:rFonts w:hint="eastAsia" w:ascii="宋体" w:hAnsi="宋体" w:eastAsia="宋体" w:cs="楷体"/>
          <w:color w:val="auto"/>
          <w:sz w:val="24"/>
          <w:lang w:eastAsia="zh-CN"/>
        </w:rPr>
      </w:pPr>
      <w:r>
        <w:rPr>
          <w:rFonts w:hint="eastAsia" w:ascii="宋体" w:hAnsi="宋体" w:cs="楷体"/>
          <w:color w:val="auto"/>
          <w:sz w:val="24"/>
        </w:rPr>
        <w:t>2.8发包方式：总承包</w:t>
      </w:r>
      <w:r>
        <w:rPr>
          <w:rFonts w:hint="eastAsia" w:ascii="宋体" w:hAnsi="宋体" w:cs="楷体"/>
          <w:color w:val="auto"/>
          <w:sz w:val="24"/>
          <w:lang w:eastAsia="zh-CN"/>
        </w:rPr>
        <w:t>。</w:t>
      </w:r>
    </w:p>
    <w:p>
      <w:pPr>
        <w:widowControl/>
        <w:snapToGrid w:val="0"/>
        <w:spacing w:line="360" w:lineRule="auto"/>
        <w:ind w:firstLine="240" w:firstLineChars="100"/>
        <w:rPr>
          <w:rFonts w:hint="eastAsia" w:ascii="宋体" w:hAnsi="宋体" w:cs="楷体"/>
          <w:color w:val="auto"/>
          <w:sz w:val="24"/>
        </w:rPr>
      </w:pPr>
      <w:r>
        <w:rPr>
          <w:rFonts w:hint="eastAsia" w:ascii="宋体" w:hAnsi="宋体" w:cs="楷体"/>
          <w:color w:val="auto"/>
          <w:sz w:val="24"/>
        </w:rPr>
        <w:t>2.9标段划分及招标控制价：该项</w:t>
      </w:r>
      <w:r>
        <w:rPr>
          <w:rFonts w:ascii="宋体" w:hAnsi="宋体" w:cs="楷体"/>
          <w:color w:val="auto"/>
          <w:sz w:val="24"/>
        </w:rPr>
        <w:t>目</w:t>
      </w:r>
      <w:r>
        <w:rPr>
          <w:rFonts w:hint="eastAsia" w:ascii="宋体" w:hAnsi="宋体" w:cs="楷体"/>
          <w:color w:val="auto"/>
          <w:sz w:val="24"/>
        </w:rPr>
        <w:t>共有</w:t>
      </w:r>
      <w:r>
        <w:rPr>
          <w:rFonts w:hint="eastAsia" w:ascii="宋体" w:hAnsi="宋体" w:cs="楷体"/>
          <w:color w:val="auto"/>
          <w:sz w:val="24"/>
          <w:lang w:val="en-US" w:eastAsia="zh-CN"/>
        </w:rPr>
        <w:t>21</w:t>
      </w:r>
      <w:r>
        <w:rPr>
          <w:rFonts w:hint="eastAsia" w:ascii="宋体" w:hAnsi="宋体" w:cs="楷体"/>
          <w:color w:val="auto"/>
          <w:sz w:val="24"/>
        </w:rPr>
        <w:t>个</w:t>
      </w:r>
      <w:r>
        <w:rPr>
          <w:rFonts w:hint="eastAsia" w:ascii="宋体" w:hAnsi="宋体" w:cs="楷体"/>
          <w:color w:val="auto"/>
          <w:sz w:val="24"/>
          <w:lang w:eastAsia="zh-CN"/>
        </w:rPr>
        <w:t>标段，其中本次招标</w:t>
      </w:r>
      <w:r>
        <w:rPr>
          <w:rFonts w:hint="eastAsia" w:ascii="宋体" w:hAnsi="宋体" w:cs="楷体"/>
          <w:color w:val="auto"/>
          <w:sz w:val="24"/>
          <w:lang w:val="en-US" w:eastAsia="zh-CN"/>
        </w:rPr>
        <w:t>为</w:t>
      </w:r>
      <w:r>
        <w:rPr>
          <w:rFonts w:hint="eastAsia" w:ascii="宋体" w:hAnsi="宋体" w:cs="楷体"/>
          <w:color w:val="auto"/>
          <w:sz w:val="24"/>
          <w:lang w:eastAsia="zh-CN"/>
        </w:rPr>
        <w:t>（</w:t>
      </w:r>
      <w:r>
        <w:rPr>
          <w:rFonts w:hint="eastAsia" w:ascii="宋体" w:hAnsi="宋体" w:cs="楷体"/>
          <w:color w:val="auto"/>
          <w:sz w:val="24"/>
          <w:lang w:val="en-US" w:eastAsia="zh-CN"/>
        </w:rPr>
        <w:t>1〜5标</w:t>
      </w:r>
      <w:r>
        <w:rPr>
          <w:rFonts w:hint="eastAsia" w:ascii="宋体" w:hAnsi="宋体" w:cs="楷体"/>
          <w:color w:val="auto"/>
          <w:sz w:val="24"/>
          <w:lang w:eastAsia="zh-CN"/>
        </w:rPr>
        <w:t>）</w:t>
      </w:r>
      <w:r>
        <w:rPr>
          <w:rFonts w:hint="eastAsia" w:ascii="宋体" w:hAnsi="宋体" w:cs="楷体"/>
          <w:color w:val="auto"/>
          <w:sz w:val="24"/>
        </w:rPr>
        <w:t>货物及</w:t>
      </w:r>
      <w:r>
        <w:rPr>
          <w:rFonts w:hint="eastAsia" w:ascii="宋体" w:hAnsi="宋体" w:cs="楷体"/>
          <w:color w:val="auto"/>
          <w:sz w:val="24"/>
          <w:lang w:eastAsia="zh-CN"/>
        </w:rPr>
        <w:t>监理（</w:t>
      </w:r>
      <w:r>
        <w:rPr>
          <w:rFonts w:hint="eastAsia" w:ascii="宋体" w:hAnsi="宋体" w:cs="楷体"/>
          <w:color w:val="auto"/>
          <w:sz w:val="24"/>
          <w:lang w:val="en-US" w:eastAsia="zh-CN"/>
        </w:rPr>
        <w:t>21标</w:t>
      </w:r>
      <w:r>
        <w:rPr>
          <w:rFonts w:hint="eastAsia" w:ascii="宋体" w:hAnsi="宋体" w:cs="楷体"/>
          <w:color w:val="auto"/>
          <w:sz w:val="24"/>
          <w:lang w:eastAsia="zh-CN"/>
        </w:rPr>
        <w:t>）</w:t>
      </w:r>
      <w:r>
        <w:rPr>
          <w:rFonts w:hint="eastAsia" w:ascii="宋体" w:hAnsi="宋体" w:cs="楷体"/>
          <w:color w:val="auto"/>
          <w:sz w:val="24"/>
          <w:lang w:val="en-US" w:eastAsia="zh-CN"/>
        </w:rPr>
        <w:t>标段，</w:t>
      </w:r>
      <w:r>
        <w:rPr>
          <w:rFonts w:hint="eastAsia" w:ascii="宋体" w:hAnsi="宋体" w:cs="楷体"/>
          <w:color w:val="auto"/>
          <w:sz w:val="24"/>
        </w:rPr>
        <w:t>详细划分情况如下:</w:t>
      </w:r>
    </w:p>
    <w:p>
      <w:pPr>
        <w:pStyle w:val="8"/>
      </w:pPr>
    </w:p>
    <w:tbl>
      <w:tblPr>
        <w:tblStyle w:val="16"/>
        <w:tblpPr w:leftFromText="180" w:rightFromText="180" w:vertAnchor="text" w:horzAnchor="page" w:tblpX="1495" w:tblpY="318"/>
        <w:tblOverlap w:val="never"/>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1254"/>
        <w:gridCol w:w="1781"/>
        <w:gridCol w:w="2419"/>
        <w:gridCol w:w="1463"/>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1259" w:type="dxa"/>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标段</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编号</w:t>
            </w:r>
          </w:p>
        </w:tc>
        <w:tc>
          <w:tcPr>
            <w:tcW w:w="1254" w:type="dxa"/>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标段</w:t>
            </w:r>
            <w:r>
              <w:rPr>
                <w:rFonts w:hint="eastAsia" w:ascii="宋体" w:hAnsi="宋体" w:eastAsia="宋体" w:cs="宋体"/>
                <w:color w:val="auto"/>
                <w:kern w:val="0"/>
                <w:sz w:val="21"/>
                <w:szCs w:val="21"/>
              </w:rPr>
              <w:t>名称</w:t>
            </w:r>
          </w:p>
        </w:tc>
        <w:tc>
          <w:tcPr>
            <w:tcW w:w="1781" w:type="dxa"/>
            <w:vAlign w:val="center"/>
          </w:tcPr>
          <w:p>
            <w:pPr>
              <w:widowControl/>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标段内容</w:t>
            </w:r>
          </w:p>
        </w:tc>
        <w:tc>
          <w:tcPr>
            <w:tcW w:w="2419" w:type="dxa"/>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标段</w:t>
            </w:r>
            <w:r>
              <w:rPr>
                <w:rFonts w:hint="eastAsia" w:ascii="宋体" w:hAnsi="宋体" w:eastAsia="宋体" w:cs="宋体"/>
                <w:color w:val="auto"/>
                <w:kern w:val="0"/>
                <w:sz w:val="21"/>
                <w:szCs w:val="21"/>
              </w:rPr>
              <w:t>特征</w:t>
            </w:r>
          </w:p>
        </w:tc>
        <w:tc>
          <w:tcPr>
            <w:tcW w:w="1463" w:type="dxa"/>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招标控制价（元）</w:t>
            </w:r>
          </w:p>
        </w:tc>
        <w:tc>
          <w:tcPr>
            <w:tcW w:w="743" w:type="dxa"/>
            <w:vAlign w:val="center"/>
          </w:tcPr>
          <w:p>
            <w:pPr>
              <w:widowControl/>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trPr>
        <w:tc>
          <w:tcPr>
            <w:tcW w:w="1259" w:type="dxa"/>
            <w:vAlign w:val="center"/>
          </w:tcPr>
          <w:p>
            <w:pPr>
              <w:widowControl/>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标</w:t>
            </w:r>
            <w:r>
              <w:rPr>
                <w:rFonts w:hint="eastAsia" w:ascii="宋体" w:hAnsi="宋体" w:eastAsia="宋体" w:cs="宋体"/>
                <w:color w:val="auto"/>
                <w:kern w:val="0"/>
                <w:sz w:val="21"/>
                <w:szCs w:val="21"/>
                <w:lang w:eastAsia="zh-CN"/>
              </w:rPr>
              <w:t>段</w:t>
            </w:r>
          </w:p>
        </w:tc>
        <w:tc>
          <w:tcPr>
            <w:tcW w:w="1254"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土壤改良</w:t>
            </w:r>
          </w:p>
        </w:tc>
        <w:tc>
          <w:tcPr>
            <w:tcW w:w="1781"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土壤调理剂采购</w:t>
            </w:r>
          </w:p>
        </w:tc>
        <w:tc>
          <w:tcPr>
            <w:tcW w:w="2419"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w:t>
            </w:r>
          </w:p>
        </w:tc>
        <w:tc>
          <w:tcPr>
            <w:tcW w:w="146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rPr>
            </w:pPr>
            <w:r>
              <w:rPr>
                <w:rFonts w:hint="eastAsia" w:ascii="宋体" w:hAnsi="宋体" w:eastAsia="宋体" w:cs="宋体"/>
                <w:i w:val="0"/>
                <w:color w:val="auto"/>
                <w:kern w:val="0"/>
                <w:sz w:val="21"/>
                <w:szCs w:val="21"/>
                <w:u w:val="none"/>
                <w:lang w:val="en-US" w:eastAsia="zh-CN" w:bidi="ar"/>
              </w:rPr>
              <w:t>2073600</w:t>
            </w:r>
          </w:p>
        </w:tc>
        <w:tc>
          <w:tcPr>
            <w:tcW w:w="743" w:type="dxa"/>
            <w:vMerge w:val="restar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技术标准和要求详见招标文件、施工图纸、</w:t>
            </w:r>
            <w:r>
              <w:rPr>
                <w:rFonts w:hint="eastAsia" w:ascii="宋体" w:hAnsi="宋体" w:eastAsia="宋体" w:cs="宋体"/>
                <w:color w:val="auto"/>
                <w:sz w:val="21"/>
                <w:szCs w:val="21"/>
                <w:lang w:eastAsia="zh-CN"/>
              </w:rPr>
              <w:t>货物</w:t>
            </w:r>
            <w:r>
              <w:rPr>
                <w:rFonts w:hint="eastAsia" w:ascii="宋体" w:hAnsi="宋体" w:eastAsia="宋体" w:cs="宋体"/>
                <w:color w:val="auto"/>
                <w:sz w:val="21"/>
                <w:szCs w:val="21"/>
              </w:rPr>
              <w:t>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atLeast"/>
        </w:trPr>
        <w:tc>
          <w:tcPr>
            <w:tcW w:w="1259" w:type="dxa"/>
            <w:vAlign w:val="center"/>
          </w:tcPr>
          <w:p>
            <w:pPr>
              <w:widowControl/>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标</w:t>
            </w:r>
            <w:r>
              <w:rPr>
                <w:rFonts w:hint="eastAsia" w:ascii="宋体" w:hAnsi="宋体" w:eastAsia="宋体" w:cs="宋体"/>
                <w:color w:val="auto"/>
                <w:kern w:val="0"/>
                <w:sz w:val="21"/>
                <w:szCs w:val="21"/>
                <w:lang w:eastAsia="zh-CN"/>
              </w:rPr>
              <w:t>段</w:t>
            </w:r>
          </w:p>
        </w:tc>
        <w:tc>
          <w:tcPr>
            <w:tcW w:w="1254"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地埋线</w:t>
            </w:r>
          </w:p>
        </w:tc>
        <w:tc>
          <w:tcPr>
            <w:tcW w:w="1781"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地埋线的采购及敷设</w:t>
            </w:r>
          </w:p>
        </w:tc>
        <w:tc>
          <w:tcPr>
            <w:tcW w:w="2419" w:type="dxa"/>
            <w:vAlign w:val="center"/>
          </w:tcPr>
          <w:p>
            <w:pPr>
              <w:keepNext w:val="0"/>
              <w:keepLines w:val="0"/>
              <w:widowControl/>
              <w:suppressLineNumbers w:val="0"/>
              <w:jc w:val="left"/>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地埋线敷设（</w:t>
            </w:r>
            <w:r>
              <w:rPr>
                <w:rFonts w:hint="eastAsia" w:ascii="宋体" w:hAnsi="宋体" w:eastAsia="宋体" w:cs="宋体"/>
                <w:color w:val="auto"/>
                <w:kern w:val="0"/>
                <w:sz w:val="21"/>
                <w:szCs w:val="21"/>
                <w:lang w:val="en-US" w:eastAsia="zh-CN"/>
              </w:rPr>
              <w:t>YJLV22 3*35+1*16mm2</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90400米</w:t>
            </w:r>
            <w:r>
              <w:rPr>
                <w:rFonts w:hint="eastAsia" w:ascii="宋体" w:hAnsi="宋体" w:eastAsia="宋体" w:cs="宋体"/>
                <w:color w:val="auto"/>
                <w:kern w:val="0"/>
                <w:sz w:val="21"/>
                <w:szCs w:val="21"/>
                <w:lang w:eastAsia="zh-CN"/>
              </w:rPr>
              <w:t>，穿线管（</w:t>
            </w:r>
            <w:r>
              <w:rPr>
                <w:rFonts w:hint="eastAsia" w:ascii="宋体" w:hAnsi="宋体" w:eastAsia="宋体" w:cs="宋体"/>
                <w:color w:val="auto"/>
                <w:kern w:val="0"/>
                <w:sz w:val="21"/>
                <w:szCs w:val="21"/>
                <w:lang w:val="en-US" w:eastAsia="zh-CN"/>
              </w:rPr>
              <w:t>DN50钢管，含配件及安装</w:t>
            </w:r>
            <w:r>
              <w:rPr>
                <w:rFonts w:hint="eastAsia" w:ascii="宋体" w:hAnsi="宋体" w:eastAsia="宋体" w:cs="宋体"/>
                <w:color w:val="auto"/>
                <w:kern w:val="0"/>
                <w:sz w:val="21"/>
                <w:szCs w:val="21"/>
                <w:lang w:eastAsia="zh-CN"/>
              </w:rPr>
              <w:t>）</w:t>
            </w:r>
          </w:p>
        </w:tc>
        <w:tc>
          <w:tcPr>
            <w:tcW w:w="146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rPr>
            </w:pPr>
            <w:r>
              <w:rPr>
                <w:rFonts w:hint="eastAsia" w:ascii="宋体" w:hAnsi="宋体" w:eastAsia="宋体" w:cs="宋体"/>
                <w:i w:val="0"/>
                <w:color w:val="auto"/>
                <w:kern w:val="0"/>
                <w:sz w:val="21"/>
                <w:szCs w:val="21"/>
                <w:u w:val="none"/>
                <w:lang w:val="en-US" w:eastAsia="zh-CN" w:bidi="ar"/>
              </w:rPr>
              <w:t>1045250</w:t>
            </w:r>
          </w:p>
        </w:tc>
        <w:tc>
          <w:tcPr>
            <w:tcW w:w="743" w:type="dxa"/>
            <w:vMerge w:val="continue"/>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3" w:hRule="atLeast"/>
        </w:trPr>
        <w:tc>
          <w:tcPr>
            <w:tcW w:w="1259" w:type="dxa"/>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标</w:t>
            </w:r>
            <w:r>
              <w:rPr>
                <w:rFonts w:hint="eastAsia" w:ascii="宋体" w:hAnsi="宋体" w:eastAsia="宋体" w:cs="宋体"/>
                <w:color w:val="auto"/>
                <w:kern w:val="0"/>
                <w:sz w:val="21"/>
                <w:szCs w:val="21"/>
                <w:lang w:eastAsia="zh-CN"/>
              </w:rPr>
              <w:t>段</w:t>
            </w:r>
          </w:p>
        </w:tc>
        <w:tc>
          <w:tcPr>
            <w:tcW w:w="1254"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地埋管                        （含出水口及保护装置）</w:t>
            </w:r>
          </w:p>
        </w:tc>
        <w:tc>
          <w:tcPr>
            <w:tcW w:w="1781"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1"/>
                <w:szCs w:val="21"/>
                <w:u w:val="none"/>
                <w:lang w:val="en-US" w:eastAsia="zh-CN" w:bidi="ar"/>
              </w:rPr>
              <w:t>地埋管、三通的采购及安装                       （含出水口及保护装置）</w:t>
            </w:r>
          </w:p>
        </w:tc>
        <w:tc>
          <w:tcPr>
            <w:tcW w:w="2419" w:type="dxa"/>
            <w:vAlign w:val="center"/>
          </w:tcPr>
          <w:p>
            <w:pPr>
              <w:keepNext w:val="0"/>
              <w:keepLines w:val="0"/>
              <w:widowControl/>
              <w:suppressLineNumbers w:val="0"/>
              <w:jc w:val="left"/>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地埋管PVC-M管道 Φ110mm，0.63Mpa ，敷设39274米， 共39765米，管材PVC-M Φ90 0.8Mpa 共1178米，出水口982套，三通PVC-M Φ110*90 共 982个</w:t>
            </w:r>
          </w:p>
        </w:tc>
        <w:tc>
          <w:tcPr>
            <w:tcW w:w="146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rPr>
            </w:pPr>
            <w:r>
              <w:rPr>
                <w:rFonts w:hint="eastAsia" w:ascii="宋体" w:hAnsi="宋体" w:eastAsia="宋体" w:cs="宋体"/>
                <w:i w:val="0"/>
                <w:color w:val="auto"/>
                <w:kern w:val="0"/>
                <w:sz w:val="21"/>
                <w:szCs w:val="21"/>
                <w:u w:val="none"/>
                <w:lang w:val="en-US" w:eastAsia="zh-CN" w:bidi="ar"/>
              </w:rPr>
              <w:t>1982318.96</w:t>
            </w:r>
          </w:p>
        </w:tc>
        <w:tc>
          <w:tcPr>
            <w:tcW w:w="743" w:type="dxa"/>
            <w:vMerge w:val="continue"/>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1" w:hRule="atLeast"/>
        </w:trPr>
        <w:tc>
          <w:tcPr>
            <w:tcW w:w="1259" w:type="dxa"/>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标</w:t>
            </w:r>
            <w:r>
              <w:rPr>
                <w:rFonts w:hint="eastAsia" w:ascii="宋体" w:hAnsi="宋体" w:eastAsia="宋体" w:cs="宋体"/>
                <w:color w:val="auto"/>
                <w:kern w:val="0"/>
                <w:sz w:val="21"/>
                <w:szCs w:val="21"/>
                <w:lang w:eastAsia="zh-CN"/>
              </w:rPr>
              <w:t>段</w:t>
            </w:r>
          </w:p>
        </w:tc>
        <w:tc>
          <w:tcPr>
            <w:tcW w:w="1254"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井堡                              （含超声波流量计）</w:t>
            </w:r>
          </w:p>
        </w:tc>
        <w:tc>
          <w:tcPr>
            <w:tcW w:w="178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井堡配套（9.5KW及以下水泵）、井堡配套（13KW及以下水泵）、井堡配套（18.5KW及以下水泵）、超声波流量计采购及安装。</w:t>
            </w:r>
          </w:p>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p>
        </w:tc>
        <w:tc>
          <w:tcPr>
            <w:tcW w:w="2419"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井堡配套（9.5KW及以下水泵）4套，井堡配套（13KW及以下水泵）15套，井堡配套（18.5KW及以下水泵）82套，超声波流量计DN65共101套</w:t>
            </w:r>
          </w:p>
          <w:p>
            <w:pPr>
              <w:keepNext w:val="0"/>
              <w:keepLines w:val="0"/>
              <w:widowControl/>
              <w:suppressLineNumbers w:val="0"/>
              <w:jc w:val="left"/>
              <w:textAlignment w:val="center"/>
              <w:rPr>
                <w:rFonts w:hint="default"/>
                <w:lang w:val="en-US" w:eastAsia="zh-CN"/>
              </w:rPr>
            </w:pPr>
            <w:r>
              <w:rPr>
                <w:rFonts w:hint="default"/>
                <w:lang w:val="en-US" w:eastAsia="zh-CN"/>
              </w:rPr>
              <w:t>注：井堡配套含机井保护装置（玻璃钢井房含配件）</w:t>
            </w:r>
          </w:p>
        </w:tc>
        <w:tc>
          <w:tcPr>
            <w:tcW w:w="1463"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rPr>
            </w:pPr>
            <w:r>
              <w:rPr>
                <w:rFonts w:hint="eastAsia" w:ascii="宋体" w:hAnsi="宋体" w:eastAsia="宋体" w:cs="宋体"/>
                <w:i w:val="0"/>
                <w:color w:val="auto"/>
                <w:kern w:val="0"/>
                <w:sz w:val="21"/>
                <w:szCs w:val="21"/>
                <w:u w:val="none"/>
                <w:lang w:val="en-US" w:eastAsia="zh-CN" w:bidi="ar"/>
              </w:rPr>
              <w:t>958260.50</w:t>
            </w:r>
          </w:p>
        </w:tc>
        <w:tc>
          <w:tcPr>
            <w:tcW w:w="743" w:type="dxa"/>
            <w:vMerge w:val="continue"/>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259" w:type="dxa"/>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标</w:t>
            </w:r>
            <w:r>
              <w:rPr>
                <w:rFonts w:hint="eastAsia" w:ascii="宋体" w:hAnsi="宋体" w:eastAsia="宋体" w:cs="宋体"/>
                <w:color w:val="auto"/>
                <w:kern w:val="0"/>
                <w:sz w:val="21"/>
                <w:szCs w:val="21"/>
                <w:lang w:eastAsia="zh-CN"/>
              </w:rPr>
              <w:t>段</w:t>
            </w:r>
          </w:p>
        </w:tc>
        <w:tc>
          <w:tcPr>
            <w:tcW w:w="125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网络信息化建设</w:t>
            </w:r>
          </w:p>
        </w:tc>
        <w:tc>
          <w:tcPr>
            <w:tcW w:w="1781"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耕地质量监测站、信息化管理平台、数据中心、视频监控设备、植保监测设备、水位监测设备、产品溯源设备采购、软件开发及安装</w:t>
            </w:r>
          </w:p>
        </w:tc>
        <w:tc>
          <w:tcPr>
            <w:tcW w:w="2419"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耕地质量监测站1处，信息化管理平台1项，数据中心（含显示终端配套设备、工程配套设备、云服务器、激光打印机、针式打印机）1批，视频监控设备（含球机、录像机、硬盘、交换机、监控监视器）1批，植保监测设备（含物联网虫情监测站1套、智能杀虫灯30套及辅材配件）1批，水位监测设备1套，产品溯源设备（含溯源标签打印机1台、追溯标签纸20卷、无线扫描枪2台、电脑1台）1批</w:t>
            </w:r>
          </w:p>
        </w:tc>
        <w:tc>
          <w:tcPr>
            <w:tcW w:w="1463"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1178600</w:t>
            </w:r>
          </w:p>
        </w:tc>
        <w:tc>
          <w:tcPr>
            <w:tcW w:w="743" w:type="dxa"/>
            <w:vMerge w:val="continue"/>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7" w:hRule="atLeast"/>
        </w:trPr>
        <w:tc>
          <w:tcPr>
            <w:tcW w:w="1259" w:type="dxa"/>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21标段</w:t>
            </w:r>
          </w:p>
        </w:tc>
        <w:tc>
          <w:tcPr>
            <w:tcW w:w="125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监理</w:t>
            </w:r>
          </w:p>
        </w:tc>
        <w:tc>
          <w:tcPr>
            <w:tcW w:w="178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包含第1标段到第20标段的建设项目范围内的施工及保修阶段全过程监理服务</w:t>
            </w:r>
          </w:p>
        </w:tc>
        <w:tc>
          <w:tcPr>
            <w:tcW w:w="2419"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w:t>
            </w:r>
          </w:p>
        </w:tc>
        <w:tc>
          <w:tcPr>
            <w:tcW w:w="1463"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319375.28</w:t>
            </w:r>
          </w:p>
        </w:tc>
        <w:tc>
          <w:tcPr>
            <w:tcW w:w="743" w:type="dxa"/>
            <w:vMerge w:val="continue"/>
            <w:vAlign w:val="center"/>
          </w:tcPr>
          <w:p>
            <w:pPr>
              <w:jc w:val="center"/>
              <w:rPr>
                <w:rFonts w:hint="eastAsia" w:ascii="宋体" w:hAnsi="宋体" w:eastAsia="宋体" w:cs="宋体"/>
                <w:color w:val="auto"/>
                <w:sz w:val="21"/>
                <w:szCs w:val="21"/>
              </w:rPr>
            </w:pPr>
          </w:p>
        </w:tc>
      </w:tr>
    </w:tbl>
    <w:p>
      <w:pPr>
        <w:spacing w:line="360" w:lineRule="auto"/>
        <w:rPr>
          <w:rFonts w:hint="eastAsia" w:ascii="宋体" w:hAnsi="宋体"/>
          <w:b/>
          <w:color w:val="auto"/>
          <w:sz w:val="24"/>
          <w:lang w:eastAsia="zh-CN"/>
        </w:rPr>
      </w:pPr>
    </w:p>
    <w:p>
      <w:pPr>
        <w:spacing w:line="360" w:lineRule="auto"/>
        <w:rPr>
          <w:rFonts w:hint="eastAsia" w:ascii="宋体" w:hAnsi="宋体"/>
          <w:b/>
          <w:color w:val="auto"/>
          <w:sz w:val="24"/>
        </w:rPr>
      </w:pPr>
      <w:r>
        <w:rPr>
          <w:rFonts w:hint="eastAsia" w:ascii="宋体" w:hAnsi="宋体"/>
          <w:b/>
          <w:color w:val="auto"/>
          <w:sz w:val="24"/>
          <w:lang w:eastAsia="zh-CN"/>
        </w:rPr>
        <w:t>三</w:t>
      </w:r>
      <w:r>
        <w:rPr>
          <w:rFonts w:hint="eastAsia" w:ascii="宋体" w:hAnsi="宋体"/>
          <w:b/>
          <w:color w:val="auto"/>
          <w:sz w:val="24"/>
        </w:rPr>
        <w:t>、投标人资格要求：</w:t>
      </w:r>
    </w:p>
    <w:p>
      <w:pPr>
        <w:spacing w:line="360" w:lineRule="auto"/>
        <w:ind w:firstLine="360" w:firstLineChars="150"/>
        <w:rPr>
          <w:rFonts w:hint="eastAsia" w:ascii="宋体" w:hAnsi="宋体"/>
          <w:bCs/>
          <w:color w:val="auto"/>
          <w:sz w:val="24"/>
        </w:rPr>
      </w:pPr>
      <w:r>
        <w:rPr>
          <w:rFonts w:hint="eastAsia" w:ascii="宋体" w:hAnsi="宋体"/>
          <w:bCs/>
          <w:color w:val="auto"/>
          <w:sz w:val="24"/>
        </w:rPr>
        <w:t>3.1本次招标要求投标人须具备独立法人资格，良好的财务状况，良好的社会信誉。</w:t>
      </w:r>
    </w:p>
    <w:p>
      <w:pPr>
        <w:spacing w:line="360" w:lineRule="auto"/>
        <w:ind w:firstLine="361" w:firstLineChars="150"/>
        <w:rPr>
          <w:rFonts w:hint="eastAsia" w:ascii="宋体" w:hAnsi="宋体"/>
          <w:b/>
          <w:bCs w:val="0"/>
          <w:sz w:val="24"/>
          <w:lang w:val="en-US" w:eastAsia="zh-CN"/>
        </w:rPr>
      </w:pPr>
      <w:r>
        <w:rPr>
          <w:rFonts w:hint="eastAsia" w:ascii="宋体" w:hAnsi="宋体"/>
          <w:b/>
          <w:bCs w:val="0"/>
          <w:sz w:val="24"/>
          <w:lang w:val="en-US" w:eastAsia="zh-CN"/>
        </w:rPr>
        <w:t>3.2资质要求：</w:t>
      </w:r>
    </w:p>
    <w:p>
      <w:pPr>
        <w:spacing w:line="360" w:lineRule="auto"/>
        <w:ind w:firstLine="482" w:firstLineChars="200"/>
        <w:rPr>
          <w:rFonts w:hint="eastAsia" w:ascii="宋体" w:hAnsi="宋体"/>
          <w:b/>
          <w:bCs w:val="0"/>
          <w:sz w:val="24"/>
        </w:rPr>
      </w:pPr>
      <w:r>
        <w:rPr>
          <w:rFonts w:hint="eastAsia" w:ascii="宋体" w:hAnsi="宋体"/>
          <w:b/>
          <w:bCs w:val="0"/>
          <w:color w:val="auto"/>
          <w:sz w:val="24"/>
        </w:rPr>
        <w:t>第</w:t>
      </w:r>
      <w:r>
        <w:rPr>
          <w:rFonts w:hint="eastAsia" w:ascii="宋体" w:hAnsi="宋体"/>
          <w:b/>
          <w:bCs w:val="0"/>
          <w:color w:val="auto"/>
          <w:sz w:val="24"/>
          <w:lang w:val="en-US" w:eastAsia="zh-CN"/>
        </w:rPr>
        <w:t>1</w:t>
      </w:r>
      <w:r>
        <w:rPr>
          <w:rFonts w:hint="eastAsia" w:ascii="宋体" w:hAnsi="宋体"/>
          <w:b/>
          <w:bCs w:val="0"/>
          <w:color w:val="auto"/>
          <w:sz w:val="24"/>
        </w:rPr>
        <w:t>标段：</w:t>
      </w:r>
      <w:r>
        <w:rPr>
          <w:rFonts w:hint="eastAsia" w:ascii="宋体" w:hAnsi="宋体"/>
          <w:b w:val="0"/>
          <w:bCs/>
          <w:color w:val="auto"/>
          <w:sz w:val="24"/>
        </w:rPr>
        <w:t>投标人符合《中华人民共和国政府采购法</w:t>
      </w:r>
      <w:r>
        <w:rPr>
          <w:rFonts w:hint="eastAsia" w:ascii="宋体" w:hAnsi="宋体"/>
          <w:b w:val="0"/>
          <w:bCs/>
          <w:sz w:val="24"/>
        </w:rPr>
        <w:t>》二十二条的规定，为生产商并具有肥料登记证</w:t>
      </w:r>
      <w:r>
        <w:rPr>
          <w:rFonts w:hint="eastAsia" w:ascii="宋体" w:hAnsi="宋体"/>
          <w:b w:val="0"/>
          <w:bCs/>
          <w:sz w:val="24"/>
          <w:lang w:eastAsia="zh-CN"/>
        </w:rPr>
        <w:t>（内容为土壤调理剂）</w:t>
      </w:r>
      <w:r>
        <w:rPr>
          <w:rFonts w:hint="eastAsia" w:ascii="宋体" w:hAnsi="宋体"/>
          <w:b w:val="0"/>
          <w:bCs/>
          <w:sz w:val="24"/>
        </w:rPr>
        <w:t>，登记证在有效期内。</w:t>
      </w:r>
    </w:p>
    <w:p>
      <w:pPr>
        <w:spacing w:line="360" w:lineRule="auto"/>
        <w:ind w:firstLine="482" w:firstLineChars="200"/>
        <w:rPr>
          <w:rFonts w:hint="eastAsia" w:ascii="宋体" w:hAnsi="宋体" w:eastAsia="宋体"/>
          <w:b w:val="0"/>
          <w:bCs/>
          <w:sz w:val="24"/>
          <w:lang w:eastAsia="zh-CN"/>
        </w:rPr>
      </w:pPr>
      <w:r>
        <w:rPr>
          <w:rFonts w:hint="eastAsia" w:ascii="宋体" w:hAnsi="宋体"/>
          <w:b/>
          <w:bCs w:val="0"/>
          <w:sz w:val="24"/>
        </w:rPr>
        <w:t>第</w:t>
      </w:r>
      <w:r>
        <w:rPr>
          <w:rFonts w:hint="eastAsia" w:ascii="宋体" w:hAnsi="宋体"/>
          <w:b/>
          <w:bCs w:val="0"/>
          <w:sz w:val="24"/>
          <w:lang w:val="en-US" w:eastAsia="zh-CN"/>
        </w:rPr>
        <w:t>2〜4</w:t>
      </w:r>
      <w:r>
        <w:rPr>
          <w:rFonts w:hint="eastAsia" w:ascii="宋体" w:hAnsi="宋体"/>
          <w:b/>
          <w:bCs w:val="0"/>
          <w:sz w:val="24"/>
        </w:rPr>
        <w:t>标段：</w:t>
      </w:r>
      <w:r>
        <w:rPr>
          <w:rFonts w:hint="eastAsia" w:ascii="宋体" w:hAnsi="宋体"/>
          <w:b w:val="0"/>
          <w:bCs/>
          <w:sz w:val="24"/>
        </w:rPr>
        <w:t>投标人须符合《中华人民共和国政府采购法》二十二条的规定，为中国境内注册的具备相关产品生产能力的产品制造商，营业执照具有</w:t>
      </w:r>
      <w:r>
        <w:rPr>
          <w:rFonts w:hint="eastAsia" w:ascii="宋体" w:hAnsi="宋体"/>
          <w:b w:val="0"/>
          <w:bCs/>
          <w:sz w:val="24"/>
          <w:lang w:eastAsia="zh-CN"/>
        </w:rPr>
        <w:t>所投标段</w:t>
      </w:r>
      <w:r>
        <w:rPr>
          <w:rFonts w:hint="eastAsia" w:ascii="宋体" w:hAnsi="宋体"/>
          <w:b w:val="0"/>
          <w:bCs/>
          <w:sz w:val="24"/>
        </w:rPr>
        <w:t>相应的经营范围，所投产品须具有相关部门出具的质量检测合格证或质量检测报告</w:t>
      </w:r>
      <w:r>
        <w:rPr>
          <w:rFonts w:hint="eastAsia" w:ascii="宋体" w:hAnsi="宋体"/>
          <w:b w:val="0"/>
          <w:bCs/>
          <w:sz w:val="24"/>
          <w:lang w:eastAsia="zh-CN"/>
        </w:rPr>
        <w:t>。</w:t>
      </w:r>
    </w:p>
    <w:p>
      <w:pPr>
        <w:spacing w:line="360" w:lineRule="auto"/>
        <w:ind w:firstLine="482" w:firstLineChars="200"/>
        <w:rPr>
          <w:rFonts w:hint="eastAsia" w:eastAsia="宋体"/>
          <w:lang w:eastAsia="zh-CN"/>
        </w:rPr>
      </w:pPr>
      <w:r>
        <w:rPr>
          <w:rFonts w:hint="eastAsia" w:ascii="宋体" w:hAnsi="宋体"/>
          <w:b/>
          <w:bCs w:val="0"/>
          <w:sz w:val="24"/>
        </w:rPr>
        <w:t>第</w:t>
      </w:r>
      <w:r>
        <w:rPr>
          <w:rFonts w:hint="eastAsia" w:ascii="宋体" w:hAnsi="宋体"/>
          <w:b/>
          <w:bCs w:val="0"/>
          <w:sz w:val="24"/>
          <w:lang w:val="en-US" w:eastAsia="zh-CN"/>
        </w:rPr>
        <w:t>5</w:t>
      </w:r>
      <w:r>
        <w:rPr>
          <w:rFonts w:hint="eastAsia" w:ascii="宋体" w:hAnsi="宋体"/>
          <w:b/>
          <w:bCs w:val="0"/>
          <w:sz w:val="24"/>
        </w:rPr>
        <w:t>标段：</w:t>
      </w:r>
      <w:r>
        <w:rPr>
          <w:rFonts w:hint="eastAsia" w:ascii="宋体" w:hAnsi="宋体"/>
          <w:b w:val="0"/>
          <w:bCs/>
          <w:sz w:val="24"/>
        </w:rPr>
        <w:t>投标人须符合《中华人民共和国政府采购法》二十二条的规定，营业执照具有</w:t>
      </w:r>
      <w:r>
        <w:rPr>
          <w:rFonts w:hint="eastAsia" w:ascii="宋体" w:hAnsi="宋体"/>
          <w:b w:val="0"/>
          <w:bCs/>
          <w:sz w:val="24"/>
          <w:lang w:eastAsia="zh-CN"/>
        </w:rPr>
        <w:t>所投标段</w:t>
      </w:r>
      <w:r>
        <w:rPr>
          <w:rFonts w:hint="eastAsia" w:ascii="宋体" w:hAnsi="宋体"/>
          <w:b w:val="0"/>
          <w:bCs/>
          <w:sz w:val="24"/>
        </w:rPr>
        <w:t>相应的经营范围</w:t>
      </w:r>
      <w:r>
        <w:rPr>
          <w:rFonts w:hint="eastAsia" w:ascii="宋体" w:hAnsi="宋体"/>
          <w:b w:val="0"/>
          <w:bCs/>
          <w:sz w:val="24"/>
          <w:lang w:eastAsia="zh-CN"/>
        </w:rPr>
        <w:t>。</w:t>
      </w:r>
    </w:p>
    <w:p>
      <w:pPr>
        <w:spacing w:line="360" w:lineRule="auto"/>
        <w:ind w:firstLine="482" w:firstLineChars="200"/>
        <w:jc w:val="left"/>
        <w:outlineLvl w:val="0"/>
        <w:rPr>
          <w:rFonts w:ascii="宋体" w:hAnsi="宋体"/>
          <w:b/>
          <w:sz w:val="24"/>
        </w:rPr>
      </w:pPr>
      <w:r>
        <w:rPr>
          <w:rFonts w:hint="eastAsia" w:ascii="宋体" w:hAnsi="宋体"/>
          <w:b/>
          <w:sz w:val="24"/>
        </w:rPr>
        <w:t>第21标段：</w:t>
      </w:r>
      <w:r>
        <w:rPr>
          <w:rFonts w:hint="eastAsia" w:ascii="宋体" w:hAnsi="宋体"/>
          <w:sz w:val="24"/>
        </w:rPr>
        <w:t>投标人须具有</w:t>
      </w:r>
      <w:r>
        <w:rPr>
          <w:rFonts w:hint="eastAsia" w:ascii="宋体" w:hAnsi="宋体" w:cs="宋体"/>
          <w:sz w:val="24"/>
          <w:szCs w:val="24"/>
        </w:rPr>
        <w:t>监理综合</w:t>
      </w:r>
      <w:r>
        <w:rPr>
          <w:rFonts w:hint="eastAsia" w:ascii="宋体" w:hAnsi="宋体" w:cs="宋体"/>
          <w:sz w:val="24"/>
          <w:szCs w:val="24"/>
          <w:lang w:eastAsia="zh-CN"/>
        </w:rPr>
        <w:t>甲级</w:t>
      </w:r>
      <w:r>
        <w:rPr>
          <w:rFonts w:hint="eastAsia" w:ascii="宋体" w:hAnsi="宋体" w:cs="宋体"/>
          <w:sz w:val="24"/>
          <w:szCs w:val="24"/>
        </w:rPr>
        <w:t>资质</w:t>
      </w:r>
      <w:r>
        <w:rPr>
          <w:rFonts w:hint="eastAsia" w:ascii="宋体" w:hAnsi="宋体" w:cs="宋体"/>
          <w:sz w:val="24"/>
          <w:szCs w:val="24"/>
          <w:lang w:eastAsia="zh-CN"/>
        </w:rPr>
        <w:t>或</w:t>
      </w:r>
      <w:r>
        <w:rPr>
          <w:rFonts w:hint="eastAsia" w:ascii="宋体" w:hAnsi="宋体"/>
          <w:sz w:val="24"/>
          <w:lang w:eastAsia="zh-CN"/>
        </w:rPr>
        <w:t>农林工程监理</w:t>
      </w:r>
      <w:r>
        <w:rPr>
          <w:rFonts w:hint="eastAsia" w:ascii="宋体" w:hAnsi="宋体" w:cs="宋体"/>
          <w:sz w:val="24"/>
          <w:szCs w:val="24"/>
          <w:lang w:eastAsia="zh-CN"/>
        </w:rPr>
        <w:t>甲级</w:t>
      </w:r>
      <w:r>
        <w:rPr>
          <w:rFonts w:hint="eastAsia" w:ascii="宋体" w:hAnsi="宋体" w:cs="宋体"/>
          <w:sz w:val="24"/>
          <w:szCs w:val="24"/>
        </w:rPr>
        <w:t>资质</w:t>
      </w:r>
      <w:r>
        <w:rPr>
          <w:rFonts w:hint="eastAsia" w:ascii="宋体" w:hAnsi="宋体"/>
          <w:sz w:val="24"/>
          <w:lang w:eastAsia="zh-CN"/>
        </w:rPr>
        <w:t>或</w:t>
      </w:r>
      <w:r>
        <w:rPr>
          <w:rFonts w:hint="eastAsia" w:ascii="宋体" w:hAnsi="宋体"/>
          <w:sz w:val="24"/>
        </w:rPr>
        <w:t>水利</w:t>
      </w:r>
      <w:r>
        <w:rPr>
          <w:rFonts w:hint="eastAsia" w:ascii="宋体" w:hAnsi="宋体"/>
          <w:sz w:val="24"/>
          <w:lang w:eastAsia="zh-CN"/>
        </w:rPr>
        <w:t>水电</w:t>
      </w:r>
      <w:r>
        <w:rPr>
          <w:rFonts w:hint="eastAsia" w:ascii="宋体" w:hAnsi="宋体"/>
          <w:sz w:val="24"/>
        </w:rPr>
        <w:t>工程监理乙级及以上资质，拟任总监理工程师具有</w:t>
      </w:r>
      <w:r>
        <w:rPr>
          <w:rFonts w:hint="eastAsia" w:ascii="宋体" w:hAnsi="宋体"/>
          <w:sz w:val="24"/>
          <w:lang w:eastAsia="zh-CN"/>
        </w:rPr>
        <w:t>相关</w:t>
      </w:r>
      <w:r>
        <w:rPr>
          <w:rFonts w:hint="eastAsia" w:ascii="宋体" w:hAnsi="宋体"/>
          <w:sz w:val="24"/>
        </w:rPr>
        <w:t>专业监理工程师资格证书。</w:t>
      </w:r>
    </w:p>
    <w:p>
      <w:pPr>
        <w:spacing w:line="360" w:lineRule="auto"/>
        <w:ind w:firstLine="480" w:firstLineChars="200"/>
        <w:rPr>
          <w:rFonts w:hint="eastAsia" w:hAnsi="宋体" w:cs="新宋体"/>
          <w:sz w:val="24"/>
          <w:szCs w:val="24"/>
        </w:rPr>
      </w:pPr>
      <w:r>
        <w:rPr>
          <w:rFonts w:hint="eastAsia" w:hAnsi="宋体" w:cs="新宋体"/>
          <w:sz w:val="24"/>
          <w:szCs w:val="24"/>
        </w:rPr>
        <w:t>3.</w:t>
      </w:r>
      <w:r>
        <w:rPr>
          <w:rFonts w:hint="eastAsia" w:hAnsi="宋体" w:cs="新宋体"/>
          <w:sz w:val="24"/>
          <w:szCs w:val="24"/>
          <w:lang w:val="en-US" w:eastAsia="zh-CN"/>
        </w:rPr>
        <w:t>3未被列入“信用中国”、“信用河南”网站信用信息栏黑名单、“国家企业信用信息公示系统”经营异常名录或严重失信黑名单, “中国裁判文书网”无行贿犯罪记录的投标人。</w:t>
      </w:r>
    </w:p>
    <w:p>
      <w:pPr>
        <w:spacing w:line="360" w:lineRule="auto"/>
        <w:ind w:firstLine="480" w:firstLineChars="200"/>
        <w:rPr>
          <w:rFonts w:hint="eastAsia" w:hAnsi="宋体" w:cs="新宋体"/>
          <w:sz w:val="24"/>
          <w:szCs w:val="24"/>
        </w:rPr>
      </w:pPr>
      <w:r>
        <w:rPr>
          <w:rFonts w:hint="eastAsia" w:hAnsi="宋体" w:cs="新宋体"/>
          <w:sz w:val="24"/>
          <w:szCs w:val="24"/>
        </w:rPr>
        <w:t>3.</w:t>
      </w:r>
      <w:r>
        <w:rPr>
          <w:rFonts w:hint="eastAsia" w:hAnsi="宋体" w:cs="新宋体"/>
          <w:sz w:val="24"/>
          <w:szCs w:val="24"/>
          <w:lang w:val="en-US" w:eastAsia="zh-CN"/>
        </w:rPr>
        <w:t>4</w:t>
      </w:r>
      <w:r>
        <w:rPr>
          <w:rFonts w:hint="eastAsia" w:hAnsi="宋体" w:cs="新宋体"/>
          <w:sz w:val="24"/>
          <w:szCs w:val="24"/>
        </w:rPr>
        <w:t>不接受联合体投标。</w:t>
      </w:r>
    </w:p>
    <w:p>
      <w:pPr>
        <w:spacing w:line="360" w:lineRule="auto"/>
        <w:ind w:firstLine="480" w:firstLineChars="200"/>
        <w:rPr>
          <w:rFonts w:hint="eastAsia" w:hAnsi="宋体" w:cs="新宋体"/>
          <w:sz w:val="24"/>
          <w:szCs w:val="24"/>
        </w:rPr>
      </w:pPr>
      <w:r>
        <w:rPr>
          <w:rFonts w:hint="eastAsia" w:hAnsi="宋体" w:cs="新宋体"/>
          <w:sz w:val="24"/>
          <w:szCs w:val="24"/>
        </w:rPr>
        <w:t>3.5与招标人存在利害关系可能影响招标公正性的法人、其他组织或者个人，不得参加投标；单位负责人为同一人或者存在控股、管理关系的不同单位，不得参加同一招标项目投标或者划分标段的同一</w:t>
      </w:r>
      <w:r>
        <w:rPr>
          <w:rFonts w:hint="eastAsia" w:hAnsi="宋体" w:cs="新宋体"/>
          <w:sz w:val="24"/>
          <w:szCs w:val="24"/>
          <w:lang w:eastAsia="zh-CN"/>
        </w:rPr>
        <w:t>标段招标</w:t>
      </w:r>
      <w:r>
        <w:rPr>
          <w:rFonts w:hint="eastAsia" w:hAnsi="宋体" w:cs="新宋体"/>
          <w:sz w:val="24"/>
          <w:szCs w:val="24"/>
        </w:rPr>
        <w:t>项目投标</w:t>
      </w:r>
      <w:r>
        <w:rPr>
          <w:rFonts w:hint="eastAsia" w:hAnsi="宋体" w:cs="新宋体"/>
          <w:sz w:val="24"/>
          <w:szCs w:val="24"/>
          <w:lang w:eastAsia="zh-CN"/>
        </w:rPr>
        <w:t>。</w:t>
      </w:r>
    </w:p>
    <w:p>
      <w:pPr>
        <w:spacing w:line="360" w:lineRule="auto"/>
        <w:ind w:firstLine="480" w:firstLineChars="200"/>
        <w:rPr>
          <w:rFonts w:hint="eastAsia" w:hAnsi="宋体" w:cs="新宋体"/>
          <w:sz w:val="24"/>
          <w:szCs w:val="24"/>
        </w:rPr>
      </w:pPr>
      <w:r>
        <w:rPr>
          <w:rFonts w:hint="eastAsia" w:hAnsi="宋体" w:cs="新宋体"/>
          <w:sz w:val="24"/>
          <w:szCs w:val="24"/>
        </w:rPr>
        <w:t>3.6 本项目不得转包、挂靠及违法分包。</w:t>
      </w:r>
    </w:p>
    <w:p>
      <w:pPr>
        <w:spacing w:line="360" w:lineRule="auto"/>
        <w:ind w:firstLine="482" w:firstLineChars="200"/>
        <w:rPr>
          <w:rFonts w:hint="eastAsia" w:hAnsi="宋体" w:cs="新宋体"/>
          <w:b/>
          <w:bCs/>
          <w:sz w:val="24"/>
          <w:szCs w:val="24"/>
        </w:rPr>
      </w:pPr>
      <w:r>
        <w:rPr>
          <w:rFonts w:hint="eastAsia" w:hAnsi="宋体" w:cs="新宋体"/>
          <w:b/>
          <w:bCs/>
          <w:sz w:val="24"/>
          <w:szCs w:val="24"/>
        </w:rPr>
        <w:t>3.</w:t>
      </w:r>
      <w:r>
        <w:rPr>
          <w:rFonts w:hint="eastAsia" w:hAnsi="宋体" w:cs="新宋体"/>
          <w:b/>
          <w:bCs/>
          <w:sz w:val="24"/>
          <w:szCs w:val="24"/>
          <w:lang w:val="en-US" w:eastAsia="zh-CN"/>
        </w:rPr>
        <w:t>7</w:t>
      </w:r>
      <w:r>
        <w:rPr>
          <w:rFonts w:hint="eastAsia" w:hAnsi="宋体" w:cs="新宋体"/>
          <w:b/>
          <w:bCs/>
          <w:sz w:val="24"/>
          <w:szCs w:val="24"/>
        </w:rPr>
        <w:t>投标人可对</w:t>
      </w:r>
      <w:r>
        <w:rPr>
          <w:rFonts w:hint="eastAsia" w:hAnsi="宋体" w:cs="新宋体"/>
          <w:b/>
          <w:bCs/>
          <w:sz w:val="24"/>
          <w:szCs w:val="24"/>
          <w:lang w:eastAsia="zh-CN"/>
        </w:rPr>
        <w:t>本次招标</w:t>
      </w:r>
      <w:r>
        <w:rPr>
          <w:rFonts w:hint="eastAsia" w:hAnsi="宋体" w:cs="新宋体"/>
          <w:b/>
          <w:bCs/>
          <w:sz w:val="24"/>
          <w:szCs w:val="24"/>
        </w:rPr>
        <w:t>多个标段进行投标，但只能按标段设置先后顺序依次中取一个标段。</w:t>
      </w:r>
    </w:p>
    <w:p>
      <w:pPr>
        <w:spacing w:line="360" w:lineRule="auto"/>
        <w:rPr>
          <w:rFonts w:hint="eastAsia" w:hAnsi="宋体"/>
          <w:b/>
          <w:color w:val="000000"/>
          <w:sz w:val="24"/>
          <w:szCs w:val="24"/>
        </w:rPr>
      </w:pPr>
      <w:r>
        <w:rPr>
          <w:rFonts w:hint="eastAsia" w:hAnsi="宋体"/>
          <w:b/>
          <w:color w:val="000000"/>
          <w:sz w:val="24"/>
          <w:szCs w:val="24"/>
        </w:rPr>
        <w:t>四、网上下载招标文件</w:t>
      </w:r>
    </w:p>
    <w:p>
      <w:pPr>
        <w:spacing w:line="360" w:lineRule="auto"/>
        <w:ind w:firstLine="480" w:firstLineChars="200"/>
        <w:rPr>
          <w:rFonts w:hAnsi="宋体"/>
          <w:color w:val="000000"/>
          <w:sz w:val="24"/>
          <w:szCs w:val="24"/>
        </w:rPr>
      </w:pPr>
      <w:r>
        <w:rPr>
          <w:rFonts w:hint="eastAsia" w:hAnsi="宋体"/>
          <w:color w:val="000000"/>
          <w:sz w:val="24"/>
          <w:szCs w:val="24"/>
        </w:rPr>
        <w:t>4.1持CA数字认证证书，登录【全国公共资源交易平台（河南省·许昌市）】“系统用户注册”入口（</w:t>
      </w:r>
      <w:r>
        <w:rPr>
          <w:rFonts w:hint="eastAsia" w:hAnsi="宋体"/>
          <w:color w:val="000000"/>
          <w:sz w:val="24"/>
          <w:szCs w:val="24"/>
          <w:lang w:eastAsia="zh-CN"/>
        </w:rPr>
        <w:t>http://ggzy.xuchang.gov.cn:8088/ggzy/</w:t>
      </w:r>
      <w:r>
        <w:rPr>
          <w:rFonts w:hint="eastAsia" w:hAnsi="宋体"/>
          <w:color w:val="000000"/>
          <w:sz w:val="24"/>
          <w:szCs w:val="24"/>
        </w:rPr>
        <w:t>eps/public/RegistAllJcxx.html）进行免费注册登记（详见“常见问题解答-诚信库网上注册相关资料下载”）；</w:t>
      </w:r>
    </w:p>
    <w:p>
      <w:pPr>
        <w:spacing w:line="360" w:lineRule="auto"/>
        <w:ind w:firstLine="480" w:firstLineChars="200"/>
        <w:rPr>
          <w:rFonts w:hAnsi="宋体"/>
          <w:color w:val="000000"/>
          <w:sz w:val="24"/>
          <w:szCs w:val="24"/>
        </w:rPr>
      </w:pPr>
      <w:r>
        <w:rPr>
          <w:rFonts w:hint="eastAsia" w:hAnsi="宋体"/>
          <w:color w:val="000000"/>
          <w:sz w:val="24"/>
          <w:szCs w:val="24"/>
        </w:rPr>
        <w:t>4.2在投标截止时间前均可登录【全国公共资源交易平台（河南省·许昌市）】“投标人/供应商登录”入口（</w:t>
      </w:r>
      <w:r>
        <w:rPr>
          <w:rFonts w:hint="eastAsia" w:hAnsi="宋体"/>
          <w:color w:val="000000"/>
          <w:sz w:val="24"/>
          <w:szCs w:val="24"/>
          <w:lang w:eastAsia="zh-CN"/>
        </w:rPr>
        <w:t>http://ggzy.xuchang.gov.cn:8088/ggzy/</w:t>
      </w:r>
      <w:r>
        <w:rPr>
          <w:rFonts w:hint="eastAsia" w:hAnsi="宋体"/>
          <w:color w:val="000000"/>
          <w:sz w:val="24"/>
          <w:szCs w:val="24"/>
        </w:rPr>
        <w:t>）自行下载招标文件等（详见“常见问题解答-交易系统操作手册”）。</w:t>
      </w:r>
    </w:p>
    <w:p>
      <w:pPr>
        <w:spacing w:line="360" w:lineRule="auto"/>
        <w:rPr>
          <w:rFonts w:hAnsi="宋体"/>
          <w:b/>
          <w:color w:val="000000"/>
          <w:sz w:val="24"/>
          <w:szCs w:val="24"/>
        </w:rPr>
      </w:pPr>
      <w:r>
        <w:rPr>
          <w:rFonts w:hint="eastAsia" w:hAnsi="宋体"/>
          <w:b/>
          <w:color w:val="000000"/>
          <w:sz w:val="24"/>
          <w:szCs w:val="24"/>
        </w:rPr>
        <w:t>五、招标文件和施工图纸的获取</w:t>
      </w:r>
    </w:p>
    <w:p>
      <w:pPr>
        <w:spacing w:line="360" w:lineRule="auto"/>
        <w:ind w:firstLine="480" w:firstLineChars="200"/>
        <w:jc w:val="left"/>
        <w:rPr>
          <w:rFonts w:hint="eastAsia" w:hAnsi="宋体"/>
          <w:sz w:val="24"/>
          <w:szCs w:val="24"/>
        </w:rPr>
      </w:pPr>
      <w:r>
        <w:rPr>
          <w:rFonts w:hint="eastAsia" w:hAnsi="宋体"/>
          <w:sz w:val="24"/>
          <w:szCs w:val="24"/>
        </w:rPr>
        <w:t>5.</w:t>
      </w:r>
      <w:r>
        <w:rPr>
          <w:rFonts w:hAnsi="宋体"/>
          <w:sz w:val="24"/>
          <w:szCs w:val="24"/>
        </w:rPr>
        <w:t>1</w:t>
      </w:r>
      <w:r>
        <w:rPr>
          <w:rFonts w:hint="eastAsia" w:hAnsi="宋体"/>
          <w:sz w:val="24"/>
          <w:szCs w:val="24"/>
        </w:rPr>
        <w:t>招标文件和工程量清单的获取：投标人于投标文件递交截止时间前均可登录【全国公共资源交易平台</w:t>
      </w:r>
      <w:r>
        <w:rPr>
          <w:rFonts w:hAnsi="宋体"/>
          <w:sz w:val="24"/>
          <w:szCs w:val="24"/>
        </w:rPr>
        <w:t>(</w:t>
      </w:r>
      <w:r>
        <w:rPr>
          <w:rFonts w:hint="eastAsia" w:hAnsi="宋体"/>
          <w:sz w:val="24"/>
          <w:szCs w:val="24"/>
        </w:rPr>
        <w:t>河南省</w:t>
      </w:r>
      <w:r>
        <w:rPr>
          <w:rFonts w:hAnsi="Segoe UI Emoji" w:cs="Segoe UI Emoji"/>
          <w:sz w:val="24"/>
          <w:szCs w:val="24"/>
        </w:rPr>
        <w:t>▪</w:t>
      </w:r>
      <w:r>
        <w:rPr>
          <w:rFonts w:hint="eastAsia" w:hAnsi="宋体"/>
          <w:sz w:val="24"/>
          <w:szCs w:val="24"/>
        </w:rPr>
        <w:t>许昌市</w:t>
      </w:r>
      <w:r>
        <w:rPr>
          <w:rFonts w:hAnsi="宋体"/>
          <w:sz w:val="24"/>
          <w:szCs w:val="24"/>
        </w:rPr>
        <w:t>)</w:t>
      </w:r>
      <w:r>
        <w:rPr>
          <w:rFonts w:hint="eastAsia" w:hAnsi="宋体"/>
          <w:sz w:val="24"/>
          <w:szCs w:val="24"/>
        </w:rPr>
        <w:t>】（</w:t>
      </w:r>
      <w:r>
        <w:rPr>
          <w:rFonts w:hint="eastAsia" w:hAnsi="宋体"/>
          <w:sz w:val="24"/>
          <w:szCs w:val="24"/>
        </w:rPr>
        <w:fldChar w:fldCharType="begin"/>
      </w:r>
      <w:r>
        <w:rPr>
          <w:rFonts w:hint="eastAsia" w:hAnsi="宋体"/>
          <w:sz w:val="24"/>
          <w:szCs w:val="24"/>
        </w:rPr>
        <w:instrText xml:space="preserve"> HYPERLINK "http://ggzy.xuchang.gov.cn" </w:instrText>
      </w:r>
      <w:r>
        <w:rPr>
          <w:rFonts w:hint="eastAsia" w:hAnsi="宋体"/>
          <w:sz w:val="24"/>
          <w:szCs w:val="24"/>
        </w:rPr>
        <w:fldChar w:fldCharType="separate"/>
      </w:r>
      <w:r>
        <w:rPr>
          <w:rFonts w:hint="eastAsia" w:hAnsi="宋体"/>
          <w:sz w:val="24"/>
          <w:szCs w:val="24"/>
        </w:rPr>
        <w:t>http://ggzy.xuchang.gov.cn</w:t>
      </w:r>
      <w:r>
        <w:rPr>
          <w:rFonts w:hint="eastAsia" w:hAnsi="宋体"/>
          <w:sz w:val="24"/>
          <w:szCs w:val="24"/>
        </w:rPr>
        <w:fldChar w:fldCharType="end"/>
      </w:r>
      <w:r>
        <w:rPr>
          <w:rFonts w:hint="eastAsia" w:hAnsi="宋体"/>
          <w:sz w:val="24"/>
          <w:szCs w:val="24"/>
        </w:rPr>
        <w:t>），通过“投标人</w:t>
      </w:r>
      <w:r>
        <w:rPr>
          <w:rFonts w:hAnsi="宋体"/>
          <w:sz w:val="24"/>
          <w:szCs w:val="24"/>
        </w:rPr>
        <w:t>/</w:t>
      </w:r>
      <w:r>
        <w:rPr>
          <w:rFonts w:hint="eastAsia" w:hAnsi="宋体"/>
          <w:sz w:val="24"/>
          <w:szCs w:val="24"/>
        </w:rPr>
        <w:t>供应商登录”入口自行下载。</w:t>
      </w:r>
    </w:p>
    <w:p>
      <w:pPr>
        <w:spacing w:line="360" w:lineRule="auto"/>
        <w:ind w:firstLine="480" w:firstLineChars="200"/>
        <w:jc w:val="left"/>
        <w:rPr>
          <w:rFonts w:hAnsi="宋体"/>
          <w:sz w:val="24"/>
          <w:szCs w:val="24"/>
        </w:rPr>
      </w:pPr>
      <w:r>
        <w:rPr>
          <w:rFonts w:hint="eastAsia" w:hAnsi="宋体"/>
          <w:sz w:val="24"/>
          <w:szCs w:val="24"/>
        </w:rPr>
        <w:t>5.2施工图纸下载：按照招标文件中第二章投标人须知前附表第2.1项所给的网址自行下载。</w:t>
      </w:r>
    </w:p>
    <w:p>
      <w:pPr>
        <w:spacing w:line="360" w:lineRule="auto"/>
        <w:ind w:firstLine="480" w:firstLineChars="200"/>
        <w:jc w:val="left"/>
        <w:rPr>
          <w:rFonts w:hint="eastAsia" w:hAnsi="宋体"/>
          <w:sz w:val="24"/>
          <w:szCs w:val="24"/>
        </w:rPr>
      </w:pPr>
      <w:r>
        <w:rPr>
          <w:rFonts w:hint="eastAsia" w:hAnsi="宋体"/>
          <w:sz w:val="24"/>
          <w:szCs w:val="24"/>
        </w:rPr>
        <w:t>5.3招标文件每套售价300元，投标人于开标结束后转账至支付宝账户：</w:t>
      </w:r>
      <w:r>
        <w:rPr>
          <w:rFonts w:hint="eastAsia" w:hAnsi="宋体"/>
          <w:sz w:val="24"/>
          <w:szCs w:val="24"/>
          <w:lang w:val="en-US" w:eastAsia="zh-CN"/>
        </w:rPr>
        <w:t>13213352233</w:t>
      </w:r>
      <w:r>
        <w:rPr>
          <w:rFonts w:hint="eastAsia" w:hAnsi="宋体"/>
          <w:sz w:val="24"/>
          <w:szCs w:val="24"/>
        </w:rPr>
        <w:t>（转账时请备注项目编号、所属标段及公司名称）。</w:t>
      </w:r>
    </w:p>
    <w:p>
      <w:pPr>
        <w:spacing w:line="360" w:lineRule="auto"/>
        <w:ind w:firstLine="480" w:firstLineChars="200"/>
        <w:jc w:val="left"/>
        <w:rPr>
          <w:rFonts w:hAnsi="宋体"/>
          <w:sz w:val="24"/>
          <w:szCs w:val="24"/>
        </w:rPr>
      </w:pPr>
      <w:r>
        <w:rPr>
          <w:rFonts w:hint="eastAsia" w:hAnsi="宋体"/>
          <w:sz w:val="24"/>
          <w:szCs w:val="24"/>
        </w:rPr>
        <w:t>5.4本项目实行资格后审，资格后审所需资料详见招标文件。</w:t>
      </w:r>
    </w:p>
    <w:p>
      <w:pPr>
        <w:spacing w:line="360" w:lineRule="auto"/>
        <w:rPr>
          <w:rFonts w:hAnsi="宋体"/>
          <w:b/>
          <w:color w:val="000000"/>
          <w:sz w:val="24"/>
          <w:szCs w:val="24"/>
        </w:rPr>
      </w:pPr>
      <w:r>
        <w:rPr>
          <w:rFonts w:hint="eastAsia" w:hAnsi="宋体"/>
          <w:b/>
          <w:color w:val="000000"/>
          <w:sz w:val="24"/>
          <w:szCs w:val="24"/>
        </w:rPr>
        <w:t>六、投标文件的递交</w:t>
      </w:r>
    </w:p>
    <w:p>
      <w:pPr>
        <w:spacing w:line="360" w:lineRule="auto"/>
        <w:ind w:firstLine="480" w:firstLineChars="200"/>
        <w:rPr>
          <w:rFonts w:hint="eastAsia" w:hAnsi="宋体"/>
          <w:color w:val="auto"/>
          <w:sz w:val="24"/>
          <w:szCs w:val="24"/>
        </w:rPr>
      </w:pPr>
      <w:r>
        <w:rPr>
          <w:rFonts w:hint="eastAsia" w:hAnsi="宋体"/>
          <w:sz w:val="24"/>
          <w:szCs w:val="24"/>
        </w:rPr>
        <w:t>6.1本项目为全流程电子化交易项目，投标人应按规定在投标截止时间（同开标时间）前通过《全国公共资源交易平台</w:t>
      </w:r>
      <w:r>
        <w:rPr>
          <w:rFonts w:hAnsi="宋体"/>
          <w:sz w:val="24"/>
          <w:szCs w:val="24"/>
        </w:rPr>
        <w:t>(</w:t>
      </w:r>
      <w:r>
        <w:rPr>
          <w:rFonts w:hint="eastAsia" w:hAnsi="宋体"/>
          <w:sz w:val="24"/>
          <w:szCs w:val="24"/>
        </w:rPr>
        <w:t>河南省</w:t>
      </w:r>
      <w:r>
        <w:rPr>
          <w:rFonts w:hint="eastAsia" w:ascii="MS Mincho" w:hAnsi="MS Mincho" w:eastAsia="MS Mincho" w:cs="MS Mincho"/>
          <w:sz w:val="24"/>
          <w:szCs w:val="24"/>
        </w:rPr>
        <w:t>▪</w:t>
      </w:r>
      <w:r>
        <w:rPr>
          <w:rFonts w:hint="eastAsia" w:hAnsi="宋体"/>
          <w:sz w:val="24"/>
          <w:szCs w:val="24"/>
        </w:rPr>
        <w:t>许昌市</w:t>
      </w:r>
      <w:r>
        <w:rPr>
          <w:rFonts w:hAnsi="宋体"/>
          <w:sz w:val="24"/>
          <w:szCs w:val="24"/>
        </w:rPr>
        <w:t>)</w:t>
      </w:r>
      <w:r>
        <w:rPr>
          <w:rFonts w:hint="eastAsia" w:hAnsi="宋体"/>
          <w:sz w:val="24"/>
          <w:szCs w:val="24"/>
        </w:rPr>
        <w:t>》公共资源交易系统成功上传本项目加密</w:t>
      </w:r>
      <w:r>
        <w:rPr>
          <w:rFonts w:hint="eastAsia" w:hAnsi="宋体"/>
          <w:color w:val="auto"/>
          <w:sz w:val="24"/>
          <w:szCs w:val="24"/>
        </w:rPr>
        <w:t>电子投标文件。</w:t>
      </w:r>
    </w:p>
    <w:p>
      <w:pPr>
        <w:spacing w:line="360" w:lineRule="auto"/>
        <w:ind w:firstLine="480" w:firstLineChars="200"/>
        <w:rPr>
          <w:rFonts w:hint="eastAsia" w:hAnsi="宋体"/>
          <w:color w:val="auto"/>
          <w:sz w:val="24"/>
          <w:szCs w:val="24"/>
        </w:rPr>
      </w:pPr>
      <w:r>
        <w:rPr>
          <w:rFonts w:hint="eastAsia" w:hAnsi="宋体"/>
          <w:color w:val="auto"/>
          <w:sz w:val="24"/>
          <w:szCs w:val="24"/>
        </w:rPr>
        <w:t>6.2 投标截止时间及开标时间：2020年</w:t>
      </w:r>
      <w:r>
        <w:rPr>
          <w:rFonts w:hint="eastAsia" w:hAnsi="宋体"/>
          <w:color w:val="auto"/>
          <w:sz w:val="24"/>
          <w:szCs w:val="24"/>
          <w:lang w:val="en-US" w:eastAsia="zh-CN"/>
        </w:rPr>
        <w:t>8</w:t>
      </w:r>
      <w:r>
        <w:rPr>
          <w:rFonts w:hint="eastAsia" w:hAnsi="宋体"/>
          <w:color w:val="auto"/>
          <w:sz w:val="24"/>
          <w:szCs w:val="24"/>
        </w:rPr>
        <w:t>月</w:t>
      </w:r>
      <w:r>
        <w:rPr>
          <w:rFonts w:hint="eastAsia" w:hAnsi="宋体"/>
          <w:color w:val="auto"/>
          <w:sz w:val="24"/>
          <w:szCs w:val="24"/>
          <w:lang w:val="en-US" w:eastAsia="zh-CN"/>
        </w:rPr>
        <w:t>13</w:t>
      </w:r>
      <w:r>
        <w:rPr>
          <w:rFonts w:hint="eastAsia" w:hAnsi="宋体"/>
          <w:color w:val="auto"/>
          <w:sz w:val="24"/>
          <w:szCs w:val="24"/>
        </w:rPr>
        <w:t>日</w:t>
      </w:r>
      <w:r>
        <w:rPr>
          <w:rFonts w:hint="eastAsia" w:hAnsi="宋体"/>
          <w:color w:val="auto"/>
          <w:sz w:val="24"/>
          <w:szCs w:val="24"/>
          <w:lang w:val="en-US" w:eastAsia="zh-CN"/>
        </w:rPr>
        <w:t xml:space="preserve">9 </w:t>
      </w:r>
      <w:r>
        <w:rPr>
          <w:rFonts w:hint="eastAsia" w:hAnsi="宋体"/>
          <w:color w:val="auto"/>
          <w:sz w:val="24"/>
          <w:szCs w:val="24"/>
        </w:rPr>
        <w:t>时</w:t>
      </w:r>
      <w:r>
        <w:rPr>
          <w:rFonts w:hint="eastAsia" w:hAnsi="宋体"/>
          <w:color w:val="auto"/>
          <w:sz w:val="24"/>
          <w:szCs w:val="24"/>
          <w:lang w:val="en-US" w:eastAsia="zh-CN"/>
        </w:rPr>
        <w:t>30</w:t>
      </w:r>
      <w:r>
        <w:rPr>
          <w:rFonts w:hint="eastAsia" w:hAnsi="宋体"/>
          <w:color w:val="auto"/>
          <w:sz w:val="24"/>
          <w:szCs w:val="24"/>
        </w:rPr>
        <w:t>分。</w:t>
      </w:r>
    </w:p>
    <w:p>
      <w:pPr>
        <w:spacing w:line="360" w:lineRule="auto"/>
        <w:ind w:firstLine="480" w:firstLineChars="200"/>
        <w:rPr>
          <w:rFonts w:hint="eastAsia" w:hAnsi="宋体"/>
          <w:sz w:val="24"/>
          <w:szCs w:val="24"/>
        </w:rPr>
      </w:pPr>
      <w:r>
        <w:rPr>
          <w:rFonts w:hint="eastAsia" w:hAnsi="宋体"/>
          <w:color w:val="auto"/>
          <w:sz w:val="24"/>
          <w:szCs w:val="24"/>
        </w:rPr>
        <w:t>6.3招标人（代理机构）线上开标地点：长葛市公共资源交易中心开标</w:t>
      </w:r>
      <w:r>
        <w:rPr>
          <w:rFonts w:hint="eastAsia" w:hAnsi="宋体"/>
          <w:color w:val="auto"/>
          <w:sz w:val="24"/>
          <w:szCs w:val="24"/>
          <w:lang w:val="en-US" w:eastAsia="zh-CN"/>
        </w:rPr>
        <w:t xml:space="preserve">一 </w:t>
      </w:r>
      <w:r>
        <w:rPr>
          <w:rFonts w:hint="eastAsia" w:hAnsi="宋体"/>
          <w:color w:val="auto"/>
          <w:sz w:val="24"/>
          <w:szCs w:val="24"/>
        </w:rPr>
        <w:t>室（长葛市葛天大道东段商务区6号楼</w:t>
      </w:r>
      <w:r>
        <w:rPr>
          <w:rFonts w:hint="eastAsia" w:hAnsi="宋体"/>
          <w:color w:val="auto"/>
          <w:sz w:val="24"/>
          <w:szCs w:val="24"/>
          <w:lang w:val="en-US" w:eastAsia="zh-CN"/>
        </w:rPr>
        <w:t>506</w:t>
      </w:r>
      <w:r>
        <w:rPr>
          <w:rFonts w:hint="eastAsia" w:hAnsi="宋体"/>
          <w:color w:val="auto"/>
          <w:sz w:val="24"/>
          <w:szCs w:val="24"/>
        </w:rPr>
        <w:t>室）。</w:t>
      </w:r>
      <w:r>
        <w:rPr>
          <w:rFonts w:hint="eastAsia" w:hAnsi="宋体"/>
          <w:sz w:val="24"/>
          <w:szCs w:val="24"/>
        </w:rPr>
        <w:t>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spacing w:line="360" w:lineRule="auto"/>
        <w:ind w:firstLine="480" w:firstLineChars="200"/>
        <w:rPr>
          <w:rFonts w:hint="eastAsia" w:hAnsi="宋体"/>
          <w:sz w:val="24"/>
          <w:szCs w:val="24"/>
        </w:rPr>
      </w:pPr>
      <w:r>
        <w:rPr>
          <w:rFonts w:hint="eastAsia" w:hAnsi="宋体"/>
          <w:sz w:val="24"/>
          <w:szCs w:val="24"/>
        </w:rPr>
        <w:t>6.4逾期送达（未成功上传）的或者未按规定解密的电子投标文件，招标人不予受理。</w:t>
      </w:r>
    </w:p>
    <w:p>
      <w:pPr>
        <w:spacing w:line="360" w:lineRule="auto"/>
        <w:rPr>
          <w:rFonts w:hAnsi="宋体"/>
          <w:b/>
          <w:color w:val="000000"/>
          <w:sz w:val="24"/>
          <w:szCs w:val="24"/>
        </w:rPr>
      </w:pPr>
      <w:r>
        <w:rPr>
          <w:rFonts w:hint="eastAsia" w:hAnsi="宋体"/>
          <w:b/>
          <w:color w:val="000000"/>
          <w:sz w:val="24"/>
          <w:szCs w:val="24"/>
        </w:rPr>
        <w:t>七、发布公告的媒介</w:t>
      </w:r>
    </w:p>
    <w:p>
      <w:pPr>
        <w:spacing w:line="360" w:lineRule="auto"/>
        <w:ind w:firstLine="480" w:firstLineChars="200"/>
        <w:rPr>
          <w:rFonts w:hAnsi="宋体"/>
          <w:color w:val="000000"/>
          <w:sz w:val="24"/>
          <w:szCs w:val="24"/>
        </w:rPr>
      </w:pPr>
      <w:r>
        <w:rPr>
          <w:rFonts w:hint="eastAsia" w:hAnsi="宋体"/>
          <w:color w:val="000000"/>
          <w:sz w:val="24"/>
          <w:szCs w:val="24"/>
        </w:rPr>
        <w:t>本公告同时在《全国公共资源交易平台(河南省▪许昌市)》、《河南省电子招标投标公共服务平台》上发布。</w:t>
      </w:r>
    </w:p>
    <w:p>
      <w:pPr>
        <w:widowControl/>
        <w:snapToGrid w:val="0"/>
        <w:spacing w:line="360" w:lineRule="auto"/>
        <w:rPr>
          <w:rFonts w:ascii="宋体" w:hAnsi="宋体"/>
          <w:b/>
          <w:color w:val="000000"/>
          <w:kern w:val="0"/>
          <w:sz w:val="28"/>
          <w:szCs w:val="28"/>
        </w:rPr>
      </w:pPr>
      <w:r>
        <w:rPr>
          <w:rFonts w:hint="eastAsia" w:ascii="宋体" w:hAnsi="宋体"/>
          <w:b/>
          <w:color w:val="000000"/>
          <w:kern w:val="0"/>
          <w:sz w:val="28"/>
          <w:szCs w:val="28"/>
          <w:lang w:eastAsia="zh-CN"/>
        </w:rPr>
        <w:t>八</w:t>
      </w:r>
      <w:r>
        <w:rPr>
          <w:rFonts w:hint="eastAsia" w:ascii="宋体" w:hAnsi="宋体"/>
          <w:b/>
          <w:color w:val="000000"/>
          <w:kern w:val="0"/>
          <w:sz w:val="28"/>
          <w:szCs w:val="28"/>
        </w:rPr>
        <w:t>、联系方式</w:t>
      </w:r>
    </w:p>
    <w:p>
      <w:pPr>
        <w:widowControl/>
        <w:spacing w:line="360" w:lineRule="auto"/>
        <w:ind w:right="-105" w:rightChars="-50" w:firstLine="480" w:firstLineChars="200"/>
        <w:jc w:val="left"/>
        <w:rPr>
          <w:rFonts w:ascii="宋体" w:hAnsi="宋体" w:cs="宋体"/>
          <w:sz w:val="24"/>
        </w:rPr>
      </w:pPr>
      <w:r>
        <w:rPr>
          <w:rFonts w:hint="eastAsia" w:ascii="宋体" w:hAnsi="宋体" w:cs="宋体"/>
          <w:sz w:val="24"/>
        </w:rPr>
        <w:t>招标人：</w:t>
      </w:r>
      <w:r>
        <w:rPr>
          <w:rFonts w:hint="eastAsia" w:ascii="宋体" w:hAnsi="宋体" w:cs="宋体"/>
          <w:sz w:val="24"/>
          <w:lang w:eastAsia="zh-CN"/>
        </w:rPr>
        <w:t>长葛</w:t>
      </w:r>
      <w:r>
        <w:rPr>
          <w:rFonts w:hint="eastAsia" w:ascii="宋体" w:hAnsi="宋体" w:cs="宋体"/>
          <w:sz w:val="24"/>
        </w:rPr>
        <w:t xml:space="preserve">市农业农村局                    </w:t>
      </w:r>
    </w:p>
    <w:p>
      <w:pPr>
        <w:widowControl/>
        <w:spacing w:line="360" w:lineRule="auto"/>
        <w:ind w:right="-105" w:rightChars="-50" w:firstLine="480" w:firstLineChars="200"/>
        <w:jc w:val="left"/>
        <w:rPr>
          <w:rFonts w:ascii="宋体" w:hAnsi="宋体" w:cs="宋体"/>
          <w:sz w:val="24"/>
        </w:rPr>
      </w:pPr>
      <w:r>
        <w:rPr>
          <w:rFonts w:hint="eastAsia" w:ascii="宋体" w:hAnsi="宋体" w:cs="宋体"/>
          <w:sz w:val="24"/>
        </w:rPr>
        <w:t>联系人地址：</w:t>
      </w:r>
      <w:r>
        <w:rPr>
          <w:rFonts w:hint="eastAsia" w:ascii="宋体" w:hAnsi="宋体" w:cs="宋体"/>
          <w:sz w:val="24"/>
          <w:lang w:eastAsia="zh-CN"/>
        </w:rPr>
        <w:t>长葛市葛天大道</w:t>
      </w:r>
      <w:r>
        <w:rPr>
          <w:rFonts w:hint="eastAsia" w:ascii="宋体" w:hAnsi="宋体" w:cs="宋体"/>
          <w:sz w:val="24"/>
        </w:rPr>
        <w:t xml:space="preserve">             </w:t>
      </w:r>
    </w:p>
    <w:p>
      <w:pPr>
        <w:widowControl/>
        <w:spacing w:line="360" w:lineRule="auto"/>
        <w:ind w:right="-105" w:rightChars="-50" w:firstLine="480" w:firstLineChars="200"/>
        <w:jc w:val="left"/>
        <w:rPr>
          <w:rFonts w:ascii="宋体" w:hAnsi="宋体" w:cs="宋体"/>
          <w:color w:val="auto"/>
          <w:sz w:val="24"/>
        </w:rPr>
      </w:pPr>
      <w:r>
        <w:rPr>
          <w:rFonts w:hint="eastAsia" w:ascii="宋体" w:hAnsi="宋体" w:cs="宋体"/>
          <w:sz w:val="24"/>
        </w:rPr>
        <w:t>联系人：</w:t>
      </w:r>
      <w:r>
        <w:rPr>
          <w:rFonts w:hint="eastAsia" w:ascii="宋体" w:hAnsi="宋体" w:cs="宋体"/>
          <w:sz w:val="24"/>
          <w:lang w:eastAsia="zh-CN"/>
        </w:rPr>
        <w:t>王</w:t>
      </w:r>
      <w:r>
        <w:rPr>
          <w:rFonts w:hint="eastAsia" w:ascii="宋体" w:hAnsi="宋体" w:cs="宋体"/>
          <w:color w:val="auto"/>
          <w:sz w:val="24"/>
        </w:rPr>
        <w:t xml:space="preserve">先生 </w:t>
      </w:r>
    </w:p>
    <w:p>
      <w:pPr>
        <w:widowControl/>
        <w:spacing w:line="360" w:lineRule="auto"/>
        <w:ind w:right="-105" w:rightChars="-50" w:firstLine="480" w:firstLineChars="200"/>
        <w:jc w:val="left"/>
        <w:rPr>
          <w:rFonts w:ascii="宋体" w:hAnsi="宋体" w:cs="宋体"/>
          <w:color w:val="auto"/>
          <w:sz w:val="24"/>
        </w:rPr>
      </w:pPr>
      <w:r>
        <w:rPr>
          <w:rFonts w:hint="eastAsia" w:ascii="宋体" w:hAnsi="宋体" w:cs="宋体"/>
          <w:color w:val="auto"/>
          <w:sz w:val="24"/>
        </w:rPr>
        <w:t>联系电话：0374-</w:t>
      </w:r>
      <w:r>
        <w:rPr>
          <w:rFonts w:hint="eastAsia" w:ascii="宋体" w:hAnsi="宋体" w:cs="宋体"/>
          <w:color w:val="auto"/>
          <w:sz w:val="24"/>
          <w:lang w:val="en-US" w:eastAsia="zh-CN"/>
        </w:rPr>
        <w:t>7010058</w:t>
      </w:r>
      <w:r>
        <w:rPr>
          <w:rFonts w:ascii="宋体" w:hAnsi="宋体" w:cs="宋体"/>
          <w:color w:val="auto"/>
          <w:sz w:val="24"/>
        </w:rPr>
        <w:t xml:space="preserve">  </w:t>
      </w:r>
    </w:p>
    <w:p>
      <w:pPr>
        <w:widowControl/>
        <w:spacing w:line="360" w:lineRule="auto"/>
        <w:ind w:right="-105" w:rightChars="-50" w:firstLine="480" w:firstLineChars="200"/>
        <w:jc w:val="left"/>
        <w:rPr>
          <w:rFonts w:hint="eastAsia" w:ascii="宋体" w:hAnsi="宋体" w:cs="宋体"/>
          <w:sz w:val="24"/>
        </w:rPr>
      </w:pPr>
      <w:r>
        <w:rPr>
          <w:rFonts w:hint="eastAsia" w:ascii="宋体" w:hAnsi="宋体" w:cs="宋体"/>
          <w:sz w:val="24"/>
        </w:rPr>
        <w:t>招标代理机构：许昌建设工程项目管理有限公司</w:t>
      </w:r>
    </w:p>
    <w:p>
      <w:pPr>
        <w:widowControl/>
        <w:spacing w:line="360" w:lineRule="auto"/>
        <w:ind w:right="-105" w:rightChars="-50" w:firstLine="480" w:firstLineChars="200"/>
        <w:jc w:val="left"/>
        <w:rPr>
          <w:rFonts w:hint="eastAsia" w:ascii="宋体" w:hAnsi="宋体" w:cs="宋体"/>
          <w:sz w:val="24"/>
        </w:rPr>
      </w:pPr>
      <w:r>
        <w:rPr>
          <w:rFonts w:hint="eastAsia" w:ascii="宋体" w:hAnsi="宋体" w:cs="宋体"/>
          <w:sz w:val="24"/>
        </w:rPr>
        <w:t>联系人：</w:t>
      </w:r>
      <w:r>
        <w:rPr>
          <w:rFonts w:hint="eastAsia" w:ascii="宋体" w:hAnsi="宋体" w:cs="宋体"/>
          <w:sz w:val="24"/>
          <w:lang w:eastAsia="zh-CN"/>
        </w:rPr>
        <w:t>于</w:t>
      </w:r>
      <w:r>
        <w:rPr>
          <w:rFonts w:hint="eastAsia" w:ascii="宋体" w:hAnsi="宋体" w:cs="宋体"/>
          <w:sz w:val="24"/>
        </w:rPr>
        <w:t>女士</w:t>
      </w:r>
    </w:p>
    <w:p>
      <w:pPr>
        <w:widowControl/>
        <w:spacing w:line="360" w:lineRule="auto"/>
        <w:ind w:right="-105" w:rightChars="-50" w:firstLine="480" w:firstLineChars="200"/>
        <w:jc w:val="left"/>
        <w:rPr>
          <w:rFonts w:ascii="宋体" w:hAnsi="宋体" w:cs="宋体"/>
          <w:sz w:val="24"/>
          <w:lang w:val="en-US"/>
        </w:rPr>
      </w:pPr>
      <w:r>
        <w:rPr>
          <w:rFonts w:hint="eastAsia" w:ascii="宋体" w:hAnsi="宋体" w:cs="宋体"/>
          <w:sz w:val="24"/>
        </w:rPr>
        <w:t>联系电话：0374-</w:t>
      </w:r>
      <w:r>
        <w:rPr>
          <w:rFonts w:hint="eastAsia" w:ascii="宋体" w:hAnsi="宋体" w:cs="宋体"/>
          <w:sz w:val="24"/>
          <w:lang w:val="en-US" w:eastAsia="zh-CN"/>
        </w:rPr>
        <w:t>6098899</w:t>
      </w:r>
    </w:p>
    <w:p>
      <w:pPr>
        <w:shd w:val="clear" w:color="auto" w:fill="FFFFFF"/>
        <w:spacing w:line="360" w:lineRule="auto"/>
        <w:rPr>
          <w:rFonts w:hint="eastAsia" w:hAnsi="宋体"/>
          <w:b/>
          <w:bCs/>
          <w:sz w:val="24"/>
          <w:szCs w:val="24"/>
        </w:rPr>
      </w:pPr>
      <w:r>
        <w:rPr>
          <w:rFonts w:hint="eastAsia" w:hAnsi="宋体"/>
          <w:b/>
          <w:bCs/>
          <w:sz w:val="24"/>
          <w:szCs w:val="24"/>
          <w:lang w:eastAsia="zh-CN"/>
        </w:rPr>
        <w:t>九</w:t>
      </w:r>
      <w:r>
        <w:rPr>
          <w:rFonts w:hint="eastAsia" w:hAnsi="宋体"/>
          <w:b/>
          <w:bCs/>
          <w:sz w:val="24"/>
          <w:szCs w:val="24"/>
        </w:rPr>
        <w:t>、特别提示</w:t>
      </w:r>
    </w:p>
    <w:p>
      <w:pPr>
        <w:shd w:val="clear" w:color="auto" w:fill="FFFFFF"/>
        <w:spacing w:line="360" w:lineRule="auto"/>
        <w:ind w:firstLine="482" w:firstLineChars="200"/>
        <w:rPr>
          <w:rFonts w:hint="eastAsia" w:hAnsi="宋体"/>
          <w:b/>
          <w:bCs/>
          <w:sz w:val="24"/>
          <w:szCs w:val="24"/>
        </w:rPr>
      </w:pPr>
      <w:r>
        <w:rPr>
          <w:rFonts w:hint="eastAsia" w:hAnsi="宋体"/>
          <w:b/>
          <w:bCs/>
          <w:sz w:val="24"/>
          <w:szCs w:val="24"/>
        </w:rPr>
        <w:t>1、所有投标单位请时刻关注全国公共资源交易平台（河南省.许昌市），澄清、答疑、变更均在全国公共资源交易平台（河南省.许昌市）发布，不再另行通知。如未及时查看影响其投标，后果自负。</w:t>
      </w:r>
      <w:r>
        <w:rPr>
          <w:rFonts w:hint="eastAsia" w:hAnsi="宋体"/>
          <w:b/>
          <w:bCs/>
          <w:sz w:val="24"/>
          <w:szCs w:val="24"/>
        </w:rPr>
        <w:br w:type="textWrapping"/>
      </w:r>
      <w:r>
        <w:rPr>
          <w:rFonts w:hint="eastAsia" w:hAnsi="宋体"/>
          <w:b/>
          <w:bCs/>
          <w:sz w:val="24"/>
          <w:szCs w:val="24"/>
        </w:rPr>
        <w:t xml:space="preserve"> </w:t>
      </w:r>
      <w:r>
        <w:rPr>
          <w:rFonts w:hint="eastAsia" w:hAnsi="宋体"/>
          <w:b/>
          <w:bCs/>
          <w:sz w:val="24"/>
          <w:szCs w:val="24"/>
          <w:lang w:val="en-US" w:eastAsia="zh-CN"/>
        </w:rPr>
        <w:t xml:space="preserve">  </w:t>
      </w:r>
      <w:r>
        <w:rPr>
          <w:rFonts w:hint="eastAsia" w:hAnsi="宋体"/>
          <w:b/>
          <w:bCs/>
          <w:sz w:val="24"/>
          <w:szCs w:val="24"/>
        </w:rPr>
        <w:t>2、各投标人对代理公司提供的服务不满意，或认为代理公司在服务过程中有不当行为的，可致电长葛市公共资源交易管理委员会办公室监管股（0374-6189576），经查实后将视情况作出处理。</w:t>
      </w:r>
    </w:p>
    <w:p>
      <w:pPr>
        <w:shd w:val="clear" w:color="auto" w:fill="FFFFFF"/>
        <w:spacing w:line="360" w:lineRule="auto"/>
        <w:rPr>
          <w:rFonts w:hAnsi="宋体"/>
          <w:sz w:val="24"/>
          <w:szCs w:val="24"/>
        </w:rPr>
      </w:pPr>
      <w:r>
        <w:rPr>
          <w:rFonts w:hint="eastAsia" w:hAnsi="宋体"/>
          <w:b/>
          <w:bCs/>
          <w:sz w:val="24"/>
          <w:szCs w:val="24"/>
        </w:rPr>
        <w:t>温馨提示：</w:t>
      </w:r>
    </w:p>
    <w:p>
      <w:pPr>
        <w:shd w:val="clear" w:color="auto" w:fill="FFFFFF"/>
        <w:spacing w:line="360" w:lineRule="auto"/>
        <w:ind w:firstLine="562"/>
        <w:rPr>
          <w:rFonts w:hAnsi="宋体"/>
          <w:sz w:val="24"/>
          <w:szCs w:val="24"/>
        </w:rPr>
      </w:pPr>
      <w:r>
        <w:rPr>
          <w:rFonts w:hint="eastAsia" w:hAnsi="宋体"/>
          <w:b/>
          <w:bCs/>
          <w:sz w:val="24"/>
          <w:szCs w:val="24"/>
        </w:rPr>
        <w:t>本项目为全流程电子化交易项目，请认真阅读招标文件，并注意以下事项。</w:t>
      </w:r>
    </w:p>
    <w:p>
      <w:pPr>
        <w:shd w:val="clear" w:color="auto" w:fill="FFFFFF"/>
        <w:spacing w:line="360" w:lineRule="auto"/>
        <w:ind w:firstLine="480"/>
        <w:rPr>
          <w:rFonts w:hAnsi="宋体"/>
          <w:sz w:val="24"/>
          <w:szCs w:val="24"/>
        </w:rPr>
      </w:pPr>
      <w:r>
        <w:rPr>
          <w:rFonts w:hint="eastAsia" w:hAnsi="宋体"/>
          <w:sz w:val="24"/>
          <w:szCs w:val="24"/>
        </w:rPr>
        <w:t>1.投标人应按招标文件规定编制、提交、解密电子投标文件。</w:t>
      </w:r>
    </w:p>
    <w:p>
      <w:pPr>
        <w:shd w:val="clear" w:color="auto" w:fill="FFFFFF"/>
        <w:spacing w:line="360" w:lineRule="auto"/>
        <w:ind w:firstLine="480"/>
        <w:rPr>
          <w:rFonts w:hAnsi="宋体"/>
          <w:sz w:val="24"/>
          <w:szCs w:val="24"/>
        </w:rPr>
      </w:pPr>
      <w:r>
        <w:rPr>
          <w:rFonts w:hint="eastAsia" w:hAnsi="宋体"/>
          <w:sz w:val="24"/>
          <w:szCs w:val="24"/>
        </w:rPr>
        <w:t>2.电子文件下载、制作、提交期间和远程不见面开标（电子投标文件的解密）环节，投标人须使用同一个CA数字证书（证书须在有效期内并可正常使用）。</w:t>
      </w:r>
    </w:p>
    <w:p>
      <w:pPr>
        <w:shd w:val="clear" w:color="auto" w:fill="FFFFFF"/>
        <w:spacing w:line="360" w:lineRule="auto"/>
        <w:ind w:firstLine="482"/>
        <w:rPr>
          <w:rFonts w:hAnsi="宋体"/>
          <w:sz w:val="24"/>
          <w:szCs w:val="24"/>
        </w:rPr>
      </w:pPr>
      <w:r>
        <w:rPr>
          <w:rFonts w:hint="eastAsia" w:hAnsi="宋体"/>
          <w:b/>
          <w:bCs/>
          <w:sz w:val="24"/>
          <w:szCs w:val="24"/>
        </w:rPr>
        <w:t>3.电子投标文件的制作</w:t>
      </w:r>
    </w:p>
    <w:p>
      <w:pPr>
        <w:shd w:val="clear" w:color="auto" w:fill="FFFFFF"/>
        <w:spacing w:line="360" w:lineRule="auto"/>
        <w:ind w:firstLine="480"/>
        <w:rPr>
          <w:rFonts w:hAnsi="宋体"/>
          <w:sz w:val="24"/>
          <w:szCs w:val="24"/>
        </w:rPr>
      </w:pPr>
      <w:r>
        <w:rPr>
          <w:rFonts w:hint="eastAsia" w:hAnsi="宋体"/>
          <w:sz w:val="24"/>
          <w:szCs w:val="24"/>
        </w:rPr>
        <w:t>3.1 投标人登录《全国公共资源交易平台(河南省</w:t>
      </w:r>
      <w:r>
        <w:rPr>
          <w:rFonts w:hint="eastAsia" w:hAnsi="宋体" w:eastAsia="MS Mincho"/>
          <w:sz w:val="24"/>
          <w:szCs w:val="24"/>
        </w:rPr>
        <w:t>▪</w:t>
      </w:r>
      <w:r>
        <w:rPr>
          <w:rFonts w:hint="eastAsia" w:hAnsi="宋体"/>
          <w:sz w:val="24"/>
          <w:szCs w:val="24"/>
        </w:rPr>
        <w:t>许昌市)》公共资源交易系统（</w:t>
      </w:r>
      <w:r>
        <w:rPr>
          <w:rFonts w:hAnsi="宋体"/>
          <w:sz w:val="24"/>
          <w:szCs w:val="24"/>
        </w:rPr>
        <w:fldChar w:fldCharType="begin"/>
      </w:r>
      <w:r>
        <w:rPr>
          <w:rFonts w:hAnsi="宋体"/>
          <w:sz w:val="24"/>
          <w:szCs w:val="24"/>
        </w:rPr>
        <w:instrText xml:space="preserve">HYPERLINK "http://221.14.6.70:8088/ggzy/"</w:instrText>
      </w:r>
      <w:r>
        <w:rPr>
          <w:rFonts w:hAnsi="宋体"/>
          <w:sz w:val="24"/>
          <w:szCs w:val="24"/>
        </w:rPr>
        <w:fldChar w:fldCharType="separate"/>
      </w:r>
      <w:r>
        <w:rPr>
          <w:rStyle w:val="15"/>
          <w:rFonts w:hint="eastAsia" w:ascii="宋体" w:hAnsi="宋体" w:eastAsia="宋体"/>
          <w:color w:val="auto"/>
          <w:sz w:val="24"/>
          <w:szCs w:val="24"/>
          <w:lang w:eastAsia="zh-CN"/>
        </w:rPr>
        <w:t>http://ggzy.xuchang.gov.cn:8088/ggzy/</w:t>
      </w:r>
      <w:r>
        <w:rPr>
          <w:rFonts w:hAnsi="宋体"/>
          <w:sz w:val="24"/>
          <w:szCs w:val="24"/>
        </w:rPr>
        <w:fldChar w:fldCharType="end"/>
      </w:r>
      <w:r>
        <w:rPr>
          <w:rFonts w:hint="eastAsia" w:hAnsi="宋体"/>
          <w:sz w:val="24"/>
          <w:szCs w:val="24"/>
        </w:rPr>
        <w:t>）下载“许昌投标文件制作系统SEARUN 最新版本”，按招标文件要求制作电子投标文件。</w:t>
      </w:r>
    </w:p>
    <w:p>
      <w:pPr>
        <w:shd w:val="clear" w:color="auto" w:fill="FFFFFF"/>
        <w:spacing w:line="360" w:lineRule="auto"/>
        <w:ind w:firstLine="480"/>
        <w:rPr>
          <w:rFonts w:hAnsi="宋体"/>
          <w:sz w:val="24"/>
          <w:szCs w:val="24"/>
        </w:rPr>
      </w:pPr>
      <w:r>
        <w:rPr>
          <w:rFonts w:hint="eastAsia" w:hAnsi="宋体"/>
          <w:sz w:val="24"/>
          <w:szCs w:val="24"/>
        </w:rPr>
        <w:t>电子投标文件的制作，参考《全国公共资源交易平台(河南省</w:t>
      </w:r>
      <w:r>
        <w:rPr>
          <w:rFonts w:hint="eastAsia" w:hAnsi="宋体" w:eastAsia="MS Mincho"/>
          <w:sz w:val="24"/>
          <w:szCs w:val="24"/>
        </w:rPr>
        <w:t>▪</w:t>
      </w:r>
      <w:r>
        <w:rPr>
          <w:rFonts w:hint="eastAsia" w:hAnsi="宋体"/>
          <w:sz w:val="24"/>
          <w:szCs w:val="24"/>
        </w:rPr>
        <w:t>许昌市)》公共资源交易系统——组件下载——交易系统操作手册（投标人、供应商）。</w:t>
      </w:r>
    </w:p>
    <w:p>
      <w:pPr>
        <w:shd w:val="clear" w:color="auto" w:fill="FFFFFF"/>
        <w:spacing w:line="360" w:lineRule="auto"/>
        <w:ind w:firstLine="480"/>
        <w:rPr>
          <w:rFonts w:hAnsi="宋体"/>
          <w:sz w:val="24"/>
          <w:szCs w:val="24"/>
        </w:rPr>
      </w:pPr>
      <w:r>
        <w:rPr>
          <w:rFonts w:hint="eastAsia" w:hAnsi="宋体"/>
          <w:sz w:val="24"/>
          <w:szCs w:val="24"/>
        </w:rPr>
        <w:t>3.2 投标人须将招标文件要求的资质、业绩、荣誉及相关人员证明材料等资料原件扫描件（或图片）制作到所提交的电子投标文件中。</w:t>
      </w:r>
    </w:p>
    <w:p>
      <w:pPr>
        <w:shd w:val="clear" w:color="auto" w:fill="FFFFFF"/>
        <w:spacing w:line="360" w:lineRule="auto"/>
        <w:ind w:firstLine="480"/>
        <w:rPr>
          <w:rFonts w:hAnsi="宋体"/>
          <w:sz w:val="24"/>
          <w:szCs w:val="24"/>
        </w:rPr>
      </w:pPr>
      <w:r>
        <w:rPr>
          <w:rFonts w:hint="eastAsia" w:hAnsi="宋体"/>
          <w:sz w:val="24"/>
          <w:szCs w:val="24"/>
        </w:rPr>
        <w:t>3.3投标人对同一项目多个标段进行投标的，应分别下载所投标段的招标文件，按标段制作电子投标文件，并按招标文件要求在相应位置加盖投标人电子印章和法人电子印章。</w:t>
      </w:r>
    </w:p>
    <w:p>
      <w:pPr>
        <w:shd w:val="clear" w:color="auto" w:fill="FFFFFF"/>
        <w:spacing w:line="360" w:lineRule="auto"/>
        <w:ind w:firstLine="480"/>
        <w:rPr>
          <w:rFonts w:hAnsi="宋体"/>
          <w:sz w:val="24"/>
          <w:szCs w:val="24"/>
        </w:rPr>
      </w:pPr>
      <w:r>
        <w:rPr>
          <w:rFonts w:hint="eastAsia" w:hAnsi="宋体"/>
          <w:sz w:val="24"/>
          <w:szCs w:val="24"/>
        </w:rPr>
        <w:t>一个标段对应生成一个文件夹（xxxx项目xx标段）,其中后缀名为“.file”的文件用于电子投标使用。</w:t>
      </w:r>
    </w:p>
    <w:p>
      <w:pPr>
        <w:shd w:val="clear" w:color="auto" w:fill="FFFFFF"/>
        <w:spacing w:line="360" w:lineRule="auto"/>
        <w:ind w:firstLine="482"/>
        <w:rPr>
          <w:rFonts w:hAnsi="宋体"/>
          <w:sz w:val="24"/>
          <w:szCs w:val="24"/>
        </w:rPr>
      </w:pPr>
      <w:r>
        <w:rPr>
          <w:rFonts w:hint="eastAsia" w:hAnsi="宋体"/>
          <w:b/>
          <w:bCs/>
          <w:sz w:val="24"/>
          <w:szCs w:val="24"/>
        </w:rPr>
        <w:t>4.</w:t>
      </w:r>
      <w:r>
        <w:rPr>
          <w:rFonts w:hint="eastAsia" w:hAnsi="宋体"/>
          <w:b/>
          <w:bCs/>
          <w:sz w:val="24"/>
          <w:szCs w:val="24"/>
          <w:lang w:eastAsia="zh-CN"/>
        </w:rPr>
        <w:t>投标担保</w:t>
      </w:r>
      <w:r>
        <w:rPr>
          <w:rFonts w:hint="eastAsia" w:hAnsi="宋体"/>
          <w:b/>
          <w:bCs/>
          <w:sz w:val="24"/>
          <w:szCs w:val="24"/>
        </w:rPr>
        <w:t>的提交</w:t>
      </w:r>
    </w:p>
    <w:p>
      <w:pPr>
        <w:shd w:val="clear" w:color="auto" w:fill="FFFFFF"/>
        <w:spacing w:line="360" w:lineRule="auto"/>
        <w:ind w:firstLine="480"/>
        <w:rPr>
          <w:rFonts w:hAnsi="宋体"/>
          <w:sz w:val="24"/>
          <w:szCs w:val="24"/>
        </w:rPr>
      </w:pPr>
      <w:r>
        <w:rPr>
          <w:rFonts w:hint="eastAsia" w:hAnsi="宋体"/>
          <w:sz w:val="24"/>
          <w:szCs w:val="24"/>
        </w:rPr>
        <w:t>4.1使用银行转帐方式提交的，投标人通过基本账户将款项一次足额递交、成功绑定，以收款人到账时间为准。</w:t>
      </w:r>
    </w:p>
    <w:p>
      <w:pPr>
        <w:shd w:val="clear" w:color="auto" w:fill="FFFFFF"/>
        <w:spacing w:line="360" w:lineRule="auto"/>
        <w:ind w:firstLine="480"/>
        <w:rPr>
          <w:rFonts w:hAnsi="宋体"/>
          <w:sz w:val="24"/>
          <w:szCs w:val="24"/>
        </w:rPr>
      </w:pPr>
      <w:r>
        <w:rPr>
          <w:rFonts w:hint="eastAsia" w:hAnsi="宋体"/>
          <w:sz w:val="24"/>
          <w:szCs w:val="24"/>
        </w:rPr>
        <w:t>4.1.1投标人网上下载招标文件并根据每个标段的缴纳说明单在开标截止时间前提交。每个投标人每个项目每个标段只有唯一缴纳账号，切勿重复缴纳或错误缴纳。</w:t>
      </w:r>
    </w:p>
    <w:p>
      <w:pPr>
        <w:shd w:val="clear" w:color="auto" w:fill="FFFFFF"/>
        <w:spacing w:line="360" w:lineRule="auto"/>
        <w:ind w:firstLine="480"/>
        <w:rPr>
          <w:rFonts w:hAnsi="宋体"/>
          <w:sz w:val="24"/>
          <w:szCs w:val="24"/>
        </w:rPr>
      </w:pPr>
      <w:r>
        <w:rPr>
          <w:rFonts w:hint="eastAsia" w:hAnsi="宋体"/>
          <w:sz w:val="24"/>
          <w:szCs w:val="24"/>
        </w:rPr>
        <w:t>4.1.2提交后再次登录</w:t>
      </w:r>
      <w:r>
        <w:rPr>
          <w:rFonts w:hint="eastAsia" w:hAnsi="宋体"/>
          <w:sz w:val="24"/>
          <w:szCs w:val="24"/>
          <w:lang w:val="en-US" w:eastAsia="zh-CN"/>
        </w:rPr>
        <w:t>http://ggzy.xuchang.gov.cn:8088/ggzy/</w:t>
      </w:r>
      <w:r>
        <w:rPr>
          <w:rFonts w:hint="eastAsia" w:hAnsi="宋体"/>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pPr>
        <w:shd w:val="clear" w:color="auto" w:fill="FFFFFF"/>
        <w:spacing w:line="360" w:lineRule="auto"/>
        <w:ind w:firstLine="480"/>
        <w:rPr>
          <w:rFonts w:hAnsi="宋体"/>
          <w:sz w:val="24"/>
          <w:szCs w:val="24"/>
        </w:rPr>
      </w:pPr>
      <w:r>
        <w:rPr>
          <w:rFonts w:hint="eastAsia" w:hAnsi="宋体"/>
          <w:sz w:val="24"/>
          <w:szCs w:val="24"/>
        </w:rPr>
        <w:t>4.1.3投标人按照所投项目及标段将缴纳凭证“许昌公共资源交易中心保证金缴纳回执”附于投标文件中。</w:t>
      </w:r>
    </w:p>
    <w:p>
      <w:pPr>
        <w:shd w:val="clear" w:color="auto" w:fill="FFFFFF"/>
        <w:spacing w:line="360" w:lineRule="auto"/>
        <w:ind w:firstLine="480"/>
        <w:rPr>
          <w:rFonts w:hAnsi="宋体"/>
          <w:sz w:val="24"/>
          <w:szCs w:val="24"/>
        </w:rPr>
      </w:pPr>
      <w:r>
        <w:rPr>
          <w:rFonts w:hint="eastAsia" w:hAnsi="宋体"/>
          <w:sz w:val="24"/>
          <w:szCs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pPr>
        <w:shd w:val="clear" w:color="auto" w:fill="FFFFFF"/>
        <w:spacing w:line="360" w:lineRule="auto"/>
        <w:ind w:firstLine="482"/>
        <w:rPr>
          <w:rFonts w:hAnsi="宋体"/>
          <w:sz w:val="24"/>
          <w:szCs w:val="24"/>
        </w:rPr>
      </w:pPr>
      <w:r>
        <w:rPr>
          <w:rFonts w:hint="eastAsia" w:hAnsi="宋体"/>
          <w:b/>
          <w:bCs/>
          <w:sz w:val="24"/>
          <w:szCs w:val="24"/>
        </w:rPr>
        <w:t>5.加密电子投标文件的提交</w:t>
      </w:r>
    </w:p>
    <w:p>
      <w:pPr>
        <w:shd w:val="clear" w:color="auto" w:fill="FFFFFF"/>
        <w:spacing w:line="360" w:lineRule="auto"/>
        <w:ind w:firstLine="480"/>
        <w:rPr>
          <w:rFonts w:hAnsi="宋体"/>
          <w:sz w:val="24"/>
          <w:szCs w:val="24"/>
        </w:rPr>
      </w:pPr>
      <w:r>
        <w:rPr>
          <w:rFonts w:hint="eastAsia" w:hAnsi="宋体"/>
          <w:sz w:val="24"/>
          <w:szCs w:val="24"/>
        </w:rPr>
        <w:t>5.1加密电子投标文件应按规定在投标截止时间（开标时间）之前成功提交至《全国公共资源交易平台(河南省</w:t>
      </w:r>
      <w:r>
        <w:rPr>
          <w:rFonts w:hint="eastAsia" w:hAnsi="宋体" w:eastAsia="MS Mincho"/>
          <w:sz w:val="24"/>
          <w:szCs w:val="24"/>
        </w:rPr>
        <w:t>▪</w:t>
      </w:r>
      <w:r>
        <w:rPr>
          <w:rFonts w:hint="eastAsia" w:hAnsi="宋体"/>
          <w:sz w:val="24"/>
          <w:szCs w:val="24"/>
        </w:rPr>
        <w:t>许昌市)》公共资源交易系统（</w:t>
      </w:r>
      <w:r>
        <w:rPr>
          <w:rFonts w:hAnsi="宋体"/>
          <w:sz w:val="24"/>
          <w:szCs w:val="24"/>
        </w:rPr>
        <w:fldChar w:fldCharType="begin"/>
      </w:r>
      <w:r>
        <w:rPr>
          <w:rFonts w:hAnsi="宋体"/>
          <w:sz w:val="24"/>
          <w:szCs w:val="24"/>
        </w:rPr>
        <w:instrText xml:space="preserve">HYPERLINK "http://221.14.6.70:8088/ggzy/"</w:instrText>
      </w:r>
      <w:r>
        <w:rPr>
          <w:rFonts w:hAnsi="宋体"/>
          <w:sz w:val="24"/>
          <w:szCs w:val="24"/>
        </w:rPr>
        <w:fldChar w:fldCharType="separate"/>
      </w:r>
      <w:r>
        <w:rPr>
          <w:rStyle w:val="15"/>
          <w:rFonts w:hint="eastAsia" w:ascii="宋体" w:hAnsi="宋体" w:eastAsia="宋体"/>
          <w:color w:val="auto"/>
          <w:sz w:val="24"/>
          <w:szCs w:val="24"/>
          <w:lang w:eastAsia="zh-CN"/>
        </w:rPr>
        <w:t>http://ggzy.xuchang.gov.cn:8088/ggzy/</w:t>
      </w:r>
      <w:r>
        <w:rPr>
          <w:rFonts w:hAnsi="宋体"/>
          <w:sz w:val="24"/>
          <w:szCs w:val="24"/>
        </w:rPr>
        <w:fldChar w:fldCharType="end"/>
      </w:r>
      <w:r>
        <w:rPr>
          <w:rFonts w:hint="eastAsia" w:hAnsi="宋体"/>
          <w:sz w:val="24"/>
          <w:szCs w:val="24"/>
        </w:rPr>
        <w:t>）。</w:t>
      </w:r>
    </w:p>
    <w:p>
      <w:pPr>
        <w:shd w:val="clear" w:color="auto" w:fill="FFFFFF"/>
        <w:spacing w:line="360" w:lineRule="auto"/>
        <w:ind w:firstLine="480"/>
        <w:rPr>
          <w:rFonts w:hAnsi="宋体"/>
          <w:sz w:val="24"/>
          <w:szCs w:val="24"/>
        </w:rPr>
      </w:pPr>
      <w:r>
        <w:rPr>
          <w:rFonts w:hint="eastAsia" w:hAnsi="宋体"/>
          <w:sz w:val="24"/>
          <w:szCs w:val="24"/>
        </w:rPr>
        <w:t>投标人应充分考虑并预留技术处理和上传数据所需时间。</w:t>
      </w:r>
    </w:p>
    <w:p>
      <w:pPr>
        <w:shd w:val="clear" w:color="auto" w:fill="FFFFFF"/>
        <w:spacing w:line="360" w:lineRule="auto"/>
        <w:ind w:firstLine="480"/>
        <w:rPr>
          <w:rFonts w:hAnsi="宋体"/>
          <w:sz w:val="24"/>
          <w:szCs w:val="24"/>
        </w:rPr>
      </w:pPr>
      <w:r>
        <w:rPr>
          <w:rFonts w:hint="eastAsia" w:hAnsi="宋体"/>
          <w:sz w:val="24"/>
          <w:szCs w:val="24"/>
        </w:rPr>
        <w:t>5.2 投标人对同一项目多个标段进行投标的，加密电子投标文件应按标段分别提交。</w:t>
      </w:r>
    </w:p>
    <w:p>
      <w:pPr>
        <w:shd w:val="clear" w:color="auto" w:fill="FFFFFF"/>
        <w:spacing w:line="360" w:lineRule="auto"/>
        <w:ind w:firstLine="480"/>
        <w:jc w:val="left"/>
        <w:rPr>
          <w:rFonts w:hAnsi="宋体"/>
          <w:sz w:val="24"/>
          <w:szCs w:val="24"/>
        </w:rPr>
      </w:pPr>
      <w:r>
        <w:rPr>
          <w:rFonts w:hint="eastAsia" w:hAnsi="宋体"/>
          <w:sz w:val="24"/>
          <w:szCs w:val="24"/>
        </w:rPr>
        <w:t>5.3 加密电子投标文件成功提交后，《全国公共资源交易平台(河南省</w:t>
      </w:r>
      <w:r>
        <w:rPr>
          <w:rFonts w:hint="eastAsia" w:hAnsi="宋体" w:eastAsia="MS Mincho"/>
          <w:sz w:val="24"/>
          <w:szCs w:val="24"/>
        </w:rPr>
        <w:t>▪</w:t>
      </w:r>
      <w:r>
        <w:rPr>
          <w:rFonts w:hint="eastAsia" w:hAnsi="宋体"/>
          <w:sz w:val="24"/>
          <w:szCs w:val="24"/>
        </w:rPr>
        <w:t>许昌市)》公共资源交易系统（</w:t>
      </w:r>
      <w:r>
        <w:rPr>
          <w:rFonts w:hAnsi="宋体"/>
          <w:sz w:val="24"/>
          <w:szCs w:val="24"/>
        </w:rPr>
        <w:fldChar w:fldCharType="begin"/>
      </w:r>
      <w:r>
        <w:rPr>
          <w:rFonts w:hAnsi="宋体"/>
          <w:sz w:val="24"/>
          <w:szCs w:val="24"/>
        </w:rPr>
        <w:instrText xml:space="preserve">HYPERLINK "http://221.14.6.70:8088/ggzy/"</w:instrText>
      </w:r>
      <w:r>
        <w:rPr>
          <w:rFonts w:hAnsi="宋体"/>
          <w:sz w:val="24"/>
          <w:szCs w:val="24"/>
        </w:rPr>
        <w:fldChar w:fldCharType="separate"/>
      </w:r>
      <w:r>
        <w:rPr>
          <w:rStyle w:val="15"/>
          <w:rFonts w:hint="eastAsia" w:ascii="宋体" w:hAnsi="宋体" w:eastAsia="宋体"/>
          <w:color w:val="auto"/>
          <w:sz w:val="24"/>
          <w:szCs w:val="24"/>
          <w:lang w:eastAsia="zh-CN"/>
        </w:rPr>
        <w:t>http://ggzy.xuchang.gov.cn:8088/ggzy/</w:t>
      </w:r>
      <w:r>
        <w:rPr>
          <w:rFonts w:hAnsi="宋体"/>
          <w:sz w:val="24"/>
          <w:szCs w:val="24"/>
        </w:rPr>
        <w:fldChar w:fldCharType="end"/>
      </w:r>
      <w:r>
        <w:rPr>
          <w:rFonts w:hint="eastAsia" w:hAnsi="宋体"/>
          <w:sz w:val="24"/>
          <w:szCs w:val="24"/>
        </w:rPr>
        <w:t>）生成“投标文件提交回执单”。</w:t>
      </w:r>
    </w:p>
    <w:p>
      <w:pPr>
        <w:shd w:val="clear" w:color="auto" w:fill="FFFFFF"/>
        <w:spacing w:line="360" w:lineRule="auto"/>
        <w:ind w:firstLine="482"/>
        <w:rPr>
          <w:rFonts w:hAnsi="宋体"/>
          <w:sz w:val="24"/>
          <w:szCs w:val="24"/>
        </w:rPr>
      </w:pPr>
      <w:r>
        <w:rPr>
          <w:rFonts w:hint="eastAsia" w:hAnsi="宋体"/>
          <w:b/>
          <w:bCs/>
          <w:sz w:val="24"/>
          <w:szCs w:val="24"/>
        </w:rPr>
        <w:t>6.远程不见面开标（电子投标文件的解密）</w:t>
      </w:r>
    </w:p>
    <w:p>
      <w:pPr>
        <w:shd w:val="clear" w:color="auto" w:fill="FFFFFF"/>
        <w:spacing w:line="360" w:lineRule="auto"/>
        <w:ind w:firstLine="480"/>
        <w:rPr>
          <w:rFonts w:hAnsi="宋体"/>
          <w:sz w:val="24"/>
          <w:szCs w:val="24"/>
        </w:rPr>
      </w:pPr>
      <w:r>
        <w:rPr>
          <w:rFonts w:hint="eastAsia" w:hAnsi="宋体"/>
          <w:sz w:val="24"/>
          <w:szCs w:val="24"/>
        </w:rPr>
        <w:t>6.1 投标人应熟悉《许昌市不见面开标操作手册》，并提前设置不见面开标浏览器（设置流程详见《许昌市不见面开标操作手册》）。</w:t>
      </w:r>
    </w:p>
    <w:p>
      <w:pPr>
        <w:shd w:val="clear" w:color="auto" w:fill="FFFFFF"/>
        <w:spacing w:line="360" w:lineRule="auto"/>
        <w:ind w:firstLine="480"/>
        <w:rPr>
          <w:rFonts w:hAnsi="宋体"/>
          <w:sz w:val="24"/>
          <w:szCs w:val="24"/>
        </w:rPr>
      </w:pPr>
      <w:r>
        <w:rPr>
          <w:rFonts w:hint="eastAsia" w:hAnsi="宋体"/>
          <w:sz w:val="24"/>
          <w:szCs w:val="24"/>
        </w:rPr>
        <w:t>6.2 《许昌市不见面开标操作手册》下载路径：全国公共资源交易平台（河南省·许昌市）—“资料下载”栏目。</w:t>
      </w:r>
    </w:p>
    <w:p>
      <w:pPr>
        <w:shd w:val="clear" w:color="auto" w:fill="FFFFFF"/>
        <w:spacing w:line="360" w:lineRule="auto"/>
        <w:ind w:firstLine="480"/>
        <w:rPr>
          <w:rFonts w:hAnsi="宋体"/>
          <w:sz w:val="24"/>
          <w:szCs w:val="24"/>
        </w:rPr>
      </w:pPr>
      <w:r>
        <w:rPr>
          <w:rFonts w:hint="eastAsia" w:hAnsi="宋体"/>
          <w:sz w:val="24"/>
          <w:szCs w:val="24"/>
        </w:rPr>
        <w:t>6.3开标时间前投标人应登录本项目不见面开标大厅，按照招标文件确定的开标时间准时参加网上开标。</w:t>
      </w:r>
    </w:p>
    <w:p>
      <w:pPr>
        <w:shd w:val="clear" w:color="auto" w:fill="FFFFFF"/>
        <w:spacing w:line="360" w:lineRule="auto"/>
        <w:ind w:firstLine="480"/>
        <w:rPr>
          <w:rFonts w:hAnsi="宋体"/>
          <w:sz w:val="24"/>
          <w:szCs w:val="24"/>
        </w:rPr>
      </w:pPr>
      <w:r>
        <w:rPr>
          <w:rFonts w:hint="eastAsia" w:hAnsi="宋体"/>
          <w:sz w:val="24"/>
          <w:szCs w:val="24"/>
        </w:rPr>
        <w:t>6.4投标人对开标过程和开标记录如有疑义，可在本项目不见面开标大厅“文字互动”对话框或“新增质疑”处在线提出询问。</w:t>
      </w:r>
    </w:p>
    <w:p>
      <w:pPr>
        <w:spacing w:line="360" w:lineRule="auto"/>
        <w:ind w:firstLine="480" w:firstLineChars="200"/>
        <w:rPr>
          <w:rFonts w:hAnsi="宋体"/>
          <w:sz w:val="24"/>
        </w:rPr>
      </w:pPr>
      <w:r>
        <w:rPr>
          <w:rFonts w:hint="eastAsia" w:hAnsi="宋体"/>
          <w:sz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shd w:val="clear" w:color="auto" w:fill="FFFFFF"/>
        <w:spacing w:line="360" w:lineRule="auto"/>
        <w:ind w:firstLine="480"/>
        <w:rPr>
          <w:rFonts w:hAnsi="宋体"/>
          <w:sz w:val="24"/>
          <w:szCs w:val="24"/>
        </w:rPr>
      </w:pPr>
      <w:r>
        <w:rPr>
          <w:rFonts w:hint="eastAsia" w:hAnsi="宋体"/>
          <w:sz w:val="24"/>
          <w:szCs w:val="24"/>
        </w:rPr>
        <w:t>6.6项目远程不见面开标活动结束时，投标人应在《开标记录表》上进行电子签章。投标人未签章的，视同认可开标结果。</w:t>
      </w:r>
    </w:p>
    <w:p>
      <w:pPr>
        <w:shd w:val="clear" w:color="auto" w:fill="FFFFFF"/>
        <w:spacing w:line="360" w:lineRule="auto"/>
        <w:ind w:firstLine="480"/>
        <w:rPr>
          <w:rFonts w:hint="eastAsia" w:hAnsi="宋体"/>
          <w:b/>
          <w:sz w:val="24"/>
          <w:szCs w:val="24"/>
        </w:rPr>
      </w:pPr>
      <w:r>
        <w:rPr>
          <w:rFonts w:hint="eastAsia" w:hAnsi="宋体"/>
          <w:b/>
          <w:sz w:val="24"/>
          <w:szCs w:val="24"/>
        </w:rPr>
        <w:t>7.评标依据</w:t>
      </w:r>
    </w:p>
    <w:p>
      <w:pPr>
        <w:shd w:val="clear" w:color="auto" w:fill="FFFFFF"/>
        <w:spacing w:line="360" w:lineRule="auto"/>
        <w:ind w:firstLine="480"/>
        <w:rPr>
          <w:rFonts w:hint="eastAsia" w:hAnsi="宋体"/>
          <w:sz w:val="24"/>
          <w:szCs w:val="24"/>
        </w:rPr>
      </w:pPr>
      <w:r>
        <w:rPr>
          <w:rFonts w:hint="eastAsia" w:hAnsi="宋体"/>
          <w:sz w:val="24"/>
          <w:szCs w:val="24"/>
        </w:rPr>
        <w:t>7.1全流程电子化交易（远程不见面开标）项目，评标委员会以成功上传、解密的电子投标文件为评标依据。</w:t>
      </w:r>
    </w:p>
    <w:p>
      <w:pPr>
        <w:shd w:val="clear" w:color="auto" w:fill="FFFFFF"/>
        <w:spacing w:line="360" w:lineRule="auto"/>
        <w:ind w:firstLine="480"/>
        <w:rPr>
          <w:rFonts w:hint="eastAsia" w:hAnsi="宋体"/>
          <w:sz w:val="24"/>
          <w:szCs w:val="24"/>
        </w:rPr>
      </w:pPr>
      <w:r>
        <w:rPr>
          <w:rFonts w:hint="eastAsia" w:hAnsi="宋体"/>
          <w:sz w:val="24"/>
          <w:szCs w:val="24"/>
        </w:rPr>
        <w:t>7.2评审期间，保持投标文件提供的联系方式畅通，评标委员会随时可能对投标文件内容质询，投标人应及时进行答复（包括但不限于电子文档、电子邮件等）。</w:t>
      </w:r>
    </w:p>
    <w:p>
      <w:pPr>
        <w:shd w:val="clear" w:color="auto" w:fill="FFFFFF"/>
        <w:spacing w:line="360" w:lineRule="auto"/>
        <w:ind w:firstLine="480" w:firstLineChars="200"/>
        <w:rPr>
          <w:rFonts w:hint="eastAsia" w:hAnsi="宋体"/>
          <w:b/>
        </w:rPr>
      </w:pPr>
      <w:r>
        <w:rPr>
          <w:rFonts w:hint="eastAsia" w:hAnsi="宋体"/>
          <w:sz w:val="24"/>
          <w:szCs w:val="24"/>
        </w:rPr>
        <w:t>7.3 有多轮报价的，各投标人应提前准备好分项报价，为多轮报价做好准备，在谈判小组发起报价通知后，在规定时间内提交有效报价。</w:t>
      </w:r>
    </w:p>
    <w:p>
      <w:pPr>
        <w:pStyle w:val="12"/>
        <w:widowControl/>
        <w:shd w:val="clear" w:color="060000" w:fill="FFFFFF"/>
        <w:spacing w:before="0" w:beforeAutospacing="0" w:after="0" w:afterAutospacing="0" w:line="288" w:lineRule="auto"/>
        <w:ind w:firstLine="3614" w:firstLineChars="1000"/>
        <w:jc w:val="both"/>
        <w:rPr>
          <w:rFonts w:ascii="宋体" w:hAnsi="宋体" w:cs="宋体"/>
          <w:b/>
          <w:bCs/>
          <w:sz w:val="36"/>
          <w:szCs w:val="36"/>
        </w:rPr>
      </w:pPr>
    </w:p>
    <w:p>
      <w:pPr>
        <w:pStyle w:val="12"/>
        <w:widowControl/>
        <w:shd w:val="clear" w:color="060000" w:fill="FFFFFF"/>
        <w:spacing w:before="0" w:beforeAutospacing="0" w:after="0" w:afterAutospacing="0" w:line="288" w:lineRule="auto"/>
        <w:ind w:firstLine="3614" w:firstLineChars="1000"/>
        <w:jc w:val="both"/>
        <w:rPr>
          <w:rFonts w:ascii="宋体" w:hAnsi="宋体" w:cs="宋体"/>
          <w:b/>
          <w:bCs/>
          <w:sz w:val="36"/>
          <w:szCs w:val="36"/>
        </w:rPr>
      </w:pPr>
    </w:p>
    <w:p>
      <w:pPr>
        <w:pStyle w:val="12"/>
        <w:widowControl/>
        <w:shd w:val="clear" w:color="060000" w:fill="FFFFFF"/>
        <w:spacing w:before="0" w:beforeAutospacing="0" w:after="0" w:afterAutospacing="0" w:line="288" w:lineRule="auto"/>
        <w:ind w:firstLine="3614" w:firstLineChars="1000"/>
        <w:jc w:val="both"/>
        <w:rPr>
          <w:rFonts w:ascii="宋体" w:hAnsi="宋体" w:cs="宋体"/>
          <w:b/>
          <w:bCs/>
          <w:sz w:val="36"/>
          <w:szCs w:val="36"/>
        </w:rPr>
      </w:pPr>
    </w:p>
    <w:p>
      <w:pPr>
        <w:pStyle w:val="12"/>
        <w:widowControl/>
        <w:shd w:val="clear" w:color="060000" w:fill="FFFFFF"/>
        <w:spacing w:before="0" w:beforeAutospacing="0" w:after="0" w:afterAutospacing="0" w:line="288" w:lineRule="auto"/>
        <w:ind w:firstLine="3614" w:firstLineChars="1000"/>
        <w:jc w:val="both"/>
        <w:rPr>
          <w:rFonts w:ascii="宋体" w:hAnsi="宋体" w:cs="宋体"/>
          <w:b/>
          <w:bCs/>
          <w:sz w:val="36"/>
          <w:szCs w:val="36"/>
        </w:rPr>
      </w:pPr>
    </w:p>
    <w:p>
      <w:pPr>
        <w:pStyle w:val="12"/>
        <w:widowControl/>
        <w:shd w:val="clear" w:color="060000" w:fill="FFFFFF"/>
        <w:spacing w:before="0" w:beforeAutospacing="0" w:after="0" w:afterAutospacing="0" w:line="288" w:lineRule="auto"/>
        <w:ind w:firstLine="3614" w:firstLineChars="1000"/>
        <w:jc w:val="both"/>
        <w:rPr>
          <w:rFonts w:ascii="宋体" w:hAnsi="宋体" w:cs="宋体"/>
          <w:b/>
          <w:bCs/>
          <w:sz w:val="36"/>
          <w:szCs w:val="36"/>
        </w:rPr>
      </w:pPr>
    </w:p>
    <w:p>
      <w:pPr>
        <w:pStyle w:val="12"/>
        <w:widowControl/>
        <w:shd w:val="clear" w:color="060000" w:fill="FFFFFF"/>
        <w:spacing w:before="0" w:beforeAutospacing="0" w:after="0" w:afterAutospacing="0" w:line="288" w:lineRule="auto"/>
        <w:ind w:firstLine="3614" w:firstLineChars="1000"/>
        <w:jc w:val="both"/>
        <w:rPr>
          <w:rFonts w:ascii="宋体" w:hAnsi="宋体" w:cs="宋体"/>
          <w:b/>
          <w:bCs/>
          <w:sz w:val="36"/>
          <w:szCs w:val="36"/>
        </w:rPr>
      </w:pPr>
    </w:p>
    <w:p>
      <w:pPr>
        <w:pStyle w:val="12"/>
        <w:widowControl/>
        <w:shd w:val="clear" w:color="060000" w:fill="FFFFFF"/>
        <w:spacing w:before="0" w:beforeAutospacing="0" w:after="0" w:afterAutospacing="0" w:line="288" w:lineRule="auto"/>
        <w:ind w:firstLine="3614" w:firstLineChars="1000"/>
        <w:jc w:val="both"/>
        <w:rPr>
          <w:rFonts w:ascii="宋体" w:hAnsi="宋体" w:cs="宋体"/>
          <w:b/>
          <w:bCs/>
          <w:sz w:val="36"/>
          <w:szCs w:val="36"/>
        </w:rPr>
      </w:pPr>
    </w:p>
    <w:p>
      <w:pPr>
        <w:pStyle w:val="12"/>
        <w:widowControl/>
        <w:shd w:val="clear" w:color="060000" w:fill="FFFFFF"/>
        <w:spacing w:before="0" w:beforeAutospacing="0" w:after="0" w:afterAutospacing="0" w:line="288" w:lineRule="auto"/>
        <w:ind w:firstLine="3614" w:firstLineChars="1000"/>
        <w:jc w:val="both"/>
        <w:rPr>
          <w:rFonts w:ascii="宋体" w:hAnsi="宋体" w:cs="宋体"/>
          <w:b/>
          <w:bCs/>
          <w:sz w:val="36"/>
          <w:szCs w:val="36"/>
        </w:rPr>
      </w:pPr>
    </w:p>
    <w:p>
      <w:pPr>
        <w:pStyle w:val="12"/>
        <w:widowControl/>
        <w:shd w:val="clear" w:color="060000" w:fill="FFFFFF"/>
        <w:spacing w:before="0" w:beforeAutospacing="0" w:after="0" w:afterAutospacing="0" w:line="288" w:lineRule="auto"/>
        <w:ind w:firstLine="3614" w:firstLineChars="1000"/>
        <w:jc w:val="both"/>
        <w:rPr>
          <w:rFonts w:ascii="宋体" w:hAnsi="宋体" w:cs="宋体"/>
          <w:b/>
          <w:bCs/>
          <w:sz w:val="36"/>
          <w:szCs w:val="36"/>
        </w:rPr>
      </w:pPr>
    </w:p>
    <w:p>
      <w:pPr>
        <w:pStyle w:val="12"/>
        <w:widowControl/>
        <w:shd w:val="clear" w:color="060000" w:fill="FFFFFF"/>
        <w:spacing w:before="0" w:beforeAutospacing="0" w:after="0" w:afterAutospacing="0" w:line="288" w:lineRule="auto"/>
        <w:ind w:firstLine="3614" w:firstLineChars="1000"/>
        <w:jc w:val="both"/>
        <w:rPr>
          <w:rFonts w:ascii="宋体" w:hAnsi="宋体" w:cs="宋体"/>
          <w:b/>
          <w:bCs/>
          <w:sz w:val="36"/>
          <w:szCs w:val="36"/>
        </w:rPr>
      </w:pPr>
    </w:p>
    <w:p>
      <w:pPr>
        <w:pStyle w:val="12"/>
        <w:widowControl/>
        <w:shd w:val="clear" w:color="060000" w:fill="FFFFFF"/>
        <w:spacing w:before="0" w:beforeAutospacing="0" w:after="0" w:afterAutospacing="0" w:line="288" w:lineRule="auto"/>
        <w:ind w:firstLine="3614" w:firstLineChars="1000"/>
        <w:jc w:val="both"/>
        <w:rPr>
          <w:rFonts w:ascii="宋体" w:hAnsi="宋体" w:cs="宋体"/>
          <w:b/>
          <w:bCs/>
          <w:sz w:val="36"/>
          <w:szCs w:val="36"/>
        </w:rPr>
      </w:pPr>
    </w:p>
    <w:p>
      <w:pPr>
        <w:pStyle w:val="12"/>
        <w:widowControl/>
        <w:shd w:val="clear" w:color="060000" w:fill="FFFFFF"/>
        <w:spacing w:before="0" w:beforeAutospacing="0" w:after="0" w:afterAutospacing="0" w:line="288" w:lineRule="auto"/>
        <w:jc w:val="both"/>
        <w:rPr>
          <w:rFonts w:hint="eastAsia" w:ascii="宋体" w:hAnsi="宋体" w:cs="宋体"/>
          <w:b/>
          <w:bCs/>
          <w:sz w:val="36"/>
          <w:szCs w:val="36"/>
        </w:rPr>
      </w:pPr>
    </w:p>
    <w:p>
      <w:pPr>
        <w:pStyle w:val="12"/>
        <w:widowControl/>
        <w:shd w:val="clear" w:color="060000" w:fill="FFFFFF"/>
        <w:spacing w:before="0" w:beforeAutospacing="0" w:after="0" w:afterAutospacing="0" w:line="288" w:lineRule="auto"/>
        <w:ind w:firstLine="3614" w:firstLineChars="1000"/>
        <w:jc w:val="both"/>
        <w:rPr>
          <w:rFonts w:ascii="宋体" w:hAnsi="宋体" w:cs="宋体"/>
          <w:b/>
          <w:bCs/>
          <w:sz w:val="36"/>
          <w:szCs w:val="36"/>
        </w:rPr>
      </w:pPr>
      <w:r>
        <w:rPr>
          <w:rFonts w:hint="eastAsia" w:ascii="宋体" w:hAnsi="宋体" w:cs="宋体"/>
          <w:b/>
          <w:bCs/>
          <w:sz w:val="36"/>
          <w:szCs w:val="36"/>
        </w:rPr>
        <w:t>第二章投标人须知</w:t>
      </w:r>
      <w:bookmarkEnd w:id="0"/>
      <w:bookmarkEnd w:id="1"/>
      <w:bookmarkEnd w:id="2"/>
      <w:bookmarkEnd w:id="3"/>
      <w:bookmarkStart w:id="4" w:name="_Toc1802"/>
    </w:p>
    <w:p>
      <w:pPr>
        <w:pStyle w:val="12"/>
        <w:widowControl/>
        <w:shd w:val="clear" w:color="060000" w:fill="FFFFFF"/>
        <w:spacing w:before="0" w:beforeAutospacing="0" w:after="0" w:afterAutospacing="0" w:line="288" w:lineRule="auto"/>
        <w:rPr>
          <w:rFonts w:ascii="宋体" w:hAnsi="宋体" w:cs="宋体"/>
          <w:b/>
          <w:sz w:val="28"/>
          <w:szCs w:val="21"/>
        </w:rPr>
      </w:pPr>
      <w:bookmarkStart w:id="5" w:name="_Toc21334"/>
      <w:r>
        <w:rPr>
          <w:rFonts w:hint="eastAsia" w:ascii="宋体" w:hAnsi="宋体" w:cs="宋体"/>
          <w:b/>
          <w:sz w:val="28"/>
          <w:szCs w:val="21"/>
        </w:rPr>
        <w:t>投标人须知前附表</w:t>
      </w:r>
      <w:bookmarkEnd w:id="4"/>
      <w:bookmarkEnd w:id="5"/>
    </w:p>
    <w:tbl>
      <w:tblPr>
        <w:tblStyle w:val="16"/>
        <w:tblW w:w="100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26"/>
        <w:gridCol w:w="19"/>
        <w:gridCol w:w="41"/>
        <w:gridCol w:w="2249"/>
        <w:gridCol w:w="61"/>
        <w:gridCol w:w="421"/>
        <w:gridCol w:w="6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条款号</w:t>
            </w:r>
          </w:p>
        </w:tc>
        <w:tc>
          <w:tcPr>
            <w:tcW w:w="2249"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条款名称</w:t>
            </w:r>
          </w:p>
        </w:tc>
        <w:tc>
          <w:tcPr>
            <w:tcW w:w="6694"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w:t>
            </w:r>
            <w:r>
              <w:rPr>
                <w:rFonts w:hint="eastAsia" w:cs="宋体" w:asciiTheme="minorEastAsia" w:hAnsiTheme="minorEastAsia" w:eastAsiaTheme="minorEastAsia"/>
                <w:kern w:val="0"/>
                <w:sz w:val="24"/>
                <w:lang w:val="en-US" w:eastAsia="zh-CN"/>
              </w:rPr>
              <w:t>2</w:t>
            </w:r>
          </w:p>
        </w:tc>
        <w:tc>
          <w:tcPr>
            <w:tcW w:w="2249" w:type="dxa"/>
            <w:vAlign w:val="center"/>
          </w:tcPr>
          <w:p>
            <w:pPr>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招标人</w:t>
            </w:r>
          </w:p>
        </w:tc>
        <w:tc>
          <w:tcPr>
            <w:tcW w:w="6694" w:type="dxa"/>
            <w:gridSpan w:val="3"/>
            <w:vAlign w:val="center"/>
          </w:tcPr>
          <w:p>
            <w:pPr>
              <w:spacing w:line="288" w:lineRule="auto"/>
              <w:jc w:val="left"/>
              <w:rPr>
                <w:rFonts w:hint="eastAsia" w:cs="宋体" w:asciiTheme="minorEastAsia" w:hAnsiTheme="minorEastAsia" w:eastAsiaTheme="minorEastAsia"/>
              </w:rPr>
            </w:pPr>
            <w:r>
              <w:rPr>
                <w:rFonts w:hint="eastAsia" w:cs="宋体" w:asciiTheme="minorEastAsia" w:hAnsiTheme="minorEastAsia" w:eastAsiaTheme="minorEastAsia"/>
              </w:rPr>
              <w:t xml:space="preserve">招标人：长葛市农业农村局                    </w:t>
            </w:r>
          </w:p>
          <w:p>
            <w:pPr>
              <w:spacing w:line="288" w:lineRule="auto"/>
              <w:jc w:val="left"/>
              <w:rPr>
                <w:rFonts w:hint="eastAsia" w:cs="宋体" w:asciiTheme="minorEastAsia" w:hAnsiTheme="minorEastAsia" w:eastAsiaTheme="minorEastAsia"/>
              </w:rPr>
            </w:pPr>
            <w:r>
              <w:rPr>
                <w:rFonts w:hint="eastAsia" w:cs="宋体" w:asciiTheme="minorEastAsia" w:hAnsiTheme="minorEastAsia" w:eastAsiaTheme="minorEastAsia"/>
              </w:rPr>
              <w:t xml:space="preserve">联系人地址：长葛市葛天大道             </w:t>
            </w:r>
          </w:p>
          <w:p>
            <w:pPr>
              <w:spacing w:line="288" w:lineRule="auto"/>
              <w:jc w:val="left"/>
              <w:rPr>
                <w:rFonts w:hint="eastAsia" w:cs="宋体" w:asciiTheme="minorEastAsia" w:hAnsiTheme="minorEastAsia" w:eastAsiaTheme="minorEastAsia"/>
              </w:rPr>
            </w:pPr>
            <w:r>
              <w:rPr>
                <w:rFonts w:hint="eastAsia" w:cs="宋体" w:asciiTheme="minorEastAsia" w:hAnsiTheme="minorEastAsia" w:eastAsiaTheme="minorEastAsia"/>
              </w:rPr>
              <w:t>联系人：</w:t>
            </w:r>
            <w:r>
              <w:rPr>
                <w:rFonts w:hint="eastAsia" w:cs="宋体" w:asciiTheme="minorEastAsia" w:hAnsiTheme="minorEastAsia" w:eastAsiaTheme="minorEastAsia"/>
                <w:lang w:eastAsia="zh-CN"/>
              </w:rPr>
              <w:t>王</w:t>
            </w:r>
            <w:r>
              <w:rPr>
                <w:rFonts w:hint="eastAsia" w:cs="宋体" w:asciiTheme="minorEastAsia" w:hAnsiTheme="minorEastAsia" w:eastAsiaTheme="minorEastAsia"/>
              </w:rPr>
              <w:t xml:space="preserve">先生 </w:t>
            </w:r>
          </w:p>
          <w:p>
            <w:pPr>
              <w:spacing w:line="288" w:lineRule="auto"/>
              <w:jc w:val="left"/>
              <w:rPr>
                <w:rFonts w:cs="宋体" w:asciiTheme="minorEastAsia" w:hAnsiTheme="minorEastAsia" w:eastAsiaTheme="minorEastAsia"/>
              </w:rPr>
            </w:pPr>
            <w:r>
              <w:rPr>
                <w:rFonts w:hint="eastAsia" w:cs="宋体" w:asciiTheme="minorEastAsia" w:hAnsiTheme="minorEastAsia" w:eastAsiaTheme="minorEastAsia"/>
              </w:rPr>
              <w:t xml:space="preserve">联系电话：0374- 7010058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w:t>
            </w:r>
            <w:r>
              <w:rPr>
                <w:rFonts w:hint="eastAsia" w:cs="宋体" w:asciiTheme="minorEastAsia" w:hAnsiTheme="minorEastAsia" w:eastAsiaTheme="minorEastAsia"/>
                <w:kern w:val="0"/>
                <w:sz w:val="24"/>
                <w:lang w:val="en-US" w:eastAsia="zh-CN"/>
              </w:rPr>
              <w:t>3</w:t>
            </w:r>
          </w:p>
        </w:tc>
        <w:tc>
          <w:tcPr>
            <w:tcW w:w="2249" w:type="dxa"/>
            <w:vAlign w:val="center"/>
          </w:tcPr>
          <w:p>
            <w:pPr>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代理机构</w:t>
            </w:r>
          </w:p>
        </w:tc>
        <w:tc>
          <w:tcPr>
            <w:tcW w:w="6694" w:type="dxa"/>
            <w:gridSpan w:val="3"/>
            <w:vAlign w:val="center"/>
          </w:tcPr>
          <w:p>
            <w:pPr>
              <w:spacing w:line="288"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招标代理机构：许昌建设工程项目管理有限公司</w:t>
            </w:r>
          </w:p>
          <w:p>
            <w:pPr>
              <w:spacing w:line="288"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地    址：许昌市东城区东泰大厦五楼</w:t>
            </w:r>
          </w:p>
          <w:p>
            <w:pPr>
              <w:spacing w:line="288"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联系人：于女士</w:t>
            </w:r>
          </w:p>
          <w:p>
            <w:pPr>
              <w:spacing w:line="288" w:lineRule="auto"/>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rPr>
              <w:t>联系电话：0374-</w:t>
            </w:r>
            <w:r>
              <w:rPr>
                <w:rFonts w:hint="eastAsia" w:ascii="宋体" w:hAnsi="宋体"/>
                <w:szCs w:val="21"/>
                <w:lang w:val="en-US" w:eastAsia="zh-CN"/>
              </w:rPr>
              <w:t>6098899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1110" w:type="dxa"/>
            <w:gridSpan w:val="4"/>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w:t>
            </w:r>
            <w:r>
              <w:rPr>
                <w:rFonts w:hint="eastAsia" w:cs="宋体" w:asciiTheme="minorEastAsia" w:hAnsiTheme="minorEastAsia" w:eastAsiaTheme="minorEastAsia"/>
                <w:kern w:val="0"/>
                <w:sz w:val="24"/>
                <w:lang w:val="en-US" w:eastAsia="zh-CN"/>
              </w:rPr>
              <w:t>4</w:t>
            </w:r>
          </w:p>
        </w:tc>
        <w:tc>
          <w:tcPr>
            <w:tcW w:w="2249" w:type="dxa"/>
            <w:vAlign w:val="center"/>
          </w:tcPr>
          <w:p>
            <w:pPr>
              <w:spacing w:line="312"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项目名称</w:t>
            </w:r>
          </w:p>
        </w:tc>
        <w:tc>
          <w:tcPr>
            <w:tcW w:w="6694" w:type="dxa"/>
            <w:gridSpan w:val="3"/>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kern w:val="0"/>
                <w:sz w:val="24"/>
              </w:rPr>
              <w:t>长葛市和尚桥镇2.4万亩高标准农田建设项目（</w:t>
            </w:r>
            <w:r>
              <w:rPr>
                <w:rFonts w:hint="eastAsia" w:cs="宋体" w:asciiTheme="minorEastAsia" w:hAnsiTheme="minorEastAsia" w:eastAsiaTheme="minorEastAsia"/>
                <w:kern w:val="0"/>
                <w:sz w:val="24"/>
                <w:lang w:val="en-US" w:eastAsia="zh-CN"/>
              </w:rPr>
              <w:t>21</w:t>
            </w:r>
            <w:r>
              <w:rPr>
                <w:rFonts w:hint="eastAsia" w:cs="宋体" w:asciiTheme="minorEastAsia" w:hAnsiTheme="minorEastAsia" w:eastAsiaTheme="minorEastAsia"/>
                <w:kern w:val="0"/>
                <w:sz w:val="24"/>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w:t>
            </w:r>
            <w:r>
              <w:rPr>
                <w:rFonts w:hint="eastAsia" w:cs="宋体" w:asciiTheme="minorEastAsia" w:hAnsiTheme="minorEastAsia" w:eastAsiaTheme="minorEastAsia"/>
                <w:kern w:val="0"/>
                <w:sz w:val="24"/>
                <w:lang w:val="en-US" w:eastAsia="zh-CN"/>
              </w:rPr>
              <w:t>5</w:t>
            </w:r>
          </w:p>
        </w:tc>
        <w:tc>
          <w:tcPr>
            <w:tcW w:w="2249" w:type="dxa"/>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建设地点</w:t>
            </w:r>
          </w:p>
        </w:tc>
        <w:tc>
          <w:tcPr>
            <w:tcW w:w="6694" w:type="dxa"/>
            <w:gridSpan w:val="3"/>
            <w:vAlign w:val="center"/>
          </w:tcPr>
          <w:p>
            <w:pPr>
              <w:autoSpaceDE w:val="0"/>
              <w:autoSpaceDN w:val="0"/>
              <w:adjustRightInd w:val="0"/>
              <w:spacing w:line="312" w:lineRule="auto"/>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eastAsia="zh-CN"/>
              </w:rPr>
              <w:t>本项目位于</w:t>
            </w:r>
            <w:r>
              <w:rPr>
                <w:rFonts w:hint="eastAsia" w:cs="宋体" w:asciiTheme="minorEastAsia" w:hAnsiTheme="minorEastAsia" w:eastAsiaTheme="minorEastAsia"/>
                <w:color w:val="auto"/>
                <w:sz w:val="24"/>
              </w:rPr>
              <w:t>长葛市和尚桥镇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1.2.1</w:t>
            </w:r>
          </w:p>
        </w:tc>
        <w:tc>
          <w:tcPr>
            <w:tcW w:w="2249"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资金来源及比例</w:t>
            </w:r>
          </w:p>
        </w:tc>
        <w:tc>
          <w:tcPr>
            <w:tcW w:w="6694" w:type="dxa"/>
            <w:gridSpan w:val="3"/>
            <w:vAlign w:val="center"/>
          </w:tcPr>
          <w:p>
            <w:pPr>
              <w:autoSpaceDE w:val="0"/>
              <w:autoSpaceDN w:val="0"/>
              <w:adjustRightInd w:val="0"/>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100%</w:t>
            </w:r>
            <w:r>
              <w:rPr>
                <w:rFonts w:hint="eastAsia" w:cs="宋体" w:asciiTheme="minorEastAsia" w:hAnsiTheme="minorEastAsia" w:eastAsiaTheme="minorEastAsia"/>
                <w:kern w:val="0"/>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1.2.2</w:t>
            </w:r>
          </w:p>
        </w:tc>
        <w:tc>
          <w:tcPr>
            <w:tcW w:w="2249"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资金落实情况</w:t>
            </w:r>
          </w:p>
        </w:tc>
        <w:tc>
          <w:tcPr>
            <w:tcW w:w="6694" w:type="dxa"/>
            <w:gridSpan w:val="3"/>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已经落实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1.3.1</w:t>
            </w:r>
          </w:p>
        </w:tc>
        <w:tc>
          <w:tcPr>
            <w:tcW w:w="2249"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招标范围</w:t>
            </w:r>
          </w:p>
        </w:tc>
        <w:tc>
          <w:tcPr>
            <w:tcW w:w="6694" w:type="dxa"/>
            <w:gridSpan w:val="3"/>
            <w:vAlign w:val="center"/>
          </w:tcPr>
          <w:p>
            <w:pPr>
              <w:rPr>
                <w:rFonts w:cs="宋体" w:asciiTheme="minorEastAsia" w:hAnsiTheme="minorEastAsia" w:eastAsiaTheme="minorEastAsia"/>
                <w:kern w:val="0"/>
                <w:sz w:val="24"/>
              </w:rPr>
            </w:pPr>
            <w:r>
              <w:rPr>
                <w:rFonts w:hint="eastAsia" w:ascii="宋体" w:hAnsi="宋体" w:cs="楷体"/>
                <w:color w:val="auto"/>
                <w:sz w:val="24"/>
                <w:lang w:val="en-US" w:eastAsia="zh-CN"/>
              </w:rPr>
              <w:t>本项目施工阶段和保修期的监理工作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1.3.2</w:t>
            </w:r>
          </w:p>
        </w:tc>
        <w:tc>
          <w:tcPr>
            <w:tcW w:w="2249" w:type="dxa"/>
            <w:vAlign w:val="center"/>
          </w:tcPr>
          <w:p>
            <w:pPr>
              <w:autoSpaceDE w:val="0"/>
              <w:autoSpaceDN w:val="0"/>
              <w:adjustRightInd w:val="0"/>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监理周期</w:t>
            </w:r>
          </w:p>
        </w:tc>
        <w:tc>
          <w:tcPr>
            <w:tcW w:w="6694" w:type="dxa"/>
            <w:gridSpan w:val="3"/>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同施工工期（含保修期）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1.3.3</w:t>
            </w:r>
          </w:p>
        </w:tc>
        <w:tc>
          <w:tcPr>
            <w:tcW w:w="2249" w:type="dxa"/>
            <w:vAlign w:val="center"/>
          </w:tcPr>
          <w:p>
            <w:pPr>
              <w:autoSpaceDE w:val="0"/>
              <w:autoSpaceDN w:val="0"/>
              <w:adjustRightInd w:val="0"/>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质量要求</w:t>
            </w:r>
          </w:p>
        </w:tc>
        <w:tc>
          <w:tcPr>
            <w:tcW w:w="6694" w:type="dxa"/>
            <w:gridSpan w:val="3"/>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110" w:type="dxa"/>
            <w:gridSpan w:val="4"/>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1.4.1</w:t>
            </w:r>
          </w:p>
        </w:tc>
        <w:tc>
          <w:tcPr>
            <w:tcW w:w="2249" w:type="dxa"/>
            <w:vAlign w:val="center"/>
          </w:tcPr>
          <w:p>
            <w:pPr>
              <w:autoSpaceDE w:val="0"/>
              <w:autoSpaceDN w:val="0"/>
              <w:adjustRightInd w:val="0"/>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投标人资质条件和能力</w:t>
            </w:r>
          </w:p>
        </w:tc>
        <w:tc>
          <w:tcPr>
            <w:tcW w:w="6694" w:type="dxa"/>
            <w:gridSpan w:val="3"/>
            <w:vAlign w:val="center"/>
          </w:tcPr>
          <w:p>
            <w:pPr>
              <w:spacing w:line="312"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kern w:val="0"/>
                <w:sz w:val="24"/>
                <w:lang w:eastAsia="zh-CN"/>
              </w:rPr>
              <w:t>、</w:t>
            </w:r>
            <w:r>
              <w:rPr>
                <w:rFonts w:hint="eastAsia" w:cs="宋体" w:asciiTheme="minorEastAsia" w:hAnsiTheme="minorEastAsia" w:eastAsiaTheme="minorEastAsia"/>
                <w:kern w:val="0"/>
                <w:sz w:val="24"/>
              </w:rPr>
              <w:t>本次招标要求投标人须具备独立法人资格，良好的财务状况，良好的社会信誉。</w:t>
            </w:r>
          </w:p>
          <w:p>
            <w:pPr>
              <w:spacing w:line="360" w:lineRule="auto"/>
              <w:jc w:val="left"/>
              <w:outlineLvl w:val="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2、资质要求：投标人须具有监理综合甲级资质或农林工程监理甲级资质或水利水电工程监理乙级及以上资质，拟任总监理工程师具有相关专业监理工程师资格证书。</w:t>
            </w:r>
          </w:p>
          <w:p>
            <w:pPr>
              <w:spacing w:line="312" w:lineRule="auto"/>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3、未被列入“信用中国”、“信用河南”网站信用信息栏黑名单、“国家企业信用信息公示系统”经营异常名录或严重失信黑名单, “中国裁判文书网”无行贿犯罪记录的投标人。</w:t>
            </w:r>
          </w:p>
          <w:p>
            <w:pPr>
              <w:spacing w:line="312" w:lineRule="auto"/>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4、不接受联合体投标。</w:t>
            </w:r>
          </w:p>
          <w:p>
            <w:pPr>
              <w:spacing w:line="312" w:lineRule="auto"/>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5、与招标人存在利害关系可能影响招标公正性的法人、其他组织或者个人，不得参加投标；单位负责人为同一人或者存在控股、管理关系的不同单位，不得参加同一招标项目投标或者划分标段的同一标段招标项目投标。</w:t>
            </w:r>
          </w:p>
          <w:p>
            <w:pPr>
              <w:spacing w:line="312" w:lineRule="auto"/>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6、 本项目不得转包、挂靠及违法分包。</w:t>
            </w:r>
          </w:p>
          <w:p>
            <w:pPr>
              <w:spacing w:line="312" w:lineRule="auto"/>
            </w:pPr>
            <w:r>
              <w:rPr>
                <w:rFonts w:hint="eastAsia" w:cs="宋体" w:asciiTheme="minorEastAsia" w:hAnsiTheme="minorEastAsia" w:eastAsiaTheme="minorEastAsia"/>
                <w:kern w:val="0"/>
                <w:sz w:val="24"/>
                <w:lang w:val="en-US" w:eastAsia="zh-CN"/>
              </w:rPr>
              <w:t>7、投标人可对本次招标多个标段进行投标，但只能按标段设置先后顺序依次中取一个标段。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1.4.2</w:t>
            </w:r>
          </w:p>
        </w:tc>
        <w:tc>
          <w:tcPr>
            <w:tcW w:w="2249"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是否接受联合体投标</w:t>
            </w:r>
          </w:p>
        </w:tc>
        <w:tc>
          <w:tcPr>
            <w:tcW w:w="6694" w:type="dxa"/>
            <w:gridSpan w:val="3"/>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1.9.1</w:t>
            </w:r>
          </w:p>
        </w:tc>
        <w:tc>
          <w:tcPr>
            <w:tcW w:w="2249"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踏勘现场</w:t>
            </w:r>
          </w:p>
        </w:tc>
        <w:tc>
          <w:tcPr>
            <w:tcW w:w="6694" w:type="dxa"/>
            <w:gridSpan w:val="3"/>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不组织，投标人可自行踏勘现场。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1.10.1</w:t>
            </w:r>
          </w:p>
        </w:tc>
        <w:tc>
          <w:tcPr>
            <w:tcW w:w="2249"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投标预备会</w:t>
            </w:r>
          </w:p>
        </w:tc>
        <w:tc>
          <w:tcPr>
            <w:tcW w:w="6694" w:type="dxa"/>
            <w:gridSpan w:val="3"/>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1.10.2</w:t>
            </w:r>
          </w:p>
        </w:tc>
        <w:tc>
          <w:tcPr>
            <w:tcW w:w="2249" w:type="dxa"/>
            <w:vAlign w:val="center"/>
          </w:tcPr>
          <w:p>
            <w:pPr>
              <w:autoSpaceDE w:val="0"/>
              <w:autoSpaceDN w:val="0"/>
              <w:adjustRightInd w:val="0"/>
              <w:jc w:val="center"/>
              <w:rPr>
                <w:rFonts w:cs="宋体" w:asciiTheme="minorEastAsia" w:hAnsiTheme="minorEastAsia" w:eastAsiaTheme="minorEastAsia"/>
                <w:kern w:val="0"/>
                <w:sz w:val="24"/>
              </w:rPr>
            </w:pPr>
            <w:r>
              <w:rPr>
                <w:rFonts w:hint="eastAsia" w:cs="宋体" w:asciiTheme="minorEastAsia" w:hAnsiTheme="minorEastAsia" w:eastAsiaTheme="minorEastAsia"/>
                <w:sz w:val="24"/>
              </w:rPr>
              <w:t>投标人提出问题的截止时间</w:t>
            </w:r>
          </w:p>
        </w:tc>
        <w:tc>
          <w:tcPr>
            <w:tcW w:w="6694" w:type="dxa"/>
            <w:gridSpan w:val="3"/>
            <w:vAlign w:val="center"/>
          </w:tcPr>
          <w:p>
            <w:pPr>
              <w:rPr>
                <w:rFonts w:cs="宋体" w:asciiTheme="minorEastAsia" w:hAnsiTheme="minorEastAsia" w:eastAsiaTheme="minorEastAsia"/>
                <w:kern w:val="0"/>
                <w:sz w:val="24"/>
              </w:rPr>
            </w:pPr>
            <w:r>
              <w:rPr>
                <w:rFonts w:hint="eastAsia" w:cs="宋体" w:asciiTheme="minorEastAsia" w:hAnsiTheme="minorEastAsia" w:eastAsiaTheme="minorEastAsia"/>
                <w:sz w:val="24"/>
              </w:rPr>
              <w:t>递交投标文件截止之日10日前通过公共资源交易系统电子平台发出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1.10.3</w:t>
            </w:r>
          </w:p>
        </w:tc>
        <w:tc>
          <w:tcPr>
            <w:tcW w:w="2249" w:type="dxa"/>
            <w:vAlign w:val="center"/>
          </w:tcPr>
          <w:p>
            <w:pPr>
              <w:jc w:val="center"/>
              <w:rPr>
                <w:rFonts w:asciiTheme="minorEastAsia" w:hAnsiTheme="minorEastAsia" w:eastAsiaTheme="minorEastAsia"/>
                <w:sz w:val="24"/>
              </w:rPr>
            </w:pPr>
            <w:r>
              <w:rPr>
                <w:rFonts w:hint="eastAsia" w:cs="宋体" w:asciiTheme="minorEastAsia" w:hAnsiTheme="minorEastAsia" w:eastAsiaTheme="minorEastAsia"/>
                <w:sz w:val="24"/>
              </w:rPr>
              <w:t>招标人澄清的时间</w:t>
            </w:r>
          </w:p>
        </w:tc>
        <w:tc>
          <w:tcPr>
            <w:tcW w:w="6694" w:type="dxa"/>
            <w:gridSpan w:val="3"/>
            <w:vAlign w:val="center"/>
          </w:tcPr>
          <w:p>
            <w:pPr>
              <w:rPr>
                <w:rFonts w:cs="仿宋_GB2312" w:asciiTheme="minorEastAsia" w:hAnsiTheme="minorEastAsia" w:eastAsiaTheme="minorEastAsia"/>
                <w:sz w:val="24"/>
              </w:rPr>
            </w:pPr>
            <w:r>
              <w:rPr>
                <w:rFonts w:hint="eastAsia" w:cs="宋体" w:asciiTheme="minorEastAsia" w:hAnsiTheme="minorEastAsia" w:eastAsiaTheme="minorEastAsia"/>
                <w:sz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1.11</w:t>
            </w:r>
          </w:p>
        </w:tc>
        <w:tc>
          <w:tcPr>
            <w:tcW w:w="2249"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分包</w:t>
            </w:r>
          </w:p>
        </w:tc>
        <w:tc>
          <w:tcPr>
            <w:tcW w:w="6694" w:type="dxa"/>
            <w:gridSpan w:val="3"/>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1.12</w:t>
            </w:r>
          </w:p>
        </w:tc>
        <w:tc>
          <w:tcPr>
            <w:tcW w:w="2249"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偏离</w:t>
            </w:r>
          </w:p>
        </w:tc>
        <w:tc>
          <w:tcPr>
            <w:tcW w:w="6694" w:type="dxa"/>
            <w:gridSpan w:val="3"/>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2.1</w:t>
            </w:r>
          </w:p>
        </w:tc>
        <w:tc>
          <w:tcPr>
            <w:tcW w:w="2249"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招标文件的下载</w:t>
            </w:r>
          </w:p>
        </w:tc>
        <w:tc>
          <w:tcPr>
            <w:tcW w:w="6694" w:type="dxa"/>
            <w:gridSpan w:val="3"/>
            <w:vAlign w:val="center"/>
          </w:tcPr>
          <w:p>
            <w:pPr>
              <w:spacing w:line="312" w:lineRule="auto"/>
              <w:rPr>
                <w:rFonts w:cs="宋体" w:asciiTheme="minorEastAsia" w:hAnsiTheme="minorEastAsia" w:eastAsiaTheme="minorEastAsia"/>
                <w:kern w:val="0"/>
                <w:sz w:val="24"/>
              </w:rPr>
            </w:pPr>
            <w:r>
              <w:rPr>
                <w:rFonts w:hint="eastAsia" w:cs="仿宋_GB2312" w:asciiTheme="minorEastAsia" w:hAnsiTheme="minorEastAsia" w:eastAsiaTheme="minorEastAsia"/>
                <w:sz w:val="24"/>
              </w:rPr>
              <w:t>招标文件的获取：投标人于投标文件递交截止时间前均可登录【全国公共资源交易平台(河南省</w:t>
            </w:r>
            <w:r>
              <w:rPr>
                <w:rFonts w:hint="eastAsia" w:ascii="MS Mincho" w:hAnsi="MS Mincho" w:eastAsia="MS Mincho" w:cs="MS Mincho"/>
                <w:sz w:val="24"/>
              </w:rPr>
              <w:t>▪</w:t>
            </w:r>
            <w:r>
              <w:rPr>
                <w:rFonts w:hint="eastAsia" w:ascii="宋体" w:hAnsi="宋体" w:cs="宋体"/>
                <w:sz w:val="24"/>
              </w:rPr>
              <w:t>许昌市</w:t>
            </w:r>
            <w:r>
              <w:rPr>
                <w:rFonts w:hint="eastAsia" w:cs="仿宋_GB2312" w:asciiTheme="minorEastAsia" w:hAnsiTheme="minorEastAsia" w:eastAsiaTheme="minorEastAsia"/>
                <w:sz w:val="24"/>
              </w:rPr>
              <w:t>)】（</w:t>
            </w:r>
            <w:r>
              <w:fldChar w:fldCharType="begin"/>
            </w:r>
            <w:r>
              <w:instrText xml:space="preserve"> HYPERLINK "http://www.ggzy.xuchang.gov.cn/" </w:instrText>
            </w:r>
            <w:r>
              <w:fldChar w:fldCharType="separate"/>
            </w:r>
            <w:r>
              <w:rPr>
                <w:rStyle w:val="15"/>
                <w:rFonts w:hint="eastAsia" w:cs="仿宋_GB2312" w:asciiTheme="minorEastAsia" w:hAnsiTheme="minorEastAsia" w:eastAsiaTheme="minorEastAsia"/>
                <w:color w:val="auto"/>
                <w:sz w:val="24"/>
              </w:rPr>
              <w:t>http://www.ggzy.xuchang.gov.cn/</w:t>
            </w:r>
            <w:r>
              <w:rPr>
                <w:rStyle w:val="15"/>
                <w:rFonts w:hint="eastAsia" w:cs="仿宋_GB2312" w:asciiTheme="minorEastAsia" w:hAnsiTheme="minorEastAsia" w:eastAsiaTheme="minorEastAsia"/>
                <w:color w:val="auto"/>
                <w:sz w:val="24"/>
              </w:rPr>
              <w:fldChar w:fldCharType="end"/>
            </w:r>
            <w:r>
              <w:rPr>
                <w:rFonts w:hint="eastAsia" w:cs="仿宋_GB2312" w:asciiTheme="minorEastAsia" w:hAnsiTheme="minorEastAsia" w:eastAsiaTheme="minorEastAsia"/>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2.1.1</w:t>
            </w:r>
          </w:p>
        </w:tc>
        <w:tc>
          <w:tcPr>
            <w:tcW w:w="2249" w:type="dxa"/>
            <w:vAlign w:val="center"/>
          </w:tcPr>
          <w:p>
            <w:pPr>
              <w:spacing w:line="312" w:lineRule="auto"/>
              <w:jc w:val="center"/>
              <w:rPr>
                <w:rFonts w:cs="黑体" w:asciiTheme="minorEastAsia" w:hAnsiTheme="minorEastAsia" w:eastAsiaTheme="minorEastAsia"/>
                <w:sz w:val="24"/>
              </w:rPr>
            </w:pPr>
            <w:r>
              <w:rPr>
                <w:rFonts w:hint="eastAsia" w:cs="宋体" w:asciiTheme="minorEastAsia" w:hAnsiTheme="minorEastAsia" w:eastAsiaTheme="minorEastAsia"/>
                <w:kern w:val="0"/>
                <w:sz w:val="24"/>
              </w:rPr>
              <w:t>构成招标文件的其他材料</w:t>
            </w:r>
          </w:p>
        </w:tc>
        <w:tc>
          <w:tcPr>
            <w:tcW w:w="6694" w:type="dxa"/>
            <w:gridSpan w:val="3"/>
          </w:tcPr>
          <w:p>
            <w:pPr>
              <w:autoSpaceDE w:val="0"/>
              <w:autoSpaceDN w:val="0"/>
              <w:adjustRightInd w:val="0"/>
              <w:spacing w:line="276" w:lineRule="auto"/>
              <w:rPr>
                <w:rFonts w:cs="黑体" w:asciiTheme="minorEastAsia" w:hAnsiTheme="minorEastAsia" w:eastAsiaTheme="minorEastAsia"/>
                <w:sz w:val="24"/>
              </w:rPr>
            </w:pPr>
            <w:r>
              <w:rPr>
                <w:rFonts w:hint="eastAsia" w:cs="宋体" w:asciiTheme="minorEastAsia" w:hAnsiTheme="minorEastAsia" w:eastAsiaTheme="minorEastAsia"/>
                <w:kern w:val="0"/>
                <w:sz w:val="24"/>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sz w:val="24"/>
              </w:rPr>
              <w:t>2.2.1</w:t>
            </w:r>
          </w:p>
        </w:tc>
        <w:tc>
          <w:tcPr>
            <w:tcW w:w="2249" w:type="dxa"/>
            <w:vAlign w:val="center"/>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sz w:val="24"/>
              </w:rPr>
              <w:t>投标人要求澄清招标文件的截止时间</w:t>
            </w:r>
          </w:p>
        </w:tc>
        <w:tc>
          <w:tcPr>
            <w:tcW w:w="6694" w:type="dxa"/>
            <w:gridSpan w:val="3"/>
            <w:vAlign w:val="center"/>
          </w:tcPr>
          <w:p>
            <w:pPr>
              <w:rPr>
                <w:rFonts w:cs="宋体" w:asciiTheme="minorEastAsia" w:hAnsiTheme="minorEastAsia" w:eastAsiaTheme="minorEastAsia"/>
                <w:kern w:val="0"/>
                <w:sz w:val="24"/>
              </w:rPr>
            </w:pPr>
            <w:r>
              <w:rPr>
                <w:rFonts w:hint="eastAsia" w:cs="宋体" w:asciiTheme="minorEastAsia" w:hAnsiTheme="minorEastAsia" w:eastAsiaTheme="minorEastAsia"/>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12"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2.2.2</w:t>
            </w:r>
          </w:p>
        </w:tc>
        <w:tc>
          <w:tcPr>
            <w:tcW w:w="2249" w:type="dxa"/>
            <w:vAlign w:val="center"/>
          </w:tcPr>
          <w:p>
            <w:pPr>
              <w:spacing w:line="312"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投标截止时间</w:t>
            </w:r>
          </w:p>
        </w:tc>
        <w:tc>
          <w:tcPr>
            <w:tcW w:w="6694" w:type="dxa"/>
            <w:gridSpan w:val="3"/>
            <w:vAlign w:val="center"/>
          </w:tcPr>
          <w:p>
            <w:pPr>
              <w:spacing w:line="312" w:lineRule="auto"/>
              <w:rPr>
                <w:rFonts w:cs="宋体" w:asciiTheme="minorEastAsia" w:hAnsiTheme="minorEastAsia" w:eastAsiaTheme="minorEastAsia"/>
                <w:sz w:val="24"/>
                <w:highlight w:val="none"/>
              </w:rPr>
            </w:pPr>
            <w:r>
              <w:rPr>
                <w:rFonts w:hint="eastAsia" w:ascii="宋体" w:hAnsi="宋体" w:cs="宋体"/>
                <w:kern w:val="0"/>
                <w:sz w:val="24"/>
                <w:highlight w:val="none"/>
              </w:rPr>
              <w:t>2020年</w:t>
            </w:r>
            <w:r>
              <w:rPr>
                <w:rFonts w:hint="eastAsia" w:ascii="宋体" w:hAnsi="宋体" w:cs="宋体"/>
                <w:kern w:val="0"/>
                <w:sz w:val="24"/>
                <w:highlight w:val="none"/>
                <w:lang w:val="en-US" w:eastAsia="zh-CN"/>
              </w:rPr>
              <w:t>8</w:t>
            </w:r>
            <w:r>
              <w:rPr>
                <w:rFonts w:hint="eastAsia" w:ascii="宋体" w:hAnsi="宋体" w:cs="宋体"/>
                <w:kern w:val="0"/>
                <w:sz w:val="24"/>
                <w:highlight w:val="none"/>
              </w:rPr>
              <w:t>月</w:t>
            </w:r>
            <w:r>
              <w:rPr>
                <w:rFonts w:hint="eastAsia" w:ascii="宋体" w:hAnsi="宋体" w:cs="宋体"/>
                <w:kern w:val="0"/>
                <w:sz w:val="24"/>
                <w:highlight w:val="none"/>
                <w:lang w:val="en-US" w:eastAsia="zh-CN"/>
              </w:rPr>
              <w:t>13</w:t>
            </w:r>
            <w:r>
              <w:rPr>
                <w:rFonts w:hint="eastAsia" w:ascii="宋体" w:hAnsi="宋体" w:cs="宋体"/>
                <w:kern w:val="0"/>
                <w:sz w:val="24"/>
                <w:highlight w:val="none"/>
              </w:rPr>
              <w:t>日</w:t>
            </w:r>
            <w:r>
              <w:rPr>
                <w:rFonts w:hint="eastAsia" w:ascii="宋体" w:hAnsi="宋体" w:cs="宋体"/>
                <w:kern w:val="0"/>
                <w:sz w:val="24"/>
                <w:highlight w:val="none"/>
                <w:lang w:val="en-US" w:eastAsia="zh-CN"/>
              </w:rPr>
              <w:t xml:space="preserve">9 </w:t>
            </w:r>
            <w:r>
              <w:rPr>
                <w:rFonts w:hint="eastAsia" w:ascii="宋体" w:hAnsi="宋体" w:cs="宋体"/>
                <w:kern w:val="0"/>
                <w:sz w:val="24"/>
                <w:highlight w:val="none"/>
              </w:rPr>
              <w:t>时</w:t>
            </w:r>
            <w:r>
              <w:rPr>
                <w:rFonts w:hint="eastAsia" w:ascii="宋体" w:hAnsi="宋体" w:cs="宋体"/>
                <w:kern w:val="0"/>
                <w:sz w:val="24"/>
                <w:highlight w:val="none"/>
                <w:lang w:val="en-US" w:eastAsia="zh-CN"/>
              </w:rPr>
              <w:t>30</w:t>
            </w:r>
            <w:r>
              <w:rPr>
                <w:rFonts w:hint="eastAsia" w:ascii="宋体" w:hAnsi="宋体" w:cs="宋体"/>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12"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2.2.3</w:t>
            </w:r>
          </w:p>
        </w:tc>
        <w:tc>
          <w:tcPr>
            <w:tcW w:w="2249" w:type="dxa"/>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投标人确认收到招标文件澄清的时间</w:t>
            </w:r>
          </w:p>
        </w:tc>
        <w:tc>
          <w:tcPr>
            <w:tcW w:w="6694" w:type="dxa"/>
            <w:gridSpan w:val="3"/>
            <w:vAlign w:val="center"/>
          </w:tcPr>
          <w:p>
            <w:pPr>
              <w:spacing w:line="312" w:lineRule="auto"/>
              <w:rPr>
                <w:rFonts w:cs="宋体" w:asciiTheme="minorEastAsia" w:hAnsiTheme="minorEastAsia" w:eastAsiaTheme="minorEastAsia"/>
                <w:sz w:val="24"/>
              </w:rPr>
            </w:pPr>
            <w:r>
              <w:rPr>
                <w:rFonts w:hint="eastAsia" w:cs="宋体"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12"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2.2.4</w:t>
            </w:r>
          </w:p>
        </w:tc>
        <w:tc>
          <w:tcPr>
            <w:tcW w:w="2249" w:type="dxa"/>
            <w:vAlign w:val="center"/>
          </w:tcPr>
          <w:p>
            <w:pPr>
              <w:spacing w:line="312" w:lineRule="auto"/>
              <w:rPr>
                <w:rFonts w:cs="宋体" w:asciiTheme="minorEastAsia" w:hAnsiTheme="minorEastAsia" w:eastAsiaTheme="minorEastAsia"/>
                <w:sz w:val="24"/>
              </w:rPr>
            </w:pPr>
            <w:r>
              <w:rPr>
                <w:rFonts w:hint="eastAsia" w:cs="宋体" w:asciiTheme="minorEastAsia" w:hAnsiTheme="minorEastAsia" w:eastAsiaTheme="minorEastAsia"/>
                <w:sz w:val="24"/>
              </w:rPr>
              <w:t>投标人确认收到招标文件修改的时间</w:t>
            </w:r>
          </w:p>
        </w:tc>
        <w:tc>
          <w:tcPr>
            <w:tcW w:w="6694" w:type="dxa"/>
            <w:gridSpan w:val="3"/>
            <w:vAlign w:val="center"/>
          </w:tcPr>
          <w:p>
            <w:pPr>
              <w:spacing w:line="312" w:lineRule="auto"/>
              <w:rPr>
                <w:rFonts w:cs="宋体" w:asciiTheme="minorEastAsia" w:hAnsiTheme="minorEastAsia" w:eastAsiaTheme="minorEastAsia"/>
                <w:sz w:val="24"/>
              </w:rPr>
            </w:pPr>
            <w:r>
              <w:rPr>
                <w:rFonts w:hint="eastAsia" w:cs="宋体"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3.1.1</w:t>
            </w:r>
          </w:p>
        </w:tc>
        <w:tc>
          <w:tcPr>
            <w:tcW w:w="2249"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构成投标文件的其他材料</w:t>
            </w:r>
          </w:p>
        </w:tc>
        <w:tc>
          <w:tcPr>
            <w:tcW w:w="6694" w:type="dxa"/>
            <w:gridSpan w:val="3"/>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投标人的书面澄清、说明和补正、修改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3.3.1</w:t>
            </w:r>
          </w:p>
        </w:tc>
        <w:tc>
          <w:tcPr>
            <w:tcW w:w="2249"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投标有效期</w:t>
            </w:r>
          </w:p>
        </w:tc>
        <w:tc>
          <w:tcPr>
            <w:tcW w:w="6694" w:type="dxa"/>
            <w:gridSpan w:val="3"/>
            <w:vAlign w:val="center"/>
          </w:tcPr>
          <w:p>
            <w:pPr>
              <w:spacing w:line="312" w:lineRule="auto"/>
              <w:rPr>
                <w:rFonts w:cs="宋体" w:asciiTheme="minorEastAsia" w:hAnsiTheme="minorEastAsia" w:eastAsiaTheme="minorEastAsia"/>
                <w:kern w:val="0"/>
                <w:sz w:val="24"/>
              </w:rPr>
            </w:pPr>
            <w:r>
              <w:rPr>
                <w:rFonts w:hint="eastAsia" w:cs="仿宋_GB2312" w:asciiTheme="minorEastAsia" w:hAnsiTheme="minorEastAsia" w:eastAsiaTheme="minorEastAsia"/>
                <w:sz w:val="24"/>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w:t>
            </w:r>
            <w:r>
              <w:rPr>
                <w:rFonts w:hint="eastAsia" w:cs="宋体" w:asciiTheme="minorEastAsia" w:hAnsiTheme="minorEastAsia" w:eastAsiaTheme="minorEastAsia"/>
                <w:kern w:val="0"/>
                <w:sz w:val="24"/>
                <w:lang w:val="en-US" w:eastAsia="zh-CN"/>
              </w:rPr>
              <w:t>1</w:t>
            </w:r>
          </w:p>
        </w:tc>
        <w:tc>
          <w:tcPr>
            <w:tcW w:w="2249" w:type="dxa"/>
            <w:vAlign w:val="center"/>
          </w:tcPr>
          <w:p>
            <w:pPr>
              <w:autoSpaceDE w:val="0"/>
              <w:autoSpaceDN w:val="0"/>
              <w:adjustRightInd w:val="0"/>
              <w:spacing w:line="420" w:lineRule="exact"/>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eastAsia="zh-CN"/>
              </w:rPr>
              <w:t>投标担保</w:t>
            </w:r>
          </w:p>
        </w:tc>
        <w:tc>
          <w:tcPr>
            <w:tcW w:w="6694" w:type="dxa"/>
            <w:gridSpan w:val="3"/>
            <w:vAlign w:val="center"/>
          </w:tcPr>
          <w:p>
            <w:pPr>
              <w:spacing w:line="400" w:lineRule="exact"/>
              <w:rPr>
                <w:rFonts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投标保证金递交截止时间：同投标截止时间。</w:t>
            </w:r>
          </w:p>
          <w:p>
            <w:pPr>
              <w:spacing w:line="400" w:lineRule="exact"/>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金额：大写：</w:t>
            </w:r>
            <w:r>
              <w:rPr>
                <w:rFonts w:hint="eastAsia" w:ascii="宋体" w:hAnsi="宋体"/>
                <w:sz w:val="24"/>
                <w:highlight w:val="none"/>
                <w:lang w:eastAsia="zh-CN"/>
              </w:rPr>
              <w:t>陆仟元整</w:t>
            </w:r>
            <w:r>
              <w:rPr>
                <w:rFonts w:hint="eastAsia" w:ascii="宋体" w:hAnsi="宋体"/>
                <w:sz w:val="24"/>
                <w:highlight w:val="none"/>
              </w:rPr>
              <w:t>（¥</w:t>
            </w:r>
            <w:r>
              <w:rPr>
                <w:rFonts w:hint="eastAsia" w:ascii="宋体" w:hAnsi="宋体"/>
                <w:sz w:val="24"/>
                <w:highlight w:val="none"/>
                <w:lang w:val="en-US" w:eastAsia="zh-CN"/>
              </w:rPr>
              <w:t>6000</w:t>
            </w:r>
            <w:r>
              <w:rPr>
                <w:rFonts w:hint="eastAsia" w:ascii="宋体" w:hAnsi="宋体"/>
                <w:sz w:val="24"/>
                <w:highlight w:val="none"/>
              </w:rPr>
              <w:t>.00元）</w:t>
            </w:r>
          </w:p>
          <w:p>
            <w:pPr>
              <w:autoSpaceDE w:val="0"/>
              <w:autoSpaceDN w:val="0"/>
              <w:adjustRightInd w:val="0"/>
              <w:spacing w:line="400" w:lineRule="exact"/>
              <w:jc w:val="left"/>
              <w:rPr>
                <w:rFonts w:hint="eastAsia" w:asciiTheme="minorEastAsia" w:hAnsiTheme="minorEastAsia" w:eastAsiaTheme="minorEastAsia"/>
                <w:sz w:val="24"/>
              </w:rPr>
            </w:pPr>
            <w:r>
              <w:rPr>
                <w:rFonts w:hint="eastAsia" w:asciiTheme="minorEastAsia" w:hAnsiTheme="minorEastAsia" w:eastAsiaTheme="minorEastAsia"/>
                <w:sz w:val="24"/>
              </w:rPr>
              <w:t>3、递交方式：银行转账、银行电汇（均需从投标人的基本账户汇出）、银行保函不接受以现金方式缴纳的投标担保。凡以现金方式缴纳投标担保而影响其投标结果的，由投标人自行负责。</w:t>
            </w:r>
          </w:p>
          <w:p>
            <w:pPr>
              <w:autoSpaceDE w:val="0"/>
              <w:autoSpaceDN w:val="0"/>
              <w:adjustRightInd w:val="0"/>
              <w:spacing w:line="400" w:lineRule="exact"/>
              <w:jc w:val="left"/>
              <w:rPr>
                <w:rFonts w:hint="eastAsia" w:asciiTheme="minorEastAsia" w:hAnsiTheme="minorEastAsia" w:eastAsiaTheme="minorEastAsia"/>
                <w:sz w:val="24"/>
              </w:rPr>
            </w:pPr>
            <w:r>
              <w:rPr>
                <w:rFonts w:hint="eastAsia" w:asciiTheme="minorEastAsia" w:hAnsiTheme="minorEastAsia" w:eastAsiaTheme="minorEastAsia"/>
                <w:sz w:val="24"/>
              </w:rPr>
              <w:t>使用银行转账方式的，于截止时间前通过投标人基本账户将款项一次足额递交、成功绑定，以收款人到账时间为准，在途资金无效，视为未按时交纳。同时投标人应承担节假日银行系统不能支付的风险。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400" w:lineRule="exact"/>
              <w:jc w:val="left"/>
              <w:rPr>
                <w:rFonts w:hint="eastAsia" w:asciiTheme="minorEastAsia" w:hAnsiTheme="minorEastAsia" w:eastAsiaTheme="minorEastAsia"/>
                <w:sz w:val="24"/>
              </w:rPr>
            </w:pPr>
            <w:r>
              <w:rPr>
                <w:rFonts w:hint="eastAsia" w:asciiTheme="minorEastAsia" w:hAnsiTheme="minorEastAsia" w:eastAsiaTheme="minorEastAsia"/>
                <w:sz w:val="24"/>
              </w:rPr>
              <w:t>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pPr>
              <w:autoSpaceDE w:val="0"/>
              <w:autoSpaceDN w:val="0"/>
              <w:adjustRightInd w:val="0"/>
              <w:spacing w:line="400" w:lineRule="exact"/>
              <w:jc w:val="left"/>
              <w:rPr>
                <w:rFonts w:hint="eastAsia" w:asciiTheme="minorEastAsia" w:hAnsiTheme="minorEastAsia" w:eastAsiaTheme="minorEastAsia"/>
                <w:sz w:val="24"/>
              </w:rPr>
            </w:pPr>
            <w:r>
              <w:rPr>
                <w:rFonts w:hint="eastAsia" w:asciiTheme="minorEastAsia" w:hAnsiTheme="minorEastAsia" w:eastAsiaTheme="minorEastAsia"/>
                <w:sz w:val="24"/>
              </w:rPr>
              <w:t>4.基本户备案：自文件发布之日起，投标人需进行基本户备案；已备案的基本户，其开户银行及账户发生变化的，须在投标担保缴纳前办理变更手续。</w:t>
            </w:r>
          </w:p>
          <w:p>
            <w:pPr>
              <w:autoSpaceDE w:val="0"/>
              <w:autoSpaceDN w:val="0"/>
              <w:adjustRightInd w:val="0"/>
              <w:spacing w:line="400" w:lineRule="exact"/>
              <w:jc w:val="left"/>
              <w:rPr>
                <w:rFonts w:hint="eastAsia" w:asciiTheme="minorEastAsia" w:hAnsiTheme="minorEastAsia" w:eastAsiaTheme="minorEastAsia"/>
                <w:sz w:val="24"/>
              </w:rPr>
            </w:pPr>
            <w:r>
              <w:rPr>
                <w:rFonts w:hint="eastAsia" w:asciiTheme="minorEastAsia" w:hAnsiTheme="minorEastAsia" w:eastAsiaTheme="minorEastAsia"/>
                <w:sz w:val="24"/>
              </w:rPr>
              <w:t>5.其他事项详见本招标文件投标人须知。</w:t>
            </w:r>
          </w:p>
          <w:p>
            <w:pPr>
              <w:autoSpaceDE w:val="0"/>
              <w:autoSpaceDN w:val="0"/>
              <w:adjustRightInd w:val="0"/>
              <w:spacing w:line="400" w:lineRule="exact"/>
              <w:jc w:val="left"/>
              <w:rPr>
                <w:rFonts w:hint="eastAsia" w:asciiTheme="minorEastAsia" w:hAnsiTheme="minorEastAsia" w:eastAsiaTheme="minorEastAsia"/>
                <w:sz w:val="24"/>
              </w:rPr>
            </w:pPr>
            <w:r>
              <w:rPr>
                <w:rFonts w:hint="eastAsia" w:asciiTheme="minorEastAsia" w:hAnsiTheme="minorEastAsia" w:eastAsiaTheme="minorEastAsia"/>
                <w:sz w:val="24"/>
              </w:rPr>
              <w:t>6. 投标人（供应商）如需了解投标担保退还情况，请持授权委托书及个人身份证件到中心业务受理部查询，不接受电话查询。</w:t>
            </w:r>
          </w:p>
          <w:p>
            <w:pPr>
              <w:autoSpaceDE w:val="0"/>
              <w:autoSpaceDN w:val="0"/>
              <w:adjustRightInd w:val="0"/>
              <w:spacing w:line="400" w:lineRule="exact"/>
              <w:jc w:val="left"/>
              <w:rPr>
                <w:rFonts w:asciiTheme="minorEastAsia" w:hAnsiTheme="minorEastAsia" w:eastAsiaTheme="minorEastAsia"/>
                <w:sz w:val="24"/>
              </w:rPr>
            </w:pPr>
            <w:r>
              <w:rPr>
                <w:rFonts w:hint="eastAsia" w:asciiTheme="minorEastAsia" w:hAnsiTheme="minorEastAsia" w:eastAsiaTheme="minorEastAsia"/>
                <w:sz w:val="24"/>
              </w:rPr>
              <w:t>保证金缴纳绑定问题咨询电话:0374-296159</w:t>
            </w:r>
            <w:r>
              <w:rPr>
                <w:rFonts w:hint="eastAsia" w:asciiTheme="minorEastAsia" w:hAnsiTheme="minorEastAsia" w:eastAsiaTheme="minorEastAsia"/>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3.5.2</w:t>
            </w:r>
          </w:p>
        </w:tc>
        <w:tc>
          <w:tcPr>
            <w:tcW w:w="2249"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近年财务状况的年份要求</w:t>
            </w:r>
          </w:p>
        </w:tc>
        <w:tc>
          <w:tcPr>
            <w:tcW w:w="6694" w:type="dxa"/>
            <w:gridSpan w:val="3"/>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2017年、2018年、2019年（若公司成立未满三年，须提供成立当年至今的财务报告）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3.5.3</w:t>
            </w:r>
          </w:p>
        </w:tc>
        <w:tc>
          <w:tcPr>
            <w:tcW w:w="2249"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近年完成的类似项目的年份要求</w:t>
            </w:r>
          </w:p>
        </w:tc>
        <w:tc>
          <w:tcPr>
            <w:tcW w:w="6694" w:type="dxa"/>
            <w:gridSpan w:val="3"/>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近年指2017年1月1日至今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3 5.4</w:t>
            </w:r>
          </w:p>
        </w:tc>
        <w:tc>
          <w:tcPr>
            <w:tcW w:w="2249"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近年荣誉的年份要求</w:t>
            </w:r>
          </w:p>
        </w:tc>
        <w:tc>
          <w:tcPr>
            <w:tcW w:w="6694" w:type="dxa"/>
            <w:gridSpan w:val="3"/>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近年指2017年1月1日至今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3.5.5</w:t>
            </w:r>
          </w:p>
        </w:tc>
        <w:tc>
          <w:tcPr>
            <w:tcW w:w="2249"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近年发生的诉讼及仲裁情况的年份要求</w:t>
            </w:r>
          </w:p>
        </w:tc>
        <w:tc>
          <w:tcPr>
            <w:tcW w:w="6694" w:type="dxa"/>
            <w:gridSpan w:val="3"/>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近年指2017年1月1日至今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3.6</w:t>
            </w:r>
          </w:p>
        </w:tc>
        <w:tc>
          <w:tcPr>
            <w:tcW w:w="2249"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是否允许递交备选投标方案</w:t>
            </w:r>
          </w:p>
        </w:tc>
        <w:tc>
          <w:tcPr>
            <w:tcW w:w="6694" w:type="dxa"/>
            <w:gridSpan w:val="3"/>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autoSpaceDE w:val="0"/>
              <w:autoSpaceDN w:val="0"/>
              <w:adjustRightInd w:val="0"/>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3.7.3</w:t>
            </w:r>
          </w:p>
        </w:tc>
        <w:tc>
          <w:tcPr>
            <w:tcW w:w="2249" w:type="dxa"/>
            <w:vAlign w:val="center"/>
          </w:tcPr>
          <w:p>
            <w:pPr>
              <w:autoSpaceDE w:val="0"/>
              <w:autoSpaceDN w:val="0"/>
              <w:adjustRightInd w:val="0"/>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签字和（或）盖章要求</w:t>
            </w:r>
          </w:p>
        </w:tc>
        <w:tc>
          <w:tcPr>
            <w:tcW w:w="6694" w:type="dxa"/>
            <w:gridSpan w:val="3"/>
            <w:vAlign w:val="center"/>
          </w:tcPr>
          <w:p>
            <w:pPr>
              <w:autoSpaceDE w:val="0"/>
              <w:autoSpaceDN w:val="0"/>
              <w:adjustRightInd w:val="0"/>
              <w:spacing w:line="312" w:lineRule="auto"/>
              <w:rPr>
                <w:rFonts w:cs="宋体" w:asciiTheme="minorEastAsia" w:hAnsiTheme="minorEastAsia" w:eastAsiaTheme="minorEastAsia"/>
                <w:sz w:val="24"/>
              </w:rPr>
            </w:pPr>
            <w:r>
              <w:rPr>
                <w:rFonts w:hint="eastAsia" w:cs="宋体" w:asciiTheme="minorEastAsia" w:hAnsiTheme="minorEastAsia" w:eastAsiaTheme="minorEastAsia"/>
                <w:sz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3.7.4</w:t>
            </w:r>
          </w:p>
        </w:tc>
        <w:tc>
          <w:tcPr>
            <w:tcW w:w="2249"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投标文件份数</w:t>
            </w:r>
          </w:p>
        </w:tc>
        <w:tc>
          <w:tcPr>
            <w:tcW w:w="6694" w:type="dxa"/>
            <w:gridSpan w:val="3"/>
            <w:vAlign w:val="center"/>
          </w:tcPr>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1、电子投标文件</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（1）成功上传至【全国公共资源交易平台（河南省•许昌市）】公共资源交易系统电子投标文件1份（文件格式为：XX公司XXX项目编号.file）。</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b/>
                <w:sz w:val="24"/>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3.7.5</w:t>
            </w:r>
          </w:p>
        </w:tc>
        <w:tc>
          <w:tcPr>
            <w:tcW w:w="2249" w:type="dxa"/>
            <w:vAlign w:val="center"/>
          </w:tcPr>
          <w:p>
            <w:pPr>
              <w:autoSpaceDE w:val="0"/>
              <w:autoSpaceDN w:val="0"/>
              <w:adjustRightInd w:val="0"/>
              <w:spacing w:line="440" w:lineRule="exact"/>
              <w:jc w:val="center"/>
              <w:rPr>
                <w:rFonts w:hAnsi="宋体" w:cs="宋体"/>
                <w:sz w:val="24"/>
              </w:rPr>
            </w:pPr>
            <w:r>
              <w:rPr>
                <w:rFonts w:hint="eastAsia" w:hAnsi="宋体" w:cs="宋体"/>
                <w:sz w:val="24"/>
              </w:rPr>
              <w:t>本项目是否采用不见面开标</w:t>
            </w:r>
          </w:p>
        </w:tc>
        <w:tc>
          <w:tcPr>
            <w:tcW w:w="6694" w:type="dxa"/>
            <w:gridSpan w:val="3"/>
            <w:vAlign w:val="center"/>
          </w:tcPr>
          <w:p>
            <w:pPr>
              <w:autoSpaceDE w:val="0"/>
              <w:autoSpaceDN w:val="0"/>
              <w:adjustRightInd w:val="0"/>
              <w:spacing w:line="440" w:lineRule="exact"/>
              <w:rPr>
                <w:rFonts w:hAnsi="宋体" w:cs="宋体"/>
                <w:b/>
                <w:bCs/>
                <w:sz w:val="24"/>
              </w:rPr>
            </w:pPr>
            <w:r>
              <w:rPr>
                <w:rFonts w:hint="eastAsia" w:hAnsi="宋体" w:cs="宋体"/>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4.2.2</w:t>
            </w:r>
          </w:p>
        </w:tc>
        <w:tc>
          <w:tcPr>
            <w:tcW w:w="2249"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递交投标文件地点</w:t>
            </w:r>
          </w:p>
        </w:tc>
        <w:tc>
          <w:tcPr>
            <w:tcW w:w="6694" w:type="dxa"/>
            <w:gridSpan w:val="3"/>
            <w:vAlign w:val="center"/>
          </w:tcPr>
          <w:p>
            <w:pPr>
              <w:autoSpaceDE w:val="0"/>
              <w:autoSpaceDN w:val="0"/>
              <w:adjustRightInd w:val="0"/>
              <w:spacing w:line="440" w:lineRule="exact"/>
              <w:rPr>
                <w:rFonts w:hAnsi="宋体" w:cs="宋体"/>
                <w:sz w:val="24"/>
              </w:rPr>
            </w:pPr>
            <w:r>
              <w:rPr>
                <w:rFonts w:hint="eastAsia" w:hAnsi="宋体" w:cs="宋体"/>
                <w:sz w:val="24"/>
              </w:rPr>
              <w:t>电子投标文件递交地点：电子投标文件应按规定在投标截止时间（开标时间）之前成功提交至【全国公共资源交易平台</w:t>
            </w:r>
            <w:r>
              <w:rPr>
                <w:rFonts w:hAnsi="宋体" w:cs="宋体"/>
                <w:sz w:val="24"/>
              </w:rPr>
              <w:t>(</w:t>
            </w:r>
            <w:r>
              <w:rPr>
                <w:rFonts w:hint="eastAsia" w:hAnsi="宋体" w:cs="宋体"/>
                <w:sz w:val="24"/>
              </w:rPr>
              <w:t>河南省</w:t>
            </w:r>
            <w:r>
              <w:rPr>
                <w:rFonts w:hint="eastAsia" w:ascii="MS Mincho" w:hAnsi="MS Mincho" w:eastAsia="MS Mincho" w:cs="MS Mincho"/>
                <w:sz w:val="24"/>
              </w:rPr>
              <w:t>▪</w:t>
            </w:r>
            <w:r>
              <w:rPr>
                <w:rFonts w:hint="eastAsia" w:hAnsi="宋体" w:cs="宋体"/>
                <w:sz w:val="24"/>
              </w:rPr>
              <w:t>许昌市</w:t>
            </w:r>
            <w:r>
              <w:rPr>
                <w:rFonts w:hAnsi="宋体" w:cs="宋体"/>
                <w:sz w:val="24"/>
              </w:rPr>
              <w:t>)</w:t>
            </w:r>
            <w:r>
              <w:rPr>
                <w:rFonts w:hint="eastAsia" w:hAnsi="宋体" w:cs="宋体"/>
                <w:sz w:val="24"/>
              </w:rPr>
              <w:t>】公共资源交易系统（</w:t>
            </w:r>
            <w:r>
              <w:rPr>
                <w:rFonts w:hint="eastAsia" w:hAnsi="宋体" w:cs="宋体"/>
                <w:sz w:val="24"/>
                <w:lang w:eastAsia="zh-CN"/>
              </w:rPr>
              <w:t>http://ggzy.xuchang.gov.cn:8088/ggzy</w:t>
            </w:r>
            <w:r>
              <w:rPr>
                <w:rFonts w:hAnsi="宋体" w:cs="宋体"/>
                <w:sz w:val="24"/>
              </w:rPr>
              <w:t>/</w:t>
            </w: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4.2.3</w:t>
            </w:r>
          </w:p>
        </w:tc>
        <w:tc>
          <w:tcPr>
            <w:tcW w:w="2249"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是否退还投标文件</w:t>
            </w:r>
          </w:p>
        </w:tc>
        <w:tc>
          <w:tcPr>
            <w:tcW w:w="6694" w:type="dxa"/>
            <w:gridSpan w:val="3"/>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5.1</w:t>
            </w:r>
          </w:p>
        </w:tc>
        <w:tc>
          <w:tcPr>
            <w:tcW w:w="2249" w:type="dxa"/>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开标时间和地点</w:t>
            </w:r>
          </w:p>
        </w:tc>
        <w:tc>
          <w:tcPr>
            <w:tcW w:w="6694" w:type="dxa"/>
            <w:gridSpan w:val="3"/>
            <w:vAlign w:val="center"/>
          </w:tcPr>
          <w:p>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同投标截止时间</w:t>
            </w:r>
          </w:p>
          <w:p>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开标地点：长葛市公共资源交易中心开标</w:t>
            </w:r>
            <w:r>
              <w:rPr>
                <w:rFonts w:hint="eastAsia" w:cs="宋体" w:asciiTheme="minorEastAsia" w:hAnsiTheme="minorEastAsia" w:eastAsiaTheme="minorEastAsia"/>
                <w:color w:val="auto"/>
                <w:kern w:val="0"/>
                <w:sz w:val="24"/>
                <w:lang w:val="en-US" w:eastAsia="zh-CN"/>
              </w:rPr>
              <w:t>一</w:t>
            </w:r>
            <w:r>
              <w:rPr>
                <w:rFonts w:hint="eastAsia" w:cs="宋体" w:asciiTheme="minorEastAsia" w:hAnsiTheme="minorEastAsia" w:eastAsiaTheme="minorEastAsia"/>
                <w:color w:val="auto"/>
                <w:kern w:val="0"/>
                <w:sz w:val="24"/>
              </w:rPr>
              <w:t>室（长葛市葛天大道东段商务区</w:t>
            </w:r>
            <w:r>
              <w:rPr>
                <w:rFonts w:cs="宋体" w:asciiTheme="minorEastAsia" w:hAnsiTheme="minorEastAsia" w:eastAsiaTheme="minorEastAsia"/>
                <w:color w:val="auto"/>
                <w:kern w:val="0"/>
                <w:sz w:val="24"/>
              </w:rPr>
              <w:t xml:space="preserve"> 6</w:t>
            </w:r>
            <w:r>
              <w:rPr>
                <w:rFonts w:hint="eastAsia" w:cs="宋体" w:asciiTheme="minorEastAsia" w:hAnsiTheme="minorEastAsia" w:eastAsiaTheme="minorEastAsia"/>
                <w:color w:val="auto"/>
                <w:kern w:val="0"/>
                <w:sz w:val="24"/>
              </w:rPr>
              <w:t>号楼</w:t>
            </w:r>
            <w:r>
              <w:rPr>
                <w:rFonts w:hint="eastAsia" w:cs="宋体" w:asciiTheme="minorEastAsia" w:hAnsiTheme="minorEastAsia" w:eastAsiaTheme="minorEastAsia"/>
                <w:color w:val="auto"/>
                <w:kern w:val="0"/>
                <w:sz w:val="24"/>
                <w:lang w:val="en-US" w:eastAsia="zh-CN"/>
              </w:rPr>
              <w:t>506</w:t>
            </w:r>
            <w:r>
              <w:rPr>
                <w:rFonts w:hint="eastAsia" w:cs="宋体" w:asciiTheme="minorEastAsia" w:hAnsiTheme="minorEastAsia" w:eastAsiaTheme="minorEastAsia"/>
                <w:color w:val="auto"/>
                <w:kern w:val="0"/>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5.2</w:t>
            </w:r>
          </w:p>
        </w:tc>
        <w:tc>
          <w:tcPr>
            <w:tcW w:w="2249"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开标程序</w:t>
            </w:r>
          </w:p>
        </w:tc>
        <w:tc>
          <w:tcPr>
            <w:tcW w:w="6694" w:type="dxa"/>
            <w:gridSpan w:val="3"/>
            <w:vAlign w:val="center"/>
          </w:tcPr>
          <w:p>
            <w:pPr>
              <w:spacing w:line="520" w:lineRule="exact"/>
              <w:rPr>
                <w:rFonts w:hAnsi="宋体" w:cs="宋体"/>
                <w:sz w:val="24"/>
              </w:rPr>
            </w:pPr>
            <w:r>
              <w:rPr>
                <w:rFonts w:hint="eastAsia" w:hAnsi="宋体" w:cs="宋体"/>
                <w:sz w:val="24"/>
              </w:rPr>
              <w:t>（1）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520" w:lineRule="exact"/>
              <w:rPr>
                <w:rFonts w:hAnsi="宋体" w:cs="宋体"/>
                <w:sz w:val="24"/>
              </w:rPr>
            </w:pPr>
            <w:r>
              <w:rPr>
                <w:rFonts w:hint="eastAsia" w:hAnsi="宋体" w:cs="宋体"/>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520" w:lineRule="exact"/>
              <w:rPr>
                <w:rFonts w:hAnsi="宋体" w:cs="宋体"/>
                <w:sz w:val="24"/>
              </w:rPr>
            </w:pPr>
            <w:r>
              <w:rPr>
                <w:rFonts w:hint="eastAsia" w:hAnsi="宋体" w:cs="宋体"/>
                <w:sz w:val="24"/>
              </w:rPr>
              <w:t>（3）解密完成后，招标人（代理机构）点击“系数抽取”按钮进行系数抽取，系数抽取情况在“公告通知”处显示。</w:t>
            </w:r>
          </w:p>
          <w:p>
            <w:pPr>
              <w:spacing w:line="520" w:lineRule="exact"/>
              <w:rPr>
                <w:rFonts w:hAnsi="宋体" w:cs="宋体"/>
                <w:sz w:val="24"/>
              </w:rPr>
            </w:pPr>
            <w:r>
              <w:rPr>
                <w:rFonts w:hint="eastAsia" w:hAnsi="宋体" w:cs="宋体"/>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520" w:lineRule="exact"/>
              <w:rPr>
                <w:rFonts w:hAnsi="宋体" w:cs="宋体"/>
                <w:sz w:val="24"/>
              </w:rPr>
            </w:pPr>
            <w:r>
              <w:rPr>
                <w:rFonts w:hint="eastAsia" w:hAnsi="宋体" w:cs="宋体"/>
                <w:sz w:val="24"/>
              </w:rPr>
              <w:t>（5）如无投标人提出异议，招标代理机构通过“文字互动”对话框通知各投标人进行电子签章。投标人应在《开标记录表》上进行电子签章，未进行电子签章的视为对开标结果无异议。</w:t>
            </w:r>
          </w:p>
          <w:p>
            <w:pPr>
              <w:spacing w:line="312" w:lineRule="auto"/>
              <w:rPr>
                <w:rFonts w:cs="宋体" w:asciiTheme="minorEastAsia" w:hAnsiTheme="minorEastAsia" w:eastAsiaTheme="minorEastAsia"/>
                <w:kern w:val="0"/>
                <w:sz w:val="24"/>
              </w:rPr>
            </w:pPr>
            <w:r>
              <w:rPr>
                <w:rFonts w:hint="eastAsia" w:hAnsi="宋体" w:cs="宋体"/>
                <w:sz w:val="24"/>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6.1.1</w:t>
            </w:r>
          </w:p>
        </w:tc>
        <w:tc>
          <w:tcPr>
            <w:tcW w:w="2249"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评标委员会的组建</w:t>
            </w:r>
          </w:p>
        </w:tc>
        <w:tc>
          <w:tcPr>
            <w:tcW w:w="6694" w:type="dxa"/>
            <w:gridSpan w:val="3"/>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评标委员会构成：7人，由招标人代表2人和从河南省综合评标专家库中随机抽取专家5人组成，其中工程造价专家不少于</w:t>
            </w:r>
            <w:r>
              <w:rPr>
                <w:rFonts w:hint="eastAsia" w:cs="宋体" w:asciiTheme="minorEastAsia" w:hAnsiTheme="minorEastAsia" w:eastAsiaTheme="minorEastAsia"/>
                <w:sz w:val="24"/>
                <w:lang w:val="en-US" w:eastAsia="zh-CN"/>
              </w:rPr>
              <w:t>3</w:t>
            </w:r>
            <w:r>
              <w:rPr>
                <w:rFonts w:hint="eastAsia" w:cs="宋体" w:asciiTheme="minorEastAsia" w:hAnsiTheme="minorEastAsia" w:eastAsiaTheme="minorEastAsia"/>
                <w:sz w:val="24"/>
              </w:rPr>
              <w:t>人。</w:t>
            </w:r>
          </w:p>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 xml:space="preserve">评标专家确定方式：开标前内从河南省综合评标专家库中随机抽取。评标委员会主任通过现场随机抽取的方式确定，与招标人、投标人有利害关系的人不得进入评标委员会。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12"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7.1</w:t>
            </w:r>
          </w:p>
        </w:tc>
        <w:tc>
          <w:tcPr>
            <w:tcW w:w="2249" w:type="dxa"/>
            <w:vAlign w:val="center"/>
          </w:tcPr>
          <w:p>
            <w:pPr>
              <w:spacing w:line="312"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是否授权评标委员会确定中标人</w:t>
            </w:r>
          </w:p>
        </w:tc>
        <w:tc>
          <w:tcPr>
            <w:tcW w:w="6694" w:type="dxa"/>
            <w:gridSpan w:val="3"/>
            <w:vAlign w:val="center"/>
          </w:tcPr>
          <w:p>
            <w:pPr>
              <w:spacing w:line="312" w:lineRule="auto"/>
              <w:rPr>
                <w:rFonts w:cs="宋体" w:asciiTheme="minorEastAsia" w:hAnsiTheme="minorEastAsia" w:eastAsiaTheme="minorEastAsia"/>
                <w:sz w:val="24"/>
              </w:rPr>
            </w:pPr>
            <w:r>
              <w:rPr>
                <w:rFonts w:hint="eastAsia" w:cs="宋体" w:asciiTheme="minorEastAsia" w:hAnsiTheme="minorEastAsia" w:eastAsiaTheme="minorEastAsia"/>
                <w:sz w:val="24"/>
              </w:rPr>
              <w:t>否，推荐的中标候选人数：1-3人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jc w:val="center"/>
              <w:rPr>
                <w:rFonts w:hint="eastAsia" w:cs="宋体" w:asciiTheme="minorEastAsia" w:hAnsiTheme="minorEastAsia" w:eastAsiaTheme="minorEastAsia"/>
                <w:sz w:val="24"/>
                <w:szCs w:val="24"/>
              </w:rPr>
            </w:pPr>
            <w:r>
              <w:rPr>
                <w:rFonts w:hint="eastAsia" w:hAnsi="宋体" w:cs="宋体"/>
                <w:sz w:val="24"/>
                <w:szCs w:val="24"/>
              </w:rPr>
              <w:t>7.3</w:t>
            </w:r>
          </w:p>
        </w:tc>
        <w:tc>
          <w:tcPr>
            <w:tcW w:w="2249" w:type="dxa"/>
            <w:vAlign w:val="center"/>
          </w:tcPr>
          <w:p>
            <w:pPr>
              <w:autoSpaceDE w:val="0"/>
              <w:autoSpaceDN w:val="0"/>
              <w:adjustRightInd w:val="0"/>
              <w:spacing w:line="360" w:lineRule="exact"/>
              <w:jc w:val="center"/>
              <w:rPr>
                <w:rFonts w:hint="eastAsia" w:cs="宋体" w:asciiTheme="minorEastAsia" w:hAnsiTheme="minorEastAsia" w:eastAsiaTheme="minorEastAsia"/>
                <w:sz w:val="24"/>
                <w:szCs w:val="24"/>
              </w:rPr>
            </w:pPr>
            <w:r>
              <w:rPr>
                <w:rFonts w:hint="eastAsia" w:hAnsi="宋体" w:cs="宋体"/>
                <w:color w:val="auto"/>
                <w:sz w:val="24"/>
                <w:szCs w:val="24"/>
              </w:rPr>
              <w:t>履约担保</w:t>
            </w:r>
          </w:p>
        </w:tc>
        <w:tc>
          <w:tcPr>
            <w:tcW w:w="6694" w:type="dxa"/>
            <w:gridSpan w:val="3"/>
            <w:vAlign w:val="center"/>
          </w:tcPr>
          <w:p>
            <w:pPr>
              <w:pStyle w:val="18"/>
              <w:rPr>
                <w:rFonts w:hint="eastAsia" w:ascii="Times New Roman" w:cs="Times New Roman"/>
                <w:color w:val="auto"/>
                <w:kern w:val="2"/>
                <w:sz w:val="24"/>
                <w:szCs w:val="24"/>
              </w:rPr>
            </w:pPr>
            <w:r>
              <w:rPr>
                <w:rFonts w:hint="eastAsia" w:ascii="Times New Roman" w:cs="Times New Roman"/>
                <w:color w:val="auto"/>
                <w:kern w:val="2"/>
                <w:sz w:val="24"/>
                <w:szCs w:val="24"/>
              </w:rPr>
              <w:t>缴纳形式：基本户转账。</w:t>
            </w:r>
          </w:p>
          <w:p>
            <w:pPr>
              <w:pStyle w:val="18"/>
              <w:rPr>
                <w:rFonts w:hint="eastAsia" w:ascii="Times New Roman" w:cs="Times New Roman"/>
                <w:color w:val="auto"/>
                <w:kern w:val="2"/>
                <w:sz w:val="24"/>
                <w:szCs w:val="24"/>
              </w:rPr>
            </w:pPr>
            <w:r>
              <w:rPr>
                <w:rFonts w:hint="eastAsia" w:ascii="Times New Roman" w:cs="Times New Roman"/>
                <w:color w:val="auto"/>
                <w:kern w:val="2"/>
                <w:sz w:val="24"/>
                <w:szCs w:val="24"/>
              </w:rPr>
              <w:t>履约担保金额：中标价的10%</w:t>
            </w:r>
          </w:p>
          <w:p>
            <w:pPr>
              <w:pStyle w:val="18"/>
              <w:rPr>
                <w:rFonts w:hint="eastAsia" w:ascii="Times New Roman" w:cs="Times New Roman"/>
                <w:color w:val="auto"/>
                <w:kern w:val="2"/>
                <w:sz w:val="24"/>
                <w:szCs w:val="24"/>
              </w:rPr>
            </w:pPr>
            <w:r>
              <w:rPr>
                <w:rFonts w:hint="eastAsia" w:ascii="Times New Roman" w:cs="Times New Roman"/>
                <w:color w:val="auto"/>
                <w:kern w:val="2"/>
                <w:sz w:val="24"/>
                <w:szCs w:val="24"/>
              </w:rPr>
              <w:t>1、投标人采用基本户转账方式缴纳履约担保的，在中标人签订合同前办理，应缴纳至以下账户：</w:t>
            </w:r>
          </w:p>
          <w:p>
            <w:pPr>
              <w:pStyle w:val="18"/>
              <w:rPr>
                <w:rFonts w:hint="eastAsia" w:ascii="Times New Roman" w:cs="Times New Roman"/>
                <w:b/>
                <w:bCs/>
                <w:color w:val="auto"/>
                <w:kern w:val="2"/>
                <w:sz w:val="24"/>
                <w:szCs w:val="24"/>
              </w:rPr>
            </w:pPr>
            <w:r>
              <w:rPr>
                <w:rFonts w:hint="eastAsia" w:ascii="Times New Roman" w:cs="Times New Roman"/>
                <w:b/>
                <w:bCs/>
                <w:color w:val="auto"/>
                <w:kern w:val="2"/>
                <w:sz w:val="24"/>
                <w:szCs w:val="24"/>
              </w:rPr>
              <w:t>开户行：中国工商银行股份有限公司长葛支行</w:t>
            </w:r>
          </w:p>
          <w:p>
            <w:pPr>
              <w:pStyle w:val="18"/>
              <w:rPr>
                <w:rFonts w:hint="eastAsia" w:ascii="Times New Roman" w:cs="Times New Roman"/>
                <w:b/>
                <w:bCs/>
                <w:color w:val="auto"/>
                <w:kern w:val="2"/>
                <w:sz w:val="24"/>
                <w:szCs w:val="24"/>
              </w:rPr>
            </w:pPr>
            <w:r>
              <w:rPr>
                <w:rFonts w:hint="eastAsia" w:ascii="Times New Roman" w:cs="Times New Roman"/>
                <w:b/>
                <w:bCs/>
                <w:color w:val="auto"/>
                <w:kern w:val="2"/>
                <w:sz w:val="24"/>
                <w:szCs w:val="24"/>
              </w:rPr>
              <w:t>户  名：长葛市公共资源交易中心</w:t>
            </w:r>
          </w:p>
          <w:p>
            <w:pPr>
              <w:pStyle w:val="18"/>
              <w:rPr>
                <w:rFonts w:hint="eastAsia" w:ascii="Times New Roman" w:cs="Times New Roman"/>
                <w:b/>
                <w:bCs/>
                <w:color w:val="auto"/>
                <w:kern w:val="2"/>
                <w:sz w:val="24"/>
                <w:szCs w:val="24"/>
              </w:rPr>
            </w:pPr>
            <w:r>
              <w:rPr>
                <w:rFonts w:hint="eastAsia" w:ascii="Times New Roman" w:cs="Times New Roman"/>
                <w:b/>
                <w:bCs/>
                <w:color w:val="auto"/>
                <w:kern w:val="2"/>
                <w:sz w:val="24"/>
                <w:szCs w:val="24"/>
              </w:rPr>
              <w:t>账  号：1708026029200151795</w:t>
            </w:r>
          </w:p>
          <w:p>
            <w:pPr>
              <w:pStyle w:val="18"/>
              <w:rPr>
                <w:rFonts w:hint="eastAsia" w:ascii="Times New Roman" w:cs="Times New Roman"/>
                <w:b/>
                <w:bCs/>
                <w:color w:val="auto"/>
                <w:kern w:val="2"/>
                <w:sz w:val="24"/>
                <w:szCs w:val="24"/>
              </w:rPr>
            </w:pPr>
            <w:r>
              <w:rPr>
                <w:rFonts w:hint="eastAsia" w:ascii="Times New Roman" w:cs="Times New Roman"/>
                <w:b/>
                <w:bCs/>
                <w:color w:val="auto"/>
                <w:kern w:val="2"/>
                <w:sz w:val="24"/>
                <w:szCs w:val="24"/>
              </w:rPr>
              <w:t>注：</w:t>
            </w:r>
          </w:p>
          <w:p>
            <w:pPr>
              <w:pStyle w:val="18"/>
              <w:rPr>
                <w:rFonts w:hint="eastAsia" w:cs="宋体" w:asciiTheme="minorEastAsia" w:hAnsiTheme="minorEastAsia" w:eastAsiaTheme="minorEastAsia"/>
                <w:sz w:val="24"/>
                <w:szCs w:val="24"/>
              </w:rPr>
            </w:pPr>
            <w:r>
              <w:rPr>
                <w:rFonts w:hint="eastAsia" w:ascii="Times New Roman" w:cs="Times New Roman"/>
                <w:b/>
                <w:bCs/>
                <w:color w:val="auto"/>
                <w:kern w:val="2"/>
                <w:sz w:val="24"/>
                <w:szCs w:val="24"/>
              </w:rPr>
              <w:t>应按规定交纳履约担保或者提交银行履约保函，否则取消其中标资格且投标担保不予退还。中标人未按约定时间开工建设的，招标人有权解除总承包合同，履约担保不予退还。投标人采用联合体投标的，由联合体牵头人负责履约担保或者银行履约保函的缴纳或提交。履约担保缴纳时需备注项目编号：长交建【2020】GZ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8"/>
            <w:vAlign w:val="center"/>
          </w:tcPr>
          <w:p>
            <w:pPr>
              <w:spacing w:line="440" w:lineRule="exact"/>
              <w:rPr>
                <w:rFonts w:hint="eastAsia" w:ascii="Times New Roman" w:cs="Times New Roman"/>
                <w:b/>
                <w:bCs/>
                <w:color w:val="auto"/>
                <w:kern w:val="2"/>
                <w:sz w:val="24"/>
                <w:szCs w:val="24"/>
              </w:rPr>
            </w:pPr>
            <w:r>
              <w:rPr>
                <w:rFonts w:hint="eastAsia"/>
                <w:sz w:val="24"/>
                <w:szCs w:val="24"/>
              </w:rPr>
              <w:t>7.4招标人及监督人员出席开标会议（授权函）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8"/>
            <w:vAlign w:val="center"/>
          </w:tcPr>
          <w:p>
            <w:pPr>
              <w:autoSpaceDE w:val="0"/>
              <w:autoSpaceDN w:val="0"/>
              <w:adjustRightInd w:val="0"/>
              <w:spacing w:line="420" w:lineRule="exact"/>
              <w:jc w:val="left"/>
              <w:rPr>
                <w:rFonts w:hint="eastAsia" w:ascii="Times New Roman" w:cs="Times New Roman"/>
                <w:b/>
                <w:bCs/>
                <w:color w:val="auto"/>
                <w:kern w:val="2"/>
                <w:sz w:val="24"/>
                <w:szCs w:val="24"/>
              </w:rPr>
            </w:pPr>
            <w:r>
              <w:rPr>
                <w:sz w:val="24"/>
                <w:szCs w:val="24"/>
              </w:rPr>
              <w:t>招标人单位委派代表参加开标会议，或者作为招标人代表进入评标委员会的，须向招标代理机构出具由招标人法定代表人签字并加盖单位公章的有明确授权事项的授权函。</w:t>
            </w:r>
            <w:r>
              <w:rPr>
                <w:sz w:val="24"/>
                <w:szCs w:val="24"/>
              </w:rPr>
              <w:br w:type="textWrapping"/>
            </w:r>
            <w:r>
              <w:rPr>
                <w:sz w:val="24"/>
                <w:szCs w:val="24"/>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24" w:type="dxa"/>
            <w:vAlign w:val="center"/>
          </w:tcPr>
          <w:p>
            <w:pPr>
              <w:spacing w:line="400" w:lineRule="exact"/>
              <w:jc w:val="center"/>
              <w:rPr>
                <w:rFonts w:hint="eastAsia" w:ascii="宋体" w:hAnsi="宋体" w:eastAsia="宋体" w:cs="宋体"/>
                <w:sz w:val="24"/>
                <w:szCs w:val="24"/>
              </w:rPr>
            </w:pPr>
            <w:r>
              <w:rPr>
                <w:rFonts w:hint="eastAsia" w:ascii="宋体" w:hAnsi="宋体" w:cs="TimesNewRomanPSMT"/>
                <w:kern w:val="0"/>
                <w:sz w:val="24"/>
                <w:szCs w:val="24"/>
              </w:rPr>
              <w:t>7.</w:t>
            </w:r>
            <w:r>
              <w:rPr>
                <w:rFonts w:hint="eastAsia" w:ascii="宋体" w:hAnsi="宋体" w:cs="TimesNewRomanPSMT"/>
                <w:kern w:val="0"/>
                <w:sz w:val="24"/>
                <w:szCs w:val="24"/>
                <w:lang w:val="en-US" w:eastAsia="zh-CN"/>
              </w:rPr>
              <w:t>5</w:t>
            </w:r>
          </w:p>
        </w:tc>
        <w:tc>
          <w:tcPr>
            <w:tcW w:w="2817" w:type="dxa"/>
            <w:gridSpan w:val="6"/>
            <w:vAlign w:val="center"/>
          </w:tcPr>
          <w:p>
            <w:pPr>
              <w:spacing w:line="400" w:lineRule="exact"/>
              <w:jc w:val="center"/>
              <w:rPr>
                <w:sz w:val="24"/>
                <w:szCs w:val="24"/>
              </w:rPr>
            </w:pPr>
            <w:r>
              <w:rPr>
                <w:rFonts w:hint="eastAsia"/>
                <w:sz w:val="24"/>
                <w:szCs w:val="24"/>
              </w:rPr>
              <w:t>投诉</w:t>
            </w:r>
          </w:p>
        </w:tc>
        <w:tc>
          <w:tcPr>
            <w:tcW w:w="6212" w:type="dxa"/>
            <w:vAlign w:val="center"/>
          </w:tcPr>
          <w:p>
            <w:pPr>
              <w:rPr>
                <w:sz w:val="24"/>
                <w:szCs w:val="24"/>
              </w:rPr>
            </w:pPr>
            <w:r>
              <w:rPr>
                <w:rFonts w:hint="eastAsia"/>
                <w:sz w:val="24"/>
                <w:szCs w:val="24"/>
              </w:rPr>
              <w:t>若出现投诉时，投诉人必须是参加本项目投标时的法定代表人或参加本项目投标时法定代表人授权的委托代理人。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8"/>
            <w:vAlign w:val="center"/>
          </w:tcPr>
          <w:p>
            <w:pPr>
              <w:spacing w:line="312"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8"/>
            <w:vAlign w:val="center"/>
          </w:tcPr>
          <w:p>
            <w:pPr>
              <w:spacing w:line="312"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06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10.1.1</w:t>
            </w:r>
          </w:p>
        </w:tc>
        <w:tc>
          <w:tcPr>
            <w:tcW w:w="2290" w:type="dxa"/>
            <w:gridSpan w:val="2"/>
            <w:vAlign w:val="center"/>
          </w:tcPr>
          <w:p>
            <w:pPr>
              <w:spacing w:line="312" w:lineRule="auto"/>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类似项目</w:t>
            </w:r>
          </w:p>
        </w:tc>
        <w:tc>
          <w:tcPr>
            <w:tcW w:w="6694" w:type="dxa"/>
            <w:gridSpan w:val="3"/>
            <w:vAlign w:val="center"/>
          </w:tcPr>
          <w:p>
            <w:pPr>
              <w:autoSpaceDE w:val="0"/>
              <w:autoSpaceDN w:val="0"/>
              <w:adjustRightInd w:val="0"/>
              <w:spacing w:line="420" w:lineRule="exact"/>
              <w:rPr>
                <w:rFonts w:asciiTheme="minorEastAsia" w:hAnsiTheme="minorEastAsia" w:eastAsiaTheme="minorEastAsia"/>
                <w:sz w:val="24"/>
                <w:highlight w:val="none"/>
              </w:rPr>
            </w:pPr>
            <w:r>
              <w:rPr>
                <w:rFonts w:hint="eastAsia" w:ascii="宋体" w:hAnsi="宋体" w:cs="宋体"/>
                <w:kern w:val="0"/>
                <w:sz w:val="24"/>
                <w:highlight w:val="none"/>
              </w:rPr>
              <w:t>21</w:t>
            </w:r>
            <w:r>
              <w:rPr>
                <w:rFonts w:hint="eastAsia" w:ascii="宋体" w:hAnsi="宋体" w:eastAsia="Times New Roman" w:cs="宋体"/>
                <w:kern w:val="0"/>
                <w:sz w:val="24"/>
                <w:highlight w:val="none"/>
              </w:rPr>
              <w:t>标段指2017年1月1日以来</w:t>
            </w:r>
            <w:r>
              <w:rPr>
                <w:rFonts w:hint="eastAsia" w:ascii="宋体" w:hAnsi="宋体" w:eastAsia="宋体" w:cs="宋体"/>
                <w:kern w:val="0"/>
                <w:sz w:val="24"/>
                <w:highlight w:val="none"/>
                <w:lang w:eastAsia="zh-CN"/>
              </w:rPr>
              <w:t>承建的</w:t>
            </w:r>
            <w:r>
              <w:rPr>
                <w:rFonts w:hint="eastAsia" w:ascii="宋体" w:hAnsi="宋体" w:cs="宋体" w:eastAsiaTheme="minorEastAsia"/>
                <w:kern w:val="0"/>
                <w:sz w:val="24"/>
                <w:highlight w:val="none"/>
                <w:lang w:eastAsia="zh-CN"/>
              </w:rPr>
              <w:t>高标准农田</w:t>
            </w:r>
            <w:r>
              <w:rPr>
                <w:rFonts w:hint="eastAsia" w:ascii="宋体" w:hAnsi="宋体" w:cs="宋体"/>
                <w:kern w:val="0"/>
                <w:sz w:val="24"/>
                <w:highlight w:val="none"/>
              </w:rPr>
              <w:t>监理项目</w:t>
            </w:r>
            <w:r>
              <w:rPr>
                <w:rFonts w:hint="eastAsia" w:ascii="宋体" w:hAnsi="宋体" w:eastAsia="Times New Roman" w:cs="宋体"/>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10.2</w:t>
            </w:r>
          </w:p>
        </w:tc>
        <w:tc>
          <w:tcPr>
            <w:tcW w:w="8984" w:type="dxa"/>
            <w:gridSpan w:val="5"/>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10.2.1</w:t>
            </w:r>
          </w:p>
        </w:tc>
        <w:tc>
          <w:tcPr>
            <w:tcW w:w="2249" w:type="dxa"/>
            <w:vAlign w:val="center"/>
          </w:tcPr>
          <w:p>
            <w:pPr>
              <w:spacing w:line="312"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招标控制价</w:t>
            </w:r>
          </w:p>
          <w:p>
            <w:pPr>
              <w:spacing w:line="312" w:lineRule="auto"/>
              <w:rPr>
                <w:rFonts w:cs="宋体" w:asciiTheme="minorEastAsia" w:hAnsiTheme="minorEastAsia" w:eastAsiaTheme="minorEastAsia"/>
                <w:kern w:val="0"/>
                <w:sz w:val="24"/>
                <w:highlight w:val="none"/>
              </w:rPr>
            </w:pPr>
          </w:p>
        </w:tc>
        <w:tc>
          <w:tcPr>
            <w:tcW w:w="6694" w:type="dxa"/>
            <w:gridSpan w:val="3"/>
            <w:vAlign w:val="center"/>
          </w:tcPr>
          <w:p>
            <w:pPr>
              <w:spacing w:line="312"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本工程设招标控制价：</w:t>
            </w:r>
          </w:p>
          <w:p>
            <w:pPr>
              <w:spacing w:line="360" w:lineRule="auto"/>
              <w:ind w:left="1205" w:hanging="1205" w:hangingChars="500"/>
              <w:jc w:val="left"/>
              <w:outlineLvl w:val="0"/>
              <w:rPr>
                <w:rFonts w:asciiTheme="minorEastAsia" w:hAnsiTheme="minorEastAsia" w:eastAsiaTheme="minorEastAsia"/>
                <w:b/>
                <w:bCs/>
                <w:sz w:val="24"/>
                <w:highlight w:val="none"/>
              </w:rPr>
            </w:pPr>
            <w:r>
              <w:rPr>
                <w:rFonts w:hint="eastAsia" w:cs="宋体" w:asciiTheme="minorEastAsia" w:hAnsiTheme="minorEastAsia" w:eastAsiaTheme="minorEastAsia"/>
                <w:b/>
                <w:bCs/>
                <w:kern w:val="0"/>
                <w:sz w:val="24"/>
                <w:highlight w:val="none"/>
              </w:rPr>
              <w:t>第21标段：大写：</w:t>
            </w:r>
            <w:r>
              <w:rPr>
                <w:rFonts w:hint="eastAsia" w:cs="宋体" w:asciiTheme="minorEastAsia" w:hAnsiTheme="minorEastAsia" w:eastAsiaTheme="minorEastAsia"/>
                <w:b/>
                <w:bCs/>
                <w:kern w:val="0"/>
                <w:sz w:val="24"/>
                <w:highlight w:val="none"/>
                <w:lang w:eastAsia="zh-CN"/>
              </w:rPr>
              <w:t>叁拾壹万玖仟叁佰柒拾伍元贰角捌分</w:t>
            </w:r>
            <w:r>
              <w:rPr>
                <w:rFonts w:hint="eastAsia" w:cs="宋体" w:asciiTheme="minorEastAsia" w:hAnsiTheme="minorEastAsia" w:eastAsiaTheme="minorEastAsia"/>
                <w:b/>
                <w:bCs/>
                <w:kern w:val="0"/>
                <w:sz w:val="24"/>
                <w:highlight w:val="none"/>
              </w:rPr>
              <w:t>（</w:t>
            </w:r>
            <w:r>
              <w:rPr>
                <w:rFonts w:hint="eastAsia" w:cs="仿宋_GB2312" w:asciiTheme="minorEastAsia" w:hAnsiTheme="minorEastAsia" w:eastAsiaTheme="minorEastAsia"/>
                <w:b/>
                <w:bCs/>
                <w:sz w:val="24"/>
                <w:highlight w:val="none"/>
              </w:rPr>
              <w:t>￥319375.28元）</w:t>
            </w:r>
            <w:r>
              <w:rPr>
                <w:rFonts w:hint="eastAsia" w:asciiTheme="minorEastAsia" w:hAnsiTheme="minorEastAsia" w:eastAsiaTheme="minorEastAsia"/>
                <w:b/>
                <w:bCs/>
                <w:sz w:val="24"/>
                <w:highlight w:val="none"/>
              </w:rPr>
              <w:t>；</w:t>
            </w:r>
          </w:p>
          <w:p>
            <w:pPr>
              <w:spacing w:line="312"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凡投标人的投标报价高于“招标控制价”（不含等于“招标控制价”）的，该投标人的投标文件应作废标处理。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8"/>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10.3</w:t>
            </w:r>
            <w:r>
              <w:rPr>
                <w:rFonts w:hint="eastAsia" w:hAnsi="宋体" w:cs="宋体"/>
                <w:color w:val="000000" w:themeColor="text1"/>
                <w:sz w:val="24"/>
              </w:rPr>
              <w:t>“暗标”评审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12" w:lineRule="auto"/>
              <w:rPr>
                <w:rFonts w:cs="宋体" w:asciiTheme="minorEastAsia" w:hAnsiTheme="minorEastAsia" w:eastAsiaTheme="minorEastAsia"/>
                <w:kern w:val="0"/>
                <w:sz w:val="24"/>
              </w:rPr>
            </w:pPr>
          </w:p>
        </w:tc>
        <w:tc>
          <w:tcPr>
            <w:tcW w:w="2310" w:type="dxa"/>
            <w:gridSpan w:val="2"/>
            <w:vAlign w:val="center"/>
          </w:tcPr>
          <w:p>
            <w:pPr>
              <w:spacing w:line="260" w:lineRule="exact"/>
              <w:jc w:val="center"/>
              <w:rPr>
                <w:rFonts w:hAnsi="宋体" w:cs="宋体"/>
                <w:color w:val="000000" w:themeColor="text1"/>
                <w:sz w:val="24"/>
              </w:rPr>
            </w:pPr>
            <w:r>
              <w:rPr>
                <w:rFonts w:hint="eastAsia" w:hAnsi="宋体" w:cs="宋体"/>
                <w:color w:val="000000" w:themeColor="text1"/>
                <w:sz w:val="24"/>
              </w:rPr>
              <w:t>技术标是否采用“暗标”评审方式</w:t>
            </w:r>
          </w:p>
        </w:tc>
        <w:tc>
          <w:tcPr>
            <w:tcW w:w="6633" w:type="dxa"/>
            <w:gridSpan w:val="2"/>
            <w:vAlign w:val="center"/>
          </w:tcPr>
          <w:p>
            <w:pPr>
              <w:spacing w:line="312" w:lineRule="auto"/>
              <w:rPr>
                <w:rFonts w:hAnsi="宋体" w:cs="宋体"/>
                <w:color w:val="000000" w:themeColor="text1"/>
                <w:sz w:val="24"/>
              </w:rPr>
            </w:pPr>
            <w:r>
              <w:rPr>
                <w:rFonts w:hint="eastAsia" w:hAnsi="宋体" w:cs="宋体"/>
                <w:color w:val="000000" w:themeColor="text1"/>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8"/>
            <w:vAlign w:val="center"/>
          </w:tcPr>
          <w:p>
            <w:pPr>
              <w:spacing w:line="312" w:lineRule="auto"/>
              <w:rPr>
                <w:rFonts w:hAnsi="宋体" w:cs="宋体"/>
                <w:color w:val="000000" w:themeColor="text1"/>
                <w:sz w:val="24"/>
              </w:rPr>
            </w:pPr>
            <w:r>
              <w:rPr>
                <w:rFonts w:hint="eastAsia" w:hAnsi="宋体" w:cs="宋体"/>
                <w:color w:val="000000" w:themeColor="text1"/>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12" w:lineRule="auto"/>
              <w:rPr>
                <w:rFonts w:hAnsi="宋体" w:cs="宋体"/>
                <w:color w:val="000000" w:themeColor="text1"/>
                <w:sz w:val="24"/>
              </w:rPr>
            </w:pPr>
          </w:p>
        </w:tc>
        <w:tc>
          <w:tcPr>
            <w:tcW w:w="8943" w:type="dxa"/>
            <w:gridSpan w:val="4"/>
            <w:vAlign w:val="center"/>
          </w:tcPr>
          <w:p>
            <w:pPr>
              <w:spacing w:line="312" w:lineRule="auto"/>
              <w:rPr>
                <w:rFonts w:hAnsi="宋体" w:cs="宋体"/>
                <w:color w:val="000000" w:themeColor="text1"/>
                <w:sz w:val="24"/>
              </w:rPr>
            </w:pPr>
            <w:r>
              <w:rPr>
                <w:rFonts w:hint="eastAsia" w:hAnsi="宋体" w:cs="宋体"/>
                <w:color w:val="000000" w:themeColor="text1"/>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8"/>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12" w:lineRule="auto"/>
              <w:rPr>
                <w:rFonts w:cs="宋体" w:asciiTheme="minorEastAsia" w:hAnsiTheme="minorEastAsia" w:eastAsiaTheme="minorEastAsia"/>
                <w:kern w:val="0"/>
                <w:sz w:val="24"/>
              </w:rPr>
            </w:pPr>
          </w:p>
        </w:tc>
        <w:tc>
          <w:tcPr>
            <w:tcW w:w="8943" w:type="dxa"/>
            <w:gridSpan w:val="4"/>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在中标通知书发出前，招标人将中标候选人的情况在本招标项目招标公告发布的同一媒介予以公示，公示期不少于3日。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8"/>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10.6知识产权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12" w:lineRule="auto"/>
              <w:rPr>
                <w:rFonts w:cs="宋体" w:asciiTheme="minorEastAsia" w:hAnsiTheme="minorEastAsia" w:eastAsiaTheme="minorEastAsia"/>
                <w:kern w:val="0"/>
                <w:sz w:val="24"/>
              </w:rPr>
            </w:pPr>
          </w:p>
        </w:tc>
        <w:tc>
          <w:tcPr>
            <w:tcW w:w="8943" w:type="dxa"/>
            <w:gridSpan w:val="4"/>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8"/>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12" w:lineRule="auto"/>
              <w:rPr>
                <w:rFonts w:cs="宋体" w:asciiTheme="minorEastAsia" w:hAnsiTheme="minorEastAsia" w:eastAsiaTheme="minorEastAsia"/>
                <w:kern w:val="0"/>
                <w:sz w:val="24"/>
              </w:rPr>
            </w:pPr>
          </w:p>
        </w:tc>
        <w:tc>
          <w:tcPr>
            <w:tcW w:w="8943" w:type="dxa"/>
            <w:gridSpan w:val="4"/>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8"/>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10.8同义词语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12" w:lineRule="auto"/>
              <w:rPr>
                <w:rFonts w:cs="宋体" w:asciiTheme="minorEastAsia" w:hAnsiTheme="minorEastAsia" w:eastAsiaTheme="minorEastAsia"/>
                <w:kern w:val="0"/>
                <w:sz w:val="24"/>
              </w:rPr>
            </w:pPr>
          </w:p>
        </w:tc>
        <w:tc>
          <w:tcPr>
            <w:tcW w:w="8943" w:type="dxa"/>
            <w:gridSpan w:val="4"/>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8"/>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10.9监督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12" w:lineRule="auto"/>
              <w:rPr>
                <w:rFonts w:cs="宋体" w:asciiTheme="minorEastAsia" w:hAnsiTheme="minorEastAsia" w:eastAsiaTheme="minorEastAsia"/>
                <w:kern w:val="0"/>
                <w:sz w:val="24"/>
              </w:rPr>
            </w:pPr>
          </w:p>
        </w:tc>
        <w:tc>
          <w:tcPr>
            <w:tcW w:w="8943" w:type="dxa"/>
            <w:gridSpan w:val="4"/>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8"/>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10.10解释权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50" w:type="dxa"/>
            <w:gridSpan w:val="2"/>
            <w:vAlign w:val="center"/>
          </w:tcPr>
          <w:p>
            <w:pPr>
              <w:spacing w:line="312" w:lineRule="auto"/>
              <w:rPr>
                <w:rFonts w:cs="宋体" w:asciiTheme="minorEastAsia" w:hAnsiTheme="minorEastAsia" w:eastAsiaTheme="minorEastAsia"/>
                <w:kern w:val="0"/>
                <w:sz w:val="24"/>
              </w:rPr>
            </w:pPr>
          </w:p>
        </w:tc>
        <w:tc>
          <w:tcPr>
            <w:tcW w:w="9003" w:type="dxa"/>
            <w:gridSpan w:val="6"/>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构成本招标文件的各个组成文件应互为解释，互为说明；</w:t>
            </w:r>
          </w:p>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1、如有不明确或不一致，构成合同文件组成内容，以合同文件约定内容为准，且以专用合同条款约定的合同文件优先顺序解释；</w:t>
            </w:r>
          </w:p>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2、除招标文件中有特别规定外，仅适用于招标投标阶段的规定，按招标公告（投标邀请书）、投标人须知、评标办法、投标文件格式的先后顺序解释；</w:t>
            </w:r>
          </w:p>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3、同一组成文件中就同一事项的规定或约定不一致的，以编排顺序在后者为准；</w:t>
            </w:r>
          </w:p>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4、同一组成文件不同版本之间有不一致的，以形成时间在后者为准。</w:t>
            </w:r>
          </w:p>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50"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10.11</w:t>
            </w:r>
          </w:p>
        </w:tc>
        <w:tc>
          <w:tcPr>
            <w:tcW w:w="9003" w:type="dxa"/>
            <w:gridSpan w:val="6"/>
            <w:vAlign w:val="center"/>
          </w:tcPr>
          <w:p>
            <w:pPr>
              <w:spacing w:line="312" w:lineRule="auto"/>
              <w:rPr>
                <w:rFonts w:cs="宋体" w:asciiTheme="minorEastAsia" w:hAnsiTheme="minorEastAsia" w:eastAsiaTheme="minorEastAsia"/>
                <w:kern w:val="0"/>
                <w:sz w:val="24"/>
              </w:rPr>
            </w:pPr>
            <w:r>
              <w:rPr>
                <w:rFonts w:hint="eastAsia" w:hAnsi="宋体" w:cs="宋体"/>
                <w:color w:val="000000" w:themeColor="text1"/>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50" w:type="dxa"/>
            <w:gridSpan w:val="2"/>
            <w:vAlign w:val="center"/>
          </w:tcPr>
          <w:p>
            <w:pPr>
              <w:spacing w:line="312" w:lineRule="auto"/>
              <w:rPr>
                <w:rFonts w:hint="eastAsia" w:cs="宋体" w:asciiTheme="minorEastAsia" w:hAnsiTheme="minorEastAsia" w:eastAsiaTheme="minorEastAsia"/>
                <w:color w:val="auto"/>
                <w:kern w:val="0"/>
                <w:sz w:val="24"/>
                <w:szCs w:val="24"/>
              </w:rPr>
            </w:pPr>
          </w:p>
        </w:tc>
        <w:tc>
          <w:tcPr>
            <w:tcW w:w="9003" w:type="dxa"/>
            <w:gridSpan w:val="6"/>
            <w:vAlign w:val="center"/>
          </w:tcPr>
          <w:p>
            <w:pPr>
              <w:spacing w:line="440" w:lineRule="exact"/>
              <w:rPr>
                <w:rFonts w:hint="eastAsia" w:ascii="宋体" w:hAnsi="宋体" w:cs="仿宋_GB2312"/>
                <w:color w:val="auto"/>
                <w:kern w:val="0"/>
                <w:sz w:val="24"/>
                <w:szCs w:val="24"/>
                <w:lang w:eastAsia="zh-CN"/>
              </w:rPr>
            </w:pPr>
            <w:r>
              <w:rPr>
                <w:rFonts w:hint="eastAsia"/>
                <w:color w:val="auto"/>
                <w:sz w:val="24"/>
                <w:szCs w:val="24"/>
              </w:rPr>
              <w:t>1、中标单位</w:t>
            </w:r>
            <w:r>
              <w:rPr>
                <w:rFonts w:hint="eastAsia" w:ascii="宋体" w:hAnsi="宋体" w:cs="仿宋_GB2312"/>
                <w:color w:val="auto"/>
                <w:kern w:val="0"/>
                <w:sz w:val="24"/>
                <w:szCs w:val="24"/>
                <w:lang w:eastAsia="zh-CN"/>
              </w:rPr>
              <w:t>须按《国家计委〈计价格〔2002〕1980号〉》及《国家发展改革委办公厅〈发改办价格〔2003〕857号〉》有关规定向招标代理机构交纳招标服务费。</w:t>
            </w:r>
          </w:p>
          <w:p>
            <w:pPr>
              <w:spacing w:line="312" w:lineRule="auto"/>
              <w:rPr>
                <w:rFonts w:hint="eastAsia" w:hAnsi="宋体" w:cs="宋体"/>
                <w:color w:val="auto"/>
                <w:sz w:val="24"/>
                <w:szCs w:val="24"/>
              </w:rPr>
            </w:pPr>
            <w:r>
              <w:rPr>
                <w:rFonts w:hint="eastAsia" w:ascii="宋体" w:hAnsi="宋体" w:cs="仿宋_GB2312"/>
                <w:color w:val="auto"/>
                <w:kern w:val="0"/>
                <w:sz w:val="24"/>
                <w:szCs w:val="24"/>
                <w:lang w:eastAsia="zh-CN"/>
              </w:rPr>
              <w:t>2、</w:t>
            </w:r>
            <w:r>
              <w:rPr>
                <w:rFonts w:hint="eastAsia" w:ascii="宋体" w:hAnsi="宋体" w:cs="仿宋_GB2312"/>
                <w:color w:val="auto"/>
                <w:kern w:val="0"/>
                <w:sz w:val="24"/>
                <w:szCs w:val="24"/>
                <w:lang w:val="en-US" w:eastAsia="zh-CN"/>
              </w:rPr>
              <w:t>付款方式及要求：本项目无预付款，待货物安装、施工完工且验收合格后按照市政府相关要求支付。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8"/>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10.11.1投标文件的拒收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12" w:lineRule="auto"/>
              <w:rPr>
                <w:rFonts w:cs="宋体" w:asciiTheme="minorEastAsia" w:hAnsiTheme="minorEastAsia" w:eastAsiaTheme="minorEastAsia"/>
                <w:kern w:val="0"/>
                <w:sz w:val="24"/>
              </w:rPr>
            </w:pPr>
          </w:p>
        </w:tc>
        <w:tc>
          <w:tcPr>
            <w:tcW w:w="8943"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1、未成功上传的投标文件；</w:t>
            </w:r>
          </w:p>
          <w:p>
            <w:pPr>
              <w:autoSpaceDE w:val="0"/>
              <w:autoSpaceDN w:val="0"/>
              <w:spacing w:line="440" w:lineRule="exact"/>
              <w:jc w:val="left"/>
              <w:outlineLvl w:val="0"/>
              <w:rPr>
                <w:rFonts w:hAnsi="宋体" w:cs="宋体"/>
                <w:sz w:val="24"/>
              </w:rPr>
            </w:pPr>
            <w:r>
              <w:rPr>
                <w:rFonts w:hint="eastAsia" w:hAnsi="宋体" w:cs="宋体"/>
                <w:sz w:val="24"/>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8"/>
            <w:vAlign w:val="center"/>
          </w:tcPr>
          <w:p>
            <w:pPr>
              <w:autoSpaceDE w:val="0"/>
              <w:autoSpaceDN w:val="0"/>
              <w:spacing w:line="440" w:lineRule="exact"/>
              <w:jc w:val="left"/>
              <w:outlineLvl w:val="0"/>
              <w:rPr>
                <w:rFonts w:hint="eastAsia" w:hAnsi="宋体" w:cs="宋体"/>
                <w:sz w:val="24"/>
              </w:rPr>
            </w:pPr>
            <w:r>
              <w:rPr>
                <w:rFonts w:hint="eastAsia" w:hAnsi="宋体" w:cs="宋体"/>
                <w:sz w:val="24"/>
              </w:rPr>
              <w:t>10.1</w:t>
            </w:r>
            <w:r>
              <w:rPr>
                <w:rFonts w:hint="eastAsia" w:hAnsi="宋体" w:cs="宋体"/>
                <w:sz w:val="24"/>
                <w:lang w:val="en-US" w:eastAsia="zh-CN"/>
              </w:rPr>
              <w:t>1.</w:t>
            </w:r>
            <w:r>
              <w:rPr>
                <w:rFonts w:hint="eastAsia" w:hAnsi="宋体" w:cs="宋体"/>
                <w:sz w:val="24"/>
              </w:rPr>
              <w:t>1资料费及获取地点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12" w:lineRule="auto"/>
              <w:rPr>
                <w:rFonts w:cs="宋体" w:asciiTheme="minorEastAsia" w:hAnsiTheme="minorEastAsia" w:eastAsiaTheme="minorEastAsia"/>
                <w:kern w:val="0"/>
                <w:sz w:val="24"/>
              </w:rPr>
            </w:pPr>
          </w:p>
        </w:tc>
        <w:tc>
          <w:tcPr>
            <w:tcW w:w="8943" w:type="dxa"/>
            <w:gridSpan w:val="4"/>
            <w:vAlign w:val="center"/>
          </w:tcPr>
          <w:p>
            <w:pPr>
              <w:autoSpaceDE w:val="0"/>
              <w:autoSpaceDN w:val="0"/>
              <w:spacing w:line="440" w:lineRule="exact"/>
              <w:jc w:val="left"/>
              <w:outlineLvl w:val="0"/>
              <w:rPr>
                <w:rFonts w:hint="eastAsia" w:hAnsi="宋体" w:cs="宋体"/>
                <w:sz w:val="24"/>
              </w:rPr>
            </w:pPr>
            <w:bookmarkStart w:id="6" w:name="_Toc464824560"/>
            <w:r>
              <w:rPr>
                <w:rFonts w:hint="eastAsia" w:hAnsi="宋体" w:cs="宋体"/>
                <w:sz w:val="24"/>
              </w:rPr>
              <w:t>1、招标文件费用</w:t>
            </w:r>
            <w:bookmarkEnd w:id="6"/>
            <w:r>
              <w:rPr>
                <w:rFonts w:hint="eastAsia" w:hAnsi="宋体" w:cs="宋体"/>
                <w:sz w:val="24"/>
              </w:rPr>
              <w:t>300元/套 ，售后不退；</w:t>
            </w:r>
          </w:p>
          <w:p>
            <w:pPr>
              <w:autoSpaceDE w:val="0"/>
              <w:autoSpaceDN w:val="0"/>
              <w:spacing w:line="440" w:lineRule="exact"/>
              <w:jc w:val="left"/>
              <w:outlineLvl w:val="0"/>
              <w:rPr>
                <w:rFonts w:hint="eastAsia" w:hAnsi="宋体" w:cs="宋体"/>
                <w:sz w:val="24"/>
              </w:rPr>
            </w:pPr>
            <w:r>
              <w:rPr>
                <w:rFonts w:hint="eastAsia" w:hAnsi="宋体" w:cs="宋体"/>
                <w:sz w:val="24"/>
              </w:rPr>
              <w:t>2、投标人于开标结束后转账至支付宝账户：13213352233（转账时请注明项目编号、标段及公司名称）。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8"/>
            <w:vAlign w:val="center"/>
          </w:tcPr>
          <w:p>
            <w:pPr>
              <w:spacing w:line="312" w:lineRule="auto"/>
              <w:rPr>
                <w:rFonts w:cs="宋体" w:asciiTheme="minorEastAsia" w:hAnsiTheme="minorEastAsia" w:eastAsiaTheme="minorEastAsia"/>
                <w:sz w:val="24"/>
              </w:rPr>
            </w:pPr>
            <w:r>
              <w:rPr>
                <w:rFonts w:hint="eastAsia" w:cs="宋体" w:asciiTheme="minorEastAsia" w:hAnsiTheme="minorEastAsia" w:eastAsiaTheme="minorEastAsia"/>
                <w:kern w:val="0"/>
                <w:sz w:val="24"/>
              </w:rPr>
              <w:t>10.12特别提示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8"/>
            <w:vAlign w:val="center"/>
          </w:tcPr>
          <w:p>
            <w:pPr>
              <w:spacing w:line="312"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中标人应当按合同约定履行义务，完成中标项目。中标人不得向他人转让中标项目，也不得将中标项目肢解后分别向他人转让。</w:t>
            </w:r>
          </w:p>
          <w:p>
            <w:pPr>
              <w:spacing w:line="312"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投标人应作出“不挂靠、不转包、不违法分包”的专项承诺。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8"/>
            <w:vAlign w:val="center"/>
          </w:tcPr>
          <w:p>
            <w:pPr>
              <w:spacing w:line="400" w:lineRule="exact"/>
              <w:rPr>
                <w:rFonts w:hint="eastAsia" w:cs="宋体" w:asciiTheme="minorEastAsia" w:hAnsiTheme="minorEastAsia" w:eastAsiaTheme="minorEastAsia"/>
                <w:kern w:val="0"/>
                <w:sz w:val="24"/>
              </w:rPr>
            </w:pPr>
            <w:r>
              <w:rPr>
                <w:rFonts w:hint="eastAsia" w:hAnsi="宋体" w:cs="宋体"/>
                <w:b/>
                <w:szCs w:val="21"/>
              </w:rPr>
              <w:t>10.14招标人、投标人不得有以下行为：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8"/>
            <w:vAlign w:val="center"/>
          </w:tcPr>
          <w:p>
            <w:pPr>
              <w:autoSpaceDE w:val="0"/>
              <w:autoSpaceDN w:val="0"/>
              <w:spacing w:line="380" w:lineRule="exact"/>
              <w:jc w:val="left"/>
              <w:outlineLvl w:val="0"/>
              <w:rPr>
                <w:rFonts w:hint="eastAsia" w:cs="仿宋_GB2312"/>
                <w:szCs w:val="21"/>
              </w:rPr>
            </w:pPr>
            <w:r>
              <w:rPr>
                <w:rFonts w:hint="eastAsia" w:cs="仿宋_GB2312"/>
                <w:szCs w:val="21"/>
              </w:rPr>
              <w:t xml:space="preserve">《中华人民共和国招标投标法》第三十二条： </w:t>
            </w:r>
          </w:p>
          <w:p>
            <w:pPr>
              <w:autoSpaceDE w:val="0"/>
              <w:autoSpaceDN w:val="0"/>
              <w:spacing w:line="380" w:lineRule="exact"/>
              <w:jc w:val="left"/>
              <w:outlineLvl w:val="0"/>
              <w:rPr>
                <w:rFonts w:hint="eastAsia" w:cs="仿宋_GB2312"/>
                <w:szCs w:val="21"/>
              </w:rPr>
            </w:pPr>
            <w:r>
              <w:rPr>
                <w:rFonts w:hint="eastAsia" w:cs="仿宋_GB2312"/>
                <w:szCs w:val="21"/>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autoSpaceDE w:val="0"/>
              <w:autoSpaceDN w:val="0"/>
              <w:spacing w:line="380" w:lineRule="exact"/>
              <w:jc w:val="left"/>
              <w:outlineLvl w:val="0"/>
              <w:rPr>
                <w:rFonts w:hint="eastAsia" w:cs="仿宋_GB2312"/>
                <w:szCs w:val="21"/>
              </w:rPr>
            </w:pPr>
            <w:r>
              <w:rPr>
                <w:rFonts w:hint="eastAsia" w:cs="仿宋_GB2312"/>
                <w:szCs w:val="21"/>
              </w:rPr>
              <w:t>《中华人民共和国招标投标法》第三十三条： 投标人不得以低于成本的报价竞标，也不得以他人名义投标或者以其他方式弄虚作假，骗取中标。</w:t>
            </w:r>
          </w:p>
          <w:p>
            <w:pPr>
              <w:autoSpaceDE w:val="0"/>
              <w:autoSpaceDN w:val="0"/>
              <w:spacing w:line="380" w:lineRule="exact"/>
              <w:jc w:val="left"/>
              <w:outlineLvl w:val="0"/>
              <w:rPr>
                <w:rFonts w:hint="eastAsia" w:cs="仿宋_GB2312"/>
                <w:szCs w:val="21"/>
              </w:rPr>
            </w:pPr>
            <w:r>
              <w:rPr>
                <w:rFonts w:hint="eastAsia" w:cs="仿宋_GB2312"/>
                <w:szCs w:val="21"/>
              </w:rPr>
              <w:t xml:space="preserve">《中华人民共和国招标投标法实施条例》第三十九条： </w:t>
            </w:r>
          </w:p>
          <w:p>
            <w:pPr>
              <w:autoSpaceDE w:val="0"/>
              <w:autoSpaceDN w:val="0"/>
              <w:spacing w:line="380" w:lineRule="exact"/>
              <w:jc w:val="left"/>
              <w:outlineLvl w:val="0"/>
              <w:rPr>
                <w:rFonts w:hint="eastAsia" w:cs="仿宋_GB2312"/>
                <w:szCs w:val="21"/>
              </w:rPr>
            </w:pPr>
            <w:r>
              <w:rPr>
                <w:rFonts w:hint="eastAsia" w:cs="仿宋_GB2312"/>
                <w:szCs w:val="21"/>
              </w:rPr>
              <w:t xml:space="preserve"> 禁止投标人相互串通投标</w:t>
            </w:r>
          </w:p>
          <w:p>
            <w:pPr>
              <w:autoSpaceDE w:val="0"/>
              <w:autoSpaceDN w:val="0"/>
              <w:spacing w:line="380" w:lineRule="exact"/>
              <w:jc w:val="left"/>
              <w:outlineLvl w:val="0"/>
              <w:rPr>
                <w:rFonts w:hint="eastAsia" w:cs="仿宋_GB2312"/>
                <w:szCs w:val="21"/>
              </w:rPr>
            </w:pPr>
            <w:r>
              <w:rPr>
                <w:rFonts w:hint="eastAsia" w:cs="仿宋_GB2312"/>
                <w:szCs w:val="21"/>
              </w:rPr>
              <w:t>有下列情形之一的，属于投标人相互串通投标：</w:t>
            </w:r>
          </w:p>
          <w:p>
            <w:pPr>
              <w:autoSpaceDE w:val="0"/>
              <w:autoSpaceDN w:val="0"/>
              <w:spacing w:line="380" w:lineRule="exact"/>
              <w:jc w:val="left"/>
              <w:outlineLvl w:val="0"/>
              <w:rPr>
                <w:rFonts w:hint="eastAsia" w:cs="仿宋_GB2312"/>
                <w:szCs w:val="21"/>
              </w:rPr>
            </w:pPr>
            <w:r>
              <w:rPr>
                <w:rFonts w:hint="eastAsia" w:cs="仿宋_GB2312"/>
                <w:szCs w:val="21"/>
              </w:rPr>
              <w:t>（一）投标人之间协商投标报价等投标文件的实质性内容；</w:t>
            </w:r>
          </w:p>
          <w:p>
            <w:pPr>
              <w:autoSpaceDE w:val="0"/>
              <w:autoSpaceDN w:val="0"/>
              <w:spacing w:line="380" w:lineRule="exact"/>
              <w:jc w:val="left"/>
              <w:outlineLvl w:val="0"/>
              <w:rPr>
                <w:rFonts w:hint="eastAsia" w:cs="仿宋_GB2312"/>
                <w:szCs w:val="21"/>
              </w:rPr>
            </w:pPr>
            <w:r>
              <w:rPr>
                <w:rFonts w:hint="eastAsia" w:cs="仿宋_GB2312"/>
                <w:szCs w:val="21"/>
              </w:rPr>
              <w:t>（二）投标人之间约定中标人；</w:t>
            </w:r>
          </w:p>
          <w:p>
            <w:pPr>
              <w:autoSpaceDE w:val="0"/>
              <w:autoSpaceDN w:val="0"/>
              <w:spacing w:line="380" w:lineRule="exact"/>
              <w:jc w:val="left"/>
              <w:outlineLvl w:val="0"/>
              <w:rPr>
                <w:rFonts w:hint="eastAsia" w:cs="仿宋_GB2312"/>
                <w:szCs w:val="21"/>
              </w:rPr>
            </w:pPr>
            <w:r>
              <w:rPr>
                <w:rFonts w:hint="eastAsia" w:cs="仿宋_GB2312"/>
                <w:szCs w:val="21"/>
              </w:rPr>
              <w:t>（三）投标人之间约定部分投标人放弃投标或者中标；</w:t>
            </w:r>
          </w:p>
          <w:p>
            <w:pPr>
              <w:autoSpaceDE w:val="0"/>
              <w:autoSpaceDN w:val="0"/>
              <w:spacing w:line="380" w:lineRule="exact"/>
              <w:jc w:val="left"/>
              <w:outlineLvl w:val="0"/>
              <w:rPr>
                <w:rFonts w:hint="eastAsia" w:cs="仿宋_GB2312"/>
                <w:szCs w:val="21"/>
              </w:rPr>
            </w:pPr>
            <w:r>
              <w:rPr>
                <w:rFonts w:hint="eastAsia" w:cs="仿宋_GB2312"/>
                <w:szCs w:val="21"/>
              </w:rPr>
              <w:t>（四）属于同一集团、协会、商会等组织成员的投标人按照该组织要求协同投标；</w:t>
            </w:r>
          </w:p>
          <w:p>
            <w:pPr>
              <w:autoSpaceDE w:val="0"/>
              <w:autoSpaceDN w:val="0"/>
              <w:spacing w:line="380" w:lineRule="exact"/>
              <w:jc w:val="left"/>
              <w:outlineLvl w:val="0"/>
              <w:rPr>
                <w:rFonts w:hint="eastAsia" w:cs="仿宋_GB2312"/>
                <w:szCs w:val="21"/>
              </w:rPr>
            </w:pPr>
            <w:r>
              <w:rPr>
                <w:rFonts w:hint="eastAsia" w:cs="仿宋_GB2312"/>
                <w:szCs w:val="21"/>
              </w:rPr>
              <w:t>（五）投标人之间为谋取中标或者排斥特定投标人而采取的其他联合行动。</w:t>
            </w:r>
          </w:p>
          <w:p>
            <w:pPr>
              <w:autoSpaceDE w:val="0"/>
              <w:autoSpaceDN w:val="0"/>
              <w:spacing w:line="380" w:lineRule="exact"/>
              <w:jc w:val="left"/>
              <w:outlineLvl w:val="0"/>
              <w:rPr>
                <w:rFonts w:hint="eastAsia" w:cs="仿宋_GB2312"/>
                <w:szCs w:val="21"/>
              </w:rPr>
            </w:pPr>
            <w:r>
              <w:rPr>
                <w:rFonts w:hint="eastAsia" w:cs="仿宋_GB2312"/>
                <w:szCs w:val="21"/>
              </w:rPr>
              <w:t xml:space="preserve">《中华人民共和国招标投标法实施条例》第四十条： </w:t>
            </w:r>
          </w:p>
          <w:p>
            <w:pPr>
              <w:autoSpaceDE w:val="0"/>
              <w:autoSpaceDN w:val="0"/>
              <w:spacing w:line="380" w:lineRule="exact"/>
              <w:jc w:val="left"/>
              <w:outlineLvl w:val="0"/>
              <w:rPr>
                <w:rFonts w:hint="eastAsia" w:cs="仿宋_GB2312"/>
                <w:szCs w:val="21"/>
              </w:rPr>
            </w:pPr>
            <w:r>
              <w:rPr>
                <w:rFonts w:hint="eastAsia" w:cs="仿宋_GB2312"/>
                <w:szCs w:val="21"/>
              </w:rPr>
              <w:t xml:space="preserve"> 有下列情形之一的，视为投标人相互串通投标：</w:t>
            </w:r>
          </w:p>
          <w:p>
            <w:pPr>
              <w:autoSpaceDE w:val="0"/>
              <w:autoSpaceDN w:val="0"/>
              <w:spacing w:line="380" w:lineRule="exact"/>
              <w:jc w:val="left"/>
              <w:outlineLvl w:val="0"/>
              <w:rPr>
                <w:rFonts w:hint="eastAsia" w:cs="仿宋_GB2312"/>
                <w:szCs w:val="21"/>
              </w:rPr>
            </w:pPr>
            <w:r>
              <w:rPr>
                <w:rFonts w:hint="eastAsia" w:cs="仿宋_GB2312"/>
                <w:szCs w:val="21"/>
              </w:rPr>
              <w:t>（一）不同投标人的投标文件由同一单位或者个人编制；</w:t>
            </w:r>
          </w:p>
          <w:p>
            <w:pPr>
              <w:autoSpaceDE w:val="0"/>
              <w:autoSpaceDN w:val="0"/>
              <w:spacing w:line="380" w:lineRule="exact"/>
              <w:jc w:val="left"/>
              <w:outlineLvl w:val="0"/>
              <w:rPr>
                <w:rFonts w:hint="eastAsia" w:cs="仿宋_GB2312"/>
                <w:szCs w:val="21"/>
              </w:rPr>
            </w:pPr>
            <w:r>
              <w:rPr>
                <w:rFonts w:hint="eastAsia" w:cs="仿宋_GB2312"/>
                <w:szCs w:val="21"/>
              </w:rPr>
              <w:t>（二）不同投标人委托同一单位或者个人办理投标事宜；</w:t>
            </w:r>
          </w:p>
          <w:p>
            <w:pPr>
              <w:autoSpaceDE w:val="0"/>
              <w:autoSpaceDN w:val="0"/>
              <w:spacing w:line="380" w:lineRule="exact"/>
              <w:jc w:val="left"/>
              <w:outlineLvl w:val="0"/>
              <w:rPr>
                <w:rFonts w:hint="eastAsia" w:cs="仿宋_GB2312"/>
                <w:szCs w:val="21"/>
              </w:rPr>
            </w:pPr>
            <w:r>
              <w:rPr>
                <w:rFonts w:hint="eastAsia" w:cs="仿宋_GB2312"/>
                <w:szCs w:val="21"/>
              </w:rPr>
              <w:t>（三）不同投标人的投标文件载明的项目管理成员为同一人；</w:t>
            </w:r>
          </w:p>
          <w:p>
            <w:pPr>
              <w:autoSpaceDE w:val="0"/>
              <w:autoSpaceDN w:val="0"/>
              <w:spacing w:line="380" w:lineRule="exact"/>
              <w:jc w:val="left"/>
              <w:outlineLvl w:val="0"/>
              <w:rPr>
                <w:rFonts w:hint="eastAsia" w:cs="仿宋_GB2312"/>
                <w:szCs w:val="21"/>
              </w:rPr>
            </w:pPr>
            <w:r>
              <w:rPr>
                <w:rFonts w:hint="eastAsia" w:cs="仿宋_GB2312"/>
                <w:szCs w:val="21"/>
              </w:rPr>
              <w:t>（四）不同投标人的投标文件异常一致或者投标报价呈规律性差异；</w:t>
            </w:r>
          </w:p>
          <w:p>
            <w:pPr>
              <w:autoSpaceDE w:val="0"/>
              <w:autoSpaceDN w:val="0"/>
              <w:spacing w:line="380" w:lineRule="exact"/>
              <w:jc w:val="left"/>
              <w:outlineLvl w:val="0"/>
              <w:rPr>
                <w:rFonts w:hint="eastAsia" w:cs="仿宋_GB2312"/>
                <w:szCs w:val="21"/>
              </w:rPr>
            </w:pPr>
            <w:r>
              <w:rPr>
                <w:rFonts w:hint="eastAsia" w:cs="仿宋_GB2312"/>
                <w:szCs w:val="21"/>
              </w:rPr>
              <w:t>（五）不同投标人的投标文件相互混装；</w:t>
            </w:r>
          </w:p>
          <w:p>
            <w:pPr>
              <w:autoSpaceDE w:val="0"/>
              <w:autoSpaceDN w:val="0"/>
              <w:spacing w:line="380" w:lineRule="exact"/>
              <w:jc w:val="left"/>
              <w:outlineLvl w:val="0"/>
              <w:rPr>
                <w:rFonts w:hint="eastAsia" w:cs="仿宋_GB2312"/>
                <w:szCs w:val="21"/>
              </w:rPr>
            </w:pPr>
            <w:r>
              <w:rPr>
                <w:rFonts w:hint="eastAsia" w:cs="仿宋_GB2312"/>
                <w:szCs w:val="21"/>
              </w:rPr>
              <w:t>（六）不同投标人的投标担保从同一单位或者个人的账户转出。</w:t>
            </w:r>
          </w:p>
          <w:p>
            <w:pPr>
              <w:autoSpaceDE w:val="0"/>
              <w:autoSpaceDN w:val="0"/>
              <w:spacing w:line="380" w:lineRule="exact"/>
              <w:jc w:val="left"/>
              <w:outlineLvl w:val="0"/>
              <w:rPr>
                <w:rFonts w:hint="eastAsia" w:cs="仿宋_GB2312"/>
                <w:szCs w:val="21"/>
              </w:rPr>
            </w:pPr>
            <w:r>
              <w:rPr>
                <w:rFonts w:hint="eastAsia" w:cs="仿宋_GB2312"/>
                <w:szCs w:val="21"/>
              </w:rPr>
              <w:t xml:space="preserve">《中华人民共和国招标投标法实施条例》第四十一条： </w:t>
            </w:r>
          </w:p>
          <w:p>
            <w:pPr>
              <w:autoSpaceDE w:val="0"/>
              <w:autoSpaceDN w:val="0"/>
              <w:spacing w:line="380" w:lineRule="exact"/>
              <w:jc w:val="left"/>
              <w:outlineLvl w:val="0"/>
              <w:rPr>
                <w:rFonts w:hint="eastAsia" w:cs="仿宋_GB2312"/>
                <w:szCs w:val="21"/>
              </w:rPr>
            </w:pPr>
            <w:r>
              <w:rPr>
                <w:rFonts w:hint="eastAsia" w:cs="仿宋_GB2312"/>
                <w:szCs w:val="21"/>
              </w:rPr>
              <w:t xml:space="preserve"> 禁止招标人与投标人串通投标。</w:t>
            </w:r>
          </w:p>
          <w:p>
            <w:pPr>
              <w:autoSpaceDE w:val="0"/>
              <w:autoSpaceDN w:val="0"/>
              <w:spacing w:line="380" w:lineRule="exact"/>
              <w:ind w:firstLine="105" w:firstLineChars="50"/>
              <w:jc w:val="left"/>
              <w:outlineLvl w:val="0"/>
              <w:rPr>
                <w:rFonts w:hint="eastAsia" w:cs="仿宋_GB2312"/>
                <w:szCs w:val="21"/>
              </w:rPr>
            </w:pPr>
            <w:r>
              <w:rPr>
                <w:rFonts w:hint="eastAsia" w:cs="仿宋_GB2312"/>
                <w:szCs w:val="21"/>
              </w:rPr>
              <w:t>有下列情形之一的，属于招标人与投标人串通投标：</w:t>
            </w:r>
          </w:p>
          <w:p>
            <w:pPr>
              <w:autoSpaceDE w:val="0"/>
              <w:autoSpaceDN w:val="0"/>
              <w:spacing w:line="380" w:lineRule="exact"/>
              <w:jc w:val="left"/>
              <w:outlineLvl w:val="0"/>
              <w:rPr>
                <w:rFonts w:hint="eastAsia" w:cs="仿宋_GB2312"/>
                <w:szCs w:val="21"/>
              </w:rPr>
            </w:pPr>
            <w:r>
              <w:rPr>
                <w:rFonts w:hint="eastAsia" w:cs="仿宋_GB2312"/>
                <w:szCs w:val="21"/>
              </w:rPr>
              <w:t>（一）招标人在开标前开启投标文件并将有关信息泄露给其他投标人;</w:t>
            </w:r>
          </w:p>
          <w:p>
            <w:pPr>
              <w:autoSpaceDE w:val="0"/>
              <w:autoSpaceDN w:val="0"/>
              <w:spacing w:line="380" w:lineRule="exact"/>
              <w:jc w:val="left"/>
              <w:outlineLvl w:val="0"/>
              <w:rPr>
                <w:rFonts w:hint="eastAsia" w:cs="仿宋_GB2312"/>
                <w:szCs w:val="21"/>
              </w:rPr>
            </w:pPr>
            <w:r>
              <w:rPr>
                <w:rFonts w:hint="eastAsia" w:cs="仿宋_GB2312"/>
                <w:szCs w:val="21"/>
              </w:rPr>
              <w:t>（二）招标人直接或者间接向投标人泄露标底、评标委员会成员等信息；</w:t>
            </w:r>
          </w:p>
          <w:p>
            <w:pPr>
              <w:autoSpaceDE w:val="0"/>
              <w:autoSpaceDN w:val="0"/>
              <w:spacing w:line="380" w:lineRule="exact"/>
              <w:jc w:val="left"/>
              <w:outlineLvl w:val="0"/>
              <w:rPr>
                <w:rFonts w:hint="eastAsia" w:cs="仿宋_GB2312"/>
                <w:szCs w:val="21"/>
              </w:rPr>
            </w:pPr>
            <w:r>
              <w:rPr>
                <w:rFonts w:hint="eastAsia" w:cs="仿宋_GB2312"/>
                <w:szCs w:val="21"/>
              </w:rPr>
              <w:t>（三）招标人明示或者暗示投标人压低或者抬高投标报价；</w:t>
            </w:r>
          </w:p>
          <w:p>
            <w:pPr>
              <w:autoSpaceDE w:val="0"/>
              <w:autoSpaceDN w:val="0"/>
              <w:spacing w:line="380" w:lineRule="exact"/>
              <w:jc w:val="left"/>
              <w:outlineLvl w:val="0"/>
              <w:rPr>
                <w:rFonts w:hint="eastAsia" w:cs="仿宋_GB2312"/>
                <w:szCs w:val="21"/>
              </w:rPr>
            </w:pPr>
            <w:r>
              <w:rPr>
                <w:rFonts w:hint="eastAsia" w:cs="仿宋_GB2312"/>
                <w:szCs w:val="21"/>
              </w:rPr>
              <w:t>（四）招标人授意投标人撤换、修改投标文件；</w:t>
            </w:r>
          </w:p>
          <w:p>
            <w:pPr>
              <w:autoSpaceDE w:val="0"/>
              <w:autoSpaceDN w:val="0"/>
              <w:spacing w:line="380" w:lineRule="exact"/>
              <w:jc w:val="left"/>
              <w:outlineLvl w:val="0"/>
              <w:rPr>
                <w:rFonts w:hint="eastAsia" w:cs="仿宋_GB2312"/>
                <w:szCs w:val="21"/>
              </w:rPr>
            </w:pPr>
            <w:r>
              <w:rPr>
                <w:rFonts w:hint="eastAsia" w:cs="仿宋_GB2312"/>
                <w:szCs w:val="21"/>
              </w:rPr>
              <w:t>（五）招标人明示或者暗示投标人为特定投标人中标提供方便；</w:t>
            </w:r>
          </w:p>
          <w:p>
            <w:pPr>
              <w:autoSpaceDE w:val="0"/>
              <w:autoSpaceDN w:val="0"/>
              <w:spacing w:line="380" w:lineRule="exact"/>
              <w:jc w:val="left"/>
              <w:outlineLvl w:val="0"/>
              <w:rPr>
                <w:rFonts w:hint="eastAsia" w:cs="仿宋_GB2312"/>
                <w:szCs w:val="21"/>
              </w:rPr>
            </w:pPr>
            <w:r>
              <w:rPr>
                <w:rFonts w:hint="eastAsia" w:cs="仿宋_GB2312"/>
                <w:szCs w:val="21"/>
              </w:rPr>
              <w:t>（六）招标人与投标人为谋求特定投标人中标而采取的其他串通行为。</w:t>
            </w:r>
          </w:p>
          <w:p>
            <w:pPr>
              <w:autoSpaceDE w:val="0"/>
              <w:autoSpaceDN w:val="0"/>
              <w:spacing w:line="380" w:lineRule="exact"/>
              <w:jc w:val="left"/>
              <w:outlineLvl w:val="0"/>
              <w:rPr>
                <w:rFonts w:hint="eastAsia" w:cs="仿宋_GB2312"/>
                <w:szCs w:val="21"/>
              </w:rPr>
            </w:pPr>
            <w:r>
              <w:rPr>
                <w:rFonts w:hint="eastAsia" w:cs="仿宋_GB2312"/>
                <w:szCs w:val="21"/>
              </w:rPr>
              <w:t>《中华人民共和国招标投标法实施条例》第四十二条：</w:t>
            </w:r>
          </w:p>
          <w:p>
            <w:pPr>
              <w:autoSpaceDE w:val="0"/>
              <w:autoSpaceDN w:val="0"/>
              <w:spacing w:line="380" w:lineRule="exact"/>
              <w:jc w:val="left"/>
              <w:outlineLvl w:val="0"/>
              <w:rPr>
                <w:rFonts w:hint="eastAsia" w:cs="仿宋_GB2312"/>
                <w:szCs w:val="21"/>
              </w:rPr>
            </w:pPr>
            <w:r>
              <w:rPr>
                <w:rFonts w:hint="eastAsia" w:cs="仿宋_GB2312"/>
                <w:szCs w:val="21"/>
              </w:rPr>
              <w:t xml:space="preserve">  使用通过受让或者租借等方式获取的资格、资质证书投标的，属于招标投标法第三十三条规定的以他人名义投标。</w:t>
            </w:r>
          </w:p>
          <w:p>
            <w:pPr>
              <w:autoSpaceDE w:val="0"/>
              <w:autoSpaceDN w:val="0"/>
              <w:spacing w:line="380" w:lineRule="exact"/>
              <w:jc w:val="left"/>
              <w:outlineLvl w:val="0"/>
              <w:rPr>
                <w:rFonts w:hint="eastAsia" w:cs="仿宋_GB2312"/>
                <w:szCs w:val="21"/>
              </w:rPr>
            </w:pPr>
            <w:r>
              <w:rPr>
                <w:rFonts w:hint="eastAsia" w:cs="仿宋_GB2312"/>
                <w:szCs w:val="21"/>
              </w:rPr>
              <w:t>投标人有下列情形之一的，属于招标投标法第三十三条规定的以其他方式弄虚作假的行为：</w:t>
            </w:r>
          </w:p>
          <w:p>
            <w:pPr>
              <w:autoSpaceDE w:val="0"/>
              <w:autoSpaceDN w:val="0"/>
              <w:spacing w:line="380" w:lineRule="exact"/>
              <w:jc w:val="left"/>
              <w:outlineLvl w:val="0"/>
              <w:rPr>
                <w:rFonts w:hint="eastAsia" w:cs="仿宋_GB2312"/>
                <w:szCs w:val="21"/>
              </w:rPr>
            </w:pPr>
            <w:r>
              <w:rPr>
                <w:rFonts w:hint="eastAsia" w:cs="仿宋_GB2312"/>
                <w:szCs w:val="21"/>
              </w:rPr>
              <w:t>（一）使用伪造、变造的许可证件；</w:t>
            </w:r>
          </w:p>
          <w:p>
            <w:pPr>
              <w:autoSpaceDE w:val="0"/>
              <w:autoSpaceDN w:val="0"/>
              <w:spacing w:line="380" w:lineRule="exact"/>
              <w:jc w:val="left"/>
              <w:outlineLvl w:val="0"/>
              <w:rPr>
                <w:rFonts w:hint="eastAsia" w:cs="仿宋_GB2312"/>
                <w:szCs w:val="21"/>
              </w:rPr>
            </w:pPr>
            <w:r>
              <w:rPr>
                <w:rFonts w:hint="eastAsia" w:cs="仿宋_GB2312"/>
                <w:szCs w:val="21"/>
              </w:rPr>
              <w:t>（二）提供虚假的财务状况或者业绩；</w:t>
            </w:r>
          </w:p>
          <w:p>
            <w:pPr>
              <w:autoSpaceDE w:val="0"/>
              <w:autoSpaceDN w:val="0"/>
              <w:spacing w:line="380" w:lineRule="exact"/>
              <w:jc w:val="left"/>
              <w:outlineLvl w:val="0"/>
              <w:rPr>
                <w:rFonts w:hint="eastAsia" w:cs="仿宋_GB2312"/>
                <w:szCs w:val="21"/>
              </w:rPr>
            </w:pPr>
            <w:r>
              <w:rPr>
                <w:rFonts w:hint="eastAsia" w:cs="仿宋_GB2312"/>
                <w:szCs w:val="21"/>
              </w:rPr>
              <w:t>（三）提供虚假的项目负责人或者主要技术人员简历、劳动关系证明；</w:t>
            </w:r>
          </w:p>
          <w:p>
            <w:pPr>
              <w:autoSpaceDE w:val="0"/>
              <w:autoSpaceDN w:val="0"/>
              <w:spacing w:line="380" w:lineRule="exact"/>
              <w:jc w:val="left"/>
              <w:outlineLvl w:val="0"/>
              <w:rPr>
                <w:rFonts w:hint="eastAsia" w:cs="仿宋_GB2312"/>
                <w:szCs w:val="21"/>
              </w:rPr>
            </w:pPr>
            <w:r>
              <w:rPr>
                <w:rFonts w:hint="eastAsia" w:cs="仿宋_GB2312"/>
                <w:szCs w:val="21"/>
              </w:rPr>
              <w:t>（四）提供虚假的信用状况；</w:t>
            </w:r>
          </w:p>
          <w:p>
            <w:pPr>
              <w:spacing w:line="400" w:lineRule="exact"/>
              <w:rPr>
                <w:rFonts w:hint="eastAsia" w:cs="宋体" w:asciiTheme="minorEastAsia" w:hAnsiTheme="minorEastAsia" w:eastAsiaTheme="minorEastAsia"/>
                <w:kern w:val="0"/>
                <w:sz w:val="24"/>
              </w:rPr>
            </w:pPr>
            <w:r>
              <w:rPr>
                <w:rFonts w:hint="eastAsia" w:cs="仿宋_GB2312"/>
                <w:szCs w:val="21"/>
              </w:rPr>
              <w:t>（五）其他弄虚作假的行为。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8"/>
            <w:vAlign w:val="center"/>
          </w:tcPr>
          <w:p>
            <w:pPr>
              <w:spacing w:line="400" w:lineRule="exact"/>
              <w:rPr>
                <w:rFonts w:hint="eastAsia" w:cs="仿宋_GB2312"/>
                <w:szCs w:val="21"/>
              </w:rPr>
            </w:pPr>
            <w:r>
              <w:rPr>
                <w:rFonts w:hint="eastAsia" w:hAnsi="宋体" w:cs="宋体"/>
                <w:b/>
                <w:bCs/>
                <w:szCs w:val="21"/>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288" w:lineRule="auto"/>
              <w:rPr>
                <w:rFonts w:cs="宋体" w:asciiTheme="minorEastAsia" w:hAnsiTheme="minorEastAsia" w:eastAsiaTheme="minorEastAsia"/>
                <w:kern w:val="0"/>
                <w:sz w:val="24"/>
              </w:rPr>
            </w:pPr>
          </w:p>
        </w:tc>
        <w:tc>
          <w:tcPr>
            <w:tcW w:w="8943" w:type="dxa"/>
            <w:gridSpan w:val="4"/>
            <w:vAlign w:val="center"/>
          </w:tcPr>
          <w:p>
            <w:pPr>
              <w:autoSpaceDE w:val="0"/>
              <w:autoSpaceDN w:val="0"/>
              <w:spacing w:line="360" w:lineRule="auto"/>
              <w:ind w:firstLine="240" w:firstLineChars="100"/>
              <w:jc w:val="left"/>
              <w:outlineLvl w:val="0"/>
              <w:rPr>
                <w:rFonts w:hAnsi="宋体" w:cs="宋体"/>
                <w:color w:val="000000" w:themeColor="text1"/>
                <w:sz w:val="24"/>
              </w:rPr>
            </w:pPr>
            <w:r>
              <w:rPr>
                <w:rFonts w:hint="eastAsia" w:hAnsi="宋体" w:cs="宋体"/>
                <w:color w:val="000000" w:themeColor="text1"/>
                <w:sz w:val="24"/>
              </w:rPr>
              <w:t>1、潜在投标人应仔细阅读招标文件，有异议请在规定时间内在《全国公共资源交易平台（河南省·许昌市）》公共资源交易系统中提出。</w:t>
            </w:r>
          </w:p>
          <w:p>
            <w:pPr>
              <w:autoSpaceDE w:val="0"/>
              <w:autoSpaceDN w:val="0"/>
              <w:spacing w:line="360" w:lineRule="auto"/>
              <w:ind w:firstLine="240" w:firstLineChars="100"/>
              <w:jc w:val="left"/>
              <w:outlineLvl w:val="0"/>
              <w:rPr>
                <w:rFonts w:hAnsi="宋体" w:cs="宋体"/>
                <w:color w:val="000000" w:themeColor="text1"/>
                <w:sz w:val="24"/>
              </w:rPr>
            </w:pPr>
            <w:r>
              <w:rPr>
                <w:rFonts w:hint="eastAsia" w:hAnsi="宋体" w:cs="宋体"/>
                <w:color w:val="000000" w:themeColor="text1"/>
                <w:sz w:val="24"/>
              </w:rPr>
              <w:t>2、潜在投标人如对招标文件有异议，请在规定时间内在《全国公共资源交易平台（河南省·许昌市）》公共资源交易系统中提出，以其他方式递交的异议不予接受。</w:t>
            </w:r>
          </w:p>
          <w:p>
            <w:pPr>
              <w:autoSpaceDE w:val="0"/>
              <w:autoSpaceDN w:val="0"/>
              <w:spacing w:line="360" w:lineRule="auto"/>
              <w:ind w:firstLine="240" w:firstLineChars="100"/>
              <w:jc w:val="left"/>
              <w:outlineLvl w:val="0"/>
              <w:rPr>
                <w:rFonts w:hAnsi="宋体" w:cs="宋体"/>
                <w:color w:val="000000" w:themeColor="text1"/>
                <w:sz w:val="24"/>
              </w:rPr>
            </w:pPr>
            <w:r>
              <w:rPr>
                <w:rFonts w:hint="eastAsia" w:hAnsi="宋体" w:cs="宋体"/>
                <w:color w:val="000000" w:themeColor="text1"/>
                <w:sz w:val="24"/>
              </w:rPr>
              <w:t>3、投标人在投标截止时间前应随时关注《全国公共资源交易平台（河南省·许昌市）》公共资源交易系统发出的有关本项目的答疑、修改等相关内容。</w:t>
            </w:r>
          </w:p>
          <w:p>
            <w:pPr>
              <w:autoSpaceDE w:val="0"/>
              <w:autoSpaceDN w:val="0"/>
              <w:spacing w:line="360" w:lineRule="auto"/>
              <w:ind w:firstLine="240" w:firstLineChars="100"/>
              <w:jc w:val="left"/>
              <w:outlineLvl w:val="0"/>
              <w:rPr>
                <w:rFonts w:hAnsi="宋体" w:cs="宋体"/>
                <w:color w:val="000000" w:themeColor="text1"/>
                <w:sz w:val="24"/>
              </w:rPr>
            </w:pPr>
            <w:r>
              <w:rPr>
                <w:rFonts w:hint="eastAsia" w:hAnsi="宋体" w:cs="宋体"/>
                <w:color w:val="000000" w:themeColor="text1"/>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cs="宋体"/>
                <w:color w:val="000000" w:themeColor="text1"/>
                <w:sz w:val="24"/>
              </w:rPr>
            </w:pPr>
            <w:r>
              <w:rPr>
                <w:rFonts w:hint="eastAsia" w:hAnsi="宋体" w:cs="宋体"/>
                <w:color w:val="000000" w:themeColor="text1"/>
                <w:sz w:val="24"/>
              </w:rPr>
              <w:t>5、招标人及其代理机构需留存项目电子档案时，可在质疑期满后使用</w:t>
            </w:r>
            <w:r>
              <w:rPr>
                <w:rFonts w:hAnsi="宋体" w:cs="宋体"/>
                <w:color w:val="000000" w:themeColor="text1"/>
                <w:sz w:val="24"/>
              </w:rPr>
              <w:t>CA锁从交易平台自行下载。</w:t>
            </w:r>
          </w:p>
          <w:p>
            <w:pPr>
              <w:autoSpaceDE w:val="0"/>
              <w:autoSpaceDN w:val="0"/>
              <w:spacing w:line="360" w:lineRule="auto"/>
              <w:ind w:firstLine="240" w:firstLineChars="100"/>
              <w:jc w:val="left"/>
              <w:outlineLvl w:val="0"/>
              <w:rPr>
                <w:rFonts w:hAnsi="宋体" w:cs="宋体"/>
                <w:color w:val="000000" w:themeColor="text1"/>
                <w:sz w:val="24"/>
              </w:rPr>
            </w:pPr>
            <w:r>
              <w:rPr>
                <w:rFonts w:hint="eastAsia" w:hAnsi="宋体" w:cs="宋体"/>
                <w:color w:val="000000" w:themeColor="text1"/>
                <w:sz w:val="24"/>
              </w:rPr>
              <w:t>6、投标文件制作注意事项：</w:t>
            </w:r>
          </w:p>
          <w:p>
            <w:pPr>
              <w:autoSpaceDE w:val="0"/>
              <w:autoSpaceDN w:val="0"/>
              <w:spacing w:line="360" w:lineRule="auto"/>
              <w:ind w:firstLine="240" w:firstLineChars="100"/>
              <w:jc w:val="left"/>
              <w:outlineLvl w:val="0"/>
              <w:rPr>
                <w:rFonts w:hAnsi="宋体" w:cs="宋体"/>
                <w:color w:val="000000" w:themeColor="text1"/>
                <w:sz w:val="24"/>
              </w:rPr>
            </w:pPr>
            <w:r>
              <w:rPr>
                <w:rFonts w:hint="eastAsia" w:hAnsi="宋体" w:cs="宋体"/>
                <w:color w:val="000000" w:themeColor="text1"/>
                <w:sz w:val="24"/>
              </w:rPr>
              <w:t>6.1 投标人登录《全国公共资源交易平台（河南省·许昌市）》公共资源交易系统下载“许昌投标文件制作系统SEARUN V1.1”，按招标文件要求制作投标文件。</w:t>
            </w:r>
          </w:p>
          <w:p>
            <w:pPr>
              <w:autoSpaceDE w:val="0"/>
              <w:autoSpaceDN w:val="0"/>
              <w:spacing w:line="360" w:lineRule="auto"/>
              <w:ind w:firstLine="240" w:firstLineChars="100"/>
              <w:jc w:val="left"/>
              <w:outlineLvl w:val="0"/>
              <w:rPr>
                <w:rFonts w:hAnsi="宋体" w:cs="宋体"/>
                <w:color w:val="000000" w:themeColor="text1"/>
                <w:sz w:val="24"/>
              </w:rPr>
            </w:pPr>
            <w:r>
              <w:rPr>
                <w:rFonts w:hint="eastAsia" w:hAnsi="宋体" w:cs="宋体"/>
                <w:color w:val="000000" w:themeColor="text1"/>
                <w:sz w:val="24"/>
              </w:rPr>
              <w:t>6.2 商务标投标文件制作技术咨询：0374-2961598。</w:t>
            </w:r>
          </w:p>
          <w:p>
            <w:pPr>
              <w:autoSpaceDE w:val="0"/>
              <w:autoSpaceDN w:val="0"/>
              <w:spacing w:line="360" w:lineRule="auto"/>
              <w:ind w:firstLine="240" w:firstLineChars="100"/>
              <w:jc w:val="left"/>
              <w:outlineLvl w:val="0"/>
              <w:rPr>
                <w:rFonts w:hAnsi="宋体" w:cs="宋体"/>
                <w:color w:val="000000" w:themeColor="text1"/>
                <w:sz w:val="24"/>
              </w:rPr>
            </w:pPr>
            <w:r>
              <w:rPr>
                <w:rFonts w:hint="eastAsia" w:hAnsi="宋体" w:cs="宋体"/>
                <w:color w:val="000000" w:themeColor="text1"/>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cs="宋体"/>
                <w:color w:val="000000" w:themeColor="text1"/>
                <w:sz w:val="24"/>
              </w:rPr>
            </w:pPr>
            <w:r>
              <w:rPr>
                <w:rFonts w:hint="eastAsia" w:hAnsi="宋体" w:cs="宋体"/>
                <w:color w:val="000000" w:themeColor="text1"/>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cs="宋体"/>
                <w:color w:val="000000" w:themeColor="text1"/>
                <w:sz w:val="24"/>
              </w:rPr>
            </w:pPr>
            <w:r>
              <w:rPr>
                <w:rFonts w:hint="eastAsia" w:hAnsi="宋体" w:cs="宋体"/>
                <w:color w:val="000000" w:themeColor="text1"/>
                <w:sz w:val="24"/>
              </w:rPr>
              <w:t>6.5加密电子投标文件逾期上传的，招标人不予受理。</w:t>
            </w:r>
          </w:p>
          <w:p>
            <w:pPr>
              <w:autoSpaceDE w:val="0"/>
              <w:autoSpaceDN w:val="0"/>
              <w:spacing w:line="360" w:lineRule="auto"/>
              <w:ind w:firstLine="240" w:firstLineChars="100"/>
              <w:jc w:val="left"/>
              <w:outlineLvl w:val="0"/>
              <w:rPr>
                <w:rFonts w:hAnsi="宋体" w:cs="宋体"/>
                <w:color w:val="000000" w:themeColor="text1"/>
                <w:sz w:val="24"/>
              </w:rPr>
            </w:pPr>
            <w:r>
              <w:rPr>
                <w:rFonts w:hint="eastAsia" w:hAnsi="宋体" w:cs="宋体"/>
                <w:color w:val="000000" w:themeColor="text1"/>
                <w:sz w:val="24"/>
              </w:rPr>
              <w:t>6.6投标</w:t>
            </w:r>
            <w:r>
              <w:rPr>
                <w:rFonts w:hint="eastAsia" w:hAnsi="宋体" w:cs="宋体"/>
                <w:sz w:val="24"/>
              </w:rPr>
              <w:t>人采用银行转账方式提交投标保证金的，</w:t>
            </w:r>
            <w:r>
              <w:rPr>
                <w:rFonts w:hint="eastAsia" w:hAnsi="宋体" w:cs="宋体"/>
                <w:color w:val="000000" w:themeColor="text1"/>
                <w:sz w:val="24"/>
              </w:rPr>
              <w:t>应在投标文件递交的截止时间之前按程序完成投标保证金绑定。</w:t>
            </w:r>
          </w:p>
          <w:p>
            <w:pPr>
              <w:autoSpaceDE w:val="0"/>
              <w:autoSpaceDN w:val="0"/>
              <w:spacing w:line="360" w:lineRule="auto"/>
              <w:ind w:firstLine="240" w:firstLineChars="100"/>
              <w:jc w:val="left"/>
              <w:outlineLvl w:val="0"/>
              <w:rPr>
                <w:rFonts w:hAnsi="宋体" w:cs="宋体"/>
                <w:color w:val="000000" w:themeColor="text1"/>
                <w:sz w:val="24"/>
              </w:rPr>
            </w:pPr>
            <w:r>
              <w:rPr>
                <w:rFonts w:hint="eastAsia" w:hAnsi="宋体" w:cs="宋体"/>
                <w:color w:val="000000" w:themeColor="text1"/>
                <w:sz w:val="24"/>
              </w:rPr>
              <w:t>7、投标人需提前熟悉招标文件相关事项及《许昌市不见面开标操作手册》，并设置不见面开标浏览器（设置流程详见《许昌市不见面开标操作手册》）。</w:t>
            </w:r>
          </w:p>
          <w:p>
            <w:pPr>
              <w:autoSpaceDE w:val="0"/>
              <w:autoSpaceDN w:val="0"/>
              <w:spacing w:line="360" w:lineRule="auto"/>
              <w:ind w:firstLine="240" w:firstLineChars="100"/>
              <w:jc w:val="left"/>
              <w:outlineLvl w:val="0"/>
              <w:rPr>
                <w:rFonts w:hAnsi="宋体" w:cs="宋体"/>
                <w:color w:val="000000" w:themeColor="text1"/>
                <w:sz w:val="24"/>
              </w:rPr>
            </w:pPr>
            <w:r>
              <w:rPr>
                <w:rFonts w:hint="eastAsia" w:hAnsi="宋体" w:cs="宋体"/>
                <w:color w:val="000000" w:themeColor="text1"/>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cs="宋体"/>
                <w:color w:val="000000" w:themeColor="text1"/>
                <w:sz w:val="24"/>
              </w:rPr>
            </w:pPr>
            <w:r>
              <w:rPr>
                <w:rFonts w:hint="eastAsia" w:hAnsi="宋体" w:cs="宋体"/>
                <w:color w:val="000000" w:themeColor="text1"/>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cs="宋体"/>
                <w:color w:val="000000" w:themeColor="text1"/>
                <w:sz w:val="24"/>
              </w:rPr>
            </w:pPr>
            <w:r>
              <w:rPr>
                <w:rFonts w:hint="eastAsia" w:hAnsi="宋体" w:cs="宋体"/>
                <w:color w:val="000000" w:themeColor="text1"/>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cs="宋体"/>
                <w:color w:val="000000" w:themeColor="text1"/>
                <w:sz w:val="24"/>
              </w:rPr>
            </w:pPr>
            <w:r>
              <w:rPr>
                <w:rFonts w:hint="eastAsia" w:hAnsi="宋体" w:cs="宋体"/>
                <w:color w:val="000000" w:themeColor="text1"/>
                <w:sz w:val="24"/>
              </w:rPr>
              <w:t>10、从参与项目交易开始至项目交易活动结束止，投标（响应）人应时刻关注电子交易系统中的项目进度和状</w:t>
            </w:r>
            <w:r>
              <w:rPr>
                <w:rFonts w:hint="eastAsia" w:hAnsi="宋体" w:cs="宋体"/>
                <w:sz w:val="24"/>
              </w:rPr>
              <w:t>态，特别在项目评审期间，保持投标文件提供的联系方式畅通，评标委员会随时可能对投标文件内容质询，投标人应及时进行答复（包括但不限于电子文档、电子邮件等）。由于自</w:t>
            </w:r>
            <w:r>
              <w:rPr>
                <w:rFonts w:hint="eastAsia" w:hAnsi="宋体" w:cs="宋体"/>
                <w:color w:val="000000" w:themeColor="text1"/>
                <w:sz w:val="24"/>
              </w:rPr>
              <w:t>身原因错过变更通知、文件澄清、报价响应（自系统发起30分钟内做出）等重要信息的，后果由投标（响应）人自行承担。</w:t>
            </w:r>
          </w:p>
          <w:p>
            <w:pPr>
              <w:autoSpaceDE w:val="0"/>
              <w:autoSpaceDN w:val="0"/>
              <w:spacing w:line="360" w:lineRule="auto"/>
              <w:jc w:val="left"/>
              <w:outlineLvl w:val="0"/>
            </w:pPr>
            <w:r>
              <w:rPr>
                <w:rFonts w:hint="eastAsia" w:hAnsi="宋体" w:cs="宋体"/>
                <w:b/>
                <w:color w:val="000000" w:themeColor="text1"/>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autoSpaceDE w:val="0"/>
              <w:autoSpaceDN w:val="0"/>
              <w:adjustRightInd w:val="0"/>
              <w:spacing w:line="420" w:lineRule="exact"/>
              <w:jc w:val="center"/>
              <w:rPr>
                <w:rFonts w:cs="宋体" w:asciiTheme="minorEastAsia" w:hAnsiTheme="minorEastAsia" w:eastAsiaTheme="minorEastAsia"/>
                <w:kern w:val="0"/>
                <w:sz w:val="24"/>
                <w:szCs w:val="24"/>
              </w:rPr>
            </w:pPr>
            <w:r>
              <w:rPr>
                <w:rFonts w:hint="eastAsia" w:cs="仿宋_GB2312"/>
                <w:sz w:val="24"/>
                <w:szCs w:val="24"/>
              </w:rPr>
              <w:t>10.15</w:t>
            </w:r>
          </w:p>
        </w:tc>
        <w:tc>
          <w:tcPr>
            <w:tcW w:w="8943" w:type="dxa"/>
            <w:gridSpan w:val="4"/>
            <w:vAlign w:val="center"/>
          </w:tcPr>
          <w:p>
            <w:pPr>
              <w:autoSpaceDE w:val="0"/>
              <w:autoSpaceDN w:val="0"/>
              <w:adjustRightInd w:val="0"/>
              <w:spacing w:line="420" w:lineRule="exact"/>
              <w:rPr>
                <w:rFonts w:hint="eastAsia" w:hAnsi="宋体" w:cs="宋体"/>
                <w:b/>
                <w:color w:val="000000" w:themeColor="text1"/>
                <w:sz w:val="24"/>
                <w:szCs w:val="24"/>
              </w:rPr>
            </w:pPr>
            <w:r>
              <w:rPr>
                <w:rFonts w:hint="eastAsia" w:cs="仿宋_GB2312"/>
                <w:sz w:val="24"/>
                <w:szCs w:val="24"/>
              </w:rPr>
              <w:t>排名第一的中标候选人资格核验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60" w:lineRule="auto"/>
              <w:ind w:firstLine="240" w:firstLineChars="100"/>
              <w:rPr>
                <w:rFonts w:cs="宋体" w:asciiTheme="minorEastAsia" w:hAnsiTheme="minorEastAsia" w:eastAsiaTheme="minorEastAsia"/>
                <w:kern w:val="0"/>
                <w:sz w:val="24"/>
                <w:szCs w:val="24"/>
              </w:rPr>
            </w:pPr>
          </w:p>
        </w:tc>
        <w:tc>
          <w:tcPr>
            <w:tcW w:w="8943" w:type="dxa"/>
            <w:gridSpan w:val="4"/>
            <w:vAlign w:val="center"/>
          </w:tcPr>
          <w:p>
            <w:pPr>
              <w:autoSpaceDE w:val="0"/>
              <w:autoSpaceDN w:val="0"/>
              <w:adjustRightInd w:val="0"/>
              <w:spacing w:line="420" w:lineRule="exact"/>
              <w:jc w:val="both"/>
              <w:rPr>
                <w:rFonts w:cs="仿宋_GB2312"/>
                <w:sz w:val="24"/>
                <w:szCs w:val="24"/>
              </w:rPr>
            </w:pPr>
            <w:r>
              <w:rPr>
                <w:rFonts w:cs="仿宋_GB2312"/>
                <w:sz w:val="24"/>
                <w:szCs w:val="24"/>
              </w:rPr>
              <w:t>在评标结果公示期满且无异议后的5个工作日内，排名第一的中标候选人，其在投标文件中约定的拟任</w:t>
            </w:r>
            <w:r>
              <w:rPr>
                <w:rFonts w:hint="eastAsia" w:cs="仿宋_GB2312"/>
                <w:sz w:val="24"/>
                <w:szCs w:val="24"/>
              </w:rPr>
              <w:t>项目负责人</w:t>
            </w:r>
            <w:r>
              <w:rPr>
                <w:rFonts w:cs="仿宋_GB2312"/>
                <w:sz w:val="24"/>
                <w:szCs w:val="24"/>
              </w:rPr>
              <w:t>，应持以下证明材料，到项目招标单位接受资格核验：</w:t>
            </w:r>
            <w:r>
              <w:rPr>
                <w:rFonts w:hint="eastAsia" w:cs="仿宋_GB2312"/>
                <w:sz w:val="24"/>
                <w:szCs w:val="24"/>
              </w:rPr>
              <w:t xml:space="preserve">     1、</w:t>
            </w:r>
            <w:r>
              <w:rPr>
                <w:rFonts w:cs="仿宋_GB2312"/>
                <w:sz w:val="24"/>
                <w:szCs w:val="24"/>
              </w:rPr>
              <w:t>注册建造师证原件</w:t>
            </w:r>
            <w:r>
              <w:rPr>
                <w:rFonts w:hint="eastAsia" w:cs="仿宋_GB2312"/>
                <w:sz w:val="24"/>
                <w:szCs w:val="24"/>
              </w:rPr>
              <w:t>及</w:t>
            </w:r>
            <w:r>
              <w:rPr>
                <w:rFonts w:cs="仿宋_GB2312"/>
                <w:sz w:val="24"/>
                <w:szCs w:val="24"/>
              </w:rPr>
              <w:t>身份证原件</w:t>
            </w:r>
            <w:r>
              <w:rPr>
                <w:rFonts w:hint="eastAsia" w:cs="仿宋_GB2312"/>
                <w:sz w:val="24"/>
                <w:szCs w:val="24"/>
              </w:rPr>
              <w:t>及</w:t>
            </w:r>
            <w:r>
              <w:rPr>
                <w:rFonts w:cs="仿宋_GB2312"/>
                <w:sz w:val="24"/>
                <w:szCs w:val="24"/>
              </w:rPr>
              <w:t>身份证原件；</w:t>
            </w:r>
          </w:p>
          <w:p>
            <w:pPr>
              <w:spacing w:line="360" w:lineRule="auto"/>
              <w:rPr>
                <w:rFonts w:hint="eastAsia" w:hAnsi="宋体" w:cs="宋体"/>
                <w:b/>
                <w:color w:val="000000" w:themeColor="text1"/>
                <w:sz w:val="24"/>
                <w:szCs w:val="24"/>
              </w:rPr>
            </w:pPr>
            <w:r>
              <w:rPr>
                <w:rFonts w:cs="仿宋_GB2312"/>
                <w:sz w:val="24"/>
                <w:szCs w:val="24"/>
              </w:rPr>
              <w:t>2、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r>
              <w:rPr>
                <w:rFonts w:cs="仿宋_GB2312"/>
                <w:sz w:val="24"/>
                <w:szCs w:val="24"/>
              </w:rPr>
              <w:br w:type="textWrapping"/>
            </w:r>
            <w:r>
              <w:rPr>
                <w:rFonts w:hint="eastAsia" w:cs="仿宋_GB2312"/>
                <w:sz w:val="24"/>
                <w:szCs w:val="24"/>
              </w:rPr>
              <w:t xml:space="preserve">    </w:t>
            </w:r>
            <w:r>
              <w:rPr>
                <w:rFonts w:cs="仿宋_GB2312"/>
                <w:sz w:val="24"/>
                <w:szCs w:val="24"/>
              </w:rPr>
              <w:t>核验中发现其存在弄虚作假、围标串标、挂靠借用资质等骗取中标行为的，或逾期未按约定接受核验（视为放弃中标）的，招标人有权取消其中标资格，其投标</w:t>
            </w:r>
            <w:r>
              <w:rPr>
                <w:rFonts w:hint="eastAsia" w:cs="仿宋_GB2312"/>
                <w:sz w:val="24"/>
                <w:szCs w:val="24"/>
              </w:rPr>
              <w:t>担保</w:t>
            </w:r>
            <w:r>
              <w:rPr>
                <w:rFonts w:cs="仿宋_GB2312"/>
                <w:sz w:val="24"/>
                <w:szCs w:val="24"/>
              </w:rPr>
              <w:t>予以没收。招标人将投标</w:t>
            </w:r>
            <w:r>
              <w:rPr>
                <w:rFonts w:hint="eastAsia" w:cs="仿宋_GB2312"/>
                <w:sz w:val="24"/>
                <w:szCs w:val="24"/>
              </w:rPr>
              <w:t>担保</w:t>
            </w:r>
            <w:r>
              <w:rPr>
                <w:rFonts w:cs="仿宋_GB2312"/>
                <w:sz w:val="24"/>
                <w:szCs w:val="24"/>
              </w:rPr>
              <w:t>没收证明材料、法定代表人签字并加盖单位公章的核验结果书面告知公共资源交易中心业务科室和公管办监管股。由公共资源交易中心业务科室通知排名第二的中标候选人按上述规定接受审核。</w:t>
            </w:r>
            <w:r>
              <w:rPr>
                <w:rFonts w:hint="eastAsia" w:cs="仿宋_GB2312"/>
                <w:sz w:val="24"/>
                <w:szCs w:val="24"/>
              </w:rPr>
              <w:t>以此类推，中标候选人均不符合的，按有关法律法规执行。投标人以联合体方式投标且中标的。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0" w:type="dxa"/>
            <w:gridSpan w:val="4"/>
            <w:vAlign w:val="center"/>
          </w:tcPr>
          <w:p>
            <w:pPr>
              <w:spacing w:line="360" w:lineRule="auto"/>
              <w:ind w:firstLine="240" w:firstLineChars="100"/>
              <w:rPr>
                <w:rFonts w:cs="宋体" w:asciiTheme="minorEastAsia" w:hAnsiTheme="minorEastAsia" w:eastAsiaTheme="minorEastAsia"/>
                <w:kern w:val="0"/>
                <w:sz w:val="24"/>
                <w:szCs w:val="24"/>
              </w:rPr>
            </w:pPr>
          </w:p>
        </w:tc>
        <w:tc>
          <w:tcPr>
            <w:tcW w:w="8943" w:type="dxa"/>
            <w:gridSpan w:val="4"/>
            <w:vAlign w:val="center"/>
          </w:tcPr>
          <w:p>
            <w:pPr>
              <w:spacing w:line="360" w:lineRule="auto"/>
              <w:rPr>
                <w:rFonts w:hint="eastAsia" w:hAnsi="宋体" w:cs="宋体"/>
                <w:b/>
                <w:color w:val="000000" w:themeColor="text1"/>
                <w:sz w:val="24"/>
                <w:szCs w:val="24"/>
              </w:rPr>
            </w:pPr>
            <w:r>
              <w:rPr>
                <w:rFonts w:hint="eastAsia" w:cs="仿宋_GB2312"/>
                <w:sz w:val="24"/>
                <w:szCs w:val="24"/>
              </w:rPr>
              <w:t>未尽事宜，按国家有关规定执行。</w:t>
            </w:r>
          </w:p>
        </w:tc>
      </w:tr>
    </w:tbl>
    <w:p>
      <w:pPr>
        <w:pStyle w:val="5"/>
        <w:spacing w:line="480" w:lineRule="exact"/>
        <w:jc w:val="center"/>
        <w:rPr>
          <w:rFonts w:ascii="宋体" w:hAnsi="宋体" w:eastAsia="宋体" w:cs="宋体"/>
          <w:sz w:val="24"/>
          <w:szCs w:val="24"/>
        </w:rPr>
      </w:pPr>
      <w:r>
        <w:rPr>
          <w:rFonts w:hint="eastAsia" w:ascii="宋体" w:hAnsi="宋体"/>
          <w:sz w:val="22"/>
        </w:rPr>
        <w:br w:type="page"/>
      </w:r>
      <w:bookmarkStart w:id="7" w:name="_Toc27931056"/>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总则</w:t>
      </w:r>
      <w:bookmarkEnd w:id="7"/>
    </w:p>
    <w:p>
      <w:pPr>
        <w:spacing w:line="520" w:lineRule="exact"/>
        <w:rPr>
          <w:rFonts w:ascii="宋体" w:hAnsi="宋体" w:cs="宋体"/>
          <w:b/>
          <w:bCs/>
          <w:sz w:val="24"/>
        </w:rPr>
      </w:pPr>
      <w:r>
        <w:rPr>
          <w:rFonts w:hint="eastAsia" w:ascii="宋体" w:hAnsi="宋体" w:cs="宋体"/>
          <w:b/>
          <w:bCs/>
          <w:sz w:val="24"/>
        </w:rPr>
        <w:t>1</w:t>
      </w:r>
      <w:r>
        <w:rPr>
          <w:rFonts w:hint="eastAsia" w:hAnsi="宋体" w:cs="宋体"/>
          <w:b/>
          <w:bCs/>
          <w:sz w:val="24"/>
        </w:rPr>
        <w:t xml:space="preserve">.1  </w:t>
      </w:r>
      <w:r>
        <w:rPr>
          <w:rFonts w:hint="eastAsia" w:ascii="宋体" w:hAnsi="宋体" w:cs="宋体"/>
          <w:b/>
          <w:bCs/>
          <w:sz w:val="24"/>
        </w:rPr>
        <w:t>项目概况</w:t>
      </w:r>
    </w:p>
    <w:p>
      <w:pPr>
        <w:spacing w:line="520" w:lineRule="exact"/>
        <w:ind w:firstLine="480" w:firstLineChars="200"/>
        <w:rPr>
          <w:rFonts w:hAnsi="宋体" w:cs="宋体"/>
          <w:sz w:val="24"/>
        </w:rPr>
      </w:pPr>
      <w:r>
        <w:rPr>
          <w:rFonts w:hint="eastAsia" w:hAnsi="宋体" w:cs="宋体"/>
          <w:sz w:val="24"/>
        </w:rPr>
        <w:t xml:space="preserve">1.1.1 </w:t>
      </w:r>
      <w:r>
        <w:rPr>
          <w:rFonts w:hint="eastAsia" w:ascii="宋体" w:hAnsi="宋体" w:cs="宋体"/>
          <w:sz w:val="24"/>
        </w:rPr>
        <w:t>根据《中华人民共和国招标投标法》等有关法律、法规和规章的规定，本招标项目已</w:t>
      </w:r>
      <w:r>
        <w:rPr>
          <w:rFonts w:hint="eastAsia" w:hAnsi="宋体" w:cs="宋体"/>
          <w:sz w:val="24"/>
        </w:rPr>
        <w:t>具备招标条件，现对本标段监理进行招标。</w:t>
      </w:r>
    </w:p>
    <w:p>
      <w:pPr>
        <w:spacing w:line="520" w:lineRule="exact"/>
        <w:ind w:firstLine="480" w:firstLineChars="200"/>
        <w:rPr>
          <w:rFonts w:hAnsi="宋体" w:cs="宋体"/>
          <w:sz w:val="24"/>
        </w:rPr>
      </w:pPr>
      <w:r>
        <w:rPr>
          <w:rFonts w:hint="eastAsia" w:hAnsi="宋体" w:cs="宋体"/>
          <w:sz w:val="24"/>
        </w:rPr>
        <w:t>1.1.2 本招标项目招标人：见投标人须知前附表。</w:t>
      </w:r>
    </w:p>
    <w:p>
      <w:pPr>
        <w:spacing w:line="520" w:lineRule="exact"/>
        <w:ind w:firstLine="480" w:firstLineChars="200"/>
        <w:rPr>
          <w:rFonts w:hAnsi="宋体" w:cs="宋体"/>
          <w:sz w:val="24"/>
        </w:rPr>
      </w:pPr>
      <w:r>
        <w:rPr>
          <w:rFonts w:hint="eastAsia" w:hAnsi="宋体" w:cs="宋体"/>
          <w:sz w:val="24"/>
        </w:rPr>
        <w:t>1.1.3 本标段招标代理机构：见投标人须知前附表。</w:t>
      </w:r>
    </w:p>
    <w:p>
      <w:pPr>
        <w:spacing w:line="520" w:lineRule="exact"/>
        <w:ind w:firstLine="480" w:firstLineChars="200"/>
        <w:rPr>
          <w:rFonts w:hAnsi="宋体" w:cs="宋体"/>
          <w:sz w:val="24"/>
        </w:rPr>
      </w:pPr>
      <w:r>
        <w:rPr>
          <w:rFonts w:hint="eastAsia" w:hAnsi="宋体" w:cs="宋体"/>
          <w:sz w:val="24"/>
        </w:rPr>
        <w:t>1.1.4 本招标项目名称：见投标人须知前附表。</w:t>
      </w:r>
    </w:p>
    <w:p>
      <w:pPr>
        <w:spacing w:line="520" w:lineRule="exact"/>
        <w:ind w:firstLine="480" w:firstLineChars="200"/>
        <w:rPr>
          <w:rFonts w:hAnsi="宋体" w:cs="宋体"/>
          <w:sz w:val="24"/>
        </w:rPr>
      </w:pPr>
      <w:r>
        <w:rPr>
          <w:rFonts w:hint="eastAsia" w:hAnsi="宋体" w:cs="宋体"/>
          <w:sz w:val="24"/>
        </w:rPr>
        <w:t>1.1.5 本标段建设地点：见投标人须知前附表。</w:t>
      </w:r>
    </w:p>
    <w:p>
      <w:pPr>
        <w:spacing w:line="520" w:lineRule="exact"/>
        <w:rPr>
          <w:rFonts w:ascii="宋体" w:hAnsi="宋体" w:cs="宋体"/>
          <w:b/>
          <w:bCs/>
          <w:sz w:val="24"/>
        </w:rPr>
      </w:pPr>
      <w:r>
        <w:rPr>
          <w:rFonts w:hint="eastAsia" w:ascii="宋体" w:hAnsi="宋体" w:cs="宋体"/>
          <w:b/>
          <w:bCs/>
          <w:sz w:val="24"/>
        </w:rPr>
        <w:t>1.2  招标项目的资金来源和落实情况</w:t>
      </w:r>
    </w:p>
    <w:p>
      <w:pPr>
        <w:autoSpaceDE w:val="0"/>
        <w:autoSpaceDN w:val="0"/>
        <w:adjustRightInd w:val="0"/>
        <w:spacing w:line="420" w:lineRule="exact"/>
        <w:ind w:firstLine="480" w:firstLineChars="200"/>
        <w:jc w:val="left"/>
        <w:rPr>
          <w:rFonts w:hAnsi="宋体" w:cs="宋体"/>
          <w:color w:val="000000" w:themeColor="text1"/>
          <w:sz w:val="24"/>
        </w:rPr>
      </w:pPr>
      <w:bookmarkStart w:id="8" w:name="_bookmark23"/>
      <w:bookmarkEnd w:id="8"/>
      <w:r>
        <w:rPr>
          <w:rFonts w:hint="eastAsia" w:hAnsi="宋体" w:cs="宋体"/>
          <w:color w:val="000000" w:themeColor="text1"/>
          <w:sz w:val="24"/>
        </w:rPr>
        <w:t>1.2.1 本招标项目的资金来源：见投标人须知前附表。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1.2.2 本招标项目的出资比例：见投标人须知前附表。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1.2.2本招标项目的资金落实情况：见投标人须知前附表。</w:t>
      </w:r>
    </w:p>
    <w:p>
      <w:pPr>
        <w:spacing w:line="520" w:lineRule="exact"/>
        <w:rPr>
          <w:rFonts w:ascii="宋体" w:hAnsi="宋体" w:cs="宋体"/>
          <w:b/>
          <w:bCs/>
          <w:sz w:val="24"/>
        </w:rPr>
      </w:pPr>
      <w:r>
        <w:rPr>
          <w:rFonts w:hint="eastAsia" w:ascii="宋体" w:hAnsi="宋体" w:cs="宋体"/>
          <w:b/>
          <w:bCs/>
          <w:sz w:val="24"/>
        </w:rPr>
        <w:t>1.3招标范围、监理服务期限和质量标准</w:t>
      </w:r>
    </w:p>
    <w:p>
      <w:pPr>
        <w:spacing w:line="520" w:lineRule="exact"/>
        <w:ind w:firstLine="480" w:firstLineChars="200"/>
        <w:rPr>
          <w:rFonts w:hAnsi="宋体" w:cs="宋体"/>
          <w:sz w:val="24"/>
        </w:rPr>
      </w:pPr>
      <w:r>
        <w:rPr>
          <w:rFonts w:hint="eastAsia" w:hAnsi="宋体" w:cs="宋体"/>
          <w:sz w:val="24"/>
        </w:rPr>
        <w:t>1.3.1 招标范围：见投标人须知前附表。</w:t>
      </w:r>
    </w:p>
    <w:p>
      <w:pPr>
        <w:spacing w:line="520" w:lineRule="exact"/>
        <w:ind w:firstLine="480" w:firstLineChars="200"/>
        <w:rPr>
          <w:rFonts w:hAnsi="宋体" w:cs="宋体"/>
          <w:sz w:val="24"/>
        </w:rPr>
      </w:pPr>
      <w:r>
        <w:rPr>
          <w:rFonts w:hint="eastAsia" w:hAnsi="宋体" w:cs="宋体"/>
          <w:sz w:val="24"/>
        </w:rPr>
        <w:t>1.3.2 监理服务期限：见投标人须知前附表。</w:t>
      </w:r>
    </w:p>
    <w:p>
      <w:pPr>
        <w:spacing w:line="520" w:lineRule="exact"/>
        <w:ind w:firstLine="480" w:firstLineChars="200"/>
        <w:rPr>
          <w:rFonts w:hAnsi="宋体" w:cs="宋体"/>
          <w:sz w:val="24"/>
        </w:rPr>
      </w:pPr>
      <w:r>
        <w:rPr>
          <w:rFonts w:hint="eastAsia" w:hAnsi="宋体" w:cs="宋体"/>
          <w:sz w:val="24"/>
        </w:rPr>
        <w:t>1.3.3 质量标准：见投标人须知前附表。</w:t>
      </w:r>
    </w:p>
    <w:p>
      <w:pPr>
        <w:spacing w:line="520" w:lineRule="exact"/>
        <w:rPr>
          <w:rFonts w:ascii="宋体" w:hAnsi="宋体" w:cs="宋体"/>
          <w:b/>
          <w:bCs/>
          <w:sz w:val="24"/>
        </w:rPr>
      </w:pPr>
      <w:r>
        <w:rPr>
          <w:rFonts w:hint="eastAsia" w:hAnsi="宋体" w:cs="宋体"/>
          <w:b/>
          <w:bCs/>
          <w:sz w:val="24"/>
        </w:rPr>
        <w:t xml:space="preserve">1.4  </w:t>
      </w:r>
      <w:r>
        <w:rPr>
          <w:rFonts w:hint="eastAsia" w:hAnsi="宋体" w:cs="宋体"/>
          <w:b/>
          <w:color w:val="000000" w:themeColor="text1"/>
          <w:sz w:val="24"/>
        </w:rPr>
        <w:t>投标人及项目负责人资格要求</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lang w:val="en-US" w:eastAsia="zh-CN"/>
        </w:rPr>
        <w:t>1.4.3</w:t>
      </w:r>
      <w:r>
        <w:rPr>
          <w:rFonts w:hint="eastAsia" w:hAnsi="宋体" w:cs="宋体"/>
          <w:color w:val="000000" w:themeColor="text1"/>
          <w:sz w:val="24"/>
        </w:rPr>
        <w:t>投标人不得存在下列情形之一：</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（3）为本标段的监理人；</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（4）为本标段的代建人；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（5）为本标段提供招标代理服务的；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（9）被责令停业的；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（10）被暂停或取消投标资格的；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（11）财产被接管或冻结的；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（12）在最近三年内有骗取中标或严重违约或重大工程质量问题的。</w:t>
      </w:r>
    </w:p>
    <w:p>
      <w:pPr>
        <w:spacing w:line="520" w:lineRule="exact"/>
        <w:rPr>
          <w:rFonts w:ascii="宋体" w:hAnsi="宋体" w:cs="宋体"/>
          <w:b/>
          <w:bCs/>
          <w:sz w:val="24"/>
        </w:rPr>
      </w:pPr>
      <w:r>
        <w:rPr>
          <w:rFonts w:hint="eastAsia" w:hAnsi="宋体" w:cs="宋体"/>
          <w:b/>
          <w:bCs/>
          <w:sz w:val="24"/>
        </w:rPr>
        <w:t xml:space="preserve">1.5  </w:t>
      </w:r>
      <w:r>
        <w:rPr>
          <w:rFonts w:hint="eastAsia" w:ascii="宋体" w:hAnsi="宋体" w:cs="宋体"/>
          <w:b/>
          <w:bCs/>
          <w:sz w:val="24"/>
        </w:rPr>
        <w:t>投标人的监理责任期及要求</w:t>
      </w:r>
    </w:p>
    <w:p>
      <w:pPr>
        <w:spacing w:line="520" w:lineRule="exact"/>
        <w:ind w:firstLine="480" w:firstLineChars="200"/>
        <w:rPr>
          <w:rFonts w:ascii="宋体" w:hAnsi="宋体" w:cs="宋体"/>
          <w:sz w:val="24"/>
        </w:rPr>
      </w:pPr>
      <w:r>
        <w:rPr>
          <w:rFonts w:hint="eastAsia" w:hAnsi="宋体" w:cs="宋体"/>
          <w:sz w:val="24"/>
        </w:rPr>
        <w:t xml:space="preserve">1.5.1 </w:t>
      </w:r>
      <w:r>
        <w:rPr>
          <w:rFonts w:hint="eastAsia" w:ascii="宋体" w:hAnsi="宋体" w:cs="宋体"/>
          <w:sz w:val="24"/>
        </w:rPr>
        <w:t>投标人的监理责任期为监理合同有效期，在监理过程中双方应进一步约定相应延长的合同期；</w:t>
      </w:r>
    </w:p>
    <w:p>
      <w:pPr>
        <w:spacing w:line="520" w:lineRule="exact"/>
        <w:ind w:firstLine="480" w:firstLineChars="200"/>
        <w:rPr>
          <w:rFonts w:ascii="宋体" w:hAnsi="宋体" w:cs="宋体"/>
          <w:sz w:val="24"/>
        </w:rPr>
      </w:pPr>
      <w:r>
        <w:rPr>
          <w:rFonts w:hint="eastAsia" w:hAnsi="宋体" w:cs="宋体"/>
          <w:sz w:val="24"/>
        </w:rPr>
        <w:t xml:space="preserve">1.5.2 </w:t>
      </w:r>
      <w:r>
        <w:rPr>
          <w:rFonts w:hint="eastAsia" w:ascii="宋体" w:hAnsi="宋体" w:cs="宋体"/>
          <w:sz w:val="24"/>
        </w:rPr>
        <w:t>中标人在投标文件中拟定的总监及主要技术人员在工程监理过程中不经招标人同意不得更换，并保证监理部人员常驻工地，上岗时甲方将按投标书中提供的管理人员验证上岗，对不符合要求的人员无条件更换；</w:t>
      </w:r>
    </w:p>
    <w:p>
      <w:pPr>
        <w:spacing w:line="520" w:lineRule="exact"/>
        <w:ind w:firstLine="480" w:firstLineChars="200"/>
        <w:rPr>
          <w:rFonts w:hAnsi="宋体" w:cs="宋体"/>
          <w:sz w:val="24"/>
        </w:rPr>
      </w:pPr>
      <w:r>
        <w:rPr>
          <w:rFonts w:hint="eastAsia" w:hAnsi="宋体" w:cs="宋体"/>
          <w:sz w:val="24"/>
        </w:rPr>
        <w:t>1.5.3 拟派项目监理部应要求总监具有中级及以上技术职称，其余人员要求专业配套、在岗人员具有上岗证；</w:t>
      </w:r>
    </w:p>
    <w:p>
      <w:pPr>
        <w:spacing w:line="520" w:lineRule="exact"/>
        <w:ind w:firstLine="480" w:firstLineChars="200"/>
        <w:rPr>
          <w:rFonts w:ascii="宋体" w:hAnsi="宋体" w:cs="宋体"/>
          <w:sz w:val="24"/>
        </w:rPr>
      </w:pPr>
      <w:r>
        <w:rPr>
          <w:rFonts w:hint="eastAsia" w:hAnsi="宋体" w:cs="宋体"/>
          <w:sz w:val="24"/>
        </w:rPr>
        <w:t xml:space="preserve">1.5.4 </w:t>
      </w:r>
      <w:r>
        <w:rPr>
          <w:rFonts w:hint="eastAsia" w:ascii="宋体" w:hAnsi="宋体" w:cs="宋体"/>
          <w:sz w:val="24"/>
        </w:rPr>
        <w:t>在施工过程中不经招标人同意不得擅自离开工作岗位，离岗应履行请假手续。中标单位应保证监理部成员每周在现场办公时间：总监代表和监理部其他成员不少于5个工作日；</w:t>
      </w:r>
    </w:p>
    <w:p>
      <w:pPr>
        <w:spacing w:line="520" w:lineRule="exact"/>
        <w:ind w:firstLine="480" w:firstLineChars="200"/>
        <w:rPr>
          <w:rFonts w:ascii="宋体" w:hAnsi="宋体" w:cs="宋体"/>
          <w:sz w:val="24"/>
        </w:rPr>
      </w:pPr>
      <w:r>
        <w:rPr>
          <w:rFonts w:hint="eastAsia" w:hAnsi="宋体" w:cs="宋体"/>
          <w:sz w:val="24"/>
        </w:rPr>
        <w:t xml:space="preserve">1.5.5 </w:t>
      </w:r>
      <w:r>
        <w:rPr>
          <w:rFonts w:hint="eastAsia" w:ascii="宋体" w:hAnsi="宋体" w:cs="宋体"/>
          <w:sz w:val="24"/>
        </w:rPr>
        <w:t>所有工程设备和检测设备器具由中标人自备；</w:t>
      </w:r>
    </w:p>
    <w:p>
      <w:pPr>
        <w:spacing w:line="520" w:lineRule="exact"/>
        <w:ind w:firstLine="480" w:firstLineChars="200"/>
        <w:rPr>
          <w:rFonts w:ascii="宋体" w:hAnsi="宋体" w:cs="宋体"/>
          <w:sz w:val="24"/>
        </w:rPr>
      </w:pPr>
      <w:r>
        <w:rPr>
          <w:rFonts w:hint="eastAsia" w:hAnsi="宋体" w:cs="宋体"/>
          <w:sz w:val="24"/>
        </w:rPr>
        <w:t xml:space="preserve">1.5.6 </w:t>
      </w:r>
      <w:r>
        <w:rPr>
          <w:rFonts w:hint="eastAsia" w:ascii="宋体" w:hAnsi="宋体" w:cs="宋体"/>
          <w:sz w:val="24"/>
        </w:rPr>
        <w:t>工程竣工后，监理单位应向建设单位提供二套完整的监理档案资料。</w:t>
      </w:r>
    </w:p>
    <w:p>
      <w:pPr>
        <w:spacing w:line="520" w:lineRule="exact"/>
        <w:rPr>
          <w:rFonts w:ascii="宋体" w:hAnsi="宋体" w:cs="宋体"/>
          <w:b/>
          <w:bCs/>
          <w:sz w:val="24"/>
        </w:rPr>
      </w:pPr>
      <w:r>
        <w:rPr>
          <w:rFonts w:hint="eastAsia" w:hAnsi="宋体" w:cs="宋体"/>
          <w:b/>
          <w:bCs/>
          <w:sz w:val="24"/>
        </w:rPr>
        <w:t xml:space="preserve">1.6  </w:t>
      </w:r>
      <w:r>
        <w:rPr>
          <w:rFonts w:hint="eastAsia" w:ascii="宋体" w:hAnsi="宋体" w:cs="宋体"/>
          <w:b/>
          <w:bCs/>
          <w:sz w:val="24"/>
        </w:rPr>
        <w:t>中标人的责任和权利：</w:t>
      </w:r>
    </w:p>
    <w:p>
      <w:pPr>
        <w:spacing w:line="520" w:lineRule="exact"/>
        <w:ind w:firstLine="480" w:firstLineChars="200"/>
        <w:rPr>
          <w:rFonts w:ascii="宋体" w:hAnsi="宋体" w:cs="宋体"/>
          <w:sz w:val="24"/>
        </w:rPr>
      </w:pPr>
      <w:r>
        <w:rPr>
          <w:rFonts w:hint="eastAsia" w:hAnsi="宋体" w:cs="宋体"/>
          <w:sz w:val="24"/>
        </w:rPr>
        <w:t xml:space="preserve">1.6.1 </w:t>
      </w:r>
      <w:r>
        <w:rPr>
          <w:rFonts w:hint="eastAsia" w:ascii="宋体" w:hAnsi="宋体" w:cs="宋体"/>
          <w:sz w:val="24"/>
        </w:rPr>
        <w:t>向招标人报送拟委派的总监理工程师及其监理机构主要成员名单、监理规划、完成约定的监理任务；</w:t>
      </w:r>
    </w:p>
    <w:p>
      <w:pPr>
        <w:spacing w:line="520" w:lineRule="exact"/>
        <w:ind w:firstLine="480" w:firstLineChars="200"/>
        <w:rPr>
          <w:rFonts w:ascii="宋体" w:hAnsi="宋体" w:cs="宋体"/>
          <w:sz w:val="24"/>
        </w:rPr>
      </w:pPr>
      <w:r>
        <w:rPr>
          <w:rFonts w:hint="eastAsia" w:hAnsi="宋体" w:cs="宋体"/>
          <w:sz w:val="24"/>
        </w:rPr>
        <w:t xml:space="preserve">1.6.2 </w:t>
      </w:r>
      <w:r>
        <w:rPr>
          <w:rFonts w:hint="eastAsia" w:ascii="宋体" w:hAnsi="宋体" w:cs="宋体"/>
          <w:sz w:val="24"/>
        </w:rPr>
        <w:t>运用合理技能为招标人提供与其监理机构水平相适应的咨询意见，认真、勤奋工作。帮助招标人实现预定目标，公正地维护各方的合法权益；</w:t>
      </w:r>
    </w:p>
    <w:p>
      <w:pPr>
        <w:spacing w:line="520" w:lineRule="exact"/>
        <w:ind w:firstLine="480" w:firstLineChars="200"/>
        <w:rPr>
          <w:rFonts w:ascii="宋体" w:hAnsi="宋体" w:cs="宋体"/>
          <w:sz w:val="24"/>
        </w:rPr>
      </w:pPr>
      <w:r>
        <w:rPr>
          <w:rFonts w:hint="eastAsia" w:hAnsi="宋体" w:cs="宋体"/>
          <w:sz w:val="24"/>
        </w:rPr>
        <w:t xml:space="preserve">1.6.3 </w:t>
      </w:r>
      <w:r>
        <w:rPr>
          <w:rFonts w:hint="eastAsia" w:ascii="宋体" w:hAnsi="宋体" w:cs="宋体"/>
          <w:sz w:val="24"/>
        </w:rPr>
        <w:t>未征得有关方面同意，不得泄漏与本工程业务活动有关的保密资料；</w:t>
      </w:r>
    </w:p>
    <w:p>
      <w:pPr>
        <w:spacing w:line="520" w:lineRule="exact"/>
        <w:ind w:firstLine="480" w:firstLineChars="200"/>
        <w:rPr>
          <w:rFonts w:ascii="宋体" w:hAnsi="宋体" w:cs="宋体"/>
          <w:sz w:val="24"/>
        </w:rPr>
      </w:pPr>
      <w:r>
        <w:rPr>
          <w:rFonts w:hint="eastAsia" w:hAnsi="宋体" w:cs="宋体"/>
          <w:sz w:val="24"/>
        </w:rPr>
        <w:t xml:space="preserve">1.6.4 </w:t>
      </w:r>
      <w:r>
        <w:rPr>
          <w:rFonts w:hint="eastAsia" w:ascii="宋体" w:hAnsi="宋体" w:cs="宋体"/>
          <w:sz w:val="24"/>
        </w:rPr>
        <w:t>按照保质量、保工期、降低成本的原则对承建方的施工组织设计和技术方案提出审核意见并向招标人书面报告；</w:t>
      </w:r>
    </w:p>
    <w:p>
      <w:pPr>
        <w:spacing w:line="520" w:lineRule="exact"/>
        <w:ind w:firstLine="480" w:firstLineChars="200"/>
        <w:rPr>
          <w:rFonts w:ascii="宋体" w:hAnsi="宋体" w:cs="宋体"/>
          <w:sz w:val="24"/>
        </w:rPr>
      </w:pPr>
      <w:r>
        <w:rPr>
          <w:rFonts w:hint="eastAsia" w:hAnsi="宋体" w:cs="宋体"/>
          <w:sz w:val="24"/>
        </w:rPr>
        <w:t xml:space="preserve">1.6.5 </w:t>
      </w:r>
      <w:r>
        <w:rPr>
          <w:rFonts w:hint="eastAsia" w:ascii="宋体" w:hAnsi="宋体" w:cs="宋体"/>
          <w:sz w:val="24"/>
        </w:rPr>
        <w:t>经招标人同意后发布开工令、停工令、复工令等；</w:t>
      </w:r>
    </w:p>
    <w:p>
      <w:pPr>
        <w:spacing w:line="520" w:lineRule="exact"/>
        <w:ind w:firstLine="480" w:firstLineChars="200"/>
        <w:rPr>
          <w:rFonts w:ascii="宋体" w:hAnsi="宋体" w:cs="宋体"/>
          <w:sz w:val="24"/>
        </w:rPr>
      </w:pPr>
      <w:r>
        <w:rPr>
          <w:rFonts w:hint="eastAsia" w:hAnsi="宋体" w:cs="宋体"/>
          <w:sz w:val="24"/>
        </w:rPr>
        <w:t xml:space="preserve">1.6.6 </w:t>
      </w:r>
      <w:r>
        <w:rPr>
          <w:rFonts w:hint="eastAsia" w:ascii="宋体" w:hAnsi="宋体" w:cs="宋体"/>
          <w:sz w:val="24"/>
        </w:rPr>
        <w:t>有对工程上使用的材料、设备以及施工质量的检验权。对于不符合设计图纸要求及国家质量标准的材料、设备，有权通知承建方停止使用，对不符合施工规范和质量要求的工序、分部分项工程和不安全的施工作业，有权通知承建方整改、返工，对承建方不听监理指令，拒不进行整改与返工的，在与招标人协商后，有权停止承建方施工；</w:t>
      </w:r>
    </w:p>
    <w:p>
      <w:pPr>
        <w:spacing w:line="520" w:lineRule="exact"/>
        <w:ind w:firstLine="480" w:firstLineChars="200"/>
        <w:rPr>
          <w:rFonts w:ascii="宋体" w:hAnsi="宋体" w:cs="宋体"/>
          <w:sz w:val="24"/>
        </w:rPr>
      </w:pPr>
      <w:r>
        <w:rPr>
          <w:rFonts w:hint="eastAsia" w:hAnsi="宋体" w:cs="宋体"/>
          <w:sz w:val="24"/>
        </w:rPr>
        <w:t xml:space="preserve">1.6.7 </w:t>
      </w:r>
      <w:r>
        <w:rPr>
          <w:rFonts w:hint="eastAsia" w:ascii="宋体" w:hAnsi="宋体" w:cs="宋体"/>
          <w:sz w:val="24"/>
        </w:rPr>
        <w:t>监督承建方按其所承诺达到工程质量等级标准施工。达到所报工程质量等级，符合所报工程质量等级的验收条件；</w:t>
      </w:r>
    </w:p>
    <w:p>
      <w:pPr>
        <w:spacing w:line="520" w:lineRule="exact"/>
        <w:ind w:firstLine="480" w:firstLineChars="200"/>
        <w:rPr>
          <w:rFonts w:ascii="宋体" w:hAnsi="宋体" w:cs="宋体"/>
          <w:sz w:val="24"/>
        </w:rPr>
      </w:pPr>
      <w:r>
        <w:rPr>
          <w:rFonts w:hint="eastAsia" w:hAnsi="宋体" w:cs="宋体"/>
          <w:sz w:val="24"/>
        </w:rPr>
        <w:t>1.6.8</w:t>
      </w:r>
      <w:r>
        <w:rPr>
          <w:rFonts w:hint="eastAsia" w:ascii="宋体" w:hAnsi="宋体" w:cs="宋体"/>
          <w:sz w:val="24"/>
        </w:rPr>
        <w:t>严格按照现行的国家、行业施工及验收规范、标准监理各专业施工。</w:t>
      </w:r>
    </w:p>
    <w:p>
      <w:pPr>
        <w:spacing w:line="520" w:lineRule="exact"/>
        <w:rPr>
          <w:rFonts w:ascii="宋体" w:hAnsi="宋体" w:cs="宋体"/>
          <w:b/>
          <w:bCs/>
          <w:sz w:val="24"/>
        </w:rPr>
      </w:pPr>
      <w:r>
        <w:rPr>
          <w:rFonts w:hint="eastAsia" w:hAnsi="宋体" w:cs="宋体"/>
          <w:b/>
          <w:bCs/>
          <w:sz w:val="24"/>
        </w:rPr>
        <w:t xml:space="preserve">1.7  </w:t>
      </w:r>
      <w:r>
        <w:rPr>
          <w:rFonts w:hint="eastAsia" w:ascii="宋体" w:hAnsi="宋体" w:cs="宋体"/>
          <w:b/>
          <w:bCs/>
          <w:sz w:val="24"/>
        </w:rPr>
        <w:t>投标费用</w:t>
      </w:r>
    </w:p>
    <w:p>
      <w:pPr>
        <w:spacing w:line="520" w:lineRule="exact"/>
        <w:ind w:firstLine="480" w:firstLineChars="200"/>
        <w:rPr>
          <w:rFonts w:ascii="宋体" w:hAnsi="宋体" w:cs="宋体"/>
          <w:sz w:val="24"/>
        </w:rPr>
      </w:pPr>
      <w:r>
        <w:rPr>
          <w:rFonts w:hint="eastAsia" w:ascii="宋体" w:hAnsi="宋体" w:cs="宋体"/>
          <w:sz w:val="24"/>
        </w:rPr>
        <w:t>不论投标结果如何，投标人应承担其投标文件编制与递交所涉及的一切费用，在任何情况下招标人对上述费用均不承担任何责任。</w:t>
      </w:r>
    </w:p>
    <w:p>
      <w:pPr>
        <w:spacing w:line="520" w:lineRule="exact"/>
        <w:jc w:val="left"/>
        <w:rPr>
          <w:rFonts w:ascii="宋体" w:hAnsi="宋体" w:cs="宋体"/>
          <w:b/>
          <w:bCs/>
          <w:sz w:val="24"/>
        </w:rPr>
      </w:pPr>
      <w:r>
        <w:rPr>
          <w:rFonts w:hint="eastAsia" w:hAnsi="宋体" w:cs="宋体"/>
          <w:b/>
          <w:bCs/>
          <w:sz w:val="24"/>
        </w:rPr>
        <w:t xml:space="preserve">1.8  </w:t>
      </w:r>
      <w:r>
        <w:rPr>
          <w:rFonts w:hint="eastAsia" w:ascii="宋体" w:hAnsi="宋体" w:cs="宋体"/>
          <w:b/>
          <w:bCs/>
          <w:sz w:val="24"/>
        </w:rPr>
        <w:t>现场考察</w:t>
      </w:r>
    </w:p>
    <w:p>
      <w:pPr>
        <w:spacing w:line="520" w:lineRule="exact"/>
        <w:ind w:firstLine="480" w:firstLineChars="200"/>
        <w:rPr>
          <w:rFonts w:ascii="宋体" w:hAnsi="宋体" w:cs="宋体"/>
          <w:sz w:val="24"/>
        </w:rPr>
      </w:pPr>
      <w:r>
        <w:rPr>
          <w:rFonts w:hint="eastAsia" w:hAnsi="宋体" w:cs="宋体"/>
          <w:sz w:val="24"/>
        </w:rPr>
        <w:t xml:space="preserve">1.8.1 </w:t>
      </w:r>
      <w:r>
        <w:rPr>
          <w:rFonts w:hint="eastAsia" w:ascii="宋体" w:hAnsi="宋体" w:cs="宋体"/>
          <w:sz w:val="24"/>
        </w:rPr>
        <w:t>投标人应对工程现场和周围环境进行考察，以获取须自己负责的有关编制投标和签署合同所需的所有资料，考察现场的费用由投标人自己承担；</w:t>
      </w:r>
    </w:p>
    <w:p>
      <w:pPr>
        <w:spacing w:line="520" w:lineRule="exact"/>
        <w:ind w:firstLine="480" w:firstLineChars="200"/>
        <w:rPr>
          <w:rFonts w:ascii="宋体" w:hAnsi="宋体" w:cs="宋体"/>
          <w:sz w:val="24"/>
        </w:rPr>
      </w:pPr>
      <w:r>
        <w:rPr>
          <w:rFonts w:hint="eastAsia" w:hAnsi="宋体" w:cs="宋体"/>
          <w:sz w:val="24"/>
        </w:rPr>
        <w:t xml:space="preserve">1.8.2 </w:t>
      </w:r>
      <w:r>
        <w:rPr>
          <w:rFonts w:hint="eastAsia" w:ascii="宋体" w:hAnsi="宋体" w:cs="宋体"/>
          <w:sz w:val="24"/>
        </w:rPr>
        <w:t>在考察现场中由招标人提供的资料和数据，只是使投标人能够利用的招标人现有的资料，招标人对投标人由此而作出的推论、解释和结论概不负责。</w:t>
      </w:r>
    </w:p>
    <w:p>
      <w:pPr>
        <w:pStyle w:val="5"/>
        <w:spacing w:line="480" w:lineRule="exact"/>
        <w:jc w:val="center"/>
        <w:rPr>
          <w:rFonts w:ascii="宋体" w:hAnsi="宋体" w:eastAsia="宋体" w:cs="宋体"/>
          <w:sz w:val="24"/>
          <w:szCs w:val="24"/>
        </w:rPr>
      </w:pPr>
      <w:bookmarkStart w:id="9" w:name="_Toc17334"/>
      <w:bookmarkStart w:id="10" w:name="_Toc365707287"/>
      <w:bookmarkStart w:id="11" w:name="_Toc28448"/>
      <w:bookmarkStart w:id="12" w:name="_Toc413402466"/>
      <w:bookmarkStart w:id="13" w:name="_Toc5867"/>
      <w:bookmarkStart w:id="14" w:name="_Toc428186927"/>
      <w:bookmarkStart w:id="15" w:name="_Toc4492"/>
      <w:bookmarkStart w:id="16" w:name="_Toc27931057"/>
      <w:r>
        <w:rPr>
          <w:rFonts w:hint="eastAsia" w:ascii="宋体" w:hAnsi="宋体" w:eastAsia="宋体" w:cs="宋体"/>
          <w:sz w:val="24"/>
          <w:szCs w:val="24"/>
        </w:rPr>
        <w:t>2.招标文件组成</w:t>
      </w:r>
      <w:bookmarkEnd w:id="9"/>
      <w:bookmarkEnd w:id="10"/>
      <w:bookmarkEnd w:id="11"/>
      <w:bookmarkEnd w:id="12"/>
      <w:bookmarkEnd w:id="13"/>
      <w:bookmarkEnd w:id="14"/>
      <w:bookmarkEnd w:id="15"/>
      <w:bookmarkEnd w:id="16"/>
    </w:p>
    <w:p>
      <w:pPr>
        <w:spacing w:line="520" w:lineRule="exact"/>
        <w:rPr>
          <w:rFonts w:ascii="宋体" w:hAnsi="宋体" w:cs="宋体"/>
          <w:b/>
          <w:bCs/>
          <w:sz w:val="24"/>
        </w:rPr>
      </w:pPr>
      <w:r>
        <w:rPr>
          <w:rFonts w:hint="eastAsia" w:hAnsi="宋体" w:cs="宋体"/>
          <w:b/>
          <w:bCs/>
          <w:sz w:val="24"/>
        </w:rPr>
        <w:t xml:space="preserve">2.1  </w:t>
      </w:r>
      <w:r>
        <w:rPr>
          <w:rFonts w:hint="eastAsia" w:ascii="宋体" w:hAnsi="宋体" w:cs="宋体"/>
          <w:b/>
          <w:bCs/>
          <w:sz w:val="24"/>
        </w:rPr>
        <w:t>招标文件的组成</w:t>
      </w:r>
    </w:p>
    <w:p>
      <w:pPr>
        <w:spacing w:line="520" w:lineRule="exact"/>
        <w:ind w:firstLine="480" w:firstLineChars="200"/>
        <w:rPr>
          <w:rFonts w:ascii="宋体" w:hAnsi="宋体" w:cs="宋体"/>
          <w:sz w:val="24"/>
        </w:rPr>
      </w:pPr>
      <w:r>
        <w:rPr>
          <w:rFonts w:hint="eastAsia" w:ascii="宋体" w:hAnsi="宋体" w:cs="宋体"/>
          <w:sz w:val="24"/>
        </w:rPr>
        <w:t>招标文件除以下内容外，招标人在招标期间发出的答疑纪要和其他补充修改函件，均是招标文件的组成部分，对投标人起约束作用；</w:t>
      </w:r>
    </w:p>
    <w:p>
      <w:pPr>
        <w:spacing w:line="520" w:lineRule="exact"/>
        <w:ind w:firstLine="480" w:firstLineChars="200"/>
        <w:rPr>
          <w:rFonts w:ascii="宋体" w:hAnsi="宋体" w:cs="宋体"/>
          <w:sz w:val="24"/>
        </w:rPr>
      </w:pPr>
      <w:r>
        <w:rPr>
          <w:rFonts w:hint="eastAsia" w:ascii="宋体" w:hAnsi="宋体" w:cs="宋体"/>
          <w:sz w:val="24"/>
        </w:rPr>
        <w:t>招标文件包括下列内容：</w:t>
      </w:r>
    </w:p>
    <w:p>
      <w:pPr>
        <w:spacing w:line="520" w:lineRule="exact"/>
        <w:ind w:firstLine="480" w:firstLineChars="200"/>
        <w:rPr>
          <w:rFonts w:ascii="宋体" w:hAnsi="宋体" w:cs="宋体"/>
          <w:sz w:val="24"/>
        </w:rPr>
      </w:pPr>
      <w:r>
        <w:rPr>
          <w:rFonts w:hint="eastAsia" w:ascii="宋体" w:hAnsi="宋体" w:cs="宋体"/>
          <w:sz w:val="24"/>
        </w:rPr>
        <w:t>第一章</w:t>
      </w:r>
      <w:r>
        <w:rPr>
          <w:rFonts w:hint="eastAsia" w:ascii="宋体" w:hAnsi="宋体" w:cs="宋体"/>
          <w:sz w:val="24"/>
          <w:lang w:val="en-US" w:eastAsia="zh-CN"/>
        </w:rPr>
        <w:t xml:space="preserve"> </w:t>
      </w:r>
      <w:r>
        <w:rPr>
          <w:rFonts w:hint="eastAsia" w:ascii="宋体" w:hAnsi="宋体" w:cs="宋体"/>
          <w:sz w:val="24"/>
        </w:rPr>
        <w:t>招标公告</w:t>
      </w:r>
    </w:p>
    <w:p>
      <w:pPr>
        <w:spacing w:line="520" w:lineRule="exact"/>
        <w:ind w:firstLine="480" w:firstLineChars="200"/>
        <w:rPr>
          <w:rFonts w:ascii="宋体" w:hAnsi="宋体" w:cs="宋体"/>
          <w:sz w:val="24"/>
        </w:rPr>
      </w:pPr>
      <w:r>
        <w:rPr>
          <w:rFonts w:hint="eastAsia" w:ascii="宋体" w:hAnsi="宋体" w:cs="宋体"/>
          <w:sz w:val="24"/>
        </w:rPr>
        <w:t>第二章</w:t>
      </w:r>
      <w:r>
        <w:rPr>
          <w:rFonts w:hint="eastAsia" w:ascii="宋体" w:hAnsi="宋体" w:cs="宋体"/>
          <w:sz w:val="24"/>
          <w:lang w:val="en-US" w:eastAsia="zh-CN"/>
        </w:rPr>
        <w:t xml:space="preserve"> </w:t>
      </w:r>
      <w:r>
        <w:rPr>
          <w:rFonts w:hint="eastAsia" w:ascii="宋体" w:hAnsi="宋体" w:cs="宋体"/>
          <w:sz w:val="24"/>
        </w:rPr>
        <w:t>投标人须知</w:t>
      </w:r>
    </w:p>
    <w:p>
      <w:pPr>
        <w:spacing w:line="520" w:lineRule="exact"/>
        <w:ind w:firstLine="480" w:firstLineChars="200"/>
        <w:rPr>
          <w:rFonts w:ascii="宋体" w:hAnsi="宋体" w:cs="宋体"/>
          <w:sz w:val="24"/>
        </w:rPr>
      </w:pPr>
      <w:r>
        <w:rPr>
          <w:rFonts w:hint="eastAsia" w:ascii="宋体" w:hAnsi="宋体" w:cs="宋体"/>
          <w:sz w:val="24"/>
        </w:rPr>
        <w:t>第三章</w:t>
      </w:r>
      <w:r>
        <w:rPr>
          <w:rFonts w:hint="eastAsia" w:ascii="宋体" w:hAnsi="宋体" w:cs="宋体"/>
          <w:sz w:val="24"/>
          <w:lang w:val="en-US" w:eastAsia="zh-CN"/>
        </w:rPr>
        <w:t xml:space="preserve"> </w:t>
      </w:r>
      <w:r>
        <w:rPr>
          <w:rFonts w:hint="eastAsia" w:ascii="宋体" w:hAnsi="宋体" w:cs="宋体"/>
          <w:sz w:val="24"/>
        </w:rPr>
        <w:t>评标办法（综合评估法）</w:t>
      </w:r>
    </w:p>
    <w:p>
      <w:pPr>
        <w:spacing w:line="520" w:lineRule="exact"/>
        <w:ind w:firstLine="480" w:firstLineChars="200"/>
        <w:rPr>
          <w:rFonts w:ascii="宋体" w:hAnsi="宋体" w:cs="宋体"/>
          <w:sz w:val="24"/>
        </w:rPr>
      </w:pPr>
      <w:r>
        <w:rPr>
          <w:rFonts w:hint="eastAsia" w:ascii="宋体" w:hAnsi="宋体" w:cs="宋体"/>
          <w:sz w:val="24"/>
        </w:rPr>
        <w:t>第四章</w:t>
      </w:r>
      <w:r>
        <w:rPr>
          <w:rFonts w:hint="eastAsia" w:ascii="宋体" w:hAnsi="宋体" w:cs="宋体"/>
          <w:sz w:val="24"/>
          <w:lang w:val="en-US" w:eastAsia="zh-CN"/>
        </w:rPr>
        <w:t xml:space="preserve"> </w:t>
      </w:r>
      <w:r>
        <w:rPr>
          <w:rFonts w:hint="eastAsia" w:ascii="宋体" w:hAnsi="宋体" w:cs="宋体"/>
          <w:sz w:val="24"/>
        </w:rPr>
        <w:t>合同条款及格式</w:t>
      </w:r>
    </w:p>
    <w:p>
      <w:pPr>
        <w:spacing w:line="520" w:lineRule="exact"/>
        <w:ind w:firstLine="480" w:firstLineChars="200"/>
        <w:rPr>
          <w:rFonts w:hint="eastAsia" w:ascii="宋体" w:hAnsi="宋体" w:cs="宋体"/>
          <w:sz w:val="24"/>
        </w:rPr>
      </w:pPr>
      <w:r>
        <w:rPr>
          <w:rFonts w:hint="eastAsia" w:ascii="宋体" w:hAnsi="宋体" w:cs="宋体"/>
          <w:sz w:val="24"/>
        </w:rPr>
        <w:t>第五章</w:t>
      </w:r>
      <w:r>
        <w:rPr>
          <w:rFonts w:hint="eastAsia" w:ascii="宋体" w:hAnsi="宋体" w:cs="宋体"/>
          <w:sz w:val="24"/>
          <w:lang w:val="en-US" w:eastAsia="zh-CN"/>
        </w:rPr>
        <w:t xml:space="preserve"> </w:t>
      </w:r>
      <w:r>
        <w:rPr>
          <w:rFonts w:hint="eastAsia" w:ascii="宋体" w:hAnsi="宋体" w:cs="宋体"/>
          <w:sz w:val="24"/>
        </w:rPr>
        <w:t>委托人要求</w:t>
      </w:r>
    </w:p>
    <w:p>
      <w:pPr>
        <w:spacing w:line="520" w:lineRule="exact"/>
        <w:ind w:firstLine="480" w:firstLineChars="200"/>
        <w:rPr>
          <w:rFonts w:ascii="宋体" w:hAnsi="宋体" w:cs="宋体"/>
          <w:sz w:val="24"/>
        </w:rPr>
      </w:pPr>
      <w:r>
        <w:rPr>
          <w:rFonts w:hint="eastAsia" w:ascii="宋体" w:hAnsi="宋体" w:cs="宋体"/>
          <w:sz w:val="24"/>
          <w:lang w:eastAsia="zh-CN"/>
        </w:rPr>
        <w:t>第六章</w:t>
      </w:r>
      <w:r>
        <w:rPr>
          <w:rFonts w:hint="eastAsia" w:ascii="宋体" w:hAnsi="宋体" w:cs="宋体"/>
          <w:sz w:val="24"/>
          <w:lang w:val="en-US" w:eastAsia="zh-CN"/>
        </w:rPr>
        <w:t xml:space="preserve"> </w:t>
      </w:r>
      <w:r>
        <w:rPr>
          <w:rFonts w:hint="eastAsia" w:ascii="宋体" w:hAnsi="宋体" w:cs="宋体"/>
          <w:sz w:val="24"/>
        </w:rPr>
        <w:t>投标文件格式</w:t>
      </w:r>
    </w:p>
    <w:p>
      <w:pPr>
        <w:spacing w:line="520" w:lineRule="exact"/>
        <w:rPr>
          <w:rFonts w:ascii="宋体" w:hAnsi="宋体" w:cs="宋体"/>
          <w:b/>
          <w:bCs/>
          <w:sz w:val="24"/>
        </w:rPr>
      </w:pPr>
      <w:r>
        <w:rPr>
          <w:rFonts w:hint="eastAsia" w:hAnsi="宋体" w:cs="宋体"/>
          <w:b/>
          <w:bCs/>
          <w:sz w:val="24"/>
        </w:rPr>
        <w:t xml:space="preserve">2.2  </w:t>
      </w:r>
      <w:r>
        <w:rPr>
          <w:rFonts w:hint="eastAsia" w:ascii="宋体" w:hAnsi="宋体" w:cs="宋体"/>
          <w:b/>
          <w:bCs/>
          <w:sz w:val="24"/>
        </w:rPr>
        <w:t>招标文件的澄清</w:t>
      </w:r>
    </w:p>
    <w:p>
      <w:pPr>
        <w:autoSpaceDE w:val="0"/>
        <w:autoSpaceDN w:val="0"/>
        <w:adjustRightInd w:val="0"/>
        <w:spacing w:line="450" w:lineRule="exact"/>
        <w:ind w:firstLine="616" w:firstLineChars="257"/>
        <w:jc w:val="left"/>
        <w:rPr>
          <w:rFonts w:hAnsi="宋体" w:cs="宋体"/>
          <w:color w:val="000000" w:themeColor="text1"/>
          <w:sz w:val="24"/>
        </w:rPr>
      </w:pPr>
      <w:r>
        <w:rPr>
          <w:rFonts w:hint="eastAsia" w:hAnsi="宋体" w:cs="宋体"/>
          <w:color w:val="000000" w:themeColor="text1"/>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color w:val="000000" w:themeColor="text1"/>
          <w:sz w:val="24"/>
        </w:rPr>
        <w:t>如未提出异议，视为全面接受。</w:t>
      </w:r>
    </w:p>
    <w:p>
      <w:pPr>
        <w:autoSpaceDE w:val="0"/>
        <w:autoSpaceDN w:val="0"/>
        <w:adjustRightInd w:val="0"/>
        <w:spacing w:line="450" w:lineRule="exact"/>
        <w:ind w:firstLine="616" w:firstLineChars="257"/>
        <w:jc w:val="left"/>
        <w:rPr>
          <w:rFonts w:hAnsi="宋体" w:cs="宋体"/>
          <w:color w:val="000000" w:themeColor="text1"/>
          <w:sz w:val="24"/>
        </w:rPr>
      </w:pPr>
      <w:r>
        <w:rPr>
          <w:rFonts w:hint="eastAsia" w:hAnsi="宋体" w:cs="宋体"/>
          <w:color w:val="000000" w:themeColor="text1"/>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color w:val="000000" w:themeColor="text1"/>
          <w:sz w:val="24"/>
        </w:rPr>
      </w:pPr>
      <w:r>
        <w:rPr>
          <w:rFonts w:hint="eastAsia" w:hAnsi="宋体" w:cs="宋体"/>
          <w:color w:val="000000" w:themeColor="text1"/>
          <w:sz w:val="24"/>
        </w:rPr>
        <w:t>2.2.3 所有澄清、答疑全部以《全国公共资源交易平台（河南省·许昌市）》公共资源交易系统发出的为准，不再接受书面形式的递交。</w:t>
      </w:r>
    </w:p>
    <w:p>
      <w:pPr>
        <w:spacing w:line="520" w:lineRule="exact"/>
        <w:rPr>
          <w:rFonts w:ascii="宋体" w:hAnsi="宋体" w:cs="宋体"/>
          <w:b/>
          <w:bCs/>
          <w:sz w:val="24"/>
        </w:rPr>
      </w:pPr>
      <w:r>
        <w:rPr>
          <w:rFonts w:hint="eastAsia" w:hAnsi="宋体" w:cs="宋体"/>
          <w:b/>
          <w:bCs/>
          <w:sz w:val="24"/>
        </w:rPr>
        <w:t xml:space="preserve">2.3 </w:t>
      </w:r>
      <w:r>
        <w:rPr>
          <w:rFonts w:hint="eastAsia" w:ascii="宋体" w:hAnsi="宋体" w:cs="宋体"/>
          <w:b/>
          <w:bCs/>
          <w:sz w:val="24"/>
        </w:rPr>
        <w:t>招标文件的修改</w:t>
      </w:r>
    </w:p>
    <w:p>
      <w:pPr>
        <w:autoSpaceDE w:val="0"/>
        <w:autoSpaceDN w:val="0"/>
        <w:spacing w:line="420" w:lineRule="exact"/>
        <w:ind w:firstLine="480" w:firstLineChars="200"/>
        <w:jc w:val="left"/>
        <w:outlineLvl w:val="0"/>
        <w:rPr>
          <w:rFonts w:hAnsi="宋体" w:cs="宋体"/>
          <w:color w:val="000000" w:themeColor="text1"/>
          <w:sz w:val="24"/>
        </w:rPr>
      </w:pPr>
      <w:bookmarkStart w:id="17" w:name="_Toc365707288"/>
      <w:bookmarkStart w:id="18" w:name="_Toc25937"/>
      <w:bookmarkStart w:id="19" w:name="_Toc428186928"/>
      <w:bookmarkStart w:id="20" w:name="_Toc413402467"/>
      <w:bookmarkStart w:id="21" w:name="_Toc20306"/>
      <w:bookmarkStart w:id="22" w:name="_Toc24303"/>
      <w:bookmarkStart w:id="23" w:name="_Toc31739"/>
      <w:bookmarkStart w:id="24" w:name="_Toc27931058"/>
      <w:r>
        <w:rPr>
          <w:rFonts w:hint="eastAsia" w:hAnsi="宋体" w:cs="宋体"/>
          <w:color w:val="000000" w:themeColor="text1"/>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2.3.2 当招标文件、补充通知、答疑纪要，内容相互矛盾时，以最后发出的通知或纪要为准。</w:t>
      </w:r>
    </w:p>
    <w:p>
      <w:pPr>
        <w:pStyle w:val="5"/>
        <w:spacing w:line="480" w:lineRule="exact"/>
        <w:ind w:firstLine="3070" w:firstLineChars="1274"/>
        <w:rPr>
          <w:rFonts w:ascii="宋体" w:hAnsi="宋体" w:eastAsia="宋体" w:cs="宋体"/>
          <w:sz w:val="24"/>
          <w:szCs w:val="24"/>
        </w:rPr>
      </w:pPr>
      <w:r>
        <w:rPr>
          <w:rFonts w:hint="eastAsia" w:ascii="宋体" w:hAnsi="宋体" w:eastAsia="宋体" w:cs="宋体"/>
          <w:sz w:val="24"/>
          <w:szCs w:val="24"/>
        </w:rPr>
        <w:t>3.投标文件</w:t>
      </w:r>
      <w:bookmarkEnd w:id="17"/>
      <w:bookmarkEnd w:id="18"/>
      <w:bookmarkEnd w:id="19"/>
      <w:bookmarkEnd w:id="20"/>
      <w:bookmarkEnd w:id="21"/>
      <w:bookmarkEnd w:id="22"/>
      <w:bookmarkEnd w:id="23"/>
      <w:r>
        <w:rPr>
          <w:rFonts w:hint="eastAsia" w:ascii="宋体" w:hAnsi="宋体" w:eastAsia="宋体" w:cs="宋体"/>
          <w:sz w:val="24"/>
          <w:szCs w:val="24"/>
        </w:rPr>
        <w:t>的编制</w:t>
      </w:r>
      <w:bookmarkEnd w:id="24"/>
    </w:p>
    <w:p>
      <w:pPr>
        <w:spacing w:line="520" w:lineRule="exact"/>
        <w:ind w:firstLine="480" w:firstLineChars="200"/>
        <w:rPr>
          <w:rFonts w:ascii="宋体" w:hAnsi="宋体" w:cs="宋体"/>
          <w:sz w:val="24"/>
        </w:rPr>
      </w:pPr>
      <w:r>
        <w:rPr>
          <w:rFonts w:hint="eastAsia" w:ascii="宋体" w:hAnsi="宋体" w:cs="宋体"/>
          <w:sz w:val="24"/>
        </w:rPr>
        <w:t>投标文件的语言：与投标有关的所有文件必须使用中文。</w:t>
      </w:r>
    </w:p>
    <w:p>
      <w:pPr>
        <w:spacing w:line="520" w:lineRule="exact"/>
        <w:rPr>
          <w:rFonts w:ascii="宋体" w:hAnsi="宋体" w:cs="宋体"/>
          <w:b/>
          <w:bCs/>
          <w:sz w:val="24"/>
        </w:rPr>
      </w:pPr>
      <w:r>
        <w:rPr>
          <w:rFonts w:hint="eastAsia" w:hAnsi="宋体" w:cs="宋体"/>
          <w:b/>
          <w:bCs/>
          <w:sz w:val="24"/>
        </w:rPr>
        <w:t xml:space="preserve">3.1  </w:t>
      </w:r>
      <w:r>
        <w:rPr>
          <w:rFonts w:hint="eastAsia" w:ascii="宋体" w:hAnsi="宋体" w:cs="宋体"/>
          <w:b/>
          <w:bCs/>
          <w:sz w:val="24"/>
        </w:rPr>
        <w:t>投标文件的组成</w:t>
      </w:r>
    </w:p>
    <w:p>
      <w:pPr>
        <w:autoSpaceDE w:val="0"/>
        <w:autoSpaceDN w:val="0"/>
        <w:spacing w:line="420" w:lineRule="exact"/>
        <w:ind w:firstLine="480" w:firstLineChars="200"/>
        <w:jc w:val="left"/>
        <w:outlineLvl w:val="0"/>
        <w:rPr>
          <w:rFonts w:hAnsi="宋体" w:cs="宋体"/>
          <w:color w:val="000000" w:themeColor="text1"/>
          <w:sz w:val="24"/>
        </w:rPr>
      </w:pPr>
      <w:r>
        <w:rPr>
          <w:rFonts w:hAnsi="宋体" w:cs="宋体"/>
          <w:color w:val="000000" w:themeColor="text1"/>
          <w:sz w:val="24"/>
        </w:rPr>
        <w:t>一、投标函及投标函附录</w:t>
      </w:r>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二、法定代表人身份证明</w:t>
      </w:r>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三、授权委托书</w:t>
      </w:r>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四</w:t>
      </w:r>
      <w:r>
        <w:rPr>
          <w:rFonts w:hAnsi="宋体" w:cs="宋体"/>
          <w:color w:val="000000" w:themeColor="text1"/>
          <w:sz w:val="24"/>
        </w:rPr>
        <w:t>、</w:t>
      </w:r>
      <w:r>
        <w:rPr>
          <w:rFonts w:hint="eastAsia" w:hAnsi="宋体" w:cs="宋体"/>
          <w:color w:val="000000" w:themeColor="text1"/>
          <w:sz w:val="24"/>
          <w:lang w:eastAsia="zh-CN"/>
        </w:rPr>
        <w:t>投标担保</w:t>
      </w:r>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五、</w:t>
      </w:r>
      <w:r>
        <w:rPr>
          <w:rFonts w:hAnsi="宋体" w:cs="宋体"/>
          <w:color w:val="000000" w:themeColor="text1"/>
          <w:sz w:val="24"/>
        </w:rPr>
        <w:t>资格审查资料</w:t>
      </w:r>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六</w:t>
      </w:r>
      <w:r>
        <w:rPr>
          <w:rFonts w:hAnsi="宋体" w:cs="宋体"/>
          <w:color w:val="000000" w:themeColor="text1"/>
          <w:sz w:val="24"/>
        </w:rPr>
        <w:t>、监理大纲</w:t>
      </w:r>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七</w:t>
      </w:r>
      <w:r>
        <w:rPr>
          <w:rFonts w:hAnsi="宋体" w:cs="宋体"/>
          <w:color w:val="000000" w:themeColor="text1"/>
          <w:sz w:val="24"/>
        </w:rPr>
        <w:t>、其</w:t>
      </w:r>
      <w:r>
        <w:rPr>
          <w:rFonts w:hint="eastAsia" w:hAnsi="宋体" w:cs="宋体"/>
          <w:color w:val="000000" w:themeColor="text1"/>
          <w:sz w:val="24"/>
        </w:rPr>
        <w:t>它</w:t>
      </w:r>
      <w:r>
        <w:rPr>
          <w:rFonts w:hAnsi="宋体" w:cs="宋体"/>
          <w:color w:val="000000" w:themeColor="text1"/>
          <w:sz w:val="24"/>
        </w:rPr>
        <w:t>资料</w:t>
      </w:r>
    </w:p>
    <w:p>
      <w:pPr>
        <w:spacing w:line="520" w:lineRule="exact"/>
        <w:rPr>
          <w:rFonts w:ascii="宋体" w:hAnsi="宋体" w:cs="宋体"/>
          <w:b/>
          <w:bCs/>
          <w:sz w:val="24"/>
        </w:rPr>
      </w:pPr>
      <w:r>
        <w:rPr>
          <w:rFonts w:hint="eastAsia" w:hAnsi="宋体" w:cs="宋体"/>
          <w:b/>
          <w:bCs/>
          <w:sz w:val="24"/>
        </w:rPr>
        <w:t xml:space="preserve">3.2  </w:t>
      </w:r>
      <w:r>
        <w:rPr>
          <w:rFonts w:hint="eastAsia" w:ascii="宋体" w:hAnsi="宋体" w:cs="宋体"/>
          <w:b/>
          <w:bCs/>
          <w:sz w:val="24"/>
        </w:rPr>
        <w:t>投标报价</w:t>
      </w:r>
    </w:p>
    <w:p>
      <w:pPr>
        <w:spacing w:line="520" w:lineRule="exact"/>
        <w:ind w:firstLine="480" w:firstLineChars="200"/>
        <w:rPr>
          <w:rFonts w:ascii="宋体" w:hAnsi="宋体" w:cs="宋体"/>
          <w:sz w:val="24"/>
        </w:rPr>
      </w:pPr>
      <w:r>
        <w:rPr>
          <w:rFonts w:hint="eastAsia" w:hAnsi="宋体" w:cs="宋体"/>
          <w:sz w:val="24"/>
        </w:rPr>
        <w:t xml:space="preserve">3.2.1 </w:t>
      </w:r>
      <w:r>
        <w:rPr>
          <w:rFonts w:hint="eastAsia" w:ascii="宋体" w:hAnsi="宋体" w:cs="宋体"/>
          <w:sz w:val="24"/>
        </w:rPr>
        <w:t>不允许任一投标人对同一招标项目提出两个或两个以上不同的投标报价。</w:t>
      </w:r>
    </w:p>
    <w:p>
      <w:pPr>
        <w:spacing w:line="520" w:lineRule="exact"/>
        <w:ind w:firstLine="480" w:firstLineChars="200"/>
        <w:rPr>
          <w:rFonts w:ascii="宋体" w:hAnsi="宋体" w:cs="宋体"/>
          <w:sz w:val="24"/>
        </w:rPr>
      </w:pPr>
      <w:r>
        <w:rPr>
          <w:rFonts w:hint="eastAsia" w:hAnsi="宋体" w:cs="宋体"/>
          <w:sz w:val="24"/>
        </w:rPr>
        <w:t xml:space="preserve">3.2.2 </w:t>
      </w:r>
      <w:r>
        <w:rPr>
          <w:rFonts w:hint="eastAsia" w:ascii="宋体" w:hAnsi="宋体" w:cs="宋体"/>
          <w:sz w:val="24"/>
        </w:rPr>
        <w:t>投标报价应包括投标人提供正常监理服务所必需的监理人员费、设备和设施的购置及使用费、管理费、利润及税金。</w:t>
      </w:r>
    </w:p>
    <w:p>
      <w:pPr>
        <w:spacing w:line="520" w:lineRule="exact"/>
        <w:ind w:firstLine="480" w:firstLineChars="200"/>
        <w:rPr>
          <w:rFonts w:ascii="宋体" w:hAnsi="宋体" w:cs="宋体"/>
          <w:sz w:val="24"/>
        </w:rPr>
      </w:pPr>
      <w:r>
        <w:rPr>
          <w:rFonts w:hint="eastAsia" w:hAnsi="宋体" w:cs="宋体"/>
          <w:sz w:val="24"/>
        </w:rPr>
        <w:t xml:space="preserve">3.2.3 </w:t>
      </w:r>
      <w:r>
        <w:rPr>
          <w:rFonts w:hint="eastAsia" w:ascii="宋体" w:hAnsi="宋体" w:cs="宋体"/>
          <w:sz w:val="24"/>
        </w:rPr>
        <w:t>除投标人无偿提供的现场工作、生活条件外，投标人为实施监理工作另需的工作、生活设施及相关费用，可在投标报价中单项列报并计入总报价。</w:t>
      </w:r>
    </w:p>
    <w:p>
      <w:pPr>
        <w:tabs>
          <w:tab w:val="left" w:pos="3060"/>
        </w:tabs>
        <w:autoSpaceDE w:val="0"/>
        <w:autoSpaceDN w:val="0"/>
        <w:spacing w:line="440" w:lineRule="exact"/>
        <w:jc w:val="left"/>
        <w:outlineLvl w:val="0"/>
        <w:rPr>
          <w:rFonts w:hAnsi="宋体" w:cs="宋体"/>
          <w:b/>
          <w:bCs/>
          <w:sz w:val="24"/>
        </w:rPr>
      </w:pPr>
      <w:r>
        <w:rPr>
          <w:rFonts w:hint="eastAsia" w:hAnsi="宋体" w:cs="宋体"/>
          <w:b/>
          <w:bCs/>
          <w:sz w:val="24"/>
        </w:rPr>
        <w:t>3.3 投标有效期</w:t>
      </w:r>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napToGrid w:val="0"/>
        <w:spacing w:line="360" w:lineRule="auto"/>
        <w:jc w:val="left"/>
        <w:rPr>
          <w:rFonts w:ascii="宋体" w:hAnsi="宋体" w:cs="宋体"/>
          <w:b/>
          <w:sz w:val="24"/>
        </w:rPr>
      </w:pPr>
      <w:bookmarkStart w:id="25" w:name="_Toc282436964"/>
      <w:r>
        <w:rPr>
          <w:rFonts w:hint="eastAsia" w:ascii="宋体" w:hAnsi="宋体" w:cs="宋体"/>
          <w:b/>
          <w:sz w:val="24"/>
        </w:rPr>
        <w:t xml:space="preserve"> 3.4 </w:t>
      </w:r>
      <w:bookmarkEnd w:id="25"/>
      <w:r>
        <w:rPr>
          <w:rFonts w:hint="eastAsia" w:ascii="宋体" w:hAnsi="宋体" w:cs="宋体"/>
          <w:b/>
          <w:sz w:val="24"/>
          <w:lang w:eastAsia="zh-CN"/>
        </w:rPr>
        <w:t>投标担保</w:t>
      </w:r>
    </w:p>
    <w:p>
      <w:pPr>
        <w:spacing w:line="460" w:lineRule="exact"/>
        <w:ind w:firstLine="480" w:firstLineChars="200"/>
        <w:rPr>
          <w:rFonts w:ascii="宋体" w:hAnsi="宋体" w:cs="宋体"/>
          <w:sz w:val="24"/>
          <w:szCs w:val="24"/>
        </w:rPr>
      </w:pPr>
      <w:r>
        <w:rPr>
          <w:rFonts w:hint="eastAsia" w:ascii="宋体" w:hAnsi="宋体" w:cs="宋体"/>
          <w:sz w:val="24"/>
          <w:szCs w:val="24"/>
        </w:rPr>
        <w:t>1、投标保证金递交截止时间及金额见投标人须知前附表。</w:t>
      </w:r>
    </w:p>
    <w:p>
      <w:pPr>
        <w:spacing w:line="460" w:lineRule="exact"/>
        <w:ind w:firstLine="480" w:firstLineChars="200"/>
        <w:rPr>
          <w:rFonts w:ascii="宋体" w:hAnsi="宋体" w:cs="宋体"/>
          <w:sz w:val="24"/>
          <w:szCs w:val="24"/>
        </w:rPr>
      </w:pPr>
      <w:r>
        <w:rPr>
          <w:rFonts w:hint="eastAsia" w:ascii="宋体" w:hAnsi="宋体" w:cs="宋体"/>
          <w:sz w:val="24"/>
          <w:szCs w:val="24"/>
        </w:rPr>
        <w:t>2、投标保证金缴纳方式：银行转账、银行电汇（均需从投标人的基本账户汇出），不接受以现金方式缴纳的投标保证金。凡以现金方式缴纳投标保证金而影响其投标结果的，由投标人自行负责。</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2.1 投标人网上报名后，登录</w:t>
      </w:r>
      <w:r>
        <w:rPr>
          <w:rFonts w:hint="eastAsia" w:ascii="宋体" w:hAnsi="宋体" w:cs="宋体"/>
          <w:sz w:val="24"/>
          <w:szCs w:val="24"/>
          <w:lang w:eastAsia="zh-CN"/>
        </w:rPr>
        <w:t>http://ggzy.xuchang.gov.cn:8088/ggzy</w:t>
      </w:r>
      <w:r>
        <w:rPr>
          <w:rFonts w:hint="eastAsia" w:ascii="宋体" w:hAnsi="宋体" w:cs="宋体"/>
          <w:sz w:val="24"/>
          <w:szCs w:val="24"/>
        </w:rPr>
        <w:t>系统，依次点击“会员向导”→“参与投标”→“费用缴纳说明”→“担保缴纳说明单”，获取缴费说明单，根据每个标段的缴纳说明单在缴纳截止时间前缴纳；</w:t>
      </w:r>
    </w:p>
    <w:p>
      <w:pPr>
        <w:spacing w:line="460" w:lineRule="exact"/>
        <w:ind w:firstLine="480" w:firstLineChars="200"/>
        <w:rPr>
          <w:rFonts w:ascii="宋体" w:hAnsi="宋体" w:cs="宋体"/>
          <w:sz w:val="24"/>
          <w:szCs w:val="24"/>
        </w:rPr>
      </w:pPr>
      <w:r>
        <w:rPr>
          <w:rFonts w:hint="eastAsia" w:ascii="宋体" w:hAnsi="宋体" w:cs="宋体"/>
          <w:sz w:val="24"/>
          <w:szCs w:val="24"/>
        </w:rPr>
        <w:t>2.2 成功缴纳后重新登录前述系统，依次点击“会员向导”→“参与投标”→“担保绑定”→“绑定”进行投标保证金绑定。</w:t>
      </w:r>
    </w:p>
    <w:p>
      <w:pPr>
        <w:spacing w:line="460" w:lineRule="exact"/>
        <w:ind w:firstLine="480" w:firstLineChars="200"/>
        <w:rPr>
          <w:rFonts w:ascii="宋体" w:hAnsi="宋体" w:cs="宋体"/>
          <w:sz w:val="24"/>
          <w:szCs w:val="24"/>
        </w:rPr>
      </w:pPr>
      <w:r>
        <w:rPr>
          <w:rFonts w:hint="eastAsia" w:ascii="宋体" w:hAnsi="宋体" w:cs="宋体"/>
          <w:sz w:val="24"/>
          <w:szCs w:val="24"/>
        </w:rPr>
        <w:t>2.3 投标人要严格按照“担保缴纳说明单”内容缴纳、成功绑定投标保证金。未绑定标段的投标保证金，视为未按时交纳。并将缴纳凭证“长葛市公共资源交易中心担保缴纳回执”附于投标文件中。</w:t>
      </w:r>
    </w:p>
    <w:p>
      <w:pPr>
        <w:spacing w:line="460" w:lineRule="exact"/>
        <w:ind w:firstLine="482" w:firstLineChars="200"/>
        <w:rPr>
          <w:rFonts w:ascii="宋体" w:hAnsi="宋体" w:cs="宋体"/>
          <w:b/>
          <w:bCs/>
          <w:sz w:val="24"/>
          <w:szCs w:val="24"/>
        </w:rPr>
      </w:pPr>
      <w:r>
        <w:rPr>
          <w:rFonts w:hint="eastAsia" w:ascii="宋体" w:hAnsi="宋体" w:cs="宋体"/>
          <w:b/>
          <w:bCs/>
          <w:sz w:val="24"/>
          <w:szCs w:val="24"/>
        </w:rPr>
        <w:t>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pPr>
        <w:spacing w:line="460" w:lineRule="exact"/>
        <w:ind w:firstLine="480" w:firstLineChars="200"/>
        <w:rPr>
          <w:rFonts w:ascii="宋体" w:hAnsi="宋体" w:cs="宋体"/>
          <w:sz w:val="24"/>
          <w:szCs w:val="24"/>
        </w:rPr>
      </w:pPr>
      <w:r>
        <w:rPr>
          <w:rFonts w:hint="eastAsia" w:ascii="宋体" w:hAnsi="宋体" w:cs="宋体"/>
          <w:sz w:val="24"/>
          <w:szCs w:val="24"/>
        </w:rPr>
        <w:t>2.4 每个投标人每个项目每个标段只有唯一缴纳账号，切勿重复缴纳或错误缴纳。</w:t>
      </w:r>
    </w:p>
    <w:p>
      <w:pPr>
        <w:spacing w:line="460" w:lineRule="exact"/>
        <w:ind w:firstLine="480" w:firstLineChars="200"/>
        <w:rPr>
          <w:rFonts w:ascii="宋体" w:hAnsi="宋体" w:cs="宋体"/>
          <w:sz w:val="24"/>
          <w:szCs w:val="24"/>
        </w:rPr>
      </w:pPr>
      <w:r>
        <w:rPr>
          <w:rFonts w:hint="eastAsia" w:ascii="宋体" w:hAnsi="宋体" w:cs="宋体"/>
          <w:sz w:val="24"/>
          <w:szCs w:val="24"/>
        </w:rPr>
        <w:t>3、未按上述规定操作引起的无效投标，由投标人自行负责。</w:t>
      </w:r>
    </w:p>
    <w:p>
      <w:pPr>
        <w:spacing w:line="460" w:lineRule="exact"/>
        <w:ind w:firstLine="480" w:firstLineChars="200"/>
        <w:rPr>
          <w:rFonts w:ascii="宋体" w:hAnsi="宋体" w:cs="宋体"/>
          <w:sz w:val="24"/>
          <w:szCs w:val="24"/>
        </w:rPr>
      </w:pPr>
      <w:r>
        <w:rPr>
          <w:rFonts w:hint="eastAsia" w:ascii="宋体" w:hAnsi="宋体" w:cs="宋体"/>
          <w:sz w:val="24"/>
          <w:szCs w:val="24"/>
        </w:rPr>
        <w:t>4、汇款凭证无须备注项目编号和项目名称。</w:t>
      </w:r>
    </w:p>
    <w:p>
      <w:pPr>
        <w:spacing w:line="460" w:lineRule="exact"/>
        <w:ind w:firstLine="480" w:firstLineChars="200"/>
        <w:rPr>
          <w:rFonts w:ascii="宋体" w:hAnsi="宋体" w:cs="宋体"/>
          <w:sz w:val="24"/>
          <w:szCs w:val="24"/>
        </w:rPr>
      </w:pPr>
      <w:r>
        <w:rPr>
          <w:rFonts w:hint="eastAsia" w:ascii="宋体" w:hAnsi="宋体" w:cs="宋体"/>
          <w:sz w:val="24"/>
          <w:szCs w:val="24"/>
        </w:rPr>
        <w:t>5、出现以下情形造成的投标保证金无效，由投标人自行负责。</w:t>
      </w:r>
    </w:p>
    <w:p>
      <w:pPr>
        <w:spacing w:line="460" w:lineRule="exact"/>
        <w:ind w:firstLine="480" w:firstLineChars="200"/>
        <w:rPr>
          <w:rFonts w:ascii="宋体" w:hAnsi="宋体" w:cs="宋体"/>
          <w:sz w:val="24"/>
          <w:szCs w:val="24"/>
        </w:rPr>
      </w:pPr>
      <w:r>
        <w:rPr>
          <w:rFonts w:hint="eastAsia" w:ascii="宋体" w:hAnsi="宋体" w:cs="宋体"/>
          <w:sz w:val="24"/>
          <w:szCs w:val="24"/>
        </w:rPr>
        <w:t>(1)投标保证金未从投标人的基本账户转出；</w:t>
      </w:r>
    </w:p>
    <w:p>
      <w:pPr>
        <w:spacing w:line="460" w:lineRule="exact"/>
        <w:ind w:firstLine="480" w:firstLineChars="200"/>
        <w:rPr>
          <w:rFonts w:ascii="宋体" w:hAnsi="宋体" w:cs="宋体"/>
          <w:sz w:val="24"/>
          <w:szCs w:val="24"/>
        </w:rPr>
      </w:pPr>
      <w:r>
        <w:rPr>
          <w:rFonts w:hint="eastAsia" w:ascii="宋体" w:hAnsi="宋体" w:cs="宋体"/>
          <w:sz w:val="24"/>
          <w:szCs w:val="24"/>
        </w:rPr>
        <w:t>(2)投标保证金未按照招标文件划分的标段转账。</w:t>
      </w:r>
    </w:p>
    <w:p>
      <w:pPr>
        <w:spacing w:line="460" w:lineRule="exact"/>
        <w:ind w:firstLine="480" w:firstLineChars="200"/>
        <w:rPr>
          <w:rFonts w:ascii="宋体" w:hAnsi="宋体" w:cs="宋体"/>
          <w:sz w:val="24"/>
          <w:szCs w:val="24"/>
        </w:rPr>
      </w:pPr>
      <w:r>
        <w:rPr>
          <w:rFonts w:hint="eastAsia" w:ascii="宋体" w:hAnsi="宋体" w:cs="宋体"/>
          <w:sz w:val="24"/>
          <w:szCs w:val="24"/>
        </w:rPr>
        <w:t>6、《保证金缴纳绑定操作指南》获取方法：</w:t>
      </w:r>
    </w:p>
    <w:p>
      <w:pPr>
        <w:spacing w:line="460" w:lineRule="exact"/>
        <w:ind w:firstLine="480" w:firstLineChars="200"/>
        <w:rPr>
          <w:rFonts w:ascii="宋体" w:hAnsi="宋体" w:cs="宋体"/>
          <w:sz w:val="24"/>
          <w:szCs w:val="24"/>
        </w:rPr>
      </w:pPr>
      <w:r>
        <w:rPr>
          <w:rFonts w:hint="eastAsia" w:ascii="宋体" w:hAnsi="宋体" w:cs="宋体"/>
          <w:sz w:val="24"/>
          <w:szCs w:val="24"/>
        </w:rPr>
        <w:t>登录《全国公共资源交易平台（河南省·许昌市）》系统-组件下载-《保证金缴纳绑定操作指南》。</w:t>
      </w:r>
    </w:p>
    <w:p>
      <w:pPr>
        <w:spacing w:line="460" w:lineRule="exact"/>
        <w:ind w:firstLine="480" w:firstLineChars="200"/>
        <w:rPr>
          <w:rFonts w:ascii="宋体" w:hAnsi="宋体" w:cs="宋体"/>
          <w:sz w:val="24"/>
          <w:szCs w:val="24"/>
        </w:rPr>
      </w:pPr>
      <w:r>
        <w:rPr>
          <w:rFonts w:hint="eastAsia" w:ascii="宋体" w:hAnsi="宋体" w:cs="宋体"/>
          <w:sz w:val="24"/>
          <w:szCs w:val="24"/>
        </w:rPr>
        <w:t>保证金缴纳绑定问题咨询电话:0374-2961598</w:t>
      </w:r>
    </w:p>
    <w:p>
      <w:pPr>
        <w:spacing w:line="460" w:lineRule="exact"/>
        <w:ind w:firstLine="480" w:firstLineChars="200"/>
        <w:rPr>
          <w:rFonts w:ascii="宋体" w:hAnsi="宋体" w:cs="宋体"/>
          <w:sz w:val="24"/>
          <w:szCs w:val="24"/>
        </w:rPr>
      </w:pPr>
      <w:r>
        <w:rPr>
          <w:rFonts w:hint="eastAsia" w:ascii="宋体" w:hAnsi="宋体" w:cs="宋体"/>
          <w:sz w:val="24"/>
          <w:szCs w:val="24"/>
        </w:rPr>
        <w:t>7、基本户备案</w:t>
      </w:r>
    </w:p>
    <w:p>
      <w:pPr>
        <w:spacing w:line="460" w:lineRule="exact"/>
        <w:ind w:firstLine="480" w:firstLineChars="200"/>
        <w:rPr>
          <w:rFonts w:ascii="宋体" w:hAnsi="宋体" w:cs="宋体"/>
          <w:sz w:val="24"/>
          <w:szCs w:val="24"/>
        </w:rPr>
      </w:pPr>
      <w:r>
        <w:rPr>
          <w:rFonts w:hint="eastAsia" w:ascii="宋体" w:hAnsi="宋体" w:cs="宋体"/>
          <w:sz w:val="24"/>
          <w:szCs w:val="24"/>
        </w:rPr>
        <w:t>7.1 自文件发布之日起，投标人需进行基本户备案，已备案的基本户开户银行、账户发生变化的，须在投标保证金缴纳前办理变更手续。</w:t>
      </w:r>
    </w:p>
    <w:p>
      <w:pPr>
        <w:spacing w:line="460" w:lineRule="exact"/>
        <w:ind w:firstLine="480" w:firstLineChars="200"/>
        <w:rPr>
          <w:rFonts w:ascii="宋体" w:hAnsi="宋体" w:cs="宋体"/>
          <w:sz w:val="24"/>
          <w:szCs w:val="24"/>
        </w:rPr>
      </w:pPr>
      <w:r>
        <w:rPr>
          <w:rFonts w:hint="eastAsia" w:ascii="宋体" w:hAnsi="宋体" w:cs="宋体"/>
          <w:sz w:val="24"/>
          <w:szCs w:val="24"/>
        </w:rPr>
        <w:t xml:space="preserve">7.2 基本户备案流程： </w:t>
      </w:r>
    </w:p>
    <w:p>
      <w:pPr>
        <w:spacing w:line="460" w:lineRule="exact"/>
        <w:ind w:firstLine="480" w:firstLineChars="200"/>
        <w:rPr>
          <w:rFonts w:ascii="宋体" w:hAnsi="宋体" w:cs="宋体"/>
          <w:sz w:val="24"/>
          <w:szCs w:val="24"/>
        </w:rPr>
      </w:pPr>
      <w:r>
        <w:rPr>
          <w:rFonts w:hint="eastAsia" w:ascii="宋体" w:hAnsi="宋体" w:cs="宋体"/>
          <w:sz w:val="24"/>
          <w:szCs w:val="24"/>
        </w:rPr>
        <w:t>工程建设项目的投标人登录注册网址进行系统用户注册（</w:t>
      </w:r>
      <w:r>
        <w:rPr>
          <w:rFonts w:hint="eastAsia" w:ascii="宋体" w:hAnsi="宋体" w:cs="宋体"/>
          <w:sz w:val="24"/>
          <w:szCs w:val="24"/>
          <w:lang w:eastAsia="zh-CN"/>
        </w:rPr>
        <w:t>http://ggzy.xuchang.gov.cn:8088/ggzy</w:t>
      </w:r>
      <w:r>
        <w:rPr>
          <w:rFonts w:hint="eastAsia" w:ascii="宋体" w:hAnsi="宋体" w:cs="宋体"/>
          <w:sz w:val="24"/>
          <w:szCs w:val="24"/>
        </w:rPr>
        <w:t>/），在注册流程中“银行账户”环节，增加“账户类别-基本账户”，填写投标人基本账户信息，扫描上传基本户开户许可证（两者信息必须相符），保存备案信息，提交并绑定CA后可缴纳、绑定投标保证金。</w:t>
      </w:r>
    </w:p>
    <w:p>
      <w:pPr>
        <w:spacing w:line="460" w:lineRule="exact"/>
        <w:ind w:firstLine="480" w:firstLineChars="200"/>
        <w:rPr>
          <w:rFonts w:ascii="宋体" w:hAnsi="宋体" w:cs="宋体"/>
          <w:sz w:val="24"/>
          <w:szCs w:val="24"/>
        </w:rPr>
      </w:pPr>
      <w:r>
        <w:rPr>
          <w:rFonts w:hint="eastAsia" w:ascii="宋体" w:hAnsi="宋体" w:cs="宋体"/>
          <w:sz w:val="24"/>
          <w:szCs w:val="24"/>
        </w:rPr>
        <w:t>7.3 因投标人的原因无法及时退还投标保证金、滞留三年以上的，投标保证金上缴同级国库。</w:t>
      </w:r>
    </w:p>
    <w:p>
      <w:pPr>
        <w:spacing w:line="460" w:lineRule="exact"/>
        <w:ind w:firstLine="480" w:firstLineChars="200"/>
        <w:rPr>
          <w:rFonts w:ascii="宋体" w:hAnsi="宋体" w:cs="宋体"/>
          <w:sz w:val="24"/>
          <w:szCs w:val="24"/>
        </w:rPr>
      </w:pPr>
      <w:r>
        <w:rPr>
          <w:rFonts w:hint="eastAsia" w:ascii="宋体" w:hAnsi="宋体" w:cs="宋体"/>
          <w:sz w:val="24"/>
          <w:szCs w:val="24"/>
        </w:rPr>
        <w:t>8、投标保证金的退还：</w:t>
      </w:r>
    </w:p>
    <w:p>
      <w:pPr>
        <w:spacing w:line="460" w:lineRule="exact"/>
        <w:ind w:firstLine="480" w:firstLineChars="200"/>
        <w:rPr>
          <w:rFonts w:ascii="宋体" w:hAnsi="宋体" w:cs="宋体"/>
          <w:sz w:val="24"/>
          <w:szCs w:val="24"/>
        </w:rPr>
      </w:pPr>
      <w:r>
        <w:rPr>
          <w:rFonts w:hint="eastAsia" w:ascii="宋体" w:hAnsi="宋体" w:cs="宋体"/>
          <w:sz w:val="24"/>
          <w:szCs w:val="24"/>
        </w:rPr>
        <w:t>8.1 中标候选人公示期满后没有质疑或投诉的，退还非中标候选人投标保证金及银行同期存款利息；最迟在书面合同签订后5日内向中标人（携带其中标通知书和合同原件）和其他中标候选人退还投标保证金及银行同期存款利息。电话：0374-61</w:t>
      </w:r>
      <w:r>
        <w:rPr>
          <w:rFonts w:hint="eastAsia" w:ascii="宋体" w:hAnsi="宋体" w:cs="宋体"/>
          <w:sz w:val="24"/>
          <w:szCs w:val="24"/>
          <w:lang w:val="en-US" w:eastAsia="zh-CN"/>
        </w:rPr>
        <w:t>98229</w:t>
      </w:r>
    </w:p>
    <w:p>
      <w:pPr>
        <w:spacing w:line="460" w:lineRule="exact"/>
        <w:ind w:firstLine="480" w:firstLineChars="200"/>
        <w:rPr>
          <w:rFonts w:ascii="宋体" w:hAnsi="宋体" w:cs="宋体"/>
          <w:sz w:val="24"/>
          <w:szCs w:val="24"/>
        </w:rPr>
      </w:pPr>
      <w:r>
        <w:rPr>
          <w:rFonts w:hint="eastAsia" w:ascii="宋体" w:hAnsi="宋体" w:cs="宋体"/>
          <w:sz w:val="24"/>
          <w:szCs w:val="24"/>
        </w:rPr>
        <w:t>8.2 法定期限内未签订书面合同的，按照有关规定向中标人和其他中标候选人退还投标保证金及银行同期活期存款利息。</w:t>
      </w:r>
    </w:p>
    <w:p>
      <w:pPr>
        <w:spacing w:line="460" w:lineRule="exact"/>
        <w:ind w:firstLine="480" w:firstLineChars="200"/>
        <w:rPr>
          <w:rFonts w:ascii="宋体" w:hAnsi="宋体" w:cs="宋体"/>
          <w:sz w:val="24"/>
          <w:szCs w:val="24"/>
        </w:rPr>
      </w:pPr>
      <w:r>
        <w:rPr>
          <w:rFonts w:hint="eastAsia" w:ascii="宋体" w:hAnsi="宋体" w:cs="宋体"/>
          <w:sz w:val="24"/>
          <w:szCs w:val="24"/>
        </w:rPr>
        <w:t>8.3 项目废标或招标人终止招标的，在此后5个工作日内退还投标保证金及银行同期活期存利息。</w:t>
      </w:r>
    </w:p>
    <w:p>
      <w:pPr>
        <w:spacing w:line="460" w:lineRule="exact"/>
        <w:ind w:firstLine="480" w:firstLineChars="200"/>
        <w:rPr>
          <w:rFonts w:ascii="宋体" w:hAnsi="宋体" w:cs="宋体"/>
          <w:sz w:val="24"/>
          <w:szCs w:val="24"/>
        </w:rPr>
      </w:pPr>
      <w:r>
        <w:rPr>
          <w:rFonts w:hint="eastAsia" w:ascii="宋体" w:hAnsi="宋体" w:cs="宋体"/>
          <w:sz w:val="24"/>
          <w:szCs w:val="24"/>
        </w:rPr>
        <w:t>8.4 投标活动中出现质疑、投诉的，中标候选人、质疑人和被质疑人、投诉人和被投诉人的投标保证金暂停退还。</w:t>
      </w:r>
    </w:p>
    <w:p>
      <w:pPr>
        <w:spacing w:line="460" w:lineRule="exact"/>
        <w:ind w:firstLine="480" w:firstLineChars="200"/>
        <w:rPr>
          <w:rFonts w:ascii="宋体" w:hAnsi="宋体" w:cs="宋体"/>
          <w:sz w:val="24"/>
          <w:szCs w:val="24"/>
        </w:rPr>
      </w:pPr>
      <w:r>
        <w:rPr>
          <w:rFonts w:hint="eastAsia" w:ascii="宋体" w:hAnsi="宋体" w:cs="宋体"/>
          <w:sz w:val="24"/>
          <w:szCs w:val="24"/>
        </w:rPr>
        <w:t>8.5 相关投标人有违法违规行为的项目，其投标保证金暂不退还，待行政监督部门对相关情况处置后，按照有关规定办理。</w:t>
      </w:r>
    </w:p>
    <w:p>
      <w:pPr>
        <w:spacing w:line="460" w:lineRule="exact"/>
        <w:ind w:firstLine="480" w:firstLineChars="200"/>
        <w:rPr>
          <w:rFonts w:ascii="宋体" w:hAnsi="宋体" w:cs="宋体"/>
          <w:sz w:val="24"/>
          <w:szCs w:val="24"/>
        </w:rPr>
      </w:pPr>
      <w:r>
        <w:rPr>
          <w:rFonts w:hint="eastAsia" w:ascii="宋体" w:hAnsi="宋体" w:cs="宋体"/>
          <w:sz w:val="24"/>
          <w:szCs w:val="24"/>
        </w:rPr>
        <w:t>8.6 因投标人的原因无法及时退还投标（竞买）保证金、滞留三年以上的，投标（竞买）保证金上缴同级国库。</w:t>
      </w:r>
    </w:p>
    <w:p>
      <w:pPr>
        <w:spacing w:line="460" w:lineRule="exact"/>
        <w:ind w:firstLine="480" w:firstLineChars="200"/>
        <w:rPr>
          <w:rFonts w:ascii="宋体" w:hAnsi="宋体" w:cs="宋体"/>
          <w:sz w:val="24"/>
          <w:szCs w:val="24"/>
        </w:rPr>
      </w:pPr>
      <w:r>
        <w:rPr>
          <w:rFonts w:hint="eastAsia" w:ascii="宋体" w:hAnsi="宋体" w:cs="宋体"/>
          <w:sz w:val="24"/>
          <w:szCs w:val="24"/>
        </w:rPr>
        <w:t>8.7退还投标保证金，除另有规定外，一般以转账方式一次性退还至投标保证金的原提交账户。</w:t>
      </w:r>
    </w:p>
    <w:p>
      <w:pPr>
        <w:spacing w:line="460" w:lineRule="exact"/>
        <w:ind w:firstLine="480" w:firstLineChars="200"/>
        <w:rPr>
          <w:rFonts w:ascii="宋体" w:hAnsi="宋体" w:cs="宋体"/>
          <w:sz w:val="24"/>
          <w:szCs w:val="24"/>
        </w:rPr>
      </w:pPr>
      <w:r>
        <w:rPr>
          <w:rFonts w:hint="eastAsia" w:ascii="宋体" w:hAnsi="宋体" w:cs="宋体"/>
          <w:sz w:val="24"/>
          <w:szCs w:val="24"/>
        </w:rPr>
        <w:t>9、特殊情况处理</w:t>
      </w:r>
    </w:p>
    <w:p>
      <w:pPr>
        <w:spacing w:line="460" w:lineRule="exact"/>
        <w:ind w:firstLine="480" w:firstLineChars="200"/>
        <w:rPr>
          <w:rFonts w:ascii="宋体" w:hAnsi="宋体" w:cs="宋体"/>
          <w:sz w:val="24"/>
          <w:szCs w:val="24"/>
        </w:rPr>
      </w:pPr>
      <w:r>
        <w:rPr>
          <w:rFonts w:hint="eastAsia" w:ascii="宋体" w:hAnsi="宋体" w:cs="宋体"/>
          <w:sz w:val="24"/>
          <w:szCs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w:t>
      </w:r>
      <w:r>
        <w:rPr>
          <w:rFonts w:ascii="宋体" w:hAnsi="宋体" w:cs="宋体"/>
          <w:sz w:val="24"/>
          <w:szCs w:val="24"/>
        </w:rPr>
        <w:t>5</w:t>
      </w:r>
      <w:r>
        <w:rPr>
          <w:rFonts w:hint="eastAsia" w:ascii="宋体" w:hAnsi="宋体" w:cs="宋体"/>
          <w:sz w:val="24"/>
          <w:szCs w:val="24"/>
        </w:rPr>
        <w:t>室）。</w:t>
      </w:r>
    </w:p>
    <w:p>
      <w:pPr>
        <w:spacing w:line="460" w:lineRule="exact"/>
        <w:ind w:firstLine="480" w:firstLineChars="200"/>
        <w:rPr>
          <w:rFonts w:ascii="宋体" w:hAnsi="宋体" w:cs="宋体"/>
          <w:sz w:val="24"/>
          <w:szCs w:val="24"/>
        </w:rPr>
      </w:pPr>
      <w:r>
        <w:rPr>
          <w:rFonts w:hint="eastAsia" w:ascii="宋体" w:hAnsi="宋体" w:cs="宋体"/>
          <w:sz w:val="24"/>
          <w:szCs w:val="24"/>
        </w:rPr>
        <w:t>电话：0374-61</w:t>
      </w:r>
      <w:r>
        <w:rPr>
          <w:rFonts w:ascii="宋体" w:hAnsi="宋体" w:cs="宋体"/>
          <w:sz w:val="24"/>
          <w:szCs w:val="24"/>
        </w:rPr>
        <w:t>89133</w:t>
      </w:r>
    </w:p>
    <w:p>
      <w:pPr>
        <w:spacing w:line="460" w:lineRule="exact"/>
        <w:ind w:firstLine="482" w:firstLineChars="200"/>
        <w:rPr>
          <w:rFonts w:ascii="宋体" w:hAnsi="宋体" w:cs="宋体"/>
          <w:b/>
          <w:sz w:val="24"/>
          <w:szCs w:val="24"/>
        </w:rPr>
      </w:pPr>
      <w:r>
        <w:rPr>
          <w:rFonts w:hint="eastAsia" w:ascii="宋体" w:hAnsi="宋体" w:cs="宋体"/>
          <w:b/>
          <w:sz w:val="24"/>
          <w:szCs w:val="24"/>
        </w:rPr>
        <w:t>10、投标人有下列情形之一的，投标保证金不予退还：</w:t>
      </w:r>
    </w:p>
    <w:p>
      <w:pPr>
        <w:spacing w:line="460" w:lineRule="exact"/>
        <w:ind w:firstLine="480" w:firstLineChars="200"/>
        <w:rPr>
          <w:rFonts w:ascii="宋体" w:hAnsi="宋体" w:cs="宋体"/>
          <w:sz w:val="24"/>
          <w:szCs w:val="24"/>
        </w:rPr>
      </w:pPr>
      <w:r>
        <w:rPr>
          <w:rFonts w:hint="eastAsia" w:ascii="宋体" w:hAnsi="宋体" w:cs="宋体"/>
          <w:sz w:val="24"/>
          <w:szCs w:val="24"/>
        </w:rPr>
        <w:t xml:space="preserve">10.1 中标人无正当理由不与招标人订立合同，在签订合同时向招标人提出附加条件，或者不按照招标文件要求提交履约担保的，取消其中标资格，投标保证金不予退还。 </w:t>
      </w:r>
    </w:p>
    <w:p>
      <w:pPr>
        <w:spacing w:line="460" w:lineRule="exact"/>
        <w:ind w:firstLine="480" w:firstLineChars="200"/>
        <w:rPr>
          <w:rFonts w:ascii="宋体" w:hAnsi="宋体" w:cs="宋体"/>
          <w:sz w:val="24"/>
          <w:szCs w:val="24"/>
        </w:rPr>
      </w:pPr>
      <w:r>
        <w:rPr>
          <w:rFonts w:hint="eastAsia" w:ascii="宋体" w:hAnsi="宋体" w:cs="宋体"/>
          <w:sz w:val="24"/>
          <w:szCs w:val="24"/>
        </w:rPr>
        <w:t>10.2 投标人有违法违规行为，其投标保证金暂不退还，待行政监督部门对相关情况处置后，按照有关规定办理。</w:t>
      </w:r>
    </w:p>
    <w:p>
      <w:pPr>
        <w:spacing w:line="460" w:lineRule="exact"/>
        <w:ind w:firstLine="480" w:firstLineChars="200"/>
        <w:rPr>
          <w:rFonts w:ascii="宋体" w:hAnsi="宋体" w:cs="宋体"/>
          <w:sz w:val="24"/>
          <w:szCs w:val="24"/>
        </w:rPr>
      </w:pPr>
      <w:r>
        <w:rPr>
          <w:rFonts w:hint="eastAsia" w:ascii="宋体" w:hAnsi="宋体" w:cs="宋体"/>
          <w:sz w:val="24"/>
          <w:szCs w:val="24"/>
        </w:rPr>
        <w:t>10.3 凡投标人投标保证金交纳至同一标段相同子账号的，保证金暂不予退还对涉嫌串通投标等违规行为的，移交有关部门进行查处。经调查核实后，按有关规定处理。不予退还的保证金上缴国库。</w:t>
      </w:r>
    </w:p>
    <w:p>
      <w:pPr>
        <w:spacing w:line="520" w:lineRule="exact"/>
        <w:ind w:firstLine="480" w:firstLineChars="200"/>
        <w:rPr>
          <w:rFonts w:hint="eastAsia" w:ascii="宋体" w:hAnsi="宋体" w:cs="宋体"/>
          <w:sz w:val="24"/>
          <w:szCs w:val="24"/>
        </w:rPr>
      </w:pPr>
      <w:r>
        <w:rPr>
          <w:rFonts w:hint="eastAsia" w:ascii="宋体" w:hAnsi="宋体" w:cs="宋体"/>
          <w:sz w:val="24"/>
          <w:szCs w:val="24"/>
        </w:rPr>
        <w:t>10.4 相关法律、法规规定不予退还的其它情形。</w:t>
      </w:r>
    </w:p>
    <w:p>
      <w:pPr>
        <w:spacing w:line="520" w:lineRule="exact"/>
        <w:rPr>
          <w:rFonts w:hAnsi="宋体" w:cs="宋体"/>
          <w:b/>
          <w:bCs/>
          <w:sz w:val="24"/>
        </w:rPr>
      </w:pPr>
      <w:r>
        <w:rPr>
          <w:rFonts w:hint="eastAsia" w:hAnsi="宋体" w:cs="宋体"/>
          <w:b/>
          <w:bCs/>
          <w:sz w:val="24"/>
        </w:rPr>
        <w:t>3.5  资格审查资料</w:t>
      </w:r>
    </w:p>
    <w:p>
      <w:pPr>
        <w:tabs>
          <w:tab w:val="left" w:pos="1260"/>
        </w:tabs>
        <w:autoSpaceDE w:val="0"/>
        <w:autoSpaceDN w:val="0"/>
        <w:adjustRightInd w:val="0"/>
        <w:spacing w:line="520" w:lineRule="exact"/>
        <w:ind w:firstLine="480" w:firstLineChars="200"/>
        <w:jc w:val="left"/>
        <w:rPr>
          <w:rFonts w:ascii="宋体" w:hAnsi="宋体" w:cs="宋体"/>
          <w:sz w:val="24"/>
        </w:rPr>
      </w:pPr>
      <w:r>
        <w:rPr>
          <w:rFonts w:hint="eastAsia" w:ascii="宋体" w:hAnsi="宋体" w:cs="宋体"/>
          <w:sz w:val="24"/>
        </w:rPr>
        <w:t>3.5.1 “投标人基本情况表”应附投标人营业执照副本、资质证书副本等材料的原件扫描件（或图片）。</w:t>
      </w:r>
    </w:p>
    <w:p>
      <w:pPr>
        <w:snapToGrid w:val="0"/>
        <w:spacing w:line="520" w:lineRule="exact"/>
        <w:ind w:firstLine="480" w:firstLineChars="200"/>
        <w:rPr>
          <w:rFonts w:hAnsi="宋体" w:cs="宋体"/>
          <w:sz w:val="24"/>
        </w:rPr>
      </w:pPr>
      <w:r>
        <w:rPr>
          <w:rFonts w:hint="eastAsia" w:ascii="宋体" w:hAnsi="宋体" w:cs="宋体"/>
          <w:sz w:val="24"/>
        </w:rPr>
        <w:t>3.5.2 “近年财务状况表”</w:t>
      </w:r>
      <w:r>
        <w:rPr>
          <w:rFonts w:hint="eastAsia" w:hAnsi="宋体" w:cs="宋体"/>
          <w:sz w:val="24"/>
        </w:rPr>
        <w:t>后须附经会计师事所或审计机构审计的财务会计报表</w:t>
      </w:r>
      <w:r>
        <w:rPr>
          <w:rFonts w:hint="eastAsia" w:ascii="宋体" w:hAnsi="宋体" w:cs="宋体"/>
          <w:sz w:val="24"/>
        </w:rPr>
        <w:t>原件扫描件（或图片）</w:t>
      </w:r>
      <w:r>
        <w:rPr>
          <w:rFonts w:hint="eastAsia" w:hAnsi="宋体" w:cs="宋体"/>
          <w:sz w:val="24"/>
        </w:rPr>
        <w:t>。</w:t>
      </w:r>
    </w:p>
    <w:p>
      <w:pPr>
        <w:snapToGrid w:val="0"/>
        <w:spacing w:line="520" w:lineRule="exact"/>
        <w:ind w:firstLine="480" w:firstLineChars="200"/>
        <w:rPr>
          <w:rFonts w:ascii="宋体" w:hAnsi="宋体" w:cs="宋体"/>
          <w:sz w:val="24"/>
        </w:rPr>
      </w:pPr>
      <w:r>
        <w:rPr>
          <w:rFonts w:hint="eastAsia" w:ascii="宋体" w:hAnsi="宋体" w:cs="宋体"/>
          <w:sz w:val="24"/>
        </w:rPr>
        <w:t>3.5.3 “近年完成的类似项目情况表”应附</w:t>
      </w:r>
      <w:r>
        <w:rPr>
          <w:rFonts w:hint="eastAsia" w:ascii="宋体" w:hAnsi="宋体" w:cs="宋体"/>
          <w:sz w:val="24"/>
          <w:lang w:eastAsia="zh-CN"/>
        </w:rPr>
        <w:t>法定媒介中标公示网页版截图、</w:t>
      </w:r>
      <w:r>
        <w:rPr>
          <w:rFonts w:hint="eastAsia" w:ascii="宋体" w:hAnsi="宋体" w:cs="宋体"/>
          <w:sz w:val="24"/>
        </w:rPr>
        <w:t>中标通知书和合同协议书原件扫描件（或图片），具体年份要求见投标人须知前附表。每张表格只填写一个项目，并标明序号。</w:t>
      </w:r>
    </w:p>
    <w:p>
      <w:pPr>
        <w:snapToGrid w:val="0"/>
        <w:spacing w:line="520" w:lineRule="exact"/>
        <w:ind w:firstLine="480" w:firstLineChars="200"/>
        <w:rPr>
          <w:rFonts w:ascii="宋体" w:hAnsi="宋体" w:cs="宋体"/>
          <w:sz w:val="24"/>
        </w:rPr>
      </w:pPr>
      <w:r>
        <w:rPr>
          <w:rFonts w:hint="eastAsia" w:ascii="宋体" w:hAnsi="宋体" w:cs="宋体"/>
          <w:sz w:val="24"/>
        </w:rPr>
        <w:t>3.5.4“正在监理和新承接的项目情况表”应附</w:t>
      </w:r>
      <w:r>
        <w:rPr>
          <w:rFonts w:hint="eastAsia" w:ascii="宋体" w:hAnsi="宋体" w:cs="宋体"/>
          <w:sz w:val="24"/>
          <w:lang w:eastAsia="zh-CN"/>
        </w:rPr>
        <w:t>法定媒介中标公示网页版截图、</w:t>
      </w:r>
      <w:r>
        <w:rPr>
          <w:rFonts w:hint="eastAsia" w:ascii="宋体" w:hAnsi="宋体" w:cs="宋体"/>
          <w:sz w:val="24"/>
        </w:rPr>
        <w:t>中标通知书和合同协议书原件扫描件（或图片）。每张表格只填写一个项目，并标明序号。</w:t>
      </w:r>
    </w:p>
    <w:p>
      <w:pPr>
        <w:autoSpaceDE w:val="0"/>
        <w:autoSpaceDN w:val="0"/>
        <w:spacing w:line="440" w:lineRule="exact"/>
        <w:ind w:firstLine="480"/>
        <w:jc w:val="left"/>
        <w:rPr>
          <w:rFonts w:ascii="宋体" w:hAnsi="宋体" w:cs="宋体"/>
          <w:sz w:val="24"/>
        </w:rPr>
      </w:pPr>
      <w:r>
        <w:rPr>
          <w:rFonts w:hint="eastAsia" w:ascii="宋体" w:hAnsi="宋体" w:cs="宋体"/>
          <w:sz w:val="24"/>
        </w:rPr>
        <w:t>3.5.5“近年发生的诉讼及仲裁情况”应说明相关情况，并附法院或仲裁机构作出的判决、裁决等有关法律文书原件扫描件（或图片），具体年份要求见投标人须知前附表。</w:t>
      </w:r>
    </w:p>
    <w:p>
      <w:pPr>
        <w:autoSpaceDE w:val="0"/>
        <w:autoSpaceDN w:val="0"/>
        <w:spacing w:line="440" w:lineRule="exact"/>
        <w:ind w:firstLine="480"/>
        <w:jc w:val="left"/>
        <w:rPr>
          <w:rFonts w:ascii="宋体" w:hAnsi="宋体" w:cs="宋体"/>
          <w:sz w:val="24"/>
        </w:rPr>
      </w:pPr>
      <w:r>
        <w:rPr>
          <w:rFonts w:hint="eastAsia" w:ascii="宋体" w:hAnsi="宋体" w:cs="宋体"/>
          <w:sz w:val="24"/>
        </w:rPr>
        <w:t>3.5.6 未按规定提交投标保证金的，由评标委员会否决其投标。</w:t>
      </w:r>
    </w:p>
    <w:p>
      <w:pPr>
        <w:topLinePunct/>
        <w:spacing w:line="360" w:lineRule="auto"/>
        <w:ind w:firstLine="482" w:firstLineChars="200"/>
        <w:contextualSpacing/>
        <w:rPr>
          <w:rFonts w:hint="eastAsia" w:ascii="宋体" w:hAnsi="宋体" w:cs="宋体"/>
          <w:b/>
          <w:bCs/>
          <w:sz w:val="24"/>
          <w:szCs w:val="24"/>
        </w:rPr>
      </w:pPr>
      <w:bookmarkStart w:id="26" w:name="_Hlk534616169"/>
      <w:r>
        <w:rPr>
          <w:rFonts w:hint="eastAsia" w:ascii="宋体" w:hAnsi="宋体" w:cs="宋体"/>
          <w:b/>
          <w:bCs/>
          <w:sz w:val="24"/>
          <w:szCs w:val="24"/>
        </w:rPr>
        <w:t>3</w:t>
      </w:r>
      <w:r>
        <w:rPr>
          <w:rFonts w:ascii="宋体" w:hAnsi="宋体" w:cs="宋体"/>
          <w:b/>
          <w:bCs/>
          <w:sz w:val="24"/>
          <w:szCs w:val="24"/>
        </w:rPr>
        <w:t>.5.</w:t>
      </w:r>
      <w:r>
        <w:rPr>
          <w:rFonts w:hint="eastAsia" w:ascii="宋体" w:hAnsi="宋体" w:cs="宋体"/>
          <w:b/>
          <w:bCs/>
          <w:sz w:val="24"/>
          <w:szCs w:val="24"/>
          <w:lang w:val="en-US" w:eastAsia="zh-CN"/>
        </w:rPr>
        <w:t>7</w:t>
      </w:r>
      <w:r>
        <w:rPr>
          <w:rFonts w:hint="eastAsia" w:ascii="宋体" w:hAnsi="宋体" w:cs="宋体"/>
          <w:b/>
          <w:bCs/>
          <w:sz w:val="24"/>
          <w:szCs w:val="24"/>
        </w:rPr>
        <w:t>被列入失信被执行人名单的投标人，其投标将被拒绝。</w:t>
      </w:r>
    </w:p>
    <w:bookmarkEnd w:id="26"/>
    <w:p>
      <w:pPr>
        <w:pStyle w:val="7"/>
        <w:ind w:firstLine="723" w:firstLineChars="300"/>
        <w:rPr>
          <w:rFonts w:hint="eastAsia"/>
          <w:b/>
          <w:bCs/>
          <w:sz w:val="24"/>
          <w:szCs w:val="24"/>
        </w:rPr>
      </w:pPr>
      <w:r>
        <w:rPr>
          <w:rFonts w:hint="eastAsia"/>
          <w:b/>
          <w:bCs/>
          <w:sz w:val="24"/>
          <w:szCs w:val="24"/>
        </w:rPr>
        <w:t>招标项目开标结束后、评标开始前，招标人（或招标代理机构）对投标人信用记录进行现场查询，并将查询结果随项目开标资料一并送入评标室，由专家进行评判。投标人无须提供信用记录查询结果网页截图。</w:t>
      </w:r>
    </w:p>
    <w:p>
      <w:pPr>
        <w:autoSpaceDE w:val="0"/>
        <w:autoSpaceDN w:val="0"/>
        <w:spacing w:line="390" w:lineRule="exact"/>
        <w:ind w:firstLine="480" w:firstLineChars="200"/>
        <w:jc w:val="left"/>
        <w:outlineLvl w:val="0"/>
        <w:rPr>
          <w:rFonts w:hint="eastAsia" w:ascii="新宋体" w:hAnsi="新宋体" w:eastAsia="新宋体" w:cs="宋体"/>
          <w:kern w:val="0"/>
          <w:sz w:val="24"/>
          <w:szCs w:val="24"/>
        </w:rPr>
      </w:pPr>
      <w:r>
        <w:rPr>
          <w:rFonts w:hint="eastAsia" w:ascii="新宋体" w:hAnsi="新宋体" w:eastAsia="新宋体" w:cs="宋体"/>
          <w:kern w:val="0"/>
          <w:sz w:val="24"/>
          <w:szCs w:val="24"/>
        </w:rPr>
        <w:t>信用信息查询记录和证据留存具体方式：经评标委员会确认的查询结果网页截图作为查询记录和证据，与其他文件一并存档）。</w:t>
      </w:r>
    </w:p>
    <w:p>
      <w:pPr>
        <w:autoSpaceDE w:val="0"/>
        <w:autoSpaceDN w:val="0"/>
        <w:spacing w:line="390" w:lineRule="exact"/>
        <w:ind w:firstLine="480" w:firstLineChars="200"/>
        <w:jc w:val="left"/>
        <w:outlineLvl w:val="0"/>
        <w:rPr>
          <w:rFonts w:hint="eastAsia" w:ascii="新宋体" w:hAnsi="新宋体" w:eastAsia="新宋体" w:cs="宋体"/>
          <w:kern w:val="0"/>
          <w:sz w:val="24"/>
          <w:szCs w:val="24"/>
        </w:rPr>
      </w:pPr>
      <w:r>
        <w:rPr>
          <w:rFonts w:hint="eastAsia" w:ascii="新宋体" w:hAnsi="新宋体" w:eastAsia="新宋体" w:cs="宋体"/>
          <w:kern w:val="0"/>
          <w:sz w:val="24"/>
          <w:szCs w:val="24"/>
        </w:rPr>
        <w:t>（1）“信用中国”（www.creditchina.gov.cn）“失信被执行人”、“重大税收违法案件当事人名单”网页查询结果截图，查询对象为投标人；</w:t>
      </w:r>
    </w:p>
    <w:p>
      <w:pPr>
        <w:autoSpaceDE w:val="0"/>
        <w:autoSpaceDN w:val="0"/>
        <w:spacing w:line="390" w:lineRule="exact"/>
        <w:ind w:firstLine="480" w:firstLineChars="200"/>
        <w:jc w:val="left"/>
        <w:outlineLvl w:val="0"/>
        <w:rPr>
          <w:rFonts w:hint="eastAsia" w:ascii="新宋体" w:hAnsi="新宋体" w:eastAsia="新宋体" w:cs="宋体"/>
          <w:kern w:val="0"/>
          <w:sz w:val="24"/>
          <w:szCs w:val="24"/>
        </w:rPr>
      </w:pPr>
      <w:r>
        <w:rPr>
          <w:rFonts w:hint="eastAsia" w:ascii="新宋体" w:hAnsi="新宋体" w:eastAsia="新宋体" w:cs="宋体"/>
          <w:kern w:val="0"/>
          <w:sz w:val="24"/>
          <w:szCs w:val="24"/>
        </w:rPr>
        <w:t>“信用河南”（www.xyhn.gov.cn）黑名单查询截图。查询内容包括：失信</w:t>
      </w:r>
      <w:r>
        <w:rPr>
          <w:rFonts w:hint="eastAsia" w:ascii="新宋体" w:hAnsi="新宋体" w:eastAsia="新宋体" w:cs="宋体"/>
          <w:kern w:val="0"/>
          <w:sz w:val="24"/>
          <w:szCs w:val="24"/>
          <w:lang w:eastAsia="zh-CN"/>
        </w:rPr>
        <w:t>被执行人</w:t>
      </w:r>
      <w:r>
        <w:rPr>
          <w:rFonts w:hint="eastAsia" w:ascii="新宋体" w:hAnsi="新宋体" w:eastAsia="新宋体" w:cs="宋体"/>
          <w:kern w:val="0"/>
          <w:sz w:val="24"/>
          <w:szCs w:val="24"/>
        </w:rPr>
        <w:t>，</w:t>
      </w:r>
      <w:r>
        <w:rPr>
          <w:rFonts w:hint="eastAsia" w:ascii="新宋体" w:hAnsi="新宋体" w:eastAsia="新宋体" w:cs="宋体"/>
          <w:kern w:val="0"/>
          <w:sz w:val="24"/>
          <w:szCs w:val="24"/>
          <w:lang w:eastAsia="zh-CN"/>
        </w:rPr>
        <w:t>河南省</w:t>
      </w:r>
      <w:r>
        <w:rPr>
          <w:rFonts w:hint="eastAsia" w:ascii="新宋体" w:hAnsi="新宋体" w:eastAsia="新宋体" w:cs="宋体"/>
          <w:kern w:val="0"/>
          <w:sz w:val="24"/>
          <w:szCs w:val="24"/>
        </w:rPr>
        <w:t>拖欠农民工工资</w:t>
      </w:r>
      <w:r>
        <w:rPr>
          <w:rFonts w:hint="eastAsia" w:ascii="新宋体" w:hAnsi="新宋体" w:eastAsia="新宋体" w:cs="宋体"/>
          <w:kern w:val="0"/>
          <w:sz w:val="24"/>
          <w:szCs w:val="24"/>
          <w:lang w:eastAsia="zh-CN"/>
        </w:rPr>
        <w:t>，</w:t>
      </w:r>
      <w:r>
        <w:rPr>
          <w:rFonts w:hint="eastAsia" w:ascii="新宋体" w:hAnsi="新宋体" w:eastAsia="新宋体" w:cs="宋体"/>
          <w:kern w:val="0"/>
          <w:sz w:val="24"/>
          <w:szCs w:val="24"/>
        </w:rPr>
        <w:t>查询对象为投标人；</w:t>
      </w:r>
    </w:p>
    <w:p>
      <w:pPr>
        <w:autoSpaceDE w:val="0"/>
        <w:autoSpaceDN w:val="0"/>
        <w:spacing w:line="390" w:lineRule="exact"/>
        <w:ind w:firstLine="480" w:firstLineChars="200"/>
        <w:jc w:val="left"/>
        <w:outlineLvl w:val="0"/>
        <w:rPr>
          <w:rFonts w:hint="eastAsia" w:ascii="新宋体" w:hAnsi="新宋体" w:eastAsia="新宋体" w:cs="宋体"/>
          <w:kern w:val="0"/>
          <w:sz w:val="24"/>
          <w:szCs w:val="24"/>
        </w:rPr>
      </w:pPr>
      <w:r>
        <w:rPr>
          <w:rFonts w:hint="eastAsia" w:ascii="新宋体" w:hAnsi="新宋体" w:eastAsia="新宋体" w:cs="宋体"/>
          <w:kern w:val="0"/>
          <w:sz w:val="24"/>
          <w:szCs w:val="24"/>
        </w:rPr>
        <w:t>（2）“全国企业信用信息公示系统”（www.gsxt.gov.cn）“经营异常名录和严重违法失信企业名单”网页查询结果截图；</w:t>
      </w:r>
    </w:p>
    <w:p>
      <w:pPr>
        <w:autoSpaceDE w:val="0"/>
        <w:autoSpaceDN w:val="0"/>
        <w:spacing w:line="390" w:lineRule="exact"/>
        <w:ind w:firstLine="480" w:firstLineChars="200"/>
        <w:jc w:val="left"/>
        <w:outlineLvl w:val="0"/>
        <w:rPr>
          <w:rFonts w:hint="eastAsia" w:ascii="新宋体" w:hAnsi="新宋体" w:eastAsia="新宋体" w:cs="宋体"/>
          <w:kern w:val="0"/>
          <w:sz w:val="24"/>
          <w:szCs w:val="24"/>
        </w:rPr>
      </w:pPr>
      <w:r>
        <w:rPr>
          <w:rFonts w:hint="eastAsia" w:ascii="新宋体" w:hAnsi="新宋体" w:eastAsia="新宋体" w:cs="宋体"/>
          <w:kern w:val="0"/>
          <w:sz w:val="24"/>
          <w:szCs w:val="24"/>
        </w:rPr>
        <w:t>（3）“中国裁判文书网”（wenshu.court.gov.cn）行贿犯罪网页查询结果截图。查询对象为投标人。</w:t>
      </w:r>
    </w:p>
    <w:p>
      <w:pPr>
        <w:autoSpaceDE w:val="0"/>
        <w:autoSpaceDN w:val="0"/>
        <w:spacing w:line="520" w:lineRule="exact"/>
        <w:jc w:val="left"/>
        <w:rPr>
          <w:rFonts w:ascii="宋体" w:hAnsi="宋体" w:cs="宋体"/>
          <w:b/>
          <w:sz w:val="24"/>
        </w:rPr>
      </w:pPr>
      <w:r>
        <w:rPr>
          <w:rFonts w:hint="eastAsia" w:ascii="宋体" w:hAnsi="宋体" w:cs="宋体"/>
          <w:b/>
          <w:sz w:val="24"/>
        </w:rPr>
        <w:t>3.6</w:t>
      </w:r>
      <w:bookmarkStart w:id="27" w:name="_Toc179632571"/>
      <w:bookmarkStart w:id="28" w:name="_Toc152045553"/>
      <w:bookmarkStart w:id="29" w:name="_Toc144974521"/>
      <w:bookmarkStart w:id="30" w:name="_Toc152042329"/>
      <w:r>
        <w:rPr>
          <w:rFonts w:hint="eastAsia" w:ascii="宋体" w:hAnsi="宋体" w:cs="宋体"/>
          <w:b/>
          <w:sz w:val="24"/>
        </w:rPr>
        <w:t>备选投标方案</w:t>
      </w:r>
    </w:p>
    <w:bookmarkEnd w:id="27"/>
    <w:bookmarkEnd w:id="28"/>
    <w:bookmarkEnd w:id="29"/>
    <w:bookmarkEnd w:id="30"/>
    <w:p>
      <w:pPr>
        <w:snapToGrid w:val="0"/>
        <w:spacing w:line="520" w:lineRule="exact"/>
        <w:ind w:firstLine="480" w:firstLineChars="200"/>
        <w:rPr>
          <w:rFonts w:ascii="宋体" w:hAnsi="宋体" w:cs="宋体"/>
          <w:sz w:val="24"/>
        </w:rPr>
      </w:pPr>
      <w:r>
        <w:rPr>
          <w:rFonts w:hint="eastAsia" w:ascii="宋体"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520" w:lineRule="exact"/>
        <w:jc w:val="left"/>
        <w:rPr>
          <w:rFonts w:ascii="宋体" w:hAnsi="宋体" w:cs="宋体"/>
          <w:b/>
          <w:sz w:val="24"/>
        </w:rPr>
      </w:pPr>
      <w:r>
        <w:rPr>
          <w:rFonts w:hint="eastAsia" w:ascii="宋体" w:hAnsi="宋体" w:cs="宋体"/>
          <w:b/>
          <w:sz w:val="24"/>
        </w:rPr>
        <w:t>3.7投标文件的编制</w:t>
      </w:r>
    </w:p>
    <w:p>
      <w:pPr>
        <w:autoSpaceDE w:val="0"/>
        <w:autoSpaceDN w:val="0"/>
        <w:adjustRightInd w:val="0"/>
        <w:spacing w:line="520" w:lineRule="exact"/>
        <w:ind w:firstLine="480" w:firstLineChars="200"/>
        <w:jc w:val="left"/>
        <w:rPr>
          <w:rFonts w:ascii="宋体" w:hAnsi="宋体" w:cs="宋体"/>
          <w:sz w:val="24"/>
        </w:rPr>
      </w:pPr>
      <w:r>
        <w:rPr>
          <w:rFonts w:hint="eastAsia" w:ascii="宋体" w:hAnsi="宋体" w:cs="宋体"/>
          <w:sz w:val="24"/>
        </w:rPr>
        <w:t>3.7.1 投标文件应按第</w:t>
      </w:r>
      <w:r>
        <w:rPr>
          <w:rFonts w:hint="eastAsia" w:hAnsi="宋体" w:cs="宋体"/>
          <w:sz w:val="24"/>
        </w:rPr>
        <w:t>五</w:t>
      </w:r>
      <w:r>
        <w:rPr>
          <w:rFonts w:hint="eastAsia" w:ascii="宋体" w:hAnsi="宋体" w:cs="宋体"/>
          <w:sz w:val="24"/>
        </w:rPr>
        <w:t>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adjustRightInd w:val="0"/>
        <w:spacing w:line="520" w:lineRule="exact"/>
        <w:ind w:firstLine="480" w:firstLineChars="200"/>
        <w:jc w:val="left"/>
        <w:rPr>
          <w:rFonts w:ascii="宋体" w:hAnsi="宋体" w:cs="宋体"/>
          <w:sz w:val="24"/>
        </w:rPr>
      </w:pPr>
      <w:r>
        <w:rPr>
          <w:rFonts w:hint="eastAsia" w:ascii="宋体" w:hAnsi="宋体" w:cs="宋体"/>
          <w:sz w:val="24"/>
        </w:rPr>
        <w:t>3.7.2 投标文件应当对招标文件有关工期、投标有效期、质量要求、招标范围作出响应。</w:t>
      </w:r>
    </w:p>
    <w:p>
      <w:pPr>
        <w:autoSpaceDE w:val="0"/>
        <w:autoSpaceDN w:val="0"/>
        <w:spacing w:line="440" w:lineRule="exact"/>
        <w:ind w:firstLine="480" w:firstLineChars="200"/>
        <w:jc w:val="left"/>
        <w:outlineLvl w:val="0"/>
        <w:rPr>
          <w:rFonts w:ascii="宋体" w:hAnsi="宋体" w:cs="宋体"/>
          <w:sz w:val="24"/>
        </w:rPr>
      </w:pPr>
      <w:r>
        <w:rPr>
          <w:rFonts w:hint="eastAsia" w:ascii="宋体" w:hAnsi="宋体" w:cs="宋体"/>
          <w:sz w:val="24"/>
        </w:rPr>
        <w:t>3.7.</w:t>
      </w:r>
      <w:r>
        <w:rPr>
          <w:rFonts w:hint="eastAsia" w:hAnsi="宋体" w:cs="宋体"/>
          <w:sz w:val="24"/>
        </w:rPr>
        <w:t>3</w:t>
      </w:r>
      <w:r>
        <w:rPr>
          <w:rFonts w:hint="eastAsia" w:ascii="宋体" w:hAnsi="宋体" w:cs="宋体"/>
          <w:sz w:val="24"/>
        </w:rPr>
        <w:t>投标人登录许昌公共资源交易系统下载“许昌投标文件制作系统SEARUN V1.</w:t>
      </w:r>
      <w:r>
        <w:rPr>
          <w:rFonts w:hint="eastAsia" w:hAnsi="宋体" w:cs="宋体"/>
          <w:sz w:val="24"/>
        </w:rPr>
        <w:t>1</w:t>
      </w:r>
      <w:r>
        <w:rPr>
          <w:rFonts w:hint="eastAsia" w:ascii="宋体" w:hAnsi="宋体" w:cs="宋体"/>
          <w:sz w:val="24"/>
        </w:rPr>
        <w:t>”，按招标文件要求制作电子投标文件。</w:t>
      </w:r>
    </w:p>
    <w:p>
      <w:pPr>
        <w:autoSpaceDE w:val="0"/>
        <w:autoSpaceDN w:val="0"/>
        <w:spacing w:line="440" w:lineRule="exact"/>
        <w:ind w:firstLine="480" w:firstLineChars="200"/>
        <w:jc w:val="left"/>
        <w:outlineLvl w:val="0"/>
        <w:rPr>
          <w:rFonts w:hAnsi="宋体"/>
          <w:color w:val="000000" w:themeColor="text1"/>
          <w:sz w:val="24"/>
        </w:rPr>
      </w:pPr>
      <w:r>
        <w:rPr>
          <w:rFonts w:hint="eastAsia" w:hAnsi="宋体"/>
          <w:color w:val="000000" w:themeColor="text1"/>
          <w:sz w:val="24"/>
        </w:rPr>
        <w:t>3.7.4当生成的电子投标文件投标报价大小写不一致时，以大写为准。</w:t>
      </w:r>
    </w:p>
    <w:p>
      <w:pPr>
        <w:pStyle w:val="18"/>
        <w:spacing w:line="440" w:lineRule="exact"/>
        <w:jc w:val="both"/>
        <w:outlineLvl w:val="0"/>
        <w:rPr>
          <w:rFonts w:hAnsi="宋体"/>
          <w:b/>
          <w:color w:val="auto"/>
        </w:rPr>
      </w:pPr>
      <w:r>
        <w:rPr>
          <w:rFonts w:hint="eastAsia" w:hAnsi="宋体"/>
          <w:b/>
          <w:color w:val="auto"/>
        </w:rPr>
        <w:t>4. 投标</w:t>
      </w:r>
    </w:p>
    <w:p>
      <w:pPr>
        <w:autoSpaceDE w:val="0"/>
        <w:autoSpaceDN w:val="0"/>
        <w:spacing w:line="440" w:lineRule="exact"/>
        <w:jc w:val="left"/>
        <w:outlineLvl w:val="0"/>
        <w:rPr>
          <w:rFonts w:hAnsi="宋体" w:cs="宋体"/>
          <w:b/>
          <w:sz w:val="24"/>
        </w:rPr>
      </w:pPr>
      <w:bookmarkStart w:id="31" w:name="_Toc283559967"/>
      <w:r>
        <w:rPr>
          <w:rFonts w:hint="eastAsia" w:hAnsi="宋体" w:cs="宋体"/>
          <w:b/>
          <w:sz w:val="24"/>
        </w:rPr>
        <w:t>4.1 投标文件的提交</w:t>
      </w:r>
    </w:p>
    <w:p>
      <w:pPr>
        <w:autoSpaceDE w:val="0"/>
        <w:autoSpaceDN w:val="0"/>
        <w:spacing w:line="440" w:lineRule="exact"/>
        <w:ind w:firstLine="480" w:firstLineChars="200"/>
        <w:jc w:val="left"/>
        <w:outlineLvl w:val="0"/>
        <w:rPr>
          <w:rFonts w:hAnsi="宋体" w:cs="宋体"/>
          <w:strike/>
          <w:sz w:val="24"/>
        </w:rPr>
      </w:pPr>
      <w:bookmarkStart w:id="32" w:name="_Toc283559964"/>
      <w:r>
        <w:rPr>
          <w:rFonts w:hint="eastAsia" w:hAnsi="宋体" w:cs="宋体"/>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逾期未成功上传的电子投标文件，招标人不予受理。</w:t>
      </w:r>
    </w:p>
    <w:p>
      <w:pPr>
        <w:autoSpaceDE w:val="0"/>
        <w:autoSpaceDN w:val="0"/>
        <w:spacing w:line="440" w:lineRule="exact"/>
        <w:jc w:val="left"/>
        <w:outlineLvl w:val="0"/>
        <w:rPr>
          <w:rFonts w:hAnsi="宋体" w:cs="宋体"/>
          <w:b/>
          <w:sz w:val="24"/>
        </w:rPr>
      </w:pPr>
      <w:r>
        <w:rPr>
          <w:rFonts w:hint="eastAsia" w:hAnsi="宋体" w:cs="宋体"/>
          <w:b/>
          <w:sz w:val="24"/>
        </w:rPr>
        <w:t>4.2 投标文件的修改与撤回</w:t>
      </w:r>
      <w:bookmarkEnd w:id="32"/>
    </w:p>
    <w:p>
      <w:pPr>
        <w:pStyle w:val="18"/>
        <w:spacing w:line="440" w:lineRule="exact"/>
        <w:ind w:firstLine="480" w:firstLineChars="200"/>
        <w:jc w:val="both"/>
        <w:outlineLvl w:val="0"/>
        <w:rPr>
          <w:rFonts w:hint="eastAsia" w:hAnsi="宋体"/>
          <w:b w:val="0"/>
          <w:bCs/>
          <w:color w:val="auto"/>
        </w:rPr>
      </w:pPr>
      <w:r>
        <w:rPr>
          <w:rFonts w:hint="eastAsia" w:hAnsi="宋体"/>
          <w:b w:val="0"/>
          <w:bCs/>
          <w:color w:val="auto"/>
        </w:rPr>
        <w:t>4.2.1 在本章第2.2.2 项规定的投标截止时间前，投标人可以修改或撤回已提交的电子投标文件。</w:t>
      </w:r>
    </w:p>
    <w:p>
      <w:pPr>
        <w:pStyle w:val="18"/>
        <w:spacing w:line="440" w:lineRule="exact"/>
        <w:ind w:firstLine="480" w:firstLineChars="200"/>
        <w:jc w:val="both"/>
        <w:outlineLvl w:val="0"/>
        <w:rPr>
          <w:rFonts w:hint="eastAsia" w:hAnsi="宋体"/>
          <w:b w:val="0"/>
          <w:bCs/>
          <w:color w:val="auto"/>
        </w:rPr>
      </w:pPr>
      <w:r>
        <w:rPr>
          <w:rFonts w:hint="eastAsia" w:hAnsi="宋体"/>
          <w:b w:val="0"/>
          <w:bCs/>
          <w:color w:val="auto"/>
        </w:rPr>
        <w:t>4.2.2  修改的内容为投标文件的组成部分。修改的电子投标文件应按照本章第3条、第4条规定进</w:t>
      </w:r>
      <w:bookmarkStart w:id="121" w:name="_GoBack"/>
      <w:bookmarkEnd w:id="121"/>
      <w:r>
        <w:rPr>
          <w:rFonts w:hint="eastAsia" w:hAnsi="宋体"/>
          <w:b w:val="0"/>
          <w:bCs/>
          <w:color w:val="auto"/>
        </w:rPr>
        <w:t>行编制、标记和提交，并标明“修改”字样。</w:t>
      </w:r>
    </w:p>
    <w:p>
      <w:pPr>
        <w:pStyle w:val="18"/>
        <w:spacing w:line="440" w:lineRule="exact"/>
        <w:ind w:firstLine="480" w:firstLineChars="200"/>
        <w:jc w:val="both"/>
        <w:outlineLvl w:val="0"/>
        <w:rPr>
          <w:rFonts w:hint="eastAsia" w:hAnsi="宋体"/>
          <w:b w:val="0"/>
          <w:bCs/>
          <w:color w:val="auto"/>
        </w:rPr>
      </w:pPr>
      <w:r>
        <w:rPr>
          <w:rFonts w:hint="eastAsia" w:hAnsi="宋体"/>
          <w:b w:val="0"/>
          <w:bCs/>
          <w:color w:val="auto"/>
        </w:rPr>
        <w:t>4.2.</w:t>
      </w:r>
      <w:r>
        <w:rPr>
          <w:rFonts w:hint="eastAsia" w:hAnsi="宋体"/>
          <w:b w:val="0"/>
          <w:bCs/>
          <w:color w:val="auto"/>
          <w:lang w:val="en-US" w:eastAsia="zh-CN"/>
        </w:rPr>
        <w:t>3</w:t>
      </w:r>
      <w:r>
        <w:rPr>
          <w:rFonts w:hint="eastAsia" w:hAnsi="宋体"/>
          <w:b w:val="0"/>
          <w:bCs/>
          <w:color w:val="auto"/>
        </w:rPr>
        <w:t xml:space="preserve"> 投标人应当在投标截止时间前完成电子投标文件的提交，可以补充、修改或撤回。投标截止时间前未完成电子投标文件提交、取得“投标文件提交回执单”的，视为撤回投标文件。</w:t>
      </w:r>
    </w:p>
    <w:p>
      <w:pPr>
        <w:pStyle w:val="18"/>
        <w:spacing w:line="440" w:lineRule="exact"/>
        <w:jc w:val="both"/>
        <w:outlineLvl w:val="0"/>
        <w:rPr>
          <w:rFonts w:hAnsi="宋体"/>
          <w:b/>
          <w:color w:val="auto"/>
        </w:rPr>
      </w:pPr>
      <w:r>
        <w:rPr>
          <w:rFonts w:hint="eastAsia" w:hAnsi="宋体"/>
          <w:b/>
          <w:color w:val="auto"/>
        </w:rPr>
        <w:t>5. 开标</w:t>
      </w:r>
      <w:bookmarkEnd w:id="31"/>
    </w:p>
    <w:p>
      <w:pPr>
        <w:autoSpaceDE w:val="0"/>
        <w:autoSpaceDN w:val="0"/>
        <w:adjustRightInd w:val="0"/>
        <w:spacing w:line="440" w:lineRule="exact"/>
        <w:jc w:val="left"/>
        <w:outlineLvl w:val="0"/>
        <w:rPr>
          <w:rFonts w:hAnsi="宋体" w:cs="宋体"/>
          <w:b/>
          <w:sz w:val="24"/>
        </w:rPr>
      </w:pPr>
      <w:bookmarkStart w:id="33" w:name="_Toc283559968"/>
      <w:r>
        <w:rPr>
          <w:rFonts w:hint="eastAsia" w:hAnsi="宋体" w:cs="宋体"/>
          <w:b/>
          <w:sz w:val="24"/>
        </w:rPr>
        <w:t>5.1 开标时间和地点</w:t>
      </w:r>
      <w:bookmarkEnd w:id="33"/>
    </w:p>
    <w:p>
      <w:pPr>
        <w:spacing w:line="400" w:lineRule="exact"/>
        <w:ind w:firstLine="480" w:firstLineChars="200"/>
        <w:rPr>
          <w:rFonts w:hAnsi="宋体" w:cs="宋体"/>
          <w:sz w:val="24"/>
        </w:rPr>
      </w:pPr>
      <w:r>
        <w:rPr>
          <w:rFonts w:hint="eastAsia" w:hAnsi="宋体" w:cs="宋体"/>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sz w:val="24"/>
        </w:rPr>
      </w:pPr>
      <w:r>
        <w:rPr>
          <w:rFonts w:hint="eastAsia" w:hAnsi="宋体" w:cs="宋体"/>
          <w:b/>
          <w:sz w:val="24"/>
        </w:rPr>
        <w:t>5.2 开标程序</w:t>
      </w:r>
    </w:p>
    <w:p>
      <w:pPr>
        <w:spacing w:line="360" w:lineRule="auto"/>
        <w:ind w:firstLine="480" w:firstLineChars="200"/>
        <w:rPr>
          <w:rFonts w:hAnsi="宋体" w:cs="宋体"/>
          <w:sz w:val="24"/>
        </w:rPr>
      </w:pPr>
      <w:r>
        <w:rPr>
          <w:rFonts w:hint="eastAsia" w:hAnsi="宋体" w:cs="宋体"/>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ind w:firstLine="480" w:firstLineChars="200"/>
        <w:rPr>
          <w:rFonts w:hAnsi="宋体" w:cs="宋体"/>
          <w:sz w:val="24"/>
        </w:rPr>
      </w:pPr>
      <w:r>
        <w:rPr>
          <w:rFonts w:hint="eastAsia" w:hAnsi="宋体" w:cs="宋体"/>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ind w:firstLine="480" w:firstLineChars="200"/>
        <w:rPr>
          <w:rFonts w:hAnsi="宋体" w:cs="宋体"/>
          <w:sz w:val="24"/>
        </w:rPr>
      </w:pPr>
      <w:r>
        <w:rPr>
          <w:rFonts w:hint="eastAsia" w:hAnsi="宋体" w:cs="宋体"/>
          <w:sz w:val="24"/>
        </w:rPr>
        <w:t xml:space="preserve">(3)解密完成后，招标人（代理机构）点击“系数抽取”按钮进行系数抽取，系数抽取情况在“公告通知”处显示。 </w:t>
      </w:r>
    </w:p>
    <w:p>
      <w:pPr>
        <w:spacing w:line="360" w:lineRule="auto"/>
        <w:ind w:firstLine="480" w:firstLineChars="200"/>
        <w:rPr>
          <w:rFonts w:hAnsi="宋体" w:cs="宋体"/>
          <w:sz w:val="24"/>
        </w:rPr>
      </w:pPr>
      <w:r>
        <w:rPr>
          <w:rFonts w:hint="eastAsia" w:hAnsi="宋体" w:cs="宋体"/>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ind w:firstLine="600" w:firstLineChars="250"/>
        <w:rPr>
          <w:rFonts w:hAnsi="宋体" w:cs="宋体"/>
          <w:sz w:val="24"/>
        </w:rPr>
      </w:pPr>
      <w:r>
        <w:rPr>
          <w:rFonts w:hint="eastAsia" w:hAnsi="宋体" w:cs="宋体"/>
          <w:sz w:val="24"/>
        </w:rPr>
        <w:t>(5)如无投标人提出异议，招标代理机构通过“文字互动”对话框通知各投标人进行电子签章。投标人应在《开标记录表》上进行电子签章，未进行电子签章的视为对开标结果无异议。</w:t>
      </w:r>
    </w:p>
    <w:p>
      <w:pPr>
        <w:pStyle w:val="18"/>
        <w:spacing w:line="440" w:lineRule="exact"/>
        <w:ind w:firstLine="480" w:firstLineChars="200"/>
        <w:jc w:val="both"/>
        <w:outlineLvl w:val="0"/>
        <w:rPr>
          <w:rFonts w:ascii="Times New Roman" w:hAnsi="宋体" w:eastAsia="宋体"/>
          <w:color w:val="auto"/>
          <w:kern w:val="2"/>
        </w:rPr>
      </w:pPr>
      <w:r>
        <w:rPr>
          <w:rFonts w:hint="eastAsia" w:ascii="Times New Roman" w:hAnsi="宋体" w:eastAsia="宋体"/>
          <w:color w:val="auto"/>
          <w:kern w:val="2"/>
        </w:rPr>
        <w:t>（6）招标人（代理机构）签章并上传《开标记录表》，不见面开标活动结束。</w:t>
      </w:r>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6. 评标</w:t>
      </w:r>
      <w:bookmarkStart w:id="34" w:name="_Toc215282161"/>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6.1 评标委员会</w:t>
      </w:r>
      <w:bookmarkEnd w:id="34"/>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6.1.1</w:t>
      </w:r>
      <w:r>
        <w:rPr>
          <w:rFonts w:hint="eastAsia" w:hAnsi="宋体" w:cs="宋体"/>
          <w:color w:val="000000" w:themeColor="text1"/>
          <w:sz w:val="24"/>
        </w:rPr>
        <w:t>评标由招标人依法组建的评标委员会负责。评标委员会成员由相关技术、经济等方面的专家组成，组成人数见投标人须知前附表。</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6.1.2 评标委员会成员有下列情形之一的，应当回避：</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（1）招标人或投标人的主要负责人的近亲属；</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（2）项目主管部门或者行政监督部门的人员；</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（3）与投标人有经济利益关系，可能影响对投标公正评审的；</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（4）曾因在招标、评标以及其他与招标投标有关活动中从事违法行为而受过行政处罚或刑事处罚的。</w:t>
      </w:r>
    </w:p>
    <w:p>
      <w:pPr>
        <w:autoSpaceDE w:val="0"/>
        <w:autoSpaceDN w:val="0"/>
        <w:adjustRightInd w:val="0"/>
        <w:snapToGrid w:val="0"/>
        <w:spacing w:line="360" w:lineRule="auto"/>
        <w:jc w:val="left"/>
        <w:rPr>
          <w:rFonts w:ascii="宋体" w:hAnsi="宋体" w:cs="宋体"/>
          <w:b/>
          <w:sz w:val="24"/>
        </w:rPr>
      </w:pPr>
      <w:bookmarkStart w:id="35" w:name="_Toc215282162"/>
      <w:r>
        <w:rPr>
          <w:rFonts w:hint="eastAsia" w:ascii="宋体" w:hAnsi="宋体" w:cs="宋体"/>
          <w:b/>
          <w:sz w:val="24"/>
        </w:rPr>
        <w:t>6.2 评标原则</w:t>
      </w:r>
      <w:bookmarkEnd w:id="35"/>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评标活动遵循公平、公正、科学和择优的原则。</w:t>
      </w:r>
    </w:p>
    <w:p>
      <w:pPr>
        <w:autoSpaceDE w:val="0"/>
        <w:autoSpaceDN w:val="0"/>
        <w:adjustRightInd w:val="0"/>
        <w:snapToGrid w:val="0"/>
        <w:spacing w:line="360" w:lineRule="auto"/>
        <w:jc w:val="left"/>
        <w:rPr>
          <w:rFonts w:ascii="宋体" w:hAnsi="宋体" w:cs="宋体"/>
          <w:b/>
          <w:sz w:val="24"/>
        </w:rPr>
      </w:pPr>
      <w:bookmarkStart w:id="36" w:name="_Toc215282163"/>
      <w:r>
        <w:rPr>
          <w:rFonts w:hint="eastAsia" w:ascii="宋体" w:hAnsi="宋体" w:cs="宋体"/>
          <w:b/>
          <w:sz w:val="24"/>
        </w:rPr>
        <w:t>6.3 评标</w:t>
      </w:r>
      <w:bookmarkEnd w:id="36"/>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评标委员会按照第三章“评标办法”规定的方法、评审因素、标准和程序对投标文件进行评审。第三章“评标办法”没有规定的方法、评审因素和标准，不作为评标依据。</w:t>
      </w:r>
    </w:p>
    <w:p>
      <w:pPr>
        <w:autoSpaceDE w:val="0"/>
        <w:autoSpaceDN w:val="0"/>
        <w:adjustRightInd w:val="0"/>
        <w:snapToGrid w:val="0"/>
        <w:spacing w:line="360" w:lineRule="auto"/>
        <w:jc w:val="left"/>
        <w:rPr>
          <w:rFonts w:ascii="宋体" w:hAnsi="宋体" w:cs="宋体"/>
          <w:b/>
          <w:sz w:val="24"/>
        </w:rPr>
      </w:pPr>
      <w:bookmarkStart w:id="37" w:name="_Toc215282164"/>
      <w:bookmarkStart w:id="38" w:name="_Toc23856"/>
      <w:r>
        <w:rPr>
          <w:rFonts w:hint="eastAsia" w:ascii="宋体" w:hAnsi="宋体" w:cs="宋体"/>
          <w:b/>
          <w:sz w:val="24"/>
        </w:rPr>
        <w:t>7. 合同授予</w:t>
      </w:r>
      <w:bookmarkEnd w:id="37"/>
      <w:bookmarkEnd w:id="38"/>
    </w:p>
    <w:p>
      <w:pPr>
        <w:autoSpaceDE w:val="0"/>
        <w:autoSpaceDN w:val="0"/>
        <w:adjustRightInd w:val="0"/>
        <w:snapToGrid w:val="0"/>
        <w:spacing w:line="360" w:lineRule="auto"/>
        <w:jc w:val="left"/>
        <w:rPr>
          <w:rFonts w:ascii="宋体" w:hAnsi="宋体" w:cs="宋体"/>
          <w:b/>
          <w:sz w:val="24"/>
        </w:rPr>
      </w:pPr>
      <w:bookmarkStart w:id="39" w:name="_Toc215282165"/>
      <w:r>
        <w:rPr>
          <w:rFonts w:hint="eastAsia" w:ascii="宋体" w:hAnsi="宋体" w:cs="宋体"/>
          <w:b/>
          <w:sz w:val="24"/>
        </w:rPr>
        <w:t>7.1 定标方式</w:t>
      </w:r>
      <w:bookmarkEnd w:id="39"/>
    </w:p>
    <w:p>
      <w:pPr>
        <w:adjustRightInd w:val="0"/>
        <w:snapToGrid w:val="0"/>
        <w:spacing w:line="360" w:lineRule="auto"/>
        <w:ind w:firstLine="480" w:firstLineChars="200"/>
        <w:rPr>
          <w:rFonts w:ascii="宋体" w:hAnsi="宋体" w:cs="宋体"/>
          <w:sz w:val="24"/>
        </w:rPr>
      </w:pPr>
      <w:bookmarkStart w:id="40" w:name="_Toc215282166"/>
      <w:r>
        <w:rPr>
          <w:rFonts w:hint="eastAsia" w:ascii="宋体"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7.2 中标通知</w:t>
      </w:r>
      <w:bookmarkEnd w:id="40"/>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在本章第 3 款规定的投标有效期内，招标人以书面形式向中标人发出中标通知书，同时将中标结果通知未中标的投标人。</w:t>
      </w:r>
    </w:p>
    <w:p>
      <w:pPr>
        <w:pStyle w:val="25"/>
        <w:rPr>
          <w:rFonts w:hint="eastAsia" w:ascii="宋体" w:hAnsi="宋体" w:eastAsia="宋体"/>
          <w:b/>
          <w:sz w:val="24"/>
          <w:szCs w:val="24"/>
        </w:rPr>
      </w:pPr>
      <w:bookmarkStart w:id="41" w:name="_Toc152042345"/>
      <w:bookmarkStart w:id="42" w:name="_Toc152045569"/>
      <w:bookmarkStart w:id="43" w:name="_Toc179632587"/>
      <w:bookmarkStart w:id="44" w:name="_Toc144974537"/>
      <w:bookmarkStart w:id="45" w:name="_Toc215282169"/>
      <w:r>
        <w:rPr>
          <w:rFonts w:hint="eastAsia" w:ascii="宋体" w:hAnsi="宋体" w:eastAsia="宋体"/>
          <w:b/>
          <w:sz w:val="24"/>
          <w:szCs w:val="24"/>
        </w:rPr>
        <w:t>7.3履约</w:t>
      </w:r>
      <w:r>
        <w:rPr>
          <w:rFonts w:hint="eastAsia" w:ascii="宋体" w:hAnsi="宋体" w:eastAsia="宋体"/>
          <w:b/>
          <w:sz w:val="24"/>
          <w:szCs w:val="24"/>
          <w:lang w:eastAsia="zh-CN"/>
        </w:rPr>
        <w:t>担保</w:t>
      </w:r>
    </w:p>
    <w:p>
      <w:pPr>
        <w:autoSpaceDE w:val="0"/>
        <w:autoSpaceDN w:val="0"/>
        <w:spacing w:line="420" w:lineRule="exact"/>
        <w:ind w:firstLine="480" w:firstLineChars="200"/>
        <w:jc w:val="left"/>
        <w:outlineLvl w:val="0"/>
        <w:rPr>
          <w:rFonts w:hAnsi="宋体" w:cs="宋体"/>
          <w:sz w:val="24"/>
          <w:szCs w:val="24"/>
        </w:rPr>
      </w:pPr>
      <w:r>
        <w:rPr>
          <w:rFonts w:hint="eastAsia" w:hAnsi="宋体" w:cs="宋体"/>
          <w:sz w:val="24"/>
          <w:szCs w:val="24"/>
        </w:rPr>
        <w:t>7.3.1 在签订合同前，中标人应按投标人须知前附表的规定向招标人提交履约担保。</w:t>
      </w:r>
    </w:p>
    <w:p>
      <w:pPr>
        <w:autoSpaceDE w:val="0"/>
        <w:autoSpaceDN w:val="0"/>
        <w:spacing w:line="420" w:lineRule="exact"/>
        <w:ind w:firstLine="480" w:firstLineChars="200"/>
        <w:jc w:val="left"/>
        <w:outlineLvl w:val="0"/>
        <w:rPr>
          <w:rFonts w:hAnsi="宋体" w:cs="宋体"/>
          <w:sz w:val="24"/>
          <w:szCs w:val="24"/>
        </w:rPr>
      </w:pPr>
      <w:r>
        <w:rPr>
          <w:rFonts w:hint="eastAsia" w:hAnsi="宋体" w:cs="宋体"/>
          <w:sz w:val="24"/>
          <w:szCs w:val="24"/>
        </w:rPr>
        <w:t>7.3.2 中标人不能按本章第7.3.1项要求提交履约担保的，视为放弃中标，其投标担保不予退还，给招标人造成的损失超过投标担保数额的，中标人还应当对超过部分予以赔偿。</w:t>
      </w:r>
    </w:p>
    <w:p>
      <w:pPr>
        <w:autoSpaceDE w:val="0"/>
        <w:autoSpaceDN w:val="0"/>
        <w:spacing w:line="420" w:lineRule="exact"/>
        <w:ind w:firstLine="480" w:firstLineChars="200"/>
        <w:jc w:val="left"/>
        <w:outlineLvl w:val="0"/>
        <w:rPr>
          <w:rFonts w:hAnsi="宋体" w:cs="宋体"/>
          <w:sz w:val="24"/>
          <w:szCs w:val="24"/>
        </w:rPr>
      </w:pPr>
      <w:r>
        <w:rPr>
          <w:rFonts w:hint="eastAsia" w:hAnsi="宋体" w:cs="宋体"/>
          <w:sz w:val="24"/>
          <w:szCs w:val="24"/>
        </w:rPr>
        <w:t>7.3.3 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7.</w:t>
      </w:r>
      <w:bookmarkEnd w:id="41"/>
      <w:bookmarkEnd w:id="42"/>
      <w:bookmarkEnd w:id="43"/>
      <w:bookmarkEnd w:id="44"/>
      <w:bookmarkStart w:id="46" w:name="_Toc152045570"/>
      <w:bookmarkStart w:id="47" w:name="_Toc152042346"/>
      <w:bookmarkStart w:id="48" w:name="_Toc144974538"/>
      <w:bookmarkStart w:id="49" w:name="_Toc179632588"/>
      <w:r>
        <w:rPr>
          <w:rFonts w:hint="eastAsia" w:ascii="宋体" w:hAnsi="宋体" w:cs="宋体"/>
          <w:b/>
          <w:sz w:val="24"/>
          <w:lang w:val="en-US" w:eastAsia="zh-CN"/>
        </w:rPr>
        <w:t>4</w:t>
      </w:r>
      <w:r>
        <w:rPr>
          <w:rFonts w:hint="eastAsia" w:ascii="宋体" w:hAnsi="宋体" w:cs="宋体"/>
          <w:b/>
          <w:sz w:val="24"/>
        </w:rPr>
        <w:t>签订合同</w:t>
      </w:r>
      <w:bookmarkEnd w:id="46"/>
      <w:bookmarkEnd w:id="47"/>
      <w:bookmarkEnd w:id="48"/>
      <w:bookmarkEnd w:id="49"/>
    </w:p>
    <w:p>
      <w:pPr>
        <w:autoSpaceDE w:val="0"/>
        <w:autoSpaceDN w:val="0"/>
        <w:adjustRightInd w:val="0"/>
        <w:snapToGrid w:val="0"/>
        <w:spacing w:line="360" w:lineRule="auto"/>
        <w:jc w:val="left"/>
        <w:rPr>
          <w:rFonts w:ascii="宋体" w:hAnsi="宋体" w:cs="宋体"/>
          <w:sz w:val="24"/>
        </w:rPr>
      </w:pPr>
      <w:r>
        <w:rPr>
          <w:rFonts w:hint="eastAsia" w:ascii="宋体" w:hAnsi="宋体" w:cs="宋体"/>
          <w:sz w:val="24"/>
        </w:rPr>
        <w:t xml:space="preserve">    7.</w:t>
      </w:r>
      <w:r>
        <w:rPr>
          <w:rFonts w:hint="eastAsia" w:ascii="宋体" w:hAnsi="宋体" w:cs="宋体"/>
          <w:sz w:val="24"/>
          <w:lang w:val="en-US" w:eastAsia="zh-CN"/>
        </w:rPr>
        <w:t>4</w:t>
      </w:r>
      <w:r>
        <w:rPr>
          <w:rFonts w:hint="eastAsia" w:ascii="宋体" w:hAnsi="宋体" w:cs="宋体"/>
          <w:sz w:val="24"/>
        </w:rPr>
        <w:t>.1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adjustRightInd w:val="0"/>
        <w:snapToGrid w:val="0"/>
        <w:spacing w:line="360" w:lineRule="auto"/>
        <w:jc w:val="left"/>
        <w:rPr>
          <w:rFonts w:ascii="宋体" w:hAnsi="宋体" w:cs="宋体"/>
          <w:sz w:val="24"/>
        </w:rPr>
      </w:pPr>
      <w:bookmarkStart w:id="50" w:name="_Toc221950219"/>
      <w:r>
        <w:rPr>
          <w:rFonts w:hint="eastAsia" w:ascii="宋体" w:hAnsi="宋体" w:cs="宋体"/>
          <w:sz w:val="24"/>
        </w:rPr>
        <w:t xml:space="preserve">    7.</w:t>
      </w:r>
      <w:r>
        <w:rPr>
          <w:rFonts w:hint="eastAsia" w:ascii="宋体" w:hAnsi="宋体" w:cs="宋体"/>
          <w:sz w:val="24"/>
          <w:lang w:val="en-US" w:eastAsia="zh-CN"/>
        </w:rPr>
        <w:t>4</w:t>
      </w:r>
      <w:r>
        <w:rPr>
          <w:rFonts w:hint="eastAsia" w:ascii="宋体" w:hAnsi="宋体" w:cs="宋体"/>
          <w:sz w:val="24"/>
        </w:rPr>
        <w:t>.2 发出中标通知书后，招标人无正当理由拒签合同的，招标人向中标人退还投标保证金，并按投标保证金双倍的金额赔偿投标人损失。</w:t>
      </w:r>
      <w:bookmarkEnd w:id="50"/>
    </w:p>
    <w:p>
      <w:pPr>
        <w:autoSpaceDE w:val="0"/>
        <w:autoSpaceDN w:val="0"/>
        <w:adjustRightInd w:val="0"/>
        <w:snapToGrid w:val="0"/>
        <w:spacing w:line="360" w:lineRule="auto"/>
        <w:jc w:val="left"/>
        <w:rPr>
          <w:rFonts w:ascii="宋体" w:hAnsi="宋体" w:cs="宋体"/>
          <w:b/>
          <w:sz w:val="24"/>
        </w:rPr>
      </w:pPr>
      <w:bookmarkStart w:id="51" w:name="_Toc19935"/>
      <w:r>
        <w:rPr>
          <w:rFonts w:hint="eastAsia" w:ascii="宋体" w:hAnsi="宋体" w:cs="宋体"/>
          <w:b/>
          <w:sz w:val="24"/>
        </w:rPr>
        <w:t>8. 重新招标和不再招标</w:t>
      </w:r>
      <w:bookmarkEnd w:id="45"/>
      <w:bookmarkEnd w:id="51"/>
    </w:p>
    <w:p>
      <w:pPr>
        <w:autoSpaceDE w:val="0"/>
        <w:autoSpaceDN w:val="0"/>
        <w:adjustRightInd w:val="0"/>
        <w:snapToGrid w:val="0"/>
        <w:spacing w:line="360" w:lineRule="auto"/>
        <w:jc w:val="left"/>
        <w:rPr>
          <w:rFonts w:ascii="宋体" w:hAnsi="宋体" w:cs="宋体"/>
          <w:b/>
          <w:sz w:val="24"/>
        </w:rPr>
      </w:pPr>
      <w:bookmarkStart w:id="52" w:name="_Toc215282170"/>
      <w:r>
        <w:rPr>
          <w:rFonts w:hint="eastAsia" w:ascii="宋体" w:hAnsi="宋体" w:cs="宋体"/>
          <w:b/>
          <w:sz w:val="24"/>
        </w:rPr>
        <w:t>8.1 重新招标</w:t>
      </w:r>
      <w:bookmarkEnd w:id="52"/>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有下列情形之一的，招标人将重新招标：</w:t>
      </w:r>
    </w:p>
    <w:p>
      <w:pPr>
        <w:numPr>
          <w:ilvl w:val="0"/>
          <w:numId w:val="1"/>
        </w:num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投标截止时间止，投标人少于3个的；</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（2）经评标委员会评审后否决所有投标的。</w:t>
      </w:r>
    </w:p>
    <w:p>
      <w:pPr>
        <w:autoSpaceDE w:val="0"/>
        <w:autoSpaceDN w:val="0"/>
        <w:adjustRightInd w:val="0"/>
        <w:snapToGrid w:val="0"/>
        <w:spacing w:line="360" w:lineRule="auto"/>
        <w:jc w:val="left"/>
        <w:rPr>
          <w:rFonts w:ascii="宋体" w:hAnsi="宋体" w:cs="宋体"/>
          <w:b/>
          <w:sz w:val="24"/>
        </w:rPr>
      </w:pPr>
      <w:bookmarkStart w:id="53" w:name="_Toc215282171"/>
      <w:r>
        <w:rPr>
          <w:rFonts w:hint="eastAsia" w:ascii="宋体" w:hAnsi="宋体" w:cs="宋体"/>
          <w:b/>
          <w:sz w:val="24"/>
        </w:rPr>
        <w:t>8.2 不再招标</w:t>
      </w:r>
      <w:bookmarkEnd w:id="53"/>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重新招标后投标人仍少于3个或者所有投标被否决的，属于必须审批或核准的工程建设项目，经原审批或核准部门批准后不再进行招标。</w:t>
      </w:r>
    </w:p>
    <w:p>
      <w:pPr>
        <w:autoSpaceDE w:val="0"/>
        <w:autoSpaceDN w:val="0"/>
        <w:adjustRightInd w:val="0"/>
        <w:snapToGrid w:val="0"/>
        <w:spacing w:line="360" w:lineRule="auto"/>
        <w:jc w:val="left"/>
        <w:rPr>
          <w:rFonts w:ascii="宋体" w:hAnsi="宋体" w:cs="宋体"/>
          <w:b/>
          <w:sz w:val="24"/>
        </w:rPr>
      </w:pPr>
      <w:bookmarkStart w:id="54" w:name="_Toc215282172"/>
      <w:bookmarkStart w:id="55" w:name="_Toc26940"/>
      <w:r>
        <w:rPr>
          <w:rFonts w:hint="eastAsia" w:ascii="宋体" w:hAnsi="宋体" w:cs="宋体"/>
          <w:b/>
          <w:sz w:val="24"/>
        </w:rPr>
        <w:t>9. 纪律和监督</w:t>
      </w:r>
      <w:bookmarkEnd w:id="54"/>
      <w:bookmarkEnd w:id="55"/>
    </w:p>
    <w:p>
      <w:pPr>
        <w:autoSpaceDE w:val="0"/>
        <w:autoSpaceDN w:val="0"/>
        <w:adjustRightInd w:val="0"/>
        <w:snapToGrid w:val="0"/>
        <w:spacing w:line="360" w:lineRule="auto"/>
        <w:ind w:firstLine="480" w:firstLineChars="200"/>
        <w:jc w:val="left"/>
        <w:rPr>
          <w:rFonts w:ascii="宋体" w:hAnsi="宋体" w:cs="宋体"/>
          <w:sz w:val="24"/>
        </w:rPr>
      </w:pPr>
      <w:bookmarkStart w:id="56" w:name="_Toc215282173"/>
      <w:r>
        <w:rPr>
          <w:rFonts w:hint="eastAsia" w:ascii="宋体" w:hAnsi="宋体" w:cs="宋体"/>
          <w:sz w:val="24"/>
        </w:rPr>
        <w:t>9.1 对招标人的纪律要求</w:t>
      </w:r>
      <w:bookmarkEnd w:id="56"/>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招标人不得泄漏招标投标活动中应当保密的情况和资料，不得与投标人串通损害国家利益、社会公共利益或者他人合法权益。</w:t>
      </w:r>
    </w:p>
    <w:p>
      <w:pPr>
        <w:autoSpaceDE w:val="0"/>
        <w:autoSpaceDN w:val="0"/>
        <w:adjustRightInd w:val="0"/>
        <w:snapToGrid w:val="0"/>
        <w:spacing w:line="360" w:lineRule="auto"/>
        <w:ind w:firstLine="480" w:firstLineChars="200"/>
        <w:jc w:val="left"/>
        <w:rPr>
          <w:rFonts w:ascii="宋体" w:hAnsi="宋体" w:cs="宋体"/>
          <w:sz w:val="24"/>
        </w:rPr>
      </w:pPr>
      <w:bookmarkStart w:id="57" w:name="_Toc215282174"/>
      <w:r>
        <w:rPr>
          <w:rFonts w:hint="eastAsia" w:ascii="宋体" w:hAnsi="宋体" w:cs="宋体"/>
          <w:sz w:val="24"/>
        </w:rPr>
        <w:t>9.2 对投标人的纪律要求</w:t>
      </w:r>
      <w:bookmarkEnd w:id="57"/>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auto"/>
        <w:ind w:firstLine="480" w:firstLineChars="200"/>
        <w:jc w:val="left"/>
        <w:rPr>
          <w:rFonts w:ascii="宋体" w:hAnsi="宋体" w:cs="宋体"/>
          <w:sz w:val="24"/>
        </w:rPr>
      </w:pPr>
      <w:bookmarkStart w:id="58" w:name="_Toc215282175"/>
      <w:r>
        <w:rPr>
          <w:rFonts w:hint="eastAsia" w:ascii="宋体" w:hAnsi="宋体" w:cs="宋体"/>
          <w:sz w:val="24"/>
        </w:rPr>
        <w:t>9.3 对评标委员会成员的纪律要求</w:t>
      </w:r>
      <w:bookmarkEnd w:id="58"/>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napToGrid w:val="0"/>
        <w:spacing w:line="360" w:lineRule="auto"/>
        <w:ind w:firstLine="480" w:firstLineChars="200"/>
        <w:jc w:val="left"/>
        <w:rPr>
          <w:rFonts w:ascii="宋体" w:hAnsi="宋体" w:cs="宋体"/>
          <w:sz w:val="24"/>
        </w:rPr>
      </w:pPr>
      <w:bookmarkStart w:id="59" w:name="_Toc215282176"/>
      <w:r>
        <w:rPr>
          <w:rFonts w:hint="eastAsia" w:ascii="宋体" w:hAnsi="宋体" w:cs="宋体"/>
          <w:sz w:val="24"/>
        </w:rPr>
        <w:t>9.4 对与评标活动有关的工作人员的纪律要求</w:t>
      </w:r>
      <w:bookmarkEnd w:id="59"/>
    </w:p>
    <w:p>
      <w:pPr>
        <w:autoSpaceDE w:val="0"/>
        <w:autoSpaceDN w:val="0"/>
        <w:adjustRightInd w:val="0"/>
        <w:snapToGrid w:val="0"/>
        <w:spacing w:line="360" w:lineRule="auto"/>
        <w:ind w:firstLine="480" w:firstLineChars="200"/>
        <w:jc w:val="left"/>
        <w:rPr>
          <w:rFonts w:ascii="宋体" w:hAnsi="宋体" w:cs="宋体"/>
          <w:sz w:val="24"/>
        </w:rPr>
      </w:pPr>
      <w:bookmarkStart w:id="60" w:name="_Toc215282177"/>
      <w:r>
        <w:rPr>
          <w:rFonts w:hint="eastAsia" w:ascii="宋体"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9.5 投诉</w:t>
      </w:r>
      <w:bookmarkEnd w:id="60"/>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投标人和其他利害关系人认为本次招标活动违反法律、法规和规章规定的，有权向有关行政监督部门投诉。</w:t>
      </w:r>
    </w:p>
    <w:p>
      <w:pPr>
        <w:autoSpaceDE w:val="0"/>
        <w:autoSpaceDN w:val="0"/>
        <w:adjustRightInd w:val="0"/>
        <w:snapToGrid w:val="0"/>
        <w:spacing w:line="360" w:lineRule="auto"/>
        <w:jc w:val="left"/>
        <w:rPr>
          <w:rFonts w:ascii="宋体" w:hAnsi="宋体" w:cs="宋体"/>
          <w:b/>
          <w:sz w:val="24"/>
        </w:rPr>
      </w:pPr>
      <w:bookmarkStart w:id="61" w:name="_Toc10389"/>
      <w:r>
        <w:rPr>
          <w:rFonts w:hint="eastAsia" w:ascii="宋体" w:hAnsi="宋体" w:cs="宋体"/>
          <w:b/>
          <w:sz w:val="24"/>
        </w:rPr>
        <w:t>10.需要补充的其他内容</w:t>
      </w:r>
      <w:bookmarkEnd w:id="61"/>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需要补充的其他内容：详见投标人须知前附表。</w:t>
      </w:r>
    </w:p>
    <w:p>
      <w:pPr>
        <w:rPr>
          <w:rFonts w:hint="eastAsia" w:ascii="宋体" w:hAnsi="宋体" w:cs="宋体"/>
          <w:b/>
          <w:sz w:val="24"/>
        </w:rPr>
      </w:pPr>
    </w:p>
    <w:p>
      <w:pPr>
        <w:rPr>
          <w:rFonts w:hint="eastAsia" w:ascii="宋体" w:hAnsi="宋体" w:cs="宋体"/>
          <w:b/>
          <w:sz w:val="24"/>
        </w:rPr>
      </w:pPr>
    </w:p>
    <w:p>
      <w:pPr>
        <w:rPr>
          <w:rFonts w:hint="eastAsia" w:ascii="宋体" w:hAnsi="宋体" w:cs="宋体"/>
          <w:b/>
          <w:sz w:val="24"/>
        </w:rPr>
      </w:pPr>
    </w:p>
    <w:p>
      <w:pPr>
        <w:rPr>
          <w:rFonts w:hint="eastAsia" w:ascii="宋体" w:hAnsi="宋体" w:cs="宋体"/>
          <w:b/>
          <w:sz w:val="24"/>
        </w:rPr>
      </w:pPr>
    </w:p>
    <w:p>
      <w:pPr>
        <w:rPr>
          <w:rFonts w:hint="eastAsia" w:ascii="宋体" w:hAnsi="宋体" w:cs="宋体"/>
          <w:b/>
          <w:sz w:val="24"/>
        </w:rPr>
      </w:pPr>
    </w:p>
    <w:p>
      <w:pPr>
        <w:rPr>
          <w:rFonts w:hint="eastAsia" w:ascii="宋体" w:hAnsi="宋体" w:cs="宋体"/>
          <w:b/>
          <w:sz w:val="24"/>
        </w:rPr>
      </w:pPr>
    </w:p>
    <w:p>
      <w:pPr>
        <w:rPr>
          <w:rFonts w:hint="eastAsia" w:ascii="宋体" w:hAnsi="宋体" w:cs="宋体"/>
          <w:b/>
          <w:sz w:val="24"/>
        </w:rPr>
      </w:pPr>
    </w:p>
    <w:p>
      <w:pPr>
        <w:rPr>
          <w:rFonts w:hint="eastAsia" w:ascii="宋体" w:hAnsi="宋体" w:cs="宋体"/>
          <w:b/>
          <w:sz w:val="24"/>
        </w:rPr>
      </w:pPr>
    </w:p>
    <w:p>
      <w:pPr>
        <w:rPr>
          <w:rFonts w:hint="eastAsia" w:ascii="宋体" w:hAnsi="宋体" w:cs="宋体"/>
          <w:b/>
          <w:sz w:val="24"/>
        </w:rPr>
      </w:pPr>
    </w:p>
    <w:p>
      <w:pPr>
        <w:rPr>
          <w:rFonts w:hint="eastAsia" w:ascii="宋体" w:hAnsi="宋体" w:cs="宋体"/>
          <w:b/>
          <w:sz w:val="24"/>
        </w:rPr>
      </w:pPr>
    </w:p>
    <w:p>
      <w:pPr>
        <w:rPr>
          <w:rFonts w:hint="eastAsia" w:ascii="宋体" w:hAnsi="宋体" w:cs="宋体"/>
          <w:b/>
          <w:sz w:val="24"/>
        </w:rPr>
      </w:pPr>
    </w:p>
    <w:p>
      <w:pPr>
        <w:rPr>
          <w:rFonts w:hint="eastAsia" w:ascii="宋体" w:hAnsi="宋体" w:cs="宋体"/>
          <w:b/>
          <w:sz w:val="24"/>
        </w:rPr>
      </w:pPr>
    </w:p>
    <w:p>
      <w:pPr>
        <w:rPr>
          <w:rFonts w:hint="eastAsia" w:ascii="宋体" w:hAnsi="宋体" w:cs="宋体"/>
          <w:b/>
          <w:sz w:val="24"/>
        </w:rPr>
      </w:pPr>
    </w:p>
    <w:p>
      <w:pPr>
        <w:rPr>
          <w:rFonts w:hint="eastAsia" w:ascii="宋体" w:hAnsi="宋体" w:cs="宋体"/>
          <w:b/>
          <w:sz w:val="24"/>
        </w:rPr>
      </w:pPr>
    </w:p>
    <w:p>
      <w:pPr>
        <w:rPr>
          <w:rFonts w:hint="eastAsia" w:ascii="宋体" w:hAnsi="宋体" w:cs="宋体"/>
          <w:b/>
          <w:sz w:val="24"/>
        </w:rPr>
      </w:pPr>
    </w:p>
    <w:p>
      <w:pPr>
        <w:rPr>
          <w:rFonts w:hint="eastAsia" w:ascii="宋体" w:hAnsi="宋体" w:cs="宋体"/>
          <w:b/>
          <w:sz w:val="24"/>
        </w:rPr>
      </w:pPr>
    </w:p>
    <w:p>
      <w:pPr>
        <w:rPr>
          <w:rFonts w:hint="eastAsia" w:ascii="宋体" w:hAnsi="宋体" w:cs="宋体"/>
          <w:b/>
          <w:sz w:val="24"/>
        </w:rPr>
      </w:pPr>
    </w:p>
    <w:p>
      <w:pPr>
        <w:rPr>
          <w:rFonts w:hint="eastAsia" w:ascii="宋体" w:hAnsi="宋体" w:cs="宋体"/>
          <w:b/>
          <w:sz w:val="24"/>
        </w:rPr>
      </w:pPr>
    </w:p>
    <w:p>
      <w:pPr>
        <w:rPr>
          <w:rFonts w:hint="eastAsia" w:ascii="宋体" w:hAnsi="宋体" w:cs="宋体"/>
          <w:b/>
          <w:sz w:val="24"/>
        </w:rPr>
      </w:pPr>
    </w:p>
    <w:p>
      <w:pPr>
        <w:rPr>
          <w:rFonts w:hint="eastAsia" w:ascii="宋体" w:hAnsi="宋体" w:cs="宋体"/>
          <w:b/>
          <w:sz w:val="24"/>
        </w:rPr>
      </w:pPr>
    </w:p>
    <w:p>
      <w:pPr>
        <w:rPr>
          <w:rFonts w:hint="eastAsia" w:ascii="宋体" w:hAnsi="宋体" w:cs="宋体"/>
          <w:b/>
          <w:sz w:val="24"/>
        </w:rPr>
      </w:pPr>
    </w:p>
    <w:p>
      <w:pPr>
        <w:rPr>
          <w:rFonts w:hint="eastAsia" w:ascii="宋体" w:hAnsi="宋体" w:cs="宋体"/>
          <w:b/>
          <w:sz w:val="24"/>
        </w:rPr>
      </w:pPr>
    </w:p>
    <w:p>
      <w:pPr>
        <w:rPr>
          <w:rFonts w:hint="eastAsia" w:ascii="宋体" w:hAnsi="宋体" w:cs="宋体"/>
          <w:b/>
          <w:sz w:val="24"/>
        </w:rPr>
      </w:pPr>
    </w:p>
    <w:p>
      <w:pPr>
        <w:rPr>
          <w:rFonts w:hint="eastAsia" w:ascii="宋体" w:hAnsi="宋体" w:cs="宋体"/>
          <w:b/>
          <w:sz w:val="24"/>
        </w:rPr>
      </w:pPr>
    </w:p>
    <w:p>
      <w:pPr>
        <w:rPr>
          <w:rFonts w:hint="eastAsia" w:ascii="宋体" w:hAnsi="宋体" w:cs="宋体"/>
          <w:b/>
          <w:sz w:val="24"/>
        </w:rPr>
      </w:pPr>
    </w:p>
    <w:p>
      <w:pPr>
        <w:rPr>
          <w:rFonts w:ascii="宋体" w:hAnsi="宋体" w:cs="宋体"/>
          <w:sz w:val="24"/>
        </w:rPr>
      </w:pPr>
      <w:r>
        <w:rPr>
          <w:rFonts w:hint="eastAsia" w:ascii="宋体" w:hAnsi="宋体" w:cs="宋体"/>
          <w:b/>
          <w:sz w:val="24"/>
        </w:rPr>
        <w:t>附件一：</w:t>
      </w:r>
    </w:p>
    <w:p>
      <w:pPr>
        <w:spacing w:line="240" w:lineRule="exact"/>
        <w:rPr>
          <w:rFonts w:ascii="宋体" w:hAnsi="宋体" w:cs="宋体"/>
          <w:sz w:val="24"/>
        </w:rPr>
      </w:pPr>
    </w:p>
    <w:p>
      <w:pPr>
        <w:spacing w:line="240" w:lineRule="exact"/>
        <w:rPr>
          <w:rFonts w:ascii="宋体" w:hAnsi="宋体" w:cs="宋体"/>
          <w:sz w:val="24"/>
        </w:rPr>
      </w:pPr>
    </w:p>
    <w:p>
      <w:pPr>
        <w:spacing w:line="360" w:lineRule="auto"/>
        <w:jc w:val="center"/>
        <w:rPr>
          <w:rFonts w:ascii="宋体" w:hAnsi="宋体" w:cs="宋体"/>
          <w:b/>
          <w:sz w:val="24"/>
        </w:rPr>
      </w:pPr>
      <w:r>
        <w:rPr>
          <w:rFonts w:hint="eastAsia" w:ascii="宋体" w:hAnsi="宋体" w:cs="宋体"/>
          <w:b/>
          <w:sz w:val="24"/>
        </w:rPr>
        <w:t>问题澄清通知</w:t>
      </w:r>
    </w:p>
    <w:p>
      <w:pPr>
        <w:spacing w:line="240" w:lineRule="exact"/>
        <w:rPr>
          <w:rFonts w:ascii="宋体" w:hAnsi="宋体" w:cs="宋体"/>
          <w:sz w:val="24"/>
        </w:rPr>
      </w:pPr>
    </w:p>
    <w:p>
      <w:pPr>
        <w:spacing w:line="360" w:lineRule="auto"/>
        <w:ind w:firstLine="480" w:firstLineChars="200"/>
        <w:rPr>
          <w:rFonts w:ascii="宋体" w:hAnsi="宋体" w:cs="宋体"/>
          <w:b/>
          <w:sz w:val="24"/>
        </w:rPr>
      </w:pPr>
      <w:r>
        <w:rPr>
          <w:rFonts w:hint="eastAsia" w:ascii="宋体" w:hAnsi="宋体" w:cs="宋体"/>
          <w:sz w:val="24"/>
        </w:rPr>
        <w:t>编号：</w:t>
      </w:r>
    </w:p>
    <w:p>
      <w:pPr>
        <w:spacing w:line="360" w:lineRule="auto"/>
        <w:ind w:firstLine="480" w:firstLineChars="200"/>
        <w:rPr>
          <w:rFonts w:ascii="宋体" w:hAnsi="宋体" w:cs="宋体"/>
          <w:sz w:val="24"/>
        </w:rPr>
      </w:pPr>
      <w:r>
        <w:rPr>
          <w:rFonts w:hint="eastAsia" w:ascii="宋体" w:hAnsi="宋体" w:cs="宋体"/>
          <w:sz w:val="24"/>
        </w:rPr>
        <w:t xml:space="preserve">（投标人名称）: </w:t>
      </w:r>
    </w:p>
    <w:p>
      <w:pPr>
        <w:spacing w:line="360" w:lineRule="auto"/>
        <w:ind w:firstLine="480" w:firstLineChars="200"/>
        <w:rPr>
          <w:rFonts w:ascii="宋体" w:hAnsi="宋体" w:cs="宋体"/>
          <w:sz w:val="24"/>
        </w:rPr>
      </w:pPr>
      <w:r>
        <w:rPr>
          <w:rFonts w:hint="eastAsia" w:ascii="宋体" w:hAnsi="宋体" w:cs="宋体"/>
          <w:sz w:val="24"/>
        </w:rPr>
        <w:t>（项目名称）标段监理招标的评标委员会，对你方的投标文件进行了仔细的审查，现需你方对下列问题以书面形式予以澄清：</w:t>
      </w:r>
    </w:p>
    <w:p>
      <w:pPr>
        <w:spacing w:line="360" w:lineRule="auto"/>
        <w:ind w:firstLine="480" w:firstLineChars="200"/>
        <w:rPr>
          <w:rFonts w:ascii="宋体" w:hAnsi="宋体" w:cs="宋体"/>
          <w:sz w:val="24"/>
        </w:rPr>
      </w:pPr>
      <w:r>
        <w:rPr>
          <w:rFonts w:hint="eastAsia" w:ascii="宋体" w:hAnsi="宋体" w:cs="宋体"/>
          <w:sz w:val="24"/>
        </w:rPr>
        <w:t>1、</w:t>
      </w:r>
    </w:p>
    <w:p>
      <w:pPr>
        <w:spacing w:line="360" w:lineRule="auto"/>
        <w:ind w:firstLine="480" w:firstLineChars="200"/>
        <w:rPr>
          <w:rFonts w:ascii="宋体" w:hAnsi="宋体" w:cs="宋体"/>
          <w:sz w:val="24"/>
        </w:rPr>
      </w:pPr>
      <w:r>
        <w:rPr>
          <w:rFonts w:hint="eastAsia" w:ascii="宋体" w:hAnsi="宋体" w:cs="宋体"/>
          <w:sz w:val="24"/>
        </w:rPr>
        <w:t>2、</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请将上述问题的澄清于年月日时前递交至（详细地址）或传真至（传真号码）。采用传真方式的，应在年月日时前将原件递交至（详细地址）。</w:t>
      </w:r>
    </w:p>
    <w:p>
      <w:pPr>
        <w:spacing w:line="360" w:lineRule="auto"/>
        <w:rPr>
          <w:rFonts w:ascii="宋体" w:hAnsi="宋体" w:cs="宋体"/>
          <w:b/>
          <w:sz w:val="24"/>
        </w:rPr>
      </w:pPr>
    </w:p>
    <w:p>
      <w:pPr>
        <w:spacing w:line="360" w:lineRule="auto"/>
        <w:rPr>
          <w:rFonts w:ascii="宋体" w:hAnsi="宋体" w:cs="宋体"/>
          <w:b/>
          <w:sz w:val="24"/>
        </w:rPr>
      </w:pPr>
    </w:p>
    <w:p>
      <w:pPr>
        <w:spacing w:line="480" w:lineRule="exact"/>
        <w:ind w:left="4491" w:leftChars="1914" w:hanging="472" w:hangingChars="196"/>
        <w:rPr>
          <w:color w:val="000000" w:themeColor="text1"/>
          <w:sz w:val="24"/>
        </w:rPr>
      </w:pPr>
      <w:r>
        <w:rPr>
          <w:rFonts w:hint="eastAsia" w:ascii="宋体" w:hAnsi="宋体" w:cs="宋体"/>
          <w:b/>
          <w:sz w:val="24"/>
        </w:rPr>
        <w:t xml:space="preserve">                                         </w:t>
      </w:r>
      <w:r>
        <w:rPr>
          <w:rFonts w:hint="eastAsia"/>
          <w:color w:val="000000" w:themeColor="text1"/>
          <w:sz w:val="24"/>
        </w:rPr>
        <w:t xml:space="preserve"> （项目名称）</w:t>
      </w:r>
      <w:r>
        <w:rPr>
          <w:rFonts w:hint="eastAsia" w:hAnsi="宋体" w:cs="宋体"/>
          <w:color w:val="000000" w:themeColor="text1"/>
          <w:sz w:val="24"/>
        </w:rPr>
        <w:t>招标评标委员会</w:t>
      </w:r>
    </w:p>
    <w:p>
      <w:pPr>
        <w:spacing w:line="480" w:lineRule="exact"/>
        <w:ind w:firstLine="2880" w:firstLineChars="1200"/>
        <w:rPr>
          <w:color w:val="000000" w:themeColor="text1"/>
          <w:sz w:val="24"/>
        </w:rPr>
      </w:pPr>
      <w:r>
        <w:rPr>
          <w:rFonts w:hint="eastAsia"/>
          <w:color w:val="000000" w:themeColor="text1"/>
          <w:sz w:val="24"/>
        </w:rPr>
        <w:t>（经评标委员会授权的招标人代表签字或招标人加盖单位章）</w:t>
      </w:r>
    </w:p>
    <w:p>
      <w:pPr>
        <w:spacing w:line="480" w:lineRule="exact"/>
        <w:ind w:firstLine="5280" w:firstLineChars="2200"/>
        <w:rPr>
          <w:rFonts w:hAnsi="宋体" w:cs="宋体"/>
          <w:color w:val="000000" w:themeColor="text1"/>
          <w:sz w:val="24"/>
        </w:rPr>
      </w:pPr>
      <w:r>
        <w:rPr>
          <w:rFonts w:hint="eastAsia"/>
          <w:color w:val="000000" w:themeColor="text1"/>
          <w:sz w:val="24"/>
        </w:rPr>
        <w:t>年月日</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 xml:space="preserve">                    </w:t>
      </w:r>
      <w:r>
        <w:rPr>
          <w:rFonts w:hint="eastAsia" w:ascii="宋体" w:hAnsi="宋体" w:cs="宋体"/>
          <w:b/>
          <w:sz w:val="24"/>
        </w:rPr>
        <w:br w:type="page"/>
      </w:r>
    </w:p>
    <w:p>
      <w:pPr>
        <w:spacing w:line="360" w:lineRule="auto"/>
        <w:rPr>
          <w:rFonts w:ascii="宋体" w:hAnsi="宋体" w:cs="宋体"/>
          <w:b/>
          <w:sz w:val="24"/>
        </w:rPr>
      </w:pPr>
      <w:bookmarkStart w:id="62" w:name="_Toc184635082"/>
      <w:r>
        <w:rPr>
          <w:rFonts w:hint="eastAsia" w:ascii="宋体" w:hAnsi="宋体" w:cs="宋体"/>
          <w:b/>
          <w:sz w:val="24"/>
        </w:rPr>
        <w:t>附件二：</w:t>
      </w:r>
      <w:bookmarkEnd w:id="62"/>
    </w:p>
    <w:p>
      <w:pPr>
        <w:spacing w:line="360" w:lineRule="auto"/>
        <w:rPr>
          <w:rFonts w:ascii="宋体" w:hAnsi="宋体" w:cs="宋体"/>
          <w:b/>
          <w:sz w:val="24"/>
        </w:rPr>
      </w:pPr>
    </w:p>
    <w:p>
      <w:pPr>
        <w:spacing w:line="240" w:lineRule="exact"/>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问题的澄清</w:t>
      </w:r>
    </w:p>
    <w:p>
      <w:pPr>
        <w:spacing w:line="240" w:lineRule="exact"/>
        <w:rPr>
          <w:rFonts w:ascii="宋体" w:hAnsi="宋体" w:cs="宋体"/>
          <w:b/>
          <w:sz w:val="24"/>
        </w:rPr>
      </w:pPr>
    </w:p>
    <w:p>
      <w:pPr>
        <w:spacing w:line="360" w:lineRule="auto"/>
        <w:ind w:firstLine="556" w:firstLineChars="232"/>
        <w:rPr>
          <w:rFonts w:ascii="宋体" w:hAnsi="宋体" w:cs="宋体"/>
          <w:sz w:val="24"/>
        </w:rPr>
      </w:pPr>
      <w:r>
        <w:rPr>
          <w:rFonts w:hint="eastAsia" w:ascii="宋体" w:hAnsi="宋体" w:cs="宋体"/>
          <w:sz w:val="24"/>
        </w:rPr>
        <w:t>编号：</w:t>
      </w:r>
    </w:p>
    <w:p>
      <w:pPr>
        <w:spacing w:line="360" w:lineRule="auto"/>
        <w:ind w:firstLine="480" w:firstLineChars="200"/>
        <w:rPr>
          <w:rFonts w:ascii="宋体" w:hAnsi="宋体" w:cs="宋体"/>
          <w:sz w:val="24"/>
        </w:rPr>
      </w:pPr>
      <w:r>
        <w:rPr>
          <w:rFonts w:hint="eastAsia" w:ascii="宋体" w:hAnsi="宋体" w:cs="宋体"/>
          <w:sz w:val="24"/>
        </w:rPr>
        <w:t xml:space="preserve"> (项目名称）标段监理招标评标委员会：</w:t>
      </w:r>
    </w:p>
    <w:p>
      <w:pPr>
        <w:spacing w:line="360" w:lineRule="auto"/>
        <w:ind w:firstLine="480" w:firstLineChars="200"/>
        <w:rPr>
          <w:rFonts w:ascii="宋体" w:hAnsi="宋体" w:cs="宋体"/>
          <w:sz w:val="24"/>
        </w:rPr>
      </w:pPr>
      <w:r>
        <w:rPr>
          <w:rFonts w:hint="eastAsia" w:ascii="宋体" w:hAnsi="宋体" w:cs="宋体"/>
          <w:sz w:val="24"/>
        </w:rPr>
        <w:t>问题澄清通知（编号：）已收悉，现澄清如下：</w:t>
      </w:r>
    </w:p>
    <w:p>
      <w:pPr>
        <w:spacing w:line="360" w:lineRule="auto"/>
        <w:ind w:firstLine="480" w:firstLineChars="200"/>
        <w:rPr>
          <w:rFonts w:ascii="宋体" w:hAnsi="宋体" w:cs="宋体"/>
          <w:sz w:val="24"/>
        </w:rPr>
      </w:pPr>
      <w:r>
        <w:rPr>
          <w:rFonts w:hint="eastAsia" w:ascii="宋体" w:hAnsi="宋体" w:cs="宋体"/>
          <w:sz w:val="24"/>
        </w:rPr>
        <w:t>1.</w:t>
      </w:r>
    </w:p>
    <w:p>
      <w:pPr>
        <w:spacing w:line="360" w:lineRule="auto"/>
        <w:ind w:firstLine="480" w:firstLineChars="200"/>
        <w:rPr>
          <w:rFonts w:ascii="宋体" w:hAnsi="宋体" w:cs="宋体"/>
          <w:sz w:val="24"/>
        </w:rPr>
      </w:pPr>
      <w:r>
        <w:rPr>
          <w:rFonts w:hint="eastAsia" w:ascii="宋体" w:hAnsi="宋体" w:cs="宋体"/>
          <w:sz w:val="24"/>
        </w:rPr>
        <w:t>2.</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2208" w:firstLineChars="920"/>
        <w:rPr>
          <w:rFonts w:ascii="宋体" w:hAnsi="宋体" w:cs="宋体"/>
          <w:sz w:val="24"/>
        </w:rPr>
      </w:pPr>
      <w:r>
        <w:rPr>
          <w:rFonts w:hint="eastAsia" w:ascii="宋体" w:hAnsi="宋体" w:cs="宋体"/>
          <w:sz w:val="24"/>
        </w:rPr>
        <w:t>投标人：（盖单位章）</w:t>
      </w:r>
    </w:p>
    <w:p>
      <w:pPr>
        <w:spacing w:line="360" w:lineRule="auto"/>
        <w:ind w:firstLine="2160" w:firstLineChars="900"/>
        <w:rPr>
          <w:rFonts w:ascii="宋体" w:hAnsi="宋体" w:cs="宋体"/>
          <w:sz w:val="24"/>
        </w:rPr>
      </w:pPr>
    </w:p>
    <w:p>
      <w:pPr>
        <w:spacing w:line="360" w:lineRule="auto"/>
        <w:ind w:firstLine="2160" w:firstLineChars="900"/>
        <w:rPr>
          <w:rFonts w:ascii="宋体" w:hAnsi="宋体" w:cs="宋体"/>
          <w:sz w:val="24"/>
        </w:rPr>
      </w:pPr>
      <w:r>
        <w:rPr>
          <w:rFonts w:hint="eastAsia" w:ascii="宋体" w:hAnsi="宋体" w:cs="宋体"/>
          <w:sz w:val="24"/>
        </w:rPr>
        <w:t>法定代表人或其委托代理人：（签字）</w:t>
      </w:r>
    </w:p>
    <w:p>
      <w:pPr>
        <w:spacing w:line="360" w:lineRule="auto"/>
        <w:ind w:firstLine="5880" w:firstLineChars="2450"/>
        <w:rPr>
          <w:rFonts w:ascii="宋体" w:hAnsi="宋体" w:cs="宋体"/>
          <w:sz w:val="24"/>
          <w:u w:val="single"/>
        </w:rPr>
      </w:pPr>
    </w:p>
    <w:p>
      <w:pPr>
        <w:spacing w:line="360" w:lineRule="auto"/>
        <w:ind w:right="1120"/>
        <w:jc w:val="center"/>
        <w:rPr>
          <w:rFonts w:ascii="宋体" w:hAnsi="宋体" w:cs="宋体"/>
          <w:sz w:val="24"/>
        </w:rPr>
      </w:pPr>
      <w:r>
        <w:rPr>
          <w:rFonts w:hint="eastAsia" w:ascii="宋体" w:hAnsi="宋体" w:cs="宋体"/>
          <w:sz w:val="24"/>
        </w:rPr>
        <w:t>年月日</w:t>
      </w:r>
    </w:p>
    <w:p>
      <w:pPr>
        <w:spacing w:line="360" w:lineRule="auto"/>
        <w:ind w:firstLine="5880" w:firstLineChars="2450"/>
        <w:rPr>
          <w:rFonts w:ascii="宋体" w:hAnsi="宋体" w:cs="宋体"/>
          <w:sz w:val="24"/>
        </w:rPr>
        <w:sectPr>
          <w:footerReference r:id="rId8" w:type="first"/>
          <w:footerReference r:id="rId7" w:type="default"/>
          <w:pgSz w:w="11850" w:h="16783"/>
          <w:pgMar w:top="1418" w:right="1191" w:bottom="1418" w:left="1191" w:header="851" w:footer="992" w:gutter="0"/>
          <w:pgNumType w:start="1"/>
          <w:cols w:space="720" w:num="1"/>
          <w:titlePg/>
          <w:docGrid w:linePitch="312" w:charSpace="0"/>
        </w:sectPr>
      </w:pPr>
    </w:p>
    <w:p>
      <w:pPr>
        <w:pStyle w:val="2"/>
        <w:jc w:val="center"/>
        <w:rPr>
          <w:b/>
          <w:bCs/>
          <w:color w:val="auto"/>
        </w:rPr>
      </w:pPr>
      <w:bookmarkStart w:id="63" w:name="_Toc283381974"/>
      <w:bookmarkStart w:id="64" w:name="_Toc27931066"/>
      <w:r>
        <w:rPr>
          <w:rFonts w:hint="eastAsia"/>
          <w:b/>
          <w:bCs/>
          <w:color w:val="auto"/>
        </w:rPr>
        <w:t>第三章评标办法</w:t>
      </w:r>
      <w:bookmarkEnd w:id="63"/>
      <w:r>
        <w:rPr>
          <w:rFonts w:hint="eastAsia"/>
          <w:b/>
          <w:bCs/>
          <w:color w:val="auto"/>
        </w:rPr>
        <w:t>（综合评估法）</w:t>
      </w:r>
      <w:bookmarkEnd w:id="64"/>
    </w:p>
    <w:p>
      <w:pPr>
        <w:jc w:val="center"/>
        <w:rPr>
          <w:rFonts w:ascii="宋体" w:hAnsi="宋体" w:cs="宋体"/>
          <w:sz w:val="20"/>
        </w:rPr>
      </w:pPr>
      <w:bookmarkStart w:id="65" w:name="_Toc499226806"/>
      <w:bookmarkStart w:id="66" w:name="_Toc477771630"/>
      <w:bookmarkStart w:id="67" w:name="_Toc477772738"/>
      <w:bookmarkStart w:id="68" w:name="_Toc283381982"/>
      <w:r>
        <w:rPr>
          <w:rFonts w:hint="eastAsia" w:ascii="宋体" w:hAnsi="宋体" w:cs="宋体"/>
          <w:sz w:val="32"/>
          <w:szCs w:val="32"/>
        </w:rPr>
        <w:t>评标办法前附表</w:t>
      </w:r>
    </w:p>
    <w:tbl>
      <w:tblPr>
        <w:tblStyle w:val="16"/>
        <w:tblW w:w="9520" w:type="dxa"/>
        <w:tblInd w:w="0" w:type="dxa"/>
        <w:tblLayout w:type="fixed"/>
        <w:tblCellMar>
          <w:top w:w="0" w:type="dxa"/>
          <w:left w:w="108" w:type="dxa"/>
          <w:bottom w:w="0" w:type="dxa"/>
          <w:right w:w="108" w:type="dxa"/>
        </w:tblCellMar>
      </w:tblPr>
      <w:tblGrid>
        <w:gridCol w:w="1052"/>
        <w:gridCol w:w="1127"/>
        <w:gridCol w:w="2275"/>
        <w:gridCol w:w="5066"/>
      </w:tblGrid>
      <w:tr>
        <w:tblPrEx>
          <w:tblLayout w:type="fixed"/>
          <w:tblCellMar>
            <w:top w:w="0" w:type="dxa"/>
            <w:left w:w="108" w:type="dxa"/>
            <w:bottom w:w="0" w:type="dxa"/>
            <w:right w:w="108" w:type="dxa"/>
          </w:tblCellMar>
        </w:tblPrEx>
        <w:trPr>
          <w:trHeight w:val="332" w:hRule="atLeast"/>
        </w:trPr>
        <w:tc>
          <w:tcPr>
            <w:tcW w:w="217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条款号</w:t>
            </w:r>
          </w:p>
        </w:tc>
        <w:tc>
          <w:tcPr>
            <w:tcW w:w="227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评审因素</w:t>
            </w:r>
          </w:p>
        </w:tc>
        <w:tc>
          <w:tcPr>
            <w:tcW w:w="506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评审标准</w:t>
            </w:r>
          </w:p>
        </w:tc>
      </w:tr>
      <w:tr>
        <w:tblPrEx>
          <w:tblLayout w:type="fixed"/>
          <w:tblCellMar>
            <w:top w:w="0" w:type="dxa"/>
            <w:left w:w="108" w:type="dxa"/>
            <w:bottom w:w="0" w:type="dxa"/>
            <w:right w:w="108" w:type="dxa"/>
          </w:tblCellMar>
        </w:tblPrEx>
        <w:trPr>
          <w:trHeight w:val="505" w:hRule="atLeast"/>
        </w:trPr>
        <w:tc>
          <w:tcPr>
            <w:tcW w:w="105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1</w:t>
            </w:r>
          </w:p>
        </w:tc>
        <w:tc>
          <w:tcPr>
            <w:tcW w:w="112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评标方法</w:t>
            </w:r>
          </w:p>
        </w:tc>
        <w:tc>
          <w:tcPr>
            <w:tcW w:w="2275" w:type="dxa"/>
            <w:tcBorders>
              <w:top w:val="nil"/>
              <w:left w:val="nil"/>
              <w:bottom w:val="single" w:color="auto" w:sz="4" w:space="0"/>
              <w:right w:val="single" w:color="auto" w:sz="4" w:space="0"/>
            </w:tcBorders>
            <w:vAlign w:val="center"/>
          </w:tcPr>
          <w:p>
            <w:pPr>
              <w:spacing w:line="276" w:lineRule="auto"/>
              <w:jc w:val="center"/>
              <w:rPr>
                <w:rFonts w:hAnsi="宋体"/>
                <w:sz w:val="24"/>
                <w:szCs w:val="24"/>
              </w:rPr>
            </w:pPr>
            <w:r>
              <w:rPr>
                <w:rFonts w:hint="eastAsia" w:hAnsi="宋体"/>
                <w:sz w:val="24"/>
                <w:szCs w:val="24"/>
              </w:rPr>
              <w:t>中标候选人排序方法</w:t>
            </w:r>
          </w:p>
        </w:tc>
        <w:tc>
          <w:tcPr>
            <w:tcW w:w="5066" w:type="dxa"/>
            <w:tcBorders>
              <w:top w:val="single" w:color="auto" w:sz="4" w:space="0"/>
              <w:left w:val="nil"/>
              <w:bottom w:val="single" w:color="auto" w:sz="4" w:space="0"/>
              <w:right w:val="single" w:color="auto" w:sz="4" w:space="0"/>
            </w:tcBorders>
            <w:vAlign w:val="center"/>
          </w:tcPr>
          <w:p>
            <w:pPr>
              <w:spacing w:line="276" w:lineRule="auto"/>
              <w:jc w:val="center"/>
              <w:rPr>
                <w:rFonts w:hAnsi="宋体"/>
                <w:sz w:val="24"/>
                <w:szCs w:val="24"/>
              </w:rPr>
            </w:pPr>
            <w:r>
              <w:rPr>
                <w:rFonts w:hint="eastAsia" w:hAnsi="宋体"/>
                <w:sz w:val="24"/>
                <w:szCs w:val="24"/>
              </w:rPr>
              <w:t>按综合得分从高到低排序</w:t>
            </w:r>
          </w:p>
        </w:tc>
      </w:tr>
      <w:tr>
        <w:tblPrEx>
          <w:tblLayout w:type="fixed"/>
          <w:tblCellMar>
            <w:top w:w="0" w:type="dxa"/>
            <w:left w:w="108" w:type="dxa"/>
            <w:bottom w:w="0" w:type="dxa"/>
            <w:right w:w="108" w:type="dxa"/>
          </w:tblCellMar>
        </w:tblPrEx>
        <w:trPr>
          <w:trHeight w:val="256" w:hRule="atLeast"/>
        </w:trPr>
        <w:tc>
          <w:tcPr>
            <w:tcW w:w="1052" w:type="dxa"/>
            <w:vMerge w:val="restart"/>
            <w:tcBorders>
              <w:top w:val="nil"/>
              <w:left w:val="single" w:color="auto" w:sz="4" w:space="0"/>
              <w:bottom w:val="single" w:color="auto" w:sz="4" w:space="0"/>
              <w:right w:val="single" w:color="auto" w:sz="4" w:space="0"/>
            </w:tcBorders>
            <w:vAlign w:val="center"/>
          </w:tcPr>
          <w:p>
            <w:pPr>
              <w:spacing w:line="276" w:lineRule="auto"/>
              <w:rPr>
                <w:rFonts w:ascii="宋体" w:hAnsi="宋体" w:cs="宋体"/>
                <w:kern w:val="0"/>
                <w:sz w:val="22"/>
                <w:szCs w:val="22"/>
              </w:rPr>
            </w:pPr>
            <w:r>
              <w:rPr>
                <w:rFonts w:hAnsi="宋体"/>
                <w:sz w:val="24"/>
                <w:szCs w:val="24"/>
              </w:rPr>
              <w:t>2.1.1</w:t>
            </w:r>
          </w:p>
        </w:tc>
        <w:tc>
          <w:tcPr>
            <w:tcW w:w="1127"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kern w:val="0"/>
                <w:sz w:val="22"/>
                <w:szCs w:val="22"/>
              </w:rPr>
            </w:pPr>
            <w:r>
              <w:rPr>
                <w:rFonts w:hAnsi="宋体"/>
                <w:sz w:val="24"/>
                <w:szCs w:val="24"/>
              </w:rPr>
              <w:t>形式评审 标准</w:t>
            </w:r>
          </w:p>
        </w:tc>
        <w:tc>
          <w:tcPr>
            <w:tcW w:w="2275" w:type="dxa"/>
            <w:tcBorders>
              <w:top w:val="nil"/>
              <w:left w:val="nil"/>
              <w:bottom w:val="single" w:color="auto" w:sz="4" w:space="0"/>
              <w:right w:val="single" w:color="auto" w:sz="4" w:space="0"/>
            </w:tcBorders>
            <w:vAlign w:val="center"/>
          </w:tcPr>
          <w:p>
            <w:pPr>
              <w:spacing w:line="276" w:lineRule="auto"/>
              <w:jc w:val="center"/>
              <w:rPr>
                <w:rFonts w:ascii="宋体" w:hAnsi="宋体" w:cs="宋体"/>
                <w:kern w:val="0"/>
                <w:sz w:val="22"/>
                <w:szCs w:val="22"/>
              </w:rPr>
            </w:pPr>
            <w:r>
              <w:rPr>
                <w:rFonts w:hAnsi="宋体"/>
                <w:sz w:val="24"/>
                <w:szCs w:val="24"/>
              </w:rPr>
              <w:t>投标人名称</w:t>
            </w:r>
          </w:p>
        </w:tc>
        <w:tc>
          <w:tcPr>
            <w:tcW w:w="5066" w:type="dxa"/>
            <w:tcBorders>
              <w:top w:val="single" w:color="auto" w:sz="4" w:space="0"/>
              <w:left w:val="nil"/>
              <w:bottom w:val="single" w:color="auto" w:sz="4" w:space="0"/>
              <w:right w:val="single" w:color="auto" w:sz="4" w:space="0"/>
            </w:tcBorders>
            <w:vAlign w:val="center"/>
          </w:tcPr>
          <w:p>
            <w:pPr>
              <w:spacing w:line="276" w:lineRule="auto"/>
              <w:rPr>
                <w:rFonts w:ascii="宋体" w:hAnsi="宋体" w:cs="宋体"/>
                <w:kern w:val="0"/>
                <w:sz w:val="22"/>
                <w:szCs w:val="22"/>
              </w:rPr>
            </w:pPr>
            <w:r>
              <w:rPr>
                <w:rFonts w:hint="eastAsia" w:hAnsi="宋体"/>
                <w:sz w:val="24"/>
                <w:szCs w:val="24"/>
              </w:rPr>
              <w:t>与营业执照、资质证书一致</w:t>
            </w:r>
          </w:p>
        </w:tc>
      </w:tr>
      <w:tr>
        <w:tblPrEx>
          <w:tblLayout w:type="fixed"/>
          <w:tblCellMar>
            <w:top w:w="0" w:type="dxa"/>
            <w:left w:w="108" w:type="dxa"/>
            <w:bottom w:w="0" w:type="dxa"/>
            <w:right w:w="108" w:type="dxa"/>
          </w:tblCellMar>
        </w:tblPrEx>
        <w:trPr>
          <w:trHeight w:val="1252" w:hRule="atLeast"/>
        </w:trPr>
        <w:tc>
          <w:tcPr>
            <w:tcW w:w="1052" w:type="dxa"/>
            <w:vMerge w:val="continue"/>
            <w:tcBorders>
              <w:top w:val="nil"/>
              <w:left w:val="single" w:color="auto" w:sz="4" w:space="0"/>
              <w:bottom w:val="single" w:color="auto" w:sz="4" w:space="0"/>
              <w:right w:val="single" w:color="auto" w:sz="4" w:space="0"/>
            </w:tcBorders>
            <w:vAlign w:val="center"/>
          </w:tcPr>
          <w:p>
            <w:pPr>
              <w:spacing w:line="276" w:lineRule="auto"/>
              <w:rPr>
                <w:rFonts w:ascii="宋体" w:hAnsi="宋体" w:cs="宋体"/>
                <w:kern w:val="0"/>
                <w:sz w:val="22"/>
                <w:szCs w:val="22"/>
              </w:rPr>
            </w:pPr>
          </w:p>
        </w:tc>
        <w:tc>
          <w:tcPr>
            <w:tcW w:w="1127"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kern w:val="0"/>
                <w:sz w:val="22"/>
                <w:szCs w:val="22"/>
              </w:rPr>
            </w:pPr>
          </w:p>
        </w:tc>
        <w:tc>
          <w:tcPr>
            <w:tcW w:w="2275" w:type="dxa"/>
            <w:tcBorders>
              <w:top w:val="nil"/>
              <w:left w:val="nil"/>
              <w:bottom w:val="single" w:color="auto" w:sz="4" w:space="0"/>
              <w:right w:val="single" w:color="auto" w:sz="4" w:space="0"/>
            </w:tcBorders>
            <w:vAlign w:val="center"/>
          </w:tcPr>
          <w:p>
            <w:pPr>
              <w:spacing w:line="276" w:lineRule="auto"/>
              <w:jc w:val="center"/>
              <w:rPr>
                <w:rFonts w:ascii="宋体" w:hAnsi="宋体" w:cs="宋体"/>
                <w:kern w:val="0"/>
                <w:sz w:val="22"/>
                <w:szCs w:val="22"/>
              </w:rPr>
            </w:pPr>
            <w:r>
              <w:rPr>
                <w:rFonts w:hAnsi="宋体"/>
                <w:sz w:val="24"/>
                <w:szCs w:val="24"/>
              </w:rPr>
              <w:t>投标函及投标函附录签字盖章</w:t>
            </w:r>
          </w:p>
        </w:tc>
        <w:tc>
          <w:tcPr>
            <w:tcW w:w="5066" w:type="dxa"/>
            <w:tcBorders>
              <w:top w:val="single" w:color="auto" w:sz="4" w:space="0"/>
              <w:left w:val="nil"/>
              <w:bottom w:val="single" w:color="auto" w:sz="4" w:space="0"/>
              <w:right w:val="single" w:color="auto" w:sz="4" w:space="0"/>
            </w:tcBorders>
            <w:vAlign w:val="center"/>
          </w:tcPr>
          <w:p>
            <w:pPr>
              <w:spacing w:line="276" w:lineRule="auto"/>
              <w:rPr>
                <w:rFonts w:ascii="宋体" w:hAnsi="宋体" w:cs="宋体"/>
                <w:kern w:val="0"/>
                <w:sz w:val="22"/>
                <w:szCs w:val="22"/>
              </w:rPr>
            </w:pPr>
            <w:r>
              <w:rPr>
                <w:rFonts w:hint="eastAsia" w:hAnsi="宋体"/>
                <w:sz w:val="24"/>
                <w:szCs w:val="24"/>
              </w:rPr>
              <w:t>由法定代表人或其委托代理人签字，并加盖单位公章。由法定代表人签字的，应附法定代表人身份证明，由代理人签字的，应附授权委托书，身份证明或授权委托书应符合第五章“投标文件格式”的规定。</w:t>
            </w:r>
          </w:p>
        </w:tc>
      </w:tr>
      <w:tr>
        <w:tblPrEx>
          <w:tblLayout w:type="fixed"/>
          <w:tblCellMar>
            <w:top w:w="0" w:type="dxa"/>
            <w:left w:w="108" w:type="dxa"/>
            <w:bottom w:w="0" w:type="dxa"/>
            <w:right w:w="108" w:type="dxa"/>
          </w:tblCellMar>
        </w:tblPrEx>
        <w:trPr>
          <w:trHeight w:val="256" w:hRule="atLeast"/>
        </w:trPr>
        <w:tc>
          <w:tcPr>
            <w:tcW w:w="1052" w:type="dxa"/>
            <w:vMerge w:val="continue"/>
            <w:tcBorders>
              <w:top w:val="nil"/>
              <w:left w:val="single" w:color="auto" w:sz="4" w:space="0"/>
              <w:bottom w:val="single" w:color="auto" w:sz="4" w:space="0"/>
              <w:right w:val="single" w:color="auto" w:sz="4" w:space="0"/>
            </w:tcBorders>
            <w:vAlign w:val="center"/>
          </w:tcPr>
          <w:p>
            <w:pPr>
              <w:spacing w:line="276" w:lineRule="auto"/>
              <w:rPr>
                <w:rFonts w:ascii="宋体" w:hAnsi="宋体" w:cs="宋体"/>
                <w:kern w:val="0"/>
                <w:sz w:val="22"/>
                <w:szCs w:val="22"/>
              </w:rPr>
            </w:pPr>
          </w:p>
        </w:tc>
        <w:tc>
          <w:tcPr>
            <w:tcW w:w="1127"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kern w:val="0"/>
                <w:sz w:val="22"/>
                <w:szCs w:val="22"/>
              </w:rPr>
            </w:pPr>
          </w:p>
        </w:tc>
        <w:tc>
          <w:tcPr>
            <w:tcW w:w="2275" w:type="dxa"/>
            <w:tcBorders>
              <w:top w:val="nil"/>
              <w:left w:val="nil"/>
              <w:bottom w:val="single" w:color="auto" w:sz="4" w:space="0"/>
              <w:right w:val="single" w:color="auto" w:sz="4" w:space="0"/>
            </w:tcBorders>
            <w:vAlign w:val="center"/>
          </w:tcPr>
          <w:p>
            <w:pPr>
              <w:spacing w:line="276" w:lineRule="auto"/>
              <w:jc w:val="center"/>
              <w:rPr>
                <w:rFonts w:ascii="宋体" w:hAnsi="宋体" w:cs="宋体"/>
                <w:kern w:val="0"/>
                <w:sz w:val="22"/>
                <w:szCs w:val="22"/>
              </w:rPr>
            </w:pPr>
            <w:r>
              <w:rPr>
                <w:rFonts w:hAnsi="宋体"/>
                <w:sz w:val="24"/>
                <w:szCs w:val="24"/>
              </w:rPr>
              <w:t>投标文件格式</w:t>
            </w:r>
          </w:p>
        </w:tc>
        <w:tc>
          <w:tcPr>
            <w:tcW w:w="5066" w:type="dxa"/>
            <w:tcBorders>
              <w:top w:val="single" w:color="auto" w:sz="4" w:space="0"/>
              <w:left w:val="nil"/>
              <w:bottom w:val="single" w:color="auto" w:sz="4" w:space="0"/>
              <w:right w:val="single" w:color="auto" w:sz="4" w:space="0"/>
            </w:tcBorders>
            <w:vAlign w:val="center"/>
          </w:tcPr>
          <w:p>
            <w:pPr>
              <w:spacing w:line="276" w:lineRule="auto"/>
              <w:rPr>
                <w:rFonts w:ascii="宋体" w:hAnsi="宋体" w:cs="宋体"/>
                <w:kern w:val="0"/>
                <w:sz w:val="22"/>
                <w:szCs w:val="22"/>
              </w:rPr>
            </w:pPr>
            <w:r>
              <w:rPr>
                <w:rFonts w:hAnsi="宋体"/>
                <w:sz w:val="24"/>
                <w:szCs w:val="24"/>
              </w:rPr>
              <w:t>符合第</w:t>
            </w:r>
            <w:r>
              <w:rPr>
                <w:rFonts w:hint="eastAsia" w:hAnsi="宋体"/>
                <w:sz w:val="24"/>
                <w:szCs w:val="24"/>
              </w:rPr>
              <w:t>五</w:t>
            </w:r>
            <w:r>
              <w:rPr>
                <w:rFonts w:hAnsi="宋体"/>
                <w:sz w:val="24"/>
                <w:szCs w:val="24"/>
              </w:rPr>
              <w:t>章“投标文件格式”的规定</w:t>
            </w:r>
          </w:p>
        </w:tc>
      </w:tr>
      <w:tr>
        <w:tblPrEx>
          <w:tblLayout w:type="fixed"/>
          <w:tblCellMar>
            <w:top w:w="0" w:type="dxa"/>
            <w:left w:w="108" w:type="dxa"/>
            <w:bottom w:w="0" w:type="dxa"/>
            <w:right w:w="108" w:type="dxa"/>
          </w:tblCellMar>
        </w:tblPrEx>
        <w:trPr>
          <w:trHeight w:val="505" w:hRule="atLeast"/>
        </w:trPr>
        <w:tc>
          <w:tcPr>
            <w:tcW w:w="1052" w:type="dxa"/>
            <w:vMerge w:val="restart"/>
            <w:tcBorders>
              <w:top w:val="nil"/>
              <w:left w:val="single" w:color="auto" w:sz="4" w:space="0"/>
              <w:bottom w:val="single" w:color="auto" w:sz="4" w:space="0"/>
              <w:right w:val="single" w:color="auto" w:sz="4" w:space="0"/>
            </w:tcBorders>
            <w:vAlign w:val="center"/>
          </w:tcPr>
          <w:p>
            <w:pPr>
              <w:spacing w:line="276" w:lineRule="auto"/>
              <w:rPr>
                <w:rFonts w:ascii="宋体" w:hAnsi="宋体" w:cs="宋体"/>
                <w:kern w:val="0"/>
                <w:sz w:val="22"/>
                <w:szCs w:val="22"/>
              </w:rPr>
            </w:pPr>
            <w:r>
              <w:rPr>
                <w:rFonts w:hAnsi="宋体"/>
                <w:sz w:val="24"/>
                <w:szCs w:val="24"/>
              </w:rPr>
              <w:t>2.1.2</w:t>
            </w:r>
          </w:p>
        </w:tc>
        <w:tc>
          <w:tcPr>
            <w:tcW w:w="1127"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kern w:val="0"/>
                <w:sz w:val="22"/>
                <w:szCs w:val="22"/>
              </w:rPr>
            </w:pPr>
            <w:r>
              <w:rPr>
                <w:rFonts w:hAnsi="宋体"/>
                <w:sz w:val="24"/>
                <w:szCs w:val="24"/>
              </w:rPr>
              <w:t>资格评审标准</w:t>
            </w:r>
          </w:p>
        </w:tc>
        <w:tc>
          <w:tcPr>
            <w:tcW w:w="2275" w:type="dxa"/>
            <w:tcBorders>
              <w:top w:val="nil"/>
              <w:left w:val="nil"/>
              <w:bottom w:val="single" w:color="auto" w:sz="4" w:space="0"/>
              <w:right w:val="single" w:color="auto" w:sz="4" w:space="0"/>
            </w:tcBorders>
            <w:vAlign w:val="center"/>
          </w:tcPr>
          <w:p>
            <w:pPr>
              <w:spacing w:line="276" w:lineRule="auto"/>
              <w:jc w:val="center"/>
              <w:rPr>
                <w:rFonts w:ascii="宋体" w:hAnsi="宋体" w:cs="宋体"/>
                <w:kern w:val="0"/>
                <w:sz w:val="22"/>
                <w:szCs w:val="22"/>
              </w:rPr>
            </w:pPr>
            <w:r>
              <w:rPr>
                <w:rFonts w:hAnsi="宋体"/>
                <w:sz w:val="24"/>
                <w:szCs w:val="24"/>
              </w:rPr>
              <w:t>营业执照</w:t>
            </w:r>
          </w:p>
        </w:tc>
        <w:tc>
          <w:tcPr>
            <w:tcW w:w="5066" w:type="dxa"/>
            <w:tcBorders>
              <w:top w:val="single" w:color="auto" w:sz="4" w:space="0"/>
              <w:left w:val="nil"/>
              <w:bottom w:val="single" w:color="auto" w:sz="4" w:space="0"/>
              <w:right w:val="single" w:color="auto" w:sz="4" w:space="0"/>
            </w:tcBorders>
            <w:vAlign w:val="center"/>
          </w:tcPr>
          <w:p>
            <w:pPr>
              <w:spacing w:line="276" w:lineRule="auto"/>
              <w:rPr>
                <w:rFonts w:ascii="宋体" w:hAnsi="宋体" w:cs="宋体"/>
                <w:kern w:val="0"/>
                <w:sz w:val="22"/>
                <w:szCs w:val="22"/>
              </w:rPr>
            </w:pPr>
            <w:r>
              <w:rPr>
                <w:rFonts w:ascii="宋体" w:hAnsi="宋体" w:cs="宋体"/>
                <w:kern w:val="0"/>
                <w:sz w:val="22"/>
                <w:szCs w:val="22"/>
              </w:rPr>
              <w:t>具备有效的营业执照</w:t>
            </w:r>
            <w:r>
              <w:rPr>
                <w:rFonts w:hint="eastAsia" w:ascii="宋体" w:hAnsi="宋体" w:cs="宋体"/>
                <w:kern w:val="0"/>
                <w:sz w:val="22"/>
                <w:szCs w:val="22"/>
              </w:rPr>
              <w:t>、税务登记证、组织机构代码证（或三证合一的营业执照）</w:t>
            </w:r>
          </w:p>
        </w:tc>
      </w:tr>
      <w:tr>
        <w:tblPrEx>
          <w:tblLayout w:type="fixed"/>
          <w:tblCellMar>
            <w:top w:w="0" w:type="dxa"/>
            <w:left w:w="108" w:type="dxa"/>
            <w:bottom w:w="0" w:type="dxa"/>
            <w:right w:w="108" w:type="dxa"/>
          </w:tblCellMar>
        </w:tblPrEx>
        <w:trPr>
          <w:trHeight w:val="505" w:hRule="atLeast"/>
        </w:trPr>
        <w:tc>
          <w:tcPr>
            <w:tcW w:w="1052" w:type="dxa"/>
            <w:vMerge w:val="continue"/>
            <w:tcBorders>
              <w:top w:val="nil"/>
              <w:left w:val="single" w:color="auto" w:sz="4" w:space="0"/>
              <w:bottom w:val="single" w:color="auto" w:sz="4" w:space="0"/>
              <w:right w:val="single" w:color="auto" w:sz="4" w:space="0"/>
            </w:tcBorders>
            <w:vAlign w:val="center"/>
          </w:tcPr>
          <w:p>
            <w:pPr>
              <w:spacing w:line="276" w:lineRule="auto"/>
              <w:rPr>
                <w:rFonts w:ascii="宋体" w:hAnsi="宋体" w:cs="宋体"/>
                <w:kern w:val="0"/>
                <w:sz w:val="22"/>
                <w:szCs w:val="22"/>
              </w:rPr>
            </w:pPr>
          </w:p>
        </w:tc>
        <w:tc>
          <w:tcPr>
            <w:tcW w:w="1127"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kern w:val="0"/>
                <w:sz w:val="22"/>
                <w:szCs w:val="22"/>
              </w:rPr>
            </w:pPr>
          </w:p>
        </w:tc>
        <w:tc>
          <w:tcPr>
            <w:tcW w:w="2275" w:type="dxa"/>
            <w:tcBorders>
              <w:top w:val="nil"/>
              <w:left w:val="nil"/>
              <w:bottom w:val="single" w:color="auto" w:sz="4" w:space="0"/>
              <w:right w:val="single" w:color="auto" w:sz="4" w:space="0"/>
            </w:tcBorders>
            <w:vAlign w:val="center"/>
          </w:tcPr>
          <w:p>
            <w:pPr>
              <w:spacing w:line="276" w:lineRule="auto"/>
              <w:jc w:val="center"/>
              <w:rPr>
                <w:rFonts w:ascii="宋体" w:hAnsi="宋体" w:cs="宋体"/>
                <w:kern w:val="0"/>
                <w:sz w:val="22"/>
                <w:szCs w:val="22"/>
              </w:rPr>
            </w:pPr>
            <w:r>
              <w:rPr>
                <w:rFonts w:hAnsi="宋体"/>
                <w:sz w:val="24"/>
                <w:szCs w:val="24"/>
              </w:rPr>
              <w:t>资质要求</w:t>
            </w:r>
          </w:p>
        </w:tc>
        <w:tc>
          <w:tcPr>
            <w:tcW w:w="5066" w:type="dxa"/>
            <w:tcBorders>
              <w:top w:val="single" w:color="auto" w:sz="4" w:space="0"/>
              <w:left w:val="nil"/>
              <w:bottom w:val="single" w:color="auto" w:sz="4" w:space="0"/>
              <w:right w:val="single" w:color="auto" w:sz="4" w:space="0"/>
            </w:tcBorders>
            <w:vAlign w:val="center"/>
          </w:tcPr>
          <w:p>
            <w:pPr>
              <w:spacing w:line="276" w:lineRule="auto"/>
              <w:rPr>
                <w:rFonts w:ascii="宋体" w:hAnsi="宋体" w:cs="宋体"/>
                <w:kern w:val="0"/>
                <w:sz w:val="22"/>
                <w:szCs w:val="22"/>
              </w:rPr>
            </w:pPr>
            <w:r>
              <w:rPr>
                <w:rFonts w:hAnsi="宋体"/>
                <w:sz w:val="24"/>
                <w:szCs w:val="24"/>
              </w:rPr>
              <w:t>符合第二章“投标人须知”</w:t>
            </w:r>
            <w:r>
              <w:rPr>
                <w:rFonts w:hint="eastAsia" w:hAnsi="宋体"/>
                <w:sz w:val="24"/>
                <w:szCs w:val="24"/>
                <w:lang w:eastAsia="zh-CN"/>
              </w:rPr>
              <w:t>前附表</w:t>
            </w:r>
            <w:r>
              <w:rPr>
                <w:rFonts w:hAnsi="宋体"/>
                <w:sz w:val="24"/>
                <w:szCs w:val="24"/>
              </w:rPr>
              <w:t>第 1.4.1 项规定</w:t>
            </w:r>
          </w:p>
        </w:tc>
      </w:tr>
      <w:tr>
        <w:tblPrEx>
          <w:tblLayout w:type="fixed"/>
          <w:tblCellMar>
            <w:top w:w="0" w:type="dxa"/>
            <w:left w:w="108" w:type="dxa"/>
            <w:bottom w:w="0" w:type="dxa"/>
            <w:right w:w="108" w:type="dxa"/>
          </w:tblCellMar>
        </w:tblPrEx>
        <w:trPr>
          <w:trHeight w:val="505" w:hRule="atLeast"/>
        </w:trPr>
        <w:tc>
          <w:tcPr>
            <w:tcW w:w="1052" w:type="dxa"/>
            <w:vMerge w:val="continue"/>
            <w:tcBorders>
              <w:top w:val="nil"/>
              <w:left w:val="single" w:color="auto" w:sz="4" w:space="0"/>
              <w:bottom w:val="single" w:color="auto" w:sz="4" w:space="0"/>
              <w:right w:val="single" w:color="auto" w:sz="4" w:space="0"/>
            </w:tcBorders>
            <w:vAlign w:val="center"/>
          </w:tcPr>
          <w:p>
            <w:pPr>
              <w:spacing w:line="276" w:lineRule="auto"/>
              <w:rPr>
                <w:rFonts w:ascii="宋体" w:hAnsi="宋体" w:cs="宋体"/>
                <w:kern w:val="0"/>
                <w:sz w:val="22"/>
                <w:szCs w:val="22"/>
              </w:rPr>
            </w:pPr>
          </w:p>
        </w:tc>
        <w:tc>
          <w:tcPr>
            <w:tcW w:w="1127"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kern w:val="0"/>
                <w:sz w:val="22"/>
                <w:szCs w:val="22"/>
              </w:rPr>
            </w:pPr>
          </w:p>
        </w:tc>
        <w:tc>
          <w:tcPr>
            <w:tcW w:w="2275" w:type="dxa"/>
            <w:tcBorders>
              <w:top w:val="nil"/>
              <w:left w:val="nil"/>
              <w:bottom w:val="single" w:color="auto" w:sz="4" w:space="0"/>
              <w:right w:val="single" w:color="auto" w:sz="4" w:space="0"/>
            </w:tcBorders>
            <w:vAlign w:val="center"/>
          </w:tcPr>
          <w:p>
            <w:pPr>
              <w:spacing w:line="276" w:lineRule="auto"/>
              <w:jc w:val="center"/>
              <w:rPr>
                <w:rFonts w:ascii="宋体" w:hAnsi="宋体" w:cs="宋体"/>
                <w:kern w:val="0"/>
                <w:sz w:val="22"/>
                <w:szCs w:val="22"/>
              </w:rPr>
            </w:pPr>
            <w:r>
              <w:rPr>
                <w:rFonts w:hAnsi="宋体"/>
                <w:sz w:val="24"/>
                <w:szCs w:val="24"/>
              </w:rPr>
              <w:t>信誉要求</w:t>
            </w:r>
          </w:p>
        </w:tc>
        <w:tc>
          <w:tcPr>
            <w:tcW w:w="5066" w:type="dxa"/>
            <w:tcBorders>
              <w:top w:val="single" w:color="auto" w:sz="4" w:space="0"/>
              <w:left w:val="nil"/>
              <w:bottom w:val="single" w:color="auto" w:sz="4" w:space="0"/>
              <w:right w:val="single" w:color="auto" w:sz="4" w:space="0"/>
            </w:tcBorders>
            <w:vAlign w:val="center"/>
          </w:tcPr>
          <w:p>
            <w:pPr>
              <w:spacing w:line="276" w:lineRule="auto"/>
              <w:rPr>
                <w:rFonts w:ascii="宋体" w:hAnsi="宋体" w:cs="宋体"/>
                <w:kern w:val="0"/>
                <w:sz w:val="22"/>
                <w:szCs w:val="22"/>
              </w:rPr>
            </w:pPr>
            <w:r>
              <w:rPr>
                <w:rFonts w:hAnsi="宋体"/>
                <w:sz w:val="24"/>
                <w:szCs w:val="24"/>
              </w:rPr>
              <w:t>符合第二章“投标人须知”</w:t>
            </w:r>
            <w:r>
              <w:rPr>
                <w:rFonts w:hint="eastAsia" w:hAnsi="宋体"/>
                <w:sz w:val="24"/>
                <w:szCs w:val="24"/>
                <w:lang w:eastAsia="zh-CN"/>
              </w:rPr>
              <w:t>前附表</w:t>
            </w:r>
            <w:r>
              <w:rPr>
                <w:rFonts w:hAnsi="宋体"/>
                <w:sz w:val="24"/>
                <w:szCs w:val="24"/>
              </w:rPr>
              <w:t>第 1.4.1 项规定</w:t>
            </w:r>
            <w:r>
              <w:rPr>
                <w:rFonts w:hint="eastAsia" w:hAnsi="宋体"/>
                <w:sz w:val="24"/>
                <w:szCs w:val="24"/>
              </w:rPr>
              <w:t>（以网页截图为准）</w:t>
            </w:r>
          </w:p>
        </w:tc>
      </w:tr>
      <w:tr>
        <w:tblPrEx>
          <w:tblLayout w:type="fixed"/>
          <w:tblCellMar>
            <w:top w:w="0" w:type="dxa"/>
            <w:left w:w="108" w:type="dxa"/>
            <w:bottom w:w="0" w:type="dxa"/>
            <w:right w:w="108" w:type="dxa"/>
          </w:tblCellMar>
        </w:tblPrEx>
        <w:trPr>
          <w:trHeight w:val="505" w:hRule="atLeast"/>
        </w:trPr>
        <w:tc>
          <w:tcPr>
            <w:tcW w:w="1052" w:type="dxa"/>
            <w:vMerge w:val="continue"/>
            <w:tcBorders>
              <w:top w:val="nil"/>
              <w:left w:val="single" w:color="auto" w:sz="4" w:space="0"/>
              <w:bottom w:val="single" w:color="auto" w:sz="4" w:space="0"/>
              <w:right w:val="single" w:color="auto" w:sz="4" w:space="0"/>
            </w:tcBorders>
            <w:vAlign w:val="center"/>
          </w:tcPr>
          <w:p>
            <w:pPr>
              <w:spacing w:line="276" w:lineRule="auto"/>
              <w:rPr>
                <w:rFonts w:ascii="宋体" w:hAnsi="宋体" w:cs="宋体"/>
                <w:kern w:val="0"/>
                <w:sz w:val="22"/>
                <w:szCs w:val="22"/>
              </w:rPr>
            </w:pPr>
          </w:p>
        </w:tc>
        <w:tc>
          <w:tcPr>
            <w:tcW w:w="1127"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kern w:val="0"/>
                <w:sz w:val="22"/>
                <w:szCs w:val="22"/>
              </w:rPr>
            </w:pPr>
          </w:p>
        </w:tc>
        <w:tc>
          <w:tcPr>
            <w:tcW w:w="2275" w:type="dxa"/>
            <w:tcBorders>
              <w:top w:val="nil"/>
              <w:left w:val="nil"/>
              <w:bottom w:val="single" w:color="auto" w:sz="4" w:space="0"/>
              <w:right w:val="single" w:color="auto" w:sz="4" w:space="0"/>
            </w:tcBorders>
            <w:vAlign w:val="center"/>
          </w:tcPr>
          <w:p>
            <w:pPr>
              <w:spacing w:line="276" w:lineRule="auto"/>
              <w:jc w:val="center"/>
              <w:rPr>
                <w:rFonts w:ascii="宋体" w:hAnsi="宋体" w:cs="宋体"/>
                <w:kern w:val="0"/>
                <w:sz w:val="22"/>
                <w:szCs w:val="22"/>
              </w:rPr>
            </w:pPr>
            <w:r>
              <w:rPr>
                <w:rFonts w:hAnsi="宋体"/>
                <w:sz w:val="24"/>
                <w:szCs w:val="24"/>
              </w:rPr>
              <w:t>总监理工程师</w:t>
            </w:r>
          </w:p>
        </w:tc>
        <w:tc>
          <w:tcPr>
            <w:tcW w:w="5066" w:type="dxa"/>
            <w:tcBorders>
              <w:top w:val="single" w:color="auto" w:sz="4" w:space="0"/>
              <w:left w:val="nil"/>
              <w:bottom w:val="single" w:color="auto" w:sz="4" w:space="0"/>
              <w:right w:val="single" w:color="auto" w:sz="4" w:space="0"/>
            </w:tcBorders>
            <w:vAlign w:val="center"/>
          </w:tcPr>
          <w:p>
            <w:pPr>
              <w:spacing w:line="276" w:lineRule="auto"/>
              <w:rPr>
                <w:rFonts w:ascii="宋体" w:hAnsi="宋体" w:cs="宋体"/>
                <w:kern w:val="0"/>
                <w:sz w:val="22"/>
                <w:szCs w:val="22"/>
              </w:rPr>
            </w:pPr>
            <w:r>
              <w:rPr>
                <w:rFonts w:hAnsi="宋体"/>
                <w:sz w:val="24"/>
                <w:szCs w:val="24"/>
              </w:rPr>
              <w:t>符合第二章“投标人须知”</w:t>
            </w:r>
            <w:r>
              <w:rPr>
                <w:rFonts w:hint="eastAsia" w:hAnsi="宋体"/>
                <w:sz w:val="24"/>
                <w:szCs w:val="24"/>
                <w:lang w:eastAsia="zh-CN"/>
              </w:rPr>
              <w:t>前附表</w:t>
            </w:r>
            <w:r>
              <w:rPr>
                <w:rFonts w:hAnsi="宋体"/>
                <w:sz w:val="24"/>
                <w:szCs w:val="24"/>
              </w:rPr>
              <w:t>第 1.4.1 项规定</w:t>
            </w:r>
          </w:p>
        </w:tc>
      </w:tr>
      <w:tr>
        <w:tblPrEx>
          <w:tblLayout w:type="fixed"/>
          <w:tblCellMar>
            <w:top w:w="0" w:type="dxa"/>
            <w:left w:w="108" w:type="dxa"/>
            <w:bottom w:w="0" w:type="dxa"/>
            <w:right w:w="108" w:type="dxa"/>
          </w:tblCellMar>
        </w:tblPrEx>
        <w:trPr>
          <w:trHeight w:val="1252" w:hRule="atLeast"/>
        </w:trPr>
        <w:tc>
          <w:tcPr>
            <w:tcW w:w="1052" w:type="dxa"/>
            <w:vMerge w:val="continue"/>
            <w:tcBorders>
              <w:top w:val="nil"/>
              <w:left w:val="single" w:color="auto" w:sz="4" w:space="0"/>
              <w:bottom w:val="single" w:color="auto" w:sz="4" w:space="0"/>
              <w:right w:val="single" w:color="auto" w:sz="4" w:space="0"/>
            </w:tcBorders>
            <w:vAlign w:val="center"/>
          </w:tcPr>
          <w:p>
            <w:pPr>
              <w:spacing w:line="276" w:lineRule="auto"/>
              <w:rPr>
                <w:rFonts w:ascii="宋体" w:hAnsi="宋体" w:cs="宋体"/>
                <w:kern w:val="0"/>
                <w:sz w:val="22"/>
                <w:szCs w:val="22"/>
              </w:rPr>
            </w:pPr>
          </w:p>
        </w:tc>
        <w:tc>
          <w:tcPr>
            <w:tcW w:w="1127"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kern w:val="0"/>
                <w:sz w:val="22"/>
                <w:szCs w:val="22"/>
              </w:rPr>
            </w:pPr>
          </w:p>
        </w:tc>
        <w:tc>
          <w:tcPr>
            <w:tcW w:w="2275" w:type="dxa"/>
            <w:tcBorders>
              <w:top w:val="nil"/>
              <w:left w:val="nil"/>
              <w:bottom w:val="single" w:color="auto" w:sz="4" w:space="0"/>
              <w:right w:val="single" w:color="auto" w:sz="4" w:space="0"/>
            </w:tcBorders>
            <w:vAlign w:val="center"/>
          </w:tcPr>
          <w:p>
            <w:pPr>
              <w:spacing w:line="276" w:lineRule="auto"/>
              <w:ind w:firstLine="240" w:firstLineChars="100"/>
              <w:rPr>
                <w:rFonts w:hAnsi="宋体"/>
                <w:sz w:val="24"/>
                <w:szCs w:val="24"/>
              </w:rPr>
            </w:pPr>
            <w:r>
              <w:rPr>
                <w:rFonts w:hint="eastAsia" w:hAnsi="宋体"/>
                <w:sz w:val="24"/>
                <w:szCs w:val="24"/>
              </w:rPr>
              <w:t>人员及社保要求</w:t>
            </w:r>
          </w:p>
        </w:tc>
        <w:tc>
          <w:tcPr>
            <w:tcW w:w="5066" w:type="dxa"/>
            <w:tcBorders>
              <w:top w:val="single" w:color="auto" w:sz="4" w:space="0"/>
              <w:left w:val="nil"/>
              <w:bottom w:val="single" w:color="auto" w:sz="4" w:space="0"/>
              <w:right w:val="single" w:color="auto" w:sz="4" w:space="0"/>
            </w:tcBorders>
            <w:vAlign w:val="center"/>
          </w:tcPr>
          <w:p>
            <w:pPr>
              <w:spacing w:line="276" w:lineRule="auto"/>
              <w:rPr>
                <w:rFonts w:hAnsi="宋体"/>
                <w:sz w:val="24"/>
                <w:szCs w:val="24"/>
              </w:rPr>
            </w:pPr>
            <w:r>
              <w:rPr>
                <w:rFonts w:hint="eastAsia" w:hAnsi="宋体"/>
                <w:sz w:val="24"/>
                <w:szCs w:val="24"/>
              </w:rPr>
              <w:t>拟派本项目委托代理人、</w:t>
            </w:r>
            <w:r>
              <w:rPr>
                <w:rFonts w:hint="eastAsia" w:hAnsi="宋体"/>
                <w:sz w:val="24"/>
                <w:szCs w:val="24"/>
                <w:lang w:eastAsia="zh-CN"/>
              </w:rPr>
              <w:t>监理工程师</w:t>
            </w:r>
            <w:r>
              <w:rPr>
                <w:rFonts w:hint="eastAsia" w:hAnsi="宋体"/>
                <w:sz w:val="24"/>
                <w:szCs w:val="24"/>
              </w:rPr>
              <w:t>须具有与本单位签订的劳动合同，且由企业住所地人社部门出具的截止开标时间前，一年内任意连续三个月的社会保险缴纳证明或网上打印的社保缴纳凭证。</w:t>
            </w:r>
          </w:p>
        </w:tc>
      </w:tr>
      <w:tr>
        <w:tblPrEx>
          <w:tblLayout w:type="fixed"/>
          <w:tblCellMar>
            <w:top w:w="0" w:type="dxa"/>
            <w:left w:w="108" w:type="dxa"/>
            <w:bottom w:w="0" w:type="dxa"/>
            <w:right w:w="108" w:type="dxa"/>
          </w:tblCellMar>
        </w:tblPrEx>
        <w:trPr>
          <w:trHeight w:val="505" w:hRule="atLeast"/>
        </w:trPr>
        <w:tc>
          <w:tcPr>
            <w:tcW w:w="1052" w:type="dxa"/>
            <w:vMerge w:val="continue"/>
            <w:tcBorders>
              <w:top w:val="nil"/>
              <w:left w:val="single" w:color="auto" w:sz="4" w:space="0"/>
              <w:bottom w:val="single" w:color="auto" w:sz="4" w:space="0"/>
              <w:right w:val="single" w:color="auto" w:sz="4" w:space="0"/>
            </w:tcBorders>
            <w:vAlign w:val="center"/>
          </w:tcPr>
          <w:p>
            <w:pPr>
              <w:spacing w:line="276" w:lineRule="auto"/>
              <w:rPr>
                <w:rFonts w:ascii="宋体" w:hAnsi="宋体" w:cs="宋体"/>
                <w:kern w:val="0"/>
                <w:sz w:val="22"/>
                <w:szCs w:val="22"/>
              </w:rPr>
            </w:pPr>
          </w:p>
        </w:tc>
        <w:tc>
          <w:tcPr>
            <w:tcW w:w="1127"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kern w:val="0"/>
                <w:sz w:val="22"/>
                <w:szCs w:val="22"/>
              </w:rPr>
            </w:pPr>
          </w:p>
        </w:tc>
        <w:tc>
          <w:tcPr>
            <w:tcW w:w="2275" w:type="dxa"/>
            <w:tcBorders>
              <w:top w:val="nil"/>
              <w:left w:val="nil"/>
              <w:bottom w:val="single" w:color="auto" w:sz="4" w:space="0"/>
              <w:right w:val="single" w:color="auto" w:sz="4" w:space="0"/>
            </w:tcBorders>
            <w:vAlign w:val="center"/>
          </w:tcPr>
          <w:p>
            <w:pPr>
              <w:spacing w:line="276" w:lineRule="auto"/>
              <w:jc w:val="center"/>
              <w:rPr>
                <w:rFonts w:ascii="宋体" w:hAnsi="宋体" w:cs="宋体"/>
                <w:kern w:val="0"/>
                <w:sz w:val="22"/>
                <w:szCs w:val="22"/>
              </w:rPr>
            </w:pPr>
            <w:r>
              <w:rPr>
                <w:rFonts w:hAnsi="宋体"/>
                <w:sz w:val="24"/>
                <w:szCs w:val="24"/>
              </w:rPr>
              <w:t>不存在禁止投标的情形</w:t>
            </w:r>
          </w:p>
        </w:tc>
        <w:tc>
          <w:tcPr>
            <w:tcW w:w="5066" w:type="dxa"/>
            <w:tcBorders>
              <w:top w:val="single" w:color="auto" w:sz="4" w:space="0"/>
              <w:left w:val="nil"/>
              <w:bottom w:val="single" w:color="auto" w:sz="4" w:space="0"/>
              <w:right w:val="single" w:color="auto" w:sz="4" w:space="0"/>
            </w:tcBorders>
            <w:vAlign w:val="center"/>
          </w:tcPr>
          <w:p>
            <w:pPr>
              <w:spacing w:line="276" w:lineRule="auto"/>
              <w:rPr>
                <w:rFonts w:ascii="宋体" w:hAnsi="宋体" w:cs="宋体"/>
                <w:kern w:val="0"/>
                <w:sz w:val="22"/>
                <w:szCs w:val="22"/>
              </w:rPr>
            </w:pPr>
            <w:r>
              <w:rPr>
                <w:rFonts w:hAnsi="宋体"/>
                <w:sz w:val="24"/>
                <w:szCs w:val="24"/>
              </w:rPr>
              <w:t>不存在第二章“投标人须知”第 1.4.3 项规定的任何一种情形</w:t>
            </w:r>
          </w:p>
        </w:tc>
      </w:tr>
      <w:tr>
        <w:tblPrEx>
          <w:tblLayout w:type="fixed"/>
          <w:tblCellMar>
            <w:top w:w="0" w:type="dxa"/>
            <w:left w:w="108" w:type="dxa"/>
            <w:bottom w:w="0" w:type="dxa"/>
            <w:right w:w="108" w:type="dxa"/>
          </w:tblCellMar>
        </w:tblPrEx>
        <w:trPr>
          <w:trHeight w:val="256" w:hRule="atLeast"/>
        </w:trPr>
        <w:tc>
          <w:tcPr>
            <w:tcW w:w="1052"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kern w:val="0"/>
                <w:sz w:val="22"/>
                <w:szCs w:val="22"/>
              </w:rPr>
            </w:pPr>
            <w:r>
              <w:rPr>
                <w:rFonts w:hAnsi="宋体"/>
                <w:sz w:val="24"/>
                <w:szCs w:val="24"/>
              </w:rPr>
              <w:t>2.1.3</w:t>
            </w:r>
          </w:p>
        </w:tc>
        <w:tc>
          <w:tcPr>
            <w:tcW w:w="1127"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kern w:val="0"/>
                <w:sz w:val="22"/>
                <w:szCs w:val="22"/>
              </w:rPr>
            </w:pPr>
            <w:r>
              <w:rPr>
                <w:rFonts w:hAnsi="宋体"/>
                <w:sz w:val="24"/>
                <w:szCs w:val="24"/>
              </w:rPr>
              <w:t>响应性评审标准</w:t>
            </w:r>
          </w:p>
        </w:tc>
        <w:tc>
          <w:tcPr>
            <w:tcW w:w="227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kern w:val="0"/>
                <w:sz w:val="22"/>
                <w:szCs w:val="22"/>
              </w:rPr>
            </w:pPr>
            <w:r>
              <w:rPr>
                <w:rFonts w:hAnsi="宋体"/>
                <w:sz w:val="24"/>
                <w:szCs w:val="24"/>
              </w:rPr>
              <w:t>投标报价</w:t>
            </w:r>
          </w:p>
        </w:tc>
        <w:tc>
          <w:tcPr>
            <w:tcW w:w="5066" w:type="dxa"/>
            <w:tcBorders>
              <w:top w:val="single" w:color="auto" w:sz="4" w:space="0"/>
              <w:left w:val="nil"/>
              <w:bottom w:val="single" w:color="auto" w:sz="4" w:space="0"/>
              <w:right w:val="single" w:color="auto" w:sz="4" w:space="0"/>
            </w:tcBorders>
            <w:vAlign w:val="center"/>
          </w:tcPr>
          <w:p>
            <w:pPr>
              <w:spacing w:line="276" w:lineRule="auto"/>
              <w:rPr>
                <w:rFonts w:ascii="宋体" w:hAnsi="宋体" w:cs="宋体"/>
                <w:kern w:val="0"/>
                <w:sz w:val="22"/>
                <w:szCs w:val="22"/>
              </w:rPr>
            </w:pPr>
            <w:r>
              <w:rPr>
                <w:rFonts w:hAnsi="宋体"/>
                <w:sz w:val="24"/>
                <w:szCs w:val="24"/>
              </w:rPr>
              <w:t>符合第二章“投标人须知”第 3.2 款规定；</w:t>
            </w:r>
          </w:p>
        </w:tc>
      </w:tr>
      <w:tr>
        <w:tblPrEx>
          <w:tblLayout w:type="fixed"/>
          <w:tblCellMar>
            <w:top w:w="0" w:type="dxa"/>
            <w:left w:w="108" w:type="dxa"/>
            <w:bottom w:w="0" w:type="dxa"/>
            <w:right w:w="108" w:type="dxa"/>
          </w:tblCellMar>
        </w:tblPrEx>
        <w:trPr>
          <w:trHeight w:val="505" w:hRule="atLeast"/>
        </w:trPr>
        <w:tc>
          <w:tcPr>
            <w:tcW w:w="1052"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kern w:val="0"/>
                <w:sz w:val="22"/>
                <w:szCs w:val="22"/>
              </w:rPr>
            </w:pPr>
          </w:p>
        </w:tc>
        <w:tc>
          <w:tcPr>
            <w:tcW w:w="1127"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kern w:val="0"/>
                <w:sz w:val="22"/>
                <w:szCs w:val="22"/>
              </w:rPr>
            </w:pPr>
          </w:p>
        </w:tc>
        <w:tc>
          <w:tcPr>
            <w:tcW w:w="227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kern w:val="0"/>
                <w:sz w:val="22"/>
                <w:szCs w:val="22"/>
              </w:rPr>
            </w:pPr>
            <w:r>
              <w:rPr>
                <w:rFonts w:hAnsi="宋体"/>
                <w:sz w:val="24"/>
                <w:szCs w:val="24"/>
              </w:rPr>
              <w:t>投标内容</w:t>
            </w:r>
          </w:p>
        </w:tc>
        <w:tc>
          <w:tcPr>
            <w:tcW w:w="5066" w:type="dxa"/>
            <w:tcBorders>
              <w:top w:val="single" w:color="auto" w:sz="4" w:space="0"/>
              <w:left w:val="nil"/>
              <w:bottom w:val="single" w:color="auto" w:sz="4" w:space="0"/>
              <w:right w:val="single" w:color="auto" w:sz="4" w:space="0"/>
            </w:tcBorders>
            <w:vAlign w:val="center"/>
          </w:tcPr>
          <w:p>
            <w:pPr>
              <w:spacing w:line="276" w:lineRule="auto"/>
              <w:rPr>
                <w:rFonts w:ascii="宋体" w:hAnsi="宋体" w:cs="宋体"/>
                <w:kern w:val="0"/>
                <w:sz w:val="22"/>
                <w:szCs w:val="22"/>
              </w:rPr>
            </w:pPr>
            <w:r>
              <w:rPr>
                <w:rFonts w:hAnsi="宋体"/>
                <w:sz w:val="24"/>
                <w:szCs w:val="24"/>
              </w:rPr>
              <w:t>符合第二章“投标人须知”</w:t>
            </w:r>
            <w:r>
              <w:rPr>
                <w:rFonts w:hint="eastAsia" w:hAnsi="宋体"/>
                <w:sz w:val="24"/>
                <w:szCs w:val="24"/>
                <w:lang w:eastAsia="zh-CN"/>
              </w:rPr>
              <w:t>前附表</w:t>
            </w:r>
            <w:r>
              <w:rPr>
                <w:rFonts w:hAnsi="宋体"/>
                <w:sz w:val="24"/>
                <w:szCs w:val="24"/>
              </w:rPr>
              <w:t>第 1.3.1 项规定</w:t>
            </w:r>
          </w:p>
        </w:tc>
      </w:tr>
      <w:tr>
        <w:tblPrEx>
          <w:tblLayout w:type="fixed"/>
          <w:tblCellMar>
            <w:top w:w="0" w:type="dxa"/>
            <w:left w:w="108" w:type="dxa"/>
            <w:bottom w:w="0" w:type="dxa"/>
            <w:right w:w="108" w:type="dxa"/>
          </w:tblCellMar>
        </w:tblPrEx>
        <w:trPr>
          <w:trHeight w:val="505" w:hRule="atLeast"/>
        </w:trPr>
        <w:tc>
          <w:tcPr>
            <w:tcW w:w="1052"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kern w:val="0"/>
                <w:sz w:val="22"/>
                <w:szCs w:val="22"/>
              </w:rPr>
            </w:pPr>
          </w:p>
        </w:tc>
        <w:tc>
          <w:tcPr>
            <w:tcW w:w="1127"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kern w:val="0"/>
                <w:sz w:val="22"/>
                <w:szCs w:val="22"/>
              </w:rPr>
            </w:pPr>
          </w:p>
        </w:tc>
        <w:tc>
          <w:tcPr>
            <w:tcW w:w="227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kern w:val="0"/>
                <w:sz w:val="22"/>
                <w:szCs w:val="22"/>
              </w:rPr>
            </w:pPr>
            <w:r>
              <w:rPr>
                <w:rFonts w:hAnsi="宋体"/>
                <w:sz w:val="24"/>
                <w:szCs w:val="24"/>
              </w:rPr>
              <w:t>监理服务期限</w:t>
            </w:r>
          </w:p>
        </w:tc>
        <w:tc>
          <w:tcPr>
            <w:tcW w:w="5066" w:type="dxa"/>
            <w:tcBorders>
              <w:top w:val="single" w:color="auto" w:sz="4" w:space="0"/>
              <w:left w:val="nil"/>
              <w:bottom w:val="single" w:color="auto" w:sz="4" w:space="0"/>
              <w:right w:val="single" w:color="auto" w:sz="4" w:space="0"/>
            </w:tcBorders>
            <w:vAlign w:val="center"/>
          </w:tcPr>
          <w:p>
            <w:pPr>
              <w:spacing w:line="276" w:lineRule="auto"/>
              <w:rPr>
                <w:rFonts w:ascii="宋体" w:hAnsi="宋体" w:cs="宋体"/>
                <w:kern w:val="0"/>
                <w:sz w:val="22"/>
                <w:szCs w:val="22"/>
              </w:rPr>
            </w:pPr>
            <w:r>
              <w:rPr>
                <w:rFonts w:hAnsi="宋体"/>
                <w:sz w:val="24"/>
                <w:szCs w:val="24"/>
              </w:rPr>
              <w:t>符合第二章“投标人须知”</w:t>
            </w:r>
            <w:r>
              <w:rPr>
                <w:rFonts w:hint="eastAsia" w:hAnsi="宋体"/>
                <w:sz w:val="24"/>
                <w:szCs w:val="24"/>
                <w:lang w:eastAsia="zh-CN"/>
              </w:rPr>
              <w:t>前附表</w:t>
            </w:r>
            <w:r>
              <w:rPr>
                <w:rFonts w:hAnsi="宋体"/>
                <w:sz w:val="24"/>
                <w:szCs w:val="24"/>
              </w:rPr>
              <w:t>第 1.3.2 项规定</w:t>
            </w:r>
          </w:p>
        </w:tc>
      </w:tr>
      <w:tr>
        <w:tblPrEx>
          <w:tblLayout w:type="fixed"/>
          <w:tblCellMar>
            <w:top w:w="0" w:type="dxa"/>
            <w:left w:w="108" w:type="dxa"/>
            <w:bottom w:w="0" w:type="dxa"/>
            <w:right w:w="108" w:type="dxa"/>
          </w:tblCellMar>
        </w:tblPrEx>
        <w:trPr>
          <w:trHeight w:val="505" w:hRule="atLeast"/>
        </w:trPr>
        <w:tc>
          <w:tcPr>
            <w:tcW w:w="1052"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kern w:val="0"/>
                <w:sz w:val="22"/>
                <w:szCs w:val="22"/>
              </w:rPr>
            </w:pPr>
          </w:p>
        </w:tc>
        <w:tc>
          <w:tcPr>
            <w:tcW w:w="1127"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kern w:val="0"/>
                <w:sz w:val="22"/>
                <w:szCs w:val="22"/>
              </w:rPr>
            </w:pPr>
          </w:p>
        </w:tc>
        <w:tc>
          <w:tcPr>
            <w:tcW w:w="227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kern w:val="0"/>
                <w:sz w:val="22"/>
                <w:szCs w:val="22"/>
              </w:rPr>
            </w:pPr>
            <w:r>
              <w:rPr>
                <w:rFonts w:hAnsi="宋体"/>
                <w:sz w:val="24"/>
                <w:szCs w:val="24"/>
              </w:rPr>
              <w:t>质量标准</w:t>
            </w:r>
          </w:p>
        </w:tc>
        <w:tc>
          <w:tcPr>
            <w:tcW w:w="5066" w:type="dxa"/>
            <w:tcBorders>
              <w:top w:val="single" w:color="auto" w:sz="4" w:space="0"/>
              <w:left w:val="nil"/>
              <w:bottom w:val="single" w:color="auto" w:sz="4" w:space="0"/>
              <w:right w:val="single" w:color="auto" w:sz="4" w:space="0"/>
            </w:tcBorders>
            <w:vAlign w:val="center"/>
          </w:tcPr>
          <w:p>
            <w:pPr>
              <w:spacing w:line="276" w:lineRule="auto"/>
              <w:rPr>
                <w:rFonts w:ascii="宋体" w:hAnsi="宋体" w:cs="宋体"/>
                <w:kern w:val="0"/>
                <w:sz w:val="22"/>
                <w:szCs w:val="22"/>
              </w:rPr>
            </w:pPr>
            <w:r>
              <w:rPr>
                <w:rFonts w:hAnsi="宋体"/>
                <w:sz w:val="24"/>
                <w:szCs w:val="24"/>
              </w:rPr>
              <w:t>符合第二章“投标人须知”</w:t>
            </w:r>
            <w:r>
              <w:rPr>
                <w:rFonts w:hint="eastAsia" w:hAnsi="宋体"/>
                <w:sz w:val="24"/>
                <w:szCs w:val="24"/>
                <w:lang w:eastAsia="zh-CN"/>
              </w:rPr>
              <w:t>前附表</w:t>
            </w:r>
            <w:r>
              <w:rPr>
                <w:rFonts w:hAnsi="宋体"/>
                <w:sz w:val="24"/>
                <w:szCs w:val="24"/>
              </w:rPr>
              <w:t>第 1.3.3 项规定</w:t>
            </w:r>
          </w:p>
        </w:tc>
      </w:tr>
      <w:tr>
        <w:tblPrEx>
          <w:tblLayout w:type="fixed"/>
          <w:tblCellMar>
            <w:top w:w="0" w:type="dxa"/>
            <w:left w:w="108" w:type="dxa"/>
            <w:bottom w:w="0" w:type="dxa"/>
            <w:right w:w="108" w:type="dxa"/>
          </w:tblCellMar>
        </w:tblPrEx>
        <w:trPr>
          <w:trHeight w:val="505" w:hRule="atLeast"/>
        </w:trPr>
        <w:tc>
          <w:tcPr>
            <w:tcW w:w="1052"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kern w:val="0"/>
                <w:sz w:val="22"/>
                <w:szCs w:val="22"/>
              </w:rPr>
            </w:pPr>
          </w:p>
        </w:tc>
        <w:tc>
          <w:tcPr>
            <w:tcW w:w="1127"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kern w:val="0"/>
                <w:sz w:val="22"/>
                <w:szCs w:val="22"/>
              </w:rPr>
            </w:pPr>
          </w:p>
        </w:tc>
        <w:tc>
          <w:tcPr>
            <w:tcW w:w="227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sz w:val="24"/>
                <w:szCs w:val="24"/>
              </w:rPr>
            </w:pPr>
            <w:r>
              <w:rPr>
                <w:rFonts w:hAnsi="宋体"/>
                <w:sz w:val="24"/>
                <w:szCs w:val="24"/>
              </w:rPr>
              <w:t>投标有效期</w:t>
            </w:r>
          </w:p>
        </w:tc>
        <w:tc>
          <w:tcPr>
            <w:tcW w:w="5066" w:type="dxa"/>
            <w:tcBorders>
              <w:top w:val="single" w:color="auto" w:sz="4" w:space="0"/>
              <w:left w:val="nil"/>
              <w:bottom w:val="single" w:color="auto" w:sz="4" w:space="0"/>
              <w:right w:val="single" w:color="auto" w:sz="4" w:space="0"/>
            </w:tcBorders>
            <w:vAlign w:val="center"/>
          </w:tcPr>
          <w:p>
            <w:pPr>
              <w:spacing w:line="276" w:lineRule="auto"/>
              <w:rPr>
                <w:rFonts w:hAnsi="宋体"/>
                <w:sz w:val="24"/>
                <w:szCs w:val="24"/>
              </w:rPr>
            </w:pPr>
            <w:r>
              <w:rPr>
                <w:rFonts w:hAnsi="宋体"/>
                <w:sz w:val="24"/>
                <w:szCs w:val="24"/>
              </w:rPr>
              <w:t>符合第二章“投标人须知”</w:t>
            </w:r>
            <w:r>
              <w:rPr>
                <w:rFonts w:hint="eastAsia" w:hAnsi="宋体"/>
                <w:sz w:val="24"/>
                <w:szCs w:val="24"/>
                <w:lang w:eastAsia="zh-CN"/>
              </w:rPr>
              <w:t>前附表</w:t>
            </w:r>
            <w:r>
              <w:rPr>
                <w:rFonts w:hAnsi="宋体"/>
                <w:sz w:val="24"/>
                <w:szCs w:val="24"/>
              </w:rPr>
              <w:t>第 3.3.1 项规定</w:t>
            </w:r>
          </w:p>
        </w:tc>
      </w:tr>
      <w:tr>
        <w:tblPrEx>
          <w:tblLayout w:type="fixed"/>
          <w:tblCellMar>
            <w:top w:w="0" w:type="dxa"/>
            <w:left w:w="108" w:type="dxa"/>
            <w:bottom w:w="0" w:type="dxa"/>
            <w:right w:w="108" w:type="dxa"/>
          </w:tblCellMar>
        </w:tblPrEx>
        <w:trPr>
          <w:trHeight w:val="505" w:hRule="atLeast"/>
        </w:trPr>
        <w:tc>
          <w:tcPr>
            <w:tcW w:w="1052"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kern w:val="0"/>
                <w:sz w:val="22"/>
                <w:szCs w:val="22"/>
              </w:rPr>
            </w:pPr>
          </w:p>
        </w:tc>
        <w:tc>
          <w:tcPr>
            <w:tcW w:w="1127"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kern w:val="0"/>
                <w:sz w:val="22"/>
                <w:szCs w:val="22"/>
              </w:rPr>
            </w:pPr>
          </w:p>
        </w:tc>
        <w:tc>
          <w:tcPr>
            <w:tcW w:w="227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hAnsi="宋体" w:eastAsia="宋体"/>
                <w:sz w:val="24"/>
                <w:szCs w:val="24"/>
                <w:lang w:eastAsia="zh-CN"/>
              </w:rPr>
            </w:pPr>
            <w:r>
              <w:rPr>
                <w:rFonts w:hint="eastAsia" w:hAnsi="宋体"/>
                <w:sz w:val="24"/>
                <w:szCs w:val="24"/>
                <w:lang w:eastAsia="zh-CN"/>
              </w:rPr>
              <w:t>投标担保</w:t>
            </w:r>
          </w:p>
        </w:tc>
        <w:tc>
          <w:tcPr>
            <w:tcW w:w="5066" w:type="dxa"/>
            <w:tcBorders>
              <w:top w:val="single" w:color="auto" w:sz="4" w:space="0"/>
              <w:left w:val="nil"/>
              <w:bottom w:val="single" w:color="auto" w:sz="4" w:space="0"/>
              <w:right w:val="single" w:color="auto" w:sz="4" w:space="0"/>
            </w:tcBorders>
            <w:vAlign w:val="center"/>
          </w:tcPr>
          <w:p>
            <w:pPr>
              <w:spacing w:line="276" w:lineRule="auto"/>
              <w:rPr>
                <w:rFonts w:hAnsi="宋体"/>
                <w:sz w:val="24"/>
                <w:szCs w:val="24"/>
              </w:rPr>
            </w:pPr>
            <w:r>
              <w:rPr>
                <w:rFonts w:hAnsi="宋体"/>
                <w:sz w:val="24"/>
                <w:szCs w:val="24"/>
              </w:rPr>
              <w:t>符合第二章“投标人须知”</w:t>
            </w:r>
            <w:r>
              <w:rPr>
                <w:rFonts w:hint="eastAsia" w:hAnsi="宋体"/>
                <w:sz w:val="24"/>
                <w:szCs w:val="24"/>
                <w:lang w:eastAsia="zh-CN"/>
              </w:rPr>
              <w:t>前附表</w:t>
            </w:r>
            <w:r>
              <w:rPr>
                <w:rFonts w:hAnsi="宋体"/>
                <w:sz w:val="24"/>
                <w:szCs w:val="24"/>
              </w:rPr>
              <w:t>第 3.4.</w:t>
            </w:r>
            <w:r>
              <w:rPr>
                <w:rFonts w:hint="eastAsia" w:hAnsi="宋体"/>
                <w:sz w:val="24"/>
                <w:szCs w:val="24"/>
                <w:lang w:val="en-US" w:eastAsia="zh-CN"/>
              </w:rPr>
              <w:t>1</w:t>
            </w:r>
            <w:r>
              <w:rPr>
                <w:rFonts w:hAnsi="宋体"/>
                <w:sz w:val="24"/>
                <w:szCs w:val="24"/>
              </w:rPr>
              <w:t xml:space="preserve"> 项规定</w:t>
            </w:r>
          </w:p>
        </w:tc>
      </w:tr>
      <w:tr>
        <w:tblPrEx>
          <w:tblLayout w:type="fixed"/>
          <w:tblCellMar>
            <w:top w:w="0" w:type="dxa"/>
            <w:left w:w="108" w:type="dxa"/>
            <w:bottom w:w="0" w:type="dxa"/>
            <w:right w:w="108" w:type="dxa"/>
          </w:tblCellMar>
        </w:tblPrEx>
        <w:trPr>
          <w:trHeight w:val="3376" w:hRule="atLeast"/>
        </w:trPr>
        <w:tc>
          <w:tcPr>
            <w:tcW w:w="1052"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kern w:val="0"/>
                <w:sz w:val="22"/>
                <w:szCs w:val="22"/>
              </w:rPr>
            </w:pPr>
          </w:p>
        </w:tc>
        <w:tc>
          <w:tcPr>
            <w:tcW w:w="1127"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kern w:val="0"/>
                <w:sz w:val="22"/>
                <w:szCs w:val="22"/>
              </w:rPr>
            </w:pPr>
          </w:p>
        </w:tc>
        <w:tc>
          <w:tcPr>
            <w:tcW w:w="2275" w:type="dxa"/>
            <w:tcBorders>
              <w:top w:val="single" w:color="auto" w:sz="4" w:space="0"/>
              <w:left w:val="nil"/>
              <w:bottom w:val="single" w:color="auto" w:sz="4" w:space="0"/>
              <w:right w:val="single" w:color="auto" w:sz="4" w:space="0"/>
            </w:tcBorders>
            <w:vAlign w:val="center"/>
          </w:tcPr>
          <w:p>
            <w:pPr>
              <w:spacing w:line="276" w:lineRule="auto"/>
              <w:jc w:val="center"/>
              <w:rPr>
                <w:rFonts w:hAnsi="宋体"/>
                <w:sz w:val="24"/>
                <w:szCs w:val="24"/>
              </w:rPr>
            </w:pPr>
            <w:r>
              <w:rPr>
                <w:rFonts w:hint="eastAsia" w:hAnsi="宋体"/>
                <w:sz w:val="24"/>
                <w:szCs w:val="24"/>
              </w:rPr>
              <w:t>其他</w:t>
            </w:r>
          </w:p>
        </w:tc>
        <w:tc>
          <w:tcPr>
            <w:tcW w:w="5066" w:type="dxa"/>
            <w:tcBorders>
              <w:top w:val="single" w:color="auto" w:sz="4" w:space="0"/>
              <w:left w:val="nil"/>
              <w:bottom w:val="single" w:color="auto" w:sz="4" w:space="0"/>
              <w:right w:val="single" w:color="auto" w:sz="4" w:space="0"/>
            </w:tcBorders>
            <w:vAlign w:val="center"/>
          </w:tcPr>
          <w:p>
            <w:pPr>
              <w:numPr>
                <w:ilvl w:val="0"/>
                <w:numId w:val="0"/>
              </w:numPr>
              <w:snapToGrid w:val="0"/>
              <w:spacing w:line="440" w:lineRule="exact"/>
              <w:rPr>
                <w:rFonts w:hAnsi="宋体"/>
                <w:sz w:val="24"/>
                <w:szCs w:val="24"/>
              </w:rPr>
            </w:pPr>
            <w:r>
              <w:rPr>
                <w:rFonts w:hint="eastAsia" w:hAnsi="宋体"/>
                <w:sz w:val="24"/>
                <w:szCs w:val="24"/>
                <w:lang w:val="en-US" w:eastAsia="zh-CN"/>
              </w:rPr>
              <w:t>1、</w:t>
            </w:r>
            <w:r>
              <w:rPr>
                <w:rFonts w:hAnsi="宋体"/>
                <w:sz w:val="24"/>
                <w:szCs w:val="24"/>
              </w:rPr>
              <w:t>投标人有串通投标、弄虚作假、行贿等违法行为。</w:t>
            </w:r>
          </w:p>
          <w:p>
            <w:pPr>
              <w:numPr>
                <w:ilvl w:val="0"/>
                <w:numId w:val="0"/>
              </w:numPr>
              <w:snapToGrid w:val="0"/>
              <w:spacing w:line="440" w:lineRule="exact"/>
              <w:rPr>
                <w:rFonts w:hAnsi="宋体"/>
                <w:sz w:val="24"/>
                <w:szCs w:val="24"/>
              </w:rPr>
            </w:pPr>
            <w:r>
              <w:rPr>
                <w:rFonts w:hint="eastAsia" w:ascii="新宋体" w:hAnsi="新宋体" w:eastAsia="新宋体" w:cs="新宋体"/>
                <w:b/>
                <w:color w:val="auto"/>
                <w:sz w:val="24"/>
                <w:lang w:val="en-US" w:eastAsia="zh-CN" w:bidi="ar"/>
              </w:rPr>
              <w:t>2、</w:t>
            </w:r>
            <w:r>
              <w:rPr>
                <w:rFonts w:hint="eastAsia" w:ascii="新宋体" w:hAnsi="新宋体" w:eastAsia="新宋体" w:cs="新宋体"/>
                <w:b/>
                <w:color w:val="auto"/>
                <w:sz w:val="24"/>
                <w:lang w:bidi="ar"/>
              </w:rPr>
              <w:t>不同投标人电子投标文件记录的网卡MAC地址、CPU序号、硬盘序列号等硬件特征码均相同时，视为</w:t>
            </w:r>
            <w:r>
              <w:rPr>
                <w:rFonts w:hint="eastAsia" w:ascii="新宋体" w:hAnsi="新宋体" w:eastAsia="新宋体" w:cs="新宋体"/>
                <w:b/>
                <w:color w:val="auto"/>
                <w:sz w:val="24"/>
                <w:lang w:eastAsia="zh-CN" w:bidi="ar"/>
              </w:rPr>
              <w:t>“</w:t>
            </w:r>
            <w:r>
              <w:rPr>
                <w:rFonts w:hint="eastAsia" w:ascii="新宋体" w:hAnsi="新宋体" w:eastAsia="新宋体" w:cs="新宋体"/>
                <w:b/>
                <w:color w:val="auto"/>
                <w:sz w:val="24"/>
                <w:lang w:bidi="ar"/>
              </w:rPr>
              <w:t>不同投标人的投标文件由同一单位或者个人编制</w:t>
            </w:r>
            <w:r>
              <w:rPr>
                <w:rFonts w:hint="eastAsia" w:ascii="新宋体" w:hAnsi="新宋体" w:eastAsia="新宋体" w:cs="新宋体"/>
                <w:b/>
                <w:color w:val="auto"/>
                <w:sz w:val="24"/>
                <w:lang w:eastAsia="zh-CN" w:bidi="ar"/>
              </w:rPr>
              <w:t>”</w:t>
            </w:r>
            <w:r>
              <w:rPr>
                <w:rFonts w:hint="eastAsia" w:ascii="新宋体" w:hAnsi="新宋体" w:eastAsia="新宋体" w:cs="新宋体"/>
                <w:b/>
                <w:color w:val="auto"/>
                <w:sz w:val="24"/>
                <w:lang w:bidi="ar"/>
              </w:rPr>
              <w:t>或</w:t>
            </w:r>
            <w:r>
              <w:rPr>
                <w:rFonts w:hint="eastAsia" w:ascii="新宋体" w:hAnsi="新宋体" w:eastAsia="新宋体" w:cs="新宋体"/>
                <w:b/>
                <w:color w:val="auto"/>
                <w:sz w:val="24"/>
                <w:lang w:eastAsia="zh-CN" w:bidi="ar"/>
              </w:rPr>
              <w:t>“</w:t>
            </w:r>
            <w:r>
              <w:rPr>
                <w:rFonts w:hint="eastAsia" w:ascii="新宋体" w:hAnsi="新宋体" w:eastAsia="新宋体" w:cs="新宋体"/>
                <w:b/>
                <w:color w:val="auto"/>
                <w:sz w:val="24"/>
                <w:lang w:bidi="ar"/>
              </w:rPr>
              <w:t>不同投标人委托同一单位或者个人办理投标事宜</w:t>
            </w:r>
            <w:r>
              <w:rPr>
                <w:rFonts w:hint="eastAsia" w:ascii="新宋体" w:hAnsi="新宋体" w:eastAsia="新宋体" w:cs="新宋体"/>
                <w:b/>
                <w:color w:val="auto"/>
                <w:sz w:val="24"/>
                <w:lang w:eastAsia="zh-CN" w:bidi="ar"/>
              </w:rPr>
              <w:t>”</w:t>
            </w:r>
            <w:r>
              <w:rPr>
                <w:rFonts w:hint="eastAsia" w:ascii="新宋体" w:hAnsi="新宋体" w:eastAsia="新宋体" w:cs="新宋体"/>
                <w:b/>
                <w:color w:val="auto"/>
                <w:sz w:val="24"/>
                <w:lang w:bidi="ar"/>
              </w:rPr>
              <w:t>，其投标无效；评标专家应严格按照招标文件要求查看“硬件特征码”相关信息并进行评审，在评标报告中显示“不同投标人电子投标文件制作硬件特征码”是否雷同的分析及判定结果。</w:t>
            </w:r>
          </w:p>
        </w:tc>
      </w:tr>
      <w:tr>
        <w:tblPrEx>
          <w:tblLayout w:type="fixed"/>
          <w:tblCellMar>
            <w:top w:w="0" w:type="dxa"/>
            <w:left w:w="108" w:type="dxa"/>
            <w:bottom w:w="0" w:type="dxa"/>
            <w:right w:w="108" w:type="dxa"/>
          </w:tblCellMar>
        </w:tblPrEx>
        <w:trPr>
          <w:trHeight w:val="1307" w:hRule="atLeast"/>
        </w:trPr>
        <w:tc>
          <w:tcPr>
            <w:tcW w:w="217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2.2.1</w:t>
            </w:r>
          </w:p>
        </w:tc>
        <w:tc>
          <w:tcPr>
            <w:tcW w:w="227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分值构成</w:t>
            </w:r>
          </w:p>
          <w:p>
            <w:pPr>
              <w:widowControl/>
              <w:spacing w:line="360" w:lineRule="auto"/>
              <w:jc w:val="center"/>
              <w:rPr>
                <w:rFonts w:ascii="宋体" w:hAnsi="宋体" w:cs="宋体"/>
                <w:kern w:val="0"/>
                <w:sz w:val="24"/>
                <w:szCs w:val="24"/>
              </w:rPr>
            </w:pPr>
            <w:r>
              <w:rPr>
                <w:rFonts w:hint="eastAsia" w:ascii="宋体" w:hAnsi="宋体" w:cs="宋体"/>
                <w:kern w:val="0"/>
                <w:sz w:val="24"/>
                <w:szCs w:val="24"/>
              </w:rPr>
              <w:t>(总分 100 分)</w:t>
            </w:r>
          </w:p>
        </w:tc>
        <w:tc>
          <w:tcPr>
            <w:tcW w:w="5066" w:type="dxa"/>
            <w:tcBorders>
              <w:top w:val="single" w:color="auto" w:sz="4" w:space="0"/>
              <w:left w:val="nil"/>
              <w:bottom w:val="single" w:color="auto" w:sz="4" w:space="0"/>
              <w:right w:val="single" w:color="auto" w:sz="4" w:space="0"/>
            </w:tcBorders>
            <w:vAlign w:val="center"/>
          </w:tcPr>
          <w:p>
            <w:pPr>
              <w:widowControl/>
              <w:spacing w:line="360" w:lineRule="auto"/>
              <w:jc w:val="both"/>
              <w:rPr>
                <w:sz w:val="24"/>
                <w:szCs w:val="24"/>
              </w:rPr>
            </w:pPr>
            <w:r>
              <w:rPr>
                <w:rFonts w:hint="eastAsia"/>
                <w:sz w:val="24"/>
                <w:szCs w:val="24"/>
              </w:rPr>
              <w:t>监理大纲：40分</w:t>
            </w:r>
          </w:p>
          <w:p>
            <w:pPr>
              <w:widowControl/>
              <w:spacing w:line="360" w:lineRule="auto"/>
              <w:jc w:val="both"/>
              <w:rPr>
                <w:rFonts w:hint="eastAsia"/>
                <w:sz w:val="24"/>
                <w:szCs w:val="24"/>
              </w:rPr>
            </w:pPr>
            <w:r>
              <w:rPr>
                <w:rFonts w:hint="eastAsia"/>
                <w:sz w:val="24"/>
                <w:szCs w:val="24"/>
                <w:lang w:eastAsia="zh-CN"/>
              </w:rPr>
              <w:t>资信业绩</w:t>
            </w:r>
            <w:r>
              <w:rPr>
                <w:rFonts w:hint="eastAsia"/>
                <w:sz w:val="24"/>
                <w:szCs w:val="24"/>
              </w:rPr>
              <w:t>：</w:t>
            </w:r>
            <w:r>
              <w:rPr>
                <w:rFonts w:hint="eastAsia"/>
                <w:sz w:val="24"/>
                <w:szCs w:val="24"/>
                <w:lang w:val="en-US" w:eastAsia="zh-CN"/>
              </w:rPr>
              <w:t>35</w:t>
            </w:r>
            <w:r>
              <w:rPr>
                <w:rFonts w:hint="eastAsia"/>
                <w:sz w:val="24"/>
                <w:szCs w:val="24"/>
              </w:rPr>
              <w:t>分</w:t>
            </w:r>
          </w:p>
          <w:p>
            <w:pPr>
              <w:widowControl/>
              <w:spacing w:line="360" w:lineRule="auto"/>
              <w:jc w:val="both"/>
              <w:rPr>
                <w:sz w:val="24"/>
                <w:szCs w:val="24"/>
              </w:rPr>
            </w:pPr>
            <w:r>
              <w:rPr>
                <w:rFonts w:hint="eastAsia"/>
                <w:sz w:val="24"/>
                <w:szCs w:val="24"/>
              </w:rPr>
              <w:t>投标报价：</w:t>
            </w:r>
            <w:r>
              <w:rPr>
                <w:sz w:val="24"/>
                <w:szCs w:val="24"/>
              </w:rPr>
              <w:t>2</w:t>
            </w:r>
            <w:r>
              <w:rPr>
                <w:rFonts w:hint="eastAsia"/>
                <w:sz w:val="24"/>
                <w:szCs w:val="24"/>
              </w:rPr>
              <w:t>0分</w:t>
            </w:r>
          </w:p>
          <w:p>
            <w:pPr>
              <w:widowControl/>
              <w:spacing w:line="360" w:lineRule="auto"/>
              <w:jc w:val="both"/>
              <w:rPr>
                <w:rFonts w:hint="eastAsia" w:eastAsia="宋体"/>
                <w:sz w:val="24"/>
                <w:szCs w:val="24"/>
                <w:lang w:eastAsia="zh-CN"/>
              </w:rPr>
            </w:pPr>
            <w:r>
              <w:rPr>
                <w:rFonts w:hint="eastAsia"/>
                <w:sz w:val="24"/>
                <w:szCs w:val="24"/>
                <w:lang w:eastAsia="zh-CN"/>
              </w:rPr>
              <w:t>其他因素：</w:t>
            </w:r>
            <w:r>
              <w:rPr>
                <w:rFonts w:hint="eastAsia"/>
                <w:sz w:val="24"/>
                <w:szCs w:val="24"/>
                <w:lang w:val="en-US" w:eastAsia="zh-CN"/>
              </w:rPr>
              <w:t>5分</w:t>
            </w:r>
          </w:p>
        </w:tc>
      </w:tr>
      <w:tr>
        <w:tblPrEx>
          <w:tblLayout w:type="fixed"/>
          <w:tblCellMar>
            <w:top w:w="0" w:type="dxa"/>
            <w:left w:w="108" w:type="dxa"/>
            <w:bottom w:w="0" w:type="dxa"/>
            <w:right w:w="108" w:type="dxa"/>
          </w:tblCellMar>
        </w:tblPrEx>
        <w:trPr>
          <w:trHeight w:val="3181" w:hRule="atLeast"/>
        </w:trPr>
        <w:tc>
          <w:tcPr>
            <w:tcW w:w="217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2.2.2</w:t>
            </w:r>
          </w:p>
        </w:tc>
        <w:tc>
          <w:tcPr>
            <w:tcW w:w="227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有效投标报价及评标基准价的计算方法</w:t>
            </w:r>
          </w:p>
        </w:tc>
        <w:tc>
          <w:tcPr>
            <w:tcW w:w="5066"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一、有效投标报价确定方法</w:t>
            </w:r>
            <w:r>
              <w:rPr>
                <w:rFonts w:hint="eastAsia" w:ascii="宋体" w:hAnsi="宋体" w:cs="宋体"/>
                <w:kern w:val="0"/>
                <w:sz w:val="24"/>
                <w:szCs w:val="24"/>
                <w:lang w:eastAsia="zh-CN"/>
              </w:rPr>
              <w:t>，</w:t>
            </w:r>
            <w:r>
              <w:rPr>
                <w:rFonts w:hint="eastAsia" w:ascii="宋体" w:hAnsi="宋体" w:cs="宋体"/>
                <w:kern w:val="0"/>
                <w:sz w:val="24"/>
                <w:szCs w:val="24"/>
              </w:rPr>
              <w:t>同时符合以上两个条件的投标报价为有效投标报价；</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1.低于</w:t>
            </w:r>
            <w:r>
              <w:rPr>
                <w:rFonts w:hint="eastAsia" w:ascii="宋体" w:hAnsi="宋体" w:cs="宋体"/>
                <w:kern w:val="0"/>
                <w:sz w:val="24"/>
                <w:szCs w:val="24"/>
                <w:lang w:eastAsia="zh-CN"/>
              </w:rPr>
              <w:t>或等于</w:t>
            </w:r>
            <w:r>
              <w:rPr>
                <w:rFonts w:hint="eastAsia" w:ascii="宋体" w:hAnsi="宋体" w:cs="宋体"/>
                <w:kern w:val="0"/>
                <w:sz w:val="24"/>
                <w:szCs w:val="24"/>
              </w:rPr>
              <w:t>最高投标限价；</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2.通过初步评审的投标人的投标报价；</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二、评标基准价的确定办法</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1.当有效投标报价在最高投标限价100%～95%（含100%、95%）范围内时，参与评标基准价的计算，低于最高投标限价95%时不参与评标基准价的计算，但仍计算报价得分；</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若所有投标人的投标报价均未进入最高投标限价的100％（包括100％）至95％（包括95％）范围，则取最高投标限价的95％来计算评标基准价。</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2.当有效投标报价大于五家时，计算有效投标报价的算术平均值时，为各有效投标报价，去掉一个最高和一个最低报价后的算术平均值。</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3.有效投标报价少于或等于五家时，有效投标报价的算术平均值为所有有效投标报价的算术平均值。</w:t>
            </w:r>
          </w:p>
        </w:tc>
      </w:tr>
      <w:tr>
        <w:tblPrEx>
          <w:tblLayout w:type="fixed"/>
          <w:tblCellMar>
            <w:top w:w="0" w:type="dxa"/>
            <w:left w:w="108" w:type="dxa"/>
            <w:bottom w:w="0" w:type="dxa"/>
            <w:right w:w="108" w:type="dxa"/>
          </w:tblCellMar>
        </w:tblPrEx>
        <w:trPr>
          <w:trHeight w:val="657" w:hRule="atLeast"/>
        </w:trPr>
        <w:tc>
          <w:tcPr>
            <w:tcW w:w="217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2.2.3</w:t>
            </w:r>
          </w:p>
        </w:tc>
        <w:tc>
          <w:tcPr>
            <w:tcW w:w="227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投标报价的</w:t>
            </w:r>
          </w:p>
          <w:p>
            <w:pPr>
              <w:widowControl/>
              <w:spacing w:line="360" w:lineRule="auto"/>
              <w:jc w:val="center"/>
              <w:rPr>
                <w:rFonts w:ascii="宋体" w:hAnsi="宋体" w:cs="宋体"/>
                <w:kern w:val="0"/>
                <w:sz w:val="24"/>
                <w:szCs w:val="24"/>
              </w:rPr>
            </w:pPr>
            <w:r>
              <w:rPr>
                <w:rFonts w:hint="eastAsia" w:ascii="宋体" w:hAnsi="宋体" w:cs="宋体"/>
                <w:kern w:val="0"/>
                <w:sz w:val="24"/>
                <w:szCs w:val="24"/>
              </w:rPr>
              <w:t>偏差率计算公式</w:t>
            </w:r>
          </w:p>
        </w:tc>
        <w:tc>
          <w:tcPr>
            <w:tcW w:w="506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偏差率=（投标报价-评标基准价）/ 评标基准价*100%</w:t>
            </w:r>
          </w:p>
        </w:tc>
      </w:tr>
      <w:tr>
        <w:tblPrEx>
          <w:tblLayout w:type="fixed"/>
          <w:tblCellMar>
            <w:top w:w="0" w:type="dxa"/>
            <w:left w:w="108" w:type="dxa"/>
            <w:bottom w:w="0" w:type="dxa"/>
            <w:right w:w="108" w:type="dxa"/>
          </w:tblCellMar>
        </w:tblPrEx>
        <w:trPr>
          <w:trHeight w:val="362" w:hRule="atLeast"/>
        </w:trPr>
        <w:tc>
          <w:tcPr>
            <w:tcW w:w="2179" w:type="dxa"/>
            <w:gridSpan w:val="2"/>
            <w:tcBorders>
              <w:top w:val="single" w:color="auto" w:sz="4" w:space="0"/>
              <w:left w:val="single" w:color="auto" w:sz="4" w:space="0"/>
              <w:bottom w:val="single" w:color="auto" w:sz="4" w:space="0"/>
              <w:right w:val="single" w:color="000000" w:sz="4" w:space="0"/>
            </w:tcBorders>
            <w:vAlign w:val="center"/>
          </w:tcPr>
          <w:p>
            <w:pPr>
              <w:widowControl/>
              <w:spacing w:line="360" w:lineRule="auto"/>
              <w:jc w:val="center"/>
              <w:rPr>
                <w:rFonts w:ascii="宋体" w:hAnsi="宋体" w:cs="宋体"/>
                <w:b/>
                <w:bCs/>
                <w:kern w:val="0"/>
                <w:sz w:val="24"/>
                <w:szCs w:val="24"/>
              </w:rPr>
            </w:pPr>
            <w:bookmarkStart w:id="69" w:name="page43"/>
            <w:bookmarkEnd w:id="69"/>
            <w:bookmarkStart w:id="70" w:name="page42"/>
            <w:bookmarkEnd w:id="70"/>
            <w:r>
              <w:rPr>
                <w:rFonts w:hint="eastAsia" w:ascii="宋体" w:hAnsi="宋体" w:cs="宋体"/>
                <w:b/>
                <w:bCs/>
                <w:kern w:val="0"/>
                <w:sz w:val="24"/>
                <w:szCs w:val="24"/>
              </w:rPr>
              <w:t>条款号</w:t>
            </w:r>
          </w:p>
        </w:tc>
        <w:tc>
          <w:tcPr>
            <w:tcW w:w="227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kern w:val="0"/>
                <w:sz w:val="24"/>
                <w:szCs w:val="24"/>
              </w:rPr>
            </w:pPr>
            <w:r>
              <w:rPr>
                <w:rFonts w:hint="eastAsia" w:ascii="宋体" w:hAnsi="宋体" w:cs="宋体"/>
                <w:b/>
                <w:bCs/>
                <w:kern w:val="0"/>
                <w:sz w:val="24"/>
                <w:szCs w:val="24"/>
              </w:rPr>
              <w:t>评分因素</w:t>
            </w:r>
          </w:p>
        </w:tc>
        <w:tc>
          <w:tcPr>
            <w:tcW w:w="506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kern w:val="0"/>
                <w:sz w:val="24"/>
                <w:szCs w:val="24"/>
              </w:rPr>
            </w:pPr>
            <w:r>
              <w:rPr>
                <w:rFonts w:hint="eastAsia" w:ascii="宋体" w:hAnsi="宋体" w:cs="宋体"/>
                <w:b/>
                <w:bCs/>
                <w:kern w:val="0"/>
                <w:sz w:val="24"/>
                <w:szCs w:val="24"/>
              </w:rPr>
              <w:t>·评分标准</w:t>
            </w:r>
          </w:p>
        </w:tc>
      </w:tr>
      <w:tr>
        <w:tblPrEx>
          <w:tblLayout w:type="fixed"/>
          <w:tblCellMar>
            <w:top w:w="0" w:type="dxa"/>
            <w:left w:w="108" w:type="dxa"/>
            <w:bottom w:w="0" w:type="dxa"/>
            <w:right w:w="108" w:type="dxa"/>
          </w:tblCellMar>
        </w:tblPrEx>
        <w:trPr>
          <w:trHeight w:val="3256" w:hRule="atLeast"/>
        </w:trPr>
        <w:tc>
          <w:tcPr>
            <w:tcW w:w="105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2.2.4</w:t>
            </w:r>
            <w:r>
              <w:rPr>
                <w:rFonts w:hint="eastAsia" w:ascii="宋体" w:hAnsi="宋体" w:cs="宋体"/>
                <w:kern w:val="0"/>
                <w:sz w:val="24"/>
                <w:szCs w:val="24"/>
                <w:lang w:eastAsia="zh-CN"/>
              </w:rPr>
              <w:t>（</w:t>
            </w:r>
            <w:r>
              <w:rPr>
                <w:rFonts w:hint="eastAsia" w:ascii="宋体" w:hAnsi="宋体" w:cs="宋体"/>
                <w:kern w:val="0"/>
                <w:sz w:val="24"/>
                <w:szCs w:val="24"/>
                <w:lang w:val="en-US" w:eastAsia="zh-CN"/>
              </w:rPr>
              <w:t>1</w:t>
            </w:r>
            <w:r>
              <w:rPr>
                <w:rFonts w:hint="eastAsia" w:ascii="宋体" w:hAnsi="宋体" w:cs="宋体"/>
                <w:kern w:val="0"/>
                <w:sz w:val="24"/>
                <w:szCs w:val="24"/>
                <w:lang w:eastAsia="zh-CN"/>
              </w:rPr>
              <w:t>）</w:t>
            </w:r>
          </w:p>
        </w:tc>
        <w:tc>
          <w:tcPr>
            <w:tcW w:w="112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监理大纲评分标准（40分）</w:t>
            </w:r>
          </w:p>
        </w:tc>
        <w:tc>
          <w:tcPr>
            <w:tcW w:w="22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组织机构</w:t>
            </w:r>
          </w:p>
          <w:p>
            <w:pPr>
              <w:widowControl/>
              <w:spacing w:line="360" w:lineRule="auto"/>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0</w:t>
            </w:r>
            <w:r>
              <w:rPr>
                <w:rFonts w:hint="eastAsia" w:ascii="宋体" w:hAnsi="宋体" w:cs="宋体"/>
                <w:kern w:val="0"/>
                <w:sz w:val="24"/>
                <w:szCs w:val="24"/>
              </w:rPr>
              <w:t>分）</w:t>
            </w:r>
          </w:p>
        </w:tc>
        <w:tc>
          <w:tcPr>
            <w:tcW w:w="5066"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1.有现场监理组织结构图的得</w:t>
            </w:r>
            <w:r>
              <w:rPr>
                <w:rFonts w:ascii="宋体" w:hAnsi="宋体" w:cs="宋体"/>
                <w:kern w:val="0"/>
                <w:sz w:val="24"/>
                <w:szCs w:val="24"/>
              </w:rPr>
              <w:t>1</w:t>
            </w:r>
            <w:r>
              <w:rPr>
                <w:rFonts w:hint="eastAsia" w:ascii="宋体" w:hAnsi="宋体" w:cs="宋体"/>
                <w:kern w:val="0"/>
                <w:sz w:val="24"/>
                <w:szCs w:val="24"/>
              </w:rPr>
              <w:t>分，组织结构设置中考虑到公司对现场监理部监督管理的得</w:t>
            </w:r>
            <w:r>
              <w:rPr>
                <w:rFonts w:ascii="宋体" w:hAnsi="宋体" w:cs="宋体"/>
                <w:kern w:val="0"/>
                <w:sz w:val="24"/>
                <w:szCs w:val="24"/>
              </w:rPr>
              <w:t>2</w:t>
            </w:r>
            <w:r>
              <w:rPr>
                <w:rFonts w:hint="eastAsia" w:ascii="宋体" w:hAnsi="宋体" w:cs="宋体"/>
                <w:kern w:val="0"/>
                <w:sz w:val="24"/>
                <w:szCs w:val="24"/>
              </w:rPr>
              <w:t>分；此项最多得</w:t>
            </w:r>
            <w:r>
              <w:rPr>
                <w:rFonts w:ascii="宋体" w:hAnsi="宋体" w:cs="宋体"/>
                <w:kern w:val="0"/>
                <w:sz w:val="24"/>
                <w:szCs w:val="24"/>
              </w:rPr>
              <w:t>2</w:t>
            </w:r>
            <w:r>
              <w:rPr>
                <w:rFonts w:hint="eastAsia" w:ascii="宋体" w:hAnsi="宋体" w:cs="宋体"/>
                <w:kern w:val="0"/>
                <w:sz w:val="24"/>
                <w:szCs w:val="24"/>
              </w:rPr>
              <w:t>分。</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2.有明确的各级监理人员（包括总监理工程师、专业监理工程师、监理员、见证员及工程信息管理员）岗位职责，得</w:t>
            </w:r>
            <w:r>
              <w:rPr>
                <w:rFonts w:ascii="宋体" w:hAnsi="宋体" w:cs="宋体"/>
                <w:kern w:val="0"/>
                <w:sz w:val="24"/>
                <w:szCs w:val="24"/>
              </w:rPr>
              <w:t>2</w:t>
            </w:r>
            <w:r>
              <w:rPr>
                <w:rFonts w:hint="eastAsia" w:ascii="宋体" w:hAnsi="宋体" w:cs="宋体"/>
                <w:kern w:val="0"/>
                <w:sz w:val="24"/>
                <w:szCs w:val="24"/>
              </w:rPr>
              <w:t>分，缺一个岗位职责扣</w:t>
            </w:r>
            <w:r>
              <w:rPr>
                <w:rFonts w:ascii="宋体" w:hAnsi="宋体" w:cs="宋体"/>
                <w:kern w:val="0"/>
                <w:sz w:val="24"/>
                <w:szCs w:val="24"/>
              </w:rPr>
              <w:t>0.5</w:t>
            </w:r>
            <w:r>
              <w:rPr>
                <w:rFonts w:hint="eastAsia" w:ascii="宋体" w:hAnsi="宋体" w:cs="宋体"/>
                <w:kern w:val="0"/>
                <w:sz w:val="24"/>
                <w:szCs w:val="24"/>
              </w:rPr>
              <w:t>分，此项扣完为止。</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3.有监理人员的职业道德和纪律规定的得</w:t>
            </w:r>
            <w:r>
              <w:rPr>
                <w:rFonts w:ascii="宋体" w:hAnsi="宋体" w:cs="宋体"/>
                <w:kern w:val="0"/>
                <w:sz w:val="24"/>
                <w:szCs w:val="24"/>
              </w:rPr>
              <w:t>3</w:t>
            </w:r>
            <w:r>
              <w:rPr>
                <w:rFonts w:hint="eastAsia" w:ascii="宋体" w:hAnsi="宋体" w:cs="宋体"/>
                <w:kern w:val="0"/>
                <w:sz w:val="24"/>
                <w:szCs w:val="24"/>
              </w:rPr>
              <w:t>分，有得力可行的相应奖罚措施的得</w:t>
            </w:r>
            <w:r>
              <w:rPr>
                <w:rFonts w:ascii="宋体" w:hAnsi="宋体" w:cs="宋体"/>
                <w:kern w:val="0"/>
                <w:sz w:val="24"/>
                <w:szCs w:val="24"/>
              </w:rPr>
              <w:t>3</w:t>
            </w:r>
            <w:r>
              <w:rPr>
                <w:rFonts w:hint="eastAsia" w:ascii="宋体" w:hAnsi="宋体" w:cs="宋体"/>
                <w:kern w:val="0"/>
                <w:sz w:val="24"/>
                <w:szCs w:val="24"/>
              </w:rPr>
              <w:t>分；此项最多得</w:t>
            </w:r>
            <w:r>
              <w:rPr>
                <w:rFonts w:ascii="宋体" w:hAnsi="宋体" w:cs="宋体"/>
                <w:kern w:val="0"/>
                <w:sz w:val="24"/>
                <w:szCs w:val="24"/>
              </w:rPr>
              <w:t>6</w:t>
            </w:r>
            <w:r>
              <w:rPr>
                <w:rFonts w:hint="eastAsia" w:ascii="宋体" w:hAnsi="宋体" w:cs="宋体"/>
                <w:kern w:val="0"/>
                <w:sz w:val="24"/>
                <w:szCs w:val="24"/>
              </w:rPr>
              <w:t>分。</w:t>
            </w:r>
          </w:p>
        </w:tc>
      </w:tr>
      <w:tr>
        <w:tblPrEx>
          <w:tblLayout w:type="fixed"/>
          <w:tblCellMar>
            <w:top w:w="0" w:type="dxa"/>
            <w:left w:w="108" w:type="dxa"/>
            <w:bottom w:w="0" w:type="dxa"/>
            <w:right w:w="108" w:type="dxa"/>
          </w:tblCellMar>
        </w:tblPrEx>
        <w:trPr>
          <w:trHeight w:val="1957" w:hRule="atLeast"/>
        </w:trPr>
        <w:tc>
          <w:tcPr>
            <w:tcW w:w="10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c>
          <w:tcPr>
            <w:tcW w:w="11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c>
          <w:tcPr>
            <w:tcW w:w="22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质量控制的措施和方法</w:t>
            </w:r>
          </w:p>
          <w:p>
            <w:pPr>
              <w:widowControl/>
              <w:spacing w:line="360" w:lineRule="auto"/>
              <w:jc w:val="center"/>
              <w:rPr>
                <w:rFonts w:ascii="宋体" w:hAnsi="宋体" w:cs="宋体"/>
                <w:kern w:val="0"/>
                <w:sz w:val="24"/>
                <w:szCs w:val="24"/>
              </w:rPr>
            </w:pPr>
            <w:r>
              <w:rPr>
                <w:rFonts w:hint="eastAsia" w:ascii="宋体" w:hAnsi="宋体" w:cs="宋体"/>
                <w:kern w:val="0"/>
                <w:sz w:val="24"/>
                <w:szCs w:val="24"/>
              </w:rPr>
              <w:t>（0-</w:t>
            </w:r>
            <w:r>
              <w:rPr>
                <w:rFonts w:ascii="宋体" w:hAnsi="宋体" w:cs="宋体"/>
                <w:kern w:val="0"/>
                <w:sz w:val="24"/>
                <w:szCs w:val="24"/>
              </w:rPr>
              <w:t>10</w:t>
            </w:r>
            <w:r>
              <w:rPr>
                <w:rFonts w:hint="eastAsia" w:ascii="宋体" w:hAnsi="宋体" w:cs="宋体"/>
                <w:kern w:val="0"/>
                <w:sz w:val="24"/>
                <w:szCs w:val="24"/>
              </w:rPr>
              <w:t>分）</w:t>
            </w:r>
          </w:p>
        </w:tc>
        <w:tc>
          <w:tcPr>
            <w:tcW w:w="5066"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1.有对质量目标的理解和实现质量目标可行性论述；0-</w:t>
            </w:r>
            <w:r>
              <w:rPr>
                <w:rFonts w:ascii="宋体" w:hAnsi="宋体" w:cs="宋体"/>
                <w:kern w:val="0"/>
                <w:sz w:val="24"/>
                <w:szCs w:val="24"/>
              </w:rPr>
              <w:t>2</w:t>
            </w:r>
            <w:r>
              <w:rPr>
                <w:rFonts w:hint="eastAsia" w:ascii="宋体" w:hAnsi="宋体" w:cs="宋体"/>
                <w:kern w:val="0"/>
                <w:sz w:val="24"/>
                <w:szCs w:val="24"/>
              </w:rPr>
              <w:t>分</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2.有事前质量控制措施和方法；0-</w:t>
            </w:r>
            <w:r>
              <w:rPr>
                <w:rFonts w:ascii="宋体" w:hAnsi="宋体" w:cs="宋体"/>
                <w:kern w:val="0"/>
                <w:sz w:val="24"/>
                <w:szCs w:val="24"/>
              </w:rPr>
              <w:t>2</w:t>
            </w:r>
            <w:r>
              <w:rPr>
                <w:rFonts w:hint="eastAsia" w:ascii="宋体" w:hAnsi="宋体" w:cs="宋体"/>
                <w:kern w:val="0"/>
                <w:sz w:val="24"/>
                <w:szCs w:val="24"/>
              </w:rPr>
              <w:t>分</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3.有原材料质量控制的措施和方法；0-</w:t>
            </w:r>
            <w:r>
              <w:rPr>
                <w:rFonts w:ascii="宋体" w:hAnsi="宋体" w:cs="宋体"/>
                <w:kern w:val="0"/>
                <w:sz w:val="24"/>
                <w:szCs w:val="24"/>
              </w:rPr>
              <w:t>2</w:t>
            </w:r>
            <w:r>
              <w:rPr>
                <w:rFonts w:hint="eastAsia" w:ascii="宋体" w:hAnsi="宋体" w:cs="宋体"/>
                <w:kern w:val="0"/>
                <w:sz w:val="24"/>
                <w:szCs w:val="24"/>
              </w:rPr>
              <w:t>分</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4.有事中质量控制措施和方法；0-</w:t>
            </w:r>
            <w:r>
              <w:rPr>
                <w:rFonts w:ascii="宋体" w:hAnsi="宋体" w:cs="宋体"/>
                <w:kern w:val="0"/>
                <w:sz w:val="24"/>
                <w:szCs w:val="24"/>
              </w:rPr>
              <w:t>2</w:t>
            </w:r>
            <w:r>
              <w:rPr>
                <w:rFonts w:hint="eastAsia" w:ascii="宋体" w:hAnsi="宋体" w:cs="宋体"/>
                <w:kern w:val="0"/>
                <w:sz w:val="24"/>
                <w:szCs w:val="24"/>
              </w:rPr>
              <w:t>分</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5.有事后质量控制措施和方法；0-</w:t>
            </w:r>
            <w:r>
              <w:rPr>
                <w:rFonts w:ascii="宋体" w:hAnsi="宋体" w:cs="宋体"/>
                <w:kern w:val="0"/>
                <w:sz w:val="24"/>
                <w:szCs w:val="24"/>
              </w:rPr>
              <w:t>2</w:t>
            </w:r>
            <w:r>
              <w:rPr>
                <w:rFonts w:hint="eastAsia" w:ascii="宋体" w:hAnsi="宋体" w:cs="宋体"/>
                <w:kern w:val="0"/>
                <w:sz w:val="24"/>
                <w:szCs w:val="24"/>
              </w:rPr>
              <w:t>分</w:t>
            </w:r>
          </w:p>
        </w:tc>
      </w:tr>
      <w:tr>
        <w:tblPrEx>
          <w:tblLayout w:type="fixed"/>
          <w:tblCellMar>
            <w:top w:w="0" w:type="dxa"/>
            <w:left w:w="108" w:type="dxa"/>
            <w:bottom w:w="0" w:type="dxa"/>
            <w:right w:w="108" w:type="dxa"/>
          </w:tblCellMar>
        </w:tblPrEx>
        <w:trPr>
          <w:trHeight w:val="657" w:hRule="atLeast"/>
        </w:trPr>
        <w:tc>
          <w:tcPr>
            <w:tcW w:w="10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szCs w:val="24"/>
              </w:rPr>
            </w:pPr>
          </w:p>
        </w:tc>
        <w:tc>
          <w:tcPr>
            <w:tcW w:w="11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szCs w:val="24"/>
              </w:rPr>
            </w:pP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旁站监理的保证措施</w:t>
            </w:r>
          </w:p>
          <w:p>
            <w:pPr>
              <w:widowControl/>
              <w:spacing w:line="360" w:lineRule="auto"/>
              <w:jc w:val="center"/>
              <w:rPr>
                <w:rFonts w:ascii="宋体" w:hAnsi="宋体" w:cs="宋体"/>
                <w:kern w:val="0"/>
                <w:sz w:val="24"/>
                <w:szCs w:val="24"/>
              </w:rPr>
            </w:pPr>
            <w:r>
              <w:rPr>
                <w:rFonts w:hint="eastAsia" w:ascii="宋体" w:hAnsi="宋体" w:cs="宋体"/>
                <w:kern w:val="0"/>
                <w:sz w:val="24"/>
                <w:szCs w:val="24"/>
              </w:rPr>
              <w:t>（0-2分）</w:t>
            </w:r>
          </w:p>
        </w:tc>
        <w:tc>
          <w:tcPr>
            <w:tcW w:w="506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left"/>
              <w:rPr>
                <w:rFonts w:ascii="宋体" w:hAnsi="宋体" w:cs="宋体"/>
                <w:kern w:val="0"/>
                <w:sz w:val="24"/>
                <w:szCs w:val="24"/>
              </w:rPr>
            </w:pPr>
            <w:r>
              <w:rPr>
                <w:rFonts w:hint="eastAsia" w:ascii="宋体" w:hAnsi="宋体" w:cs="宋体"/>
                <w:sz w:val="24"/>
                <w:szCs w:val="24"/>
              </w:rPr>
              <w:t>1</w:t>
            </w:r>
            <w:r>
              <w:rPr>
                <w:rFonts w:hint="eastAsia" w:ascii="宋体" w:hAnsi="宋体" w:cs="宋体"/>
                <w:kern w:val="0"/>
                <w:sz w:val="24"/>
                <w:szCs w:val="24"/>
              </w:rPr>
              <w:t>.旁站监理部位（过程）设置合理；  0-1分</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2.旁站监理措施详细、合理、科学、有保证； 0-1分</w:t>
            </w:r>
          </w:p>
        </w:tc>
      </w:tr>
      <w:tr>
        <w:tblPrEx>
          <w:tblLayout w:type="fixed"/>
          <w:tblCellMar>
            <w:top w:w="0" w:type="dxa"/>
            <w:left w:w="108" w:type="dxa"/>
            <w:bottom w:w="0" w:type="dxa"/>
            <w:right w:w="108" w:type="dxa"/>
          </w:tblCellMar>
        </w:tblPrEx>
        <w:trPr>
          <w:trHeight w:val="1632" w:hRule="atLeast"/>
        </w:trPr>
        <w:tc>
          <w:tcPr>
            <w:tcW w:w="1052" w:type="dxa"/>
            <w:vMerge w:val="continue"/>
            <w:tcBorders>
              <w:top w:val="single" w:color="auto" w:sz="4" w:space="0"/>
              <w:left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c>
          <w:tcPr>
            <w:tcW w:w="1127" w:type="dxa"/>
            <w:vMerge w:val="continue"/>
            <w:tcBorders>
              <w:top w:val="single" w:color="auto" w:sz="4" w:space="0"/>
              <w:left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c>
          <w:tcPr>
            <w:tcW w:w="227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工期控制的措施和方法</w:t>
            </w:r>
          </w:p>
          <w:p>
            <w:pPr>
              <w:widowControl/>
              <w:spacing w:line="360" w:lineRule="auto"/>
              <w:jc w:val="center"/>
              <w:rPr>
                <w:rFonts w:ascii="宋体" w:hAnsi="宋体" w:cs="宋体"/>
                <w:kern w:val="0"/>
                <w:sz w:val="24"/>
                <w:szCs w:val="24"/>
              </w:rPr>
            </w:pPr>
            <w:r>
              <w:rPr>
                <w:rFonts w:hint="eastAsia" w:ascii="宋体" w:hAnsi="宋体" w:cs="宋体"/>
                <w:kern w:val="0"/>
                <w:sz w:val="24"/>
                <w:szCs w:val="24"/>
              </w:rPr>
              <w:t>（0-4分）</w:t>
            </w:r>
          </w:p>
        </w:tc>
        <w:tc>
          <w:tcPr>
            <w:tcW w:w="5066"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1.有对实现工期目标可行性论述；0-1分</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2.有进度控制的监理工作内容、程序、方法和措施；0-1分</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3.进度控制的监理方法和措施详细，技术措施、组织措施、经济措施、合同措施齐全   0-2分；</w:t>
            </w:r>
          </w:p>
        </w:tc>
      </w:tr>
      <w:tr>
        <w:tblPrEx>
          <w:tblLayout w:type="fixed"/>
          <w:tblCellMar>
            <w:top w:w="0" w:type="dxa"/>
            <w:left w:w="108" w:type="dxa"/>
            <w:bottom w:w="0" w:type="dxa"/>
            <w:right w:w="108" w:type="dxa"/>
          </w:tblCellMar>
        </w:tblPrEx>
        <w:trPr>
          <w:trHeight w:val="982" w:hRule="atLeast"/>
        </w:trPr>
        <w:tc>
          <w:tcPr>
            <w:tcW w:w="1052"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c>
          <w:tcPr>
            <w:tcW w:w="1127"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c>
          <w:tcPr>
            <w:tcW w:w="227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投资控制的措施和方法（0-4分）</w:t>
            </w:r>
          </w:p>
        </w:tc>
        <w:tc>
          <w:tcPr>
            <w:tcW w:w="5066"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1.有投资控制的措施和方法，技术措施、组织措施、经济措施、合同措施齐全的，  0-2分；</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2.工程变更、费用索赔的管理方法，0-2分；</w:t>
            </w:r>
          </w:p>
        </w:tc>
      </w:tr>
      <w:tr>
        <w:tblPrEx>
          <w:tblLayout w:type="fixed"/>
          <w:tblCellMar>
            <w:top w:w="0" w:type="dxa"/>
            <w:left w:w="108" w:type="dxa"/>
            <w:bottom w:w="0" w:type="dxa"/>
            <w:right w:w="108" w:type="dxa"/>
          </w:tblCellMar>
        </w:tblPrEx>
        <w:trPr>
          <w:trHeight w:val="982" w:hRule="atLeast"/>
        </w:trPr>
        <w:tc>
          <w:tcPr>
            <w:tcW w:w="1052"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c>
          <w:tcPr>
            <w:tcW w:w="1127"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c>
          <w:tcPr>
            <w:tcW w:w="2275" w:type="dxa"/>
            <w:tcBorders>
              <w:top w:val="nil"/>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文明、安全控制的措施和方法</w:t>
            </w:r>
          </w:p>
          <w:p>
            <w:pPr>
              <w:widowControl/>
              <w:spacing w:line="360" w:lineRule="auto"/>
              <w:jc w:val="center"/>
              <w:rPr>
                <w:rFonts w:ascii="宋体" w:hAnsi="宋体" w:cs="宋体"/>
                <w:kern w:val="0"/>
                <w:sz w:val="24"/>
                <w:szCs w:val="24"/>
              </w:rPr>
            </w:pPr>
            <w:r>
              <w:rPr>
                <w:rFonts w:hint="eastAsia" w:ascii="宋体" w:hAnsi="宋体" w:cs="宋体"/>
                <w:kern w:val="0"/>
                <w:sz w:val="24"/>
                <w:szCs w:val="24"/>
              </w:rPr>
              <w:t>（0-4分）</w:t>
            </w:r>
          </w:p>
        </w:tc>
        <w:tc>
          <w:tcPr>
            <w:tcW w:w="5066"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1.有文明、安全控制的监理措施和方法 0-2分；</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2.监理措施详细，技术措施、组织措施、经济措施、合同措施齐全；0-2分</w:t>
            </w:r>
          </w:p>
        </w:tc>
      </w:tr>
      <w:tr>
        <w:tblPrEx>
          <w:tblLayout w:type="fixed"/>
          <w:tblCellMar>
            <w:top w:w="0" w:type="dxa"/>
            <w:left w:w="108" w:type="dxa"/>
            <w:bottom w:w="0" w:type="dxa"/>
            <w:right w:w="108" w:type="dxa"/>
          </w:tblCellMar>
        </w:tblPrEx>
        <w:trPr>
          <w:trHeight w:val="1632" w:hRule="atLeast"/>
        </w:trPr>
        <w:tc>
          <w:tcPr>
            <w:tcW w:w="1052"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c>
          <w:tcPr>
            <w:tcW w:w="1127"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c>
          <w:tcPr>
            <w:tcW w:w="227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工作协调的措施和方法（0-4分）</w:t>
            </w:r>
          </w:p>
        </w:tc>
        <w:tc>
          <w:tcPr>
            <w:tcW w:w="5066"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1.有项目工作协调的工作内容、原则和程序   0-2分</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2.有工作协调的工作方法和措施、监理详细详细，技术措施、组织措施、经济措施、合同措施齐全   0-2分</w:t>
            </w:r>
          </w:p>
        </w:tc>
      </w:tr>
      <w:tr>
        <w:tblPrEx>
          <w:tblLayout w:type="fixed"/>
          <w:tblCellMar>
            <w:top w:w="0" w:type="dxa"/>
            <w:left w:w="108" w:type="dxa"/>
            <w:bottom w:w="0" w:type="dxa"/>
            <w:right w:w="108" w:type="dxa"/>
          </w:tblCellMar>
        </w:tblPrEx>
        <w:trPr>
          <w:trHeight w:val="1307" w:hRule="atLeast"/>
        </w:trPr>
        <w:tc>
          <w:tcPr>
            <w:tcW w:w="1052"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c>
          <w:tcPr>
            <w:tcW w:w="1127"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c>
          <w:tcPr>
            <w:tcW w:w="2275" w:type="dxa"/>
            <w:tcBorders>
              <w:top w:val="nil"/>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监理部投入的设备</w:t>
            </w:r>
          </w:p>
          <w:p>
            <w:pPr>
              <w:widowControl/>
              <w:spacing w:line="360" w:lineRule="auto"/>
              <w:jc w:val="center"/>
              <w:rPr>
                <w:rFonts w:ascii="宋体" w:hAnsi="宋体" w:cs="宋体"/>
                <w:kern w:val="0"/>
                <w:sz w:val="24"/>
                <w:szCs w:val="24"/>
              </w:rPr>
            </w:pPr>
            <w:r>
              <w:rPr>
                <w:rFonts w:hint="eastAsia" w:ascii="宋体" w:hAnsi="宋体" w:cs="宋体"/>
                <w:kern w:val="0"/>
                <w:sz w:val="24"/>
                <w:szCs w:val="24"/>
              </w:rPr>
              <w:t>（2分）</w:t>
            </w:r>
          </w:p>
        </w:tc>
        <w:tc>
          <w:tcPr>
            <w:tcW w:w="5066"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能有效保证质量监控的经纬仪、水准仪、钢尺、检查工具（套）、照相机、监理管理软件、计算机、打印机、复印机等设备齐全者得2分，缺一项扣0.5分，扣完为止。</w:t>
            </w:r>
          </w:p>
        </w:tc>
      </w:tr>
      <w:tr>
        <w:tblPrEx>
          <w:tblLayout w:type="fixed"/>
          <w:tblCellMar>
            <w:top w:w="0" w:type="dxa"/>
            <w:left w:w="108" w:type="dxa"/>
            <w:bottom w:w="0" w:type="dxa"/>
            <w:right w:w="108" w:type="dxa"/>
          </w:tblCellMar>
        </w:tblPrEx>
        <w:trPr>
          <w:trHeight w:val="982" w:hRule="atLeast"/>
        </w:trPr>
        <w:tc>
          <w:tcPr>
            <w:tcW w:w="105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2.2.4</w:t>
            </w:r>
            <w:r>
              <w:rPr>
                <w:rFonts w:hint="eastAsia" w:ascii="宋体" w:hAnsi="宋体" w:cs="宋体"/>
                <w:kern w:val="0"/>
                <w:sz w:val="24"/>
                <w:szCs w:val="24"/>
                <w:lang w:eastAsia="zh-CN"/>
              </w:rPr>
              <w:t>（</w:t>
            </w:r>
            <w:r>
              <w:rPr>
                <w:rFonts w:hint="eastAsia" w:ascii="宋体" w:hAnsi="宋体" w:cs="宋体"/>
                <w:kern w:val="0"/>
                <w:sz w:val="24"/>
                <w:szCs w:val="24"/>
                <w:lang w:val="en-US" w:eastAsia="zh-CN"/>
              </w:rPr>
              <w:t>2</w:t>
            </w:r>
            <w:r>
              <w:rPr>
                <w:rFonts w:hint="eastAsia" w:ascii="宋体" w:hAnsi="宋体" w:cs="宋体"/>
                <w:kern w:val="0"/>
                <w:sz w:val="24"/>
                <w:szCs w:val="24"/>
                <w:lang w:eastAsia="zh-CN"/>
              </w:rPr>
              <w:t>）</w:t>
            </w:r>
          </w:p>
        </w:tc>
        <w:tc>
          <w:tcPr>
            <w:tcW w:w="112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p>
          <w:p>
            <w:pPr>
              <w:widowControl/>
              <w:spacing w:line="360" w:lineRule="auto"/>
              <w:jc w:val="center"/>
              <w:rPr>
                <w:rFonts w:ascii="宋体" w:hAnsi="宋体" w:cs="宋体"/>
                <w:kern w:val="0"/>
                <w:sz w:val="24"/>
                <w:szCs w:val="24"/>
              </w:rPr>
            </w:pPr>
          </w:p>
          <w:p>
            <w:pPr>
              <w:widowControl/>
              <w:spacing w:line="360" w:lineRule="auto"/>
              <w:jc w:val="center"/>
              <w:rPr>
                <w:rFonts w:ascii="宋体" w:hAnsi="宋体" w:cs="宋体"/>
                <w:kern w:val="0"/>
                <w:sz w:val="24"/>
                <w:szCs w:val="24"/>
              </w:rPr>
            </w:pPr>
            <w:r>
              <w:rPr>
                <w:rFonts w:hint="eastAsia" w:ascii="宋体" w:hAnsi="宋体" w:cs="宋体"/>
                <w:kern w:val="0"/>
                <w:sz w:val="24"/>
                <w:szCs w:val="24"/>
                <w:lang w:eastAsia="zh-CN"/>
              </w:rPr>
              <w:t>资信业绩</w:t>
            </w:r>
            <w:r>
              <w:rPr>
                <w:rFonts w:hint="eastAsia" w:ascii="宋体" w:hAnsi="宋体" w:cs="宋体"/>
                <w:kern w:val="0"/>
                <w:sz w:val="24"/>
                <w:szCs w:val="24"/>
              </w:rPr>
              <w:t>标准</w:t>
            </w:r>
          </w:p>
          <w:p>
            <w:pPr>
              <w:widowControl/>
              <w:spacing w:line="360" w:lineRule="auto"/>
              <w:jc w:val="center"/>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35</w:t>
            </w:r>
            <w:r>
              <w:rPr>
                <w:rFonts w:hint="eastAsia" w:ascii="宋体" w:hAnsi="宋体" w:cs="宋体"/>
                <w:kern w:val="0"/>
                <w:sz w:val="24"/>
                <w:szCs w:val="24"/>
              </w:rPr>
              <w:t>分)</w:t>
            </w:r>
          </w:p>
          <w:p>
            <w:pPr>
              <w:widowControl/>
              <w:spacing w:line="360" w:lineRule="auto"/>
              <w:jc w:val="center"/>
              <w:rPr>
                <w:rFonts w:ascii="宋体" w:hAnsi="宋体" w:cs="宋体"/>
                <w:kern w:val="0"/>
                <w:sz w:val="24"/>
                <w:szCs w:val="24"/>
              </w:rPr>
            </w:pPr>
          </w:p>
          <w:p>
            <w:pPr>
              <w:widowControl/>
              <w:spacing w:line="360" w:lineRule="auto"/>
              <w:jc w:val="center"/>
              <w:rPr>
                <w:rFonts w:hint="eastAsia" w:ascii="宋体" w:hAnsi="宋体" w:eastAsia="宋体" w:cs="宋体"/>
                <w:kern w:val="0"/>
                <w:sz w:val="24"/>
                <w:szCs w:val="24"/>
              </w:rPr>
            </w:pPr>
          </w:p>
        </w:tc>
        <w:tc>
          <w:tcPr>
            <w:tcW w:w="22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企业业绩</w:t>
            </w:r>
          </w:p>
          <w:p>
            <w:pPr>
              <w:widowControl/>
              <w:spacing w:line="360" w:lineRule="auto"/>
              <w:jc w:val="center"/>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10</w:t>
            </w:r>
            <w:r>
              <w:rPr>
                <w:rFonts w:hint="eastAsia" w:ascii="宋体" w:hAnsi="宋体" w:cs="宋体"/>
                <w:kern w:val="0"/>
                <w:sz w:val="24"/>
                <w:szCs w:val="24"/>
              </w:rPr>
              <w:t>分）</w:t>
            </w:r>
          </w:p>
        </w:tc>
        <w:tc>
          <w:tcPr>
            <w:tcW w:w="50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2017年1月1日以来，监理企业监理过类似项目每项得</w:t>
            </w:r>
            <w:r>
              <w:rPr>
                <w:rFonts w:hint="eastAsia" w:ascii="宋体" w:hAnsi="宋体" w:cs="宋体"/>
                <w:kern w:val="0"/>
                <w:sz w:val="24"/>
                <w:szCs w:val="24"/>
                <w:lang w:val="en-US" w:eastAsia="zh-CN"/>
              </w:rPr>
              <w:t>5</w:t>
            </w:r>
            <w:r>
              <w:rPr>
                <w:rFonts w:hint="eastAsia" w:ascii="宋体" w:hAnsi="宋体" w:cs="宋体"/>
                <w:kern w:val="0"/>
                <w:sz w:val="24"/>
                <w:szCs w:val="24"/>
              </w:rPr>
              <w:t>分，本项最高得</w:t>
            </w:r>
            <w:r>
              <w:rPr>
                <w:rFonts w:hint="eastAsia" w:ascii="宋体" w:hAnsi="宋体" w:cs="宋体"/>
                <w:kern w:val="0"/>
                <w:sz w:val="24"/>
                <w:szCs w:val="24"/>
                <w:lang w:val="en-US" w:eastAsia="zh-CN"/>
              </w:rPr>
              <w:t>10</w:t>
            </w:r>
            <w:r>
              <w:rPr>
                <w:rFonts w:hint="eastAsia" w:ascii="宋体" w:hAnsi="宋体" w:cs="宋体"/>
                <w:kern w:val="0"/>
                <w:sz w:val="24"/>
                <w:szCs w:val="24"/>
              </w:rPr>
              <w:t>分（以</w:t>
            </w:r>
            <w:r>
              <w:rPr>
                <w:rFonts w:hint="eastAsia" w:ascii="宋体" w:hAnsi="宋体" w:cs="宋体"/>
                <w:sz w:val="24"/>
                <w:lang w:eastAsia="zh-CN"/>
              </w:rPr>
              <w:t>网页版截图、</w:t>
            </w:r>
            <w:r>
              <w:rPr>
                <w:rFonts w:hint="eastAsia" w:ascii="宋体" w:hAnsi="宋体" w:cs="宋体"/>
                <w:kern w:val="0"/>
                <w:sz w:val="24"/>
                <w:szCs w:val="24"/>
              </w:rPr>
              <w:t>合同和中标通知书为准）。</w:t>
            </w:r>
          </w:p>
        </w:tc>
      </w:tr>
      <w:tr>
        <w:tblPrEx>
          <w:tblLayout w:type="fixed"/>
          <w:tblCellMar>
            <w:top w:w="0" w:type="dxa"/>
            <w:left w:w="108" w:type="dxa"/>
            <w:bottom w:w="0" w:type="dxa"/>
            <w:right w:w="108" w:type="dxa"/>
          </w:tblCellMar>
        </w:tblPrEx>
        <w:trPr>
          <w:trHeight w:val="870" w:hRule="atLeast"/>
        </w:trPr>
        <w:tc>
          <w:tcPr>
            <w:tcW w:w="10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c>
          <w:tcPr>
            <w:tcW w:w="11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c>
          <w:tcPr>
            <w:tcW w:w="22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项目总监业绩</w:t>
            </w:r>
          </w:p>
          <w:p>
            <w:pPr>
              <w:widowControl/>
              <w:spacing w:line="360" w:lineRule="auto"/>
              <w:jc w:val="center"/>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10</w:t>
            </w:r>
            <w:r>
              <w:rPr>
                <w:rFonts w:hint="eastAsia" w:ascii="宋体" w:hAnsi="宋体" w:cs="宋体"/>
                <w:kern w:val="0"/>
                <w:sz w:val="24"/>
                <w:szCs w:val="24"/>
              </w:rPr>
              <w:t>分）</w:t>
            </w:r>
          </w:p>
        </w:tc>
        <w:tc>
          <w:tcPr>
            <w:tcW w:w="50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2017年1月1日以来，本项目拟派总监担任过类似项目的得</w:t>
            </w:r>
            <w:r>
              <w:rPr>
                <w:rFonts w:hint="eastAsia" w:ascii="宋体" w:hAnsi="宋体" w:cs="宋体"/>
                <w:kern w:val="0"/>
                <w:sz w:val="24"/>
                <w:szCs w:val="24"/>
                <w:lang w:val="en-US" w:eastAsia="zh-CN"/>
              </w:rPr>
              <w:t>5</w:t>
            </w:r>
            <w:r>
              <w:rPr>
                <w:rFonts w:hint="eastAsia" w:ascii="宋体" w:hAnsi="宋体" w:cs="宋体"/>
                <w:kern w:val="0"/>
                <w:sz w:val="24"/>
                <w:szCs w:val="24"/>
              </w:rPr>
              <w:t>分，本项最高得</w:t>
            </w:r>
            <w:r>
              <w:rPr>
                <w:rFonts w:hint="eastAsia" w:ascii="宋体" w:hAnsi="宋体" w:cs="宋体"/>
                <w:kern w:val="0"/>
                <w:sz w:val="24"/>
                <w:szCs w:val="24"/>
                <w:lang w:val="en-US" w:eastAsia="zh-CN"/>
              </w:rPr>
              <w:t>10</w:t>
            </w:r>
            <w:r>
              <w:rPr>
                <w:rFonts w:hint="eastAsia" w:ascii="宋体" w:hAnsi="宋体" w:cs="宋体"/>
                <w:kern w:val="0"/>
                <w:sz w:val="24"/>
                <w:szCs w:val="24"/>
              </w:rPr>
              <w:t>分（以</w:t>
            </w:r>
            <w:r>
              <w:rPr>
                <w:rFonts w:hint="eastAsia" w:ascii="宋体" w:hAnsi="宋体" w:cs="宋体"/>
                <w:sz w:val="24"/>
                <w:lang w:eastAsia="zh-CN"/>
              </w:rPr>
              <w:t>网页版截图、</w:t>
            </w:r>
            <w:r>
              <w:rPr>
                <w:rFonts w:hint="eastAsia" w:ascii="宋体" w:hAnsi="宋体" w:cs="宋体"/>
                <w:kern w:val="0"/>
                <w:sz w:val="24"/>
                <w:szCs w:val="24"/>
              </w:rPr>
              <w:t>中标通知书和监理合同为准，若不能显示总监姓名，需提供由建设单位出具的证明）。</w:t>
            </w:r>
          </w:p>
        </w:tc>
      </w:tr>
      <w:tr>
        <w:tblPrEx>
          <w:tblLayout w:type="fixed"/>
          <w:tblCellMar>
            <w:top w:w="0" w:type="dxa"/>
            <w:left w:w="108" w:type="dxa"/>
            <w:bottom w:w="0" w:type="dxa"/>
            <w:right w:w="108" w:type="dxa"/>
          </w:tblCellMar>
        </w:tblPrEx>
        <w:trPr>
          <w:trHeight w:val="1632" w:hRule="atLeast"/>
        </w:trPr>
        <w:tc>
          <w:tcPr>
            <w:tcW w:w="1052" w:type="dxa"/>
            <w:vMerge w:val="continue"/>
            <w:tcBorders>
              <w:top w:val="single" w:color="auto" w:sz="4" w:space="0"/>
              <w:left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c>
          <w:tcPr>
            <w:tcW w:w="11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c>
          <w:tcPr>
            <w:tcW w:w="227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企业荣誉</w:t>
            </w:r>
          </w:p>
          <w:p>
            <w:pPr>
              <w:widowControl/>
              <w:spacing w:line="360" w:lineRule="auto"/>
              <w:jc w:val="center"/>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11</w:t>
            </w:r>
            <w:r>
              <w:rPr>
                <w:rFonts w:hint="eastAsia" w:ascii="宋体" w:hAnsi="宋体" w:cs="宋体"/>
                <w:kern w:val="0"/>
                <w:sz w:val="24"/>
                <w:szCs w:val="24"/>
              </w:rPr>
              <w:t>分）</w:t>
            </w:r>
          </w:p>
        </w:tc>
        <w:tc>
          <w:tcPr>
            <w:tcW w:w="5066"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1、2017年1月1日以来，监理企业监理过的工程获省级及以上奖项的每项得</w:t>
            </w:r>
            <w:r>
              <w:rPr>
                <w:rFonts w:hint="eastAsia" w:ascii="宋体" w:hAnsi="宋体" w:cs="宋体"/>
                <w:kern w:val="0"/>
                <w:sz w:val="24"/>
                <w:szCs w:val="24"/>
                <w:lang w:val="en-US" w:eastAsia="zh-CN"/>
              </w:rPr>
              <w:t>6</w:t>
            </w:r>
            <w:r>
              <w:rPr>
                <w:rFonts w:hint="eastAsia" w:ascii="宋体" w:hAnsi="宋体" w:cs="宋体"/>
                <w:kern w:val="0"/>
                <w:sz w:val="24"/>
                <w:szCs w:val="24"/>
              </w:rPr>
              <w:t>分，获得市级奖项的每项得3分。本项最多得</w:t>
            </w:r>
            <w:r>
              <w:rPr>
                <w:rFonts w:hint="eastAsia" w:ascii="宋体" w:hAnsi="宋体" w:cs="宋体"/>
                <w:kern w:val="0"/>
                <w:sz w:val="24"/>
                <w:szCs w:val="24"/>
                <w:lang w:val="en-US" w:eastAsia="zh-CN"/>
              </w:rPr>
              <w:t>6</w:t>
            </w:r>
            <w:r>
              <w:rPr>
                <w:rFonts w:hint="eastAsia" w:ascii="宋体" w:hAnsi="宋体" w:cs="宋体"/>
                <w:kern w:val="0"/>
                <w:sz w:val="24"/>
                <w:szCs w:val="24"/>
              </w:rPr>
              <w:t>分。（以证书和获奖文件为准，时间以证书发证时间为准）。</w:t>
            </w:r>
          </w:p>
          <w:p>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2、投标人通过质量管理体系认证，环境管理体系认证，职业健康安全管理体系认证得3分，缺项不得分。</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3、具有信用评估机构评定的AAA信用等级证书得2分， AA级得1分，不提供不得分。</w:t>
            </w:r>
          </w:p>
        </w:tc>
      </w:tr>
      <w:tr>
        <w:tblPrEx>
          <w:tblLayout w:type="fixed"/>
          <w:tblCellMar>
            <w:top w:w="0" w:type="dxa"/>
            <w:left w:w="108" w:type="dxa"/>
            <w:bottom w:w="0" w:type="dxa"/>
            <w:right w:w="108" w:type="dxa"/>
          </w:tblCellMar>
        </w:tblPrEx>
        <w:trPr>
          <w:trHeight w:val="1632" w:hRule="atLeast"/>
        </w:trPr>
        <w:tc>
          <w:tcPr>
            <w:tcW w:w="1052"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c>
          <w:tcPr>
            <w:tcW w:w="112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c>
          <w:tcPr>
            <w:tcW w:w="227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项目总监荣誉</w:t>
            </w:r>
          </w:p>
          <w:p>
            <w:pPr>
              <w:widowControl/>
              <w:spacing w:line="360" w:lineRule="auto"/>
              <w:jc w:val="center"/>
              <w:rPr>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4</w:t>
            </w:r>
            <w:r>
              <w:rPr>
                <w:rFonts w:hint="eastAsia" w:ascii="宋体" w:hAnsi="宋体" w:cs="宋体"/>
                <w:kern w:val="0"/>
                <w:sz w:val="24"/>
                <w:szCs w:val="24"/>
              </w:rPr>
              <w:t>分）</w:t>
            </w:r>
          </w:p>
        </w:tc>
        <w:tc>
          <w:tcPr>
            <w:tcW w:w="5066"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2017年1月1日以来，本项目拟派项目总监获得行政主管部门或行业协会颁发的优秀总监理工程师奖，省级及以上奖项每项得</w:t>
            </w:r>
            <w:r>
              <w:rPr>
                <w:rFonts w:hint="eastAsia" w:ascii="宋体" w:hAnsi="宋体" w:cs="宋体"/>
                <w:kern w:val="0"/>
                <w:sz w:val="24"/>
                <w:szCs w:val="24"/>
                <w:lang w:val="en-US" w:eastAsia="zh-CN"/>
              </w:rPr>
              <w:t>4</w:t>
            </w:r>
            <w:r>
              <w:rPr>
                <w:rFonts w:hint="eastAsia" w:ascii="宋体" w:hAnsi="宋体" w:cs="宋体"/>
                <w:kern w:val="0"/>
                <w:sz w:val="24"/>
                <w:szCs w:val="24"/>
              </w:rPr>
              <w:t>分，市级奖项每项得</w:t>
            </w:r>
            <w:r>
              <w:rPr>
                <w:rFonts w:hint="eastAsia" w:ascii="宋体" w:hAnsi="宋体" w:cs="宋体"/>
                <w:kern w:val="0"/>
                <w:sz w:val="24"/>
                <w:szCs w:val="24"/>
                <w:lang w:val="en-US" w:eastAsia="zh-CN"/>
              </w:rPr>
              <w:t>2</w:t>
            </w:r>
            <w:r>
              <w:rPr>
                <w:rFonts w:hint="eastAsia" w:ascii="宋体" w:hAnsi="宋体" w:cs="宋体"/>
                <w:kern w:val="0"/>
                <w:sz w:val="24"/>
                <w:szCs w:val="24"/>
              </w:rPr>
              <w:t>分。本项最多得</w:t>
            </w:r>
            <w:r>
              <w:rPr>
                <w:rFonts w:hint="eastAsia" w:ascii="宋体" w:hAnsi="宋体" w:cs="宋体"/>
                <w:kern w:val="0"/>
                <w:sz w:val="24"/>
                <w:szCs w:val="24"/>
                <w:lang w:val="en-US" w:eastAsia="zh-CN"/>
              </w:rPr>
              <w:t>4</w:t>
            </w:r>
            <w:r>
              <w:rPr>
                <w:rFonts w:hint="eastAsia" w:ascii="宋体" w:hAnsi="宋体" w:cs="宋体"/>
                <w:kern w:val="0"/>
                <w:sz w:val="24"/>
                <w:szCs w:val="24"/>
              </w:rPr>
              <w:t>分。（以证书和获奖文件为准，时间以证书发证时间为准）。</w:t>
            </w:r>
          </w:p>
        </w:tc>
      </w:tr>
      <w:tr>
        <w:tblPrEx>
          <w:tblLayout w:type="fixed"/>
          <w:tblCellMar>
            <w:top w:w="0" w:type="dxa"/>
            <w:left w:w="108" w:type="dxa"/>
            <w:bottom w:w="0" w:type="dxa"/>
            <w:right w:w="108" w:type="dxa"/>
          </w:tblCellMar>
        </w:tblPrEx>
        <w:trPr>
          <w:trHeight w:val="3581" w:hRule="atLeast"/>
        </w:trPr>
        <w:tc>
          <w:tcPr>
            <w:tcW w:w="10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rPr>
              <w:t>2.2.4</w:t>
            </w:r>
            <w:r>
              <w:rPr>
                <w:rFonts w:hint="eastAsia" w:ascii="宋体" w:hAnsi="宋体" w:cs="宋体"/>
                <w:kern w:val="0"/>
                <w:sz w:val="24"/>
                <w:szCs w:val="24"/>
                <w:lang w:eastAsia="zh-CN"/>
              </w:rPr>
              <w:t>（</w:t>
            </w:r>
            <w:r>
              <w:rPr>
                <w:rFonts w:hint="eastAsia" w:ascii="宋体" w:hAnsi="宋体" w:cs="宋体"/>
                <w:kern w:val="0"/>
                <w:sz w:val="24"/>
                <w:szCs w:val="24"/>
                <w:lang w:val="en-US" w:eastAsia="zh-CN"/>
              </w:rPr>
              <w:t>3</w:t>
            </w:r>
            <w:r>
              <w:rPr>
                <w:rFonts w:hint="eastAsia" w:ascii="宋体" w:hAnsi="宋体" w:cs="宋体"/>
                <w:kern w:val="0"/>
                <w:sz w:val="24"/>
                <w:szCs w:val="24"/>
                <w:lang w:eastAsia="zh-CN"/>
              </w:rPr>
              <w:t>）</w:t>
            </w:r>
          </w:p>
        </w:tc>
        <w:tc>
          <w:tcPr>
            <w:tcW w:w="1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投标报价</w:t>
            </w:r>
          </w:p>
          <w:p>
            <w:pPr>
              <w:widowControl/>
              <w:spacing w:line="360" w:lineRule="auto"/>
              <w:jc w:val="center"/>
              <w:rPr>
                <w:rFonts w:ascii="宋体" w:hAnsi="宋体" w:cs="宋体"/>
                <w:kern w:val="0"/>
                <w:sz w:val="24"/>
                <w:szCs w:val="24"/>
              </w:rPr>
            </w:pPr>
            <w:r>
              <w:rPr>
                <w:rFonts w:hint="eastAsia" w:ascii="宋体" w:hAnsi="宋体" w:cs="宋体"/>
                <w:kern w:val="0"/>
                <w:sz w:val="24"/>
                <w:szCs w:val="24"/>
              </w:rPr>
              <w:t>（20分）</w:t>
            </w:r>
          </w:p>
        </w:tc>
        <w:tc>
          <w:tcPr>
            <w:tcW w:w="2275"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lang w:eastAsia="zh-CN"/>
              </w:rPr>
            </w:pPr>
            <w:r>
              <w:rPr>
                <w:rFonts w:hint="eastAsia" w:ascii="宋体" w:hAnsi="宋体" w:cs="宋体"/>
                <w:kern w:val="0"/>
                <w:sz w:val="24"/>
                <w:szCs w:val="24"/>
              </w:rPr>
              <w:t>投标报价</w:t>
            </w:r>
            <w:r>
              <w:rPr>
                <w:rFonts w:hint="eastAsia" w:ascii="宋体" w:hAnsi="宋体" w:cs="宋体"/>
                <w:kern w:val="0"/>
                <w:sz w:val="24"/>
                <w:szCs w:val="24"/>
                <w:lang w:eastAsia="zh-CN"/>
              </w:rPr>
              <w:t>得分</w:t>
            </w:r>
          </w:p>
          <w:p>
            <w:pPr>
              <w:widowControl/>
              <w:spacing w:line="360" w:lineRule="auto"/>
              <w:jc w:val="center"/>
              <w:rPr>
                <w:rFonts w:ascii="宋体" w:hAnsi="宋体" w:cs="宋体"/>
                <w:kern w:val="0"/>
                <w:sz w:val="24"/>
                <w:szCs w:val="24"/>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20分</w:t>
            </w:r>
            <w:r>
              <w:rPr>
                <w:rFonts w:hint="eastAsia" w:ascii="宋体" w:hAnsi="宋体" w:cs="宋体"/>
                <w:kern w:val="0"/>
                <w:sz w:val="24"/>
                <w:szCs w:val="24"/>
                <w:lang w:eastAsia="zh-CN"/>
              </w:rPr>
              <w:t>）</w:t>
            </w:r>
          </w:p>
          <w:p>
            <w:pPr>
              <w:widowControl/>
              <w:spacing w:line="360" w:lineRule="auto"/>
              <w:jc w:val="center"/>
              <w:rPr>
                <w:rFonts w:ascii="宋体" w:hAnsi="宋体" w:cs="宋体"/>
                <w:kern w:val="0"/>
                <w:sz w:val="24"/>
                <w:szCs w:val="24"/>
              </w:rPr>
            </w:pPr>
          </w:p>
        </w:tc>
        <w:tc>
          <w:tcPr>
            <w:tcW w:w="5066"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以评标基准价为基础，投标人的投标报价与评标基准价相等者得基本分15分，</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投标报价高于评标基准价的，按每高于评标基准价1%扣1分的比例从基本分中进行扣分，扣完为止；</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投标报价低于评标基准价的，按每低于评标基准价1%加1分的比例在基本分上进行加分，最高加5分；</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投标报价低于评标基准价5%（不含5%）以下，按每再低1%扣1分的比例从20分的基础上扣分，扣完为止</w:t>
            </w:r>
          </w:p>
        </w:tc>
      </w:tr>
      <w:tr>
        <w:tblPrEx>
          <w:tblLayout w:type="fixed"/>
          <w:tblCellMar>
            <w:top w:w="0" w:type="dxa"/>
            <w:left w:w="108" w:type="dxa"/>
            <w:bottom w:w="0" w:type="dxa"/>
            <w:right w:w="108" w:type="dxa"/>
          </w:tblCellMar>
        </w:tblPrEx>
        <w:trPr>
          <w:trHeight w:val="982" w:hRule="atLeast"/>
        </w:trPr>
        <w:tc>
          <w:tcPr>
            <w:tcW w:w="10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2.2.4（4）</w:t>
            </w:r>
          </w:p>
        </w:tc>
        <w:tc>
          <w:tcPr>
            <w:tcW w:w="1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40" w:firstLineChars="100"/>
              <w:jc w:val="left"/>
              <w:rPr>
                <w:rFonts w:hint="eastAsia" w:ascii="宋体" w:hAnsi="宋体" w:cs="宋体"/>
                <w:kern w:val="0"/>
                <w:sz w:val="24"/>
                <w:szCs w:val="24"/>
                <w:lang w:eastAsia="zh-CN"/>
              </w:rPr>
            </w:pPr>
            <w:r>
              <w:rPr>
                <w:rFonts w:hint="eastAsia" w:ascii="宋体" w:hAnsi="宋体" w:cs="宋体"/>
                <w:kern w:val="0"/>
                <w:sz w:val="24"/>
                <w:szCs w:val="24"/>
                <w:lang w:eastAsia="zh-CN"/>
              </w:rPr>
              <w:t>其他</w:t>
            </w:r>
          </w:p>
          <w:p>
            <w:pPr>
              <w:widowControl/>
              <w:spacing w:line="360" w:lineRule="auto"/>
              <w:ind w:firstLine="240" w:firstLineChars="100"/>
              <w:jc w:val="left"/>
              <w:rPr>
                <w:rFonts w:hint="eastAsia" w:ascii="宋体" w:hAnsi="宋体" w:eastAsia="宋体" w:cs="宋体"/>
                <w:kern w:val="0"/>
                <w:sz w:val="24"/>
                <w:szCs w:val="24"/>
                <w:lang w:eastAsia="zh-CN"/>
              </w:rPr>
            </w:pPr>
            <w:r>
              <w:rPr>
                <w:rFonts w:hint="eastAsia" w:ascii="宋体" w:hAnsi="宋体" w:cs="宋体"/>
                <w:kern w:val="0"/>
                <w:sz w:val="24"/>
                <w:szCs w:val="24"/>
                <w:lang w:eastAsia="zh-CN"/>
              </w:rPr>
              <w:t>因素</w:t>
            </w:r>
          </w:p>
        </w:tc>
        <w:tc>
          <w:tcPr>
            <w:tcW w:w="2275"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企业服务承诺</w:t>
            </w:r>
          </w:p>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5</w:t>
            </w:r>
            <w:r>
              <w:rPr>
                <w:rFonts w:hint="eastAsia" w:ascii="宋体" w:hAnsi="宋体" w:cs="宋体"/>
                <w:kern w:val="0"/>
                <w:sz w:val="24"/>
                <w:szCs w:val="24"/>
              </w:rPr>
              <w:t>分）</w:t>
            </w:r>
          </w:p>
        </w:tc>
        <w:tc>
          <w:tcPr>
            <w:tcW w:w="5066" w:type="dxa"/>
            <w:tcBorders>
              <w:top w:val="nil"/>
              <w:left w:val="nil"/>
              <w:bottom w:val="single" w:color="auto" w:sz="4" w:space="0"/>
              <w:right w:val="single" w:color="auto" w:sz="4" w:space="0"/>
            </w:tcBorders>
            <w:vAlign w:val="center"/>
          </w:tcPr>
          <w:p>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1、投标人针对招标项目的特点和要求，结合自身条件和潜力为招标人排忧解难有优惠承诺，由评委根据标书的具体内容在0-</w:t>
            </w:r>
            <w:r>
              <w:rPr>
                <w:rFonts w:hint="eastAsia" w:ascii="宋体" w:hAnsi="宋体" w:cs="宋体"/>
                <w:kern w:val="0"/>
                <w:sz w:val="24"/>
                <w:szCs w:val="24"/>
                <w:lang w:val="en-US" w:eastAsia="zh-CN"/>
              </w:rPr>
              <w:t>3</w:t>
            </w:r>
            <w:r>
              <w:rPr>
                <w:rFonts w:hint="eastAsia" w:ascii="宋体" w:hAnsi="宋体" w:cs="宋体"/>
                <w:kern w:val="0"/>
                <w:sz w:val="24"/>
                <w:szCs w:val="24"/>
              </w:rPr>
              <w:t>分酌情打分。</w:t>
            </w:r>
          </w:p>
          <w:p>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2、投标人针对招标项目的特点和要求，结合自身条件和潜力为招标人排忧解难有服务承诺。由评委根据标书的具体内容在0-</w:t>
            </w:r>
            <w:r>
              <w:rPr>
                <w:rFonts w:hint="eastAsia" w:ascii="宋体" w:hAnsi="宋体" w:cs="宋体"/>
                <w:kern w:val="0"/>
                <w:sz w:val="24"/>
                <w:szCs w:val="24"/>
                <w:lang w:val="en-US" w:eastAsia="zh-CN"/>
              </w:rPr>
              <w:t>2</w:t>
            </w:r>
            <w:r>
              <w:rPr>
                <w:rFonts w:hint="eastAsia" w:ascii="宋体" w:hAnsi="宋体" w:cs="宋体"/>
                <w:kern w:val="0"/>
                <w:sz w:val="24"/>
                <w:szCs w:val="24"/>
              </w:rPr>
              <w:t>分酌情打分。</w:t>
            </w:r>
          </w:p>
        </w:tc>
      </w:tr>
      <w:tr>
        <w:tblPrEx>
          <w:tblLayout w:type="fixed"/>
          <w:tblCellMar>
            <w:top w:w="0" w:type="dxa"/>
            <w:left w:w="108" w:type="dxa"/>
            <w:bottom w:w="0" w:type="dxa"/>
            <w:right w:w="108" w:type="dxa"/>
          </w:tblCellMar>
        </w:tblPrEx>
        <w:trPr>
          <w:trHeight w:val="1314" w:hRule="atLeast"/>
        </w:trPr>
        <w:tc>
          <w:tcPr>
            <w:tcW w:w="9520"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sz w:val="24"/>
                <w:szCs w:val="24"/>
              </w:rPr>
            </w:pPr>
            <w:r>
              <w:rPr>
                <w:rFonts w:hint="eastAsia"/>
                <w:sz w:val="24"/>
                <w:szCs w:val="24"/>
              </w:rPr>
              <w:t>备注：</w:t>
            </w:r>
          </w:p>
          <w:p>
            <w:pPr>
              <w:widowControl/>
              <w:spacing w:line="360" w:lineRule="auto"/>
              <w:ind w:firstLine="480" w:firstLineChars="200"/>
              <w:jc w:val="left"/>
              <w:rPr>
                <w:sz w:val="24"/>
                <w:szCs w:val="24"/>
              </w:rPr>
            </w:pPr>
            <w:r>
              <w:rPr>
                <w:rFonts w:hint="eastAsia"/>
                <w:sz w:val="24"/>
                <w:szCs w:val="24"/>
              </w:rPr>
              <w:t>1.评标委员会仅对通过初步评审（形式评审、资格评审、响应性评审）的投标文件进行详细评审。</w:t>
            </w:r>
          </w:p>
          <w:p>
            <w:pPr>
              <w:widowControl/>
              <w:spacing w:line="360" w:lineRule="auto"/>
              <w:ind w:firstLine="480" w:firstLineChars="200"/>
              <w:jc w:val="left"/>
              <w:rPr>
                <w:sz w:val="24"/>
                <w:szCs w:val="24"/>
              </w:rPr>
            </w:pPr>
            <w:r>
              <w:rPr>
                <w:rFonts w:hint="eastAsia"/>
                <w:sz w:val="24"/>
                <w:szCs w:val="24"/>
              </w:rPr>
              <w:t>2.投标人最终得分=综合评估得分的算术平均值（计算评分值均按四舍五入保留两位小数）。</w:t>
            </w:r>
          </w:p>
          <w:p>
            <w:pPr>
              <w:pStyle w:val="8"/>
              <w:spacing w:after="0"/>
              <w:ind w:left="0" w:leftChars="0"/>
              <w:rPr>
                <w:sz w:val="24"/>
                <w:szCs w:val="24"/>
              </w:rPr>
            </w:pPr>
            <w:r>
              <w:rPr>
                <w:rFonts w:hint="eastAsia"/>
                <w:sz w:val="24"/>
                <w:szCs w:val="24"/>
              </w:rPr>
              <w:t>3.项目</w:t>
            </w:r>
            <w:r>
              <w:rPr>
                <w:sz w:val="24"/>
                <w:szCs w:val="24"/>
              </w:rPr>
              <w:t>总监业绩和企业业绩可重复得分。</w:t>
            </w:r>
          </w:p>
          <w:p>
            <w:pPr>
              <w:pStyle w:val="8"/>
              <w:spacing w:after="0"/>
              <w:ind w:left="0" w:leftChars="0" w:firstLine="480" w:firstLineChars="200"/>
              <w:rPr>
                <w:sz w:val="24"/>
                <w:szCs w:val="24"/>
              </w:rPr>
            </w:pPr>
            <w:r>
              <w:rPr>
                <w:rFonts w:hint="eastAsia"/>
                <w:sz w:val="24"/>
                <w:szCs w:val="24"/>
                <w:lang w:val="en-US" w:eastAsia="zh-CN"/>
              </w:rPr>
              <w:t>4、</w:t>
            </w:r>
            <w:r>
              <w:rPr>
                <w:rFonts w:hint="eastAsia"/>
                <w:sz w:val="24"/>
                <w:szCs w:val="24"/>
              </w:rPr>
              <w:t>.业绩合同以合同签订日期为准，获奖证书以发证日期为准；</w:t>
            </w:r>
          </w:p>
        </w:tc>
      </w:tr>
    </w:tbl>
    <w:p>
      <w:pPr>
        <w:pStyle w:val="20"/>
        <w:keepNext/>
        <w:keepLines/>
        <w:wordWrap w:val="0"/>
        <w:topLinePunct/>
        <w:spacing w:line="500" w:lineRule="exact"/>
        <w:ind w:left="0" w:right="0"/>
        <w:jc w:val="both"/>
        <w:outlineLvl w:val="9"/>
        <w:rPr>
          <w:rFonts w:ascii="宋体" w:hAnsi="宋体" w:eastAsia="宋体" w:cs="宋体"/>
          <w:sz w:val="24"/>
          <w:szCs w:val="24"/>
          <w:lang w:eastAsia="zh-CN"/>
        </w:rPr>
      </w:pPr>
      <w:r>
        <w:rPr>
          <w:rFonts w:hint="eastAsia" w:ascii="宋体" w:hAnsi="宋体" w:eastAsia="宋体" w:cs="宋体"/>
          <w:sz w:val="24"/>
          <w:szCs w:val="24"/>
          <w:lang w:eastAsia="zh-CN"/>
        </w:rPr>
        <w:t>1.评标方法</w:t>
      </w:r>
    </w:p>
    <w:p>
      <w:pPr>
        <w:pStyle w:val="7"/>
        <w:keepNext/>
        <w:keepLines/>
        <w:wordWrap w:val="0"/>
        <w:topLinePunct/>
        <w:spacing w:after="0" w:line="500" w:lineRule="exact"/>
        <w:ind w:firstLine="480" w:firstLineChars="200"/>
        <w:rPr>
          <w:rFonts w:ascii="宋体" w:hAnsi="宋体" w:cs="宋体"/>
          <w:sz w:val="24"/>
        </w:rPr>
      </w:pPr>
      <w:r>
        <w:rPr>
          <w:rFonts w:hint="eastAsia" w:ascii="宋体" w:hAnsi="宋体" w:cs="宋体"/>
          <w:sz w:val="24"/>
        </w:rPr>
        <w:t>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pPr>
        <w:pStyle w:val="20"/>
        <w:keepNext/>
        <w:keepLines/>
        <w:wordWrap w:val="0"/>
        <w:topLinePunct/>
        <w:spacing w:line="500" w:lineRule="exact"/>
        <w:ind w:left="0" w:right="0"/>
        <w:jc w:val="both"/>
        <w:outlineLvl w:val="9"/>
        <w:rPr>
          <w:rFonts w:ascii="宋体" w:hAnsi="宋体" w:eastAsia="宋体" w:cs="宋体"/>
          <w:sz w:val="24"/>
          <w:szCs w:val="24"/>
          <w:lang w:eastAsia="zh-CN"/>
        </w:rPr>
      </w:pPr>
      <w:bookmarkStart w:id="71" w:name="_bookmark85"/>
      <w:bookmarkEnd w:id="71"/>
      <w:r>
        <w:rPr>
          <w:rFonts w:hint="eastAsia" w:ascii="宋体" w:hAnsi="宋体" w:eastAsia="宋体" w:cs="宋体"/>
          <w:sz w:val="24"/>
          <w:szCs w:val="24"/>
          <w:lang w:eastAsia="zh-CN"/>
        </w:rPr>
        <w:t>2.评审标准</w:t>
      </w:r>
    </w:p>
    <w:p>
      <w:pPr>
        <w:pStyle w:val="21"/>
        <w:keepNext/>
        <w:keepLines/>
        <w:wordWrap w:val="0"/>
        <w:topLinePunct/>
        <w:spacing w:line="500" w:lineRule="exact"/>
        <w:ind w:left="0" w:right="0" w:firstLine="480" w:firstLineChars="200"/>
        <w:outlineLvl w:val="9"/>
        <w:rPr>
          <w:rFonts w:hAnsi="宋体" w:cs="宋体"/>
          <w:sz w:val="24"/>
          <w:szCs w:val="24"/>
        </w:rPr>
      </w:pPr>
      <w:bookmarkStart w:id="72" w:name="_bookmark86"/>
      <w:bookmarkEnd w:id="72"/>
      <w:r>
        <w:rPr>
          <w:rFonts w:hint="eastAsia" w:hAnsi="宋体" w:cs="宋体"/>
          <w:sz w:val="24"/>
          <w:szCs w:val="24"/>
        </w:rPr>
        <w:t>2.1 初步评审标准</w:t>
      </w:r>
    </w:p>
    <w:p>
      <w:pPr>
        <w:pStyle w:val="7"/>
        <w:keepNext/>
        <w:keepLines/>
        <w:wordWrap w:val="0"/>
        <w:topLinePunct/>
        <w:spacing w:after="0" w:line="500" w:lineRule="exact"/>
        <w:ind w:firstLine="480" w:firstLineChars="200"/>
        <w:rPr>
          <w:rFonts w:ascii="宋体" w:hAnsi="宋体" w:cs="宋体"/>
          <w:sz w:val="24"/>
        </w:rPr>
      </w:pPr>
      <w:r>
        <w:rPr>
          <w:rFonts w:hint="eastAsia" w:ascii="宋体" w:hAnsi="宋体" w:cs="宋体"/>
          <w:sz w:val="24"/>
        </w:rPr>
        <w:t>2.1.1形式评审标准：见评标办法前附表。</w:t>
      </w:r>
    </w:p>
    <w:p>
      <w:pPr>
        <w:pStyle w:val="7"/>
        <w:keepNext/>
        <w:keepLines/>
        <w:wordWrap w:val="0"/>
        <w:topLinePunct/>
        <w:spacing w:after="0" w:line="500" w:lineRule="exact"/>
        <w:ind w:firstLine="480" w:firstLineChars="200"/>
        <w:rPr>
          <w:rFonts w:ascii="宋体" w:hAnsi="宋体" w:cs="宋体"/>
          <w:sz w:val="24"/>
        </w:rPr>
      </w:pPr>
      <w:r>
        <w:rPr>
          <w:rFonts w:hint="eastAsia" w:ascii="宋体" w:hAnsi="宋体" w:cs="宋体"/>
          <w:sz w:val="24"/>
        </w:rPr>
        <w:t>2.1.2资格评审标准：见评标办法前附表。</w:t>
      </w:r>
    </w:p>
    <w:p>
      <w:pPr>
        <w:pStyle w:val="7"/>
        <w:keepNext/>
        <w:keepLines/>
        <w:wordWrap w:val="0"/>
        <w:topLinePunct/>
        <w:spacing w:after="0" w:line="500" w:lineRule="exact"/>
        <w:ind w:firstLine="480" w:firstLineChars="200"/>
        <w:rPr>
          <w:rFonts w:ascii="宋体" w:hAnsi="宋体" w:cs="宋体"/>
          <w:sz w:val="24"/>
        </w:rPr>
      </w:pPr>
      <w:r>
        <w:rPr>
          <w:rFonts w:hint="eastAsia" w:ascii="宋体" w:hAnsi="宋体" w:cs="宋体"/>
          <w:sz w:val="24"/>
        </w:rPr>
        <w:t>2.1.3 响应性评审标准：见评标办法前附表。</w:t>
      </w:r>
    </w:p>
    <w:p>
      <w:pPr>
        <w:pStyle w:val="21"/>
        <w:keepNext/>
        <w:keepLines/>
        <w:wordWrap w:val="0"/>
        <w:topLinePunct/>
        <w:spacing w:line="500" w:lineRule="exact"/>
        <w:ind w:left="0" w:right="0" w:firstLine="480" w:firstLineChars="200"/>
        <w:outlineLvl w:val="9"/>
        <w:rPr>
          <w:rFonts w:hAnsi="宋体" w:cs="宋体"/>
          <w:sz w:val="24"/>
          <w:szCs w:val="24"/>
        </w:rPr>
      </w:pPr>
      <w:bookmarkStart w:id="73" w:name="_bookmark87"/>
      <w:bookmarkEnd w:id="73"/>
      <w:r>
        <w:rPr>
          <w:rFonts w:hint="eastAsia" w:hAnsi="宋体" w:cs="宋体"/>
          <w:sz w:val="24"/>
          <w:szCs w:val="24"/>
        </w:rPr>
        <w:t>2.2 分值构成与评分标准</w:t>
      </w:r>
    </w:p>
    <w:p>
      <w:pPr>
        <w:pStyle w:val="7"/>
        <w:keepNext/>
        <w:keepLines/>
        <w:wordWrap w:val="0"/>
        <w:topLinePunct/>
        <w:spacing w:after="0" w:line="500" w:lineRule="exact"/>
        <w:ind w:firstLine="480" w:firstLineChars="200"/>
        <w:rPr>
          <w:rFonts w:ascii="宋体" w:hAnsi="宋体" w:cs="宋体"/>
          <w:sz w:val="24"/>
        </w:rPr>
      </w:pPr>
      <w:r>
        <w:rPr>
          <w:rFonts w:hint="eastAsia" w:ascii="宋体" w:hAnsi="宋体" w:cs="宋体"/>
          <w:sz w:val="24"/>
        </w:rPr>
        <w:t>2.2.1分值构成</w:t>
      </w:r>
    </w:p>
    <w:p>
      <w:pPr>
        <w:pStyle w:val="7"/>
        <w:keepNext/>
        <w:keepLines/>
        <w:numPr>
          <w:ilvl w:val="0"/>
          <w:numId w:val="0"/>
        </w:numPr>
        <w:wordWrap w:val="0"/>
        <w:topLinePunct/>
        <w:spacing w:after="0" w:line="500" w:lineRule="exact"/>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监理大纲部分：见评标办法前附表；</w:t>
      </w:r>
    </w:p>
    <w:p>
      <w:pPr>
        <w:pStyle w:val="7"/>
        <w:keepNext/>
        <w:keepLines/>
        <w:numPr>
          <w:ilvl w:val="0"/>
          <w:numId w:val="0"/>
        </w:numPr>
        <w:wordWrap w:val="0"/>
        <w:topLinePunct/>
        <w:spacing w:after="0" w:line="500" w:lineRule="exact"/>
        <w:ind w:firstLine="480" w:firstLineChars="200"/>
        <w:rPr>
          <w:rFonts w:ascii="宋体" w:hAnsi="宋体" w:cs="宋体"/>
          <w:sz w:val="24"/>
        </w:rPr>
      </w:pPr>
      <w:r>
        <w:rPr>
          <w:rFonts w:hint="eastAsia" w:ascii="宋体" w:hAnsi="宋体" w:cs="宋体"/>
          <w:sz w:val="24"/>
        </w:rPr>
        <w:t>（2）资信业绩部分：见评标办法前附表；</w:t>
      </w:r>
    </w:p>
    <w:p>
      <w:pPr>
        <w:pStyle w:val="7"/>
        <w:keepNext/>
        <w:keepLines/>
        <w:wordWrap w:val="0"/>
        <w:topLinePunct/>
        <w:spacing w:after="0" w:line="500" w:lineRule="exact"/>
        <w:ind w:firstLine="480" w:firstLineChars="200"/>
        <w:rPr>
          <w:rFonts w:hAnsi="宋体" w:cs="宋体"/>
          <w:sz w:val="24"/>
        </w:rPr>
      </w:pPr>
      <w:r>
        <w:rPr>
          <w:rFonts w:hint="eastAsia" w:ascii="宋体" w:hAnsi="宋体" w:cs="宋体"/>
          <w:sz w:val="24"/>
        </w:rPr>
        <w:t>（3）投标报价：见评标办法前附表；</w:t>
      </w:r>
    </w:p>
    <w:p>
      <w:pPr>
        <w:pStyle w:val="7"/>
        <w:keepNext/>
        <w:keepLines/>
        <w:wordWrap w:val="0"/>
        <w:topLinePunct/>
        <w:spacing w:after="0" w:line="500" w:lineRule="exact"/>
        <w:ind w:firstLine="480" w:firstLineChars="200"/>
        <w:rPr>
          <w:rFonts w:ascii="宋体" w:hAnsi="宋体" w:cs="宋体"/>
          <w:sz w:val="24"/>
        </w:rPr>
      </w:pPr>
      <w:r>
        <w:rPr>
          <w:rFonts w:hint="eastAsia" w:hAnsi="宋体" w:cs="宋体"/>
          <w:sz w:val="24"/>
        </w:rPr>
        <w:t>（4）其他评分因素：见评标办法前附表。</w:t>
      </w:r>
    </w:p>
    <w:p>
      <w:pPr>
        <w:pStyle w:val="7"/>
        <w:keepNext/>
        <w:keepLines/>
        <w:wordWrap w:val="0"/>
        <w:topLinePunct/>
        <w:spacing w:after="0" w:line="500" w:lineRule="exact"/>
        <w:ind w:firstLine="480" w:firstLineChars="200"/>
        <w:rPr>
          <w:rFonts w:ascii="宋体" w:hAnsi="宋体" w:cs="宋体"/>
          <w:sz w:val="24"/>
        </w:rPr>
      </w:pPr>
      <w:r>
        <w:rPr>
          <w:rFonts w:hint="eastAsia" w:ascii="宋体" w:hAnsi="宋体" w:cs="宋体"/>
          <w:sz w:val="24"/>
        </w:rPr>
        <w:t>2.2.2评标基准价计算评标基准价计算方法：见评标办法前附表。</w:t>
      </w:r>
    </w:p>
    <w:p>
      <w:pPr>
        <w:pStyle w:val="7"/>
        <w:keepNext/>
        <w:keepLines/>
        <w:wordWrap w:val="0"/>
        <w:topLinePunct/>
        <w:spacing w:after="0" w:line="500" w:lineRule="exact"/>
        <w:ind w:firstLine="480" w:firstLineChars="200"/>
        <w:rPr>
          <w:rFonts w:ascii="宋体" w:hAnsi="宋体" w:cs="宋体"/>
          <w:sz w:val="24"/>
        </w:rPr>
      </w:pPr>
      <w:r>
        <w:rPr>
          <w:rFonts w:hint="eastAsia" w:ascii="宋体" w:hAnsi="宋体" w:cs="宋体"/>
          <w:sz w:val="24"/>
        </w:rPr>
        <w:t>2.2.3投标报价的偏差率计算</w:t>
      </w:r>
    </w:p>
    <w:p>
      <w:pPr>
        <w:pStyle w:val="7"/>
        <w:keepNext/>
        <w:keepLines/>
        <w:wordWrap w:val="0"/>
        <w:topLinePunct/>
        <w:spacing w:after="0" w:line="500" w:lineRule="exact"/>
        <w:ind w:firstLine="480" w:firstLineChars="200"/>
        <w:rPr>
          <w:rFonts w:ascii="宋体" w:hAnsi="宋体" w:cs="宋体"/>
          <w:sz w:val="24"/>
        </w:rPr>
      </w:pPr>
      <w:r>
        <w:rPr>
          <w:rFonts w:hint="eastAsia" w:ascii="宋体" w:hAnsi="宋体" w:cs="宋体"/>
          <w:sz w:val="24"/>
        </w:rPr>
        <w:t>投标报价的偏差率计算公式：见评标办法前附表。</w:t>
      </w:r>
    </w:p>
    <w:p>
      <w:pPr>
        <w:pStyle w:val="7"/>
        <w:keepNext/>
        <w:keepLines/>
        <w:wordWrap w:val="0"/>
        <w:topLinePunct/>
        <w:spacing w:after="0" w:line="500" w:lineRule="exact"/>
        <w:ind w:firstLine="480" w:firstLineChars="200"/>
        <w:rPr>
          <w:rFonts w:ascii="宋体" w:hAnsi="宋体" w:cs="宋体"/>
          <w:sz w:val="24"/>
        </w:rPr>
      </w:pPr>
      <w:r>
        <w:rPr>
          <w:rFonts w:hint="eastAsia" w:ascii="宋体" w:hAnsi="宋体" w:cs="宋体"/>
          <w:sz w:val="24"/>
        </w:rPr>
        <w:t>2.2.4评分标准</w:t>
      </w:r>
    </w:p>
    <w:p>
      <w:pPr>
        <w:pStyle w:val="7"/>
        <w:keepNext/>
        <w:keepLines/>
        <w:numPr>
          <w:ilvl w:val="0"/>
          <w:numId w:val="0"/>
        </w:numPr>
        <w:wordWrap w:val="0"/>
        <w:topLinePunct/>
        <w:spacing w:after="0" w:line="500" w:lineRule="exact"/>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监理大纲评分标准：见评标办法前附表；</w:t>
      </w:r>
    </w:p>
    <w:p>
      <w:pPr>
        <w:pStyle w:val="7"/>
        <w:keepNext/>
        <w:keepLines/>
        <w:numPr>
          <w:ilvl w:val="0"/>
          <w:numId w:val="0"/>
        </w:numPr>
        <w:wordWrap w:val="0"/>
        <w:topLinePunct/>
        <w:spacing w:after="0" w:line="500" w:lineRule="exact"/>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资信业绩评分标准：见评标办法前附表；</w:t>
      </w:r>
    </w:p>
    <w:p>
      <w:pPr>
        <w:pStyle w:val="7"/>
        <w:keepNext/>
        <w:keepLines/>
        <w:wordWrap w:val="0"/>
        <w:topLinePunct/>
        <w:spacing w:after="0" w:line="500" w:lineRule="exact"/>
        <w:ind w:firstLine="480" w:firstLineChars="200"/>
        <w:rPr>
          <w:rFonts w:hAnsi="宋体" w:cs="宋体"/>
          <w:sz w:val="24"/>
        </w:rPr>
      </w:pPr>
      <w:r>
        <w:rPr>
          <w:rFonts w:hint="eastAsia" w:ascii="宋体" w:hAnsi="宋体" w:cs="宋体"/>
          <w:sz w:val="24"/>
        </w:rPr>
        <w:t>（3）投标报价评分标准：见评标办法前附表。</w:t>
      </w:r>
      <w:bookmarkStart w:id="74" w:name="_bookmark88"/>
      <w:bookmarkEnd w:id="74"/>
    </w:p>
    <w:p>
      <w:pPr>
        <w:pStyle w:val="7"/>
        <w:keepNext/>
        <w:keepLines/>
        <w:wordWrap w:val="0"/>
        <w:topLinePunct/>
        <w:spacing w:after="0" w:line="500" w:lineRule="exact"/>
        <w:ind w:firstLine="480" w:firstLineChars="200"/>
        <w:rPr>
          <w:rFonts w:ascii="宋体" w:hAnsi="宋体" w:cs="宋体"/>
          <w:sz w:val="24"/>
        </w:rPr>
      </w:pPr>
      <w:r>
        <w:rPr>
          <w:rFonts w:hint="eastAsia" w:hAnsi="宋体" w:cs="宋体"/>
          <w:sz w:val="24"/>
        </w:rPr>
        <w:t>（4）其他因素评分标准：见评标办法前附表。</w:t>
      </w:r>
    </w:p>
    <w:p>
      <w:pPr>
        <w:pStyle w:val="7"/>
        <w:keepNext/>
        <w:keepLines/>
        <w:wordWrap w:val="0"/>
        <w:topLinePunct/>
        <w:spacing w:after="0" w:line="500" w:lineRule="exact"/>
        <w:rPr>
          <w:rFonts w:ascii="宋体" w:hAnsi="宋体" w:cs="宋体"/>
          <w:b/>
          <w:bCs/>
          <w:sz w:val="24"/>
        </w:rPr>
      </w:pPr>
      <w:r>
        <w:rPr>
          <w:rFonts w:hint="eastAsia" w:ascii="宋体" w:hAnsi="宋体" w:cs="宋体"/>
          <w:b/>
          <w:bCs/>
          <w:sz w:val="24"/>
        </w:rPr>
        <w:t>3.评标程序</w:t>
      </w:r>
    </w:p>
    <w:p>
      <w:pPr>
        <w:pStyle w:val="21"/>
        <w:keepNext/>
        <w:keepLines/>
        <w:wordWrap w:val="0"/>
        <w:topLinePunct/>
        <w:spacing w:line="500" w:lineRule="exact"/>
        <w:ind w:left="0" w:right="0" w:firstLine="480" w:firstLineChars="200"/>
        <w:outlineLvl w:val="9"/>
        <w:rPr>
          <w:rFonts w:hAnsi="宋体" w:cs="宋体"/>
          <w:sz w:val="24"/>
          <w:szCs w:val="24"/>
        </w:rPr>
      </w:pPr>
      <w:bookmarkStart w:id="75" w:name="_bookmark89"/>
      <w:bookmarkEnd w:id="75"/>
      <w:r>
        <w:rPr>
          <w:rFonts w:hint="eastAsia" w:hAnsi="宋体" w:cs="宋体"/>
          <w:sz w:val="24"/>
          <w:szCs w:val="24"/>
        </w:rPr>
        <w:t>3.1 初步评审</w:t>
      </w:r>
    </w:p>
    <w:p>
      <w:pPr>
        <w:pStyle w:val="7"/>
        <w:keepNext/>
        <w:keepLines/>
        <w:wordWrap w:val="0"/>
        <w:topLinePunct/>
        <w:spacing w:after="0" w:line="500" w:lineRule="exact"/>
        <w:ind w:firstLine="480" w:firstLineChars="200"/>
        <w:rPr>
          <w:rFonts w:ascii="宋体" w:hAnsi="宋体" w:cs="宋体"/>
          <w:sz w:val="24"/>
        </w:rPr>
      </w:pPr>
      <w:r>
        <w:rPr>
          <w:rFonts w:hint="eastAsia" w:ascii="宋体" w:hAnsi="宋体" w:cs="宋体"/>
          <w:sz w:val="24"/>
        </w:rPr>
        <w:t>3.1.1评标委员会可以要求投标人提交第二章“投标人须知”规定的有关证明和证件的原件，以便核验。评标委员会依据本章第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pPr>
        <w:pStyle w:val="7"/>
        <w:keepNext/>
        <w:keepLines/>
        <w:wordWrap w:val="0"/>
        <w:topLinePunct/>
        <w:spacing w:after="0" w:line="500" w:lineRule="exact"/>
        <w:ind w:firstLine="480" w:firstLineChars="200"/>
        <w:rPr>
          <w:rFonts w:ascii="宋体" w:hAnsi="宋体" w:cs="宋体"/>
          <w:sz w:val="24"/>
        </w:rPr>
      </w:pPr>
      <w:r>
        <w:rPr>
          <w:rFonts w:hint="eastAsia" w:ascii="宋体" w:hAnsi="宋体" w:cs="宋体"/>
          <w:sz w:val="24"/>
        </w:rPr>
        <w:t>3.1.2投标人有以下情形之一的，评标委员会应当否决其投标：</w:t>
      </w:r>
    </w:p>
    <w:p>
      <w:pPr>
        <w:pStyle w:val="7"/>
        <w:keepNext/>
        <w:keepLines/>
        <w:wordWrap w:val="0"/>
        <w:topLinePunct/>
        <w:spacing w:after="0" w:line="500" w:lineRule="exact"/>
        <w:ind w:firstLine="480" w:firstLineChars="200"/>
        <w:rPr>
          <w:rFonts w:ascii="宋体" w:hAnsi="宋体" w:cs="宋体"/>
          <w:sz w:val="24"/>
        </w:rPr>
      </w:pPr>
      <w:r>
        <w:rPr>
          <w:rFonts w:hint="eastAsia" w:ascii="宋体" w:hAnsi="宋体" w:cs="宋体"/>
          <w:sz w:val="24"/>
        </w:rPr>
        <w:t>（1）投标文件没有对招标文件的实质性要求和条件作出响应，或者对招标文件的偏差超出招标文件规定的偏差范围或最高项数；</w:t>
      </w:r>
    </w:p>
    <w:p>
      <w:pPr>
        <w:pStyle w:val="7"/>
        <w:keepNext/>
        <w:keepLines/>
        <w:wordWrap w:val="0"/>
        <w:topLinePunct/>
        <w:spacing w:after="0" w:line="500" w:lineRule="exact"/>
        <w:ind w:firstLine="480" w:firstLineChars="200"/>
        <w:rPr>
          <w:rFonts w:ascii="宋体" w:hAnsi="宋体" w:cs="宋体"/>
          <w:sz w:val="24"/>
        </w:rPr>
      </w:pPr>
      <w:r>
        <w:rPr>
          <w:rFonts w:hint="eastAsia" w:ascii="宋体" w:hAnsi="宋体" w:cs="宋体"/>
          <w:sz w:val="24"/>
        </w:rPr>
        <w:t>（2）有串通投标、弄虚作假、行贿等违法行为。</w:t>
      </w:r>
    </w:p>
    <w:p>
      <w:pPr>
        <w:pStyle w:val="7"/>
        <w:keepNext/>
        <w:keepLines/>
        <w:wordWrap w:val="0"/>
        <w:topLinePunct/>
        <w:spacing w:after="0" w:line="500" w:lineRule="exact"/>
        <w:ind w:firstLine="480" w:firstLineChars="200"/>
        <w:rPr>
          <w:rFonts w:ascii="宋体" w:hAnsi="宋体" w:cs="宋体"/>
          <w:sz w:val="24"/>
        </w:rPr>
      </w:pPr>
      <w:r>
        <w:rPr>
          <w:rFonts w:hint="eastAsia" w:ascii="宋体" w:hAnsi="宋体" w:cs="宋体"/>
          <w:sz w:val="24"/>
        </w:rPr>
        <w:t>3.1.3投标报价有算术错误及其他错误的，评标委员会按以下原则要求投标人对投标报价进行修正，并要求投标人书面澄清确认。投标人拒不澄清确认的，评标委员会应当否决其投标：</w:t>
      </w:r>
    </w:p>
    <w:p>
      <w:pPr>
        <w:pStyle w:val="7"/>
        <w:keepNext/>
        <w:keepLines/>
        <w:wordWrap w:val="0"/>
        <w:topLinePunct/>
        <w:spacing w:after="0" w:line="500" w:lineRule="exact"/>
        <w:ind w:firstLine="480" w:firstLineChars="200"/>
        <w:rPr>
          <w:rFonts w:ascii="宋体" w:hAnsi="宋体" w:cs="宋体"/>
          <w:sz w:val="24"/>
        </w:rPr>
      </w:pPr>
      <w:r>
        <w:rPr>
          <w:rFonts w:hint="eastAsia" w:ascii="宋体" w:hAnsi="宋体" w:cs="宋体"/>
          <w:sz w:val="24"/>
        </w:rPr>
        <w:t>（1）投标文件中的大写金额与小写金额不一致的，以大写金额为准；</w:t>
      </w:r>
    </w:p>
    <w:p>
      <w:pPr>
        <w:pStyle w:val="7"/>
        <w:keepNext/>
        <w:keepLines/>
        <w:wordWrap w:val="0"/>
        <w:topLinePunct/>
        <w:spacing w:after="0" w:line="500" w:lineRule="exact"/>
        <w:ind w:firstLine="480" w:firstLineChars="200"/>
        <w:rPr>
          <w:rFonts w:ascii="宋体" w:hAnsi="宋体" w:cs="宋体"/>
          <w:sz w:val="24"/>
        </w:rPr>
      </w:pPr>
      <w:r>
        <w:rPr>
          <w:rFonts w:hint="eastAsia" w:ascii="宋体" w:hAnsi="宋体" w:cs="宋体"/>
          <w:sz w:val="24"/>
        </w:rPr>
        <w:t>（2）总价金额与单价金额不一致的，以单价金额为准，但单价金额小数点有明显错误的除外。</w:t>
      </w:r>
    </w:p>
    <w:p>
      <w:pPr>
        <w:pStyle w:val="21"/>
        <w:keepNext/>
        <w:keepLines/>
        <w:wordWrap w:val="0"/>
        <w:topLinePunct/>
        <w:spacing w:line="500" w:lineRule="exact"/>
        <w:ind w:left="0" w:right="0" w:firstLine="480" w:firstLineChars="200"/>
        <w:outlineLvl w:val="9"/>
        <w:rPr>
          <w:rFonts w:hAnsi="宋体" w:cs="宋体"/>
          <w:sz w:val="24"/>
          <w:szCs w:val="24"/>
        </w:rPr>
      </w:pPr>
      <w:bookmarkStart w:id="76" w:name="_bookmark90"/>
      <w:bookmarkEnd w:id="76"/>
      <w:r>
        <w:rPr>
          <w:rFonts w:hint="eastAsia" w:hAnsi="宋体" w:cs="宋体"/>
          <w:sz w:val="24"/>
          <w:szCs w:val="24"/>
        </w:rPr>
        <w:t>3.2 详细评审</w:t>
      </w:r>
    </w:p>
    <w:p>
      <w:pPr>
        <w:pStyle w:val="7"/>
        <w:keepNext/>
        <w:keepLines/>
        <w:wordWrap w:val="0"/>
        <w:topLinePunct/>
        <w:spacing w:after="0" w:line="500" w:lineRule="exact"/>
        <w:ind w:firstLine="480" w:firstLineChars="200"/>
        <w:rPr>
          <w:rFonts w:ascii="宋体" w:hAnsi="宋体" w:cs="宋体"/>
          <w:sz w:val="24"/>
        </w:rPr>
      </w:pPr>
      <w:r>
        <w:rPr>
          <w:rFonts w:hint="eastAsia" w:ascii="宋体" w:hAnsi="宋体" w:cs="宋体"/>
          <w:sz w:val="24"/>
        </w:rPr>
        <w:t>3.2.1评</w:t>
      </w:r>
      <w:r>
        <w:rPr>
          <w:rFonts w:hint="eastAsia" w:ascii="宋体" w:hAnsi="宋体" w:cs="宋体"/>
          <w:spacing w:val="-3"/>
          <w:sz w:val="24"/>
        </w:rPr>
        <w:t>标</w:t>
      </w:r>
      <w:r>
        <w:rPr>
          <w:rFonts w:hint="eastAsia" w:ascii="宋体" w:hAnsi="宋体" w:cs="宋体"/>
          <w:sz w:val="24"/>
        </w:rPr>
        <w:t>委</w:t>
      </w:r>
      <w:r>
        <w:rPr>
          <w:rFonts w:hint="eastAsia" w:ascii="宋体" w:hAnsi="宋体" w:cs="宋体"/>
          <w:spacing w:val="-3"/>
          <w:sz w:val="24"/>
        </w:rPr>
        <w:t>员</w:t>
      </w:r>
      <w:r>
        <w:rPr>
          <w:rFonts w:hint="eastAsia" w:ascii="宋体" w:hAnsi="宋体" w:cs="宋体"/>
          <w:sz w:val="24"/>
        </w:rPr>
        <w:t>会</w:t>
      </w:r>
      <w:r>
        <w:rPr>
          <w:rFonts w:hint="eastAsia" w:ascii="宋体" w:hAnsi="宋体" w:cs="宋体"/>
          <w:spacing w:val="-3"/>
          <w:sz w:val="24"/>
        </w:rPr>
        <w:t>按</w:t>
      </w:r>
      <w:r>
        <w:rPr>
          <w:rFonts w:hint="eastAsia" w:ascii="宋体" w:hAnsi="宋体" w:cs="宋体"/>
          <w:sz w:val="24"/>
        </w:rPr>
        <w:t>本</w:t>
      </w:r>
      <w:r>
        <w:rPr>
          <w:rFonts w:hint="eastAsia" w:ascii="宋体" w:hAnsi="宋体" w:cs="宋体"/>
          <w:spacing w:val="-3"/>
          <w:sz w:val="24"/>
        </w:rPr>
        <w:t>章</w:t>
      </w:r>
      <w:r>
        <w:rPr>
          <w:rFonts w:hint="eastAsia" w:ascii="宋体" w:hAnsi="宋体" w:cs="宋体"/>
          <w:sz w:val="24"/>
        </w:rPr>
        <w:t>第2.2</w:t>
      </w:r>
      <w:r>
        <w:rPr>
          <w:rFonts w:hint="eastAsia" w:ascii="宋体" w:hAnsi="宋体" w:cs="宋体"/>
          <w:spacing w:val="-3"/>
          <w:sz w:val="24"/>
        </w:rPr>
        <w:t>款</w:t>
      </w:r>
      <w:r>
        <w:rPr>
          <w:rFonts w:hint="eastAsia" w:ascii="宋体" w:hAnsi="宋体" w:cs="宋体"/>
          <w:sz w:val="24"/>
        </w:rPr>
        <w:t>规</w:t>
      </w:r>
      <w:r>
        <w:rPr>
          <w:rFonts w:hint="eastAsia" w:ascii="宋体" w:hAnsi="宋体" w:cs="宋体"/>
          <w:spacing w:val="-3"/>
          <w:sz w:val="24"/>
        </w:rPr>
        <w:t>定</w:t>
      </w:r>
      <w:r>
        <w:rPr>
          <w:rFonts w:hint="eastAsia" w:ascii="宋体" w:hAnsi="宋体" w:cs="宋体"/>
          <w:sz w:val="24"/>
        </w:rPr>
        <w:t>的</w:t>
      </w:r>
      <w:r>
        <w:rPr>
          <w:rFonts w:hint="eastAsia" w:ascii="宋体" w:hAnsi="宋体" w:cs="宋体"/>
          <w:spacing w:val="-3"/>
          <w:sz w:val="24"/>
        </w:rPr>
        <w:t>量</w:t>
      </w:r>
      <w:r>
        <w:rPr>
          <w:rFonts w:hint="eastAsia" w:ascii="宋体" w:hAnsi="宋体" w:cs="宋体"/>
          <w:sz w:val="24"/>
        </w:rPr>
        <w:t>化</w:t>
      </w:r>
      <w:r>
        <w:rPr>
          <w:rFonts w:hint="eastAsia" w:ascii="宋体" w:hAnsi="宋体" w:cs="宋体"/>
          <w:spacing w:val="-3"/>
          <w:sz w:val="24"/>
        </w:rPr>
        <w:t>因</w:t>
      </w:r>
      <w:r>
        <w:rPr>
          <w:rFonts w:hint="eastAsia" w:ascii="宋体" w:hAnsi="宋体" w:cs="宋体"/>
          <w:sz w:val="24"/>
        </w:rPr>
        <w:t>素</w:t>
      </w:r>
      <w:r>
        <w:rPr>
          <w:rFonts w:hint="eastAsia" w:ascii="宋体" w:hAnsi="宋体" w:cs="宋体"/>
          <w:spacing w:val="-3"/>
          <w:sz w:val="24"/>
        </w:rPr>
        <w:t>和</w:t>
      </w:r>
      <w:r>
        <w:rPr>
          <w:rFonts w:hint="eastAsia" w:ascii="宋体" w:hAnsi="宋体" w:cs="宋体"/>
          <w:sz w:val="24"/>
        </w:rPr>
        <w:t>分值</w:t>
      </w:r>
      <w:r>
        <w:rPr>
          <w:rFonts w:hint="eastAsia" w:ascii="宋体" w:hAnsi="宋体" w:cs="宋体"/>
          <w:spacing w:val="-3"/>
          <w:sz w:val="24"/>
        </w:rPr>
        <w:t>进</w:t>
      </w:r>
      <w:r>
        <w:rPr>
          <w:rFonts w:hint="eastAsia" w:ascii="宋体" w:hAnsi="宋体" w:cs="宋体"/>
          <w:sz w:val="24"/>
        </w:rPr>
        <w:t>行</w:t>
      </w:r>
      <w:r>
        <w:rPr>
          <w:rFonts w:hint="eastAsia" w:ascii="宋体" w:hAnsi="宋体" w:cs="宋体"/>
          <w:spacing w:val="-3"/>
          <w:sz w:val="24"/>
        </w:rPr>
        <w:t>打</w:t>
      </w:r>
      <w:r>
        <w:rPr>
          <w:rFonts w:hint="eastAsia" w:ascii="宋体" w:hAnsi="宋体" w:cs="宋体"/>
          <w:sz w:val="24"/>
        </w:rPr>
        <w:t>分</w:t>
      </w:r>
      <w:r>
        <w:rPr>
          <w:rFonts w:hint="eastAsia" w:ascii="宋体" w:hAnsi="宋体" w:cs="宋体"/>
          <w:spacing w:val="-108"/>
          <w:sz w:val="24"/>
        </w:rPr>
        <w:t>，</w:t>
      </w:r>
      <w:r>
        <w:rPr>
          <w:rFonts w:hint="eastAsia" w:ascii="宋体" w:hAnsi="宋体" w:cs="宋体"/>
          <w:sz w:val="24"/>
        </w:rPr>
        <w:t>并</w:t>
      </w:r>
      <w:r>
        <w:rPr>
          <w:rFonts w:hint="eastAsia" w:ascii="宋体" w:hAnsi="宋体" w:cs="宋体"/>
          <w:spacing w:val="-3"/>
          <w:sz w:val="24"/>
        </w:rPr>
        <w:t>计</w:t>
      </w:r>
      <w:r>
        <w:rPr>
          <w:rFonts w:hint="eastAsia" w:ascii="宋体" w:hAnsi="宋体" w:cs="宋体"/>
          <w:sz w:val="24"/>
        </w:rPr>
        <w:t>算</w:t>
      </w:r>
      <w:r>
        <w:rPr>
          <w:rFonts w:hint="eastAsia" w:ascii="宋体" w:hAnsi="宋体" w:cs="宋体"/>
          <w:spacing w:val="-3"/>
          <w:sz w:val="24"/>
        </w:rPr>
        <w:t>出综</w:t>
      </w:r>
      <w:r>
        <w:rPr>
          <w:rFonts w:hint="eastAsia" w:ascii="宋体" w:hAnsi="宋体" w:cs="宋体"/>
          <w:sz w:val="24"/>
        </w:rPr>
        <w:t>合评</w:t>
      </w:r>
      <w:r>
        <w:rPr>
          <w:rFonts w:hint="eastAsia" w:ascii="宋体" w:hAnsi="宋体" w:cs="宋体"/>
          <w:spacing w:val="-3"/>
          <w:sz w:val="24"/>
        </w:rPr>
        <w:t>估</w:t>
      </w:r>
      <w:r>
        <w:rPr>
          <w:rFonts w:hint="eastAsia" w:ascii="宋体" w:hAnsi="宋体" w:cs="宋体"/>
          <w:sz w:val="24"/>
        </w:rPr>
        <w:t>得</w:t>
      </w:r>
      <w:r>
        <w:rPr>
          <w:rFonts w:hint="eastAsia" w:ascii="宋体" w:hAnsi="宋体" w:cs="宋体"/>
          <w:spacing w:val="-3"/>
          <w:sz w:val="24"/>
        </w:rPr>
        <w:t>分</w:t>
      </w:r>
      <w:r>
        <w:rPr>
          <w:rFonts w:hint="eastAsia" w:ascii="宋体" w:hAnsi="宋体" w:cs="宋体"/>
          <w:sz w:val="24"/>
        </w:rPr>
        <w:t>。</w:t>
      </w:r>
    </w:p>
    <w:p>
      <w:pPr>
        <w:pStyle w:val="7"/>
        <w:keepNext/>
        <w:keepLines/>
        <w:wordWrap w:val="0"/>
        <w:topLinePunct/>
        <w:spacing w:after="0" w:line="500" w:lineRule="exact"/>
        <w:ind w:firstLine="480" w:firstLineChars="200"/>
        <w:rPr>
          <w:rFonts w:ascii="宋体" w:hAnsi="宋体" w:cs="宋体"/>
          <w:sz w:val="24"/>
        </w:rPr>
      </w:pPr>
      <w:r>
        <w:rPr>
          <w:rFonts w:hint="eastAsia" w:ascii="宋体" w:hAnsi="宋体" w:cs="宋体"/>
          <w:sz w:val="24"/>
        </w:rPr>
        <w:t>（1）按本章第2.2.4（1）目规定的评审因素和分值对监理大纲部分计算出得分A；</w:t>
      </w:r>
    </w:p>
    <w:p>
      <w:pPr>
        <w:pStyle w:val="7"/>
        <w:keepNext/>
        <w:keepLines/>
        <w:wordWrap w:val="0"/>
        <w:topLinePunct/>
        <w:spacing w:after="0" w:line="500" w:lineRule="exact"/>
        <w:ind w:firstLine="480" w:firstLineChars="200"/>
        <w:rPr>
          <w:rFonts w:ascii="宋体" w:hAnsi="宋体" w:cs="宋体"/>
          <w:sz w:val="24"/>
        </w:rPr>
      </w:pPr>
      <w:r>
        <w:rPr>
          <w:rFonts w:hint="eastAsia" w:ascii="宋体" w:hAnsi="宋体" w:cs="宋体"/>
          <w:sz w:val="24"/>
        </w:rPr>
        <w:t>（2）按本章第2.2.4（2）目规定的评审因素和分值对资信业绩部分计算出得分B；</w:t>
      </w:r>
    </w:p>
    <w:p>
      <w:pPr>
        <w:pStyle w:val="7"/>
        <w:keepNext/>
        <w:keepLines/>
        <w:wordWrap w:val="0"/>
        <w:topLinePunct/>
        <w:spacing w:after="0" w:line="500" w:lineRule="exact"/>
        <w:ind w:firstLine="480" w:firstLineChars="200"/>
        <w:rPr>
          <w:rFonts w:hAnsi="宋体" w:cs="宋体"/>
          <w:sz w:val="24"/>
        </w:rPr>
      </w:pPr>
      <w:r>
        <w:rPr>
          <w:rFonts w:hint="eastAsia" w:ascii="宋体" w:hAnsi="宋体" w:cs="宋体"/>
          <w:sz w:val="24"/>
        </w:rPr>
        <w:t>（3）按本章第2.2.4（3）目规定的评审因素和分值对投标报价计算出得分C；</w:t>
      </w:r>
    </w:p>
    <w:p>
      <w:pPr>
        <w:pStyle w:val="7"/>
        <w:keepNext/>
        <w:keepLines/>
        <w:wordWrap w:val="0"/>
        <w:topLinePunct/>
        <w:spacing w:after="0" w:line="500" w:lineRule="exact"/>
        <w:ind w:firstLine="480" w:firstLineChars="200"/>
        <w:rPr>
          <w:rFonts w:ascii="宋体" w:hAnsi="宋体" w:cs="宋体"/>
          <w:sz w:val="24"/>
        </w:rPr>
      </w:pPr>
      <w:r>
        <w:rPr>
          <w:rFonts w:hint="eastAsia" w:hAnsi="宋体" w:cs="宋体"/>
          <w:sz w:val="24"/>
        </w:rPr>
        <w:t>（4）</w:t>
      </w:r>
      <w:r>
        <w:rPr>
          <w:rFonts w:hint="eastAsia" w:ascii="宋体" w:hAnsi="宋体" w:cs="宋体"/>
          <w:sz w:val="24"/>
        </w:rPr>
        <w:t>按本章第2.2.4</w:t>
      </w:r>
      <w:r>
        <w:rPr>
          <w:rFonts w:hint="eastAsia" w:hAnsi="宋体" w:cs="宋体"/>
          <w:sz w:val="24"/>
        </w:rPr>
        <w:t>（4）目规定的评审因素和分值对其他部分计算出得分 D。</w:t>
      </w:r>
    </w:p>
    <w:p>
      <w:pPr>
        <w:pStyle w:val="7"/>
        <w:keepNext/>
        <w:keepLines/>
        <w:wordWrap w:val="0"/>
        <w:topLinePunct/>
        <w:spacing w:after="0" w:line="500" w:lineRule="exact"/>
        <w:ind w:firstLine="480" w:firstLineChars="200"/>
        <w:rPr>
          <w:rFonts w:ascii="宋体" w:hAnsi="宋体" w:cs="宋体"/>
          <w:sz w:val="24"/>
        </w:rPr>
      </w:pPr>
      <w:r>
        <w:rPr>
          <w:rFonts w:hint="eastAsia" w:ascii="宋体" w:hAnsi="宋体" w:cs="宋体"/>
          <w:sz w:val="24"/>
        </w:rPr>
        <w:t>3.2.2评分分值计算保留小数点后两位，小数点后第三位“四舍五入”。 分数汇总时，评委人数为7人以上（含7人）时，将各位评标专家对某一投标人评分中的最高分和最低分去掉后，剩余分数的算术平均值作为该投标人的最终得分。评委人数为7人以下时，将所有评委打分取算术平均值作为该投标人的最终得分。</w:t>
      </w:r>
    </w:p>
    <w:p>
      <w:pPr>
        <w:pStyle w:val="7"/>
        <w:keepNext/>
        <w:keepLines/>
        <w:wordWrap w:val="0"/>
        <w:topLinePunct/>
        <w:spacing w:after="0" w:line="500" w:lineRule="exact"/>
        <w:ind w:firstLine="480" w:firstLineChars="200"/>
        <w:rPr>
          <w:rFonts w:ascii="宋体" w:hAnsi="宋体" w:cs="宋体"/>
          <w:sz w:val="24"/>
        </w:rPr>
      </w:pPr>
      <w:r>
        <w:rPr>
          <w:rFonts w:hint="eastAsia" w:ascii="宋体" w:hAnsi="宋体" w:cs="宋体"/>
          <w:sz w:val="24"/>
        </w:rPr>
        <w:t>3.2.3投标人得分=A+B+C</w:t>
      </w:r>
      <w:r>
        <w:rPr>
          <w:rFonts w:hint="eastAsia" w:hAnsi="宋体" w:cs="宋体"/>
          <w:sz w:val="24"/>
        </w:rPr>
        <w:t>+D</w:t>
      </w:r>
      <w:r>
        <w:rPr>
          <w:rFonts w:hint="eastAsia" w:ascii="宋体" w:hAnsi="宋体" w:cs="宋体"/>
          <w:sz w:val="24"/>
        </w:rPr>
        <w:t>。</w:t>
      </w:r>
    </w:p>
    <w:bookmarkEnd w:id="65"/>
    <w:bookmarkEnd w:id="66"/>
    <w:bookmarkEnd w:id="67"/>
    <w:p>
      <w:pPr>
        <w:adjustRightInd w:val="0"/>
        <w:snapToGrid w:val="0"/>
        <w:spacing w:line="420" w:lineRule="exact"/>
        <w:ind w:firstLine="480" w:firstLineChars="200"/>
        <w:rPr>
          <w:rFonts w:hAnsi="宋体"/>
          <w:sz w:val="24"/>
          <w:szCs w:val="24"/>
        </w:rPr>
      </w:pPr>
      <w:bookmarkStart w:id="77" w:name="_Toc27931067"/>
      <w:r>
        <w:rPr>
          <w:rFonts w:hAnsi="宋体"/>
          <w:sz w:val="24"/>
          <w:szCs w:val="24"/>
        </w:rPr>
        <w:t>3.2.4 评标委员会发现投标人的报价明显低于其他投标报价，使得其投标报价可能低于其个别成本的，应当要求该投标人作出书面说明并提供相应的证明材料。投标人不能合理说明或者 不能提供相应证明材料的，评标委员会应当认定该投标人以低于成本报价竞标，并否决其投标。</w:t>
      </w:r>
      <w:bookmarkStart w:id="78" w:name="_bookmark91"/>
      <w:bookmarkEnd w:id="78"/>
    </w:p>
    <w:p>
      <w:pPr>
        <w:adjustRightInd w:val="0"/>
        <w:snapToGrid w:val="0"/>
        <w:spacing w:line="420" w:lineRule="exact"/>
        <w:ind w:firstLine="480" w:firstLineChars="200"/>
        <w:rPr>
          <w:rFonts w:hAnsi="宋体"/>
          <w:sz w:val="24"/>
          <w:szCs w:val="24"/>
        </w:rPr>
      </w:pPr>
      <w:r>
        <w:rPr>
          <w:rFonts w:hAnsi="宋体"/>
          <w:sz w:val="24"/>
          <w:szCs w:val="24"/>
        </w:rPr>
        <w:t>3.3  投标文件的澄清</w:t>
      </w:r>
    </w:p>
    <w:p>
      <w:pPr>
        <w:adjustRightInd w:val="0"/>
        <w:snapToGrid w:val="0"/>
        <w:spacing w:line="420" w:lineRule="exact"/>
        <w:ind w:firstLine="480" w:firstLineChars="200"/>
        <w:rPr>
          <w:rFonts w:hAnsi="宋体"/>
          <w:sz w:val="24"/>
          <w:szCs w:val="24"/>
        </w:rPr>
      </w:pPr>
      <w:r>
        <w:rPr>
          <w:rFonts w:hAnsi="宋体"/>
          <w:sz w:val="24"/>
          <w:szCs w:val="24"/>
        </w:rPr>
        <w:t>3.3.1在评标过程中，评标委员会可以书面形式要求投标人对投标文件中含义不明确、对同类问题表述不一致或者有明显文字和计算错误的内容作必要的澄清、说明或补正。澄清、说明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pPr>
        <w:adjustRightInd w:val="0"/>
        <w:snapToGrid w:val="0"/>
        <w:spacing w:line="420" w:lineRule="exact"/>
        <w:ind w:firstLine="480" w:firstLineChars="200"/>
        <w:rPr>
          <w:rFonts w:hAnsi="宋体"/>
          <w:sz w:val="24"/>
          <w:szCs w:val="24"/>
        </w:rPr>
      </w:pPr>
      <w:r>
        <w:rPr>
          <w:rFonts w:hAnsi="宋体"/>
          <w:sz w:val="24"/>
          <w:szCs w:val="24"/>
        </w:rPr>
        <w:t>3.3.2 澄清、说明或补正不得超出投标文件的范围且不得改变投标文件的实质性内容，并构 成投标文件的组成部分。</w:t>
      </w:r>
    </w:p>
    <w:p>
      <w:pPr>
        <w:adjustRightInd w:val="0"/>
        <w:snapToGrid w:val="0"/>
        <w:spacing w:line="420" w:lineRule="exact"/>
        <w:ind w:firstLine="480" w:firstLineChars="200"/>
        <w:rPr>
          <w:rFonts w:hAnsi="宋体"/>
          <w:sz w:val="24"/>
          <w:szCs w:val="24"/>
        </w:rPr>
      </w:pPr>
      <w:r>
        <w:rPr>
          <w:rFonts w:hAnsi="宋体"/>
          <w:sz w:val="24"/>
          <w:szCs w:val="24"/>
        </w:rPr>
        <w:t>3.3.3  评标委员会对投标人提交的澄清、说明或补正有疑问的，可以要求投标人进一步澄清、 说明或补正，直至满足评标委员会的要求。</w:t>
      </w:r>
      <w:bookmarkStart w:id="79" w:name="_bookmark92"/>
      <w:bookmarkEnd w:id="79"/>
    </w:p>
    <w:p>
      <w:pPr>
        <w:adjustRightInd w:val="0"/>
        <w:snapToGrid w:val="0"/>
        <w:spacing w:line="420" w:lineRule="exact"/>
        <w:rPr>
          <w:rFonts w:hAnsi="宋体"/>
          <w:sz w:val="24"/>
          <w:szCs w:val="24"/>
        </w:rPr>
      </w:pPr>
      <w:r>
        <w:rPr>
          <w:rFonts w:hAnsi="宋体"/>
          <w:sz w:val="24"/>
          <w:szCs w:val="24"/>
        </w:rPr>
        <w:t>3.4  评标结果</w:t>
      </w:r>
    </w:p>
    <w:p>
      <w:pPr>
        <w:adjustRightInd w:val="0"/>
        <w:snapToGrid w:val="0"/>
        <w:spacing w:line="420" w:lineRule="exact"/>
        <w:ind w:firstLine="480" w:firstLineChars="200"/>
        <w:rPr>
          <w:rFonts w:hAnsi="宋体"/>
          <w:sz w:val="24"/>
          <w:szCs w:val="24"/>
        </w:rPr>
      </w:pPr>
      <w:r>
        <w:rPr>
          <w:rFonts w:hAnsi="宋体"/>
          <w:sz w:val="24"/>
          <w:szCs w:val="24"/>
        </w:rPr>
        <w:t>3.4.1 除第二章“投标人须知”前附表授权直接确定中标人外，评标委员会按照得分由高到低 的顺序推荐中标候选人，并标明排序。</w:t>
      </w:r>
    </w:p>
    <w:p>
      <w:pPr>
        <w:adjustRightInd w:val="0"/>
        <w:snapToGrid w:val="0"/>
        <w:spacing w:line="420" w:lineRule="exact"/>
        <w:ind w:firstLine="480" w:firstLineChars="200"/>
        <w:rPr>
          <w:rFonts w:hAnsi="宋体"/>
          <w:sz w:val="24"/>
          <w:szCs w:val="24"/>
        </w:rPr>
      </w:pPr>
      <w:r>
        <w:rPr>
          <w:rFonts w:hAnsi="宋体"/>
          <w:sz w:val="24"/>
          <w:szCs w:val="24"/>
        </w:rPr>
        <w:t>3.4.2 评标委员会完成评标后，应当向招标人提交书面评标报告和中标候选人名单。</w:t>
      </w:r>
      <w:r>
        <w:rPr>
          <w:rFonts w:hint="eastAsia" w:hAnsi="宋体"/>
          <w:sz w:val="24"/>
          <w:szCs w:val="24"/>
        </w:rPr>
        <w:t>评标委员会根据投标人须知前附表</w:t>
      </w:r>
      <w:r>
        <w:rPr>
          <w:rFonts w:hAnsi="宋体"/>
          <w:sz w:val="24"/>
          <w:szCs w:val="24"/>
        </w:rPr>
        <w:t>7.1</w:t>
      </w:r>
      <w:r>
        <w:rPr>
          <w:rFonts w:hint="eastAsia" w:hAnsi="宋体"/>
          <w:sz w:val="24"/>
          <w:szCs w:val="24"/>
        </w:rPr>
        <w:t>条的规定向招标人提交评标报告。评标报告应当由全体评标委员会成员签字，并于评标结束时抄送有关行政监督部门。</w:t>
      </w:r>
    </w:p>
    <w:p>
      <w:pPr>
        <w:adjustRightInd w:val="0"/>
        <w:snapToGrid w:val="0"/>
        <w:spacing w:line="420" w:lineRule="exact"/>
        <w:ind w:firstLine="480" w:firstLineChars="200"/>
        <w:rPr>
          <w:rFonts w:hAnsi="宋体"/>
          <w:sz w:val="24"/>
          <w:szCs w:val="24"/>
        </w:rPr>
      </w:pPr>
      <w:r>
        <w:rPr>
          <w:rFonts w:hint="eastAsia" w:hAnsi="宋体"/>
          <w:sz w:val="24"/>
          <w:szCs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420" w:lineRule="exact"/>
        <w:rPr>
          <w:rFonts w:hAnsi="宋体"/>
          <w:sz w:val="24"/>
          <w:szCs w:val="24"/>
        </w:rPr>
      </w:pPr>
      <w:r>
        <w:rPr>
          <w:rFonts w:hint="eastAsia" w:hAnsi="宋体"/>
          <w:sz w:val="24"/>
          <w:szCs w:val="24"/>
        </w:rPr>
        <w:t>3.5公示</w:t>
      </w:r>
    </w:p>
    <w:p>
      <w:pPr>
        <w:adjustRightInd w:val="0"/>
        <w:snapToGrid w:val="0"/>
        <w:spacing w:line="420" w:lineRule="exact"/>
        <w:ind w:firstLine="480"/>
        <w:rPr>
          <w:rFonts w:hAnsi="宋体"/>
          <w:sz w:val="24"/>
          <w:szCs w:val="24"/>
        </w:rPr>
      </w:pPr>
      <w:r>
        <w:rPr>
          <w:rFonts w:hint="eastAsia" w:hAnsi="宋体"/>
          <w:sz w:val="24"/>
          <w:szCs w:val="24"/>
        </w:rPr>
        <w:t>中标人确定后，招标人应当在本招标项目招标公告发布的同一媒介上进行公示，公示时间不少于</w:t>
      </w:r>
      <w:r>
        <w:rPr>
          <w:rFonts w:hAnsi="宋体"/>
          <w:sz w:val="24"/>
          <w:szCs w:val="24"/>
        </w:rPr>
        <w:t>3</w:t>
      </w:r>
      <w:r>
        <w:rPr>
          <w:rFonts w:hint="eastAsia" w:hAnsi="宋体"/>
          <w:sz w:val="24"/>
          <w:szCs w:val="24"/>
        </w:rPr>
        <w:t>日（不含法定节假日）。公示期满后，招标人应当向中标人发出中标通知书，并向所有合格投标人告知中标结果。</w:t>
      </w:r>
    </w:p>
    <w:p>
      <w:pPr>
        <w:adjustRightInd w:val="0"/>
        <w:snapToGrid w:val="0"/>
        <w:spacing w:line="420" w:lineRule="exact"/>
        <w:rPr>
          <w:rFonts w:hAnsi="宋体"/>
          <w:sz w:val="24"/>
          <w:szCs w:val="24"/>
        </w:rPr>
      </w:pPr>
      <w:r>
        <w:rPr>
          <w:rFonts w:hint="eastAsia" w:hAnsi="宋体"/>
          <w:sz w:val="24"/>
          <w:szCs w:val="24"/>
        </w:rPr>
        <w:t>3.6特殊情况的处置程序</w:t>
      </w:r>
    </w:p>
    <w:p>
      <w:pPr>
        <w:adjustRightInd w:val="0"/>
        <w:snapToGrid w:val="0"/>
        <w:spacing w:line="420" w:lineRule="exact"/>
        <w:ind w:firstLine="480"/>
        <w:rPr>
          <w:rFonts w:hAnsi="宋体"/>
          <w:sz w:val="24"/>
          <w:szCs w:val="24"/>
        </w:rPr>
      </w:pPr>
      <w:r>
        <w:rPr>
          <w:rFonts w:hint="eastAsia" w:hAnsi="宋体"/>
          <w:sz w:val="24"/>
          <w:szCs w:val="24"/>
        </w:rPr>
        <w:t>3.6.1关于评标活动暂停</w:t>
      </w:r>
    </w:p>
    <w:p>
      <w:pPr>
        <w:adjustRightInd w:val="0"/>
        <w:snapToGrid w:val="0"/>
        <w:spacing w:line="420" w:lineRule="exact"/>
        <w:ind w:firstLine="480"/>
        <w:rPr>
          <w:rFonts w:hAnsi="宋体"/>
          <w:sz w:val="24"/>
          <w:szCs w:val="24"/>
        </w:rPr>
      </w:pPr>
      <w:r>
        <w:rPr>
          <w:rFonts w:hint="eastAsia" w:hAnsi="宋体"/>
          <w:sz w:val="24"/>
          <w:szCs w:val="24"/>
        </w:rPr>
        <w:t>3.6.1.1评标委员会应当执行连续评标的原则，按评标办法中规定的程序、内容、方法、标准完成全部评标工作。只有发生不可抗力导致评标工作无法继续时，评标活动方可暂停。</w:t>
      </w:r>
    </w:p>
    <w:p>
      <w:pPr>
        <w:adjustRightInd w:val="0"/>
        <w:snapToGrid w:val="0"/>
        <w:spacing w:line="420" w:lineRule="exact"/>
        <w:ind w:firstLine="480"/>
        <w:rPr>
          <w:rFonts w:hAnsi="宋体"/>
          <w:sz w:val="24"/>
          <w:szCs w:val="24"/>
        </w:rPr>
      </w:pPr>
      <w:r>
        <w:rPr>
          <w:rFonts w:hint="eastAsia" w:hAnsi="宋体"/>
          <w:sz w:val="24"/>
          <w:szCs w:val="24"/>
        </w:rPr>
        <w:t>3.6.1.2发生评标暂停情况时，评标委员会应当封存全部投标文件和评标记录，待不可抗力的影响结束且具备继续评标的条件时，由原评标委员会继续评标。</w:t>
      </w:r>
    </w:p>
    <w:p>
      <w:pPr>
        <w:adjustRightInd w:val="0"/>
        <w:snapToGrid w:val="0"/>
        <w:spacing w:line="420" w:lineRule="exact"/>
        <w:ind w:firstLine="480"/>
        <w:rPr>
          <w:rFonts w:hAnsi="宋体"/>
          <w:sz w:val="24"/>
          <w:szCs w:val="24"/>
        </w:rPr>
      </w:pPr>
      <w:r>
        <w:rPr>
          <w:rFonts w:hint="eastAsia" w:hAnsi="宋体"/>
          <w:sz w:val="24"/>
          <w:szCs w:val="24"/>
        </w:rPr>
        <w:t>3.6.2关于评标中途更换评标委员会成员</w:t>
      </w:r>
    </w:p>
    <w:p>
      <w:pPr>
        <w:adjustRightInd w:val="0"/>
        <w:snapToGrid w:val="0"/>
        <w:spacing w:line="420" w:lineRule="exact"/>
        <w:ind w:firstLine="480"/>
        <w:rPr>
          <w:rFonts w:hAnsi="宋体"/>
          <w:sz w:val="24"/>
          <w:szCs w:val="24"/>
        </w:rPr>
      </w:pPr>
      <w:r>
        <w:rPr>
          <w:rFonts w:hint="eastAsia" w:hAnsi="宋体"/>
          <w:sz w:val="24"/>
          <w:szCs w:val="24"/>
        </w:rPr>
        <w:t>3.6.2.1除非发生下列情况之一，评标委员会成员不得在评标中途更换：</w:t>
      </w:r>
    </w:p>
    <w:p>
      <w:pPr>
        <w:adjustRightInd w:val="0"/>
        <w:snapToGrid w:val="0"/>
        <w:spacing w:line="420" w:lineRule="exact"/>
        <w:ind w:firstLine="48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）因不可抗拒的客观原因，不能到场或需在评标中途退出评标活动。</w:t>
      </w:r>
    </w:p>
    <w:p>
      <w:pPr>
        <w:adjustRightInd w:val="0"/>
        <w:snapToGrid w:val="0"/>
        <w:spacing w:line="420" w:lineRule="exact"/>
        <w:ind w:firstLine="480"/>
        <w:rPr>
          <w:rFonts w:hAnsi="宋体"/>
          <w:sz w:val="24"/>
          <w:szCs w:val="24"/>
        </w:rPr>
      </w:pPr>
      <w:r>
        <w:rPr>
          <w:rFonts w:hint="eastAsia" w:hAnsi="宋体"/>
          <w:sz w:val="24"/>
          <w:szCs w:val="24"/>
        </w:rPr>
        <w:t>（</w:t>
      </w:r>
      <w:r>
        <w:rPr>
          <w:rFonts w:hAnsi="宋体"/>
          <w:sz w:val="24"/>
          <w:szCs w:val="24"/>
        </w:rPr>
        <w:t>2</w:t>
      </w:r>
      <w:r>
        <w:rPr>
          <w:rFonts w:hint="eastAsia" w:hAnsi="宋体"/>
          <w:sz w:val="24"/>
          <w:szCs w:val="24"/>
        </w:rPr>
        <w:t>）根据法律法规规定，某个或某几个评标委员会成员需要回避。</w:t>
      </w:r>
    </w:p>
    <w:p>
      <w:pPr>
        <w:adjustRightInd w:val="0"/>
        <w:snapToGrid w:val="0"/>
        <w:spacing w:line="420" w:lineRule="exact"/>
        <w:ind w:firstLine="480"/>
        <w:rPr>
          <w:rFonts w:hAnsi="宋体"/>
          <w:sz w:val="24"/>
          <w:szCs w:val="24"/>
        </w:rPr>
      </w:pPr>
      <w:r>
        <w:rPr>
          <w:rFonts w:hint="eastAsia" w:hAnsi="宋体"/>
          <w:sz w:val="24"/>
          <w:szCs w:val="24"/>
        </w:rPr>
        <w:t>3.6.</w:t>
      </w:r>
      <w:r>
        <w:rPr>
          <w:rFonts w:hAnsi="宋体"/>
          <w:sz w:val="24"/>
          <w:szCs w:val="24"/>
        </w:rPr>
        <w:t>2.2</w:t>
      </w:r>
      <w:r>
        <w:rPr>
          <w:rFonts w:hint="eastAsia" w:hAnsi="宋体"/>
          <w:sz w:val="24"/>
          <w:szCs w:val="24"/>
        </w:rPr>
        <w:t>退出评标的评标委员会成员，其已完成的评标行为无效。由招标人根据本招标文件规定的评标委员会成员产生方式另行确定替代者进行评标。</w:t>
      </w:r>
    </w:p>
    <w:p>
      <w:pPr>
        <w:adjustRightInd w:val="0"/>
        <w:snapToGrid w:val="0"/>
        <w:spacing w:line="420" w:lineRule="exact"/>
        <w:ind w:firstLine="480"/>
        <w:rPr>
          <w:rFonts w:hAnsi="宋体"/>
          <w:sz w:val="24"/>
          <w:szCs w:val="24"/>
        </w:rPr>
      </w:pPr>
      <w:r>
        <w:rPr>
          <w:rFonts w:hint="eastAsia" w:hAnsi="宋体"/>
          <w:sz w:val="24"/>
          <w:szCs w:val="24"/>
        </w:rPr>
        <w:t>3.6.2.3记名投票</w:t>
      </w:r>
    </w:p>
    <w:p>
      <w:pPr>
        <w:adjustRightInd w:val="0"/>
        <w:snapToGrid w:val="0"/>
        <w:spacing w:line="420" w:lineRule="exact"/>
        <w:rPr>
          <w:rFonts w:hAnsi="宋体"/>
          <w:sz w:val="24"/>
          <w:szCs w:val="24"/>
        </w:rPr>
      </w:pPr>
      <w:r>
        <w:rPr>
          <w:rFonts w:hint="eastAsia" w:hAnsi="宋体"/>
          <w:sz w:val="24"/>
          <w:szCs w:val="24"/>
        </w:rPr>
        <w:t xml:space="preserve">    在任何评标环节中，需评标委员会就某项定性的评审结论做出表决的，由评标委员会全体成员按照少数服从多数的原则，以记名投票方式表决。</w:t>
      </w:r>
    </w:p>
    <w:p>
      <w:pPr>
        <w:pStyle w:val="2"/>
        <w:jc w:val="center"/>
        <w:rPr>
          <w:rFonts w:hint="eastAsia"/>
          <w:b/>
          <w:bCs/>
          <w:color w:val="auto"/>
        </w:rPr>
      </w:pPr>
    </w:p>
    <w:p>
      <w:pPr>
        <w:rPr>
          <w:rFonts w:hint="eastAsia"/>
        </w:rPr>
      </w:pPr>
    </w:p>
    <w:p>
      <w:pPr>
        <w:pStyle w:val="2"/>
        <w:jc w:val="center"/>
        <w:rPr>
          <w:rFonts w:hint="eastAsia"/>
          <w:b/>
          <w:bCs/>
          <w:color w:val="auto"/>
        </w:rPr>
      </w:pPr>
    </w:p>
    <w:p>
      <w:pPr>
        <w:pStyle w:val="2"/>
        <w:jc w:val="center"/>
        <w:rPr>
          <w:rFonts w:hint="eastAsia"/>
          <w:b/>
          <w:bCs/>
          <w:color w:val="auto"/>
        </w:rPr>
      </w:pPr>
    </w:p>
    <w:p>
      <w:pPr>
        <w:pStyle w:val="2"/>
        <w:jc w:val="center"/>
        <w:rPr>
          <w:rFonts w:hint="eastAsia"/>
          <w:b/>
          <w:bCs/>
          <w:color w:val="auto"/>
        </w:rPr>
      </w:pPr>
    </w:p>
    <w:p>
      <w:pPr>
        <w:pStyle w:val="2"/>
        <w:jc w:val="center"/>
        <w:rPr>
          <w:rFonts w:hint="eastAsia"/>
          <w:b/>
          <w:bCs/>
          <w:color w:val="auto"/>
        </w:rPr>
      </w:pPr>
    </w:p>
    <w:p>
      <w:pPr>
        <w:pStyle w:val="2"/>
        <w:jc w:val="center"/>
        <w:rPr>
          <w:rFonts w:hint="eastAsia"/>
          <w:b/>
          <w:bCs/>
          <w:color w:val="auto"/>
        </w:rPr>
      </w:pPr>
    </w:p>
    <w:p>
      <w:pPr>
        <w:pStyle w:val="2"/>
        <w:jc w:val="center"/>
        <w:rPr>
          <w:rFonts w:hint="eastAsia" w:ascii="Times New Roman" w:hAnsi="宋体" w:eastAsia="宋体" w:cs="黑体"/>
          <w:b/>
          <w:kern w:val="2"/>
          <w:sz w:val="32"/>
          <w:szCs w:val="32"/>
          <w:lang w:val="en-US" w:eastAsia="zh-CN" w:bidi="ar-SA"/>
        </w:rPr>
      </w:pPr>
    </w:p>
    <w:p>
      <w:pPr>
        <w:ind w:firstLine="3534" w:firstLineChars="1100"/>
        <w:rPr>
          <w:rFonts w:hint="eastAsia" w:ascii="Times New Roman" w:hAnsi="宋体" w:eastAsia="宋体" w:cs="黑体"/>
          <w:b/>
          <w:kern w:val="2"/>
          <w:sz w:val="32"/>
          <w:szCs w:val="32"/>
          <w:lang w:val="en-US" w:eastAsia="zh-CN" w:bidi="ar-SA"/>
        </w:rPr>
      </w:pPr>
    </w:p>
    <w:p>
      <w:pPr>
        <w:ind w:firstLine="3534" w:firstLineChars="1100"/>
        <w:rPr>
          <w:rFonts w:hint="eastAsia" w:ascii="Times New Roman" w:hAnsi="宋体" w:eastAsia="宋体" w:cs="黑体"/>
          <w:b/>
          <w:kern w:val="2"/>
          <w:sz w:val="32"/>
          <w:szCs w:val="32"/>
          <w:lang w:val="en-US" w:eastAsia="zh-CN" w:bidi="ar-SA"/>
        </w:rPr>
      </w:pPr>
    </w:p>
    <w:p>
      <w:pPr>
        <w:ind w:firstLine="3534" w:firstLineChars="1100"/>
        <w:rPr>
          <w:rFonts w:hint="eastAsia" w:ascii="Times New Roman" w:hAnsi="宋体" w:eastAsia="宋体" w:cs="黑体"/>
          <w:b/>
          <w:kern w:val="2"/>
          <w:sz w:val="32"/>
          <w:szCs w:val="32"/>
          <w:lang w:val="en-US" w:eastAsia="zh-CN" w:bidi="ar-SA"/>
        </w:rPr>
      </w:pPr>
    </w:p>
    <w:p>
      <w:pPr>
        <w:ind w:firstLine="3534" w:firstLineChars="1100"/>
        <w:rPr>
          <w:rFonts w:hint="eastAsia" w:ascii="Times New Roman" w:hAnsi="宋体" w:eastAsia="宋体" w:cs="黑体"/>
          <w:b/>
          <w:kern w:val="2"/>
          <w:sz w:val="32"/>
          <w:szCs w:val="32"/>
          <w:lang w:val="en-US" w:eastAsia="zh-CN" w:bidi="ar-SA"/>
        </w:rPr>
      </w:pPr>
    </w:p>
    <w:p>
      <w:pPr>
        <w:ind w:firstLine="3534" w:firstLineChars="1100"/>
        <w:rPr>
          <w:rFonts w:hint="eastAsia" w:ascii="Times New Roman" w:hAnsi="宋体" w:eastAsia="宋体" w:cs="黑体"/>
          <w:b/>
          <w:kern w:val="2"/>
          <w:sz w:val="32"/>
          <w:szCs w:val="32"/>
          <w:lang w:val="en-US" w:eastAsia="zh-CN" w:bidi="ar-SA"/>
        </w:rPr>
      </w:pPr>
    </w:p>
    <w:p>
      <w:pPr>
        <w:ind w:firstLine="3534" w:firstLineChars="1100"/>
        <w:rPr>
          <w:rFonts w:hint="eastAsia" w:ascii="Times New Roman" w:hAnsi="宋体" w:eastAsia="宋体" w:cs="黑体"/>
          <w:b/>
          <w:kern w:val="2"/>
          <w:sz w:val="32"/>
          <w:szCs w:val="32"/>
          <w:lang w:val="en-US" w:eastAsia="zh-CN" w:bidi="ar-SA"/>
        </w:rPr>
      </w:pPr>
    </w:p>
    <w:p>
      <w:pPr>
        <w:ind w:firstLine="3534" w:firstLineChars="1100"/>
        <w:rPr>
          <w:rFonts w:hint="eastAsia" w:ascii="Times New Roman" w:hAnsi="宋体" w:eastAsia="宋体" w:cs="黑体"/>
          <w:b/>
          <w:kern w:val="2"/>
          <w:sz w:val="32"/>
          <w:szCs w:val="32"/>
          <w:lang w:val="en-US" w:eastAsia="zh-CN" w:bidi="ar-SA"/>
        </w:rPr>
      </w:pPr>
    </w:p>
    <w:p>
      <w:pPr>
        <w:ind w:firstLine="3534" w:firstLineChars="1100"/>
        <w:rPr>
          <w:rFonts w:hint="eastAsia" w:ascii="Times New Roman" w:hAnsi="宋体" w:eastAsia="宋体" w:cs="黑体"/>
          <w:b/>
          <w:kern w:val="2"/>
          <w:sz w:val="32"/>
          <w:szCs w:val="32"/>
          <w:lang w:val="en-US" w:eastAsia="zh-CN" w:bidi="ar-SA"/>
        </w:rPr>
      </w:pPr>
    </w:p>
    <w:p>
      <w:pPr>
        <w:ind w:firstLine="3534" w:firstLineChars="1100"/>
        <w:rPr>
          <w:rFonts w:hint="eastAsia" w:ascii="Times New Roman" w:hAnsi="宋体" w:eastAsia="宋体" w:cs="黑体"/>
          <w:b/>
          <w:kern w:val="2"/>
          <w:sz w:val="32"/>
          <w:szCs w:val="32"/>
          <w:lang w:val="en-US" w:eastAsia="zh-CN" w:bidi="ar-SA"/>
        </w:rPr>
      </w:pPr>
    </w:p>
    <w:p>
      <w:pPr>
        <w:ind w:firstLine="3534" w:firstLineChars="1100"/>
        <w:rPr>
          <w:rFonts w:hint="eastAsia" w:ascii="Times New Roman" w:hAnsi="宋体" w:eastAsia="宋体" w:cs="黑体"/>
          <w:b/>
          <w:kern w:val="2"/>
          <w:sz w:val="32"/>
          <w:szCs w:val="32"/>
          <w:lang w:val="en-US" w:eastAsia="zh-CN" w:bidi="ar-SA"/>
        </w:rPr>
      </w:pPr>
    </w:p>
    <w:p>
      <w:pPr>
        <w:ind w:firstLine="3534" w:firstLineChars="1100"/>
        <w:rPr>
          <w:rFonts w:hint="eastAsia" w:ascii="Times New Roman" w:hAnsi="宋体" w:eastAsia="宋体" w:cs="黑体"/>
          <w:b/>
          <w:kern w:val="2"/>
          <w:sz w:val="32"/>
          <w:szCs w:val="32"/>
          <w:lang w:val="en-US" w:eastAsia="zh-CN" w:bidi="ar-SA"/>
        </w:rPr>
      </w:pPr>
    </w:p>
    <w:p>
      <w:pPr>
        <w:ind w:firstLine="3534" w:firstLineChars="1100"/>
        <w:rPr>
          <w:rFonts w:hint="eastAsia" w:ascii="Times New Roman" w:hAnsi="宋体" w:eastAsia="宋体" w:cs="黑体"/>
          <w:b/>
          <w:kern w:val="2"/>
          <w:sz w:val="32"/>
          <w:szCs w:val="32"/>
          <w:lang w:val="en-US" w:eastAsia="zh-CN" w:bidi="ar-SA"/>
        </w:rPr>
      </w:pPr>
    </w:p>
    <w:p>
      <w:pPr>
        <w:ind w:firstLine="3534" w:firstLineChars="1100"/>
        <w:rPr>
          <w:rFonts w:hint="eastAsia" w:ascii="Times New Roman" w:hAnsi="宋体" w:eastAsia="宋体" w:cs="黑体"/>
          <w:b/>
          <w:kern w:val="2"/>
          <w:sz w:val="32"/>
          <w:szCs w:val="32"/>
          <w:lang w:val="en-US" w:eastAsia="zh-CN" w:bidi="ar-SA"/>
        </w:rPr>
      </w:pPr>
    </w:p>
    <w:p>
      <w:pPr>
        <w:ind w:firstLine="3534" w:firstLineChars="1100"/>
        <w:rPr>
          <w:rFonts w:hint="eastAsia" w:ascii="Times New Roman" w:hAnsi="宋体" w:eastAsia="宋体" w:cs="黑体"/>
          <w:b/>
          <w:kern w:val="2"/>
          <w:sz w:val="32"/>
          <w:szCs w:val="32"/>
          <w:lang w:val="en-US" w:eastAsia="zh-CN" w:bidi="ar-SA"/>
        </w:rPr>
      </w:pPr>
    </w:p>
    <w:p>
      <w:pPr>
        <w:ind w:firstLine="3534" w:firstLineChars="1100"/>
        <w:rPr>
          <w:rFonts w:hint="eastAsia" w:ascii="Times New Roman" w:hAnsi="宋体" w:eastAsia="宋体" w:cs="黑体"/>
          <w:b/>
          <w:kern w:val="2"/>
          <w:sz w:val="32"/>
          <w:szCs w:val="32"/>
          <w:lang w:val="en-US" w:eastAsia="zh-CN" w:bidi="ar-SA"/>
        </w:rPr>
      </w:pPr>
    </w:p>
    <w:p>
      <w:pPr>
        <w:ind w:firstLine="3534" w:firstLineChars="1100"/>
        <w:rPr>
          <w:rFonts w:hint="eastAsia" w:ascii="Times New Roman" w:hAnsi="宋体" w:eastAsia="宋体" w:cs="黑体"/>
          <w:b/>
          <w:kern w:val="2"/>
          <w:sz w:val="32"/>
          <w:szCs w:val="32"/>
          <w:lang w:val="en-US" w:eastAsia="zh-CN" w:bidi="ar-SA"/>
        </w:rPr>
      </w:pPr>
    </w:p>
    <w:p>
      <w:pPr>
        <w:ind w:firstLine="3534" w:firstLineChars="1100"/>
        <w:rPr>
          <w:rFonts w:hint="eastAsia" w:ascii="Times New Roman" w:hAnsi="宋体" w:eastAsia="宋体" w:cs="黑体"/>
          <w:b/>
          <w:kern w:val="2"/>
          <w:sz w:val="32"/>
          <w:szCs w:val="32"/>
          <w:lang w:val="en-US" w:eastAsia="zh-CN" w:bidi="ar-SA"/>
        </w:rPr>
      </w:pPr>
    </w:p>
    <w:p>
      <w:pPr>
        <w:ind w:firstLine="3534" w:firstLineChars="1100"/>
        <w:rPr>
          <w:rFonts w:hint="eastAsia" w:ascii="Times New Roman" w:hAnsi="宋体" w:eastAsia="宋体" w:cs="黑体"/>
          <w:b/>
          <w:kern w:val="2"/>
          <w:sz w:val="32"/>
          <w:szCs w:val="32"/>
          <w:lang w:val="en-US" w:eastAsia="zh-CN" w:bidi="ar-SA"/>
        </w:rPr>
      </w:pPr>
    </w:p>
    <w:p>
      <w:pPr>
        <w:ind w:firstLine="3534" w:firstLineChars="1100"/>
        <w:rPr>
          <w:rFonts w:hint="eastAsia" w:ascii="Times New Roman" w:hAnsi="宋体" w:eastAsia="宋体" w:cs="黑体"/>
          <w:b/>
          <w:kern w:val="2"/>
          <w:sz w:val="32"/>
          <w:szCs w:val="32"/>
          <w:lang w:val="en-US" w:eastAsia="zh-CN" w:bidi="ar-SA"/>
        </w:rPr>
      </w:pPr>
    </w:p>
    <w:p>
      <w:pPr>
        <w:ind w:firstLine="3534" w:firstLineChars="1100"/>
        <w:rPr>
          <w:rFonts w:hint="eastAsia" w:ascii="Times New Roman" w:hAnsi="宋体" w:eastAsia="宋体" w:cs="黑体"/>
          <w:b/>
          <w:kern w:val="2"/>
          <w:sz w:val="32"/>
          <w:szCs w:val="32"/>
          <w:lang w:val="en-US" w:eastAsia="zh-CN" w:bidi="ar-SA"/>
        </w:rPr>
      </w:pPr>
    </w:p>
    <w:p>
      <w:pPr>
        <w:ind w:firstLine="3534" w:firstLineChars="1100"/>
        <w:rPr>
          <w:rFonts w:hint="eastAsia" w:ascii="Times New Roman" w:hAnsi="宋体" w:eastAsia="宋体" w:cs="黑体"/>
          <w:b/>
          <w:kern w:val="2"/>
          <w:sz w:val="32"/>
          <w:szCs w:val="32"/>
          <w:lang w:val="en-US" w:eastAsia="zh-CN" w:bidi="ar-SA"/>
        </w:rPr>
      </w:pPr>
    </w:p>
    <w:p>
      <w:pPr>
        <w:ind w:firstLine="3534" w:firstLineChars="1100"/>
        <w:rPr>
          <w:rFonts w:hint="eastAsia" w:ascii="Times New Roman" w:hAnsi="宋体" w:eastAsia="宋体" w:cs="黑体"/>
          <w:b/>
          <w:kern w:val="2"/>
          <w:sz w:val="32"/>
          <w:szCs w:val="32"/>
          <w:lang w:val="en-US" w:eastAsia="zh-CN" w:bidi="ar-SA"/>
        </w:rPr>
      </w:pPr>
    </w:p>
    <w:p>
      <w:pPr>
        <w:ind w:firstLine="3534" w:firstLineChars="1100"/>
        <w:rPr>
          <w:rFonts w:hint="eastAsia" w:ascii="Times New Roman" w:hAnsi="宋体" w:eastAsia="宋体" w:cs="黑体"/>
          <w:b/>
          <w:kern w:val="2"/>
          <w:sz w:val="32"/>
          <w:szCs w:val="32"/>
          <w:lang w:val="en-US" w:eastAsia="zh-CN" w:bidi="ar-SA"/>
        </w:rPr>
      </w:pPr>
      <w:r>
        <w:rPr>
          <w:rFonts w:hint="eastAsia" w:ascii="Times New Roman" w:hAnsi="宋体" w:eastAsia="宋体" w:cs="黑体"/>
          <w:b/>
          <w:kern w:val="2"/>
          <w:sz w:val="32"/>
          <w:szCs w:val="32"/>
          <w:lang w:val="en-US" w:eastAsia="zh-CN" w:bidi="ar-SA"/>
        </w:rPr>
        <w:t>第四章合同条款</w:t>
      </w:r>
      <w:bookmarkEnd w:id="68"/>
      <w:bookmarkEnd w:id="77"/>
    </w:p>
    <w:p>
      <w:pPr>
        <w:spacing w:line="360" w:lineRule="auto"/>
        <w:rPr>
          <w:rFonts w:ascii="宋体" w:hAnsi="宋体" w:cs="宋体"/>
          <w:sz w:val="24"/>
        </w:rPr>
      </w:pPr>
    </w:p>
    <w:p>
      <w:pPr>
        <w:tabs>
          <w:tab w:val="left" w:pos="5000"/>
        </w:tabs>
        <w:spacing w:line="360" w:lineRule="auto"/>
        <w:ind w:firstLine="490"/>
        <w:rPr>
          <w:rFonts w:hint="eastAsia"/>
          <w:b/>
          <w:bCs/>
          <w:color w:val="auto"/>
        </w:rPr>
      </w:pPr>
      <w:bookmarkStart w:id="80" w:name="_Toc7248"/>
      <w:bookmarkStart w:id="81" w:name="_Toc144974578"/>
      <w:bookmarkStart w:id="82" w:name="_Toc152042388"/>
      <w:bookmarkStart w:id="83" w:name="_Toc498419839"/>
      <w:bookmarkStart w:id="84" w:name="_Toc283382018"/>
      <w:bookmarkStart w:id="85" w:name="_Toc152045610"/>
      <w:r>
        <w:rPr>
          <w:rFonts w:hint="eastAsia" w:hAnsi="宋体" w:cs="黑体"/>
          <w:b/>
          <w:sz w:val="32"/>
          <w:szCs w:val="32"/>
        </w:rPr>
        <w:t>采用由中华人民共和国住房和城乡建设部与国家工商行政管理局联合制定的</w:t>
      </w:r>
      <w:r>
        <w:rPr>
          <w:rFonts w:hAnsi="宋体" w:cs="黑体"/>
          <w:b/>
          <w:sz w:val="32"/>
          <w:szCs w:val="32"/>
        </w:rPr>
        <w:t>《建设工程监理合同（示范文本）》（GF-2012-0202）</w:t>
      </w:r>
      <w:r>
        <w:rPr>
          <w:rFonts w:hint="eastAsia" w:hAnsi="宋体" w:cs="黑体"/>
          <w:b/>
          <w:sz w:val="32"/>
          <w:szCs w:val="32"/>
        </w:rPr>
        <w:t>签订合同。</w:t>
      </w:r>
      <w:r>
        <w:br w:type="page"/>
      </w:r>
      <w:bookmarkStart w:id="86" w:name="_Toc27931068"/>
    </w:p>
    <w:p>
      <w:pPr>
        <w:pStyle w:val="2"/>
        <w:jc w:val="center"/>
        <w:rPr>
          <w:rFonts w:hint="eastAsia"/>
          <w:b/>
          <w:bCs/>
          <w:color w:val="auto"/>
        </w:rPr>
      </w:pPr>
    </w:p>
    <w:p>
      <w:pPr>
        <w:adjustRightInd w:val="0"/>
        <w:spacing w:line="440" w:lineRule="exact"/>
        <w:jc w:val="center"/>
        <w:rPr>
          <w:rFonts w:ascii="新宋体" w:hAnsi="新宋体" w:eastAsia="新宋体"/>
          <w:b/>
          <w:sz w:val="36"/>
          <w:szCs w:val="36"/>
        </w:rPr>
      </w:pPr>
      <w:r>
        <w:rPr>
          <w:rFonts w:hint="eastAsia" w:ascii="新宋体" w:hAnsi="新宋体" w:eastAsia="新宋体"/>
          <w:b/>
          <w:sz w:val="36"/>
          <w:szCs w:val="36"/>
        </w:rPr>
        <w:t>第五章  委托人要求</w:t>
      </w:r>
    </w:p>
    <w:p>
      <w:pPr>
        <w:spacing w:line="430" w:lineRule="exact"/>
        <w:rPr>
          <w:rFonts w:ascii="新宋体" w:hAnsi="新宋体" w:eastAsia="新宋体"/>
          <w:sz w:val="24"/>
          <w:szCs w:val="24"/>
        </w:rPr>
      </w:pPr>
      <w:bookmarkStart w:id="87" w:name="_bookmark163"/>
      <w:bookmarkEnd w:id="87"/>
      <w:r>
        <w:rPr>
          <w:rFonts w:ascii="新宋体" w:hAnsi="新宋体" w:eastAsia="新宋体"/>
          <w:b/>
          <w:bCs/>
          <w:sz w:val="24"/>
          <w:szCs w:val="24"/>
        </w:rPr>
        <w:t>一、监理要求</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 xml:space="preserve">1. 项目概况 </w:t>
      </w:r>
    </w:p>
    <w:p>
      <w:pPr>
        <w:adjustRightInd w:val="0"/>
        <w:snapToGrid w:val="0"/>
        <w:spacing w:line="420" w:lineRule="exact"/>
        <w:ind w:firstLine="480" w:firstLineChars="200"/>
        <w:rPr>
          <w:rFonts w:hint="eastAsia" w:ascii="新宋体" w:hAnsi="新宋体" w:eastAsia="新宋体"/>
          <w:color w:val="auto"/>
          <w:sz w:val="24"/>
          <w:szCs w:val="24"/>
          <w:highlight w:val="none"/>
          <w:lang w:eastAsia="zh-CN"/>
        </w:rPr>
      </w:pPr>
      <w:r>
        <w:rPr>
          <w:rFonts w:hint="eastAsia" w:ascii="新宋体" w:hAnsi="新宋体" w:eastAsia="新宋体"/>
          <w:color w:val="auto"/>
          <w:sz w:val="24"/>
          <w:szCs w:val="24"/>
          <w:highlight w:val="none"/>
        </w:rPr>
        <w:t>2.</w:t>
      </w:r>
      <w:r>
        <w:rPr>
          <w:rFonts w:hint="eastAsia" w:ascii="新宋体" w:hAnsi="新宋体" w:eastAsia="新宋体"/>
          <w:color w:val="auto"/>
          <w:sz w:val="24"/>
          <w:szCs w:val="24"/>
          <w:highlight w:val="none"/>
          <w:lang w:eastAsia="zh-CN"/>
        </w:rPr>
        <w:t>本项目</w:t>
      </w:r>
      <w:r>
        <w:rPr>
          <w:rFonts w:hint="eastAsia" w:ascii="新宋体" w:hAnsi="新宋体" w:eastAsia="新宋体"/>
          <w:color w:val="auto"/>
          <w:sz w:val="24"/>
          <w:szCs w:val="24"/>
          <w:highlight w:val="none"/>
        </w:rPr>
        <w:t>涉及太平店村岗杨村，张固店村，樊楼村、牛庄村、蒋庄村、段庄村、楼张村（含新张营移民村）、秦庄村、贾庄村、任庄村等11个行政村</w:t>
      </w:r>
      <w:r>
        <w:rPr>
          <w:rFonts w:hint="eastAsia" w:ascii="新宋体" w:hAnsi="新宋体" w:eastAsia="新宋体"/>
          <w:color w:val="auto"/>
          <w:sz w:val="24"/>
          <w:szCs w:val="24"/>
          <w:highlight w:val="none"/>
          <w:lang w:eastAsia="zh-CN"/>
        </w:rPr>
        <w:t>。</w:t>
      </w:r>
      <w:r>
        <w:rPr>
          <w:rFonts w:hint="eastAsia" w:ascii="新宋体" w:hAnsi="新宋体" w:eastAsia="新宋体"/>
          <w:color w:val="auto"/>
          <w:sz w:val="24"/>
          <w:szCs w:val="24"/>
          <w:highlight w:val="none"/>
        </w:rPr>
        <w:t>由土壤改良工程、灌溉与排水工程、田间道路工程、农田输配电工程和其他工程五个方面组成</w:t>
      </w:r>
      <w:r>
        <w:rPr>
          <w:rFonts w:hint="eastAsia" w:ascii="新宋体" w:hAnsi="新宋体" w:eastAsia="新宋体"/>
          <w:color w:val="auto"/>
          <w:sz w:val="24"/>
          <w:szCs w:val="24"/>
          <w:highlight w:val="none"/>
          <w:lang w:eastAsia="zh-CN"/>
        </w:rPr>
        <w:t>。本项目总投资额约为3773.57万元。</w:t>
      </w:r>
    </w:p>
    <w:p>
      <w:pPr>
        <w:adjustRightInd w:val="0"/>
        <w:snapToGrid w:val="0"/>
        <w:spacing w:line="420" w:lineRule="exact"/>
        <w:ind w:firstLine="480" w:firstLineChars="200"/>
        <w:rPr>
          <w:color w:val="auto"/>
          <w:highlight w:val="none"/>
        </w:rPr>
      </w:pPr>
      <w:r>
        <w:rPr>
          <w:rFonts w:hint="eastAsia" w:ascii="新宋体" w:hAnsi="新宋体" w:eastAsia="新宋体"/>
          <w:color w:val="auto"/>
          <w:sz w:val="24"/>
          <w:szCs w:val="24"/>
          <w:highlight w:val="none"/>
        </w:rPr>
        <w:t>监理范围及内容</w:t>
      </w:r>
      <w:r>
        <w:rPr>
          <w:rFonts w:hint="eastAsia" w:ascii="新宋体" w:hAnsi="新宋体" w:eastAsia="新宋体"/>
          <w:color w:val="auto"/>
          <w:sz w:val="24"/>
          <w:szCs w:val="24"/>
          <w:highlight w:val="none"/>
          <w:lang w:eastAsia="zh-CN"/>
        </w:rPr>
        <w:t>：</w:t>
      </w:r>
      <w:r>
        <w:rPr>
          <w:rFonts w:hint="eastAsia" w:ascii="新宋体" w:hAnsi="新宋体" w:eastAsia="新宋体"/>
          <w:color w:val="auto"/>
          <w:sz w:val="24"/>
          <w:szCs w:val="24"/>
          <w:highlight w:val="none"/>
        </w:rPr>
        <w:t>包括施工内容建设期及保修阶段全过程监理服务。</w:t>
      </w:r>
    </w:p>
    <w:p>
      <w:pPr>
        <w:numPr>
          <w:ilvl w:val="0"/>
          <w:numId w:val="2"/>
        </w:num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 xml:space="preserve"> 监理依据</w:t>
      </w:r>
    </w:p>
    <w:p>
      <w:pPr>
        <w:pStyle w:val="18"/>
        <w:snapToGrid w:val="0"/>
        <w:spacing w:line="420" w:lineRule="exact"/>
        <w:ind w:left="420" w:leftChars="200"/>
      </w:pPr>
      <w:r>
        <w:rPr>
          <w:rFonts w:hint="eastAsia"/>
        </w:rPr>
        <w:t xml:space="preserve">   监理合同、图纸、现行施工规范和标准。</w:t>
      </w:r>
    </w:p>
    <w:p>
      <w:pPr>
        <w:numPr>
          <w:ilvl w:val="0"/>
          <w:numId w:val="2"/>
        </w:num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监理人员和试验检测仪器设备要求</w:t>
      </w:r>
    </w:p>
    <w:p>
      <w:pPr>
        <w:pStyle w:val="18"/>
        <w:snapToGrid w:val="0"/>
        <w:spacing w:line="420" w:lineRule="exact"/>
        <w:ind w:left="420" w:leftChars="200"/>
      </w:pPr>
      <w:r>
        <w:rPr>
          <w:rFonts w:hint="eastAsia"/>
        </w:rPr>
        <w:t xml:space="preserve"> 满足本项目施工监理服务工作需要。</w:t>
      </w:r>
    </w:p>
    <w:p>
      <w:pPr>
        <w:numPr>
          <w:ilvl w:val="0"/>
          <w:numId w:val="2"/>
        </w:numPr>
        <w:adjustRightInd w:val="0"/>
        <w:snapToGrid w:val="0"/>
        <w:spacing w:line="420" w:lineRule="exact"/>
        <w:ind w:firstLine="480" w:firstLineChars="200"/>
        <w:rPr>
          <w:rFonts w:cs="宋体"/>
          <w:color w:val="000000"/>
          <w:sz w:val="24"/>
          <w:szCs w:val="24"/>
        </w:rPr>
      </w:pPr>
      <w:r>
        <w:rPr>
          <w:rFonts w:ascii="新宋体" w:hAnsi="新宋体" w:eastAsia="新宋体"/>
          <w:sz w:val="24"/>
          <w:szCs w:val="24"/>
        </w:rPr>
        <w:t>其他要</w:t>
      </w:r>
      <w:r>
        <w:rPr>
          <w:rFonts w:hint="eastAsia" w:cs="宋体"/>
          <w:color w:val="000000"/>
          <w:sz w:val="24"/>
          <w:szCs w:val="24"/>
        </w:rPr>
        <w:t>求（无）</w:t>
      </w:r>
    </w:p>
    <w:p>
      <w:pPr>
        <w:adjustRightInd w:val="0"/>
        <w:snapToGrid w:val="0"/>
        <w:spacing w:line="420" w:lineRule="exact"/>
        <w:rPr>
          <w:rFonts w:ascii="新宋体" w:hAnsi="新宋体" w:eastAsia="新宋体"/>
          <w:b/>
          <w:bCs/>
          <w:sz w:val="24"/>
          <w:szCs w:val="24"/>
        </w:rPr>
      </w:pPr>
      <w:bookmarkStart w:id="88" w:name="_bookmark164"/>
      <w:bookmarkEnd w:id="88"/>
      <w:r>
        <w:rPr>
          <w:rFonts w:ascii="新宋体" w:hAnsi="新宋体" w:eastAsia="新宋体"/>
          <w:b/>
          <w:bCs/>
          <w:sz w:val="24"/>
          <w:szCs w:val="24"/>
        </w:rPr>
        <w:t>二、适用规范标准</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 xml:space="preserve"> 国家、行业、项目所在地规范</w:t>
      </w:r>
      <w:r>
        <w:rPr>
          <w:rFonts w:hint="eastAsia" w:ascii="新宋体" w:hAnsi="新宋体" w:eastAsia="新宋体"/>
          <w:sz w:val="24"/>
          <w:szCs w:val="24"/>
        </w:rPr>
        <w:t>、</w:t>
      </w:r>
      <w:r>
        <w:rPr>
          <w:rFonts w:ascii="新宋体" w:hAnsi="新宋体" w:eastAsia="新宋体"/>
          <w:sz w:val="24"/>
          <w:szCs w:val="24"/>
        </w:rPr>
        <w:t>标准</w:t>
      </w:r>
      <w:r>
        <w:rPr>
          <w:rFonts w:hint="eastAsia" w:ascii="新宋体" w:hAnsi="新宋体" w:eastAsia="新宋体"/>
          <w:sz w:val="24"/>
          <w:szCs w:val="24"/>
        </w:rPr>
        <w:t>和</w:t>
      </w:r>
      <w:r>
        <w:rPr>
          <w:rFonts w:ascii="新宋体" w:hAnsi="新宋体" w:eastAsia="新宋体"/>
          <w:sz w:val="24"/>
          <w:szCs w:val="24"/>
        </w:rPr>
        <w:t>规程</w:t>
      </w:r>
      <w:r>
        <w:rPr>
          <w:rFonts w:hint="eastAsia" w:ascii="新宋体" w:hAnsi="新宋体" w:eastAsia="新宋体"/>
          <w:sz w:val="24"/>
          <w:szCs w:val="24"/>
        </w:rPr>
        <w:t>等。</w:t>
      </w:r>
    </w:p>
    <w:p>
      <w:pPr>
        <w:adjustRightInd w:val="0"/>
        <w:snapToGrid w:val="0"/>
        <w:spacing w:line="420" w:lineRule="exact"/>
        <w:rPr>
          <w:rFonts w:ascii="新宋体" w:hAnsi="新宋体" w:eastAsia="新宋体"/>
          <w:b/>
          <w:bCs/>
          <w:sz w:val="24"/>
          <w:szCs w:val="24"/>
        </w:rPr>
      </w:pPr>
      <w:bookmarkStart w:id="89" w:name="_bookmark165"/>
      <w:bookmarkEnd w:id="89"/>
      <w:r>
        <w:rPr>
          <w:rFonts w:ascii="新宋体" w:hAnsi="新宋体" w:eastAsia="新宋体"/>
          <w:b/>
          <w:bCs/>
          <w:sz w:val="24"/>
          <w:szCs w:val="24"/>
        </w:rPr>
        <w:t>三、成果文件要求</w:t>
      </w:r>
    </w:p>
    <w:p>
      <w:pPr>
        <w:adjustRightInd w:val="0"/>
        <w:snapToGrid w:val="0"/>
        <w:spacing w:line="420" w:lineRule="exact"/>
        <w:ind w:firstLine="480" w:firstLineChars="200"/>
        <w:rPr>
          <w:rFonts w:ascii="新宋体" w:hAnsi="新宋体" w:eastAsia="新宋体"/>
          <w:sz w:val="24"/>
          <w:szCs w:val="24"/>
        </w:rPr>
      </w:pPr>
      <w:bookmarkStart w:id="90" w:name="_bookmark166"/>
      <w:bookmarkEnd w:id="90"/>
      <w:r>
        <w:rPr>
          <w:rFonts w:hint="eastAsia" w:ascii="新宋体" w:hAnsi="新宋体" w:eastAsia="新宋体"/>
          <w:sz w:val="24"/>
          <w:szCs w:val="24"/>
        </w:rPr>
        <w:t>按照相关规定交付相关监理资料。</w:t>
      </w:r>
    </w:p>
    <w:p>
      <w:pPr>
        <w:adjustRightInd w:val="0"/>
        <w:snapToGrid w:val="0"/>
        <w:spacing w:line="420" w:lineRule="exact"/>
        <w:rPr>
          <w:rFonts w:ascii="新宋体" w:hAnsi="新宋体" w:eastAsia="新宋体"/>
          <w:b/>
          <w:bCs/>
          <w:sz w:val="24"/>
          <w:szCs w:val="24"/>
        </w:rPr>
      </w:pPr>
      <w:r>
        <w:rPr>
          <w:rFonts w:ascii="新宋体" w:hAnsi="新宋体" w:eastAsia="新宋体"/>
          <w:b/>
          <w:bCs/>
          <w:sz w:val="24"/>
          <w:szCs w:val="24"/>
        </w:rPr>
        <w:t>四、委托人财产清单</w:t>
      </w:r>
    </w:p>
    <w:p>
      <w:pPr>
        <w:adjustRightInd w:val="0"/>
        <w:snapToGrid w:val="0"/>
        <w:spacing w:line="420" w:lineRule="exact"/>
        <w:ind w:firstLine="480" w:firstLineChars="200"/>
        <w:rPr>
          <w:rFonts w:ascii="新宋体" w:hAnsi="新宋体" w:eastAsia="新宋体"/>
          <w:sz w:val="24"/>
          <w:szCs w:val="24"/>
        </w:rPr>
      </w:pPr>
      <w:bookmarkStart w:id="91" w:name="_bookmark167"/>
      <w:bookmarkEnd w:id="91"/>
      <w:r>
        <w:rPr>
          <w:rFonts w:ascii="新宋体" w:hAnsi="新宋体" w:eastAsia="新宋体"/>
          <w:sz w:val="24"/>
          <w:szCs w:val="24"/>
        </w:rPr>
        <w:t>（一）委托人提供的设备、设施</w:t>
      </w:r>
      <w:bookmarkStart w:id="92" w:name="_bookmark168"/>
      <w:bookmarkEnd w:id="92"/>
      <w:r>
        <w:rPr>
          <w:rFonts w:hint="eastAsia" w:ascii="新宋体" w:hAnsi="新宋体" w:eastAsia="新宋体"/>
          <w:sz w:val="24"/>
          <w:szCs w:val="24"/>
        </w:rPr>
        <w:t xml:space="preserve">  （无）</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（二）委托人提供的资料</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1. 施工场地及毗邻区域内的供水、排水、供电、供气、供热、通信、广播电视等地下管线 资料、气象和水文观测资料，相邻建筑物和构筑物、地下工程的有关资料，以及其他与建设工程有关的原始资料</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2. 定位放线的基准点、基准线和基准标高</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3. 委托人取得的有关审批、核准和备案材料</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4. 勘察文件、设计文件等资料</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5.  技术标准、规范</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6. 工程承包合同及其他相关合同</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7. 其他资料</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bookmarkStart w:id="93" w:name="_bookmark169"/>
      <w:bookmarkEnd w:id="93"/>
      <w:r>
        <w:rPr>
          <w:rFonts w:ascii="新宋体" w:hAnsi="新宋体" w:eastAsia="新宋体"/>
          <w:sz w:val="24"/>
          <w:szCs w:val="24"/>
        </w:rPr>
        <w:t>（三）委托人财产使用要求及退还要求</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1. 委托人财产使用要求</w:t>
      </w:r>
      <w:r>
        <w:rPr>
          <w:rFonts w:hint="eastAsia" w:ascii="新宋体" w:hAnsi="新宋体" w:eastAsia="新宋体"/>
          <w:sz w:val="24"/>
          <w:szCs w:val="24"/>
        </w:rPr>
        <w:t>：（无）</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2. 委托人财产退还要求</w:t>
      </w:r>
      <w:r>
        <w:rPr>
          <w:rFonts w:hint="eastAsia" w:ascii="新宋体" w:hAnsi="新宋体" w:eastAsia="新宋体"/>
          <w:sz w:val="24"/>
          <w:szCs w:val="24"/>
        </w:rPr>
        <w:t>：（无）</w:t>
      </w:r>
    </w:p>
    <w:p>
      <w:pPr>
        <w:adjustRightInd w:val="0"/>
        <w:snapToGrid w:val="0"/>
        <w:spacing w:line="420" w:lineRule="exact"/>
        <w:rPr>
          <w:rFonts w:ascii="新宋体" w:hAnsi="新宋体" w:eastAsia="新宋体"/>
          <w:b/>
          <w:bCs/>
          <w:sz w:val="24"/>
          <w:szCs w:val="24"/>
        </w:rPr>
      </w:pPr>
      <w:bookmarkStart w:id="94" w:name="_bookmark170"/>
      <w:bookmarkEnd w:id="94"/>
      <w:r>
        <w:rPr>
          <w:rFonts w:ascii="新宋体" w:hAnsi="新宋体" w:eastAsia="新宋体"/>
          <w:b/>
          <w:bCs/>
          <w:sz w:val="24"/>
          <w:szCs w:val="24"/>
        </w:rPr>
        <w:t>五、委托人提供的便利条件</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1. 委托人提供的生活条件</w:t>
      </w:r>
      <w:r>
        <w:rPr>
          <w:rFonts w:hint="eastAsia" w:ascii="新宋体" w:hAnsi="新宋体" w:eastAsia="新宋体"/>
          <w:sz w:val="24"/>
          <w:szCs w:val="24"/>
        </w:rPr>
        <w:t>：（无）</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2. 委托人提供的交通条件</w:t>
      </w:r>
      <w:r>
        <w:rPr>
          <w:rFonts w:hint="eastAsia" w:ascii="新宋体" w:hAnsi="新宋体" w:eastAsia="新宋体"/>
          <w:sz w:val="24"/>
          <w:szCs w:val="24"/>
        </w:rPr>
        <w:t>：（无）</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3. 委托人提供的网络、通讯条件</w:t>
      </w:r>
      <w:r>
        <w:rPr>
          <w:rFonts w:hint="eastAsia" w:ascii="新宋体" w:hAnsi="新宋体" w:eastAsia="新宋体"/>
          <w:sz w:val="24"/>
          <w:szCs w:val="24"/>
        </w:rPr>
        <w:t>：（无）</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4. 委托人提供的协助人员</w:t>
      </w:r>
      <w:r>
        <w:rPr>
          <w:rFonts w:hint="eastAsia" w:ascii="新宋体" w:hAnsi="新宋体" w:eastAsia="新宋体"/>
          <w:sz w:val="24"/>
          <w:szCs w:val="24"/>
        </w:rPr>
        <w:t>：</w:t>
      </w:r>
    </w:p>
    <w:p>
      <w:pPr>
        <w:adjustRightInd w:val="0"/>
        <w:snapToGrid w:val="0"/>
        <w:spacing w:line="420" w:lineRule="exact"/>
        <w:rPr>
          <w:rFonts w:ascii="新宋体" w:hAnsi="新宋体" w:eastAsia="新宋体"/>
          <w:sz w:val="24"/>
          <w:szCs w:val="24"/>
        </w:rPr>
      </w:pPr>
      <w:bookmarkStart w:id="95" w:name="_bookmark171"/>
      <w:bookmarkEnd w:id="95"/>
      <w:r>
        <w:rPr>
          <w:rFonts w:ascii="新宋体" w:hAnsi="新宋体" w:eastAsia="新宋体"/>
          <w:b/>
          <w:bCs/>
          <w:sz w:val="24"/>
          <w:szCs w:val="24"/>
        </w:rPr>
        <w:t>六、监理人需要自备的工作条件</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1. 监理人自备的工作手册：本项目必备的规范标准、图集等</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2. 监理人自备的办公设备：电脑、软件、投影、打印机、复印机、照相机等</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3. 监理人自备的交通工具：出行车辆等</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4. 监理人自备的现场办公设施：办公桌椅、文件柜等</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5. 监理人自备的安全设施：安全帽、安全鞋、手电筒等</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6. 监理人自备的试验检测仪器、设备、工具</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7. 监理人自备的试验用房、样品用房</w:t>
      </w:r>
      <w:r>
        <w:rPr>
          <w:rFonts w:hint="eastAsia" w:ascii="新宋体" w:hAnsi="新宋体" w:eastAsia="新宋体"/>
          <w:sz w:val="24"/>
          <w:szCs w:val="24"/>
        </w:rPr>
        <w:t>。</w:t>
      </w:r>
    </w:p>
    <w:p>
      <w:pPr>
        <w:rPr>
          <w:rFonts w:ascii="Times New Roman"/>
          <w:sz w:val="21"/>
          <w:szCs w:val="21"/>
        </w:rPr>
        <w:sectPr>
          <w:pgSz w:w="12240" w:h="15840"/>
          <w:pgMar w:top="1400" w:right="1720" w:bottom="1120" w:left="1700" w:header="0" w:footer="921" w:gutter="0"/>
          <w:cols w:space="720" w:num="1"/>
        </w:sectPr>
      </w:pPr>
    </w:p>
    <w:p>
      <w:pPr>
        <w:pStyle w:val="2"/>
        <w:jc w:val="center"/>
        <w:rPr>
          <w:rFonts w:hint="eastAsia"/>
          <w:b/>
          <w:bCs/>
          <w:color w:val="auto"/>
        </w:rPr>
      </w:pPr>
    </w:p>
    <w:p>
      <w:pPr>
        <w:pStyle w:val="2"/>
        <w:jc w:val="center"/>
        <w:rPr>
          <w:b/>
          <w:bCs/>
          <w:color w:val="auto"/>
        </w:rPr>
      </w:pPr>
      <w:r>
        <w:rPr>
          <w:rFonts w:hint="eastAsia"/>
          <w:b/>
          <w:bCs/>
          <w:color w:val="auto"/>
        </w:rPr>
        <w:t>第</w:t>
      </w:r>
      <w:r>
        <w:rPr>
          <w:rFonts w:hint="eastAsia"/>
          <w:b/>
          <w:bCs/>
          <w:color w:val="auto"/>
          <w:lang w:eastAsia="zh-CN"/>
        </w:rPr>
        <w:t>六</w:t>
      </w:r>
      <w:r>
        <w:rPr>
          <w:rFonts w:hint="eastAsia"/>
          <w:b/>
          <w:bCs/>
          <w:color w:val="auto"/>
        </w:rPr>
        <w:t>章</w:t>
      </w:r>
      <w:bookmarkEnd w:id="80"/>
      <w:bookmarkEnd w:id="81"/>
      <w:bookmarkEnd w:id="82"/>
      <w:bookmarkEnd w:id="83"/>
      <w:bookmarkEnd w:id="84"/>
      <w:bookmarkEnd w:id="85"/>
      <w:bookmarkStart w:id="96" w:name="_Toc283382023"/>
      <w:r>
        <w:rPr>
          <w:rFonts w:hint="eastAsia"/>
          <w:b/>
          <w:bCs/>
          <w:color w:val="auto"/>
        </w:rPr>
        <w:t>投标文件格式</w:t>
      </w:r>
      <w:bookmarkEnd w:id="86"/>
      <w:bookmarkEnd w:id="96"/>
    </w:p>
    <w:p>
      <w:pPr>
        <w:spacing w:line="360" w:lineRule="auto"/>
        <w:rPr>
          <w:rFonts w:ascii="宋体" w:hAnsi="宋体" w:cs="宋体"/>
          <w:b/>
          <w:sz w:val="24"/>
          <w:u w:val="single"/>
        </w:rPr>
      </w:pPr>
    </w:p>
    <w:p>
      <w:pPr>
        <w:pStyle w:val="6"/>
        <w:ind w:firstLine="210"/>
      </w:pPr>
    </w:p>
    <w:p>
      <w:pPr>
        <w:pStyle w:val="6"/>
        <w:ind w:firstLine="210"/>
      </w:pPr>
    </w:p>
    <w:p>
      <w:pPr>
        <w:spacing w:line="360" w:lineRule="auto"/>
        <w:jc w:val="center"/>
        <w:rPr>
          <w:rFonts w:ascii="宋体" w:hAnsi="宋体" w:cs="宋体"/>
          <w:b/>
          <w:bCs/>
          <w:sz w:val="32"/>
          <w:szCs w:val="32"/>
        </w:rPr>
      </w:pPr>
      <w:r>
        <w:rPr>
          <w:rFonts w:hint="eastAsia" w:ascii="宋体" w:hAnsi="宋体" w:cs="宋体"/>
          <w:b/>
          <w:sz w:val="32"/>
          <w:szCs w:val="32"/>
          <w:u w:val="single"/>
          <w:lang w:val="en-US" w:eastAsia="zh-CN"/>
        </w:rPr>
        <w:t xml:space="preserve">             </w:t>
      </w:r>
      <w:r>
        <w:rPr>
          <w:rFonts w:hint="eastAsia" w:ascii="宋体" w:hAnsi="宋体" w:cs="宋体"/>
          <w:b/>
          <w:sz w:val="32"/>
          <w:szCs w:val="32"/>
          <w:u w:val="single"/>
        </w:rPr>
        <w:t>项目名称及标段</w:t>
      </w:r>
    </w:p>
    <w:p>
      <w:pPr>
        <w:spacing w:line="360" w:lineRule="auto"/>
        <w:jc w:val="center"/>
        <w:rPr>
          <w:rFonts w:ascii="宋体" w:hAnsi="宋体" w:cs="宋体"/>
          <w:b/>
          <w:bCs/>
          <w:sz w:val="32"/>
          <w:szCs w:val="32"/>
        </w:rPr>
      </w:pPr>
    </w:p>
    <w:p>
      <w:pPr>
        <w:pStyle w:val="6"/>
        <w:ind w:firstLine="210"/>
      </w:pPr>
    </w:p>
    <w:p>
      <w:pPr>
        <w:spacing w:line="360" w:lineRule="auto"/>
        <w:jc w:val="center"/>
        <w:rPr>
          <w:rFonts w:ascii="宋体" w:hAnsi="宋体" w:cs="宋体"/>
          <w:b/>
          <w:sz w:val="24"/>
        </w:rPr>
      </w:pPr>
    </w:p>
    <w:p>
      <w:pPr>
        <w:pStyle w:val="6"/>
        <w:ind w:firstLine="240"/>
        <w:rPr>
          <w:sz w:val="24"/>
        </w:rPr>
      </w:pPr>
    </w:p>
    <w:p>
      <w:pPr>
        <w:spacing w:line="360" w:lineRule="auto"/>
        <w:jc w:val="center"/>
        <w:rPr>
          <w:rFonts w:ascii="宋体" w:hAnsi="宋体" w:cs="宋体"/>
          <w:b/>
          <w:sz w:val="24"/>
        </w:rPr>
      </w:pPr>
    </w:p>
    <w:p>
      <w:pPr>
        <w:spacing w:before="120" w:after="120" w:line="360" w:lineRule="auto"/>
        <w:jc w:val="center"/>
        <w:rPr>
          <w:rFonts w:ascii="宋体" w:hAnsi="宋体" w:cs="宋体"/>
          <w:b/>
          <w:bCs/>
          <w:sz w:val="72"/>
          <w:szCs w:val="72"/>
        </w:rPr>
      </w:pPr>
      <w:r>
        <w:rPr>
          <w:rFonts w:hint="eastAsia" w:ascii="宋体" w:hAnsi="宋体" w:cs="宋体"/>
          <w:b/>
          <w:sz w:val="72"/>
          <w:szCs w:val="72"/>
        </w:rPr>
        <w:t>监理投标文件</w:t>
      </w:r>
    </w:p>
    <w:p>
      <w:pPr>
        <w:spacing w:line="360" w:lineRule="auto"/>
        <w:ind w:firstLine="3150" w:firstLineChars="1046"/>
        <w:rPr>
          <w:rFonts w:ascii="宋体" w:hAnsi="宋体" w:cs="宋体"/>
          <w:b/>
          <w:bCs/>
          <w:sz w:val="30"/>
          <w:szCs w:val="30"/>
        </w:rPr>
      </w:pPr>
    </w:p>
    <w:p>
      <w:pPr>
        <w:spacing w:line="360" w:lineRule="auto"/>
        <w:ind w:firstLine="2711" w:firstLineChars="900"/>
        <w:rPr>
          <w:rFonts w:ascii="宋体" w:hAnsi="宋体" w:cs="宋体"/>
          <w:b/>
          <w:sz w:val="24"/>
        </w:rPr>
      </w:pPr>
      <w:r>
        <w:rPr>
          <w:rFonts w:hint="eastAsia" w:ascii="宋体" w:hAnsi="宋体" w:cs="宋体"/>
          <w:b/>
          <w:bCs/>
          <w:sz w:val="30"/>
          <w:szCs w:val="30"/>
          <w:lang w:eastAsia="zh-CN"/>
        </w:rPr>
        <w:t>项目</w:t>
      </w:r>
      <w:r>
        <w:rPr>
          <w:rFonts w:hint="eastAsia" w:ascii="宋体" w:hAnsi="宋体" w:cs="宋体"/>
          <w:b/>
          <w:bCs/>
          <w:sz w:val="30"/>
          <w:szCs w:val="30"/>
        </w:rPr>
        <w:t>编号：</w:t>
      </w:r>
      <w:r>
        <w:rPr>
          <w:rFonts w:hint="eastAsia" w:ascii="宋体" w:hAnsi="宋体" w:cs="宋体"/>
          <w:b/>
          <w:bCs/>
          <w:sz w:val="30"/>
          <w:szCs w:val="30"/>
          <w:u w:val="single"/>
          <w:lang w:val="en-US" w:eastAsia="zh-CN"/>
        </w:rPr>
        <w:t xml:space="preserve">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ab/>
      </w:r>
    </w:p>
    <w:p>
      <w:pPr>
        <w:pStyle w:val="6"/>
        <w:ind w:firstLine="240"/>
        <w:rPr>
          <w:sz w:val="24"/>
        </w:rPr>
      </w:pPr>
    </w:p>
    <w:p>
      <w:pPr>
        <w:autoSpaceDE w:val="0"/>
        <w:autoSpaceDN w:val="0"/>
        <w:adjustRightInd w:val="0"/>
        <w:spacing w:line="480" w:lineRule="auto"/>
        <w:ind w:right="420"/>
        <w:jc w:val="center"/>
        <w:rPr>
          <w:rFonts w:ascii="宋体" w:hAnsi="宋体"/>
          <w:b/>
          <w:bCs/>
          <w:kern w:val="0"/>
          <w:sz w:val="30"/>
          <w:szCs w:val="30"/>
        </w:rPr>
      </w:pPr>
      <w:r>
        <w:rPr>
          <w:rFonts w:hint="eastAsia" w:ascii="宋体" w:hAnsi="宋体"/>
          <w:b/>
          <w:bCs/>
          <w:kern w:val="0"/>
          <w:sz w:val="30"/>
          <w:szCs w:val="30"/>
        </w:rPr>
        <w:t>投标人：</w:t>
      </w:r>
      <w:r>
        <w:rPr>
          <w:rFonts w:hint="eastAsia" w:ascii="宋体" w:hAnsi="宋体"/>
          <w:b/>
          <w:bCs/>
          <w:kern w:val="0"/>
          <w:sz w:val="30"/>
          <w:szCs w:val="30"/>
          <w:u w:val="single"/>
          <w:lang w:val="en-US" w:eastAsia="zh-CN"/>
        </w:rPr>
        <w:t xml:space="preserve">                   </w:t>
      </w:r>
      <w:r>
        <w:rPr>
          <w:rFonts w:hint="eastAsia" w:ascii="宋体" w:hAnsi="宋体"/>
          <w:b/>
          <w:bCs/>
          <w:kern w:val="0"/>
          <w:sz w:val="30"/>
          <w:szCs w:val="30"/>
        </w:rPr>
        <w:t>（盖单位章）</w:t>
      </w:r>
    </w:p>
    <w:p>
      <w:pPr>
        <w:autoSpaceDE w:val="0"/>
        <w:autoSpaceDN w:val="0"/>
        <w:adjustRightInd w:val="0"/>
        <w:spacing w:line="480" w:lineRule="auto"/>
        <w:jc w:val="center"/>
        <w:rPr>
          <w:rFonts w:ascii="宋体" w:hAnsi="宋体"/>
          <w:b/>
          <w:bCs/>
          <w:kern w:val="0"/>
          <w:sz w:val="30"/>
          <w:szCs w:val="30"/>
        </w:rPr>
      </w:pPr>
      <w:r>
        <w:rPr>
          <w:rFonts w:hint="eastAsia" w:ascii="宋体" w:hAnsi="宋体"/>
          <w:b/>
          <w:bCs/>
          <w:kern w:val="0"/>
          <w:sz w:val="30"/>
          <w:szCs w:val="30"/>
        </w:rPr>
        <w:t>法定代表人或其委托代理人：</w:t>
      </w:r>
      <w:r>
        <w:rPr>
          <w:rFonts w:hint="eastAsia" w:ascii="宋体" w:hAnsi="宋体"/>
          <w:b/>
          <w:bCs/>
          <w:kern w:val="0"/>
          <w:sz w:val="30"/>
          <w:szCs w:val="30"/>
          <w:u w:val="single"/>
          <w:lang w:val="en-US" w:eastAsia="zh-CN"/>
        </w:rPr>
        <w:t xml:space="preserve">         </w:t>
      </w:r>
      <w:r>
        <w:rPr>
          <w:rFonts w:hint="eastAsia" w:ascii="宋体" w:hAnsi="宋体"/>
          <w:b/>
          <w:bCs/>
          <w:kern w:val="0"/>
          <w:sz w:val="30"/>
          <w:szCs w:val="30"/>
        </w:rPr>
        <w:t>（签字）</w:t>
      </w:r>
    </w:p>
    <w:p>
      <w:pPr>
        <w:wordWrap w:val="0"/>
        <w:autoSpaceDE w:val="0"/>
        <w:autoSpaceDN w:val="0"/>
        <w:adjustRightInd w:val="0"/>
        <w:spacing w:line="480" w:lineRule="auto"/>
        <w:ind w:right="780" w:firstLine="602" w:firstLineChars="200"/>
        <w:jc w:val="center"/>
        <w:rPr>
          <w:rFonts w:ascii="宋体" w:hAnsi="宋体" w:cs="宋体"/>
          <w:b/>
          <w:sz w:val="24"/>
          <w:u w:val="single"/>
        </w:rPr>
      </w:pPr>
      <w:r>
        <w:rPr>
          <w:rFonts w:hint="eastAsia" w:ascii="宋体" w:hAnsi="宋体"/>
          <w:b/>
          <w:bCs/>
          <w:kern w:val="0"/>
          <w:sz w:val="30"/>
          <w:szCs w:val="30"/>
        </w:rPr>
        <w:t>日期：</w:t>
      </w:r>
      <w:r>
        <w:rPr>
          <w:rFonts w:hint="eastAsia" w:ascii="宋体" w:hAnsi="宋体"/>
          <w:b/>
          <w:bCs/>
          <w:kern w:val="0"/>
          <w:sz w:val="30"/>
          <w:szCs w:val="30"/>
          <w:lang w:val="en-US" w:eastAsia="zh-CN"/>
        </w:rPr>
        <w:t xml:space="preserve">   </w:t>
      </w:r>
      <w:r>
        <w:rPr>
          <w:rFonts w:hint="eastAsia" w:ascii="宋体" w:hAnsi="宋体"/>
          <w:b/>
          <w:bCs/>
          <w:kern w:val="0"/>
          <w:sz w:val="30"/>
          <w:szCs w:val="30"/>
        </w:rPr>
        <w:t>年</w:t>
      </w:r>
      <w:r>
        <w:rPr>
          <w:rFonts w:hint="eastAsia" w:ascii="宋体" w:hAnsi="宋体"/>
          <w:b/>
          <w:bCs/>
          <w:kern w:val="0"/>
          <w:sz w:val="30"/>
          <w:szCs w:val="30"/>
          <w:lang w:val="en-US" w:eastAsia="zh-CN"/>
        </w:rPr>
        <w:t xml:space="preserve">   </w:t>
      </w:r>
      <w:r>
        <w:rPr>
          <w:rFonts w:hint="eastAsia" w:ascii="宋体" w:hAnsi="宋体"/>
          <w:b/>
          <w:bCs/>
          <w:kern w:val="0"/>
          <w:sz w:val="30"/>
          <w:szCs w:val="30"/>
        </w:rPr>
        <w:t>月</w:t>
      </w:r>
      <w:r>
        <w:rPr>
          <w:rFonts w:hint="eastAsia" w:ascii="宋体" w:hAnsi="宋体"/>
          <w:b/>
          <w:bCs/>
          <w:kern w:val="0"/>
          <w:sz w:val="30"/>
          <w:szCs w:val="30"/>
          <w:lang w:val="en-US" w:eastAsia="zh-CN"/>
        </w:rPr>
        <w:t xml:space="preserve">    </w:t>
      </w:r>
      <w:r>
        <w:rPr>
          <w:rFonts w:hint="eastAsia" w:ascii="宋体" w:hAnsi="宋体"/>
          <w:b/>
          <w:bCs/>
          <w:kern w:val="0"/>
          <w:sz w:val="30"/>
          <w:szCs w:val="30"/>
        </w:rPr>
        <w:t>日</w:t>
      </w:r>
      <w:bookmarkStart w:id="97" w:name="_Toc184635137"/>
      <w:bookmarkStart w:id="98" w:name="_Toc283382024"/>
    </w:p>
    <w:p>
      <w:pPr>
        <w:spacing w:line="360" w:lineRule="auto"/>
        <w:jc w:val="center"/>
        <w:rPr>
          <w:rFonts w:ascii="宋体" w:hAnsi="宋体" w:cs="宋体"/>
          <w:b/>
          <w:sz w:val="24"/>
          <w:u w:val="single"/>
        </w:rPr>
      </w:pPr>
    </w:p>
    <w:p>
      <w:pPr>
        <w:widowControl/>
        <w:jc w:val="left"/>
        <w:rPr>
          <w:rFonts w:ascii="宋体" w:hAnsi="宋体" w:cs="宋体"/>
          <w:sz w:val="24"/>
        </w:rPr>
      </w:pPr>
      <w:r>
        <w:rPr>
          <w:rFonts w:ascii="宋体" w:hAnsi="宋体" w:cs="宋体"/>
          <w:sz w:val="24"/>
        </w:rPr>
        <w:br w:type="page"/>
      </w:r>
    </w:p>
    <w:p>
      <w:pPr>
        <w:spacing w:line="360" w:lineRule="auto"/>
        <w:jc w:val="center"/>
        <w:rPr>
          <w:rFonts w:hint="eastAsia" w:ascii="宋体" w:hAnsi="宋体" w:cs="宋体"/>
          <w:b/>
          <w:bCs/>
          <w:sz w:val="32"/>
          <w:szCs w:val="32"/>
        </w:rPr>
      </w:pPr>
    </w:p>
    <w:p>
      <w:pPr>
        <w:spacing w:line="360" w:lineRule="auto"/>
        <w:jc w:val="center"/>
        <w:rPr>
          <w:rFonts w:ascii="宋体" w:hAnsi="宋体" w:cs="宋体"/>
          <w:b/>
          <w:bCs/>
          <w:sz w:val="32"/>
          <w:szCs w:val="32"/>
        </w:rPr>
      </w:pPr>
      <w:r>
        <w:rPr>
          <w:rFonts w:hint="eastAsia" w:ascii="宋体" w:hAnsi="宋体" w:cs="宋体"/>
          <w:b/>
          <w:bCs/>
          <w:sz w:val="32"/>
          <w:szCs w:val="32"/>
        </w:rPr>
        <w:t>目录</w:t>
      </w:r>
      <w:bookmarkEnd w:id="97"/>
      <w:bookmarkEnd w:id="98"/>
    </w:p>
    <w:p>
      <w:pPr>
        <w:spacing w:line="360" w:lineRule="auto"/>
        <w:ind w:firstLine="480" w:firstLineChars="200"/>
        <w:rPr>
          <w:rFonts w:ascii="宋体" w:hAnsi="宋体" w:cs="宋体"/>
          <w:sz w:val="24"/>
        </w:rPr>
      </w:pPr>
    </w:p>
    <w:p>
      <w:pPr>
        <w:spacing w:line="480" w:lineRule="auto"/>
        <w:ind w:firstLine="723" w:firstLineChars="300"/>
        <w:rPr>
          <w:rFonts w:ascii="宋体"/>
          <w:b/>
          <w:bCs/>
          <w:kern w:val="0"/>
          <w:sz w:val="24"/>
        </w:rPr>
      </w:pPr>
      <w:r>
        <w:rPr>
          <w:rFonts w:ascii="宋体"/>
          <w:b/>
          <w:bCs/>
          <w:kern w:val="0"/>
          <w:sz w:val="24"/>
        </w:rPr>
        <w:t>一、投标函及投标函附录</w:t>
      </w:r>
    </w:p>
    <w:p>
      <w:pPr>
        <w:spacing w:line="480" w:lineRule="auto"/>
        <w:ind w:firstLine="723" w:firstLineChars="300"/>
        <w:rPr>
          <w:rFonts w:ascii="宋体"/>
          <w:b/>
          <w:bCs/>
          <w:kern w:val="0"/>
          <w:sz w:val="24"/>
        </w:rPr>
      </w:pPr>
      <w:r>
        <w:rPr>
          <w:rFonts w:hint="eastAsia" w:ascii="宋体"/>
          <w:b/>
          <w:bCs/>
          <w:kern w:val="0"/>
          <w:sz w:val="24"/>
        </w:rPr>
        <w:t>二、法定代表人身份证明</w:t>
      </w:r>
    </w:p>
    <w:p>
      <w:pPr>
        <w:spacing w:line="480" w:lineRule="auto"/>
        <w:ind w:firstLine="723" w:firstLineChars="300"/>
        <w:rPr>
          <w:rFonts w:ascii="宋体"/>
          <w:b/>
          <w:bCs/>
          <w:kern w:val="0"/>
          <w:sz w:val="24"/>
        </w:rPr>
      </w:pPr>
      <w:r>
        <w:rPr>
          <w:rFonts w:hint="eastAsia" w:ascii="宋体"/>
          <w:b/>
          <w:bCs/>
          <w:kern w:val="0"/>
          <w:sz w:val="24"/>
        </w:rPr>
        <w:t>三、授权委托书</w:t>
      </w:r>
    </w:p>
    <w:p>
      <w:pPr>
        <w:spacing w:line="480" w:lineRule="auto"/>
        <w:ind w:firstLine="723" w:firstLineChars="300"/>
        <w:rPr>
          <w:rFonts w:ascii="宋体"/>
          <w:b/>
          <w:bCs/>
          <w:kern w:val="0"/>
          <w:sz w:val="24"/>
        </w:rPr>
      </w:pPr>
      <w:r>
        <w:rPr>
          <w:rFonts w:hint="eastAsia" w:ascii="宋体"/>
          <w:b/>
          <w:bCs/>
          <w:kern w:val="0"/>
          <w:sz w:val="24"/>
        </w:rPr>
        <w:t>四</w:t>
      </w:r>
      <w:r>
        <w:rPr>
          <w:rFonts w:ascii="宋体"/>
          <w:b/>
          <w:bCs/>
          <w:kern w:val="0"/>
          <w:sz w:val="24"/>
        </w:rPr>
        <w:t>、</w:t>
      </w:r>
      <w:r>
        <w:rPr>
          <w:rFonts w:hint="eastAsia" w:ascii="宋体"/>
          <w:b/>
          <w:bCs/>
          <w:kern w:val="0"/>
          <w:sz w:val="24"/>
          <w:lang w:eastAsia="zh-CN"/>
        </w:rPr>
        <w:t>投标担保</w:t>
      </w:r>
    </w:p>
    <w:p>
      <w:pPr>
        <w:spacing w:line="480" w:lineRule="auto"/>
        <w:ind w:firstLine="723" w:firstLineChars="300"/>
        <w:rPr>
          <w:rFonts w:ascii="宋体"/>
          <w:b/>
          <w:bCs/>
          <w:kern w:val="0"/>
          <w:sz w:val="24"/>
        </w:rPr>
      </w:pPr>
      <w:r>
        <w:rPr>
          <w:rFonts w:hint="eastAsia" w:ascii="宋体"/>
          <w:b/>
          <w:bCs/>
          <w:kern w:val="0"/>
          <w:sz w:val="24"/>
        </w:rPr>
        <w:t>五、</w:t>
      </w:r>
      <w:r>
        <w:rPr>
          <w:rFonts w:ascii="宋体"/>
          <w:b/>
          <w:bCs/>
          <w:kern w:val="0"/>
          <w:sz w:val="24"/>
        </w:rPr>
        <w:t>资格审查资料</w:t>
      </w:r>
    </w:p>
    <w:p>
      <w:pPr>
        <w:spacing w:line="480" w:lineRule="auto"/>
        <w:ind w:firstLine="723" w:firstLineChars="300"/>
        <w:rPr>
          <w:rFonts w:ascii="宋体"/>
          <w:b/>
          <w:bCs/>
          <w:kern w:val="0"/>
          <w:sz w:val="24"/>
        </w:rPr>
      </w:pPr>
      <w:r>
        <w:rPr>
          <w:rFonts w:hint="eastAsia" w:ascii="宋体"/>
          <w:b/>
          <w:bCs/>
          <w:kern w:val="0"/>
          <w:sz w:val="24"/>
        </w:rPr>
        <w:t>六</w:t>
      </w:r>
      <w:r>
        <w:rPr>
          <w:rFonts w:ascii="宋体"/>
          <w:b/>
          <w:bCs/>
          <w:kern w:val="0"/>
          <w:sz w:val="24"/>
        </w:rPr>
        <w:t>、监理大纲</w:t>
      </w:r>
    </w:p>
    <w:p>
      <w:pPr>
        <w:spacing w:line="480" w:lineRule="auto"/>
        <w:ind w:firstLine="723" w:firstLineChars="300"/>
        <w:rPr>
          <w:rFonts w:ascii="宋体"/>
          <w:b/>
          <w:bCs/>
          <w:kern w:val="0"/>
          <w:sz w:val="24"/>
        </w:rPr>
      </w:pPr>
      <w:r>
        <w:rPr>
          <w:rFonts w:hint="eastAsia" w:ascii="宋体"/>
          <w:b/>
          <w:bCs/>
          <w:kern w:val="0"/>
          <w:sz w:val="24"/>
        </w:rPr>
        <w:t>七</w:t>
      </w:r>
      <w:r>
        <w:rPr>
          <w:rFonts w:ascii="宋体"/>
          <w:b/>
          <w:bCs/>
          <w:kern w:val="0"/>
          <w:sz w:val="24"/>
        </w:rPr>
        <w:t>、其</w:t>
      </w:r>
      <w:r>
        <w:rPr>
          <w:rFonts w:hint="eastAsia" w:ascii="宋体"/>
          <w:b/>
          <w:bCs/>
          <w:kern w:val="0"/>
          <w:sz w:val="24"/>
        </w:rPr>
        <w:t>它</w:t>
      </w:r>
      <w:r>
        <w:rPr>
          <w:rFonts w:ascii="宋体"/>
          <w:b/>
          <w:bCs/>
          <w:kern w:val="0"/>
          <w:sz w:val="24"/>
        </w:rPr>
        <w:t>资料</w:t>
      </w:r>
    </w:p>
    <w:p>
      <w:pPr>
        <w:spacing w:line="360" w:lineRule="auto"/>
        <w:ind w:firstLine="480" w:firstLineChars="200"/>
        <w:rPr>
          <w:rFonts w:ascii="宋体" w:hAnsi="宋体" w:cs="宋体"/>
          <w:sz w:val="24"/>
        </w:rPr>
      </w:pPr>
    </w:p>
    <w:p>
      <w:pPr>
        <w:pStyle w:val="6"/>
        <w:ind w:firstLine="240"/>
        <w:rPr>
          <w:rFonts w:ascii="宋体" w:hAnsi="宋体" w:cs="宋体"/>
          <w:sz w:val="24"/>
        </w:rPr>
      </w:pPr>
    </w:p>
    <w:p>
      <w:pPr>
        <w:pStyle w:val="6"/>
        <w:ind w:firstLine="240"/>
        <w:rPr>
          <w:rFonts w:ascii="宋体" w:hAnsi="宋体" w:cs="宋体"/>
          <w:sz w:val="24"/>
        </w:rPr>
      </w:pPr>
    </w:p>
    <w:p>
      <w:pPr>
        <w:pStyle w:val="6"/>
        <w:ind w:firstLine="240"/>
        <w:rPr>
          <w:rFonts w:ascii="宋体" w:hAnsi="宋体" w:cs="宋体"/>
          <w:sz w:val="24"/>
        </w:rPr>
      </w:pPr>
    </w:p>
    <w:p>
      <w:pPr>
        <w:pStyle w:val="6"/>
        <w:ind w:firstLine="240"/>
        <w:rPr>
          <w:rFonts w:ascii="宋体" w:hAnsi="宋体" w:cs="宋体"/>
          <w:sz w:val="24"/>
        </w:rPr>
      </w:pPr>
    </w:p>
    <w:p>
      <w:pPr>
        <w:pStyle w:val="6"/>
        <w:ind w:firstLine="240"/>
        <w:rPr>
          <w:rFonts w:ascii="宋体" w:hAnsi="宋体" w:cs="宋体"/>
          <w:sz w:val="24"/>
        </w:rPr>
      </w:pPr>
    </w:p>
    <w:p>
      <w:pPr>
        <w:pStyle w:val="6"/>
        <w:ind w:firstLine="240"/>
        <w:rPr>
          <w:rFonts w:ascii="宋体" w:hAnsi="宋体" w:cs="宋体"/>
          <w:sz w:val="24"/>
        </w:rPr>
      </w:pPr>
    </w:p>
    <w:p>
      <w:pPr>
        <w:pStyle w:val="6"/>
        <w:ind w:firstLine="240"/>
        <w:rPr>
          <w:rFonts w:ascii="宋体" w:hAnsi="宋体" w:cs="宋体"/>
          <w:sz w:val="24"/>
        </w:rPr>
      </w:pPr>
    </w:p>
    <w:p>
      <w:pPr>
        <w:spacing w:line="600" w:lineRule="exact"/>
        <w:ind w:left="850" w:leftChars="405"/>
        <w:rPr>
          <w:rFonts w:hAnsi="宋体"/>
          <w:b/>
          <w:sz w:val="24"/>
          <w:szCs w:val="24"/>
        </w:rPr>
      </w:pPr>
      <w:bookmarkStart w:id="99" w:name="_Toc27931069"/>
      <w:r>
        <w:rPr>
          <w:rFonts w:hint="eastAsia" w:hAnsi="宋体"/>
          <w:b/>
          <w:sz w:val="24"/>
          <w:szCs w:val="24"/>
        </w:rPr>
        <w:t>投标文件编制过程中应按本章提供的格式填报。</w:t>
      </w:r>
    </w:p>
    <w:p>
      <w:pPr>
        <w:spacing w:line="600" w:lineRule="exact"/>
        <w:ind w:left="850" w:leftChars="405"/>
        <w:rPr>
          <w:rFonts w:hAnsi="宋体"/>
          <w:b/>
          <w:sz w:val="24"/>
          <w:szCs w:val="24"/>
        </w:rPr>
      </w:pPr>
      <w:r>
        <w:rPr>
          <w:rFonts w:hint="eastAsia" w:hAnsi="宋体"/>
          <w:b/>
          <w:sz w:val="24"/>
          <w:szCs w:val="24"/>
        </w:rPr>
        <w:t>如有本章未提供的格式，投标人可自行编制。</w:t>
      </w:r>
      <w:bookmarkStart w:id="100" w:name="_bookmark176"/>
      <w:bookmarkEnd w:id="100"/>
    </w:p>
    <w:p>
      <w:pPr>
        <w:rPr>
          <w:rFonts w:asciiTheme="majorEastAsia" w:hAnsiTheme="majorEastAsia" w:eastAsiaTheme="majorEastAsia"/>
          <w:sz w:val="24"/>
          <w:lang w:val="zh-CN"/>
        </w:rPr>
      </w:pPr>
      <w:r>
        <w:rPr>
          <w:rFonts w:hint="eastAsia" w:asciiTheme="majorEastAsia" w:hAnsiTheme="majorEastAsia" w:eastAsiaTheme="majorEastAsia"/>
          <w:sz w:val="24"/>
          <w:lang w:val="zh-CN"/>
        </w:rPr>
        <w:br w:type="page"/>
      </w:r>
    </w:p>
    <w:p>
      <w:pPr>
        <w:pStyle w:val="3"/>
        <w:rPr>
          <w:color w:val="auto"/>
        </w:rPr>
      </w:pPr>
    </w:p>
    <w:p>
      <w:pPr>
        <w:pStyle w:val="3"/>
        <w:rPr>
          <w:color w:val="auto"/>
          <w:szCs w:val="21"/>
        </w:rPr>
      </w:pPr>
      <w:r>
        <w:rPr>
          <w:color w:val="auto"/>
        </w:rPr>
        <w:t>一、投标函及投标函附录</w:t>
      </w:r>
      <w:bookmarkEnd w:id="99"/>
    </w:p>
    <w:p>
      <w:pPr>
        <w:pStyle w:val="19"/>
        <w:widowControl/>
        <w:numPr>
          <w:ilvl w:val="0"/>
          <w:numId w:val="3"/>
        </w:numPr>
        <w:adjustRightInd/>
        <w:snapToGrid/>
        <w:ind w:firstLineChars="0"/>
        <w:jc w:val="center"/>
        <w:rPr>
          <w:b/>
          <w:sz w:val="28"/>
          <w:szCs w:val="28"/>
        </w:rPr>
      </w:pPr>
      <w:r>
        <w:rPr>
          <w:rFonts w:hint="eastAsia"/>
          <w:b/>
          <w:sz w:val="28"/>
          <w:szCs w:val="28"/>
        </w:rPr>
        <w:t>监理投标函</w:t>
      </w:r>
    </w:p>
    <w:p>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lang w:val="en-US" w:eastAsia="zh-CN"/>
        </w:rPr>
        <w:t xml:space="preserve">            </w:t>
      </w:r>
      <w:r>
        <w:rPr>
          <w:rFonts w:hint="eastAsia" w:hAnsi="宋体"/>
          <w:sz w:val="24"/>
        </w:rPr>
        <w:t>（招标人名称）</w:t>
      </w:r>
    </w:p>
    <w:p>
      <w:pPr>
        <w:spacing w:line="360" w:lineRule="auto"/>
        <w:ind w:firstLine="480" w:firstLineChars="200"/>
        <w:rPr>
          <w:rFonts w:ascii="宋体" w:hAnsi="宋体" w:cs="宋体"/>
          <w:sz w:val="24"/>
        </w:rPr>
      </w:pPr>
      <w:r>
        <w:rPr>
          <w:rFonts w:hint="eastAsia" w:ascii="宋体" w:hAnsi="宋体" w:cs="宋体"/>
          <w:sz w:val="24"/>
        </w:rPr>
        <w:t>我们收到了</w:t>
      </w:r>
      <w:r>
        <w:rPr>
          <w:rFonts w:hint="eastAsia" w:ascii="宋体" w:hAnsi="宋体" w:cs="宋体"/>
          <w:sz w:val="24"/>
          <w:lang w:val="en-US" w:eastAsia="zh-CN"/>
        </w:rPr>
        <w:t xml:space="preserve"> </w:t>
      </w:r>
      <w:r>
        <w:rPr>
          <w:rFonts w:hint="eastAsia" w:ascii="宋体" w:hAnsi="宋体" w:cs="宋体"/>
          <w:sz w:val="24"/>
          <w:u w:val="single"/>
          <w:lang w:val="en-US" w:eastAsia="zh-CN"/>
        </w:rPr>
        <w:t xml:space="preserve">          </w:t>
      </w:r>
      <w:r>
        <w:rPr>
          <w:rFonts w:hint="eastAsia" w:hAnsi="宋体"/>
          <w:sz w:val="24"/>
        </w:rPr>
        <w:t>（项目名称）</w:t>
      </w:r>
      <w:r>
        <w:rPr>
          <w:rFonts w:hint="eastAsia" w:ascii="宋体" w:hAnsi="宋体" w:cs="宋体"/>
          <w:sz w:val="24"/>
        </w:rPr>
        <w:t>监理项目的招标文件，经详细研究，我们决定参加该项目投标活动并投标，我们郑重声明以下诸点并负法律责任。</w:t>
      </w:r>
    </w:p>
    <w:p>
      <w:pPr>
        <w:spacing w:line="360" w:lineRule="auto"/>
        <w:ind w:firstLine="480" w:firstLineChars="200"/>
        <w:rPr>
          <w:rFonts w:ascii="宋体" w:hAnsi="宋体" w:cs="宋体"/>
          <w:sz w:val="24"/>
        </w:rPr>
      </w:pPr>
      <w:r>
        <w:rPr>
          <w:rFonts w:hint="eastAsia" w:ascii="宋体" w:hAnsi="宋体" w:cs="宋体"/>
          <w:sz w:val="24"/>
        </w:rPr>
        <w:t>1、我方授权</w:t>
      </w:r>
      <w:r>
        <w:rPr>
          <w:rFonts w:hAnsi="宋体"/>
          <w:sz w:val="24"/>
          <w:u w:val="single"/>
        </w:rPr>
        <w:t>　　　　　　　　　</w:t>
      </w:r>
      <w:r>
        <w:rPr>
          <w:rFonts w:hint="eastAsia" w:ascii="宋体" w:hAnsi="宋体" w:cs="宋体"/>
          <w:sz w:val="24"/>
        </w:rPr>
        <w:t>（姓名、职务）作为全权代表负责该工程投标及处理有关事宜。</w:t>
      </w:r>
    </w:p>
    <w:p>
      <w:pPr>
        <w:spacing w:line="360" w:lineRule="auto"/>
        <w:ind w:firstLine="480" w:firstLineChars="200"/>
        <w:rPr>
          <w:rFonts w:ascii="宋体" w:hAnsi="宋体" w:cs="宋体"/>
          <w:sz w:val="24"/>
          <w:u w:val="single"/>
        </w:rPr>
      </w:pPr>
      <w:r>
        <w:rPr>
          <w:rFonts w:hint="eastAsia" w:ascii="宋体" w:hAnsi="宋体" w:cs="宋体"/>
          <w:sz w:val="24"/>
        </w:rPr>
        <w:t>2、愿按照招标文件中的条款和要求，提供施工阶段的工程监理服务，监理费报价为</w:t>
      </w:r>
      <w:r>
        <w:rPr>
          <w:rFonts w:hint="eastAsia" w:ascii="宋体" w:hAnsi="宋体" w:cs="宋体"/>
          <w:sz w:val="24"/>
          <w:u w:val="single"/>
        </w:rPr>
        <w:t xml:space="preserve">       </w:t>
      </w:r>
      <w:r>
        <w:rPr>
          <w:rFonts w:hint="eastAsia" w:ascii="宋体" w:hAnsi="宋体" w:cs="宋体"/>
          <w:sz w:val="24"/>
        </w:rPr>
        <w:t>，服务期限为</w:t>
      </w:r>
      <w:r>
        <w:rPr>
          <w:rFonts w:hint="eastAsia" w:ascii="宋体" w:hAnsi="宋体" w:cs="宋体"/>
          <w:sz w:val="24"/>
          <w:u w:val="single"/>
        </w:rPr>
        <w:t xml:space="preserve">       </w:t>
      </w:r>
      <w:r>
        <w:rPr>
          <w:rFonts w:hint="eastAsia" w:ascii="宋体" w:hAnsi="宋体" w:cs="宋体"/>
          <w:sz w:val="24"/>
        </w:rPr>
        <w:t>，项目总监为：</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3、如果我们中标，我们保证按照招标文件的要求和招标人签订工程监理合同，按招标文件要求选派总监理工程师及监理工程师进驻施工现场实施监理合同。</w:t>
      </w:r>
    </w:p>
    <w:p>
      <w:pPr>
        <w:spacing w:line="360" w:lineRule="auto"/>
        <w:ind w:firstLine="480" w:firstLineChars="200"/>
        <w:rPr>
          <w:rFonts w:ascii="宋体" w:hAnsi="宋体" w:cs="宋体"/>
          <w:sz w:val="24"/>
        </w:rPr>
      </w:pPr>
      <w:r>
        <w:rPr>
          <w:rFonts w:hint="eastAsia" w:ascii="宋体" w:hAnsi="宋体" w:cs="宋体"/>
          <w:sz w:val="24"/>
        </w:rPr>
        <w:t>4、我们按照招标文件中的规定，认定本投标文件的有效期为</w:t>
      </w:r>
      <w:r>
        <w:rPr>
          <w:rFonts w:hint="eastAsia" w:ascii="宋体" w:hAnsi="宋体" w:cs="宋体"/>
          <w:sz w:val="24"/>
          <w:lang w:val="en-US" w:eastAsia="zh-CN"/>
        </w:rPr>
        <w:t>60</w:t>
      </w:r>
      <w:r>
        <w:rPr>
          <w:rFonts w:hint="eastAsia" w:ascii="宋体" w:hAnsi="宋体" w:cs="宋体"/>
          <w:sz w:val="24"/>
        </w:rPr>
        <w:t>天，如果中标，有效期延长至合同终止日止。</w:t>
      </w:r>
    </w:p>
    <w:p>
      <w:pPr>
        <w:spacing w:line="360" w:lineRule="auto"/>
        <w:ind w:firstLine="480" w:firstLineChars="200"/>
        <w:rPr>
          <w:rFonts w:ascii="宋体" w:hAnsi="宋体" w:cs="宋体"/>
          <w:sz w:val="24"/>
        </w:rPr>
      </w:pPr>
      <w:r>
        <w:rPr>
          <w:rFonts w:hint="eastAsia" w:ascii="宋体" w:hAnsi="宋体" w:cs="宋体"/>
          <w:sz w:val="24"/>
        </w:rPr>
        <w:t>5、我们愿按招标文件规定，提供招标文件中要求的所有文件资料。</w:t>
      </w:r>
    </w:p>
    <w:p>
      <w:pPr>
        <w:spacing w:line="360" w:lineRule="auto"/>
        <w:ind w:firstLine="480" w:firstLineChars="200"/>
        <w:rPr>
          <w:rFonts w:ascii="宋体" w:hAnsi="宋体" w:cs="宋体"/>
          <w:sz w:val="24"/>
        </w:rPr>
      </w:pPr>
      <w:r>
        <w:rPr>
          <w:rFonts w:hint="eastAsia" w:ascii="宋体" w:hAnsi="宋体" w:cs="宋体"/>
          <w:sz w:val="24"/>
        </w:rPr>
        <w:t>6、我们同意从投标之日起至本工程竣工移交止均遵守本投标文件，在此期限满之前的任何时间，本投标文件一直对我们具有约束力。</w:t>
      </w:r>
    </w:p>
    <w:p>
      <w:pPr>
        <w:spacing w:line="360" w:lineRule="auto"/>
        <w:ind w:firstLine="480" w:firstLineChars="200"/>
        <w:rPr>
          <w:rFonts w:ascii="宋体" w:hAnsi="宋体" w:cs="宋体"/>
          <w:sz w:val="24"/>
        </w:rPr>
      </w:pPr>
      <w:r>
        <w:rPr>
          <w:rFonts w:hint="eastAsia" w:ascii="宋体" w:hAnsi="宋体" w:cs="宋体"/>
          <w:sz w:val="24"/>
        </w:rPr>
        <w:t>7、我们愿按《中华人民共和国合同法》履行自己的全部责任。</w:t>
      </w:r>
    </w:p>
    <w:p>
      <w:pPr>
        <w:spacing w:line="360" w:lineRule="auto"/>
        <w:ind w:firstLine="480" w:firstLineChars="200"/>
        <w:rPr>
          <w:rFonts w:ascii="宋体" w:hAnsi="宋体" w:cs="宋体"/>
          <w:sz w:val="24"/>
        </w:rPr>
      </w:pPr>
      <w:r>
        <w:rPr>
          <w:rFonts w:hint="eastAsia" w:ascii="宋体" w:hAnsi="宋体" w:cs="宋体"/>
          <w:sz w:val="24"/>
        </w:rPr>
        <w:t>8、若我方中标，我方愿意按有关文件规定缴纳招标代理费用。</w:t>
      </w:r>
    </w:p>
    <w:p>
      <w:pPr>
        <w:spacing w:line="360" w:lineRule="auto"/>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p>
    <w:p>
      <w:pPr>
        <w:spacing w:line="360" w:lineRule="auto"/>
        <w:jc w:val="right"/>
        <w:rPr>
          <w:rFonts w:ascii="宋体" w:hAnsi="宋体" w:cs="宋体"/>
          <w:sz w:val="24"/>
        </w:rPr>
      </w:pPr>
    </w:p>
    <w:p>
      <w:pPr>
        <w:spacing w:line="360" w:lineRule="auto"/>
        <w:jc w:val="right"/>
        <w:rPr>
          <w:rFonts w:ascii="宋体" w:hAnsi="宋体" w:cs="宋体"/>
          <w:sz w:val="24"/>
        </w:rPr>
      </w:pPr>
      <w:r>
        <w:rPr>
          <w:rFonts w:hint="eastAsia" w:ascii="宋体" w:hAnsi="宋体" w:cs="宋体"/>
          <w:sz w:val="24"/>
        </w:rPr>
        <w:t xml:space="preserve">投标人名称：（盖章）    </w:t>
      </w:r>
    </w:p>
    <w:p>
      <w:pPr>
        <w:spacing w:line="360" w:lineRule="auto"/>
        <w:ind w:left="720" w:hanging="720" w:hangingChars="300"/>
        <w:jc w:val="right"/>
        <w:rPr>
          <w:rFonts w:ascii="宋体" w:hAnsi="宋体" w:cs="宋体"/>
          <w:sz w:val="24"/>
        </w:rPr>
      </w:pPr>
      <w:r>
        <w:rPr>
          <w:rFonts w:hint="eastAsia" w:ascii="宋体" w:hAnsi="宋体" w:cs="宋体"/>
          <w:sz w:val="24"/>
        </w:rPr>
        <w:t>法定代表人：（签字或盖章）</w:t>
      </w:r>
    </w:p>
    <w:p>
      <w:pPr>
        <w:spacing w:line="360" w:lineRule="auto"/>
        <w:jc w:val="right"/>
        <w:rPr>
          <w:sz w:val="20"/>
        </w:rPr>
      </w:pPr>
      <w:r>
        <w:rPr>
          <w:rFonts w:hint="eastAsia" w:ascii="宋体" w:hAnsi="宋体" w:cs="宋体"/>
          <w:sz w:val="24"/>
        </w:rPr>
        <w:t>日     期：</w:t>
      </w:r>
    </w:p>
    <w:p>
      <w:pPr>
        <w:spacing w:line="360" w:lineRule="auto"/>
        <w:jc w:val="right"/>
        <w:rPr>
          <w:sz w:val="20"/>
        </w:rPr>
      </w:pPr>
    </w:p>
    <w:p>
      <w:pPr>
        <w:spacing w:line="360" w:lineRule="auto"/>
        <w:rPr>
          <w:sz w:val="20"/>
        </w:rPr>
      </w:pPr>
    </w:p>
    <w:p>
      <w:pPr>
        <w:spacing w:line="360" w:lineRule="auto"/>
        <w:ind w:left="500"/>
        <w:rPr>
          <w:rFonts w:ascii="黑体" w:hAnsi="黑体" w:eastAsia="黑体" w:cs="黑体"/>
          <w:sz w:val="28"/>
          <w:szCs w:val="28"/>
        </w:rPr>
      </w:pPr>
    </w:p>
    <w:p>
      <w:pPr>
        <w:spacing w:line="360" w:lineRule="auto"/>
        <w:ind w:left="500"/>
        <w:rPr>
          <w:rFonts w:ascii="黑体" w:hAnsi="黑体" w:eastAsia="黑体" w:cs="黑体"/>
          <w:sz w:val="28"/>
          <w:szCs w:val="28"/>
        </w:rPr>
      </w:pPr>
    </w:p>
    <w:p>
      <w:pPr>
        <w:spacing w:line="360" w:lineRule="auto"/>
        <w:ind w:left="500"/>
        <w:jc w:val="center"/>
        <w:rPr>
          <w:rFonts w:ascii="黑体" w:hAnsi="黑体" w:eastAsia="黑体" w:cs="黑体"/>
          <w:sz w:val="28"/>
          <w:szCs w:val="28"/>
        </w:rPr>
      </w:pPr>
    </w:p>
    <w:p>
      <w:pPr>
        <w:spacing w:line="360" w:lineRule="auto"/>
        <w:ind w:left="500"/>
        <w:jc w:val="center"/>
        <w:rPr>
          <w:rFonts w:ascii="黑体" w:hAnsi="黑体" w:eastAsia="黑体" w:cs="黑体"/>
          <w:sz w:val="28"/>
          <w:szCs w:val="28"/>
        </w:rPr>
      </w:pPr>
    </w:p>
    <w:p>
      <w:pPr>
        <w:spacing w:line="360" w:lineRule="auto"/>
        <w:ind w:left="500"/>
        <w:jc w:val="center"/>
        <w:rPr>
          <w:sz w:val="20"/>
        </w:rPr>
      </w:pPr>
      <w:r>
        <w:rPr>
          <w:rFonts w:ascii="黑体" w:hAnsi="黑体" w:eastAsia="黑体" w:cs="黑体"/>
          <w:sz w:val="28"/>
          <w:szCs w:val="28"/>
        </w:rPr>
        <w:t>（二）投标函附录</w:t>
      </w:r>
    </w:p>
    <w:p>
      <w:pPr>
        <w:spacing w:line="360" w:lineRule="auto"/>
        <w:rPr>
          <w:sz w:val="20"/>
        </w:rPr>
      </w:pPr>
    </w:p>
    <w:tbl>
      <w:tblPr>
        <w:tblStyle w:val="16"/>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3"/>
        <w:gridCol w:w="3281"/>
        <w:gridCol w:w="1279"/>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3203" w:type="dxa"/>
            <w:vAlign w:val="center"/>
          </w:tcPr>
          <w:p>
            <w:pPr>
              <w:jc w:val="center"/>
              <w:rPr>
                <w:rFonts w:ascii="新宋体" w:hAnsi="新宋体" w:eastAsia="新宋体"/>
                <w:sz w:val="24"/>
                <w:szCs w:val="24"/>
              </w:rPr>
            </w:pPr>
            <w:r>
              <w:rPr>
                <w:rFonts w:hint="eastAsia" w:ascii="新宋体" w:hAnsi="新宋体" w:eastAsia="新宋体"/>
                <w:sz w:val="24"/>
                <w:szCs w:val="24"/>
              </w:rPr>
              <w:t>工程名称</w:t>
            </w:r>
          </w:p>
        </w:tc>
        <w:tc>
          <w:tcPr>
            <w:tcW w:w="5937" w:type="dxa"/>
            <w:gridSpan w:val="3"/>
            <w:vAlign w:val="center"/>
          </w:tcPr>
          <w:p>
            <w:pPr>
              <w:jc w:val="center"/>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3203" w:type="dxa"/>
            <w:vAlign w:val="center"/>
          </w:tcPr>
          <w:p>
            <w:pPr>
              <w:jc w:val="center"/>
              <w:rPr>
                <w:rFonts w:ascii="新宋体" w:hAnsi="新宋体" w:eastAsia="新宋体"/>
                <w:sz w:val="24"/>
                <w:szCs w:val="24"/>
              </w:rPr>
            </w:pPr>
            <w:r>
              <w:rPr>
                <w:rFonts w:hint="eastAsia" w:ascii="新宋体" w:hAnsi="新宋体" w:eastAsia="新宋体"/>
                <w:sz w:val="24"/>
                <w:szCs w:val="24"/>
              </w:rPr>
              <w:t>投标单位</w:t>
            </w:r>
          </w:p>
        </w:tc>
        <w:tc>
          <w:tcPr>
            <w:tcW w:w="5937" w:type="dxa"/>
            <w:gridSpan w:val="3"/>
            <w:vAlign w:val="center"/>
          </w:tcPr>
          <w:p>
            <w:pPr>
              <w:jc w:val="center"/>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trPr>
        <w:tc>
          <w:tcPr>
            <w:tcW w:w="3203" w:type="dxa"/>
            <w:vAlign w:val="center"/>
          </w:tcPr>
          <w:p>
            <w:pPr>
              <w:jc w:val="center"/>
              <w:rPr>
                <w:rFonts w:ascii="新宋体" w:hAnsi="新宋体" w:eastAsia="新宋体"/>
                <w:sz w:val="24"/>
                <w:szCs w:val="24"/>
              </w:rPr>
            </w:pPr>
            <w:r>
              <w:rPr>
                <w:rFonts w:hint="eastAsia" w:ascii="新宋体" w:hAnsi="新宋体" w:eastAsia="新宋体"/>
                <w:sz w:val="24"/>
                <w:szCs w:val="24"/>
              </w:rPr>
              <w:t>项目总监</w:t>
            </w:r>
          </w:p>
        </w:tc>
        <w:tc>
          <w:tcPr>
            <w:tcW w:w="3281" w:type="dxa"/>
            <w:vAlign w:val="center"/>
          </w:tcPr>
          <w:p>
            <w:pPr>
              <w:jc w:val="center"/>
              <w:rPr>
                <w:rFonts w:ascii="新宋体" w:hAnsi="新宋体" w:eastAsia="新宋体"/>
                <w:sz w:val="24"/>
                <w:szCs w:val="24"/>
              </w:rPr>
            </w:pPr>
          </w:p>
        </w:tc>
        <w:tc>
          <w:tcPr>
            <w:tcW w:w="1279" w:type="dxa"/>
            <w:vAlign w:val="center"/>
          </w:tcPr>
          <w:p>
            <w:pPr>
              <w:jc w:val="center"/>
              <w:rPr>
                <w:rFonts w:ascii="新宋体" w:hAnsi="新宋体" w:eastAsia="新宋体"/>
                <w:sz w:val="24"/>
                <w:szCs w:val="24"/>
              </w:rPr>
            </w:pPr>
            <w:r>
              <w:rPr>
                <w:rFonts w:hint="eastAsia" w:ascii="新宋体" w:hAnsi="新宋体" w:eastAsia="新宋体"/>
                <w:sz w:val="24"/>
                <w:szCs w:val="24"/>
              </w:rPr>
              <w:t>注册证书编号</w:t>
            </w:r>
          </w:p>
        </w:tc>
        <w:tc>
          <w:tcPr>
            <w:tcW w:w="1377" w:type="dxa"/>
            <w:vAlign w:val="center"/>
          </w:tcPr>
          <w:p>
            <w:pPr>
              <w:jc w:val="center"/>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trPr>
        <w:tc>
          <w:tcPr>
            <w:tcW w:w="3203" w:type="dxa"/>
            <w:vAlign w:val="center"/>
          </w:tcPr>
          <w:p>
            <w:pPr>
              <w:jc w:val="center"/>
              <w:rPr>
                <w:rFonts w:ascii="新宋体" w:hAnsi="新宋体" w:eastAsia="新宋体"/>
                <w:sz w:val="24"/>
                <w:szCs w:val="24"/>
              </w:rPr>
            </w:pPr>
          </w:p>
          <w:p>
            <w:pPr>
              <w:jc w:val="center"/>
              <w:rPr>
                <w:rFonts w:ascii="新宋体" w:hAnsi="新宋体" w:eastAsia="新宋体"/>
                <w:sz w:val="24"/>
                <w:szCs w:val="24"/>
              </w:rPr>
            </w:pPr>
            <w:r>
              <w:rPr>
                <w:rFonts w:hint="eastAsia" w:ascii="新宋体" w:hAnsi="新宋体" w:eastAsia="新宋体"/>
                <w:sz w:val="24"/>
                <w:szCs w:val="24"/>
              </w:rPr>
              <w:t>投标报价</w:t>
            </w:r>
          </w:p>
          <w:p>
            <w:pPr>
              <w:rPr>
                <w:rFonts w:ascii="新宋体" w:hAnsi="新宋体" w:eastAsia="新宋体"/>
                <w:sz w:val="24"/>
                <w:szCs w:val="24"/>
              </w:rPr>
            </w:pPr>
          </w:p>
        </w:tc>
        <w:tc>
          <w:tcPr>
            <w:tcW w:w="3281" w:type="dxa"/>
            <w:vAlign w:val="center"/>
          </w:tcPr>
          <w:p>
            <w:pPr>
              <w:rPr>
                <w:rFonts w:ascii="新宋体" w:hAnsi="新宋体" w:eastAsia="新宋体"/>
                <w:sz w:val="24"/>
                <w:szCs w:val="24"/>
              </w:rPr>
            </w:pPr>
            <w:r>
              <w:rPr>
                <w:rFonts w:hint="eastAsia" w:ascii="新宋体" w:hAnsi="新宋体" w:eastAsia="新宋体"/>
                <w:sz w:val="24"/>
                <w:szCs w:val="24"/>
              </w:rPr>
              <w:t>大写</w:t>
            </w:r>
            <w:r>
              <w:rPr>
                <w:rFonts w:hint="eastAsia" w:ascii="新宋体" w:hAnsi="新宋体" w:eastAsia="新宋体"/>
                <w:sz w:val="24"/>
                <w:szCs w:val="24"/>
                <w:lang w:eastAsia="zh-CN"/>
              </w:rPr>
              <w:t>：</w:t>
            </w:r>
          </w:p>
        </w:tc>
        <w:tc>
          <w:tcPr>
            <w:tcW w:w="2656" w:type="dxa"/>
            <w:gridSpan w:val="2"/>
            <w:vAlign w:val="center"/>
          </w:tcPr>
          <w:p>
            <w:pPr>
              <w:rPr>
                <w:rFonts w:ascii="新宋体" w:hAnsi="新宋体" w:eastAsia="新宋体"/>
                <w:sz w:val="24"/>
                <w:szCs w:val="24"/>
              </w:rPr>
            </w:pPr>
            <w:r>
              <w:rPr>
                <w:rFonts w:hint="eastAsia" w:ascii="新宋体" w:hAnsi="新宋体" w:eastAsia="新宋体"/>
                <w:sz w:val="24"/>
                <w:szCs w:val="24"/>
              </w:rPr>
              <w:t>小写</w:t>
            </w:r>
            <w:r>
              <w:rPr>
                <w:rFonts w:hint="eastAsia" w:ascii="新宋体" w:hAnsi="新宋体" w:eastAsia="新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trPr>
        <w:tc>
          <w:tcPr>
            <w:tcW w:w="3203" w:type="dxa"/>
            <w:vAlign w:val="center"/>
          </w:tcPr>
          <w:p>
            <w:pPr>
              <w:jc w:val="center"/>
              <w:rPr>
                <w:rFonts w:ascii="新宋体" w:hAnsi="新宋体" w:eastAsia="新宋体"/>
                <w:sz w:val="24"/>
                <w:szCs w:val="24"/>
              </w:rPr>
            </w:pPr>
            <w:r>
              <w:rPr>
                <w:rFonts w:hint="eastAsia" w:ascii="新宋体" w:hAnsi="新宋体" w:eastAsia="新宋体"/>
                <w:sz w:val="24"/>
                <w:szCs w:val="24"/>
              </w:rPr>
              <w:t>监理服务期</w:t>
            </w:r>
          </w:p>
        </w:tc>
        <w:tc>
          <w:tcPr>
            <w:tcW w:w="5937" w:type="dxa"/>
            <w:gridSpan w:val="3"/>
            <w:vAlign w:val="center"/>
          </w:tcPr>
          <w:p>
            <w:pPr>
              <w:jc w:val="center"/>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trPr>
        <w:tc>
          <w:tcPr>
            <w:tcW w:w="3203" w:type="dxa"/>
            <w:vAlign w:val="center"/>
          </w:tcPr>
          <w:p>
            <w:pPr>
              <w:jc w:val="center"/>
              <w:rPr>
                <w:rFonts w:ascii="新宋体" w:hAnsi="新宋体" w:eastAsia="新宋体"/>
                <w:sz w:val="24"/>
                <w:szCs w:val="24"/>
              </w:rPr>
            </w:pPr>
            <w:r>
              <w:rPr>
                <w:rFonts w:hint="eastAsia" w:ascii="新宋体" w:hAnsi="新宋体" w:eastAsia="新宋体"/>
                <w:sz w:val="24"/>
                <w:szCs w:val="24"/>
              </w:rPr>
              <w:t>质量等级</w:t>
            </w:r>
          </w:p>
        </w:tc>
        <w:tc>
          <w:tcPr>
            <w:tcW w:w="5937" w:type="dxa"/>
            <w:gridSpan w:val="3"/>
            <w:vAlign w:val="center"/>
          </w:tcPr>
          <w:p>
            <w:pPr>
              <w:jc w:val="center"/>
              <w:rPr>
                <w:rFonts w:ascii="新宋体" w:hAnsi="新宋体" w:eastAsia="新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140" w:type="dxa"/>
            <w:gridSpan w:val="4"/>
          </w:tcPr>
          <w:p>
            <w:pPr>
              <w:rPr>
                <w:rFonts w:ascii="新宋体" w:hAnsi="新宋体" w:eastAsia="新宋体"/>
                <w:sz w:val="24"/>
                <w:szCs w:val="24"/>
              </w:rPr>
            </w:pPr>
            <w:r>
              <w:rPr>
                <w:rFonts w:hint="eastAsia" w:ascii="新宋体" w:hAnsi="新宋体" w:eastAsia="新宋体"/>
                <w:sz w:val="24"/>
                <w:szCs w:val="24"/>
              </w:rPr>
              <w:t xml:space="preserve"> 优惠与服务承诺：</w:t>
            </w: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tc>
      </w:tr>
    </w:tbl>
    <w:p>
      <w:pPr>
        <w:spacing w:line="360" w:lineRule="auto"/>
        <w:rPr>
          <w:sz w:val="20"/>
        </w:rPr>
      </w:pPr>
    </w:p>
    <w:p>
      <w:pPr>
        <w:spacing w:line="360" w:lineRule="auto"/>
        <w:rPr>
          <w:szCs w:val="21"/>
        </w:rPr>
      </w:pPr>
    </w:p>
    <w:p>
      <w:pPr>
        <w:spacing w:line="360" w:lineRule="auto"/>
        <w:ind w:right="1470"/>
        <w:jc w:val="right"/>
        <w:rPr>
          <w:rFonts w:ascii="宋体" w:hAnsi="宋体" w:cs="仿宋_GB2312"/>
          <w:kern w:val="0"/>
          <w:szCs w:val="21"/>
        </w:rPr>
      </w:pPr>
      <w:r>
        <w:rPr>
          <w:rFonts w:hint="eastAsia" w:ascii="宋体" w:hAnsi="宋体" w:cs="仿宋_GB2312"/>
          <w:kern w:val="0"/>
          <w:szCs w:val="21"/>
        </w:rPr>
        <w:t>投标单位（盖章）：</w:t>
      </w:r>
    </w:p>
    <w:p>
      <w:pPr>
        <w:spacing w:line="360" w:lineRule="auto"/>
        <w:ind w:right="840"/>
        <w:jc w:val="right"/>
        <w:rPr>
          <w:rFonts w:ascii="宋体" w:hAnsi="宋体" w:cs="仿宋_GB2312"/>
          <w:kern w:val="0"/>
          <w:szCs w:val="21"/>
        </w:rPr>
      </w:pPr>
      <w:r>
        <w:rPr>
          <w:rFonts w:hint="eastAsia" w:ascii="宋体" w:hAnsi="宋体"/>
          <w:szCs w:val="21"/>
        </w:rPr>
        <w:t>法定代表人或委托代理人（签字）：</w:t>
      </w:r>
    </w:p>
    <w:p>
      <w:pPr>
        <w:spacing w:line="360" w:lineRule="auto"/>
        <w:ind w:right="1470"/>
        <w:jc w:val="right"/>
        <w:rPr>
          <w:rFonts w:ascii="宋体" w:hAnsi="宋体" w:cs="仿宋_GB2312"/>
          <w:kern w:val="0"/>
          <w:szCs w:val="21"/>
        </w:rPr>
      </w:pPr>
      <w:r>
        <w:rPr>
          <w:rFonts w:hint="eastAsia" w:ascii="宋体" w:hAnsi="宋体" w:cs="仿宋_GB2312"/>
          <w:kern w:val="0"/>
          <w:szCs w:val="21"/>
          <w:lang w:val="en-US" w:eastAsia="zh-CN"/>
        </w:rPr>
        <w:t xml:space="preserve"> </w:t>
      </w:r>
      <w:r>
        <w:rPr>
          <w:rFonts w:hint="eastAsia" w:ascii="宋体" w:hAnsi="宋体" w:cs="仿宋_GB2312"/>
          <w:kern w:val="0"/>
          <w:szCs w:val="21"/>
        </w:rPr>
        <w:t>年</w:t>
      </w:r>
      <w:r>
        <w:rPr>
          <w:rFonts w:hint="eastAsia" w:ascii="宋体" w:hAnsi="宋体" w:cs="仿宋_GB2312"/>
          <w:kern w:val="0"/>
          <w:szCs w:val="21"/>
          <w:lang w:val="en-US" w:eastAsia="zh-CN"/>
        </w:rPr>
        <w:t xml:space="preserve">   </w:t>
      </w:r>
      <w:r>
        <w:rPr>
          <w:rFonts w:hint="eastAsia" w:ascii="宋体" w:hAnsi="宋体" w:cs="仿宋_GB2312"/>
          <w:kern w:val="0"/>
          <w:szCs w:val="21"/>
        </w:rPr>
        <w:t>月</w:t>
      </w:r>
      <w:r>
        <w:rPr>
          <w:rFonts w:hint="eastAsia" w:ascii="宋体" w:hAnsi="宋体" w:cs="仿宋_GB2312"/>
          <w:kern w:val="0"/>
          <w:szCs w:val="21"/>
          <w:lang w:val="en-US" w:eastAsia="zh-CN"/>
        </w:rPr>
        <w:t xml:space="preserve">  </w:t>
      </w:r>
      <w:r>
        <w:rPr>
          <w:rFonts w:hint="eastAsia" w:ascii="宋体" w:hAnsi="宋体" w:cs="仿宋_GB2312"/>
          <w:kern w:val="0"/>
          <w:szCs w:val="21"/>
        </w:rPr>
        <w:t>日</w:t>
      </w:r>
    </w:p>
    <w:p>
      <w:pPr>
        <w:spacing w:line="360" w:lineRule="auto"/>
        <w:rPr>
          <w:sz w:val="20"/>
        </w:rPr>
      </w:pPr>
    </w:p>
    <w:p>
      <w:pPr>
        <w:pStyle w:val="3"/>
        <w:rPr>
          <w:color w:val="auto"/>
        </w:rPr>
      </w:pPr>
      <w:bookmarkStart w:id="101" w:name="page81"/>
      <w:bookmarkEnd w:id="101"/>
      <w:bookmarkStart w:id="102" w:name="_Toc27931070"/>
    </w:p>
    <w:p>
      <w:pPr>
        <w:pStyle w:val="3"/>
        <w:rPr>
          <w:color w:val="auto"/>
        </w:rPr>
      </w:pPr>
    </w:p>
    <w:p/>
    <w:p>
      <w:pPr>
        <w:pStyle w:val="3"/>
        <w:rPr>
          <w:color w:val="auto"/>
        </w:rPr>
      </w:pPr>
      <w:r>
        <w:rPr>
          <w:color w:val="auto"/>
        </w:rPr>
        <w:t>二、法定代表人身份证明</w:t>
      </w:r>
      <w:bookmarkEnd w:id="102"/>
    </w:p>
    <w:p>
      <w:pPr>
        <w:spacing w:line="360" w:lineRule="auto"/>
        <w:rPr>
          <w:sz w:val="24"/>
        </w:rPr>
      </w:pPr>
    </w:p>
    <w:p>
      <w:pPr>
        <w:autoSpaceDE w:val="0"/>
        <w:autoSpaceDN w:val="0"/>
        <w:adjustRightInd w:val="0"/>
        <w:spacing w:line="420" w:lineRule="exact"/>
        <w:jc w:val="center"/>
        <w:rPr>
          <w:rFonts w:hAnsi="宋体" w:cs="黑体"/>
          <w:sz w:val="28"/>
          <w:szCs w:val="28"/>
        </w:rPr>
      </w:pPr>
      <w:bookmarkStart w:id="103" w:name="page82"/>
      <w:bookmarkEnd w:id="103"/>
      <w:bookmarkStart w:id="104" w:name="_Toc27931071"/>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r>
        <w:rPr>
          <w:rFonts w:hint="eastAsia" w:hAnsi="宋体" w:cs="宋体"/>
          <w:b/>
          <w:bCs/>
          <w:sz w:val="24"/>
        </w:rPr>
        <w:t>联系电话:</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pStyle w:val="3"/>
        <w:rPr>
          <w:color w:val="auto"/>
        </w:rPr>
      </w:pPr>
      <w:r>
        <w:rPr>
          <w:rFonts w:hint="eastAsia"/>
          <w:color w:val="auto"/>
        </w:rPr>
        <w:t>三</w:t>
      </w:r>
      <w:r>
        <w:rPr>
          <w:color w:val="auto"/>
        </w:rPr>
        <w:t>、授权委托书</w:t>
      </w:r>
      <w:bookmarkEnd w:id="104"/>
    </w:p>
    <w:p>
      <w:pPr>
        <w:spacing w:line="360" w:lineRule="auto"/>
        <w:rPr>
          <w:sz w:val="20"/>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w:t>
      </w:r>
      <w:r>
        <w:rPr>
          <w:rFonts w:hint="eastAsia" w:hAnsi="宋体" w:cs="仿宋_GB2312"/>
          <w:sz w:val="24"/>
          <w:u w:val="single"/>
        </w:rPr>
        <w:t>（姓名）</w:t>
      </w:r>
      <w:r>
        <w:rPr>
          <w:rFonts w:hint="eastAsia" w:hAnsi="宋体" w:cs="仿宋_GB2312"/>
          <w:sz w:val="24"/>
        </w:rPr>
        <w:t>系</w:t>
      </w:r>
      <w:r>
        <w:rPr>
          <w:rFonts w:hint="eastAsia" w:hAnsi="宋体" w:cs="仿宋_GB2312"/>
          <w:sz w:val="24"/>
          <w:u w:val="single"/>
        </w:rPr>
        <w:t>（投标人名称）</w:t>
      </w:r>
      <w:r>
        <w:rPr>
          <w:rFonts w:hint="eastAsia" w:hAnsi="宋体" w:cs="仿宋_GB2312"/>
          <w:sz w:val="24"/>
        </w:rPr>
        <w:t>的法定代表人，现委托</w:t>
      </w:r>
      <w:r>
        <w:rPr>
          <w:rFonts w:hint="eastAsia" w:hAnsi="宋体" w:cs="仿宋_GB2312"/>
          <w:sz w:val="24"/>
          <w:u w:val="single"/>
        </w:rPr>
        <w:t>（姓名、签字）</w:t>
      </w:r>
      <w:r>
        <w:rPr>
          <w:rFonts w:hint="eastAsia" w:hAnsi="宋体" w:cs="仿宋_GB2312"/>
          <w:sz w:val="24"/>
        </w:rPr>
        <w:t>为我方代理人。代理人根据授权，以我方名义签署、澄清、说明、补正、递交、撤回、修改</w:t>
      </w:r>
      <w:r>
        <w:rPr>
          <w:rFonts w:hint="eastAsia" w:hAnsi="宋体" w:cs="仿宋_GB2312"/>
          <w:sz w:val="24"/>
          <w:u w:val="single"/>
        </w:rPr>
        <w:t>（项目名称/标段）标段</w:t>
      </w:r>
      <w:r>
        <w:rPr>
          <w:rFonts w:hint="eastAsia" w:hAnsi="宋体" w:cs="仿宋_GB2312"/>
          <w:sz w:val="24"/>
        </w:rPr>
        <w:t>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b w:val="0"/>
          <w:bCs/>
          <w:sz w:val="24"/>
        </w:rPr>
      </w:pPr>
      <w:r>
        <w:rPr>
          <w:rFonts w:hint="eastAsia" w:hAnsi="宋体" w:cs="宋体"/>
          <w:b w:val="0"/>
          <w:bCs/>
          <w:sz w:val="24"/>
        </w:rPr>
        <w:t>联系电话:</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bookmarkStart w:id="105" w:name="_Toc27931072"/>
    </w:p>
    <w:p>
      <w:pPr>
        <w:pStyle w:val="3"/>
        <w:rPr>
          <w:rFonts w:hint="eastAsia"/>
          <w:color w:val="auto"/>
        </w:rPr>
      </w:pPr>
    </w:p>
    <w:p>
      <w:pPr>
        <w:pStyle w:val="3"/>
        <w:rPr>
          <w:color w:val="auto"/>
        </w:rPr>
      </w:pPr>
      <w:r>
        <w:rPr>
          <w:rFonts w:hint="eastAsia"/>
          <w:color w:val="auto"/>
        </w:rPr>
        <w:t>四</w:t>
      </w:r>
      <w:r>
        <w:rPr>
          <w:color w:val="auto"/>
        </w:rPr>
        <w:t>、</w:t>
      </w:r>
      <w:bookmarkEnd w:id="105"/>
      <w:r>
        <w:rPr>
          <w:rFonts w:hint="eastAsia"/>
          <w:color w:val="auto"/>
          <w:lang w:eastAsia="zh-CN"/>
        </w:rPr>
        <w:t>投标担保</w:t>
      </w:r>
    </w:p>
    <w:p>
      <w:pPr>
        <w:autoSpaceDE w:val="0"/>
        <w:autoSpaceDN w:val="0"/>
        <w:adjustRightInd w:val="0"/>
        <w:spacing w:line="340" w:lineRule="exact"/>
        <w:rPr>
          <w:rFonts w:hAnsi="宋体" w:cs="宋体"/>
          <w:sz w:val="24"/>
        </w:rPr>
      </w:pPr>
      <w:r>
        <w:rPr>
          <w:rFonts w:hint="eastAsia" w:hAnsi="宋体" w:cs="宋体"/>
          <w:sz w:val="24"/>
        </w:rPr>
        <w:t>附提交凭证：</w:t>
      </w:r>
    </w:p>
    <w:p>
      <w:pPr>
        <w:numPr>
          <w:ilvl w:val="0"/>
          <w:numId w:val="4"/>
        </w:numPr>
        <w:autoSpaceDE w:val="0"/>
        <w:autoSpaceDN w:val="0"/>
        <w:adjustRightInd w:val="0"/>
        <w:spacing w:line="340" w:lineRule="exact"/>
        <w:ind w:firstLine="480" w:firstLineChars="200"/>
        <w:rPr>
          <w:rFonts w:hAnsi="宋体" w:cs="宋体"/>
          <w:sz w:val="24"/>
          <w:lang w:val="zh-CN"/>
        </w:rPr>
      </w:pPr>
      <w:r>
        <w:rPr>
          <w:rFonts w:hint="eastAsia" w:hAnsi="宋体" w:cs="宋体"/>
          <w:sz w:val="24"/>
          <w:lang w:val="zh-CN"/>
        </w:rPr>
        <w:t>银行转帐、银行电汇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w:t>
      </w:r>
      <w:r>
        <w:rPr>
          <w:rFonts w:hint="eastAsia" w:hAnsi="宋体" w:cs="宋体"/>
          <w:sz w:val="24"/>
        </w:rPr>
        <w:t>附本项目本标段</w:t>
      </w:r>
      <w:r>
        <w:rPr>
          <w:rFonts w:hint="eastAsia" w:hAnsi="宋体" w:cs="宋体"/>
          <w:sz w:val="24"/>
          <w:lang w:val="zh-CN"/>
        </w:rPr>
        <w:t>“公共资源交易中心保证金缴纳回执”。</w:t>
      </w:r>
    </w:p>
    <w:p>
      <w:pPr>
        <w:autoSpaceDE w:val="0"/>
        <w:autoSpaceDN w:val="0"/>
        <w:adjustRightInd w:val="0"/>
        <w:spacing w:line="360" w:lineRule="auto"/>
        <w:ind w:right="215" w:firstLine="480" w:firstLineChars="200"/>
        <w:rPr>
          <w:rFonts w:hAnsi="宋体"/>
          <w:b/>
          <w:sz w:val="32"/>
        </w:rPr>
      </w:pPr>
      <w:r>
        <w:rPr>
          <w:rFonts w:hint="eastAsia" w:hAnsi="宋体" w:cs="宋体"/>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sz w:val="24"/>
        </w:rPr>
        <w:t>真实</w:t>
      </w:r>
      <w:r>
        <w:rPr>
          <w:rFonts w:hint="eastAsia" w:hAnsi="宋体" w:cs="宋体"/>
          <w:sz w:val="24"/>
          <w:lang w:val="zh-CN"/>
        </w:rPr>
        <w:t>合法的银行保函原件扫描件，否则视为未按</w:t>
      </w:r>
      <w:r>
        <w:rPr>
          <w:rFonts w:hint="eastAsia" w:hAnsi="宋体" w:cs="宋体"/>
          <w:sz w:val="24"/>
        </w:rPr>
        <w:t>规定提交</w:t>
      </w:r>
      <w:r>
        <w:rPr>
          <w:rFonts w:hint="eastAsia" w:hAnsi="宋体" w:cs="宋体"/>
          <w:sz w:val="24"/>
          <w:lang w:val="zh-CN"/>
        </w:rPr>
        <w:t>。</w:t>
      </w:r>
    </w:p>
    <w:p>
      <w:pPr>
        <w:pStyle w:val="17"/>
        <w:ind w:firstLine="680"/>
      </w:pPr>
    </w:p>
    <w:p>
      <w:pPr>
        <w:pStyle w:val="17"/>
        <w:ind w:firstLine="680"/>
        <w:sectPr>
          <w:pgSz w:w="11850" w:h="16783"/>
          <w:pgMar w:top="1440" w:right="1440" w:bottom="1440" w:left="1440" w:header="851" w:footer="992" w:gutter="0"/>
          <w:cols w:space="720" w:num="1"/>
          <w:docGrid w:linePitch="286" w:charSpace="0"/>
        </w:sectPr>
      </w:pPr>
    </w:p>
    <w:p>
      <w:pPr>
        <w:pStyle w:val="3"/>
        <w:rPr>
          <w:color w:val="auto"/>
        </w:rPr>
      </w:pPr>
      <w:bookmarkStart w:id="106" w:name="page85"/>
      <w:bookmarkEnd w:id="106"/>
      <w:bookmarkStart w:id="107" w:name="page86"/>
      <w:bookmarkEnd w:id="107"/>
      <w:bookmarkStart w:id="108" w:name="page83"/>
      <w:bookmarkEnd w:id="108"/>
      <w:bookmarkStart w:id="109" w:name="_Toc27931073"/>
      <w:r>
        <w:rPr>
          <w:rFonts w:hint="eastAsia"/>
          <w:color w:val="auto"/>
        </w:rPr>
        <w:t>五</w:t>
      </w:r>
      <w:r>
        <w:rPr>
          <w:color w:val="auto"/>
        </w:rPr>
        <w:t>、资格审查资料</w:t>
      </w:r>
      <w:bookmarkEnd w:id="109"/>
    </w:p>
    <w:p>
      <w:pPr>
        <w:jc w:val="center"/>
      </w:pPr>
      <w:r>
        <w:rPr>
          <w:rFonts w:ascii="黑体" w:hAnsi="黑体" w:eastAsia="黑体" w:cs="黑体"/>
          <w:sz w:val="28"/>
          <w:szCs w:val="28"/>
        </w:rPr>
        <w:t>（一）基本情况表</w:t>
      </w:r>
    </w:p>
    <w:tbl>
      <w:tblPr>
        <w:tblStyle w:val="16"/>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540"/>
        <w:gridCol w:w="360"/>
        <w:gridCol w:w="540"/>
        <w:gridCol w:w="900"/>
        <w:gridCol w:w="312"/>
        <w:gridCol w:w="408"/>
        <w:gridCol w:w="360"/>
        <w:gridCol w:w="360"/>
        <w:gridCol w:w="1156"/>
        <w:gridCol w:w="30"/>
        <w:gridCol w:w="1307"/>
        <w:gridCol w:w="27"/>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2088" w:type="dxa"/>
            <w:gridSpan w:val="2"/>
            <w:vAlign w:val="center"/>
          </w:tcPr>
          <w:p>
            <w:pPr>
              <w:spacing w:line="360" w:lineRule="exact"/>
              <w:jc w:val="center"/>
              <w:rPr>
                <w:szCs w:val="21"/>
              </w:rPr>
            </w:pPr>
            <w:r>
              <w:rPr>
                <w:rFonts w:hint="eastAsia"/>
                <w:szCs w:val="21"/>
              </w:rPr>
              <w:t>单位名称</w:t>
            </w:r>
          </w:p>
        </w:tc>
        <w:tc>
          <w:tcPr>
            <w:tcW w:w="7380" w:type="dxa"/>
            <w:gridSpan w:val="13"/>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2088" w:type="dxa"/>
            <w:gridSpan w:val="2"/>
            <w:vAlign w:val="center"/>
          </w:tcPr>
          <w:p>
            <w:pPr>
              <w:spacing w:line="360" w:lineRule="exact"/>
              <w:jc w:val="center"/>
              <w:rPr>
                <w:szCs w:val="21"/>
              </w:rPr>
            </w:pPr>
            <w:r>
              <w:rPr>
                <w:rFonts w:hint="eastAsia"/>
                <w:szCs w:val="21"/>
              </w:rPr>
              <w:t>通信地址</w:t>
            </w:r>
          </w:p>
        </w:tc>
        <w:tc>
          <w:tcPr>
            <w:tcW w:w="7380" w:type="dxa"/>
            <w:gridSpan w:val="13"/>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2088" w:type="dxa"/>
            <w:gridSpan w:val="2"/>
            <w:vAlign w:val="center"/>
          </w:tcPr>
          <w:p>
            <w:pPr>
              <w:spacing w:line="360" w:lineRule="exact"/>
              <w:jc w:val="center"/>
              <w:rPr>
                <w:szCs w:val="21"/>
              </w:rPr>
            </w:pPr>
            <w:r>
              <w:rPr>
                <w:rFonts w:hint="eastAsia"/>
                <w:szCs w:val="21"/>
              </w:rPr>
              <w:t>电话</w:t>
            </w:r>
          </w:p>
        </w:tc>
        <w:tc>
          <w:tcPr>
            <w:tcW w:w="1440" w:type="dxa"/>
            <w:gridSpan w:val="3"/>
            <w:vAlign w:val="center"/>
          </w:tcPr>
          <w:p>
            <w:pPr>
              <w:spacing w:line="360" w:lineRule="exact"/>
              <w:jc w:val="center"/>
              <w:rPr>
                <w:szCs w:val="21"/>
              </w:rPr>
            </w:pPr>
          </w:p>
        </w:tc>
        <w:tc>
          <w:tcPr>
            <w:tcW w:w="1212" w:type="dxa"/>
            <w:gridSpan w:val="2"/>
            <w:vAlign w:val="center"/>
          </w:tcPr>
          <w:p>
            <w:pPr>
              <w:spacing w:line="360" w:lineRule="exact"/>
              <w:jc w:val="center"/>
              <w:rPr>
                <w:szCs w:val="21"/>
              </w:rPr>
            </w:pPr>
            <w:r>
              <w:rPr>
                <w:rFonts w:hint="eastAsia"/>
                <w:szCs w:val="21"/>
              </w:rPr>
              <w:t>传真</w:t>
            </w:r>
          </w:p>
        </w:tc>
        <w:tc>
          <w:tcPr>
            <w:tcW w:w="2284" w:type="dxa"/>
            <w:gridSpan w:val="4"/>
            <w:vAlign w:val="center"/>
          </w:tcPr>
          <w:p>
            <w:pPr>
              <w:spacing w:line="360" w:lineRule="exact"/>
              <w:jc w:val="center"/>
              <w:rPr>
                <w:szCs w:val="21"/>
              </w:rPr>
            </w:pPr>
          </w:p>
        </w:tc>
        <w:tc>
          <w:tcPr>
            <w:tcW w:w="1337" w:type="dxa"/>
            <w:gridSpan w:val="2"/>
            <w:vAlign w:val="center"/>
          </w:tcPr>
          <w:p>
            <w:pPr>
              <w:spacing w:line="360" w:lineRule="exact"/>
              <w:jc w:val="center"/>
              <w:rPr>
                <w:szCs w:val="21"/>
              </w:rPr>
            </w:pPr>
            <w:r>
              <w:rPr>
                <w:rFonts w:hint="eastAsia"/>
                <w:szCs w:val="21"/>
              </w:rPr>
              <w:t>邮政编码</w:t>
            </w:r>
          </w:p>
        </w:tc>
        <w:tc>
          <w:tcPr>
            <w:tcW w:w="1107" w:type="dxa"/>
            <w:gridSpan w:val="2"/>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2088" w:type="dxa"/>
            <w:gridSpan w:val="2"/>
            <w:vAlign w:val="center"/>
          </w:tcPr>
          <w:p>
            <w:pPr>
              <w:spacing w:line="360" w:lineRule="exact"/>
              <w:jc w:val="center"/>
              <w:rPr>
                <w:szCs w:val="21"/>
              </w:rPr>
            </w:pPr>
            <w:r>
              <w:rPr>
                <w:rFonts w:hint="eastAsia"/>
                <w:szCs w:val="21"/>
              </w:rPr>
              <w:t>电子信箱</w:t>
            </w:r>
          </w:p>
        </w:tc>
        <w:tc>
          <w:tcPr>
            <w:tcW w:w="4936" w:type="dxa"/>
            <w:gridSpan w:val="9"/>
            <w:vAlign w:val="center"/>
          </w:tcPr>
          <w:p>
            <w:pPr>
              <w:spacing w:line="360" w:lineRule="exact"/>
              <w:jc w:val="center"/>
              <w:rPr>
                <w:szCs w:val="21"/>
              </w:rPr>
            </w:pPr>
          </w:p>
        </w:tc>
        <w:tc>
          <w:tcPr>
            <w:tcW w:w="1337" w:type="dxa"/>
            <w:gridSpan w:val="2"/>
            <w:vAlign w:val="center"/>
          </w:tcPr>
          <w:p>
            <w:pPr>
              <w:spacing w:line="360" w:lineRule="exact"/>
              <w:jc w:val="center"/>
              <w:rPr>
                <w:szCs w:val="21"/>
              </w:rPr>
            </w:pPr>
            <w:r>
              <w:rPr>
                <w:rFonts w:hint="eastAsia"/>
                <w:szCs w:val="21"/>
              </w:rPr>
              <w:t>联系人</w:t>
            </w:r>
          </w:p>
        </w:tc>
        <w:tc>
          <w:tcPr>
            <w:tcW w:w="1107" w:type="dxa"/>
            <w:gridSpan w:val="2"/>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2088" w:type="dxa"/>
            <w:gridSpan w:val="2"/>
            <w:vAlign w:val="center"/>
          </w:tcPr>
          <w:p>
            <w:pPr>
              <w:spacing w:line="360" w:lineRule="exact"/>
              <w:jc w:val="center"/>
              <w:rPr>
                <w:szCs w:val="21"/>
              </w:rPr>
            </w:pPr>
            <w:r>
              <w:rPr>
                <w:rFonts w:hint="eastAsia"/>
                <w:szCs w:val="21"/>
              </w:rPr>
              <w:t>成立时间</w:t>
            </w:r>
          </w:p>
        </w:tc>
        <w:tc>
          <w:tcPr>
            <w:tcW w:w="7380" w:type="dxa"/>
            <w:gridSpan w:val="13"/>
            <w:tcBorders>
              <w:top w:val="nil"/>
              <w:bottom w:val="nil"/>
            </w:tcBorders>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2088" w:type="dxa"/>
            <w:gridSpan w:val="2"/>
            <w:vAlign w:val="center"/>
          </w:tcPr>
          <w:p>
            <w:pPr>
              <w:spacing w:line="360" w:lineRule="exact"/>
              <w:jc w:val="center"/>
              <w:rPr>
                <w:szCs w:val="21"/>
              </w:rPr>
            </w:pPr>
            <w:r>
              <w:rPr>
                <w:rFonts w:hint="eastAsia"/>
                <w:szCs w:val="21"/>
              </w:rPr>
              <w:t>法定代表人</w:t>
            </w:r>
          </w:p>
        </w:tc>
        <w:tc>
          <w:tcPr>
            <w:tcW w:w="900" w:type="dxa"/>
            <w:gridSpan w:val="2"/>
            <w:vAlign w:val="center"/>
          </w:tcPr>
          <w:p>
            <w:pPr>
              <w:spacing w:line="360" w:lineRule="exact"/>
              <w:jc w:val="center"/>
              <w:rPr>
                <w:szCs w:val="21"/>
              </w:rPr>
            </w:pPr>
            <w:r>
              <w:rPr>
                <w:rFonts w:hint="eastAsia"/>
                <w:szCs w:val="21"/>
              </w:rPr>
              <w:t>姓名</w:t>
            </w:r>
          </w:p>
        </w:tc>
        <w:tc>
          <w:tcPr>
            <w:tcW w:w="1440" w:type="dxa"/>
            <w:gridSpan w:val="2"/>
            <w:vAlign w:val="center"/>
          </w:tcPr>
          <w:p>
            <w:pPr>
              <w:spacing w:line="360" w:lineRule="exact"/>
              <w:jc w:val="center"/>
              <w:rPr>
                <w:szCs w:val="21"/>
              </w:rPr>
            </w:pPr>
          </w:p>
        </w:tc>
        <w:tc>
          <w:tcPr>
            <w:tcW w:w="1080" w:type="dxa"/>
            <w:gridSpan w:val="3"/>
            <w:vAlign w:val="center"/>
          </w:tcPr>
          <w:p>
            <w:pPr>
              <w:spacing w:line="360" w:lineRule="exact"/>
              <w:jc w:val="center"/>
              <w:rPr>
                <w:szCs w:val="21"/>
              </w:rPr>
            </w:pPr>
            <w:r>
              <w:rPr>
                <w:rFonts w:hint="eastAsia"/>
                <w:szCs w:val="21"/>
              </w:rPr>
              <w:t>职务</w:t>
            </w:r>
          </w:p>
        </w:tc>
        <w:tc>
          <w:tcPr>
            <w:tcW w:w="1546" w:type="dxa"/>
            <w:gridSpan w:val="3"/>
            <w:vAlign w:val="center"/>
          </w:tcPr>
          <w:p>
            <w:pPr>
              <w:spacing w:line="360" w:lineRule="exact"/>
              <w:jc w:val="center"/>
              <w:rPr>
                <w:szCs w:val="21"/>
              </w:rPr>
            </w:pPr>
          </w:p>
        </w:tc>
        <w:tc>
          <w:tcPr>
            <w:tcW w:w="1307" w:type="dxa"/>
            <w:vAlign w:val="center"/>
          </w:tcPr>
          <w:p>
            <w:pPr>
              <w:spacing w:line="360" w:lineRule="exact"/>
              <w:jc w:val="center"/>
              <w:rPr>
                <w:szCs w:val="21"/>
              </w:rPr>
            </w:pPr>
            <w:r>
              <w:rPr>
                <w:rFonts w:hint="eastAsia"/>
                <w:szCs w:val="21"/>
              </w:rPr>
              <w:t>职称</w:t>
            </w:r>
          </w:p>
        </w:tc>
        <w:tc>
          <w:tcPr>
            <w:tcW w:w="1107" w:type="dxa"/>
            <w:gridSpan w:val="2"/>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2088" w:type="dxa"/>
            <w:gridSpan w:val="2"/>
            <w:vAlign w:val="center"/>
          </w:tcPr>
          <w:p>
            <w:pPr>
              <w:spacing w:line="360" w:lineRule="exact"/>
              <w:jc w:val="center"/>
              <w:rPr>
                <w:szCs w:val="21"/>
              </w:rPr>
            </w:pPr>
            <w:r>
              <w:rPr>
                <w:rFonts w:hint="eastAsia"/>
                <w:szCs w:val="21"/>
              </w:rPr>
              <w:t>技术负责人</w:t>
            </w:r>
          </w:p>
        </w:tc>
        <w:tc>
          <w:tcPr>
            <w:tcW w:w="900" w:type="dxa"/>
            <w:gridSpan w:val="2"/>
            <w:vAlign w:val="center"/>
          </w:tcPr>
          <w:p>
            <w:pPr>
              <w:spacing w:line="360" w:lineRule="exact"/>
              <w:jc w:val="center"/>
              <w:rPr>
                <w:szCs w:val="21"/>
              </w:rPr>
            </w:pPr>
            <w:r>
              <w:rPr>
                <w:rFonts w:hint="eastAsia"/>
                <w:szCs w:val="21"/>
              </w:rPr>
              <w:t>姓名</w:t>
            </w:r>
          </w:p>
        </w:tc>
        <w:tc>
          <w:tcPr>
            <w:tcW w:w="1440" w:type="dxa"/>
            <w:gridSpan w:val="2"/>
            <w:vAlign w:val="center"/>
          </w:tcPr>
          <w:p>
            <w:pPr>
              <w:spacing w:line="360" w:lineRule="exact"/>
              <w:jc w:val="center"/>
              <w:rPr>
                <w:szCs w:val="21"/>
              </w:rPr>
            </w:pPr>
          </w:p>
        </w:tc>
        <w:tc>
          <w:tcPr>
            <w:tcW w:w="1080" w:type="dxa"/>
            <w:gridSpan w:val="3"/>
            <w:vAlign w:val="center"/>
          </w:tcPr>
          <w:p>
            <w:pPr>
              <w:spacing w:line="360" w:lineRule="exact"/>
              <w:jc w:val="center"/>
              <w:rPr>
                <w:szCs w:val="21"/>
              </w:rPr>
            </w:pPr>
            <w:r>
              <w:rPr>
                <w:rFonts w:hint="eastAsia"/>
                <w:szCs w:val="21"/>
              </w:rPr>
              <w:t>职务</w:t>
            </w:r>
          </w:p>
        </w:tc>
        <w:tc>
          <w:tcPr>
            <w:tcW w:w="1546" w:type="dxa"/>
            <w:gridSpan w:val="3"/>
            <w:vAlign w:val="center"/>
          </w:tcPr>
          <w:p>
            <w:pPr>
              <w:spacing w:line="360" w:lineRule="exact"/>
              <w:jc w:val="center"/>
              <w:rPr>
                <w:szCs w:val="21"/>
              </w:rPr>
            </w:pPr>
          </w:p>
        </w:tc>
        <w:tc>
          <w:tcPr>
            <w:tcW w:w="1307" w:type="dxa"/>
            <w:vAlign w:val="center"/>
          </w:tcPr>
          <w:p>
            <w:pPr>
              <w:spacing w:line="360" w:lineRule="exact"/>
              <w:jc w:val="center"/>
              <w:rPr>
                <w:szCs w:val="21"/>
              </w:rPr>
            </w:pPr>
            <w:r>
              <w:rPr>
                <w:rFonts w:hint="eastAsia"/>
                <w:szCs w:val="21"/>
              </w:rPr>
              <w:t>职称</w:t>
            </w:r>
          </w:p>
        </w:tc>
        <w:tc>
          <w:tcPr>
            <w:tcW w:w="1107" w:type="dxa"/>
            <w:gridSpan w:val="2"/>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2088" w:type="dxa"/>
            <w:gridSpan w:val="2"/>
            <w:vAlign w:val="center"/>
          </w:tcPr>
          <w:p>
            <w:pPr>
              <w:spacing w:line="360" w:lineRule="exact"/>
              <w:jc w:val="center"/>
              <w:rPr>
                <w:szCs w:val="21"/>
              </w:rPr>
            </w:pPr>
            <w:r>
              <w:rPr>
                <w:rFonts w:hint="eastAsia"/>
                <w:szCs w:val="21"/>
              </w:rPr>
              <w:t>专业资质等级</w:t>
            </w:r>
          </w:p>
        </w:tc>
        <w:tc>
          <w:tcPr>
            <w:tcW w:w="3060" w:type="dxa"/>
            <w:gridSpan w:val="6"/>
            <w:vAlign w:val="center"/>
          </w:tcPr>
          <w:p>
            <w:pPr>
              <w:spacing w:line="360" w:lineRule="exact"/>
              <w:jc w:val="center"/>
              <w:rPr>
                <w:szCs w:val="21"/>
              </w:rPr>
            </w:pPr>
          </w:p>
        </w:tc>
        <w:tc>
          <w:tcPr>
            <w:tcW w:w="1906" w:type="dxa"/>
            <w:gridSpan w:val="4"/>
            <w:vAlign w:val="center"/>
          </w:tcPr>
          <w:p>
            <w:pPr>
              <w:spacing w:line="360" w:lineRule="exact"/>
              <w:jc w:val="center"/>
              <w:rPr>
                <w:szCs w:val="21"/>
              </w:rPr>
            </w:pPr>
            <w:r>
              <w:rPr>
                <w:rFonts w:hint="eastAsia"/>
                <w:szCs w:val="21"/>
              </w:rPr>
              <w:t>资质等级证书编号</w:t>
            </w:r>
          </w:p>
        </w:tc>
        <w:tc>
          <w:tcPr>
            <w:tcW w:w="2414" w:type="dxa"/>
            <w:gridSpan w:val="3"/>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2088" w:type="dxa"/>
            <w:gridSpan w:val="2"/>
            <w:vAlign w:val="center"/>
          </w:tcPr>
          <w:p>
            <w:pPr>
              <w:spacing w:line="360" w:lineRule="exact"/>
              <w:jc w:val="center"/>
              <w:rPr>
                <w:szCs w:val="21"/>
              </w:rPr>
            </w:pPr>
            <w:r>
              <w:rPr>
                <w:rFonts w:hint="eastAsia"/>
                <w:szCs w:val="21"/>
              </w:rPr>
              <w:t>法人营业执照证号</w:t>
            </w:r>
          </w:p>
        </w:tc>
        <w:tc>
          <w:tcPr>
            <w:tcW w:w="3060" w:type="dxa"/>
            <w:gridSpan w:val="6"/>
            <w:vAlign w:val="center"/>
          </w:tcPr>
          <w:p>
            <w:pPr>
              <w:spacing w:line="360" w:lineRule="exact"/>
              <w:jc w:val="center"/>
              <w:rPr>
                <w:szCs w:val="21"/>
              </w:rPr>
            </w:pPr>
          </w:p>
        </w:tc>
        <w:tc>
          <w:tcPr>
            <w:tcW w:w="1906" w:type="dxa"/>
            <w:gridSpan w:val="4"/>
            <w:vAlign w:val="center"/>
          </w:tcPr>
          <w:p>
            <w:pPr>
              <w:spacing w:line="360" w:lineRule="exact"/>
              <w:jc w:val="center"/>
              <w:rPr>
                <w:szCs w:val="21"/>
              </w:rPr>
            </w:pPr>
            <w:r>
              <w:rPr>
                <w:rFonts w:hint="eastAsia"/>
                <w:szCs w:val="21"/>
              </w:rPr>
              <w:t>注册资金</w:t>
            </w:r>
          </w:p>
        </w:tc>
        <w:tc>
          <w:tcPr>
            <w:tcW w:w="2414" w:type="dxa"/>
            <w:gridSpan w:val="3"/>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2088" w:type="dxa"/>
            <w:gridSpan w:val="2"/>
            <w:vAlign w:val="center"/>
          </w:tcPr>
          <w:p>
            <w:pPr>
              <w:spacing w:line="360" w:lineRule="exact"/>
              <w:jc w:val="center"/>
              <w:rPr>
                <w:szCs w:val="21"/>
              </w:rPr>
            </w:pPr>
            <w:r>
              <w:rPr>
                <w:rFonts w:hint="eastAsia"/>
                <w:szCs w:val="21"/>
              </w:rPr>
              <w:t>开户行名称</w:t>
            </w:r>
          </w:p>
        </w:tc>
        <w:tc>
          <w:tcPr>
            <w:tcW w:w="3060" w:type="dxa"/>
            <w:gridSpan w:val="6"/>
            <w:vAlign w:val="center"/>
          </w:tcPr>
          <w:p>
            <w:pPr>
              <w:spacing w:line="360" w:lineRule="exact"/>
              <w:jc w:val="center"/>
              <w:rPr>
                <w:spacing w:val="-16"/>
                <w:szCs w:val="21"/>
              </w:rPr>
            </w:pPr>
          </w:p>
        </w:tc>
        <w:tc>
          <w:tcPr>
            <w:tcW w:w="1906" w:type="dxa"/>
            <w:gridSpan w:val="4"/>
            <w:vAlign w:val="center"/>
          </w:tcPr>
          <w:p>
            <w:pPr>
              <w:spacing w:line="360" w:lineRule="exact"/>
              <w:jc w:val="center"/>
              <w:rPr>
                <w:szCs w:val="21"/>
              </w:rPr>
            </w:pPr>
            <w:r>
              <w:rPr>
                <w:rFonts w:hint="eastAsia"/>
                <w:szCs w:val="21"/>
              </w:rPr>
              <w:t>银行账号</w:t>
            </w:r>
          </w:p>
        </w:tc>
        <w:tc>
          <w:tcPr>
            <w:tcW w:w="2414" w:type="dxa"/>
            <w:gridSpan w:val="3"/>
            <w:vAlign w:val="center"/>
          </w:tcPr>
          <w:p>
            <w:pPr>
              <w:spacing w:line="360" w:lineRule="exact"/>
              <w:jc w:val="center"/>
              <w:rPr>
                <w:spacing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188" w:type="dxa"/>
            <w:vMerge w:val="restart"/>
            <w:vAlign w:val="center"/>
          </w:tcPr>
          <w:p>
            <w:pPr>
              <w:spacing w:line="360" w:lineRule="exact"/>
              <w:jc w:val="center"/>
              <w:rPr>
                <w:szCs w:val="21"/>
              </w:rPr>
            </w:pPr>
            <w:r>
              <w:rPr>
                <w:rFonts w:hint="eastAsia"/>
                <w:szCs w:val="21"/>
              </w:rPr>
              <w:t>单位</w:t>
            </w:r>
          </w:p>
          <w:p>
            <w:pPr>
              <w:spacing w:line="360" w:lineRule="exact"/>
              <w:jc w:val="center"/>
              <w:rPr>
                <w:szCs w:val="21"/>
              </w:rPr>
            </w:pPr>
            <w:r>
              <w:rPr>
                <w:rFonts w:hint="eastAsia"/>
                <w:szCs w:val="21"/>
              </w:rPr>
              <w:t>总人数</w:t>
            </w:r>
          </w:p>
          <w:p>
            <w:pPr>
              <w:spacing w:line="360" w:lineRule="exact"/>
              <w:jc w:val="center"/>
              <w:rPr>
                <w:szCs w:val="21"/>
              </w:rPr>
            </w:pPr>
            <w:r>
              <w:rPr>
                <w:rFonts w:hint="eastAsia"/>
                <w:szCs w:val="21"/>
              </w:rPr>
              <w:t>（人）</w:t>
            </w:r>
          </w:p>
        </w:tc>
        <w:tc>
          <w:tcPr>
            <w:tcW w:w="900" w:type="dxa"/>
            <w:vMerge w:val="restart"/>
            <w:vAlign w:val="center"/>
          </w:tcPr>
          <w:p>
            <w:pPr>
              <w:spacing w:line="360" w:lineRule="exact"/>
              <w:jc w:val="center"/>
              <w:rPr>
                <w:szCs w:val="21"/>
              </w:rPr>
            </w:pPr>
          </w:p>
        </w:tc>
        <w:tc>
          <w:tcPr>
            <w:tcW w:w="540" w:type="dxa"/>
            <w:vMerge w:val="restart"/>
            <w:vAlign w:val="center"/>
          </w:tcPr>
          <w:p>
            <w:pPr>
              <w:spacing w:line="360" w:lineRule="exact"/>
              <w:jc w:val="center"/>
              <w:rPr>
                <w:szCs w:val="21"/>
              </w:rPr>
            </w:pPr>
            <w:r>
              <w:rPr>
                <w:rFonts w:hint="eastAsia"/>
                <w:szCs w:val="21"/>
              </w:rPr>
              <w:t>其</w:t>
            </w:r>
          </w:p>
          <w:p>
            <w:pPr>
              <w:spacing w:line="360" w:lineRule="exact"/>
              <w:jc w:val="center"/>
              <w:rPr>
                <w:szCs w:val="21"/>
              </w:rPr>
            </w:pPr>
          </w:p>
          <w:p>
            <w:pPr>
              <w:spacing w:line="360" w:lineRule="exact"/>
              <w:jc w:val="center"/>
              <w:rPr>
                <w:szCs w:val="21"/>
              </w:rPr>
            </w:pPr>
            <w:r>
              <w:rPr>
                <w:rFonts w:hint="eastAsia"/>
                <w:szCs w:val="21"/>
              </w:rPr>
              <w:t>中</w:t>
            </w:r>
          </w:p>
        </w:tc>
        <w:tc>
          <w:tcPr>
            <w:tcW w:w="2520" w:type="dxa"/>
            <w:gridSpan w:val="5"/>
            <w:vAlign w:val="center"/>
          </w:tcPr>
          <w:p>
            <w:pPr>
              <w:spacing w:line="360" w:lineRule="exact"/>
              <w:jc w:val="center"/>
              <w:rPr>
                <w:szCs w:val="21"/>
              </w:rPr>
            </w:pPr>
            <w:r>
              <w:rPr>
                <w:rFonts w:hint="eastAsia"/>
                <w:szCs w:val="21"/>
              </w:rPr>
              <w:t>总监理工程师（人）</w:t>
            </w:r>
          </w:p>
        </w:tc>
        <w:tc>
          <w:tcPr>
            <w:tcW w:w="720" w:type="dxa"/>
            <w:gridSpan w:val="2"/>
            <w:vAlign w:val="center"/>
          </w:tcPr>
          <w:p>
            <w:pPr>
              <w:spacing w:line="360" w:lineRule="exact"/>
              <w:jc w:val="center"/>
              <w:rPr>
                <w:szCs w:val="21"/>
              </w:rPr>
            </w:pPr>
          </w:p>
        </w:tc>
        <w:tc>
          <w:tcPr>
            <w:tcW w:w="2520" w:type="dxa"/>
            <w:gridSpan w:val="4"/>
            <w:vAlign w:val="center"/>
          </w:tcPr>
          <w:p>
            <w:pPr>
              <w:spacing w:line="360" w:lineRule="exact"/>
              <w:jc w:val="center"/>
              <w:rPr>
                <w:szCs w:val="21"/>
              </w:rPr>
            </w:pPr>
            <w:r>
              <w:rPr>
                <w:rFonts w:hint="eastAsia"/>
                <w:szCs w:val="21"/>
              </w:rPr>
              <w:t>高级职称人员（人）</w:t>
            </w:r>
          </w:p>
        </w:tc>
        <w:tc>
          <w:tcPr>
            <w:tcW w:w="1080" w:type="dxa"/>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188" w:type="dxa"/>
            <w:vMerge w:val="continue"/>
            <w:vAlign w:val="center"/>
          </w:tcPr>
          <w:p>
            <w:pPr>
              <w:spacing w:line="360" w:lineRule="exact"/>
              <w:jc w:val="center"/>
              <w:rPr>
                <w:szCs w:val="21"/>
              </w:rPr>
            </w:pPr>
          </w:p>
        </w:tc>
        <w:tc>
          <w:tcPr>
            <w:tcW w:w="900" w:type="dxa"/>
            <w:vMerge w:val="continue"/>
            <w:vAlign w:val="center"/>
          </w:tcPr>
          <w:p>
            <w:pPr>
              <w:spacing w:line="360" w:lineRule="exact"/>
              <w:jc w:val="center"/>
              <w:rPr>
                <w:szCs w:val="21"/>
              </w:rPr>
            </w:pPr>
          </w:p>
        </w:tc>
        <w:tc>
          <w:tcPr>
            <w:tcW w:w="540" w:type="dxa"/>
            <w:vMerge w:val="continue"/>
            <w:vAlign w:val="center"/>
          </w:tcPr>
          <w:p>
            <w:pPr>
              <w:spacing w:line="360" w:lineRule="exact"/>
              <w:jc w:val="center"/>
              <w:rPr>
                <w:szCs w:val="21"/>
              </w:rPr>
            </w:pPr>
          </w:p>
        </w:tc>
        <w:tc>
          <w:tcPr>
            <w:tcW w:w="2520" w:type="dxa"/>
            <w:gridSpan w:val="5"/>
            <w:vAlign w:val="center"/>
          </w:tcPr>
          <w:p>
            <w:pPr>
              <w:spacing w:line="360" w:lineRule="exact"/>
              <w:jc w:val="center"/>
              <w:rPr>
                <w:szCs w:val="21"/>
              </w:rPr>
            </w:pPr>
            <w:r>
              <w:rPr>
                <w:rFonts w:hint="eastAsia"/>
                <w:szCs w:val="21"/>
              </w:rPr>
              <w:t>监理工程师（人）</w:t>
            </w:r>
          </w:p>
        </w:tc>
        <w:tc>
          <w:tcPr>
            <w:tcW w:w="720" w:type="dxa"/>
            <w:gridSpan w:val="2"/>
            <w:vAlign w:val="center"/>
          </w:tcPr>
          <w:p>
            <w:pPr>
              <w:spacing w:line="360" w:lineRule="exact"/>
              <w:jc w:val="center"/>
              <w:rPr>
                <w:szCs w:val="21"/>
              </w:rPr>
            </w:pPr>
          </w:p>
        </w:tc>
        <w:tc>
          <w:tcPr>
            <w:tcW w:w="2520" w:type="dxa"/>
            <w:gridSpan w:val="4"/>
            <w:vAlign w:val="center"/>
          </w:tcPr>
          <w:p>
            <w:pPr>
              <w:spacing w:line="360" w:lineRule="exact"/>
              <w:jc w:val="center"/>
              <w:rPr>
                <w:szCs w:val="21"/>
              </w:rPr>
            </w:pPr>
            <w:r>
              <w:rPr>
                <w:rFonts w:hint="eastAsia"/>
                <w:szCs w:val="21"/>
              </w:rPr>
              <w:t>中级职称人员（人）</w:t>
            </w:r>
          </w:p>
        </w:tc>
        <w:tc>
          <w:tcPr>
            <w:tcW w:w="1080" w:type="dxa"/>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188" w:type="dxa"/>
            <w:vMerge w:val="continue"/>
            <w:vAlign w:val="center"/>
          </w:tcPr>
          <w:p>
            <w:pPr>
              <w:spacing w:line="360" w:lineRule="exact"/>
              <w:jc w:val="center"/>
              <w:rPr>
                <w:szCs w:val="21"/>
              </w:rPr>
            </w:pPr>
          </w:p>
        </w:tc>
        <w:tc>
          <w:tcPr>
            <w:tcW w:w="900" w:type="dxa"/>
            <w:vMerge w:val="continue"/>
            <w:vAlign w:val="center"/>
          </w:tcPr>
          <w:p>
            <w:pPr>
              <w:spacing w:line="360" w:lineRule="exact"/>
              <w:jc w:val="center"/>
              <w:rPr>
                <w:szCs w:val="21"/>
              </w:rPr>
            </w:pPr>
          </w:p>
        </w:tc>
        <w:tc>
          <w:tcPr>
            <w:tcW w:w="540" w:type="dxa"/>
            <w:vMerge w:val="continue"/>
            <w:vAlign w:val="center"/>
          </w:tcPr>
          <w:p>
            <w:pPr>
              <w:spacing w:line="360" w:lineRule="exact"/>
              <w:jc w:val="center"/>
              <w:rPr>
                <w:szCs w:val="21"/>
              </w:rPr>
            </w:pPr>
          </w:p>
        </w:tc>
        <w:tc>
          <w:tcPr>
            <w:tcW w:w="2520" w:type="dxa"/>
            <w:gridSpan w:val="5"/>
            <w:vAlign w:val="center"/>
          </w:tcPr>
          <w:p>
            <w:pPr>
              <w:spacing w:line="360" w:lineRule="exact"/>
              <w:jc w:val="center"/>
              <w:rPr>
                <w:szCs w:val="21"/>
              </w:rPr>
            </w:pPr>
            <w:r>
              <w:rPr>
                <w:rFonts w:hint="eastAsia"/>
                <w:szCs w:val="21"/>
              </w:rPr>
              <w:t>其他（人）</w:t>
            </w:r>
          </w:p>
        </w:tc>
        <w:tc>
          <w:tcPr>
            <w:tcW w:w="720" w:type="dxa"/>
            <w:gridSpan w:val="2"/>
            <w:vAlign w:val="center"/>
          </w:tcPr>
          <w:p>
            <w:pPr>
              <w:spacing w:line="360" w:lineRule="exact"/>
              <w:jc w:val="center"/>
              <w:rPr>
                <w:szCs w:val="21"/>
              </w:rPr>
            </w:pPr>
          </w:p>
        </w:tc>
        <w:tc>
          <w:tcPr>
            <w:tcW w:w="2520" w:type="dxa"/>
            <w:gridSpan w:val="4"/>
            <w:vAlign w:val="center"/>
          </w:tcPr>
          <w:p>
            <w:pPr>
              <w:spacing w:line="360" w:lineRule="exact"/>
              <w:jc w:val="center"/>
              <w:rPr>
                <w:szCs w:val="21"/>
              </w:rPr>
            </w:pPr>
            <w:r>
              <w:rPr>
                <w:rFonts w:hint="eastAsia"/>
                <w:szCs w:val="21"/>
              </w:rPr>
              <w:t>初级职称人员（人）</w:t>
            </w:r>
          </w:p>
        </w:tc>
        <w:tc>
          <w:tcPr>
            <w:tcW w:w="1080" w:type="dxa"/>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2988" w:type="dxa"/>
            <w:gridSpan w:val="4"/>
            <w:vAlign w:val="center"/>
          </w:tcPr>
          <w:p>
            <w:pPr>
              <w:spacing w:line="360" w:lineRule="exact"/>
              <w:jc w:val="center"/>
              <w:rPr>
                <w:szCs w:val="21"/>
              </w:rPr>
            </w:pPr>
            <w:r>
              <w:rPr>
                <w:rFonts w:hint="eastAsia"/>
                <w:szCs w:val="21"/>
              </w:rPr>
              <w:t>近三年监理合同总价</w:t>
            </w:r>
          </w:p>
        </w:tc>
        <w:tc>
          <w:tcPr>
            <w:tcW w:w="6480" w:type="dxa"/>
            <w:gridSpan w:val="11"/>
            <w:vAlign w:val="center"/>
          </w:tcPr>
          <w:p>
            <w:pPr>
              <w:spacing w:line="360" w:lineRule="exact"/>
              <w:jc w:val="center"/>
              <w:rPr>
                <w:szCs w:val="21"/>
              </w:rPr>
            </w:pPr>
            <w:r>
              <w:rPr>
                <w:rFonts w:hint="eastAsia"/>
                <w:szCs w:val="21"/>
              </w:rPr>
              <w:t>万元人民币</w:t>
            </w:r>
          </w:p>
        </w:tc>
      </w:tr>
    </w:tbl>
    <w:p>
      <w:pPr>
        <w:pStyle w:val="6"/>
        <w:ind w:firstLine="210"/>
      </w:pPr>
    </w:p>
    <w:p>
      <w:pPr>
        <w:spacing w:beforeLines="100"/>
        <w:ind w:left="748" w:leftChars="356" w:firstLine="4940" w:firstLineChars="1900"/>
        <w:jc w:val="left"/>
        <w:rPr>
          <w:sz w:val="26"/>
          <w:szCs w:val="26"/>
          <w:u w:val="single"/>
        </w:rPr>
      </w:pPr>
      <w:r>
        <w:rPr>
          <w:rFonts w:hint="eastAsia"/>
          <w:sz w:val="26"/>
          <w:szCs w:val="26"/>
        </w:rPr>
        <w:t>投标人：</w:t>
      </w:r>
      <w:r>
        <w:rPr>
          <w:rFonts w:hint="eastAsia"/>
          <w:sz w:val="26"/>
          <w:szCs w:val="26"/>
          <w:u w:val="single"/>
        </w:rPr>
        <w:t>（全称）（盖章）</w:t>
      </w:r>
    </w:p>
    <w:p>
      <w:pPr>
        <w:ind w:left="4332" w:leftChars="2063" w:firstLine="520" w:firstLineChars="200"/>
        <w:jc w:val="left"/>
        <w:rPr>
          <w:sz w:val="26"/>
          <w:szCs w:val="26"/>
        </w:rPr>
      </w:pPr>
      <w:r>
        <w:rPr>
          <w:rFonts w:hint="eastAsia"/>
          <w:sz w:val="26"/>
          <w:szCs w:val="26"/>
          <w:u w:val="single"/>
        </w:rPr>
        <w:cr/>
      </w:r>
      <w:r>
        <w:rPr>
          <w:rFonts w:hint="eastAsia"/>
          <w:sz w:val="26"/>
          <w:szCs w:val="26"/>
        </w:rPr>
        <w:t>法定代表人（或授权代表人）：</w:t>
      </w:r>
      <w:r>
        <w:rPr>
          <w:rFonts w:hint="eastAsia"/>
          <w:sz w:val="26"/>
          <w:szCs w:val="26"/>
          <w:u w:val="single"/>
        </w:rPr>
        <w:t>（签名）</w:t>
      </w:r>
    </w:p>
    <w:p>
      <w:pPr>
        <w:jc w:val="right"/>
        <w:rPr>
          <w:sz w:val="26"/>
          <w:szCs w:val="26"/>
        </w:rPr>
      </w:pPr>
      <w:r>
        <w:rPr>
          <w:rFonts w:hint="eastAsia"/>
          <w:sz w:val="26"/>
          <w:szCs w:val="26"/>
        </w:rPr>
        <w:t>年月日</w:t>
      </w:r>
    </w:p>
    <w:p>
      <w:pPr>
        <w:pStyle w:val="6"/>
        <w:ind w:firstLine="210"/>
      </w:pPr>
    </w:p>
    <w:p>
      <w:pPr>
        <w:spacing w:line="360" w:lineRule="auto"/>
        <w:ind w:left="360"/>
        <w:rPr>
          <w:sz w:val="20"/>
        </w:rPr>
      </w:pPr>
      <w:r>
        <w:rPr>
          <w:sz w:val="20"/>
        </w:rPr>
        <w:pict>
          <v:rect id="_x0000_s1026" o:spid="_x0000_s1026" o:spt="1" style="position:absolute;left:0pt;margin-left:455.7pt;margin-top:-155.65pt;height:1pt;width:1pt;z-index:-251646976;mso-width-relative:page;mso-height-relative:page;" fillcolor="#000000" filled="t" stroked="f" coordsize="21600,21600" o:allowincell="f" o:gfxdata="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7dmDKtsAAAANAQAADwAAAAAAAAABACAAAAAi&#10;AAAAZHJzL2Rvd25yZXYueG1sUEsBAhQAFAAAAAgAh07iQFrrn5aVAQAAHQMAAA4AAAAAAAAAAQAg&#10;AAAAKgEAAGRycy9lMm9Eb2MueG1sUEsFBgAAAAAGAAYAWQEAADEFAAAAAA==&#10;">
            <v:path/>
            <v:fill on="t" focussize="0,0"/>
            <v:stroke on="f"/>
            <v:imagedata o:title=""/>
            <o:lock v:ext="edit"/>
          </v:rect>
        </w:pict>
      </w:r>
      <w:r>
        <w:rPr>
          <w:sz w:val="20"/>
        </w:rPr>
        <w:pict>
          <v:rect id="_x0000_s1027" o:spid="_x0000_s1027" o:spt="1" style="position:absolute;left:0pt;margin-left:455.7pt;margin-top:-0.7pt;height:0.95pt;width:1pt;z-index:-251645952;mso-width-relative:page;mso-height-relative:page;" fillcolor="#000000" filled="t" stroked="f" coordsize="21600,21600" o:allowincell="f" o:gfxdata="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piXEo1gAAAAcBAAAPAAAAAAAAAAEAIAAAACIAAABk&#10;cnMvZG93bnJldi54bWxQSwECFAAUAAAACACHTuJABcb8sJYBAAAdAwAADgAAAAAAAAABACAAAAAl&#10;AQAAZHJzL2Uyb0RvYy54bWxQSwUGAAAAAAYABgBZAQAALQUAAAAA&#10;">
            <v:path/>
            <v:fill on="t" focussize="0,0"/>
            <v:stroke on="f"/>
            <v:imagedata o:title=""/>
            <o:lock v:ext="edit"/>
          </v:rect>
        </w:pict>
      </w:r>
      <w:r>
        <w:rPr>
          <w:rFonts w:ascii="宋体" w:hAnsi="宋体" w:cs="宋体"/>
          <w:szCs w:val="21"/>
        </w:rPr>
        <w:t>注：投标人应根据投标人须知第</w:t>
      </w:r>
      <w:r>
        <w:rPr>
          <w:rFonts w:eastAsia="Times New Roman"/>
          <w:szCs w:val="21"/>
        </w:rPr>
        <w:t xml:space="preserve"> 3.5.1 </w:t>
      </w:r>
      <w:r>
        <w:rPr>
          <w:rFonts w:ascii="宋体" w:hAnsi="宋体" w:cs="宋体"/>
          <w:szCs w:val="21"/>
        </w:rPr>
        <w:t>项的要求在本表后附相关证明材料。</w:t>
      </w:r>
    </w:p>
    <w:p>
      <w:pPr>
        <w:spacing w:line="360" w:lineRule="auto"/>
        <w:rPr>
          <w:sz w:val="20"/>
        </w:rPr>
      </w:pPr>
    </w:p>
    <w:p>
      <w:pPr>
        <w:spacing w:line="360" w:lineRule="auto"/>
        <w:ind w:left="500"/>
        <w:jc w:val="center"/>
        <w:rPr>
          <w:rFonts w:ascii="黑体" w:hAnsi="黑体" w:eastAsia="黑体" w:cs="黑体"/>
          <w:sz w:val="28"/>
          <w:szCs w:val="28"/>
        </w:rPr>
      </w:pPr>
      <w:bookmarkStart w:id="110" w:name="page87"/>
      <w:bookmarkEnd w:id="110"/>
    </w:p>
    <w:p>
      <w:pPr>
        <w:pStyle w:val="6"/>
        <w:ind w:firstLine="210"/>
      </w:pPr>
    </w:p>
    <w:p>
      <w:pPr>
        <w:pStyle w:val="6"/>
        <w:ind w:firstLine="210"/>
      </w:pPr>
    </w:p>
    <w:p>
      <w:pPr>
        <w:pStyle w:val="6"/>
        <w:ind w:firstLine="210"/>
      </w:pPr>
    </w:p>
    <w:p>
      <w:pPr>
        <w:pStyle w:val="6"/>
        <w:ind w:firstLine="210"/>
      </w:pPr>
    </w:p>
    <w:p>
      <w:pPr>
        <w:pStyle w:val="6"/>
        <w:ind w:firstLine="210"/>
      </w:pPr>
    </w:p>
    <w:p>
      <w:pPr>
        <w:pStyle w:val="6"/>
        <w:ind w:firstLine="210"/>
      </w:pPr>
    </w:p>
    <w:p>
      <w:pPr>
        <w:pStyle w:val="6"/>
        <w:ind w:firstLine="210"/>
      </w:pPr>
    </w:p>
    <w:p>
      <w:pPr>
        <w:pStyle w:val="6"/>
        <w:ind w:firstLine="210"/>
      </w:pPr>
    </w:p>
    <w:p>
      <w:pPr>
        <w:pStyle w:val="19"/>
        <w:ind w:firstLine="680"/>
      </w:pPr>
    </w:p>
    <w:p>
      <w:pPr>
        <w:spacing w:line="360" w:lineRule="auto"/>
        <w:ind w:left="500"/>
        <w:jc w:val="center"/>
        <w:rPr>
          <w:sz w:val="20"/>
        </w:rPr>
      </w:pPr>
      <w:r>
        <w:rPr>
          <w:rFonts w:ascii="黑体" w:hAnsi="黑体" w:eastAsia="黑体" w:cs="黑体"/>
          <w:sz w:val="28"/>
          <w:szCs w:val="28"/>
        </w:rPr>
        <w:t>（二）近年财务状况表</w:t>
      </w:r>
    </w:p>
    <w:p>
      <w:pPr>
        <w:spacing w:line="360" w:lineRule="auto"/>
        <w:rPr>
          <w:rFonts w:ascii="宋体" w:hAnsi="宋体" w:cs="宋体"/>
          <w:sz w:val="28"/>
          <w:szCs w:val="28"/>
        </w:rPr>
      </w:pPr>
      <w:r>
        <w:rPr>
          <w:rFonts w:ascii="宋体" w:hAnsi="宋体" w:cs="宋体"/>
          <w:sz w:val="28"/>
          <w:szCs w:val="28"/>
        </w:rPr>
        <w:t>投标人应根据投标人须知第 3.5.2 项的要求在本表后附相关证明材料。</w:t>
      </w: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ind w:left="500"/>
        <w:jc w:val="center"/>
        <w:rPr>
          <w:rFonts w:ascii="黑体" w:hAnsi="黑体" w:eastAsia="黑体" w:cs="黑体"/>
          <w:sz w:val="28"/>
          <w:szCs w:val="28"/>
        </w:rPr>
      </w:pPr>
      <w:bookmarkStart w:id="111" w:name="page88"/>
      <w:bookmarkEnd w:id="111"/>
    </w:p>
    <w:p>
      <w:pPr>
        <w:spacing w:line="360" w:lineRule="auto"/>
        <w:ind w:left="500"/>
        <w:jc w:val="center"/>
        <w:rPr>
          <w:rFonts w:ascii="黑体" w:hAnsi="黑体" w:eastAsia="黑体" w:cs="黑体"/>
          <w:sz w:val="28"/>
          <w:szCs w:val="28"/>
        </w:rPr>
      </w:pPr>
    </w:p>
    <w:p>
      <w:pPr>
        <w:spacing w:line="360" w:lineRule="auto"/>
        <w:ind w:left="500"/>
        <w:jc w:val="center"/>
        <w:rPr>
          <w:rFonts w:ascii="黑体" w:hAnsi="黑体" w:eastAsia="黑体" w:cs="黑体"/>
          <w:sz w:val="28"/>
          <w:szCs w:val="28"/>
        </w:rPr>
      </w:pPr>
    </w:p>
    <w:p>
      <w:pPr>
        <w:spacing w:line="360" w:lineRule="auto"/>
        <w:ind w:left="500"/>
        <w:jc w:val="center"/>
        <w:rPr>
          <w:sz w:val="20"/>
        </w:rPr>
      </w:pPr>
      <w:r>
        <w:rPr>
          <w:rFonts w:ascii="黑体" w:hAnsi="黑体" w:eastAsia="黑体" w:cs="黑体"/>
          <w:sz w:val="28"/>
          <w:szCs w:val="28"/>
        </w:rPr>
        <w:t>（三）近年完成的类似项目情况表</w:t>
      </w:r>
    </w:p>
    <w:tbl>
      <w:tblPr>
        <w:tblStyle w:val="16"/>
        <w:tblW w:w="87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505" w:type="dxa"/>
            <w:vAlign w:val="center"/>
          </w:tcPr>
          <w:p>
            <w:pPr>
              <w:spacing w:line="520" w:lineRule="exact"/>
              <w:jc w:val="center"/>
              <w:rPr>
                <w:sz w:val="24"/>
              </w:rPr>
            </w:pPr>
            <w:r>
              <w:rPr>
                <w:rFonts w:hint="eastAsia"/>
                <w:sz w:val="24"/>
              </w:rPr>
              <w:t>项目名称</w:t>
            </w:r>
          </w:p>
        </w:tc>
        <w:tc>
          <w:tcPr>
            <w:tcW w:w="6253" w:type="dxa"/>
            <w:vAlign w:val="center"/>
          </w:tcPr>
          <w:p>
            <w:pPr>
              <w:spacing w:line="5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2505" w:type="dxa"/>
            <w:vAlign w:val="center"/>
          </w:tcPr>
          <w:p>
            <w:pPr>
              <w:spacing w:line="520" w:lineRule="exact"/>
              <w:jc w:val="center"/>
              <w:rPr>
                <w:sz w:val="24"/>
              </w:rPr>
            </w:pPr>
            <w:r>
              <w:rPr>
                <w:rFonts w:hint="eastAsia"/>
                <w:sz w:val="24"/>
              </w:rPr>
              <w:t>项目所在地</w:t>
            </w:r>
          </w:p>
        </w:tc>
        <w:tc>
          <w:tcPr>
            <w:tcW w:w="6253" w:type="dxa"/>
            <w:vAlign w:val="center"/>
          </w:tcPr>
          <w:p>
            <w:pPr>
              <w:spacing w:line="5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2505" w:type="dxa"/>
            <w:vAlign w:val="center"/>
          </w:tcPr>
          <w:p>
            <w:pPr>
              <w:spacing w:line="520" w:lineRule="exact"/>
              <w:jc w:val="center"/>
              <w:rPr>
                <w:sz w:val="24"/>
              </w:rPr>
            </w:pPr>
            <w:r>
              <w:rPr>
                <w:rFonts w:hint="eastAsia"/>
                <w:sz w:val="24"/>
              </w:rPr>
              <w:t>发包人名称</w:t>
            </w:r>
          </w:p>
        </w:tc>
        <w:tc>
          <w:tcPr>
            <w:tcW w:w="6253" w:type="dxa"/>
            <w:vAlign w:val="center"/>
          </w:tcPr>
          <w:p>
            <w:pPr>
              <w:spacing w:line="5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2505" w:type="dxa"/>
            <w:vAlign w:val="center"/>
          </w:tcPr>
          <w:p>
            <w:pPr>
              <w:spacing w:line="520" w:lineRule="exact"/>
              <w:jc w:val="center"/>
              <w:rPr>
                <w:sz w:val="24"/>
              </w:rPr>
            </w:pPr>
            <w:r>
              <w:rPr>
                <w:rFonts w:hint="eastAsia"/>
                <w:sz w:val="24"/>
              </w:rPr>
              <w:t>发包人地址</w:t>
            </w:r>
          </w:p>
        </w:tc>
        <w:tc>
          <w:tcPr>
            <w:tcW w:w="6253" w:type="dxa"/>
            <w:vAlign w:val="center"/>
          </w:tcPr>
          <w:p>
            <w:pPr>
              <w:spacing w:line="5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2505" w:type="dxa"/>
            <w:vAlign w:val="center"/>
          </w:tcPr>
          <w:p>
            <w:pPr>
              <w:spacing w:line="520" w:lineRule="exact"/>
              <w:jc w:val="center"/>
              <w:rPr>
                <w:sz w:val="24"/>
              </w:rPr>
            </w:pPr>
            <w:r>
              <w:rPr>
                <w:rFonts w:hint="eastAsia"/>
                <w:sz w:val="24"/>
              </w:rPr>
              <w:t>发包人联系人及电话</w:t>
            </w:r>
          </w:p>
        </w:tc>
        <w:tc>
          <w:tcPr>
            <w:tcW w:w="6253" w:type="dxa"/>
            <w:vAlign w:val="center"/>
          </w:tcPr>
          <w:p>
            <w:pPr>
              <w:spacing w:line="5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505" w:type="dxa"/>
            <w:vAlign w:val="center"/>
          </w:tcPr>
          <w:p>
            <w:pPr>
              <w:spacing w:line="520" w:lineRule="exact"/>
              <w:jc w:val="center"/>
              <w:rPr>
                <w:sz w:val="24"/>
              </w:rPr>
            </w:pPr>
            <w:r>
              <w:rPr>
                <w:rFonts w:hint="eastAsia"/>
                <w:sz w:val="24"/>
              </w:rPr>
              <w:t>合同价格</w:t>
            </w:r>
          </w:p>
        </w:tc>
        <w:tc>
          <w:tcPr>
            <w:tcW w:w="6253" w:type="dxa"/>
            <w:vAlign w:val="center"/>
          </w:tcPr>
          <w:p>
            <w:pPr>
              <w:spacing w:line="5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505" w:type="dxa"/>
            <w:vAlign w:val="center"/>
          </w:tcPr>
          <w:p>
            <w:pPr>
              <w:spacing w:line="520" w:lineRule="exact"/>
              <w:jc w:val="center"/>
              <w:rPr>
                <w:sz w:val="24"/>
              </w:rPr>
            </w:pPr>
            <w:r>
              <w:rPr>
                <w:rFonts w:hint="eastAsia"/>
                <w:sz w:val="24"/>
              </w:rPr>
              <w:t>开工日期</w:t>
            </w:r>
          </w:p>
        </w:tc>
        <w:tc>
          <w:tcPr>
            <w:tcW w:w="6253" w:type="dxa"/>
            <w:vAlign w:val="center"/>
          </w:tcPr>
          <w:p>
            <w:pPr>
              <w:spacing w:line="5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2505" w:type="dxa"/>
            <w:vAlign w:val="center"/>
          </w:tcPr>
          <w:p>
            <w:pPr>
              <w:spacing w:line="520" w:lineRule="exact"/>
              <w:jc w:val="center"/>
              <w:rPr>
                <w:sz w:val="24"/>
              </w:rPr>
            </w:pPr>
            <w:r>
              <w:rPr>
                <w:rFonts w:hint="eastAsia"/>
                <w:sz w:val="24"/>
              </w:rPr>
              <w:t>竣工日期</w:t>
            </w:r>
          </w:p>
        </w:tc>
        <w:tc>
          <w:tcPr>
            <w:tcW w:w="6253" w:type="dxa"/>
            <w:vAlign w:val="center"/>
          </w:tcPr>
          <w:p>
            <w:pPr>
              <w:spacing w:line="5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2505" w:type="dxa"/>
            <w:vAlign w:val="center"/>
          </w:tcPr>
          <w:p>
            <w:pPr>
              <w:spacing w:line="520" w:lineRule="exact"/>
              <w:jc w:val="center"/>
              <w:rPr>
                <w:sz w:val="24"/>
              </w:rPr>
            </w:pPr>
            <w:r>
              <w:rPr>
                <w:rFonts w:hint="eastAsia"/>
                <w:sz w:val="24"/>
              </w:rPr>
              <w:t>承担的工作</w:t>
            </w:r>
          </w:p>
        </w:tc>
        <w:tc>
          <w:tcPr>
            <w:tcW w:w="6253" w:type="dxa"/>
            <w:vAlign w:val="center"/>
          </w:tcPr>
          <w:p>
            <w:pPr>
              <w:spacing w:line="5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05" w:type="dxa"/>
            <w:vAlign w:val="center"/>
          </w:tcPr>
          <w:p>
            <w:pPr>
              <w:spacing w:line="520" w:lineRule="exact"/>
              <w:jc w:val="center"/>
              <w:rPr>
                <w:sz w:val="24"/>
              </w:rPr>
            </w:pPr>
            <w:r>
              <w:rPr>
                <w:rFonts w:hint="eastAsia"/>
                <w:sz w:val="24"/>
              </w:rPr>
              <w:t>工程质量</w:t>
            </w:r>
          </w:p>
        </w:tc>
        <w:tc>
          <w:tcPr>
            <w:tcW w:w="6253" w:type="dxa"/>
            <w:vAlign w:val="center"/>
          </w:tcPr>
          <w:p>
            <w:pPr>
              <w:spacing w:line="5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2505" w:type="dxa"/>
            <w:vAlign w:val="center"/>
          </w:tcPr>
          <w:p>
            <w:pPr>
              <w:spacing w:line="520" w:lineRule="exact"/>
              <w:jc w:val="center"/>
              <w:rPr>
                <w:sz w:val="24"/>
              </w:rPr>
            </w:pPr>
            <w:r>
              <w:rPr>
                <w:rFonts w:hint="eastAsia"/>
                <w:sz w:val="24"/>
              </w:rPr>
              <w:t>项目总监</w:t>
            </w:r>
          </w:p>
        </w:tc>
        <w:tc>
          <w:tcPr>
            <w:tcW w:w="6253" w:type="dxa"/>
            <w:vAlign w:val="center"/>
          </w:tcPr>
          <w:p>
            <w:pPr>
              <w:spacing w:line="5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505" w:type="dxa"/>
            <w:vAlign w:val="center"/>
          </w:tcPr>
          <w:p>
            <w:pPr>
              <w:spacing w:line="520" w:lineRule="exact"/>
              <w:jc w:val="center"/>
              <w:rPr>
                <w:sz w:val="24"/>
              </w:rPr>
            </w:pPr>
            <w:r>
              <w:rPr>
                <w:rFonts w:hint="eastAsia"/>
                <w:sz w:val="24"/>
              </w:rPr>
              <w:t>技术负责人</w:t>
            </w:r>
          </w:p>
        </w:tc>
        <w:tc>
          <w:tcPr>
            <w:tcW w:w="6253" w:type="dxa"/>
            <w:vAlign w:val="center"/>
          </w:tcPr>
          <w:p>
            <w:pPr>
              <w:spacing w:line="5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505" w:type="dxa"/>
            <w:vAlign w:val="center"/>
          </w:tcPr>
          <w:p>
            <w:pPr>
              <w:spacing w:line="520" w:lineRule="exact"/>
              <w:jc w:val="center"/>
              <w:rPr>
                <w:sz w:val="24"/>
              </w:rPr>
            </w:pPr>
            <w:r>
              <w:rPr>
                <w:rFonts w:hint="eastAsia"/>
                <w:sz w:val="24"/>
              </w:rPr>
              <w:t>总监理工程师及电话</w:t>
            </w:r>
          </w:p>
        </w:tc>
        <w:tc>
          <w:tcPr>
            <w:tcW w:w="6253" w:type="dxa"/>
            <w:vAlign w:val="center"/>
          </w:tcPr>
          <w:p>
            <w:pPr>
              <w:spacing w:line="5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505" w:type="dxa"/>
            <w:vAlign w:val="center"/>
          </w:tcPr>
          <w:p>
            <w:pPr>
              <w:spacing w:line="520" w:lineRule="exact"/>
              <w:jc w:val="center"/>
              <w:rPr>
                <w:sz w:val="24"/>
              </w:rPr>
            </w:pPr>
            <w:r>
              <w:rPr>
                <w:rFonts w:hint="eastAsia"/>
                <w:sz w:val="24"/>
              </w:rPr>
              <w:t>项目描述</w:t>
            </w:r>
          </w:p>
        </w:tc>
        <w:tc>
          <w:tcPr>
            <w:tcW w:w="6253" w:type="dxa"/>
            <w:vAlign w:val="center"/>
          </w:tcPr>
          <w:p>
            <w:pPr>
              <w:spacing w:line="520" w:lineRule="exact"/>
              <w:jc w:val="center"/>
              <w:rPr>
                <w:sz w:val="24"/>
              </w:rPr>
            </w:pPr>
          </w:p>
          <w:p>
            <w:pPr>
              <w:spacing w:line="520" w:lineRule="exact"/>
              <w:jc w:val="center"/>
              <w:rPr>
                <w:sz w:val="24"/>
              </w:rPr>
            </w:pPr>
          </w:p>
          <w:p>
            <w:pPr>
              <w:spacing w:line="520" w:lineRule="exact"/>
              <w:jc w:val="center"/>
              <w:rPr>
                <w:sz w:val="24"/>
              </w:rPr>
            </w:pPr>
          </w:p>
          <w:p>
            <w:pPr>
              <w:spacing w:line="520" w:lineRule="exact"/>
              <w:jc w:val="center"/>
              <w:rPr>
                <w:sz w:val="24"/>
              </w:rPr>
            </w:pPr>
          </w:p>
          <w:p>
            <w:pPr>
              <w:spacing w:line="5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505" w:type="dxa"/>
            <w:vAlign w:val="center"/>
          </w:tcPr>
          <w:p>
            <w:pPr>
              <w:spacing w:line="520" w:lineRule="exact"/>
              <w:jc w:val="center"/>
              <w:rPr>
                <w:sz w:val="24"/>
              </w:rPr>
            </w:pPr>
            <w:r>
              <w:rPr>
                <w:rFonts w:hint="eastAsia"/>
                <w:sz w:val="24"/>
              </w:rPr>
              <w:t>备注</w:t>
            </w:r>
          </w:p>
        </w:tc>
        <w:tc>
          <w:tcPr>
            <w:tcW w:w="6253" w:type="dxa"/>
            <w:vAlign w:val="center"/>
          </w:tcPr>
          <w:p>
            <w:pPr>
              <w:spacing w:line="520" w:lineRule="exact"/>
              <w:jc w:val="center"/>
              <w:rPr>
                <w:sz w:val="24"/>
              </w:rPr>
            </w:pPr>
          </w:p>
        </w:tc>
      </w:tr>
    </w:tbl>
    <w:p>
      <w:pPr>
        <w:spacing w:line="360" w:lineRule="auto"/>
        <w:rPr>
          <w:sz w:val="20"/>
        </w:rPr>
      </w:pPr>
    </w:p>
    <w:p>
      <w:pPr>
        <w:spacing w:line="360" w:lineRule="auto"/>
        <w:ind w:left="360"/>
        <w:rPr>
          <w:rFonts w:ascii="宋体" w:hAnsi="宋体" w:cs="宋体"/>
          <w:sz w:val="24"/>
        </w:rPr>
      </w:pPr>
      <w:r>
        <w:rPr>
          <w:rFonts w:hint="eastAsia" w:ascii="宋体" w:hAnsi="宋体" w:cs="宋体"/>
          <w:sz w:val="24"/>
        </w:rPr>
        <w:t>注：投标人应根据投标人须知第 3.5.3 项的要求在本表后附相关证明材料。</w:t>
      </w:r>
    </w:p>
    <w:p>
      <w:pPr>
        <w:spacing w:line="360" w:lineRule="auto"/>
        <w:jc w:val="center"/>
        <w:sectPr>
          <w:pgSz w:w="11850" w:h="16783"/>
          <w:pgMar w:top="1440" w:right="1440" w:bottom="1440" w:left="1440" w:header="851" w:footer="992" w:gutter="0"/>
          <w:cols w:space="720" w:num="1"/>
          <w:docGrid w:linePitch="286" w:charSpace="0"/>
        </w:sectPr>
      </w:pPr>
    </w:p>
    <w:p>
      <w:pPr>
        <w:spacing w:line="360" w:lineRule="auto"/>
        <w:ind w:left="500"/>
        <w:jc w:val="center"/>
        <w:rPr>
          <w:sz w:val="20"/>
        </w:rPr>
      </w:pPr>
      <w:bookmarkStart w:id="112" w:name="page89"/>
      <w:bookmarkEnd w:id="112"/>
      <w:r>
        <w:rPr>
          <w:rFonts w:ascii="黑体" w:hAnsi="黑体" w:eastAsia="黑体" w:cs="黑体"/>
          <w:sz w:val="28"/>
          <w:szCs w:val="28"/>
        </w:rPr>
        <w:t>（四）正在监理和新承接的项目情况表</w:t>
      </w:r>
    </w:p>
    <w:tbl>
      <w:tblPr>
        <w:tblStyle w:val="16"/>
        <w:tblW w:w="87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505" w:type="dxa"/>
            <w:vAlign w:val="center"/>
          </w:tcPr>
          <w:p>
            <w:pPr>
              <w:jc w:val="center"/>
              <w:rPr>
                <w:sz w:val="24"/>
              </w:rPr>
            </w:pPr>
            <w:r>
              <w:rPr>
                <w:rFonts w:hint="eastAsia"/>
                <w:sz w:val="24"/>
              </w:rPr>
              <w:t>项目名称</w:t>
            </w:r>
          </w:p>
        </w:tc>
        <w:tc>
          <w:tcPr>
            <w:tcW w:w="625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2505" w:type="dxa"/>
            <w:vAlign w:val="center"/>
          </w:tcPr>
          <w:p>
            <w:pPr>
              <w:jc w:val="center"/>
              <w:rPr>
                <w:sz w:val="24"/>
              </w:rPr>
            </w:pPr>
            <w:r>
              <w:rPr>
                <w:rFonts w:hint="eastAsia"/>
                <w:sz w:val="24"/>
              </w:rPr>
              <w:t>项目所在地</w:t>
            </w:r>
          </w:p>
        </w:tc>
        <w:tc>
          <w:tcPr>
            <w:tcW w:w="625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2505" w:type="dxa"/>
            <w:vAlign w:val="center"/>
          </w:tcPr>
          <w:p>
            <w:pPr>
              <w:jc w:val="center"/>
              <w:rPr>
                <w:sz w:val="24"/>
              </w:rPr>
            </w:pPr>
            <w:r>
              <w:rPr>
                <w:rFonts w:hint="eastAsia"/>
                <w:sz w:val="24"/>
              </w:rPr>
              <w:t>发包人名称</w:t>
            </w:r>
          </w:p>
        </w:tc>
        <w:tc>
          <w:tcPr>
            <w:tcW w:w="625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2505" w:type="dxa"/>
            <w:vAlign w:val="center"/>
          </w:tcPr>
          <w:p>
            <w:pPr>
              <w:jc w:val="center"/>
              <w:rPr>
                <w:sz w:val="24"/>
              </w:rPr>
            </w:pPr>
            <w:r>
              <w:rPr>
                <w:rFonts w:hint="eastAsia"/>
                <w:sz w:val="24"/>
              </w:rPr>
              <w:t>发包人地址</w:t>
            </w:r>
          </w:p>
        </w:tc>
        <w:tc>
          <w:tcPr>
            <w:tcW w:w="625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2505" w:type="dxa"/>
            <w:vAlign w:val="center"/>
          </w:tcPr>
          <w:p>
            <w:pPr>
              <w:jc w:val="center"/>
              <w:rPr>
                <w:sz w:val="24"/>
              </w:rPr>
            </w:pPr>
            <w:r>
              <w:rPr>
                <w:rFonts w:hint="eastAsia"/>
                <w:sz w:val="24"/>
              </w:rPr>
              <w:t>发包人联系人及电话</w:t>
            </w:r>
          </w:p>
        </w:tc>
        <w:tc>
          <w:tcPr>
            <w:tcW w:w="625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505" w:type="dxa"/>
            <w:vAlign w:val="center"/>
          </w:tcPr>
          <w:p>
            <w:pPr>
              <w:jc w:val="center"/>
              <w:rPr>
                <w:sz w:val="24"/>
              </w:rPr>
            </w:pPr>
            <w:r>
              <w:rPr>
                <w:rFonts w:hint="eastAsia"/>
                <w:sz w:val="24"/>
              </w:rPr>
              <w:t>合同价格</w:t>
            </w:r>
          </w:p>
        </w:tc>
        <w:tc>
          <w:tcPr>
            <w:tcW w:w="625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505" w:type="dxa"/>
            <w:vAlign w:val="center"/>
          </w:tcPr>
          <w:p>
            <w:pPr>
              <w:jc w:val="center"/>
              <w:rPr>
                <w:sz w:val="24"/>
              </w:rPr>
            </w:pPr>
            <w:r>
              <w:rPr>
                <w:rFonts w:hint="eastAsia"/>
                <w:sz w:val="24"/>
              </w:rPr>
              <w:t>开工日期</w:t>
            </w:r>
          </w:p>
        </w:tc>
        <w:tc>
          <w:tcPr>
            <w:tcW w:w="625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2505" w:type="dxa"/>
            <w:vAlign w:val="center"/>
          </w:tcPr>
          <w:p>
            <w:pPr>
              <w:jc w:val="center"/>
              <w:rPr>
                <w:sz w:val="24"/>
              </w:rPr>
            </w:pPr>
            <w:r>
              <w:rPr>
                <w:rFonts w:hint="eastAsia"/>
                <w:sz w:val="24"/>
              </w:rPr>
              <w:t>竣工日期</w:t>
            </w:r>
          </w:p>
        </w:tc>
        <w:tc>
          <w:tcPr>
            <w:tcW w:w="625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2505" w:type="dxa"/>
            <w:vAlign w:val="center"/>
          </w:tcPr>
          <w:p>
            <w:pPr>
              <w:jc w:val="center"/>
              <w:rPr>
                <w:sz w:val="24"/>
              </w:rPr>
            </w:pPr>
            <w:r>
              <w:rPr>
                <w:rFonts w:hint="eastAsia"/>
                <w:sz w:val="24"/>
              </w:rPr>
              <w:t>承担的工作</w:t>
            </w:r>
          </w:p>
        </w:tc>
        <w:tc>
          <w:tcPr>
            <w:tcW w:w="625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05" w:type="dxa"/>
            <w:vAlign w:val="center"/>
          </w:tcPr>
          <w:p>
            <w:pPr>
              <w:jc w:val="center"/>
              <w:rPr>
                <w:sz w:val="24"/>
              </w:rPr>
            </w:pPr>
            <w:r>
              <w:rPr>
                <w:rFonts w:hint="eastAsia"/>
                <w:sz w:val="24"/>
              </w:rPr>
              <w:t>工程质量</w:t>
            </w:r>
          </w:p>
        </w:tc>
        <w:tc>
          <w:tcPr>
            <w:tcW w:w="625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2505" w:type="dxa"/>
            <w:vAlign w:val="center"/>
          </w:tcPr>
          <w:p>
            <w:pPr>
              <w:jc w:val="center"/>
              <w:rPr>
                <w:sz w:val="24"/>
              </w:rPr>
            </w:pPr>
            <w:r>
              <w:rPr>
                <w:rFonts w:hint="eastAsia"/>
                <w:sz w:val="24"/>
              </w:rPr>
              <w:t>项目总监</w:t>
            </w:r>
          </w:p>
        </w:tc>
        <w:tc>
          <w:tcPr>
            <w:tcW w:w="625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505" w:type="dxa"/>
            <w:vAlign w:val="center"/>
          </w:tcPr>
          <w:p>
            <w:pPr>
              <w:jc w:val="center"/>
              <w:rPr>
                <w:sz w:val="24"/>
              </w:rPr>
            </w:pPr>
            <w:r>
              <w:rPr>
                <w:rFonts w:hint="eastAsia"/>
                <w:sz w:val="24"/>
              </w:rPr>
              <w:t>技术负责人</w:t>
            </w:r>
          </w:p>
        </w:tc>
        <w:tc>
          <w:tcPr>
            <w:tcW w:w="625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505" w:type="dxa"/>
            <w:vAlign w:val="center"/>
          </w:tcPr>
          <w:p>
            <w:pPr>
              <w:jc w:val="center"/>
              <w:rPr>
                <w:sz w:val="24"/>
              </w:rPr>
            </w:pPr>
            <w:r>
              <w:rPr>
                <w:rFonts w:hint="eastAsia"/>
                <w:sz w:val="24"/>
              </w:rPr>
              <w:t>总监理工程师及电话</w:t>
            </w:r>
          </w:p>
        </w:tc>
        <w:tc>
          <w:tcPr>
            <w:tcW w:w="625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505" w:type="dxa"/>
            <w:vAlign w:val="center"/>
          </w:tcPr>
          <w:p>
            <w:pPr>
              <w:jc w:val="center"/>
              <w:rPr>
                <w:sz w:val="24"/>
              </w:rPr>
            </w:pPr>
            <w:r>
              <w:rPr>
                <w:rFonts w:hint="eastAsia"/>
                <w:sz w:val="24"/>
              </w:rPr>
              <w:t>项目描述</w:t>
            </w:r>
          </w:p>
        </w:tc>
        <w:tc>
          <w:tcPr>
            <w:tcW w:w="6253" w:type="dxa"/>
            <w:vAlign w:val="center"/>
          </w:tcPr>
          <w:p>
            <w:pPr>
              <w:jc w:val="center"/>
              <w:rPr>
                <w:sz w:val="24"/>
              </w:rPr>
            </w:pPr>
          </w:p>
          <w:p>
            <w:pPr>
              <w:jc w:val="center"/>
              <w:rPr>
                <w:sz w:val="24"/>
              </w:rPr>
            </w:pPr>
          </w:p>
          <w:p>
            <w:pPr>
              <w:jc w:val="center"/>
              <w:rPr>
                <w:sz w:val="24"/>
              </w:rPr>
            </w:pPr>
          </w:p>
          <w:p>
            <w:pPr>
              <w:jc w:val="center"/>
              <w:rPr>
                <w:sz w:val="24"/>
              </w:rPr>
            </w:pPr>
          </w:p>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505" w:type="dxa"/>
            <w:vAlign w:val="center"/>
          </w:tcPr>
          <w:p>
            <w:pPr>
              <w:jc w:val="center"/>
              <w:rPr>
                <w:sz w:val="24"/>
              </w:rPr>
            </w:pPr>
            <w:r>
              <w:rPr>
                <w:rFonts w:hint="eastAsia"/>
                <w:sz w:val="24"/>
              </w:rPr>
              <w:t>备注</w:t>
            </w:r>
          </w:p>
        </w:tc>
        <w:tc>
          <w:tcPr>
            <w:tcW w:w="6253" w:type="dxa"/>
            <w:vAlign w:val="center"/>
          </w:tcPr>
          <w:p>
            <w:pPr>
              <w:jc w:val="center"/>
              <w:rPr>
                <w:sz w:val="24"/>
              </w:rPr>
            </w:pPr>
          </w:p>
        </w:tc>
      </w:tr>
    </w:tbl>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sectPr>
          <w:pgSz w:w="11850" w:h="16783"/>
          <w:pgMar w:top="1440" w:right="1440" w:bottom="1440" w:left="1440" w:header="851" w:footer="992" w:gutter="0"/>
          <w:cols w:space="720" w:num="1"/>
          <w:docGrid w:linePitch="286" w:charSpace="0"/>
        </w:sectPr>
      </w:pPr>
    </w:p>
    <w:p>
      <w:pPr>
        <w:spacing w:line="360" w:lineRule="auto"/>
        <w:ind w:left="500"/>
        <w:jc w:val="center"/>
        <w:rPr>
          <w:sz w:val="20"/>
        </w:rPr>
      </w:pPr>
      <w:bookmarkStart w:id="113" w:name="page90"/>
      <w:bookmarkEnd w:id="113"/>
      <w:r>
        <w:rPr>
          <w:rFonts w:ascii="黑体" w:hAnsi="黑体" w:eastAsia="黑体" w:cs="黑体"/>
          <w:sz w:val="28"/>
          <w:szCs w:val="28"/>
        </w:rPr>
        <w:t>（五）近年发生的诉讼及仲裁情况</w:t>
      </w:r>
    </w:p>
    <w:p>
      <w:pPr>
        <w:tabs>
          <w:tab w:val="left" w:pos="4480"/>
          <w:tab w:val="left" w:pos="5240"/>
          <w:tab w:val="left" w:pos="7900"/>
        </w:tabs>
        <w:spacing w:line="360" w:lineRule="auto"/>
        <w:rPr>
          <w:rFonts w:ascii="宋体" w:hAnsi="宋体" w:cs="宋体"/>
          <w:sz w:val="28"/>
          <w:szCs w:val="28"/>
        </w:rPr>
      </w:pPr>
      <w:r>
        <w:rPr>
          <w:rFonts w:ascii="宋体" w:hAnsi="宋体" w:cs="宋体"/>
          <w:sz w:val="28"/>
          <w:szCs w:val="28"/>
        </w:rPr>
        <w:t>注：投标人应根据投标人须知第 3.5.</w:t>
      </w:r>
      <w:r>
        <w:rPr>
          <w:rFonts w:hint="eastAsia" w:ascii="宋体" w:hAnsi="宋体" w:cs="宋体"/>
          <w:sz w:val="28"/>
          <w:szCs w:val="28"/>
        </w:rPr>
        <w:t>4</w:t>
      </w:r>
      <w:r>
        <w:rPr>
          <w:rFonts w:ascii="宋体" w:hAnsi="宋体" w:cs="宋体"/>
          <w:sz w:val="28"/>
          <w:szCs w:val="28"/>
        </w:rPr>
        <w:t>项的要求附相关证明材料。</w:t>
      </w:r>
    </w:p>
    <w:p>
      <w:pPr>
        <w:tabs>
          <w:tab w:val="left" w:pos="4480"/>
          <w:tab w:val="left" w:pos="5240"/>
          <w:tab w:val="left" w:pos="7900"/>
        </w:tabs>
        <w:spacing w:line="360" w:lineRule="auto"/>
        <w:ind w:left="3940"/>
        <w:rPr>
          <w:rFonts w:ascii="宋体" w:hAnsi="宋体" w:cs="宋体"/>
          <w:szCs w:val="21"/>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rPr>
          <w:sz w:val="20"/>
        </w:rPr>
      </w:pPr>
    </w:p>
    <w:p>
      <w:pPr>
        <w:spacing w:line="360" w:lineRule="auto"/>
        <w:sectPr>
          <w:pgSz w:w="11850" w:h="16783"/>
          <w:pgMar w:top="1440" w:right="1440" w:bottom="1440" w:left="1440" w:header="851" w:footer="992" w:gutter="0"/>
          <w:cols w:space="720" w:num="1"/>
          <w:docGrid w:linePitch="286" w:charSpace="0"/>
        </w:sectPr>
      </w:pPr>
    </w:p>
    <w:p>
      <w:pPr>
        <w:spacing w:line="360" w:lineRule="auto"/>
        <w:ind w:left="360"/>
        <w:jc w:val="center"/>
        <w:rPr>
          <w:sz w:val="20"/>
        </w:rPr>
      </w:pPr>
      <w:bookmarkStart w:id="114" w:name="page91"/>
      <w:bookmarkEnd w:id="114"/>
      <w:r>
        <w:rPr>
          <w:rFonts w:ascii="黑体" w:hAnsi="黑体" w:eastAsia="黑体" w:cs="黑体"/>
          <w:sz w:val="28"/>
          <w:szCs w:val="28"/>
        </w:rPr>
        <w:t>（六）拟委任的主要人员汇总表</w:t>
      </w:r>
    </w:p>
    <w:tbl>
      <w:tblPr>
        <w:tblStyle w:val="16"/>
        <w:tblW w:w="9576" w:type="dxa"/>
        <w:tblInd w:w="0" w:type="dxa"/>
        <w:tblLayout w:type="fixed"/>
        <w:tblCellMar>
          <w:top w:w="0" w:type="dxa"/>
          <w:left w:w="108" w:type="dxa"/>
          <w:bottom w:w="0" w:type="dxa"/>
          <w:right w:w="108" w:type="dxa"/>
        </w:tblCellMar>
      </w:tblPr>
      <w:tblGrid>
        <w:gridCol w:w="1012"/>
        <w:gridCol w:w="1316"/>
        <w:gridCol w:w="1012"/>
        <w:gridCol w:w="1012"/>
        <w:gridCol w:w="849"/>
        <w:gridCol w:w="1743"/>
        <w:gridCol w:w="891"/>
        <w:gridCol w:w="891"/>
        <w:gridCol w:w="850"/>
      </w:tblGrid>
      <w:tr>
        <w:tblPrEx>
          <w:tblLayout w:type="fixed"/>
          <w:tblCellMar>
            <w:top w:w="0" w:type="dxa"/>
            <w:left w:w="108" w:type="dxa"/>
            <w:bottom w:w="0" w:type="dxa"/>
            <w:right w:w="108" w:type="dxa"/>
          </w:tblCellMar>
        </w:tblPrEx>
        <w:trPr>
          <w:trHeight w:val="270" w:hRule="atLeast"/>
        </w:trPr>
        <w:tc>
          <w:tcPr>
            <w:tcW w:w="10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131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本项目任职</w:t>
            </w:r>
          </w:p>
        </w:tc>
        <w:tc>
          <w:tcPr>
            <w:tcW w:w="10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姓名</w:t>
            </w:r>
          </w:p>
        </w:tc>
        <w:tc>
          <w:tcPr>
            <w:tcW w:w="10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职称</w:t>
            </w:r>
          </w:p>
        </w:tc>
        <w:tc>
          <w:tcPr>
            <w:tcW w:w="84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专业</w:t>
            </w:r>
          </w:p>
        </w:tc>
        <w:tc>
          <w:tcPr>
            <w:tcW w:w="3525"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执业或职业资格证明</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备注</w:t>
            </w:r>
          </w:p>
        </w:tc>
      </w:tr>
      <w:tr>
        <w:tblPrEx>
          <w:tblLayout w:type="fixed"/>
          <w:tblCellMar>
            <w:top w:w="0" w:type="dxa"/>
            <w:left w:w="108" w:type="dxa"/>
            <w:bottom w:w="0" w:type="dxa"/>
            <w:right w:w="108" w:type="dxa"/>
          </w:tblCellMar>
        </w:tblPrEx>
        <w:trPr>
          <w:trHeight w:val="270" w:hRule="atLeast"/>
        </w:trPr>
        <w:tc>
          <w:tcPr>
            <w:tcW w:w="10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3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74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证书名称</w:t>
            </w:r>
          </w:p>
        </w:tc>
        <w:tc>
          <w:tcPr>
            <w:tcW w:w="89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级别</w:t>
            </w:r>
          </w:p>
        </w:tc>
        <w:tc>
          <w:tcPr>
            <w:tcW w:w="89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证考</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70" w:hRule="atLeast"/>
        </w:trPr>
        <w:tc>
          <w:tcPr>
            <w:tcW w:w="101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1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1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1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49"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9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9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70" w:hRule="atLeast"/>
        </w:trPr>
        <w:tc>
          <w:tcPr>
            <w:tcW w:w="101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1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1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1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49"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9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9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70" w:hRule="atLeast"/>
        </w:trPr>
        <w:tc>
          <w:tcPr>
            <w:tcW w:w="101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1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1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1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49"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9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9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70" w:hRule="atLeast"/>
        </w:trPr>
        <w:tc>
          <w:tcPr>
            <w:tcW w:w="101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1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1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1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49"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9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9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70" w:hRule="atLeast"/>
        </w:trPr>
        <w:tc>
          <w:tcPr>
            <w:tcW w:w="101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1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1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1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49"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9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9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70" w:hRule="atLeast"/>
        </w:trPr>
        <w:tc>
          <w:tcPr>
            <w:tcW w:w="101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1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1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1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49"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9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9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70" w:hRule="atLeast"/>
        </w:trPr>
        <w:tc>
          <w:tcPr>
            <w:tcW w:w="101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1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1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1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49"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9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9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70" w:hRule="atLeast"/>
        </w:trPr>
        <w:tc>
          <w:tcPr>
            <w:tcW w:w="101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1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1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1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49"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9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9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70" w:hRule="atLeast"/>
        </w:trPr>
        <w:tc>
          <w:tcPr>
            <w:tcW w:w="101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1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1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1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49"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9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9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70" w:hRule="atLeast"/>
        </w:trPr>
        <w:tc>
          <w:tcPr>
            <w:tcW w:w="101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1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1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1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49"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9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9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70" w:hRule="atLeast"/>
        </w:trPr>
        <w:tc>
          <w:tcPr>
            <w:tcW w:w="101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1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1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1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49"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9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9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70" w:hRule="atLeast"/>
        </w:trPr>
        <w:tc>
          <w:tcPr>
            <w:tcW w:w="101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1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1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1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49"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9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9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70" w:hRule="atLeast"/>
        </w:trPr>
        <w:tc>
          <w:tcPr>
            <w:tcW w:w="101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1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1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1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49"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9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9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70" w:hRule="atLeast"/>
        </w:trPr>
        <w:tc>
          <w:tcPr>
            <w:tcW w:w="101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1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1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1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49"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9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9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70" w:hRule="atLeast"/>
        </w:trPr>
        <w:tc>
          <w:tcPr>
            <w:tcW w:w="101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1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1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1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49"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9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9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70" w:hRule="atLeast"/>
        </w:trPr>
        <w:tc>
          <w:tcPr>
            <w:tcW w:w="101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1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1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1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49"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9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9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70" w:hRule="atLeast"/>
        </w:trPr>
        <w:tc>
          <w:tcPr>
            <w:tcW w:w="101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1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1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1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49"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9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9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70" w:hRule="atLeast"/>
        </w:trPr>
        <w:tc>
          <w:tcPr>
            <w:tcW w:w="101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1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1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1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49"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9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9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70" w:hRule="atLeast"/>
        </w:trPr>
        <w:tc>
          <w:tcPr>
            <w:tcW w:w="101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1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1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1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49"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9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9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70" w:hRule="atLeast"/>
        </w:trPr>
        <w:tc>
          <w:tcPr>
            <w:tcW w:w="101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1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1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1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49"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9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9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70" w:hRule="atLeast"/>
        </w:trPr>
        <w:tc>
          <w:tcPr>
            <w:tcW w:w="101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1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1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1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49"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9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9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70" w:hRule="atLeast"/>
        </w:trPr>
        <w:tc>
          <w:tcPr>
            <w:tcW w:w="101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1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1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1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49"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9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9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70" w:hRule="atLeast"/>
        </w:trPr>
        <w:tc>
          <w:tcPr>
            <w:tcW w:w="101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1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1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1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49"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9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9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bl>
    <w:p>
      <w:pPr>
        <w:spacing w:line="360" w:lineRule="auto"/>
        <w:jc w:val="center"/>
        <w:sectPr>
          <w:pgSz w:w="11850" w:h="16783"/>
          <w:pgMar w:top="1440" w:right="1440" w:bottom="1440" w:left="1440" w:header="851" w:footer="992" w:gutter="0"/>
          <w:cols w:space="720" w:num="1"/>
          <w:docGrid w:linePitch="286" w:charSpace="0"/>
        </w:sectPr>
      </w:pPr>
    </w:p>
    <w:p>
      <w:pPr>
        <w:spacing w:line="360" w:lineRule="auto"/>
        <w:ind w:left="500"/>
        <w:jc w:val="center"/>
        <w:rPr>
          <w:rFonts w:ascii="黑体" w:hAnsi="黑体" w:eastAsia="黑体" w:cs="黑体"/>
          <w:sz w:val="28"/>
          <w:szCs w:val="28"/>
        </w:rPr>
      </w:pPr>
      <w:bookmarkStart w:id="115" w:name="page92"/>
      <w:bookmarkEnd w:id="115"/>
      <w:r>
        <w:rPr>
          <w:rFonts w:ascii="黑体" w:hAnsi="黑体" w:eastAsia="黑体" w:cs="黑体"/>
          <w:sz w:val="28"/>
          <w:szCs w:val="28"/>
        </w:rPr>
        <w:t>（七）主要人员简历表</w:t>
      </w:r>
    </w:p>
    <w:p>
      <w:pPr>
        <w:pStyle w:val="19"/>
        <w:ind w:firstLine="480"/>
      </w:pPr>
      <w:r>
        <w:rPr>
          <w:rFonts w:hint="eastAsia" w:hAnsi="宋体" w:cs="仿宋_GB2312"/>
          <w:sz w:val="24"/>
        </w:rPr>
        <w:t>“主要人员简历表”中的总监理师应附监理师证、身份证、职称证，管理过的项目业绩须附合同或中标通知书，其他主要人员应附执业证或上岗证。</w:t>
      </w:r>
    </w:p>
    <w:tbl>
      <w:tblPr>
        <w:tblStyle w:val="16"/>
        <w:tblW w:w="87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725"/>
        <w:gridCol w:w="725"/>
        <w:gridCol w:w="1452"/>
        <w:gridCol w:w="1450"/>
        <w:gridCol w:w="725"/>
        <w:gridCol w:w="998"/>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450" w:type="dxa"/>
            <w:vAlign w:val="center"/>
          </w:tcPr>
          <w:p>
            <w:pPr>
              <w:autoSpaceDE w:val="0"/>
              <w:autoSpaceDN w:val="0"/>
              <w:adjustRightInd w:val="0"/>
              <w:spacing w:line="420" w:lineRule="exact"/>
              <w:jc w:val="center"/>
              <w:rPr>
                <w:rFonts w:ascii="宋体" w:hAnsi="宋体" w:cs="仿宋_GB2312"/>
                <w:kern w:val="0"/>
                <w:sz w:val="24"/>
              </w:rPr>
            </w:pPr>
            <w:r>
              <w:rPr>
                <w:rFonts w:hint="eastAsia" w:ascii="宋体" w:hAnsi="宋体" w:cs="仿宋_GB2312"/>
                <w:kern w:val="0"/>
                <w:sz w:val="24"/>
              </w:rPr>
              <w:t>姓名</w:t>
            </w:r>
          </w:p>
        </w:tc>
        <w:tc>
          <w:tcPr>
            <w:tcW w:w="1450" w:type="dxa"/>
            <w:gridSpan w:val="2"/>
            <w:vAlign w:val="center"/>
          </w:tcPr>
          <w:p>
            <w:pPr>
              <w:autoSpaceDE w:val="0"/>
              <w:autoSpaceDN w:val="0"/>
              <w:adjustRightInd w:val="0"/>
              <w:spacing w:line="420" w:lineRule="exact"/>
              <w:jc w:val="center"/>
              <w:rPr>
                <w:rFonts w:ascii="宋体" w:hAnsi="宋体" w:cs="仿宋_GB2312"/>
                <w:kern w:val="0"/>
                <w:sz w:val="24"/>
              </w:rPr>
            </w:pPr>
          </w:p>
        </w:tc>
        <w:tc>
          <w:tcPr>
            <w:tcW w:w="1452" w:type="dxa"/>
            <w:vAlign w:val="center"/>
          </w:tcPr>
          <w:p>
            <w:pPr>
              <w:autoSpaceDE w:val="0"/>
              <w:autoSpaceDN w:val="0"/>
              <w:adjustRightInd w:val="0"/>
              <w:spacing w:line="420" w:lineRule="exact"/>
              <w:jc w:val="center"/>
              <w:rPr>
                <w:rFonts w:ascii="宋体" w:hAnsi="宋体" w:cs="仿宋_GB2312"/>
                <w:kern w:val="0"/>
                <w:sz w:val="24"/>
              </w:rPr>
            </w:pPr>
            <w:r>
              <w:rPr>
                <w:rFonts w:hint="eastAsia" w:ascii="宋体" w:hAnsi="宋体" w:cs="仿宋_GB2312"/>
                <w:kern w:val="0"/>
                <w:sz w:val="24"/>
              </w:rPr>
              <w:t>年龄</w:t>
            </w:r>
          </w:p>
        </w:tc>
        <w:tc>
          <w:tcPr>
            <w:tcW w:w="1450" w:type="dxa"/>
            <w:vAlign w:val="center"/>
          </w:tcPr>
          <w:p>
            <w:pPr>
              <w:autoSpaceDE w:val="0"/>
              <w:autoSpaceDN w:val="0"/>
              <w:adjustRightInd w:val="0"/>
              <w:spacing w:line="420" w:lineRule="exact"/>
              <w:jc w:val="center"/>
              <w:rPr>
                <w:rFonts w:ascii="宋体" w:hAnsi="宋体" w:cs="仿宋_GB2312"/>
                <w:kern w:val="0"/>
                <w:sz w:val="24"/>
              </w:rPr>
            </w:pPr>
          </w:p>
        </w:tc>
        <w:tc>
          <w:tcPr>
            <w:tcW w:w="1723" w:type="dxa"/>
            <w:gridSpan w:val="2"/>
            <w:vAlign w:val="center"/>
          </w:tcPr>
          <w:p>
            <w:pPr>
              <w:autoSpaceDE w:val="0"/>
              <w:autoSpaceDN w:val="0"/>
              <w:adjustRightInd w:val="0"/>
              <w:spacing w:line="420" w:lineRule="exact"/>
              <w:jc w:val="center"/>
              <w:rPr>
                <w:rFonts w:ascii="宋体" w:hAnsi="宋体" w:cs="仿宋_GB2312"/>
                <w:kern w:val="0"/>
                <w:sz w:val="24"/>
              </w:rPr>
            </w:pPr>
            <w:r>
              <w:rPr>
                <w:rFonts w:hint="eastAsia" w:ascii="宋体" w:hAnsi="宋体" w:cs="仿宋_GB2312"/>
                <w:kern w:val="0"/>
                <w:sz w:val="24"/>
              </w:rPr>
              <w:t>学历</w:t>
            </w:r>
          </w:p>
        </w:tc>
        <w:tc>
          <w:tcPr>
            <w:tcW w:w="1186" w:type="dxa"/>
            <w:vAlign w:val="center"/>
          </w:tcPr>
          <w:p>
            <w:pPr>
              <w:autoSpaceDE w:val="0"/>
              <w:autoSpaceDN w:val="0"/>
              <w:adjustRightInd w:val="0"/>
              <w:spacing w:line="420" w:lineRule="exact"/>
              <w:jc w:val="center"/>
              <w:rPr>
                <w:rFonts w:ascii="宋体" w:hAns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450" w:type="dxa"/>
            <w:vAlign w:val="center"/>
          </w:tcPr>
          <w:p>
            <w:pPr>
              <w:autoSpaceDE w:val="0"/>
              <w:autoSpaceDN w:val="0"/>
              <w:adjustRightInd w:val="0"/>
              <w:spacing w:line="420" w:lineRule="exact"/>
              <w:jc w:val="center"/>
              <w:rPr>
                <w:rFonts w:ascii="宋体" w:hAnsi="宋体" w:cs="仿宋_GB2312"/>
                <w:kern w:val="0"/>
                <w:sz w:val="24"/>
              </w:rPr>
            </w:pPr>
            <w:r>
              <w:rPr>
                <w:rFonts w:hint="eastAsia" w:ascii="宋体" w:hAnsi="宋体" w:cs="仿宋_GB2312"/>
                <w:kern w:val="0"/>
                <w:sz w:val="24"/>
              </w:rPr>
              <w:t>职称</w:t>
            </w:r>
          </w:p>
        </w:tc>
        <w:tc>
          <w:tcPr>
            <w:tcW w:w="1450" w:type="dxa"/>
            <w:gridSpan w:val="2"/>
            <w:vAlign w:val="center"/>
          </w:tcPr>
          <w:p>
            <w:pPr>
              <w:autoSpaceDE w:val="0"/>
              <w:autoSpaceDN w:val="0"/>
              <w:adjustRightInd w:val="0"/>
              <w:spacing w:line="420" w:lineRule="exact"/>
              <w:jc w:val="center"/>
              <w:rPr>
                <w:rFonts w:ascii="宋体" w:hAnsi="宋体" w:cs="仿宋_GB2312"/>
                <w:kern w:val="0"/>
                <w:sz w:val="24"/>
              </w:rPr>
            </w:pPr>
          </w:p>
        </w:tc>
        <w:tc>
          <w:tcPr>
            <w:tcW w:w="1452" w:type="dxa"/>
            <w:vAlign w:val="center"/>
          </w:tcPr>
          <w:p>
            <w:pPr>
              <w:autoSpaceDE w:val="0"/>
              <w:autoSpaceDN w:val="0"/>
              <w:adjustRightInd w:val="0"/>
              <w:spacing w:line="420" w:lineRule="exact"/>
              <w:jc w:val="center"/>
              <w:rPr>
                <w:rFonts w:ascii="宋体" w:hAnsi="宋体" w:cs="仿宋_GB2312"/>
                <w:kern w:val="0"/>
                <w:sz w:val="24"/>
              </w:rPr>
            </w:pPr>
            <w:r>
              <w:rPr>
                <w:rFonts w:hint="eastAsia" w:ascii="宋体" w:hAnsi="宋体" w:cs="仿宋_GB2312"/>
                <w:kern w:val="0"/>
                <w:sz w:val="24"/>
              </w:rPr>
              <w:t>职务</w:t>
            </w:r>
          </w:p>
        </w:tc>
        <w:tc>
          <w:tcPr>
            <w:tcW w:w="1450" w:type="dxa"/>
            <w:vAlign w:val="center"/>
          </w:tcPr>
          <w:p>
            <w:pPr>
              <w:autoSpaceDE w:val="0"/>
              <w:autoSpaceDN w:val="0"/>
              <w:adjustRightInd w:val="0"/>
              <w:spacing w:line="420" w:lineRule="exact"/>
              <w:jc w:val="center"/>
              <w:rPr>
                <w:rFonts w:ascii="宋体" w:hAnsi="宋体" w:cs="仿宋_GB2312"/>
                <w:kern w:val="0"/>
                <w:sz w:val="24"/>
              </w:rPr>
            </w:pPr>
          </w:p>
        </w:tc>
        <w:tc>
          <w:tcPr>
            <w:tcW w:w="1723" w:type="dxa"/>
            <w:gridSpan w:val="2"/>
            <w:vAlign w:val="center"/>
          </w:tcPr>
          <w:p>
            <w:pPr>
              <w:autoSpaceDE w:val="0"/>
              <w:autoSpaceDN w:val="0"/>
              <w:adjustRightInd w:val="0"/>
              <w:spacing w:line="420" w:lineRule="exact"/>
              <w:jc w:val="center"/>
              <w:rPr>
                <w:rFonts w:ascii="宋体" w:hAnsi="宋体" w:cs="仿宋_GB2312"/>
                <w:kern w:val="0"/>
                <w:sz w:val="24"/>
              </w:rPr>
            </w:pPr>
            <w:r>
              <w:rPr>
                <w:rFonts w:hint="eastAsia" w:ascii="宋体" w:hAnsi="宋体" w:cs="仿宋_GB2312"/>
                <w:kern w:val="0"/>
                <w:sz w:val="24"/>
              </w:rPr>
              <w:t>拟在本合同任职</w:t>
            </w:r>
          </w:p>
        </w:tc>
        <w:tc>
          <w:tcPr>
            <w:tcW w:w="1186" w:type="dxa"/>
            <w:vAlign w:val="center"/>
          </w:tcPr>
          <w:p>
            <w:pPr>
              <w:autoSpaceDE w:val="0"/>
              <w:autoSpaceDN w:val="0"/>
              <w:adjustRightInd w:val="0"/>
              <w:spacing w:line="420" w:lineRule="exact"/>
              <w:jc w:val="center"/>
              <w:rPr>
                <w:rFonts w:ascii="宋体" w:hAns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450" w:type="dxa"/>
            <w:vAlign w:val="center"/>
          </w:tcPr>
          <w:p>
            <w:pPr>
              <w:autoSpaceDE w:val="0"/>
              <w:autoSpaceDN w:val="0"/>
              <w:adjustRightInd w:val="0"/>
              <w:spacing w:line="420" w:lineRule="exact"/>
              <w:jc w:val="center"/>
              <w:rPr>
                <w:rFonts w:ascii="宋体" w:hAnsi="宋体" w:cs="仿宋_GB2312"/>
                <w:kern w:val="0"/>
                <w:sz w:val="24"/>
              </w:rPr>
            </w:pPr>
            <w:r>
              <w:rPr>
                <w:rFonts w:ascii="宋体" w:hAnsi="宋体" w:cs="仿宋_GB2312"/>
                <w:kern w:val="0"/>
                <w:sz w:val="24"/>
              </w:rPr>
              <w:t>执业资格证书（或上岗证书）名称</w:t>
            </w:r>
            <w:r>
              <w:rPr>
                <w:rFonts w:hint="eastAsia" w:ascii="宋体" w:hAnsi="宋体" w:cs="仿宋_GB2312"/>
                <w:kern w:val="0"/>
                <w:sz w:val="24"/>
              </w:rPr>
              <w:t>及</w:t>
            </w:r>
            <w:r>
              <w:rPr>
                <w:rFonts w:ascii="宋体" w:hAnsi="宋体" w:cs="仿宋_GB2312"/>
                <w:kern w:val="0"/>
                <w:sz w:val="24"/>
              </w:rPr>
              <w:t>编号</w:t>
            </w:r>
          </w:p>
        </w:tc>
        <w:tc>
          <w:tcPr>
            <w:tcW w:w="7261" w:type="dxa"/>
            <w:gridSpan w:val="7"/>
            <w:vAlign w:val="center"/>
          </w:tcPr>
          <w:p>
            <w:pPr>
              <w:autoSpaceDE w:val="0"/>
              <w:autoSpaceDN w:val="0"/>
              <w:adjustRightInd w:val="0"/>
              <w:spacing w:line="420" w:lineRule="exact"/>
              <w:jc w:val="center"/>
              <w:rPr>
                <w:rFonts w:ascii="宋体" w:hAns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450" w:type="dxa"/>
            <w:vAlign w:val="center"/>
          </w:tcPr>
          <w:p>
            <w:pPr>
              <w:autoSpaceDE w:val="0"/>
              <w:autoSpaceDN w:val="0"/>
              <w:adjustRightInd w:val="0"/>
              <w:spacing w:line="420" w:lineRule="exact"/>
              <w:jc w:val="center"/>
              <w:rPr>
                <w:rFonts w:ascii="宋体" w:hAnsi="宋体" w:cs="仿宋_GB2312"/>
                <w:kern w:val="0"/>
                <w:sz w:val="24"/>
              </w:rPr>
            </w:pPr>
            <w:r>
              <w:rPr>
                <w:rFonts w:hint="eastAsia" w:ascii="宋体" w:hAnsi="宋体" w:cs="仿宋_GB2312"/>
                <w:kern w:val="0"/>
                <w:sz w:val="24"/>
              </w:rPr>
              <w:t>毕业学校</w:t>
            </w:r>
          </w:p>
        </w:tc>
        <w:tc>
          <w:tcPr>
            <w:tcW w:w="7261" w:type="dxa"/>
            <w:gridSpan w:val="7"/>
            <w:vAlign w:val="center"/>
          </w:tcPr>
          <w:p>
            <w:pPr>
              <w:autoSpaceDE w:val="0"/>
              <w:autoSpaceDN w:val="0"/>
              <w:adjustRightInd w:val="0"/>
              <w:spacing w:line="420" w:lineRule="exact"/>
              <w:jc w:val="center"/>
              <w:rPr>
                <w:rFonts w:ascii="宋体" w:hAnsi="宋体" w:cs="仿宋_GB2312"/>
                <w:kern w:val="0"/>
                <w:sz w:val="24"/>
              </w:rPr>
            </w:pPr>
            <w:r>
              <w:rPr>
                <w:rFonts w:hint="eastAsia" w:ascii="宋体" w:hAnsi="宋体" w:cs="仿宋_GB2312"/>
                <w:kern w:val="0"/>
                <w:sz w:val="24"/>
              </w:rPr>
              <w:t>年毕业于学校专业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11" w:type="dxa"/>
            <w:gridSpan w:val="8"/>
            <w:vAlign w:val="center"/>
          </w:tcPr>
          <w:p>
            <w:pPr>
              <w:autoSpaceDE w:val="0"/>
              <w:autoSpaceDN w:val="0"/>
              <w:adjustRightInd w:val="0"/>
              <w:spacing w:line="420" w:lineRule="exact"/>
              <w:jc w:val="center"/>
              <w:rPr>
                <w:rFonts w:ascii="宋体" w:hAnsi="宋体" w:cs="仿宋_GB2312"/>
                <w:kern w:val="0"/>
                <w:sz w:val="24"/>
              </w:rPr>
            </w:pPr>
            <w:r>
              <w:rPr>
                <w:rFonts w:hint="eastAsia" w:ascii="宋体" w:hAnsi="宋体" w:cs="仿宋_GB2312"/>
                <w:kern w:val="0"/>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2175" w:type="dxa"/>
            <w:gridSpan w:val="2"/>
            <w:vAlign w:val="center"/>
          </w:tcPr>
          <w:p>
            <w:pPr>
              <w:autoSpaceDE w:val="0"/>
              <w:autoSpaceDN w:val="0"/>
              <w:adjustRightInd w:val="0"/>
              <w:spacing w:line="420" w:lineRule="exact"/>
              <w:jc w:val="center"/>
              <w:rPr>
                <w:rFonts w:ascii="宋体" w:hAnsi="宋体" w:cs="仿宋_GB2312"/>
                <w:kern w:val="0"/>
                <w:sz w:val="24"/>
              </w:rPr>
            </w:pPr>
            <w:r>
              <w:rPr>
                <w:rFonts w:hint="eastAsia" w:ascii="宋体" w:hAnsi="宋体" w:cs="仿宋_GB2312"/>
                <w:kern w:val="0"/>
                <w:sz w:val="24"/>
              </w:rPr>
              <w:t>时间</w:t>
            </w:r>
          </w:p>
        </w:tc>
        <w:tc>
          <w:tcPr>
            <w:tcW w:w="2177" w:type="dxa"/>
            <w:gridSpan w:val="2"/>
            <w:vAlign w:val="center"/>
          </w:tcPr>
          <w:p>
            <w:pPr>
              <w:autoSpaceDE w:val="0"/>
              <w:autoSpaceDN w:val="0"/>
              <w:adjustRightInd w:val="0"/>
              <w:spacing w:line="420" w:lineRule="exact"/>
              <w:jc w:val="center"/>
              <w:rPr>
                <w:rFonts w:ascii="宋体" w:hAnsi="宋体" w:cs="仿宋_GB2312"/>
                <w:kern w:val="0"/>
                <w:sz w:val="24"/>
              </w:rPr>
            </w:pPr>
            <w:r>
              <w:rPr>
                <w:rFonts w:hint="eastAsia" w:ascii="宋体" w:hAnsi="宋体" w:cs="仿宋_GB2312"/>
                <w:kern w:val="0"/>
                <w:sz w:val="24"/>
              </w:rPr>
              <w:t>参加过的类似项目</w:t>
            </w:r>
          </w:p>
        </w:tc>
        <w:tc>
          <w:tcPr>
            <w:tcW w:w="2175" w:type="dxa"/>
            <w:gridSpan w:val="2"/>
            <w:vAlign w:val="center"/>
          </w:tcPr>
          <w:p>
            <w:pPr>
              <w:autoSpaceDE w:val="0"/>
              <w:autoSpaceDN w:val="0"/>
              <w:adjustRightInd w:val="0"/>
              <w:spacing w:line="420" w:lineRule="exact"/>
              <w:jc w:val="center"/>
              <w:rPr>
                <w:rFonts w:ascii="宋体" w:hAnsi="宋体" w:cs="仿宋_GB2312"/>
                <w:kern w:val="0"/>
                <w:sz w:val="24"/>
              </w:rPr>
            </w:pPr>
            <w:r>
              <w:rPr>
                <w:rFonts w:hint="eastAsia" w:ascii="宋体" w:hAnsi="宋体" w:cs="仿宋_GB2312"/>
                <w:kern w:val="0"/>
                <w:sz w:val="24"/>
              </w:rPr>
              <w:t>担任职务</w:t>
            </w:r>
          </w:p>
        </w:tc>
        <w:tc>
          <w:tcPr>
            <w:tcW w:w="2184" w:type="dxa"/>
            <w:gridSpan w:val="2"/>
            <w:vAlign w:val="center"/>
          </w:tcPr>
          <w:p>
            <w:pPr>
              <w:autoSpaceDE w:val="0"/>
              <w:autoSpaceDN w:val="0"/>
              <w:adjustRightInd w:val="0"/>
              <w:spacing w:line="420" w:lineRule="exact"/>
              <w:jc w:val="center"/>
              <w:rPr>
                <w:rFonts w:ascii="宋体" w:hAnsi="宋体" w:cs="仿宋_GB2312"/>
                <w:kern w:val="0"/>
                <w:sz w:val="24"/>
              </w:rPr>
            </w:pPr>
            <w:r>
              <w:rPr>
                <w:rFonts w:hint="eastAsia" w:ascii="宋体" w:hAnsi="宋体" w:cs="仿宋_GB2312"/>
                <w:kern w:val="0"/>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2175" w:type="dxa"/>
            <w:gridSpan w:val="2"/>
            <w:vAlign w:val="center"/>
          </w:tcPr>
          <w:p>
            <w:pPr>
              <w:autoSpaceDE w:val="0"/>
              <w:autoSpaceDN w:val="0"/>
              <w:adjustRightInd w:val="0"/>
              <w:spacing w:line="420" w:lineRule="exact"/>
              <w:jc w:val="center"/>
              <w:rPr>
                <w:rFonts w:ascii="宋体" w:hAnsi="宋体" w:cs="仿宋_GB2312"/>
                <w:kern w:val="0"/>
                <w:sz w:val="24"/>
              </w:rPr>
            </w:pPr>
          </w:p>
        </w:tc>
        <w:tc>
          <w:tcPr>
            <w:tcW w:w="2177" w:type="dxa"/>
            <w:gridSpan w:val="2"/>
            <w:vAlign w:val="center"/>
          </w:tcPr>
          <w:p>
            <w:pPr>
              <w:autoSpaceDE w:val="0"/>
              <w:autoSpaceDN w:val="0"/>
              <w:adjustRightInd w:val="0"/>
              <w:spacing w:line="420" w:lineRule="exact"/>
              <w:jc w:val="center"/>
              <w:rPr>
                <w:rFonts w:ascii="宋体" w:hAnsi="宋体" w:cs="仿宋_GB2312"/>
                <w:kern w:val="0"/>
                <w:sz w:val="24"/>
              </w:rPr>
            </w:pPr>
          </w:p>
        </w:tc>
        <w:tc>
          <w:tcPr>
            <w:tcW w:w="2175" w:type="dxa"/>
            <w:gridSpan w:val="2"/>
            <w:vAlign w:val="center"/>
          </w:tcPr>
          <w:p>
            <w:pPr>
              <w:autoSpaceDE w:val="0"/>
              <w:autoSpaceDN w:val="0"/>
              <w:adjustRightInd w:val="0"/>
              <w:spacing w:line="420" w:lineRule="exact"/>
              <w:jc w:val="center"/>
              <w:rPr>
                <w:rFonts w:ascii="宋体" w:hAnsi="宋体" w:cs="仿宋_GB2312"/>
                <w:kern w:val="0"/>
                <w:sz w:val="24"/>
              </w:rPr>
            </w:pPr>
          </w:p>
        </w:tc>
        <w:tc>
          <w:tcPr>
            <w:tcW w:w="2184" w:type="dxa"/>
            <w:gridSpan w:val="2"/>
            <w:vAlign w:val="center"/>
          </w:tcPr>
          <w:p>
            <w:pPr>
              <w:autoSpaceDE w:val="0"/>
              <w:autoSpaceDN w:val="0"/>
              <w:adjustRightInd w:val="0"/>
              <w:spacing w:line="420" w:lineRule="exact"/>
              <w:jc w:val="center"/>
              <w:rPr>
                <w:rFonts w:ascii="宋体" w:hAns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2175" w:type="dxa"/>
            <w:gridSpan w:val="2"/>
            <w:vAlign w:val="center"/>
          </w:tcPr>
          <w:p>
            <w:pPr>
              <w:autoSpaceDE w:val="0"/>
              <w:autoSpaceDN w:val="0"/>
              <w:adjustRightInd w:val="0"/>
              <w:spacing w:line="420" w:lineRule="exact"/>
              <w:jc w:val="center"/>
              <w:rPr>
                <w:rFonts w:ascii="宋体" w:hAnsi="宋体" w:cs="仿宋_GB2312"/>
                <w:kern w:val="0"/>
                <w:sz w:val="24"/>
              </w:rPr>
            </w:pPr>
          </w:p>
        </w:tc>
        <w:tc>
          <w:tcPr>
            <w:tcW w:w="2177" w:type="dxa"/>
            <w:gridSpan w:val="2"/>
            <w:vAlign w:val="center"/>
          </w:tcPr>
          <w:p>
            <w:pPr>
              <w:autoSpaceDE w:val="0"/>
              <w:autoSpaceDN w:val="0"/>
              <w:adjustRightInd w:val="0"/>
              <w:spacing w:line="420" w:lineRule="exact"/>
              <w:jc w:val="center"/>
              <w:rPr>
                <w:rFonts w:ascii="宋体" w:hAnsi="宋体" w:cs="仿宋_GB2312"/>
                <w:kern w:val="0"/>
                <w:sz w:val="24"/>
              </w:rPr>
            </w:pPr>
          </w:p>
        </w:tc>
        <w:tc>
          <w:tcPr>
            <w:tcW w:w="2175" w:type="dxa"/>
            <w:gridSpan w:val="2"/>
            <w:vAlign w:val="center"/>
          </w:tcPr>
          <w:p>
            <w:pPr>
              <w:autoSpaceDE w:val="0"/>
              <w:autoSpaceDN w:val="0"/>
              <w:adjustRightInd w:val="0"/>
              <w:spacing w:line="420" w:lineRule="exact"/>
              <w:jc w:val="center"/>
              <w:rPr>
                <w:rFonts w:ascii="宋体" w:hAnsi="宋体" w:cs="仿宋_GB2312"/>
                <w:kern w:val="0"/>
                <w:sz w:val="24"/>
              </w:rPr>
            </w:pPr>
          </w:p>
        </w:tc>
        <w:tc>
          <w:tcPr>
            <w:tcW w:w="2184" w:type="dxa"/>
            <w:gridSpan w:val="2"/>
            <w:vAlign w:val="center"/>
          </w:tcPr>
          <w:p>
            <w:pPr>
              <w:autoSpaceDE w:val="0"/>
              <w:autoSpaceDN w:val="0"/>
              <w:adjustRightInd w:val="0"/>
              <w:spacing w:line="420" w:lineRule="exact"/>
              <w:jc w:val="center"/>
              <w:rPr>
                <w:rFonts w:ascii="宋体" w:hAns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2175" w:type="dxa"/>
            <w:gridSpan w:val="2"/>
            <w:vAlign w:val="center"/>
          </w:tcPr>
          <w:p>
            <w:pPr>
              <w:autoSpaceDE w:val="0"/>
              <w:autoSpaceDN w:val="0"/>
              <w:adjustRightInd w:val="0"/>
              <w:spacing w:line="420" w:lineRule="exact"/>
              <w:jc w:val="center"/>
              <w:rPr>
                <w:rFonts w:ascii="宋体" w:hAnsi="宋体" w:cs="仿宋_GB2312"/>
                <w:kern w:val="0"/>
                <w:sz w:val="24"/>
              </w:rPr>
            </w:pPr>
          </w:p>
        </w:tc>
        <w:tc>
          <w:tcPr>
            <w:tcW w:w="2177" w:type="dxa"/>
            <w:gridSpan w:val="2"/>
            <w:vAlign w:val="center"/>
          </w:tcPr>
          <w:p>
            <w:pPr>
              <w:autoSpaceDE w:val="0"/>
              <w:autoSpaceDN w:val="0"/>
              <w:adjustRightInd w:val="0"/>
              <w:spacing w:line="420" w:lineRule="exact"/>
              <w:jc w:val="center"/>
              <w:rPr>
                <w:rFonts w:ascii="宋体" w:hAnsi="宋体" w:cs="仿宋_GB2312"/>
                <w:kern w:val="0"/>
                <w:sz w:val="24"/>
              </w:rPr>
            </w:pPr>
          </w:p>
        </w:tc>
        <w:tc>
          <w:tcPr>
            <w:tcW w:w="2175" w:type="dxa"/>
            <w:gridSpan w:val="2"/>
            <w:vAlign w:val="center"/>
          </w:tcPr>
          <w:p>
            <w:pPr>
              <w:autoSpaceDE w:val="0"/>
              <w:autoSpaceDN w:val="0"/>
              <w:adjustRightInd w:val="0"/>
              <w:spacing w:line="420" w:lineRule="exact"/>
              <w:jc w:val="center"/>
              <w:rPr>
                <w:rFonts w:ascii="宋体" w:hAnsi="宋体" w:cs="仿宋_GB2312"/>
                <w:kern w:val="0"/>
                <w:sz w:val="24"/>
              </w:rPr>
            </w:pPr>
          </w:p>
        </w:tc>
        <w:tc>
          <w:tcPr>
            <w:tcW w:w="2184" w:type="dxa"/>
            <w:gridSpan w:val="2"/>
            <w:vAlign w:val="center"/>
          </w:tcPr>
          <w:p>
            <w:pPr>
              <w:autoSpaceDE w:val="0"/>
              <w:autoSpaceDN w:val="0"/>
              <w:adjustRightInd w:val="0"/>
              <w:spacing w:line="420" w:lineRule="exact"/>
              <w:jc w:val="center"/>
              <w:rPr>
                <w:rFonts w:ascii="宋体" w:hAns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2175" w:type="dxa"/>
            <w:gridSpan w:val="2"/>
            <w:vAlign w:val="center"/>
          </w:tcPr>
          <w:p>
            <w:pPr>
              <w:autoSpaceDE w:val="0"/>
              <w:autoSpaceDN w:val="0"/>
              <w:adjustRightInd w:val="0"/>
              <w:spacing w:line="420" w:lineRule="exact"/>
              <w:jc w:val="center"/>
              <w:rPr>
                <w:rFonts w:ascii="宋体" w:hAnsi="宋体" w:cs="仿宋_GB2312"/>
                <w:kern w:val="0"/>
                <w:sz w:val="24"/>
              </w:rPr>
            </w:pPr>
          </w:p>
        </w:tc>
        <w:tc>
          <w:tcPr>
            <w:tcW w:w="2177" w:type="dxa"/>
            <w:gridSpan w:val="2"/>
            <w:vAlign w:val="center"/>
          </w:tcPr>
          <w:p>
            <w:pPr>
              <w:autoSpaceDE w:val="0"/>
              <w:autoSpaceDN w:val="0"/>
              <w:adjustRightInd w:val="0"/>
              <w:spacing w:line="420" w:lineRule="exact"/>
              <w:jc w:val="center"/>
              <w:rPr>
                <w:rFonts w:ascii="宋体" w:hAnsi="宋体" w:cs="仿宋_GB2312"/>
                <w:kern w:val="0"/>
                <w:sz w:val="24"/>
              </w:rPr>
            </w:pPr>
          </w:p>
        </w:tc>
        <w:tc>
          <w:tcPr>
            <w:tcW w:w="2175" w:type="dxa"/>
            <w:gridSpan w:val="2"/>
            <w:vAlign w:val="center"/>
          </w:tcPr>
          <w:p>
            <w:pPr>
              <w:autoSpaceDE w:val="0"/>
              <w:autoSpaceDN w:val="0"/>
              <w:adjustRightInd w:val="0"/>
              <w:spacing w:line="420" w:lineRule="exact"/>
              <w:jc w:val="center"/>
              <w:rPr>
                <w:rFonts w:ascii="宋体" w:hAnsi="宋体" w:cs="仿宋_GB2312"/>
                <w:kern w:val="0"/>
                <w:sz w:val="24"/>
              </w:rPr>
            </w:pPr>
          </w:p>
        </w:tc>
        <w:tc>
          <w:tcPr>
            <w:tcW w:w="2184" w:type="dxa"/>
            <w:gridSpan w:val="2"/>
            <w:vAlign w:val="center"/>
          </w:tcPr>
          <w:p>
            <w:pPr>
              <w:autoSpaceDE w:val="0"/>
              <w:autoSpaceDN w:val="0"/>
              <w:adjustRightInd w:val="0"/>
              <w:spacing w:line="420" w:lineRule="exact"/>
              <w:jc w:val="center"/>
              <w:rPr>
                <w:rFonts w:ascii="宋体" w:hAns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2175" w:type="dxa"/>
            <w:gridSpan w:val="2"/>
            <w:vAlign w:val="center"/>
          </w:tcPr>
          <w:p>
            <w:pPr>
              <w:autoSpaceDE w:val="0"/>
              <w:autoSpaceDN w:val="0"/>
              <w:adjustRightInd w:val="0"/>
              <w:spacing w:line="420" w:lineRule="exact"/>
              <w:jc w:val="center"/>
              <w:rPr>
                <w:rFonts w:ascii="宋体" w:hAnsi="宋体" w:cs="仿宋_GB2312"/>
                <w:kern w:val="0"/>
                <w:sz w:val="24"/>
              </w:rPr>
            </w:pPr>
          </w:p>
        </w:tc>
        <w:tc>
          <w:tcPr>
            <w:tcW w:w="2177" w:type="dxa"/>
            <w:gridSpan w:val="2"/>
            <w:vAlign w:val="center"/>
          </w:tcPr>
          <w:p>
            <w:pPr>
              <w:autoSpaceDE w:val="0"/>
              <w:autoSpaceDN w:val="0"/>
              <w:adjustRightInd w:val="0"/>
              <w:spacing w:line="420" w:lineRule="exact"/>
              <w:jc w:val="center"/>
              <w:rPr>
                <w:rFonts w:ascii="宋体" w:hAnsi="宋体" w:cs="仿宋_GB2312"/>
                <w:kern w:val="0"/>
                <w:sz w:val="24"/>
              </w:rPr>
            </w:pPr>
          </w:p>
        </w:tc>
        <w:tc>
          <w:tcPr>
            <w:tcW w:w="2175" w:type="dxa"/>
            <w:gridSpan w:val="2"/>
            <w:vAlign w:val="center"/>
          </w:tcPr>
          <w:p>
            <w:pPr>
              <w:autoSpaceDE w:val="0"/>
              <w:autoSpaceDN w:val="0"/>
              <w:adjustRightInd w:val="0"/>
              <w:spacing w:line="420" w:lineRule="exact"/>
              <w:jc w:val="center"/>
              <w:rPr>
                <w:rFonts w:ascii="宋体" w:hAnsi="宋体" w:cs="仿宋_GB2312"/>
                <w:kern w:val="0"/>
                <w:sz w:val="24"/>
              </w:rPr>
            </w:pPr>
          </w:p>
        </w:tc>
        <w:tc>
          <w:tcPr>
            <w:tcW w:w="2184" w:type="dxa"/>
            <w:gridSpan w:val="2"/>
            <w:vAlign w:val="center"/>
          </w:tcPr>
          <w:p>
            <w:pPr>
              <w:autoSpaceDE w:val="0"/>
              <w:autoSpaceDN w:val="0"/>
              <w:adjustRightInd w:val="0"/>
              <w:spacing w:line="420" w:lineRule="exact"/>
              <w:jc w:val="center"/>
              <w:rPr>
                <w:rFonts w:ascii="宋体" w:hAns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2175" w:type="dxa"/>
            <w:gridSpan w:val="2"/>
            <w:vAlign w:val="center"/>
          </w:tcPr>
          <w:p>
            <w:pPr>
              <w:autoSpaceDE w:val="0"/>
              <w:autoSpaceDN w:val="0"/>
              <w:adjustRightInd w:val="0"/>
              <w:spacing w:line="420" w:lineRule="exact"/>
              <w:jc w:val="center"/>
              <w:rPr>
                <w:rFonts w:ascii="宋体" w:hAnsi="宋体" w:cs="仿宋_GB2312"/>
                <w:kern w:val="0"/>
                <w:sz w:val="24"/>
              </w:rPr>
            </w:pPr>
          </w:p>
        </w:tc>
        <w:tc>
          <w:tcPr>
            <w:tcW w:w="2177" w:type="dxa"/>
            <w:gridSpan w:val="2"/>
            <w:vAlign w:val="center"/>
          </w:tcPr>
          <w:p>
            <w:pPr>
              <w:autoSpaceDE w:val="0"/>
              <w:autoSpaceDN w:val="0"/>
              <w:adjustRightInd w:val="0"/>
              <w:spacing w:line="420" w:lineRule="exact"/>
              <w:jc w:val="center"/>
              <w:rPr>
                <w:rFonts w:ascii="宋体" w:hAnsi="宋体" w:cs="仿宋_GB2312"/>
                <w:kern w:val="0"/>
                <w:sz w:val="24"/>
              </w:rPr>
            </w:pPr>
          </w:p>
        </w:tc>
        <w:tc>
          <w:tcPr>
            <w:tcW w:w="2175" w:type="dxa"/>
            <w:gridSpan w:val="2"/>
            <w:vAlign w:val="center"/>
          </w:tcPr>
          <w:p>
            <w:pPr>
              <w:autoSpaceDE w:val="0"/>
              <w:autoSpaceDN w:val="0"/>
              <w:adjustRightInd w:val="0"/>
              <w:spacing w:line="420" w:lineRule="exact"/>
              <w:jc w:val="center"/>
              <w:rPr>
                <w:rFonts w:ascii="宋体" w:hAnsi="宋体" w:cs="仿宋_GB2312"/>
                <w:kern w:val="0"/>
                <w:sz w:val="24"/>
              </w:rPr>
            </w:pPr>
          </w:p>
        </w:tc>
        <w:tc>
          <w:tcPr>
            <w:tcW w:w="2184" w:type="dxa"/>
            <w:gridSpan w:val="2"/>
            <w:vAlign w:val="center"/>
          </w:tcPr>
          <w:p>
            <w:pPr>
              <w:autoSpaceDE w:val="0"/>
              <w:autoSpaceDN w:val="0"/>
              <w:adjustRightInd w:val="0"/>
              <w:spacing w:line="420" w:lineRule="exact"/>
              <w:jc w:val="center"/>
              <w:rPr>
                <w:rFonts w:ascii="宋体" w:hAnsi="宋体" w:cs="仿宋_GB2312"/>
                <w:kern w:val="0"/>
                <w:sz w:val="24"/>
              </w:rPr>
            </w:pPr>
          </w:p>
        </w:tc>
      </w:tr>
    </w:tbl>
    <w:p>
      <w:pPr>
        <w:spacing w:line="360" w:lineRule="auto"/>
        <w:ind w:left="500"/>
        <w:jc w:val="center"/>
        <w:rPr>
          <w:rFonts w:ascii="黑体" w:hAnsi="黑体" w:eastAsia="黑体" w:cs="黑体"/>
          <w:sz w:val="28"/>
          <w:szCs w:val="28"/>
        </w:rPr>
      </w:pPr>
      <w:bookmarkStart w:id="116" w:name="page93"/>
      <w:bookmarkEnd w:id="116"/>
    </w:p>
    <w:p>
      <w:pPr>
        <w:spacing w:line="360" w:lineRule="auto"/>
        <w:ind w:left="500"/>
        <w:jc w:val="center"/>
        <w:rPr>
          <w:rFonts w:ascii="黑体" w:hAnsi="黑体" w:eastAsia="黑体" w:cs="黑体"/>
          <w:sz w:val="28"/>
          <w:szCs w:val="28"/>
        </w:rPr>
      </w:pPr>
    </w:p>
    <w:p>
      <w:pPr>
        <w:pStyle w:val="19"/>
        <w:ind w:firstLine="680"/>
      </w:pPr>
    </w:p>
    <w:p/>
    <w:p/>
    <w:p>
      <w:pPr>
        <w:spacing w:line="360" w:lineRule="auto"/>
        <w:ind w:left="500"/>
        <w:jc w:val="center"/>
        <w:rPr>
          <w:rFonts w:ascii="黑体" w:hAnsi="黑体" w:eastAsia="黑体" w:cs="黑体"/>
          <w:sz w:val="28"/>
          <w:szCs w:val="28"/>
        </w:rPr>
      </w:pPr>
    </w:p>
    <w:p>
      <w:pPr>
        <w:spacing w:line="360" w:lineRule="auto"/>
        <w:ind w:left="500"/>
        <w:jc w:val="center"/>
        <w:rPr>
          <w:sz w:val="20"/>
        </w:rPr>
      </w:pPr>
      <w:r>
        <w:rPr>
          <w:rFonts w:ascii="黑体" w:hAnsi="黑体" w:eastAsia="黑体" w:cs="黑体"/>
          <w:sz w:val="28"/>
          <w:szCs w:val="28"/>
        </w:rPr>
        <w:t>（八）拟投入本项目的主要试验检测仪器设备表</w:t>
      </w:r>
    </w:p>
    <w:p>
      <w:pPr>
        <w:spacing w:line="360" w:lineRule="auto"/>
        <w:rPr>
          <w:sz w:val="20"/>
        </w:rPr>
      </w:pPr>
    </w:p>
    <w:tbl>
      <w:tblPr>
        <w:tblStyle w:val="16"/>
        <w:tblW w:w="8140" w:type="dxa"/>
        <w:tblInd w:w="630" w:type="dxa"/>
        <w:tblLayout w:type="fixed"/>
        <w:tblCellMar>
          <w:top w:w="0" w:type="dxa"/>
          <w:left w:w="0" w:type="dxa"/>
          <w:bottom w:w="0" w:type="dxa"/>
          <w:right w:w="0" w:type="dxa"/>
        </w:tblCellMar>
      </w:tblPr>
      <w:tblGrid>
        <w:gridCol w:w="740"/>
        <w:gridCol w:w="1280"/>
        <w:gridCol w:w="940"/>
        <w:gridCol w:w="740"/>
        <w:gridCol w:w="860"/>
        <w:gridCol w:w="1000"/>
        <w:gridCol w:w="1400"/>
        <w:gridCol w:w="1180"/>
      </w:tblGrid>
      <w:tr>
        <w:tblPrEx>
          <w:tblLayout w:type="fixed"/>
          <w:tblCellMar>
            <w:top w:w="0" w:type="dxa"/>
            <w:left w:w="0" w:type="dxa"/>
            <w:bottom w:w="0" w:type="dxa"/>
            <w:right w:w="0" w:type="dxa"/>
          </w:tblCellMar>
        </w:tblPrEx>
        <w:trPr>
          <w:trHeight w:val="417" w:hRule="atLeast"/>
        </w:trPr>
        <w:tc>
          <w:tcPr>
            <w:tcW w:w="740" w:type="dxa"/>
            <w:tcBorders>
              <w:top w:val="single" w:color="auto" w:sz="8" w:space="0"/>
              <w:left w:val="single" w:color="auto" w:sz="8" w:space="0"/>
              <w:right w:val="single" w:color="auto" w:sz="8" w:space="0"/>
            </w:tcBorders>
            <w:vAlign w:val="bottom"/>
          </w:tcPr>
          <w:p>
            <w:pPr>
              <w:spacing w:line="360" w:lineRule="auto"/>
              <w:rPr>
                <w:sz w:val="24"/>
              </w:rPr>
            </w:pPr>
          </w:p>
        </w:tc>
        <w:tc>
          <w:tcPr>
            <w:tcW w:w="1280" w:type="dxa"/>
            <w:tcBorders>
              <w:top w:val="single" w:color="auto" w:sz="8" w:space="0"/>
              <w:right w:val="single" w:color="auto" w:sz="8" w:space="0"/>
            </w:tcBorders>
            <w:vAlign w:val="bottom"/>
          </w:tcPr>
          <w:p>
            <w:pPr>
              <w:spacing w:line="360" w:lineRule="auto"/>
              <w:jc w:val="center"/>
              <w:rPr>
                <w:sz w:val="20"/>
              </w:rPr>
            </w:pPr>
            <w:r>
              <w:rPr>
                <w:rFonts w:ascii="宋体" w:hAnsi="宋体" w:cs="宋体"/>
                <w:w w:val="99"/>
                <w:szCs w:val="21"/>
              </w:rPr>
              <w:t>仪器设备</w:t>
            </w:r>
          </w:p>
        </w:tc>
        <w:tc>
          <w:tcPr>
            <w:tcW w:w="940" w:type="dxa"/>
            <w:tcBorders>
              <w:top w:val="single" w:color="auto" w:sz="8" w:space="0"/>
              <w:right w:val="single" w:color="auto" w:sz="8" w:space="0"/>
            </w:tcBorders>
            <w:vAlign w:val="bottom"/>
          </w:tcPr>
          <w:p>
            <w:pPr>
              <w:spacing w:line="360" w:lineRule="auto"/>
              <w:ind w:left="240"/>
              <w:rPr>
                <w:sz w:val="20"/>
              </w:rPr>
            </w:pPr>
            <w:r>
              <w:rPr>
                <w:rFonts w:ascii="宋体" w:hAnsi="宋体" w:cs="宋体"/>
                <w:szCs w:val="21"/>
              </w:rPr>
              <w:t>型号</w:t>
            </w:r>
          </w:p>
        </w:tc>
        <w:tc>
          <w:tcPr>
            <w:tcW w:w="740" w:type="dxa"/>
            <w:tcBorders>
              <w:top w:val="single" w:color="auto" w:sz="8" w:space="0"/>
              <w:right w:val="single" w:color="auto" w:sz="8" w:space="0"/>
            </w:tcBorders>
            <w:vAlign w:val="bottom"/>
          </w:tcPr>
          <w:p>
            <w:pPr>
              <w:spacing w:line="360" w:lineRule="auto"/>
              <w:rPr>
                <w:sz w:val="24"/>
              </w:rPr>
            </w:pPr>
          </w:p>
        </w:tc>
        <w:tc>
          <w:tcPr>
            <w:tcW w:w="860" w:type="dxa"/>
            <w:tcBorders>
              <w:top w:val="single" w:color="auto" w:sz="8" w:space="0"/>
              <w:right w:val="single" w:color="auto" w:sz="8" w:space="0"/>
            </w:tcBorders>
            <w:vAlign w:val="bottom"/>
          </w:tcPr>
          <w:p>
            <w:pPr>
              <w:spacing w:line="360" w:lineRule="auto"/>
              <w:ind w:left="200"/>
              <w:rPr>
                <w:sz w:val="20"/>
              </w:rPr>
            </w:pPr>
            <w:r>
              <w:rPr>
                <w:rFonts w:ascii="宋体" w:hAnsi="宋体" w:cs="宋体"/>
                <w:szCs w:val="21"/>
              </w:rPr>
              <w:t>国别</w:t>
            </w:r>
          </w:p>
        </w:tc>
        <w:tc>
          <w:tcPr>
            <w:tcW w:w="1000" w:type="dxa"/>
            <w:tcBorders>
              <w:top w:val="single" w:color="auto" w:sz="8" w:space="0"/>
              <w:right w:val="single" w:color="auto" w:sz="8" w:space="0"/>
            </w:tcBorders>
            <w:vAlign w:val="bottom"/>
          </w:tcPr>
          <w:p>
            <w:pPr>
              <w:spacing w:line="360" w:lineRule="auto"/>
              <w:ind w:left="260"/>
              <w:rPr>
                <w:sz w:val="20"/>
              </w:rPr>
            </w:pPr>
            <w:r>
              <w:rPr>
                <w:rFonts w:ascii="宋体" w:hAnsi="宋体" w:cs="宋体"/>
                <w:szCs w:val="21"/>
              </w:rPr>
              <w:t>制造</w:t>
            </w:r>
          </w:p>
        </w:tc>
        <w:tc>
          <w:tcPr>
            <w:tcW w:w="1400" w:type="dxa"/>
            <w:tcBorders>
              <w:top w:val="single" w:color="auto" w:sz="8" w:space="0"/>
              <w:right w:val="single" w:color="auto" w:sz="8" w:space="0"/>
            </w:tcBorders>
            <w:vAlign w:val="bottom"/>
          </w:tcPr>
          <w:p>
            <w:pPr>
              <w:spacing w:line="360" w:lineRule="auto"/>
              <w:rPr>
                <w:sz w:val="24"/>
              </w:rPr>
            </w:pPr>
          </w:p>
        </w:tc>
        <w:tc>
          <w:tcPr>
            <w:tcW w:w="1180" w:type="dxa"/>
            <w:tcBorders>
              <w:top w:val="single" w:color="auto" w:sz="8" w:space="0"/>
              <w:right w:val="single" w:color="auto" w:sz="8" w:space="0"/>
            </w:tcBorders>
            <w:vAlign w:val="bottom"/>
          </w:tcPr>
          <w:p>
            <w:pPr>
              <w:spacing w:line="360" w:lineRule="auto"/>
              <w:rPr>
                <w:sz w:val="24"/>
              </w:rPr>
            </w:pPr>
          </w:p>
        </w:tc>
      </w:tr>
      <w:tr>
        <w:tblPrEx>
          <w:tblLayout w:type="fixed"/>
          <w:tblCellMar>
            <w:top w:w="0" w:type="dxa"/>
            <w:left w:w="0" w:type="dxa"/>
            <w:bottom w:w="0" w:type="dxa"/>
            <w:right w:w="0" w:type="dxa"/>
          </w:tblCellMar>
        </w:tblPrEx>
        <w:trPr>
          <w:trHeight w:val="221" w:hRule="atLeast"/>
        </w:trPr>
        <w:tc>
          <w:tcPr>
            <w:tcW w:w="740" w:type="dxa"/>
            <w:tcBorders>
              <w:left w:val="single" w:color="auto" w:sz="8" w:space="0"/>
              <w:right w:val="single" w:color="auto" w:sz="8" w:space="0"/>
            </w:tcBorders>
            <w:vAlign w:val="bottom"/>
          </w:tcPr>
          <w:p>
            <w:pPr>
              <w:spacing w:line="360" w:lineRule="auto"/>
              <w:ind w:left="120"/>
              <w:rPr>
                <w:sz w:val="20"/>
              </w:rPr>
            </w:pPr>
            <w:r>
              <w:rPr>
                <w:rFonts w:ascii="宋体" w:hAnsi="宋体" w:cs="宋体"/>
                <w:szCs w:val="21"/>
              </w:rPr>
              <w:t>序号</w:t>
            </w:r>
          </w:p>
        </w:tc>
        <w:tc>
          <w:tcPr>
            <w:tcW w:w="1280" w:type="dxa"/>
            <w:tcBorders>
              <w:right w:val="single" w:color="auto" w:sz="8" w:space="0"/>
            </w:tcBorders>
            <w:vAlign w:val="bottom"/>
          </w:tcPr>
          <w:p>
            <w:pPr>
              <w:spacing w:line="360" w:lineRule="auto"/>
              <w:rPr>
                <w:sz w:val="19"/>
                <w:szCs w:val="19"/>
              </w:rPr>
            </w:pPr>
          </w:p>
        </w:tc>
        <w:tc>
          <w:tcPr>
            <w:tcW w:w="940" w:type="dxa"/>
            <w:tcBorders>
              <w:right w:val="single" w:color="auto" w:sz="8" w:space="0"/>
            </w:tcBorders>
            <w:vAlign w:val="bottom"/>
          </w:tcPr>
          <w:p>
            <w:pPr>
              <w:spacing w:line="360" w:lineRule="auto"/>
              <w:rPr>
                <w:sz w:val="19"/>
                <w:szCs w:val="19"/>
              </w:rPr>
            </w:pPr>
          </w:p>
        </w:tc>
        <w:tc>
          <w:tcPr>
            <w:tcW w:w="740" w:type="dxa"/>
            <w:tcBorders>
              <w:right w:val="single" w:color="auto" w:sz="8" w:space="0"/>
            </w:tcBorders>
            <w:vAlign w:val="bottom"/>
          </w:tcPr>
          <w:p>
            <w:pPr>
              <w:spacing w:line="360" w:lineRule="auto"/>
              <w:ind w:left="140"/>
              <w:rPr>
                <w:sz w:val="20"/>
              </w:rPr>
            </w:pPr>
            <w:r>
              <w:rPr>
                <w:rFonts w:ascii="宋体" w:hAnsi="宋体" w:cs="宋体"/>
                <w:szCs w:val="21"/>
              </w:rPr>
              <w:t>数量</w:t>
            </w:r>
          </w:p>
        </w:tc>
        <w:tc>
          <w:tcPr>
            <w:tcW w:w="860" w:type="dxa"/>
            <w:tcBorders>
              <w:right w:val="single" w:color="auto" w:sz="8" w:space="0"/>
            </w:tcBorders>
            <w:vAlign w:val="bottom"/>
          </w:tcPr>
          <w:p>
            <w:pPr>
              <w:spacing w:line="360" w:lineRule="auto"/>
              <w:rPr>
                <w:sz w:val="19"/>
                <w:szCs w:val="19"/>
              </w:rPr>
            </w:pPr>
          </w:p>
        </w:tc>
        <w:tc>
          <w:tcPr>
            <w:tcW w:w="1000" w:type="dxa"/>
            <w:tcBorders>
              <w:right w:val="single" w:color="auto" w:sz="8" w:space="0"/>
            </w:tcBorders>
            <w:vAlign w:val="bottom"/>
          </w:tcPr>
          <w:p>
            <w:pPr>
              <w:spacing w:line="360" w:lineRule="auto"/>
              <w:rPr>
                <w:sz w:val="19"/>
                <w:szCs w:val="19"/>
              </w:rPr>
            </w:pPr>
          </w:p>
        </w:tc>
        <w:tc>
          <w:tcPr>
            <w:tcW w:w="1400" w:type="dxa"/>
            <w:tcBorders>
              <w:right w:val="single" w:color="auto" w:sz="8" w:space="0"/>
            </w:tcBorders>
            <w:vAlign w:val="bottom"/>
          </w:tcPr>
          <w:p>
            <w:pPr>
              <w:spacing w:line="360" w:lineRule="auto"/>
              <w:ind w:left="480"/>
              <w:rPr>
                <w:sz w:val="20"/>
              </w:rPr>
            </w:pPr>
            <w:r>
              <w:rPr>
                <w:rFonts w:ascii="宋体" w:hAnsi="宋体" w:cs="宋体"/>
                <w:szCs w:val="21"/>
              </w:rPr>
              <w:t>用途</w:t>
            </w:r>
          </w:p>
        </w:tc>
        <w:tc>
          <w:tcPr>
            <w:tcW w:w="1180" w:type="dxa"/>
            <w:tcBorders>
              <w:right w:val="single" w:color="auto" w:sz="8" w:space="0"/>
            </w:tcBorders>
            <w:vAlign w:val="bottom"/>
          </w:tcPr>
          <w:p>
            <w:pPr>
              <w:spacing w:line="360" w:lineRule="auto"/>
              <w:ind w:left="360"/>
              <w:rPr>
                <w:sz w:val="20"/>
              </w:rPr>
            </w:pPr>
            <w:r>
              <w:rPr>
                <w:rFonts w:ascii="宋体" w:hAnsi="宋体" w:cs="宋体"/>
                <w:szCs w:val="21"/>
              </w:rPr>
              <w:t>备注</w:t>
            </w:r>
          </w:p>
        </w:tc>
      </w:tr>
      <w:tr>
        <w:tblPrEx>
          <w:tblLayout w:type="fixed"/>
          <w:tblCellMar>
            <w:top w:w="0" w:type="dxa"/>
            <w:left w:w="0" w:type="dxa"/>
            <w:bottom w:w="0" w:type="dxa"/>
            <w:right w:w="0" w:type="dxa"/>
          </w:tblCellMar>
        </w:tblPrEx>
        <w:trPr>
          <w:trHeight w:val="218" w:hRule="atLeast"/>
        </w:trPr>
        <w:tc>
          <w:tcPr>
            <w:tcW w:w="740" w:type="dxa"/>
            <w:tcBorders>
              <w:left w:val="single" w:color="auto" w:sz="8" w:space="0"/>
              <w:right w:val="single" w:color="auto" w:sz="8" w:space="0"/>
            </w:tcBorders>
            <w:vAlign w:val="bottom"/>
          </w:tcPr>
          <w:p>
            <w:pPr>
              <w:spacing w:line="360" w:lineRule="auto"/>
              <w:rPr>
                <w:sz w:val="18"/>
                <w:szCs w:val="18"/>
              </w:rPr>
            </w:pPr>
          </w:p>
        </w:tc>
        <w:tc>
          <w:tcPr>
            <w:tcW w:w="1280" w:type="dxa"/>
            <w:tcBorders>
              <w:right w:val="single" w:color="auto" w:sz="8" w:space="0"/>
            </w:tcBorders>
            <w:vAlign w:val="bottom"/>
          </w:tcPr>
          <w:p>
            <w:pPr>
              <w:spacing w:line="360" w:lineRule="auto"/>
              <w:jc w:val="center"/>
              <w:rPr>
                <w:sz w:val="20"/>
              </w:rPr>
            </w:pPr>
            <w:r>
              <w:rPr>
                <w:rFonts w:ascii="宋体" w:hAnsi="宋体" w:cs="宋体"/>
                <w:w w:val="99"/>
                <w:szCs w:val="21"/>
              </w:rPr>
              <w:t>名称</w:t>
            </w:r>
          </w:p>
        </w:tc>
        <w:tc>
          <w:tcPr>
            <w:tcW w:w="940" w:type="dxa"/>
            <w:tcBorders>
              <w:right w:val="single" w:color="auto" w:sz="8" w:space="0"/>
            </w:tcBorders>
            <w:vAlign w:val="bottom"/>
          </w:tcPr>
          <w:p>
            <w:pPr>
              <w:spacing w:line="360" w:lineRule="auto"/>
              <w:ind w:left="240"/>
              <w:rPr>
                <w:sz w:val="20"/>
              </w:rPr>
            </w:pPr>
            <w:r>
              <w:rPr>
                <w:rFonts w:ascii="宋体" w:hAnsi="宋体" w:cs="宋体"/>
                <w:szCs w:val="21"/>
              </w:rPr>
              <w:t>规格</w:t>
            </w:r>
          </w:p>
        </w:tc>
        <w:tc>
          <w:tcPr>
            <w:tcW w:w="740" w:type="dxa"/>
            <w:tcBorders>
              <w:right w:val="single" w:color="auto" w:sz="8" w:space="0"/>
            </w:tcBorders>
            <w:vAlign w:val="bottom"/>
          </w:tcPr>
          <w:p>
            <w:pPr>
              <w:spacing w:line="360" w:lineRule="auto"/>
              <w:rPr>
                <w:sz w:val="18"/>
                <w:szCs w:val="18"/>
              </w:rPr>
            </w:pPr>
          </w:p>
        </w:tc>
        <w:tc>
          <w:tcPr>
            <w:tcW w:w="860" w:type="dxa"/>
            <w:tcBorders>
              <w:right w:val="single" w:color="auto" w:sz="8" w:space="0"/>
            </w:tcBorders>
            <w:vAlign w:val="bottom"/>
          </w:tcPr>
          <w:p>
            <w:pPr>
              <w:spacing w:line="360" w:lineRule="auto"/>
              <w:ind w:left="200"/>
              <w:rPr>
                <w:sz w:val="20"/>
              </w:rPr>
            </w:pPr>
            <w:r>
              <w:rPr>
                <w:rFonts w:ascii="宋体" w:hAnsi="宋体" w:cs="宋体"/>
                <w:szCs w:val="21"/>
              </w:rPr>
              <w:t>产地</w:t>
            </w:r>
          </w:p>
        </w:tc>
        <w:tc>
          <w:tcPr>
            <w:tcW w:w="1000" w:type="dxa"/>
            <w:tcBorders>
              <w:right w:val="single" w:color="auto" w:sz="8" w:space="0"/>
            </w:tcBorders>
            <w:vAlign w:val="bottom"/>
          </w:tcPr>
          <w:p>
            <w:pPr>
              <w:spacing w:line="360" w:lineRule="auto"/>
              <w:ind w:left="260"/>
              <w:rPr>
                <w:sz w:val="20"/>
              </w:rPr>
            </w:pPr>
            <w:r>
              <w:rPr>
                <w:rFonts w:ascii="宋体" w:hAnsi="宋体" w:cs="宋体"/>
                <w:szCs w:val="21"/>
              </w:rPr>
              <w:t>年份</w:t>
            </w:r>
          </w:p>
        </w:tc>
        <w:tc>
          <w:tcPr>
            <w:tcW w:w="1400" w:type="dxa"/>
            <w:tcBorders>
              <w:right w:val="single" w:color="auto" w:sz="8" w:space="0"/>
            </w:tcBorders>
            <w:vAlign w:val="bottom"/>
          </w:tcPr>
          <w:p>
            <w:pPr>
              <w:spacing w:line="360" w:lineRule="auto"/>
              <w:rPr>
                <w:sz w:val="18"/>
                <w:szCs w:val="18"/>
              </w:rPr>
            </w:pPr>
          </w:p>
        </w:tc>
        <w:tc>
          <w:tcPr>
            <w:tcW w:w="1180" w:type="dxa"/>
            <w:tcBorders>
              <w:right w:val="single" w:color="auto" w:sz="8" w:space="0"/>
            </w:tcBorders>
            <w:vAlign w:val="bottom"/>
          </w:tcPr>
          <w:p>
            <w:pPr>
              <w:spacing w:line="360" w:lineRule="auto"/>
              <w:rPr>
                <w:sz w:val="18"/>
                <w:szCs w:val="18"/>
              </w:rPr>
            </w:pPr>
          </w:p>
        </w:tc>
      </w:tr>
      <w:tr>
        <w:tblPrEx>
          <w:tblLayout w:type="fixed"/>
          <w:tblCellMar>
            <w:top w:w="0" w:type="dxa"/>
            <w:left w:w="0" w:type="dxa"/>
            <w:bottom w:w="0" w:type="dxa"/>
            <w:right w:w="0" w:type="dxa"/>
          </w:tblCellMar>
        </w:tblPrEx>
        <w:trPr>
          <w:trHeight w:val="85" w:hRule="atLeast"/>
        </w:trPr>
        <w:tc>
          <w:tcPr>
            <w:tcW w:w="740" w:type="dxa"/>
            <w:tcBorders>
              <w:left w:val="single" w:color="auto" w:sz="8" w:space="0"/>
              <w:bottom w:val="single" w:color="auto" w:sz="8" w:space="0"/>
              <w:right w:val="single" w:color="auto" w:sz="8" w:space="0"/>
            </w:tcBorders>
            <w:vAlign w:val="bottom"/>
          </w:tcPr>
          <w:p>
            <w:pPr>
              <w:spacing w:line="360" w:lineRule="auto"/>
              <w:rPr>
                <w:sz w:val="7"/>
                <w:szCs w:val="7"/>
              </w:rPr>
            </w:pPr>
          </w:p>
        </w:tc>
        <w:tc>
          <w:tcPr>
            <w:tcW w:w="1280" w:type="dxa"/>
            <w:tcBorders>
              <w:bottom w:val="single" w:color="auto" w:sz="8" w:space="0"/>
              <w:right w:val="single" w:color="auto" w:sz="8" w:space="0"/>
            </w:tcBorders>
            <w:vAlign w:val="bottom"/>
          </w:tcPr>
          <w:p>
            <w:pPr>
              <w:spacing w:line="360" w:lineRule="auto"/>
              <w:rPr>
                <w:sz w:val="7"/>
                <w:szCs w:val="7"/>
              </w:rPr>
            </w:pPr>
          </w:p>
        </w:tc>
        <w:tc>
          <w:tcPr>
            <w:tcW w:w="940" w:type="dxa"/>
            <w:tcBorders>
              <w:bottom w:val="single" w:color="auto" w:sz="8" w:space="0"/>
              <w:right w:val="single" w:color="auto" w:sz="8" w:space="0"/>
            </w:tcBorders>
            <w:vAlign w:val="bottom"/>
          </w:tcPr>
          <w:p>
            <w:pPr>
              <w:spacing w:line="360" w:lineRule="auto"/>
              <w:rPr>
                <w:sz w:val="7"/>
                <w:szCs w:val="7"/>
              </w:rPr>
            </w:pPr>
          </w:p>
        </w:tc>
        <w:tc>
          <w:tcPr>
            <w:tcW w:w="740" w:type="dxa"/>
            <w:tcBorders>
              <w:bottom w:val="single" w:color="auto" w:sz="8" w:space="0"/>
              <w:right w:val="single" w:color="auto" w:sz="8" w:space="0"/>
            </w:tcBorders>
            <w:vAlign w:val="bottom"/>
          </w:tcPr>
          <w:p>
            <w:pPr>
              <w:spacing w:line="360" w:lineRule="auto"/>
              <w:rPr>
                <w:sz w:val="7"/>
                <w:szCs w:val="7"/>
              </w:rPr>
            </w:pPr>
          </w:p>
        </w:tc>
        <w:tc>
          <w:tcPr>
            <w:tcW w:w="860" w:type="dxa"/>
            <w:tcBorders>
              <w:bottom w:val="single" w:color="auto" w:sz="8" w:space="0"/>
              <w:right w:val="single" w:color="auto" w:sz="8" w:space="0"/>
            </w:tcBorders>
            <w:vAlign w:val="bottom"/>
          </w:tcPr>
          <w:p>
            <w:pPr>
              <w:spacing w:line="360" w:lineRule="auto"/>
              <w:rPr>
                <w:sz w:val="7"/>
                <w:szCs w:val="7"/>
              </w:rPr>
            </w:pPr>
          </w:p>
        </w:tc>
        <w:tc>
          <w:tcPr>
            <w:tcW w:w="1000" w:type="dxa"/>
            <w:tcBorders>
              <w:bottom w:val="single" w:color="auto" w:sz="8" w:space="0"/>
              <w:right w:val="single" w:color="auto" w:sz="8" w:space="0"/>
            </w:tcBorders>
            <w:vAlign w:val="bottom"/>
          </w:tcPr>
          <w:p>
            <w:pPr>
              <w:spacing w:line="360" w:lineRule="auto"/>
              <w:rPr>
                <w:sz w:val="7"/>
                <w:szCs w:val="7"/>
              </w:rPr>
            </w:pPr>
          </w:p>
        </w:tc>
        <w:tc>
          <w:tcPr>
            <w:tcW w:w="1400" w:type="dxa"/>
            <w:tcBorders>
              <w:bottom w:val="single" w:color="auto" w:sz="8" w:space="0"/>
              <w:right w:val="single" w:color="auto" w:sz="8" w:space="0"/>
            </w:tcBorders>
            <w:vAlign w:val="bottom"/>
          </w:tcPr>
          <w:p>
            <w:pPr>
              <w:spacing w:line="360" w:lineRule="auto"/>
              <w:rPr>
                <w:sz w:val="7"/>
                <w:szCs w:val="7"/>
              </w:rPr>
            </w:pPr>
          </w:p>
        </w:tc>
        <w:tc>
          <w:tcPr>
            <w:tcW w:w="1180" w:type="dxa"/>
            <w:tcBorders>
              <w:bottom w:val="single" w:color="auto" w:sz="8" w:space="0"/>
              <w:right w:val="single" w:color="auto" w:sz="8" w:space="0"/>
            </w:tcBorders>
            <w:vAlign w:val="bottom"/>
          </w:tcPr>
          <w:p>
            <w:pPr>
              <w:spacing w:line="360" w:lineRule="auto"/>
              <w:rPr>
                <w:sz w:val="7"/>
                <w:szCs w:val="7"/>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spacing w:line="360" w:lineRule="auto"/>
              <w:rPr>
                <w:sz w:val="24"/>
              </w:rPr>
            </w:pPr>
          </w:p>
        </w:tc>
        <w:tc>
          <w:tcPr>
            <w:tcW w:w="1280" w:type="dxa"/>
            <w:tcBorders>
              <w:bottom w:val="single" w:color="auto" w:sz="8" w:space="0"/>
              <w:right w:val="single" w:color="auto" w:sz="8" w:space="0"/>
            </w:tcBorders>
            <w:vAlign w:val="bottom"/>
          </w:tcPr>
          <w:p>
            <w:pPr>
              <w:spacing w:line="360" w:lineRule="auto"/>
              <w:rPr>
                <w:sz w:val="24"/>
              </w:rPr>
            </w:pPr>
          </w:p>
        </w:tc>
        <w:tc>
          <w:tcPr>
            <w:tcW w:w="940" w:type="dxa"/>
            <w:tcBorders>
              <w:bottom w:val="single" w:color="auto" w:sz="8" w:space="0"/>
              <w:right w:val="single" w:color="auto" w:sz="8" w:space="0"/>
            </w:tcBorders>
            <w:vAlign w:val="bottom"/>
          </w:tcPr>
          <w:p>
            <w:pPr>
              <w:spacing w:line="360" w:lineRule="auto"/>
              <w:rPr>
                <w:sz w:val="24"/>
              </w:rPr>
            </w:pPr>
          </w:p>
        </w:tc>
        <w:tc>
          <w:tcPr>
            <w:tcW w:w="740" w:type="dxa"/>
            <w:tcBorders>
              <w:bottom w:val="single" w:color="auto" w:sz="8" w:space="0"/>
              <w:right w:val="single" w:color="auto" w:sz="8" w:space="0"/>
            </w:tcBorders>
            <w:vAlign w:val="bottom"/>
          </w:tcPr>
          <w:p>
            <w:pPr>
              <w:spacing w:line="360" w:lineRule="auto"/>
              <w:rPr>
                <w:sz w:val="24"/>
              </w:rPr>
            </w:pPr>
          </w:p>
        </w:tc>
        <w:tc>
          <w:tcPr>
            <w:tcW w:w="860" w:type="dxa"/>
            <w:tcBorders>
              <w:bottom w:val="single" w:color="auto" w:sz="8" w:space="0"/>
              <w:right w:val="single" w:color="auto" w:sz="8" w:space="0"/>
            </w:tcBorders>
            <w:vAlign w:val="bottom"/>
          </w:tcPr>
          <w:p>
            <w:pPr>
              <w:spacing w:line="360" w:lineRule="auto"/>
              <w:rPr>
                <w:sz w:val="24"/>
              </w:rPr>
            </w:pPr>
          </w:p>
        </w:tc>
        <w:tc>
          <w:tcPr>
            <w:tcW w:w="1000" w:type="dxa"/>
            <w:tcBorders>
              <w:bottom w:val="single" w:color="auto" w:sz="8" w:space="0"/>
              <w:right w:val="single" w:color="auto" w:sz="8" w:space="0"/>
            </w:tcBorders>
            <w:vAlign w:val="bottom"/>
          </w:tcPr>
          <w:p>
            <w:pPr>
              <w:spacing w:line="360" w:lineRule="auto"/>
              <w:rPr>
                <w:sz w:val="24"/>
              </w:rPr>
            </w:pPr>
          </w:p>
        </w:tc>
        <w:tc>
          <w:tcPr>
            <w:tcW w:w="1400" w:type="dxa"/>
            <w:tcBorders>
              <w:bottom w:val="single" w:color="auto" w:sz="8" w:space="0"/>
              <w:right w:val="single" w:color="auto" w:sz="8" w:space="0"/>
            </w:tcBorders>
            <w:vAlign w:val="bottom"/>
          </w:tcPr>
          <w:p>
            <w:pPr>
              <w:spacing w:line="360" w:lineRule="auto"/>
              <w:rPr>
                <w:sz w:val="24"/>
              </w:rPr>
            </w:pPr>
          </w:p>
        </w:tc>
        <w:tc>
          <w:tcPr>
            <w:tcW w:w="1180" w:type="dxa"/>
            <w:tcBorders>
              <w:bottom w:val="single" w:color="auto" w:sz="8" w:space="0"/>
              <w:right w:val="single" w:color="auto" w:sz="8" w:space="0"/>
            </w:tcBorders>
            <w:vAlign w:val="bottom"/>
          </w:tcPr>
          <w:p>
            <w:pPr>
              <w:spacing w:line="360" w:lineRule="auto"/>
              <w:rPr>
                <w:sz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spacing w:line="360" w:lineRule="auto"/>
              <w:rPr>
                <w:sz w:val="24"/>
              </w:rPr>
            </w:pPr>
          </w:p>
        </w:tc>
        <w:tc>
          <w:tcPr>
            <w:tcW w:w="1280" w:type="dxa"/>
            <w:tcBorders>
              <w:bottom w:val="single" w:color="auto" w:sz="8" w:space="0"/>
              <w:right w:val="single" w:color="auto" w:sz="8" w:space="0"/>
            </w:tcBorders>
            <w:vAlign w:val="bottom"/>
          </w:tcPr>
          <w:p>
            <w:pPr>
              <w:spacing w:line="360" w:lineRule="auto"/>
              <w:rPr>
                <w:sz w:val="24"/>
              </w:rPr>
            </w:pPr>
          </w:p>
        </w:tc>
        <w:tc>
          <w:tcPr>
            <w:tcW w:w="940" w:type="dxa"/>
            <w:tcBorders>
              <w:bottom w:val="single" w:color="auto" w:sz="8" w:space="0"/>
              <w:right w:val="single" w:color="auto" w:sz="8" w:space="0"/>
            </w:tcBorders>
            <w:vAlign w:val="bottom"/>
          </w:tcPr>
          <w:p>
            <w:pPr>
              <w:spacing w:line="360" w:lineRule="auto"/>
              <w:rPr>
                <w:sz w:val="24"/>
              </w:rPr>
            </w:pPr>
          </w:p>
        </w:tc>
        <w:tc>
          <w:tcPr>
            <w:tcW w:w="740" w:type="dxa"/>
            <w:tcBorders>
              <w:bottom w:val="single" w:color="auto" w:sz="8" w:space="0"/>
              <w:right w:val="single" w:color="auto" w:sz="8" w:space="0"/>
            </w:tcBorders>
            <w:vAlign w:val="bottom"/>
          </w:tcPr>
          <w:p>
            <w:pPr>
              <w:spacing w:line="360" w:lineRule="auto"/>
              <w:rPr>
                <w:sz w:val="24"/>
              </w:rPr>
            </w:pPr>
          </w:p>
        </w:tc>
        <w:tc>
          <w:tcPr>
            <w:tcW w:w="860" w:type="dxa"/>
            <w:tcBorders>
              <w:bottom w:val="single" w:color="auto" w:sz="8" w:space="0"/>
              <w:right w:val="single" w:color="auto" w:sz="8" w:space="0"/>
            </w:tcBorders>
            <w:vAlign w:val="bottom"/>
          </w:tcPr>
          <w:p>
            <w:pPr>
              <w:spacing w:line="360" w:lineRule="auto"/>
              <w:rPr>
                <w:sz w:val="24"/>
              </w:rPr>
            </w:pPr>
          </w:p>
        </w:tc>
        <w:tc>
          <w:tcPr>
            <w:tcW w:w="1000" w:type="dxa"/>
            <w:tcBorders>
              <w:bottom w:val="single" w:color="auto" w:sz="8" w:space="0"/>
              <w:right w:val="single" w:color="auto" w:sz="8" w:space="0"/>
            </w:tcBorders>
            <w:vAlign w:val="bottom"/>
          </w:tcPr>
          <w:p>
            <w:pPr>
              <w:spacing w:line="360" w:lineRule="auto"/>
              <w:rPr>
                <w:sz w:val="24"/>
              </w:rPr>
            </w:pPr>
          </w:p>
        </w:tc>
        <w:tc>
          <w:tcPr>
            <w:tcW w:w="1400" w:type="dxa"/>
            <w:tcBorders>
              <w:bottom w:val="single" w:color="auto" w:sz="8" w:space="0"/>
              <w:right w:val="single" w:color="auto" w:sz="8" w:space="0"/>
            </w:tcBorders>
            <w:vAlign w:val="bottom"/>
          </w:tcPr>
          <w:p>
            <w:pPr>
              <w:spacing w:line="360" w:lineRule="auto"/>
              <w:rPr>
                <w:sz w:val="24"/>
              </w:rPr>
            </w:pPr>
          </w:p>
        </w:tc>
        <w:tc>
          <w:tcPr>
            <w:tcW w:w="1180" w:type="dxa"/>
            <w:tcBorders>
              <w:bottom w:val="single" w:color="auto" w:sz="8" w:space="0"/>
              <w:right w:val="single" w:color="auto" w:sz="8" w:space="0"/>
            </w:tcBorders>
            <w:vAlign w:val="bottom"/>
          </w:tcPr>
          <w:p>
            <w:pPr>
              <w:spacing w:line="360" w:lineRule="auto"/>
              <w:rPr>
                <w:sz w:val="24"/>
              </w:rPr>
            </w:pPr>
          </w:p>
        </w:tc>
      </w:tr>
      <w:tr>
        <w:tblPrEx>
          <w:tblLayout w:type="fixed"/>
          <w:tblCellMar>
            <w:top w:w="0" w:type="dxa"/>
            <w:left w:w="0" w:type="dxa"/>
            <w:bottom w:w="0" w:type="dxa"/>
            <w:right w:w="0" w:type="dxa"/>
          </w:tblCellMar>
        </w:tblPrEx>
        <w:trPr>
          <w:trHeight w:val="456" w:hRule="atLeast"/>
        </w:trPr>
        <w:tc>
          <w:tcPr>
            <w:tcW w:w="740" w:type="dxa"/>
            <w:tcBorders>
              <w:left w:val="single" w:color="auto" w:sz="8" w:space="0"/>
              <w:bottom w:val="single" w:color="auto" w:sz="8" w:space="0"/>
              <w:right w:val="single" w:color="auto" w:sz="8" w:space="0"/>
            </w:tcBorders>
            <w:vAlign w:val="bottom"/>
          </w:tcPr>
          <w:p>
            <w:pPr>
              <w:spacing w:line="360" w:lineRule="auto"/>
              <w:rPr>
                <w:sz w:val="24"/>
              </w:rPr>
            </w:pPr>
          </w:p>
        </w:tc>
        <w:tc>
          <w:tcPr>
            <w:tcW w:w="1280" w:type="dxa"/>
            <w:tcBorders>
              <w:bottom w:val="single" w:color="auto" w:sz="8" w:space="0"/>
              <w:right w:val="single" w:color="auto" w:sz="8" w:space="0"/>
            </w:tcBorders>
            <w:vAlign w:val="bottom"/>
          </w:tcPr>
          <w:p>
            <w:pPr>
              <w:spacing w:line="360" w:lineRule="auto"/>
              <w:rPr>
                <w:sz w:val="24"/>
              </w:rPr>
            </w:pPr>
          </w:p>
        </w:tc>
        <w:tc>
          <w:tcPr>
            <w:tcW w:w="940" w:type="dxa"/>
            <w:tcBorders>
              <w:bottom w:val="single" w:color="auto" w:sz="8" w:space="0"/>
              <w:right w:val="single" w:color="auto" w:sz="8" w:space="0"/>
            </w:tcBorders>
            <w:vAlign w:val="bottom"/>
          </w:tcPr>
          <w:p>
            <w:pPr>
              <w:spacing w:line="360" w:lineRule="auto"/>
              <w:rPr>
                <w:sz w:val="24"/>
              </w:rPr>
            </w:pPr>
          </w:p>
        </w:tc>
        <w:tc>
          <w:tcPr>
            <w:tcW w:w="740" w:type="dxa"/>
            <w:tcBorders>
              <w:bottom w:val="single" w:color="auto" w:sz="8" w:space="0"/>
              <w:right w:val="single" w:color="auto" w:sz="8" w:space="0"/>
            </w:tcBorders>
            <w:vAlign w:val="bottom"/>
          </w:tcPr>
          <w:p>
            <w:pPr>
              <w:spacing w:line="360" w:lineRule="auto"/>
              <w:rPr>
                <w:sz w:val="24"/>
              </w:rPr>
            </w:pPr>
          </w:p>
        </w:tc>
        <w:tc>
          <w:tcPr>
            <w:tcW w:w="860" w:type="dxa"/>
            <w:tcBorders>
              <w:bottom w:val="single" w:color="auto" w:sz="8" w:space="0"/>
              <w:right w:val="single" w:color="auto" w:sz="8" w:space="0"/>
            </w:tcBorders>
            <w:vAlign w:val="bottom"/>
          </w:tcPr>
          <w:p>
            <w:pPr>
              <w:spacing w:line="360" w:lineRule="auto"/>
              <w:rPr>
                <w:sz w:val="24"/>
              </w:rPr>
            </w:pPr>
          </w:p>
        </w:tc>
        <w:tc>
          <w:tcPr>
            <w:tcW w:w="1000" w:type="dxa"/>
            <w:tcBorders>
              <w:bottom w:val="single" w:color="auto" w:sz="8" w:space="0"/>
              <w:right w:val="single" w:color="auto" w:sz="8" w:space="0"/>
            </w:tcBorders>
            <w:vAlign w:val="bottom"/>
          </w:tcPr>
          <w:p>
            <w:pPr>
              <w:spacing w:line="360" w:lineRule="auto"/>
              <w:rPr>
                <w:sz w:val="24"/>
              </w:rPr>
            </w:pPr>
          </w:p>
        </w:tc>
        <w:tc>
          <w:tcPr>
            <w:tcW w:w="1400" w:type="dxa"/>
            <w:tcBorders>
              <w:bottom w:val="single" w:color="auto" w:sz="8" w:space="0"/>
              <w:right w:val="single" w:color="auto" w:sz="8" w:space="0"/>
            </w:tcBorders>
            <w:vAlign w:val="bottom"/>
          </w:tcPr>
          <w:p>
            <w:pPr>
              <w:spacing w:line="360" w:lineRule="auto"/>
              <w:rPr>
                <w:sz w:val="24"/>
              </w:rPr>
            </w:pPr>
          </w:p>
        </w:tc>
        <w:tc>
          <w:tcPr>
            <w:tcW w:w="1180" w:type="dxa"/>
            <w:tcBorders>
              <w:bottom w:val="single" w:color="auto" w:sz="8" w:space="0"/>
              <w:right w:val="single" w:color="auto" w:sz="8" w:space="0"/>
            </w:tcBorders>
            <w:vAlign w:val="bottom"/>
          </w:tcPr>
          <w:p>
            <w:pPr>
              <w:spacing w:line="360" w:lineRule="auto"/>
              <w:rPr>
                <w:sz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spacing w:line="360" w:lineRule="auto"/>
              <w:rPr>
                <w:sz w:val="24"/>
              </w:rPr>
            </w:pPr>
          </w:p>
        </w:tc>
        <w:tc>
          <w:tcPr>
            <w:tcW w:w="1280" w:type="dxa"/>
            <w:tcBorders>
              <w:bottom w:val="single" w:color="auto" w:sz="8" w:space="0"/>
              <w:right w:val="single" w:color="auto" w:sz="8" w:space="0"/>
            </w:tcBorders>
            <w:vAlign w:val="bottom"/>
          </w:tcPr>
          <w:p>
            <w:pPr>
              <w:spacing w:line="360" w:lineRule="auto"/>
              <w:rPr>
                <w:sz w:val="24"/>
              </w:rPr>
            </w:pPr>
          </w:p>
        </w:tc>
        <w:tc>
          <w:tcPr>
            <w:tcW w:w="940" w:type="dxa"/>
            <w:tcBorders>
              <w:bottom w:val="single" w:color="auto" w:sz="8" w:space="0"/>
              <w:right w:val="single" w:color="auto" w:sz="8" w:space="0"/>
            </w:tcBorders>
            <w:vAlign w:val="bottom"/>
          </w:tcPr>
          <w:p>
            <w:pPr>
              <w:spacing w:line="360" w:lineRule="auto"/>
              <w:rPr>
                <w:sz w:val="24"/>
              </w:rPr>
            </w:pPr>
          </w:p>
        </w:tc>
        <w:tc>
          <w:tcPr>
            <w:tcW w:w="740" w:type="dxa"/>
            <w:tcBorders>
              <w:bottom w:val="single" w:color="auto" w:sz="8" w:space="0"/>
              <w:right w:val="single" w:color="auto" w:sz="8" w:space="0"/>
            </w:tcBorders>
            <w:vAlign w:val="bottom"/>
          </w:tcPr>
          <w:p>
            <w:pPr>
              <w:spacing w:line="360" w:lineRule="auto"/>
              <w:rPr>
                <w:sz w:val="24"/>
              </w:rPr>
            </w:pPr>
          </w:p>
        </w:tc>
        <w:tc>
          <w:tcPr>
            <w:tcW w:w="860" w:type="dxa"/>
            <w:tcBorders>
              <w:bottom w:val="single" w:color="auto" w:sz="8" w:space="0"/>
              <w:right w:val="single" w:color="auto" w:sz="8" w:space="0"/>
            </w:tcBorders>
            <w:vAlign w:val="bottom"/>
          </w:tcPr>
          <w:p>
            <w:pPr>
              <w:spacing w:line="360" w:lineRule="auto"/>
              <w:rPr>
                <w:sz w:val="24"/>
              </w:rPr>
            </w:pPr>
          </w:p>
        </w:tc>
        <w:tc>
          <w:tcPr>
            <w:tcW w:w="1000" w:type="dxa"/>
            <w:tcBorders>
              <w:bottom w:val="single" w:color="auto" w:sz="8" w:space="0"/>
              <w:right w:val="single" w:color="auto" w:sz="8" w:space="0"/>
            </w:tcBorders>
            <w:vAlign w:val="bottom"/>
          </w:tcPr>
          <w:p>
            <w:pPr>
              <w:spacing w:line="360" w:lineRule="auto"/>
              <w:rPr>
                <w:sz w:val="24"/>
              </w:rPr>
            </w:pPr>
          </w:p>
        </w:tc>
        <w:tc>
          <w:tcPr>
            <w:tcW w:w="1400" w:type="dxa"/>
            <w:tcBorders>
              <w:bottom w:val="single" w:color="auto" w:sz="8" w:space="0"/>
              <w:right w:val="single" w:color="auto" w:sz="8" w:space="0"/>
            </w:tcBorders>
            <w:vAlign w:val="bottom"/>
          </w:tcPr>
          <w:p>
            <w:pPr>
              <w:spacing w:line="360" w:lineRule="auto"/>
              <w:rPr>
                <w:sz w:val="24"/>
              </w:rPr>
            </w:pPr>
          </w:p>
        </w:tc>
        <w:tc>
          <w:tcPr>
            <w:tcW w:w="1180" w:type="dxa"/>
            <w:tcBorders>
              <w:bottom w:val="single" w:color="auto" w:sz="8" w:space="0"/>
              <w:right w:val="single" w:color="auto" w:sz="8" w:space="0"/>
            </w:tcBorders>
            <w:vAlign w:val="bottom"/>
          </w:tcPr>
          <w:p>
            <w:pPr>
              <w:spacing w:line="360" w:lineRule="auto"/>
              <w:rPr>
                <w:sz w:val="24"/>
              </w:rPr>
            </w:pPr>
          </w:p>
        </w:tc>
      </w:tr>
      <w:tr>
        <w:tblPrEx>
          <w:tblLayout w:type="fixed"/>
          <w:tblCellMar>
            <w:top w:w="0" w:type="dxa"/>
            <w:left w:w="0" w:type="dxa"/>
            <w:bottom w:w="0" w:type="dxa"/>
            <w:right w:w="0" w:type="dxa"/>
          </w:tblCellMar>
        </w:tblPrEx>
        <w:trPr>
          <w:trHeight w:val="438" w:hRule="atLeast"/>
        </w:trPr>
        <w:tc>
          <w:tcPr>
            <w:tcW w:w="740" w:type="dxa"/>
            <w:tcBorders>
              <w:left w:val="single" w:color="auto" w:sz="8" w:space="0"/>
              <w:bottom w:val="single" w:color="auto" w:sz="8" w:space="0"/>
              <w:right w:val="single" w:color="auto" w:sz="8" w:space="0"/>
            </w:tcBorders>
            <w:vAlign w:val="bottom"/>
          </w:tcPr>
          <w:p>
            <w:pPr>
              <w:spacing w:line="360" w:lineRule="auto"/>
              <w:rPr>
                <w:sz w:val="24"/>
              </w:rPr>
            </w:pPr>
          </w:p>
        </w:tc>
        <w:tc>
          <w:tcPr>
            <w:tcW w:w="1280" w:type="dxa"/>
            <w:tcBorders>
              <w:bottom w:val="single" w:color="auto" w:sz="8" w:space="0"/>
              <w:right w:val="single" w:color="auto" w:sz="8" w:space="0"/>
            </w:tcBorders>
            <w:vAlign w:val="bottom"/>
          </w:tcPr>
          <w:p>
            <w:pPr>
              <w:spacing w:line="360" w:lineRule="auto"/>
              <w:rPr>
                <w:sz w:val="24"/>
              </w:rPr>
            </w:pPr>
          </w:p>
        </w:tc>
        <w:tc>
          <w:tcPr>
            <w:tcW w:w="940" w:type="dxa"/>
            <w:tcBorders>
              <w:bottom w:val="single" w:color="auto" w:sz="8" w:space="0"/>
              <w:right w:val="single" w:color="auto" w:sz="8" w:space="0"/>
            </w:tcBorders>
            <w:vAlign w:val="bottom"/>
          </w:tcPr>
          <w:p>
            <w:pPr>
              <w:spacing w:line="360" w:lineRule="auto"/>
              <w:rPr>
                <w:sz w:val="24"/>
              </w:rPr>
            </w:pPr>
          </w:p>
        </w:tc>
        <w:tc>
          <w:tcPr>
            <w:tcW w:w="740" w:type="dxa"/>
            <w:tcBorders>
              <w:bottom w:val="single" w:color="auto" w:sz="8" w:space="0"/>
              <w:right w:val="single" w:color="auto" w:sz="8" w:space="0"/>
            </w:tcBorders>
            <w:vAlign w:val="bottom"/>
          </w:tcPr>
          <w:p>
            <w:pPr>
              <w:spacing w:line="360" w:lineRule="auto"/>
              <w:rPr>
                <w:sz w:val="24"/>
              </w:rPr>
            </w:pPr>
          </w:p>
        </w:tc>
        <w:tc>
          <w:tcPr>
            <w:tcW w:w="860" w:type="dxa"/>
            <w:tcBorders>
              <w:bottom w:val="single" w:color="auto" w:sz="8" w:space="0"/>
              <w:right w:val="single" w:color="auto" w:sz="8" w:space="0"/>
            </w:tcBorders>
            <w:vAlign w:val="bottom"/>
          </w:tcPr>
          <w:p>
            <w:pPr>
              <w:spacing w:line="360" w:lineRule="auto"/>
              <w:rPr>
                <w:sz w:val="24"/>
              </w:rPr>
            </w:pPr>
          </w:p>
        </w:tc>
        <w:tc>
          <w:tcPr>
            <w:tcW w:w="1000" w:type="dxa"/>
            <w:tcBorders>
              <w:bottom w:val="single" w:color="auto" w:sz="8" w:space="0"/>
              <w:right w:val="single" w:color="auto" w:sz="8" w:space="0"/>
            </w:tcBorders>
            <w:vAlign w:val="bottom"/>
          </w:tcPr>
          <w:p>
            <w:pPr>
              <w:spacing w:line="360" w:lineRule="auto"/>
              <w:rPr>
                <w:sz w:val="24"/>
              </w:rPr>
            </w:pPr>
          </w:p>
        </w:tc>
        <w:tc>
          <w:tcPr>
            <w:tcW w:w="1400" w:type="dxa"/>
            <w:tcBorders>
              <w:bottom w:val="single" w:color="auto" w:sz="8" w:space="0"/>
              <w:right w:val="single" w:color="auto" w:sz="8" w:space="0"/>
            </w:tcBorders>
            <w:vAlign w:val="bottom"/>
          </w:tcPr>
          <w:p>
            <w:pPr>
              <w:spacing w:line="360" w:lineRule="auto"/>
              <w:rPr>
                <w:sz w:val="24"/>
              </w:rPr>
            </w:pPr>
          </w:p>
        </w:tc>
        <w:tc>
          <w:tcPr>
            <w:tcW w:w="1180" w:type="dxa"/>
            <w:tcBorders>
              <w:bottom w:val="single" w:color="auto" w:sz="8" w:space="0"/>
              <w:right w:val="single" w:color="auto" w:sz="8" w:space="0"/>
            </w:tcBorders>
            <w:vAlign w:val="bottom"/>
          </w:tcPr>
          <w:p>
            <w:pPr>
              <w:spacing w:line="360" w:lineRule="auto"/>
              <w:rPr>
                <w:sz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spacing w:line="360" w:lineRule="auto"/>
              <w:rPr>
                <w:sz w:val="24"/>
              </w:rPr>
            </w:pPr>
          </w:p>
        </w:tc>
        <w:tc>
          <w:tcPr>
            <w:tcW w:w="1280" w:type="dxa"/>
            <w:tcBorders>
              <w:bottom w:val="single" w:color="auto" w:sz="8" w:space="0"/>
              <w:right w:val="single" w:color="auto" w:sz="8" w:space="0"/>
            </w:tcBorders>
            <w:vAlign w:val="bottom"/>
          </w:tcPr>
          <w:p>
            <w:pPr>
              <w:spacing w:line="360" w:lineRule="auto"/>
              <w:rPr>
                <w:sz w:val="24"/>
              </w:rPr>
            </w:pPr>
          </w:p>
        </w:tc>
        <w:tc>
          <w:tcPr>
            <w:tcW w:w="940" w:type="dxa"/>
            <w:tcBorders>
              <w:bottom w:val="single" w:color="auto" w:sz="8" w:space="0"/>
              <w:right w:val="single" w:color="auto" w:sz="8" w:space="0"/>
            </w:tcBorders>
            <w:vAlign w:val="bottom"/>
          </w:tcPr>
          <w:p>
            <w:pPr>
              <w:spacing w:line="360" w:lineRule="auto"/>
              <w:rPr>
                <w:sz w:val="24"/>
              </w:rPr>
            </w:pPr>
          </w:p>
        </w:tc>
        <w:tc>
          <w:tcPr>
            <w:tcW w:w="740" w:type="dxa"/>
            <w:tcBorders>
              <w:bottom w:val="single" w:color="auto" w:sz="8" w:space="0"/>
              <w:right w:val="single" w:color="auto" w:sz="8" w:space="0"/>
            </w:tcBorders>
            <w:vAlign w:val="bottom"/>
          </w:tcPr>
          <w:p>
            <w:pPr>
              <w:spacing w:line="360" w:lineRule="auto"/>
              <w:rPr>
                <w:sz w:val="24"/>
              </w:rPr>
            </w:pPr>
          </w:p>
        </w:tc>
        <w:tc>
          <w:tcPr>
            <w:tcW w:w="860" w:type="dxa"/>
            <w:tcBorders>
              <w:bottom w:val="single" w:color="auto" w:sz="8" w:space="0"/>
              <w:right w:val="single" w:color="auto" w:sz="8" w:space="0"/>
            </w:tcBorders>
            <w:vAlign w:val="bottom"/>
          </w:tcPr>
          <w:p>
            <w:pPr>
              <w:spacing w:line="360" w:lineRule="auto"/>
              <w:rPr>
                <w:sz w:val="24"/>
              </w:rPr>
            </w:pPr>
          </w:p>
        </w:tc>
        <w:tc>
          <w:tcPr>
            <w:tcW w:w="1000" w:type="dxa"/>
            <w:tcBorders>
              <w:bottom w:val="single" w:color="auto" w:sz="8" w:space="0"/>
              <w:right w:val="single" w:color="auto" w:sz="8" w:space="0"/>
            </w:tcBorders>
            <w:vAlign w:val="bottom"/>
          </w:tcPr>
          <w:p>
            <w:pPr>
              <w:spacing w:line="360" w:lineRule="auto"/>
              <w:rPr>
                <w:sz w:val="24"/>
              </w:rPr>
            </w:pPr>
          </w:p>
        </w:tc>
        <w:tc>
          <w:tcPr>
            <w:tcW w:w="1400" w:type="dxa"/>
            <w:tcBorders>
              <w:bottom w:val="single" w:color="auto" w:sz="8" w:space="0"/>
              <w:right w:val="single" w:color="auto" w:sz="8" w:space="0"/>
            </w:tcBorders>
            <w:vAlign w:val="bottom"/>
          </w:tcPr>
          <w:p>
            <w:pPr>
              <w:spacing w:line="360" w:lineRule="auto"/>
              <w:rPr>
                <w:sz w:val="24"/>
              </w:rPr>
            </w:pPr>
          </w:p>
        </w:tc>
        <w:tc>
          <w:tcPr>
            <w:tcW w:w="1180" w:type="dxa"/>
            <w:tcBorders>
              <w:bottom w:val="single" w:color="auto" w:sz="8" w:space="0"/>
              <w:right w:val="single" w:color="auto" w:sz="8" w:space="0"/>
            </w:tcBorders>
            <w:vAlign w:val="bottom"/>
          </w:tcPr>
          <w:p>
            <w:pPr>
              <w:spacing w:line="360" w:lineRule="auto"/>
              <w:rPr>
                <w:sz w:val="24"/>
              </w:rPr>
            </w:pPr>
          </w:p>
        </w:tc>
      </w:tr>
      <w:tr>
        <w:tblPrEx>
          <w:tblLayout w:type="fixed"/>
          <w:tblCellMar>
            <w:top w:w="0" w:type="dxa"/>
            <w:left w:w="0" w:type="dxa"/>
            <w:bottom w:w="0" w:type="dxa"/>
            <w:right w:w="0" w:type="dxa"/>
          </w:tblCellMar>
        </w:tblPrEx>
        <w:trPr>
          <w:trHeight w:val="453" w:hRule="atLeast"/>
        </w:trPr>
        <w:tc>
          <w:tcPr>
            <w:tcW w:w="740" w:type="dxa"/>
            <w:tcBorders>
              <w:left w:val="single" w:color="auto" w:sz="8" w:space="0"/>
              <w:bottom w:val="single" w:color="auto" w:sz="8" w:space="0"/>
              <w:right w:val="single" w:color="auto" w:sz="8" w:space="0"/>
            </w:tcBorders>
            <w:vAlign w:val="bottom"/>
          </w:tcPr>
          <w:p>
            <w:pPr>
              <w:spacing w:line="360" w:lineRule="auto"/>
              <w:rPr>
                <w:sz w:val="24"/>
              </w:rPr>
            </w:pPr>
          </w:p>
        </w:tc>
        <w:tc>
          <w:tcPr>
            <w:tcW w:w="1280" w:type="dxa"/>
            <w:tcBorders>
              <w:bottom w:val="single" w:color="auto" w:sz="8" w:space="0"/>
              <w:right w:val="single" w:color="auto" w:sz="8" w:space="0"/>
            </w:tcBorders>
            <w:vAlign w:val="bottom"/>
          </w:tcPr>
          <w:p>
            <w:pPr>
              <w:spacing w:line="360" w:lineRule="auto"/>
              <w:rPr>
                <w:sz w:val="24"/>
              </w:rPr>
            </w:pPr>
          </w:p>
        </w:tc>
        <w:tc>
          <w:tcPr>
            <w:tcW w:w="940" w:type="dxa"/>
            <w:tcBorders>
              <w:bottom w:val="single" w:color="auto" w:sz="8" w:space="0"/>
              <w:right w:val="single" w:color="auto" w:sz="8" w:space="0"/>
            </w:tcBorders>
            <w:vAlign w:val="bottom"/>
          </w:tcPr>
          <w:p>
            <w:pPr>
              <w:spacing w:line="360" w:lineRule="auto"/>
              <w:rPr>
                <w:sz w:val="24"/>
              </w:rPr>
            </w:pPr>
          </w:p>
        </w:tc>
        <w:tc>
          <w:tcPr>
            <w:tcW w:w="740" w:type="dxa"/>
            <w:tcBorders>
              <w:bottom w:val="single" w:color="auto" w:sz="8" w:space="0"/>
              <w:right w:val="single" w:color="auto" w:sz="8" w:space="0"/>
            </w:tcBorders>
            <w:vAlign w:val="bottom"/>
          </w:tcPr>
          <w:p>
            <w:pPr>
              <w:spacing w:line="360" w:lineRule="auto"/>
              <w:rPr>
                <w:sz w:val="24"/>
              </w:rPr>
            </w:pPr>
          </w:p>
        </w:tc>
        <w:tc>
          <w:tcPr>
            <w:tcW w:w="860" w:type="dxa"/>
            <w:tcBorders>
              <w:bottom w:val="single" w:color="auto" w:sz="8" w:space="0"/>
              <w:right w:val="single" w:color="auto" w:sz="8" w:space="0"/>
            </w:tcBorders>
            <w:vAlign w:val="bottom"/>
          </w:tcPr>
          <w:p>
            <w:pPr>
              <w:spacing w:line="360" w:lineRule="auto"/>
              <w:rPr>
                <w:sz w:val="24"/>
              </w:rPr>
            </w:pPr>
          </w:p>
        </w:tc>
        <w:tc>
          <w:tcPr>
            <w:tcW w:w="1000" w:type="dxa"/>
            <w:tcBorders>
              <w:bottom w:val="single" w:color="auto" w:sz="8" w:space="0"/>
              <w:right w:val="single" w:color="auto" w:sz="8" w:space="0"/>
            </w:tcBorders>
            <w:vAlign w:val="bottom"/>
          </w:tcPr>
          <w:p>
            <w:pPr>
              <w:spacing w:line="360" w:lineRule="auto"/>
              <w:rPr>
                <w:sz w:val="24"/>
              </w:rPr>
            </w:pPr>
          </w:p>
        </w:tc>
        <w:tc>
          <w:tcPr>
            <w:tcW w:w="1400" w:type="dxa"/>
            <w:tcBorders>
              <w:bottom w:val="single" w:color="auto" w:sz="8" w:space="0"/>
              <w:right w:val="single" w:color="auto" w:sz="8" w:space="0"/>
            </w:tcBorders>
            <w:vAlign w:val="bottom"/>
          </w:tcPr>
          <w:p>
            <w:pPr>
              <w:spacing w:line="360" w:lineRule="auto"/>
              <w:rPr>
                <w:sz w:val="24"/>
              </w:rPr>
            </w:pPr>
          </w:p>
        </w:tc>
        <w:tc>
          <w:tcPr>
            <w:tcW w:w="1180" w:type="dxa"/>
            <w:tcBorders>
              <w:bottom w:val="single" w:color="auto" w:sz="8" w:space="0"/>
              <w:right w:val="single" w:color="auto" w:sz="8" w:space="0"/>
            </w:tcBorders>
            <w:vAlign w:val="bottom"/>
          </w:tcPr>
          <w:p>
            <w:pPr>
              <w:spacing w:line="360" w:lineRule="auto"/>
              <w:rPr>
                <w:sz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spacing w:line="360" w:lineRule="auto"/>
              <w:rPr>
                <w:sz w:val="24"/>
              </w:rPr>
            </w:pPr>
          </w:p>
        </w:tc>
        <w:tc>
          <w:tcPr>
            <w:tcW w:w="1280" w:type="dxa"/>
            <w:tcBorders>
              <w:bottom w:val="single" w:color="auto" w:sz="8" w:space="0"/>
              <w:right w:val="single" w:color="auto" w:sz="8" w:space="0"/>
            </w:tcBorders>
            <w:vAlign w:val="bottom"/>
          </w:tcPr>
          <w:p>
            <w:pPr>
              <w:spacing w:line="360" w:lineRule="auto"/>
              <w:rPr>
                <w:sz w:val="24"/>
              </w:rPr>
            </w:pPr>
          </w:p>
        </w:tc>
        <w:tc>
          <w:tcPr>
            <w:tcW w:w="940" w:type="dxa"/>
            <w:tcBorders>
              <w:bottom w:val="single" w:color="auto" w:sz="8" w:space="0"/>
              <w:right w:val="single" w:color="auto" w:sz="8" w:space="0"/>
            </w:tcBorders>
            <w:vAlign w:val="bottom"/>
          </w:tcPr>
          <w:p>
            <w:pPr>
              <w:spacing w:line="360" w:lineRule="auto"/>
              <w:rPr>
                <w:sz w:val="24"/>
              </w:rPr>
            </w:pPr>
          </w:p>
        </w:tc>
        <w:tc>
          <w:tcPr>
            <w:tcW w:w="740" w:type="dxa"/>
            <w:tcBorders>
              <w:bottom w:val="single" w:color="auto" w:sz="8" w:space="0"/>
              <w:right w:val="single" w:color="auto" w:sz="8" w:space="0"/>
            </w:tcBorders>
            <w:vAlign w:val="bottom"/>
          </w:tcPr>
          <w:p>
            <w:pPr>
              <w:spacing w:line="360" w:lineRule="auto"/>
              <w:rPr>
                <w:sz w:val="24"/>
              </w:rPr>
            </w:pPr>
          </w:p>
        </w:tc>
        <w:tc>
          <w:tcPr>
            <w:tcW w:w="860" w:type="dxa"/>
            <w:tcBorders>
              <w:bottom w:val="single" w:color="auto" w:sz="8" w:space="0"/>
              <w:right w:val="single" w:color="auto" w:sz="8" w:space="0"/>
            </w:tcBorders>
            <w:vAlign w:val="bottom"/>
          </w:tcPr>
          <w:p>
            <w:pPr>
              <w:spacing w:line="360" w:lineRule="auto"/>
              <w:rPr>
                <w:sz w:val="24"/>
              </w:rPr>
            </w:pPr>
          </w:p>
        </w:tc>
        <w:tc>
          <w:tcPr>
            <w:tcW w:w="1000" w:type="dxa"/>
            <w:tcBorders>
              <w:bottom w:val="single" w:color="auto" w:sz="8" w:space="0"/>
              <w:right w:val="single" w:color="auto" w:sz="8" w:space="0"/>
            </w:tcBorders>
            <w:vAlign w:val="bottom"/>
          </w:tcPr>
          <w:p>
            <w:pPr>
              <w:spacing w:line="360" w:lineRule="auto"/>
              <w:rPr>
                <w:sz w:val="24"/>
              </w:rPr>
            </w:pPr>
          </w:p>
        </w:tc>
        <w:tc>
          <w:tcPr>
            <w:tcW w:w="1400" w:type="dxa"/>
            <w:tcBorders>
              <w:bottom w:val="single" w:color="auto" w:sz="8" w:space="0"/>
              <w:right w:val="single" w:color="auto" w:sz="8" w:space="0"/>
            </w:tcBorders>
            <w:vAlign w:val="bottom"/>
          </w:tcPr>
          <w:p>
            <w:pPr>
              <w:spacing w:line="360" w:lineRule="auto"/>
              <w:rPr>
                <w:sz w:val="24"/>
              </w:rPr>
            </w:pPr>
          </w:p>
        </w:tc>
        <w:tc>
          <w:tcPr>
            <w:tcW w:w="1180" w:type="dxa"/>
            <w:tcBorders>
              <w:bottom w:val="single" w:color="auto" w:sz="8" w:space="0"/>
              <w:right w:val="single" w:color="auto" w:sz="8" w:space="0"/>
            </w:tcBorders>
            <w:vAlign w:val="bottom"/>
          </w:tcPr>
          <w:p>
            <w:pPr>
              <w:spacing w:line="360" w:lineRule="auto"/>
              <w:rPr>
                <w:sz w:val="24"/>
              </w:rPr>
            </w:pPr>
          </w:p>
        </w:tc>
      </w:tr>
      <w:tr>
        <w:tblPrEx>
          <w:tblLayout w:type="fixed"/>
          <w:tblCellMar>
            <w:top w:w="0" w:type="dxa"/>
            <w:left w:w="0" w:type="dxa"/>
            <w:bottom w:w="0" w:type="dxa"/>
            <w:right w:w="0" w:type="dxa"/>
          </w:tblCellMar>
        </w:tblPrEx>
        <w:trPr>
          <w:trHeight w:val="456" w:hRule="atLeast"/>
        </w:trPr>
        <w:tc>
          <w:tcPr>
            <w:tcW w:w="740" w:type="dxa"/>
            <w:tcBorders>
              <w:left w:val="single" w:color="auto" w:sz="8" w:space="0"/>
              <w:bottom w:val="single" w:color="auto" w:sz="8" w:space="0"/>
              <w:right w:val="single" w:color="auto" w:sz="8" w:space="0"/>
            </w:tcBorders>
            <w:vAlign w:val="bottom"/>
          </w:tcPr>
          <w:p>
            <w:pPr>
              <w:spacing w:line="360" w:lineRule="auto"/>
              <w:rPr>
                <w:sz w:val="24"/>
              </w:rPr>
            </w:pPr>
          </w:p>
        </w:tc>
        <w:tc>
          <w:tcPr>
            <w:tcW w:w="1280" w:type="dxa"/>
            <w:tcBorders>
              <w:bottom w:val="single" w:color="auto" w:sz="8" w:space="0"/>
              <w:right w:val="single" w:color="auto" w:sz="8" w:space="0"/>
            </w:tcBorders>
            <w:vAlign w:val="bottom"/>
          </w:tcPr>
          <w:p>
            <w:pPr>
              <w:spacing w:line="360" w:lineRule="auto"/>
              <w:rPr>
                <w:sz w:val="24"/>
              </w:rPr>
            </w:pPr>
          </w:p>
        </w:tc>
        <w:tc>
          <w:tcPr>
            <w:tcW w:w="940" w:type="dxa"/>
            <w:tcBorders>
              <w:bottom w:val="single" w:color="auto" w:sz="8" w:space="0"/>
              <w:right w:val="single" w:color="auto" w:sz="8" w:space="0"/>
            </w:tcBorders>
            <w:vAlign w:val="bottom"/>
          </w:tcPr>
          <w:p>
            <w:pPr>
              <w:spacing w:line="360" w:lineRule="auto"/>
              <w:rPr>
                <w:sz w:val="24"/>
              </w:rPr>
            </w:pPr>
          </w:p>
        </w:tc>
        <w:tc>
          <w:tcPr>
            <w:tcW w:w="740" w:type="dxa"/>
            <w:tcBorders>
              <w:bottom w:val="single" w:color="auto" w:sz="8" w:space="0"/>
              <w:right w:val="single" w:color="auto" w:sz="8" w:space="0"/>
            </w:tcBorders>
            <w:vAlign w:val="bottom"/>
          </w:tcPr>
          <w:p>
            <w:pPr>
              <w:spacing w:line="360" w:lineRule="auto"/>
              <w:rPr>
                <w:sz w:val="24"/>
              </w:rPr>
            </w:pPr>
          </w:p>
        </w:tc>
        <w:tc>
          <w:tcPr>
            <w:tcW w:w="860" w:type="dxa"/>
            <w:tcBorders>
              <w:bottom w:val="single" w:color="auto" w:sz="8" w:space="0"/>
              <w:right w:val="single" w:color="auto" w:sz="8" w:space="0"/>
            </w:tcBorders>
            <w:vAlign w:val="bottom"/>
          </w:tcPr>
          <w:p>
            <w:pPr>
              <w:spacing w:line="360" w:lineRule="auto"/>
              <w:rPr>
                <w:sz w:val="24"/>
              </w:rPr>
            </w:pPr>
          </w:p>
        </w:tc>
        <w:tc>
          <w:tcPr>
            <w:tcW w:w="1000" w:type="dxa"/>
            <w:tcBorders>
              <w:bottom w:val="single" w:color="auto" w:sz="8" w:space="0"/>
              <w:right w:val="single" w:color="auto" w:sz="8" w:space="0"/>
            </w:tcBorders>
            <w:vAlign w:val="bottom"/>
          </w:tcPr>
          <w:p>
            <w:pPr>
              <w:spacing w:line="360" w:lineRule="auto"/>
              <w:rPr>
                <w:sz w:val="24"/>
              </w:rPr>
            </w:pPr>
          </w:p>
        </w:tc>
        <w:tc>
          <w:tcPr>
            <w:tcW w:w="1400" w:type="dxa"/>
            <w:tcBorders>
              <w:bottom w:val="single" w:color="auto" w:sz="8" w:space="0"/>
              <w:right w:val="single" w:color="auto" w:sz="8" w:space="0"/>
            </w:tcBorders>
            <w:vAlign w:val="bottom"/>
          </w:tcPr>
          <w:p>
            <w:pPr>
              <w:spacing w:line="360" w:lineRule="auto"/>
              <w:rPr>
                <w:sz w:val="24"/>
              </w:rPr>
            </w:pPr>
          </w:p>
        </w:tc>
        <w:tc>
          <w:tcPr>
            <w:tcW w:w="1180" w:type="dxa"/>
            <w:tcBorders>
              <w:bottom w:val="single" w:color="auto" w:sz="8" w:space="0"/>
              <w:right w:val="single" w:color="auto" w:sz="8" w:space="0"/>
            </w:tcBorders>
            <w:vAlign w:val="bottom"/>
          </w:tcPr>
          <w:p>
            <w:pPr>
              <w:spacing w:line="360" w:lineRule="auto"/>
              <w:rPr>
                <w:sz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spacing w:line="360" w:lineRule="auto"/>
              <w:rPr>
                <w:sz w:val="24"/>
              </w:rPr>
            </w:pPr>
          </w:p>
        </w:tc>
        <w:tc>
          <w:tcPr>
            <w:tcW w:w="1280" w:type="dxa"/>
            <w:tcBorders>
              <w:bottom w:val="single" w:color="auto" w:sz="8" w:space="0"/>
              <w:right w:val="single" w:color="auto" w:sz="8" w:space="0"/>
            </w:tcBorders>
            <w:vAlign w:val="bottom"/>
          </w:tcPr>
          <w:p>
            <w:pPr>
              <w:spacing w:line="360" w:lineRule="auto"/>
              <w:rPr>
                <w:sz w:val="24"/>
              </w:rPr>
            </w:pPr>
          </w:p>
        </w:tc>
        <w:tc>
          <w:tcPr>
            <w:tcW w:w="940" w:type="dxa"/>
            <w:tcBorders>
              <w:bottom w:val="single" w:color="auto" w:sz="8" w:space="0"/>
              <w:right w:val="single" w:color="auto" w:sz="8" w:space="0"/>
            </w:tcBorders>
            <w:vAlign w:val="bottom"/>
          </w:tcPr>
          <w:p>
            <w:pPr>
              <w:spacing w:line="360" w:lineRule="auto"/>
              <w:rPr>
                <w:sz w:val="24"/>
              </w:rPr>
            </w:pPr>
          </w:p>
        </w:tc>
        <w:tc>
          <w:tcPr>
            <w:tcW w:w="740" w:type="dxa"/>
            <w:tcBorders>
              <w:bottom w:val="single" w:color="auto" w:sz="8" w:space="0"/>
              <w:right w:val="single" w:color="auto" w:sz="8" w:space="0"/>
            </w:tcBorders>
            <w:vAlign w:val="bottom"/>
          </w:tcPr>
          <w:p>
            <w:pPr>
              <w:spacing w:line="360" w:lineRule="auto"/>
              <w:rPr>
                <w:sz w:val="24"/>
              </w:rPr>
            </w:pPr>
          </w:p>
        </w:tc>
        <w:tc>
          <w:tcPr>
            <w:tcW w:w="860" w:type="dxa"/>
            <w:tcBorders>
              <w:bottom w:val="single" w:color="auto" w:sz="8" w:space="0"/>
              <w:right w:val="single" w:color="auto" w:sz="8" w:space="0"/>
            </w:tcBorders>
            <w:vAlign w:val="bottom"/>
          </w:tcPr>
          <w:p>
            <w:pPr>
              <w:spacing w:line="360" w:lineRule="auto"/>
              <w:rPr>
                <w:sz w:val="24"/>
              </w:rPr>
            </w:pPr>
          </w:p>
        </w:tc>
        <w:tc>
          <w:tcPr>
            <w:tcW w:w="1000" w:type="dxa"/>
            <w:tcBorders>
              <w:bottom w:val="single" w:color="auto" w:sz="8" w:space="0"/>
              <w:right w:val="single" w:color="auto" w:sz="8" w:space="0"/>
            </w:tcBorders>
            <w:vAlign w:val="bottom"/>
          </w:tcPr>
          <w:p>
            <w:pPr>
              <w:spacing w:line="360" w:lineRule="auto"/>
              <w:rPr>
                <w:sz w:val="24"/>
              </w:rPr>
            </w:pPr>
          </w:p>
        </w:tc>
        <w:tc>
          <w:tcPr>
            <w:tcW w:w="1400" w:type="dxa"/>
            <w:tcBorders>
              <w:bottom w:val="single" w:color="auto" w:sz="8" w:space="0"/>
              <w:right w:val="single" w:color="auto" w:sz="8" w:space="0"/>
            </w:tcBorders>
            <w:vAlign w:val="bottom"/>
          </w:tcPr>
          <w:p>
            <w:pPr>
              <w:spacing w:line="360" w:lineRule="auto"/>
              <w:rPr>
                <w:sz w:val="24"/>
              </w:rPr>
            </w:pPr>
          </w:p>
        </w:tc>
        <w:tc>
          <w:tcPr>
            <w:tcW w:w="1180" w:type="dxa"/>
            <w:tcBorders>
              <w:bottom w:val="single" w:color="auto" w:sz="8" w:space="0"/>
              <w:right w:val="single" w:color="auto" w:sz="8" w:space="0"/>
            </w:tcBorders>
            <w:vAlign w:val="bottom"/>
          </w:tcPr>
          <w:p>
            <w:pPr>
              <w:spacing w:line="360" w:lineRule="auto"/>
              <w:rPr>
                <w:sz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spacing w:line="360" w:lineRule="auto"/>
              <w:rPr>
                <w:sz w:val="24"/>
              </w:rPr>
            </w:pPr>
          </w:p>
        </w:tc>
        <w:tc>
          <w:tcPr>
            <w:tcW w:w="1280" w:type="dxa"/>
            <w:tcBorders>
              <w:bottom w:val="single" w:color="auto" w:sz="8" w:space="0"/>
              <w:right w:val="single" w:color="auto" w:sz="8" w:space="0"/>
            </w:tcBorders>
            <w:vAlign w:val="bottom"/>
          </w:tcPr>
          <w:p>
            <w:pPr>
              <w:spacing w:line="360" w:lineRule="auto"/>
              <w:rPr>
                <w:sz w:val="24"/>
              </w:rPr>
            </w:pPr>
          </w:p>
        </w:tc>
        <w:tc>
          <w:tcPr>
            <w:tcW w:w="940" w:type="dxa"/>
            <w:tcBorders>
              <w:bottom w:val="single" w:color="auto" w:sz="8" w:space="0"/>
              <w:right w:val="single" w:color="auto" w:sz="8" w:space="0"/>
            </w:tcBorders>
            <w:vAlign w:val="bottom"/>
          </w:tcPr>
          <w:p>
            <w:pPr>
              <w:spacing w:line="360" w:lineRule="auto"/>
              <w:rPr>
                <w:sz w:val="24"/>
              </w:rPr>
            </w:pPr>
          </w:p>
        </w:tc>
        <w:tc>
          <w:tcPr>
            <w:tcW w:w="740" w:type="dxa"/>
            <w:tcBorders>
              <w:bottom w:val="single" w:color="auto" w:sz="8" w:space="0"/>
              <w:right w:val="single" w:color="auto" w:sz="8" w:space="0"/>
            </w:tcBorders>
            <w:vAlign w:val="bottom"/>
          </w:tcPr>
          <w:p>
            <w:pPr>
              <w:spacing w:line="360" w:lineRule="auto"/>
              <w:rPr>
                <w:sz w:val="24"/>
              </w:rPr>
            </w:pPr>
          </w:p>
        </w:tc>
        <w:tc>
          <w:tcPr>
            <w:tcW w:w="860" w:type="dxa"/>
            <w:tcBorders>
              <w:bottom w:val="single" w:color="auto" w:sz="8" w:space="0"/>
              <w:right w:val="single" w:color="auto" w:sz="8" w:space="0"/>
            </w:tcBorders>
            <w:vAlign w:val="bottom"/>
          </w:tcPr>
          <w:p>
            <w:pPr>
              <w:spacing w:line="360" w:lineRule="auto"/>
              <w:rPr>
                <w:sz w:val="24"/>
              </w:rPr>
            </w:pPr>
          </w:p>
        </w:tc>
        <w:tc>
          <w:tcPr>
            <w:tcW w:w="1000" w:type="dxa"/>
            <w:tcBorders>
              <w:bottom w:val="single" w:color="auto" w:sz="8" w:space="0"/>
              <w:right w:val="single" w:color="auto" w:sz="8" w:space="0"/>
            </w:tcBorders>
            <w:vAlign w:val="bottom"/>
          </w:tcPr>
          <w:p>
            <w:pPr>
              <w:spacing w:line="360" w:lineRule="auto"/>
              <w:rPr>
                <w:sz w:val="24"/>
              </w:rPr>
            </w:pPr>
          </w:p>
        </w:tc>
        <w:tc>
          <w:tcPr>
            <w:tcW w:w="1400" w:type="dxa"/>
            <w:tcBorders>
              <w:bottom w:val="single" w:color="auto" w:sz="8" w:space="0"/>
              <w:right w:val="single" w:color="auto" w:sz="8" w:space="0"/>
            </w:tcBorders>
            <w:vAlign w:val="bottom"/>
          </w:tcPr>
          <w:p>
            <w:pPr>
              <w:spacing w:line="360" w:lineRule="auto"/>
              <w:rPr>
                <w:sz w:val="24"/>
              </w:rPr>
            </w:pPr>
          </w:p>
        </w:tc>
        <w:tc>
          <w:tcPr>
            <w:tcW w:w="1180" w:type="dxa"/>
            <w:tcBorders>
              <w:bottom w:val="single" w:color="auto" w:sz="8" w:space="0"/>
              <w:right w:val="single" w:color="auto" w:sz="8" w:space="0"/>
            </w:tcBorders>
            <w:vAlign w:val="bottom"/>
          </w:tcPr>
          <w:p>
            <w:pPr>
              <w:spacing w:line="360" w:lineRule="auto"/>
              <w:rPr>
                <w:sz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spacing w:line="360" w:lineRule="auto"/>
              <w:rPr>
                <w:sz w:val="24"/>
              </w:rPr>
            </w:pPr>
          </w:p>
        </w:tc>
        <w:tc>
          <w:tcPr>
            <w:tcW w:w="1280" w:type="dxa"/>
            <w:tcBorders>
              <w:bottom w:val="single" w:color="auto" w:sz="8" w:space="0"/>
              <w:right w:val="single" w:color="auto" w:sz="8" w:space="0"/>
            </w:tcBorders>
            <w:vAlign w:val="bottom"/>
          </w:tcPr>
          <w:p>
            <w:pPr>
              <w:spacing w:line="360" w:lineRule="auto"/>
              <w:rPr>
                <w:sz w:val="24"/>
              </w:rPr>
            </w:pPr>
          </w:p>
        </w:tc>
        <w:tc>
          <w:tcPr>
            <w:tcW w:w="940" w:type="dxa"/>
            <w:tcBorders>
              <w:bottom w:val="single" w:color="auto" w:sz="8" w:space="0"/>
              <w:right w:val="single" w:color="auto" w:sz="8" w:space="0"/>
            </w:tcBorders>
            <w:vAlign w:val="bottom"/>
          </w:tcPr>
          <w:p>
            <w:pPr>
              <w:spacing w:line="360" w:lineRule="auto"/>
              <w:rPr>
                <w:sz w:val="24"/>
              </w:rPr>
            </w:pPr>
          </w:p>
        </w:tc>
        <w:tc>
          <w:tcPr>
            <w:tcW w:w="740" w:type="dxa"/>
            <w:tcBorders>
              <w:bottom w:val="single" w:color="auto" w:sz="8" w:space="0"/>
              <w:right w:val="single" w:color="auto" w:sz="8" w:space="0"/>
            </w:tcBorders>
            <w:vAlign w:val="bottom"/>
          </w:tcPr>
          <w:p>
            <w:pPr>
              <w:spacing w:line="360" w:lineRule="auto"/>
              <w:rPr>
                <w:sz w:val="24"/>
              </w:rPr>
            </w:pPr>
          </w:p>
        </w:tc>
        <w:tc>
          <w:tcPr>
            <w:tcW w:w="860" w:type="dxa"/>
            <w:tcBorders>
              <w:bottom w:val="single" w:color="auto" w:sz="8" w:space="0"/>
              <w:right w:val="single" w:color="auto" w:sz="8" w:space="0"/>
            </w:tcBorders>
            <w:vAlign w:val="bottom"/>
          </w:tcPr>
          <w:p>
            <w:pPr>
              <w:spacing w:line="360" w:lineRule="auto"/>
              <w:rPr>
                <w:sz w:val="24"/>
              </w:rPr>
            </w:pPr>
          </w:p>
        </w:tc>
        <w:tc>
          <w:tcPr>
            <w:tcW w:w="1000" w:type="dxa"/>
            <w:tcBorders>
              <w:bottom w:val="single" w:color="auto" w:sz="8" w:space="0"/>
              <w:right w:val="single" w:color="auto" w:sz="8" w:space="0"/>
            </w:tcBorders>
            <w:vAlign w:val="bottom"/>
          </w:tcPr>
          <w:p>
            <w:pPr>
              <w:spacing w:line="360" w:lineRule="auto"/>
              <w:rPr>
                <w:sz w:val="24"/>
              </w:rPr>
            </w:pPr>
          </w:p>
        </w:tc>
        <w:tc>
          <w:tcPr>
            <w:tcW w:w="1400" w:type="dxa"/>
            <w:tcBorders>
              <w:bottom w:val="single" w:color="auto" w:sz="8" w:space="0"/>
              <w:right w:val="single" w:color="auto" w:sz="8" w:space="0"/>
            </w:tcBorders>
            <w:vAlign w:val="bottom"/>
          </w:tcPr>
          <w:p>
            <w:pPr>
              <w:spacing w:line="360" w:lineRule="auto"/>
              <w:rPr>
                <w:sz w:val="24"/>
              </w:rPr>
            </w:pPr>
          </w:p>
        </w:tc>
        <w:tc>
          <w:tcPr>
            <w:tcW w:w="1180" w:type="dxa"/>
            <w:tcBorders>
              <w:bottom w:val="single" w:color="auto" w:sz="8" w:space="0"/>
              <w:right w:val="single" w:color="auto" w:sz="8" w:space="0"/>
            </w:tcBorders>
            <w:vAlign w:val="bottom"/>
          </w:tcPr>
          <w:p>
            <w:pPr>
              <w:spacing w:line="360" w:lineRule="auto"/>
              <w:rPr>
                <w:sz w:val="24"/>
              </w:rPr>
            </w:pPr>
          </w:p>
        </w:tc>
      </w:tr>
      <w:tr>
        <w:tblPrEx>
          <w:tblLayout w:type="fixed"/>
          <w:tblCellMar>
            <w:top w:w="0" w:type="dxa"/>
            <w:left w:w="0" w:type="dxa"/>
            <w:bottom w:w="0" w:type="dxa"/>
            <w:right w:w="0" w:type="dxa"/>
          </w:tblCellMar>
        </w:tblPrEx>
        <w:trPr>
          <w:trHeight w:val="438" w:hRule="atLeast"/>
        </w:trPr>
        <w:tc>
          <w:tcPr>
            <w:tcW w:w="740" w:type="dxa"/>
            <w:tcBorders>
              <w:left w:val="single" w:color="auto" w:sz="8" w:space="0"/>
              <w:bottom w:val="single" w:color="auto" w:sz="8" w:space="0"/>
              <w:right w:val="single" w:color="auto" w:sz="8" w:space="0"/>
            </w:tcBorders>
            <w:vAlign w:val="bottom"/>
          </w:tcPr>
          <w:p>
            <w:pPr>
              <w:spacing w:line="360" w:lineRule="auto"/>
              <w:rPr>
                <w:sz w:val="24"/>
              </w:rPr>
            </w:pPr>
          </w:p>
        </w:tc>
        <w:tc>
          <w:tcPr>
            <w:tcW w:w="1280" w:type="dxa"/>
            <w:tcBorders>
              <w:bottom w:val="single" w:color="auto" w:sz="8" w:space="0"/>
              <w:right w:val="single" w:color="auto" w:sz="8" w:space="0"/>
            </w:tcBorders>
            <w:vAlign w:val="bottom"/>
          </w:tcPr>
          <w:p>
            <w:pPr>
              <w:spacing w:line="360" w:lineRule="auto"/>
              <w:rPr>
                <w:sz w:val="24"/>
              </w:rPr>
            </w:pPr>
          </w:p>
        </w:tc>
        <w:tc>
          <w:tcPr>
            <w:tcW w:w="940" w:type="dxa"/>
            <w:tcBorders>
              <w:bottom w:val="single" w:color="auto" w:sz="8" w:space="0"/>
              <w:right w:val="single" w:color="auto" w:sz="8" w:space="0"/>
            </w:tcBorders>
            <w:vAlign w:val="bottom"/>
          </w:tcPr>
          <w:p>
            <w:pPr>
              <w:spacing w:line="360" w:lineRule="auto"/>
              <w:rPr>
                <w:sz w:val="24"/>
              </w:rPr>
            </w:pPr>
          </w:p>
        </w:tc>
        <w:tc>
          <w:tcPr>
            <w:tcW w:w="740" w:type="dxa"/>
            <w:tcBorders>
              <w:bottom w:val="single" w:color="auto" w:sz="8" w:space="0"/>
              <w:right w:val="single" w:color="auto" w:sz="8" w:space="0"/>
            </w:tcBorders>
            <w:vAlign w:val="bottom"/>
          </w:tcPr>
          <w:p>
            <w:pPr>
              <w:spacing w:line="360" w:lineRule="auto"/>
              <w:rPr>
                <w:sz w:val="24"/>
              </w:rPr>
            </w:pPr>
          </w:p>
        </w:tc>
        <w:tc>
          <w:tcPr>
            <w:tcW w:w="860" w:type="dxa"/>
            <w:tcBorders>
              <w:bottom w:val="single" w:color="auto" w:sz="8" w:space="0"/>
              <w:right w:val="single" w:color="auto" w:sz="8" w:space="0"/>
            </w:tcBorders>
            <w:vAlign w:val="bottom"/>
          </w:tcPr>
          <w:p>
            <w:pPr>
              <w:spacing w:line="360" w:lineRule="auto"/>
              <w:rPr>
                <w:sz w:val="24"/>
              </w:rPr>
            </w:pPr>
          </w:p>
        </w:tc>
        <w:tc>
          <w:tcPr>
            <w:tcW w:w="1000" w:type="dxa"/>
            <w:tcBorders>
              <w:bottom w:val="single" w:color="auto" w:sz="8" w:space="0"/>
              <w:right w:val="single" w:color="auto" w:sz="8" w:space="0"/>
            </w:tcBorders>
            <w:vAlign w:val="bottom"/>
          </w:tcPr>
          <w:p>
            <w:pPr>
              <w:spacing w:line="360" w:lineRule="auto"/>
              <w:rPr>
                <w:sz w:val="24"/>
              </w:rPr>
            </w:pPr>
          </w:p>
        </w:tc>
        <w:tc>
          <w:tcPr>
            <w:tcW w:w="1400" w:type="dxa"/>
            <w:tcBorders>
              <w:bottom w:val="single" w:color="auto" w:sz="8" w:space="0"/>
              <w:right w:val="single" w:color="auto" w:sz="8" w:space="0"/>
            </w:tcBorders>
            <w:vAlign w:val="bottom"/>
          </w:tcPr>
          <w:p>
            <w:pPr>
              <w:spacing w:line="360" w:lineRule="auto"/>
              <w:rPr>
                <w:sz w:val="24"/>
              </w:rPr>
            </w:pPr>
          </w:p>
        </w:tc>
        <w:tc>
          <w:tcPr>
            <w:tcW w:w="1180" w:type="dxa"/>
            <w:tcBorders>
              <w:bottom w:val="single" w:color="auto" w:sz="8" w:space="0"/>
              <w:right w:val="single" w:color="auto" w:sz="8" w:space="0"/>
            </w:tcBorders>
            <w:vAlign w:val="bottom"/>
          </w:tcPr>
          <w:p>
            <w:pPr>
              <w:spacing w:line="360" w:lineRule="auto"/>
              <w:rPr>
                <w:sz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spacing w:line="360" w:lineRule="auto"/>
              <w:rPr>
                <w:sz w:val="24"/>
              </w:rPr>
            </w:pPr>
          </w:p>
        </w:tc>
        <w:tc>
          <w:tcPr>
            <w:tcW w:w="1280" w:type="dxa"/>
            <w:tcBorders>
              <w:bottom w:val="single" w:color="auto" w:sz="8" w:space="0"/>
              <w:right w:val="single" w:color="auto" w:sz="8" w:space="0"/>
            </w:tcBorders>
            <w:vAlign w:val="bottom"/>
          </w:tcPr>
          <w:p>
            <w:pPr>
              <w:spacing w:line="360" w:lineRule="auto"/>
              <w:rPr>
                <w:sz w:val="24"/>
              </w:rPr>
            </w:pPr>
          </w:p>
        </w:tc>
        <w:tc>
          <w:tcPr>
            <w:tcW w:w="940" w:type="dxa"/>
            <w:tcBorders>
              <w:bottom w:val="single" w:color="auto" w:sz="8" w:space="0"/>
              <w:right w:val="single" w:color="auto" w:sz="8" w:space="0"/>
            </w:tcBorders>
            <w:vAlign w:val="bottom"/>
          </w:tcPr>
          <w:p>
            <w:pPr>
              <w:spacing w:line="360" w:lineRule="auto"/>
              <w:rPr>
                <w:sz w:val="24"/>
              </w:rPr>
            </w:pPr>
          </w:p>
        </w:tc>
        <w:tc>
          <w:tcPr>
            <w:tcW w:w="740" w:type="dxa"/>
            <w:tcBorders>
              <w:bottom w:val="single" w:color="auto" w:sz="8" w:space="0"/>
              <w:right w:val="single" w:color="auto" w:sz="8" w:space="0"/>
            </w:tcBorders>
            <w:vAlign w:val="bottom"/>
          </w:tcPr>
          <w:p>
            <w:pPr>
              <w:spacing w:line="360" w:lineRule="auto"/>
              <w:rPr>
                <w:sz w:val="24"/>
              </w:rPr>
            </w:pPr>
          </w:p>
        </w:tc>
        <w:tc>
          <w:tcPr>
            <w:tcW w:w="860" w:type="dxa"/>
            <w:tcBorders>
              <w:bottom w:val="single" w:color="auto" w:sz="8" w:space="0"/>
              <w:right w:val="single" w:color="auto" w:sz="8" w:space="0"/>
            </w:tcBorders>
            <w:vAlign w:val="bottom"/>
          </w:tcPr>
          <w:p>
            <w:pPr>
              <w:spacing w:line="360" w:lineRule="auto"/>
              <w:rPr>
                <w:sz w:val="24"/>
              </w:rPr>
            </w:pPr>
          </w:p>
        </w:tc>
        <w:tc>
          <w:tcPr>
            <w:tcW w:w="1000" w:type="dxa"/>
            <w:tcBorders>
              <w:bottom w:val="single" w:color="auto" w:sz="8" w:space="0"/>
              <w:right w:val="single" w:color="auto" w:sz="8" w:space="0"/>
            </w:tcBorders>
            <w:vAlign w:val="bottom"/>
          </w:tcPr>
          <w:p>
            <w:pPr>
              <w:spacing w:line="360" w:lineRule="auto"/>
              <w:rPr>
                <w:sz w:val="24"/>
              </w:rPr>
            </w:pPr>
          </w:p>
        </w:tc>
        <w:tc>
          <w:tcPr>
            <w:tcW w:w="1400" w:type="dxa"/>
            <w:tcBorders>
              <w:bottom w:val="single" w:color="auto" w:sz="8" w:space="0"/>
              <w:right w:val="single" w:color="auto" w:sz="8" w:space="0"/>
            </w:tcBorders>
            <w:vAlign w:val="bottom"/>
          </w:tcPr>
          <w:p>
            <w:pPr>
              <w:spacing w:line="360" w:lineRule="auto"/>
              <w:rPr>
                <w:sz w:val="24"/>
              </w:rPr>
            </w:pPr>
          </w:p>
        </w:tc>
        <w:tc>
          <w:tcPr>
            <w:tcW w:w="1180" w:type="dxa"/>
            <w:tcBorders>
              <w:bottom w:val="single" w:color="auto" w:sz="8" w:space="0"/>
              <w:right w:val="single" w:color="auto" w:sz="8" w:space="0"/>
            </w:tcBorders>
            <w:vAlign w:val="bottom"/>
          </w:tcPr>
          <w:p>
            <w:pPr>
              <w:spacing w:line="360" w:lineRule="auto"/>
              <w:rPr>
                <w:sz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spacing w:line="360" w:lineRule="auto"/>
              <w:rPr>
                <w:sz w:val="24"/>
              </w:rPr>
            </w:pPr>
          </w:p>
        </w:tc>
        <w:tc>
          <w:tcPr>
            <w:tcW w:w="1280" w:type="dxa"/>
            <w:tcBorders>
              <w:bottom w:val="single" w:color="auto" w:sz="8" w:space="0"/>
              <w:right w:val="single" w:color="auto" w:sz="8" w:space="0"/>
            </w:tcBorders>
            <w:vAlign w:val="bottom"/>
          </w:tcPr>
          <w:p>
            <w:pPr>
              <w:spacing w:line="360" w:lineRule="auto"/>
              <w:rPr>
                <w:sz w:val="24"/>
              </w:rPr>
            </w:pPr>
          </w:p>
        </w:tc>
        <w:tc>
          <w:tcPr>
            <w:tcW w:w="940" w:type="dxa"/>
            <w:tcBorders>
              <w:bottom w:val="single" w:color="auto" w:sz="8" w:space="0"/>
              <w:right w:val="single" w:color="auto" w:sz="8" w:space="0"/>
            </w:tcBorders>
            <w:vAlign w:val="bottom"/>
          </w:tcPr>
          <w:p>
            <w:pPr>
              <w:spacing w:line="360" w:lineRule="auto"/>
              <w:rPr>
                <w:sz w:val="24"/>
              </w:rPr>
            </w:pPr>
          </w:p>
        </w:tc>
        <w:tc>
          <w:tcPr>
            <w:tcW w:w="740" w:type="dxa"/>
            <w:tcBorders>
              <w:bottom w:val="single" w:color="auto" w:sz="8" w:space="0"/>
              <w:right w:val="single" w:color="auto" w:sz="8" w:space="0"/>
            </w:tcBorders>
            <w:vAlign w:val="bottom"/>
          </w:tcPr>
          <w:p>
            <w:pPr>
              <w:spacing w:line="360" w:lineRule="auto"/>
              <w:rPr>
                <w:sz w:val="24"/>
              </w:rPr>
            </w:pPr>
          </w:p>
        </w:tc>
        <w:tc>
          <w:tcPr>
            <w:tcW w:w="860" w:type="dxa"/>
            <w:tcBorders>
              <w:bottom w:val="single" w:color="auto" w:sz="8" w:space="0"/>
              <w:right w:val="single" w:color="auto" w:sz="8" w:space="0"/>
            </w:tcBorders>
            <w:vAlign w:val="bottom"/>
          </w:tcPr>
          <w:p>
            <w:pPr>
              <w:spacing w:line="360" w:lineRule="auto"/>
              <w:rPr>
                <w:sz w:val="24"/>
              </w:rPr>
            </w:pPr>
          </w:p>
        </w:tc>
        <w:tc>
          <w:tcPr>
            <w:tcW w:w="1000" w:type="dxa"/>
            <w:tcBorders>
              <w:bottom w:val="single" w:color="auto" w:sz="8" w:space="0"/>
              <w:right w:val="single" w:color="auto" w:sz="8" w:space="0"/>
            </w:tcBorders>
            <w:vAlign w:val="bottom"/>
          </w:tcPr>
          <w:p>
            <w:pPr>
              <w:spacing w:line="360" w:lineRule="auto"/>
              <w:rPr>
                <w:sz w:val="24"/>
              </w:rPr>
            </w:pPr>
          </w:p>
        </w:tc>
        <w:tc>
          <w:tcPr>
            <w:tcW w:w="1400" w:type="dxa"/>
            <w:tcBorders>
              <w:bottom w:val="single" w:color="auto" w:sz="8" w:space="0"/>
              <w:right w:val="single" w:color="auto" w:sz="8" w:space="0"/>
            </w:tcBorders>
            <w:vAlign w:val="bottom"/>
          </w:tcPr>
          <w:p>
            <w:pPr>
              <w:spacing w:line="360" w:lineRule="auto"/>
              <w:rPr>
                <w:sz w:val="24"/>
              </w:rPr>
            </w:pPr>
          </w:p>
        </w:tc>
        <w:tc>
          <w:tcPr>
            <w:tcW w:w="1180" w:type="dxa"/>
            <w:tcBorders>
              <w:bottom w:val="single" w:color="auto" w:sz="8" w:space="0"/>
              <w:right w:val="single" w:color="auto" w:sz="8" w:space="0"/>
            </w:tcBorders>
            <w:vAlign w:val="bottom"/>
          </w:tcPr>
          <w:p>
            <w:pPr>
              <w:spacing w:line="360" w:lineRule="auto"/>
              <w:rPr>
                <w:sz w:val="24"/>
              </w:rPr>
            </w:pPr>
          </w:p>
        </w:tc>
      </w:tr>
      <w:tr>
        <w:tblPrEx>
          <w:tblLayout w:type="fixed"/>
          <w:tblCellMar>
            <w:top w:w="0" w:type="dxa"/>
            <w:left w:w="0" w:type="dxa"/>
            <w:bottom w:w="0" w:type="dxa"/>
            <w:right w:w="0" w:type="dxa"/>
          </w:tblCellMar>
        </w:tblPrEx>
        <w:trPr>
          <w:trHeight w:val="456" w:hRule="atLeast"/>
        </w:trPr>
        <w:tc>
          <w:tcPr>
            <w:tcW w:w="740" w:type="dxa"/>
            <w:tcBorders>
              <w:left w:val="single" w:color="auto" w:sz="8" w:space="0"/>
              <w:bottom w:val="single" w:color="auto" w:sz="8" w:space="0"/>
              <w:right w:val="single" w:color="auto" w:sz="8" w:space="0"/>
            </w:tcBorders>
            <w:vAlign w:val="bottom"/>
          </w:tcPr>
          <w:p>
            <w:pPr>
              <w:spacing w:line="360" w:lineRule="auto"/>
              <w:rPr>
                <w:sz w:val="24"/>
              </w:rPr>
            </w:pPr>
          </w:p>
        </w:tc>
        <w:tc>
          <w:tcPr>
            <w:tcW w:w="1280" w:type="dxa"/>
            <w:tcBorders>
              <w:bottom w:val="single" w:color="auto" w:sz="8" w:space="0"/>
              <w:right w:val="single" w:color="auto" w:sz="8" w:space="0"/>
            </w:tcBorders>
            <w:vAlign w:val="bottom"/>
          </w:tcPr>
          <w:p>
            <w:pPr>
              <w:spacing w:line="360" w:lineRule="auto"/>
              <w:rPr>
                <w:sz w:val="24"/>
              </w:rPr>
            </w:pPr>
          </w:p>
        </w:tc>
        <w:tc>
          <w:tcPr>
            <w:tcW w:w="940" w:type="dxa"/>
            <w:tcBorders>
              <w:bottom w:val="single" w:color="auto" w:sz="8" w:space="0"/>
              <w:right w:val="single" w:color="auto" w:sz="8" w:space="0"/>
            </w:tcBorders>
            <w:vAlign w:val="bottom"/>
          </w:tcPr>
          <w:p>
            <w:pPr>
              <w:spacing w:line="360" w:lineRule="auto"/>
              <w:rPr>
                <w:sz w:val="24"/>
              </w:rPr>
            </w:pPr>
          </w:p>
        </w:tc>
        <w:tc>
          <w:tcPr>
            <w:tcW w:w="740" w:type="dxa"/>
            <w:tcBorders>
              <w:bottom w:val="single" w:color="auto" w:sz="8" w:space="0"/>
              <w:right w:val="single" w:color="auto" w:sz="8" w:space="0"/>
            </w:tcBorders>
            <w:vAlign w:val="bottom"/>
          </w:tcPr>
          <w:p>
            <w:pPr>
              <w:spacing w:line="360" w:lineRule="auto"/>
              <w:rPr>
                <w:sz w:val="24"/>
              </w:rPr>
            </w:pPr>
          </w:p>
        </w:tc>
        <w:tc>
          <w:tcPr>
            <w:tcW w:w="860" w:type="dxa"/>
            <w:tcBorders>
              <w:bottom w:val="single" w:color="auto" w:sz="8" w:space="0"/>
              <w:right w:val="single" w:color="auto" w:sz="8" w:space="0"/>
            </w:tcBorders>
            <w:vAlign w:val="bottom"/>
          </w:tcPr>
          <w:p>
            <w:pPr>
              <w:spacing w:line="360" w:lineRule="auto"/>
              <w:rPr>
                <w:sz w:val="24"/>
              </w:rPr>
            </w:pPr>
          </w:p>
        </w:tc>
        <w:tc>
          <w:tcPr>
            <w:tcW w:w="1000" w:type="dxa"/>
            <w:tcBorders>
              <w:bottom w:val="single" w:color="auto" w:sz="8" w:space="0"/>
              <w:right w:val="single" w:color="auto" w:sz="8" w:space="0"/>
            </w:tcBorders>
            <w:vAlign w:val="bottom"/>
          </w:tcPr>
          <w:p>
            <w:pPr>
              <w:spacing w:line="360" w:lineRule="auto"/>
              <w:rPr>
                <w:sz w:val="24"/>
              </w:rPr>
            </w:pPr>
          </w:p>
        </w:tc>
        <w:tc>
          <w:tcPr>
            <w:tcW w:w="1400" w:type="dxa"/>
            <w:tcBorders>
              <w:bottom w:val="single" w:color="auto" w:sz="8" w:space="0"/>
              <w:right w:val="single" w:color="auto" w:sz="8" w:space="0"/>
            </w:tcBorders>
            <w:vAlign w:val="bottom"/>
          </w:tcPr>
          <w:p>
            <w:pPr>
              <w:spacing w:line="360" w:lineRule="auto"/>
              <w:rPr>
                <w:sz w:val="24"/>
              </w:rPr>
            </w:pPr>
          </w:p>
        </w:tc>
        <w:tc>
          <w:tcPr>
            <w:tcW w:w="1180" w:type="dxa"/>
            <w:tcBorders>
              <w:bottom w:val="single" w:color="auto" w:sz="8" w:space="0"/>
              <w:right w:val="single" w:color="auto" w:sz="8" w:space="0"/>
            </w:tcBorders>
            <w:vAlign w:val="bottom"/>
          </w:tcPr>
          <w:p>
            <w:pPr>
              <w:spacing w:line="360" w:lineRule="auto"/>
              <w:rPr>
                <w:sz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spacing w:line="360" w:lineRule="auto"/>
              <w:rPr>
                <w:sz w:val="24"/>
              </w:rPr>
            </w:pPr>
          </w:p>
        </w:tc>
        <w:tc>
          <w:tcPr>
            <w:tcW w:w="1280" w:type="dxa"/>
            <w:tcBorders>
              <w:bottom w:val="single" w:color="auto" w:sz="8" w:space="0"/>
              <w:right w:val="single" w:color="auto" w:sz="8" w:space="0"/>
            </w:tcBorders>
            <w:vAlign w:val="bottom"/>
          </w:tcPr>
          <w:p>
            <w:pPr>
              <w:spacing w:line="360" w:lineRule="auto"/>
              <w:rPr>
                <w:sz w:val="24"/>
              </w:rPr>
            </w:pPr>
          </w:p>
        </w:tc>
        <w:tc>
          <w:tcPr>
            <w:tcW w:w="940" w:type="dxa"/>
            <w:tcBorders>
              <w:bottom w:val="single" w:color="auto" w:sz="8" w:space="0"/>
              <w:right w:val="single" w:color="auto" w:sz="8" w:space="0"/>
            </w:tcBorders>
            <w:vAlign w:val="bottom"/>
          </w:tcPr>
          <w:p>
            <w:pPr>
              <w:spacing w:line="360" w:lineRule="auto"/>
              <w:rPr>
                <w:sz w:val="24"/>
              </w:rPr>
            </w:pPr>
          </w:p>
        </w:tc>
        <w:tc>
          <w:tcPr>
            <w:tcW w:w="740" w:type="dxa"/>
            <w:tcBorders>
              <w:bottom w:val="single" w:color="auto" w:sz="8" w:space="0"/>
              <w:right w:val="single" w:color="auto" w:sz="8" w:space="0"/>
            </w:tcBorders>
            <w:vAlign w:val="bottom"/>
          </w:tcPr>
          <w:p>
            <w:pPr>
              <w:spacing w:line="360" w:lineRule="auto"/>
              <w:rPr>
                <w:sz w:val="24"/>
              </w:rPr>
            </w:pPr>
          </w:p>
        </w:tc>
        <w:tc>
          <w:tcPr>
            <w:tcW w:w="860" w:type="dxa"/>
            <w:tcBorders>
              <w:bottom w:val="single" w:color="auto" w:sz="8" w:space="0"/>
              <w:right w:val="single" w:color="auto" w:sz="8" w:space="0"/>
            </w:tcBorders>
            <w:vAlign w:val="bottom"/>
          </w:tcPr>
          <w:p>
            <w:pPr>
              <w:spacing w:line="360" w:lineRule="auto"/>
              <w:rPr>
                <w:sz w:val="24"/>
              </w:rPr>
            </w:pPr>
          </w:p>
        </w:tc>
        <w:tc>
          <w:tcPr>
            <w:tcW w:w="1000" w:type="dxa"/>
            <w:tcBorders>
              <w:bottom w:val="single" w:color="auto" w:sz="8" w:space="0"/>
              <w:right w:val="single" w:color="auto" w:sz="8" w:space="0"/>
            </w:tcBorders>
            <w:vAlign w:val="bottom"/>
          </w:tcPr>
          <w:p>
            <w:pPr>
              <w:spacing w:line="360" w:lineRule="auto"/>
              <w:rPr>
                <w:sz w:val="24"/>
              </w:rPr>
            </w:pPr>
          </w:p>
        </w:tc>
        <w:tc>
          <w:tcPr>
            <w:tcW w:w="1400" w:type="dxa"/>
            <w:tcBorders>
              <w:bottom w:val="single" w:color="auto" w:sz="8" w:space="0"/>
              <w:right w:val="single" w:color="auto" w:sz="8" w:space="0"/>
            </w:tcBorders>
            <w:vAlign w:val="bottom"/>
          </w:tcPr>
          <w:p>
            <w:pPr>
              <w:spacing w:line="360" w:lineRule="auto"/>
              <w:rPr>
                <w:sz w:val="24"/>
              </w:rPr>
            </w:pPr>
          </w:p>
        </w:tc>
        <w:tc>
          <w:tcPr>
            <w:tcW w:w="1180" w:type="dxa"/>
            <w:tcBorders>
              <w:bottom w:val="single" w:color="auto" w:sz="8" w:space="0"/>
              <w:right w:val="single" w:color="auto" w:sz="8" w:space="0"/>
            </w:tcBorders>
            <w:vAlign w:val="bottom"/>
          </w:tcPr>
          <w:p>
            <w:pPr>
              <w:spacing w:line="360" w:lineRule="auto"/>
              <w:rPr>
                <w:sz w:val="24"/>
              </w:rPr>
            </w:pPr>
          </w:p>
        </w:tc>
      </w:tr>
      <w:tr>
        <w:tblPrEx>
          <w:tblLayout w:type="fixed"/>
          <w:tblCellMar>
            <w:top w:w="0" w:type="dxa"/>
            <w:left w:w="0" w:type="dxa"/>
            <w:bottom w:w="0" w:type="dxa"/>
            <w:right w:w="0" w:type="dxa"/>
          </w:tblCellMar>
        </w:tblPrEx>
        <w:trPr>
          <w:trHeight w:val="453" w:hRule="atLeast"/>
        </w:trPr>
        <w:tc>
          <w:tcPr>
            <w:tcW w:w="740" w:type="dxa"/>
            <w:tcBorders>
              <w:left w:val="single" w:color="auto" w:sz="8" w:space="0"/>
              <w:bottom w:val="single" w:color="auto" w:sz="8" w:space="0"/>
              <w:right w:val="single" w:color="auto" w:sz="8" w:space="0"/>
            </w:tcBorders>
            <w:vAlign w:val="bottom"/>
          </w:tcPr>
          <w:p>
            <w:pPr>
              <w:spacing w:line="360" w:lineRule="auto"/>
              <w:rPr>
                <w:sz w:val="24"/>
              </w:rPr>
            </w:pPr>
          </w:p>
        </w:tc>
        <w:tc>
          <w:tcPr>
            <w:tcW w:w="1280" w:type="dxa"/>
            <w:tcBorders>
              <w:bottom w:val="single" w:color="auto" w:sz="8" w:space="0"/>
              <w:right w:val="single" w:color="auto" w:sz="8" w:space="0"/>
            </w:tcBorders>
            <w:vAlign w:val="bottom"/>
          </w:tcPr>
          <w:p>
            <w:pPr>
              <w:spacing w:line="360" w:lineRule="auto"/>
              <w:rPr>
                <w:sz w:val="24"/>
              </w:rPr>
            </w:pPr>
          </w:p>
        </w:tc>
        <w:tc>
          <w:tcPr>
            <w:tcW w:w="940" w:type="dxa"/>
            <w:tcBorders>
              <w:bottom w:val="single" w:color="auto" w:sz="8" w:space="0"/>
              <w:right w:val="single" w:color="auto" w:sz="8" w:space="0"/>
            </w:tcBorders>
            <w:vAlign w:val="bottom"/>
          </w:tcPr>
          <w:p>
            <w:pPr>
              <w:spacing w:line="360" w:lineRule="auto"/>
              <w:rPr>
                <w:sz w:val="24"/>
              </w:rPr>
            </w:pPr>
          </w:p>
        </w:tc>
        <w:tc>
          <w:tcPr>
            <w:tcW w:w="740" w:type="dxa"/>
            <w:tcBorders>
              <w:bottom w:val="single" w:color="auto" w:sz="8" w:space="0"/>
              <w:right w:val="single" w:color="auto" w:sz="8" w:space="0"/>
            </w:tcBorders>
            <w:vAlign w:val="bottom"/>
          </w:tcPr>
          <w:p>
            <w:pPr>
              <w:spacing w:line="360" w:lineRule="auto"/>
              <w:rPr>
                <w:sz w:val="24"/>
              </w:rPr>
            </w:pPr>
          </w:p>
        </w:tc>
        <w:tc>
          <w:tcPr>
            <w:tcW w:w="860" w:type="dxa"/>
            <w:tcBorders>
              <w:bottom w:val="single" w:color="auto" w:sz="8" w:space="0"/>
              <w:right w:val="single" w:color="auto" w:sz="8" w:space="0"/>
            </w:tcBorders>
            <w:vAlign w:val="bottom"/>
          </w:tcPr>
          <w:p>
            <w:pPr>
              <w:spacing w:line="360" w:lineRule="auto"/>
              <w:rPr>
                <w:sz w:val="24"/>
              </w:rPr>
            </w:pPr>
          </w:p>
        </w:tc>
        <w:tc>
          <w:tcPr>
            <w:tcW w:w="1000" w:type="dxa"/>
            <w:tcBorders>
              <w:bottom w:val="single" w:color="auto" w:sz="8" w:space="0"/>
              <w:right w:val="single" w:color="auto" w:sz="8" w:space="0"/>
            </w:tcBorders>
            <w:vAlign w:val="bottom"/>
          </w:tcPr>
          <w:p>
            <w:pPr>
              <w:spacing w:line="360" w:lineRule="auto"/>
              <w:rPr>
                <w:sz w:val="24"/>
              </w:rPr>
            </w:pPr>
          </w:p>
        </w:tc>
        <w:tc>
          <w:tcPr>
            <w:tcW w:w="1400" w:type="dxa"/>
            <w:tcBorders>
              <w:bottom w:val="single" w:color="auto" w:sz="8" w:space="0"/>
              <w:right w:val="single" w:color="auto" w:sz="8" w:space="0"/>
            </w:tcBorders>
            <w:vAlign w:val="bottom"/>
          </w:tcPr>
          <w:p>
            <w:pPr>
              <w:spacing w:line="360" w:lineRule="auto"/>
              <w:rPr>
                <w:sz w:val="24"/>
              </w:rPr>
            </w:pPr>
          </w:p>
        </w:tc>
        <w:tc>
          <w:tcPr>
            <w:tcW w:w="1180" w:type="dxa"/>
            <w:tcBorders>
              <w:bottom w:val="single" w:color="auto" w:sz="8" w:space="0"/>
              <w:right w:val="single" w:color="auto" w:sz="8" w:space="0"/>
            </w:tcBorders>
            <w:vAlign w:val="bottom"/>
          </w:tcPr>
          <w:p>
            <w:pPr>
              <w:spacing w:line="360" w:lineRule="auto"/>
              <w:rPr>
                <w:sz w:val="24"/>
              </w:rPr>
            </w:pPr>
          </w:p>
        </w:tc>
      </w:tr>
      <w:tr>
        <w:tblPrEx>
          <w:tblLayout w:type="fixed"/>
          <w:tblCellMar>
            <w:top w:w="0" w:type="dxa"/>
            <w:left w:w="0" w:type="dxa"/>
            <w:bottom w:w="0" w:type="dxa"/>
            <w:right w:w="0" w:type="dxa"/>
          </w:tblCellMar>
        </w:tblPrEx>
        <w:trPr>
          <w:trHeight w:val="458" w:hRule="atLeast"/>
        </w:trPr>
        <w:tc>
          <w:tcPr>
            <w:tcW w:w="740" w:type="dxa"/>
            <w:tcBorders>
              <w:left w:val="single" w:color="auto" w:sz="8" w:space="0"/>
              <w:bottom w:val="single" w:color="auto" w:sz="8" w:space="0"/>
              <w:right w:val="single" w:color="auto" w:sz="8" w:space="0"/>
            </w:tcBorders>
            <w:vAlign w:val="bottom"/>
          </w:tcPr>
          <w:p>
            <w:pPr>
              <w:spacing w:line="360" w:lineRule="auto"/>
              <w:rPr>
                <w:sz w:val="24"/>
              </w:rPr>
            </w:pPr>
          </w:p>
        </w:tc>
        <w:tc>
          <w:tcPr>
            <w:tcW w:w="1280" w:type="dxa"/>
            <w:tcBorders>
              <w:bottom w:val="single" w:color="auto" w:sz="8" w:space="0"/>
              <w:right w:val="single" w:color="auto" w:sz="8" w:space="0"/>
            </w:tcBorders>
            <w:vAlign w:val="bottom"/>
          </w:tcPr>
          <w:p>
            <w:pPr>
              <w:spacing w:line="360" w:lineRule="auto"/>
              <w:rPr>
                <w:sz w:val="24"/>
              </w:rPr>
            </w:pPr>
          </w:p>
        </w:tc>
        <w:tc>
          <w:tcPr>
            <w:tcW w:w="940" w:type="dxa"/>
            <w:tcBorders>
              <w:bottom w:val="single" w:color="auto" w:sz="8" w:space="0"/>
              <w:right w:val="single" w:color="auto" w:sz="8" w:space="0"/>
            </w:tcBorders>
            <w:vAlign w:val="bottom"/>
          </w:tcPr>
          <w:p>
            <w:pPr>
              <w:spacing w:line="360" w:lineRule="auto"/>
              <w:rPr>
                <w:sz w:val="24"/>
              </w:rPr>
            </w:pPr>
          </w:p>
        </w:tc>
        <w:tc>
          <w:tcPr>
            <w:tcW w:w="740" w:type="dxa"/>
            <w:tcBorders>
              <w:bottom w:val="single" w:color="auto" w:sz="8" w:space="0"/>
              <w:right w:val="single" w:color="auto" w:sz="8" w:space="0"/>
            </w:tcBorders>
            <w:vAlign w:val="bottom"/>
          </w:tcPr>
          <w:p>
            <w:pPr>
              <w:spacing w:line="360" w:lineRule="auto"/>
              <w:rPr>
                <w:sz w:val="24"/>
              </w:rPr>
            </w:pPr>
          </w:p>
        </w:tc>
        <w:tc>
          <w:tcPr>
            <w:tcW w:w="860" w:type="dxa"/>
            <w:tcBorders>
              <w:bottom w:val="single" w:color="auto" w:sz="8" w:space="0"/>
              <w:right w:val="single" w:color="auto" w:sz="8" w:space="0"/>
            </w:tcBorders>
            <w:vAlign w:val="bottom"/>
          </w:tcPr>
          <w:p>
            <w:pPr>
              <w:spacing w:line="360" w:lineRule="auto"/>
              <w:rPr>
                <w:sz w:val="24"/>
              </w:rPr>
            </w:pPr>
          </w:p>
        </w:tc>
        <w:tc>
          <w:tcPr>
            <w:tcW w:w="1000" w:type="dxa"/>
            <w:tcBorders>
              <w:bottom w:val="single" w:color="auto" w:sz="8" w:space="0"/>
              <w:right w:val="single" w:color="auto" w:sz="8" w:space="0"/>
            </w:tcBorders>
            <w:vAlign w:val="bottom"/>
          </w:tcPr>
          <w:p>
            <w:pPr>
              <w:spacing w:line="360" w:lineRule="auto"/>
              <w:rPr>
                <w:sz w:val="24"/>
              </w:rPr>
            </w:pPr>
          </w:p>
        </w:tc>
        <w:tc>
          <w:tcPr>
            <w:tcW w:w="1400" w:type="dxa"/>
            <w:tcBorders>
              <w:bottom w:val="single" w:color="auto" w:sz="8" w:space="0"/>
              <w:right w:val="single" w:color="auto" w:sz="8" w:space="0"/>
            </w:tcBorders>
            <w:vAlign w:val="bottom"/>
          </w:tcPr>
          <w:p>
            <w:pPr>
              <w:spacing w:line="360" w:lineRule="auto"/>
              <w:rPr>
                <w:sz w:val="24"/>
              </w:rPr>
            </w:pPr>
          </w:p>
        </w:tc>
        <w:tc>
          <w:tcPr>
            <w:tcW w:w="1180" w:type="dxa"/>
            <w:tcBorders>
              <w:bottom w:val="single" w:color="auto" w:sz="8" w:space="0"/>
              <w:right w:val="single" w:color="auto" w:sz="8" w:space="0"/>
            </w:tcBorders>
            <w:vAlign w:val="bottom"/>
          </w:tcPr>
          <w:p>
            <w:pPr>
              <w:spacing w:line="360" w:lineRule="auto"/>
              <w:rPr>
                <w:sz w:val="24"/>
              </w:rPr>
            </w:pPr>
          </w:p>
        </w:tc>
      </w:tr>
    </w:tbl>
    <w:p>
      <w:pPr>
        <w:spacing w:line="360" w:lineRule="auto"/>
        <w:rPr>
          <w:sz w:val="20"/>
        </w:rPr>
      </w:pPr>
    </w:p>
    <w:p>
      <w:pPr>
        <w:spacing w:line="360" w:lineRule="auto"/>
        <w:rPr>
          <w:sz w:val="20"/>
        </w:rPr>
      </w:pPr>
    </w:p>
    <w:p>
      <w:pPr>
        <w:spacing w:line="360" w:lineRule="auto"/>
        <w:rPr>
          <w:sz w:val="20"/>
        </w:rPr>
      </w:pPr>
    </w:p>
    <w:p>
      <w:pPr>
        <w:spacing w:line="360" w:lineRule="auto"/>
        <w:jc w:val="center"/>
        <w:sectPr>
          <w:pgSz w:w="11850" w:h="16783"/>
          <w:pgMar w:top="1440" w:right="1440" w:bottom="1440" w:left="1440" w:header="851" w:footer="992" w:gutter="0"/>
          <w:cols w:space="0" w:num="1"/>
          <w:docGrid w:linePitch="286" w:charSpace="0"/>
        </w:sectPr>
      </w:pPr>
    </w:p>
    <w:p>
      <w:pPr>
        <w:pStyle w:val="3"/>
        <w:rPr>
          <w:color w:val="auto"/>
        </w:rPr>
      </w:pPr>
      <w:bookmarkStart w:id="117" w:name="page94"/>
      <w:bookmarkEnd w:id="117"/>
      <w:bookmarkStart w:id="118" w:name="_Toc27931074"/>
      <w:r>
        <w:rPr>
          <w:rFonts w:hint="eastAsia"/>
          <w:color w:val="auto"/>
        </w:rPr>
        <w:t>六</w:t>
      </w:r>
      <w:r>
        <w:rPr>
          <w:color w:val="auto"/>
        </w:rPr>
        <w:t>、监理大纲</w:t>
      </w:r>
      <w:bookmarkEnd w:id="118"/>
    </w:p>
    <w:p>
      <w:pPr>
        <w:spacing w:line="360" w:lineRule="auto"/>
        <w:rPr>
          <w:sz w:val="20"/>
        </w:rPr>
      </w:pPr>
    </w:p>
    <w:p>
      <w:pPr>
        <w:spacing w:line="360" w:lineRule="auto"/>
        <w:ind w:left="840"/>
        <w:rPr>
          <w:sz w:val="24"/>
        </w:rPr>
      </w:pPr>
      <w:r>
        <w:rPr>
          <w:rFonts w:ascii="宋体" w:hAnsi="宋体" w:cs="宋体"/>
          <w:sz w:val="24"/>
        </w:rPr>
        <w:t>监理大纲应包括（但不限于）下列内容：</w:t>
      </w:r>
    </w:p>
    <w:p>
      <w:pPr>
        <w:spacing w:line="360" w:lineRule="auto"/>
        <w:rPr>
          <w:sz w:val="20"/>
        </w:rPr>
      </w:pPr>
    </w:p>
    <w:p>
      <w:pPr>
        <w:spacing w:line="360" w:lineRule="auto"/>
        <w:rPr>
          <w:sz w:val="20"/>
        </w:rPr>
      </w:pPr>
    </w:p>
    <w:p>
      <w:pPr>
        <w:spacing w:line="360" w:lineRule="auto"/>
        <w:rPr>
          <w:sz w:val="24"/>
          <w:szCs w:val="24"/>
        </w:rPr>
      </w:pPr>
    </w:p>
    <w:p>
      <w:pPr>
        <w:spacing w:line="360" w:lineRule="auto"/>
        <w:ind w:firstLine="720" w:firstLineChars="300"/>
        <w:rPr>
          <w:rFonts w:hint="eastAsia"/>
          <w:sz w:val="24"/>
          <w:szCs w:val="24"/>
        </w:rPr>
      </w:pPr>
      <w:r>
        <w:rPr>
          <w:rFonts w:hint="eastAsia"/>
          <w:sz w:val="24"/>
          <w:szCs w:val="24"/>
          <w:lang w:eastAsia="zh-CN"/>
        </w:rPr>
        <w:t>一、</w:t>
      </w:r>
      <w:r>
        <w:rPr>
          <w:rFonts w:hint="eastAsia"/>
          <w:sz w:val="24"/>
          <w:szCs w:val="24"/>
        </w:rPr>
        <w:t>组织机构</w:t>
      </w:r>
    </w:p>
    <w:p>
      <w:pPr>
        <w:spacing w:line="360" w:lineRule="auto"/>
        <w:ind w:firstLine="720" w:firstLineChars="300"/>
        <w:rPr>
          <w:rFonts w:hint="eastAsia"/>
          <w:sz w:val="24"/>
          <w:szCs w:val="24"/>
        </w:rPr>
      </w:pPr>
      <w:r>
        <w:rPr>
          <w:rFonts w:hint="eastAsia"/>
          <w:sz w:val="24"/>
          <w:szCs w:val="24"/>
          <w:lang w:eastAsia="zh-CN"/>
        </w:rPr>
        <w:t>二、</w:t>
      </w:r>
      <w:r>
        <w:rPr>
          <w:rFonts w:hint="eastAsia"/>
          <w:sz w:val="24"/>
          <w:szCs w:val="24"/>
        </w:rPr>
        <w:t>质量控制的措施和方法</w:t>
      </w:r>
    </w:p>
    <w:p>
      <w:pPr>
        <w:spacing w:line="360" w:lineRule="auto"/>
        <w:ind w:firstLine="720" w:firstLineChars="300"/>
        <w:rPr>
          <w:rFonts w:hint="eastAsia"/>
          <w:sz w:val="24"/>
          <w:szCs w:val="24"/>
        </w:rPr>
      </w:pPr>
      <w:r>
        <w:rPr>
          <w:rFonts w:hint="eastAsia"/>
          <w:sz w:val="24"/>
          <w:szCs w:val="24"/>
          <w:lang w:eastAsia="zh-CN"/>
        </w:rPr>
        <w:t>三、</w:t>
      </w:r>
      <w:r>
        <w:rPr>
          <w:rFonts w:hint="eastAsia"/>
          <w:sz w:val="24"/>
          <w:szCs w:val="24"/>
        </w:rPr>
        <w:t>旁站监理的保证措施</w:t>
      </w:r>
    </w:p>
    <w:p>
      <w:pPr>
        <w:spacing w:line="360" w:lineRule="auto"/>
        <w:ind w:firstLine="720" w:firstLineChars="300"/>
        <w:rPr>
          <w:rFonts w:hint="eastAsia"/>
          <w:sz w:val="24"/>
          <w:szCs w:val="24"/>
        </w:rPr>
      </w:pPr>
      <w:r>
        <w:rPr>
          <w:rFonts w:hint="eastAsia"/>
          <w:sz w:val="24"/>
          <w:szCs w:val="24"/>
          <w:lang w:eastAsia="zh-CN"/>
        </w:rPr>
        <w:t>四、</w:t>
      </w:r>
      <w:r>
        <w:rPr>
          <w:rFonts w:hint="eastAsia"/>
          <w:sz w:val="24"/>
          <w:szCs w:val="24"/>
        </w:rPr>
        <w:t>工期控制的措施和方法</w:t>
      </w:r>
    </w:p>
    <w:p>
      <w:pPr>
        <w:spacing w:line="360" w:lineRule="auto"/>
        <w:ind w:firstLine="720" w:firstLineChars="300"/>
        <w:rPr>
          <w:rFonts w:hint="eastAsia"/>
          <w:sz w:val="24"/>
          <w:szCs w:val="24"/>
        </w:rPr>
      </w:pPr>
      <w:r>
        <w:rPr>
          <w:rFonts w:hint="eastAsia"/>
          <w:sz w:val="24"/>
          <w:szCs w:val="24"/>
          <w:lang w:eastAsia="zh-CN"/>
        </w:rPr>
        <w:t>五、</w:t>
      </w:r>
      <w:r>
        <w:rPr>
          <w:rFonts w:hint="eastAsia"/>
          <w:sz w:val="24"/>
          <w:szCs w:val="24"/>
        </w:rPr>
        <w:t>投资控制的措施和方法</w:t>
      </w:r>
    </w:p>
    <w:p>
      <w:pPr>
        <w:spacing w:line="360" w:lineRule="auto"/>
        <w:ind w:firstLine="720" w:firstLineChars="300"/>
        <w:rPr>
          <w:rFonts w:hint="eastAsia"/>
          <w:sz w:val="24"/>
          <w:szCs w:val="24"/>
        </w:rPr>
      </w:pPr>
      <w:r>
        <w:rPr>
          <w:rFonts w:hint="eastAsia"/>
          <w:sz w:val="24"/>
          <w:szCs w:val="24"/>
          <w:lang w:eastAsia="zh-CN"/>
        </w:rPr>
        <w:t>六、</w:t>
      </w:r>
      <w:r>
        <w:rPr>
          <w:rFonts w:hint="eastAsia"/>
          <w:sz w:val="24"/>
          <w:szCs w:val="24"/>
        </w:rPr>
        <w:t>文明、安全控制的措施和方法</w:t>
      </w:r>
    </w:p>
    <w:p>
      <w:pPr>
        <w:spacing w:line="360" w:lineRule="auto"/>
        <w:ind w:firstLine="720" w:firstLineChars="300"/>
        <w:rPr>
          <w:rFonts w:hint="eastAsia"/>
          <w:sz w:val="24"/>
          <w:szCs w:val="24"/>
        </w:rPr>
      </w:pPr>
      <w:r>
        <w:rPr>
          <w:rFonts w:hint="eastAsia"/>
          <w:sz w:val="24"/>
          <w:szCs w:val="24"/>
          <w:lang w:eastAsia="zh-CN"/>
        </w:rPr>
        <w:t>七、</w:t>
      </w:r>
      <w:r>
        <w:rPr>
          <w:rFonts w:hint="eastAsia"/>
          <w:sz w:val="24"/>
          <w:szCs w:val="24"/>
        </w:rPr>
        <w:t>工作协调的措施和方法</w:t>
      </w:r>
    </w:p>
    <w:p>
      <w:pPr>
        <w:spacing w:line="360" w:lineRule="auto"/>
        <w:ind w:firstLine="720" w:firstLineChars="300"/>
        <w:rPr>
          <w:rFonts w:hint="eastAsia"/>
          <w:sz w:val="24"/>
          <w:szCs w:val="24"/>
        </w:rPr>
      </w:pPr>
      <w:r>
        <w:rPr>
          <w:rFonts w:hint="eastAsia"/>
          <w:sz w:val="24"/>
          <w:szCs w:val="24"/>
          <w:lang w:eastAsia="zh-CN"/>
        </w:rPr>
        <w:t>八、</w:t>
      </w:r>
      <w:r>
        <w:rPr>
          <w:rFonts w:hint="eastAsia"/>
          <w:sz w:val="24"/>
          <w:szCs w:val="24"/>
        </w:rPr>
        <w:t>监理部投入的设备</w:t>
      </w:r>
    </w:p>
    <w:p>
      <w:pPr>
        <w:spacing w:line="360" w:lineRule="auto"/>
        <w:rPr>
          <w:sz w:val="20"/>
        </w:rPr>
      </w:pPr>
    </w:p>
    <w:p>
      <w:pPr>
        <w:pStyle w:val="19"/>
        <w:ind w:firstLine="400"/>
        <w:rPr>
          <w:sz w:val="20"/>
        </w:rPr>
      </w:pPr>
    </w:p>
    <w:p>
      <w:pPr>
        <w:pStyle w:val="19"/>
        <w:ind w:firstLine="400"/>
        <w:rPr>
          <w:sz w:val="20"/>
        </w:rPr>
      </w:pPr>
    </w:p>
    <w:p>
      <w:pPr>
        <w:pStyle w:val="17"/>
        <w:rPr>
          <w:sz w:val="20"/>
        </w:rPr>
      </w:pPr>
    </w:p>
    <w:p>
      <w:pPr>
        <w:pStyle w:val="17"/>
        <w:rPr>
          <w:sz w:val="20"/>
        </w:rPr>
      </w:pPr>
    </w:p>
    <w:p>
      <w:pPr>
        <w:pStyle w:val="3"/>
        <w:rPr>
          <w:color w:val="auto"/>
        </w:rPr>
      </w:pPr>
      <w:bookmarkStart w:id="119" w:name="page95"/>
      <w:bookmarkEnd w:id="119"/>
      <w:bookmarkStart w:id="120" w:name="_Toc27931075"/>
      <w:r>
        <w:rPr>
          <w:rFonts w:hint="eastAsia"/>
          <w:color w:val="auto"/>
        </w:rPr>
        <w:t>七、其它资料</w:t>
      </w:r>
      <w:bookmarkEnd w:id="120"/>
    </w:p>
    <w:p/>
    <w:p>
      <w:pPr>
        <w:pStyle w:val="6"/>
        <w:ind w:firstLine="210"/>
      </w:pPr>
    </w:p>
    <w:p>
      <w:pPr>
        <w:pStyle w:val="6"/>
        <w:ind w:firstLine="210"/>
      </w:pPr>
    </w:p>
    <w:sectPr>
      <w:footerReference r:id="rId9" w:type="default"/>
      <w:footerReference r:id="rId10" w:type="even"/>
      <w:pgSz w:w="11850" w:h="16783"/>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Segoe UI Emoji">
    <w:altName w:val="Segoe UI"/>
    <w:panose1 w:val="00000000000000000000"/>
    <w:charset w:val="00"/>
    <w:family w:val="swiss"/>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4"/>
      </w:rPr>
    </w:pPr>
  </w:p>
  <w:p>
    <w:pPr>
      <w:pStyle w:val="10"/>
      <w:ind w:right="360"/>
      <w:rPr>
        <w:sz w:val="24"/>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4"/>
      </w:rPr>
    </w:pPr>
    <w:r>
      <w:fldChar w:fldCharType="begin"/>
    </w:r>
    <w:r>
      <w:rPr>
        <w:rStyle w:val="14"/>
      </w:rPr>
      <w:instrText xml:space="preserve">PAGE  </w:instrText>
    </w:r>
    <w:r>
      <w:fldChar w:fldCharType="separate"/>
    </w:r>
    <w:r>
      <w:rPr>
        <w:rStyle w:val="14"/>
      </w:rPr>
      <w:t>3</w:t>
    </w:r>
    <w:r>
      <w:fldChar w:fldCharType="end"/>
    </w:r>
  </w:p>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5" o:spid="_x0000_s2052" o:spt="202" type="#_x0000_t202" style="position:absolute;left:0pt;margin-top:0pt;height:144pt;width:144pt;mso-position-horizontal:center;mso-position-horizontal-relative:margin;mso-wrap-style:none;z-index:25166540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pPr>
                  <w:pStyle w:val="10"/>
                </w:pPr>
                <w:r>
                  <w:rPr>
                    <w:sz w:val="21"/>
                    <w:szCs w:val="21"/>
                  </w:rPr>
                  <w:fldChar w:fldCharType="begin"/>
                </w:r>
                <w:r>
                  <w:rPr>
                    <w:rStyle w:val="14"/>
                  </w:rPr>
                  <w:instrText xml:space="preserve">PAGE  </w:instrText>
                </w:r>
                <w:r>
                  <w:rPr>
                    <w:sz w:val="21"/>
                    <w:szCs w:val="21"/>
                  </w:rPr>
                  <w:fldChar w:fldCharType="separate"/>
                </w:r>
                <w:r>
                  <w:rPr>
                    <w:rStyle w:val="14"/>
                  </w:rPr>
                  <w:t>28</w:t>
                </w:r>
                <w:r>
                  <w:rPr>
                    <w:sz w:val="21"/>
                    <w:szCs w:val="21"/>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6" o:spid="_x0000_s2051" o:spt="202" type="#_x0000_t202" style="position:absolute;left:0pt;margin-top:0pt;height:144pt;width:144pt;mso-position-horizontal:center;mso-position-horizontal-relative:margin;mso-wrap-style:none;z-index:25166643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8pWMCAAARBQAADgAAAAAAAAAAAAAAAAAuAgAAZHJzL2Uyb0RvYy54&#10;bWxQSwECLQAUAAYACAAAACEAcarRudcAAAAFAQAADwAAAAAAAAAAAAAAAAC9BAAAZHJzL2Rvd25y&#10;ZXYueG1sUEsFBgAAAAAEAAQA8wAAAMEFA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ascii="宋体"/>
      </w:rPr>
    </w:pPr>
    <w:r>
      <w:pict>
        <v:shape id="文本框 2" o:spid="_x0000_s2049" o:spt="202" type="#_x0000_t202" style="position:absolute;left:0pt;margin-top:0pt;height:10.35pt;width:9.05pt;mso-position-horizontal:center;mso-position-horizontal-relative:margin;mso-wrap-style:none;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52</w:t>
                </w:r>
                <w:r>
                  <w:rPr>
                    <w:rFonts w:hint="eastAsia"/>
                    <w:sz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5</w: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0"/>
      </w:pBdr>
      <w:tabs>
        <w:tab w:val="left" w:pos="348"/>
        <w:tab w:val="right" w:pos="8940"/>
        <w:tab w:val="right" w:pos="9354"/>
      </w:tabs>
      <w:jc w:val="left"/>
      <w:rPr>
        <w:rFonts w:hint="eastAsia"/>
        <w:lang w:eastAsia="zh-CN"/>
      </w:rPr>
    </w:pPr>
    <w:r>
      <w:rPr>
        <w:rFonts w:hint="eastAsia"/>
        <w:lang w:eastAsia="zh-CN"/>
      </w:rPr>
      <w:tab/>
    </w:r>
  </w:p>
  <w:p>
    <w:pPr>
      <w:pStyle w:val="11"/>
      <w:pBdr>
        <w:bottom w:val="single" w:color="auto" w:sz="4" w:space="0"/>
      </w:pBdr>
      <w:tabs>
        <w:tab w:val="left" w:pos="348"/>
        <w:tab w:val="right" w:pos="8940"/>
        <w:tab w:val="right" w:pos="9354"/>
      </w:tabs>
      <w:jc w:val="left"/>
    </w:pPr>
    <w:r>
      <w:rPr>
        <w:rFonts w:hint="eastAsia"/>
        <w:lang w:eastAsia="zh-CN"/>
      </w:rPr>
      <w:tab/>
    </w:r>
    <w:r>
      <w:rPr>
        <w:rFonts w:hint="eastAsia"/>
        <w:lang w:eastAsia="zh-CN"/>
      </w:rPr>
      <w:tab/>
    </w:r>
    <w:r>
      <w:rPr>
        <w:rFonts w:hint="eastAsia"/>
        <w:lang w:val="en-US" w:eastAsia="zh-CN"/>
      </w:rPr>
      <w:t xml:space="preserve">                                                                              </w:t>
    </w:r>
    <w:r>
      <w:rPr>
        <w:rFonts w:hint="eastAsia"/>
      </w:rPr>
      <w:t>监理招标文件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1D0985"/>
    <w:multiLevelType w:val="singleLevel"/>
    <w:tmpl w:val="C41D0985"/>
    <w:lvl w:ilvl="0" w:tentative="0">
      <w:start w:val="2"/>
      <w:numFmt w:val="decimal"/>
      <w:suff w:val="space"/>
      <w:lvlText w:val="%1."/>
      <w:lvlJc w:val="left"/>
    </w:lvl>
  </w:abstractNum>
  <w:abstractNum w:abstractNumId="1">
    <w:nsid w:val="DBFE8975"/>
    <w:multiLevelType w:val="singleLevel"/>
    <w:tmpl w:val="DBFE8975"/>
    <w:lvl w:ilvl="0" w:tentative="0">
      <w:start w:val="1"/>
      <w:numFmt w:val="decimal"/>
      <w:suff w:val="nothing"/>
      <w:lvlText w:val="%1、"/>
      <w:lvlJc w:val="left"/>
    </w:lvl>
  </w:abstractNum>
  <w:abstractNum w:abstractNumId="2">
    <w:nsid w:val="4EC23EC9"/>
    <w:multiLevelType w:val="multilevel"/>
    <w:tmpl w:val="4EC23EC9"/>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278B250"/>
    <w:multiLevelType w:val="singleLevel"/>
    <w:tmpl w:val="5278B250"/>
    <w:lvl w:ilvl="0" w:tentative="0">
      <w:start w:val="1"/>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C759A"/>
    <w:rsid w:val="00007B27"/>
    <w:rsid w:val="00046E27"/>
    <w:rsid w:val="001922FD"/>
    <w:rsid w:val="00286541"/>
    <w:rsid w:val="002C3FD4"/>
    <w:rsid w:val="002E7841"/>
    <w:rsid w:val="002F3516"/>
    <w:rsid w:val="003472AD"/>
    <w:rsid w:val="003C645F"/>
    <w:rsid w:val="003F0215"/>
    <w:rsid w:val="00471766"/>
    <w:rsid w:val="0055656B"/>
    <w:rsid w:val="00582C17"/>
    <w:rsid w:val="00591DDB"/>
    <w:rsid w:val="006764DC"/>
    <w:rsid w:val="006C4A11"/>
    <w:rsid w:val="006E52DF"/>
    <w:rsid w:val="007F59C8"/>
    <w:rsid w:val="008C759A"/>
    <w:rsid w:val="00A22FB2"/>
    <w:rsid w:val="00A43511"/>
    <w:rsid w:val="00AA26B0"/>
    <w:rsid w:val="00B647FB"/>
    <w:rsid w:val="00BE0DFB"/>
    <w:rsid w:val="00C05591"/>
    <w:rsid w:val="00CC3A23"/>
    <w:rsid w:val="00D50948"/>
    <w:rsid w:val="00DF35FC"/>
    <w:rsid w:val="020746A9"/>
    <w:rsid w:val="05783D14"/>
    <w:rsid w:val="057E7B9F"/>
    <w:rsid w:val="05C237E9"/>
    <w:rsid w:val="07061BEA"/>
    <w:rsid w:val="07B728EF"/>
    <w:rsid w:val="08813E24"/>
    <w:rsid w:val="0B6A77A5"/>
    <w:rsid w:val="0D1736E4"/>
    <w:rsid w:val="0D86318F"/>
    <w:rsid w:val="0E163FDD"/>
    <w:rsid w:val="0E2D72F4"/>
    <w:rsid w:val="0E524687"/>
    <w:rsid w:val="0F5407CF"/>
    <w:rsid w:val="127C2FFA"/>
    <w:rsid w:val="1556621D"/>
    <w:rsid w:val="158E3C7A"/>
    <w:rsid w:val="165E0577"/>
    <w:rsid w:val="177B60E3"/>
    <w:rsid w:val="19DF634E"/>
    <w:rsid w:val="1B673C4C"/>
    <w:rsid w:val="1B8412A5"/>
    <w:rsid w:val="1CC90670"/>
    <w:rsid w:val="1D0C5ACB"/>
    <w:rsid w:val="1DE54C4A"/>
    <w:rsid w:val="21227604"/>
    <w:rsid w:val="22083674"/>
    <w:rsid w:val="229E10AA"/>
    <w:rsid w:val="22EF5ECE"/>
    <w:rsid w:val="23F16A67"/>
    <w:rsid w:val="2467206F"/>
    <w:rsid w:val="24BB531A"/>
    <w:rsid w:val="260B2451"/>
    <w:rsid w:val="264F7B76"/>
    <w:rsid w:val="27667BE0"/>
    <w:rsid w:val="280F0FF4"/>
    <w:rsid w:val="28D72BD7"/>
    <w:rsid w:val="29151F7A"/>
    <w:rsid w:val="2A3131E3"/>
    <w:rsid w:val="2A987C46"/>
    <w:rsid w:val="2BA51E07"/>
    <w:rsid w:val="2E945CA5"/>
    <w:rsid w:val="2FCE4DBC"/>
    <w:rsid w:val="2FDB076E"/>
    <w:rsid w:val="30294F94"/>
    <w:rsid w:val="302D5B8B"/>
    <w:rsid w:val="31ED0340"/>
    <w:rsid w:val="34913992"/>
    <w:rsid w:val="3C884985"/>
    <w:rsid w:val="3D146D8D"/>
    <w:rsid w:val="3E144FF6"/>
    <w:rsid w:val="3F7A76E1"/>
    <w:rsid w:val="3FBB6B65"/>
    <w:rsid w:val="42EC0BF8"/>
    <w:rsid w:val="434B3398"/>
    <w:rsid w:val="45BA3DAB"/>
    <w:rsid w:val="4842303B"/>
    <w:rsid w:val="491E23A8"/>
    <w:rsid w:val="4BB03073"/>
    <w:rsid w:val="4CCD27B1"/>
    <w:rsid w:val="4D6D12B4"/>
    <w:rsid w:val="4DE51488"/>
    <w:rsid w:val="4ECF00F1"/>
    <w:rsid w:val="4F426944"/>
    <w:rsid w:val="4F4A79E5"/>
    <w:rsid w:val="4F820856"/>
    <w:rsid w:val="4FB55B4A"/>
    <w:rsid w:val="50CD45DC"/>
    <w:rsid w:val="50F5786D"/>
    <w:rsid w:val="52E779F3"/>
    <w:rsid w:val="53E2525C"/>
    <w:rsid w:val="54B173DD"/>
    <w:rsid w:val="567C2EE3"/>
    <w:rsid w:val="56F31A15"/>
    <w:rsid w:val="58684520"/>
    <w:rsid w:val="59470F33"/>
    <w:rsid w:val="5A5A0AAA"/>
    <w:rsid w:val="5A9F2240"/>
    <w:rsid w:val="5B0C0F6F"/>
    <w:rsid w:val="5B4F3707"/>
    <w:rsid w:val="5CB45F3B"/>
    <w:rsid w:val="5DA260EE"/>
    <w:rsid w:val="5DBC1BB0"/>
    <w:rsid w:val="5DF227C1"/>
    <w:rsid w:val="5F605F7F"/>
    <w:rsid w:val="60846F8D"/>
    <w:rsid w:val="616C0DE5"/>
    <w:rsid w:val="629055C6"/>
    <w:rsid w:val="62F00E71"/>
    <w:rsid w:val="64052F4E"/>
    <w:rsid w:val="64587AB9"/>
    <w:rsid w:val="661E57BA"/>
    <w:rsid w:val="68720DEF"/>
    <w:rsid w:val="68EB24D6"/>
    <w:rsid w:val="68F7100F"/>
    <w:rsid w:val="6AED1887"/>
    <w:rsid w:val="6B43461D"/>
    <w:rsid w:val="6D3B54D0"/>
    <w:rsid w:val="6DD5029B"/>
    <w:rsid w:val="6F3D13C3"/>
    <w:rsid w:val="72230532"/>
    <w:rsid w:val="72AC45E7"/>
    <w:rsid w:val="72F3486E"/>
    <w:rsid w:val="73510914"/>
    <w:rsid w:val="745521AC"/>
    <w:rsid w:val="74AE5927"/>
    <w:rsid w:val="756212DC"/>
    <w:rsid w:val="76A9354D"/>
    <w:rsid w:val="77C43530"/>
    <w:rsid w:val="78084EE9"/>
    <w:rsid w:val="783C76CE"/>
    <w:rsid w:val="78C15894"/>
    <w:rsid w:val="78C400B0"/>
    <w:rsid w:val="78E34D39"/>
    <w:rsid w:val="79967CF1"/>
    <w:rsid w:val="7A17271E"/>
    <w:rsid w:val="7AA44BCD"/>
    <w:rsid w:val="7B2E1DE7"/>
    <w:rsid w:val="7B2E2565"/>
    <w:rsid w:val="7C9B36CA"/>
    <w:rsid w:val="7D8C31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outlineLvl w:val="0"/>
    </w:pPr>
    <w:rPr>
      <w:rFonts w:ascii="宋体" w:hAnsi="宋体"/>
      <w:color w:val="000000"/>
      <w:kern w:val="0"/>
      <w:sz w:val="30"/>
      <w:szCs w:val="18"/>
    </w:rPr>
  </w:style>
  <w:style w:type="paragraph" w:styleId="3">
    <w:name w:val="heading 2"/>
    <w:basedOn w:val="1"/>
    <w:next w:val="1"/>
    <w:qFormat/>
    <w:uiPriority w:val="0"/>
    <w:pPr>
      <w:keepNext/>
      <w:autoSpaceDE w:val="0"/>
      <w:autoSpaceDN w:val="0"/>
      <w:jc w:val="center"/>
      <w:outlineLvl w:val="1"/>
    </w:pPr>
    <w:rPr>
      <w:rFonts w:ascii="宋体" w:hAnsi="宋体"/>
      <w:b/>
      <w:color w:val="000000"/>
      <w:kern w:val="0"/>
      <w:sz w:val="30"/>
      <w:szCs w:val="18"/>
    </w:rPr>
  </w:style>
  <w:style w:type="paragraph" w:styleId="4">
    <w:name w:val="heading 3"/>
    <w:basedOn w:val="1"/>
    <w:next w:val="1"/>
    <w:unhideWhenUsed/>
    <w:qFormat/>
    <w:uiPriority w:val="0"/>
    <w:pPr>
      <w:keepNext/>
      <w:keepLines/>
      <w:spacing w:before="260" w:beforeLines="0" w:after="260" w:afterLines="0" w:line="413" w:lineRule="auto"/>
      <w:outlineLvl w:val="2"/>
    </w:pPr>
    <w:rPr>
      <w:b/>
      <w:bCs/>
      <w:sz w:val="32"/>
      <w:szCs w:val="32"/>
    </w:rPr>
  </w:style>
  <w:style w:type="paragraph" w:styleId="5">
    <w:name w:val="heading 4"/>
    <w:basedOn w:val="1"/>
    <w:next w:val="1"/>
    <w:qFormat/>
    <w:uiPriority w:val="0"/>
    <w:pPr>
      <w:keepNext/>
      <w:keepLines/>
      <w:spacing w:line="376" w:lineRule="auto"/>
      <w:outlineLvl w:val="3"/>
    </w:pPr>
    <w:rPr>
      <w:rFonts w:ascii="Arial" w:hAnsi="Arial" w:eastAsia="黑体"/>
      <w:b/>
      <w:bCs/>
      <w:sz w:val="28"/>
      <w:szCs w:val="28"/>
    </w:rPr>
  </w:style>
  <w:style w:type="character" w:default="1" w:styleId="13">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6">
    <w:name w:val="Body Text First Indent"/>
    <w:basedOn w:val="7"/>
    <w:next w:val="8"/>
    <w:link w:val="22"/>
    <w:qFormat/>
    <w:uiPriority w:val="0"/>
    <w:pPr>
      <w:ind w:firstLine="420" w:firstLineChars="100"/>
    </w:pPr>
  </w:style>
  <w:style w:type="paragraph" w:styleId="7">
    <w:name w:val="Body Text"/>
    <w:basedOn w:val="1"/>
    <w:qFormat/>
    <w:uiPriority w:val="0"/>
    <w:pPr>
      <w:spacing w:after="120"/>
    </w:pPr>
  </w:style>
  <w:style w:type="paragraph" w:styleId="8">
    <w:name w:val="Body Text First Indent 2"/>
    <w:basedOn w:val="9"/>
    <w:next w:val="1"/>
    <w:qFormat/>
    <w:uiPriority w:val="0"/>
    <w:pPr>
      <w:ind w:firstLine="420" w:firstLineChars="200"/>
    </w:pPr>
  </w:style>
  <w:style w:type="paragraph" w:styleId="9">
    <w:name w:val="Body Text Indent"/>
    <w:basedOn w:val="1"/>
    <w:unhideWhenUsed/>
    <w:qFormat/>
    <w:uiPriority w:val="99"/>
    <w:pPr>
      <w:spacing w:after="120"/>
      <w:ind w:left="420" w:leftChars="2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szCs w:val="20"/>
    </w:rPr>
  </w:style>
  <w:style w:type="character" w:styleId="14">
    <w:name w:val="page number"/>
    <w:basedOn w:val="13"/>
    <w:qFormat/>
    <w:uiPriority w:val="0"/>
  </w:style>
  <w:style w:type="character" w:styleId="15">
    <w:name w:val="Hyperlink"/>
    <w:basedOn w:val="13"/>
    <w:qFormat/>
    <w:uiPriority w:val="0"/>
    <w:rPr>
      <w:color w:val="000000"/>
      <w:u w:val="none"/>
    </w:rPr>
  </w:style>
  <w:style w:type="paragraph" w:customStyle="1" w:styleId="17">
    <w:name w:val="List Paragraph"/>
    <w:basedOn w:val="1"/>
    <w:qFormat/>
    <w:uiPriority w:val="99"/>
    <w:pPr>
      <w:ind w:firstLine="420" w:firstLineChars="200"/>
    </w:pPr>
    <w:rPr>
      <w:rFonts w:ascii="宋体"/>
      <w:kern w:val="0"/>
      <w:sz w:val="34"/>
      <w:szCs w:val="20"/>
    </w:rPr>
  </w:style>
  <w:style w:type="paragraph" w:customStyle="1" w:styleId="18">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9">
    <w:name w:val="_Style 149"/>
    <w:basedOn w:val="1"/>
    <w:next w:val="17"/>
    <w:qFormat/>
    <w:uiPriority w:val="0"/>
    <w:pPr>
      <w:adjustRightInd w:val="0"/>
      <w:snapToGrid w:val="0"/>
      <w:spacing w:line="360" w:lineRule="auto"/>
      <w:ind w:firstLine="420" w:firstLineChars="200"/>
    </w:pPr>
    <w:rPr>
      <w:rFonts w:ascii="宋体" w:hAnsiTheme="minorHAnsi" w:eastAsiaTheme="minorEastAsia" w:cstheme="minorBidi"/>
      <w:kern w:val="0"/>
      <w:sz w:val="34"/>
      <w:szCs w:val="20"/>
    </w:rPr>
  </w:style>
  <w:style w:type="paragraph" w:customStyle="1" w:styleId="20">
    <w:name w:val="标题 21"/>
    <w:basedOn w:val="1"/>
    <w:qFormat/>
    <w:uiPriority w:val="1"/>
    <w:pPr>
      <w:ind w:left="100" w:right="113"/>
      <w:jc w:val="left"/>
      <w:outlineLvl w:val="2"/>
    </w:pPr>
    <w:rPr>
      <w:rFonts w:ascii="Microsoft JhengHei" w:hAnsi="Microsoft JhengHei" w:eastAsia="Microsoft JhengHei" w:cs="Microsoft JhengHei"/>
      <w:b/>
      <w:bCs/>
      <w:kern w:val="0"/>
      <w:sz w:val="32"/>
      <w:szCs w:val="32"/>
      <w:lang w:eastAsia="en-US"/>
    </w:rPr>
  </w:style>
  <w:style w:type="paragraph" w:customStyle="1" w:styleId="21">
    <w:name w:val="标题 31"/>
    <w:basedOn w:val="1"/>
    <w:qFormat/>
    <w:uiPriority w:val="1"/>
    <w:pPr>
      <w:ind w:left="237" w:right="113"/>
      <w:outlineLvl w:val="3"/>
    </w:pPr>
    <w:rPr>
      <w:rFonts w:ascii="宋体"/>
      <w:kern w:val="0"/>
      <w:sz w:val="28"/>
      <w:szCs w:val="28"/>
    </w:rPr>
  </w:style>
  <w:style w:type="character" w:customStyle="1" w:styleId="22">
    <w:name w:val="正文首行缩进 Char"/>
    <w:basedOn w:val="13"/>
    <w:link w:val="6"/>
    <w:qFormat/>
    <w:uiPriority w:val="0"/>
    <w:rPr>
      <w:rFonts w:ascii="Times New Roman" w:hAnsi="Times New Roman"/>
      <w:kern w:val="2"/>
      <w:sz w:val="21"/>
      <w:szCs w:val="24"/>
    </w:rPr>
  </w:style>
  <w:style w:type="paragraph" w:customStyle="1" w:styleId="23">
    <w:name w:val="p0"/>
    <w:basedOn w:val="1"/>
    <w:qFormat/>
    <w:uiPriority w:val="0"/>
    <w:pPr>
      <w:widowControl/>
    </w:pPr>
    <w:rPr>
      <w:kern w:val="0"/>
      <w:szCs w:val="21"/>
    </w:rPr>
  </w:style>
  <w:style w:type="character" w:customStyle="1" w:styleId="24">
    <w:name w:val="blue"/>
    <w:basedOn w:val="13"/>
    <w:qFormat/>
    <w:uiPriority w:val="0"/>
    <w:rPr>
      <w:color w:val="0371C6"/>
      <w:sz w:val="21"/>
      <w:szCs w:val="21"/>
    </w:rPr>
  </w:style>
  <w:style w:type="paragraph" w:customStyle="1" w:styleId="25">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26">
    <w:name w:val="样式 标题 2 + Times New Roman 四号 非加粗 段前: 5 磅 段后: 0 磅 行距: 固定值 20..."/>
    <w:basedOn w:val="3"/>
    <w:qFormat/>
    <w:uiPriority w:val="0"/>
    <w:pPr>
      <w:spacing w:before="100" w:beforeLines="0" w:after="0" w:afterLines="0" w:line="400" w:lineRule="exact"/>
    </w:pPr>
    <w:rPr>
      <w:rFonts w:ascii="Times New Roman" w:hAnsi="Times New Roman" w:cs="宋体"/>
      <w:b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2"/>
    <customShpInfo spid="_x0000_s2051"/>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53</Pages>
  <Words>4375</Words>
  <Characters>24939</Characters>
  <Lines>207</Lines>
  <Paragraphs>58</Paragraphs>
  <TotalTime>1</TotalTime>
  <ScaleCrop>false</ScaleCrop>
  <LinksUpToDate>false</LinksUpToDate>
  <CharactersWithSpaces>29256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2020-04-27T02:19:00Z</dcterms:created>
  <dc:creator>Administrator</dc:creator>
  <cp:lastModifiedBy>丽</cp:lastModifiedBy>
  <cp:lastPrinted>2020-07-08T10:08:00Z</cp:lastPrinted>
  <dcterms:modified xsi:type="dcterms:W3CDTF">2020-07-09T08:53:46Z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