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20" w:lineRule="atLeast"/>
        <w:jc w:val="center"/>
        <w:rPr>
          <w:rFonts w:hint="eastAsia" w:ascii="微软雅黑" w:hAnsi="微软雅黑" w:cs="Arial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Arial"/>
          <w:b/>
          <w:bCs/>
          <w:color w:val="000000"/>
          <w:sz w:val="36"/>
          <w:szCs w:val="36"/>
          <w:lang w:eastAsia="zh-CN"/>
        </w:rPr>
        <w:t>禹州市儿童福利院及未成年人保护中心建设项目工程一标段</w:t>
      </w:r>
      <w:r>
        <w:rPr>
          <w:rFonts w:hint="eastAsia" w:ascii="微软雅黑" w:hAnsi="微软雅黑" w:cs="Arial"/>
          <w:b/>
          <w:bCs/>
          <w:color w:val="000000"/>
          <w:sz w:val="36"/>
          <w:szCs w:val="36"/>
        </w:rPr>
        <w:t>中标公告</w:t>
      </w:r>
    </w:p>
    <w:tbl>
      <w:tblPr>
        <w:tblStyle w:val="4"/>
        <w:tblW w:w="516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224"/>
        <w:gridCol w:w="1458"/>
        <w:gridCol w:w="1206"/>
        <w:gridCol w:w="1322"/>
        <w:gridCol w:w="2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禹州市儿童福利院及未成年人保护中心建设项目工程一标段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JSGC-SZ-20200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4400635.97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禹州市公共资源交易中心</w:t>
            </w:r>
          </w:p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本工程位于禹州市境内，招标控制价：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4400635.97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河南省科信建设咨询有限公司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周晓燕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李彩锋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杨红菊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段延锋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、安军普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综合计分法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许昌通畅建设工程有限公司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市政公用工程施工总承包叁级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4364911.71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1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李德品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（二级注册建造师，证书编号：豫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241151574740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王云辉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（中级工程师，证书编号：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C11002170900004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陈炜烨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豫建安 C（2018）1003653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王炫皓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41171010001610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康江攀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H41173020000050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曹焕芝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H41170060000438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>
      <w:pPr>
        <w:shd w:val="clear" w:color="auto" w:fill="FFFFFF"/>
        <w:adjustRightInd/>
        <w:snapToGrid/>
        <w:spacing w:after="0" w:line="520" w:lineRule="atLeast"/>
        <w:jc w:val="center"/>
        <w:rPr>
          <w:rFonts w:hint="eastAsia" w:ascii="微软雅黑" w:hAnsi="微软雅黑" w:cs="Arial"/>
          <w:b/>
          <w:bCs/>
          <w:color w:val="000000"/>
          <w:sz w:val="36"/>
          <w:szCs w:val="36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E3878"/>
    <w:rsid w:val="001F2364"/>
    <w:rsid w:val="002154AC"/>
    <w:rsid w:val="00262E61"/>
    <w:rsid w:val="002C57DD"/>
    <w:rsid w:val="00323B43"/>
    <w:rsid w:val="00337BDF"/>
    <w:rsid w:val="003C18D6"/>
    <w:rsid w:val="003D37D8"/>
    <w:rsid w:val="00426133"/>
    <w:rsid w:val="004358AB"/>
    <w:rsid w:val="0054110E"/>
    <w:rsid w:val="00567362"/>
    <w:rsid w:val="005970C6"/>
    <w:rsid w:val="00750E16"/>
    <w:rsid w:val="007758F0"/>
    <w:rsid w:val="00781AE0"/>
    <w:rsid w:val="00850E0F"/>
    <w:rsid w:val="008B7726"/>
    <w:rsid w:val="00913E40"/>
    <w:rsid w:val="009D714E"/>
    <w:rsid w:val="00A307E2"/>
    <w:rsid w:val="00A379AF"/>
    <w:rsid w:val="00A516A7"/>
    <w:rsid w:val="00A608D7"/>
    <w:rsid w:val="00B457D8"/>
    <w:rsid w:val="00B848A2"/>
    <w:rsid w:val="00C10C63"/>
    <w:rsid w:val="00CA7427"/>
    <w:rsid w:val="00D31D50"/>
    <w:rsid w:val="00D9344C"/>
    <w:rsid w:val="17D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8</TotalTime>
  <ScaleCrop>false</ScaleCrop>
  <LinksUpToDate>false</LinksUpToDate>
  <CharactersWithSpaces>548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河南省科信建设咨询有限公司1:河南省科信建设咨询有限公司</cp:lastModifiedBy>
  <cp:lastPrinted>2020-02-24T02:34:00Z</cp:lastPrinted>
  <dcterms:modified xsi:type="dcterms:W3CDTF">2020-07-06T01:46:03Z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