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禹州市人民医院所需铥激光治疗系统（进口）采购项目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（不见面开标）评标结果公示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一、项目概况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（一）项目名称：禹州市人民医院所需铥激光治疗系统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（进口）</w:t>
      </w:r>
      <w:r>
        <w:rPr>
          <w:rFonts w:hint="eastAsia" w:ascii="宋体" w:hAnsi="宋体" w:eastAsia="宋体" w:cs="宋体"/>
          <w:bCs/>
          <w:sz w:val="24"/>
          <w:szCs w:val="24"/>
        </w:rPr>
        <w:t>采购项目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（二）采购编号：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YZCG-DL2020021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（三）招标公告发布日期：20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（四）开标时间：20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）招标方式：公开招标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）采购限价：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285万元；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）评标办法：综合评分法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 xml:space="preserve">）资格审查方式：资格后审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（九）招标公告刊登的媒体：中国政府采购网、河南省政府采购网、全国公共资源交易平台（河南省·许昌市）。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二、开标记录及投标报价</w:t>
      </w:r>
    </w:p>
    <w:tbl>
      <w:tblPr>
        <w:tblStyle w:val="8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97"/>
        <w:gridCol w:w="2027"/>
        <w:gridCol w:w="297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2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交付日期</w:t>
            </w:r>
          </w:p>
        </w:tc>
        <w:tc>
          <w:tcPr>
            <w:tcW w:w="16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河南冠伦贸易有限公司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2847470.00 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签订合同之日起45个工作日内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河南省金庆医疗器械有限公司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2825000.00 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签订合同之日起45个工作日内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河南海王医疗器械有限公司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2417000.00 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签订合同之日起40个工作日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河南爱众医疗科技有限公司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2845000.00 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签订合同之日起45个工作日内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河南佳明实业有限公司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2849000.00 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签订合同之日起45个工作日内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资格审查情况</w:t>
      </w: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通过资格审查的供应商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河南省金庆医疗器械有限公司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河南爱众医疗科技有限公司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未通过资格审查的供应商及原因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河南海王医疗器械有限公司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河南海王医疗器械有限公司无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履行合同所必须的设备和专业技术能力的证明材料，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见招标人资格审查。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四、详审情况;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符合性审查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其余4家供应商均通过符合性审查，硬件特征码无异常。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综合比较与评价</w:t>
      </w:r>
    </w:p>
    <w:tbl>
      <w:tblPr>
        <w:tblStyle w:val="8"/>
        <w:tblpPr w:vertAnchor="text" w:tblpXSpec="center"/>
        <w:tblW w:w="476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4335"/>
        <w:gridCol w:w="2793"/>
        <w:gridCol w:w="11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投标商名称</w:t>
            </w:r>
          </w:p>
        </w:tc>
        <w:tc>
          <w:tcPr>
            <w:tcW w:w="2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最终得分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河南省金庆医疗器械有限公司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69.80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1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河南爱众医疗科技有限公司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60.12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河南佳明实业有限公司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59.86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河南冠伦贸易有限公司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58.88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7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（三） </w:t>
      </w:r>
      <w:r>
        <w:rPr>
          <w:rFonts w:hint="eastAsia" w:ascii="宋体" w:hAnsi="宋体" w:eastAsia="宋体" w:cs="宋体"/>
          <w:sz w:val="24"/>
          <w:szCs w:val="24"/>
        </w:rPr>
        <w:t>推荐的中标候选人详细评审得分</w:t>
      </w:r>
    </w:p>
    <w:tbl>
      <w:tblPr>
        <w:tblStyle w:val="8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第一中标候选人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河南省金庆医疗器械有限公司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投标报价（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销售业绩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综合实力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技术培训及售后服务承诺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产品技术性能和功能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对招标文件的响应程度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69.80</w:t>
            </w:r>
          </w:p>
        </w:tc>
      </w:tr>
    </w:tbl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河南爱众医疗科技有限公司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投标报价（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销售业绩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综合实力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技术培训及售后服务承诺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产品技术性能和功能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对招标文件的响应程度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60.72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58.72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61.72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59.72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60.12</w:t>
            </w:r>
          </w:p>
        </w:tc>
      </w:tr>
    </w:tbl>
    <w:p>
      <w:pPr>
        <w:pStyle w:val="7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投标报价（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39.66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39.66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39.66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39.66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销售业绩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投标文件规范程度（4分）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综合实力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技术培训及售后服务承诺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产品技术性能和功能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对招标文件的响应程度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59.66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58.66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61.66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60.66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59.86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评标委员会推荐中标候选人（或采购人授权确定中标人）情况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第一中标候选人：河南省金庆医疗器械有限公司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地址：禹州市轩辕大道西侧颍北大道北侧（坪山太和公馆9 号楼103 铺房、203 铺房二楼)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联系人：高洪伟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电话：15638786723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投标报价：贰佰捌拾贰万伍仟元整 （小写：2825000.00 元）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第二中标候选人：河南爱众医疗科技有限公司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地址：郑州市经济技术开发区第一大街 171 号科达环保楼 218 室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 卢光红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电话：0371-87513456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投标报价：贰佰捌拾肆万伍仟元整       （小写：2845000.00 元）    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第三中标候选人：河南佳明实业有限公司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地址：郑州市郑东新区商都路 100 号建正东方中心 D 座 611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 许栋阁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电话：15037179343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投标报价：贰佰捌拾肆万玖仟元整     （小写：2849000.00 元）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六、投标人根据谈判小组要求进行的澄清、说明或者补正：无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七、评标委员会成员：陈洪涛、 张进德 、张国民、 石志强、 安军普（业主代表）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 xml:space="preserve">、是否存在谈判小组成员更换：否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九、代理机构及采购单位地址、联系人、联系电话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（一）代理机构：中弘天合工程咨询有限公司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地址：郑州市金水区姚砦路133号金成时代广场9幢25层</w:t>
      </w:r>
      <w:bookmarkStart w:id="0" w:name="_GoBack"/>
      <w:bookmarkEnd w:id="0"/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联系人：张女士   联系电话：0371-63936075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王先生  联系电话：150 9028 8758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（二）采购单位：禹州市人民医院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地址：禹州市康复路1号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联系人：席先生   联系电话：0374-6068578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（三）行政主管部门：禹州市卫生健康委员会</w:t>
      </w:r>
    </w:p>
    <w:p>
      <w:pPr>
        <w:pStyle w:val="7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B9275E"/>
    <w:multiLevelType w:val="singleLevel"/>
    <w:tmpl w:val="D2B927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4A3D11"/>
    <w:multiLevelType w:val="singleLevel"/>
    <w:tmpl w:val="E44A3D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0CC5"/>
    <w:rsid w:val="04F516D5"/>
    <w:rsid w:val="05A56DD3"/>
    <w:rsid w:val="06320863"/>
    <w:rsid w:val="0712125F"/>
    <w:rsid w:val="0B895DF6"/>
    <w:rsid w:val="1151027B"/>
    <w:rsid w:val="155B1119"/>
    <w:rsid w:val="171825AB"/>
    <w:rsid w:val="1A566FA7"/>
    <w:rsid w:val="1C1B1560"/>
    <w:rsid w:val="1C9F4F0C"/>
    <w:rsid w:val="1F164BA3"/>
    <w:rsid w:val="21A74249"/>
    <w:rsid w:val="25B90E9C"/>
    <w:rsid w:val="2A096512"/>
    <w:rsid w:val="2C600993"/>
    <w:rsid w:val="2C8E5FDA"/>
    <w:rsid w:val="2D955D5A"/>
    <w:rsid w:val="2F42579A"/>
    <w:rsid w:val="321C473E"/>
    <w:rsid w:val="32C95C19"/>
    <w:rsid w:val="35B47A33"/>
    <w:rsid w:val="3CC20CC5"/>
    <w:rsid w:val="3EEA5DF4"/>
    <w:rsid w:val="40414F25"/>
    <w:rsid w:val="404734C8"/>
    <w:rsid w:val="408D79C2"/>
    <w:rsid w:val="45AB4104"/>
    <w:rsid w:val="485542C0"/>
    <w:rsid w:val="49A03AA2"/>
    <w:rsid w:val="49C06EE8"/>
    <w:rsid w:val="4A815FA9"/>
    <w:rsid w:val="4B834915"/>
    <w:rsid w:val="4E4E75F0"/>
    <w:rsid w:val="5584322B"/>
    <w:rsid w:val="580C23AB"/>
    <w:rsid w:val="5A2A58C5"/>
    <w:rsid w:val="5A396353"/>
    <w:rsid w:val="5B3F07C9"/>
    <w:rsid w:val="5EB6397C"/>
    <w:rsid w:val="611E013A"/>
    <w:rsid w:val="65605104"/>
    <w:rsid w:val="6A377060"/>
    <w:rsid w:val="6C221A53"/>
    <w:rsid w:val="6D822F08"/>
    <w:rsid w:val="6DAE26A8"/>
    <w:rsid w:val="6EC84519"/>
    <w:rsid w:val="70B05923"/>
    <w:rsid w:val="71BB42CC"/>
    <w:rsid w:val="732F2032"/>
    <w:rsid w:val="735860E2"/>
    <w:rsid w:val="738816F2"/>
    <w:rsid w:val="74182C0E"/>
    <w:rsid w:val="743122D2"/>
    <w:rsid w:val="74F61651"/>
    <w:rsid w:val="76374D60"/>
    <w:rsid w:val="764F3F79"/>
    <w:rsid w:val="76500E46"/>
    <w:rsid w:val="7C414517"/>
    <w:rsid w:val="7EBA4152"/>
    <w:rsid w:val="7F415703"/>
    <w:rsid w:val="7F9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99"/>
    <w:pPr>
      <w:ind w:firstLine="425"/>
    </w:pPr>
    <w:rPr>
      <w:rFonts w:ascii="Times New Roman" w:hAnsi="Times New Roman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spacing w:after="0"/>
      <w:ind w:firstLine="420" w:firstLineChars="100"/>
    </w:p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CC0000"/>
    </w:rPr>
  </w:style>
  <w:style w:type="character" w:customStyle="1" w:styleId="16">
    <w:name w:val="red3"/>
    <w:basedOn w:val="9"/>
    <w:qFormat/>
    <w:uiPriority w:val="0"/>
    <w:rPr>
      <w:color w:val="FF0000"/>
    </w:rPr>
  </w:style>
  <w:style w:type="character" w:customStyle="1" w:styleId="17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gb-jt"/>
    <w:basedOn w:val="9"/>
    <w:qFormat/>
    <w:uiPriority w:val="0"/>
  </w:style>
  <w:style w:type="character" w:customStyle="1" w:styleId="21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hover2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2019-04-16T08:15:00Z</dcterms:created>
  <dc:creator>.唯一 D.se彩</dc:creator>
  <cp:lastModifiedBy>河南省光大建设管理有限公司:李树芳</cp:lastModifiedBy>
  <dcterms:modified xsi:type="dcterms:W3CDTF">2020-06-29T02:00:08Z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