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禹州市无梁镇胡楼村等三个村土地复垦项目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center"/>
        <w:textAlignment w:val="auto"/>
        <w:rPr>
          <w:rFonts w:hint="default"/>
          <w:b w:val="0"/>
          <w:i w:val="0"/>
          <w:lang w:val="en-US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不见面开标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一、基本情况和数据表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（一）项目概况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rFonts w:hint="eastAsia" w:eastAsia="宋体"/>
          <w:b w:val="0"/>
          <w:i w:val="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1、项目名称：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eastAsia="zh-CN"/>
        </w:rPr>
        <w:t>禹州市无梁镇胡楼村等三个村土地复垦项目（不见面开标）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2、项目编号：</w:t>
      </w:r>
      <w:r>
        <w:rPr>
          <w:rFonts w:hint="eastAsia" w:ascii="宋体" w:hAnsi="宋体"/>
          <w:color w:val="auto"/>
          <w:kern w:val="0"/>
          <w:lang w:val="en-US" w:eastAsia="zh-CN"/>
        </w:rPr>
        <w:t>JSGC-SZ-2020067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3、项目地点：</w:t>
      </w:r>
      <w:r>
        <w:rPr>
          <w:rFonts w:hint="eastAsia" w:ascii="宋体" w:hAnsi="宋体"/>
          <w:color w:val="000000"/>
          <w:kern w:val="0"/>
          <w:lang w:val="en-US" w:eastAsia="zh-CN"/>
        </w:rPr>
        <w:t>禹州市无梁镇胡楼村、合庄村、上张村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4、招标控制价：</w:t>
      </w:r>
      <w:r>
        <w:rPr>
          <w:rFonts w:hint="eastAsia" w:ascii="宋体" w:hAnsi="宋体"/>
          <w:color w:val="000000"/>
          <w:kern w:val="0"/>
          <w:lang w:val="en-US" w:eastAsia="zh-CN"/>
        </w:rPr>
        <w:t xml:space="preserve">5342184.14 </w:t>
      </w:r>
      <w:r>
        <w:rPr>
          <w:rFonts w:hint="eastAsia" w:ascii="宋体" w:hAnsi="宋体"/>
          <w:color w:val="000000"/>
          <w:kern w:val="0"/>
        </w:rPr>
        <w:t>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5、质量要求：合格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6、计划工期：</w:t>
      </w:r>
      <w:r>
        <w:rPr>
          <w:rFonts w:hint="eastAsia" w:ascii="宋体" w:hAnsi="宋体"/>
          <w:color w:val="000000"/>
          <w:kern w:val="0"/>
          <w:lang w:val="en-US" w:eastAsia="zh-CN"/>
        </w:rPr>
        <w:t>120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日历天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7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、评标办法：综合评估法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8、资格审查方式：资格后审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（二）招标过程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262" w:right="0" w:firstLine="259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本工程招标采用公开招标方式进行，按照法定公开招标程序和要求，于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  <w:lang w:val="en-US"/>
        </w:rPr>
        <w:t xml:space="preserve">20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日至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  <w:lang w:val="en-US"/>
        </w:rPr>
        <w:t xml:space="preserve">20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日在《全国公共资源交易平台（河南•许昌）》和《河南省电子招标投标公共服务平台》上公开发布招标信息，于投标截止时间递交投标文件及投标保证金的投标单位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（三）项目开标数据表</w:t>
      </w:r>
    </w:p>
    <w:tbl>
      <w:tblPr>
        <w:tblStyle w:val="10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404"/>
        <w:gridCol w:w="1700"/>
        <w:gridCol w:w="33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招标人名称</w:t>
            </w:r>
          </w:p>
        </w:tc>
        <w:tc>
          <w:tcPr>
            <w:tcW w:w="68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禹州市无梁镇人民政府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招标代理机构名称</w:t>
            </w:r>
          </w:p>
        </w:tc>
        <w:tc>
          <w:tcPr>
            <w:tcW w:w="68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安信项目管理有限公司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工程名称</w:t>
            </w:r>
          </w:p>
        </w:tc>
        <w:tc>
          <w:tcPr>
            <w:tcW w:w="68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禹州市无梁镇胡楼村等三个村土地复垦项目（不见面开标）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开标时间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开标地点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开标室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评标地点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评标室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</w:rPr>
        <w:t>二、开标记录</w:t>
      </w:r>
    </w:p>
    <w:tbl>
      <w:tblPr>
        <w:tblStyle w:val="10"/>
        <w:tblW w:w="4984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1394"/>
        <w:gridCol w:w="1106"/>
        <w:gridCol w:w="839"/>
        <w:gridCol w:w="1037"/>
        <w:gridCol w:w="1024"/>
        <w:gridCol w:w="831"/>
        <w:gridCol w:w="967"/>
        <w:gridCol w:w="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49" w:hRule="atLeast"/>
          <w:jc w:val="center"/>
        </w:trPr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（日历天）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项目负责人/经理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对本次开标过程是否有异议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02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四川源美建设有限公司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5262051.38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王笠存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李小鹏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密封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12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四川渝大建筑工程有限公司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5288762.30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张从頔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刘松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密封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四川合园水利工程有限公司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5229998.27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周莺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陈刚莉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密封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84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中地寅岗建设集团有限公司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5246024.83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张俊飞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陈凯义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密封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72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5342184.14元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4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目标工期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120日历天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修正情况</w:t>
            </w:r>
          </w:p>
        </w:tc>
        <w:tc>
          <w:tcPr>
            <w:tcW w:w="72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三、评标标准、评标办法或者评标因素一览表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评标采用综合评估法，是指评标委员会根据招标文件要求，应从商务标、技术标两部分进行综合评审。（详见招标文件）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四、评审情况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投标文件制作硬件特征码：四川合园水利工程有限公司</w:t>
      </w:r>
      <w:r>
        <w:rPr>
          <w:rFonts w:hint="eastAsia" w:asciiTheme="minorHAnsi" w:hAnsiTheme="minorHAnsi" w:eastAsiaTheme="minorEastAsia" w:cstheme="minorBidi"/>
          <w:b w:val="0"/>
          <w:i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四川渝大建筑工程有限公司、中地寅岗建设集团有限公司CPU序号一致，其余均无雷同 ，可以进行下步评审。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（一）形式评审、资格评审、响应性评审</w:t>
      </w:r>
    </w:p>
    <w:tbl>
      <w:tblPr>
        <w:tblStyle w:val="10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9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8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通过形式评审、资格评审、响应性评审的投标人名称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34" w:hRule="atLeast"/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8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四川源美建设有限公司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8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四川渝大建筑工程有限公司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四川合园水利工程有限公司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中地寅岗建设集团有限公司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8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未通过形式评审、资格评审、响应性评审的投标人名称及原因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8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无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shd w:val="clear" w:fill="FFFFFF"/>
        </w:rPr>
        <w:t>五、根据招标文件的规定，评标委员会将经评审的投标人按综合得分由高到低排序如下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</w:rPr>
        <w:t>：</w:t>
      </w:r>
    </w:p>
    <w:tbl>
      <w:tblPr>
        <w:tblStyle w:val="10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5019"/>
        <w:gridCol w:w="2170"/>
        <w:gridCol w:w="18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四川源美建设有限公司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89.10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四川渝大建筑工程有限公司 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83.60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四川合园水利工程有限公司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83.00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 xml:space="preserve">中地寅岗建设集团有限公司 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84.40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textAlignment w:val="auto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shd w:val="clear" w:fill="FFFFFF"/>
        </w:rPr>
        <w:t>六、推荐的中标候选人详细评审得分</w:t>
      </w:r>
    </w:p>
    <w:tbl>
      <w:tblPr>
        <w:tblStyle w:val="10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2"/>
        <w:gridCol w:w="4035"/>
        <w:gridCol w:w="900"/>
        <w:gridCol w:w="889"/>
        <w:gridCol w:w="965"/>
        <w:gridCol w:w="1083"/>
        <w:gridCol w:w="1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9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</w:rPr>
              <w:t>第一中标候选人</w:t>
            </w:r>
          </w:p>
        </w:tc>
        <w:tc>
          <w:tcPr>
            <w:tcW w:w="497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四川源美建设有限公司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评标委员会成员评审内容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技术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、施工方案与技术措施（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、质量管理体系与措施（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3、工程进度计划与措施（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</w:rPr>
              <w:t>安全管理、文明、环境保护体系与措施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、成本控制措施（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、组织机构及人力资源配备计划（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、施工设备及试验、检测仪器配备（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、施工环境协调及其他措施（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、施工总平面图（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技术标平均得分</w:t>
            </w:r>
          </w:p>
        </w:tc>
        <w:tc>
          <w:tcPr>
            <w:tcW w:w="49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37.2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商务标（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、报价得分（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、企业业绩（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、项目经理业绩（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Courier New" w:cs="Courier New"/>
                <w:color w:val="000000"/>
                <w:highlight w:val="none"/>
              </w:rPr>
              <w:t>企业</w:t>
            </w:r>
            <w:r>
              <w:rPr>
                <w:rFonts w:hint="eastAsia" w:ascii="宋体" w:hAnsi="Courier New" w:cs="Courier New"/>
                <w:color w:val="000000"/>
                <w:highlight w:val="none"/>
                <w:lang w:val="en-US" w:eastAsia="zh-CN"/>
              </w:rPr>
              <w:t>信用及其他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项目班子配备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</w:rPr>
              <w:t>服务承诺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商务标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平均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得分</w:t>
            </w:r>
          </w:p>
        </w:tc>
        <w:tc>
          <w:tcPr>
            <w:tcW w:w="49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51.9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最终得分</w:t>
            </w:r>
          </w:p>
        </w:tc>
        <w:tc>
          <w:tcPr>
            <w:tcW w:w="49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89.1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96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备注：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（1）分数计算过程中，保留两位小数，小数点后第三位四舍五入。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2）分数汇总时，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</w:rPr>
      </w:pPr>
    </w:p>
    <w:tbl>
      <w:tblPr>
        <w:tblStyle w:val="10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2"/>
        <w:gridCol w:w="3673"/>
        <w:gridCol w:w="1005"/>
        <w:gridCol w:w="1014"/>
        <w:gridCol w:w="1097"/>
        <w:gridCol w:w="1083"/>
        <w:gridCol w:w="1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</w:rPr>
              <w:t>中标候选人</w:t>
            </w:r>
          </w:p>
        </w:tc>
        <w:tc>
          <w:tcPr>
            <w:tcW w:w="53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 xml:space="preserve">中地寅岗建设集团有限公司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评标委员会成员评审内容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技术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、施工方案与技术措施（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2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、质量管理体系与措施（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3、工程进度计划与措施（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</w:rPr>
              <w:t>安全管理、文明、环境保护体系与措施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、成本控制措施（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、组织机构及人力资源配备计划（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、施工设备及试验、检测仪器配备（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、施工环境协调及其他措施（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、施工总平面图（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技术标平均得分</w:t>
            </w:r>
          </w:p>
        </w:tc>
        <w:tc>
          <w:tcPr>
            <w:tcW w:w="5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35.1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商务标（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、报价得分（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、企业业绩（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、项目经理业绩（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Courier New" w:cs="Courier New"/>
                <w:color w:val="000000"/>
                <w:highlight w:val="none"/>
              </w:rPr>
              <w:t>企业</w:t>
            </w:r>
            <w:r>
              <w:rPr>
                <w:rFonts w:hint="eastAsia" w:ascii="宋体" w:hAnsi="Courier New" w:cs="Courier New"/>
                <w:color w:val="000000"/>
                <w:highlight w:val="none"/>
                <w:lang w:val="en-US" w:eastAsia="zh-CN"/>
              </w:rPr>
              <w:t>信用及其他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项目班子配备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</w:rPr>
              <w:t>服务承诺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 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商务标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平均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得分</w:t>
            </w:r>
          </w:p>
        </w:tc>
        <w:tc>
          <w:tcPr>
            <w:tcW w:w="5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49.3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最终得分</w:t>
            </w:r>
          </w:p>
        </w:tc>
        <w:tc>
          <w:tcPr>
            <w:tcW w:w="5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84.4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96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备注：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（1）分数计算过程中，保留两位小数，小数点后第三位四舍五入。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2）分数汇总时，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</w:rPr>
      </w:pPr>
    </w:p>
    <w:tbl>
      <w:tblPr>
        <w:tblStyle w:val="10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2"/>
        <w:gridCol w:w="3673"/>
        <w:gridCol w:w="1005"/>
        <w:gridCol w:w="1014"/>
        <w:gridCol w:w="1097"/>
        <w:gridCol w:w="1083"/>
        <w:gridCol w:w="1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</w:rPr>
              <w:t>中标候选人</w:t>
            </w:r>
          </w:p>
        </w:tc>
        <w:tc>
          <w:tcPr>
            <w:tcW w:w="53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 xml:space="preserve">四川渝大建筑工程有限公司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评标委员会成员评审内容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技术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、施工方案与技术措施（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、质量管理体系与措施（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3、工程进度计划与措施（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</w:rPr>
              <w:t>安全管理、文明、环境保护体系与措施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、成本控制措施（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、组织机构及人力资源配备计划（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、施工设备及试验、检测仪器配备（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、施工环境协调及其他措施（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、施工总平面图（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技术标平均得分</w:t>
            </w:r>
          </w:p>
        </w:tc>
        <w:tc>
          <w:tcPr>
            <w:tcW w:w="5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35.4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商务标（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、报价得分（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、企业业绩（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、项目经理业绩（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Courier New" w:cs="Courier New"/>
                <w:color w:val="000000"/>
                <w:highlight w:val="none"/>
              </w:rPr>
              <w:t>企业</w:t>
            </w:r>
            <w:r>
              <w:rPr>
                <w:rFonts w:hint="eastAsia" w:ascii="宋体" w:hAnsi="Courier New" w:cs="Courier New"/>
                <w:color w:val="000000"/>
                <w:highlight w:val="none"/>
                <w:lang w:val="en-US" w:eastAsia="zh-CN"/>
              </w:rPr>
              <w:t>信用及其他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项目班子配备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/>
                <w:highlight w:val="none"/>
              </w:rPr>
              <w:t>服务承诺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0-5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 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商务标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平均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得分</w:t>
            </w:r>
          </w:p>
        </w:tc>
        <w:tc>
          <w:tcPr>
            <w:tcW w:w="5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48.2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6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i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最终得分</w:t>
            </w:r>
          </w:p>
        </w:tc>
        <w:tc>
          <w:tcPr>
            <w:tcW w:w="5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z w:val="24"/>
                <w:szCs w:val="24"/>
                <w:lang w:val="en-US" w:eastAsia="zh-CN"/>
              </w:rPr>
              <w:t>83.6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96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备注：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（1）分数计算过程中，保留两位小数，小数点后第三位四舍五入。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2）分数汇总时，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shd w:val="clear" w:fill="FFFFFF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/>
        <w:jc w:val="both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（一）推荐的中标候选人名单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9"/>
        <w:jc w:val="both"/>
        <w:rPr>
          <w:rFonts w:hint="default"/>
          <w:b w:val="0"/>
          <w:i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第一中标候选人： 四川源美建设有限公司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rPr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投标总报价：5262051.38元    大写：伍佰贰拾陆万贰仟零伍拾壹元叁角捌分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rPr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工期： 120 日历天            质量标准：合格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center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项目经理：王笠存   证书名称、编号：二级建造师   川 251181905128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投标文件中填报的企业项目业绩名称：1、淇县西岗镇土地整治项目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2、安阳县（殷都区）伦掌乡镇土地(高标准基本农田）整治项目二期(伦掌镇片区）施工十标段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rPr>
          <w:rFonts w:hint="default"/>
          <w:b w:val="0"/>
          <w:i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投标文件中填报的项目经理业绩名称：无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9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第二中标候选人：中地寅岗建设集团有限公司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投标总报价： 5246024.83元  大写：伍佰贰拾肆万陆仟零贰拾肆元捌角叁分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工期：120 日历天            质量标准：合格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center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项目经理：张俊飞    证书名称、编号：二级建造师 蒙215141740827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textAlignment w:val="center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投标文件中填报的企业项目业绩名称：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1、蒲县 2017 年国立项农业综合开发土地治理项目 </w:t>
      </w:r>
    </w:p>
    <w:p>
      <w:pPr>
        <w:pStyle w:val="3"/>
        <w:ind w:firstLine="480" w:firstLineChars="200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2、怀安县王虎屯乡涌泉堡村等二个村土地整治（占补平衡）项目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投标文件中填报的项目经理业绩名称：无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9"/>
        <w:jc w:val="both"/>
        <w:rPr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第三中标候选人：四川渝大建筑工程有限公司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投标总报价： 5288762.30 元  大写：伍佰贰拾捌万捌仟柒佰陆拾贰元叁角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工期： 120 日历天            质量标准：合格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17"/>
        <w:jc w:val="both"/>
        <w:textAlignment w:val="center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项目经理： 张从頔    证书名称、编号：二级建造师  川251121356924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投标文件中填报的企业项目业绩名称：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1、绵阳市涪城区2016年血吸虫病农业综合治理项目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default"/>
          <w:b w:val="0"/>
          <w:i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投标文件中填报的项目经理业绩名称：无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299"/>
        <w:jc w:val="both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</w:rPr>
        <w:t>（二）签订合同前要处理的事宜：（略）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八、澄清、说明、补正事项纪要：无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00"/>
        <w:jc w:val="left"/>
        <w:textAlignment w:val="auto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九、公示期：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00"/>
        <w:jc w:val="left"/>
        <w:textAlignment w:val="auto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15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十、联系方式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招标人：禹州市无梁镇人民政府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  址：禹州市无梁镇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联系人：吕先生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联系电话：0374-8741003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招标代理机构：安信项目管理有限公司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联系人：韩女士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联系电话：0371-56666861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监督单位：禹州市土地开发整理中心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51E3"/>
    <w:rsid w:val="160A0476"/>
    <w:rsid w:val="287755A1"/>
    <w:rsid w:val="2CFE468B"/>
    <w:rsid w:val="32E35C53"/>
    <w:rsid w:val="33F50BFF"/>
    <w:rsid w:val="344F61D4"/>
    <w:rsid w:val="38674EB9"/>
    <w:rsid w:val="38B37D5B"/>
    <w:rsid w:val="390828AA"/>
    <w:rsid w:val="3F95403C"/>
    <w:rsid w:val="481F0A68"/>
    <w:rsid w:val="4A735207"/>
    <w:rsid w:val="4ADD443F"/>
    <w:rsid w:val="53BC4C5A"/>
    <w:rsid w:val="57EB62C3"/>
    <w:rsid w:val="69F0540F"/>
    <w:rsid w:val="704543DF"/>
    <w:rsid w:val="70B751E3"/>
    <w:rsid w:val="747830EA"/>
    <w:rsid w:val="7DBF0298"/>
    <w:rsid w:val="7E5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rPr>
      <w:sz w:val="24"/>
    </w:r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gb-jt"/>
    <w:basedOn w:val="11"/>
    <w:uiPriority w:val="0"/>
  </w:style>
  <w:style w:type="character" w:customStyle="1" w:styleId="16">
    <w:name w:val="green"/>
    <w:basedOn w:val="11"/>
    <w:uiPriority w:val="0"/>
    <w:rPr>
      <w:color w:val="66AE00"/>
      <w:sz w:val="18"/>
      <w:szCs w:val="18"/>
    </w:rPr>
  </w:style>
  <w:style w:type="character" w:customStyle="1" w:styleId="17">
    <w:name w:val="green1"/>
    <w:basedOn w:val="11"/>
    <w:uiPriority w:val="0"/>
    <w:rPr>
      <w:color w:val="66AE00"/>
      <w:sz w:val="18"/>
      <w:szCs w:val="18"/>
    </w:rPr>
  </w:style>
  <w:style w:type="character" w:customStyle="1" w:styleId="18">
    <w:name w:val="hover25"/>
    <w:basedOn w:val="11"/>
    <w:uiPriority w:val="0"/>
  </w:style>
  <w:style w:type="character" w:customStyle="1" w:styleId="19">
    <w:name w:val="red"/>
    <w:basedOn w:val="11"/>
    <w:uiPriority w:val="0"/>
    <w:rPr>
      <w:color w:val="FF0000"/>
      <w:sz w:val="18"/>
      <w:szCs w:val="18"/>
    </w:rPr>
  </w:style>
  <w:style w:type="character" w:customStyle="1" w:styleId="20">
    <w:name w:val="red1"/>
    <w:basedOn w:val="11"/>
    <w:uiPriority w:val="0"/>
    <w:rPr>
      <w:color w:val="FF0000"/>
      <w:sz w:val="18"/>
      <w:szCs w:val="18"/>
    </w:rPr>
  </w:style>
  <w:style w:type="character" w:customStyle="1" w:styleId="21">
    <w:name w:val="red2"/>
    <w:basedOn w:val="11"/>
    <w:uiPriority w:val="0"/>
    <w:rPr>
      <w:color w:val="CC0000"/>
    </w:rPr>
  </w:style>
  <w:style w:type="character" w:customStyle="1" w:styleId="22">
    <w:name w:val="red3"/>
    <w:basedOn w:val="11"/>
    <w:uiPriority w:val="0"/>
    <w:rPr>
      <w:color w:val="FF0000"/>
    </w:rPr>
  </w:style>
  <w:style w:type="character" w:customStyle="1" w:styleId="23">
    <w:name w:val="blue"/>
    <w:basedOn w:val="11"/>
    <w:uiPriority w:val="0"/>
    <w:rPr>
      <w:color w:val="0371C6"/>
      <w:sz w:val="21"/>
      <w:szCs w:val="21"/>
    </w:rPr>
  </w:style>
  <w:style w:type="character" w:customStyle="1" w:styleId="24">
    <w:name w:val="right"/>
    <w:basedOn w:val="11"/>
    <w:qFormat/>
    <w:uiPriority w:val="0"/>
    <w:rPr>
      <w:color w:val="999999"/>
      <w:sz w:val="18"/>
      <w:szCs w:val="18"/>
    </w:rPr>
  </w:style>
  <w:style w:type="character" w:customStyle="1" w:styleId="25">
    <w:name w:val="close6"/>
    <w:basedOn w:val="11"/>
    <w:uiPriority w:val="0"/>
  </w:style>
  <w:style w:type="character" w:customStyle="1" w:styleId="26">
    <w:name w:val="icon_lzrz"/>
    <w:basedOn w:val="11"/>
    <w:uiPriority w:val="0"/>
  </w:style>
  <w:style w:type="character" w:customStyle="1" w:styleId="27">
    <w:name w:val="icon_gzkj"/>
    <w:basedOn w:val="11"/>
    <w:qFormat/>
    <w:uiPriority w:val="0"/>
  </w:style>
  <w:style w:type="character" w:customStyle="1" w:styleId="28">
    <w:name w:val="icon_xzry"/>
    <w:basedOn w:val="11"/>
    <w:uiPriority w:val="0"/>
  </w:style>
  <w:style w:type="character" w:customStyle="1" w:styleId="29">
    <w:name w:val="icon_xglc"/>
    <w:basedOn w:val="11"/>
    <w:qFormat/>
    <w:uiPriority w:val="0"/>
  </w:style>
  <w:style w:type="character" w:customStyle="1" w:styleId="30">
    <w:name w:val="menutitle"/>
    <w:basedOn w:val="11"/>
    <w:qFormat/>
    <w:uiPriority w:val="0"/>
    <w:rPr>
      <w:color w:val="333333"/>
      <w:sz w:val="24"/>
      <w:szCs w:val="24"/>
    </w:rPr>
  </w:style>
  <w:style w:type="character" w:customStyle="1" w:styleId="31">
    <w:name w:val="menutitle1"/>
    <w:basedOn w:val="11"/>
    <w:uiPriority w:val="0"/>
    <w:rPr>
      <w:color w:val="333333"/>
      <w:sz w:val="24"/>
      <w:szCs w:val="24"/>
    </w:rPr>
  </w:style>
  <w:style w:type="character" w:customStyle="1" w:styleId="32">
    <w:name w:val="icon_cxkcyry"/>
    <w:basedOn w:val="11"/>
    <w:uiPriority w:val="0"/>
  </w:style>
  <w:style w:type="character" w:customStyle="1" w:styleId="33">
    <w:name w:val="icon_cxktbr"/>
    <w:basedOn w:val="11"/>
    <w:uiPriority w:val="0"/>
  </w:style>
  <w:style w:type="character" w:customStyle="1" w:styleId="34">
    <w:name w:val="swapimg"/>
    <w:basedOn w:val="11"/>
    <w:qFormat/>
    <w:uiPriority w:val="0"/>
  </w:style>
  <w:style w:type="character" w:customStyle="1" w:styleId="35">
    <w:name w:val="swapimg1"/>
    <w:basedOn w:val="11"/>
    <w:uiPriority w:val="0"/>
  </w:style>
  <w:style w:type="character" w:customStyle="1" w:styleId="36">
    <w:name w:val="focus3"/>
    <w:basedOn w:val="11"/>
    <w:uiPriority w:val="0"/>
    <w:rPr>
      <w:b/>
      <w:color w:val="000000"/>
    </w:rPr>
  </w:style>
  <w:style w:type="character" w:customStyle="1" w:styleId="37">
    <w:name w:val="l_2"/>
    <w:basedOn w:val="11"/>
    <w:uiPriority w:val="0"/>
  </w:style>
  <w:style w:type="character" w:customStyle="1" w:styleId="38">
    <w:name w:val="searchclose"/>
    <w:basedOn w:val="11"/>
    <w:uiPriority w:val="0"/>
  </w:style>
  <w:style w:type="character" w:customStyle="1" w:styleId="39">
    <w:name w:val="searchopen"/>
    <w:basedOn w:val="11"/>
    <w:uiPriority w:val="0"/>
  </w:style>
  <w:style w:type="character" w:customStyle="1" w:styleId="40">
    <w:name w:val="l_4"/>
    <w:basedOn w:val="11"/>
    <w:uiPriority w:val="0"/>
  </w:style>
  <w:style w:type="character" w:customStyle="1" w:styleId="41">
    <w:name w:val="l_1"/>
    <w:basedOn w:val="11"/>
    <w:uiPriority w:val="0"/>
  </w:style>
  <w:style w:type="character" w:customStyle="1" w:styleId="42">
    <w:name w:val="l_11"/>
    <w:basedOn w:val="11"/>
    <w:uiPriority w:val="0"/>
  </w:style>
  <w:style w:type="character" w:customStyle="1" w:styleId="43">
    <w:name w:val="icon_dljg"/>
    <w:basedOn w:val="11"/>
    <w:uiPriority w:val="0"/>
  </w:style>
  <w:style w:type="character" w:customStyle="1" w:styleId="44">
    <w:name w:val="m-text"/>
    <w:basedOn w:val="11"/>
    <w:uiPriority w:val="0"/>
  </w:style>
  <w:style w:type="character" w:customStyle="1" w:styleId="45">
    <w:name w:val="l_3"/>
    <w:basedOn w:val="11"/>
    <w:uiPriority w:val="0"/>
  </w:style>
  <w:style w:type="character" w:customStyle="1" w:styleId="46">
    <w:name w:val="l_31"/>
    <w:basedOn w:val="11"/>
    <w:uiPriority w:val="0"/>
  </w:style>
  <w:style w:type="character" w:customStyle="1" w:styleId="47">
    <w:name w:val="l_0"/>
    <w:basedOn w:val="11"/>
    <w:uiPriority w:val="0"/>
  </w:style>
  <w:style w:type="character" w:customStyle="1" w:styleId="48">
    <w:name w:val="l_01"/>
    <w:basedOn w:val="11"/>
    <w:uiPriority w:val="0"/>
  </w:style>
  <w:style w:type="character" w:customStyle="1" w:styleId="49">
    <w:name w:val="l_111"/>
    <w:basedOn w:val="11"/>
    <w:uiPriority w:val="0"/>
  </w:style>
  <w:style w:type="character" w:customStyle="1" w:styleId="50">
    <w:name w:val="l_112"/>
    <w:basedOn w:val="11"/>
    <w:uiPriority w:val="0"/>
  </w:style>
  <w:style w:type="character" w:customStyle="1" w:styleId="51">
    <w:name w:val="l_5"/>
    <w:basedOn w:val="11"/>
    <w:uiPriority w:val="0"/>
  </w:style>
  <w:style w:type="character" w:customStyle="1" w:styleId="52">
    <w:name w:val="l_51"/>
    <w:basedOn w:val="11"/>
    <w:uiPriority w:val="0"/>
  </w:style>
  <w:style w:type="character" w:customStyle="1" w:styleId="53">
    <w:name w:val="l_7"/>
    <w:basedOn w:val="11"/>
    <w:uiPriority w:val="0"/>
  </w:style>
  <w:style w:type="character" w:customStyle="1" w:styleId="54">
    <w:name w:val="l_71"/>
    <w:basedOn w:val="11"/>
    <w:uiPriority w:val="0"/>
  </w:style>
  <w:style w:type="character" w:customStyle="1" w:styleId="55">
    <w:name w:val="l_6"/>
    <w:basedOn w:val="11"/>
    <w:uiPriority w:val="0"/>
  </w:style>
  <w:style w:type="character" w:customStyle="1" w:styleId="56">
    <w:name w:val="l_61"/>
    <w:basedOn w:val="11"/>
    <w:uiPriority w:val="0"/>
  </w:style>
  <w:style w:type="character" w:customStyle="1" w:styleId="57">
    <w:name w:val="l_8"/>
    <w:basedOn w:val="11"/>
    <w:uiPriority w:val="0"/>
  </w:style>
  <w:style w:type="character" w:customStyle="1" w:styleId="58">
    <w:name w:val="l_81"/>
    <w:basedOn w:val="11"/>
    <w:uiPriority w:val="0"/>
  </w:style>
  <w:style w:type="character" w:customStyle="1" w:styleId="59">
    <w:name w:val="l_9"/>
    <w:basedOn w:val="11"/>
    <w:uiPriority w:val="0"/>
  </w:style>
  <w:style w:type="character" w:customStyle="1" w:styleId="60">
    <w:name w:val="l_91"/>
    <w:basedOn w:val="11"/>
    <w:uiPriority w:val="0"/>
  </w:style>
  <w:style w:type="character" w:customStyle="1" w:styleId="61">
    <w:name w:val="l_10"/>
    <w:basedOn w:val="11"/>
    <w:uiPriority w:val="0"/>
  </w:style>
  <w:style w:type="character" w:customStyle="1" w:styleId="62">
    <w:name w:val="l_101"/>
    <w:basedOn w:val="11"/>
    <w:uiPriority w:val="0"/>
  </w:style>
  <w:style w:type="character" w:customStyle="1" w:styleId="63">
    <w:name w:val="l_12"/>
    <w:basedOn w:val="11"/>
    <w:uiPriority w:val="0"/>
  </w:style>
  <w:style w:type="character" w:customStyle="1" w:styleId="64">
    <w:name w:val="l_121"/>
    <w:basedOn w:val="11"/>
    <w:uiPriority w:val="0"/>
  </w:style>
  <w:style w:type="character" w:customStyle="1" w:styleId="65">
    <w:name w:val="l_13"/>
    <w:basedOn w:val="11"/>
    <w:uiPriority w:val="0"/>
  </w:style>
  <w:style w:type="character" w:customStyle="1" w:styleId="66">
    <w:name w:val="l_131"/>
    <w:basedOn w:val="11"/>
    <w:uiPriority w:val="0"/>
  </w:style>
  <w:style w:type="character" w:customStyle="1" w:styleId="67">
    <w:name w:val="l_14"/>
    <w:basedOn w:val="11"/>
    <w:uiPriority w:val="0"/>
  </w:style>
  <w:style w:type="character" w:customStyle="1" w:styleId="68">
    <w:name w:val="l_141"/>
    <w:basedOn w:val="11"/>
    <w:uiPriority w:val="0"/>
  </w:style>
  <w:style w:type="character" w:customStyle="1" w:styleId="69">
    <w:name w:val="l_15"/>
    <w:basedOn w:val="11"/>
    <w:uiPriority w:val="0"/>
  </w:style>
  <w:style w:type="character" w:customStyle="1" w:styleId="70">
    <w:name w:val="l_151"/>
    <w:basedOn w:val="11"/>
    <w:uiPriority w:val="0"/>
  </w:style>
  <w:style w:type="character" w:customStyle="1" w:styleId="71">
    <w:name w:val="color_cdyy"/>
    <w:basedOn w:val="11"/>
    <w:uiPriority w:val="0"/>
    <w:rPr>
      <w:color w:val="FFFFFF"/>
      <w:bdr w:val="single" w:color="FFFFFF" w:sz="6" w:space="0"/>
    </w:rPr>
  </w:style>
  <w:style w:type="character" w:customStyle="1" w:styleId="72">
    <w:name w:val="close"/>
    <w:basedOn w:val="11"/>
    <w:qFormat/>
    <w:uiPriority w:val="0"/>
  </w:style>
  <w:style w:type="character" w:customStyle="1" w:styleId="73">
    <w:name w:val="l_21"/>
    <w:basedOn w:val="11"/>
    <w:qFormat/>
    <w:uiPriority w:val="0"/>
  </w:style>
  <w:style w:type="character" w:customStyle="1" w:styleId="74">
    <w:name w:val="l_4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2020-06-18T01:55:00Z</dcterms:created>
  <dc:creator>琼</dc:creator>
  <cp:lastModifiedBy>琼</cp:lastModifiedBy>
  <cp:lastPrinted>2020-06-29T08:39:59Z</cp:lastPrinted>
  <dcterms:modified xsi:type="dcterms:W3CDTF">2020-06-29T08:48:58Z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