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p>
    <w:p>
      <w:pPr>
        <w:autoSpaceDE w:val="0"/>
        <w:autoSpaceDN w:val="0"/>
        <w:adjustRightInd w:val="0"/>
        <w:jc w:val="center"/>
        <w:rPr>
          <w:rFonts w:ascii="黑体" w:hAnsi="黑体" w:eastAsia="黑体" w:cs="黑体"/>
          <w:b/>
          <w:sz w:val="52"/>
          <w:szCs w:val="52"/>
        </w:rPr>
      </w:pPr>
      <w:r>
        <w:rPr>
          <w:rFonts w:hint="eastAsia" w:ascii="黑体" w:hAnsi="黑体" w:eastAsia="黑体" w:cs="黑体"/>
          <w:b/>
          <w:sz w:val="52"/>
          <w:szCs w:val="52"/>
        </w:rPr>
        <w:t>许昌市供水排水设施改造项目</w:t>
      </w:r>
    </w:p>
    <w:p>
      <w:pPr>
        <w:autoSpaceDE w:val="0"/>
        <w:autoSpaceDN w:val="0"/>
        <w:adjustRightInd w:val="0"/>
        <w:jc w:val="center"/>
        <w:rPr>
          <w:rFonts w:ascii="黑体" w:hAnsi="黑体" w:eastAsia="黑体" w:cs="黑体"/>
          <w:b/>
          <w:sz w:val="52"/>
          <w:szCs w:val="52"/>
        </w:rPr>
      </w:pPr>
      <w:r>
        <w:rPr>
          <w:rFonts w:hint="eastAsia" w:ascii="黑体" w:hAnsi="黑体" w:eastAsia="黑体" w:cs="黑体"/>
          <w:b/>
          <w:sz w:val="52"/>
          <w:szCs w:val="52"/>
        </w:rPr>
        <w:t>—玉皇阁路排水工程</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pStyle w:val="2"/>
        <w:ind w:firstLine="340"/>
      </w:pPr>
    </w:p>
    <w:p>
      <w:pPr>
        <w:autoSpaceDE w:val="0"/>
        <w:autoSpaceDN w:val="0"/>
        <w:adjustRightInd w:val="0"/>
        <w:jc w:val="center"/>
        <w:rPr>
          <w:rFonts w:hAnsi="宋体" w:cs="宋体"/>
          <w:b/>
          <w:sz w:val="32"/>
          <w:szCs w:val="32"/>
        </w:rPr>
      </w:pPr>
      <w:r>
        <w:rPr>
          <w:rFonts w:hint="eastAsia" w:hAnsi="宋体" w:cs="宋体"/>
          <w:b/>
          <w:sz w:val="32"/>
          <w:szCs w:val="32"/>
        </w:rPr>
        <w:t>项目编号：</w:t>
      </w:r>
      <w:r>
        <w:rPr>
          <w:rFonts w:hint="eastAsia" w:hAnsi="宋体" w:cs="宋体"/>
          <w:b/>
          <w:sz w:val="32"/>
          <w:szCs w:val="32"/>
          <w:lang w:eastAsia="zh-CN"/>
        </w:rPr>
        <w:t>XCGC-F2020146</w:t>
      </w:r>
      <w:r>
        <w:rPr>
          <w:rFonts w:hint="eastAsia" w:hAnsi="宋体" w:cs="宋体"/>
          <w:b/>
          <w:sz w:val="32"/>
          <w:szCs w:val="32"/>
        </w:rPr>
        <w:t xml:space="preserve">   </w:t>
      </w:r>
    </w:p>
    <w:p>
      <w:pPr>
        <w:pStyle w:val="2"/>
        <w:ind w:firstLine="340"/>
        <w:jc w:val="center"/>
        <w:rPr>
          <w:rFonts w:eastAsia="宋体"/>
          <w:color w:val="000000" w:themeColor="text1"/>
        </w:rPr>
      </w:pPr>
      <w:r>
        <w:rPr>
          <w:rFonts w:hint="eastAsia"/>
          <w:color w:val="000000" w:themeColor="text1"/>
        </w:rPr>
        <w:t>不见面开标</w:t>
      </w:r>
    </w:p>
    <w:p>
      <w:pPr>
        <w:autoSpaceDE w:val="0"/>
        <w:autoSpaceDN w:val="0"/>
        <w:adjustRightInd w:val="0"/>
        <w:jc w:val="center"/>
        <w:rPr>
          <w:rFonts w:hAnsi="宋体" w:cs="黑体"/>
          <w:sz w:val="44"/>
          <w:szCs w:val="44"/>
        </w:rPr>
      </w:pPr>
    </w:p>
    <w:p>
      <w:pPr>
        <w:pStyle w:val="2"/>
        <w:ind w:firstLine="340"/>
        <w:jc w:val="center"/>
        <w:rPr>
          <w:rFonts w:hAnsi="宋体" w:cs="黑体"/>
          <w:sz w:val="44"/>
          <w:szCs w:val="44"/>
        </w:rPr>
      </w:pPr>
      <w:r>
        <w:rPr>
          <w:rFonts w:ascii="微软简隶书" w:eastAsia="微软简隶书"/>
          <w:color w:val="000000"/>
        </w:rPr>
        <w:drawing>
          <wp:anchor distT="0" distB="0" distL="114300" distR="114300" simplePos="0" relativeHeight="251663360" behindDoc="1" locked="0" layoutInCell="1" allowOverlap="1">
            <wp:simplePos x="0" y="0"/>
            <wp:positionH relativeFrom="column">
              <wp:posOffset>2046605</wp:posOffset>
            </wp:positionH>
            <wp:positionV relativeFrom="paragraph">
              <wp:posOffset>389255</wp:posOffset>
            </wp:positionV>
            <wp:extent cx="2025015" cy="1485900"/>
            <wp:effectExtent l="0" t="0" r="1905" b="7620"/>
            <wp:wrapTight wrapText="bothSides">
              <wp:wrapPolygon>
                <wp:start x="0" y="0"/>
                <wp:lineTo x="0" y="20935"/>
                <wp:lineTo x="21756" y="20935"/>
                <wp:lineTo x="21756"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cstate="print"/>
                    <a:stretch>
                      <a:fillRect/>
                    </a:stretch>
                  </pic:blipFill>
                  <pic:spPr>
                    <a:xfrm>
                      <a:off x="0" y="0"/>
                      <a:ext cx="2025015" cy="1485900"/>
                    </a:xfrm>
                    <a:prstGeom prst="rect">
                      <a:avLst/>
                    </a:prstGeom>
                    <a:noFill/>
                    <a:ln w="9525">
                      <a:noFill/>
                    </a:ln>
                  </pic:spPr>
                </pic:pic>
              </a:graphicData>
            </a:graphic>
          </wp:anchor>
        </w:drawing>
      </w:r>
    </w:p>
    <w:p>
      <w:pPr>
        <w:pStyle w:val="2"/>
        <w:ind w:firstLine="0" w:firstLineChars="0"/>
      </w:pPr>
    </w:p>
    <w:p>
      <w:pPr>
        <w:autoSpaceDE w:val="0"/>
        <w:autoSpaceDN w:val="0"/>
        <w:adjustRightInd w:val="0"/>
        <w:ind w:firstLine="1920" w:firstLineChars="600"/>
        <w:rPr>
          <w:rFonts w:hAnsi="宋体" w:cs="宋体"/>
          <w:b/>
          <w:sz w:val="32"/>
          <w:szCs w:val="32"/>
        </w:rPr>
      </w:pPr>
    </w:p>
    <w:p>
      <w:pPr>
        <w:autoSpaceDE w:val="0"/>
        <w:autoSpaceDN w:val="0"/>
        <w:adjustRightInd w:val="0"/>
        <w:ind w:firstLine="1920" w:firstLineChars="600"/>
        <w:rPr>
          <w:rFonts w:hAnsi="宋体" w:cs="宋体"/>
          <w:b/>
          <w:sz w:val="32"/>
          <w:szCs w:val="32"/>
        </w:rPr>
      </w:pPr>
    </w:p>
    <w:p>
      <w:pPr>
        <w:autoSpaceDE w:val="0"/>
        <w:autoSpaceDN w:val="0"/>
        <w:adjustRightInd w:val="0"/>
        <w:ind w:firstLine="1920" w:firstLineChars="600"/>
        <w:rPr>
          <w:rFonts w:hAnsi="宋体" w:cs="宋体"/>
          <w:b/>
          <w:sz w:val="32"/>
          <w:szCs w:val="32"/>
        </w:rPr>
      </w:pPr>
    </w:p>
    <w:p>
      <w:pPr>
        <w:autoSpaceDE w:val="0"/>
        <w:autoSpaceDN w:val="0"/>
        <w:adjustRightInd w:val="0"/>
        <w:ind w:firstLine="1920" w:firstLineChars="600"/>
        <w:rPr>
          <w:rFonts w:hAnsi="宋体" w:cs="宋体"/>
          <w:b/>
          <w:sz w:val="32"/>
          <w:szCs w:val="32"/>
        </w:rPr>
      </w:pPr>
    </w:p>
    <w:p>
      <w:pPr>
        <w:autoSpaceDE w:val="0"/>
        <w:autoSpaceDN w:val="0"/>
        <w:adjustRightInd w:val="0"/>
        <w:ind w:firstLine="1920" w:firstLineChars="600"/>
        <w:rPr>
          <w:rFonts w:hAnsi="宋体" w:cs="宋体"/>
          <w:b/>
          <w:sz w:val="32"/>
          <w:szCs w:val="32"/>
        </w:rPr>
      </w:pPr>
    </w:p>
    <w:p>
      <w:pPr>
        <w:autoSpaceDE w:val="0"/>
        <w:autoSpaceDN w:val="0"/>
        <w:adjustRightInd w:val="0"/>
        <w:ind w:firstLine="1920" w:firstLineChars="600"/>
        <w:rPr>
          <w:rFonts w:hAnsi="宋体" w:eastAsia="宋体" w:cs="宋体"/>
          <w:b/>
          <w:sz w:val="32"/>
          <w:szCs w:val="32"/>
        </w:rPr>
      </w:pPr>
      <w:r>
        <w:rPr>
          <w:rFonts w:hint="eastAsia" w:hAnsi="宋体" w:cs="宋体"/>
          <w:b/>
          <w:sz w:val="32"/>
          <w:szCs w:val="32"/>
        </w:rPr>
        <w:t>招标单位：许昌市魏都区水利局</w:t>
      </w:r>
    </w:p>
    <w:p>
      <w:pPr>
        <w:pStyle w:val="2"/>
        <w:ind w:firstLine="0" w:firstLineChars="0"/>
      </w:pPr>
    </w:p>
    <w:p>
      <w:pPr>
        <w:rPr>
          <w:rFonts w:hAnsi="宋体" w:cs="宋体"/>
          <w:b/>
          <w:sz w:val="32"/>
          <w:szCs w:val="32"/>
          <w:u w:val="single"/>
        </w:rPr>
      </w:pPr>
      <w:r>
        <w:rPr>
          <w:rFonts w:hint="eastAsia" w:hAnsi="宋体" w:cs="宋体"/>
          <w:b/>
          <w:sz w:val="32"/>
          <w:szCs w:val="32"/>
        </w:rPr>
        <w:t xml:space="preserve">            代理机构：永明项目管理有限公司</w:t>
      </w:r>
    </w:p>
    <w:p>
      <w:pPr>
        <w:jc w:val="center"/>
        <w:rPr>
          <w:rFonts w:hAnsi="宋体" w:cs="黑体"/>
          <w:b/>
          <w:sz w:val="32"/>
          <w:szCs w:val="32"/>
        </w:rPr>
      </w:pPr>
      <w:r>
        <w:rPr>
          <w:rFonts w:hint="eastAsia" w:hAnsi="宋体" w:cs="黑体"/>
          <w:b/>
          <w:sz w:val="32"/>
          <w:szCs w:val="32"/>
        </w:rPr>
        <w:t>二〇二〇年六月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4"/>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p>
    <w:p>
      <w:p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lang w:eastAsia="zh-CN"/>
        </w:rPr>
        <w:t>XCGC-F2020146</w:t>
      </w:r>
      <w:r>
        <w:rPr>
          <w:rFonts w:hint="eastAsia" w:hAnsi="宋体" w:cs="黑体"/>
          <w:b/>
          <w:sz w:val="36"/>
          <w:szCs w:val="36"/>
        </w:rPr>
        <w:t>许昌市魏都区水利局“许昌市供水排水设施改造项目—玉皇阁路排水工程”（不见面开标）</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招标公告</w:t>
      </w:r>
      <w:bookmarkStart w:id="106" w:name="_GoBack"/>
      <w:bookmarkEnd w:id="106"/>
    </w:p>
    <w:p>
      <w:pPr>
        <w:widowControl/>
        <w:numPr>
          <w:ilvl w:val="0"/>
          <w:numId w:val="2"/>
        </w:numPr>
        <w:spacing w:line="312" w:lineRule="auto"/>
        <w:rPr>
          <w:rFonts w:hAnsi="宋体"/>
          <w:b/>
          <w:sz w:val="24"/>
        </w:rPr>
      </w:pPr>
      <w:r>
        <w:rPr>
          <w:rFonts w:hint="eastAsia" w:hAnsi="宋体"/>
          <w:b/>
          <w:sz w:val="24"/>
        </w:rPr>
        <w:t>招标条件</w:t>
      </w:r>
    </w:p>
    <w:p>
      <w:pPr>
        <w:widowControl/>
        <w:spacing w:line="312" w:lineRule="auto"/>
        <w:ind w:firstLine="480" w:firstLineChars="200"/>
        <w:rPr>
          <w:rFonts w:hAnsi="宋体"/>
          <w:sz w:val="24"/>
          <w:szCs w:val="24"/>
        </w:rPr>
      </w:pPr>
      <w:r>
        <w:rPr>
          <w:rFonts w:hint="eastAsia" w:hAnsi="宋体"/>
          <w:sz w:val="24"/>
        </w:rPr>
        <w:t>许昌市供水排水设施改造项目—玉皇阁路排水工程，已由许昌市发展和改革委员会以许发改城市审【2019】17号批准建设，建设资金已落实。招标人为许昌市魏都区水利局，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sz w:val="24"/>
          <w:szCs w:val="24"/>
        </w:rPr>
      </w:pPr>
      <w:r>
        <w:rPr>
          <w:rFonts w:hint="eastAsia" w:hAnsi="宋体"/>
          <w:sz w:val="24"/>
        </w:rPr>
        <w:t xml:space="preserve">    2.1项目编号</w:t>
      </w:r>
      <w:r>
        <w:rPr>
          <w:rFonts w:hint="eastAsia" w:hAnsi="宋体"/>
          <w:sz w:val="24"/>
          <w:szCs w:val="24"/>
        </w:rPr>
        <w:t>：</w:t>
      </w:r>
      <w:r>
        <w:rPr>
          <w:rFonts w:hint="eastAsia" w:hAnsi="宋体"/>
          <w:sz w:val="24"/>
          <w:szCs w:val="24"/>
          <w:lang w:eastAsia="zh-CN"/>
        </w:rPr>
        <w:t>XCGC-F2020146</w:t>
      </w:r>
      <w:r>
        <w:rPr>
          <w:rFonts w:hint="eastAsia" w:hAnsi="宋体"/>
          <w:sz w:val="24"/>
          <w:szCs w:val="24"/>
        </w:rPr>
        <w:t xml:space="preserve">   </w:t>
      </w:r>
    </w:p>
    <w:p>
      <w:pPr>
        <w:widowControl/>
        <w:spacing w:line="312" w:lineRule="auto"/>
        <w:ind w:firstLine="480" w:firstLineChars="200"/>
        <w:rPr>
          <w:rFonts w:hAnsi="宋体"/>
          <w:sz w:val="24"/>
        </w:rPr>
      </w:pPr>
      <w:r>
        <w:rPr>
          <w:rFonts w:hint="eastAsia" w:hAnsi="宋体"/>
          <w:sz w:val="24"/>
        </w:rPr>
        <w:t>2.2项目建设地点：本项目位于许昌市魏都区。</w:t>
      </w:r>
    </w:p>
    <w:p>
      <w:pPr>
        <w:widowControl/>
        <w:spacing w:line="312" w:lineRule="auto"/>
        <w:ind w:firstLine="480" w:firstLineChars="200"/>
        <w:rPr>
          <w:rFonts w:hAnsi="宋体"/>
          <w:sz w:val="24"/>
        </w:rPr>
      </w:pPr>
      <w:r>
        <w:rPr>
          <w:rFonts w:hint="eastAsia" w:hAnsi="宋体"/>
          <w:sz w:val="24"/>
        </w:rPr>
        <w:t>2.3工程概况：本项目主要包括拆除原雨污合流管道及检查井、拆除旧路面、恢复新建沥青路面、混凝土管、工程降水等。</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2.5标段划分：本工程共设一个标段。</w:t>
      </w:r>
    </w:p>
    <w:p>
      <w:pPr>
        <w:spacing w:line="360" w:lineRule="auto"/>
        <w:ind w:firstLine="480"/>
        <w:rPr>
          <w:rFonts w:hAnsi="宋体"/>
          <w:sz w:val="24"/>
        </w:rPr>
      </w:pPr>
      <w:r>
        <w:rPr>
          <w:rFonts w:hint="eastAsia" w:hAnsi="宋体"/>
          <w:sz w:val="24"/>
        </w:rPr>
        <w:t>2.6招标控制价:4807672.18元。</w:t>
      </w:r>
    </w:p>
    <w:p>
      <w:pPr>
        <w:widowControl/>
        <w:spacing w:line="300" w:lineRule="auto"/>
        <w:ind w:firstLine="480"/>
        <w:rPr>
          <w:rFonts w:hAnsi="宋体"/>
          <w:sz w:val="24"/>
        </w:rPr>
      </w:pPr>
      <w:r>
        <w:rPr>
          <w:rFonts w:hint="eastAsia" w:hAnsi="宋体"/>
          <w:sz w:val="24"/>
        </w:rPr>
        <w:t>2.7计划工</w:t>
      </w:r>
      <w:r>
        <w:rPr>
          <w:rFonts w:hint="eastAsia" w:hAnsi="宋体" w:eastAsia="宋体" w:cs="Times New Roman"/>
          <w:sz w:val="24"/>
          <w:szCs w:val="24"/>
        </w:rPr>
        <w:t>期：90日历天。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3"/>
        <w:spacing w:beforeAutospacing="0" w:afterAutospacing="0" w:line="360" w:lineRule="auto"/>
        <w:ind w:firstLine="480" w:firstLineChars="200"/>
        <w:contextualSpacing/>
        <w:jc w:val="both"/>
        <w:rPr>
          <w:rFonts w:cs="Times New Roman"/>
          <w:szCs w:val="24"/>
        </w:rPr>
      </w:pPr>
      <w:r>
        <w:rPr>
          <w:rFonts w:hint="eastAsia" w:cs="Times New Roman"/>
          <w:szCs w:val="24"/>
        </w:rPr>
        <w:t>3.1投标人须具有市政公用工程施工总承包三级及以上企业资质，具有有效的安全生产许可证的独立法人企业，并在人员、设备、资金等方面具有相应的施工能力。拟派项目负责人具有二级及以上市政工程专业注册建造师执业资格（不含临时执业资格）和有效的安全生产考核合格证，且未担任其它在施建设工程的项目负责人。</w:t>
      </w:r>
    </w:p>
    <w:p>
      <w:pPr>
        <w:pStyle w:val="13"/>
        <w:spacing w:beforeAutospacing="0" w:afterAutospacing="0" w:line="360" w:lineRule="auto"/>
        <w:ind w:firstLine="480" w:firstLineChars="200"/>
        <w:contextualSpacing/>
        <w:jc w:val="both"/>
        <w:rPr>
          <w:rFonts w:cs="Times New Roman"/>
          <w:szCs w:val="24"/>
        </w:rPr>
      </w:pPr>
      <w:r>
        <w:rPr>
          <w:rFonts w:hint="eastAsia" w:cs="Times New Roman"/>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3"/>
        <w:spacing w:beforeAutospacing="0" w:afterAutospacing="0" w:line="360" w:lineRule="auto"/>
        <w:ind w:firstLine="480" w:firstLineChars="200"/>
        <w:contextualSpacing/>
        <w:jc w:val="both"/>
        <w:rPr>
          <w:rFonts w:cs="Times New Roman"/>
          <w:szCs w:val="24"/>
        </w:rPr>
      </w:pPr>
      <w:r>
        <w:rPr>
          <w:rFonts w:hint="eastAsia" w:cs="Times New Roman"/>
          <w:szCs w:val="24"/>
        </w:rPr>
        <w:t>3.3本次招标不接受联合体投标。</w:t>
      </w:r>
    </w:p>
    <w:p>
      <w:pPr>
        <w:pStyle w:val="13"/>
        <w:spacing w:beforeAutospacing="0" w:afterAutospacing="0" w:line="360" w:lineRule="auto"/>
        <w:ind w:firstLine="480" w:firstLineChars="200"/>
        <w:contextualSpacing/>
        <w:jc w:val="both"/>
        <w:rPr>
          <w:rFonts w:cs="Times New Roman"/>
          <w:szCs w:val="24"/>
        </w:rPr>
      </w:pPr>
      <w:r>
        <w:rPr>
          <w:rFonts w:hint="eastAsia" w:cs="Times New Roman"/>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13"/>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3"/>
        <w:wordWrap w:val="0"/>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 xml:space="preserve"> 300 </w:t>
      </w:r>
      <w:r>
        <w:rPr>
          <w:rFonts w:hint="eastAsia" w:hAnsi="宋体"/>
          <w:bCs/>
          <w:color w:val="000000" w:themeColor="text1"/>
          <w:sz w:val="24"/>
        </w:rPr>
        <w:t>元，投标人于开标结束后转账至支付宝账户：13333991768（转账时请注明项目编号、标段及公司名称）。</w:t>
      </w:r>
    </w:p>
    <w:p>
      <w:pPr>
        <w:widowControl/>
        <w:spacing w:line="312" w:lineRule="auto"/>
        <w:rPr>
          <w:rFonts w:hAnsi="宋体"/>
          <w:b/>
          <w:sz w:val="24"/>
        </w:rPr>
      </w:pPr>
      <w:r>
        <w:rPr>
          <w:rFonts w:hint="eastAsia" w:hAnsi="宋体"/>
          <w:b/>
          <w:sz w:val="24"/>
        </w:rPr>
        <w:t>6、投标文件的递交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rPr>
        <w:t>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int="eastAsia" w:hAnsi="宋体"/>
          <w:bCs/>
          <w:sz w:val="24"/>
        </w:rPr>
      </w:pPr>
      <w:r>
        <w:rPr>
          <w:rFonts w:hint="eastAsia" w:hAnsi="宋体"/>
          <w:bCs/>
          <w:sz w:val="24"/>
        </w:rPr>
        <w:t>6.2 投标截止时间及开标时间：2020年</w:t>
      </w:r>
      <w:r>
        <w:rPr>
          <w:rFonts w:hint="eastAsia" w:hAnsi="宋体"/>
          <w:bCs/>
          <w:sz w:val="24"/>
          <w:lang w:val="en-US" w:eastAsia="zh-CN"/>
        </w:rPr>
        <w:t>7</w:t>
      </w:r>
      <w:r>
        <w:rPr>
          <w:rFonts w:hint="eastAsia" w:hAnsi="宋体"/>
          <w:bCs/>
          <w:sz w:val="24"/>
        </w:rPr>
        <w:t>月</w:t>
      </w:r>
      <w:r>
        <w:rPr>
          <w:rFonts w:hint="eastAsia" w:hAnsi="宋体"/>
          <w:bCs/>
          <w:sz w:val="24"/>
          <w:lang w:val="en-US" w:eastAsia="zh-CN"/>
        </w:rPr>
        <w:t>17</w:t>
      </w:r>
      <w:r>
        <w:rPr>
          <w:rFonts w:hint="eastAsia" w:hAnsi="宋体"/>
          <w:bCs/>
          <w:sz w:val="24"/>
        </w:rPr>
        <w:t>日8时30分。</w:t>
      </w:r>
    </w:p>
    <w:p>
      <w:pPr>
        <w:widowControl/>
        <w:spacing w:line="360" w:lineRule="auto"/>
        <w:ind w:firstLine="480" w:firstLineChars="200"/>
        <w:rPr>
          <w:rFonts w:hAnsi="宋体"/>
          <w:bCs/>
          <w:color w:val="FF0000"/>
          <w:sz w:val="24"/>
        </w:rPr>
      </w:pPr>
      <w:r>
        <w:rPr>
          <w:rFonts w:hint="eastAsia" w:hAnsi="宋体"/>
          <w:bCs/>
          <w:sz w:val="24"/>
        </w:rPr>
        <w:t>6.3招标人（代理机构）线上开标地点：许昌市公共资源交易中心（龙兴路与竹林路交汇处创业服务中心C 座）三楼开标</w:t>
      </w:r>
      <w:r>
        <w:rPr>
          <w:rFonts w:hint="eastAsia" w:hAnsi="宋体"/>
          <w:bCs/>
          <w:sz w:val="24"/>
          <w:lang w:eastAsia="zh-CN"/>
        </w:rPr>
        <w:t>二</w:t>
      </w:r>
      <w:r>
        <w:rPr>
          <w:rFonts w:hint="eastAsia" w:hAnsi="宋体"/>
          <w:bCs/>
          <w:sz w:val="24"/>
        </w:rPr>
        <w:t>室</w:t>
      </w:r>
      <w:r>
        <w:rPr>
          <w:rFonts w:hint="eastAsia" w:hAnsi="宋体"/>
          <w:bCs/>
          <w:sz w:val="24"/>
          <w:lang w:eastAsia="zh-CN"/>
        </w:rPr>
        <w:t>。</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jc w:val="left"/>
        <w:rPr>
          <w:rFonts w:hAnsi="宋体" w:cs="宋体"/>
          <w:sz w:val="24"/>
          <w:szCs w:val="24"/>
        </w:rPr>
      </w:pPr>
      <w:r>
        <w:rPr>
          <w:rFonts w:hint="eastAsia" w:hAnsi="宋体" w:cs="宋体"/>
          <w:sz w:val="24"/>
          <w:szCs w:val="24"/>
        </w:rPr>
        <w:t>采 购 人：许昌市魏都区水利局</w:t>
      </w:r>
    </w:p>
    <w:p>
      <w:pPr>
        <w:spacing w:line="560" w:lineRule="exact"/>
        <w:ind w:firstLine="240" w:firstLineChars="100"/>
        <w:jc w:val="left"/>
        <w:rPr>
          <w:rFonts w:hAnsi="宋体" w:cs="宋体"/>
          <w:sz w:val="24"/>
          <w:szCs w:val="24"/>
        </w:rPr>
      </w:pPr>
      <w:r>
        <w:rPr>
          <w:rFonts w:hint="eastAsia" w:hAnsi="宋体" w:cs="宋体"/>
          <w:sz w:val="24"/>
          <w:szCs w:val="24"/>
        </w:rPr>
        <w:t>地    址：许昌市天宝路</w:t>
      </w:r>
    </w:p>
    <w:p>
      <w:pPr>
        <w:spacing w:line="560" w:lineRule="exact"/>
        <w:ind w:firstLine="240" w:firstLineChars="100"/>
        <w:jc w:val="left"/>
        <w:rPr>
          <w:rFonts w:hAnsi="宋体" w:cs="宋体"/>
          <w:sz w:val="24"/>
          <w:szCs w:val="24"/>
        </w:rPr>
      </w:pPr>
      <w:r>
        <w:rPr>
          <w:rFonts w:hint="eastAsia" w:hAnsi="宋体" w:cs="宋体"/>
          <w:sz w:val="24"/>
          <w:szCs w:val="24"/>
        </w:rPr>
        <w:t xml:space="preserve">联 系 人：任先生       </w:t>
      </w:r>
    </w:p>
    <w:p>
      <w:pPr>
        <w:spacing w:line="560" w:lineRule="exact"/>
        <w:ind w:firstLine="240" w:firstLineChars="100"/>
        <w:jc w:val="left"/>
        <w:rPr>
          <w:rFonts w:hAnsi="宋体" w:cs="宋体"/>
          <w:sz w:val="24"/>
          <w:szCs w:val="24"/>
        </w:rPr>
      </w:pPr>
      <w:r>
        <w:rPr>
          <w:rFonts w:hint="eastAsia" w:hAnsi="宋体" w:cs="宋体"/>
          <w:sz w:val="24"/>
          <w:szCs w:val="24"/>
        </w:rPr>
        <w:t>联系电话：0374-5056679</w:t>
      </w:r>
    </w:p>
    <w:p>
      <w:pPr>
        <w:spacing w:line="560" w:lineRule="exact"/>
        <w:ind w:firstLine="240" w:firstLineChars="100"/>
        <w:jc w:val="left"/>
        <w:rPr>
          <w:rFonts w:hAnsi="宋体" w:cs="宋体"/>
          <w:sz w:val="24"/>
          <w:szCs w:val="24"/>
        </w:rPr>
      </w:pPr>
      <w:r>
        <w:rPr>
          <w:rFonts w:hint="eastAsia" w:hAnsi="宋体" w:cs="宋体"/>
          <w:sz w:val="24"/>
          <w:szCs w:val="24"/>
        </w:rPr>
        <w:t>代理机构：永明项目管理有限公司</w:t>
      </w:r>
    </w:p>
    <w:p>
      <w:pPr>
        <w:spacing w:line="560" w:lineRule="exact"/>
        <w:ind w:firstLine="240" w:firstLineChars="100"/>
        <w:jc w:val="left"/>
        <w:rPr>
          <w:rFonts w:hAnsi="宋体" w:cs="宋体"/>
          <w:sz w:val="24"/>
          <w:szCs w:val="24"/>
        </w:rPr>
      </w:pPr>
      <w:r>
        <w:rPr>
          <w:rFonts w:hint="eastAsia" w:hAnsi="宋体" w:cs="宋体"/>
          <w:sz w:val="24"/>
          <w:szCs w:val="24"/>
        </w:rPr>
        <w:t>地    址：郑州高新技术产业开发区西三环路289号国家大学科技园</w:t>
      </w:r>
    </w:p>
    <w:p>
      <w:pPr>
        <w:spacing w:line="560" w:lineRule="exact"/>
        <w:ind w:firstLine="240" w:firstLineChars="100"/>
        <w:jc w:val="left"/>
        <w:rPr>
          <w:rFonts w:hAnsi="宋体" w:cs="宋体"/>
          <w:sz w:val="24"/>
          <w:szCs w:val="24"/>
        </w:rPr>
      </w:pPr>
      <w:r>
        <w:rPr>
          <w:rFonts w:hint="eastAsia" w:hAnsi="宋体" w:cs="宋体"/>
          <w:sz w:val="24"/>
          <w:szCs w:val="24"/>
        </w:rPr>
        <w:t>联 系 人：燕女士</w:t>
      </w:r>
    </w:p>
    <w:p>
      <w:pPr>
        <w:spacing w:line="560" w:lineRule="exact"/>
        <w:ind w:firstLine="240" w:firstLineChars="100"/>
        <w:jc w:val="left"/>
        <w:rPr>
          <w:rFonts w:hAnsi="宋体" w:cs="宋体"/>
          <w:sz w:val="24"/>
          <w:szCs w:val="24"/>
        </w:rPr>
      </w:pPr>
      <w:r>
        <w:rPr>
          <w:rFonts w:hint="eastAsia" w:hAnsi="宋体" w:cs="宋体"/>
          <w:sz w:val="24"/>
          <w:szCs w:val="24"/>
        </w:rPr>
        <w:t>联系电话：13462179027</w:t>
      </w:r>
    </w:p>
    <w:p>
      <w:pPr>
        <w:spacing w:line="560" w:lineRule="exact"/>
        <w:ind w:firstLine="240" w:firstLineChars="100"/>
        <w:jc w:val="right"/>
        <w:rPr>
          <w:rFonts w:hAnsi="宋体" w:cs="宋体"/>
          <w:color w:val="FF0000"/>
          <w:sz w:val="24"/>
          <w:szCs w:val="24"/>
        </w:rPr>
      </w:pPr>
    </w:p>
    <w:p>
      <w:pPr>
        <w:spacing w:line="560" w:lineRule="exact"/>
        <w:ind w:firstLine="240" w:firstLineChars="100"/>
        <w:jc w:val="right"/>
        <w:rPr>
          <w:rFonts w:hAnsi="宋体" w:cs="宋体"/>
          <w:sz w:val="24"/>
          <w:szCs w:val="24"/>
        </w:rPr>
      </w:pPr>
      <w:r>
        <w:rPr>
          <w:rFonts w:hint="eastAsia" w:hAnsi="宋体" w:cs="宋体"/>
          <w:sz w:val="24"/>
          <w:szCs w:val="24"/>
        </w:rPr>
        <w:t>许昌市魏都区水利局</w:t>
      </w:r>
    </w:p>
    <w:p>
      <w:pPr>
        <w:spacing w:line="560" w:lineRule="exact"/>
        <w:ind w:firstLine="240" w:firstLineChars="100"/>
        <w:jc w:val="right"/>
        <w:rPr>
          <w:rFonts w:hAnsi="宋体" w:cs="宋体"/>
          <w:sz w:val="24"/>
          <w:szCs w:val="24"/>
        </w:rPr>
      </w:pPr>
      <w:r>
        <w:rPr>
          <w:rFonts w:hint="eastAsia" w:hAnsi="宋体" w:cs="宋体"/>
          <w:sz w:val="24"/>
          <w:szCs w:val="24"/>
        </w:rPr>
        <w:t>2020年6月24日</w:t>
      </w:r>
    </w:p>
    <w:p>
      <w:pPr>
        <w:rPr>
          <w:rFonts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4.1.2提交后再次登录</w:t>
      </w:r>
      <w:r>
        <w:fldChar w:fldCharType="begin"/>
      </w:r>
      <w:r>
        <w:instrText xml:space="preserve"> HYPERLINK "http://221.14.6.70:8088/ggzy" </w:instrText>
      </w:r>
      <w: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Ansi="宋体" w:cs="宋体"/>
          <w:b/>
          <w:color w:val="000000" w:themeColor="text1"/>
          <w:sz w:val="36"/>
          <w:szCs w:val="36"/>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rPr>
          <w:rFonts w:hAnsi="宋体" w:cs="宋体"/>
          <w:b/>
          <w:color w:val="000000" w:themeColor="text1"/>
          <w:sz w:val="36"/>
          <w:szCs w:val="36"/>
        </w:rPr>
      </w:pPr>
      <w:r>
        <w:rPr>
          <w:rFonts w:hint="eastAsia" w:hAnsi="宋体" w:cs="宋体"/>
          <w:b/>
          <w:color w:val="000000" w:themeColor="text1"/>
          <w:sz w:val="36"/>
          <w:szCs w:val="36"/>
        </w:rPr>
        <w:br w:type="page"/>
      </w: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采 购 人：许昌市魏都区水利局</w:t>
            </w:r>
          </w:p>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地    址：许昌市天宝路</w:t>
            </w:r>
          </w:p>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 xml:space="preserve">联 系 人：任先生       </w:t>
            </w:r>
          </w:p>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联系电话：0374-5056679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代理机构：永明项目管理有限公司</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地    址：郑州高新技术产业开发区西三环路289号国家大学科技园</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联 系 人：燕女士      </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联系电话：13462179027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Ansi="宋体" w:cs="宋体"/>
                <w:b/>
                <w:color w:val="000000" w:themeColor="text1"/>
                <w:sz w:val="30"/>
                <w:szCs w:val="30"/>
              </w:rPr>
            </w:pPr>
            <w:r>
              <w:rPr>
                <w:rFonts w:hAnsi="宋体" w:eastAsia="宋体" w:cs="宋体"/>
                <w:color w:val="000000" w:themeColor="text1"/>
                <w:sz w:val="24"/>
              </w:rPr>
              <w:t>许昌市供水排水设施改造项目—玉皇阁路排水工程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rPr>
            </w:pPr>
            <w:r>
              <w:rPr>
                <w:rFonts w:hint="eastAsia" w:hAnsi="宋体"/>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color w:val="auto"/>
                <w:sz w:val="24"/>
                <w:szCs w:val="24"/>
              </w:rPr>
              <w:t>2020年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17</w:t>
            </w:r>
            <w:r>
              <w:rPr>
                <w:rFonts w:hint="eastAsia" w:hAnsi="宋体" w:cs="宋体"/>
                <w:color w:val="auto"/>
                <w:sz w:val="24"/>
                <w:szCs w:val="24"/>
              </w:rPr>
              <w:t>日8时30分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4" w:colFirst="0" w:colLast="2"/>
            <w:bookmarkStart w:id="3" w:name="_Hlk424659721"/>
            <w:bookmarkStart w:id="4" w:name="OLE_LINK3"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jc w:val="left"/>
              <w:rPr>
                <w:rFonts w:hAnsi="宋体" w:eastAsia="宋体" w:cs="宋体"/>
                <w:b/>
                <w:bCs/>
                <w:color w:val="auto"/>
                <w:sz w:val="24"/>
              </w:rPr>
            </w:pPr>
            <w:r>
              <w:rPr>
                <w:rFonts w:hint="eastAsia" w:hAnsi="宋体" w:eastAsia="宋体" w:cs="宋体"/>
                <w:b/>
                <w:bCs/>
                <w:color w:val="auto"/>
                <w:sz w:val="24"/>
              </w:rPr>
              <w:t>金额：玖万元整</w:t>
            </w:r>
            <w:r>
              <w:rPr>
                <w:rFonts w:hint="eastAsia" w:hAnsi="宋体" w:cs="仿宋_GB2312"/>
                <w:b/>
                <w:bCs/>
                <w:color w:val="auto"/>
                <w:sz w:val="24"/>
              </w:rPr>
              <w:t>（￥90000元）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sz w:val="24"/>
              </w:rPr>
              <w:t>再次</w:t>
            </w:r>
            <w:r>
              <w:rPr>
                <w:rFonts w:hint="eastAsia" w:hAnsi="宋体" w:cs="宋体"/>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sz w:val="24"/>
                <w:lang w:val="zh-CN"/>
              </w:rPr>
              <w:t>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rPr>
              <w:t>即本项目投保保证金</w:t>
            </w:r>
            <w:r>
              <w:rPr>
                <w:rFonts w:hint="eastAsia" w:hAnsi="宋体" w:cs="宋体"/>
                <w:color w:val="000000" w:themeColor="text1"/>
                <w:sz w:val="24"/>
                <w:lang w:val="zh-CN"/>
              </w:rPr>
              <w:t>“许昌</w:t>
            </w:r>
            <w:r>
              <w:rPr>
                <w:rFonts w:hint="eastAsia" w:hAnsi="宋体" w:cs="宋体"/>
                <w:sz w:val="24"/>
                <w:lang w:val="zh-CN"/>
              </w:rPr>
              <w:t>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cs="仿宋_GB2312"/>
                <w:sz w:val="24"/>
              </w:rPr>
              <w:t>近年，指2017、2018、2019年。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cs="仿宋_GB2312"/>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sz w:val="24"/>
                <w:szCs w:val="24"/>
              </w:rPr>
              <w:t>C 座</w:t>
            </w:r>
            <w:r>
              <w:rPr>
                <w:rFonts w:hint="eastAsia" w:hAnsi="宋体" w:cs="宋体"/>
                <w:color w:val="auto"/>
                <w:sz w:val="24"/>
                <w:szCs w:val="24"/>
              </w:rPr>
              <w:t>）三楼开标</w:t>
            </w:r>
            <w:r>
              <w:rPr>
                <w:rFonts w:hint="eastAsia" w:hAnsi="宋体" w:cs="宋体"/>
                <w:color w:val="auto"/>
                <w:sz w:val="24"/>
                <w:szCs w:val="24"/>
                <w:lang w:eastAsia="zh-CN"/>
              </w:rPr>
              <w:t>二</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Ansi="宋体"/>
                <w:sz w:val="24"/>
              </w:rPr>
            </w:pPr>
            <w:r>
              <w:rPr>
                <w:rFonts w:hint="eastAsia" w:hAnsi="宋体" w:eastAsia="宋体" w:cs="宋体"/>
                <w:sz w:val="24"/>
              </w:rPr>
              <w:t>(1</w:t>
            </w:r>
            <w:r>
              <w:rPr>
                <w:rFonts w:hint="eastAsia" w:hAnsi="宋体"/>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sz w:val="24"/>
              </w:rPr>
            </w:pPr>
            <w:r>
              <w:rPr>
                <w:rFonts w:hint="eastAsia" w:hAnsi="宋体"/>
                <w:sz w:val="24"/>
              </w:rPr>
              <w:t xml:space="preserve">(3)解密完成后，招标人（代理机构）点击“系数抽取”按钮进行系数抽取，系数抽取情况在“公告通知”处显示。 </w:t>
            </w:r>
          </w:p>
          <w:p>
            <w:pPr>
              <w:spacing w:line="360" w:lineRule="auto"/>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pPr>
            <w:r>
              <w:rPr>
                <w:rFonts w:hint="eastAsia" w:hAnsi="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sz w:val="24"/>
              </w:rPr>
            </w:pPr>
            <w:r>
              <w:rPr>
                <w:rFonts w:hint="eastAsia" w:ascii="新宋体" w:hAnsi="新宋体" w:eastAsia="新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sz w:val="24"/>
              </w:rPr>
            </w:pPr>
            <w:r>
              <w:rPr>
                <w:rFonts w:hint="eastAsia" w:hAnsi="宋体" w:cs="TimesNewRomanPSMT"/>
                <w:color w:val="auto"/>
                <w:sz w:val="24"/>
              </w:rPr>
              <w:t>指2017年1月1日以来承接过的市政公用工程建设项目。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b/>
                <w:bCs/>
                <w:sz w:val="24"/>
              </w:rPr>
            </w:pPr>
            <w:r>
              <w:rPr>
                <w:rFonts w:hint="eastAsia" w:hAnsi="宋体" w:cs="宋体"/>
                <w:b/>
                <w:bCs/>
                <w:sz w:val="24"/>
              </w:rPr>
              <w:t>大写：肆佰捌拾万零柒仟陆佰柒拾贰元壹角捌分</w:t>
            </w:r>
          </w:p>
          <w:p>
            <w:pPr>
              <w:keepNext/>
              <w:spacing w:line="276" w:lineRule="auto"/>
              <w:rPr>
                <w:b/>
                <w:bCs/>
              </w:rPr>
            </w:pPr>
            <w:r>
              <w:rPr>
                <w:rFonts w:hint="eastAsia" w:hAnsi="宋体" w:cs="宋体"/>
                <w:b/>
                <w:bCs/>
                <w:sz w:val="24"/>
              </w:rPr>
              <w:t>小写：4807672.18元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sz w:val="24"/>
              </w:rPr>
              <w:t>人采用银行转账方式提交投标保证金的，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Ansi="宋体" w:cs="宋体"/>
          <w:color w:val="000000" w:themeColor="text1"/>
          <w:sz w:val="24"/>
        </w:rPr>
      </w:pPr>
      <w:bookmarkStart w:id="5" w:name="_Toc283559947"/>
      <w:r>
        <w:rPr>
          <w:rFonts w:hint="eastAsia" w:hAnsi="宋体" w:cs="宋体"/>
          <w:color w:val="000000" w:themeColor="text1"/>
          <w:sz w:val="24"/>
        </w:rPr>
        <w:br w:type="page"/>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79632552"/>
      <w:bookmarkStart w:id="7" w:name="_Toc152042311"/>
      <w:bookmarkStart w:id="8" w:name="_Toc144974503"/>
      <w:bookmarkStart w:id="9" w:name="_Toc152045535"/>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44974504"/>
      <w:bookmarkStart w:id="11" w:name="_Toc152042312"/>
      <w:bookmarkStart w:id="12" w:name="_Toc179632553"/>
      <w:bookmarkStart w:id="13" w:name="_Toc152045536"/>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5537"/>
      <w:bookmarkStart w:id="16" w:name="_Toc179632554"/>
      <w:bookmarkStart w:id="17" w:name="_Toc152042313"/>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52045538"/>
      <w:bookmarkStart w:id="19" w:name="_Toc144974506"/>
      <w:bookmarkStart w:id="20" w:name="_Toc179632555"/>
      <w:bookmarkStart w:id="21" w:name="_Toc152042314"/>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1"/>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52045546"/>
      <w:bookmarkStart w:id="30" w:name="_Toc144974514"/>
      <w:bookmarkStart w:id="31" w:name="_Toc179632564"/>
      <w:bookmarkStart w:id="32" w:name="_Toc152042322"/>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（3）法定代表人身份证明、授权委托书；</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sz w:val="24"/>
        </w:rPr>
        <w:t>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投标保证金提交：按《投标人须知前附表》3.4.2条规定。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rPr>
        <w:t>提交</w:t>
      </w:r>
      <w:r>
        <w:rPr>
          <w:rFonts w:hint="eastAsia" w:ascii="新宋体" w:hAnsi="新宋体" w:eastAsia="新宋体" w:cs="仿宋_GB2312"/>
          <w:color w:val="000000" w:themeColor="text1"/>
          <w:sz w:val="24"/>
          <w:lang w:val="zh-CN"/>
        </w:rPr>
        <w:t>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投标保证金的</w:t>
      </w:r>
      <w:r>
        <w:rPr>
          <w:rFonts w:hint="eastAsia" w:ascii="新宋体" w:hAnsi="新宋体" w:eastAsia="新宋体" w:cs="仿宋_GB2312"/>
          <w:color w:val="000000" w:themeColor="text1"/>
          <w:sz w:val="24"/>
        </w:rPr>
        <w:t>提交</w:t>
      </w:r>
      <w:r>
        <w:rPr>
          <w:rFonts w:hint="eastAsia" w:ascii="新宋体" w:hAnsi="新宋体" w:eastAsia="新宋体" w:cs="仿宋_GB2312"/>
          <w:color w:val="000000" w:themeColor="text1"/>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rPr>
        <w:t>真实</w:t>
      </w:r>
      <w:r>
        <w:rPr>
          <w:rFonts w:hint="eastAsia" w:ascii="新宋体" w:hAnsi="新宋体" w:eastAsia="新宋体" w:cs="仿宋_GB2312"/>
          <w:color w:val="000000" w:themeColor="text1"/>
          <w:sz w:val="24"/>
          <w:lang w:val="zh-CN"/>
        </w:rPr>
        <w:t>合法的银行保函原件扫描件附于投标文件中，否则视为未按</w:t>
      </w:r>
      <w:r>
        <w:rPr>
          <w:rFonts w:hint="eastAsia" w:ascii="新宋体" w:hAnsi="新宋体" w:eastAsia="新宋体" w:cs="仿宋_GB2312"/>
          <w:color w:val="000000" w:themeColor="text1"/>
          <w:sz w:val="24"/>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投标保证金</w:t>
      </w:r>
      <w:r>
        <w:rPr>
          <w:rFonts w:hint="eastAsia" w:ascii="新宋体" w:hAnsi="新宋体" w:eastAsia="新宋体" w:cs="仿宋_GB2312"/>
          <w:color w:val="000000" w:themeColor="text1"/>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成功缴纳后</w:t>
      </w:r>
      <w:r>
        <w:rPr>
          <w:rFonts w:hint="eastAsia" w:ascii="新宋体" w:hAnsi="新宋体" w:eastAsia="新宋体" w:cs="仿宋_GB2312"/>
          <w:color w:val="000000" w:themeColor="text1"/>
          <w:sz w:val="24"/>
        </w:rPr>
        <w:t>再次</w:t>
      </w:r>
      <w:r>
        <w:rPr>
          <w:rFonts w:hint="eastAsia" w:ascii="新宋体" w:hAnsi="新宋体" w:eastAsia="新宋体" w:cs="仿宋_GB2312"/>
          <w:color w:val="000000" w:themeColor="text1"/>
          <w:sz w:val="24"/>
          <w:lang w:val="zh-CN"/>
        </w:rPr>
        <w:t>登录前述系统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投标人成功绑定投标保证金，将缴纳凭证“许昌公共资源交易中心保证金缴纳回执”附于投标文件中；未绑定标段的投标保证金，视为未按</w:t>
      </w:r>
      <w:r>
        <w:rPr>
          <w:rFonts w:hint="eastAsia" w:ascii="新宋体" w:hAnsi="新宋体" w:eastAsia="新宋体" w:cs="仿宋_GB2312"/>
          <w:color w:val="000000" w:themeColor="text1"/>
          <w:sz w:val="24"/>
        </w:rPr>
        <w:t>规定</w:t>
      </w:r>
      <w:r>
        <w:rPr>
          <w:rFonts w:hint="eastAsia" w:ascii="新宋体" w:hAnsi="新宋体" w:eastAsia="新宋体" w:cs="仿宋_GB2312"/>
          <w:color w:val="000000" w:themeColor="text1"/>
          <w:sz w:val="24"/>
          <w:lang w:val="zh-CN"/>
        </w:rPr>
        <w:t>交纳。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rPr>
        <w:t>（6）</w:t>
      </w:r>
      <w:r>
        <w:rPr>
          <w:rFonts w:hint="eastAsia" w:ascii="新宋体" w:hAnsi="新宋体" w:eastAsia="新宋体" w:cs="仿宋_GB2312"/>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3.5.1 </w:t>
      </w:r>
      <w:r>
        <w:rPr>
          <w:rFonts w:hint="eastAsia" w:hAnsi="宋体" w:cs="宋体"/>
          <w:sz w:val="24"/>
          <w:lang w:val="zh-CN"/>
        </w:rPr>
        <w:t>“投标人基本情况表”应附投标人营业执照副本、资质证书副本和安全生产许可证等材料的原件扫描件</w:t>
      </w:r>
      <w:r>
        <w:rPr>
          <w:rFonts w:hint="eastAsia" w:hAnsi="宋体" w:cs="宋体"/>
          <w:sz w:val="24"/>
        </w:rPr>
        <w:t>。</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3.5.2 </w:t>
      </w:r>
      <w:r>
        <w:rPr>
          <w:rFonts w:hint="eastAsia" w:hAnsi="宋体" w:cs="宋体"/>
          <w:sz w:val="24"/>
          <w:lang w:val="zh-CN"/>
        </w:rPr>
        <w:t>“近年财务状况表”应附经会计师事务所或审计机构审计的财务会计报表，包括资产负债表、现金流量表、利润表等的原件扫描件，具体年份要求见投标人须知前附表。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Ansi="宋体" w:cs="宋体"/>
          <w:b/>
          <w:bCs/>
          <w:color w:val="000000" w:themeColor="text1"/>
          <w:sz w:val="24"/>
        </w:rPr>
      </w:pPr>
      <w:r>
        <w:rPr>
          <w:rFonts w:hint="eastAsia" w:hAnsi="宋体" w:cs="宋体"/>
          <w:b/>
          <w:bCs/>
          <w:color w:val="000000" w:themeColor="text1"/>
          <w:sz w:val="24"/>
        </w:rPr>
        <w:t>注：具体评审内容依据第三章评标办法。</w:t>
      </w:r>
    </w:p>
    <w:p>
      <w:pPr>
        <w:autoSpaceDE w:val="0"/>
        <w:autoSpaceDN w:val="0"/>
        <w:jc w:val="left"/>
        <w:rPr>
          <w:rFonts w:hAnsi="宋体" w:cs="宋体"/>
          <w:b/>
          <w:color w:val="000000" w:themeColor="text1"/>
          <w:sz w:val="24"/>
        </w:rPr>
      </w:pPr>
      <w:r>
        <w:rPr>
          <w:rFonts w:hint="eastAsia" w:hAnsi="宋体" w:cs="宋体"/>
          <w:b/>
          <w:color w:val="000000" w:themeColor="text1"/>
          <w:sz w:val="24"/>
        </w:rPr>
        <w:t xml:space="preserve">3.6 </w:t>
      </w:r>
      <w:bookmarkStart w:id="37" w:name="_Toc179632571"/>
      <w:bookmarkStart w:id="38" w:name="_Toc152042329"/>
      <w:bookmarkStart w:id="39" w:name="_Toc152045553"/>
      <w:bookmarkStart w:id="40" w:name="_Toc144974521"/>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1"/>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1"/>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Ansi="宋体"/>
          <w:sz w:val="24"/>
        </w:rPr>
      </w:pPr>
      <w:bookmarkStart w:id="45" w:name="_Toc283559970"/>
      <w:r>
        <w:rPr>
          <w:rFonts w:hint="eastAsia" w:hAnsi="宋体" w:eastAsia="宋体" w:cs="宋体"/>
          <w:sz w:val="24"/>
        </w:rPr>
        <w:t>(1</w:t>
      </w:r>
      <w:r>
        <w:rPr>
          <w:rFonts w:hint="eastAsia" w:hAnsi="宋体"/>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sz w:val="24"/>
        </w:rPr>
      </w:pPr>
      <w:r>
        <w:rPr>
          <w:rFonts w:hint="eastAsia" w:hAnsi="宋体"/>
          <w:sz w:val="24"/>
        </w:rPr>
        <w:t xml:space="preserve">(3)解密完成后，招标人（代理机构）点击“系数抽取”按钮进行系数抽取，系数抽取情况在“公告通知”处显示。 </w:t>
      </w:r>
    </w:p>
    <w:p>
      <w:pPr>
        <w:spacing w:line="360" w:lineRule="auto"/>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Ansi="宋体"/>
          <w:sz w:val="24"/>
        </w:rPr>
      </w:pPr>
      <w:r>
        <w:rPr>
          <w:rFonts w:hint="eastAsia" w:hAnsi="宋体"/>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Ansi="宋体"/>
          <w:sz w:val="24"/>
        </w:rPr>
      </w:pPr>
      <w:r>
        <w:rPr>
          <w:rFonts w:hint="eastAsia" w:hAnsi="宋体"/>
          <w:sz w:val="24"/>
        </w:rPr>
        <w:t>（6）招标人（代理机构）签章并上传《开标记录表》，不见面开标活动结束。</w:t>
      </w:r>
    </w:p>
    <w:p>
      <w:pPr>
        <w:pStyle w:val="21"/>
        <w:spacing w:line="440" w:lineRule="exact"/>
        <w:jc w:val="both"/>
        <w:outlineLvl w:val="0"/>
        <w:rPr>
          <w:rFonts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1"/>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2345"/>
      <w:bookmarkStart w:id="53" w:name="_Toc152045569"/>
      <w:bookmarkStart w:id="54" w:name="_Toc144974537"/>
      <w:bookmarkStart w:id="55" w:name="_Toc179632587"/>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1"/>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1"/>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投标文件是否对招标文件的实质性要求和条件作出响</w:t>
      </w:r>
      <w:r>
        <w:rPr>
          <w:rFonts w:hint="eastAsia" w:ascii="新宋体" w:hAnsi="新宋体" w:eastAsia="新宋体" w:cs="宋体"/>
          <w:bCs/>
          <w:sz w:val="24"/>
        </w:rPr>
        <w:t>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4"/>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2833453"/>
            <w:bookmarkStart w:id="69" w:name="_Toc295572535"/>
            <w:bookmarkStart w:id="70" w:name="_Toc270931534"/>
            <w:bookmarkStart w:id="71" w:name="_Toc273546398"/>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72"/>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4"/>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序号</w:t>
            </w:r>
          </w:p>
        </w:tc>
        <w:tc>
          <w:tcPr>
            <w:tcW w:w="2096"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项目</w:t>
            </w:r>
          </w:p>
        </w:tc>
        <w:tc>
          <w:tcPr>
            <w:tcW w:w="4992"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评审标准</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1</w:t>
            </w:r>
          </w:p>
        </w:tc>
        <w:tc>
          <w:tcPr>
            <w:tcW w:w="2096" w:type="dxa"/>
            <w:vAlign w:val="center"/>
          </w:tcPr>
          <w:p>
            <w:pPr>
              <w:jc w:val="center"/>
              <w:rPr>
                <w:rFonts w:asciiTheme="minorEastAsia" w:hAnsiTheme="minorEastAsia"/>
                <w:kern w:val="2"/>
                <w:sz w:val="24"/>
                <w:szCs w:val="24"/>
              </w:rPr>
            </w:pPr>
            <w:r>
              <w:rPr>
                <w:rFonts w:hint="eastAsia" w:asciiTheme="minorEastAsia" w:hAnsiTheme="minorEastAsia"/>
                <w:kern w:val="2"/>
                <w:sz w:val="24"/>
                <w:szCs w:val="24"/>
              </w:rPr>
              <w:t>企业业绩</w:t>
            </w:r>
          </w:p>
        </w:tc>
        <w:tc>
          <w:tcPr>
            <w:tcW w:w="4992" w:type="dxa"/>
            <w:vAlign w:val="center"/>
          </w:tcPr>
          <w:p>
            <w:pPr>
              <w:jc w:val="left"/>
              <w:rPr>
                <w:rFonts w:asciiTheme="minorEastAsia" w:hAnsiTheme="minorEastAsia"/>
                <w:color w:val="0000FF"/>
                <w:kern w:val="2"/>
                <w:sz w:val="24"/>
                <w:szCs w:val="24"/>
              </w:rPr>
            </w:pPr>
            <w:r>
              <w:rPr>
                <w:rFonts w:hint="eastAsia" w:asciiTheme="minorEastAsia" w:hAnsiTheme="minorEastAsia"/>
                <w:color w:val="auto"/>
                <w:kern w:val="2"/>
                <w:sz w:val="24"/>
                <w:szCs w:val="24"/>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kern w:val="2"/>
                <w:sz w:val="24"/>
                <w:szCs w:val="24"/>
              </w:rPr>
            </w:pPr>
            <w:r>
              <w:rPr>
                <w:rFonts w:asciiTheme="minorEastAsia" w:hAnsiTheme="minorEastAsia"/>
                <w:kern w:val="2"/>
                <w:sz w:val="24"/>
                <w:szCs w:val="24"/>
              </w:rPr>
              <w:t>0</w:t>
            </w:r>
            <w:r>
              <w:rPr>
                <w:rFonts w:hint="eastAsia" w:asciiTheme="minorEastAsia" w:hAnsiTheme="minorEastAsia"/>
                <w:kern w:val="2"/>
                <w:sz w:val="24"/>
                <w:szCs w:val="24"/>
              </w:rPr>
              <w:t>＜得分</w:t>
            </w:r>
            <w:r>
              <w:rPr>
                <w:rFonts w:asciiTheme="minorEastAsia" w:hAnsiTheme="minorEastAsia"/>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2</w:t>
            </w:r>
          </w:p>
        </w:tc>
        <w:tc>
          <w:tcPr>
            <w:tcW w:w="2096" w:type="dxa"/>
            <w:vAlign w:val="center"/>
          </w:tcPr>
          <w:p>
            <w:pPr>
              <w:jc w:val="center"/>
              <w:rPr>
                <w:rFonts w:asciiTheme="minorEastAsia" w:hAnsiTheme="minorEastAsia"/>
                <w:color w:val="auto"/>
                <w:kern w:val="2"/>
                <w:sz w:val="24"/>
                <w:szCs w:val="24"/>
              </w:rPr>
            </w:pPr>
            <w:r>
              <w:rPr>
                <w:rFonts w:hint="eastAsia" w:asciiTheme="minorEastAsia" w:hAnsiTheme="minorEastAsia"/>
                <w:color w:val="auto"/>
                <w:kern w:val="2"/>
                <w:sz w:val="24"/>
                <w:szCs w:val="24"/>
              </w:rPr>
              <w:t>项目负责人业绩</w:t>
            </w:r>
          </w:p>
        </w:tc>
        <w:tc>
          <w:tcPr>
            <w:tcW w:w="4992" w:type="dxa"/>
            <w:vAlign w:val="center"/>
          </w:tcPr>
          <w:p>
            <w:pPr>
              <w:jc w:val="left"/>
              <w:rPr>
                <w:rFonts w:asciiTheme="minorEastAsia" w:hAnsiTheme="minorEastAsia"/>
                <w:color w:val="auto"/>
                <w:kern w:val="2"/>
                <w:sz w:val="24"/>
                <w:szCs w:val="24"/>
              </w:rPr>
            </w:pPr>
            <w:r>
              <w:rPr>
                <w:rFonts w:hint="eastAsia" w:asciiTheme="minorEastAsia" w:hAnsiTheme="minorEastAsia"/>
                <w:color w:val="auto"/>
                <w:kern w:val="2"/>
                <w:sz w:val="24"/>
                <w:szCs w:val="24"/>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kern w:val="2"/>
                <w:sz w:val="24"/>
                <w:szCs w:val="24"/>
              </w:rPr>
            </w:pPr>
            <w:r>
              <w:rPr>
                <w:rFonts w:asciiTheme="minorEastAsia" w:hAnsiTheme="minorEastAsia"/>
                <w:kern w:val="2"/>
                <w:sz w:val="24"/>
                <w:szCs w:val="24"/>
              </w:rPr>
              <w:t>0</w:t>
            </w:r>
            <w:r>
              <w:rPr>
                <w:rFonts w:hint="eastAsia" w:asciiTheme="minorEastAsia" w:hAnsiTheme="minorEastAsia"/>
                <w:kern w:val="2"/>
                <w:sz w:val="24"/>
                <w:szCs w:val="24"/>
              </w:rPr>
              <w:t>＜得分</w:t>
            </w:r>
            <w:r>
              <w:rPr>
                <w:rFonts w:asciiTheme="minorEastAsia" w:hAnsiTheme="minorEastAsia"/>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3</w:t>
            </w:r>
          </w:p>
        </w:tc>
        <w:tc>
          <w:tcPr>
            <w:tcW w:w="2096" w:type="dxa"/>
            <w:vMerge w:val="restart"/>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优惠承诺</w:t>
            </w:r>
          </w:p>
        </w:tc>
        <w:tc>
          <w:tcPr>
            <w:tcW w:w="4992" w:type="dxa"/>
            <w:vAlign w:val="center"/>
          </w:tcPr>
          <w:p>
            <w:pPr>
              <w:spacing w:line="300" w:lineRule="exact"/>
              <w:rPr>
                <w:rFonts w:asciiTheme="minorEastAsia" w:hAnsiTheme="minorEastAsia"/>
                <w:kern w:val="2"/>
                <w:sz w:val="24"/>
                <w:szCs w:val="24"/>
              </w:rPr>
            </w:pPr>
            <w:r>
              <w:rPr>
                <w:rFonts w:hint="eastAsia" w:asciiTheme="minorEastAsia" w:hAnsiTheme="minorEastAsia"/>
                <w:kern w:val="2"/>
                <w:sz w:val="24"/>
                <w:szCs w:val="24"/>
              </w:rPr>
              <w:t>优惠承诺应是书面的符合工程实际情况，确保依法依规，优惠合理，详实可行。</w:t>
            </w:r>
          </w:p>
        </w:tc>
        <w:tc>
          <w:tcPr>
            <w:tcW w:w="1529"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3</w:t>
            </w:r>
            <w:r>
              <w:rPr>
                <w:rFonts w:hint="eastAsia" w:asciiTheme="minorEastAsia" w:hAnsiTheme="minorEastAsia"/>
                <w:color w:val="000000" w:themeColor="text1"/>
                <w:kern w:val="2"/>
                <w:sz w:val="24"/>
                <w:szCs w:val="24"/>
              </w:rPr>
              <w:t>＜得分</w:t>
            </w:r>
            <w:r>
              <w:rPr>
                <w:rFonts w:asciiTheme="minorEastAsia" w:hAnsiTheme="minorEastAsia"/>
                <w:color w:val="000000" w:themeColor="text1"/>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color w:val="000000" w:themeColor="text1"/>
                <w:kern w:val="2"/>
                <w:sz w:val="24"/>
                <w:szCs w:val="24"/>
              </w:rPr>
            </w:pPr>
          </w:p>
        </w:tc>
        <w:tc>
          <w:tcPr>
            <w:tcW w:w="2096" w:type="dxa"/>
            <w:vMerge w:val="continue"/>
            <w:vAlign w:val="center"/>
          </w:tcPr>
          <w:p>
            <w:pPr>
              <w:jc w:val="left"/>
              <w:rPr>
                <w:rFonts w:asciiTheme="minorEastAsia" w:hAnsiTheme="minorEastAsia"/>
                <w:color w:val="000000" w:themeColor="text1"/>
                <w:kern w:val="2"/>
                <w:sz w:val="24"/>
                <w:szCs w:val="24"/>
              </w:rPr>
            </w:pPr>
          </w:p>
        </w:tc>
        <w:tc>
          <w:tcPr>
            <w:tcW w:w="4992" w:type="dxa"/>
            <w:vAlign w:val="center"/>
          </w:tcPr>
          <w:p>
            <w:pPr>
              <w:spacing w:line="300" w:lineRule="exact"/>
              <w:rPr>
                <w:rFonts w:asciiTheme="minorEastAsia" w:hAnsiTheme="minorEastAsia"/>
                <w:kern w:val="2"/>
                <w:sz w:val="24"/>
                <w:szCs w:val="24"/>
              </w:rPr>
            </w:pPr>
            <w:r>
              <w:rPr>
                <w:rFonts w:hint="eastAsia" w:asciiTheme="minorEastAsia" w:hAnsiTheme="minorEastAsia"/>
                <w:kern w:val="2"/>
                <w:sz w:val="24"/>
                <w:szCs w:val="24"/>
              </w:rPr>
              <w:t>优惠承诺符合工程实际情况，确保依法依规，优惠基本合理，基本详实可行。</w:t>
            </w:r>
          </w:p>
        </w:tc>
        <w:tc>
          <w:tcPr>
            <w:tcW w:w="1529"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1≤</w:t>
            </w:r>
            <w:r>
              <w:rPr>
                <w:rFonts w:hint="eastAsia" w:asciiTheme="minorEastAsia" w:hAnsiTheme="minorEastAsia"/>
                <w:color w:val="000000" w:themeColor="text1"/>
                <w:kern w:val="2"/>
                <w:sz w:val="24"/>
                <w:szCs w:val="24"/>
              </w:rPr>
              <w:t>得分</w:t>
            </w:r>
            <w:r>
              <w:rPr>
                <w:rFonts w:asciiTheme="minorEastAsia" w:hAnsiTheme="minorEastAsia"/>
                <w:color w:val="000000" w:themeColor="text1"/>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4</w:t>
            </w:r>
          </w:p>
        </w:tc>
        <w:tc>
          <w:tcPr>
            <w:tcW w:w="2096" w:type="dxa"/>
            <w:vMerge w:val="restart"/>
            <w:vAlign w:val="center"/>
          </w:tcPr>
          <w:p>
            <w:pPr>
              <w:jc w:val="center"/>
              <w:rPr>
                <w:rFonts w:asciiTheme="minorEastAsia" w:hAnsiTheme="minorEastAsia"/>
                <w:color w:val="auto"/>
                <w:kern w:val="2"/>
                <w:sz w:val="24"/>
                <w:szCs w:val="24"/>
              </w:rPr>
            </w:pPr>
            <w:r>
              <w:rPr>
                <w:rFonts w:hint="eastAsia" w:asciiTheme="minorEastAsia" w:hAnsiTheme="minorEastAsia"/>
                <w:color w:val="auto"/>
                <w:kern w:val="2"/>
                <w:sz w:val="24"/>
                <w:szCs w:val="24"/>
              </w:rPr>
              <w:t>履职尽责承诺</w:t>
            </w:r>
          </w:p>
        </w:tc>
        <w:tc>
          <w:tcPr>
            <w:tcW w:w="4992" w:type="dxa"/>
            <w:vAlign w:val="center"/>
          </w:tcPr>
          <w:p>
            <w:pPr>
              <w:spacing w:line="300" w:lineRule="exact"/>
              <w:rPr>
                <w:rFonts w:asciiTheme="minorEastAsia" w:hAnsiTheme="minorEastAsia"/>
                <w:color w:val="auto"/>
                <w:kern w:val="2"/>
                <w:sz w:val="24"/>
                <w:szCs w:val="24"/>
              </w:rPr>
            </w:pPr>
            <w:r>
              <w:rPr>
                <w:rFonts w:hint="eastAsia" w:asciiTheme="minorEastAsia" w:hAnsiTheme="minorEastAsia"/>
                <w:color w:val="auto"/>
                <w:kern w:val="2"/>
                <w:sz w:val="24"/>
                <w:szCs w:val="24"/>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color w:val="000000" w:themeColor="text1"/>
                <w:kern w:val="2"/>
                <w:sz w:val="24"/>
                <w:szCs w:val="24"/>
              </w:rPr>
            </w:pPr>
          </w:p>
        </w:tc>
        <w:tc>
          <w:tcPr>
            <w:tcW w:w="2096" w:type="dxa"/>
            <w:vMerge w:val="continue"/>
            <w:vAlign w:val="center"/>
          </w:tcPr>
          <w:p>
            <w:pPr>
              <w:jc w:val="left"/>
              <w:rPr>
                <w:rFonts w:asciiTheme="minorEastAsia" w:hAnsiTheme="minorEastAsia"/>
                <w:color w:val="auto"/>
                <w:kern w:val="2"/>
                <w:sz w:val="24"/>
                <w:szCs w:val="24"/>
              </w:rPr>
            </w:pPr>
          </w:p>
        </w:tc>
        <w:tc>
          <w:tcPr>
            <w:tcW w:w="4992" w:type="dxa"/>
            <w:vAlign w:val="center"/>
          </w:tcPr>
          <w:p>
            <w:pPr>
              <w:spacing w:line="300" w:lineRule="exact"/>
              <w:rPr>
                <w:rFonts w:asciiTheme="minorEastAsia" w:hAnsiTheme="minorEastAsia"/>
                <w:color w:val="auto"/>
                <w:kern w:val="2"/>
                <w:sz w:val="24"/>
                <w:szCs w:val="24"/>
              </w:rPr>
            </w:pPr>
            <w:r>
              <w:rPr>
                <w:rFonts w:hint="eastAsia" w:asciiTheme="minorEastAsia" w:hAnsiTheme="minorEastAsia"/>
                <w:color w:val="auto"/>
                <w:kern w:val="2"/>
                <w:sz w:val="24"/>
                <w:szCs w:val="24"/>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5</w:t>
            </w:r>
          </w:p>
        </w:tc>
        <w:tc>
          <w:tcPr>
            <w:tcW w:w="2096" w:type="dxa"/>
            <w:vAlign w:val="center"/>
          </w:tcPr>
          <w:p>
            <w:pPr>
              <w:jc w:val="center"/>
              <w:rPr>
                <w:rFonts w:hint="eastAsia" w:asciiTheme="minorEastAsia" w:hAnsiTheme="minorEastAsia"/>
                <w:color w:val="auto"/>
                <w:kern w:val="2"/>
                <w:sz w:val="24"/>
                <w:szCs w:val="24"/>
              </w:rPr>
            </w:pPr>
            <w:r>
              <w:rPr>
                <w:rFonts w:hint="eastAsia" w:asciiTheme="minorEastAsia" w:hAnsiTheme="minorEastAsia"/>
                <w:color w:val="auto"/>
                <w:kern w:val="2"/>
                <w:sz w:val="24"/>
                <w:szCs w:val="24"/>
              </w:rPr>
              <w:t>企业信用</w:t>
            </w:r>
          </w:p>
          <w:p>
            <w:pPr>
              <w:jc w:val="center"/>
              <w:rPr>
                <w:rFonts w:asciiTheme="minorEastAsia" w:hAnsiTheme="minorEastAsia"/>
                <w:color w:val="auto"/>
                <w:kern w:val="2"/>
                <w:sz w:val="24"/>
                <w:szCs w:val="24"/>
              </w:rPr>
            </w:pPr>
            <w:r>
              <w:rPr>
                <w:rFonts w:hint="eastAsia" w:asciiTheme="minorEastAsia" w:hAnsiTheme="minorEastAsia"/>
                <w:color w:val="auto"/>
                <w:kern w:val="2"/>
                <w:sz w:val="24"/>
                <w:szCs w:val="24"/>
              </w:rPr>
              <w:t>（含纳税诚信）</w:t>
            </w:r>
          </w:p>
        </w:tc>
        <w:tc>
          <w:tcPr>
            <w:tcW w:w="4992" w:type="dxa"/>
            <w:vAlign w:val="center"/>
          </w:tcPr>
          <w:p>
            <w:pPr>
              <w:spacing w:line="300" w:lineRule="exact"/>
              <w:rPr>
                <w:rFonts w:asciiTheme="minorEastAsia" w:hAnsiTheme="minorEastAsia"/>
                <w:color w:val="auto"/>
                <w:kern w:val="2"/>
                <w:sz w:val="24"/>
                <w:szCs w:val="24"/>
              </w:rPr>
            </w:pPr>
            <w:r>
              <w:rPr>
                <w:rFonts w:hint="eastAsia" w:asciiTheme="minorEastAsia" w:hAnsiTheme="minorEastAsia"/>
                <w:color w:val="auto"/>
                <w:kern w:val="2"/>
                <w:sz w:val="24"/>
                <w:szCs w:val="24"/>
              </w:rPr>
              <w:t>1、提供企业所在地税务主管部门出具的纳税情况证明，纳税情况良好得2分；或国家税务总局网站的纳税信用评价信息截图，评价结果为B级及以上得2分。</w:t>
            </w:r>
          </w:p>
          <w:p>
            <w:pPr>
              <w:spacing w:line="300" w:lineRule="exact"/>
              <w:rPr>
                <w:rFonts w:asciiTheme="minorEastAsia" w:hAnsiTheme="minorEastAsia"/>
                <w:color w:val="auto"/>
                <w:kern w:val="2"/>
                <w:sz w:val="24"/>
                <w:szCs w:val="24"/>
              </w:rPr>
            </w:pPr>
            <w:r>
              <w:rPr>
                <w:rFonts w:hint="eastAsia" w:asciiTheme="minorEastAsia" w:hAnsiTheme="minorEastAsia"/>
                <w:color w:val="auto"/>
                <w:kern w:val="2"/>
                <w:sz w:val="24"/>
                <w:szCs w:val="24"/>
              </w:rPr>
              <w:t>2、投标人提供2017年1月以来信用评级机构出具的有效的企业信用等级证书的原件扫描件，等级为AAA级的得2分。</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0</w:t>
            </w:r>
            <w:r>
              <w:rPr>
                <w:rFonts w:asciiTheme="minorEastAsia" w:hAnsiTheme="minorEastAsia"/>
                <w:color w:val="000000" w:themeColor="text1"/>
                <w:kern w:val="2"/>
                <w:sz w:val="24"/>
                <w:szCs w:val="24"/>
              </w:rPr>
              <w:t>≤</w:t>
            </w:r>
            <w:r>
              <w:rPr>
                <w:rFonts w:hint="eastAsia" w:asciiTheme="minorEastAsia" w:hAnsiTheme="minorEastAsia"/>
                <w:color w:val="000000" w:themeColor="text1"/>
                <w:kern w:val="2"/>
                <w:sz w:val="24"/>
                <w:szCs w:val="24"/>
              </w:rPr>
              <w:t>得分</w:t>
            </w:r>
            <w:r>
              <w:rPr>
                <w:rFonts w:asciiTheme="minorEastAsia" w:hAnsiTheme="minorEastAsia"/>
                <w:color w:val="000000" w:themeColor="text1"/>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6</w:t>
            </w:r>
          </w:p>
        </w:tc>
        <w:tc>
          <w:tcPr>
            <w:tcW w:w="2096" w:type="dxa"/>
            <w:vAlign w:val="center"/>
          </w:tcPr>
          <w:p>
            <w:pPr>
              <w:jc w:val="left"/>
              <w:rPr>
                <w:rFonts w:asciiTheme="minorEastAsia" w:hAnsiTheme="minorEastAsia"/>
                <w:color w:val="auto"/>
                <w:kern w:val="2"/>
                <w:sz w:val="24"/>
                <w:szCs w:val="24"/>
              </w:rPr>
            </w:pPr>
            <w:r>
              <w:rPr>
                <w:rFonts w:hint="eastAsia" w:asciiTheme="minorEastAsia" w:hAnsiTheme="minorEastAsia"/>
                <w:color w:val="auto"/>
                <w:kern w:val="2"/>
                <w:sz w:val="24"/>
                <w:szCs w:val="24"/>
              </w:rPr>
              <w:t>项目负责人信用</w:t>
            </w:r>
          </w:p>
        </w:tc>
        <w:tc>
          <w:tcPr>
            <w:tcW w:w="4992" w:type="dxa"/>
            <w:vAlign w:val="center"/>
          </w:tcPr>
          <w:p>
            <w:pPr>
              <w:spacing w:line="300" w:lineRule="exact"/>
              <w:rPr>
                <w:rFonts w:asciiTheme="minorEastAsia" w:hAnsiTheme="minorEastAsia"/>
                <w:color w:val="auto"/>
                <w:kern w:val="2"/>
                <w:sz w:val="24"/>
                <w:szCs w:val="24"/>
              </w:rPr>
            </w:pPr>
            <w:r>
              <w:rPr>
                <w:rFonts w:hint="eastAsia" w:asciiTheme="minorEastAsia" w:hAnsiTheme="minorEastAsia"/>
                <w:color w:val="auto"/>
                <w:kern w:val="2"/>
                <w:sz w:val="24"/>
                <w:szCs w:val="24"/>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7</w:t>
            </w:r>
          </w:p>
        </w:tc>
        <w:tc>
          <w:tcPr>
            <w:tcW w:w="2096" w:type="dxa"/>
            <w:vAlign w:val="center"/>
          </w:tcPr>
          <w:p>
            <w:pPr>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招标人意见</w:t>
            </w:r>
          </w:p>
        </w:tc>
        <w:tc>
          <w:tcPr>
            <w:tcW w:w="4992" w:type="dxa"/>
            <w:vAlign w:val="center"/>
          </w:tcPr>
          <w:p>
            <w:pPr>
              <w:spacing w:line="300" w:lineRule="exact"/>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各投标人得分均按2分计算</w:t>
            </w:r>
          </w:p>
        </w:tc>
        <w:tc>
          <w:tcPr>
            <w:tcW w:w="1529" w:type="dxa"/>
            <w:vAlign w:val="center"/>
          </w:tcPr>
          <w:p>
            <w:pPr>
              <w:jc w:val="center"/>
              <w:rPr>
                <w:rFonts w:asciiTheme="minorEastAsia" w:hAnsiTheme="minorEastAsia"/>
                <w:color w:val="000000" w:themeColor="text1"/>
                <w:kern w:val="2"/>
                <w:sz w:val="24"/>
                <w:szCs w:val="24"/>
              </w:rPr>
            </w:pPr>
            <w:r>
              <w:rPr>
                <w:rFonts w:asciiTheme="minorEastAsia" w:hAnsiTheme="minorEastAsia"/>
                <w:color w:val="000000" w:themeColor="text1"/>
                <w:kern w:val="2"/>
                <w:sz w:val="24"/>
                <w:szCs w:val="24"/>
              </w:rPr>
              <w:t>0≤</w:t>
            </w:r>
            <w:r>
              <w:rPr>
                <w:rFonts w:hint="eastAsia" w:asciiTheme="minorEastAsia" w:hAnsiTheme="minorEastAsia"/>
                <w:color w:val="000000" w:themeColor="text1"/>
                <w:kern w:val="2"/>
                <w:sz w:val="24"/>
                <w:szCs w:val="24"/>
              </w:rPr>
              <w:t>得分</w:t>
            </w:r>
            <w:r>
              <w:rPr>
                <w:rFonts w:asciiTheme="minorEastAsia" w:hAnsiTheme="minorEastAsia"/>
                <w:color w:val="000000" w:themeColor="text1"/>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color w:val="000000" w:themeColor="text1"/>
                <w:kern w:val="2"/>
                <w:sz w:val="24"/>
                <w:szCs w:val="24"/>
              </w:rPr>
            </w:pPr>
            <w:r>
              <w:rPr>
                <w:rFonts w:hint="eastAsia" w:asciiTheme="minorEastAsia" w:hAnsiTheme="minorEastAsia"/>
                <w:color w:val="000000" w:themeColor="text1"/>
                <w:kern w:val="2"/>
                <w:sz w:val="24"/>
                <w:szCs w:val="24"/>
              </w:rPr>
              <w:t>以上各项评审内容缺项不得分</w:t>
            </w:r>
          </w:p>
        </w:tc>
      </w:tr>
    </w:tbl>
    <w:p>
      <w:pPr>
        <w:snapToGrid w:val="0"/>
        <w:spacing w:line="420" w:lineRule="exact"/>
        <w:ind w:firstLine="480" w:firstLineChars="200"/>
        <w:rPr>
          <w:rFonts w:hAnsi="宋体" w:cs="宋体"/>
          <w:b/>
          <w:bCs/>
          <w:sz w:val="24"/>
        </w:rPr>
      </w:pPr>
      <w:r>
        <w:rPr>
          <w:rFonts w:hint="eastAsia" w:hAnsi="宋体" w:cs="宋体"/>
          <w:b/>
          <w:bCs/>
          <w:sz w:val="24"/>
        </w:rPr>
        <w:t>注：1）近年年份要求：2017年1月1日以来；</w:t>
      </w:r>
    </w:p>
    <w:p>
      <w:pPr>
        <w:snapToGrid w:val="0"/>
        <w:spacing w:line="420" w:lineRule="exact"/>
        <w:ind w:firstLine="960" w:firstLineChars="400"/>
        <w:rPr>
          <w:rFonts w:hAnsi="宋体" w:cs="宋体"/>
          <w:b/>
          <w:bCs/>
          <w:sz w:val="24"/>
        </w:rPr>
      </w:pPr>
      <w:r>
        <w:rPr>
          <w:rFonts w:hint="eastAsia" w:hAnsi="宋体" w:cs="宋体"/>
          <w:b/>
          <w:bCs/>
          <w:sz w:val="24"/>
        </w:rPr>
        <w:t>2）类似工程：指2017年1月1日以来承接过的市政公用工程建设项目；</w:t>
      </w:r>
    </w:p>
    <w:p>
      <w:pPr>
        <w:snapToGrid w:val="0"/>
        <w:spacing w:line="420" w:lineRule="exact"/>
        <w:ind w:firstLine="960" w:firstLineChars="400"/>
        <w:rPr>
          <w:rFonts w:hAnsi="宋体" w:cs="宋体"/>
          <w:b/>
          <w:bCs/>
          <w:sz w:val="24"/>
        </w:rPr>
      </w:pPr>
      <w:r>
        <w:rPr>
          <w:rFonts w:hint="eastAsia" w:hAnsi="宋体" w:cs="宋体"/>
          <w:b/>
          <w:bCs/>
          <w:sz w:val="24"/>
        </w:rPr>
        <w:t>3）业绩合同以合同签订日期为准，获奖证书以发证日期为准；</w:t>
      </w:r>
    </w:p>
    <w:p>
      <w:pPr>
        <w:snapToGrid w:val="0"/>
        <w:spacing w:line="420" w:lineRule="exact"/>
        <w:ind w:firstLine="960" w:firstLineChars="400"/>
        <w:rPr>
          <w:rFonts w:hAnsi="宋体" w:cs="宋体"/>
          <w:b/>
          <w:bCs/>
          <w:sz w:val="24"/>
        </w:rPr>
      </w:pPr>
      <w:r>
        <w:rPr>
          <w:rFonts w:hint="eastAsia" w:hAnsi="宋体" w:cs="宋体"/>
          <w:b/>
          <w:bCs/>
          <w:sz w:val="24"/>
        </w:rPr>
        <w:t>4）企业业绩和建造师业绩不可累计使用。</w:t>
      </w:r>
    </w:p>
    <w:p>
      <w:pPr>
        <w:snapToGrid w:val="0"/>
        <w:spacing w:line="420" w:lineRule="exact"/>
        <w:ind w:firstLine="240" w:firstLineChars="100"/>
        <w:rPr>
          <w:rFonts w:hAnsi="宋体" w:cs="宋体"/>
          <w:b/>
          <w:bCs/>
          <w:sz w:val="24"/>
        </w:rPr>
      </w:pPr>
      <w:r>
        <w:rPr>
          <w:rFonts w:hint="eastAsia" w:hAnsi="宋体" w:cs="宋体"/>
          <w:b/>
          <w:bCs/>
          <w:sz w:val="24"/>
        </w:rPr>
        <w:t>（四）投标人综合得分按下列公式计算：</w:t>
      </w:r>
    </w:p>
    <w:p>
      <w:pPr>
        <w:snapToGrid w:val="0"/>
        <w:spacing w:line="420" w:lineRule="exact"/>
        <w:ind w:firstLine="960" w:firstLineChars="400"/>
        <w:rPr>
          <w:rFonts w:hAnsi="宋体" w:cs="宋体"/>
          <w:b/>
          <w:bCs/>
          <w:sz w:val="24"/>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rPr>
      </w:pPr>
      <w:r>
        <w:rPr>
          <w:rFonts w:hint="eastAsia" w:hAnsi="宋体" w:cs="宋体"/>
          <w:b/>
          <w:bCs/>
          <w:sz w:val="24"/>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2"/>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2"/>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rPr>
          <w:rFonts w:hAnsi="宋体" w:cs="宋体"/>
          <w:color w:val="000000" w:themeColor="text1"/>
          <w:spacing w:val="-3"/>
          <w:sz w:val="24"/>
        </w:rPr>
      </w:pPr>
    </w:p>
    <w:p>
      <w:pPr>
        <w:rPr>
          <w:rFonts w:hAnsi="宋体" w:cs="宋体"/>
          <w:b/>
          <w:color w:val="000000" w:themeColor="text1"/>
          <w:sz w:val="36"/>
          <w:szCs w:val="36"/>
        </w:rPr>
      </w:pPr>
      <w:r>
        <w:rPr>
          <w:rFonts w:hint="eastAsia" w:hAnsi="宋体" w:cs="宋体"/>
          <w:b/>
          <w:color w:val="000000" w:themeColor="text1"/>
          <w:sz w:val="36"/>
          <w:szCs w:val="36"/>
        </w:rPr>
        <w:br w:type="page"/>
      </w: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rPr>
          <w:rFonts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 本招标文件；</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2）施工图纸及图纸答疑；</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3)依据工程量清单《建设工程工程量清单计价规范》GB 50500-2013、《河南省房屋建筑与装饰工程预算定额》（HA01-31-2016）、《河南省市政工程预算定额》（2016）、《河南省市政工程预算定额》（2016）及相关造价文件；</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4) 人工费按豫建办【2019】193号文，按9%计取；</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5）人工费按豫建标【2020】23号文计取；</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6）材料价格按2020年《许昌工程造价信息》第2期及2020年5月份下半月主材价格，部分价格依据市场价询价计取。</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7）措施费中夜间施工增加费、二次搬运费、冬雨季施工增加费足额计取。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rPr>
          <w:rFonts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rPr>
          <w:rFonts w:hAnsi="宋体" w:cs="黑体"/>
          <w:b/>
          <w:sz w:val="44"/>
          <w:szCs w:val="44"/>
        </w:rPr>
      </w:pPr>
      <w:bookmarkStart w:id="78" w:name="_Toc250616672"/>
      <w:bookmarkStart w:id="79" w:name="_Toc271787730"/>
      <w:r>
        <w:rPr>
          <w:rFonts w:hint="eastAsia"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bookmarkEnd w:id="78"/>
    <w:bookmarkEnd w:id="79"/>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numPr>
          <w:ilvl w:val="0"/>
          <w:numId w:val="6"/>
        </w:numPr>
        <w:autoSpaceDE w:val="0"/>
        <w:autoSpaceDN w:val="0"/>
        <w:adjustRightInd w:val="0"/>
        <w:spacing w:line="480" w:lineRule="auto"/>
        <w:ind w:left="1162" w:leftChars="342"/>
        <w:jc w:val="left"/>
        <w:rPr>
          <w:rFonts w:hAnsi="宋体" w:cs="宋体"/>
          <w:b/>
          <w:sz w:val="24"/>
        </w:rPr>
      </w:pPr>
      <w:r>
        <w:rPr>
          <w:rFonts w:hint="eastAsia" w:hAnsi="宋体" w:cs="宋体"/>
          <w:b/>
          <w:sz w:val="24"/>
        </w:rPr>
        <w:t>投标函</w:t>
      </w:r>
    </w:p>
    <w:p>
      <w:pPr>
        <w:numPr>
          <w:ilvl w:val="0"/>
          <w:numId w:val="6"/>
        </w:numPr>
        <w:autoSpaceDE w:val="0"/>
        <w:autoSpaceDN w:val="0"/>
        <w:adjustRightInd w:val="0"/>
        <w:spacing w:line="480" w:lineRule="auto"/>
        <w:ind w:left="1162" w:leftChars="342"/>
        <w:jc w:val="left"/>
        <w:rPr>
          <w:rFonts w:hAnsi="宋体" w:cs="宋体"/>
          <w:b/>
          <w:sz w:val="24"/>
        </w:rPr>
      </w:pPr>
      <w:r>
        <w:rPr>
          <w:rFonts w:hint="eastAsia" w:hAnsi="宋体" w:cs="宋体"/>
          <w:b/>
          <w:sz w:val="24"/>
        </w:rPr>
        <w:t>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jc w:val="center"/>
        <w:rPr>
          <w:rFonts w:hAnsi="宋体"/>
          <w:b/>
          <w:sz w:val="32"/>
        </w:rPr>
      </w:pPr>
      <w:r>
        <w:rPr>
          <w:rFonts w:hint="eastAsia" w:hAnsi="宋体" w:cs="宋体"/>
          <w:b/>
          <w:sz w:val="32"/>
        </w:rPr>
        <w:br w:type="page"/>
      </w:r>
      <w:r>
        <w:rPr>
          <w:rFonts w:hint="eastAsia" w:hAnsi="宋体"/>
          <w:b/>
          <w:sz w:val="32"/>
        </w:rPr>
        <w:t>一、投标函</w:t>
      </w:r>
    </w:p>
    <w:p>
      <w:pPr>
        <w:spacing w:beforeLines="100" w:afterLines="50" w:line="510" w:lineRule="exact"/>
        <w:jc w:val="center"/>
        <w:rPr>
          <w:rFonts w:ascii="黑体" w:eastAsia="黑体"/>
          <w:sz w:val="28"/>
          <w:szCs w:val="28"/>
        </w:rPr>
      </w:pPr>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p>
    <w:p>
      <w:pPr>
        <w:rPr>
          <w:rFonts w:ascii="黑体" w:hAnsi="新宋体" w:eastAsia="黑体" w:cs="黑体"/>
          <w:sz w:val="28"/>
          <w:szCs w:val="28"/>
        </w:rPr>
      </w:pPr>
      <w:r>
        <w:rPr>
          <w:rFonts w:hint="eastAsia" w:ascii="黑体" w:hAnsi="新宋体" w:eastAsia="黑体" w:cs="黑体"/>
          <w:sz w:val="28"/>
          <w:szCs w:val="28"/>
        </w:rPr>
        <w:br w:type="page"/>
      </w: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p>
    <w:tbl>
      <w:tblPr>
        <w:tblStyle w:val="1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1200" w:firstLineChars="500"/>
              <w:jc w:val="left"/>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1200" w:firstLineChars="500"/>
              <w:jc w:val="left"/>
              <w:rPr>
                <w:rFonts w:ascii="新宋体" w:hAnsi="新宋体" w:eastAsia="新宋体"/>
                <w:sz w:val="24"/>
              </w:rPr>
            </w:pPr>
            <w:r>
              <w:rPr>
                <w:rFonts w:hint="eastAsia" w:ascii="新宋体" w:hAnsi="新宋体" w:eastAsia="新宋体"/>
                <w:sz w:val="24"/>
              </w:rPr>
              <w:t>税金RMB￥：元</w:t>
            </w:r>
          </w:p>
          <w:p>
            <w:pPr>
              <w:spacing w:line="480" w:lineRule="exact"/>
              <w:ind w:firstLine="1200" w:firstLineChars="500"/>
              <w:jc w:val="left"/>
              <w:rPr>
                <w:rFonts w:ascii="新宋体" w:hAnsi="新宋体" w:eastAsia="新宋体"/>
                <w:sz w:val="24"/>
              </w:rPr>
            </w:pPr>
            <w:r>
              <w:rPr>
                <w:rFonts w:hint="eastAsia" w:ascii="新宋体" w:hAnsi="新宋体" w:eastAsia="新宋体"/>
                <w:sz w:val="24"/>
              </w:rPr>
              <w:t>安全文明措施费RMB￥：元</w:t>
            </w:r>
          </w:p>
          <w:p>
            <w:pPr>
              <w:spacing w:line="480" w:lineRule="exact"/>
              <w:ind w:firstLine="1200" w:firstLineChars="500"/>
              <w:jc w:val="left"/>
              <w:rPr>
                <w:rFonts w:ascii="新宋体" w:hAnsi="新宋体" w:eastAsia="新宋体"/>
                <w:sz w:val="24"/>
              </w:rPr>
            </w:pPr>
            <w:r>
              <w:rPr>
                <w:rFonts w:hint="eastAsia" w:ascii="新宋体" w:hAnsi="新宋体" w:eastAsia="新宋体"/>
                <w:sz w:val="24"/>
              </w:rPr>
              <w:t>暂列金额RMB￥：元</w:t>
            </w:r>
          </w:p>
          <w:p>
            <w:pPr>
              <w:spacing w:line="480" w:lineRule="exact"/>
              <w:ind w:firstLine="1200" w:firstLineChars="500"/>
              <w:jc w:val="left"/>
              <w:rPr>
                <w:rFonts w:ascii="新宋体" w:hAnsi="新宋体" w:eastAsia="新宋体"/>
                <w:sz w:val="24"/>
              </w:rPr>
            </w:pPr>
            <w:r>
              <w:rPr>
                <w:rFonts w:hint="eastAsia" w:ascii="新宋体" w:hAnsi="新宋体" w:eastAsia="新宋体"/>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beforeLines="100" w:afterLines="100" w:line="420" w:lineRule="exact"/>
        <w:jc w:val="center"/>
        <w:outlineLvl w:val="1"/>
        <w:rPr>
          <w:sz w:val="21"/>
          <w:szCs w:val="21"/>
        </w:rPr>
      </w:pPr>
      <w:bookmarkStart w:id="80" w:name="_Toc32040"/>
      <w:bookmarkStart w:id="81" w:name="_Toc1078"/>
      <w:bookmarkStart w:id="82" w:name="_Toc21690"/>
      <w:bookmarkStart w:id="83" w:name="_Toc5877"/>
      <w:r>
        <w:rPr>
          <w:rFonts w:hint="eastAsia" w:hAnsi="宋体" w:cs="宋体"/>
          <w:sz w:val="28"/>
          <w:szCs w:val="28"/>
        </w:rPr>
        <w:t>三、</w:t>
      </w:r>
      <w:r>
        <w:rPr>
          <w:rFonts w:hint="eastAsia" w:hAnsi="宋体" w:cs="宋体"/>
          <w:b/>
          <w:sz w:val="28"/>
          <w:szCs w:val="28"/>
        </w:rPr>
        <w:t>法定代表人身份证明、授权委托书</w:t>
      </w:r>
      <w:bookmarkEnd w:id="80"/>
      <w:bookmarkEnd w:id="81"/>
      <w:bookmarkEnd w:id="82"/>
      <w:bookmarkEnd w:id="83"/>
    </w:p>
    <w:p>
      <w:pPr>
        <w:autoSpaceDE w:val="0"/>
        <w:autoSpaceDN w:val="0"/>
        <w:adjustRightInd w:val="0"/>
        <w:spacing w:line="420" w:lineRule="exact"/>
        <w:jc w:val="center"/>
        <w:outlineLvl w:val="1"/>
        <w:rPr>
          <w:rFonts w:hAnsi="宋体" w:cs="宋体"/>
          <w:sz w:val="28"/>
          <w:szCs w:val="28"/>
        </w:rPr>
      </w:pPr>
      <w:bookmarkStart w:id="84" w:name="_Toc271787731"/>
      <w:r>
        <w:rPr>
          <w:rFonts w:hint="eastAsia" w:hAnsi="宋体" w:cs="宋体"/>
          <w:b/>
          <w:bCs/>
          <w:sz w:val="28"/>
          <w:szCs w:val="28"/>
        </w:rPr>
        <w:t>（一）法定代表人身份证明</w:t>
      </w:r>
      <w:bookmarkEnd w:id="84"/>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85" w:name="_Toc271787732"/>
      <w:r>
        <w:rPr>
          <w:rFonts w:hint="eastAsia" w:hAnsi="宋体" w:cs="宋体"/>
          <w:b/>
          <w:bCs/>
          <w:sz w:val="28"/>
          <w:szCs w:val="28"/>
        </w:rPr>
        <w:t>（二）授权委托书</w:t>
      </w:r>
      <w:bookmarkEnd w:id="85"/>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rPr>
        <w:t>年月 日</w:t>
      </w: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6432" behindDoc="1" locked="1" layoutInCell="1" allowOverlap="1">
            <wp:simplePos x="0" y="0"/>
            <wp:positionH relativeFrom="column">
              <wp:posOffset>4673600</wp:posOffset>
            </wp:positionH>
            <wp:positionV relativeFrom="paragraph">
              <wp:posOffset>10058400</wp:posOffset>
            </wp:positionV>
            <wp:extent cx="952500" cy="927100"/>
            <wp:effectExtent l="0" t="0" r="762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sz w:val="36"/>
          <w:szCs w:val="36"/>
        </w:rPr>
        <w:t>四</w:t>
      </w:r>
      <w:r>
        <w:rPr>
          <w:rFonts w:hint="eastAsia" w:hAnsi="宋体" w:cs="宋体"/>
          <w:b/>
          <w:sz w:val="36"/>
          <w:szCs w:val="36"/>
        </w:rPr>
        <w:t>、投标保证金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7"/>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60" w:lineRule="auto"/>
        <w:ind w:right="215" w:firstLine="2872" w:firstLineChars="845"/>
        <w:rPr>
          <w:rFonts w:hAnsi="宋体"/>
          <w:b/>
          <w:sz w:val="32"/>
        </w:rPr>
      </w:pPr>
      <w:r>
        <w:rPr>
          <w:rFonts w:hint="eastAsia" w:hAnsi="宋体" w:cs="宋体"/>
          <w:szCs w:val="21"/>
        </w:rPr>
        <w:br w:type="page"/>
      </w: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4"/>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br w:type="page"/>
      </w:r>
    </w:p>
    <w:p>
      <w:pPr>
        <w:rPr>
          <w:rFonts w:ascii="黑体" w:hAnsi="宋体" w:eastAsia="黑体"/>
          <w:sz w:val="28"/>
          <w:szCs w:val="28"/>
        </w:rPr>
      </w:pPr>
      <w:r>
        <w:rPr>
          <w:rFonts w:hint="eastAsia" w:ascii="黑体" w:hAnsi="宋体" w:eastAsia="黑体"/>
          <w:sz w:val="28"/>
          <w:szCs w:val="28"/>
        </w:rPr>
        <w:t>附3：承诺书</w:t>
      </w:r>
    </w:p>
    <w:p>
      <w:pPr>
        <w:jc w:val="center"/>
        <w:rPr>
          <w:rFonts w:ascii="黑体" w:hAnsi="宋体" w:eastAsia="黑体"/>
          <w:sz w:val="28"/>
          <w:szCs w:val="28"/>
        </w:rPr>
      </w:pPr>
      <w:r>
        <w:rPr>
          <w:rFonts w:hint="eastAsia" w:ascii="黑体" w:hAnsi="宋体" w:eastAsia="黑体"/>
          <w:sz w:val="28"/>
          <w:szCs w:val="28"/>
        </w:rPr>
        <w:t>承诺书</w:t>
      </w:r>
    </w:p>
    <w:p>
      <w:pPr>
        <w:spacing w:afterLines="100" w:line="440" w:lineRule="exact"/>
        <w:rPr>
          <w:rFonts w:hAnsi="宋体"/>
          <w:sz w:val="28"/>
          <w:szCs w:val="28"/>
        </w:rPr>
      </w:pPr>
      <w:r>
        <w:rPr>
          <w:rFonts w:hint="eastAsia" w:hAnsi="宋体"/>
          <w:position w:val="-7"/>
          <w:sz w:val="28"/>
          <w:szCs w:val="28"/>
        </w:rPr>
        <w:t>————————</w:t>
      </w:r>
      <w:r>
        <w:rPr>
          <w:rFonts w:hint="eastAsia" w:hAnsi="宋体"/>
          <w:sz w:val="28"/>
          <w:szCs w:val="28"/>
        </w:rPr>
        <w:t>（招标人名称）：</w:t>
      </w:r>
    </w:p>
    <w:p>
      <w:pPr>
        <w:spacing w:line="440" w:lineRule="exact"/>
        <w:ind w:firstLine="560" w:firstLineChars="200"/>
        <w:rPr>
          <w:rFonts w:hAnsi="宋体"/>
          <w:sz w:val="28"/>
          <w:szCs w:val="28"/>
        </w:rPr>
      </w:pPr>
      <w:r>
        <w:rPr>
          <w:rFonts w:hint="eastAsia" w:hAnsi="宋体"/>
          <w:sz w:val="28"/>
          <w:szCs w:val="28"/>
        </w:rPr>
        <w:t>我方在此声明，我方拟派往（项目名称）（以下简称“本工程”）的</w:t>
      </w:r>
      <w:r>
        <w:rPr>
          <w:rFonts w:hint="eastAsia"/>
          <w:sz w:val="28"/>
          <w:szCs w:val="28"/>
        </w:rPr>
        <w:t>项目负责人</w:t>
      </w:r>
      <w:r>
        <w:rPr>
          <w:rFonts w:hint="eastAsia" w:hAnsi="宋体"/>
          <w:sz w:val="28"/>
          <w:szCs w:val="28"/>
        </w:rPr>
        <w:t>（</w:t>
      </w:r>
      <w:r>
        <w:rPr>
          <w:rFonts w:hint="eastAsia"/>
          <w:sz w:val="28"/>
          <w:szCs w:val="28"/>
        </w:rPr>
        <w:t>项目负责人</w:t>
      </w:r>
      <w:r>
        <w:rPr>
          <w:rFonts w:hint="eastAsia" w:hAnsi="宋体"/>
          <w:sz w:val="28"/>
          <w:szCs w:val="28"/>
        </w:rPr>
        <w:t>姓名）现阶段没有担任任何在施建设工程项目的</w:t>
      </w:r>
      <w:r>
        <w:rPr>
          <w:rFonts w:hint="eastAsia"/>
          <w:sz w:val="28"/>
          <w:szCs w:val="28"/>
        </w:rPr>
        <w:t>项目负责人</w:t>
      </w:r>
      <w:r>
        <w:rPr>
          <w:rFonts w:hint="eastAsia" w:hAnsi="宋体"/>
          <w:sz w:val="28"/>
          <w:szCs w:val="28"/>
        </w:rPr>
        <w:t>。</w:t>
      </w:r>
    </w:p>
    <w:p>
      <w:pPr>
        <w:spacing w:line="440" w:lineRule="exact"/>
        <w:ind w:firstLine="560" w:firstLineChars="200"/>
        <w:rPr>
          <w:rFonts w:hAnsi="宋体"/>
          <w:sz w:val="28"/>
          <w:szCs w:val="28"/>
        </w:rPr>
      </w:pPr>
      <w:r>
        <w:rPr>
          <w:rFonts w:hint="eastAsia" w:hAnsi="宋体"/>
          <w:sz w:val="28"/>
          <w:szCs w:val="28"/>
        </w:rPr>
        <w:t>我方保证上述信息的真实和准确，并愿意承担因我方就此弄虚作假所引起的一切法律后果。</w:t>
      </w:r>
    </w:p>
    <w:p>
      <w:pPr>
        <w:spacing w:line="440" w:lineRule="exact"/>
        <w:ind w:firstLine="560" w:firstLineChars="200"/>
        <w:rPr>
          <w:rFonts w:hAnsi="宋体"/>
          <w:sz w:val="28"/>
          <w:szCs w:val="28"/>
        </w:rPr>
      </w:pPr>
      <w:r>
        <w:rPr>
          <w:rFonts w:hint="eastAsia" w:hAnsi="宋体"/>
          <w:sz w:val="28"/>
          <w:szCs w:val="28"/>
        </w:rPr>
        <w:t>特此承诺</w:t>
      </w:r>
    </w:p>
    <w:p>
      <w:pPr>
        <w:spacing w:line="440" w:lineRule="exact"/>
        <w:jc w:val="right"/>
        <w:rPr>
          <w:rFonts w:hAnsi="宋体"/>
          <w:sz w:val="28"/>
          <w:szCs w:val="28"/>
        </w:rPr>
      </w:pPr>
      <w:r>
        <w:rPr>
          <w:rFonts w:hint="eastAsia" w:hAnsi="宋体"/>
          <w:sz w:val="28"/>
          <w:szCs w:val="28"/>
        </w:rPr>
        <w:t>投标人：（盖单位章）</w:t>
      </w:r>
    </w:p>
    <w:p>
      <w:pPr>
        <w:spacing w:line="440" w:lineRule="exact"/>
        <w:ind w:right="315"/>
        <w:jc w:val="right"/>
        <w:rPr>
          <w:rFonts w:hAnsi="宋体"/>
          <w:sz w:val="28"/>
          <w:szCs w:val="28"/>
        </w:rPr>
      </w:pPr>
      <w:r>
        <w:rPr>
          <w:rFonts w:hint="eastAsia" w:hAnsi="宋体"/>
          <w:sz w:val="28"/>
          <w:szCs w:val="28"/>
        </w:rPr>
        <w:t>法定代表人：</w:t>
      </w:r>
      <w:r>
        <w:rPr>
          <w:rFonts w:hint="eastAsia" w:ascii="新宋体" w:hAnsi="新宋体" w:eastAsia="新宋体"/>
          <w:sz w:val="28"/>
          <w:szCs w:val="28"/>
        </w:rPr>
        <w:t>（签字）</w:t>
      </w:r>
    </w:p>
    <w:p>
      <w:pPr>
        <w:spacing w:line="440" w:lineRule="exact"/>
        <w:jc w:val="right"/>
        <w:rPr>
          <w:rFonts w:hAnsi="宋体"/>
          <w:sz w:val="28"/>
          <w:szCs w:val="28"/>
        </w:rPr>
      </w:pPr>
      <w:r>
        <w:rPr>
          <w:rFonts w:hint="eastAsia" w:hAnsi="宋体"/>
          <w:sz w:val="28"/>
          <w:szCs w:val="28"/>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rPr>
          <w:rFonts w:hAnsi="宋体"/>
          <w:b/>
          <w:sz w:val="32"/>
        </w:rPr>
      </w:pPr>
      <w:r>
        <w:rPr>
          <w:rFonts w:hint="eastAsia" w:hAnsi="宋体"/>
          <w:b/>
          <w:sz w:val="32"/>
        </w:rPr>
        <w:br w:type="page"/>
      </w:r>
    </w:p>
    <w:p>
      <w:pPr>
        <w:autoSpaceDE w:val="0"/>
        <w:autoSpaceDN w:val="0"/>
        <w:adjustRightInd w:val="0"/>
        <w:spacing w:line="360" w:lineRule="auto"/>
        <w:ind w:right="215" w:firstLine="420"/>
        <w:jc w:val="center"/>
        <w:rPr>
          <w:rFonts w:hAnsi="宋体" w:cs="宋体"/>
          <w:sz w:val="24"/>
        </w:rPr>
      </w:pPr>
      <w:bookmarkStart w:id="86" w:name="_Toc8140"/>
      <w:bookmarkStart w:id="87" w:name="_Toc25176"/>
      <w:bookmarkStart w:id="88" w:name="_Toc15514"/>
      <w:bookmarkStart w:id="89" w:name="_Toc24477"/>
      <w:r>
        <w:rPr>
          <w:rFonts w:hint="eastAsia" w:hAnsi="宋体" w:cs="宋体"/>
          <w:b/>
          <w:sz w:val="32"/>
        </w:rPr>
        <w:t>六、</w:t>
      </w:r>
      <w:r>
        <w:rPr>
          <w:rFonts w:hint="eastAsia" w:hAnsi="宋体" w:cs="宋体"/>
          <w:b/>
          <w:sz w:val="32"/>
          <w:szCs w:val="32"/>
        </w:rPr>
        <w:t>投标单位基本情况表</w:t>
      </w:r>
      <w:bookmarkEnd w:id="86"/>
      <w:bookmarkEnd w:id="87"/>
      <w:bookmarkEnd w:id="88"/>
      <w:bookmarkEnd w:id="89"/>
    </w:p>
    <w:p>
      <w:pPr>
        <w:autoSpaceDE w:val="0"/>
        <w:autoSpaceDN w:val="0"/>
        <w:adjustRightInd w:val="0"/>
        <w:spacing w:line="360" w:lineRule="auto"/>
        <w:ind w:right="215" w:firstLine="420"/>
        <w:jc w:val="center"/>
        <w:rPr>
          <w:rFonts w:hAnsi="宋体" w:cs="宋体"/>
          <w:b/>
          <w:sz w:val="28"/>
        </w:rPr>
      </w:pPr>
    </w:p>
    <w:tbl>
      <w:tblPr>
        <w:tblStyle w:val="14"/>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90" w:name="_Toc20666"/>
      <w:bookmarkStart w:id="91" w:name="_Toc24360"/>
      <w:bookmarkStart w:id="92" w:name="_Toc21875"/>
      <w:bookmarkStart w:id="93" w:name="_Toc31407"/>
      <w:r>
        <w:rPr>
          <w:rFonts w:hint="eastAsia" w:hAnsi="宋体" w:cs="宋体"/>
          <w:b/>
          <w:sz w:val="32"/>
        </w:rPr>
        <w:t>七、</w:t>
      </w:r>
      <w:r>
        <w:rPr>
          <w:rFonts w:hint="eastAsia" w:hAnsi="宋体" w:cs="宋体"/>
          <w:b/>
          <w:sz w:val="32"/>
          <w:szCs w:val="32"/>
        </w:rPr>
        <w:t>资格证明文件</w:t>
      </w:r>
      <w:bookmarkEnd w:id="90"/>
      <w:bookmarkEnd w:id="91"/>
      <w:bookmarkEnd w:id="92"/>
      <w:bookmarkEnd w:id="93"/>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94" w:name="_Toc14108"/>
      <w:bookmarkStart w:id="95" w:name="_Toc5650"/>
      <w:bookmarkStart w:id="96" w:name="_Toc8478"/>
      <w:bookmarkStart w:id="97" w:name="_Toc28544"/>
      <w:r>
        <w:rPr>
          <w:rFonts w:hint="eastAsia" w:hAnsi="宋体" w:cs="宋体"/>
          <w:b/>
          <w:sz w:val="32"/>
          <w:szCs w:val="32"/>
        </w:rPr>
        <w:t>八、近年完成的类似项目情况表</w:t>
      </w:r>
      <w:bookmarkEnd w:id="94"/>
      <w:bookmarkEnd w:id="95"/>
      <w:bookmarkEnd w:id="96"/>
      <w:bookmarkEnd w:id="97"/>
    </w:p>
    <w:tbl>
      <w:tblPr>
        <w:tblStyle w:val="1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98" w:name="_Toc18653"/>
      <w:bookmarkStart w:id="99" w:name="_Toc30289"/>
      <w:bookmarkStart w:id="100" w:name="_Toc32083"/>
      <w:bookmarkStart w:id="101" w:name="_Toc7338"/>
      <w:r>
        <w:rPr>
          <w:rFonts w:hint="eastAsia" w:hAnsi="宋体" w:cs="宋体"/>
          <w:b/>
          <w:sz w:val="32"/>
          <w:szCs w:val="32"/>
        </w:rPr>
        <w:t>九、正在施工的和新承接的项目情况</w:t>
      </w:r>
      <w:bookmarkEnd w:id="98"/>
      <w:bookmarkEnd w:id="99"/>
      <w:bookmarkEnd w:id="100"/>
      <w:bookmarkEnd w:id="101"/>
    </w:p>
    <w:p>
      <w:pPr>
        <w:autoSpaceDE w:val="0"/>
        <w:autoSpaceDN w:val="0"/>
        <w:adjustRightInd w:val="0"/>
        <w:spacing w:line="360" w:lineRule="auto"/>
        <w:ind w:right="215" w:firstLine="420"/>
        <w:jc w:val="center"/>
        <w:rPr>
          <w:rFonts w:hAnsi="宋体" w:cs="宋体"/>
          <w:b/>
          <w:sz w:val="32"/>
          <w:szCs w:val="32"/>
        </w:rPr>
      </w:pPr>
    </w:p>
    <w:tbl>
      <w:tblPr>
        <w:tblStyle w:val="1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02" w:name="_Toc20196"/>
      <w:bookmarkStart w:id="103" w:name="_Toc24108"/>
      <w:bookmarkStart w:id="104" w:name="_Toc32111"/>
      <w:bookmarkStart w:id="105" w:name="_Toc10088"/>
      <w:r>
        <w:rPr>
          <w:rFonts w:hint="eastAsia" w:hAnsi="宋体" w:cs="宋体"/>
          <w:b/>
          <w:sz w:val="32"/>
        </w:rPr>
        <w:t>十、其它材料</w:t>
      </w:r>
      <w:bookmarkEnd w:id="102"/>
      <w:bookmarkEnd w:id="103"/>
      <w:bookmarkEnd w:id="104"/>
      <w:bookmarkEnd w:id="105"/>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（1）内容完整性</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（2）主要施工方案与技术措施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（3）质量管理体系与措施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（4）安全管理体系与措施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（6）工期保证措施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（7）拟投入资源配备计划</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（8）施工进度表与网络计划图</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（9）施工总平面图布置</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（10）技术创新的应用实施措施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（12）施工现场实施信息化监控和数据处理</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（13）风险管理措施</w:t>
      </w: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 o:spid="_x0000_s4099"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58240;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11"/>
                  <w:pBdr>
                    <w:top w:val="single" w:color="auto" w:sz="4" w:space="0"/>
                  </w:pBdr>
                  <w:ind w:right="360"/>
                  <w:jc w:val="center"/>
                </w:pPr>
                <w:r>
                  <w:fldChar w:fldCharType="begin"/>
                </w:r>
                <w:r>
                  <w:rPr>
                    <w:rStyle w:val="17"/>
                  </w:rPr>
                  <w:instrText xml:space="preserve"> PAGE </w:instrText>
                </w:r>
                <w:r>
                  <w:fldChar w:fldCharType="separate"/>
                </w:r>
                <w:r>
                  <w:rPr>
                    <w:rStyle w:val="17"/>
                  </w:rP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Text Box 4"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rPr>
      <w:t>许昌市老旧小区“四改一增”老街道改造提升项目（二标段）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E349665A"/>
    <w:multiLevelType w:val="singleLevel"/>
    <w:tmpl w:val="E349665A"/>
    <w:lvl w:ilvl="0" w:tentative="0">
      <w:start w:val="1"/>
      <w:numFmt w:val="chineseCounting"/>
      <w:suff w:val="nothing"/>
      <w:lvlText w:val="%1、"/>
      <w:lvlJc w:val="left"/>
      <w:rPr>
        <w:rFonts w:hint="eastAsia"/>
      </w:rPr>
    </w:lvl>
  </w:abstractNum>
  <w:abstractNum w:abstractNumId="2">
    <w:nsid w:val="F77C70D3"/>
    <w:multiLevelType w:val="singleLevel"/>
    <w:tmpl w:val="F77C70D3"/>
    <w:lvl w:ilvl="0" w:tentative="0">
      <w:start w:val="1"/>
      <w:numFmt w:val="chineseCounting"/>
      <w:suff w:val="space"/>
      <w:lvlText w:val="第%1章"/>
      <w:lvlJc w:val="left"/>
      <w:rPr>
        <w:rFonts w:hint="eastAsia"/>
      </w:rPr>
    </w:lvl>
  </w:abstractNum>
  <w:abstractNum w:abstractNumId="3">
    <w:nsid w:val="FD4F209C"/>
    <w:multiLevelType w:val="singleLevel"/>
    <w:tmpl w:val="FD4F209C"/>
    <w:lvl w:ilvl="0" w:tentative="0">
      <w:start w:val="1"/>
      <w:numFmt w:val="decimal"/>
      <w:lvlText w:val="%1."/>
      <w:lvlJc w:val="left"/>
      <w:pPr>
        <w:tabs>
          <w:tab w:val="left" w:pos="312"/>
        </w:tabs>
      </w:pPr>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98ADA60"/>
    <w:multiLevelType w:val="singleLevel"/>
    <w:tmpl w:val="598ADA60"/>
    <w:lvl w:ilvl="0" w:tentative="0">
      <w:start w:val="3"/>
      <w:numFmt w:val="decimal"/>
      <w:suff w:val="nothing"/>
      <w:lvlText w:val="%1."/>
      <w:lvlJc w:val="left"/>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A2E93"/>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809"/>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36F6"/>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BF259C"/>
    <w:rsid w:val="01DB434E"/>
    <w:rsid w:val="022C2B97"/>
    <w:rsid w:val="025A1A0E"/>
    <w:rsid w:val="02975427"/>
    <w:rsid w:val="037A5895"/>
    <w:rsid w:val="0396146E"/>
    <w:rsid w:val="03B64D1B"/>
    <w:rsid w:val="04657E28"/>
    <w:rsid w:val="05B347DC"/>
    <w:rsid w:val="05CE2797"/>
    <w:rsid w:val="05F023F4"/>
    <w:rsid w:val="06A319F2"/>
    <w:rsid w:val="06D77F4C"/>
    <w:rsid w:val="06E835F7"/>
    <w:rsid w:val="07831876"/>
    <w:rsid w:val="07E778CA"/>
    <w:rsid w:val="083E7DEF"/>
    <w:rsid w:val="08CA67DF"/>
    <w:rsid w:val="08F576CB"/>
    <w:rsid w:val="093475B0"/>
    <w:rsid w:val="099204C5"/>
    <w:rsid w:val="09C23D7B"/>
    <w:rsid w:val="09FB6392"/>
    <w:rsid w:val="0A4866D0"/>
    <w:rsid w:val="0A8E6F0E"/>
    <w:rsid w:val="0A9A38CE"/>
    <w:rsid w:val="0AC560B7"/>
    <w:rsid w:val="0B0010DA"/>
    <w:rsid w:val="0B4C6956"/>
    <w:rsid w:val="0B4C77FE"/>
    <w:rsid w:val="0BAC12EB"/>
    <w:rsid w:val="0CDE2022"/>
    <w:rsid w:val="0CF42ED6"/>
    <w:rsid w:val="0D684BD9"/>
    <w:rsid w:val="0D8116DE"/>
    <w:rsid w:val="0DD45A94"/>
    <w:rsid w:val="0E176532"/>
    <w:rsid w:val="0E274A96"/>
    <w:rsid w:val="0E340AAF"/>
    <w:rsid w:val="0E3A34F5"/>
    <w:rsid w:val="0E4D3374"/>
    <w:rsid w:val="0EB217EF"/>
    <w:rsid w:val="0F3930AA"/>
    <w:rsid w:val="0F4336A5"/>
    <w:rsid w:val="0F554971"/>
    <w:rsid w:val="0FDD387F"/>
    <w:rsid w:val="0FE557E4"/>
    <w:rsid w:val="10085E52"/>
    <w:rsid w:val="10367EDD"/>
    <w:rsid w:val="107A6F76"/>
    <w:rsid w:val="11C03509"/>
    <w:rsid w:val="12332C99"/>
    <w:rsid w:val="13C25E10"/>
    <w:rsid w:val="13CC49C6"/>
    <w:rsid w:val="13D3187F"/>
    <w:rsid w:val="14D972B5"/>
    <w:rsid w:val="14EC08FF"/>
    <w:rsid w:val="151E2293"/>
    <w:rsid w:val="155F067F"/>
    <w:rsid w:val="159D46E7"/>
    <w:rsid w:val="15AC6033"/>
    <w:rsid w:val="1687121A"/>
    <w:rsid w:val="1769612C"/>
    <w:rsid w:val="176C0E13"/>
    <w:rsid w:val="17E17737"/>
    <w:rsid w:val="180D643B"/>
    <w:rsid w:val="192C36EF"/>
    <w:rsid w:val="193E24C2"/>
    <w:rsid w:val="196F5642"/>
    <w:rsid w:val="19CB5023"/>
    <w:rsid w:val="1A6627AB"/>
    <w:rsid w:val="1A8C3E4C"/>
    <w:rsid w:val="1AC14286"/>
    <w:rsid w:val="1ADA0CB9"/>
    <w:rsid w:val="1B375CC7"/>
    <w:rsid w:val="1B7114B9"/>
    <w:rsid w:val="1B914F86"/>
    <w:rsid w:val="1BAB7B48"/>
    <w:rsid w:val="1BB93B7F"/>
    <w:rsid w:val="1BD171C9"/>
    <w:rsid w:val="1C063260"/>
    <w:rsid w:val="1C323209"/>
    <w:rsid w:val="1C5C545D"/>
    <w:rsid w:val="1CDD42A7"/>
    <w:rsid w:val="1CE276BD"/>
    <w:rsid w:val="1D004958"/>
    <w:rsid w:val="1D726CFF"/>
    <w:rsid w:val="1F36461B"/>
    <w:rsid w:val="20047013"/>
    <w:rsid w:val="203866A1"/>
    <w:rsid w:val="2119095A"/>
    <w:rsid w:val="21421D01"/>
    <w:rsid w:val="214D455B"/>
    <w:rsid w:val="21650C03"/>
    <w:rsid w:val="21877576"/>
    <w:rsid w:val="220075A0"/>
    <w:rsid w:val="2216665C"/>
    <w:rsid w:val="223C45FC"/>
    <w:rsid w:val="22CF75D2"/>
    <w:rsid w:val="22F50FD7"/>
    <w:rsid w:val="2303192E"/>
    <w:rsid w:val="238F41BA"/>
    <w:rsid w:val="23935369"/>
    <w:rsid w:val="24077B40"/>
    <w:rsid w:val="248B595E"/>
    <w:rsid w:val="24BE46C8"/>
    <w:rsid w:val="24CB7F92"/>
    <w:rsid w:val="25E25AD0"/>
    <w:rsid w:val="26166079"/>
    <w:rsid w:val="26872715"/>
    <w:rsid w:val="269D2D47"/>
    <w:rsid w:val="26AC047F"/>
    <w:rsid w:val="273B4B87"/>
    <w:rsid w:val="27887287"/>
    <w:rsid w:val="27FB0896"/>
    <w:rsid w:val="27FD27F9"/>
    <w:rsid w:val="280D5608"/>
    <w:rsid w:val="282C6749"/>
    <w:rsid w:val="28636C8D"/>
    <w:rsid w:val="28C01D96"/>
    <w:rsid w:val="28E37A01"/>
    <w:rsid w:val="29032041"/>
    <w:rsid w:val="2A2A5A74"/>
    <w:rsid w:val="2A2C03B8"/>
    <w:rsid w:val="2A8D10CD"/>
    <w:rsid w:val="2A9304A3"/>
    <w:rsid w:val="2AB95941"/>
    <w:rsid w:val="2ABC6414"/>
    <w:rsid w:val="2BA62F45"/>
    <w:rsid w:val="2C13615F"/>
    <w:rsid w:val="2D0D19FB"/>
    <w:rsid w:val="2D1C76DE"/>
    <w:rsid w:val="2D2C6D7A"/>
    <w:rsid w:val="2D79653A"/>
    <w:rsid w:val="2DEF4A1F"/>
    <w:rsid w:val="2E5A7D24"/>
    <w:rsid w:val="2EAA05B9"/>
    <w:rsid w:val="2EB04B84"/>
    <w:rsid w:val="2EFB2CB1"/>
    <w:rsid w:val="2F3851E9"/>
    <w:rsid w:val="2F3A012D"/>
    <w:rsid w:val="2F3B077E"/>
    <w:rsid w:val="2FFD3C00"/>
    <w:rsid w:val="301E66A1"/>
    <w:rsid w:val="30232B16"/>
    <w:rsid w:val="30584FED"/>
    <w:rsid w:val="308D6BFC"/>
    <w:rsid w:val="30C5250E"/>
    <w:rsid w:val="30D23E37"/>
    <w:rsid w:val="30E64908"/>
    <w:rsid w:val="30F03510"/>
    <w:rsid w:val="310C6E47"/>
    <w:rsid w:val="31107A12"/>
    <w:rsid w:val="31161F3F"/>
    <w:rsid w:val="319E277C"/>
    <w:rsid w:val="3217242C"/>
    <w:rsid w:val="329B38E7"/>
    <w:rsid w:val="32A16FD7"/>
    <w:rsid w:val="32D25FD6"/>
    <w:rsid w:val="32D53070"/>
    <w:rsid w:val="331A1734"/>
    <w:rsid w:val="3385468D"/>
    <w:rsid w:val="338E149F"/>
    <w:rsid w:val="3427237C"/>
    <w:rsid w:val="343C7DB6"/>
    <w:rsid w:val="34DF720F"/>
    <w:rsid w:val="34E76CB3"/>
    <w:rsid w:val="35022AA8"/>
    <w:rsid w:val="35254EA4"/>
    <w:rsid w:val="354A0EC6"/>
    <w:rsid w:val="356B7613"/>
    <w:rsid w:val="358E19EB"/>
    <w:rsid w:val="35DC23A2"/>
    <w:rsid w:val="35FF6A55"/>
    <w:rsid w:val="36656A1F"/>
    <w:rsid w:val="3745068C"/>
    <w:rsid w:val="374F10C7"/>
    <w:rsid w:val="37507D5A"/>
    <w:rsid w:val="375271E8"/>
    <w:rsid w:val="37946F21"/>
    <w:rsid w:val="37B71904"/>
    <w:rsid w:val="37C9451D"/>
    <w:rsid w:val="38C46295"/>
    <w:rsid w:val="391161CE"/>
    <w:rsid w:val="3945175B"/>
    <w:rsid w:val="397E68FF"/>
    <w:rsid w:val="39D40903"/>
    <w:rsid w:val="3A4820C8"/>
    <w:rsid w:val="3A4C2479"/>
    <w:rsid w:val="3A9F758F"/>
    <w:rsid w:val="3B0D43DC"/>
    <w:rsid w:val="3B815A10"/>
    <w:rsid w:val="3C16016E"/>
    <w:rsid w:val="3C526FDA"/>
    <w:rsid w:val="3DB04457"/>
    <w:rsid w:val="3E052E0D"/>
    <w:rsid w:val="3E0C767D"/>
    <w:rsid w:val="3E1E0E05"/>
    <w:rsid w:val="3ED53834"/>
    <w:rsid w:val="3EDE5F9D"/>
    <w:rsid w:val="3F557D77"/>
    <w:rsid w:val="3F653ECD"/>
    <w:rsid w:val="3F8C2381"/>
    <w:rsid w:val="40B1193E"/>
    <w:rsid w:val="40EF27CC"/>
    <w:rsid w:val="412633D0"/>
    <w:rsid w:val="419C53D3"/>
    <w:rsid w:val="41A24648"/>
    <w:rsid w:val="420A75A0"/>
    <w:rsid w:val="425B572F"/>
    <w:rsid w:val="42B750E0"/>
    <w:rsid w:val="42E171A3"/>
    <w:rsid w:val="430B3E6A"/>
    <w:rsid w:val="435E710E"/>
    <w:rsid w:val="436B24EA"/>
    <w:rsid w:val="439A7D7D"/>
    <w:rsid w:val="43C46536"/>
    <w:rsid w:val="44096FB0"/>
    <w:rsid w:val="446C7B46"/>
    <w:rsid w:val="44DA3BD7"/>
    <w:rsid w:val="458B0721"/>
    <w:rsid w:val="45B6246D"/>
    <w:rsid w:val="45C149C9"/>
    <w:rsid w:val="460436E2"/>
    <w:rsid w:val="46066264"/>
    <w:rsid w:val="4608522B"/>
    <w:rsid w:val="46170712"/>
    <w:rsid w:val="46C97F82"/>
    <w:rsid w:val="476A20C4"/>
    <w:rsid w:val="477255F8"/>
    <w:rsid w:val="48007D5F"/>
    <w:rsid w:val="481925FB"/>
    <w:rsid w:val="48CC452F"/>
    <w:rsid w:val="48FD3339"/>
    <w:rsid w:val="49665897"/>
    <w:rsid w:val="49B5642F"/>
    <w:rsid w:val="49E61332"/>
    <w:rsid w:val="4A1C12FC"/>
    <w:rsid w:val="4ABC5B1A"/>
    <w:rsid w:val="4B21113C"/>
    <w:rsid w:val="4B265AE9"/>
    <w:rsid w:val="4B4B7866"/>
    <w:rsid w:val="4C060AC0"/>
    <w:rsid w:val="4C42285C"/>
    <w:rsid w:val="4C536B94"/>
    <w:rsid w:val="4C7E03B3"/>
    <w:rsid w:val="4CBD1010"/>
    <w:rsid w:val="4CEF3CF8"/>
    <w:rsid w:val="4D855B94"/>
    <w:rsid w:val="4DDD584A"/>
    <w:rsid w:val="4DF956E2"/>
    <w:rsid w:val="4E1B15A0"/>
    <w:rsid w:val="4E410D80"/>
    <w:rsid w:val="4E841886"/>
    <w:rsid w:val="4E95746F"/>
    <w:rsid w:val="4EAB2FE4"/>
    <w:rsid w:val="4F3C2EC0"/>
    <w:rsid w:val="4F9417D0"/>
    <w:rsid w:val="4FA202B8"/>
    <w:rsid w:val="4FE3080F"/>
    <w:rsid w:val="50627AEB"/>
    <w:rsid w:val="50723ACE"/>
    <w:rsid w:val="51025EEC"/>
    <w:rsid w:val="515E2B9F"/>
    <w:rsid w:val="516C77AE"/>
    <w:rsid w:val="51773CFC"/>
    <w:rsid w:val="525C2B2E"/>
    <w:rsid w:val="526F03D2"/>
    <w:rsid w:val="52C842B3"/>
    <w:rsid w:val="52CB4273"/>
    <w:rsid w:val="53A57B3A"/>
    <w:rsid w:val="53C05290"/>
    <w:rsid w:val="5506659C"/>
    <w:rsid w:val="55226C39"/>
    <w:rsid w:val="554B55F7"/>
    <w:rsid w:val="559558C2"/>
    <w:rsid w:val="55E16B86"/>
    <w:rsid w:val="566A5FED"/>
    <w:rsid w:val="56A43E60"/>
    <w:rsid w:val="56BD391A"/>
    <w:rsid w:val="56E35A9C"/>
    <w:rsid w:val="57BD09D9"/>
    <w:rsid w:val="57E549B9"/>
    <w:rsid w:val="584D3364"/>
    <w:rsid w:val="59120F59"/>
    <w:rsid w:val="591D3BA7"/>
    <w:rsid w:val="594304CC"/>
    <w:rsid w:val="596E7B6E"/>
    <w:rsid w:val="5A9028CC"/>
    <w:rsid w:val="5AA05E66"/>
    <w:rsid w:val="5AA9798C"/>
    <w:rsid w:val="5ACB4F32"/>
    <w:rsid w:val="5B244A5A"/>
    <w:rsid w:val="5B621989"/>
    <w:rsid w:val="5B74382F"/>
    <w:rsid w:val="5C6519B0"/>
    <w:rsid w:val="5C691376"/>
    <w:rsid w:val="5C7134DE"/>
    <w:rsid w:val="5CAF735A"/>
    <w:rsid w:val="5D120080"/>
    <w:rsid w:val="5D84420B"/>
    <w:rsid w:val="5D8C5F24"/>
    <w:rsid w:val="5DE7137F"/>
    <w:rsid w:val="5DEB3B1A"/>
    <w:rsid w:val="5E066D05"/>
    <w:rsid w:val="5E352002"/>
    <w:rsid w:val="5F1C7AED"/>
    <w:rsid w:val="5F5473EC"/>
    <w:rsid w:val="5F90413A"/>
    <w:rsid w:val="60221384"/>
    <w:rsid w:val="60565855"/>
    <w:rsid w:val="60F56473"/>
    <w:rsid w:val="60F86FD4"/>
    <w:rsid w:val="610A4B5F"/>
    <w:rsid w:val="616E4CF3"/>
    <w:rsid w:val="617D0F75"/>
    <w:rsid w:val="61CE2308"/>
    <w:rsid w:val="61ED3E3C"/>
    <w:rsid w:val="61ED48BA"/>
    <w:rsid w:val="624167DC"/>
    <w:rsid w:val="633109A6"/>
    <w:rsid w:val="633B3EAB"/>
    <w:rsid w:val="63EB2E1A"/>
    <w:rsid w:val="6424370A"/>
    <w:rsid w:val="647916AF"/>
    <w:rsid w:val="64B31810"/>
    <w:rsid w:val="650D1C96"/>
    <w:rsid w:val="6518479E"/>
    <w:rsid w:val="65853E6F"/>
    <w:rsid w:val="65C72285"/>
    <w:rsid w:val="661373EE"/>
    <w:rsid w:val="6642520A"/>
    <w:rsid w:val="66882038"/>
    <w:rsid w:val="66CC144B"/>
    <w:rsid w:val="66E81D1F"/>
    <w:rsid w:val="67236075"/>
    <w:rsid w:val="673E471E"/>
    <w:rsid w:val="67457E5B"/>
    <w:rsid w:val="675B0BD4"/>
    <w:rsid w:val="68100710"/>
    <w:rsid w:val="681E6959"/>
    <w:rsid w:val="688641BC"/>
    <w:rsid w:val="691D0A8B"/>
    <w:rsid w:val="697F0253"/>
    <w:rsid w:val="69FA48EF"/>
    <w:rsid w:val="6AB32E4C"/>
    <w:rsid w:val="6B100FE1"/>
    <w:rsid w:val="6B5108C1"/>
    <w:rsid w:val="6BB56E66"/>
    <w:rsid w:val="6C846EB2"/>
    <w:rsid w:val="6C965D84"/>
    <w:rsid w:val="6C9B34CE"/>
    <w:rsid w:val="6D024247"/>
    <w:rsid w:val="6D866737"/>
    <w:rsid w:val="6DA6114A"/>
    <w:rsid w:val="6DEC255B"/>
    <w:rsid w:val="6F0B65A9"/>
    <w:rsid w:val="6FA96611"/>
    <w:rsid w:val="704D339B"/>
    <w:rsid w:val="709344DD"/>
    <w:rsid w:val="70A22455"/>
    <w:rsid w:val="7125593A"/>
    <w:rsid w:val="714228C3"/>
    <w:rsid w:val="715C3BCF"/>
    <w:rsid w:val="71756B22"/>
    <w:rsid w:val="718D58F4"/>
    <w:rsid w:val="7192495A"/>
    <w:rsid w:val="71A6399A"/>
    <w:rsid w:val="71EB3F0D"/>
    <w:rsid w:val="729D128B"/>
    <w:rsid w:val="72F15351"/>
    <w:rsid w:val="73AC73AC"/>
    <w:rsid w:val="742A7635"/>
    <w:rsid w:val="749123F0"/>
    <w:rsid w:val="74FF5FC2"/>
    <w:rsid w:val="757E47B8"/>
    <w:rsid w:val="75E626A9"/>
    <w:rsid w:val="76173E55"/>
    <w:rsid w:val="76731A9E"/>
    <w:rsid w:val="76E82780"/>
    <w:rsid w:val="770F1F4C"/>
    <w:rsid w:val="773B0D0D"/>
    <w:rsid w:val="77895A37"/>
    <w:rsid w:val="779C2952"/>
    <w:rsid w:val="77CA4249"/>
    <w:rsid w:val="78412583"/>
    <w:rsid w:val="7855496E"/>
    <w:rsid w:val="78AC6688"/>
    <w:rsid w:val="78B9568E"/>
    <w:rsid w:val="79217B58"/>
    <w:rsid w:val="79A1156A"/>
    <w:rsid w:val="79A5544F"/>
    <w:rsid w:val="79AA053B"/>
    <w:rsid w:val="79C6269C"/>
    <w:rsid w:val="7A722146"/>
    <w:rsid w:val="7AA8546C"/>
    <w:rsid w:val="7ABD0011"/>
    <w:rsid w:val="7B521D5B"/>
    <w:rsid w:val="7B5A74E2"/>
    <w:rsid w:val="7B626F8B"/>
    <w:rsid w:val="7B6D1EB3"/>
    <w:rsid w:val="7B853AC8"/>
    <w:rsid w:val="7BB7120C"/>
    <w:rsid w:val="7C5E37E6"/>
    <w:rsid w:val="7CE6293F"/>
    <w:rsid w:val="7DD81E64"/>
    <w:rsid w:val="7E1171B1"/>
    <w:rsid w:val="7EBE4303"/>
    <w:rsid w:val="7EFF32F9"/>
    <w:rsid w:val="7F0707C4"/>
    <w:rsid w:val="7F436895"/>
    <w:rsid w:val="7F590637"/>
    <w:rsid w:val="7F78421F"/>
    <w:rsid w:val="7FEF0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7">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8">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9">
    <w:name w:val="heading 3"/>
    <w:basedOn w:val="1"/>
    <w:next w:val="1"/>
    <w:unhideWhenUsed/>
    <w:qFormat/>
    <w:uiPriority w:val="0"/>
    <w:pPr>
      <w:keepNext/>
      <w:keepLines/>
      <w:spacing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style>
  <w:style w:type="paragraph" w:styleId="4">
    <w:name w:val="Body Text First Indent 2"/>
    <w:basedOn w:val="5"/>
    <w:next w:val="6"/>
    <w:qFormat/>
    <w:uiPriority w:val="99"/>
    <w:pPr>
      <w:ind w:firstLine="420" w:firstLineChars="200"/>
    </w:pPr>
  </w:style>
  <w:style w:type="paragraph" w:styleId="5">
    <w:name w:val="Body Text Indent"/>
    <w:basedOn w:val="1"/>
    <w:next w:val="6"/>
    <w:qFormat/>
    <w:uiPriority w:val="0"/>
    <w:pPr>
      <w:spacing w:after="120"/>
      <w:ind w:left="420" w:leftChars="200"/>
    </w:pPr>
  </w:style>
  <w:style w:type="paragraph" w:styleId="6">
    <w:name w:val="Date"/>
    <w:basedOn w:val="1"/>
    <w:next w:val="1"/>
    <w:unhideWhenUsed/>
    <w:qFormat/>
    <w:uiPriority w:val="99"/>
    <w:pPr>
      <w:ind w:left="100" w:leftChars="2500"/>
    </w:p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Times New Roman"/>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Autospacing="1" w:afterAutospacing="1"/>
      <w:jc w:val="left"/>
    </w:pPr>
    <w:rPr>
      <w:rFonts w:hAnsi="宋体" w:cs="宋体"/>
      <w:sz w:val="24"/>
    </w:rPr>
  </w:style>
  <w:style w:type="table" w:styleId="15">
    <w:name w:val="Table Grid"/>
    <w:basedOn w:val="1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qFormat/>
    <w:uiPriority w:val="0"/>
    <w:rPr>
      <w:color w:val="000000"/>
      <w:u w:val="none"/>
    </w:rPr>
  </w:style>
  <w:style w:type="character" w:styleId="19">
    <w:name w:val="Emphasis"/>
    <w:basedOn w:val="16"/>
    <w:qFormat/>
    <w:uiPriority w:val="0"/>
  </w:style>
  <w:style w:type="character" w:styleId="20">
    <w:name w:val="Hyperlink"/>
    <w:basedOn w:val="16"/>
    <w:qFormat/>
    <w:uiPriority w:val="0"/>
    <w:rPr>
      <w:color w:val="000000"/>
      <w:u w:val="none"/>
    </w:rPr>
  </w:style>
  <w:style w:type="paragraph" w:customStyle="1" w:styleId="2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2">
    <w:name w:val="样式 标题 3 + (中文) 黑体 小四 非加粗 段前: 7.8 磅 段后: 0 磅 行距: 固定值 20 磅"/>
    <w:basedOn w:val="9"/>
    <w:qFormat/>
    <w:uiPriority w:val="0"/>
    <w:pPr>
      <w:spacing w:line="400" w:lineRule="exact"/>
    </w:pPr>
    <w:rPr>
      <w:rFonts w:eastAsia="黑体" w:cs="宋体"/>
      <w:b w:val="0"/>
      <w:bCs w:val="0"/>
      <w:sz w:val="24"/>
      <w:szCs w:val="20"/>
    </w:rPr>
  </w:style>
  <w:style w:type="character" w:customStyle="1" w:styleId="23">
    <w:name w:val="red"/>
    <w:basedOn w:val="16"/>
    <w:qFormat/>
    <w:uiPriority w:val="0"/>
    <w:rPr>
      <w:color w:val="FF0000"/>
      <w:sz w:val="18"/>
      <w:szCs w:val="18"/>
    </w:rPr>
  </w:style>
  <w:style w:type="character" w:customStyle="1" w:styleId="24">
    <w:name w:val="red1"/>
    <w:basedOn w:val="16"/>
    <w:qFormat/>
    <w:uiPriority w:val="0"/>
    <w:rPr>
      <w:color w:val="FF0000"/>
      <w:sz w:val="18"/>
      <w:szCs w:val="18"/>
    </w:rPr>
  </w:style>
  <w:style w:type="character" w:customStyle="1" w:styleId="25">
    <w:name w:val="red2"/>
    <w:basedOn w:val="16"/>
    <w:qFormat/>
    <w:uiPriority w:val="0"/>
    <w:rPr>
      <w:color w:val="CC0000"/>
    </w:rPr>
  </w:style>
  <w:style w:type="character" w:customStyle="1" w:styleId="26">
    <w:name w:val="red3"/>
    <w:basedOn w:val="16"/>
    <w:qFormat/>
    <w:uiPriority w:val="0"/>
    <w:rPr>
      <w:color w:val="FF0000"/>
    </w:rPr>
  </w:style>
  <w:style w:type="character" w:customStyle="1" w:styleId="27">
    <w:name w:val="hover25"/>
    <w:basedOn w:val="16"/>
    <w:qFormat/>
    <w:uiPriority w:val="0"/>
  </w:style>
  <w:style w:type="character" w:customStyle="1" w:styleId="28">
    <w:name w:val="green"/>
    <w:basedOn w:val="16"/>
    <w:qFormat/>
    <w:uiPriority w:val="0"/>
    <w:rPr>
      <w:color w:val="66AE00"/>
      <w:sz w:val="18"/>
      <w:szCs w:val="18"/>
    </w:rPr>
  </w:style>
  <w:style w:type="character" w:customStyle="1" w:styleId="29">
    <w:name w:val="green1"/>
    <w:basedOn w:val="16"/>
    <w:qFormat/>
    <w:uiPriority w:val="0"/>
    <w:rPr>
      <w:color w:val="66AE00"/>
      <w:sz w:val="18"/>
      <w:szCs w:val="18"/>
    </w:rPr>
  </w:style>
  <w:style w:type="character" w:customStyle="1" w:styleId="30">
    <w:name w:val="blue"/>
    <w:basedOn w:val="16"/>
    <w:qFormat/>
    <w:uiPriority w:val="0"/>
    <w:rPr>
      <w:color w:val="0371C6"/>
      <w:sz w:val="21"/>
      <w:szCs w:val="21"/>
    </w:rPr>
  </w:style>
  <w:style w:type="character" w:customStyle="1" w:styleId="31">
    <w:name w:val="gb-jt"/>
    <w:basedOn w:val="16"/>
    <w:qFormat/>
    <w:uiPriority w:val="0"/>
  </w:style>
  <w:style w:type="character" w:customStyle="1" w:styleId="32">
    <w:name w:val="right"/>
    <w:basedOn w:val="16"/>
    <w:qFormat/>
    <w:uiPriority w:val="0"/>
    <w:rPr>
      <w:color w:val="999999"/>
      <w:sz w:val="18"/>
      <w:szCs w:val="18"/>
    </w:rPr>
  </w:style>
  <w:style w:type="character" w:customStyle="1" w:styleId="33">
    <w:name w:val="标题 2 Char"/>
    <w:basedOn w:val="16"/>
    <w:link w:val="8"/>
    <w:semiHidden/>
    <w:qFormat/>
    <w:uiPriority w:val="0"/>
    <w:rPr>
      <w:rFonts w:asciiTheme="majorHAnsi" w:hAnsiTheme="majorHAnsi" w:eastAsiaTheme="majorEastAsia" w:cstheme="majorBidi"/>
      <w:b/>
      <w:bCs/>
      <w:sz w:val="32"/>
      <w:szCs w:val="32"/>
    </w:rPr>
  </w:style>
  <w:style w:type="character" w:customStyle="1" w:styleId="34">
    <w:name w:val="批注框文本 Char"/>
    <w:basedOn w:val="16"/>
    <w:link w:val="10"/>
    <w:qFormat/>
    <w:uiPriority w:val="0"/>
    <w:rPr>
      <w:rFonts w:ascii="宋体" w:hAnsiTheme="minorHAnsi" w:eastAsiaTheme="minorEastAsia" w:cstheme="minorBidi"/>
      <w:sz w:val="18"/>
      <w:szCs w:val="18"/>
    </w:rPr>
  </w:style>
  <w:style w:type="paragraph" w:customStyle="1" w:styleId="35">
    <w:name w:val="列出段落1"/>
    <w:basedOn w:val="1"/>
    <w:unhideWhenUsed/>
    <w:qFormat/>
    <w:uiPriority w:val="99"/>
    <w:pPr>
      <w:ind w:firstLine="420" w:firstLineChars="200"/>
    </w:pPr>
  </w:style>
  <w:style w:type="character" w:customStyle="1" w:styleId="36">
    <w:name w:val="p0 Char"/>
    <w:link w:val="37"/>
    <w:qFormat/>
    <w:uiPriority w:val="0"/>
  </w:style>
  <w:style w:type="paragraph" w:customStyle="1" w:styleId="37">
    <w:name w:val="p0"/>
    <w:basedOn w:val="1"/>
    <w:link w:val="36"/>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32582</Words>
  <Characters>5465</Characters>
  <Lines>45</Lines>
  <Paragraphs>75</Paragraphs>
  <TotalTime>8</TotalTime>
  <ScaleCrop>false</ScaleCrop>
  <LinksUpToDate>false</LinksUpToDate>
  <CharactersWithSpaces>37972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永明项目管理有限公司:徐志</cp:lastModifiedBy>
  <cp:lastPrinted>2020-06-17T11:47:00Z</cp:lastPrinted>
  <dcterms:modified xsi:type="dcterms:W3CDTF">2020-06-24T03:07:56Z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