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许昌职业技术学院“服务器、存储及可信交换机(不见面开标)”项目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036-1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二十四</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w:t>
      </w:r>
      <w:r>
        <w:rPr>
          <w:rFonts w:hint="eastAsia" w:cs="仿宋_GB2312" w:asciiTheme="minorEastAsia" w:hAnsiTheme="minorEastAsia" w:eastAsiaTheme="minorEastAsia"/>
          <w:color w:val="000000"/>
          <w:sz w:val="21"/>
          <w:szCs w:val="21"/>
          <w:shd w:val="clear" w:color="auto" w:fill="FFFFFF"/>
        </w:rPr>
        <w:t>称采购中心) 受许昌职业技术学院的委</w:t>
      </w:r>
      <w:r>
        <w:rPr>
          <w:rFonts w:hint="eastAsia"/>
          <w:color w:val="000000"/>
          <w:sz w:val="21"/>
          <w:szCs w:val="21"/>
          <w:shd w:val="clear" w:color="auto" w:fill="FFFFFF"/>
        </w:rPr>
        <w:t>托，对“服务器、存储及可信交换机(</w:t>
      </w:r>
      <w:r>
        <w:rPr>
          <w:rFonts w:hint="eastAsia" w:cs="仿宋_GB2312" w:asciiTheme="minorEastAsia" w:hAnsiTheme="minorEastAsia" w:eastAsiaTheme="minorEastAsia"/>
          <w:color w:val="000000"/>
          <w:sz w:val="21"/>
          <w:szCs w:val="21"/>
          <w:shd w:val="clear" w:color="auto" w:fill="FFFFFF"/>
        </w:rPr>
        <w:t>不见面开标)”项目进行</w:t>
      </w:r>
      <w:r>
        <w:rPr>
          <w:rFonts w:hint="eastAsia"/>
          <w:color w:val="000000"/>
          <w:sz w:val="21"/>
          <w:szCs w:val="21"/>
          <w:shd w:val="clear" w:color="auto" w:fill="FFFFFF"/>
        </w:rPr>
        <w:t>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服务器、存储及可信交换机</w:t>
      </w:r>
      <w:r>
        <w:rPr>
          <w:rFonts w:hint="eastAsia" w:cs="仿宋_GB2312" w:asciiTheme="minorEastAsia" w:hAnsiTheme="minorEastAsia" w:eastAsiaTheme="minorEastAsia"/>
          <w:color w:val="000000"/>
          <w:sz w:val="21"/>
          <w:szCs w:val="21"/>
          <w:shd w:val="clear" w:color="auto" w:fill="FFFFFF"/>
        </w:rPr>
        <w:t>(不见面开标)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036-1</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 可信交换防御系统3台；</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（五）预算金额：420000元</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最高限价：420000元。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3</w:t>
      </w:r>
      <w:r>
        <w:rPr>
          <w:rFonts w:hint="eastAsia" w:cs="仿宋_GB2312" w:asciiTheme="minorEastAsia" w:hAnsiTheme="minorEastAsia" w:eastAsiaTheme="minorEastAsia"/>
          <w:color w:val="000000"/>
          <w:sz w:val="21"/>
          <w:szCs w:val="21"/>
          <w:shd w:val="clear" w:color="auto" w:fill="FFFFFF"/>
        </w:rPr>
        <w:t>0天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w:t>
      </w:r>
      <w:r>
        <w:rPr>
          <w:rFonts w:hint="eastAsia" w:cs="仿宋_GB2312" w:asciiTheme="minorEastAsia" w:hAnsiTheme="minorEastAsia" w:eastAsiaTheme="minorEastAsia"/>
          <w:color w:val="auto"/>
          <w:sz w:val="21"/>
          <w:szCs w:val="21"/>
          <w:shd w:val="clear" w:color="auto" w:fill="FFFFFF"/>
        </w:rPr>
        <w:t>国公共资源交易平台（河南省·许昌市）》“系统用户注册”入口http://</w:t>
      </w:r>
      <w:r>
        <w:rPr>
          <w:color w:val="auto"/>
        </w:rPr>
        <w:t xml:space="preserve"> </w:t>
      </w:r>
      <w:r>
        <w:rPr>
          <w:rFonts w:cs="仿宋_GB2312" w:asciiTheme="minorEastAsia" w:hAnsiTheme="minorEastAsia" w:eastAsiaTheme="minorEastAsia"/>
          <w:color w:val="auto"/>
          <w:sz w:val="21"/>
          <w:szCs w:val="21"/>
          <w:shd w:val="clear" w:color="auto" w:fill="FFFFFF"/>
        </w:rPr>
        <w:t>ggzy.xuchang.gov.cn:8088/ggzy/eps/public/RegistAllJcxx.html</w:t>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auto"/>
          <w:sz w:val="21"/>
          <w:szCs w:val="21"/>
          <w:shd w:val="clear" w:color="auto" w:fill="FFFFFF"/>
        </w:rPr>
        <w:t>ggzy.xuchang.gov.cn:8088/ggzy/</w:t>
      </w:r>
      <w:r>
        <w:rPr>
          <w:rFonts w:hint="eastAsia" w:cs="仿宋_GB2312" w:asciiTheme="minorEastAsia" w:hAnsiTheme="minorEastAsia" w:eastAsiaTheme="minorEastAsia"/>
          <w:color w:val="auto"/>
          <w:sz w:val="21"/>
          <w:szCs w:val="21"/>
          <w:shd w:val="clear" w:color="auto" w:fill="FFFFFF"/>
        </w:rPr>
        <w:t>）自行免费下载招标文件（详见“常见问题解答-交易系统操作手册”）。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（一）投标截止及开标时间：2020年</w:t>
      </w:r>
      <w:r>
        <w:rPr>
          <w:rFonts w:hint="eastAsia" w:cs="仿宋_GB2312" w:asciiTheme="minorEastAsia" w:hAnsiTheme="minorEastAsia" w:eastAsiaTheme="minorEastAsia"/>
          <w:color w:val="auto"/>
          <w:sz w:val="21"/>
          <w:szCs w:val="21"/>
          <w:lang w:val="en-US" w:eastAsia="zh-CN"/>
        </w:rPr>
        <w:t>7</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17</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val="en-US" w:eastAsia="zh-CN"/>
        </w:rPr>
        <w:t>四</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w:t>
      </w:r>
      <w:r>
        <w:rPr>
          <w:rFonts w:hint="eastAsia" w:cs="黑体" w:asciiTheme="minorEastAsia" w:hAnsiTheme="minorEastAsia" w:eastAsiaTheme="minorEastAsia"/>
          <w:b/>
          <w:bCs/>
          <w:color w:val="000000"/>
          <w:sz w:val="21"/>
          <w:szCs w:val="21"/>
          <w:shd w:val="clear" w:color="auto" w:fill="FFFFFF"/>
        </w:rPr>
        <w:t>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许昌职业</w:t>
      </w:r>
      <w:r>
        <w:rPr>
          <w:rFonts w:cs="Arial" w:asciiTheme="minorEastAsia" w:hAnsiTheme="minorEastAsia"/>
          <w:color w:val="000000"/>
          <w:szCs w:val="21"/>
        </w:rPr>
        <w:t>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地址：许昌市新兴东路4336号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cs="Arial" w:asciiTheme="minorEastAsia" w:hAnsiTheme="minorEastAsia"/>
          <w:color w:val="000000"/>
          <w:szCs w:val="21"/>
        </w:rPr>
        <w:t>许昌职业</w:t>
      </w:r>
      <w:r>
        <w:rPr>
          <w:rFonts w:cs="Arial" w:asciiTheme="minorEastAsia" w:hAnsiTheme="minorEastAsia"/>
          <w:color w:val="000000"/>
          <w:szCs w:val="21"/>
        </w:rPr>
        <w:t>技术学院</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六</w:t>
      </w:r>
      <w:r>
        <w:rPr>
          <w:rFonts w:hint="eastAsia" w:ascii="宋体" w:hAnsi="宋体"/>
          <w:szCs w:val="21"/>
        </w:rPr>
        <w:t>月</w:t>
      </w:r>
      <w:r>
        <w:rPr>
          <w:rFonts w:hint="eastAsia" w:ascii="宋体" w:hAnsi="宋体"/>
          <w:szCs w:val="21"/>
          <w:lang w:eastAsia="zh-CN"/>
        </w:rPr>
        <w:t>二十四</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279"/>
        <w:gridCol w:w="4860"/>
        <w:gridCol w:w="645"/>
        <w:gridCol w:w="85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66"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lang w:val="en-US" w:eastAsia="zh-CN"/>
              </w:rPr>
            </w:pPr>
            <w:r>
              <w:rPr>
                <w:rFonts w:hint="eastAsia" w:ascii="宋体" w:hAnsi="宋体" w:cs="Calibri"/>
                <w:kern w:val="0"/>
                <w:szCs w:val="21"/>
              </w:rPr>
              <w:t>1</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lang w:val="en-US" w:eastAsia="zh-CN"/>
              </w:rPr>
            </w:pPr>
            <w:r>
              <w:rPr>
                <w:rFonts w:hint="eastAsia" w:ascii="宋体" w:hAnsi="宋体" w:cs="Calibri"/>
                <w:kern w:val="0"/>
                <w:szCs w:val="21"/>
              </w:rPr>
              <w:t>可信交换防御系统</w:t>
            </w:r>
          </w:p>
        </w:tc>
        <w:tc>
          <w:tcPr>
            <w:tcW w:w="48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rPr>
            </w:pPr>
            <w:r>
              <w:rPr>
                <w:rFonts w:hint="eastAsia" w:ascii="宋体" w:hAnsi="宋体" w:cs="Calibri"/>
                <w:kern w:val="0"/>
                <w:szCs w:val="21"/>
              </w:rPr>
              <w:t>产品应采用1U专用机架式硬件设备，系统硬件为全内置封闭式结构；</w:t>
            </w:r>
          </w:p>
          <w:p>
            <w:pPr>
              <w:rPr>
                <w:rFonts w:hint="eastAsia" w:ascii="宋体" w:hAnsi="宋体" w:cs="Calibri"/>
                <w:kern w:val="0"/>
                <w:szCs w:val="21"/>
              </w:rPr>
            </w:pPr>
            <w:r>
              <w:rPr>
                <w:rFonts w:hint="eastAsia" w:ascii="宋体" w:hAnsi="宋体" w:cs="Calibri"/>
                <w:kern w:val="0"/>
                <w:szCs w:val="21"/>
              </w:rPr>
              <w:t>支持针对IP级别的访问控制策略，降低勒索病毒、内网渗透测试造成的内网风险；</w:t>
            </w:r>
          </w:p>
          <w:p>
            <w:pPr>
              <w:rPr>
                <w:rFonts w:hint="eastAsia" w:ascii="宋体" w:hAnsi="宋体" w:cs="Calibri"/>
                <w:kern w:val="0"/>
                <w:szCs w:val="21"/>
              </w:rPr>
            </w:pPr>
            <w:r>
              <w:rPr>
                <w:rFonts w:hint="eastAsia" w:ascii="宋体" w:hAnsi="宋体" w:cs="Calibri"/>
                <w:kern w:val="0"/>
                <w:szCs w:val="21"/>
              </w:rPr>
              <w:t>▲千兆电口≥20个，每个千兆电口可以独立控制；</w:t>
            </w:r>
          </w:p>
          <w:p>
            <w:pPr>
              <w:rPr>
                <w:rFonts w:hint="eastAsia" w:ascii="宋体" w:hAnsi="宋体" w:cs="Calibri"/>
                <w:kern w:val="0"/>
                <w:szCs w:val="21"/>
              </w:rPr>
            </w:pPr>
            <w:r>
              <w:rPr>
                <w:rFonts w:hint="eastAsia" w:ascii="宋体" w:hAnsi="宋体" w:cs="Calibri"/>
                <w:kern w:val="0"/>
                <w:szCs w:val="21"/>
              </w:rPr>
              <w:t>▲包转发率≥ 32Mpps；</w:t>
            </w:r>
          </w:p>
          <w:p>
            <w:pPr>
              <w:rPr>
                <w:rFonts w:hint="eastAsia" w:ascii="宋体" w:hAnsi="宋体" w:cs="Calibri"/>
                <w:kern w:val="0"/>
                <w:szCs w:val="21"/>
              </w:rPr>
            </w:pPr>
            <w:r>
              <w:rPr>
                <w:rFonts w:hint="eastAsia" w:ascii="宋体" w:hAnsi="宋体" w:cs="Calibri"/>
                <w:kern w:val="0"/>
                <w:szCs w:val="21"/>
              </w:rPr>
              <w:t>▲交换容量≥ 42Gbps；</w:t>
            </w:r>
          </w:p>
          <w:p>
            <w:pPr>
              <w:rPr>
                <w:rFonts w:hint="eastAsia" w:ascii="宋体" w:hAnsi="宋体" w:cs="Calibri"/>
                <w:kern w:val="0"/>
                <w:szCs w:val="21"/>
              </w:rPr>
            </w:pPr>
            <w:r>
              <w:rPr>
                <w:rFonts w:hint="eastAsia" w:ascii="宋体" w:hAnsi="宋体" w:cs="Calibri"/>
                <w:kern w:val="0"/>
                <w:szCs w:val="21"/>
              </w:rPr>
              <w:t>▲支持对网络中的流量进行AI自学习，自动生成基于源地址、目的地址的访问控制策略；</w:t>
            </w:r>
          </w:p>
          <w:p>
            <w:pPr>
              <w:rPr>
                <w:rFonts w:hint="eastAsia" w:ascii="宋体" w:hAnsi="宋体" w:cs="Calibri"/>
                <w:kern w:val="0"/>
                <w:szCs w:val="21"/>
              </w:rPr>
            </w:pPr>
            <w:r>
              <w:rPr>
                <w:rFonts w:hint="eastAsia" w:ascii="宋体" w:hAnsi="宋体" w:cs="Calibri"/>
                <w:kern w:val="0"/>
                <w:szCs w:val="21"/>
              </w:rPr>
              <w:t>▲支持将学习完成的策略一键导入到访问控制策略</w:t>
            </w:r>
          </w:p>
          <w:p>
            <w:pPr>
              <w:rPr>
                <w:rFonts w:hint="eastAsia" w:ascii="宋体" w:hAnsi="宋体" w:cs="Calibri"/>
                <w:kern w:val="0"/>
                <w:szCs w:val="21"/>
              </w:rPr>
            </w:pPr>
            <w:r>
              <w:rPr>
                <w:rFonts w:hint="eastAsia" w:ascii="宋体" w:hAnsi="宋体" w:cs="Calibri"/>
                <w:kern w:val="0"/>
                <w:szCs w:val="21"/>
              </w:rPr>
              <w:t>支持对学习完成的结果进行增删改操作；</w:t>
            </w:r>
          </w:p>
          <w:p>
            <w:pPr>
              <w:rPr>
                <w:rFonts w:hint="eastAsia" w:ascii="宋体" w:hAnsi="宋体" w:cs="Calibri"/>
                <w:kern w:val="0"/>
                <w:szCs w:val="21"/>
              </w:rPr>
            </w:pPr>
            <w:r>
              <w:rPr>
                <w:rFonts w:hint="eastAsia" w:ascii="宋体" w:hAnsi="宋体" w:cs="Calibri"/>
                <w:kern w:val="0"/>
                <w:szCs w:val="21"/>
              </w:rPr>
              <w:t>▲支持配置学习IP地址范围，IP地址支持多个地址段的配置</w:t>
            </w:r>
          </w:p>
          <w:p>
            <w:pPr>
              <w:rPr>
                <w:rFonts w:hint="eastAsia" w:ascii="宋体" w:hAnsi="宋体" w:cs="Calibri"/>
                <w:kern w:val="0"/>
                <w:szCs w:val="21"/>
              </w:rPr>
            </w:pPr>
            <w:r>
              <w:rPr>
                <w:rFonts w:hint="eastAsia" w:ascii="宋体" w:hAnsi="宋体" w:cs="Calibri"/>
                <w:kern w:val="0"/>
                <w:szCs w:val="21"/>
              </w:rPr>
              <w:t>▲支持可视化方式显示隔离域内部连接关系；</w:t>
            </w:r>
          </w:p>
          <w:p>
            <w:pPr>
              <w:rPr>
                <w:rFonts w:hint="eastAsia" w:ascii="宋体" w:hAnsi="宋体" w:cs="Calibri"/>
                <w:kern w:val="0"/>
                <w:szCs w:val="21"/>
              </w:rPr>
            </w:pPr>
            <w:r>
              <w:rPr>
                <w:rFonts w:hint="eastAsia" w:ascii="宋体" w:hAnsi="宋体" w:cs="Calibri"/>
                <w:kern w:val="0"/>
                <w:szCs w:val="21"/>
              </w:rPr>
              <w:t>支持显示全局和隔离域视图；</w:t>
            </w:r>
          </w:p>
          <w:p>
            <w:pPr>
              <w:rPr>
                <w:rFonts w:hint="eastAsia" w:ascii="宋体" w:hAnsi="宋体" w:cs="Calibri"/>
                <w:kern w:val="0"/>
                <w:szCs w:val="21"/>
              </w:rPr>
            </w:pPr>
            <w:r>
              <w:rPr>
                <w:rFonts w:hint="eastAsia" w:ascii="宋体" w:hAnsi="宋体" w:cs="Calibri"/>
                <w:kern w:val="0"/>
                <w:szCs w:val="21"/>
              </w:rPr>
              <w:t>▲支持对隔离域内主机连接方式进行增加、删除、修改并立即呈现在可视化视图中；</w:t>
            </w:r>
          </w:p>
          <w:p>
            <w:pPr>
              <w:rPr>
                <w:rFonts w:hint="eastAsia" w:ascii="宋体" w:hAnsi="宋体" w:cs="Calibri"/>
                <w:kern w:val="0"/>
                <w:szCs w:val="21"/>
              </w:rPr>
            </w:pPr>
            <w:r>
              <w:rPr>
                <w:rFonts w:hint="eastAsia" w:ascii="宋体" w:hAnsi="宋体" w:cs="Calibri"/>
                <w:kern w:val="0"/>
                <w:szCs w:val="21"/>
              </w:rPr>
              <w:t>▲支持基于源IP、目的IP的访问控制；</w:t>
            </w:r>
          </w:p>
          <w:p>
            <w:pPr>
              <w:rPr>
                <w:rFonts w:hint="eastAsia" w:ascii="宋体" w:hAnsi="宋体" w:cs="Calibri"/>
                <w:kern w:val="0"/>
                <w:szCs w:val="21"/>
              </w:rPr>
            </w:pPr>
            <w:r>
              <w:rPr>
                <w:rFonts w:hint="eastAsia" w:ascii="宋体" w:hAnsi="宋体" w:cs="Calibri"/>
                <w:kern w:val="0"/>
                <w:szCs w:val="21"/>
              </w:rPr>
              <w:t>支持IP地址开放端口允许被单一或者多个地址连接；</w:t>
            </w:r>
          </w:p>
          <w:p>
            <w:pPr>
              <w:rPr>
                <w:rFonts w:hint="eastAsia" w:ascii="宋体" w:hAnsi="宋体" w:cs="Calibri"/>
                <w:kern w:val="0"/>
                <w:szCs w:val="21"/>
              </w:rPr>
            </w:pPr>
            <w:r>
              <w:rPr>
                <w:rFonts w:hint="eastAsia" w:ascii="宋体" w:hAnsi="宋体" w:cs="Calibri"/>
                <w:kern w:val="0"/>
                <w:szCs w:val="21"/>
              </w:rPr>
              <w:t>▲访问控制策略支持添加、删除操作；</w:t>
            </w:r>
          </w:p>
          <w:p>
            <w:pPr>
              <w:rPr>
                <w:rFonts w:hint="eastAsia" w:ascii="宋体" w:hAnsi="宋体" w:cs="Calibri"/>
                <w:kern w:val="0"/>
                <w:szCs w:val="21"/>
              </w:rPr>
            </w:pPr>
            <w:r>
              <w:rPr>
                <w:rFonts w:hint="eastAsia" w:ascii="宋体" w:hAnsi="宋体" w:cs="Calibri"/>
                <w:kern w:val="0"/>
                <w:szCs w:val="21"/>
              </w:rPr>
              <w:t>访问控制支持拦截和放行策略；</w:t>
            </w:r>
          </w:p>
          <w:p>
            <w:pPr>
              <w:rPr>
                <w:rFonts w:hint="eastAsia" w:ascii="宋体" w:hAnsi="宋体" w:cs="Calibri"/>
                <w:kern w:val="0"/>
                <w:szCs w:val="21"/>
              </w:rPr>
            </w:pPr>
            <w:r>
              <w:rPr>
                <w:rFonts w:hint="eastAsia" w:ascii="宋体" w:hAnsi="宋体" w:cs="Calibri"/>
                <w:kern w:val="0"/>
                <w:szCs w:val="21"/>
              </w:rPr>
              <w:t>▲支持一键开启、关闭访问控制策略；</w:t>
            </w:r>
          </w:p>
          <w:p>
            <w:pPr>
              <w:rPr>
                <w:rFonts w:hint="eastAsia" w:ascii="宋体" w:hAnsi="宋体" w:cs="Calibri"/>
                <w:kern w:val="0"/>
                <w:szCs w:val="21"/>
              </w:rPr>
            </w:pPr>
            <w:r>
              <w:rPr>
                <w:rFonts w:hint="eastAsia" w:ascii="宋体" w:hAnsi="宋体" w:cs="Calibri"/>
                <w:kern w:val="0"/>
                <w:szCs w:val="21"/>
              </w:rPr>
              <w:t>▲每台均配置全息诱捕授权60个，可通过网络虚拟出≥60台虚拟诱饵主机，并支持在不同网段生成和配置虚拟诱饵主机</w:t>
            </w:r>
          </w:p>
          <w:p>
            <w:pPr>
              <w:rPr>
                <w:rFonts w:hint="eastAsia" w:ascii="宋体" w:hAnsi="宋体" w:cs="Calibri"/>
                <w:kern w:val="0"/>
                <w:szCs w:val="21"/>
              </w:rPr>
            </w:pPr>
            <w:r>
              <w:rPr>
                <w:rFonts w:hint="eastAsia" w:ascii="宋体" w:hAnsi="宋体" w:cs="Calibri"/>
                <w:kern w:val="0"/>
                <w:szCs w:val="21"/>
              </w:rPr>
              <w:t>支持显示真实主机和虚拟诱饵主机IP地址；</w:t>
            </w:r>
          </w:p>
          <w:p>
            <w:pPr>
              <w:rPr>
                <w:rFonts w:hint="eastAsia" w:ascii="宋体" w:hAnsi="宋体" w:cs="Calibri"/>
                <w:kern w:val="0"/>
                <w:szCs w:val="21"/>
              </w:rPr>
            </w:pPr>
            <w:r>
              <w:rPr>
                <w:rFonts w:hint="eastAsia" w:ascii="宋体" w:hAnsi="宋体" w:cs="Calibri"/>
                <w:kern w:val="0"/>
                <w:szCs w:val="21"/>
              </w:rPr>
              <w:t>支持捕获攻击主机后，自动拦截攻击主机的访问行为；</w:t>
            </w:r>
          </w:p>
          <w:p>
            <w:pPr>
              <w:rPr>
                <w:rFonts w:hint="eastAsia" w:ascii="宋体" w:hAnsi="宋体" w:cs="Calibri"/>
                <w:kern w:val="0"/>
                <w:szCs w:val="21"/>
              </w:rPr>
            </w:pPr>
            <w:r>
              <w:rPr>
                <w:rFonts w:hint="eastAsia" w:ascii="宋体" w:hAnsi="宋体" w:cs="Calibri"/>
                <w:kern w:val="0"/>
                <w:szCs w:val="21"/>
              </w:rPr>
              <w:t>▲支持添加和删除白名单IP地址，白名单内IP地址不受访问控制限制；</w:t>
            </w:r>
          </w:p>
          <w:p>
            <w:pPr>
              <w:rPr>
                <w:rFonts w:hint="eastAsia" w:ascii="宋体" w:hAnsi="宋体" w:cs="Calibri"/>
                <w:kern w:val="0"/>
                <w:szCs w:val="21"/>
              </w:rPr>
            </w:pPr>
            <w:r>
              <w:rPr>
                <w:rFonts w:hint="eastAsia" w:ascii="宋体" w:hAnsi="宋体" w:cs="Calibri"/>
                <w:kern w:val="0"/>
                <w:szCs w:val="21"/>
              </w:rPr>
              <w:t>▲支持对网络流量进行监控；</w:t>
            </w:r>
          </w:p>
          <w:p>
            <w:pPr>
              <w:rPr>
                <w:rFonts w:hint="eastAsia" w:ascii="宋体" w:hAnsi="宋体" w:cs="Calibri"/>
                <w:kern w:val="0"/>
                <w:szCs w:val="21"/>
              </w:rPr>
            </w:pPr>
            <w:r>
              <w:rPr>
                <w:rFonts w:hint="eastAsia" w:ascii="宋体" w:hAnsi="宋体" w:cs="Calibri"/>
                <w:kern w:val="0"/>
                <w:szCs w:val="21"/>
              </w:rPr>
              <w:t>支持对内网主机数量进行监控；支持对内网端口数进行监控；</w:t>
            </w:r>
          </w:p>
          <w:p>
            <w:pPr>
              <w:rPr>
                <w:rFonts w:hint="eastAsia" w:ascii="宋体" w:hAnsi="宋体" w:cs="Calibri"/>
                <w:kern w:val="0"/>
                <w:szCs w:val="21"/>
              </w:rPr>
            </w:pPr>
            <w:r>
              <w:rPr>
                <w:rFonts w:hint="eastAsia" w:ascii="宋体" w:hAnsi="宋体" w:cs="Calibri"/>
                <w:kern w:val="0"/>
                <w:szCs w:val="21"/>
              </w:rPr>
              <w:t>支持配置MAC表aging-time；</w:t>
            </w:r>
          </w:p>
          <w:p>
            <w:pPr>
              <w:rPr>
                <w:rFonts w:hint="eastAsia" w:ascii="宋体" w:hAnsi="宋体" w:cs="Calibri"/>
                <w:kern w:val="0"/>
                <w:szCs w:val="21"/>
              </w:rPr>
            </w:pPr>
            <w:r>
              <w:rPr>
                <w:rFonts w:hint="eastAsia" w:ascii="宋体" w:hAnsi="宋体" w:cs="Calibri"/>
                <w:kern w:val="0"/>
                <w:szCs w:val="21"/>
              </w:rPr>
              <w:t>支持开启和关闭STP；</w:t>
            </w:r>
          </w:p>
          <w:p>
            <w:pPr>
              <w:rPr>
                <w:rFonts w:hint="eastAsia" w:ascii="宋体" w:hAnsi="宋体" w:cs="Calibri"/>
                <w:kern w:val="0"/>
                <w:szCs w:val="21"/>
              </w:rPr>
            </w:pPr>
            <w:r>
              <w:rPr>
                <w:rFonts w:hint="eastAsia" w:ascii="宋体" w:hAnsi="宋体" w:cs="Calibri"/>
                <w:kern w:val="0"/>
                <w:szCs w:val="21"/>
              </w:rPr>
              <w:t>▲支持VLAN、支持端口聚合；</w:t>
            </w:r>
          </w:p>
          <w:p>
            <w:pPr>
              <w:rPr>
                <w:rFonts w:hint="eastAsia" w:ascii="宋体" w:hAnsi="宋体" w:cs="Calibri"/>
                <w:kern w:val="0"/>
                <w:szCs w:val="21"/>
              </w:rPr>
            </w:pPr>
            <w:r>
              <w:rPr>
                <w:rFonts w:hint="eastAsia" w:ascii="宋体" w:hAnsi="宋体" w:cs="Calibri"/>
                <w:kern w:val="0"/>
                <w:szCs w:val="21"/>
              </w:rPr>
              <w:t>▲支持自定义端口监听镜像流量；</w:t>
            </w:r>
          </w:p>
          <w:p>
            <w:pPr>
              <w:rPr>
                <w:rFonts w:hint="eastAsia" w:ascii="宋体" w:hAnsi="宋体" w:cs="Calibri"/>
                <w:kern w:val="0"/>
                <w:szCs w:val="21"/>
              </w:rPr>
            </w:pPr>
            <w:r>
              <w:rPr>
                <w:rFonts w:hint="eastAsia" w:ascii="宋体" w:hAnsi="宋体" w:cs="Calibri"/>
                <w:kern w:val="0"/>
                <w:szCs w:val="21"/>
              </w:rPr>
              <w:t>▲支持端口映射、全局访问控制；</w:t>
            </w:r>
          </w:p>
          <w:p>
            <w:pPr>
              <w:rPr>
                <w:rFonts w:hint="eastAsia" w:ascii="宋体" w:hAnsi="宋体" w:cs="Calibri"/>
                <w:kern w:val="0"/>
                <w:szCs w:val="21"/>
              </w:rPr>
            </w:pPr>
            <w:r>
              <w:rPr>
                <w:rFonts w:hint="eastAsia" w:ascii="宋体" w:hAnsi="宋体" w:cs="Calibri"/>
                <w:kern w:val="0"/>
                <w:szCs w:val="21"/>
              </w:rPr>
              <w:t>支持NTP时间同步；</w:t>
            </w:r>
          </w:p>
          <w:p>
            <w:pPr>
              <w:rPr>
                <w:rFonts w:hint="eastAsia" w:ascii="宋体" w:hAnsi="宋体" w:cs="Calibri"/>
                <w:kern w:val="0"/>
                <w:szCs w:val="21"/>
              </w:rPr>
            </w:pPr>
            <w:r>
              <w:rPr>
                <w:rFonts w:hint="eastAsia" w:ascii="宋体" w:hAnsi="宋体" w:cs="Calibri"/>
                <w:kern w:val="0"/>
                <w:szCs w:val="21"/>
              </w:rPr>
              <w:t>支持配置设备的管理IP、网关、DNS等；</w:t>
            </w:r>
          </w:p>
          <w:p>
            <w:pPr>
              <w:rPr>
                <w:rFonts w:hint="eastAsia" w:ascii="宋体" w:hAnsi="宋体" w:cs="Calibri"/>
                <w:kern w:val="0"/>
                <w:szCs w:val="21"/>
              </w:rPr>
            </w:pPr>
            <w:r>
              <w:rPr>
                <w:rFonts w:hint="eastAsia" w:ascii="宋体" w:hAnsi="宋体" w:cs="Calibri"/>
                <w:kern w:val="0"/>
                <w:szCs w:val="21"/>
              </w:rPr>
              <w:t>支持上传升级包，对系统进行升级；</w:t>
            </w:r>
          </w:p>
          <w:p>
            <w:pPr>
              <w:rPr>
                <w:rFonts w:hint="eastAsia" w:ascii="宋体" w:hAnsi="宋体" w:cs="Calibri"/>
                <w:kern w:val="0"/>
                <w:szCs w:val="21"/>
              </w:rPr>
            </w:pPr>
            <w:r>
              <w:rPr>
                <w:rFonts w:hint="eastAsia" w:ascii="宋体" w:hAnsi="宋体" w:cs="Calibri"/>
                <w:kern w:val="0"/>
                <w:szCs w:val="21"/>
              </w:rPr>
              <w:t>支持通过HTTP方式对设备进行管理；</w:t>
            </w:r>
          </w:p>
          <w:p>
            <w:pPr>
              <w:rPr>
                <w:rFonts w:hint="eastAsia" w:ascii="宋体" w:hAnsi="宋体" w:cs="Calibri"/>
                <w:kern w:val="0"/>
                <w:szCs w:val="21"/>
              </w:rPr>
            </w:pPr>
            <w:r>
              <w:rPr>
                <w:rFonts w:hint="eastAsia" w:ascii="宋体" w:hAnsi="宋体" w:cs="Calibri"/>
                <w:kern w:val="0"/>
                <w:szCs w:val="21"/>
              </w:rPr>
              <w:t>支持修改管理员用户名和密码；</w:t>
            </w:r>
          </w:p>
          <w:p>
            <w:pPr>
              <w:rPr>
                <w:rFonts w:hint="eastAsia" w:ascii="宋体" w:hAnsi="宋体" w:cs="Calibri"/>
                <w:kern w:val="0"/>
                <w:szCs w:val="21"/>
                <w:lang w:val="en-US" w:eastAsia="zh-CN"/>
              </w:rPr>
            </w:pPr>
            <w:r>
              <w:rPr>
                <w:rFonts w:hint="eastAsia" w:ascii="宋体" w:hAnsi="宋体" w:cs="Calibri"/>
                <w:kern w:val="0"/>
                <w:szCs w:val="21"/>
              </w:rPr>
              <w:t>▲支持通过串口重置系统密码、初始化IP地址；</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lang w:val="en-US" w:eastAsia="zh-CN"/>
              </w:rPr>
            </w:pPr>
            <w:r>
              <w:rPr>
                <w:rFonts w:hint="eastAsia" w:ascii="宋体" w:hAnsi="宋体" w:cs="Calibri"/>
                <w:kern w:val="0"/>
                <w:szCs w:val="21"/>
              </w:rPr>
              <w:t>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宋体" w:hAnsi="宋体" w:cs="Calibri"/>
                <w:kern w:val="0"/>
                <w:szCs w:val="21"/>
                <w:lang w:val="en-US" w:eastAsia="zh-CN"/>
              </w:rPr>
            </w:pPr>
            <w:r>
              <w:rPr>
                <w:rFonts w:hint="eastAsia" w:ascii="宋体" w:hAnsi="宋体" w:cs="Calibri"/>
                <w:kern w:val="0"/>
                <w:szCs w:val="21"/>
              </w:rPr>
              <w:t>3</w:t>
            </w:r>
          </w:p>
        </w:tc>
        <w:tc>
          <w:tcPr>
            <w:tcW w:w="8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Calibri"/>
                <w:kern w:val="0"/>
                <w:szCs w:val="21"/>
                <w:lang w:val="en-US" w:eastAsia="zh-CN"/>
              </w:rPr>
            </w:pPr>
            <w:r>
              <w:rPr>
                <w:rFonts w:hint="eastAsia" w:ascii="宋体" w:hAnsi="宋体" w:cs="Calibri"/>
                <w:kern w:val="0"/>
                <w:szCs w:val="21"/>
              </w:rPr>
              <w:t>是</w:t>
            </w:r>
          </w:p>
        </w:tc>
      </w:tr>
    </w:tbl>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sz w:val="24"/>
          <w:lang w:val="zh-CN"/>
        </w:rPr>
        <w:t>2、投标人应就本</w:t>
      </w:r>
      <w:r>
        <w:rPr>
          <w:rFonts w:hint="eastAsia" w:ascii="宋体" w:cs="宋体"/>
          <w:color w:val="auto"/>
          <w:sz w:val="24"/>
          <w:lang w:val="zh-CN"/>
        </w:rPr>
        <w:t>项目完整投标，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三、验收标准</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、本项目预算金额420000元。最高限价420000元</w:t>
      </w:r>
      <w:r>
        <w:rPr>
          <w:rFonts w:hint="eastAsia" w:cs="黑体" w:asciiTheme="minorEastAsia" w:hAnsiTheme="minorEastAsia" w:eastAsiaTheme="minorEastAsia"/>
          <w:b/>
          <w:bCs/>
          <w:color w:val="000000"/>
          <w:shd w:val="clear" w:color="auto" w:fill="FFFFFF"/>
          <w:lang w:val="zh-CN"/>
        </w:rPr>
        <w:t>。超出</w:t>
      </w:r>
      <w:r>
        <w:rPr>
          <w:rFonts w:hint="eastAsia" w:cs="宋体" w:asciiTheme="minorEastAsia" w:hAnsiTheme="minorEastAsia" w:eastAsiaTheme="minorEastAsia"/>
          <w:b/>
          <w:color w:val="000000"/>
          <w:kern w:val="0"/>
          <w:lang w:val="zh-CN"/>
        </w:rPr>
        <w:t>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黑体" w:asciiTheme="minorEastAsia" w:hAnsiTheme="minorEastAsia"/>
          <w:b/>
          <w:bCs/>
          <w:color w:val="000000"/>
          <w:shd w:val="clear" w:color="auto" w:fill="FFFFFF"/>
          <w:lang w:eastAsia="zh-CN"/>
        </w:rPr>
        <w:t>五</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ordWrap w:val="0"/>
        <w:topLinePunct/>
        <w:spacing w:line="360" w:lineRule="auto"/>
        <w:ind w:firstLine="480" w:firstLineChars="200"/>
        <w:rPr>
          <w:rFonts w:hint="eastAsia" w:ascii="宋体" w:cs="宋体"/>
          <w:color w:val="auto"/>
          <w:sz w:val="24"/>
          <w:lang w:val="zh-CN"/>
        </w:rPr>
      </w:pPr>
      <w:r>
        <w:rPr>
          <w:rFonts w:hint="eastAsia" w:cs="宋体" w:asciiTheme="minorEastAsia" w:hAnsiTheme="minorEastAsia"/>
          <w:color w:val="000000"/>
          <w:kern w:val="0"/>
          <w:sz w:val="24"/>
          <w:szCs w:val="24"/>
          <w:lang w:val="zh-CN"/>
        </w:rPr>
        <w:t>2、支付时间及条</w:t>
      </w:r>
      <w:r>
        <w:rPr>
          <w:rFonts w:hint="eastAsia" w:ascii="宋体" w:cs="宋体"/>
          <w:color w:val="auto"/>
          <w:sz w:val="24"/>
          <w:lang w:val="zh-CN"/>
        </w:rPr>
        <w:t>件：经验收合格付合同总价款的90%，剩余10%验收合格后满一年无质量问题一次付清。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项目名称：服务器、存储及可信交换机(不见面开标)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036-1</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项目内容：可信交换防御系统3台；</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名称：许昌职业技术学院</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地址：许昌市新兴东路4336号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名称：许昌市政府采购服</w:t>
            </w:r>
            <w:r>
              <w:rPr>
                <w:rFonts w:hint="eastAsia" w:cs="仿宋_GB2312" w:asciiTheme="minorEastAsia" w:hAnsiTheme="minorEastAsia"/>
                <w:color w:val="auto"/>
                <w:szCs w:val="21"/>
              </w:rPr>
              <w:t>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w:t>
            </w:r>
            <w:r>
              <w:rPr>
                <w:rFonts w:hint="eastAsia" w:cs="仿宋_GB2312" w:asciiTheme="minorEastAsia" w:hAnsiTheme="minorEastAsia"/>
                <w:szCs w:val="21"/>
              </w:rPr>
              <w:t>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w:t>
            </w:r>
            <w:r>
              <w:rPr>
                <w:rFonts w:hint="eastAsia" w:asciiTheme="minorEastAsia" w:hAnsiTheme="minorEastAsia"/>
                <w:bCs/>
                <w:color w:val="auto"/>
                <w:szCs w:val="21"/>
              </w:rPr>
              <w:t>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shd w:val="clear" w:color="auto" w:fill="FFFFFF"/>
              </w:rPr>
              <w:t>420000元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17</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val="en-US" w:eastAsia="zh-CN"/>
              </w:rPr>
              <w:t>四</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bookmarkStart w:id="14" w:name="_GoBack"/>
            <w:bookmarkEnd w:id="14"/>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8"/>
          <w:rFonts w:cs="宋体" w:asciiTheme="minorEastAsia" w:hAnsiTheme="minorEastAsia"/>
          <w:kern w:val="0"/>
          <w:szCs w:val="21"/>
        </w:rPr>
        <w:t>www.chinanpo.gov.cn</w:t>
      </w:r>
      <w:r>
        <w:rPr>
          <w:rStyle w:val="28"/>
          <w:rFonts w:cs="宋体" w:asciiTheme="minorEastAsia" w:hAnsiTheme="minorEastAsia"/>
          <w:kern w:val="0"/>
          <w:szCs w:val="21"/>
        </w:rPr>
        <w:fldChar w:fldCharType="end"/>
      </w:r>
      <w:r>
        <w:rPr>
          <w:rFonts w:hint="eastAsia" w:cs="宋体" w:asciiTheme="minorEastAsia" w:hAnsiTheme="minorEastAsia"/>
          <w:kern w:val="0"/>
          <w:szCs w:val="21"/>
        </w:rPr>
        <w:t>）；</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6"/>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w:t>
      </w:r>
      <w:r>
        <w:rPr>
          <w:rFonts w:hint="eastAsia" w:cs="宋体" w:asciiTheme="minorEastAsia" w:hAnsiTheme="minorEastAsia"/>
          <w:color w:val="auto"/>
          <w:kern w:val="0"/>
          <w:szCs w:val="21"/>
        </w:rPr>
        <w:t>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40"/>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40"/>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40"/>
        <w:numPr>
          <w:ilvl w:val="1"/>
          <w:numId w:val="18"/>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40"/>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40"/>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0"/>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40"/>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40"/>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40"/>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40"/>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40"/>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0"/>
          <w:numId w:val="2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40"/>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4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w:t>
      </w:r>
      <w:r>
        <w:rPr>
          <w:rFonts w:hint="eastAsia" w:cs="宋体" w:asciiTheme="minorEastAsia" w:hAnsiTheme="minorEastAsia"/>
          <w:kern w:val="0"/>
          <w:szCs w:val="21"/>
        </w:rPr>
        <w:t>购活动的供应商有利害关系的,应当要求其回避。</w:t>
      </w:r>
    </w:p>
    <w:p>
      <w:pPr>
        <w:pStyle w:val="4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0"/>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0"/>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0"/>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0"/>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1"/>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0"/>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0"/>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0"/>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0"/>
        <w:numPr>
          <w:ilvl w:val="1"/>
          <w:numId w:val="5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0"/>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w:t>
      </w:r>
      <w:r>
        <w:rPr>
          <w:rFonts w:cs="仿宋_GB2312" w:asciiTheme="minorEastAsia" w:hAnsiTheme="minorEastAsia" w:eastAsiaTheme="minorEastAsia"/>
          <w:color w:val="auto"/>
          <w:sz w:val="21"/>
          <w:szCs w:val="21"/>
          <w:lang w:val="zh-CN"/>
        </w:rPr>
        <w:t>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a.不同投标人的投标文件由同一单位或者个人编制</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000000"/>
                <w:szCs w:val="21"/>
              </w:rPr>
              <w:t>价格分值</w:t>
            </w: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2</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45</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23</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14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0"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报价</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（3</w:t>
            </w:r>
            <w:r>
              <w:rPr>
                <w:rFonts w:hint="eastAsia" w:ascii="宋体" w:hAnsi="宋体" w:cs="宋体"/>
                <w:color w:val="000000"/>
                <w:kern w:val="0"/>
                <w:szCs w:val="21"/>
                <w:lang w:val="en-US" w:eastAsia="zh-CN"/>
              </w:rPr>
              <w:t>0</w:t>
            </w:r>
            <w:r>
              <w:rPr>
                <w:rFonts w:hint="eastAsia" w:ascii="宋体" w:hAnsi="宋体" w:cs="宋体"/>
                <w:color w:val="000000"/>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评标基准价：满足招标文件要求的有效投标报价中，最低的投标报价为评标基准价。</w:t>
            </w:r>
          </w:p>
          <w:p>
            <w:pPr>
              <w:widowControl/>
              <w:spacing w:line="315" w:lineRule="atLeast"/>
              <w:jc w:val="left"/>
              <w:rPr>
                <w:rFonts w:ascii="宋体" w:hAnsi="宋体" w:eastAsia="宋体" w:cs="宋体"/>
                <w:color w:val="auto"/>
                <w:kern w:val="0"/>
                <w:sz w:val="24"/>
                <w:szCs w:val="24"/>
              </w:rPr>
            </w:pPr>
            <w:r>
              <w:rPr>
                <w:rFonts w:hint="eastAsia" w:ascii="宋体" w:hAnsi="宋体" w:cs="宋体"/>
                <w:color w:val="000000"/>
                <w:kern w:val="0"/>
                <w:szCs w:val="21"/>
              </w:rPr>
              <w:t>投标报价得分=（评标基准价/投标报价）×3</w:t>
            </w:r>
            <w:r>
              <w:rPr>
                <w:rFonts w:hint="eastAsia" w:ascii="宋体" w:hAnsi="宋体" w:cs="宋体"/>
                <w:color w:val="000000"/>
                <w:kern w:val="0"/>
                <w:szCs w:val="21"/>
                <w:lang w:val="en-US" w:eastAsia="zh-CN"/>
              </w:rPr>
              <w:t>0</w:t>
            </w: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58"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jc w:val="cente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w:t>
            </w:r>
            <w:r>
              <w:rPr>
                <w:rFonts w:hint="eastAsia" w:ascii="宋体" w:hAnsi="宋体" w:eastAsia="宋体" w:cs="宋体"/>
                <w:color w:val="auto"/>
                <w:szCs w:val="21"/>
              </w:rPr>
              <w:t>分）</w:t>
            </w:r>
          </w:p>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rPr>
              <w:t>节约能源、保护环境政策加分</w:t>
            </w:r>
          </w:p>
          <w:p>
            <w:pPr>
              <w:widowControl/>
              <w:spacing w:line="360" w:lineRule="auto"/>
              <w:jc w:val="center"/>
              <w:rPr>
                <w:rFonts w:ascii="宋体" w:hAnsi="宋体" w:eastAsia="宋体" w:cs="宋体"/>
                <w:color w:val="auto"/>
                <w:kern w:val="0"/>
                <w:sz w:val="24"/>
                <w:szCs w:val="24"/>
              </w:rPr>
            </w:pPr>
            <w:r>
              <w:rPr>
                <w:rFonts w:hint="eastAsia"/>
              </w:rPr>
              <w:t>（2分）</w:t>
            </w:r>
          </w:p>
        </w:tc>
        <w:tc>
          <w:tcPr>
            <w:tcW w:w="6095" w:type="dxa"/>
            <w:tcBorders>
              <w:top w:val="single" w:color="auto" w:sz="4" w:space="0"/>
              <w:left w:val="nil"/>
              <w:bottom w:val="single" w:color="auto" w:sz="4" w:space="0"/>
              <w:right w:val="single" w:color="auto" w:sz="4" w:space="0"/>
            </w:tcBorders>
            <w:vAlign w:val="center"/>
          </w:tcPr>
          <w:p>
            <w:pPr>
              <w:widowControl/>
              <w:shd w:val="clear" w:color="auto" w:fill="FFFFFF"/>
              <w:spacing w:line="315" w:lineRule="atLeast"/>
              <w:jc w:val="left"/>
              <w:rPr>
                <w:rFonts w:ascii="宋体" w:hAnsi="宋体" w:cs="宋体"/>
                <w:color w:val="auto"/>
                <w:kern w:val="0"/>
                <w:szCs w:val="21"/>
              </w:rPr>
            </w:pPr>
            <w:r>
              <w:rPr>
                <w:rFonts w:hint="eastAsia" w:ascii="宋体" w:hAnsi="宋体" w:cs="宋体"/>
                <w:color w:val="auto"/>
                <w:kern w:val="0"/>
                <w:szCs w:val="21"/>
              </w:rPr>
              <w:t>1、除政府强制采购的节能产品外，投标人所投产品属于“节能产品政府采购品目清单”优先采购产品，投标文件中提供具有国家确定的认证机构出具的、处于有效期之内的节能产品认证证书,得1分。</w:t>
            </w:r>
          </w:p>
          <w:p>
            <w:pPr>
              <w:widowControl/>
              <w:spacing w:line="360" w:lineRule="auto"/>
              <w:jc w:val="left"/>
              <w:rPr>
                <w:rFonts w:ascii="宋体" w:hAnsi="宋体" w:eastAsia="宋体" w:cs="宋体"/>
                <w:color w:val="auto"/>
                <w:kern w:val="0"/>
                <w:sz w:val="24"/>
                <w:szCs w:val="24"/>
              </w:rPr>
            </w:pPr>
            <w:r>
              <w:rPr>
                <w:rFonts w:hint="eastAsia" w:ascii="宋体" w:hAnsi="宋体" w:cs="宋体"/>
                <w:color w:val="auto"/>
                <w:kern w:val="0"/>
                <w:szCs w:val="21"/>
              </w:rPr>
              <w:t>2、投标人所投产品属于“环境标志产品政府采购品目清单”内产品，投标文件中提供具有国家确定的认证机构出具的、处于有效期之内的环境标志产品认证证书,得1分。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45</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货物技术规格、参数与要求响应</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 45分）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仿宋_GB2312" w:hAnsi="宋体" w:eastAsia="仿宋_GB2312" w:cs="仿宋_GB2312"/>
                <w:color w:val="auto"/>
                <w:szCs w:val="21"/>
              </w:rPr>
            </w:pPr>
            <w:r>
              <w:rPr>
                <w:rFonts w:hint="eastAsia" w:ascii="宋体" w:hAnsi="宋体" w:cs="宋体"/>
                <w:color w:val="000000"/>
                <w:kern w:val="0"/>
                <w:szCs w:val="21"/>
              </w:rPr>
              <w:t>采购</w:t>
            </w:r>
            <w:r>
              <w:rPr>
                <w:rFonts w:hint="eastAsia" w:ascii="宋体" w:hAnsi="宋体" w:cs="宋体"/>
                <w:kern w:val="0"/>
                <w:szCs w:val="21"/>
              </w:rPr>
              <w:t>需求中加▲号技术参数为关键参数，每一项提供正偏离的加5分，需提供</w:t>
            </w:r>
            <w:r>
              <w:rPr>
                <w:rFonts w:hint="eastAsia" w:ascii="宋体" w:hAnsi="宋体" w:cs="宋体"/>
                <w:color w:val="000000"/>
                <w:kern w:val="0"/>
                <w:szCs w:val="21"/>
              </w:rPr>
              <w:t>厂家出具的界面截图证明材料，最高得45分。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23</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售后服务</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 17分）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1、投标人提供完善的项目售后服务方案，提供得2分，不提供不得分。</w:t>
            </w:r>
          </w:p>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2、提供设备的生产厂商售后服务服务承诺函得5分，不提供不得分。</w:t>
            </w:r>
          </w:p>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3、在1年免费质保期基础上，每增加一年得2分，最高得</w:t>
            </w:r>
            <w:r>
              <w:rPr>
                <w:rFonts w:ascii="宋体" w:hAnsi="宋体" w:cs="宋体"/>
                <w:color w:val="000000"/>
                <w:kern w:val="0"/>
                <w:szCs w:val="21"/>
              </w:rPr>
              <w:t>4</w:t>
            </w:r>
            <w:r>
              <w:rPr>
                <w:rFonts w:hint="eastAsia" w:ascii="宋体" w:hAnsi="宋体" w:cs="宋体"/>
                <w:color w:val="000000"/>
                <w:kern w:val="0"/>
                <w:szCs w:val="21"/>
              </w:rPr>
              <w:t>分。 免费</w:t>
            </w:r>
            <w:r>
              <w:rPr>
                <w:rFonts w:ascii="宋体" w:hAnsi="宋体" w:cs="宋体"/>
                <w:color w:val="000000"/>
                <w:kern w:val="0"/>
                <w:szCs w:val="21"/>
              </w:rPr>
              <w:t>质保期中</w:t>
            </w:r>
            <w:r>
              <w:rPr>
                <w:rFonts w:hint="eastAsia" w:ascii="宋体" w:hAnsi="宋体" w:cs="宋体"/>
                <w:color w:val="000000"/>
                <w:kern w:val="0"/>
                <w:szCs w:val="21"/>
              </w:rPr>
              <w:t>承诺每提供一年网络风险测评并提供测评报告得3分，最高得6分。</w:t>
            </w:r>
          </w:p>
          <w:p>
            <w:pPr>
              <w:widowControl/>
              <w:spacing w:line="315" w:lineRule="atLeas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实施方案</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000000"/>
                <w:kern w:val="0"/>
                <w:szCs w:val="21"/>
              </w:rPr>
              <w:t>（4分）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仿宋_GB2312" w:hAnsi="宋体" w:eastAsia="仿宋_GB2312" w:cs="仿宋_GB2312"/>
                <w:color w:val="auto"/>
                <w:szCs w:val="21"/>
              </w:rPr>
            </w:pPr>
            <w:r>
              <w:rPr>
                <w:rFonts w:hint="eastAsia" w:ascii="宋体" w:hAnsi="宋体" w:cs="宋体"/>
                <w:color w:val="000000"/>
                <w:kern w:val="0"/>
                <w:szCs w:val="21"/>
              </w:rPr>
              <w:t>投标人提供完善的项目实施技术方案，内容包含项目的质量控制、部署方案、验收方案、实施流程。每提供一项得1分，满分4分，不提供不得分。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000000"/>
                <w:kern w:val="0"/>
                <w:szCs w:val="21"/>
              </w:rPr>
            </w:pPr>
            <w:r>
              <w:rPr>
                <w:rFonts w:hint="eastAsia" w:ascii="宋体" w:hAnsi="宋体" w:cs="宋体"/>
                <w:color w:val="000000"/>
                <w:kern w:val="0"/>
                <w:szCs w:val="21"/>
              </w:rPr>
              <w:t>投标文件编制</w:t>
            </w:r>
          </w:p>
          <w:p>
            <w:pPr>
              <w:widowControl/>
              <w:spacing w:line="315" w:lineRule="atLeast"/>
              <w:jc w:val="center"/>
              <w:rPr>
                <w:rFonts w:hint="eastAsia"/>
              </w:rPr>
            </w:pPr>
            <w:r>
              <w:rPr>
                <w:rFonts w:hint="eastAsia" w:ascii="宋体" w:hAnsi="宋体" w:cs="宋体"/>
                <w:color w:val="000000"/>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000000"/>
                <w:kern w:val="0"/>
                <w:szCs w:val="21"/>
              </w:rPr>
            </w:pPr>
            <w:r>
              <w:rPr>
                <w:rFonts w:hint="eastAsia" w:ascii="宋体" w:hAnsi="宋体" w:cs="宋体"/>
                <w:color w:val="000000"/>
                <w:kern w:val="0"/>
                <w:szCs w:val="21"/>
              </w:rPr>
              <w:t>1、投标文件装订规范、文字清晰、无差错得1分；</w:t>
            </w:r>
          </w:p>
          <w:p>
            <w:pPr>
              <w:widowControl/>
              <w:spacing w:line="315" w:lineRule="atLeast"/>
              <w:jc w:val="left"/>
              <w:rPr>
                <w:rFonts w:hint="eastAsia"/>
              </w:rPr>
            </w:pPr>
            <w:r>
              <w:rPr>
                <w:rFonts w:hint="eastAsia" w:ascii="宋体" w:hAnsi="宋体" w:cs="宋体"/>
                <w:color w:val="000000"/>
                <w:kern w:val="0"/>
                <w:szCs w:val="21"/>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86274126"/>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widowControl/>
        <w:jc w:val="left"/>
        <w:rPr>
          <w:rFonts w:asciiTheme="majorEastAsia" w:hAnsiTheme="majorEastAsia" w:eastAsiaTheme="majorEastAsia"/>
          <w:b/>
          <w:bCs/>
          <w:color w:val="auto"/>
          <w:sz w:val="24"/>
          <w:szCs w:val="24"/>
        </w:rPr>
      </w:pPr>
      <w:r>
        <w:rPr>
          <w:rFonts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2"/>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w:t>
      </w:r>
    </w:p>
    <w:p>
      <w:pPr>
        <w:pStyle w:val="45"/>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年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 日</w:t>
      </w:r>
    </w:p>
    <w:p>
      <w:pPr>
        <w:pStyle w:val="44"/>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项目编号</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的</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 xml:space="preserve">法定代表人（单位负责人）：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9" w:name="_资格证明文件"/>
            <w:bookmarkEnd w:id="9"/>
            <w:bookmarkStart w:id="10"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10"/>
          </w:p>
        </w:tc>
        <w:tc>
          <w:tcPr>
            <w:tcW w:w="4492" w:type="dxa"/>
            <w:gridSpan w:val="2"/>
            <w:vAlign w:val="center"/>
          </w:tcPr>
          <w:p>
            <w:pPr>
              <w:jc w:val="center"/>
              <w:rPr>
                <w:rFonts w:asciiTheme="minorEastAsia" w:hAnsiTheme="minorEastAsia"/>
                <w:color w:val="auto"/>
                <w:szCs w:val="21"/>
              </w:rPr>
            </w:pPr>
            <w:bookmarkStart w:id="11"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11"/>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许昌市政府采购服务中心</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 xml:space="preserve"> </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spacing w:line="360" w:lineRule="auto"/>
        <w:jc w:val="center"/>
        <w:rPr>
          <w:rFonts w:ascii="宋体" w:hAnsi="宋体"/>
          <w:b/>
          <w:bCs/>
          <w:color w:val="auto"/>
          <w:sz w:val="24"/>
          <w:szCs w:val="24"/>
        </w:rPr>
      </w:pPr>
      <w:r>
        <w:rPr>
          <w:rFonts w:hint="eastAsia" w:ascii="宋体" w:hAnsi="宋体"/>
          <w:b/>
          <w:bCs/>
          <w:color w:val="auto"/>
          <w:sz w:val="24"/>
          <w:szCs w:val="24"/>
        </w:rPr>
        <w:t>3.7.投标人提供未为本项目提供整体设计、规范编制或者项目管理、监理、检测等服务承诺函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33086"/>
    <w:multiLevelType w:val="singleLevel"/>
    <w:tmpl w:val="B6E33086"/>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9F817C2"/>
    <w:multiLevelType w:val="singleLevel"/>
    <w:tmpl w:val="59F817C2"/>
    <w:lvl w:ilvl="0" w:tentative="0">
      <w:start w:val="2"/>
      <w:numFmt w:val="chineseCounting"/>
      <w:suff w:val="space"/>
      <w:lvlText w:val="第%1章"/>
      <w:lvlJc w:val="left"/>
    </w:lvl>
  </w:abstractNum>
  <w:abstractNum w:abstractNumId="36">
    <w:nsid w:val="59F817E8"/>
    <w:multiLevelType w:val="singleLevel"/>
    <w:tmpl w:val="59F817E8"/>
    <w:lvl w:ilvl="0" w:tentative="0">
      <w:start w:val="1"/>
      <w:numFmt w:val="chineseCounting"/>
      <w:pStyle w:val="51"/>
      <w:suff w:val="nothing"/>
      <w:lvlText w:val="%1、"/>
      <w:lvlJc w:val="left"/>
    </w:lvl>
  </w:abstractNum>
  <w:abstractNum w:abstractNumId="3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6">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6"/>
  </w:num>
  <w:num w:numId="4">
    <w:abstractNumId w:val="35"/>
  </w:num>
  <w:num w:numId="5">
    <w:abstractNumId w:val="0"/>
  </w:num>
  <w:num w:numId="6">
    <w:abstractNumId w:val="23"/>
  </w:num>
  <w:num w:numId="7">
    <w:abstractNumId w:val="47"/>
  </w:num>
  <w:num w:numId="8">
    <w:abstractNumId w:val="27"/>
  </w:num>
  <w:num w:numId="9">
    <w:abstractNumId w:val="29"/>
  </w:num>
  <w:num w:numId="10">
    <w:abstractNumId w:val="44"/>
  </w:num>
  <w:num w:numId="11">
    <w:abstractNumId w:val="15"/>
  </w:num>
  <w:num w:numId="12">
    <w:abstractNumId w:val="17"/>
  </w:num>
  <w:num w:numId="13">
    <w:abstractNumId w:val="57"/>
  </w:num>
  <w:num w:numId="14">
    <w:abstractNumId w:val="41"/>
  </w:num>
  <w:num w:numId="15">
    <w:abstractNumId w:val="55"/>
  </w:num>
  <w:num w:numId="16">
    <w:abstractNumId w:val="8"/>
  </w:num>
  <w:num w:numId="17">
    <w:abstractNumId w:val="10"/>
  </w:num>
  <w:num w:numId="18">
    <w:abstractNumId w:val="39"/>
  </w:num>
  <w:num w:numId="19">
    <w:abstractNumId w:val="25"/>
  </w:num>
  <w:num w:numId="20">
    <w:abstractNumId w:val="37"/>
  </w:num>
  <w:num w:numId="21">
    <w:abstractNumId w:val="46"/>
  </w:num>
  <w:num w:numId="22">
    <w:abstractNumId w:val="30"/>
  </w:num>
  <w:num w:numId="23">
    <w:abstractNumId w:val="26"/>
  </w:num>
  <w:num w:numId="24">
    <w:abstractNumId w:val="5"/>
  </w:num>
  <w:num w:numId="25">
    <w:abstractNumId w:val="20"/>
  </w:num>
  <w:num w:numId="26">
    <w:abstractNumId w:val="19"/>
  </w:num>
  <w:num w:numId="27">
    <w:abstractNumId w:val="54"/>
  </w:num>
  <w:num w:numId="28">
    <w:abstractNumId w:val="48"/>
  </w:num>
  <w:num w:numId="29">
    <w:abstractNumId w:val="43"/>
  </w:num>
  <w:num w:numId="30">
    <w:abstractNumId w:val="50"/>
  </w:num>
  <w:num w:numId="31">
    <w:abstractNumId w:val="34"/>
  </w:num>
  <w:num w:numId="32">
    <w:abstractNumId w:val="11"/>
  </w:num>
  <w:num w:numId="33">
    <w:abstractNumId w:val="22"/>
  </w:num>
  <w:num w:numId="34">
    <w:abstractNumId w:val="53"/>
  </w:num>
  <w:num w:numId="35">
    <w:abstractNumId w:val="21"/>
  </w:num>
  <w:num w:numId="36">
    <w:abstractNumId w:val="24"/>
  </w:num>
  <w:num w:numId="37">
    <w:abstractNumId w:val="6"/>
  </w:num>
  <w:num w:numId="38">
    <w:abstractNumId w:val="16"/>
  </w:num>
  <w:num w:numId="39">
    <w:abstractNumId w:val="42"/>
  </w:num>
  <w:num w:numId="40">
    <w:abstractNumId w:val="32"/>
  </w:num>
  <w:num w:numId="41">
    <w:abstractNumId w:val="56"/>
  </w:num>
  <w:num w:numId="42">
    <w:abstractNumId w:val="58"/>
  </w:num>
  <w:num w:numId="43">
    <w:abstractNumId w:val="18"/>
  </w:num>
  <w:num w:numId="44">
    <w:abstractNumId w:val="12"/>
  </w:num>
  <w:num w:numId="45">
    <w:abstractNumId w:val="33"/>
  </w:num>
  <w:num w:numId="46">
    <w:abstractNumId w:val="51"/>
  </w:num>
  <w:num w:numId="47">
    <w:abstractNumId w:val="49"/>
  </w:num>
  <w:num w:numId="48">
    <w:abstractNumId w:val="40"/>
  </w:num>
  <w:num w:numId="49">
    <w:abstractNumId w:val="4"/>
  </w:num>
  <w:num w:numId="50">
    <w:abstractNumId w:val="52"/>
  </w:num>
  <w:num w:numId="51">
    <w:abstractNumId w:val="14"/>
  </w:num>
  <w:num w:numId="52">
    <w:abstractNumId w:val="3"/>
  </w:num>
  <w:num w:numId="53">
    <w:abstractNumId w:val="38"/>
  </w:num>
  <w:num w:numId="54">
    <w:abstractNumId w:val="13"/>
  </w:num>
  <w:num w:numId="55">
    <w:abstractNumId w:val="7"/>
  </w:num>
  <w:num w:numId="56">
    <w:abstractNumId w:val="45"/>
  </w:num>
  <w:num w:numId="57">
    <w:abstractNumId w:val="31"/>
  </w:num>
  <w:num w:numId="58">
    <w:abstractNumId w:val="28"/>
  </w:num>
  <w:num w:numId="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7D6212A"/>
    <w:rsid w:val="09946946"/>
    <w:rsid w:val="0F7C3ADA"/>
    <w:rsid w:val="13571F25"/>
    <w:rsid w:val="16886BE8"/>
    <w:rsid w:val="18D024B6"/>
    <w:rsid w:val="25DC2D65"/>
    <w:rsid w:val="2D034920"/>
    <w:rsid w:val="2E2A750D"/>
    <w:rsid w:val="334D7C8A"/>
    <w:rsid w:val="387B39C6"/>
    <w:rsid w:val="3DE870EB"/>
    <w:rsid w:val="435D588F"/>
    <w:rsid w:val="442667BB"/>
    <w:rsid w:val="4785123E"/>
    <w:rsid w:val="47BC0F15"/>
    <w:rsid w:val="49217C45"/>
    <w:rsid w:val="4C196C14"/>
    <w:rsid w:val="50DF296E"/>
    <w:rsid w:val="533669A2"/>
    <w:rsid w:val="57495BD2"/>
    <w:rsid w:val="5A665413"/>
    <w:rsid w:val="605D7892"/>
    <w:rsid w:val="611D7E53"/>
    <w:rsid w:val="616C15FD"/>
    <w:rsid w:val="61ED308E"/>
    <w:rsid w:val="68D06BB1"/>
    <w:rsid w:val="79DB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99"/>
    <w:rPr>
      <w:color w:val="0000FF"/>
      <w:u w:val="single"/>
    </w:rPr>
  </w:style>
  <w:style w:type="character" w:customStyle="1" w:styleId="29">
    <w:name w:val="标题 1 Char"/>
    <w:basedOn w:val="25"/>
    <w:link w:val="3"/>
    <w:qFormat/>
    <w:uiPriority w:val="0"/>
    <w:rPr>
      <w:rFonts w:ascii="Calibri" w:hAnsi="Calibri" w:eastAsia="宋体" w:cs="Times New Roman"/>
      <w:b/>
      <w:bCs/>
      <w:kern w:val="44"/>
      <w:sz w:val="44"/>
      <w:szCs w:val="44"/>
    </w:rPr>
  </w:style>
  <w:style w:type="character" w:customStyle="1" w:styleId="30">
    <w:name w:val="标题 2 Char"/>
    <w:basedOn w:val="25"/>
    <w:link w:val="4"/>
    <w:qFormat/>
    <w:uiPriority w:val="0"/>
    <w:rPr>
      <w:rFonts w:ascii="Arial" w:hAnsi="Arial" w:eastAsia="黑体" w:cs="Times New Roman"/>
      <w:b/>
      <w:bCs/>
      <w:kern w:val="0"/>
      <w:sz w:val="32"/>
      <w:szCs w:val="32"/>
    </w:rPr>
  </w:style>
  <w:style w:type="character" w:customStyle="1" w:styleId="31">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6"/>
    <w:qFormat/>
    <w:uiPriority w:val="0"/>
    <w:rPr>
      <w:rFonts w:ascii="Arial" w:hAnsi="Arial" w:eastAsia="黑体" w:cs="Times New Roman"/>
      <w:b/>
      <w:bCs/>
      <w:kern w:val="0"/>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9"/>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10"/>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5"/>
    <w:link w:val="20"/>
    <w:semiHidden/>
    <w:qFormat/>
    <w:uiPriority w:val="99"/>
    <w:rPr>
      <w:rFonts w:ascii="宋体" w:hAnsi="宋体" w:eastAsia="宋体" w:cs="宋体"/>
      <w:kern w:val="0"/>
      <w:sz w:val="24"/>
      <w:szCs w:val="24"/>
    </w:rPr>
  </w:style>
  <w:style w:type="character" w:customStyle="1" w:styleId="55">
    <w:name w:val="HTML 预设格式 Char1"/>
    <w:basedOn w:val="25"/>
    <w:link w:val="20"/>
    <w:semiHidden/>
    <w:qFormat/>
    <w:uiPriority w:val="99"/>
    <w:rPr>
      <w:rFonts w:ascii="Courier New" w:hAnsi="Courier New" w:cs="Courier New"/>
      <w:sz w:val="2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style>
  <w:style w:type="character" w:customStyle="1" w:styleId="58">
    <w:name w:val="批注框文本 Char"/>
    <w:basedOn w:val="25"/>
    <w:link w:val="16"/>
    <w:semiHidden/>
    <w:qFormat/>
    <w:uiPriority w:val="99"/>
    <w:rPr>
      <w:sz w:val="18"/>
      <w:szCs w:val="18"/>
    </w:rPr>
  </w:style>
  <w:style w:type="character" w:customStyle="1" w:styleId="59">
    <w:name w:val="批注框文本 Char1"/>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32520</Words>
  <Characters>33848</Characters>
  <Lines>274</Lines>
  <Paragraphs>77</Paragraphs>
  <TotalTime>6</TotalTime>
  <ScaleCrop>false</ScaleCrop>
  <LinksUpToDate>false</LinksUpToDate>
  <CharactersWithSpaces>35396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2020-06-23T01:27:16Z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