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6"/>
          <w:szCs w:val="36"/>
          <w:lang w:val="en-US" w:eastAsia="zh-CN"/>
        </w:rPr>
        <w:t>禹州市精神卫生康复中心所需信息化系统、医疗器械、后勤物资采购项目（不见面开标）</w:t>
      </w:r>
    </w:p>
    <w:p>
      <w:pPr>
        <w:rPr>
          <w:rFonts w:ascii="微软简隶书" w:eastAsia="微软简隶书"/>
          <w:b/>
          <w:bCs/>
          <w:color w:val="000000"/>
          <w:sz w:val="32"/>
          <w:szCs w:val="32"/>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Theme="majorEastAsia" w:hAnsiTheme="majorEastAsia" w:eastAsiaTheme="majorEastAsia" w:cstheme="majorEastAsia"/>
          <w:bCs/>
          <w:color w:val="000000"/>
          <w:w w:val="90"/>
          <w:sz w:val="120"/>
          <w:szCs w:val="12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hint="eastAsia" w:ascii="微软简隶书" w:eastAsia="微软简隶书"/>
          <w:color w:val="000000"/>
          <w:lang w:eastAsia="zh-CN"/>
        </w:rPr>
      </w:pPr>
    </w:p>
    <w:p>
      <w:pPr>
        <w:rPr>
          <w:rFonts w:ascii="微软简隶书" w:eastAsia="微软简隶书"/>
          <w:color w:val="000000"/>
        </w:rPr>
      </w:pPr>
    </w:p>
    <w:p>
      <w:pPr>
        <w:rPr>
          <w:rFonts w:ascii="微软简隶书" w:eastAsia="微软简隶书"/>
          <w:color w:val="000000"/>
        </w:rPr>
      </w:pPr>
    </w:p>
    <w:p>
      <w:pPr>
        <w:rPr>
          <w:rFonts w:hint="default" w:asciiTheme="majorEastAsia" w:hAnsiTheme="majorEastAsia" w:eastAsiaTheme="majorEastAsia" w:cstheme="majorEastAsia"/>
          <w:b/>
          <w:bCs/>
          <w:color w:val="000000"/>
          <w:sz w:val="36"/>
          <w:szCs w:val="36"/>
          <w:lang w:val="en-US" w:eastAsia="zh-CN"/>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lang w:val="en-US" w:eastAsia="zh-CN"/>
        </w:rPr>
        <w:t>采购</w:t>
      </w:r>
      <w:r>
        <w:rPr>
          <w:rFonts w:hint="eastAsia" w:asciiTheme="majorEastAsia" w:hAnsiTheme="majorEastAsia" w:eastAsiaTheme="majorEastAsia" w:cstheme="majorEastAsia"/>
          <w:b/>
          <w:bCs/>
          <w:color w:val="000000"/>
          <w:sz w:val="36"/>
          <w:szCs w:val="36"/>
        </w:rPr>
        <w:t xml:space="preserve">编号： </w:t>
      </w:r>
      <w:r>
        <w:rPr>
          <w:rFonts w:hint="eastAsia" w:asciiTheme="majorEastAsia" w:hAnsiTheme="majorEastAsia" w:eastAsiaTheme="majorEastAsia" w:cstheme="majorEastAsia"/>
          <w:b/>
          <w:bCs/>
          <w:color w:val="000000"/>
          <w:sz w:val="36"/>
          <w:szCs w:val="36"/>
          <w:lang w:val="en-US" w:eastAsia="zh-CN"/>
        </w:rPr>
        <w:t>YZ</w:t>
      </w:r>
      <w:r>
        <w:rPr>
          <w:rFonts w:hint="eastAsia" w:asciiTheme="majorEastAsia" w:hAnsiTheme="majorEastAsia" w:eastAsiaTheme="majorEastAsia" w:cstheme="majorEastAsia"/>
          <w:b/>
          <w:bCs/>
          <w:color w:val="000000"/>
          <w:sz w:val="36"/>
          <w:szCs w:val="36"/>
        </w:rPr>
        <w:t>CG-G2020</w:t>
      </w:r>
      <w:r>
        <w:rPr>
          <w:rFonts w:hint="eastAsia" w:asciiTheme="majorEastAsia" w:hAnsiTheme="majorEastAsia" w:eastAsiaTheme="majorEastAsia" w:cstheme="majorEastAsia"/>
          <w:b/>
          <w:bCs/>
          <w:color w:val="000000"/>
          <w:sz w:val="36"/>
          <w:szCs w:val="36"/>
          <w:lang w:val="en-US" w:eastAsia="zh-CN"/>
        </w:rPr>
        <w:t>106</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采购单位：禹州市</w:t>
      </w:r>
      <w:r>
        <w:rPr>
          <w:rFonts w:hint="eastAsia" w:asciiTheme="majorEastAsia" w:hAnsiTheme="majorEastAsia" w:eastAsiaTheme="majorEastAsia" w:cstheme="majorEastAsia"/>
          <w:b/>
          <w:bCs/>
          <w:color w:val="000000"/>
          <w:sz w:val="36"/>
          <w:szCs w:val="36"/>
          <w:lang w:eastAsia="zh-CN"/>
        </w:rPr>
        <w:t>第三人民医院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val="en-US" w:eastAsia="zh-CN"/>
        </w:rPr>
        <w:t>禹州</w:t>
      </w:r>
      <w:r>
        <w:rPr>
          <w:rFonts w:hint="eastAsia" w:asciiTheme="majorEastAsia" w:hAnsiTheme="majorEastAsia" w:eastAsiaTheme="majorEastAsia" w:cstheme="majorEastAsia"/>
          <w:b/>
          <w:bCs/>
          <w:color w:val="000000"/>
          <w:sz w:val="36"/>
          <w:szCs w:val="36"/>
        </w:rPr>
        <w:t>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w:t>
      </w:r>
      <w:r>
        <w:rPr>
          <w:rFonts w:hint="eastAsia" w:asciiTheme="majorEastAsia" w:hAnsiTheme="majorEastAsia" w:eastAsiaTheme="majorEastAsia" w:cstheme="majorEastAsia"/>
          <w:b/>
          <w:bCs/>
          <w:color w:val="000000"/>
          <w:sz w:val="36"/>
          <w:szCs w:val="36"/>
          <w:lang w:eastAsia="zh-CN"/>
        </w:rPr>
        <w:t>六</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pPr>
        <w:pStyle w:val="2"/>
        <w:rPr>
          <w:rFonts w:hint="eastAsia"/>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420" w:firstLineChars="200"/>
        <w:jc w:val="left"/>
        <w:textAlignment w:val="auto"/>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禹州市政府采购中心受禹州</w:t>
      </w:r>
      <w:r>
        <w:rPr>
          <w:rFonts w:hint="eastAsia" w:cs="仿宋_GB2312" w:asciiTheme="minorEastAsia" w:hAnsiTheme="minorEastAsia"/>
          <w:color w:val="000000"/>
          <w:kern w:val="2"/>
          <w:sz w:val="21"/>
          <w:szCs w:val="21"/>
          <w:shd w:val="clear" w:color="auto" w:fill="FFFFFF"/>
          <w:lang w:val="en-US" w:eastAsia="zh-CN" w:bidi="ar-SA"/>
        </w:rPr>
        <w:t>市第三人民医院</w:t>
      </w:r>
      <w:r>
        <w:rPr>
          <w:rFonts w:hint="eastAsia" w:cs="仿宋_GB2312" w:asciiTheme="minorEastAsia" w:hAnsiTheme="minorEastAsia" w:eastAsiaTheme="minorEastAsia"/>
          <w:color w:val="000000"/>
          <w:kern w:val="2"/>
          <w:sz w:val="21"/>
          <w:szCs w:val="21"/>
          <w:shd w:val="clear" w:color="auto" w:fill="FFFFFF"/>
          <w:lang w:val="en-US" w:eastAsia="zh-CN" w:bidi="ar-SA"/>
        </w:rPr>
        <w:t>的委托，就“禹州市精</w:t>
      </w:r>
      <w:r>
        <w:rPr>
          <w:rFonts w:hint="eastAsia" w:cs="仿宋_GB2312" w:asciiTheme="minorEastAsia" w:hAnsiTheme="minorEastAsia"/>
          <w:color w:val="000000"/>
          <w:kern w:val="2"/>
          <w:sz w:val="21"/>
          <w:szCs w:val="21"/>
          <w:shd w:val="clear" w:color="auto" w:fill="FFFFFF"/>
          <w:lang w:val="en-US" w:eastAsia="zh-CN" w:bidi="ar-SA"/>
        </w:rPr>
        <w:t>神</w:t>
      </w:r>
      <w:r>
        <w:rPr>
          <w:rFonts w:hint="eastAsia" w:cs="仿宋_GB2312" w:asciiTheme="minorEastAsia" w:hAnsiTheme="minorEastAsia" w:eastAsiaTheme="minorEastAsia"/>
          <w:color w:val="000000"/>
          <w:kern w:val="2"/>
          <w:sz w:val="21"/>
          <w:szCs w:val="21"/>
          <w:shd w:val="clear" w:color="auto" w:fill="FFFFFF"/>
          <w:lang w:val="en-US" w:eastAsia="zh-CN" w:bidi="ar-SA"/>
        </w:rPr>
        <w:t>卫生康复中心所需信息化系统、医疗器械、后勤物资采购项目（不见面开标）”进行</w:t>
      </w:r>
      <w:r>
        <w:rPr>
          <w:rFonts w:hint="eastAsia" w:cs="仿宋_GB2312" w:asciiTheme="minorEastAsia" w:hAnsiTheme="minorEastAsia"/>
          <w:color w:val="000000"/>
          <w:kern w:val="2"/>
          <w:sz w:val="21"/>
          <w:szCs w:val="21"/>
          <w:shd w:val="clear" w:color="auto" w:fill="FFFFFF"/>
          <w:lang w:val="en-US" w:eastAsia="zh-CN" w:bidi="ar-SA"/>
        </w:rPr>
        <w:t>公开招标</w:t>
      </w:r>
      <w:r>
        <w:rPr>
          <w:rFonts w:hint="eastAsia" w:cs="仿宋_GB2312" w:asciiTheme="minorEastAsia" w:hAnsiTheme="minorEastAsia" w:eastAsiaTheme="minorEastAsia"/>
          <w:color w:val="000000"/>
          <w:kern w:val="2"/>
          <w:sz w:val="21"/>
          <w:szCs w:val="21"/>
          <w:shd w:val="clear" w:color="auto" w:fill="FFFFFF"/>
          <w:lang w:val="en-US" w:eastAsia="zh-CN" w:bidi="ar-SA"/>
        </w:rPr>
        <w:t>，欢迎合格的投标人前来投标。</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400" w:lineRule="exact"/>
        <w:ind w:firstLine="482"/>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color w:val="000000"/>
          <w:kern w:val="2"/>
          <w:sz w:val="21"/>
          <w:szCs w:val="21"/>
          <w:shd w:val="clear" w:color="auto" w:fill="FFFFFF"/>
          <w:lang w:val="en-US" w:eastAsia="zh-CN" w:bidi="ar-SA"/>
        </w:rPr>
        <w:t>1、</w:t>
      </w:r>
      <w:r>
        <w:rPr>
          <w:rFonts w:hint="eastAsia" w:cs="仿宋_GB2312" w:asciiTheme="minorEastAsia" w:hAnsiTheme="minorEastAsia" w:eastAsiaTheme="minorEastAsia"/>
          <w:color w:val="000000"/>
          <w:kern w:val="2"/>
          <w:sz w:val="21"/>
          <w:szCs w:val="21"/>
          <w:shd w:val="clear" w:color="auto" w:fill="FFFFFF"/>
          <w:lang w:val="en-US" w:eastAsia="zh-CN" w:bidi="ar-SA"/>
        </w:rPr>
        <w:t>采购人：禹州</w:t>
      </w:r>
      <w:r>
        <w:rPr>
          <w:rFonts w:hint="eastAsia" w:cs="仿宋_GB2312" w:asciiTheme="minorEastAsia" w:hAnsiTheme="minorEastAsia"/>
          <w:color w:val="000000"/>
          <w:kern w:val="2"/>
          <w:sz w:val="21"/>
          <w:szCs w:val="21"/>
          <w:shd w:val="clear" w:color="auto" w:fill="FFFFFF"/>
          <w:lang w:val="en-US" w:eastAsia="zh-CN" w:bidi="ar-SA"/>
        </w:rPr>
        <w:t>市第三人民医院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420" w:firstLineChars="200"/>
        <w:jc w:val="left"/>
        <w:textAlignment w:val="auto"/>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2、项目名称：禹州市精</w:t>
      </w:r>
      <w:r>
        <w:rPr>
          <w:rFonts w:hint="eastAsia" w:cs="仿宋_GB2312" w:asciiTheme="minorEastAsia" w:hAnsiTheme="minorEastAsia"/>
          <w:color w:val="000000"/>
          <w:kern w:val="2"/>
          <w:sz w:val="21"/>
          <w:szCs w:val="21"/>
          <w:shd w:val="clear" w:color="auto" w:fill="FFFFFF"/>
          <w:lang w:val="en-US" w:eastAsia="zh-CN" w:bidi="ar-SA"/>
        </w:rPr>
        <w:t>神</w:t>
      </w:r>
      <w:r>
        <w:rPr>
          <w:rFonts w:hint="eastAsia" w:cs="仿宋_GB2312" w:asciiTheme="minorEastAsia" w:hAnsiTheme="minorEastAsia" w:eastAsiaTheme="minorEastAsia"/>
          <w:color w:val="000000"/>
          <w:kern w:val="2"/>
          <w:sz w:val="21"/>
          <w:szCs w:val="21"/>
          <w:shd w:val="clear" w:color="auto" w:fill="FFFFFF"/>
          <w:lang w:val="en-US" w:eastAsia="zh-CN" w:bidi="ar-SA"/>
        </w:rPr>
        <w:t>卫生康复中心所需信息化系统、医疗器械、后勤物资采购项目（不见面开标）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420" w:firstLineChars="200"/>
        <w:jc w:val="left"/>
        <w:textAlignment w:val="auto"/>
        <w:rPr>
          <w:rFonts w:hint="default"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3、采购编号：YZCG-</w:t>
      </w:r>
      <w:r>
        <w:rPr>
          <w:rFonts w:hint="eastAsia" w:cs="仿宋_GB2312" w:asciiTheme="minorEastAsia" w:hAnsiTheme="minorEastAsia"/>
          <w:color w:val="000000"/>
          <w:kern w:val="2"/>
          <w:sz w:val="21"/>
          <w:szCs w:val="21"/>
          <w:shd w:val="clear" w:color="auto" w:fill="FFFFFF"/>
          <w:lang w:val="en-US" w:eastAsia="zh-CN" w:bidi="ar-SA"/>
        </w:rPr>
        <w:t>G</w:t>
      </w:r>
      <w:r>
        <w:rPr>
          <w:rFonts w:hint="eastAsia" w:cs="仿宋_GB2312" w:asciiTheme="minorEastAsia" w:hAnsiTheme="minorEastAsia" w:eastAsiaTheme="minorEastAsia"/>
          <w:color w:val="000000"/>
          <w:kern w:val="2"/>
          <w:sz w:val="21"/>
          <w:szCs w:val="21"/>
          <w:shd w:val="clear" w:color="auto" w:fill="FFFFFF"/>
          <w:lang w:val="en-US" w:eastAsia="zh-CN" w:bidi="ar-SA"/>
        </w:rPr>
        <w:t>2020</w:t>
      </w:r>
      <w:r>
        <w:rPr>
          <w:rFonts w:hint="eastAsia" w:cs="仿宋_GB2312" w:asciiTheme="minorEastAsia" w:hAnsiTheme="minorEastAsia"/>
          <w:color w:val="000000"/>
          <w:kern w:val="2"/>
          <w:sz w:val="21"/>
          <w:szCs w:val="21"/>
          <w:shd w:val="clear" w:color="auto" w:fill="FFFFFF"/>
          <w:lang w:val="en-US" w:eastAsia="zh-CN" w:bidi="ar-SA"/>
        </w:rPr>
        <w:t>106</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420" w:firstLineChars="200"/>
        <w:jc w:val="left"/>
        <w:textAlignment w:val="auto"/>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4、项目需求：</w:t>
      </w:r>
      <w:r>
        <w:rPr>
          <w:rFonts w:hint="eastAsia" w:cs="仿宋_GB2312" w:asciiTheme="minorEastAsia" w:hAnsiTheme="minorEastAsia"/>
          <w:color w:val="000000"/>
          <w:kern w:val="2"/>
          <w:sz w:val="21"/>
          <w:szCs w:val="21"/>
          <w:shd w:val="clear" w:color="auto" w:fill="FFFFFF"/>
          <w:lang w:val="en-US" w:eastAsia="zh-CN" w:bidi="ar-SA"/>
        </w:rPr>
        <w:t>本项目分四个标段，第一标段医疗器械一批，第二标段信息化系统 ，第三标段后勤产品，第四标段病号服装等一批（</w:t>
      </w:r>
      <w:r>
        <w:rPr>
          <w:rFonts w:hint="eastAsia" w:cs="仿宋_GB2312" w:asciiTheme="minorEastAsia" w:hAnsiTheme="minorEastAsia" w:eastAsiaTheme="minorEastAsia"/>
          <w:color w:val="000000"/>
          <w:kern w:val="2"/>
          <w:sz w:val="21"/>
          <w:szCs w:val="21"/>
          <w:shd w:val="clear" w:color="auto" w:fill="FFFFFF"/>
          <w:lang w:val="en-US" w:eastAsia="zh-CN" w:bidi="ar-SA"/>
        </w:rPr>
        <w:t>详见</w:t>
      </w:r>
      <w:r>
        <w:rPr>
          <w:rFonts w:hint="eastAsia" w:cs="仿宋_GB2312" w:asciiTheme="minorEastAsia" w:hAnsiTheme="minorEastAsia"/>
          <w:color w:val="000000"/>
          <w:kern w:val="2"/>
          <w:sz w:val="21"/>
          <w:szCs w:val="21"/>
          <w:shd w:val="clear" w:color="auto" w:fill="FFFFFF"/>
          <w:lang w:val="en-US" w:eastAsia="zh-CN" w:bidi="ar-SA"/>
        </w:rPr>
        <w:t>招标</w:t>
      </w:r>
      <w:r>
        <w:rPr>
          <w:rFonts w:hint="eastAsia" w:cs="仿宋_GB2312" w:asciiTheme="minorEastAsia" w:hAnsiTheme="minorEastAsia" w:eastAsiaTheme="minorEastAsia"/>
          <w:color w:val="000000"/>
          <w:kern w:val="2"/>
          <w:sz w:val="21"/>
          <w:szCs w:val="21"/>
          <w:shd w:val="clear" w:color="auto" w:fill="FFFFFF"/>
          <w:lang w:val="en-US" w:eastAsia="zh-CN" w:bidi="ar-SA"/>
        </w:rPr>
        <w:t>文件）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420" w:firstLineChars="200"/>
        <w:jc w:val="left"/>
        <w:textAlignment w:val="auto"/>
        <w:rPr>
          <w:rFonts w:hint="eastAsia" w:cs="仿宋_GB2312" w:asciiTheme="minorEastAsia" w:hAnsi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5、采购预算：</w:t>
      </w:r>
      <w:r>
        <w:rPr>
          <w:rFonts w:hint="eastAsia" w:cs="仿宋_GB2312" w:asciiTheme="minorEastAsia" w:hAnsiTheme="minorEastAsia"/>
          <w:color w:val="000000"/>
          <w:kern w:val="2"/>
          <w:sz w:val="21"/>
          <w:szCs w:val="21"/>
          <w:shd w:val="clear" w:color="auto" w:fill="FFFFFF"/>
          <w:lang w:val="en-US" w:eastAsia="zh-CN" w:bidi="ar-SA"/>
        </w:rPr>
        <w:t>第一标段 186.32万元，第二标段99万元，第三标段69.562万元，第四标段23.985万元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420" w:firstLineChars="200"/>
        <w:jc w:val="left"/>
        <w:textAlignment w:val="auto"/>
        <w:rPr>
          <w:rFonts w:hint="default"/>
          <w:lang w:val="en-US" w:eastAsia="zh-CN"/>
        </w:rPr>
      </w:pPr>
      <w:r>
        <w:rPr>
          <w:rFonts w:hint="eastAsia" w:cs="仿宋_GB2312" w:asciiTheme="minorEastAsia" w:hAnsiTheme="minorEastAsia"/>
          <w:color w:val="000000"/>
          <w:kern w:val="2"/>
          <w:sz w:val="21"/>
          <w:szCs w:val="21"/>
          <w:shd w:val="clear" w:color="auto" w:fill="FFFFFF"/>
          <w:lang w:val="en-US" w:eastAsia="zh-CN" w:bidi="ar-SA"/>
        </w:rPr>
        <w:t>6、最高限价：第一标段 186.32万元，第二标段99万元，第三标段69.562万元，第四标段23.985万元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13" w:firstLineChars="147"/>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本项目落实节约能源、保护环境、扶持不发达地区和少数民族地区、促进中小企业、监狱企业发展等政府采购政策。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281" w:firstLineChars="100"/>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eastAsia="zh-CN"/>
        </w:rPr>
        <w:t>三、（一）第一标段</w:t>
      </w:r>
      <w:r>
        <w:rPr>
          <w:rFonts w:hint="eastAsia" w:ascii="仿宋" w:hAnsi="仿宋" w:eastAsia="仿宋" w:cs="仿宋"/>
          <w:b/>
          <w:color w:val="000000"/>
          <w:kern w:val="0"/>
          <w:sz w:val="28"/>
          <w:szCs w:val="28"/>
        </w:rPr>
        <w:t>供应商资格要求</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firstLine="420" w:firstLineChars="200"/>
        <w:jc w:val="left"/>
        <w:textAlignment w:val="auto"/>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符合《政府采购法》第二十二条之规定，具有独立法人资格</w:t>
      </w:r>
      <w:r>
        <w:rPr>
          <w:rFonts w:hint="eastAsia" w:cs="仿宋_GB2312" w:asciiTheme="minorEastAsia" w:hAnsiTheme="minorEastAsia"/>
          <w:color w:val="000000"/>
          <w:kern w:val="2"/>
          <w:sz w:val="21"/>
          <w:szCs w:val="21"/>
          <w:shd w:val="clear" w:color="auto" w:fill="FFFFFF"/>
          <w:lang w:val="en-US" w:eastAsia="zh-CN" w:bidi="ar-SA"/>
        </w:rPr>
        <w:t>且具</w:t>
      </w:r>
      <w:r>
        <w:rPr>
          <w:rFonts w:hint="eastAsia" w:cs="仿宋_GB2312" w:asciiTheme="minorEastAsia" w:hAnsiTheme="minorEastAsia" w:eastAsiaTheme="minorEastAsia"/>
          <w:color w:val="000000"/>
          <w:kern w:val="2"/>
          <w:sz w:val="21"/>
          <w:szCs w:val="21"/>
          <w:shd w:val="clear" w:color="auto" w:fill="FFFFFF"/>
          <w:lang w:val="en-US" w:eastAsia="zh-CN" w:bidi="ar-SA"/>
        </w:rPr>
        <w:t>有相应的经营范围（以营业执照为准）；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default"/>
          <w:lang w:val="en-US" w:eastAsia="zh-CN"/>
        </w:rPr>
      </w:pPr>
      <w:r>
        <w:rPr>
          <w:rFonts w:hint="eastAsia" w:cs="仿宋_GB2312" w:asciiTheme="minorEastAsia" w:hAnsiTheme="minorEastAsia"/>
          <w:color w:val="000000"/>
          <w:kern w:val="2"/>
          <w:sz w:val="21"/>
          <w:szCs w:val="21"/>
          <w:shd w:val="clear" w:color="auto" w:fill="FFFFFF"/>
          <w:lang w:val="en-US" w:eastAsia="zh-CN" w:bidi="ar-SA"/>
        </w:rPr>
        <w:t>2.投标人须具有《医疗器械生产许可证》或《医疗器械经营许可证》；</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color w:val="000000"/>
          <w:kern w:val="2"/>
          <w:sz w:val="21"/>
          <w:szCs w:val="21"/>
          <w:shd w:val="clear" w:color="auto" w:fill="FFFFFF"/>
          <w:lang w:val="en-US" w:eastAsia="zh-CN" w:bidi="ar-SA"/>
        </w:rPr>
        <w:t>3、</w:t>
      </w:r>
      <w:r>
        <w:rPr>
          <w:rFonts w:hint="eastAsia" w:cs="仿宋_GB2312" w:asciiTheme="minorEastAsia" w:hAnsiTheme="minorEastAsia" w:eastAsiaTheme="minorEastAsia"/>
          <w:color w:val="000000"/>
          <w:kern w:val="2"/>
          <w:sz w:val="21"/>
          <w:szCs w:val="21"/>
          <w:shd w:val="clear" w:color="auto" w:fill="FFFFFF"/>
          <w:lang w:val="en-US" w:eastAsia="zh-CN" w:bidi="ar-SA"/>
        </w:rPr>
        <w:t>被委托人须是本单位职工，须提供公司为本人缴纳社会保险证明；</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color w:val="000000"/>
          <w:kern w:val="2"/>
          <w:sz w:val="21"/>
          <w:szCs w:val="21"/>
          <w:shd w:val="clear" w:color="auto" w:fill="FFFFFF"/>
          <w:lang w:val="en-US" w:eastAsia="zh-CN" w:bidi="ar-SA"/>
        </w:rPr>
        <w:t>3</w:t>
      </w:r>
      <w:r>
        <w:rPr>
          <w:rFonts w:hint="eastAsia" w:cs="仿宋_GB2312" w:asciiTheme="minorEastAsia" w:hAnsiTheme="minorEastAsia" w:eastAsiaTheme="minorEastAsia"/>
          <w:color w:val="000000"/>
          <w:kern w:val="2"/>
          <w:sz w:val="21"/>
          <w:szCs w:val="21"/>
          <w:shd w:val="clear" w:color="auto" w:fill="FFFFFF"/>
          <w:lang w:val="en-US" w:eastAsia="zh-CN" w:bidi="ar-SA"/>
        </w:rPr>
        <w:t>、本项目不接受联合体投标。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281" w:firstLineChars="100"/>
        <w:jc w:val="left"/>
        <w:textAlignment w:val="auto"/>
        <w:rPr>
          <w:rFonts w:hint="eastAsia"/>
          <w:lang w:eastAsia="zh-CN"/>
        </w:rPr>
      </w:pPr>
      <w:r>
        <w:rPr>
          <w:rFonts w:hint="eastAsia" w:ascii="仿宋" w:hAnsi="仿宋" w:eastAsia="仿宋" w:cs="仿宋"/>
          <w:b/>
          <w:color w:val="000000"/>
          <w:kern w:val="0"/>
          <w:sz w:val="28"/>
          <w:szCs w:val="28"/>
          <w:lang w:eastAsia="zh-CN"/>
        </w:rPr>
        <w:t>（二）第二、三、四标段</w:t>
      </w:r>
      <w:r>
        <w:rPr>
          <w:rFonts w:hint="eastAsia" w:ascii="仿宋" w:hAnsi="仿宋" w:eastAsia="仿宋" w:cs="仿宋"/>
          <w:b/>
          <w:color w:val="000000"/>
          <w:kern w:val="0"/>
          <w:sz w:val="28"/>
          <w:szCs w:val="28"/>
        </w:rPr>
        <w:t>供应商资格要求</w:t>
      </w:r>
      <w:r>
        <w:rPr>
          <w:rFonts w:hint="eastAsia" w:ascii="仿宋" w:hAnsi="仿宋" w:eastAsia="仿宋" w:cs="仿宋"/>
          <w:b/>
          <w:color w:val="000000"/>
          <w:kern w:val="0"/>
          <w:sz w:val="28"/>
          <w:szCs w:val="28"/>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420" w:firstLineChars="200"/>
        <w:jc w:val="left"/>
        <w:textAlignment w:val="auto"/>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color w:val="000000"/>
          <w:kern w:val="2"/>
          <w:sz w:val="21"/>
          <w:szCs w:val="21"/>
          <w:shd w:val="clear" w:color="auto" w:fill="FFFFFF"/>
          <w:lang w:val="en-US" w:eastAsia="zh-CN" w:bidi="ar-SA"/>
        </w:rPr>
        <w:t>1、</w:t>
      </w:r>
      <w:r>
        <w:rPr>
          <w:rFonts w:hint="eastAsia" w:cs="仿宋_GB2312" w:asciiTheme="minorEastAsia" w:hAnsiTheme="minorEastAsia" w:eastAsiaTheme="minorEastAsia"/>
          <w:color w:val="000000"/>
          <w:kern w:val="2"/>
          <w:sz w:val="21"/>
          <w:szCs w:val="21"/>
          <w:shd w:val="clear" w:color="auto" w:fill="FFFFFF"/>
          <w:lang w:val="en-US" w:eastAsia="zh-CN" w:bidi="ar-SA"/>
        </w:rPr>
        <w:t>符合《政府采购法》第二十二条之规定，具有独立法人资格</w:t>
      </w:r>
      <w:r>
        <w:rPr>
          <w:rFonts w:hint="eastAsia" w:cs="仿宋_GB2312" w:asciiTheme="minorEastAsia" w:hAnsiTheme="minorEastAsia"/>
          <w:color w:val="000000"/>
          <w:kern w:val="2"/>
          <w:sz w:val="21"/>
          <w:szCs w:val="21"/>
          <w:shd w:val="clear" w:color="auto" w:fill="FFFFFF"/>
          <w:lang w:val="en-US" w:eastAsia="zh-CN" w:bidi="ar-SA"/>
        </w:rPr>
        <w:t>且具</w:t>
      </w:r>
      <w:r>
        <w:rPr>
          <w:rFonts w:hint="eastAsia" w:cs="仿宋_GB2312" w:asciiTheme="minorEastAsia" w:hAnsiTheme="minorEastAsia" w:eastAsiaTheme="minorEastAsia"/>
          <w:color w:val="000000"/>
          <w:kern w:val="2"/>
          <w:sz w:val="21"/>
          <w:szCs w:val="21"/>
          <w:shd w:val="clear" w:color="auto" w:fill="FFFFFF"/>
          <w:lang w:val="en-US" w:eastAsia="zh-CN" w:bidi="ar-SA"/>
        </w:rPr>
        <w:t>有相应的经营范围（以营业执照为准）；</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color w:val="000000"/>
          <w:kern w:val="2"/>
          <w:sz w:val="21"/>
          <w:szCs w:val="21"/>
          <w:shd w:val="clear" w:color="auto" w:fill="FFFFFF"/>
          <w:lang w:val="en-US" w:eastAsia="zh-CN" w:bidi="ar-SA"/>
        </w:rPr>
        <w:t>2、</w:t>
      </w:r>
      <w:r>
        <w:rPr>
          <w:rFonts w:hint="eastAsia" w:cs="仿宋_GB2312" w:asciiTheme="minorEastAsia" w:hAnsiTheme="minorEastAsia" w:eastAsiaTheme="minorEastAsia"/>
          <w:color w:val="000000"/>
          <w:kern w:val="2"/>
          <w:sz w:val="21"/>
          <w:szCs w:val="21"/>
          <w:shd w:val="clear" w:color="auto" w:fill="FFFFFF"/>
          <w:lang w:val="en-US" w:eastAsia="zh-CN" w:bidi="ar-SA"/>
        </w:rPr>
        <w:t>被委托人须是本单位职工，须提供公司为本人缴纳社会保险证明；</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cs="仿宋_GB2312" w:asciiTheme="minorEastAsia" w:hAnsiTheme="minorEastAsia"/>
          <w:color w:val="000000"/>
          <w:kern w:val="2"/>
          <w:sz w:val="21"/>
          <w:szCs w:val="21"/>
          <w:shd w:val="clear" w:color="auto" w:fill="FFFFFF"/>
          <w:lang w:val="en-US" w:eastAsia="zh-CN" w:bidi="ar-SA"/>
        </w:rPr>
        <w:t>3</w:t>
      </w:r>
      <w:r>
        <w:rPr>
          <w:rFonts w:hint="eastAsia" w:cs="仿宋_GB2312" w:asciiTheme="minorEastAsia" w:hAnsiTheme="minorEastAsia" w:eastAsiaTheme="minorEastAsia"/>
          <w:color w:val="000000"/>
          <w:kern w:val="2"/>
          <w:sz w:val="21"/>
          <w:szCs w:val="21"/>
          <w:shd w:val="clear" w:color="auto" w:fill="FFFFFF"/>
          <w:lang w:val="en-US" w:eastAsia="zh-CN" w:bidi="ar-SA"/>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四、获取</w:t>
      </w:r>
      <w:r>
        <w:rPr>
          <w:rFonts w:hint="eastAsia" w:ascii="仿宋" w:hAnsi="仿宋" w:eastAsia="仿宋" w:cs="仿宋"/>
          <w:b/>
          <w:color w:val="000000"/>
          <w:kern w:val="0"/>
          <w:sz w:val="28"/>
          <w:szCs w:val="28"/>
          <w:lang w:eastAsia="zh-CN"/>
        </w:rPr>
        <w:t>招标</w:t>
      </w:r>
      <w:r>
        <w:rPr>
          <w:rFonts w:hint="eastAsia" w:ascii="仿宋" w:hAnsi="仿宋" w:eastAsia="仿宋" w:cs="仿宋"/>
          <w:b/>
          <w:color w:val="000000"/>
          <w:kern w:val="0"/>
          <w:sz w:val="28"/>
          <w:szCs w:val="28"/>
        </w:rPr>
        <w:t>文件的方式</w:t>
      </w:r>
    </w:p>
    <w:p>
      <w:pPr>
        <w:pStyle w:val="24"/>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contextualSpacing/>
        <w:jc w:val="left"/>
        <w:textAlignment w:val="auto"/>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rPr>
          <w:rFonts w:hint="eastAsia" w:cs="仿宋_GB2312" w:asciiTheme="minorEastAsia" w:hAnsiTheme="minorEastAsia" w:eastAsiaTheme="minorEastAsia"/>
          <w:color w:val="000000"/>
          <w:sz w:val="21"/>
          <w:szCs w:val="21"/>
          <w:shd w:val="clear" w:color="auto" w:fill="FFFFFF"/>
        </w:rPr>
        <w:fldChar w:fldCharType="begin"/>
      </w:r>
      <w:r>
        <w:rPr>
          <w:rFonts w:hint="eastAsia" w:cs="仿宋_GB2312" w:asciiTheme="minorEastAsia" w:hAnsiTheme="minorEastAsia" w:eastAsiaTheme="minorEastAsia"/>
          <w:color w:val="000000"/>
          <w:sz w:val="21"/>
          <w:szCs w:val="21"/>
          <w:shd w:val="clear" w:color="auto" w:fill="FFFFFF"/>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cs="仿宋_GB2312" w:asciiTheme="minorEastAsia" w:hAnsiTheme="minorEastAsia" w:eastAsiaTheme="minorEastAsia"/>
          <w:color w:val="000000"/>
          <w:sz w:val="21"/>
          <w:szCs w:val="21"/>
          <w:shd w:val="clear" w:color="auto" w:fill="FFFFFF"/>
        </w:rPr>
        <w:fldChar w:fldCharType="separate"/>
      </w:r>
      <w:r>
        <w:rPr>
          <w:rStyle w:val="31"/>
          <w:rFonts w:hint="eastAsia" w:cs="仿宋_GB2312" w:asciiTheme="minorEastAsia" w:hAnsiTheme="minorEastAsia" w:eastAsiaTheme="minorEastAsia"/>
          <w:color w:val="000000"/>
          <w:sz w:val="21"/>
          <w:szCs w:val="21"/>
          <w:shd w:val="clear" w:color="auto" w:fill="FFFFFF"/>
        </w:rPr>
        <w:t>http://</w:t>
      </w:r>
      <w:r>
        <w:rPr>
          <w:rStyle w:val="31"/>
          <w:rFonts w:cs="仿宋_GB2312" w:asciiTheme="minorEastAsia" w:hAnsiTheme="minorEastAsia" w:eastAsiaTheme="minorEastAsia"/>
          <w:color w:val="000000"/>
          <w:sz w:val="21"/>
          <w:szCs w:val="21"/>
          <w:shd w:val="clear" w:color="auto" w:fill="FFFFFF"/>
        </w:rPr>
        <w:t>ggzy.xuchang.gov.cn:8088/ggzy/eps/public/RegistAllJcxx.html</w:t>
      </w:r>
      <w:r>
        <w:rPr>
          <w:rStyle w:val="31"/>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4"/>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contextualSpacing/>
        <w:jc w:val="left"/>
        <w:textAlignment w:val="auto"/>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w:t>
      </w:r>
      <w:r>
        <w:rPr>
          <w:rFonts w:hint="eastAsia" w:cs="仿宋_GB2312" w:asciiTheme="minorEastAsia" w:hAnsiTheme="minorEastAsia" w:eastAsiaTheme="minorEastAsia"/>
          <w:color w:val="000000"/>
          <w:sz w:val="21"/>
          <w:szCs w:val="21"/>
          <w:shd w:val="clear" w:color="auto" w:fill="FFFFFF"/>
          <w:lang w:eastAsia="zh-CN"/>
        </w:rPr>
        <w:t>招标</w:t>
      </w:r>
      <w:r>
        <w:rPr>
          <w:rFonts w:hint="eastAsia" w:cs="仿宋_GB2312" w:asciiTheme="minorEastAsia" w:hAnsiTheme="minorEastAsia" w:eastAsiaTheme="minorEastAsia"/>
          <w:color w:val="000000"/>
          <w:sz w:val="21"/>
          <w:szCs w:val="21"/>
          <w:shd w:val="clear" w:color="auto" w:fill="FFFFFF"/>
        </w:rPr>
        <w:t>截止时间前均可登录《全国公共资源交易平台（河南省·许昌市）》“投标人/供应商登录”入口</w:t>
      </w:r>
      <w:r>
        <w:rPr>
          <w:rFonts w:hint="eastAsia" w:cs="仿宋_GB2312" w:asciiTheme="minorEastAsia" w:hAnsiTheme="minorEastAsia" w:eastAsiaTheme="minorEastAsia"/>
          <w:color w:val="000000"/>
          <w:sz w:val="21"/>
          <w:szCs w:val="21"/>
          <w:shd w:val="clear" w:color="auto" w:fill="FFFFFF"/>
        </w:rPr>
        <w:fldChar w:fldCharType="begin"/>
      </w:r>
      <w:r>
        <w:rPr>
          <w:rFonts w:hint="eastAsia" w:cs="仿宋_GB2312" w:asciiTheme="minorEastAsia" w:hAnsiTheme="minorEastAsia" w:eastAsiaTheme="minorEastAsia"/>
          <w:color w:val="000000"/>
          <w:sz w:val="21"/>
          <w:szCs w:val="21"/>
          <w:shd w:val="clear" w:color="auto" w:fill="FFFFFF"/>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cs="仿宋_GB2312" w:asciiTheme="minorEastAsia" w:hAnsiTheme="minorEastAsia" w:eastAsiaTheme="minorEastAsia"/>
          <w:color w:val="000000"/>
          <w:sz w:val="21"/>
          <w:szCs w:val="21"/>
          <w:shd w:val="clear" w:color="auto" w:fill="FFFFFF"/>
        </w:rPr>
        <w:fldChar w:fldCharType="separate"/>
      </w:r>
      <w:r>
        <w:rPr>
          <w:rStyle w:val="31"/>
          <w:rFonts w:hint="eastAsia" w:cs="仿宋_GB2312" w:asciiTheme="minorEastAsia" w:hAnsiTheme="minorEastAsia" w:eastAsiaTheme="minorEastAsia"/>
          <w:color w:val="000000"/>
          <w:sz w:val="21"/>
          <w:szCs w:val="21"/>
          <w:shd w:val="clear" w:color="auto" w:fill="FFFFFF"/>
        </w:rPr>
        <w:t>（http://</w:t>
      </w:r>
      <w:r>
        <w:rPr>
          <w:rStyle w:val="31"/>
          <w:rFonts w:cs="仿宋_GB2312" w:asciiTheme="minorEastAsia" w:hAnsiTheme="minorEastAsia" w:eastAsiaTheme="minorEastAsia"/>
          <w:color w:val="000000"/>
          <w:sz w:val="21"/>
          <w:szCs w:val="21"/>
          <w:shd w:val="clear" w:color="auto" w:fill="FFFFFF"/>
        </w:rPr>
        <w:t>ggzy.xuchang.gov.cn:8088/ggzy/</w:t>
      </w:r>
      <w:r>
        <w:rPr>
          <w:rStyle w:val="31"/>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w:t>
      </w:r>
      <w:r>
        <w:rPr>
          <w:rFonts w:hint="eastAsia" w:cs="仿宋_GB2312" w:asciiTheme="minorEastAsia" w:hAnsiTheme="minorEastAsia" w:eastAsiaTheme="minorEastAsia"/>
          <w:color w:val="000000"/>
          <w:sz w:val="21"/>
          <w:szCs w:val="21"/>
          <w:shd w:val="clear" w:color="auto" w:fill="FFFFFF"/>
          <w:lang w:eastAsia="zh-CN"/>
        </w:rPr>
        <w:t>招标</w:t>
      </w:r>
      <w:r>
        <w:rPr>
          <w:rFonts w:hint="eastAsia" w:cs="仿宋_GB2312" w:asciiTheme="minorEastAsia" w:hAnsiTheme="minorEastAsia" w:eastAsiaTheme="minorEastAsia"/>
          <w:color w:val="000000"/>
          <w:sz w:val="21"/>
          <w:szCs w:val="21"/>
          <w:shd w:val="clear" w:color="auto" w:fill="FFFFFF"/>
        </w:rPr>
        <w:t>文件（详见“常见问题解答-交易系统操作手册”）。</w:t>
      </w:r>
    </w:p>
    <w:p>
      <w:pPr>
        <w:keepNext w:val="0"/>
        <w:keepLines w:val="0"/>
        <w:pageBreakBefore w:val="0"/>
        <w:kinsoku/>
        <w:wordWrap/>
        <w:overflowPunct/>
        <w:topLinePunct w:val="0"/>
        <w:autoSpaceDE/>
        <w:autoSpaceDN/>
        <w:bidi w:val="0"/>
        <w:adjustRightInd/>
        <w:snapToGrid/>
        <w:spacing w:line="400" w:lineRule="exact"/>
        <w:ind w:firstLine="640"/>
        <w:textAlignment w:val="auto"/>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3、</w:t>
      </w:r>
      <w:r>
        <w:rPr>
          <w:rFonts w:hint="eastAsia" w:cs="仿宋_GB2312" w:asciiTheme="minorEastAsia" w:hAnsiTheme="minorEastAsia"/>
          <w:color w:val="000000"/>
          <w:kern w:val="2"/>
          <w:sz w:val="21"/>
          <w:szCs w:val="21"/>
          <w:shd w:val="clear" w:color="auto" w:fill="FFFFFF"/>
          <w:lang w:val="en-US" w:eastAsia="zh-CN" w:bidi="ar-SA"/>
        </w:rPr>
        <w:t>招标</w:t>
      </w:r>
      <w:r>
        <w:rPr>
          <w:rFonts w:hint="eastAsia" w:cs="仿宋_GB2312" w:asciiTheme="minorEastAsia" w:hAnsiTheme="minorEastAsia" w:eastAsiaTheme="minorEastAsia"/>
          <w:color w:val="000000"/>
          <w:kern w:val="2"/>
          <w:sz w:val="21"/>
          <w:szCs w:val="21"/>
          <w:shd w:val="clear" w:color="auto" w:fill="FFFFFF"/>
          <w:lang w:val="en-US" w:eastAsia="zh-CN" w:bidi="ar-SA"/>
        </w:rPr>
        <w:t>文件每</w:t>
      </w:r>
      <w:r>
        <w:rPr>
          <w:rFonts w:hint="eastAsia" w:cs="仿宋_GB2312" w:asciiTheme="minorEastAsia" w:hAnsiTheme="minorEastAsia"/>
          <w:color w:val="000000"/>
          <w:kern w:val="2"/>
          <w:sz w:val="21"/>
          <w:szCs w:val="21"/>
          <w:shd w:val="clear" w:color="auto" w:fill="FFFFFF"/>
          <w:lang w:val="en-US" w:eastAsia="zh-CN" w:bidi="ar-SA"/>
        </w:rPr>
        <w:t>个标段</w:t>
      </w:r>
      <w:r>
        <w:rPr>
          <w:rFonts w:hint="eastAsia" w:cs="仿宋_GB2312" w:asciiTheme="minorEastAsia" w:hAnsiTheme="minorEastAsia" w:eastAsiaTheme="minorEastAsia"/>
          <w:color w:val="000000"/>
          <w:kern w:val="2"/>
          <w:sz w:val="21"/>
          <w:szCs w:val="21"/>
          <w:shd w:val="clear" w:color="auto" w:fill="FFFFFF"/>
          <w:lang w:val="en-US" w:eastAsia="zh-CN" w:bidi="ar-SA"/>
        </w:rPr>
        <w:t>售价人民币</w:t>
      </w:r>
      <w:r>
        <w:rPr>
          <w:rFonts w:hint="eastAsia" w:cs="仿宋_GB2312" w:asciiTheme="minorEastAsia" w:hAnsiTheme="minorEastAsia"/>
          <w:color w:val="000000"/>
          <w:kern w:val="2"/>
          <w:sz w:val="21"/>
          <w:szCs w:val="21"/>
          <w:shd w:val="clear" w:color="auto" w:fill="FFFFFF"/>
          <w:lang w:val="en-US" w:eastAsia="zh-CN" w:bidi="ar-SA"/>
        </w:rPr>
        <w:t>5</w:t>
      </w:r>
      <w:r>
        <w:rPr>
          <w:rFonts w:hint="eastAsia" w:cs="仿宋_GB2312" w:asciiTheme="minorEastAsia" w:hAnsiTheme="minorEastAsia" w:eastAsiaTheme="minorEastAsia"/>
          <w:color w:val="000000"/>
          <w:kern w:val="2"/>
          <w:sz w:val="21"/>
          <w:szCs w:val="21"/>
          <w:shd w:val="clear" w:color="auto" w:fill="FFFFFF"/>
          <w:lang w:val="en-US" w:eastAsia="zh-CN" w:bidi="ar-SA"/>
        </w:rPr>
        <w:t>00元，售后不退。</w:t>
      </w:r>
    </w:p>
    <w:p>
      <w:pPr>
        <w:pStyle w:val="24"/>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contextualSpacing/>
        <w:jc w:val="left"/>
        <w:textAlignment w:val="auto"/>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4"/>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contextualSpacing/>
        <w:jc w:val="left"/>
        <w:textAlignment w:val="auto"/>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（一）投标截止及开标时间：2020年</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4"/>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contextualSpacing/>
        <w:jc w:val="left"/>
        <w:textAlignment w:val="auto"/>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w:t>
      </w:r>
      <w:r>
        <w:rPr>
          <w:rFonts w:hint="eastAsia" w:cs="仿宋_GB2312" w:asciiTheme="minorEastAsia" w:hAnsiTheme="minorEastAsia" w:eastAsiaTheme="minorEastAsia"/>
          <w:color w:val="000000"/>
          <w:kern w:val="2"/>
          <w:sz w:val="21"/>
          <w:szCs w:val="21"/>
          <w:shd w:val="clear" w:color="auto" w:fill="FFFFFF"/>
          <w:lang w:val="en-US" w:eastAsia="zh-CN" w:bidi="ar-SA"/>
        </w:rPr>
        <w:t>禹州市公共资源交易中心九楼第二开标室。</w:t>
      </w:r>
      <w:r>
        <w:rPr>
          <w:rFonts w:hint="eastAsia" w:cs="仿宋_GB2312" w:asciiTheme="minorEastAsia" w:hAnsiTheme="minorEastAsia" w:eastAsiaTheme="minorEastAsia"/>
          <w:color w:val="000000"/>
          <w:sz w:val="21"/>
          <w:szCs w:val="21"/>
        </w:rPr>
        <w:t>（</w:t>
      </w:r>
      <w:r>
        <w:rPr>
          <w:rFonts w:hint="eastAsia" w:cs="Arial" w:asciiTheme="minorEastAsia" w:hAnsiTheme="minorEastAsia" w:eastAsiaTheme="minorEastAsia"/>
          <w:b/>
          <w:color w:val="FF0000"/>
          <w:sz w:val="21"/>
          <w:szCs w:val="21"/>
        </w:rPr>
        <w:t>本项目采用远程不见面开标，投标人无须到现场</w:t>
      </w:r>
      <w:r>
        <w:rPr>
          <w:rFonts w:hint="eastAsia" w:cs="Arial" w:asciiTheme="minorEastAsia" w:hAnsiTheme="minorEastAsia" w:eastAsiaTheme="minorEastAsia"/>
          <w:color w:val="000000"/>
          <w:sz w:val="21"/>
          <w:szCs w:val="21"/>
        </w:rPr>
        <w:t>）</w:t>
      </w:r>
      <w:r>
        <w:rPr>
          <w:rFonts w:hint="eastAsia" w:cs="仿宋_GB2312" w:asciiTheme="minorEastAsia" w:hAnsiTheme="minorEastAsia" w:eastAsiaTheme="minorEastAsia"/>
          <w:color w:val="000000"/>
          <w:sz w:val="21"/>
          <w:szCs w:val="21"/>
        </w:rPr>
        <w:t>。</w:t>
      </w:r>
    </w:p>
    <w:p>
      <w:pPr>
        <w:pStyle w:val="24"/>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contextualSpacing/>
        <w:jc w:val="left"/>
        <w:textAlignment w:val="auto"/>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w:t>
      </w:r>
    </w:p>
    <w:p>
      <w:pPr>
        <w:pStyle w:val="24"/>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contextualSpacing/>
        <w:jc w:val="left"/>
        <w:textAlignment w:val="auto"/>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4"/>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contextualSpacing/>
        <w:jc w:val="left"/>
        <w:textAlignment w:val="auto"/>
        <w:rPr>
          <w:rFonts w:cs="仿宋_GB2312" w:asciiTheme="minorEastAsia" w:hAnsiTheme="minorEastAsia" w:eastAsiaTheme="minorEastAsia"/>
          <w:color w:val="FF0000"/>
          <w:sz w:val="21"/>
          <w:szCs w:val="21"/>
        </w:rPr>
      </w:pPr>
      <w:r>
        <w:rPr>
          <w:rFonts w:hint="eastAsia" w:cs="仿宋_GB2312" w:asciiTheme="minorEastAsia" w:hAnsiTheme="minorEastAsia" w:eastAsiaTheme="minorEastAsia"/>
          <w:color w:val="FF0000"/>
          <w:sz w:val="21"/>
          <w:szCs w:val="21"/>
        </w:rPr>
        <w:t>2、开标时间前，投标人</w:t>
      </w:r>
      <w:r>
        <w:rPr>
          <w:rFonts w:hint="eastAsia" w:cs="仿宋_GB2312" w:asciiTheme="minorEastAsia" w:hAnsiTheme="minorEastAsia" w:eastAsiaTheme="minorEastAsia"/>
          <w:color w:val="FF0000"/>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Pr>
          <w:rFonts w:hint="eastAsia" w:cs="仿宋_GB2312" w:asciiTheme="minorEastAsia" w:hAnsiTheme="minorEastAsia" w:eastAsiaTheme="minorEastAsia"/>
          <w:color w:val="FF0000"/>
          <w:sz w:val="21"/>
          <w:szCs w:val="21"/>
        </w:rPr>
        <w:t>按照开标时间准时参加线上开标，进行远程解密、在线询问、电子签章等。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color w:val="000000"/>
          <w:kern w:val="2"/>
          <w:sz w:val="21"/>
          <w:szCs w:val="21"/>
          <w:shd w:val="clear" w:color="auto" w:fill="FFFFFF"/>
          <w:lang w:val="en-US" w:eastAsia="zh-CN" w:bidi="ar-SA"/>
        </w:rPr>
        <w:t>六</w:t>
      </w:r>
      <w:r>
        <w:rPr>
          <w:rFonts w:hint="eastAsia" w:cs="仿宋_GB2312" w:asciiTheme="minorEastAsia" w:hAnsiTheme="minorEastAsia" w:eastAsiaTheme="minorEastAsia"/>
          <w:color w:val="000000"/>
          <w:kern w:val="2"/>
          <w:sz w:val="21"/>
          <w:szCs w:val="21"/>
          <w:shd w:val="clear" w:color="auto" w:fill="FFFFFF"/>
          <w:lang w:val="en-US" w:eastAsia="zh-CN" w:bidi="ar-SA"/>
        </w:rPr>
        <w:t>、本次谈判公告同时在《中国政府采购网》、《河南省政府采购网》、《全国公共资源交易平台（河南省·许昌市）》发布等。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2" w:firstLineChars="200"/>
        <w:jc w:val="left"/>
        <w:textAlignment w:val="auto"/>
        <w:rPr>
          <w:rFonts w:hint="eastAsia" w:cs="仿宋_GB2312" w:asciiTheme="minorEastAsia" w:hAnsiTheme="minorEastAsia" w:eastAsiaTheme="minorEastAsia"/>
          <w:b/>
          <w:bCs/>
          <w:color w:val="000000"/>
          <w:kern w:val="2"/>
          <w:sz w:val="21"/>
          <w:szCs w:val="21"/>
          <w:shd w:val="clear" w:color="auto" w:fill="FFFFFF"/>
          <w:lang w:val="en-US" w:eastAsia="zh-CN" w:bidi="ar-SA"/>
        </w:rPr>
      </w:pPr>
      <w:r>
        <w:rPr>
          <w:rFonts w:hint="eastAsia" w:cs="仿宋_GB2312" w:asciiTheme="minorEastAsia" w:hAnsiTheme="minorEastAsia"/>
          <w:b/>
          <w:bCs/>
          <w:color w:val="000000"/>
          <w:kern w:val="2"/>
          <w:sz w:val="21"/>
          <w:szCs w:val="21"/>
          <w:shd w:val="clear" w:color="auto" w:fill="FFFFFF"/>
          <w:lang w:val="en-US" w:eastAsia="zh-CN" w:bidi="ar-SA"/>
        </w:rPr>
        <w:t>七</w:t>
      </w:r>
      <w:r>
        <w:rPr>
          <w:rFonts w:hint="eastAsia" w:cs="仿宋_GB2312" w:asciiTheme="minorEastAsia" w:hAnsiTheme="minorEastAsia" w:eastAsiaTheme="minorEastAsia"/>
          <w:b/>
          <w:bCs/>
          <w:color w:val="000000"/>
          <w:kern w:val="2"/>
          <w:sz w:val="21"/>
          <w:szCs w:val="21"/>
          <w:shd w:val="clear" w:color="auto" w:fill="FFFFFF"/>
          <w:lang w:val="en-US" w:eastAsia="zh-CN" w:bidi="ar-SA"/>
        </w:rPr>
        <w:t>、代理机构及采购单位地址、联系人、联系电话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41"/>
        <w:jc w:val="left"/>
        <w:textAlignment w:val="auto"/>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（一）代理机构：禹州市政府采购中心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41"/>
        <w:jc w:val="left"/>
        <w:textAlignment w:val="auto"/>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地址：禹州市行政服务中心楼917房间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41"/>
        <w:jc w:val="left"/>
        <w:textAlignment w:val="auto"/>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联系人：侯女士    联系电话：0374-2077111</w:t>
      </w:r>
    </w:p>
    <w:p>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line="400" w:lineRule="exact"/>
        <w:ind w:firstLine="641"/>
        <w:jc w:val="left"/>
        <w:textAlignment w:val="auto"/>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采购单位：</w:t>
      </w:r>
      <w:r>
        <w:rPr>
          <w:rFonts w:hint="eastAsia" w:cs="仿宋_GB2312" w:asciiTheme="minorEastAsia" w:hAnsiTheme="minorEastAsia"/>
          <w:color w:val="000000"/>
          <w:kern w:val="2"/>
          <w:sz w:val="21"/>
          <w:szCs w:val="21"/>
          <w:shd w:val="clear" w:color="auto" w:fill="FFFFFF"/>
          <w:lang w:val="en-US" w:eastAsia="zh-CN" w:bidi="ar-SA"/>
        </w:rPr>
        <w:t>禹州市第三人民医院</w:t>
      </w:r>
    </w:p>
    <w:p>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line="400" w:lineRule="exact"/>
        <w:ind w:firstLine="641"/>
        <w:jc w:val="left"/>
        <w:textAlignment w:val="auto"/>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地址</w:t>
      </w:r>
      <w:r>
        <w:rPr>
          <w:rFonts w:hint="eastAsia" w:cs="仿宋_GB2312" w:asciiTheme="minorEastAsia" w:hAnsiTheme="minorEastAsia"/>
          <w:color w:val="000000"/>
          <w:kern w:val="2"/>
          <w:sz w:val="21"/>
          <w:szCs w:val="21"/>
          <w:shd w:val="clear" w:color="auto" w:fill="FFFFFF"/>
          <w:lang w:val="en-US" w:eastAsia="zh-CN" w:bidi="ar-SA"/>
        </w:rPr>
        <w:t>：禹州市梁北镇三峰山</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1270" w:firstLineChars="605"/>
        <w:jc w:val="left"/>
        <w:textAlignment w:val="auto"/>
        <w:rPr>
          <w:rFonts w:hint="default"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联系人：</w:t>
      </w:r>
      <w:r>
        <w:rPr>
          <w:rFonts w:hint="eastAsia" w:cs="仿宋_GB2312" w:asciiTheme="minorEastAsia" w:hAnsiTheme="minorEastAsia"/>
          <w:color w:val="000000"/>
          <w:kern w:val="2"/>
          <w:sz w:val="21"/>
          <w:szCs w:val="21"/>
          <w:shd w:val="clear" w:color="auto" w:fill="FFFFFF"/>
          <w:lang w:val="en-US" w:eastAsia="zh-CN" w:bidi="ar-SA"/>
        </w:rPr>
        <w:t>张</w:t>
      </w:r>
      <w:r>
        <w:rPr>
          <w:rFonts w:hint="eastAsia" w:cs="仿宋_GB2312" w:asciiTheme="minorEastAsia" w:hAnsiTheme="minorEastAsia" w:eastAsiaTheme="minorEastAsia"/>
          <w:color w:val="000000"/>
          <w:kern w:val="2"/>
          <w:sz w:val="21"/>
          <w:szCs w:val="21"/>
          <w:shd w:val="clear" w:color="auto" w:fill="FFFFFF"/>
          <w:lang w:val="en-US" w:eastAsia="zh-CN" w:bidi="ar-SA"/>
        </w:rPr>
        <w:t>先生  联系电话：</w:t>
      </w:r>
      <w:r>
        <w:rPr>
          <w:rFonts w:hint="eastAsia" w:cs="仿宋_GB2312" w:asciiTheme="minorEastAsia" w:hAnsiTheme="minorEastAsia"/>
          <w:color w:val="000000"/>
          <w:kern w:val="2"/>
          <w:sz w:val="21"/>
          <w:szCs w:val="21"/>
          <w:shd w:val="clear" w:color="auto" w:fill="FFFFFF"/>
          <w:lang w:val="en-US" w:eastAsia="zh-CN" w:bidi="ar-SA"/>
        </w:rPr>
        <w:t>13782310843</w:t>
      </w:r>
    </w:p>
    <w:p>
      <w:pPr>
        <w:numPr>
          <w:ilvl w:val="0"/>
          <w:numId w:val="0"/>
        </w:numPr>
        <w:jc w:val="both"/>
        <w:rPr>
          <w:rFonts w:hint="eastAsia" w:cs="宋体" w:asciiTheme="majorEastAsia" w:hAnsiTheme="majorEastAsia" w:eastAsiaTheme="majorEastAsia"/>
          <w:b/>
          <w:kern w:val="0"/>
          <w:sz w:val="32"/>
          <w:szCs w:val="32"/>
        </w:rPr>
      </w:pPr>
    </w:p>
    <w:p>
      <w:pPr>
        <w:spacing w:line="360" w:lineRule="auto"/>
        <w:rPr>
          <w:rFonts w:hint="eastAsia" w:ascii="黑体" w:hAnsi="黑体" w:eastAsia="黑体" w:cs="黑体"/>
          <w:bCs/>
          <w:color w:val="000000"/>
          <w:sz w:val="21"/>
          <w:szCs w:val="21"/>
          <w:shd w:val="clear" w:color="auto" w:fill="FFFFFF"/>
        </w:rPr>
      </w:pPr>
      <w:r>
        <w:rPr>
          <w:rFonts w:hint="eastAsia" w:ascii="黑体" w:hAnsi="黑体" w:eastAsia="黑体" w:cs="黑体"/>
          <w:bCs/>
          <w:color w:val="000000"/>
          <w:sz w:val="21"/>
          <w:szCs w:val="21"/>
          <w:shd w:val="clear" w:color="auto" w:fill="FFFFFF"/>
        </w:rPr>
        <w:t xml:space="preserve">   </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5"/>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1.</w:t>
      </w:r>
      <w:r>
        <w:rPr>
          <w:rFonts w:hint="eastAsia" w:hAnsi="宋体"/>
          <w:b/>
          <w:color w:val="FF0000"/>
          <w:szCs w:val="21"/>
        </w:rPr>
        <w:t>投标人应按招标文件规定编制、提交、解密电子投标文件。</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2</w:t>
      </w:r>
      <w:r>
        <w:rPr>
          <w:rFonts w:asciiTheme="minorEastAsia" w:hAnsiTheme="minorEastAsia"/>
          <w:b/>
          <w:color w:val="FF0000"/>
          <w:szCs w:val="21"/>
        </w:rPr>
        <w:t>.</w:t>
      </w:r>
      <w:r>
        <w:rPr>
          <w:rFonts w:hint="eastAsia" w:hAnsi="宋体"/>
          <w:b/>
          <w:color w:val="FF0000"/>
          <w:szCs w:val="21"/>
        </w:rPr>
        <w:t>电子文件下载、制作、提交期间和远程不见面开标（</w:t>
      </w:r>
      <w:r>
        <w:rPr>
          <w:rFonts w:hint="eastAsia" w:hAnsi="宋体"/>
          <w:color w:val="FF0000"/>
          <w:szCs w:val="21"/>
        </w:rPr>
        <w:t>电子投标文件的解密</w:t>
      </w:r>
      <w:r>
        <w:rPr>
          <w:rFonts w:hint="eastAsia" w:hAnsi="宋体"/>
          <w:b/>
          <w:color w:val="FF0000"/>
          <w:szCs w:val="21"/>
        </w:rPr>
        <w:t>）环节，投标人须使用同一个</w:t>
      </w:r>
      <w:r>
        <w:rPr>
          <w:rFonts w:hAnsi="宋体"/>
          <w:b/>
          <w:color w:val="FF0000"/>
          <w:szCs w:val="21"/>
        </w:rPr>
        <w:t>CA数字证书</w:t>
      </w:r>
      <w:r>
        <w:rPr>
          <w:rFonts w:hint="eastAsia" w:hAnsi="宋体"/>
          <w:b/>
          <w:color w:val="FF0000"/>
          <w:szCs w:val="21"/>
        </w:rPr>
        <w:t>（证书须在有效期内并可正常使用）</w:t>
      </w:r>
      <w:r>
        <w:rPr>
          <w:rFonts w:hAnsi="宋体"/>
          <w:b/>
          <w:color w:val="FF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1"/>
          <w:rFonts w:hAnsi="宋体"/>
          <w:szCs w:val="21"/>
        </w:rPr>
        <w:t>http://221.14.6.70:8088/ggzy/</w:t>
      </w:r>
      <w:r>
        <w:rPr>
          <w:rStyle w:val="31"/>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FF0000"/>
          <w:szCs w:val="21"/>
        </w:rPr>
      </w:pPr>
      <w:r>
        <w:rPr>
          <w:rFonts w:hint="eastAsia" w:hAnsi="宋体"/>
          <w:color w:val="FF0000"/>
          <w:szCs w:val="21"/>
        </w:rPr>
        <w:t>一个标段对应生成一个文件夹（xxxx项目xx标段）,其中后缀名为“</w:t>
      </w:r>
      <w:r>
        <w:rPr>
          <w:rFonts w:hAnsi="宋体"/>
          <w:color w:val="FF0000"/>
          <w:szCs w:val="21"/>
        </w:rPr>
        <w:t>.file</w:t>
      </w:r>
      <w:r>
        <w:rPr>
          <w:rFonts w:hint="eastAsia" w:hAnsi="宋体"/>
          <w:color w:val="FF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w:t>
      </w:r>
      <w:r>
        <w:rPr>
          <w:rFonts w:hint="eastAsia" w:asciiTheme="minorEastAsia" w:hAnsiTheme="minorEastAsia"/>
          <w:color w:val="FF0000"/>
          <w:szCs w:val="21"/>
        </w:rPr>
        <w:t>加密</w:t>
      </w:r>
      <w:r>
        <w:rPr>
          <w:rFonts w:hint="eastAsia" w:hAnsi="宋体"/>
          <w:color w:val="FF0000"/>
          <w:szCs w:val="21"/>
        </w:rPr>
        <w:t>电子投标文件应按规定在投标截止时间</w:t>
      </w:r>
      <w:r>
        <w:rPr>
          <w:rFonts w:hint="eastAsia" w:hAnsi="宋体"/>
          <w:color w:val="000000"/>
          <w:szCs w:val="21"/>
        </w:rPr>
        <w:t>（开标时间）之前成功提交至《全国公共资源交易平台(河南省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1"/>
          <w:rFonts w:hAnsi="宋体"/>
          <w:szCs w:val="21"/>
        </w:rPr>
        <w:t>http://221.14.6.70:8088/ggzy/</w:t>
      </w:r>
      <w:r>
        <w:rPr>
          <w:rStyle w:val="31"/>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FF0000"/>
          <w:szCs w:val="21"/>
        </w:rPr>
      </w:pPr>
      <w:r>
        <w:rPr>
          <w:rFonts w:asciiTheme="minorEastAsia" w:hAnsiTheme="minorEastAsia"/>
          <w:color w:val="FF0000"/>
          <w:szCs w:val="21"/>
        </w:rPr>
        <w:t>4</w:t>
      </w:r>
      <w:r>
        <w:rPr>
          <w:rFonts w:hint="eastAsia" w:asciiTheme="minorEastAsia" w:hAnsiTheme="minorEastAsia"/>
          <w:color w:val="FF0000"/>
          <w:szCs w:val="21"/>
        </w:rPr>
        <w:t>.</w:t>
      </w:r>
      <w:r>
        <w:rPr>
          <w:rFonts w:asciiTheme="minorEastAsia" w:hAnsiTheme="minorEastAsia"/>
          <w:color w:val="FF0000"/>
          <w:szCs w:val="21"/>
        </w:rPr>
        <w:t>3</w:t>
      </w:r>
      <w:r>
        <w:rPr>
          <w:rFonts w:hint="eastAsia" w:asciiTheme="minorEastAsia" w:hAnsiTheme="minorEastAsia"/>
          <w:color w:val="FF0000"/>
          <w:szCs w:val="21"/>
        </w:rPr>
        <w:t xml:space="preserve"> 加密</w:t>
      </w:r>
      <w:r>
        <w:rPr>
          <w:rFonts w:hint="eastAsia" w:hAnsi="宋体"/>
          <w:color w:val="FF0000"/>
          <w:szCs w:val="21"/>
        </w:rPr>
        <w:t>电子投标文件成功提交后，《全国公共资源交易平台(河南省</w:t>
      </w:r>
      <w:r>
        <w:rPr>
          <w:rFonts w:hint="eastAsia" w:ascii="MS Mincho" w:hAnsi="MS Mincho" w:eastAsia="MS Mincho" w:cs="MS Mincho"/>
          <w:color w:val="FF0000"/>
          <w:szCs w:val="21"/>
        </w:rPr>
        <w:t>▪</w:t>
      </w:r>
      <w:r>
        <w:rPr>
          <w:rFonts w:hint="eastAsia" w:ascii="宋体" w:hAnsi="宋体" w:eastAsia="宋体" w:cs="宋体"/>
          <w:color w:val="FF0000"/>
          <w:szCs w:val="21"/>
        </w:rPr>
        <w:t>许昌市</w:t>
      </w:r>
      <w:r>
        <w:rPr>
          <w:rFonts w:hint="eastAsia" w:hAnsi="宋体"/>
          <w:color w:val="FF0000"/>
          <w:szCs w:val="21"/>
        </w:rPr>
        <w:t>)》公共资源交易系统（</w:t>
      </w:r>
      <w:r>
        <w:fldChar w:fldCharType="begin"/>
      </w:r>
      <w:r>
        <w:instrText xml:space="preserve"> HYPERLINK "http://221.14.6.70:8088/ggzy/" </w:instrText>
      </w:r>
      <w:r>
        <w:fldChar w:fldCharType="separate"/>
      </w:r>
      <w:r>
        <w:rPr>
          <w:rStyle w:val="31"/>
          <w:rFonts w:hAnsi="宋体"/>
          <w:color w:val="FF0000"/>
          <w:szCs w:val="21"/>
        </w:rPr>
        <w:t>http://221.14.6.70:8088/ggzy/</w:t>
      </w:r>
      <w:r>
        <w:rPr>
          <w:rStyle w:val="31"/>
          <w:rFonts w:hAnsi="宋体"/>
          <w:color w:val="FF0000"/>
          <w:szCs w:val="21"/>
        </w:rPr>
        <w:fldChar w:fldCharType="end"/>
      </w:r>
      <w:r>
        <w:rPr>
          <w:rFonts w:hint="eastAsia" w:hAnsi="宋体"/>
          <w:color w:val="FF0000"/>
          <w:szCs w:val="21"/>
        </w:rPr>
        <w:t>）</w:t>
      </w:r>
      <w:r>
        <w:rPr>
          <w:rFonts w:hint="eastAsia" w:cs="仿宋_GB2312" w:asciiTheme="minorEastAsia" w:hAnsiTheme="minorEastAsia"/>
          <w:color w:val="FF0000"/>
          <w:szCs w:val="21"/>
        </w:rPr>
        <w:t>生成“投标文件提交回执单”。</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5.远程不见面开标（</w:t>
      </w:r>
      <w:r>
        <w:rPr>
          <w:rFonts w:hint="eastAsia" w:hAnsi="宋体"/>
          <w:b/>
          <w:color w:val="FF0000"/>
          <w:szCs w:val="21"/>
        </w:rPr>
        <w:t>电子投标文件的解密</w:t>
      </w:r>
      <w:r>
        <w:rPr>
          <w:rFonts w:hint="eastAsia" w:asciiTheme="minorEastAsia" w:hAnsiTheme="minorEastAsia"/>
          <w:b/>
          <w:color w:val="FF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 xml:space="preserve">1 </w:t>
      </w:r>
      <w:r>
        <w:rPr>
          <w:rFonts w:hint="eastAsia" w:hAnsi="宋体"/>
          <w:color w:val="000000"/>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5.5根据采购代理机构在“文字互动”对话框的通知，投标人选择功能栏“解密环节”按钮进行电子投标文件解密（投标人解密应自采购代理机构点击“开标开始”按钮后60分钟内完成）。投标人未解密或</w:t>
      </w:r>
      <w:r>
        <w:rPr>
          <w:rFonts w:hint="eastAsia" w:cs="宋体" w:asciiTheme="minorEastAsia" w:hAnsiTheme="minorEastAsia"/>
          <w:kern w:val="0"/>
          <w:szCs w:val="21"/>
        </w:rPr>
        <w:t>因投标人原因解密失败的，其投标将被拒绝。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6.</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FF0000"/>
          <w:szCs w:val="21"/>
        </w:rPr>
      </w:pPr>
      <w:r>
        <w:rPr>
          <w:rFonts w:hint="eastAsia" w:asciiTheme="minorEastAsia" w:hAnsiTheme="minorEastAsia"/>
          <w:color w:val="FF0000"/>
          <w:szCs w:val="21"/>
        </w:rPr>
        <w:t>6.1</w:t>
      </w:r>
      <w:r>
        <w:rPr>
          <w:rFonts w:hint="eastAsia" w:hAnsi="宋体"/>
          <w:color w:val="FF0000"/>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FF0000"/>
          <w:szCs w:val="21"/>
        </w:rPr>
      </w:pPr>
      <w:r>
        <w:rPr>
          <w:rFonts w:hint="eastAsia" w:asciiTheme="minorEastAsia" w:hAnsiTheme="minorEastAsia"/>
          <w:color w:val="FF0000"/>
          <w:szCs w:val="21"/>
        </w:rPr>
        <w:t>6.2 评标期间，投标人应保持通讯手机畅通。</w:t>
      </w:r>
      <w:r>
        <w:rPr>
          <w:rFonts w:hint="eastAsia" w:cs="宋体" w:asciiTheme="minorEastAsia" w:hAnsiTheme="minorEastAsia"/>
          <w:color w:val="FF0000"/>
          <w:kern w:val="0"/>
          <w:szCs w:val="21"/>
        </w:rPr>
        <w:t>评标委员会</w:t>
      </w:r>
      <w:r>
        <w:rPr>
          <w:rFonts w:hint="eastAsia" w:asciiTheme="minorEastAsia" w:hAnsiTheme="minorEastAsia"/>
          <w:color w:val="FF0000"/>
          <w:szCs w:val="21"/>
        </w:rPr>
        <w:t>如</w:t>
      </w:r>
      <w:r>
        <w:rPr>
          <w:rFonts w:hint="eastAsia" w:cs="宋体" w:asciiTheme="minorEastAsia" w:hAnsiTheme="minorEastAsia"/>
          <w:color w:val="FF0000"/>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FF0000"/>
        </w:rPr>
      </w:pPr>
      <w:r>
        <w:rPr>
          <w:rFonts w:hint="eastAsia" w:cs="宋体" w:asciiTheme="minorEastAsia" w:hAnsiTheme="minorEastAsia"/>
          <w:color w:val="FF0000"/>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0000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numPr>
          <w:ilvl w:val="0"/>
          <w:numId w:val="8"/>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eastAsia="新宋体" w:cs="黑体" w:asciiTheme="minorEastAsia" w:hAnsiTheme="minorEastAsia"/>
          <w:b w:val="0"/>
          <w:bCs w:val="0"/>
          <w:color w:val="000000"/>
          <w:sz w:val="24"/>
          <w:szCs w:val="24"/>
          <w:shd w:val="clear" w:color="auto" w:fill="FFFFFF"/>
          <w:lang w:val="zh-CN" w:eastAsia="zh-CN"/>
        </w:rPr>
      </w:pPr>
      <w:r>
        <w:rPr>
          <w:rFonts w:hint="eastAsia" w:cs="黑体" w:asciiTheme="minorEastAsia" w:hAnsiTheme="minorEastAsia"/>
          <w:b/>
          <w:bCs/>
          <w:color w:val="000000"/>
          <w:sz w:val="24"/>
          <w:szCs w:val="24"/>
          <w:shd w:val="clear" w:color="auto" w:fill="FFFFFF"/>
        </w:rPr>
        <w:t>一、本项目需实现的功能或者目标</w:t>
      </w:r>
      <w:r>
        <w:rPr>
          <w:rFonts w:hint="eastAsia" w:cs="黑体" w:asciiTheme="minorEastAsia" w:hAnsiTheme="minorEastAsia"/>
          <w:b/>
          <w:bCs/>
          <w:color w:val="000000"/>
          <w:sz w:val="24"/>
          <w:szCs w:val="24"/>
          <w:shd w:val="clear" w:color="auto" w:fill="FFFFFF"/>
          <w:lang w:eastAsia="zh-CN"/>
        </w:rPr>
        <w:t>：</w:t>
      </w:r>
      <w:r>
        <w:rPr>
          <w:rFonts w:hint="eastAsia" w:ascii="新宋体" w:hAnsi="新宋体" w:eastAsia="新宋体" w:cs="新宋体"/>
          <w:sz w:val="24"/>
          <w:szCs w:val="24"/>
        </w:rPr>
        <w:t>满足禹州市精神卫生康复中心临床</w:t>
      </w:r>
      <w:r>
        <w:rPr>
          <w:rFonts w:hint="eastAsia" w:ascii="新宋体" w:hAnsi="新宋体" w:eastAsia="新宋体" w:cs="新宋体"/>
          <w:sz w:val="24"/>
          <w:szCs w:val="24"/>
          <w:lang w:eastAsia="zh-CN"/>
        </w:rPr>
        <w:t>及后勤保障</w:t>
      </w:r>
      <w:r>
        <w:rPr>
          <w:rFonts w:hint="eastAsia" w:ascii="新宋体" w:hAnsi="新宋体" w:eastAsia="新宋体" w:cs="新宋体"/>
          <w:sz w:val="24"/>
          <w:szCs w:val="24"/>
        </w:rPr>
        <w:t>，更好的为患者服务，提升病人服务满意度</w:t>
      </w:r>
      <w:r>
        <w:rPr>
          <w:rFonts w:hint="eastAsia" w:ascii="新宋体" w:hAnsi="新宋体" w:eastAsia="新宋体" w:cs="新宋体"/>
          <w:sz w:val="24"/>
          <w:szCs w:val="24"/>
          <w:lang w:eastAsia="zh-CN"/>
        </w:rPr>
        <w:t>。</w:t>
      </w:r>
    </w:p>
    <w:p>
      <w:pPr>
        <w:widowControl/>
        <w:shd w:val="clear" w:color="auto" w:fill="FFFFFF"/>
        <w:spacing w:line="360" w:lineRule="auto"/>
        <w:ind w:firstLine="482" w:firstLineChars="200"/>
        <w:contextualSpacing/>
        <w:jc w:val="left"/>
        <w:rPr>
          <w:rFonts w:hint="eastAsia" w:cs="黑体" w:asciiTheme="minorEastAsia" w:hAnsiTheme="minorEastAsia"/>
          <w:b w:val="0"/>
          <w:bCs w:val="0"/>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rPr>
        <w:t>二、采购清单</w:t>
      </w:r>
      <w:r>
        <w:rPr>
          <w:rFonts w:hint="eastAsia" w:cs="黑体" w:asciiTheme="minorEastAsia" w:hAnsiTheme="minorEastAsia"/>
          <w:b/>
          <w:bCs/>
          <w:color w:val="000000"/>
          <w:sz w:val="24"/>
          <w:szCs w:val="24"/>
          <w:shd w:val="clear" w:color="auto" w:fill="FFFFFF"/>
          <w:lang w:eastAsia="zh-CN"/>
        </w:rPr>
        <w:t>：</w:t>
      </w:r>
      <w:r>
        <w:rPr>
          <w:rFonts w:hint="eastAsia" w:cs="黑体" w:asciiTheme="minorEastAsia" w:hAnsiTheme="minorEastAsia"/>
          <w:b w:val="0"/>
          <w:bCs w:val="0"/>
          <w:color w:val="000000"/>
          <w:sz w:val="24"/>
          <w:szCs w:val="24"/>
          <w:shd w:val="clear" w:color="auto" w:fill="FFFFFF"/>
          <w:lang w:eastAsia="zh-CN"/>
        </w:rPr>
        <w:t>本项目分四个标段，第一标段医疗器械一批，第二标段信息化系统 ，第三标段后勤产品，第四标段病号服装等一批。</w:t>
      </w:r>
    </w:p>
    <w:p>
      <w:pPr>
        <w:pStyle w:val="2"/>
        <w:rPr>
          <w:rFonts w:hint="default"/>
          <w:lang w:val="en-US" w:eastAsia="zh-CN"/>
        </w:rPr>
      </w:pPr>
      <w:r>
        <w:rPr>
          <w:rFonts w:hint="eastAsia" w:cs="黑体" w:asciiTheme="minorEastAsia" w:hAnsiTheme="minorEastAsia"/>
          <w:b w:val="0"/>
          <w:bCs w:val="0"/>
          <w:color w:val="000000"/>
          <w:sz w:val="24"/>
          <w:szCs w:val="24"/>
          <w:shd w:val="clear" w:color="auto" w:fill="FFFFFF"/>
          <w:lang w:val="en-US" w:eastAsia="zh-CN"/>
        </w:rPr>
        <w:t xml:space="preserve">                     第一标段</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2"/>
        <w:gridCol w:w="973"/>
        <w:gridCol w:w="5397"/>
        <w:gridCol w:w="641"/>
        <w:gridCol w:w="587"/>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序号</w:t>
            </w:r>
          </w:p>
        </w:tc>
        <w:tc>
          <w:tcPr>
            <w:tcW w:w="9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货物名称</w:t>
            </w:r>
          </w:p>
        </w:tc>
        <w:tc>
          <w:tcPr>
            <w:tcW w:w="53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技术规格及主要参数</w:t>
            </w:r>
          </w:p>
        </w:tc>
        <w:tc>
          <w:tcPr>
            <w:tcW w:w="6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单位</w:t>
            </w:r>
          </w:p>
        </w:tc>
        <w:tc>
          <w:tcPr>
            <w:tcW w:w="5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数量</w:t>
            </w:r>
          </w:p>
        </w:tc>
        <w:tc>
          <w:tcPr>
            <w:tcW w:w="930"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6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9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除颤仪</w:t>
            </w:r>
          </w:p>
        </w:tc>
        <w:tc>
          <w:tcPr>
            <w:tcW w:w="53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400" w:lineRule="exact"/>
              <w:rPr>
                <w:rFonts w:hint="eastAsia" w:ascii="新宋体" w:hAnsi="新宋体" w:eastAsia="新宋体" w:cs="新宋体"/>
                <w:b/>
                <w:sz w:val="24"/>
                <w:szCs w:val="24"/>
              </w:rPr>
            </w:pPr>
            <w:r>
              <w:rPr>
                <w:rFonts w:hint="eastAsia" w:ascii="新宋体" w:hAnsi="新宋体" w:eastAsia="新宋体" w:cs="新宋体"/>
                <w:b/>
                <w:sz w:val="24"/>
                <w:szCs w:val="24"/>
              </w:rPr>
              <w:t>1.1物理规格/性能</w:t>
            </w:r>
          </w:p>
          <w:p>
            <w:pPr>
              <w:rPr>
                <w:rFonts w:hint="eastAsia" w:ascii="新宋体" w:hAnsi="新宋体" w:eastAsia="新宋体" w:cs="新宋体"/>
                <w:bCs/>
                <w:sz w:val="24"/>
                <w:szCs w:val="24"/>
              </w:rPr>
            </w:pPr>
            <w:r>
              <w:rPr>
                <w:rFonts w:hint="eastAsia" w:ascii="新宋体" w:hAnsi="新宋体" w:eastAsia="新宋体" w:cs="新宋体"/>
                <w:bCs/>
                <w:sz w:val="24"/>
                <w:szCs w:val="24"/>
              </w:rPr>
              <w:t>1.1.1整机重量（含电池）≤2.6kg</w:t>
            </w:r>
          </w:p>
          <w:p>
            <w:pPr>
              <w:rPr>
                <w:rFonts w:hint="eastAsia" w:ascii="新宋体" w:hAnsi="新宋体" w:eastAsia="新宋体" w:cs="新宋体"/>
                <w:bCs/>
                <w:sz w:val="24"/>
                <w:szCs w:val="24"/>
              </w:rPr>
            </w:pPr>
            <w:r>
              <w:rPr>
                <w:rFonts w:hint="eastAsia" w:ascii="新宋体" w:hAnsi="新宋体" w:eastAsia="新宋体" w:cs="新宋体"/>
                <w:bCs/>
                <w:sz w:val="24"/>
                <w:szCs w:val="24"/>
              </w:rPr>
              <w:t>1.1.2设备具备便携把手，具备高便携性</w:t>
            </w:r>
          </w:p>
          <w:p>
            <w:pPr>
              <w:rPr>
                <w:rFonts w:hint="eastAsia" w:ascii="新宋体" w:hAnsi="新宋体" w:eastAsia="新宋体" w:cs="新宋体"/>
                <w:bCs/>
                <w:sz w:val="24"/>
                <w:szCs w:val="24"/>
              </w:rPr>
            </w:pPr>
            <w:r>
              <w:rPr>
                <w:rFonts w:hint="eastAsia" w:ascii="新宋体" w:hAnsi="新宋体" w:eastAsia="新宋体" w:cs="新宋体"/>
                <w:bCs/>
                <w:sz w:val="24"/>
                <w:szCs w:val="24"/>
              </w:rPr>
              <w:t>1.1.3</w:t>
            </w:r>
            <w:r>
              <w:rPr>
                <w:rFonts w:hint="eastAsia" w:ascii="新宋体" w:hAnsi="新宋体" w:eastAsia="新宋体" w:cs="新宋体"/>
                <w:sz w:val="24"/>
                <w:szCs w:val="24"/>
              </w:rPr>
              <w:t>抗冲击/跌落性能：具备优异的抗冲击/跌落性能，机器六面均可承受≥1.5 m跌落冲击</w:t>
            </w:r>
          </w:p>
          <w:p>
            <w:pPr>
              <w:rPr>
                <w:rFonts w:hint="eastAsia" w:ascii="新宋体" w:hAnsi="新宋体" w:eastAsia="新宋体" w:cs="新宋体"/>
                <w:bCs/>
                <w:sz w:val="24"/>
                <w:szCs w:val="24"/>
              </w:rPr>
            </w:pPr>
            <w:r>
              <w:rPr>
                <w:rFonts w:hint="eastAsia" w:ascii="新宋体" w:hAnsi="新宋体" w:eastAsia="新宋体" w:cs="新宋体"/>
                <w:sz w:val="24"/>
                <w:szCs w:val="24"/>
              </w:rPr>
              <w:t>1.1.4防尘防水级别：设备具有良好的防尘防水设计，防尘防水级别IP55</w:t>
            </w:r>
          </w:p>
          <w:p>
            <w:pPr>
              <w:rPr>
                <w:rFonts w:hint="eastAsia" w:ascii="新宋体" w:hAnsi="新宋体" w:eastAsia="新宋体" w:cs="新宋体"/>
                <w:bCs/>
                <w:sz w:val="24"/>
                <w:szCs w:val="24"/>
              </w:rPr>
            </w:pPr>
            <w:r>
              <w:rPr>
                <w:rFonts w:hint="eastAsia" w:ascii="新宋体" w:hAnsi="新宋体" w:eastAsia="新宋体" w:cs="新宋体"/>
                <w:bCs/>
                <w:sz w:val="24"/>
                <w:szCs w:val="24"/>
              </w:rPr>
              <w:t>1.1.5</w:t>
            </w:r>
            <w:r>
              <w:rPr>
                <w:rFonts w:hint="eastAsia" w:ascii="新宋体" w:hAnsi="新宋体" w:eastAsia="新宋体" w:cs="新宋体"/>
                <w:sz w:val="24"/>
                <w:szCs w:val="24"/>
              </w:rPr>
              <w:t>工作温度范围至少满足-5ºC ～ 50ºC，且从室温环境下进入-20ºC 环境后，至少能工作60分钟</w:t>
            </w:r>
          </w:p>
          <w:p>
            <w:pPr>
              <w:rPr>
                <w:rFonts w:hint="eastAsia" w:ascii="新宋体" w:hAnsi="新宋体" w:eastAsia="新宋体" w:cs="新宋体"/>
                <w:bCs/>
                <w:sz w:val="24"/>
                <w:szCs w:val="24"/>
              </w:rPr>
            </w:pPr>
            <w:r>
              <w:rPr>
                <w:rFonts w:hint="eastAsia" w:ascii="新宋体" w:hAnsi="新宋体" w:eastAsia="新宋体" w:cs="新宋体"/>
                <w:sz w:val="24"/>
                <w:szCs w:val="24"/>
              </w:rPr>
              <w:t>1.1.6工作湿度范围至少满足5% ～ 95%非冷凝。</w:t>
            </w:r>
          </w:p>
          <w:p>
            <w:pPr>
              <w:rPr>
                <w:rFonts w:hint="eastAsia" w:ascii="新宋体" w:hAnsi="新宋体" w:eastAsia="新宋体" w:cs="新宋体"/>
                <w:sz w:val="24"/>
                <w:szCs w:val="24"/>
              </w:rPr>
            </w:pPr>
            <w:r>
              <w:rPr>
                <w:rFonts w:hint="eastAsia" w:ascii="新宋体" w:hAnsi="新宋体" w:eastAsia="新宋体" w:cs="新宋体"/>
                <w:sz w:val="24"/>
                <w:szCs w:val="24"/>
              </w:rPr>
              <w:t>1.1.7工作海拔高度（大气压力）范围：-381 m ～ +4575 m.（57.0 kPa ～ 106.2 kPa）</w:t>
            </w:r>
          </w:p>
          <w:p>
            <w:pPr>
              <w:rPr>
                <w:rFonts w:hint="eastAsia" w:ascii="新宋体" w:hAnsi="新宋体" w:eastAsia="新宋体" w:cs="新宋体"/>
                <w:b/>
                <w:bCs/>
                <w:sz w:val="24"/>
                <w:szCs w:val="24"/>
              </w:rPr>
            </w:pPr>
            <w:r>
              <w:rPr>
                <w:rFonts w:hint="eastAsia" w:ascii="新宋体" w:hAnsi="新宋体" w:eastAsia="新宋体" w:cs="新宋体"/>
                <w:b/>
                <w:bCs/>
                <w:sz w:val="24"/>
                <w:szCs w:val="24"/>
              </w:rPr>
              <w:t>1.2. 除颤性能</w:t>
            </w:r>
          </w:p>
          <w:p>
            <w:pPr>
              <w:rPr>
                <w:rFonts w:hint="eastAsia" w:ascii="新宋体" w:hAnsi="新宋体" w:eastAsia="新宋体" w:cs="新宋体"/>
                <w:bCs/>
                <w:sz w:val="24"/>
                <w:szCs w:val="24"/>
              </w:rPr>
            </w:pPr>
            <w:r>
              <w:rPr>
                <w:rFonts w:hint="eastAsia" w:ascii="新宋体" w:hAnsi="新宋体" w:eastAsia="新宋体" w:cs="新宋体"/>
                <w:bCs/>
                <w:sz w:val="24"/>
                <w:szCs w:val="24"/>
              </w:rPr>
              <w:t>1.2.1采用双相波技术，双相指数截断（BTE）波形，波形参数可根据病人阻抗进行自动补偿</w:t>
            </w:r>
          </w:p>
          <w:p>
            <w:pPr>
              <w:rPr>
                <w:rFonts w:hint="eastAsia" w:ascii="新宋体" w:hAnsi="新宋体" w:eastAsia="新宋体" w:cs="新宋体"/>
                <w:sz w:val="24"/>
                <w:szCs w:val="24"/>
              </w:rPr>
            </w:pPr>
            <w:r>
              <w:rPr>
                <w:rFonts w:hint="eastAsia" w:ascii="新宋体" w:hAnsi="新宋体" w:eastAsia="新宋体" w:cs="新宋体"/>
                <w:sz w:val="24"/>
                <w:szCs w:val="24"/>
              </w:rPr>
              <w:t>★1.2.2输出能量：成人最大能量可支持360J</w:t>
            </w:r>
          </w:p>
          <w:p>
            <w:pPr>
              <w:rPr>
                <w:rFonts w:hint="eastAsia" w:ascii="新宋体" w:hAnsi="新宋体" w:eastAsia="新宋体" w:cs="新宋体"/>
                <w:sz w:val="24"/>
                <w:szCs w:val="24"/>
              </w:rPr>
            </w:pPr>
            <w:r>
              <w:rPr>
                <w:rFonts w:hint="eastAsia" w:ascii="新宋体" w:hAnsi="新宋体" w:eastAsia="新宋体" w:cs="新宋体"/>
                <w:sz w:val="24"/>
                <w:szCs w:val="24"/>
              </w:rPr>
              <w:t>★1.2.3从开机到200J放电准备就绪用时＜7s</w:t>
            </w:r>
          </w:p>
          <w:p>
            <w:pPr>
              <w:rPr>
                <w:rFonts w:hint="eastAsia" w:ascii="新宋体" w:hAnsi="新宋体" w:eastAsia="新宋体" w:cs="新宋体"/>
                <w:sz w:val="24"/>
                <w:szCs w:val="24"/>
              </w:rPr>
            </w:pPr>
            <w:r>
              <w:rPr>
                <w:rFonts w:hint="eastAsia" w:ascii="新宋体" w:hAnsi="新宋体" w:eastAsia="新宋体" w:cs="新宋体"/>
                <w:sz w:val="24"/>
                <w:szCs w:val="24"/>
              </w:rPr>
              <w:t>★1.2.4开始AED分析到200J放电准备就绪时间＜5s</w:t>
            </w:r>
          </w:p>
          <w:p>
            <w:pPr>
              <w:rPr>
                <w:rFonts w:hint="eastAsia" w:ascii="新宋体" w:hAnsi="新宋体" w:eastAsia="新宋体" w:cs="新宋体"/>
                <w:b/>
                <w:bCs/>
                <w:sz w:val="24"/>
                <w:szCs w:val="24"/>
              </w:rPr>
            </w:pPr>
            <w:r>
              <w:rPr>
                <w:rFonts w:hint="eastAsia" w:ascii="新宋体" w:hAnsi="新宋体" w:eastAsia="新宋体" w:cs="新宋体"/>
                <w:b/>
                <w:bCs/>
                <w:sz w:val="24"/>
                <w:szCs w:val="24"/>
              </w:rPr>
              <w:t>1.3.除颤电极片</w:t>
            </w:r>
          </w:p>
          <w:p>
            <w:pPr>
              <w:rPr>
                <w:rFonts w:hint="eastAsia" w:ascii="新宋体" w:hAnsi="新宋体" w:eastAsia="新宋体" w:cs="新宋体"/>
                <w:bCs/>
                <w:sz w:val="24"/>
                <w:szCs w:val="24"/>
              </w:rPr>
            </w:pPr>
            <w:r>
              <w:rPr>
                <w:rFonts w:hint="eastAsia" w:ascii="新宋体" w:hAnsi="新宋体" w:eastAsia="新宋体" w:cs="新宋体"/>
                <w:sz w:val="24"/>
                <w:szCs w:val="24"/>
              </w:rPr>
              <w:t>1.3.1类型：提供与机器配套的电极片，要有明显的指示粘贴部位标记，防止粘贴错误，粘贴无效时有语音提示。备用状态时电极片不可裸露，取用AED过程中不得散落。</w:t>
            </w:r>
          </w:p>
          <w:p>
            <w:pPr>
              <w:rPr>
                <w:rFonts w:hint="eastAsia" w:ascii="新宋体" w:hAnsi="新宋体" w:eastAsia="新宋体" w:cs="新宋体"/>
                <w:sz w:val="24"/>
                <w:szCs w:val="24"/>
              </w:rPr>
            </w:pPr>
            <w:r>
              <w:rPr>
                <w:rFonts w:hint="eastAsia" w:ascii="新宋体" w:hAnsi="新宋体" w:eastAsia="新宋体" w:cs="新宋体"/>
                <w:sz w:val="24"/>
                <w:szCs w:val="24"/>
              </w:rPr>
              <w:t>1.3.2有效期：≧5年。</w:t>
            </w:r>
          </w:p>
          <w:p>
            <w:pPr>
              <w:rPr>
                <w:rFonts w:hint="eastAsia" w:ascii="新宋体" w:hAnsi="新宋体" w:eastAsia="新宋体" w:cs="新宋体"/>
                <w:bCs/>
                <w:sz w:val="24"/>
                <w:szCs w:val="24"/>
              </w:rPr>
            </w:pPr>
            <w:r>
              <w:rPr>
                <w:rFonts w:hint="eastAsia" w:ascii="新宋体" w:hAnsi="新宋体" w:eastAsia="新宋体" w:cs="新宋体"/>
                <w:bCs/>
                <w:sz w:val="24"/>
                <w:szCs w:val="24"/>
              </w:rPr>
              <w:t>1.3.3在待机状态，电极片与主机预先连接，节省了开机后插入电极片步骤，提高抢救效率</w:t>
            </w:r>
          </w:p>
          <w:p>
            <w:pPr>
              <w:rPr>
                <w:rFonts w:hint="eastAsia" w:ascii="新宋体" w:hAnsi="新宋体" w:eastAsia="新宋体" w:cs="新宋体"/>
                <w:bCs/>
                <w:sz w:val="24"/>
                <w:szCs w:val="24"/>
              </w:rPr>
            </w:pPr>
            <w:r>
              <w:rPr>
                <w:rFonts w:hint="eastAsia" w:ascii="新宋体" w:hAnsi="新宋体" w:eastAsia="新宋体" w:cs="新宋体"/>
                <w:bCs/>
                <w:sz w:val="24"/>
                <w:szCs w:val="24"/>
              </w:rPr>
              <w:t>1.3.4电极片上具有电极片粘贴方式示意图</w:t>
            </w:r>
          </w:p>
          <w:p>
            <w:pPr>
              <w:rPr>
                <w:rFonts w:hint="eastAsia" w:ascii="新宋体" w:hAnsi="新宋体" w:eastAsia="新宋体" w:cs="新宋体"/>
                <w:bCs/>
                <w:sz w:val="24"/>
                <w:szCs w:val="24"/>
              </w:rPr>
            </w:pPr>
            <w:r>
              <w:rPr>
                <w:rFonts w:hint="eastAsia" w:ascii="新宋体" w:hAnsi="新宋体" w:eastAsia="新宋体" w:cs="新宋体"/>
                <w:bCs/>
                <w:sz w:val="24"/>
                <w:szCs w:val="24"/>
              </w:rPr>
              <w:t>1.3.5主机上有电极片粘贴位置动画提示</w:t>
            </w:r>
          </w:p>
          <w:p>
            <w:pPr>
              <w:rPr>
                <w:rFonts w:hint="eastAsia" w:ascii="新宋体" w:hAnsi="新宋体" w:eastAsia="新宋体" w:cs="新宋体"/>
                <w:bCs/>
                <w:sz w:val="24"/>
                <w:szCs w:val="24"/>
              </w:rPr>
            </w:pPr>
            <w:r>
              <w:rPr>
                <w:rFonts w:hint="eastAsia" w:ascii="新宋体" w:hAnsi="新宋体" w:eastAsia="新宋体" w:cs="新宋体"/>
                <w:bCs/>
                <w:sz w:val="24"/>
                <w:szCs w:val="24"/>
              </w:rPr>
              <w:t>1.3.6具有电极片有效期自检功能和电极片过期提示</w:t>
            </w:r>
          </w:p>
          <w:p>
            <w:pPr>
              <w:rPr>
                <w:rFonts w:hint="eastAsia" w:ascii="新宋体" w:hAnsi="新宋体" w:eastAsia="新宋体" w:cs="新宋体"/>
                <w:bCs/>
                <w:sz w:val="24"/>
                <w:szCs w:val="24"/>
              </w:rPr>
            </w:pPr>
            <w:r>
              <w:rPr>
                <w:rFonts w:hint="eastAsia" w:ascii="新宋体" w:hAnsi="新宋体" w:eastAsia="新宋体" w:cs="新宋体"/>
                <w:bCs/>
                <w:sz w:val="24"/>
                <w:szCs w:val="24"/>
              </w:rPr>
              <w:t>1.3.7可自动识别成人、小儿电极片，并根据电极片类型自动选择对应的除颤能量</w:t>
            </w:r>
          </w:p>
          <w:p>
            <w:pPr>
              <w:rPr>
                <w:rFonts w:hint="eastAsia" w:ascii="新宋体" w:hAnsi="新宋体" w:eastAsia="新宋体" w:cs="新宋体"/>
                <w:bCs/>
                <w:sz w:val="24"/>
                <w:szCs w:val="24"/>
              </w:rPr>
            </w:pPr>
            <w:r>
              <w:rPr>
                <w:rFonts w:hint="eastAsia" w:ascii="新宋体" w:hAnsi="新宋体" w:eastAsia="新宋体" w:cs="新宋体"/>
                <w:bCs/>
                <w:sz w:val="24"/>
                <w:szCs w:val="24"/>
              </w:rPr>
              <w:t>1.3.8提供智能语音播报。设备根据急救人员响应速度，智能提示急救人员除去病人的衣物、粘贴电极片。</w:t>
            </w:r>
          </w:p>
          <w:p>
            <w:pPr>
              <w:rPr>
                <w:rFonts w:hint="eastAsia" w:ascii="新宋体" w:hAnsi="新宋体" w:eastAsia="新宋体" w:cs="新宋体"/>
                <w:b/>
                <w:bCs/>
                <w:sz w:val="24"/>
                <w:szCs w:val="24"/>
              </w:rPr>
            </w:pPr>
            <w:r>
              <w:rPr>
                <w:rFonts w:hint="eastAsia" w:ascii="新宋体" w:hAnsi="新宋体" w:eastAsia="新宋体" w:cs="新宋体"/>
                <w:b/>
                <w:bCs/>
                <w:sz w:val="24"/>
                <w:szCs w:val="24"/>
              </w:rPr>
              <w:t>1.4. 电池</w:t>
            </w:r>
          </w:p>
          <w:p>
            <w:pPr>
              <w:rPr>
                <w:rFonts w:hint="eastAsia" w:ascii="新宋体" w:hAnsi="新宋体" w:eastAsia="新宋体" w:cs="新宋体"/>
                <w:bCs/>
                <w:sz w:val="24"/>
                <w:szCs w:val="24"/>
              </w:rPr>
            </w:pPr>
            <w:r>
              <w:rPr>
                <w:rFonts w:hint="eastAsia" w:ascii="新宋体" w:hAnsi="新宋体" w:eastAsia="新宋体" w:cs="新宋体"/>
                <w:bCs/>
                <w:sz w:val="24"/>
                <w:szCs w:val="24"/>
              </w:rPr>
              <w:t>1.4.1 在室温温度环境下，电池待机寿命不少于5年</w:t>
            </w:r>
          </w:p>
          <w:p>
            <w:pPr>
              <w:rPr>
                <w:rFonts w:hint="eastAsia" w:ascii="新宋体" w:hAnsi="新宋体" w:eastAsia="新宋体" w:cs="新宋体"/>
                <w:bCs/>
                <w:sz w:val="24"/>
                <w:szCs w:val="24"/>
              </w:rPr>
            </w:pPr>
            <w:r>
              <w:rPr>
                <w:rFonts w:hint="eastAsia" w:ascii="新宋体" w:hAnsi="新宋体" w:eastAsia="新宋体" w:cs="新宋体"/>
                <w:bCs/>
                <w:sz w:val="24"/>
                <w:szCs w:val="24"/>
              </w:rPr>
              <w:t>1.4.2在适合条件下，至少可支持350次200J除颤治疗或200次360J除颤治疗</w:t>
            </w:r>
          </w:p>
          <w:p>
            <w:pPr>
              <w:rPr>
                <w:rFonts w:hint="eastAsia" w:ascii="新宋体" w:hAnsi="新宋体" w:eastAsia="新宋体" w:cs="新宋体"/>
                <w:bCs/>
                <w:sz w:val="24"/>
                <w:szCs w:val="24"/>
              </w:rPr>
            </w:pPr>
            <w:r>
              <w:rPr>
                <w:rFonts w:hint="eastAsia" w:ascii="新宋体" w:hAnsi="新宋体" w:eastAsia="新宋体" w:cs="新宋体"/>
                <w:bCs/>
                <w:sz w:val="24"/>
                <w:szCs w:val="24"/>
              </w:rPr>
              <w:t>1.4.3可检测电池低电量并给出报警提示，低电量报警后至少还可持续30分钟工作时间和至少10次200J除颤充放电（适合条件下）</w:t>
            </w:r>
          </w:p>
          <w:p>
            <w:pPr>
              <w:rPr>
                <w:rFonts w:hint="eastAsia" w:ascii="新宋体" w:hAnsi="新宋体" w:eastAsia="新宋体" w:cs="新宋体"/>
                <w:b/>
                <w:bCs/>
                <w:sz w:val="24"/>
                <w:szCs w:val="24"/>
              </w:rPr>
            </w:pPr>
            <w:r>
              <w:rPr>
                <w:rFonts w:hint="eastAsia" w:ascii="新宋体" w:hAnsi="新宋体" w:eastAsia="新宋体" w:cs="新宋体"/>
                <w:b/>
                <w:bCs/>
                <w:sz w:val="24"/>
                <w:szCs w:val="24"/>
              </w:rPr>
              <w:t>1.5. 屏幕/操作</w:t>
            </w:r>
          </w:p>
          <w:p>
            <w:pPr>
              <w:rPr>
                <w:rFonts w:hint="eastAsia" w:ascii="新宋体" w:hAnsi="新宋体" w:eastAsia="新宋体" w:cs="新宋体"/>
                <w:bCs/>
                <w:color w:val="FF0000"/>
                <w:sz w:val="24"/>
                <w:szCs w:val="24"/>
              </w:rPr>
            </w:pPr>
            <w:r>
              <w:rPr>
                <w:rFonts w:hint="eastAsia" w:ascii="新宋体" w:hAnsi="新宋体" w:eastAsia="新宋体" w:cs="新宋体"/>
                <w:bCs/>
                <w:color w:val="000000" w:themeColor="text1"/>
                <w:sz w:val="24"/>
                <w:szCs w:val="24"/>
              </w:rPr>
              <w:t>1.5.1提供7英寸显示屏，支持动画指导用户执行急救操作</w:t>
            </w:r>
          </w:p>
          <w:p>
            <w:pPr>
              <w:rPr>
                <w:rFonts w:hint="eastAsia" w:ascii="新宋体" w:hAnsi="新宋体" w:eastAsia="新宋体" w:cs="新宋体"/>
                <w:bCs/>
                <w:sz w:val="24"/>
                <w:szCs w:val="24"/>
              </w:rPr>
            </w:pPr>
            <w:r>
              <w:rPr>
                <w:rFonts w:hint="eastAsia" w:ascii="新宋体" w:hAnsi="新宋体" w:eastAsia="新宋体" w:cs="新宋体"/>
                <w:bCs/>
                <w:sz w:val="24"/>
                <w:szCs w:val="24"/>
              </w:rPr>
              <w:t>1.5.2彩色显示屏，分辨率不小于800×480 像素</w:t>
            </w:r>
          </w:p>
          <w:p>
            <w:pPr>
              <w:rPr>
                <w:rFonts w:hint="eastAsia" w:ascii="新宋体" w:hAnsi="新宋体" w:eastAsia="新宋体" w:cs="新宋体"/>
                <w:bCs/>
                <w:sz w:val="24"/>
                <w:szCs w:val="24"/>
              </w:rPr>
            </w:pPr>
            <w:r>
              <w:rPr>
                <w:rFonts w:hint="eastAsia" w:ascii="新宋体" w:hAnsi="新宋体" w:eastAsia="新宋体" w:cs="新宋体"/>
                <w:bCs/>
                <w:sz w:val="24"/>
                <w:szCs w:val="24"/>
              </w:rPr>
              <w:t>1.1.11设备屏幕支持显示ECG波形</w:t>
            </w:r>
          </w:p>
          <w:p>
            <w:pPr>
              <w:rPr>
                <w:rFonts w:hint="eastAsia" w:ascii="新宋体" w:hAnsi="新宋体" w:eastAsia="新宋体" w:cs="新宋体"/>
                <w:bCs/>
                <w:sz w:val="24"/>
                <w:szCs w:val="24"/>
              </w:rPr>
            </w:pPr>
            <w:r>
              <w:rPr>
                <w:rFonts w:hint="eastAsia" w:ascii="新宋体" w:hAnsi="新宋体" w:eastAsia="新宋体" w:cs="新宋体"/>
                <w:bCs/>
                <w:sz w:val="24"/>
                <w:szCs w:val="24"/>
              </w:rPr>
              <w:t>1.5.3设备能够根据环境光强度自动调节屏幕显示亮度，适应野外强光环境下使用</w:t>
            </w:r>
          </w:p>
          <w:p>
            <w:pPr>
              <w:rPr>
                <w:rFonts w:hint="eastAsia" w:ascii="新宋体" w:hAnsi="新宋体" w:eastAsia="新宋体" w:cs="新宋体"/>
                <w:bCs/>
                <w:sz w:val="24"/>
                <w:szCs w:val="24"/>
              </w:rPr>
            </w:pPr>
            <w:r>
              <w:rPr>
                <w:rFonts w:hint="eastAsia" w:ascii="新宋体" w:hAnsi="新宋体" w:eastAsia="新宋体" w:cs="新宋体"/>
                <w:bCs/>
                <w:sz w:val="24"/>
                <w:szCs w:val="24"/>
              </w:rPr>
              <w:t>1.5.4设备能够根据环境噪音强度自动调节语音播放音量，适应急救现场嘈杂环境下使用*1.5.5提供中英文双语支持，包括界面显示和语音提示，可一键快速切换中英文，符合公共领域使用要求</w:t>
            </w:r>
          </w:p>
          <w:p>
            <w:pPr>
              <w:rPr>
                <w:rFonts w:hint="eastAsia" w:ascii="新宋体" w:hAnsi="新宋体" w:eastAsia="新宋体" w:cs="新宋体"/>
                <w:bCs/>
                <w:sz w:val="24"/>
                <w:szCs w:val="24"/>
              </w:rPr>
            </w:pPr>
            <w:r>
              <w:rPr>
                <w:rFonts w:hint="eastAsia" w:ascii="新宋体" w:hAnsi="新宋体" w:eastAsia="新宋体" w:cs="新宋体"/>
                <w:bCs/>
                <w:sz w:val="24"/>
                <w:szCs w:val="24"/>
              </w:rPr>
              <w:t>1.5.6支持成人/小儿患者类型快速一键切换，可根据病人类型自动切换提示信息、除颤能量和CPR按压模式</w:t>
            </w:r>
          </w:p>
          <w:p>
            <w:pPr>
              <w:rPr>
                <w:rFonts w:hint="eastAsia" w:ascii="新宋体" w:hAnsi="新宋体" w:eastAsia="新宋体" w:cs="新宋体"/>
                <w:bCs/>
                <w:sz w:val="24"/>
                <w:szCs w:val="24"/>
              </w:rPr>
            </w:pPr>
            <w:r>
              <w:rPr>
                <w:rFonts w:hint="eastAsia" w:ascii="新宋体" w:hAnsi="新宋体" w:eastAsia="新宋体" w:cs="新宋体"/>
                <w:bCs/>
                <w:sz w:val="24"/>
                <w:szCs w:val="24"/>
              </w:rPr>
              <w:t>1.5.7 CPR按压模式支持配置30:2,15:2和仅按压模式</w:t>
            </w:r>
          </w:p>
          <w:p>
            <w:pPr>
              <w:rPr>
                <w:rFonts w:hint="eastAsia" w:ascii="新宋体" w:hAnsi="新宋体" w:eastAsia="新宋体" w:cs="新宋体"/>
                <w:bCs/>
                <w:sz w:val="24"/>
                <w:szCs w:val="24"/>
              </w:rPr>
            </w:pPr>
            <w:r>
              <w:rPr>
                <w:rFonts w:hint="eastAsia" w:ascii="新宋体" w:hAnsi="新宋体" w:eastAsia="新宋体" w:cs="新宋体"/>
                <w:bCs/>
                <w:sz w:val="24"/>
                <w:szCs w:val="24"/>
              </w:rPr>
              <w:t>1.5.8在CPR仅按压过程中持续提供操作指导和剩余按压次数提示</w:t>
            </w:r>
          </w:p>
          <w:p>
            <w:pPr>
              <w:rPr>
                <w:rFonts w:hint="eastAsia" w:ascii="新宋体" w:hAnsi="新宋体" w:eastAsia="新宋体" w:cs="新宋体"/>
                <w:b/>
                <w:bCs/>
                <w:sz w:val="24"/>
                <w:szCs w:val="24"/>
              </w:rPr>
            </w:pPr>
            <w:r>
              <w:rPr>
                <w:rFonts w:hint="eastAsia" w:ascii="新宋体" w:hAnsi="新宋体" w:eastAsia="新宋体" w:cs="新宋体"/>
                <w:b/>
                <w:bCs/>
                <w:sz w:val="24"/>
                <w:szCs w:val="24"/>
              </w:rPr>
              <w:t>1.6.数据传输和存储</w:t>
            </w:r>
          </w:p>
          <w:p>
            <w:pPr>
              <w:rPr>
                <w:rFonts w:hint="eastAsia" w:ascii="新宋体" w:hAnsi="新宋体" w:eastAsia="新宋体" w:cs="新宋体"/>
                <w:bCs/>
                <w:sz w:val="24"/>
                <w:szCs w:val="24"/>
              </w:rPr>
            </w:pPr>
            <w:r>
              <w:rPr>
                <w:rFonts w:hint="eastAsia" w:ascii="新宋体" w:hAnsi="新宋体" w:eastAsia="新宋体" w:cs="新宋体"/>
                <w:bCs/>
                <w:sz w:val="24"/>
                <w:szCs w:val="24"/>
              </w:rPr>
              <w:t>1.6.1数据传输：主机设备支持内置4G无线数据传输功能，可将自检数据无线传输到远程AED管理平台，无需人工巡检、降低运维成本</w:t>
            </w:r>
          </w:p>
          <w:p>
            <w:pPr>
              <w:rPr>
                <w:rFonts w:hint="eastAsia" w:ascii="新宋体" w:hAnsi="新宋体" w:eastAsia="新宋体" w:cs="新宋体"/>
                <w:bCs/>
                <w:sz w:val="24"/>
                <w:szCs w:val="24"/>
              </w:rPr>
            </w:pPr>
            <w:r>
              <w:rPr>
                <w:rFonts w:hint="eastAsia" w:ascii="新宋体" w:hAnsi="新宋体" w:eastAsia="新宋体" w:cs="新宋体"/>
                <w:bCs/>
                <w:sz w:val="24"/>
                <w:szCs w:val="24"/>
              </w:rPr>
              <w:t>1.6.2存储容量：设备的内部存储容量不小于1GB，可存储不少于1000份自检报告</w:t>
            </w:r>
          </w:p>
          <w:p>
            <w:pPr>
              <w:rPr>
                <w:rFonts w:hint="eastAsia" w:ascii="新宋体" w:hAnsi="新宋体" w:eastAsia="新宋体" w:cs="新宋体"/>
                <w:bCs/>
                <w:sz w:val="24"/>
                <w:szCs w:val="24"/>
              </w:rPr>
            </w:pPr>
            <w:r>
              <w:rPr>
                <w:rFonts w:hint="eastAsia" w:ascii="新宋体" w:hAnsi="新宋体" w:eastAsia="新宋体" w:cs="新宋体"/>
                <w:bCs/>
                <w:sz w:val="24"/>
                <w:szCs w:val="24"/>
              </w:rPr>
              <w:t>1.6.3具备录音功能，可保存60分钟抢救现场录音</w:t>
            </w:r>
          </w:p>
          <w:p>
            <w:pPr>
              <w:rPr>
                <w:rFonts w:hint="eastAsia" w:ascii="新宋体" w:hAnsi="新宋体" w:eastAsia="新宋体" w:cs="新宋体"/>
                <w:bCs/>
                <w:sz w:val="24"/>
                <w:szCs w:val="24"/>
              </w:rPr>
            </w:pPr>
            <w:r>
              <w:rPr>
                <w:rFonts w:hint="eastAsia" w:ascii="新宋体" w:hAnsi="新宋体" w:eastAsia="新宋体" w:cs="新宋体"/>
                <w:bCs/>
                <w:sz w:val="24"/>
                <w:szCs w:val="24"/>
              </w:rPr>
              <w:t>1.6.4数据存储：可存储ECG波形数据、事件数据、录音数据、急救数据（须有急救时间、CPR 持续时间、放电次数等要素）、录音数据等</w:t>
            </w:r>
          </w:p>
          <w:p>
            <w:pPr>
              <w:rPr>
                <w:rFonts w:hint="eastAsia" w:ascii="新宋体" w:hAnsi="新宋体" w:eastAsia="新宋体" w:cs="新宋体"/>
                <w:bCs/>
                <w:sz w:val="24"/>
                <w:szCs w:val="24"/>
              </w:rPr>
            </w:pPr>
            <w:r>
              <w:rPr>
                <w:rFonts w:hint="eastAsia" w:ascii="新宋体" w:hAnsi="新宋体" w:eastAsia="新宋体" w:cs="新宋体"/>
                <w:bCs/>
                <w:sz w:val="24"/>
                <w:szCs w:val="24"/>
              </w:rPr>
              <w:t>1.6.5支持USB接口，可通过外部USB闪存设备导出抢救记录数据</w:t>
            </w:r>
          </w:p>
          <w:p>
            <w:pPr>
              <w:spacing w:line="400" w:lineRule="exact"/>
              <w:rPr>
                <w:rFonts w:hint="eastAsia" w:ascii="新宋体" w:hAnsi="新宋体" w:eastAsia="新宋体" w:cs="新宋体"/>
                <w:b/>
                <w:sz w:val="24"/>
                <w:szCs w:val="24"/>
              </w:rPr>
            </w:pPr>
            <w:r>
              <w:rPr>
                <w:rFonts w:hint="eastAsia" w:ascii="新宋体" w:hAnsi="新宋体" w:eastAsia="新宋体" w:cs="新宋体"/>
                <w:b/>
                <w:sz w:val="24"/>
                <w:szCs w:val="24"/>
              </w:rPr>
              <w:t>1.7设备维护与自检</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1.7.1设备具有用户自检和设备自检功能。</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1.7.2 支持每日、每周、每月、每季度的设备自检</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1.7.3提供设备状态指示灯：根据自检结果，红灯/绿灯显示设备状态</w:t>
            </w:r>
          </w:p>
          <w:p>
            <w:pPr>
              <w:widowControl/>
              <w:jc w:val="left"/>
              <w:textAlignment w:val="center"/>
              <w:rPr>
                <w:rFonts w:hint="eastAsia" w:ascii="新宋体" w:hAnsi="新宋体" w:eastAsia="新宋体" w:cs="新宋体"/>
                <w:sz w:val="24"/>
                <w:szCs w:val="24"/>
              </w:rPr>
            </w:pPr>
            <w:r>
              <w:rPr>
                <w:rFonts w:hint="eastAsia" w:ascii="新宋体" w:hAnsi="新宋体" w:eastAsia="新宋体" w:cs="新宋体"/>
                <w:sz w:val="24"/>
                <w:szCs w:val="24"/>
              </w:rPr>
              <w:t>1.7.4支持设备使用时实时自检和开机自检，检测主控模块、治疗模块、电源模块的状态</w:t>
            </w:r>
          </w:p>
          <w:p>
            <w:pPr>
              <w:spacing w:line="400" w:lineRule="exact"/>
              <w:rPr>
                <w:rFonts w:hint="eastAsia" w:ascii="新宋体" w:hAnsi="新宋体" w:eastAsia="新宋体" w:cs="新宋体"/>
                <w:color w:val="000000"/>
                <w:kern w:val="0"/>
                <w:sz w:val="24"/>
                <w:szCs w:val="24"/>
              </w:rPr>
            </w:pPr>
          </w:p>
        </w:tc>
        <w:tc>
          <w:tcPr>
            <w:tcW w:w="6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台</w:t>
            </w:r>
          </w:p>
        </w:tc>
        <w:tc>
          <w:tcPr>
            <w:tcW w:w="5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6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p>
        </w:tc>
        <w:tc>
          <w:tcPr>
            <w:tcW w:w="9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心电监护仪</w:t>
            </w:r>
          </w:p>
        </w:tc>
        <w:tc>
          <w:tcPr>
            <w:tcW w:w="53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autoSpaceDN w:val="0"/>
              <w:adjustRightInd w:val="0"/>
              <w:spacing w:line="360" w:lineRule="auto"/>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监护仪外形结构：</w:t>
            </w:r>
          </w:p>
          <w:p>
            <w:pPr>
              <w:autoSpaceDE w:val="0"/>
              <w:autoSpaceDN w:val="0"/>
              <w:adjustRightInd w:val="0"/>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sz w:val="24"/>
                <w:szCs w:val="24"/>
              </w:rPr>
              <w:t>1.一体式监护仪,可用于监护成人,儿童,新生儿患者</w:t>
            </w:r>
          </w:p>
          <w:p>
            <w:pPr>
              <w:autoSpaceDE w:val="0"/>
              <w:autoSpaceDN w:val="0"/>
              <w:adjustRightInd w:val="0"/>
              <w:spacing w:line="360" w:lineRule="auto"/>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2.≧10寸彩色LCD显示屏，LED背光，彩色高分辨率达800*600，8通道波形显示</w:t>
            </w:r>
          </w:p>
          <w:p>
            <w:pPr>
              <w:autoSpaceDE w:val="0"/>
              <w:autoSpaceDN w:val="0"/>
              <w:adjustRightInd w:val="0"/>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sz w:val="24"/>
                <w:szCs w:val="24"/>
              </w:rPr>
              <w:t>3.主机带电池重量&lt;4kg/3.5kg（标配，不含记录仪）</w:t>
            </w:r>
          </w:p>
          <w:p>
            <w:pPr>
              <w:autoSpaceDE w:val="0"/>
              <w:autoSpaceDN w:val="0"/>
              <w:adjustRightInd w:val="0"/>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sz w:val="24"/>
                <w:szCs w:val="24"/>
              </w:rPr>
              <w:t>4.可选配触摸屏</w:t>
            </w:r>
          </w:p>
          <w:p>
            <w:pPr>
              <w:autoSpaceDE w:val="0"/>
              <w:autoSpaceDN w:val="0"/>
              <w:adjustRightInd w:val="0"/>
              <w:spacing w:line="360" w:lineRule="auto"/>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监测参数：</w:t>
            </w:r>
          </w:p>
          <w:p>
            <w:pPr>
              <w:autoSpaceDE w:val="0"/>
              <w:autoSpaceDN w:val="0"/>
              <w:adjustRightInd w:val="0"/>
              <w:spacing w:line="360" w:lineRule="auto"/>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5.标准配置可监测心电，呼吸，无创血压，血氧饱和度，脉搏和体温</w:t>
            </w:r>
          </w:p>
          <w:p>
            <w:pPr>
              <w:autoSpaceDE w:val="0"/>
              <w:autoSpaceDN w:val="0"/>
              <w:adjustRightInd w:val="0"/>
              <w:spacing w:line="360" w:lineRule="auto"/>
              <w:jc w:val="left"/>
              <w:rPr>
                <w:rFonts w:hint="eastAsia" w:ascii="新宋体" w:hAnsi="新宋体" w:eastAsia="新宋体" w:cs="新宋体"/>
                <w:color w:val="FF0000"/>
                <w:sz w:val="24"/>
                <w:szCs w:val="24"/>
              </w:rPr>
            </w:pPr>
            <w:r>
              <w:rPr>
                <w:rFonts w:hint="eastAsia" w:ascii="新宋体" w:hAnsi="新宋体" w:eastAsia="新宋体" w:cs="新宋体"/>
                <w:color w:val="000000" w:themeColor="text1"/>
                <w:sz w:val="24"/>
                <w:szCs w:val="24"/>
              </w:rPr>
              <w:t>6.具备ECG多导同步分析功能，同时分析多个心电导联，个别导联干扰情况下仍能准确监测</w:t>
            </w:r>
          </w:p>
          <w:p>
            <w:pPr>
              <w:autoSpaceDE w:val="0"/>
              <w:autoSpaceDN w:val="0"/>
              <w:adjustRightInd w:val="0"/>
              <w:spacing w:line="360" w:lineRule="auto"/>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7.具备智能导联脱落监测功能，个别导联脱落的情况下仍能保持监护</w:t>
            </w:r>
          </w:p>
          <w:p>
            <w:pPr>
              <w:autoSpaceDE w:val="0"/>
              <w:autoSpaceDN w:val="0"/>
              <w:adjustRightInd w:val="0"/>
              <w:spacing w:line="360" w:lineRule="auto"/>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8.可显示PI血氧灌注指数，有效反映血氧灌注情况</w:t>
            </w:r>
          </w:p>
          <w:p>
            <w:pPr>
              <w:autoSpaceDE w:val="0"/>
              <w:autoSpaceDN w:val="0"/>
              <w:adjustRightInd w:val="0"/>
              <w:spacing w:line="360" w:lineRule="auto"/>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9.采用专利的抗干扰和弱灌注血氧技术</w:t>
            </w:r>
          </w:p>
          <w:p>
            <w:pPr>
              <w:autoSpaceDE w:val="0"/>
              <w:autoSpaceDN w:val="0"/>
              <w:adjustRightInd w:val="0"/>
              <w:spacing w:line="360" w:lineRule="auto"/>
              <w:jc w:val="left"/>
              <w:rPr>
                <w:rFonts w:hint="eastAsia" w:ascii="新宋体" w:hAnsi="新宋体" w:eastAsia="新宋体" w:cs="新宋体"/>
                <w:color w:val="000000" w:themeColor="text1"/>
                <w:sz w:val="24"/>
                <w:szCs w:val="24"/>
              </w:rPr>
            </w:pPr>
            <w:r>
              <w:rPr>
                <w:rFonts w:hint="eastAsia" w:ascii="新宋体" w:hAnsi="新宋体" w:eastAsia="新宋体" w:cs="新宋体"/>
                <w:sz w:val="24"/>
                <w:szCs w:val="24"/>
              </w:rPr>
              <w:t>★</w:t>
            </w:r>
            <w:r>
              <w:rPr>
                <w:rFonts w:hint="eastAsia" w:ascii="新宋体" w:hAnsi="新宋体" w:eastAsia="新宋体" w:cs="新宋体"/>
                <w:color w:val="000000" w:themeColor="text1"/>
                <w:sz w:val="24"/>
                <w:szCs w:val="24"/>
              </w:rPr>
              <w:t>10.NIBP和BP的测量范围宽，大大提升边界情况的测量准确性</w:t>
            </w:r>
          </w:p>
          <w:p>
            <w:pPr>
              <w:autoSpaceDE w:val="0"/>
              <w:autoSpaceDN w:val="0"/>
              <w:adjustRightInd w:val="0"/>
              <w:spacing w:line="360" w:lineRule="auto"/>
              <w:jc w:val="left"/>
              <w:rPr>
                <w:rFonts w:hint="eastAsia"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成人:sys 25-290 dia 10-250 avr 15-260</w:t>
            </w:r>
          </w:p>
          <w:p>
            <w:pPr>
              <w:autoSpaceDE w:val="0"/>
              <w:autoSpaceDN w:val="0"/>
              <w:adjustRightInd w:val="0"/>
              <w:spacing w:line="360" w:lineRule="auto"/>
              <w:jc w:val="left"/>
              <w:rPr>
                <w:rFonts w:hint="eastAsia"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小儿: sys:25-240 dia:10-200 avr:15-215</w:t>
            </w:r>
          </w:p>
          <w:p>
            <w:pPr>
              <w:autoSpaceDE w:val="0"/>
              <w:autoSpaceDN w:val="0"/>
              <w:adjustRightInd w:val="0"/>
              <w:spacing w:line="360" w:lineRule="auto"/>
              <w:jc w:val="left"/>
              <w:rPr>
                <w:rFonts w:hint="eastAsia" w:ascii="新宋体" w:hAnsi="新宋体" w:eastAsia="新宋体" w:cs="新宋体"/>
                <w:color w:val="FF0000"/>
                <w:sz w:val="24"/>
                <w:szCs w:val="24"/>
              </w:rPr>
            </w:pPr>
            <w:r>
              <w:rPr>
                <w:rFonts w:hint="eastAsia" w:ascii="新宋体" w:hAnsi="新宋体" w:eastAsia="新宋体" w:cs="新宋体"/>
                <w:color w:val="000000" w:themeColor="text1"/>
                <w:sz w:val="24"/>
                <w:szCs w:val="24"/>
              </w:rPr>
              <w:t>新生儿: sys:25-140 dia:10-115 avr:15-12</w:t>
            </w:r>
            <w:r>
              <w:rPr>
                <w:rFonts w:hint="eastAsia" w:ascii="新宋体" w:hAnsi="新宋体" w:eastAsia="新宋体" w:cs="新宋体"/>
                <w:color w:val="FF0000"/>
                <w:sz w:val="24"/>
                <w:szCs w:val="24"/>
              </w:rPr>
              <w:t>5</w:t>
            </w:r>
          </w:p>
          <w:p>
            <w:pPr>
              <w:autoSpaceDE w:val="0"/>
              <w:autoSpaceDN w:val="0"/>
              <w:adjustRightInd w:val="0"/>
              <w:spacing w:line="360" w:lineRule="auto"/>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11.支持心率变化统计和动态血压分析</w:t>
            </w:r>
          </w:p>
          <w:p>
            <w:pPr>
              <w:autoSpaceDE w:val="0"/>
              <w:autoSpaceDN w:val="0"/>
              <w:adjustRightInd w:val="0"/>
              <w:spacing w:line="360" w:lineRule="auto"/>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系统功能：</w:t>
            </w:r>
          </w:p>
          <w:p>
            <w:pPr>
              <w:spacing w:line="360" w:lineRule="auto"/>
              <w:ind w:right="-512" w:rightChars="-244"/>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12.支持中/英文字符和条码扫描枪输入</w:t>
            </w:r>
          </w:p>
          <w:p>
            <w:pPr>
              <w:spacing w:line="360" w:lineRule="auto"/>
              <w:ind w:right="-512" w:rightChars="-244"/>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13.具有三级声光报警，参数报警级别可调</w:t>
            </w:r>
          </w:p>
          <w:p>
            <w:pPr>
              <w:spacing w:line="360" w:lineRule="auto"/>
              <w:ind w:right="-512" w:rightChars="-244"/>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14.具备报警集中设置功能</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15.具备血液动力学、药物计算功能</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sz w:val="24"/>
                <w:szCs w:val="24"/>
              </w:rPr>
              <w:t>6.可选内置存储卡，也支持外部USB存储设备，支持掉电存储和U盘数据导入导出功能</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17.具备Nurse Call报警功能</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18.支持VGA外接拓展显示屏</w:t>
            </w:r>
          </w:p>
          <w:p>
            <w:pPr>
              <w:spacing w:line="360" w:lineRule="auto"/>
              <w:ind w:right="-512" w:rightChars="-244"/>
              <w:rPr>
                <w:rFonts w:hint="eastAsia" w:ascii="新宋体" w:hAnsi="新宋体" w:eastAsia="新宋体" w:cs="新宋体"/>
                <w:color w:val="FF0000"/>
                <w:sz w:val="24"/>
                <w:szCs w:val="24"/>
              </w:rPr>
            </w:pPr>
            <w:r>
              <w:rPr>
                <w:rFonts w:hint="eastAsia" w:ascii="新宋体" w:hAnsi="新宋体" w:eastAsia="新宋体" w:cs="新宋体"/>
                <w:color w:val="000000" w:themeColor="text1"/>
                <w:sz w:val="24"/>
                <w:szCs w:val="24"/>
              </w:rPr>
              <w:t>19.具备1200小时趋势图表、1800个报警事件、1600组NIBP测量的数据存储和回顾功能,48小时全息波形回顾.</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20.具备趋势共存界面、呼吸氧合图界面，大字体显示界面，及标准显示界面等多种显示界面</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21.具备成人、小儿、新生儿三种病人配置，支持U盘导入导出配置</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22.标配普通锂电池，工作时间可达4小时；可选配高容量锂电池，工作时间达8小时</w:t>
            </w:r>
          </w:p>
          <w:p>
            <w:pPr>
              <w:autoSpaceDE w:val="0"/>
              <w:autoSpaceDN w:val="0"/>
              <w:adjustRightInd w:val="0"/>
              <w:spacing w:line="360" w:lineRule="auto"/>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23.支持3通道记录仪</w:t>
            </w:r>
          </w:p>
          <w:p>
            <w:pPr>
              <w:autoSpaceDE w:val="0"/>
              <w:autoSpaceDN w:val="0"/>
              <w:adjustRightInd w:val="0"/>
              <w:spacing w:line="360" w:lineRule="auto"/>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24.整机无风扇设计，降低环境噪音干扰</w:t>
            </w:r>
          </w:p>
          <w:p>
            <w:pPr>
              <w:autoSpaceDE w:val="0"/>
              <w:autoSpaceDN w:val="0"/>
              <w:adjustRightInd w:val="0"/>
              <w:spacing w:line="360" w:lineRule="auto"/>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25.独创支持附件收纳盒设计，让床旁附件管理更有序、更高效</w:t>
            </w:r>
          </w:p>
          <w:p>
            <w:pPr>
              <w:autoSpaceDE w:val="0"/>
              <w:autoSpaceDN w:val="0"/>
              <w:adjustRightInd w:val="0"/>
              <w:spacing w:line="360" w:lineRule="auto"/>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26.防水等级达到IPX1标准</w:t>
            </w:r>
          </w:p>
          <w:p>
            <w:pPr>
              <w:autoSpaceDE w:val="0"/>
              <w:autoSpaceDN w:val="0"/>
              <w:adjustRightInd w:val="0"/>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sz w:val="24"/>
                <w:szCs w:val="24"/>
              </w:rPr>
              <w:t>27.产品使用材料通过UL安全认证</w:t>
            </w:r>
          </w:p>
        </w:tc>
        <w:tc>
          <w:tcPr>
            <w:tcW w:w="6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台</w:t>
            </w:r>
          </w:p>
        </w:tc>
        <w:tc>
          <w:tcPr>
            <w:tcW w:w="5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w:t>
            </w:r>
          </w:p>
        </w:tc>
        <w:tc>
          <w:tcPr>
            <w:tcW w:w="9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呼吸睡眠检测仪</w:t>
            </w:r>
          </w:p>
        </w:tc>
        <w:tc>
          <w:tcPr>
            <w:tcW w:w="53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numPr>
                <w:ilvl w:val="0"/>
                <w:numId w:val="9"/>
              </w:numPr>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1.鼻气流测量范围：0rpm-40rpm,精确度±2rpm</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2.血氧测量范围：0%-100%精确度：70%-100%：±2%</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3.脉率测量范围：30bpm-250bpm, 精确度±2bpm</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4.血氧饱和度和脉率值显示，脉搏音、棒图指示。</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5.显示器：1.8“ 彩色OLED.</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6.脉搏波，鼻气流波形显示。</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7.低电提示，手指脱落及血氧、脉率超限提示可设。</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8.电池电量状态显示。</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9.实时时钟。</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10.定时开关机。</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11.多病历储存。</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12.连续12小时数据存储。</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13.数据通过USB上传至PC机。</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14.上位机软件分析。</w:t>
            </w:r>
          </w:p>
        </w:tc>
        <w:tc>
          <w:tcPr>
            <w:tcW w:w="6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5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p>
        </w:tc>
        <w:tc>
          <w:tcPr>
            <w:tcW w:w="9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脑电图机</w:t>
            </w:r>
          </w:p>
        </w:tc>
        <w:tc>
          <w:tcPr>
            <w:tcW w:w="53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numPr>
                <w:ilvl w:val="0"/>
                <w:numId w:val="9"/>
              </w:numPr>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主要技术参数要求</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1.功能概述：具有常规脑电图、脑电地形图等功能。</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2.通道配置：常规16通道。</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 供电方式：脑电放大盒，采用USB供电。</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4.导联编辑：支持单极、双极、自定义任意导联模式的编辑。</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5.语言要求：全中文界面</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6.数据库管理：病例数据库可分类管理，可对病例存档、备份。</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7.事件标记：采集病例时支持睁闭眼、深呼吸等多种事件诱发试验，并用不同颜色表示出来。</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8.USB接口，支持热插拔，抗干扰性能和灵敏度同步提高。</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二．技术规格：</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1.电压测量：±15mV，误差不超过±10％</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2.时间间隔：误差不超过±5％</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3.时间常数：0.03s，0.1s，0.3s可选</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4.幅频特性：1Hz～60 Hz，误差不超过±10％</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5.功率谱幅度：误差不超过±10％</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6.功率谱频率：误差不超过±5％</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7.耐极化电压：加±300mV的直流极化电压，偏差不超过5％</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8.显示速度可选</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9、显示增益可选；</w:t>
            </w:r>
          </w:p>
          <w:p>
            <w:pPr>
              <w:widowControl/>
              <w:numPr>
                <w:ilvl w:val="0"/>
                <w:numId w:val="9"/>
              </w:numPr>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10、高频滤波：15，30，45，60，120Hz可选</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11、采样率：≥1000次/秒AD ，24位</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12、噪声电平：≤2.5uVp-p或0.38μV(RMS)；</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13、采用方便快捷的USB接口脑电放大器不接受干电池供电及额外电源供电。</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14、输入范围：±15mv</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15、(共模抑制比：≥110dB</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16、50Hz干扰抑制比：≥60dB</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17、高频滤波控制：15，30，45，60，120Hz</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18、绝缘方式：双重绝缘</w:t>
            </w:r>
          </w:p>
        </w:tc>
        <w:tc>
          <w:tcPr>
            <w:tcW w:w="6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5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w:t>
            </w:r>
          </w:p>
        </w:tc>
        <w:tc>
          <w:tcPr>
            <w:tcW w:w="9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心理测定系统</w:t>
            </w:r>
          </w:p>
        </w:tc>
        <w:tc>
          <w:tcPr>
            <w:tcW w:w="53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1、系统所包含的量表（ 54 个），均采用全国常模或标准的临床心理测量评分方法，对精神卫生、临床心理、成人儿童等，均适用。 </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2、全新的视窗操作，多样化界面色彩 ，多媒体真人发音 ，报告输出多样性， 独到的诊断功能，数据管理及统计。</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3、本系统设计有帮助功能（有每个量表及如何使用系统的详细介绍），自动报告修改功能（可自定义修改、贮存、恢复所生成中文报告的文字描述），测验文字、图片提示等。</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配置：</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1.电脑双核处理器，2G内存，内置网卡，250G硬盘                                    </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2.≥15英寸液晶显示器</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3.单色激光打印机</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 立体声音箱</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5.安装光盘一张，加密狗一个</w:t>
            </w:r>
            <w:r>
              <w:rPr>
                <w:rFonts w:hint="eastAsia" w:ascii="新宋体" w:hAnsi="新宋体" w:eastAsia="新宋体" w:cs="新宋体"/>
                <w:color w:val="000000"/>
                <w:kern w:val="0"/>
                <w:sz w:val="24"/>
                <w:szCs w:val="24"/>
              </w:rPr>
              <w:br w:type="textWrapping"/>
            </w:r>
          </w:p>
        </w:tc>
        <w:tc>
          <w:tcPr>
            <w:tcW w:w="6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5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6</w:t>
            </w:r>
          </w:p>
        </w:tc>
        <w:tc>
          <w:tcPr>
            <w:tcW w:w="9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生物反馈治疗仪</w:t>
            </w:r>
          </w:p>
        </w:tc>
        <w:tc>
          <w:tcPr>
            <w:tcW w:w="53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1、多通道生物反馈仪（主机）</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1.1、 采样精度 ADC 模数转换率     ≥16Bits (224) 16位精度</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1.2、 反馈参数：脑电 ，皮电，皮温等</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1.3、 脑电(EEG): 噪声电平：≤1uV； 共模抑制比：≥100dB，电压测量误差不超过±10%。</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时间间隔：误差不超过±3%，高通道截止频率：1Hz，截止频点处的信号至少衰减3.2dB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耐极化电压：加±300mV的直流极化电压，偏差为±2%。低通滤波器，根据输入信号频率，产品可以设置低通滤波截至频率90HZ，截至频点处的信号至少衰减10dB,产品有50HZ陷波滤波器，衰减后幅值应不大于3uV,输入阻抗不小于5MΩ</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（提供医疗器械检测中心YY0903-2013脑电生物反馈强制标准来证明）</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1.4、皮温TEMP：信号输入范围:15℃--25℃，精度：±0.5℃，信号输入范围:25℃--40℃，</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精度：±0.01℃-0.08℃, 信号输入40℃ 精度：-0.2℃ （提供医疗器械检测中心报告）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4、智能数码多功能传感器 （可由软件控制其参数采集）</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4.1、动态屏蔽，碳性抗干扰</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4.2、脑电EEG传感器</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4.3、皮电SC/皮温TEMP多功能传感器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4.4、皮电SC手指探头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4.5  配备10套传感器, 实现同时治疗10人</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5、生物反馈操作软件80通道多功能整合包含：</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5.1、运用国际通行标准,配备英文版，中文版，德文版，并能一键互换,便于临床科研</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5.2、 80通道生物反馈采集，分析软件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界面编辑软件（Screen Editor）通道编辑软件（Channel Editor）训练方案编辑软件（Script Editor）数据统计打印输出软件 （Print，Excel）</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5.3、脑电伪迹处理软件           （EEG Artifact）</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5.4、 通道协调性检测软件</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5.5、 心率变异性 HRV精神压力分析软件</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5.6 心理应激反应反馈软件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5.7、 心理学中文应用软件： 含焦虑，抑郁，失眠治疗系统</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5.8、 心理训练多媒体反馈软件：支持DVD、CD、MP3、WAV、WMA、MID反馈视频捕获</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和播放，高清摄像视频反馈。</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6、软件功能</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6.1、 基线测试：实时显示每个人的脑电、皮温等数据自动生成测试数据报告，内置通用参考常模。</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6.2  视频连续播放生物反馈软件。（通过参数的变化，视频可进行暂停或继续播放的</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模式）</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6.3  脑电参数可进行单独反馈，以达到通过不同病症的脑电图的改变而采取不同治疗方案的点对点的直接治疗及训练。</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6.4   可调节脑电反馈的频段，针对某一频段或某几个频段的脑电波进行增强或减弱训练视觉反馈，可采用各种动画和形态画像进行，对于不同的对象，可采用不同的画面实时显示各导监测信号的波形，支持视频实时采集、反馈功能。</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6.5、治疗模式：要求包括意象式音乐治疗、萨提亚式冥想训练等。</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6.6、治疗模式：要求采用游戏化治疗方式，如拔河、捡金币，划龙舟，赛车等治疗模式。</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6.7、数据库管理方便，可增加，删除和修改病历，同一病人每次训练都能独立记录，同一病人或不同一病人之间的每次训练，都可做相互比较分析。</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7、由于是高精度生物反馈仪，提供中国国家知识产权局认证：《高精度生物反馈实用新型专利证书》，以保证是高精度产品；</w:t>
            </w:r>
          </w:p>
        </w:tc>
        <w:tc>
          <w:tcPr>
            <w:tcW w:w="6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5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7</w:t>
            </w:r>
          </w:p>
        </w:tc>
        <w:tc>
          <w:tcPr>
            <w:tcW w:w="9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多参数无抽搐电休克</w:t>
            </w:r>
          </w:p>
        </w:tc>
        <w:tc>
          <w:tcPr>
            <w:tcW w:w="53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要求：进口产品</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1、用途：适用于医疗单位重度抑症精神病患者的电刺激治疗。</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2、输出电压：50—400V可调</w:t>
            </w:r>
          </w:p>
          <w:p>
            <w:pPr>
              <w:widowControl/>
              <w:jc w:val="left"/>
              <w:textAlignment w:val="center"/>
              <w:rPr>
                <w:rFonts w:hint="eastAsia" w:ascii="新宋体" w:hAnsi="新宋体" w:eastAsia="新宋体" w:cs="新宋体"/>
                <w:color w:val="FF0000"/>
                <w:kern w:val="0"/>
                <w:sz w:val="24"/>
                <w:szCs w:val="24"/>
              </w:rPr>
            </w:pPr>
            <w:r>
              <w:rPr>
                <w:rFonts w:hint="eastAsia" w:ascii="新宋体" w:hAnsi="新宋体" w:eastAsia="新宋体" w:cs="新宋体"/>
                <w:color w:val="000000" w:themeColor="text1"/>
                <w:kern w:val="0"/>
                <w:sz w:val="24"/>
                <w:szCs w:val="24"/>
              </w:rPr>
              <w:t>3、输出功率：≥200J</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4、患者阻抗范围：100Ω-5000Ω</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5、内部测试：检测脉冲宽度、频率、延时和能量。</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6、保护：电极片短路或其他短路和开路时，提供保护。</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7、视觉提示</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8、听觉提示</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9、液晶显示器，点触式屏幕，具备多种菜单供选择。</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10、LCD触摸屏(仪器本身自带)实时监测病人脑电、肌电、心电。</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11、四通道记录器和显示功能</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12、系统菜单提供最少三个输出能量参数设定。</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13、输出能量用四个参数调节（电流、频率、脉冲宽度、持续时间）。</w:t>
            </w:r>
          </w:p>
          <w:p>
            <w:pPr>
              <w:widowControl/>
              <w:jc w:val="left"/>
              <w:textAlignment w:val="center"/>
              <w:rPr>
                <w:rFonts w:hint="eastAsia" w:ascii="新宋体" w:hAnsi="新宋体" w:eastAsia="新宋体" w:cs="新宋体"/>
                <w:color w:val="000000" w:themeColor="text1"/>
                <w:kern w:val="0"/>
                <w:sz w:val="24"/>
                <w:szCs w:val="24"/>
              </w:rPr>
            </w:pPr>
            <w:r>
              <w:rPr>
                <w:rFonts w:hint="eastAsia" w:ascii="新宋体" w:hAnsi="新宋体" w:eastAsia="新宋体" w:cs="新宋体"/>
                <w:color w:val="000000"/>
                <w:kern w:val="0"/>
                <w:sz w:val="24"/>
                <w:szCs w:val="24"/>
              </w:rPr>
              <w:t>14、</w:t>
            </w:r>
            <w:r>
              <w:rPr>
                <w:rFonts w:hint="eastAsia" w:ascii="新宋体" w:hAnsi="新宋体" w:eastAsia="新宋体" w:cs="新宋体"/>
                <w:color w:val="000000" w:themeColor="text1"/>
                <w:kern w:val="0"/>
                <w:sz w:val="24"/>
                <w:szCs w:val="24"/>
              </w:rPr>
              <w:t>输出电流：900mA（Min-Max）</w:t>
            </w:r>
          </w:p>
          <w:p>
            <w:pPr>
              <w:widowControl/>
              <w:jc w:val="left"/>
              <w:textAlignment w:val="center"/>
              <w:rPr>
                <w:rFonts w:hint="eastAsia" w:ascii="新宋体" w:hAnsi="新宋体" w:eastAsia="新宋体" w:cs="新宋体"/>
                <w:color w:val="000000" w:themeColor="text1"/>
                <w:kern w:val="0"/>
                <w:sz w:val="24"/>
                <w:szCs w:val="24"/>
              </w:rPr>
            </w:pPr>
            <w:r>
              <w:rPr>
                <w:rFonts w:hint="eastAsia" w:ascii="新宋体" w:hAnsi="新宋体" w:eastAsia="新宋体" w:cs="新宋体"/>
                <w:color w:val="000000" w:themeColor="text1"/>
                <w:kern w:val="0"/>
                <w:sz w:val="24"/>
                <w:szCs w:val="24"/>
              </w:rPr>
              <w:t>15、频率：20-120Hz（Min-Max）</w:t>
            </w:r>
          </w:p>
          <w:p>
            <w:pPr>
              <w:widowControl/>
              <w:jc w:val="left"/>
              <w:textAlignment w:val="center"/>
              <w:rPr>
                <w:rFonts w:hint="eastAsia" w:ascii="新宋体" w:hAnsi="新宋体" w:eastAsia="新宋体" w:cs="新宋体"/>
                <w:color w:val="000000" w:themeColor="text1"/>
                <w:kern w:val="0"/>
                <w:sz w:val="24"/>
                <w:szCs w:val="24"/>
              </w:rPr>
            </w:pPr>
            <w:r>
              <w:rPr>
                <w:rFonts w:hint="eastAsia" w:ascii="新宋体" w:hAnsi="新宋体" w:eastAsia="新宋体" w:cs="新宋体"/>
                <w:color w:val="000000" w:themeColor="text1"/>
                <w:kern w:val="0"/>
                <w:sz w:val="24"/>
                <w:szCs w:val="24"/>
              </w:rPr>
              <w:t>16、脉冲宽度：0.3毫秒-2.0毫秒（Min-Max）</w:t>
            </w:r>
          </w:p>
          <w:p>
            <w:pPr>
              <w:widowControl/>
              <w:jc w:val="left"/>
              <w:textAlignment w:val="center"/>
              <w:rPr>
                <w:rFonts w:hint="eastAsia" w:ascii="新宋体" w:hAnsi="新宋体" w:eastAsia="新宋体" w:cs="新宋体"/>
                <w:color w:val="000000" w:themeColor="text1"/>
                <w:kern w:val="0"/>
                <w:sz w:val="24"/>
                <w:szCs w:val="24"/>
              </w:rPr>
            </w:pPr>
            <w:r>
              <w:rPr>
                <w:rFonts w:hint="eastAsia" w:ascii="新宋体" w:hAnsi="新宋体" w:eastAsia="新宋体" w:cs="新宋体"/>
                <w:color w:val="000000" w:themeColor="text1"/>
                <w:kern w:val="0"/>
                <w:sz w:val="24"/>
                <w:szCs w:val="24"/>
              </w:rPr>
              <w:t>17、刺激持续时间：0.6秒-8.0秒</w:t>
            </w:r>
          </w:p>
          <w:p>
            <w:pPr>
              <w:widowControl/>
              <w:jc w:val="left"/>
              <w:textAlignment w:val="center"/>
              <w:rPr>
                <w:rFonts w:hint="eastAsia" w:ascii="新宋体" w:hAnsi="新宋体" w:eastAsia="新宋体" w:cs="新宋体"/>
                <w:color w:val="000000" w:themeColor="text1"/>
                <w:kern w:val="0"/>
                <w:sz w:val="24"/>
                <w:szCs w:val="24"/>
              </w:rPr>
            </w:pPr>
            <w:r>
              <w:rPr>
                <w:rFonts w:hint="eastAsia" w:ascii="新宋体" w:hAnsi="新宋体" w:eastAsia="新宋体" w:cs="新宋体"/>
                <w:color w:val="000000" w:themeColor="text1"/>
                <w:kern w:val="0"/>
                <w:sz w:val="24"/>
                <w:szCs w:val="24"/>
              </w:rPr>
              <w:t>18、电荷：&gt;1100毫库</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19、具备安全自测功能，开机时可通过外接标准负载自动完成安全自检。</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20、为保证治疗安全，刺激控制开关须具有防止误操作措施。</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21、数据分析系统：治疗后能够给医生一个准确的评判结果ADEQ值</w:t>
            </w:r>
          </w:p>
        </w:tc>
        <w:tc>
          <w:tcPr>
            <w:tcW w:w="6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5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w:t>
            </w:r>
          </w:p>
        </w:tc>
        <w:tc>
          <w:tcPr>
            <w:tcW w:w="9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眼震电图仪</w:t>
            </w:r>
          </w:p>
        </w:tc>
        <w:tc>
          <w:tcPr>
            <w:tcW w:w="53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要求：进口产品</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一、眼震视图功能：</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1.1自发性眼震</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1.2扫视试验</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1.3 平稳跟踪试验</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1.4视觉强化眼震试验</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1.5凝视试验</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1.6静态位置性试验</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1.7动态位置性试验</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1.8摇头试验</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1.9双耳变温冷热试验；</w:t>
            </w:r>
            <w:r>
              <w:rPr>
                <w:rFonts w:hint="eastAsia" w:ascii="新宋体" w:hAnsi="新宋体" w:eastAsia="新宋体" w:cs="新宋体"/>
                <w:color w:val="000000"/>
                <w:kern w:val="0"/>
                <w:sz w:val="24"/>
                <w:szCs w:val="24"/>
              </w:rPr>
              <w:br w:type="textWrapping"/>
            </w:r>
            <w:r>
              <w:rPr>
                <w:rFonts w:hint="eastAsia" w:ascii="新宋体" w:hAnsi="新宋体" w:eastAsia="新宋体" w:cs="新宋体"/>
                <w:sz w:val="24"/>
                <w:szCs w:val="24"/>
              </w:rPr>
              <w:t>★</w:t>
            </w:r>
            <w:r>
              <w:rPr>
                <w:rFonts w:hint="eastAsia" w:ascii="新宋体" w:hAnsi="新宋体" w:eastAsia="新宋体" w:cs="新宋体"/>
                <w:color w:val="000000" w:themeColor="text1"/>
                <w:kern w:val="0"/>
                <w:sz w:val="24"/>
                <w:szCs w:val="24"/>
              </w:rPr>
              <w:t>2、采样率≥200Hz</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3、视频功能：包含视频录制/播放，环境录像</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4、软件功能： Windows 图形用户界面，一套软件集合全部前庭试验功能；高性能自动分析软件；标准测试数据库管理，可对患者不同时期的检查数据进行对比；多样化的报告</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二、冷热气刺激仪</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1、温度范围：15-48℃数字显示</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2、温度精确度+0.5℃</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3、时间范围 1-99s</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4、流量范围4-9kg/min</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5、安全特性 显示当前输出温度，温度过高时可自动切断</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6、刺激控制 由刺激探头或脚踏开关控制</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themeColor="text1"/>
                <w:kern w:val="0"/>
                <w:sz w:val="24"/>
                <w:szCs w:val="24"/>
              </w:rPr>
              <w:t>7、软件控制：需做到3D眼球震颤评估，实时头部位置反馈</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四、主要配置：</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眼罩主机、眼罩套件、面部衬垫、遮挡眼贴、靶点、连接线、装机软件、用户手册、视频记录机、冷热刺激仪、中文说明书、电脑、打印机。</w:t>
            </w:r>
          </w:p>
        </w:tc>
        <w:tc>
          <w:tcPr>
            <w:tcW w:w="6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5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9</w:t>
            </w:r>
          </w:p>
        </w:tc>
        <w:tc>
          <w:tcPr>
            <w:tcW w:w="9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甩头实验仪</w:t>
            </w:r>
          </w:p>
        </w:tc>
        <w:tc>
          <w:tcPr>
            <w:tcW w:w="53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要求：进口产品</w:t>
            </w:r>
          </w:p>
          <w:p>
            <w:pPr>
              <w:spacing w:line="276" w:lineRule="auto"/>
              <w:ind w:left="410" w:hanging="410" w:hangingChars="17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一、该设备是做VHIT甩头试验来评估受试者前庭功能的一项快速测试方法。具备以下功能模块：</w:t>
            </w:r>
          </w:p>
          <w:p>
            <w:pPr>
              <w:spacing w:line="276" w:lineRule="auto"/>
              <w:ind w:left="410" w:hanging="410" w:hangingChars="17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1、甩头模块：快速鉴别和定位受损半规管：左右水平、左前右后、右前左后。</w:t>
            </w:r>
          </w:p>
          <w:p>
            <w:pPr>
              <w:spacing w:line="276" w:lineRule="auto"/>
              <w:ind w:left="410" w:hanging="410" w:hangingChars="17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2、视频Frenzel功能模块：可做视频放大观察、自定义检查方法、视频记录并建档。</w:t>
            </w:r>
          </w:p>
          <w:p>
            <w:pPr>
              <w:spacing w:line="276" w:lineRule="auto"/>
              <w:ind w:left="410" w:hanging="410" w:hangingChars="17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二、主要技术参数：</w:t>
            </w:r>
          </w:p>
          <w:p>
            <w:pPr>
              <w:spacing w:line="276" w:lineRule="auto"/>
              <w:ind w:left="410" w:hanging="410" w:hangingChars="17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1、接口：≥USB2.0连接 PC</w:t>
            </w:r>
          </w:p>
          <w:p>
            <w:pPr>
              <w:spacing w:line="276" w:lineRule="auto"/>
              <w:ind w:left="410" w:hanging="410" w:hangingChars="17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2、头动输入：≥9轴运动感应器</w:t>
            </w:r>
          </w:p>
          <w:p>
            <w:pPr>
              <w:spacing w:line="276" w:lineRule="auto"/>
              <w:ind w:left="410" w:hanging="410" w:hangingChars="171"/>
              <w:rPr>
                <w:rFonts w:hint="eastAsia" w:ascii="新宋体" w:hAnsi="新宋体" w:eastAsia="新宋体" w:cs="新宋体"/>
                <w:color w:val="FF0000"/>
                <w:kern w:val="0"/>
                <w:sz w:val="24"/>
                <w:szCs w:val="24"/>
              </w:rPr>
            </w:pPr>
            <w:r>
              <w:rPr>
                <w:rFonts w:hint="eastAsia" w:ascii="新宋体" w:hAnsi="新宋体" w:eastAsia="新宋体" w:cs="新宋体"/>
                <w:color w:val="000000" w:themeColor="text1"/>
                <w:kern w:val="0"/>
                <w:sz w:val="24"/>
                <w:szCs w:val="24"/>
              </w:rPr>
              <w:t>3、眼动输入：内置单眼，保证摄像头位置稳固，避免位移带来的数据误差及摄像头的安全、耐用性</w:t>
            </w:r>
          </w:p>
          <w:p>
            <w:pPr>
              <w:spacing w:line="276" w:lineRule="auto"/>
              <w:ind w:left="359" w:hanging="410" w:hangingChars="171"/>
              <w:rPr>
                <w:rFonts w:hint="eastAsia" w:ascii="新宋体" w:hAnsi="新宋体" w:eastAsia="新宋体" w:cs="新宋体"/>
                <w:color w:val="000000" w:themeColor="text1"/>
                <w:kern w:val="0"/>
                <w:sz w:val="24"/>
                <w:szCs w:val="24"/>
              </w:rPr>
            </w:pPr>
            <w:r>
              <w:rPr>
                <w:rFonts w:hint="eastAsia" w:ascii="新宋体" w:hAnsi="新宋体" w:eastAsia="新宋体" w:cs="新宋体"/>
                <w:sz w:val="24"/>
                <w:szCs w:val="24"/>
              </w:rPr>
              <w:t>★</w:t>
            </w:r>
            <w:r>
              <w:rPr>
                <w:rFonts w:hint="eastAsia" w:ascii="新宋体" w:hAnsi="新宋体" w:eastAsia="新宋体" w:cs="新宋体"/>
                <w:color w:val="000000" w:themeColor="text1"/>
                <w:kern w:val="0"/>
                <w:sz w:val="24"/>
                <w:szCs w:val="24"/>
              </w:rPr>
              <w:t>4、采样率：≥230帧/秒</w:t>
            </w:r>
          </w:p>
          <w:p>
            <w:pPr>
              <w:spacing w:line="276" w:lineRule="auto"/>
              <w:ind w:left="410" w:hanging="410" w:hangingChars="17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5、眼球跟踪：≥100像素 x 100像素-高清摄像系统</w:t>
            </w:r>
          </w:p>
          <w:p>
            <w:pPr>
              <w:spacing w:line="276" w:lineRule="auto"/>
              <w:ind w:left="410" w:hanging="410" w:hangingChars="17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6、前庭软件：Windows 图形用户界面；高性能分析软件；测试数据的数据库存储；精密的患者和测试数据管理，可对患者不同时期的检查数据进行对比；多样化的报告，二维图精确各个成功甩头增益，六角图直观分析患者功能；</w:t>
            </w:r>
          </w:p>
          <w:p>
            <w:pPr>
              <w:spacing w:line="276" w:lineRule="auto"/>
              <w:ind w:left="410" w:hanging="410" w:hangingChars="17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7、校准：</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眼罩内置2束独立校准激光。激光规格：</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　</w:t>
            </w:r>
          </w:p>
          <w:p>
            <w:pPr>
              <w:spacing w:line="276" w:lineRule="auto"/>
              <w:ind w:left="141" w:leftChars="67" w:firstLine="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7.1、波长：≤ 660 纳米</w:t>
            </w:r>
          </w:p>
          <w:p>
            <w:pPr>
              <w:spacing w:line="276" w:lineRule="auto"/>
              <w:ind w:left="421" w:leftChars="67" w:hanging="280" w:hangingChars="117"/>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7.2、输出功率：≤0.9 毫瓦</w:t>
            </w:r>
          </w:p>
          <w:p>
            <w:pPr>
              <w:spacing w:line="276" w:lineRule="auto"/>
              <w:ind w:left="410" w:hanging="410" w:hangingChars="17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8、散热：内置独立的散热系统</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　</w:t>
            </w:r>
          </w:p>
          <w:p>
            <w:pPr>
              <w:spacing w:line="276" w:lineRule="auto"/>
              <w:ind w:left="410" w:hanging="410" w:hangingChars="17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9、标准：安全性能遵循 UC 60601-1,1ｅｄ．﹐IEC60601-1,2ｅｄ, EMC遵循IEC6-6-1-1-2,3．ed.</w:t>
            </w:r>
          </w:p>
          <w:p>
            <w:pPr>
              <w:spacing w:line="276" w:lineRule="auto"/>
              <w:ind w:left="410" w:hanging="410" w:hangingChars="17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三、主要配置：主机、眼罩固定盒、面垫、靶点、线夹、前庭软件、用户手册、同步视频摄像、中文说明书、工作站等。</w:t>
            </w:r>
          </w:p>
        </w:tc>
        <w:tc>
          <w:tcPr>
            <w:tcW w:w="6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5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10</w:t>
            </w:r>
          </w:p>
        </w:tc>
        <w:tc>
          <w:tcPr>
            <w:tcW w:w="9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洗胃机</w:t>
            </w:r>
          </w:p>
        </w:tc>
        <w:tc>
          <w:tcPr>
            <w:tcW w:w="53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1.本机采用电磁水泵作为冲液和吸液的动力源。</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2.进胃和出胃管路彻底分开，能够有效阻止交叉感染。</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3.具有手控和自控二种操作功能，易于调整和控制。</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4.设有故障声光提示装置，便于故障的排除和设备维修</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5.整机均有圆弧光滑过度，易于清洁和保养。</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 流量：≥2L/min</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7. 自控：冲液量为250～350ml/次   吸液量为300～450ml/次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8.压力控制：冲、吸压力设定为0.047MPa～0.067MPa</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9.噪声:≤65dB(A)</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10.过滤瓶：800ml(PC塑料)X2</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11.电源：AC220V 50Hz</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12.输入功率：250VA</w:t>
            </w:r>
            <w:r>
              <w:rPr>
                <w:rFonts w:hint="eastAsia" w:ascii="新宋体" w:hAnsi="新宋体" w:eastAsia="新宋体" w:cs="新宋体"/>
                <w:color w:val="000000"/>
                <w:kern w:val="0"/>
                <w:sz w:val="24"/>
                <w:szCs w:val="24"/>
              </w:rPr>
              <w:br w:type="textWrapping"/>
            </w:r>
          </w:p>
        </w:tc>
        <w:tc>
          <w:tcPr>
            <w:tcW w:w="6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5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11</w:t>
            </w:r>
          </w:p>
        </w:tc>
        <w:tc>
          <w:tcPr>
            <w:tcW w:w="9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电动吸引器</w:t>
            </w:r>
          </w:p>
        </w:tc>
        <w:tc>
          <w:tcPr>
            <w:tcW w:w="53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1.采用无油润滑真空泵，抽气速率高、负压上升快，无油雾污染，泵体无需日常维护和保养;</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2.设备后部的槽型板内可放置脚踏开关及电源线等；</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3.设有溢流保护装置，可防止液体进入中间管道；</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4.负压调节系统可根据临床需要作无级调压；</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5.标准配置为玻璃贮液瓶，可根据需要改为PC塑料瓶；</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6.手动开关和脚踏开关并联连接，任意选用。，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7.极限负压值：≥0.09MPa(680mmHg)</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8.负压调节范围:0.02Mpa(150mmHg)～极限负压值</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9.瞬时抽气速率：≥30L/Min</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10.贮液瓶：2500mL×2(玻璃)(可另配2L塑料瓶及一次性吸液袋)</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11.电源：AC220V 50Hz</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12.输入功率：150VA</w:t>
            </w:r>
          </w:p>
        </w:tc>
        <w:tc>
          <w:tcPr>
            <w:tcW w:w="6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5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12</w:t>
            </w:r>
          </w:p>
        </w:tc>
        <w:tc>
          <w:tcPr>
            <w:tcW w:w="9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紫外线灯车</w:t>
            </w:r>
          </w:p>
        </w:tc>
        <w:tc>
          <w:tcPr>
            <w:tcW w:w="53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1.灯管30W*2；</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2.电源电压220V±20% 50HZ</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3.尺寸：32*95，灯管长度85</w:t>
            </w:r>
          </w:p>
        </w:tc>
        <w:tc>
          <w:tcPr>
            <w:tcW w:w="6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辆</w:t>
            </w:r>
          </w:p>
        </w:tc>
        <w:tc>
          <w:tcPr>
            <w:tcW w:w="5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6</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bl>
    <w:p>
      <w:pPr>
        <w:spacing w:line="360" w:lineRule="auto"/>
        <w:contextualSpacing/>
        <w:rPr>
          <w:rFonts w:hint="eastAsia" w:cs="黑体" w:asciiTheme="minorEastAsia" w:hAnsiTheme="minorEastAsia"/>
          <w:b w:val="0"/>
          <w:bCs w:val="0"/>
          <w:color w:val="000000"/>
          <w:sz w:val="24"/>
          <w:szCs w:val="24"/>
          <w:shd w:val="clear" w:color="auto" w:fill="FFFFFF"/>
          <w:lang w:val="zh-CN"/>
        </w:rPr>
      </w:pPr>
    </w:p>
    <w:p>
      <w:pPr>
        <w:spacing w:line="360" w:lineRule="auto"/>
        <w:ind w:firstLine="4080" w:firstLineChars="1700"/>
        <w:contextualSpacing/>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第二标段</w:t>
      </w:r>
    </w:p>
    <w:p>
      <w:pPr>
        <w:pStyle w:val="2"/>
        <w:rPr>
          <w:rFonts w:hint="eastAsia"/>
          <w:lang w:val="zh-CN"/>
        </w:rPr>
      </w:pPr>
      <w:r>
        <w:rPr>
          <w:rFonts w:hint="eastAsia" w:cs="黑体" w:asciiTheme="minorEastAsia" w:hAnsiTheme="minorEastAsia"/>
          <w:b w:val="0"/>
          <w:bCs w:val="0"/>
          <w:color w:val="000000"/>
          <w:sz w:val="24"/>
          <w:szCs w:val="24"/>
          <w:shd w:val="clear" w:color="auto" w:fill="FFFFFF"/>
          <w:lang w:val="zh-CN"/>
        </w:rPr>
        <w:t>（</w:t>
      </w:r>
      <w:r>
        <w:rPr>
          <w:rFonts w:hint="eastAsia" w:cs="黑体" w:asciiTheme="minorEastAsia" w:hAnsiTheme="minorEastAsia"/>
          <w:b w:val="0"/>
          <w:bCs w:val="0"/>
          <w:color w:val="000000"/>
          <w:sz w:val="24"/>
          <w:szCs w:val="24"/>
          <w:shd w:val="clear" w:color="auto" w:fill="FFFFFF"/>
          <w:lang w:val="en-US" w:eastAsia="zh-CN"/>
        </w:rPr>
        <w:t>1</w:t>
      </w:r>
      <w:r>
        <w:rPr>
          <w:rFonts w:hint="eastAsia" w:cs="黑体" w:asciiTheme="minorEastAsia" w:hAnsiTheme="minorEastAsia"/>
          <w:b w:val="0"/>
          <w:bCs w:val="0"/>
          <w:color w:val="000000"/>
          <w:sz w:val="24"/>
          <w:szCs w:val="24"/>
          <w:shd w:val="clear" w:color="auto" w:fill="FFFFFF"/>
          <w:lang w:val="zh-CN"/>
        </w:rPr>
        <w:t>）清单</w:t>
      </w:r>
    </w:p>
    <w:tbl>
      <w:tblPr>
        <w:tblStyle w:val="26"/>
        <w:tblW w:w="9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5"/>
        <w:gridCol w:w="3683"/>
        <w:gridCol w:w="1856"/>
        <w:gridCol w:w="754"/>
        <w:gridCol w:w="776"/>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序号</w:t>
            </w:r>
          </w:p>
        </w:tc>
        <w:tc>
          <w:tcPr>
            <w:tcW w:w="36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货物名称</w:t>
            </w:r>
          </w:p>
        </w:tc>
        <w:tc>
          <w:tcPr>
            <w:tcW w:w="185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技术规格及主要参数</w:t>
            </w:r>
          </w:p>
        </w:tc>
        <w:tc>
          <w:tcPr>
            <w:tcW w:w="75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单位</w:t>
            </w:r>
          </w:p>
        </w:tc>
        <w:tc>
          <w:tcPr>
            <w:tcW w:w="7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数量</w:t>
            </w:r>
          </w:p>
        </w:tc>
        <w:tc>
          <w:tcPr>
            <w:tcW w:w="1807"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7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36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门急诊挂号系统</w:t>
            </w:r>
          </w:p>
        </w:tc>
        <w:tc>
          <w:tcPr>
            <w:tcW w:w="185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p>
        </w:tc>
        <w:tc>
          <w:tcPr>
            <w:tcW w:w="36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门急诊收费系统</w:t>
            </w:r>
          </w:p>
        </w:tc>
        <w:tc>
          <w:tcPr>
            <w:tcW w:w="185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w:t>
            </w:r>
          </w:p>
        </w:tc>
        <w:tc>
          <w:tcPr>
            <w:tcW w:w="36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住院入出转管理系统</w:t>
            </w:r>
          </w:p>
        </w:tc>
        <w:tc>
          <w:tcPr>
            <w:tcW w:w="185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p>
        </w:tc>
        <w:tc>
          <w:tcPr>
            <w:tcW w:w="36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住院收费系统</w:t>
            </w:r>
          </w:p>
        </w:tc>
        <w:tc>
          <w:tcPr>
            <w:tcW w:w="185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w:t>
            </w:r>
          </w:p>
        </w:tc>
        <w:tc>
          <w:tcPr>
            <w:tcW w:w="36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一卡通管理系统</w:t>
            </w:r>
          </w:p>
        </w:tc>
        <w:tc>
          <w:tcPr>
            <w:tcW w:w="185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6</w:t>
            </w:r>
          </w:p>
        </w:tc>
        <w:tc>
          <w:tcPr>
            <w:tcW w:w="36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中西药房管理子系统</w:t>
            </w:r>
          </w:p>
        </w:tc>
        <w:tc>
          <w:tcPr>
            <w:tcW w:w="185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7</w:t>
            </w:r>
          </w:p>
        </w:tc>
        <w:tc>
          <w:tcPr>
            <w:tcW w:w="36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中西药库管理子系统</w:t>
            </w:r>
          </w:p>
        </w:tc>
        <w:tc>
          <w:tcPr>
            <w:tcW w:w="185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w:t>
            </w:r>
          </w:p>
        </w:tc>
        <w:tc>
          <w:tcPr>
            <w:tcW w:w="3683" w:type="dxa"/>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卫材管理系统</w:t>
            </w:r>
          </w:p>
        </w:tc>
        <w:tc>
          <w:tcPr>
            <w:tcW w:w="1856" w:type="dxa"/>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9</w:t>
            </w:r>
          </w:p>
        </w:tc>
        <w:tc>
          <w:tcPr>
            <w:tcW w:w="3683" w:type="dxa"/>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城镇职工医疗保险接口</w:t>
            </w:r>
          </w:p>
        </w:tc>
        <w:tc>
          <w:tcPr>
            <w:tcW w:w="1856" w:type="dxa"/>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10</w:t>
            </w:r>
          </w:p>
        </w:tc>
        <w:tc>
          <w:tcPr>
            <w:tcW w:w="3683" w:type="dxa"/>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城乡居民医疗保险接口</w:t>
            </w:r>
          </w:p>
        </w:tc>
        <w:tc>
          <w:tcPr>
            <w:tcW w:w="1856" w:type="dxa"/>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11</w:t>
            </w:r>
          </w:p>
        </w:tc>
        <w:tc>
          <w:tcPr>
            <w:tcW w:w="3683" w:type="dxa"/>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住院医生工作站</w:t>
            </w:r>
          </w:p>
        </w:tc>
        <w:tc>
          <w:tcPr>
            <w:tcW w:w="1856" w:type="dxa"/>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12</w:t>
            </w:r>
          </w:p>
        </w:tc>
        <w:tc>
          <w:tcPr>
            <w:tcW w:w="3683" w:type="dxa"/>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门诊医生工作站</w:t>
            </w:r>
          </w:p>
        </w:tc>
        <w:tc>
          <w:tcPr>
            <w:tcW w:w="1856" w:type="dxa"/>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13</w:t>
            </w:r>
          </w:p>
        </w:tc>
        <w:tc>
          <w:tcPr>
            <w:tcW w:w="3683" w:type="dxa"/>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护士工作站</w:t>
            </w:r>
          </w:p>
        </w:tc>
        <w:tc>
          <w:tcPr>
            <w:tcW w:w="1856" w:type="dxa"/>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14</w:t>
            </w:r>
          </w:p>
        </w:tc>
        <w:tc>
          <w:tcPr>
            <w:tcW w:w="3683" w:type="dxa"/>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电子病历书写与管理系统</w:t>
            </w:r>
          </w:p>
        </w:tc>
        <w:tc>
          <w:tcPr>
            <w:tcW w:w="1856" w:type="dxa"/>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15</w:t>
            </w:r>
          </w:p>
        </w:tc>
        <w:tc>
          <w:tcPr>
            <w:tcW w:w="3683" w:type="dxa"/>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临床路径系统</w:t>
            </w:r>
          </w:p>
        </w:tc>
        <w:tc>
          <w:tcPr>
            <w:tcW w:w="1856" w:type="dxa"/>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16</w:t>
            </w:r>
          </w:p>
        </w:tc>
        <w:tc>
          <w:tcPr>
            <w:tcW w:w="3683" w:type="dxa"/>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病案管理系统</w:t>
            </w:r>
          </w:p>
        </w:tc>
        <w:tc>
          <w:tcPr>
            <w:tcW w:w="1856" w:type="dxa"/>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17</w:t>
            </w:r>
          </w:p>
        </w:tc>
        <w:tc>
          <w:tcPr>
            <w:tcW w:w="3683" w:type="dxa"/>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检验信息系统（LIS）</w:t>
            </w:r>
          </w:p>
        </w:tc>
        <w:tc>
          <w:tcPr>
            <w:tcW w:w="1856" w:type="dxa"/>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18</w:t>
            </w:r>
          </w:p>
        </w:tc>
        <w:tc>
          <w:tcPr>
            <w:tcW w:w="3683" w:type="dxa"/>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不良事件上报系统</w:t>
            </w:r>
          </w:p>
        </w:tc>
        <w:tc>
          <w:tcPr>
            <w:tcW w:w="1856" w:type="dxa"/>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19</w:t>
            </w:r>
          </w:p>
        </w:tc>
        <w:tc>
          <w:tcPr>
            <w:tcW w:w="3683" w:type="dxa"/>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抗菌药物管理系统</w:t>
            </w:r>
          </w:p>
        </w:tc>
        <w:tc>
          <w:tcPr>
            <w:tcW w:w="1856" w:type="dxa"/>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20</w:t>
            </w:r>
          </w:p>
        </w:tc>
        <w:tc>
          <w:tcPr>
            <w:tcW w:w="3683" w:type="dxa"/>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物资管理系统</w:t>
            </w:r>
          </w:p>
        </w:tc>
        <w:tc>
          <w:tcPr>
            <w:tcW w:w="1856" w:type="dxa"/>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21</w:t>
            </w:r>
          </w:p>
        </w:tc>
        <w:tc>
          <w:tcPr>
            <w:tcW w:w="3683" w:type="dxa"/>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设备管理系统</w:t>
            </w:r>
          </w:p>
        </w:tc>
        <w:tc>
          <w:tcPr>
            <w:tcW w:w="1856" w:type="dxa"/>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bl>
    <w:p>
      <w:pPr>
        <w:pStyle w:val="3"/>
        <w:pageBreakBefore w:val="0"/>
        <w:numPr>
          <w:ilvl w:val="0"/>
          <w:numId w:val="0"/>
        </w:numPr>
        <w:kinsoku/>
        <w:wordWrap/>
        <w:overflowPunct/>
        <w:topLinePunct w:val="0"/>
        <w:bidi w:val="0"/>
        <w:spacing w:line="400" w:lineRule="exact"/>
        <w:rPr>
          <w:rFonts w:hint="eastAsia" w:ascii="新宋体" w:hAnsi="新宋体" w:eastAsia="新宋体" w:cs="新宋体"/>
          <w:sz w:val="24"/>
          <w:szCs w:val="24"/>
        </w:rPr>
      </w:pPr>
      <w:bookmarkStart w:id="0" w:name="_Toc25338"/>
      <w:bookmarkStart w:id="1" w:name="_Toc3895"/>
      <w:bookmarkStart w:id="2" w:name="_Toc10763"/>
      <w:bookmarkStart w:id="3" w:name="_Toc10512"/>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总体性要求</w:t>
      </w:r>
      <w:bookmarkEnd w:id="0"/>
      <w:bookmarkEnd w:id="1"/>
      <w:bookmarkEnd w:id="2"/>
      <w:bookmarkEnd w:id="3"/>
    </w:p>
    <w:p>
      <w:pPr>
        <w:pStyle w:val="4"/>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4" w:name="_Toc4594"/>
      <w:r>
        <w:rPr>
          <w:rFonts w:hint="eastAsia" w:ascii="新宋体" w:hAnsi="新宋体" w:eastAsia="新宋体" w:cs="新宋体"/>
          <w:sz w:val="24"/>
          <w:szCs w:val="24"/>
        </w:rPr>
        <w:t>标准化、规范化原则</w:t>
      </w:r>
      <w:bookmarkEnd w:id="4"/>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遵循卫生部《（2003-2010年）全国卫生信息化发展规划纲要》；遵循卫生部最新版《医院信息系统基本功能规范》、《基于XML电子公文格式规范》、《电子病历流程设计方法通用规范》、《电子病历数据元规范》和《河南省数字化医院建设指南（2014版）》等标准等标准；遵循国际、国内相关标准：ICD-10、ASTM、DICOM3.0、HL7、IHE等；系统设计严格执行国家有关软件工程的标准，应用设计符合国际、国家、医疗卫生行业有关标准、规范和医院自身的发展规划。</w:t>
      </w:r>
    </w:p>
    <w:p>
      <w:pPr>
        <w:pStyle w:val="4"/>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5" w:name="_Toc30829"/>
      <w:r>
        <w:rPr>
          <w:rFonts w:hint="eastAsia" w:ascii="新宋体" w:hAnsi="新宋体" w:eastAsia="新宋体" w:cs="新宋体"/>
          <w:sz w:val="24"/>
          <w:szCs w:val="24"/>
        </w:rPr>
        <w:t>★软件采用一体化设计</w:t>
      </w:r>
      <w:bookmarkEnd w:id="5"/>
    </w:p>
    <w:p>
      <w:pPr>
        <w:pageBreakBefore w:val="0"/>
        <w:kinsoku/>
        <w:wordWrap/>
        <w:overflowPunct/>
        <w:topLinePunct w:val="0"/>
        <w:bidi w:val="0"/>
        <w:spacing w:line="40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软件版本模块统一、升级快捷方便，软件模块升级过程中不能影响在用软件的正常使用，且数据完整无丢失，所有用户通过同一个客户端，在任何安装客户端的科室，输入自己的用户名密码都能进入所在的工作界面，信息科管理人员升级系统时候，在数据库上进行一键升级。</w:t>
      </w:r>
    </w:p>
    <w:p>
      <w:pPr>
        <w:pageBreakBefore w:val="0"/>
        <w:kinsoku/>
        <w:wordWrap/>
        <w:overflowPunct/>
        <w:topLinePunct w:val="0"/>
        <w:bidi w:val="0"/>
        <w:spacing w:line="400" w:lineRule="exact"/>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信息系统一体化：</w:t>
      </w:r>
    </w:p>
    <w:p>
      <w:pPr>
        <w:pStyle w:val="66"/>
        <w:pageBreakBefore w:val="0"/>
        <w:widowControl/>
        <w:kinsoku/>
        <w:wordWrap/>
        <w:overflowPunct/>
        <w:topLinePunct w:val="0"/>
        <w:bidi w:val="0"/>
        <w:spacing w:line="400" w:lineRule="exact"/>
        <w:ind w:left="0"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●门诊、住院医生工作站、住院护士工作站能共享病人的信息。</w:t>
      </w:r>
    </w:p>
    <w:p>
      <w:pPr>
        <w:pStyle w:val="66"/>
        <w:pageBreakBefore w:val="0"/>
        <w:widowControl/>
        <w:kinsoku/>
        <w:wordWrap/>
        <w:overflowPunct/>
        <w:topLinePunct w:val="0"/>
        <w:bidi w:val="0"/>
        <w:spacing w:line="400" w:lineRule="exact"/>
        <w:ind w:left="0" w:firstLine="480" w:firstLineChars="200"/>
        <w:jc w:val="left"/>
        <w:rPr>
          <w:rFonts w:hint="eastAsia" w:ascii="新宋体" w:hAnsi="新宋体" w:eastAsia="新宋体" w:cs="新宋体"/>
          <w:color w:val="000000"/>
          <w:sz w:val="24"/>
          <w:szCs w:val="24"/>
        </w:rPr>
      </w:pPr>
      <w:r>
        <w:rPr>
          <w:rFonts w:hint="eastAsia" w:ascii="新宋体" w:hAnsi="新宋体" w:eastAsia="新宋体" w:cs="新宋体"/>
          <w:sz w:val="24"/>
          <w:szCs w:val="24"/>
        </w:rPr>
        <w:t>●共享的内容包括病人信息，就诊信息，报告信息等内容。</w:t>
      </w:r>
    </w:p>
    <w:p>
      <w:pPr>
        <w:pStyle w:val="4"/>
        <w:pageBreakBefore w:val="0"/>
        <w:numPr>
          <w:ilvl w:val="0"/>
          <w:numId w:val="0"/>
        </w:numPr>
        <w:kinsoku/>
        <w:wordWrap/>
        <w:overflowPunct/>
        <w:topLinePunct w:val="0"/>
        <w:bidi w:val="0"/>
        <w:spacing w:line="400" w:lineRule="exact"/>
        <w:rPr>
          <w:rFonts w:hint="eastAsia" w:ascii="新宋体" w:hAnsi="新宋体" w:eastAsia="新宋体" w:cs="新宋体"/>
          <w:sz w:val="24"/>
          <w:szCs w:val="24"/>
        </w:rPr>
      </w:pPr>
      <w:bookmarkStart w:id="6" w:name="_Toc29002"/>
      <w:r>
        <w:rPr>
          <w:rFonts w:hint="eastAsia" w:ascii="新宋体" w:hAnsi="新宋体" w:eastAsia="新宋体" w:cs="新宋体"/>
          <w:sz w:val="24"/>
          <w:szCs w:val="24"/>
        </w:rPr>
        <w:t>适用性原则</w:t>
      </w:r>
      <w:bookmarkEnd w:id="6"/>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投标厂家须满足系统各功能部分可按照医院的规模及功能要求采用不同级别模块组合，每种组合都可以解决医院信息管理中一类问题。各个部分既可以单独运行也可相互配合使用，保证医院管理系统的“整体设计、分步实施”，减少了医院的投资压力。</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系统应能为高层管理者提供医院总体运行状况、发展趋势、存在问题的分析、决策，同时可以为临床提供、治疗方案指导、智能辅助诊断等；支持对院外信息交互使用。系统应当以病人信息为中心，支持新农村合作医疗、省市城镇职工医疗保险、居民医疗保险、银行卡等的无缝对接，并预留社区卫生服务、远程会诊、卫健委等接口。</w:t>
      </w:r>
    </w:p>
    <w:p>
      <w:pPr>
        <w:pageBreakBefore w:val="0"/>
        <w:kinsoku/>
        <w:wordWrap/>
        <w:overflowPunct/>
        <w:topLinePunct w:val="0"/>
        <w:bidi w:val="0"/>
        <w:spacing w:line="40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投标人提供的应用软件不一定按照招标人所要求的模块进行划分，但必须包含所要求的基本功能，在基本功能上允许增添功能模块，增添的功能模块将作为重要的考虑因素。</w:t>
      </w:r>
    </w:p>
    <w:p>
      <w:pPr>
        <w:pStyle w:val="4"/>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7" w:name="_Toc4788"/>
      <w:r>
        <w:rPr>
          <w:rFonts w:hint="eastAsia" w:ascii="新宋体" w:hAnsi="新宋体" w:eastAsia="新宋体" w:cs="新宋体"/>
          <w:sz w:val="24"/>
          <w:szCs w:val="24"/>
        </w:rPr>
        <w:t>技术先进性</w:t>
      </w:r>
      <w:bookmarkEnd w:id="7"/>
    </w:p>
    <w:p>
      <w:pPr>
        <w:pStyle w:val="15"/>
        <w:pageBreakBefore w:val="0"/>
        <w:kinsoku/>
        <w:wordWrap/>
        <w:overflowPunct/>
        <w:topLinePunct w:val="0"/>
        <w:bidi w:val="0"/>
        <w:adjustRightInd w:val="0"/>
        <w:spacing w:line="40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本次信息系统的建设要采用最新技术手段，例如基于大型关系型数据库平台，采用PB、JAVA、C#、NET、XML等技术；三层架构或两层架构；独立于特定的硬件平台和操作系统；支持各种类型的数据库系统；具有分布式事务功能；支持消息服务；支持组件化开发；具有良好的安全性；提供良好的可扩展性和容错性。招标人为合理规划流程有权要求在系统中嵌入IC卡、磁卡、银行卡、显示屏、条形码、短信、PDA、移动终端等新的技术。本招标文件中技术要求没有涉及的先进技术、方法，投标方可自行补充，并在投标文件中介绍说明。</w:t>
      </w:r>
    </w:p>
    <w:p>
      <w:pPr>
        <w:pageBreakBefore w:val="0"/>
        <w:kinsoku/>
        <w:wordWrap/>
        <w:overflowPunct/>
        <w:topLinePunct w:val="0"/>
        <w:bidi w:val="0"/>
        <w:spacing w:line="400" w:lineRule="exact"/>
        <w:rPr>
          <w:rStyle w:val="33"/>
          <w:rFonts w:hint="eastAsia" w:ascii="新宋体" w:hAnsi="新宋体" w:eastAsia="新宋体" w:cs="新宋体"/>
          <w:sz w:val="24"/>
          <w:szCs w:val="24"/>
        </w:rPr>
      </w:pPr>
      <w:bookmarkStart w:id="8" w:name="_Toc6049"/>
      <w:bookmarkStart w:id="9" w:name="_Toc316935968"/>
      <w:bookmarkStart w:id="10" w:name="_Toc294616152"/>
      <w:bookmarkStart w:id="11" w:name="_Toc228327767"/>
      <w:bookmarkStart w:id="12" w:name="_Toc318877014"/>
      <w:r>
        <w:rPr>
          <w:rStyle w:val="33"/>
          <w:rFonts w:hint="eastAsia" w:ascii="新宋体" w:hAnsi="新宋体" w:eastAsia="新宋体" w:cs="新宋体"/>
          <w:sz w:val="24"/>
          <w:szCs w:val="24"/>
        </w:rPr>
        <w:t>系统必须是非常稳定成熟的软件产品</w:t>
      </w:r>
    </w:p>
    <w:bookmarkEnd w:id="8"/>
    <w:p>
      <w:pPr>
        <w:pageBreakBefore w:val="0"/>
        <w:kinsoku/>
        <w:wordWrap/>
        <w:overflowPunct/>
        <w:topLinePunct w:val="0"/>
        <w:bidi w:val="0"/>
        <w:spacing w:line="40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必须提供完整的产品包装、详细的操作使用说明书、帮助文档、表结构、维护源代码及安装程序。</w:t>
      </w:r>
    </w:p>
    <w:p>
      <w:pPr>
        <w:pStyle w:val="4"/>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13" w:name="_Toc26057"/>
      <w:r>
        <w:rPr>
          <w:rFonts w:hint="eastAsia" w:ascii="新宋体" w:hAnsi="新宋体" w:eastAsia="新宋体" w:cs="新宋体"/>
          <w:sz w:val="24"/>
          <w:szCs w:val="24"/>
        </w:rPr>
        <w:t>技术规格及要求</w:t>
      </w:r>
      <w:bookmarkEnd w:id="9"/>
      <w:bookmarkEnd w:id="10"/>
      <w:bookmarkEnd w:id="11"/>
      <w:bookmarkEnd w:id="12"/>
      <w:bookmarkEnd w:id="13"/>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软件平台：</w:t>
      </w:r>
    </w:p>
    <w:p>
      <w:pPr>
        <w:pageBreakBefore w:val="0"/>
        <w:widowControl/>
        <w:kinsoku/>
        <w:wordWrap/>
        <w:overflowPunct/>
        <w:topLinePunct w:val="0"/>
        <w:bidi w:val="0"/>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技术结构：软件系统应采用C/S和B/S混合架构，具有与各类医保等外部系统</w:t>
      </w:r>
    </w:p>
    <w:p>
      <w:pPr>
        <w:pageBreakBefore w:val="0"/>
        <w:widowControl/>
        <w:kinsoku/>
        <w:wordWrap/>
        <w:overflowPunct/>
        <w:topLinePunct w:val="0"/>
        <w:bidi w:val="0"/>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联接的接口，部分应用系统能与Internet联接。</w:t>
      </w:r>
    </w:p>
    <w:p>
      <w:pPr>
        <w:pageBreakBefore w:val="0"/>
        <w:widowControl/>
        <w:kinsoku/>
        <w:wordWrap/>
        <w:overflowPunct/>
        <w:topLinePunct w:val="0"/>
        <w:bidi w:val="0"/>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操作系统：应用服务层为WINDOWS 2003/2008 SERVER或UNIX，客户端为WINDOWS2000/2003/2008/XP/7s。</w:t>
      </w:r>
    </w:p>
    <w:p>
      <w:pPr>
        <w:pageBreakBefore w:val="0"/>
        <w:widowControl/>
        <w:kinsoku/>
        <w:wordWrap/>
        <w:overflowPunct/>
        <w:topLinePunct w:val="0"/>
        <w:bidi w:val="0"/>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数据库平台：数据库为ORACLE或SQL-SERVER；</w:t>
      </w:r>
    </w:p>
    <w:p>
      <w:pPr>
        <w:pageBreakBefore w:val="0"/>
        <w:widowControl/>
        <w:kinsoku/>
        <w:wordWrap/>
        <w:overflowPunct/>
        <w:topLinePunct w:val="0"/>
        <w:bidi w:val="0"/>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前端开发工具：采用面向对象的编程语言，并且具有WEB程序开发能力。</w:t>
      </w:r>
    </w:p>
    <w:p>
      <w:pPr>
        <w:pageBreakBefore w:val="0"/>
        <w:kinsoku/>
        <w:wordWrap/>
        <w:overflowPunct/>
        <w:topLinePunct w:val="0"/>
        <w:bidi w:val="0"/>
        <w:spacing w:line="40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系统安全性</w:t>
      </w:r>
    </w:p>
    <w:p>
      <w:pPr>
        <w:pageBreakBefore w:val="0"/>
        <w:kinsoku/>
        <w:wordWrap/>
        <w:overflowPunct/>
        <w:topLinePunct w:val="0"/>
        <w:bidi w:val="0"/>
        <w:spacing w:line="40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系统级安全：数据库设计应保证系统安全，有能力解决数据库崩溃后的数据恢复，有良好的数据备份方案。</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color w:val="000000"/>
          <w:sz w:val="24"/>
          <w:szCs w:val="24"/>
        </w:rPr>
        <w:t>应用级安全：系统具有</w:t>
      </w:r>
      <w:r>
        <w:rPr>
          <w:rFonts w:hint="eastAsia" w:ascii="新宋体" w:hAnsi="新宋体" w:eastAsia="新宋体" w:cs="新宋体"/>
          <w:sz w:val="24"/>
          <w:szCs w:val="24"/>
        </w:rPr>
        <w:t>抵御外界环境和人为操作失误的能力，有足够的防护措施，防止非法用户侵入；保证不因操作人员的误操作导致系统的崩溃等。</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操作员的权限验证</w:t>
      </w:r>
      <w:r>
        <w:rPr>
          <w:rFonts w:hint="eastAsia" w:ascii="新宋体" w:hAnsi="新宋体" w:eastAsia="新宋体" w:cs="新宋体"/>
          <w:color w:val="000000"/>
          <w:sz w:val="24"/>
          <w:szCs w:val="24"/>
        </w:rPr>
        <w:t>：</w:t>
      </w:r>
      <w:r>
        <w:rPr>
          <w:rFonts w:hint="eastAsia" w:ascii="新宋体" w:hAnsi="新宋体" w:eastAsia="新宋体" w:cs="新宋体"/>
          <w:sz w:val="24"/>
          <w:szCs w:val="24"/>
        </w:rPr>
        <w:t>系统管理能根据员工的职务和所承担的工作进行角色划分，通过角色划分进行权限分配，当操作人员超越权限进行登录时，系统应能拒绝并记录在系统日志中。</w:t>
      </w:r>
    </w:p>
    <w:p>
      <w:pPr>
        <w:pageBreakBefore w:val="0"/>
        <w:kinsoku/>
        <w:wordWrap/>
        <w:overflowPunct/>
        <w:topLinePunct w:val="0"/>
        <w:bidi w:val="0"/>
        <w:spacing w:line="400" w:lineRule="exact"/>
        <w:ind w:firstLine="480"/>
        <w:rPr>
          <w:rFonts w:hint="eastAsia" w:ascii="新宋体" w:hAnsi="新宋体" w:eastAsia="新宋体" w:cs="新宋体"/>
          <w:sz w:val="24"/>
          <w:szCs w:val="24"/>
        </w:rPr>
      </w:pPr>
      <w:r>
        <w:rPr>
          <w:rFonts w:hint="eastAsia" w:ascii="新宋体" w:hAnsi="新宋体" w:eastAsia="新宋体" w:cs="新宋体"/>
          <w:sz w:val="24"/>
          <w:szCs w:val="24"/>
        </w:rPr>
        <w:t>数据加密</w:t>
      </w:r>
      <w:r>
        <w:rPr>
          <w:rFonts w:hint="eastAsia" w:ascii="新宋体" w:hAnsi="新宋体" w:eastAsia="新宋体" w:cs="新宋体"/>
          <w:color w:val="000000"/>
          <w:sz w:val="24"/>
          <w:szCs w:val="24"/>
        </w:rPr>
        <w:t>：</w:t>
      </w:r>
      <w:r>
        <w:rPr>
          <w:rFonts w:hint="eastAsia" w:ascii="新宋体" w:hAnsi="新宋体" w:eastAsia="新宋体" w:cs="新宋体"/>
          <w:sz w:val="24"/>
          <w:szCs w:val="24"/>
        </w:rPr>
        <w:t>系统应能采取对某些关键数据（如用户密码）进行加密的方法，来提高安全性。</w:t>
      </w:r>
    </w:p>
    <w:p>
      <w:pPr>
        <w:pageBreakBefore w:val="0"/>
        <w:kinsoku/>
        <w:wordWrap/>
        <w:overflowPunct/>
        <w:topLinePunct w:val="0"/>
        <w:bidi w:val="0"/>
        <w:spacing w:line="400" w:lineRule="exact"/>
        <w:ind w:firstLine="480"/>
        <w:rPr>
          <w:rFonts w:hint="eastAsia" w:ascii="新宋体" w:hAnsi="新宋体" w:eastAsia="新宋体" w:cs="新宋体"/>
          <w:sz w:val="24"/>
          <w:szCs w:val="24"/>
        </w:rPr>
      </w:pPr>
      <w:r>
        <w:rPr>
          <w:rFonts w:hint="eastAsia" w:ascii="新宋体" w:hAnsi="新宋体" w:eastAsia="新宋体" w:cs="新宋体"/>
          <w:sz w:val="24"/>
          <w:szCs w:val="24"/>
        </w:rPr>
        <w:t>数据安全管理机制的提出:要求投标方提出完整的数据安全管理措施，数据库加密方案及措施。</w:t>
      </w:r>
    </w:p>
    <w:p>
      <w:pPr>
        <w:pageBreakBefore w:val="0"/>
        <w:kinsoku/>
        <w:wordWrap/>
        <w:overflowPunct/>
        <w:topLinePunct w:val="0"/>
        <w:bidi w:val="0"/>
        <w:spacing w:line="400" w:lineRule="exact"/>
        <w:ind w:firstLine="480"/>
        <w:rPr>
          <w:rFonts w:hint="eastAsia" w:ascii="新宋体" w:hAnsi="新宋体" w:eastAsia="新宋体" w:cs="新宋体"/>
          <w:sz w:val="24"/>
          <w:szCs w:val="24"/>
        </w:rPr>
      </w:pPr>
      <w:r>
        <w:rPr>
          <w:rFonts w:hint="eastAsia" w:ascii="新宋体" w:hAnsi="新宋体" w:eastAsia="新宋体" w:cs="新宋体"/>
          <w:sz w:val="24"/>
          <w:szCs w:val="24"/>
        </w:rPr>
        <w:t>应用扩展性：采用开放式的系统软件平台、模块化的应用软件结构，确保系统可灵活地扩充其业务功能，并可与其它业务系统进行互连；系统可根据医院的具体工作流程定制、重组和改造，并为医院提供定制和改造的客户化工具。</w:t>
      </w:r>
    </w:p>
    <w:p>
      <w:pPr>
        <w:pageBreakBefore w:val="0"/>
        <w:kinsoku/>
        <w:wordWrap/>
        <w:overflowPunct/>
        <w:topLinePunct w:val="0"/>
        <w:bidi w:val="0"/>
        <w:spacing w:line="400" w:lineRule="exact"/>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 xml:space="preserve"> 操作易用性：软件系统用户操作界面设计尽可能考虑人体结构特征及视觉特征，界面力求美观大方，操作界面力求简捷实用。要体现出易于理解掌握、操作简单、提示清晰、逻辑性强，直观简洁、帮助信息丰富。而且要针对医院输入项目的特点，对输入顺序专门定制，保证操作人员以最快速度和最少的击键次数完成工作。系统必须提供客户端向导式安装与自动升级功能，客户机以浏览器操作模式为优，以减少网络管理员的维护工作量。</w:t>
      </w:r>
    </w:p>
    <w:p>
      <w:pPr>
        <w:pageBreakBefore w:val="0"/>
        <w:kinsoku/>
        <w:wordWrap/>
        <w:overflowPunct/>
        <w:topLinePunct w:val="0"/>
        <w:bidi w:val="0"/>
        <w:spacing w:line="400" w:lineRule="exact"/>
        <w:ind w:firstLine="480"/>
        <w:rPr>
          <w:rFonts w:hint="eastAsia" w:ascii="新宋体" w:hAnsi="新宋体" w:eastAsia="新宋体" w:cs="新宋体"/>
          <w:sz w:val="24"/>
          <w:szCs w:val="24"/>
        </w:rPr>
      </w:pPr>
      <w:r>
        <w:rPr>
          <w:rFonts w:hint="eastAsia" w:ascii="新宋体" w:hAnsi="新宋体" w:eastAsia="新宋体" w:cs="新宋体"/>
          <w:sz w:val="24"/>
          <w:szCs w:val="24"/>
        </w:rPr>
        <w:t>数据准确性：医院信息系统是为采集、加工、存储、检索、传递病人医疗信息及相关的管理信息而建立的人机系统。数据库应包含医院全部资源的信息，便于快速查询，数据共享。数据必须准确、可信、可用、完整、规范及安全可靠，数据之间无歧义。</w:t>
      </w:r>
    </w:p>
    <w:p>
      <w:pPr>
        <w:pageBreakBefore w:val="0"/>
        <w:kinsoku/>
        <w:wordWrap/>
        <w:overflowPunct/>
        <w:topLinePunct w:val="0"/>
        <w:bidi w:val="0"/>
        <w:spacing w:line="400" w:lineRule="exact"/>
        <w:ind w:firstLine="480"/>
        <w:rPr>
          <w:rFonts w:hint="eastAsia" w:ascii="新宋体" w:hAnsi="新宋体" w:eastAsia="新宋体" w:cs="新宋体"/>
          <w:sz w:val="24"/>
          <w:szCs w:val="24"/>
        </w:rPr>
      </w:pPr>
      <w:r>
        <w:rPr>
          <w:rFonts w:hint="eastAsia" w:ascii="新宋体" w:hAnsi="新宋体" w:eastAsia="新宋体" w:cs="新宋体"/>
          <w:sz w:val="24"/>
          <w:szCs w:val="24"/>
        </w:rPr>
        <w:t>整体统一性：统一用户身份验证、统一操作特性、统一的服务器操作系统、统一的数据库软件、统一编码规则。</w:t>
      </w:r>
    </w:p>
    <w:p>
      <w:pPr>
        <w:pageBreakBefore w:val="0"/>
        <w:kinsoku/>
        <w:wordWrap/>
        <w:overflowPunct/>
        <w:topLinePunct w:val="0"/>
        <w:bidi w:val="0"/>
        <w:spacing w:line="400" w:lineRule="exact"/>
        <w:ind w:firstLine="480"/>
        <w:rPr>
          <w:rFonts w:hint="eastAsia" w:ascii="新宋体" w:hAnsi="新宋体" w:eastAsia="新宋体" w:cs="新宋体"/>
          <w:sz w:val="24"/>
          <w:szCs w:val="24"/>
        </w:rPr>
      </w:pPr>
      <w:r>
        <w:rPr>
          <w:rFonts w:hint="eastAsia" w:ascii="新宋体" w:hAnsi="新宋体" w:eastAsia="新宋体" w:cs="新宋体"/>
          <w:sz w:val="24"/>
          <w:szCs w:val="24"/>
        </w:rPr>
        <w:t>系统必须实现与各医疗保险系统的无缝连接，满足社保结算的要求。</w:t>
      </w:r>
    </w:p>
    <w:p>
      <w:pPr>
        <w:pageBreakBefore w:val="0"/>
        <w:kinsoku/>
        <w:wordWrap/>
        <w:overflowPunct/>
        <w:topLinePunct w:val="0"/>
        <w:bidi w:val="0"/>
        <w:spacing w:line="400" w:lineRule="exact"/>
        <w:ind w:firstLine="480"/>
        <w:rPr>
          <w:rFonts w:hint="eastAsia" w:ascii="新宋体" w:hAnsi="新宋体" w:eastAsia="新宋体" w:cs="新宋体"/>
          <w:sz w:val="24"/>
          <w:szCs w:val="24"/>
        </w:rPr>
      </w:pPr>
      <w:r>
        <w:rPr>
          <w:rFonts w:hint="eastAsia" w:ascii="新宋体" w:hAnsi="新宋体" w:eastAsia="新宋体" w:cs="新宋体"/>
          <w:sz w:val="24"/>
          <w:szCs w:val="24"/>
        </w:rPr>
        <w:t>自定义报表：能充分满足医院各类报表的需求，能方便灵活生成各类报表，报表之间关系明确，符合财务要求。必须支持基于WEB的统计、查询和浏览；支持局域网内的联机事务处理，能对历史数据进行处理，在联机查询和统计分析处理时，不能影响医院其他业务的正常运行。随医院要求自行定义增减，提供自定义报表工具，所有表格均可导出为Excel格式。</w:t>
      </w:r>
    </w:p>
    <w:p>
      <w:pPr>
        <w:pageBreakBefore w:val="0"/>
        <w:kinsoku/>
        <w:wordWrap/>
        <w:overflowPunct/>
        <w:topLinePunct w:val="0"/>
        <w:bidi w:val="0"/>
        <w:spacing w:line="400" w:lineRule="exact"/>
        <w:ind w:firstLine="480"/>
        <w:rPr>
          <w:rFonts w:hint="eastAsia" w:ascii="新宋体" w:hAnsi="新宋体" w:eastAsia="新宋体" w:cs="新宋体"/>
          <w:sz w:val="24"/>
          <w:szCs w:val="24"/>
        </w:rPr>
      </w:pPr>
      <w:r>
        <w:rPr>
          <w:rFonts w:hint="eastAsia" w:ascii="新宋体" w:hAnsi="新宋体" w:eastAsia="新宋体" w:cs="新宋体"/>
          <w:sz w:val="24"/>
          <w:szCs w:val="24"/>
        </w:rPr>
        <w:t>维护与管理：系统在运行过程中，必须建立日志管理、各项管理制度及各种操作规程。系统维护应包括工作参数修改、数据字典维护、用户权限控制、操作口令或密码设置和修改、数据安全性操作、数据备份和恢复、故障排除等。</w:t>
      </w:r>
    </w:p>
    <w:p>
      <w:pPr>
        <w:pageBreakBefore w:val="0"/>
        <w:kinsoku/>
        <w:wordWrap/>
        <w:overflowPunct/>
        <w:topLinePunct w:val="0"/>
        <w:bidi w:val="0"/>
        <w:spacing w:line="400" w:lineRule="exact"/>
        <w:ind w:firstLine="480"/>
        <w:rPr>
          <w:rFonts w:hint="eastAsia" w:ascii="新宋体" w:hAnsi="新宋体" w:eastAsia="新宋体" w:cs="新宋体"/>
          <w:sz w:val="24"/>
          <w:szCs w:val="24"/>
        </w:rPr>
      </w:pPr>
      <w:r>
        <w:rPr>
          <w:rFonts w:hint="eastAsia" w:ascii="新宋体" w:hAnsi="新宋体" w:eastAsia="新宋体" w:cs="新宋体"/>
          <w:sz w:val="24"/>
          <w:szCs w:val="24"/>
        </w:rPr>
        <w:t>版权：系统投标人提供的操作系统软件、数据库软件、开发工具、应用技术、工具软件等，若发生盗版、版权纠纷等问题，本院概不承担任何责任，均由投标人承担由此造成的一切后果。</w:t>
      </w:r>
    </w:p>
    <w:p>
      <w:pPr>
        <w:pageBreakBefore w:val="0"/>
        <w:kinsoku/>
        <w:wordWrap/>
        <w:overflowPunct/>
        <w:topLinePunct w:val="0"/>
        <w:bidi w:val="0"/>
        <w:spacing w:line="400" w:lineRule="exact"/>
        <w:ind w:firstLine="480"/>
        <w:rPr>
          <w:rFonts w:hint="eastAsia" w:ascii="新宋体" w:hAnsi="新宋体" w:eastAsia="新宋体" w:cs="新宋体"/>
          <w:sz w:val="24"/>
          <w:szCs w:val="24"/>
        </w:rPr>
      </w:pPr>
      <w:r>
        <w:rPr>
          <w:rFonts w:hint="eastAsia" w:ascii="新宋体" w:hAnsi="新宋体" w:eastAsia="新宋体" w:cs="新宋体"/>
          <w:sz w:val="24"/>
          <w:szCs w:val="24"/>
        </w:rPr>
        <w:t>重点技术要求：</w:t>
      </w:r>
    </w:p>
    <w:p>
      <w:pPr>
        <w:pageBreakBefore w:val="0"/>
        <w:kinsoku/>
        <w:wordWrap/>
        <w:overflowPunct/>
        <w:topLinePunct w:val="0"/>
        <w:bidi w:val="0"/>
        <w:spacing w:line="400" w:lineRule="exact"/>
        <w:ind w:firstLine="480"/>
        <w:rPr>
          <w:rFonts w:hint="eastAsia" w:ascii="新宋体" w:hAnsi="新宋体" w:eastAsia="新宋体" w:cs="新宋体"/>
          <w:sz w:val="24"/>
          <w:szCs w:val="24"/>
        </w:rPr>
      </w:pPr>
      <w:r>
        <w:rPr>
          <w:rFonts w:hint="eastAsia" w:ascii="新宋体" w:hAnsi="新宋体" w:eastAsia="新宋体" w:cs="新宋体"/>
          <w:sz w:val="24"/>
          <w:szCs w:val="24"/>
        </w:rPr>
        <w:t>提供网络中断后的应急预案。</w:t>
      </w:r>
    </w:p>
    <w:p>
      <w:pPr>
        <w:pageBreakBefore w:val="0"/>
        <w:kinsoku/>
        <w:wordWrap/>
        <w:overflowPunct/>
        <w:topLinePunct w:val="0"/>
        <w:bidi w:val="0"/>
        <w:spacing w:line="400" w:lineRule="exact"/>
        <w:ind w:firstLine="480"/>
        <w:rPr>
          <w:rFonts w:hint="eastAsia" w:ascii="新宋体" w:hAnsi="新宋体" w:eastAsia="新宋体" w:cs="新宋体"/>
          <w:sz w:val="24"/>
          <w:szCs w:val="24"/>
        </w:rPr>
      </w:pPr>
      <w:r>
        <w:rPr>
          <w:rFonts w:hint="eastAsia" w:ascii="新宋体" w:hAnsi="新宋体" w:eastAsia="新宋体" w:cs="新宋体"/>
          <w:sz w:val="24"/>
          <w:szCs w:val="24"/>
        </w:rPr>
        <w:t>不能因为病人\病区数量增加及数据量增加而影响系统运行速度，服务窗口单位响应时间每人不能超过5秒。</w:t>
      </w:r>
    </w:p>
    <w:p>
      <w:pPr>
        <w:pageBreakBefore w:val="0"/>
        <w:kinsoku/>
        <w:wordWrap/>
        <w:overflowPunct/>
        <w:topLinePunct w:val="0"/>
        <w:bidi w:val="0"/>
        <w:spacing w:line="400" w:lineRule="exact"/>
        <w:ind w:firstLine="480"/>
        <w:rPr>
          <w:rStyle w:val="33"/>
          <w:rFonts w:hint="eastAsia" w:ascii="新宋体" w:hAnsi="新宋体" w:eastAsia="新宋体" w:cs="新宋体"/>
          <w:sz w:val="24"/>
          <w:szCs w:val="24"/>
        </w:rPr>
      </w:pPr>
      <w:bookmarkStart w:id="14" w:name="_Toc23351"/>
      <w:r>
        <w:rPr>
          <w:rStyle w:val="33"/>
          <w:rFonts w:hint="eastAsia" w:ascii="新宋体" w:hAnsi="新宋体" w:eastAsia="新宋体" w:cs="新宋体"/>
          <w:sz w:val="24"/>
          <w:szCs w:val="24"/>
        </w:rPr>
        <w:t>投标人应证明拥有自主知识产权的完整的医院信息系统</w:t>
      </w:r>
    </w:p>
    <w:bookmarkEnd w:id="14"/>
    <w:p>
      <w:pPr>
        <w:pageBreakBefore w:val="0"/>
        <w:kinsoku/>
        <w:wordWrap/>
        <w:overflowPunct/>
        <w:topLinePunct w:val="0"/>
        <w:bidi w:val="0"/>
        <w:spacing w:line="400" w:lineRule="exact"/>
        <w:ind w:firstLine="480"/>
        <w:rPr>
          <w:rFonts w:hint="eastAsia" w:ascii="新宋体" w:hAnsi="新宋体" w:eastAsia="新宋体" w:cs="新宋体"/>
          <w:sz w:val="24"/>
          <w:szCs w:val="24"/>
        </w:rPr>
      </w:pPr>
      <w:r>
        <w:rPr>
          <w:rFonts w:hint="eastAsia" w:ascii="新宋体" w:hAnsi="新宋体" w:eastAsia="新宋体" w:cs="新宋体"/>
          <w:sz w:val="24"/>
          <w:szCs w:val="24"/>
        </w:rPr>
        <w:t>若投标人不能提供所要求的软件模块，则需要定制开发或购买，并在投标时予以说明。</w:t>
      </w:r>
    </w:p>
    <w:p>
      <w:pPr>
        <w:pStyle w:val="4"/>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15" w:name="_Toc14121"/>
      <w:bookmarkStart w:id="16" w:name="_Toc261995049"/>
      <w:bookmarkStart w:id="17" w:name="_Toc252577384"/>
      <w:r>
        <w:rPr>
          <w:rFonts w:hint="eastAsia" w:ascii="新宋体" w:hAnsi="新宋体" w:eastAsia="新宋体" w:cs="新宋体"/>
          <w:sz w:val="24"/>
          <w:szCs w:val="24"/>
        </w:rPr>
        <w:t>系统验收和调试</w:t>
      </w:r>
      <w:bookmarkEnd w:id="15"/>
      <w:bookmarkEnd w:id="16"/>
      <w:bookmarkEnd w:id="17"/>
    </w:p>
    <w:p>
      <w:pPr>
        <w:pStyle w:val="66"/>
        <w:pageBreakBefore w:val="0"/>
        <w:widowControl/>
        <w:kinsoku/>
        <w:wordWrap/>
        <w:overflowPunct/>
        <w:topLinePunct w:val="0"/>
        <w:bidi w:val="0"/>
        <w:spacing w:line="400" w:lineRule="exact"/>
        <w:ind w:left="0"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软件系统安装完工后由中标投标人和招标人共同验收，中标投标人须结合招标中有关设备，为验收提供必需的软件配置工具及其他便利条件。若验收合格则出具验收合格报告。</w:t>
      </w:r>
    </w:p>
    <w:p>
      <w:pPr>
        <w:pStyle w:val="66"/>
        <w:pageBreakBefore w:val="0"/>
        <w:widowControl/>
        <w:kinsoku/>
        <w:wordWrap/>
        <w:overflowPunct/>
        <w:topLinePunct w:val="0"/>
        <w:bidi w:val="0"/>
        <w:spacing w:line="400" w:lineRule="exact"/>
        <w:ind w:left="0"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软件系统调试期间，在招标人的监督下进行调试。测试软件及相关设备是否正常运行，能否达到招标文件中所要求的标准。</w:t>
      </w:r>
    </w:p>
    <w:p>
      <w:pPr>
        <w:pStyle w:val="66"/>
        <w:pageBreakBefore w:val="0"/>
        <w:widowControl/>
        <w:kinsoku/>
        <w:wordWrap/>
        <w:overflowPunct/>
        <w:topLinePunct w:val="0"/>
        <w:bidi w:val="0"/>
        <w:spacing w:line="400" w:lineRule="exact"/>
        <w:ind w:left="0"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验收标准以本次招标文件中所规定的全部相关要求为准。</w:t>
      </w:r>
      <w:bookmarkStart w:id="18" w:name="_Toc261995050"/>
    </w:p>
    <w:p>
      <w:pPr>
        <w:pageBreakBefore w:val="0"/>
        <w:kinsoku/>
        <w:wordWrap/>
        <w:overflowPunct/>
        <w:topLinePunct w:val="0"/>
        <w:bidi w:val="0"/>
        <w:spacing w:line="400" w:lineRule="exact"/>
        <w:rPr>
          <w:rFonts w:hint="eastAsia" w:ascii="新宋体" w:hAnsi="新宋体" w:eastAsia="新宋体" w:cs="新宋体"/>
          <w:sz w:val="24"/>
          <w:szCs w:val="24"/>
        </w:rPr>
      </w:pPr>
      <w:bookmarkStart w:id="19" w:name="_Toc6860"/>
      <w:r>
        <w:rPr>
          <w:rStyle w:val="33"/>
          <w:rFonts w:hint="eastAsia" w:ascii="新宋体" w:hAnsi="新宋体" w:eastAsia="新宋体" w:cs="新宋体"/>
          <w:sz w:val="24"/>
          <w:szCs w:val="24"/>
        </w:rPr>
        <w:t>售后服务和培训</w:t>
      </w:r>
      <w:bookmarkEnd w:id="18"/>
      <w:bookmarkEnd w:id="19"/>
    </w:p>
    <w:p>
      <w:pPr>
        <w:pageBreakBefore w:val="0"/>
        <w:kinsoku/>
        <w:wordWrap/>
        <w:overflowPunct/>
        <w:topLinePunct w:val="0"/>
        <w:bidi w:val="0"/>
        <w:spacing w:line="400" w:lineRule="exact"/>
        <w:ind w:firstLine="482"/>
        <w:rPr>
          <w:rFonts w:hint="eastAsia" w:ascii="新宋体" w:hAnsi="新宋体" w:eastAsia="新宋体" w:cs="新宋体"/>
          <w:b/>
          <w:sz w:val="24"/>
          <w:szCs w:val="24"/>
        </w:rPr>
      </w:pPr>
      <w:r>
        <w:rPr>
          <w:rFonts w:hint="eastAsia" w:ascii="新宋体" w:hAnsi="新宋体" w:eastAsia="新宋体" w:cs="新宋体"/>
          <w:b/>
          <w:sz w:val="24"/>
          <w:szCs w:val="24"/>
        </w:rPr>
        <w:t>售后服务：</w:t>
      </w:r>
    </w:p>
    <w:p>
      <w:pPr>
        <w:pageBreakBefore w:val="0"/>
        <w:widowControl/>
        <w:kinsoku/>
        <w:wordWrap/>
        <w:overflowPunct/>
        <w:topLinePunct w:val="0"/>
        <w:bidi w:val="0"/>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结合医院实际情况，拟定详细的实施计划，派出具备相应能力的工程人员进场实施。</w:t>
      </w:r>
    </w:p>
    <w:p>
      <w:pPr>
        <w:pageBreakBefore w:val="0"/>
        <w:widowControl/>
        <w:kinsoku/>
        <w:wordWrap/>
        <w:overflowPunct/>
        <w:topLinePunct w:val="0"/>
        <w:bidi w:val="0"/>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软件验收合格后一年内为免费保修期，保修期内出现问题，投标人提供免费现场保修服务，在四小时内到达现场，并在八小时内解决故障，在保修期内每个月至少一次上门随访和系统维护。</w:t>
      </w:r>
    </w:p>
    <w:p>
      <w:pPr>
        <w:pageBreakBefore w:val="0"/>
        <w:widowControl/>
        <w:kinsoku/>
        <w:wordWrap/>
        <w:overflowPunct/>
        <w:topLinePunct w:val="0"/>
        <w:bidi w:val="0"/>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产品必须提供终身升级服务，保证产品可随时升级到最新版本，公司必须在任何时候提供当时最新版本的软件和升级操作手册，升级后的系统除升级修改部分外，其它完全与旧版本兼容，并保证所有数据是连续的。</w:t>
      </w:r>
    </w:p>
    <w:p>
      <w:pPr>
        <w:pageBreakBefore w:val="0"/>
        <w:widowControl/>
        <w:kinsoku/>
        <w:wordWrap/>
        <w:overflowPunct/>
        <w:topLinePunct w:val="0"/>
        <w:bidi w:val="0"/>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其它售后服务内容由投标人自行补充，作为评标的参考。</w:t>
      </w:r>
    </w:p>
    <w:p>
      <w:pPr>
        <w:pageBreakBefore w:val="0"/>
        <w:kinsoku/>
        <w:wordWrap/>
        <w:overflowPunct/>
        <w:topLinePunct w:val="0"/>
        <w:bidi w:val="0"/>
        <w:spacing w:line="40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培训：</w:t>
      </w:r>
    </w:p>
    <w:p>
      <w:pPr>
        <w:pageBreakBefore w:val="0"/>
        <w:widowControl/>
        <w:kinsoku/>
        <w:wordWrap/>
        <w:overflowPunct/>
        <w:topLinePunct w:val="0"/>
        <w:bidi w:val="0"/>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对医院所有相关操作人员进行软件应用免费培训</w:t>
      </w:r>
    </w:p>
    <w:p>
      <w:pPr>
        <w:pageBreakBefore w:val="0"/>
        <w:widowControl/>
        <w:kinsoku/>
        <w:wordWrap/>
        <w:overflowPunct/>
        <w:topLinePunct w:val="0"/>
        <w:bidi w:val="0"/>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公司对医院网络系统管理员进行系统相关技术培训</w:t>
      </w:r>
    </w:p>
    <w:p>
      <w:pPr>
        <w:pageBreakBefore w:val="0"/>
        <w:widowControl/>
        <w:kinsoku/>
        <w:wordWrap/>
        <w:overflowPunct/>
        <w:topLinePunct w:val="0"/>
        <w:bidi w:val="0"/>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自进场实施开始，投标人应允许医院的相关人员一起参与系统的安装、测试、诊断及相关问题的解释等各项工作，促进和提高医院的系统管理与维护水平。</w:t>
      </w:r>
    </w:p>
    <w:p>
      <w:pPr>
        <w:pStyle w:val="3"/>
        <w:keepNext w:val="0"/>
        <w:keepLines w:val="0"/>
        <w:pageBreakBefore w:val="0"/>
        <w:numPr>
          <w:ilvl w:val="0"/>
          <w:numId w:val="0"/>
        </w:numPr>
        <w:kinsoku/>
        <w:wordWrap/>
        <w:overflowPunct/>
        <w:topLinePunct w:val="0"/>
        <w:autoSpaceDE w:val="0"/>
        <w:autoSpaceDN w:val="0"/>
        <w:bidi w:val="0"/>
        <w:adjustRightInd w:val="0"/>
        <w:spacing w:before="0" w:after="0" w:line="400" w:lineRule="exact"/>
        <w:ind w:leftChars="0"/>
        <w:rPr>
          <w:rFonts w:hint="eastAsia" w:ascii="新宋体" w:hAnsi="新宋体" w:eastAsia="新宋体" w:cs="新宋体"/>
          <w:sz w:val="24"/>
          <w:szCs w:val="24"/>
        </w:rPr>
      </w:pPr>
      <w:bookmarkStart w:id="20" w:name="_Toc17644"/>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软件系统功能详细要求</w:t>
      </w:r>
      <w:bookmarkEnd w:id="20"/>
    </w:p>
    <w:p>
      <w:pPr>
        <w:pStyle w:val="4"/>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21" w:name="_Toc21796"/>
      <w:r>
        <w:rPr>
          <w:rFonts w:hint="eastAsia" w:ascii="新宋体" w:hAnsi="新宋体" w:eastAsia="新宋体" w:cs="新宋体"/>
          <w:sz w:val="24"/>
          <w:szCs w:val="24"/>
        </w:rPr>
        <w:t>3.1、基础业务系统</w:t>
      </w:r>
      <w:bookmarkEnd w:id="21"/>
    </w:p>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22" w:name="_Toc4002"/>
      <w:r>
        <w:rPr>
          <w:rFonts w:hint="eastAsia" w:ascii="新宋体" w:hAnsi="新宋体" w:eastAsia="新宋体" w:cs="新宋体"/>
          <w:sz w:val="24"/>
          <w:szCs w:val="24"/>
        </w:rPr>
        <w:t>3.1.1、门急诊挂号系统</w:t>
      </w:r>
      <w:bookmarkEnd w:id="22"/>
    </w:p>
    <w:tbl>
      <w:tblPr>
        <w:tblStyle w:val="26"/>
        <w:tblW w:w="941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759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7"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主要功能</w:t>
            </w:r>
          </w:p>
        </w:tc>
        <w:tc>
          <w:tcPr>
            <w:tcW w:w="7594"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6" w:hRule="atLeast"/>
          <w:jc w:val="center"/>
        </w:trPr>
        <w:tc>
          <w:tcPr>
            <w:tcW w:w="1817"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挂号收费</w:t>
            </w:r>
          </w:p>
        </w:tc>
        <w:tc>
          <w:tcPr>
            <w:tcW w:w="7594" w:type="dxa"/>
            <w:tcBorders>
              <w:tl2br w:val="nil"/>
              <w:tr2bl w:val="nil"/>
            </w:tcBorders>
            <w:vAlign w:val="center"/>
          </w:tcPr>
          <w:p>
            <w:pPr>
              <w:pageBreakBefore w:val="0"/>
              <w:widowControl/>
              <w:numPr>
                <w:ilvl w:val="0"/>
                <w:numId w:val="10"/>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支持现金、银行卡、</w:t>
            </w:r>
            <w:r>
              <w:rPr>
                <w:rFonts w:hint="eastAsia" w:ascii="新宋体" w:hAnsi="新宋体" w:eastAsia="新宋体" w:cs="新宋体"/>
                <w:color w:val="000000"/>
                <w:kern w:val="0"/>
                <w:sz w:val="24"/>
                <w:szCs w:val="24"/>
              </w:rPr>
              <w:t>医保卡、</w:t>
            </w:r>
            <w:r>
              <w:rPr>
                <w:rFonts w:hint="eastAsia" w:ascii="新宋体" w:hAnsi="新宋体" w:eastAsia="新宋体" w:cs="新宋体"/>
                <w:kern w:val="0"/>
                <w:sz w:val="24"/>
                <w:szCs w:val="24"/>
              </w:rPr>
              <w:t>就诊卡预交金等多种收费方式</w:t>
            </w:r>
          </w:p>
          <w:p>
            <w:pPr>
              <w:pageBreakBefore w:val="0"/>
              <w:widowControl/>
              <w:numPr>
                <w:ilvl w:val="0"/>
                <w:numId w:val="10"/>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color w:val="000000"/>
                <w:kern w:val="0"/>
                <w:sz w:val="24"/>
                <w:szCs w:val="24"/>
              </w:rPr>
              <w:t>支持窗口挂号功能</w:t>
            </w:r>
          </w:p>
          <w:p>
            <w:pPr>
              <w:pageBreakBefore w:val="0"/>
              <w:widowControl/>
              <w:numPr>
                <w:ilvl w:val="0"/>
                <w:numId w:val="10"/>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支持急诊挂号与分诊</w:t>
            </w:r>
          </w:p>
          <w:p>
            <w:pPr>
              <w:pageBreakBefore w:val="0"/>
              <w:widowControl/>
              <w:numPr>
                <w:ilvl w:val="0"/>
                <w:numId w:val="10"/>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挂号信息实时通知分诊子系统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817"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个人结算</w:t>
            </w:r>
          </w:p>
        </w:tc>
        <w:tc>
          <w:tcPr>
            <w:tcW w:w="7594"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汇总当前操作员本次从上班到下班期间的操作，一般操作员和财务部门对帐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7" w:hRule="atLeast"/>
          <w:jc w:val="center"/>
        </w:trPr>
        <w:tc>
          <w:tcPr>
            <w:tcW w:w="1817"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统计查询</w:t>
            </w:r>
          </w:p>
        </w:tc>
        <w:tc>
          <w:tcPr>
            <w:tcW w:w="7594" w:type="dxa"/>
            <w:tcBorders>
              <w:tl2br w:val="nil"/>
              <w:tr2bl w:val="nil"/>
            </w:tcBorders>
            <w:vAlign w:val="center"/>
          </w:tcPr>
          <w:p>
            <w:pPr>
              <w:pageBreakBefore w:val="0"/>
              <w:widowControl/>
              <w:numPr>
                <w:ilvl w:val="0"/>
                <w:numId w:val="11"/>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根据日期、操作员等统计挂号流水账</w:t>
            </w:r>
          </w:p>
          <w:p>
            <w:pPr>
              <w:pageBreakBefore w:val="0"/>
              <w:widowControl/>
              <w:numPr>
                <w:ilvl w:val="0"/>
                <w:numId w:val="11"/>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根据日期、操作员等统计日结表</w:t>
            </w:r>
          </w:p>
          <w:p>
            <w:pPr>
              <w:pageBreakBefore w:val="0"/>
              <w:widowControl/>
              <w:numPr>
                <w:ilvl w:val="0"/>
                <w:numId w:val="11"/>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根据日期等统计操作员工作量</w:t>
            </w:r>
          </w:p>
          <w:p>
            <w:pPr>
              <w:pageBreakBefore w:val="0"/>
              <w:widowControl/>
              <w:numPr>
                <w:ilvl w:val="0"/>
                <w:numId w:val="11"/>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根据日期等统计</w:t>
            </w:r>
            <w:r>
              <w:rPr>
                <w:rFonts w:hint="eastAsia" w:ascii="新宋体" w:hAnsi="新宋体" w:eastAsia="新宋体" w:cs="新宋体"/>
                <w:color w:val="000000"/>
                <w:kern w:val="0"/>
                <w:sz w:val="24"/>
                <w:szCs w:val="24"/>
              </w:rPr>
              <w:t>医师工作量</w:t>
            </w:r>
          </w:p>
          <w:p>
            <w:pPr>
              <w:pageBreakBefore w:val="0"/>
              <w:widowControl/>
              <w:numPr>
                <w:ilvl w:val="0"/>
                <w:numId w:val="11"/>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根据日期等统计退费流水账</w:t>
            </w:r>
          </w:p>
        </w:tc>
      </w:tr>
    </w:tbl>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23" w:name="_Toc6632"/>
      <w:r>
        <w:rPr>
          <w:rFonts w:hint="eastAsia" w:ascii="新宋体" w:hAnsi="新宋体" w:eastAsia="新宋体" w:cs="新宋体"/>
          <w:sz w:val="24"/>
          <w:szCs w:val="24"/>
        </w:rPr>
        <w:t>3.1.2、门急诊收费系统</w:t>
      </w:r>
      <w:bookmarkEnd w:id="23"/>
    </w:p>
    <w:tbl>
      <w:tblPr>
        <w:tblStyle w:val="26"/>
        <w:tblW w:w="941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764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0"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主要功能</w:t>
            </w:r>
          </w:p>
        </w:tc>
        <w:tc>
          <w:tcPr>
            <w:tcW w:w="7641"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0" w:hRule="atLeast"/>
          <w:jc w:val="center"/>
        </w:trPr>
        <w:tc>
          <w:tcPr>
            <w:tcW w:w="1770"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划价收费</w:t>
            </w:r>
          </w:p>
        </w:tc>
        <w:tc>
          <w:tcPr>
            <w:tcW w:w="7641" w:type="dxa"/>
            <w:tcBorders>
              <w:tl2br w:val="nil"/>
              <w:tr2bl w:val="nil"/>
            </w:tcBorders>
            <w:vAlign w:val="center"/>
          </w:tcPr>
          <w:p>
            <w:pPr>
              <w:pageBreakBefore w:val="0"/>
              <w:widowControl/>
              <w:numPr>
                <w:ilvl w:val="0"/>
                <w:numId w:val="12"/>
              </w:numPr>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kern w:val="0"/>
                <w:sz w:val="24"/>
                <w:szCs w:val="24"/>
              </w:rPr>
              <w:t>全划价功能:收费处在调出病人基本信息后，只需点选划价选项，系统自动对病人的医疗项目及药品进行划价，计算出总金额，然后收费</w:t>
            </w:r>
          </w:p>
          <w:p>
            <w:pPr>
              <w:pageBreakBefore w:val="0"/>
              <w:widowControl/>
              <w:numPr>
                <w:ilvl w:val="0"/>
                <w:numId w:val="12"/>
              </w:numPr>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kern w:val="0"/>
                <w:sz w:val="24"/>
                <w:szCs w:val="24"/>
              </w:rPr>
              <w:t>手工划价功能:收费人员能手工操作干预，可根据病人要求或具体情况只点选某些检验、检查项目以及药品进行划价后计算应交金额。必须当天交费或不能取消退订的项目除外</w:t>
            </w:r>
          </w:p>
          <w:p>
            <w:pPr>
              <w:pageBreakBefore w:val="0"/>
              <w:widowControl/>
              <w:numPr>
                <w:ilvl w:val="0"/>
                <w:numId w:val="12"/>
              </w:numPr>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kern w:val="0"/>
                <w:sz w:val="24"/>
                <w:szCs w:val="24"/>
              </w:rPr>
              <w:t>没有通过系统而是手工开具的项目单及药品补录入收费系统的部分进行划价，然后收费</w:t>
            </w:r>
          </w:p>
          <w:p>
            <w:pPr>
              <w:pageBreakBefore w:val="0"/>
              <w:widowControl/>
              <w:numPr>
                <w:ilvl w:val="0"/>
                <w:numId w:val="12"/>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支持医保自动实时审核结算功能</w:t>
            </w:r>
          </w:p>
          <w:p>
            <w:pPr>
              <w:pageBreakBefore w:val="0"/>
              <w:widowControl/>
              <w:numPr>
                <w:ilvl w:val="0"/>
                <w:numId w:val="12"/>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支持银行卡收费</w:t>
            </w:r>
          </w:p>
          <w:p>
            <w:pPr>
              <w:pageBreakBefore w:val="0"/>
              <w:widowControl/>
              <w:numPr>
                <w:ilvl w:val="0"/>
                <w:numId w:val="12"/>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支持医保卡账户和现金混收</w:t>
            </w:r>
          </w:p>
          <w:p>
            <w:pPr>
              <w:pageBreakBefore w:val="0"/>
              <w:widowControl/>
              <w:numPr>
                <w:ilvl w:val="0"/>
                <w:numId w:val="12"/>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医保病人根据医保政策对费用进行分解，自动收取自费部分的费用，记账医保承担部分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1770"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退费</w:t>
            </w:r>
          </w:p>
        </w:tc>
        <w:tc>
          <w:tcPr>
            <w:tcW w:w="7641" w:type="dxa"/>
            <w:tcBorders>
              <w:tl2br w:val="nil"/>
              <w:tr2bl w:val="nil"/>
            </w:tcBorders>
            <w:vAlign w:val="center"/>
          </w:tcPr>
          <w:p>
            <w:pPr>
              <w:pStyle w:val="9"/>
              <w:pageBreakBefore w:val="0"/>
              <w:numPr>
                <w:ilvl w:val="0"/>
                <w:numId w:val="13"/>
              </w:numPr>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kern w:val="0"/>
                <w:sz w:val="24"/>
                <w:szCs w:val="24"/>
              </w:rPr>
              <w:t>在已领药的情况下，（首先由药房检查药品是否可退，）由医生开退药处方（或医嘱），在药房退药并确认已退药后的处方（或医嘱）方可到收费处做退费处理</w:t>
            </w:r>
          </w:p>
          <w:p>
            <w:pPr>
              <w:pStyle w:val="9"/>
              <w:pageBreakBefore w:val="0"/>
              <w:numPr>
                <w:ilvl w:val="0"/>
                <w:numId w:val="13"/>
              </w:numPr>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门诊医技科室的退费，由医技科室填写退费单，然后病人持就诊卡到收费处退费</w:t>
            </w:r>
          </w:p>
          <w:p>
            <w:pPr>
              <w:pStyle w:val="9"/>
              <w:pageBreakBefore w:val="0"/>
              <w:numPr>
                <w:ilvl w:val="0"/>
                <w:numId w:val="13"/>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sz w:val="24"/>
                <w:szCs w:val="24"/>
              </w:rPr>
              <w:t>住院的退费，可以把冲正的权限放到病区或者收费处</w:t>
            </w:r>
          </w:p>
          <w:p>
            <w:pPr>
              <w:pStyle w:val="9"/>
              <w:pageBreakBefore w:val="0"/>
              <w:numPr>
                <w:ilvl w:val="0"/>
                <w:numId w:val="13"/>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支持部分退费和全部退费，保留操作全过程的记录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770"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作废</w:t>
            </w:r>
          </w:p>
        </w:tc>
        <w:tc>
          <w:tcPr>
            <w:tcW w:w="7641"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如果收费存盘之后由于打印机的问题造成发票不能正常打印或药房发药前发现药品处方划错，可以执行单据作废操作，作废只能在日结算之前进行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770"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发票票据管理</w:t>
            </w:r>
          </w:p>
        </w:tc>
        <w:tc>
          <w:tcPr>
            <w:tcW w:w="7641" w:type="dxa"/>
            <w:tcBorders>
              <w:tl2br w:val="nil"/>
              <w:tr2bl w:val="nil"/>
            </w:tcBorders>
            <w:vAlign w:val="center"/>
          </w:tcPr>
          <w:p>
            <w:pPr>
              <w:pageBreakBefore w:val="0"/>
              <w:widowControl/>
              <w:numPr>
                <w:ilvl w:val="0"/>
                <w:numId w:val="1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能灵活设置发票归集项、发票格式的调整、灵活设置发票取整公式</w:t>
            </w:r>
          </w:p>
          <w:p>
            <w:pPr>
              <w:pageBreakBefore w:val="0"/>
              <w:widowControl/>
              <w:numPr>
                <w:ilvl w:val="0"/>
                <w:numId w:val="1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具有票据领入、领出、回收、报废、票据审核、查对、各种报表等功能</w:t>
            </w:r>
          </w:p>
          <w:p>
            <w:pPr>
              <w:pageBreakBefore w:val="0"/>
              <w:widowControl/>
              <w:numPr>
                <w:ilvl w:val="0"/>
                <w:numId w:val="1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发票在系统中应具有流水号，并必须要与发票号对应</w:t>
            </w:r>
          </w:p>
          <w:p>
            <w:pPr>
              <w:pageBreakBefore w:val="0"/>
              <w:widowControl/>
              <w:numPr>
                <w:ilvl w:val="0"/>
                <w:numId w:val="1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门诊发票重打：打印机故障或其他原因，发票需重新打印。对重新打印的发票应有记录或标示此发票是否重打印的发票，前次打印发票作废标示，保证发票的可靠性</w:t>
            </w:r>
          </w:p>
          <w:p>
            <w:pPr>
              <w:pageBreakBefore w:val="0"/>
              <w:widowControl/>
              <w:numPr>
                <w:ilvl w:val="0"/>
                <w:numId w:val="1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一张处方打印全部医嘱：分解处方中的医嘱项目，自动分多张发票打印，各发票指向同一病人或者另加一台打印机单独打印医嘱明细单。</w:t>
            </w:r>
          </w:p>
          <w:p>
            <w:pPr>
              <w:pageBreakBefore w:val="0"/>
              <w:widowControl/>
              <w:numPr>
                <w:ilvl w:val="0"/>
                <w:numId w:val="1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按财政和卫生行政部门规定格式打印报销凭证，要求打印并保留存根，计算机生成的凭证序号必须连续，不得出现重号</w:t>
            </w:r>
          </w:p>
          <w:p>
            <w:pPr>
              <w:pageBreakBefore w:val="0"/>
              <w:widowControl/>
              <w:numPr>
                <w:ilvl w:val="0"/>
                <w:numId w:val="1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收据号管理</w:t>
            </w:r>
          </w:p>
          <w:p>
            <w:pPr>
              <w:pageBreakBefore w:val="0"/>
              <w:widowControl/>
              <w:numPr>
                <w:ilvl w:val="0"/>
                <w:numId w:val="1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门急诊划价收费系统具有严格发票号管理（如使用发票号和机器生成号管理发票），提供收款员输入单据起止号的入口</w:t>
            </w:r>
          </w:p>
          <w:p>
            <w:pPr>
              <w:pageBreakBefore w:val="0"/>
              <w:widowControl/>
              <w:numPr>
                <w:ilvl w:val="0"/>
                <w:numId w:val="1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打印发票时，发票应有费用明细打印，条目与物价字典一致。费用明细标注医保类别</w:t>
            </w:r>
          </w:p>
          <w:p>
            <w:pPr>
              <w:pageBreakBefore w:val="0"/>
              <w:widowControl/>
              <w:numPr>
                <w:ilvl w:val="0"/>
                <w:numId w:val="1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在打印的发票上应有医保患者身份显示，注明“某市医保”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770"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结算</w:t>
            </w:r>
          </w:p>
        </w:tc>
        <w:tc>
          <w:tcPr>
            <w:tcW w:w="7641" w:type="dxa"/>
            <w:tcBorders>
              <w:tl2br w:val="nil"/>
              <w:tr2bl w:val="nil"/>
            </w:tcBorders>
            <w:vAlign w:val="center"/>
          </w:tcPr>
          <w:p>
            <w:pPr>
              <w:pageBreakBefore w:val="0"/>
              <w:widowControl/>
              <w:numPr>
                <w:ilvl w:val="0"/>
                <w:numId w:val="1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汇总当前操作员本次从上班到下班期间的操作，一般操作员和财务部门对帐。</w:t>
            </w:r>
          </w:p>
          <w:p>
            <w:pPr>
              <w:pageBreakBefore w:val="0"/>
              <w:widowControl/>
              <w:numPr>
                <w:ilvl w:val="0"/>
                <w:numId w:val="1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打印机出现故障时可补打结算单</w:t>
            </w:r>
          </w:p>
          <w:p>
            <w:pPr>
              <w:pageBreakBefore w:val="0"/>
              <w:widowControl/>
              <w:numPr>
                <w:ilvl w:val="0"/>
                <w:numId w:val="1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退费作废浏览可查看自上次日结算以来的退费作废记录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jc w:val="center"/>
        </w:trPr>
        <w:tc>
          <w:tcPr>
            <w:tcW w:w="1770"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汇总功能</w:t>
            </w:r>
          </w:p>
        </w:tc>
        <w:tc>
          <w:tcPr>
            <w:tcW w:w="7641" w:type="dxa"/>
            <w:tcBorders>
              <w:tl2br w:val="nil"/>
              <w:tr2bl w:val="nil"/>
            </w:tcBorders>
            <w:vAlign w:val="center"/>
          </w:tcPr>
          <w:p>
            <w:pPr>
              <w:pageBreakBefore w:val="0"/>
              <w:widowControl/>
              <w:numPr>
                <w:ilvl w:val="0"/>
                <w:numId w:val="16"/>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日结功能：完成日收费科目汇总，科目明细汇总，科室核算统计</w:t>
            </w:r>
          </w:p>
          <w:p>
            <w:pPr>
              <w:pageBreakBefore w:val="0"/>
              <w:widowControl/>
              <w:numPr>
                <w:ilvl w:val="0"/>
                <w:numId w:val="16"/>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月结处理功能：须能完成全院月收费科目汇总，科室核算统计汇总</w:t>
            </w:r>
          </w:p>
          <w:p>
            <w:pPr>
              <w:pageBreakBefore w:val="0"/>
              <w:widowControl/>
              <w:numPr>
                <w:ilvl w:val="0"/>
                <w:numId w:val="16"/>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全院门诊收费月、季、年报表处理功能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770"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查询统计</w:t>
            </w:r>
          </w:p>
        </w:tc>
        <w:tc>
          <w:tcPr>
            <w:tcW w:w="7641" w:type="dxa"/>
            <w:tcBorders>
              <w:tl2br w:val="nil"/>
              <w:tr2bl w:val="nil"/>
            </w:tcBorders>
            <w:vAlign w:val="center"/>
          </w:tcPr>
          <w:p>
            <w:pPr>
              <w:pageBreakBefore w:val="0"/>
              <w:widowControl/>
              <w:numPr>
                <w:ilvl w:val="0"/>
                <w:numId w:val="17"/>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收费员日结与工作量统计</w:t>
            </w:r>
          </w:p>
          <w:p>
            <w:pPr>
              <w:pageBreakBefore w:val="0"/>
              <w:widowControl/>
              <w:numPr>
                <w:ilvl w:val="0"/>
                <w:numId w:val="17"/>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收款员发票查询</w:t>
            </w:r>
          </w:p>
          <w:p>
            <w:pPr>
              <w:pageBreakBefore w:val="0"/>
              <w:widowControl/>
              <w:numPr>
                <w:ilvl w:val="0"/>
                <w:numId w:val="17"/>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作废发票查询</w:t>
            </w:r>
          </w:p>
          <w:p>
            <w:pPr>
              <w:pageBreakBefore w:val="0"/>
              <w:widowControl/>
              <w:numPr>
                <w:ilvl w:val="0"/>
                <w:numId w:val="17"/>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按治疗费、检查费、其他费用统计</w:t>
            </w:r>
          </w:p>
          <w:p>
            <w:pPr>
              <w:pageBreakBefore w:val="0"/>
              <w:widowControl/>
              <w:numPr>
                <w:ilvl w:val="0"/>
                <w:numId w:val="17"/>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可任选时间段、组合项查询，并可打印查询结果</w:t>
            </w:r>
          </w:p>
          <w:p>
            <w:pPr>
              <w:pageBreakBefore w:val="0"/>
              <w:widowControl/>
              <w:numPr>
                <w:ilvl w:val="0"/>
                <w:numId w:val="17"/>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收款员交款情况统计</w:t>
            </w:r>
          </w:p>
          <w:p>
            <w:pPr>
              <w:pageBreakBefore w:val="0"/>
              <w:widowControl/>
              <w:numPr>
                <w:ilvl w:val="0"/>
                <w:numId w:val="17"/>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各类明细和汇总表的打印</w:t>
            </w:r>
          </w:p>
          <w:p>
            <w:pPr>
              <w:pageBreakBefore w:val="0"/>
              <w:widowControl/>
              <w:numPr>
                <w:ilvl w:val="0"/>
                <w:numId w:val="17"/>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打印全院门诊月、季、年收费核算分析报表</w:t>
            </w:r>
          </w:p>
          <w:p>
            <w:pPr>
              <w:pageBreakBefore w:val="0"/>
              <w:widowControl/>
              <w:numPr>
                <w:ilvl w:val="0"/>
                <w:numId w:val="17"/>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报表可自定义。根据管理科室工作需要设定条件统计所需报表</w:t>
            </w:r>
          </w:p>
        </w:tc>
      </w:tr>
    </w:tbl>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24" w:name="_Toc7236"/>
      <w:r>
        <w:rPr>
          <w:rFonts w:hint="eastAsia" w:ascii="新宋体" w:hAnsi="新宋体" w:eastAsia="新宋体" w:cs="新宋体"/>
          <w:sz w:val="24"/>
          <w:szCs w:val="24"/>
        </w:rPr>
        <w:t>3.1.3、住院入出院管理系统</w:t>
      </w:r>
      <w:bookmarkEnd w:id="24"/>
    </w:p>
    <w:tbl>
      <w:tblPr>
        <w:tblStyle w:val="26"/>
        <w:tblW w:w="9356"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93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417" w:type="dxa"/>
            <w:tcBorders>
              <w:tl2br w:val="nil"/>
              <w:tr2bl w:val="nil"/>
            </w:tcBorders>
            <w:shd w:val="clear" w:color="000000" w:fill="EEECE1"/>
            <w:vAlign w:val="center"/>
          </w:tcPr>
          <w:p>
            <w:pPr>
              <w:pageBreakBefore w:val="0"/>
              <w:widowControl/>
              <w:kinsoku/>
              <w:wordWrap/>
              <w:overflowPunct/>
              <w:topLinePunct w:val="0"/>
              <w:bidi w:val="0"/>
              <w:spacing w:line="400" w:lineRule="exac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主要功能</w:t>
            </w:r>
          </w:p>
        </w:tc>
        <w:tc>
          <w:tcPr>
            <w:tcW w:w="7939" w:type="dxa"/>
            <w:tcBorders>
              <w:tl2br w:val="nil"/>
              <w:tr2bl w:val="nil"/>
            </w:tcBorders>
            <w:shd w:val="clear" w:color="000000" w:fill="EEECE1"/>
            <w:vAlign w:val="center"/>
          </w:tcPr>
          <w:p>
            <w:pPr>
              <w:pageBreakBefore w:val="0"/>
              <w:widowControl/>
              <w:kinsoku/>
              <w:wordWrap/>
              <w:overflowPunct/>
              <w:topLinePunct w:val="0"/>
              <w:bidi w:val="0"/>
              <w:spacing w:line="400" w:lineRule="exact"/>
              <w:ind w:firstLine="562"/>
              <w:jc w:val="center"/>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417"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入院登记</w:t>
            </w:r>
          </w:p>
        </w:tc>
        <w:tc>
          <w:tcPr>
            <w:tcW w:w="7939"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1、支持医保患者按医保规定程序办理入院登记</w:t>
            </w:r>
          </w:p>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2、支持医生站电子入院证办理入院</w:t>
            </w:r>
          </w:p>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3、支持二代身份证信息读取，办理入院登记</w:t>
            </w:r>
          </w:p>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4、支持一卡通办理入院登记</w:t>
            </w:r>
          </w:p>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5、支持多次入院</w:t>
            </w:r>
          </w:p>
          <w:p>
            <w:pPr>
              <w:pageBreakBefore w:val="0"/>
              <w:widowControl/>
              <w:kinsoku/>
              <w:wordWrap/>
              <w:overflowPunct/>
              <w:topLinePunct w:val="0"/>
              <w:bidi w:val="0"/>
              <w:spacing w:line="400" w:lineRule="exac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6、对特殊病人做特殊标记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417"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欠费管理</w:t>
            </w:r>
          </w:p>
        </w:tc>
        <w:tc>
          <w:tcPr>
            <w:tcW w:w="7939"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1、支持多种欠费病人管理模式</w:t>
            </w:r>
          </w:p>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2、住院病人病区费用告警线功能，可自行设定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417"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押金管理</w:t>
            </w:r>
          </w:p>
        </w:tc>
        <w:tc>
          <w:tcPr>
            <w:tcW w:w="7939"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支持多种押金支付方式，如微信、支付宝、现金、银行卡、支票、信用卡等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417"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费用管理</w:t>
            </w:r>
          </w:p>
        </w:tc>
        <w:tc>
          <w:tcPr>
            <w:tcW w:w="7939"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住院病人费用补录功能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417"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退费管理</w:t>
            </w:r>
          </w:p>
        </w:tc>
        <w:tc>
          <w:tcPr>
            <w:tcW w:w="7939"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1、住院病人费用冲销</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2、住院病人退费申请处理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417"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出院结算</w:t>
            </w:r>
          </w:p>
        </w:tc>
        <w:tc>
          <w:tcPr>
            <w:tcW w:w="7939"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1、可按任意时段分账结算</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2、如果病人出院结算后发现费用有错误，收款员可以取消病人出院结算</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3、退款后的发票须在系统中做标记（原发票必须收回）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417"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发票及单据管理</w:t>
            </w:r>
          </w:p>
        </w:tc>
        <w:tc>
          <w:tcPr>
            <w:tcW w:w="7939"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1、病人住院预交金缴费收据、出院结算退款单等票据管理与发票管理办法一致</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2、发票及各类单据使用情况可统计查询，输出报表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417"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报表与查询</w:t>
            </w:r>
          </w:p>
        </w:tc>
        <w:tc>
          <w:tcPr>
            <w:tcW w:w="7939" w:type="dxa"/>
            <w:tcBorders>
              <w:tl2br w:val="nil"/>
              <w:tr2bl w:val="nil"/>
            </w:tcBorders>
            <w:vAlign w:val="center"/>
          </w:tcPr>
          <w:p>
            <w:pPr>
              <w:pStyle w:val="67"/>
              <w:pageBreakBefore w:val="0"/>
              <w:kinsoku/>
              <w:wordWrap/>
              <w:overflowPunct/>
              <w:topLinePunct w:val="0"/>
              <w:bidi w:val="0"/>
              <w:spacing w:line="400" w:lineRule="exact"/>
              <w:ind w:left="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1、各级医政管理机构规定的相关报表。</w:t>
            </w:r>
          </w:p>
          <w:p>
            <w:pPr>
              <w:pStyle w:val="67"/>
              <w:pageBreakBefore w:val="0"/>
              <w:kinsoku/>
              <w:wordWrap/>
              <w:overflowPunct/>
              <w:topLinePunct w:val="0"/>
              <w:bidi w:val="0"/>
              <w:spacing w:line="400" w:lineRule="exact"/>
              <w:ind w:left="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2、医院核算报表及二级核算报表。</w:t>
            </w:r>
          </w:p>
          <w:p>
            <w:pPr>
              <w:pStyle w:val="67"/>
              <w:pageBreakBefore w:val="0"/>
              <w:kinsoku/>
              <w:wordWrap/>
              <w:overflowPunct/>
              <w:topLinePunct w:val="0"/>
              <w:bidi w:val="0"/>
              <w:spacing w:line="400" w:lineRule="exact"/>
              <w:ind w:left="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3、住院预收款动态报表。</w:t>
            </w:r>
          </w:p>
          <w:p>
            <w:pPr>
              <w:pStyle w:val="67"/>
              <w:pageBreakBefore w:val="0"/>
              <w:kinsoku/>
              <w:wordWrap/>
              <w:overflowPunct/>
              <w:topLinePunct w:val="0"/>
              <w:bidi w:val="0"/>
              <w:spacing w:line="400" w:lineRule="exact"/>
              <w:ind w:left="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4、在院病人应收系列报表。</w:t>
            </w:r>
          </w:p>
          <w:p>
            <w:pPr>
              <w:pStyle w:val="67"/>
              <w:pageBreakBefore w:val="0"/>
              <w:kinsoku/>
              <w:wordWrap/>
              <w:overflowPunct/>
              <w:topLinePunct w:val="0"/>
              <w:bidi w:val="0"/>
              <w:spacing w:line="400" w:lineRule="exact"/>
              <w:ind w:left="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5、病人费用清单。</w:t>
            </w:r>
          </w:p>
          <w:p>
            <w:pPr>
              <w:pStyle w:val="67"/>
              <w:pageBreakBefore w:val="0"/>
              <w:kinsoku/>
              <w:wordWrap/>
              <w:overflowPunct/>
              <w:topLinePunct w:val="0"/>
              <w:bidi w:val="0"/>
              <w:spacing w:line="400" w:lineRule="exact"/>
              <w:ind w:left="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6、科室收入报表。</w:t>
            </w:r>
          </w:p>
          <w:p>
            <w:pPr>
              <w:pStyle w:val="67"/>
              <w:pageBreakBefore w:val="0"/>
              <w:kinsoku/>
              <w:wordWrap/>
              <w:overflowPunct/>
              <w:topLinePunct w:val="0"/>
              <w:bidi w:val="0"/>
              <w:spacing w:line="400" w:lineRule="exact"/>
              <w:ind w:left="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7、医生工作量报表。</w:t>
            </w:r>
          </w:p>
          <w:p>
            <w:pPr>
              <w:pStyle w:val="67"/>
              <w:pageBreakBefore w:val="0"/>
              <w:kinsoku/>
              <w:wordWrap/>
              <w:overflowPunct/>
              <w:topLinePunct w:val="0"/>
              <w:bidi w:val="0"/>
              <w:spacing w:line="400" w:lineRule="exact"/>
              <w:ind w:left="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8、根据管理科室工作需要任意设定条件统计所需要的报表。</w:t>
            </w:r>
          </w:p>
          <w:p>
            <w:pPr>
              <w:pStyle w:val="67"/>
              <w:pageBreakBefore w:val="0"/>
              <w:kinsoku/>
              <w:wordWrap/>
              <w:overflowPunct/>
              <w:topLinePunct w:val="0"/>
              <w:bidi w:val="0"/>
              <w:spacing w:line="400" w:lineRule="exact"/>
              <w:ind w:left="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9、报表导出功能。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417"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监督功能</w:t>
            </w:r>
          </w:p>
        </w:tc>
        <w:tc>
          <w:tcPr>
            <w:tcW w:w="7939"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1、对部分关键信息，有权限控制并留有修改日志，用于记录</w:t>
            </w:r>
          </w:p>
        </w:tc>
      </w:tr>
    </w:tbl>
    <w:p>
      <w:pPr>
        <w:pStyle w:val="68"/>
        <w:pageBreakBefore w:val="0"/>
        <w:kinsoku/>
        <w:wordWrap/>
        <w:overflowPunct/>
        <w:topLinePunct w:val="0"/>
        <w:bidi w:val="0"/>
        <w:spacing w:line="400" w:lineRule="exact"/>
        <w:rPr>
          <w:rFonts w:hint="eastAsia" w:ascii="新宋体" w:hAnsi="新宋体" w:eastAsia="新宋体" w:cs="新宋体"/>
          <w:sz w:val="24"/>
          <w:szCs w:val="24"/>
          <w:lang w:val="en-US"/>
        </w:rPr>
      </w:pPr>
    </w:p>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25" w:name="_Toc1623"/>
      <w:r>
        <w:rPr>
          <w:rFonts w:hint="eastAsia" w:ascii="新宋体" w:hAnsi="新宋体" w:eastAsia="新宋体" w:cs="新宋体"/>
          <w:sz w:val="24"/>
          <w:szCs w:val="24"/>
        </w:rPr>
        <w:t>3.1.4、住院收费系统</w:t>
      </w:r>
      <w:bookmarkEnd w:id="25"/>
    </w:p>
    <w:tbl>
      <w:tblPr>
        <w:tblStyle w:val="26"/>
        <w:tblW w:w="941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753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74"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主要功能</w:t>
            </w:r>
          </w:p>
        </w:tc>
        <w:tc>
          <w:tcPr>
            <w:tcW w:w="7537"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874"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欠费管理</w:t>
            </w:r>
          </w:p>
        </w:tc>
        <w:tc>
          <w:tcPr>
            <w:tcW w:w="7537" w:type="dxa"/>
            <w:tcBorders>
              <w:tl2br w:val="nil"/>
              <w:tr2bl w:val="nil"/>
            </w:tcBorders>
            <w:vAlign w:val="center"/>
          </w:tcPr>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1.支持多种欠费病人管理模式</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2.全院统一设定住院病人病区费用告警线功能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874"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押金管理</w:t>
            </w:r>
          </w:p>
        </w:tc>
        <w:tc>
          <w:tcPr>
            <w:tcW w:w="7537"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支持多种押金支付方式，如现金、银行卡、微信、支付宝、支票等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874"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费用管理</w:t>
            </w:r>
          </w:p>
        </w:tc>
        <w:tc>
          <w:tcPr>
            <w:tcW w:w="7537"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住院病人费用补录功能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874"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退费管理</w:t>
            </w:r>
          </w:p>
        </w:tc>
        <w:tc>
          <w:tcPr>
            <w:tcW w:w="7537"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1.住院病人费用冲销</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2.住院病人退费申请处理（包含微信、支付宝）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874"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报表与查询</w:t>
            </w:r>
          </w:p>
        </w:tc>
        <w:tc>
          <w:tcPr>
            <w:tcW w:w="7537" w:type="dxa"/>
            <w:tcBorders>
              <w:tl2br w:val="nil"/>
              <w:tr2bl w:val="nil"/>
            </w:tcBorders>
            <w:vAlign w:val="center"/>
          </w:tcPr>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1.各级医政管理机构规定的相关报表。</w:t>
            </w:r>
          </w:p>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2.医院核算报表及二级核算报表。</w:t>
            </w:r>
          </w:p>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3.住院预收款动态报表。</w:t>
            </w:r>
          </w:p>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4.在院病人应收系列报表。</w:t>
            </w:r>
          </w:p>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5.病人费用清单。</w:t>
            </w:r>
          </w:p>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6.科室收入报表。</w:t>
            </w:r>
          </w:p>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7.医生工作量报表。</w:t>
            </w:r>
          </w:p>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8.根据管理科室工作需要，设定条件统计所需要的报表。</w:t>
            </w:r>
          </w:p>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9.报表导出功能。</w:t>
            </w:r>
          </w:p>
        </w:tc>
      </w:tr>
    </w:tbl>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bCs w:val="0"/>
          <w:sz w:val="24"/>
          <w:szCs w:val="24"/>
        </w:rPr>
      </w:pPr>
      <w:bookmarkStart w:id="26" w:name="_Toc13975"/>
      <w:r>
        <w:rPr>
          <w:rFonts w:hint="eastAsia" w:ascii="新宋体" w:hAnsi="新宋体" w:eastAsia="新宋体" w:cs="新宋体"/>
          <w:sz w:val="24"/>
          <w:szCs w:val="24"/>
        </w:rPr>
        <w:t>3.1.5、一卡通管理系统</w:t>
      </w:r>
      <w:bookmarkEnd w:id="26"/>
    </w:p>
    <w:tbl>
      <w:tblPr>
        <w:tblStyle w:val="26"/>
        <w:tblW w:w="941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762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87"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主要功能</w:t>
            </w:r>
          </w:p>
        </w:tc>
        <w:tc>
          <w:tcPr>
            <w:tcW w:w="7624"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jc w:val="center"/>
        </w:trPr>
        <w:tc>
          <w:tcPr>
            <w:tcW w:w="1787"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  办理就诊卡</w:t>
            </w:r>
          </w:p>
        </w:tc>
        <w:tc>
          <w:tcPr>
            <w:tcW w:w="7624"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1.支持不同介质的就诊卡，比如：磁条卡、射频卡</w:t>
            </w:r>
            <w:r>
              <w:rPr>
                <w:rFonts w:hint="eastAsia" w:ascii="新宋体" w:hAnsi="新宋体" w:eastAsia="新宋体" w:cs="新宋体"/>
                <w:color w:val="FF0000"/>
                <w:kern w:val="0"/>
                <w:sz w:val="24"/>
                <w:szCs w:val="24"/>
              </w:rPr>
              <w:br w:type="textWrapping"/>
            </w:r>
            <w:r>
              <w:rPr>
                <w:rFonts w:hint="eastAsia" w:ascii="新宋体" w:hAnsi="新宋体" w:eastAsia="新宋体" w:cs="新宋体"/>
                <w:kern w:val="0"/>
                <w:sz w:val="24"/>
                <w:szCs w:val="24"/>
              </w:rPr>
              <w:t>2.首次办卡时，建立病人统一、标准、可共享基本信息档案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1787"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补卡</w:t>
            </w:r>
          </w:p>
        </w:tc>
        <w:tc>
          <w:tcPr>
            <w:tcW w:w="7624" w:type="dxa"/>
            <w:tcBorders>
              <w:tl2br w:val="nil"/>
              <w:tr2bl w:val="nil"/>
            </w:tcBorders>
            <w:vAlign w:val="center"/>
          </w:tcPr>
          <w:p>
            <w:pPr>
              <w:pageBreakBefore w:val="0"/>
              <w:widowControl/>
              <w:numPr>
                <w:ilvl w:val="0"/>
                <w:numId w:val="18"/>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病人就诊卡丢失，根据病人身份证号、姓名、年龄、地址等属性检索病人，查询病人记录，确认病人身份后，补发新卡</w:t>
            </w:r>
          </w:p>
          <w:p>
            <w:pPr>
              <w:pageBreakBefore w:val="0"/>
              <w:widowControl/>
              <w:numPr>
                <w:ilvl w:val="0"/>
                <w:numId w:val="18"/>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新卡的卡号可与原卡号不同，但赋予卡上的病人ID号必须保持原号，以保证一个病人拥有唯一一个ID号</w:t>
            </w:r>
          </w:p>
          <w:p>
            <w:pPr>
              <w:pageBreakBefore w:val="0"/>
              <w:widowControl/>
              <w:numPr>
                <w:ilvl w:val="0"/>
                <w:numId w:val="18"/>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一人多卡，新卡号与首卡号不同，系统应保证新卡号与首卡号关联</w:t>
            </w:r>
          </w:p>
          <w:p>
            <w:pPr>
              <w:pageBreakBefore w:val="0"/>
              <w:widowControl/>
              <w:numPr>
                <w:ilvl w:val="0"/>
                <w:numId w:val="18"/>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卡内有预交金模式下，丢失的卡应办挂失手续，对卡置挂失标志，再次使用时提示为失效卡。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787"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卡挂失</w:t>
            </w:r>
          </w:p>
        </w:tc>
        <w:tc>
          <w:tcPr>
            <w:tcW w:w="7624" w:type="dxa"/>
            <w:tcBorders>
              <w:tl2br w:val="nil"/>
              <w:tr2bl w:val="nil"/>
            </w:tcBorders>
            <w:vAlign w:val="center"/>
          </w:tcPr>
          <w:p>
            <w:pPr>
              <w:pageBreakBefore w:val="0"/>
              <w:widowControl/>
              <w:numPr>
                <w:ilvl w:val="0"/>
                <w:numId w:val="19"/>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如果一时找不到就诊卡，在不能确定卡是否真正丢失的情况下，持卡人可凭有效证件，对卡进行【挂失】</w:t>
            </w:r>
          </w:p>
          <w:p>
            <w:pPr>
              <w:pageBreakBefore w:val="0"/>
              <w:widowControl/>
              <w:numPr>
                <w:ilvl w:val="0"/>
                <w:numId w:val="19"/>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挂失后的卡在没有进行【卡恢复】前则不能再对该卡进行任何形式的操作，以此最大限度降低卡丢失后造成损失的可能性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787"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卡恢复</w:t>
            </w:r>
          </w:p>
        </w:tc>
        <w:tc>
          <w:tcPr>
            <w:tcW w:w="7624"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挂失的卡，如果找到后，持卡人必须凭有效证件对卡进行【卡恢复】操作后方可继续使用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87"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个人账户充值</w:t>
            </w:r>
          </w:p>
        </w:tc>
        <w:tc>
          <w:tcPr>
            <w:tcW w:w="7624"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sz w:val="24"/>
                <w:szCs w:val="24"/>
              </w:rPr>
              <w:t>★</w:t>
            </w:r>
            <w:r>
              <w:rPr>
                <w:rFonts w:hint="eastAsia" w:ascii="新宋体" w:hAnsi="新宋体" w:eastAsia="新宋体" w:cs="新宋体"/>
                <w:kern w:val="0"/>
                <w:sz w:val="24"/>
                <w:szCs w:val="24"/>
              </w:rPr>
              <w:t>个人帐户余额不足时，持卡人可对该帐户进行充值。充值类型支持现金、银行卡、微信和支付宝等方式，并且可根据刷卡流水号核对充值金额。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787"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个人账户冲销</w:t>
            </w:r>
          </w:p>
        </w:tc>
        <w:tc>
          <w:tcPr>
            <w:tcW w:w="7624"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如果充值时由于某种人为因素导致充值金额错误，可在该操作员没日结的情况下及时对该卡进行【个人帐户冲销操作】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87"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日结</w:t>
            </w:r>
          </w:p>
        </w:tc>
        <w:tc>
          <w:tcPr>
            <w:tcW w:w="7624"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汇总当前操作员本次从上班到下班期间的操作，一般操作员和财务部门对帐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3" w:hRule="atLeast"/>
          <w:jc w:val="center"/>
        </w:trPr>
        <w:tc>
          <w:tcPr>
            <w:tcW w:w="1787"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查询统计</w:t>
            </w:r>
          </w:p>
        </w:tc>
        <w:tc>
          <w:tcPr>
            <w:tcW w:w="7624" w:type="dxa"/>
            <w:tcBorders>
              <w:tl2br w:val="nil"/>
              <w:tr2bl w:val="nil"/>
            </w:tcBorders>
            <w:vAlign w:val="center"/>
          </w:tcPr>
          <w:p>
            <w:pPr>
              <w:pageBreakBefore w:val="0"/>
              <w:widowControl/>
              <w:numPr>
                <w:ilvl w:val="0"/>
                <w:numId w:val="20"/>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根据日期、卡号、操作类型等信息查询个人账户流水账</w:t>
            </w:r>
          </w:p>
          <w:p>
            <w:pPr>
              <w:pageBreakBefore w:val="0"/>
              <w:widowControl/>
              <w:numPr>
                <w:ilvl w:val="0"/>
                <w:numId w:val="20"/>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根据日期、操作员、操作类型等信息查询操作流水账</w:t>
            </w:r>
          </w:p>
          <w:p>
            <w:pPr>
              <w:pageBreakBefore w:val="0"/>
              <w:widowControl/>
              <w:numPr>
                <w:ilvl w:val="0"/>
                <w:numId w:val="20"/>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根据日期、操作员等信息查询冲销明细</w:t>
            </w:r>
          </w:p>
          <w:p>
            <w:pPr>
              <w:pageBreakBefore w:val="0"/>
              <w:widowControl/>
              <w:numPr>
                <w:ilvl w:val="0"/>
                <w:numId w:val="20"/>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统计操作员工作量</w:t>
            </w:r>
          </w:p>
          <w:p>
            <w:pPr>
              <w:pageBreakBefore w:val="0"/>
              <w:widowControl/>
              <w:numPr>
                <w:ilvl w:val="0"/>
                <w:numId w:val="20"/>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个人账户结余查询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787"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清单打印</w:t>
            </w:r>
          </w:p>
        </w:tc>
        <w:tc>
          <w:tcPr>
            <w:tcW w:w="7624"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1.根据卡号、交易号、门诊号查询出在某个时间段内的费用清单</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2.支持费用清单打印</w:t>
            </w:r>
          </w:p>
        </w:tc>
      </w:tr>
    </w:tbl>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27" w:name="_Toc21660"/>
      <w:r>
        <w:rPr>
          <w:rFonts w:hint="eastAsia" w:ascii="新宋体" w:hAnsi="新宋体" w:eastAsia="新宋体" w:cs="新宋体"/>
          <w:sz w:val="24"/>
          <w:szCs w:val="24"/>
        </w:rPr>
        <w:t>3.1.6、中西药房管理子系统</w:t>
      </w:r>
      <w:bookmarkEnd w:id="27"/>
    </w:p>
    <w:tbl>
      <w:tblPr>
        <w:tblStyle w:val="26"/>
        <w:tblW w:w="941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76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5"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主要功能</w:t>
            </w:r>
          </w:p>
        </w:tc>
        <w:tc>
          <w:tcPr>
            <w:tcW w:w="7636"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1775"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处方划价</w:t>
            </w:r>
          </w:p>
        </w:tc>
        <w:tc>
          <w:tcPr>
            <w:tcW w:w="7636"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1.对门诊病人的中、西、草药手工处方进行划价</w:t>
            </w:r>
          </w:p>
          <w:p>
            <w:pPr>
              <w:pageBreakBefore w:val="0"/>
              <w:widowControl/>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2.对一卡通病人的中、西、草药电子处方刷卡划价</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kern w:val="0"/>
                <w:sz w:val="24"/>
                <w:szCs w:val="24"/>
              </w:rPr>
              <w:t>3.对住院病人的临时处方进行划价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jc w:val="center"/>
        </w:trPr>
        <w:tc>
          <w:tcPr>
            <w:tcW w:w="1775"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门诊处方发药</w:t>
            </w:r>
          </w:p>
        </w:tc>
        <w:tc>
          <w:tcPr>
            <w:tcW w:w="7636" w:type="dxa"/>
            <w:tcBorders>
              <w:tl2br w:val="nil"/>
              <w:tr2bl w:val="nil"/>
            </w:tcBorders>
            <w:vAlign w:val="center"/>
          </w:tcPr>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1.自动接收来自门诊收费处/门诊医生站的处方信息，发药扣减库存</w:t>
            </w:r>
          </w:p>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2.支持科室领药</w:t>
            </w:r>
          </w:p>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3.支持部分发药和全部发药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775"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门诊处方退药</w:t>
            </w:r>
          </w:p>
        </w:tc>
        <w:tc>
          <w:tcPr>
            <w:tcW w:w="7636" w:type="dxa"/>
            <w:tcBorders>
              <w:tl2br w:val="nil"/>
              <w:tr2bl w:val="nil"/>
            </w:tcBorders>
            <w:vAlign w:val="center"/>
          </w:tcPr>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1.已发药药品退药</w:t>
            </w:r>
          </w:p>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2.支持退药申请模式</w:t>
            </w:r>
          </w:p>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3.支持部分退药全部退药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775"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住院发药及退药</w:t>
            </w:r>
          </w:p>
        </w:tc>
        <w:tc>
          <w:tcPr>
            <w:tcW w:w="7636" w:type="dxa"/>
            <w:tcBorders>
              <w:tl2br w:val="nil"/>
              <w:tr2bl w:val="nil"/>
            </w:tcBorders>
            <w:vAlign w:val="center"/>
          </w:tcPr>
          <w:p>
            <w:pPr>
              <w:pageBreakBefore w:val="0"/>
              <w:widowControl/>
              <w:numPr>
                <w:ilvl w:val="0"/>
                <w:numId w:val="21"/>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自动接收由护士站确认后的药品请领单，住院药房据此发药，同时减去住院药房库存。确认发药后，自动记录病人费用明细账</w:t>
            </w:r>
          </w:p>
          <w:p>
            <w:pPr>
              <w:pageBreakBefore w:val="0"/>
              <w:widowControl/>
              <w:numPr>
                <w:ilvl w:val="0"/>
                <w:numId w:val="21"/>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能够进行单个病人退药或病房、病区退药处理，并自动增加本地库存</w:t>
            </w:r>
          </w:p>
          <w:p>
            <w:pPr>
              <w:pageBreakBefore w:val="0"/>
              <w:widowControl/>
              <w:numPr>
                <w:ilvl w:val="0"/>
                <w:numId w:val="21"/>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sz w:val="24"/>
                <w:szCs w:val="24"/>
              </w:rPr>
              <w:t>★</w:t>
            </w:r>
            <w:r>
              <w:rPr>
                <w:rFonts w:hint="eastAsia" w:ascii="新宋体" w:hAnsi="新宋体" w:eastAsia="新宋体" w:cs="新宋体"/>
                <w:kern w:val="0"/>
                <w:sz w:val="24"/>
                <w:szCs w:val="24"/>
              </w:rPr>
              <w:t>可对特殊（精神、麻醉、毒性）药品进行单独发药</w:t>
            </w:r>
          </w:p>
          <w:p>
            <w:pPr>
              <w:pageBreakBefore w:val="0"/>
              <w:widowControl/>
              <w:numPr>
                <w:ilvl w:val="0"/>
                <w:numId w:val="21"/>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能够进行科室领药（如手术室）确认，对其进行查询、修改、打印等</w:t>
            </w:r>
          </w:p>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5.支持科室领药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775"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支持多个药房管理模式</w:t>
            </w:r>
          </w:p>
        </w:tc>
        <w:tc>
          <w:tcPr>
            <w:tcW w:w="7636"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1.能根据医院的需要增加药房数量</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2.支持每一个药房出库、入库、库存盘点等各项药房管理</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3.合理解决病人在多个药房混合取药的问题</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4.支持病人自由选择药房或指定药房两种模式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775"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库存管理</w:t>
            </w:r>
          </w:p>
        </w:tc>
        <w:tc>
          <w:tcPr>
            <w:tcW w:w="7636" w:type="dxa"/>
            <w:tcBorders>
              <w:tl2br w:val="nil"/>
              <w:tr2bl w:val="nil"/>
            </w:tcBorders>
            <w:vAlign w:val="center"/>
          </w:tcPr>
          <w:p>
            <w:pPr>
              <w:pageBreakBefore w:val="0"/>
              <w:widowControl/>
              <w:numPr>
                <w:ilvl w:val="0"/>
                <w:numId w:val="22"/>
              </w:numPr>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根据药品消耗量，能够自动生成药品请领单</w:t>
            </w:r>
          </w:p>
          <w:p>
            <w:pPr>
              <w:pageBreakBefore w:val="0"/>
              <w:widowControl/>
              <w:numPr>
                <w:ilvl w:val="0"/>
                <w:numId w:val="22"/>
              </w:numPr>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药房系统与药库系统无缝连接</w:t>
            </w:r>
          </w:p>
          <w:p>
            <w:pPr>
              <w:pageBreakBefore w:val="0"/>
              <w:widowControl/>
              <w:numPr>
                <w:ilvl w:val="0"/>
                <w:numId w:val="22"/>
              </w:numPr>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支持手工入库</w:t>
            </w:r>
          </w:p>
          <w:p>
            <w:pPr>
              <w:pageBreakBefore w:val="0"/>
              <w:widowControl/>
              <w:numPr>
                <w:ilvl w:val="0"/>
                <w:numId w:val="22"/>
              </w:numPr>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药品属性继承，含药价、医保属性等药品属性</w:t>
            </w:r>
          </w:p>
          <w:p>
            <w:pPr>
              <w:pageBreakBefore w:val="0"/>
              <w:widowControl/>
              <w:numPr>
                <w:ilvl w:val="0"/>
                <w:numId w:val="22"/>
              </w:numPr>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药品入库时，可对药品进行分装处理，并能对分装结果进行查询</w:t>
            </w:r>
          </w:p>
          <w:p>
            <w:pPr>
              <w:pageBreakBefore w:val="0"/>
              <w:widowControl/>
              <w:numPr>
                <w:ilvl w:val="0"/>
                <w:numId w:val="22"/>
              </w:numPr>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设定药品库存上下限，当某种药品库存低于下限时，有相应的提示或警报</w:t>
            </w:r>
          </w:p>
          <w:p>
            <w:pPr>
              <w:pageBreakBefore w:val="0"/>
              <w:widowControl/>
              <w:numPr>
                <w:ilvl w:val="0"/>
                <w:numId w:val="22"/>
              </w:numPr>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提供库存量提示功能</w:t>
            </w:r>
          </w:p>
          <w:p>
            <w:pPr>
              <w:pageBreakBefore w:val="0"/>
              <w:widowControl/>
              <w:numPr>
                <w:ilvl w:val="0"/>
                <w:numId w:val="22"/>
              </w:numPr>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能够实现各门诊药房之间，门诊药房和住院药房之间药品的相互调拨。调拨过程可不由药库进行操作</w:t>
            </w:r>
          </w:p>
          <w:p>
            <w:pPr>
              <w:pageBreakBefore w:val="0"/>
              <w:widowControl/>
              <w:numPr>
                <w:ilvl w:val="0"/>
                <w:numId w:val="22"/>
              </w:numPr>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可向药库进行药品退药操作</w:t>
            </w:r>
          </w:p>
          <w:p>
            <w:pPr>
              <w:pageBreakBefore w:val="0"/>
              <w:widowControl/>
              <w:numPr>
                <w:ilvl w:val="0"/>
                <w:numId w:val="22"/>
              </w:numPr>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药房药品库存进行账盘、实盘、调整，并可生成损益单</w:t>
            </w:r>
          </w:p>
          <w:p>
            <w:pPr>
              <w:pageBreakBefore w:val="0"/>
              <w:widowControl/>
              <w:numPr>
                <w:ilvl w:val="0"/>
                <w:numId w:val="22"/>
              </w:numPr>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支持门诊药房实库存管理</w:t>
            </w:r>
          </w:p>
          <w:p>
            <w:pPr>
              <w:pageBreakBefore w:val="0"/>
              <w:widowControl/>
              <w:numPr>
                <w:ilvl w:val="0"/>
                <w:numId w:val="22"/>
              </w:numPr>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支持过期药品查询</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13.药品上下限控制</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14.提供对药库发到本药房的药品的出库单进行入库确认</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15.提供本药房药品的调拨、盘点、报损、调换</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16.可向药库进行药品退药操作</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17.支持多个住院药房管理</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18.支持实库存管理</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19.对毒麻药品、精神药品的种类、贵重药品、院内制剂、进口药品、自费药等均须有特定的判断识别处理功能</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20、能够实现各住院药房之间，住院药房和门诊药房之间药品的相互调拨。调拨过程可不由药库进行操作</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kern w:val="0"/>
                <w:sz w:val="24"/>
                <w:szCs w:val="24"/>
              </w:rPr>
              <w:t>21、零库存药品库存作废功能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7" w:hRule="atLeast"/>
          <w:jc w:val="center"/>
        </w:trPr>
        <w:tc>
          <w:tcPr>
            <w:tcW w:w="1775"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统计查询</w:t>
            </w:r>
          </w:p>
        </w:tc>
        <w:tc>
          <w:tcPr>
            <w:tcW w:w="7636" w:type="dxa"/>
            <w:tcBorders>
              <w:tl2br w:val="nil"/>
              <w:tr2bl w:val="nil"/>
            </w:tcBorders>
            <w:vAlign w:val="center"/>
          </w:tcPr>
          <w:p>
            <w:pPr>
              <w:pageBreakBefore w:val="0"/>
              <w:widowControl/>
              <w:numPr>
                <w:ilvl w:val="0"/>
                <w:numId w:val="23"/>
              </w:numPr>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根据权限实现统计查询</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2.药品库存的月结功能，并能校对账目及库存的平衡关系</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3.随时查询某日和任意时间段的入库药品消耗</w:t>
            </w:r>
            <w:r>
              <w:rPr>
                <w:rFonts w:hint="eastAsia" w:ascii="新宋体" w:hAnsi="新宋体" w:eastAsia="新宋体" w:cs="新宋体"/>
                <w:sz w:val="24"/>
                <w:szCs w:val="24"/>
              </w:rPr>
              <w:br w:type="textWrapping"/>
            </w:r>
            <w:r>
              <w:rPr>
                <w:rFonts w:hint="eastAsia" w:ascii="新宋体" w:hAnsi="新宋体" w:eastAsia="新宋体" w:cs="新宋体"/>
                <w:sz w:val="24"/>
                <w:szCs w:val="24"/>
              </w:rPr>
              <w:t>4.可以查询打印任意某一药品的入、出、存明细账</w:t>
            </w:r>
            <w:r>
              <w:rPr>
                <w:rFonts w:hint="eastAsia" w:ascii="新宋体" w:hAnsi="新宋体" w:eastAsia="新宋体" w:cs="新宋体"/>
                <w:sz w:val="24"/>
                <w:szCs w:val="24"/>
              </w:rPr>
              <w:br w:type="textWrapping"/>
            </w:r>
            <w:r>
              <w:rPr>
                <w:rFonts w:hint="eastAsia" w:ascii="新宋体" w:hAnsi="新宋体" w:eastAsia="新宋体" w:cs="新宋体"/>
                <w:sz w:val="24"/>
                <w:szCs w:val="24"/>
              </w:rPr>
              <w:t>5.提供药品会计账目、药品库管账目</w:t>
            </w:r>
            <w:r>
              <w:rPr>
                <w:rFonts w:hint="eastAsia" w:ascii="新宋体" w:hAnsi="新宋体" w:eastAsia="新宋体" w:cs="新宋体"/>
                <w:sz w:val="24"/>
                <w:szCs w:val="24"/>
              </w:rPr>
              <w:br w:type="textWrapping"/>
            </w:r>
            <w:r>
              <w:rPr>
                <w:rFonts w:hint="eastAsia" w:ascii="新宋体" w:hAnsi="新宋体" w:eastAsia="新宋体" w:cs="新宋体"/>
                <w:sz w:val="24"/>
                <w:szCs w:val="24"/>
              </w:rPr>
              <w:t>6.按会计制度规定，提供自动报账和手工报账核算功能</w:t>
            </w:r>
            <w:r>
              <w:rPr>
                <w:rFonts w:hint="eastAsia" w:ascii="新宋体" w:hAnsi="新宋体" w:eastAsia="新宋体" w:cs="新宋体"/>
                <w:sz w:val="24"/>
                <w:szCs w:val="24"/>
              </w:rPr>
              <w:br w:type="textWrapping"/>
            </w:r>
            <w:r>
              <w:rPr>
                <w:rFonts w:hint="eastAsia" w:ascii="新宋体" w:hAnsi="新宋体" w:eastAsia="新宋体" w:cs="新宋体"/>
                <w:sz w:val="24"/>
                <w:szCs w:val="24"/>
              </w:rPr>
              <w:t>7.操作员工作量、医生处方量统计</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8.提供药品会计账目、药品库管账目及与财务系统的接口，实现数据共享</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9.按会计制度规定，提供自动报账和手工报账核算功能</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10.操作员工作量、医生处方量统计</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kern w:val="0"/>
                <w:sz w:val="24"/>
                <w:szCs w:val="24"/>
              </w:rPr>
              <w:t>11.特殊（精神、麻醉、毒性）药品流向查询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jc w:val="center"/>
        </w:trPr>
        <w:tc>
          <w:tcPr>
            <w:tcW w:w="1775"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其他</w:t>
            </w:r>
          </w:p>
        </w:tc>
        <w:tc>
          <w:tcPr>
            <w:tcW w:w="7636" w:type="dxa"/>
            <w:tcBorders>
              <w:tl2br w:val="nil"/>
              <w:tr2bl w:val="nil"/>
            </w:tcBorders>
            <w:vAlign w:val="center"/>
          </w:tcPr>
          <w:p>
            <w:pPr>
              <w:pageBreakBefore w:val="0"/>
              <w:widowControl/>
              <w:numPr>
                <w:ilvl w:val="0"/>
                <w:numId w:val="2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提供药品库存的日结、月结、年结功能，能校对账目及库存的平衡关系</w:t>
            </w:r>
          </w:p>
          <w:p>
            <w:pPr>
              <w:pageBreakBefore w:val="0"/>
              <w:widowControl/>
              <w:numPr>
                <w:ilvl w:val="0"/>
                <w:numId w:val="2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病人用药品及费用查询</w:t>
            </w:r>
          </w:p>
          <w:p>
            <w:pPr>
              <w:pageBreakBefore w:val="0"/>
              <w:widowControl/>
              <w:numPr>
                <w:ilvl w:val="0"/>
                <w:numId w:val="2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可自动调整各种单据的输出内容和格式，并有操作员签字栏</w:t>
            </w:r>
          </w:p>
          <w:p>
            <w:pPr>
              <w:pageBreakBefore w:val="0"/>
              <w:widowControl/>
              <w:numPr>
                <w:ilvl w:val="0"/>
                <w:numId w:val="2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药品查询显示屏蔽功能（如长期不用或库存为零的药品可不显示）</w:t>
            </w:r>
          </w:p>
          <w:p>
            <w:pPr>
              <w:pageBreakBefore w:val="0"/>
              <w:widowControl/>
              <w:numPr>
                <w:ilvl w:val="0"/>
                <w:numId w:val="2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库存实时更新，减少护士去药房拿不到药的几率</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6.支持所有单据、查询统计报表打印</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7.对毒麻药品、精神药品的种类、贵重药品、院内制剂、进口药品、自费药等均有特定的判断识别处理</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8.对门诊收费的药品金额和药房的发药金额执行对账</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9.为门诊收费设置包装数、低线报警、控制药品及药品别名等功能</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10.可自动调整各种单据的输出内容和格式，并有操作员签字栏</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11.药品的屏蔽功能（如长期不用或库存为零的药品可不显示）</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12.所有单据、查询统计报表都可打印、导出</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13.如果只有一个药房情况下，可以对西药、草药、成药在一个药房管理</w:t>
            </w:r>
          </w:p>
        </w:tc>
      </w:tr>
    </w:tbl>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28" w:name="_Toc16302"/>
      <w:r>
        <w:rPr>
          <w:rFonts w:hint="eastAsia" w:ascii="新宋体" w:hAnsi="新宋体" w:eastAsia="新宋体" w:cs="新宋体"/>
          <w:sz w:val="24"/>
          <w:szCs w:val="24"/>
        </w:rPr>
        <w:t>3.1.7、中西药库管理子系统</w:t>
      </w:r>
      <w:bookmarkEnd w:id="28"/>
    </w:p>
    <w:tbl>
      <w:tblPr>
        <w:tblStyle w:val="26"/>
        <w:tblW w:w="941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767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39"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color w:val="000000"/>
                <w:sz w:val="24"/>
                <w:szCs w:val="24"/>
              </w:rPr>
              <w:t xml:space="preserve">   </w:t>
            </w:r>
            <w:r>
              <w:rPr>
                <w:rFonts w:hint="eastAsia" w:ascii="新宋体" w:hAnsi="新宋体" w:eastAsia="新宋体" w:cs="新宋体"/>
                <w:b/>
                <w:bCs/>
                <w:kern w:val="0"/>
                <w:sz w:val="24"/>
                <w:szCs w:val="24"/>
              </w:rPr>
              <w:t>主要功能</w:t>
            </w:r>
          </w:p>
        </w:tc>
        <w:tc>
          <w:tcPr>
            <w:tcW w:w="7672"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739"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入库管理</w:t>
            </w:r>
          </w:p>
        </w:tc>
        <w:tc>
          <w:tcPr>
            <w:tcW w:w="7672"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1.支持采购入库、盘点入库、科室退药入库、科室退药申请入库等</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2.支持药房退药入库，药房特殊入库退药入库等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39"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出库管理</w:t>
            </w:r>
          </w:p>
        </w:tc>
        <w:tc>
          <w:tcPr>
            <w:tcW w:w="7672"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1.支持药房领药出库、库内药品退货、药品报损、科室领药等出库</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2.自动接收科室领药单功能。药库可按库存情况对领药单进行修改</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3.需要冷藏的药品，出库时能够备注给药房。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739"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库存管理</w:t>
            </w:r>
          </w:p>
        </w:tc>
        <w:tc>
          <w:tcPr>
            <w:tcW w:w="7672" w:type="dxa"/>
            <w:tcBorders>
              <w:tl2br w:val="nil"/>
              <w:tr2bl w:val="nil"/>
            </w:tcBorders>
            <w:vAlign w:val="center"/>
          </w:tcPr>
          <w:p>
            <w:pPr>
              <w:pageBreakBefore w:val="0"/>
              <w:widowControl/>
              <w:numPr>
                <w:ilvl w:val="0"/>
                <w:numId w:val="2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药品上下限控制，可自动制定采购计划，并支持手工录入</w:t>
            </w:r>
          </w:p>
          <w:p>
            <w:pPr>
              <w:pageBreakBefore w:val="0"/>
              <w:widowControl/>
              <w:numPr>
                <w:ilvl w:val="0"/>
                <w:numId w:val="2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效期、批次管理。</w:t>
            </w:r>
          </w:p>
          <w:p>
            <w:pPr>
              <w:pageBreakBefore w:val="0"/>
              <w:widowControl/>
              <w:numPr>
                <w:ilvl w:val="0"/>
                <w:numId w:val="2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药品盘点：可对药库药品库存进行帐盘、实盘、调整，并可生成损益单等。</w:t>
            </w:r>
          </w:p>
          <w:p>
            <w:pPr>
              <w:pageBreakBefore w:val="0"/>
              <w:widowControl/>
              <w:numPr>
                <w:ilvl w:val="0"/>
                <w:numId w:val="2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提供特殊药品标记，对毒麻药品、精神药品的种类、贵重药品、院内制剂、进口药品、自费药等均有特定的判断识别处理</w:t>
            </w:r>
          </w:p>
          <w:p>
            <w:pPr>
              <w:pageBreakBefore w:val="0"/>
              <w:widowControl/>
              <w:numPr>
                <w:ilvl w:val="0"/>
                <w:numId w:val="2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支持实库存管理</w:t>
            </w:r>
          </w:p>
          <w:p>
            <w:pPr>
              <w:pageBreakBefore w:val="0"/>
              <w:widowControl/>
              <w:numPr>
                <w:ilvl w:val="0"/>
                <w:numId w:val="2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药库的工作环节需要有操作者操作记录</w:t>
            </w:r>
          </w:p>
          <w:p>
            <w:pPr>
              <w:pageBreakBefore w:val="0"/>
              <w:widowControl/>
              <w:numPr>
                <w:ilvl w:val="0"/>
                <w:numId w:val="2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提供药品库存的月结功能，并能校对账目及库存的平衡关系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739"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查询统计及维护</w:t>
            </w:r>
          </w:p>
        </w:tc>
        <w:tc>
          <w:tcPr>
            <w:tcW w:w="7672"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1.可随时生成各种药品的各种明细汇总数据</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2.随时查验任一品种的库存变化入、出、存明细信息</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3.提供药品的核算功能，可按各种方式统计分析各药房的消耗、库存</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4.生成上报数据与报表</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5.采购信息查询、自动生成药品经销商排名</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6.医疗保险信息查询功能</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7.药品基本信息能手工录入</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8.药品调价及调价信息查询</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9.精神、麻醉、毒性药品出入库信息查询</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10.药品价格查询</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11.抗菌药物分类、等级维护、抗菌药物药占比查询</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12.双十查询、药理分类查询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739"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药品会计核算及药品价格管理功能</w:t>
            </w:r>
          </w:p>
        </w:tc>
        <w:tc>
          <w:tcPr>
            <w:tcW w:w="7672" w:type="dxa"/>
            <w:tcBorders>
              <w:tl2br w:val="nil"/>
              <w:tr2bl w:val="nil"/>
            </w:tcBorders>
            <w:vAlign w:val="center"/>
          </w:tcPr>
          <w:p>
            <w:pPr>
              <w:pageBreakBefore w:val="0"/>
              <w:widowControl/>
              <w:numPr>
                <w:ilvl w:val="0"/>
                <w:numId w:val="26"/>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药品从采购到发放给病人有进价、零售价以及设置扣率和加成率参数，全院统一调价</w:t>
            </w:r>
          </w:p>
          <w:p>
            <w:pPr>
              <w:pageBreakBefore w:val="0"/>
              <w:widowControl/>
              <w:numPr>
                <w:ilvl w:val="0"/>
                <w:numId w:val="26"/>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记录调价的明细、时间及调价原因，并记录调价的盈亏等信息，传送到药品会计和财务会计</w:t>
            </w:r>
          </w:p>
          <w:p>
            <w:pPr>
              <w:pageBreakBefore w:val="0"/>
              <w:widowControl/>
              <w:numPr>
                <w:ilvl w:val="0"/>
                <w:numId w:val="26"/>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能够进行各药房处方数量及处方金额的统计</w:t>
            </w:r>
          </w:p>
          <w:p>
            <w:pPr>
              <w:pageBreakBefore w:val="0"/>
              <w:widowControl/>
              <w:numPr>
                <w:ilvl w:val="0"/>
                <w:numId w:val="26"/>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能够进行各药房报损药品的统计</w:t>
            </w:r>
          </w:p>
          <w:p>
            <w:pPr>
              <w:pageBreakBefore w:val="0"/>
              <w:widowControl/>
              <w:numPr>
                <w:ilvl w:val="0"/>
                <w:numId w:val="26"/>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实现药品零差价功能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739"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接口</w:t>
            </w:r>
          </w:p>
        </w:tc>
        <w:tc>
          <w:tcPr>
            <w:tcW w:w="7672"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通过医保接口，建立药品信息与医保信息的对照功能</w:t>
            </w:r>
          </w:p>
        </w:tc>
      </w:tr>
    </w:tbl>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29" w:name="_Toc31435"/>
      <w:r>
        <w:rPr>
          <w:rFonts w:hint="eastAsia" w:ascii="新宋体" w:hAnsi="新宋体" w:eastAsia="新宋体" w:cs="新宋体"/>
          <w:sz w:val="24"/>
          <w:szCs w:val="24"/>
        </w:rPr>
        <w:t>3.1.8、卫材管理系统</w:t>
      </w:r>
      <w:bookmarkEnd w:id="29"/>
    </w:p>
    <w:tbl>
      <w:tblPr>
        <w:tblStyle w:val="26"/>
        <w:tblW w:w="941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727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2140" w:type="dxa"/>
            <w:tcBorders>
              <w:tl2br w:val="nil"/>
              <w:tr2bl w:val="nil"/>
            </w:tcBorders>
            <w:shd w:val="clear" w:color="auto" w:fill="E7E6E6"/>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主要功能</w:t>
            </w:r>
          </w:p>
        </w:tc>
        <w:tc>
          <w:tcPr>
            <w:tcW w:w="7271" w:type="dxa"/>
            <w:tcBorders>
              <w:tl2br w:val="nil"/>
              <w:tr2bl w:val="nil"/>
            </w:tcBorders>
            <w:shd w:val="clear" w:color="auto" w:fill="E7E6E6"/>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2140"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采购计划</w:t>
            </w:r>
          </w:p>
        </w:tc>
        <w:tc>
          <w:tcPr>
            <w:tcW w:w="7271" w:type="dxa"/>
            <w:tcBorders>
              <w:tl2br w:val="nil"/>
              <w:tr2bl w:val="nil"/>
            </w:tcBorders>
            <w:vAlign w:val="center"/>
          </w:tcPr>
          <w:p>
            <w:pPr>
              <w:pageBreakBefore w:val="0"/>
              <w:widowControl/>
              <w:numPr>
                <w:ilvl w:val="0"/>
                <w:numId w:val="27"/>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可根据上月出库量，能够查询编辑采购计划。</w:t>
            </w:r>
          </w:p>
          <w:p>
            <w:pPr>
              <w:pageBreakBefore w:val="0"/>
              <w:widowControl/>
              <w:numPr>
                <w:ilvl w:val="0"/>
                <w:numId w:val="27"/>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录入采购信息要完整，物资代码、中文名称、英文名称、拼音码、规格、生产厂家、投标人、包装单位等物资信息</w:t>
            </w:r>
          </w:p>
          <w:p>
            <w:pPr>
              <w:pageBreakBefore w:val="0"/>
              <w:widowControl/>
              <w:numPr>
                <w:ilvl w:val="0"/>
                <w:numId w:val="27"/>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能够进行采购录入及查询，并对已录入的采购进行查询和修改，修改需加权限设置，能够进行采购信息的查询和管理。</w:t>
            </w:r>
          </w:p>
          <w:p>
            <w:pPr>
              <w:pageBreakBefore w:val="0"/>
              <w:widowControl/>
              <w:numPr>
                <w:ilvl w:val="0"/>
                <w:numId w:val="27"/>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可打印采购单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2140"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库存管理</w:t>
            </w:r>
          </w:p>
        </w:tc>
        <w:tc>
          <w:tcPr>
            <w:tcW w:w="7271" w:type="dxa"/>
            <w:tcBorders>
              <w:tl2br w:val="nil"/>
              <w:tr2bl w:val="nil"/>
            </w:tcBorders>
            <w:vAlign w:val="center"/>
          </w:tcPr>
          <w:p>
            <w:pPr>
              <w:pageBreakBefore w:val="0"/>
              <w:widowControl/>
              <w:numPr>
                <w:ilvl w:val="0"/>
                <w:numId w:val="28"/>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入出库：支持手工录入入出库单，库管人员可对入出库单进行确认，对物资入出库情况进行查询</w:t>
            </w:r>
          </w:p>
          <w:p>
            <w:pPr>
              <w:pageBreakBefore w:val="0"/>
              <w:widowControl/>
              <w:numPr>
                <w:ilvl w:val="0"/>
                <w:numId w:val="28"/>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库存上下限设定：可设定物资库存上下限，当某种物资库存低于下限时，库管人员可以查询到</w:t>
            </w:r>
          </w:p>
          <w:p>
            <w:pPr>
              <w:pageBreakBefore w:val="0"/>
              <w:widowControl/>
              <w:numPr>
                <w:ilvl w:val="0"/>
                <w:numId w:val="28"/>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效期和批次管理：提供物资的有效期管理，统计过期物资的品种数和金额以及有查询、打印等功能</w:t>
            </w:r>
          </w:p>
          <w:p>
            <w:pPr>
              <w:pageBreakBefore w:val="0"/>
              <w:widowControl/>
              <w:numPr>
                <w:ilvl w:val="0"/>
                <w:numId w:val="28"/>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退库：可向物资库进行物资退库操作</w:t>
            </w:r>
          </w:p>
          <w:p>
            <w:pPr>
              <w:pageBreakBefore w:val="0"/>
              <w:widowControl/>
              <w:numPr>
                <w:ilvl w:val="0"/>
                <w:numId w:val="28"/>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调拨：支持手工录入调拨单，对物资调拨情况进行查询。可打印调拨单</w:t>
            </w:r>
          </w:p>
          <w:p>
            <w:pPr>
              <w:pageBreakBefore w:val="0"/>
              <w:widowControl/>
              <w:numPr>
                <w:ilvl w:val="0"/>
                <w:numId w:val="28"/>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盘库：可对物资库房库存进行帐盘、实盘、调整。并可生成损益单等，能够查询和打印如库存清单等相应的单据</w:t>
            </w:r>
          </w:p>
          <w:p>
            <w:pPr>
              <w:pageBreakBefore w:val="0"/>
              <w:widowControl/>
              <w:numPr>
                <w:ilvl w:val="0"/>
                <w:numId w:val="28"/>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其他：能够查询库存量并打印，提供库存管理舍入误差处理功能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4" w:hRule="atLeast"/>
          <w:jc w:val="center"/>
        </w:trPr>
        <w:tc>
          <w:tcPr>
            <w:tcW w:w="2140"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统计</w:t>
            </w:r>
          </w:p>
        </w:tc>
        <w:tc>
          <w:tcPr>
            <w:tcW w:w="7271" w:type="dxa"/>
            <w:tcBorders>
              <w:tl2br w:val="nil"/>
              <w:tr2bl w:val="nil"/>
            </w:tcBorders>
            <w:vAlign w:val="center"/>
          </w:tcPr>
          <w:p>
            <w:pPr>
              <w:pageBreakBefore w:val="0"/>
              <w:widowControl/>
              <w:numPr>
                <w:ilvl w:val="0"/>
                <w:numId w:val="29"/>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工作量统计：能统计每类物资日发货量的统计等，对统计结果能够进行查询和打印</w:t>
            </w:r>
          </w:p>
          <w:p>
            <w:pPr>
              <w:pageBreakBefore w:val="0"/>
              <w:widowControl/>
              <w:numPr>
                <w:ilvl w:val="0"/>
                <w:numId w:val="29"/>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提供各科室物资消耗统计，金额统计功能</w:t>
            </w:r>
          </w:p>
          <w:p>
            <w:pPr>
              <w:pageBreakBefore w:val="0"/>
              <w:widowControl/>
              <w:numPr>
                <w:ilvl w:val="0"/>
                <w:numId w:val="29"/>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查询功能：提供物资库存的月结功能，并能校对账目及库存的平衡关系。</w:t>
            </w:r>
          </w:p>
          <w:p>
            <w:pPr>
              <w:pageBreakBefore w:val="0"/>
              <w:widowControl/>
              <w:numPr>
                <w:ilvl w:val="0"/>
                <w:numId w:val="29"/>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可随时查询某日和任意时间段的入库物资消耗，能够进行分类查询和单种物资查询，并可以查询打印任意某一物资的入、出、存明细账</w:t>
            </w:r>
          </w:p>
          <w:p>
            <w:pPr>
              <w:pageBreakBefore w:val="0"/>
              <w:widowControl/>
              <w:numPr>
                <w:ilvl w:val="0"/>
                <w:numId w:val="29"/>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提供各类报表打印、导出功能</w:t>
            </w:r>
          </w:p>
          <w:p>
            <w:pPr>
              <w:pageBreakBefore w:val="0"/>
              <w:widowControl/>
              <w:numPr>
                <w:ilvl w:val="0"/>
                <w:numId w:val="29"/>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生成上报数据与报表，供财务进行账务处理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140"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查询</w:t>
            </w:r>
          </w:p>
        </w:tc>
        <w:tc>
          <w:tcPr>
            <w:tcW w:w="7271" w:type="dxa"/>
            <w:tcBorders>
              <w:tl2br w:val="nil"/>
              <w:tr2bl w:val="nil"/>
            </w:tcBorders>
            <w:vAlign w:val="center"/>
          </w:tcPr>
          <w:p>
            <w:pPr>
              <w:pageBreakBefore w:val="0"/>
              <w:widowControl/>
              <w:numPr>
                <w:ilvl w:val="0"/>
                <w:numId w:val="30"/>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能够进行采购历史数据查询打印、出库历史数据查询打印、调拨数据查询打印</w:t>
            </w:r>
          </w:p>
          <w:p>
            <w:pPr>
              <w:pageBreakBefore w:val="0"/>
              <w:widowControl/>
              <w:numPr>
                <w:ilvl w:val="0"/>
                <w:numId w:val="30"/>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科室在用帐查询打印、物资会计总账、库存信息查询整理、出库数据查询修改</w:t>
            </w:r>
          </w:p>
          <w:p>
            <w:pPr>
              <w:pageBreakBefore w:val="0"/>
              <w:widowControl/>
              <w:numPr>
                <w:ilvl w:val="0"/>
                <w:numId w:val="30"/>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医院专用报表查询打印、库存盘点及查询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2140"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系统维护</w:t>
            </w:r>
          </w:p>
        </w:tc>
        <w:tc>
          <w:tcPr>
            <w:tcW w:w="7271" w:type="dxa"/>
            <w:tcBorders>
              <w:tl2br w:val="nil"/>
              <w:tr2bl w:val="nil"/>
            </w:tcBorders>
            <w:vAlign w:val="center"/>
          </w:tcPr>
          <w:p>
            <w:pPr>
              <w:pageBreakBefore w:val="0"/>
              <w:widowControl/>
              <w:numPr>
                <w:ilvl w:val="0"/>
                <w:numId w:val="31"/>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提供物资字典库维护、科室账号维护、用户权限管理、修改口令、系统数据设定等功能。</w:t>
            </w:r>
          </w:p>
          <w:p>
            <w:pPr>
              <w:pageBreakBefore w:val="0"/>
              <w:widowControl/>
              <w:numPr>
                <w:ilvl w:val="0"/>
                <w:numId w:val="31"/>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提供投标人及生产商及基本信息字典维护</w:t>
            </w:r>
          </w:p>
        </w:tc>
      </w:tr>
    </w:tbl>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30" w:name="_Toc12651"/>
      <w:r>
        <w:rPr>
          <w:rFonts w:hint="eastAsia" w:ascii="新宋体" w:hAnsi="新宋体" w:eastAsia="新宋体" w:cs="新宋体"/>
          <w:sz w:val="24"/>
          <w:szCs w:val="24"/>
        </w:rPr>
        <w:t>3.1.9、城镇职工医疗保险接口</w:t>
      </w:r>
      <w:bookmarkEnd w:id="30"/>
    </w:p>
    <w:tbl>
      <w:tblPr>
        <w:tblStyle w:val="26"/>
        <w:tblW w:w="941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727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40" w:type="dxa"/>
            <w:tcBorders>
              <w:tl2br w:val="nil"/>
              <w:tr2bl w:val="nil"/>
            </w:tcBorders>
            <w:shd w:val="clear" w:color="auto" w:fill="E7E6E6"/>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主要功能</w:t>
            </w:r>
          </w:p>
        </w:tc>
        <w:tc>
          <w:tcPr>
            <w:tcW w:w="7271" w:type="dxa"/>
            <w:tcBorders>
              <w:tl2br w:val="nil"/>
              <w:tr2bl w:val="nil"/>
            </w:tcBorders>
            <w:shd w:val="clear" w:color="auto" w:fill="E7E6E6"/>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2140"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城镇职工基本医疗保险接口</w:t>
            </w:r>
          </w:p>
        </w:tc>
        <w:tc>
          <w:tcPr>
            <w:tcW w:w="7271" w:type="dxa"/>
            <w:tcBorders>
              <w:tl2br w:val="nil"/>
              <w:tr2bl w:val="nil"/>
            </w:tcBorders>
            <w:vAlign w:val="center"/>
          </w:tcPr>
          <w:p>
            <w:pPr>
              <w:pageBreakBefore w:val="0"/>
              <w:numPr>
                <w:ilvl w:val="0"/>
                <w:numId w:val="32"/>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需要当地社保中心提供封装过的医保支付政策计算接口的医保支付接口组件软件，提供《医保支付组件服务应用编程接口API指南》指导HIS系统开发商对HIS系统与医保系统进行互联互通。HIS通过调用医保支付接口调用社保中心医保支付组件才能完成医保支付交易和数据交换。</w:t>
            </w:r>
          </w:p>
          <w:p>
            <w:pPr>
              <w:pageBreakBefore w:val="0"/>
              <w:numPr>
                <w:ilvl w:val="0"/>
                <w:numId w:val="32"/>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由院方提供城镇职工医疗保险接口文档。</w:t>
            </w:r>
          </w:p>
        </w:tc>
      </w:tr>
    </w:tbl>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31" w:name="_Toc32466"/>
      <w:bookmarkStart w:id="32" w:name="_Toc9909"/>
      <w:r>
        <w:rPr>
          <w:rFonts w:hint="eastAsia" w:ascii="新宋体" w:hAnsi="新宋体" w:eastAsia="新宋体" w:cs="新宋体"/>
          <w:sz w:val="24"/>
          <w:szCs w:val="24"/>
        </w:rPr>
        <w:t>3.1.10、城乡居民医疗保险接口</w:t>
      </w:r>
      <w:bookmarkEnd w:id="31"/>
      <w:bookmarkEnd w:id="32"/>
    </w:p>
    <w:tbl>
      <w:tblPr>
        <w:tblStyle w:val="26"/>
        <w:tblW w:w="941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8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60" w:type="dxa"/>
            <w:tcBorders>
              <w:tl2br w:val="nil"/>
              <w:tr2bl w:val="nil"/>
            </w:tcBorders>
            <w:shd w:val="clear" w:color="auto" w:fill="E7E6E6"/>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主要功能</w:t>
            </w:r>
          </w:p>
        </w:tc>
        <w:tc>
          <w:tcPr>
            <w:tcW w:w="7851" w:type="dxa"/>
            <w:tcBorders>
              <w:tl2br w:val="nil"/>
              <w:tr2bl w:val="nil"/>
            </w:tcBorders>
            <w:shd w:val="clear" w:color="auto" w:fill="E7E6E6"/>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560"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城乡居民医疗保险接口</w:t>
            </w:r>
          </w:p>
        </w:tc>
        <w:tc>
          <w:tcPr>
            <w:tcW w:w="7851" w:type="dxa"/>
            <w:tcBorders>
              <w:tl2br w:val="nil"/>
              <w:tr2bl w:val="nil"/>
            </w:tcBorders>
            <w:vAlign w:val="center"/>
          </w:tcPr>
          <w:p>
            <w:pPr>
              <w:pageBreakBefore w:val="0"/>
              <w:numPr>
                <w:ilvl w:val="0"/>
                <w:numId w:val="33"/>
              </w:numPr>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实现下载内容及处理：实时或定时的从上级新农合部门下载更新的药品目录、诊疗目录、服务设施目录、黑名单、各种政策参数、政策审核函数、医疗保险结算表、医疗保险拒付明细、对帐单等，并根据政策要求对药品目录、诊疗目录、服务设施目录、黑名单进行维护。</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2.实现上传内容及处理：实时或定时向上级医保部门上传。</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1)门诊挂号信息、门诊处方详细信息、门诊诊疗详细信息、门诊个人帐户、支付明细等信息。</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2)住院医嘱、住院首页信息、住院个人帐户支付明细、基金支付明细、现金支付明细等信息。</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3)退费信息：包括本次退费信息，原费用信息、退费金额等信息。</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4)结算汇总信息：按医疗保险政策规定的分类标准进行分类汇总。</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5)协调医保中心，可自动进行撤消出院操作，完成订正报表处理，方便患者。</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3.实现医疗保险病人费用处理：</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1)根据下载的政策参数、政策审核函数对医保病人进行身份确认，医保待遇资格判断。</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2)对医疗费用进行费用划分，个人帐户支付、基金支付、现金支付确认，扣减个人帐户，打印结算单据。</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3)按医疗保险指定格式完成对上述信息的上传。</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4)在医院信息系统中保存各医疗保险病人划分并支付后的费用明细清单和结算汇总清单。</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4.实现报表处理：</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1)提供上级医保部门要求上报的各类报表，</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2)满足医院内各类报表的需求: 如省、市医保（包括职工、居民、慢病）、城乡居民、自费患者的人次、费用明细帐及汇总金额的查询统计及报表输出等。</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5.实现医疗保险接口系统维护：</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1)对下载的药品目录与医院信息系统中的药品字典的对照维护。</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2)对下载的诊疗目录与医院信息系统各有关项目的对照维护。</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3)对下载的医疗服务设施与医院信息系统中各有关项目的对照维护。</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4)对医疗保险费用汇总类别与医院信息系统中费用汇总类别的对照维护。</w:t>
            </w:r>
          </w:p>
          <w:p>
            <w:pPr>
              <w:pStyle w:val="70"/>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5)对疾病分类代码的对照维护。</w:t>
            </w:r>
          </w:p>
          <w:p>
            <w:pPr>
              <w:pageBreakBefore w:val="0"/>
              <w:kinsoku/>
              <w:wordWrap/>
              <w:overflowPunct/>
              <w:topLinePunct w:val="0"/>
              <w:bidi w:val="0"/>
              <w:spacing w:line="400" w:lineRule="exact"/>
              <w:rPr>
                <w:rFonts w:hint="eastAsia" w:ascii="新宋体" w:hAnsi="新宋体" w:eastAsia="新宋体" w:cs="新宋体"/>
                <w:bCs/>
                <w:sz w:val="24"/>
                <w:szCs w:val="24"/>
              </w:rPr>
            </w:pPr>
            <w:r>
              <w:rPr>
                <w:rFonts w:hint="eastAsia" w:ascii="新宋体" w:hAnsi="新宋体" w:eastAsia="新宋体" w:cs="新宋体"/>
                <w:bCs/>
                <w:sz w:val="24"/>
                <w:szCs w:val="24"/>
              </w:rPr>
              <w:t>6.实现医疗保险接口运行要求：</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1)应保证上传数据与医院信息系统中保留的数据的一致性。</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2)按医疗保险部门的要求及时下载更新数据。</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3)及时与医疗保险部门对帐并结算。</w:t>
            </w:r>
          </w:p>
          <w:p>
            <w:pPr>
              <w:pageBreakBefore w:val="0"/>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7.院方提供新型农村合作医疗接口。</w:t>
            </w:r>
          </w:p>
        </w:tc>
      </w:tr>
    </w:tbl>
    <w:p>
      <w:pPr>
        <w:pStyle w:val="4"/>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33" w:name="_Toc1848"/>
      <w:r>
        <w:rPr>
          <w:rFonts w:hint="eastAsia" w:ascii="新宋体" w:hAnsi="新宋体" w:eastAsia="新宋体" w:cs="新宋体"/>
          <w:sz w:val="24"/>
          <w:szCs w:val="24"/>
        </w:rPr>
        <w:t>3.2、临床信息系统</w:t>
      </w:r>
      <w:bookmarkEnd w:id="33"/>
    </w:p>
    <w:p>
      <w:pPr>
        <w:pStyle w:val="5"/>
        <w:pageBreakBefore w:val="0"/>
        <w:numPr>
          <w:ilvl w:val="0"/>
          <w:numId w:val="0"/>
        </w:numPr>
        <w:kinsoku/>
        <w:wordWrap/>
        <w:overflowPunct/>
        <w:topLinePunct w:val="0"/>
        <w:bidi w:val="0"/>
        <w:spacing w:line="400" w:lineRule="exact"/>
        <w:rPr>
          <w:rFonts w:hint="eastAsia" w:ascii="新宋体" w:hAnsi="新宋体" w:eastAsia="新宋体" w:cs="新宋体"/>
          <w:sz w:val="24"/>
          <w:szCs w:val="24"/>
        </w:rPr>
      </w:pPr>
      <w:bookmarkStart w:id="34" w:name="_Toc3809"/>
      <w:r>
        <w:rPr>
          <w:rFonts w:hint="eastAsia" w:ascii="新宋体" w:hAnsi="新宋体" w:eastAsia="新宋体" w:cs="新宋体"/>
          <w:sz w:val="24"/>
          <w:szCs w:val="24"/>
        </w:rPr>
        <w:t>3.2.1、住院医生工作站</w:t>
      </w:r>
      <w:bookmarkEnd w:id="34"/>
    </w:p>
    <w:tbl>
      <w:tblPr>
        <w:tblStyle w:val="26"/>
        <w:tblW w:w="941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74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03" w:type="dxa"/>
            <w:tcBorders>
              <w:tl2br w:val="nil"/>
              <w:tr2bl w:val="nil"/>
            </w:tcBorders>
            <w:shd w:val="clear" w:color="000000" w:fill="EEECE1"/>
            <w:vAlign w:val="center"/>
          </w:tcPr>
          <w:p>
            <w:pPr>
              <w:pageBreakBefore w:val="0"/>
              <w:kinsoku/>
              <w:wordWrap/>
              <w:overflowPunct/>
              <w:topLinePunct w:val="0"/>
              <w:bidi w:val="0"/>
              <w:spacing w:line="400" w:lineRule="exact"/>
              <w:jc w:val="center"/>
              <w:rPr>
                <w:rFonts w:hint="eastAsia" w:ascii="新宋体" w:hAnsi="新宋体" w:eastAsia="新宋体" w:cs="新宋体"/>
                <w:b/>
                <w:bCs/>
                <w:sz w:val="24"/>
                <w:szCs w:val="24"/>
              </w:rPr>
            </w:pPr>
            <w:r>
              <w:rPr>
                <w:rFonts w:hint="eastAsia" w:ascii="新宋体" w:hAnsi="新宋体" w:eastAsia="新宋体" w:cs="新宋体"/>
                <w:b/>
                <w:bCs/>
                <w:sz w:val="24"/>
                <w:szCs w:val="24"/>
              </w:rPr>
              <w:t>主要功能</w:t>
            </w:r>
          </w:p>
        </w:tc>
        <w:tc>
          <w:tcPr>
            <w:tcW w:w="7408" w:type="dxa"/>
            <w:tcBorders>
              <w:tl2br w:val="nil"/>
              <w:tr2bl w:val="nil"/>
            </w:tcBorders>
            <w:shd w:val="clear" w:color="000000" w:fill="EEECE1"/>
            <w:vAlign w:val="center"/>
          </w:tcPr>
          <w:p>
            <w:pPr>
              <w:pageBreakBefore w:val="0"/>
              <w:kinsoku/>
              <w:wordWrap/>
              <w:overflowPunct/>
              <w:topLinePunct w:val="0"/>
              <w:bidi w:val="0"/>
              <w:spacing w:line="400" w:lineRule="exact"/>
              <w:jc w:val="center"/>
              <w:rPr>
                <w:rFonts w:hint="eastAsia" w:ascii="新宋体" w:hAnsi="新宋体" w:eastAsia="新宋体" w:cs="新宋体"/>
                <w:b/>
                <w:bCs/>
                <w:sz w:val="24"/>
                <w:szCs w:val="24"/>
              </w:rPr>
            </w:pPr>
            <w:r>
              <w:rPr>
                <w:rFonts w:hint="eastAsia" w:ascii="新宋体" w:hAnsi="新宋体" w:eastAsia="新宋体" w:cs="新宋体"/>
                <w:b/>
                <w:bCs/>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03"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自动信息获取</w:t>
            </w:r>
          </w:p>
        </w:tc>
        <w:tc>
          <w:tcPr>
            <w:tcW w:w="7408" w:type="dxa"/>
            <w:tcBorders>
              <w:tl2br w:val="nil"/>
              <w:tr2bl w:val="nil"/>
            </w:tcBorders>
            <w:vAlign w:val="center"/>
          </w:tcPr>
          <w:p>
            <w:pPr>
              <w:pageBreakBefore w:val="0"/>
              <w:widowControl/>
              <w:numPr>
                <w:ilvl w:val="0"/>
                <w:numId w:val="34"/>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医生只能看到本科或本人管辖的病人信息  </w:t>
            </w:r>
          </w:p>
          <w:p>
            <w:pPr>
              <w:pageBreakBefore w:val="0"/>
              <w:widowControl/>
              <w:numPr>
                <w:ilvl w:val="0"/>
                <w:numId w:val="34"/>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医生可以查看本科室所有出院病人的信息</w:t>
            </w:r>
          </w:p>
          <w:p>
            <w:pPr>
              <w:pageBreakBefore w:val="0"/>
              <w:widowControl/>
              <w:numPr>
                <w:ilvl w:val="0"/>
                <w:numId w:val="34"/>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医生可以查看他科治疗病人的信息</w:t>
            </w:r>
          </w:p>
          <w:p>
            <w:pPr>
              <w:pageBreakBefore w:val="0"/>
              <w:widowControl/>
              <w:numPr>
                <w:ilvl w:val="0"/>
                <w:numId w:val="34"/>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药品、诊疗项目价格查询，收费项目名称、规格、价格、医保费用类别等</w:t>
            </w:r>
          </w:p>
          <w:p>
            <w:pPr>
              <w:pageBreakBefore w:val="0"/>
              <w:widowControl/>
              <w:numPr>
                <w:ilvl w:val="0"/>
                <w:numId w:val="34"/>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病人历次门诊、住院信息，检验检查结果（预留接口），影像结果（预留接口）等.</w:t>
            </w:r>
          </w:p>
          <w:p>
            <w:pPr>
              <w:pageBreakBefore w:val="0"/>
              <w:widowControl/>
              <w:numPr>
                <w:ilvl w:val="0"/>
                <w:numId w:val="34"/>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医保相关信息，医保对适应症的要求、对药品付费比例及诊疗项目付费比例提示</w:t>
            </w:r>
          </w:p>
          <w:p>
            <w:pPr>
              <w:pageBreakBefore w:val="0"/>
              <w:widowControl/>
              <w:numPr>
                <w:ilvl w:val="0"/>
                <w:numId w:val="34"/>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药房药品库存限制或有库存数量提示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003"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医嘱管理</w:t>
            </w:r>
          </w:p>
        </w:tc>
        <w:tc>
          <w:tcPr>
            <w:tcW w:w="7408" w:type="dxa"/>
            <w:tcBorders>
              <w:tl2br w:val="nil"/>
              <w:tr2bl w:val="nil"/>
            </w:tcBorders>
            <w:vAlign w:val="center"/>
          </w:tcPr>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录入医嘱时对于收费与不收费项目明确显示</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提供长期、临时医嘱处理功能，包括医嘱的开立、停止和作废。</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频率、给药途径，用户可以参数化增加，修改</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能够处理间隔时间不固定频率、剂量不是常量的用药医嘱，例如胰岛素</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全排斥医嘱（出院、转科）自动停医嘱</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支持单日药品执行</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shd w:val="clear" w:color="auto" w:fill="FFFFFF"/>
              </w:rPr>
              <w:t>支持医嘱提交功能，以及撤销已提交医嘱功能</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按照病历规范,打印长期及临时医嘱单，支持重整长期医嘱，支持打印、选择性打印、重新打印医嘱单的功能。</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医生处方权限毒麻药、贵重药处理，抗菌素的分级管理</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化疗用药（提前一天下医嘱、领药）处理</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支持一键操作停止当前所有有效医嘱的功能，方便在患者术前或出院前停止所有医嘱</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支持显示医嘱对应的收费项目价格，显示患者预交金金额信息的功能</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支持药品、医用耗材、诊疗项目等字典及分类检索、编码检索、关键字检索等功能，供用户录入医嘱使用。</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自动记录医嘱录入时间和录入医师信息的功能</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支持医嘱补录入功能，因抢救危急患者需要下达口头医嘱，应当在抢救结束后即刻据实补记录入，并给予特殊标识</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支持医嘱模板辅助录入功能和成组医嘱录入功能，医师可以根据患者病情选择、修改其中部分或全部医嘱，同时支持使用自由文本录入医嘱的功能</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支持医师级别与处方权相匹配的提示功能</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权限管理，不同级别的医生拥有不同的开药权限。有权限的医生才可以开出像吗啡之类的毒麻限制药。</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支持检查检验医嘱录入功能</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支持各类检查检验申请单模板、项目字典等功能</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支持生成检查检验申请单时自动获取患者基本信息和临床诊疗信息的功能</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支持各类检查检验申请单打印功能</w:t>
            </w:r>
          </w:p>
          <w:p>
            <w:pPr>
              <w:pageBreakBefore w:val="0"/>
              <w:widowControl/>
              <w:numPr>
                <w:ilvl w:val="0"/>
                <w:numId w:val="3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支持婴儿医嘱的特殊处理</w:t>
            </w:r>
          </w:p>
          <w:p>
            <w:pPr>
              <w:pageBreakBefore w:val="0"/>
              <w:widowControl/>
              <w:numPr>
                <w:ilvl w:val="0"/>
                <w:numId w:val="3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支持值班医生向全科室病人下医嘱，并保留操作记录</w:t>
            </w:r>
          </w:p>
          <w:p>
            <w:pPr>
              <w:pageBreakBefore w:val="0"/>
              <w:widowControl/>
              <w:numPr>
                <w:ilvl w:val="0"/>
                <w:numId w:val="3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支持医嘱自由打印并自动进行对应</w:t>
            </w:r>
          </w:p>
          <w:p>
            <w:pPr>
              <w:pageBreakBefore w:val="0"/>
              <w:widowControl/>
              <w:numPr>
                <w:ilvl w:val="0"/>
                <w:numId w:val="3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支持长期医嘱设置停医嘱的时间</w:t>
            </w:r>
          </w:p>
          <w:p>
            <w:pPr>
              <w:pageBreakBefore w:val="0"/>
              <w:widowControl/>
              <w:numPr>
                <w:ilvl w:val="0"/>
                <w:numId w:val="3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支持开立医嘱时进行加组、加药处理</w:t>
            </w:r>
          </w:p>
          <w:p>
            <w:pPr>
              <w:pageBreakBefore w:val="0"/>
              <w:widowControl/>
              <w:numPr>
                <w:ilvl w:val="0"/>
                <w:numId w:val="3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支持补录医嘱，修改补录医嘱时间</w:t>
            </w:r>
          </w:p>
          <w:p>
            <w:pPr>
              <w:pageBreakBefore w:val="0"/>
              <w:widowControl/>
              <w:numPr>
                <w:ilvl w:val="0"/>
                <w:numId w:val="3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打印医嘱的时候进行按照时间进行智能排序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3"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w:t>
            </w:r>
            <w:r>
              <w:rPr>
                <w:rFonts w:hint="eastAsia" w:ascii="新宋体" w:hAnsi="新宋体" w:eastAsia="新宋体" w:cs="新宋体"/>
                <w:kern w:val="0"/>
                <w:sz w:val="24"/>
                <w:szCs w:val="24"/>
              </w:rPr>
              <w:t>跨科室治疗</w:t>
            </w:r>
          </w:p>
        </w:tc>
        <w:tc>
          <w:tcPr>
            <w:tcW w:w="7408" w:type="dxa"/>
            <w:tcBorders>
              <w:tl2br w:val="nil"/>
              <w:tr2bl w:val="nil"/>
            </w:tcBorders>
            <w:vAlign w:val="center"/>
          </w:tcPr>
          <w:p>
            <w:pPr>
              <w:pageBreakBefore w:val="0"/>
              <w:widowControl/>
              <w:numPr>
                <w:ilvl w:val="0"/>
                <w:numId w:val="36"/>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住院医生可以申请多科室治疗</w:t>
            </w:r>
          </w:p>
          <w:p>
            <w:pPr>
              <w:pageBreakBefore w:val="0"/>
              <w:widowControl/>
              <w:numPr>
                <w:ilvl w:val="0"/>
                <w:numId w:val="36"/>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住院医生可协助他科室进行治疗</w:t>
            </w:r>
          </w:p>
          <w:p>
            <w:pPr>
              <w:pageBreakBefore w:val="0"/>
              <w:widowControl/>
              <w:numPr>
                <w:ilvl w:val="0"/>
                <w:numId w:val="36"/>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跨科室治疗时，主科室打印病人总的费用清单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003"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shd w:val="clear" w:color="auto" w:fill="FFFF00"/>
              </w:rPr>
            </w:pPr>
            <w:r>
              <w:rPr>
                <w:rFonts w:hint="eastAsia" w:ascii="新宋体" w:hAnsi="新宋体" w:eastAsia="新宋体" w:cs="新宋体"/>
                <w:kern w:val="0"/>
                <w:sz w:val="24"/>
                <w:szCs w:val="24"/>
                <w:shd w:val="clear" w:color="auto" w:fill="FFFFFF"/>
              </w:rPr>
              <w:t>统计分析</w:t>
            </w:r>
          </w:p>
        </w:tc>
        <w:tc>
          <w:tcPr>
            <w:tcW w:w="7408" w:type="dxa"/>
            <w:tcBorders>
              <w:tl2br w:val="nil"/>
              <w:tr2bl w:val="nil"/>
            </w:tcBorders>
            <w:vAlign w:val="center"/>
          </w:tcPr>
          <w:p>
            <w:pPr>
              <w:pageBreakBefore w:val="0"/>
              <w:widowControl/>
              <w:numPr>
                <w:ilvl w:val="0"/>
                <w:numId w:val="37"/>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可查询病人的所有相关信息，包括病人基本资料、门诊病历处方、住院医嘱、住院费用、押金等</w:t>
            </w:r>
          </w:p>
          <w:p>
            <w:pPr>
              <w:pageBreakBefore w:val="0"/>
              <w:widowControl/>
              <w:numPr>
                <w:ilvl w:val="0"/>
                <w:numId w:val="37"/>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病人费用清单</w:t>
            </w:r>
          </w:p>
          <w:p>
            <w:pPr>
              <w:pageBreakBefore w:val="0"/>
              <w:widowControl/>
              <w:numPr>
                <w:ilvl w:val="0"/>
                <w:numId w:val="37"/>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科室信息查询</w:t>
            </w:r>
          </w:p>
          <w:p>
            <w:pPr>
              <w:pageBreakBefore w:val="0"/>
              <w:widowControl/>
              <w:numPr>
                <w:ilvl w:val="0"/>
                <w:numId w:val="37"/>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病人一览表</w:t>
            </w:r>
          </w:p>
        </w:tc>
      </w:tr>
    </w:tbl>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35" w:name="_Toc32075"/>
      <w:r>
        <w:rPr>
          <w:rFonts w:hint="eastAsia" w:ascii="新宋体" w:hAnsi="新宋体" w:eastAsia="新宋体" w:cs="新宋体"/>
          <w:sz w:val="24"/>
          <w:szCs w:val="24"/>
        </w:rPr>
        <w:t>3.2.2、门诊医生工作站</w:t>
      </w:r>
      <w:bookmarkEnd w:id="35"/>
    </w:p>
    <w:tbl>
      <w:tblPr>
        <w:tblStyle w:val="26"/>
        <w:tblW w:w="941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757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3"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主要功能</w:t>
            </w:r>
          </w:p>
        </w:tc>
        <w:tc>
          <w:tcPr>
            <w:tcW w:w="7578"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3"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挂号就诊</w:t>
            </w:r>
          </w:p>
        </w:tc>
        <w:tc>
          <w:tcPr>
            <w:tcW w:w="7578" w:type="dxa"/>
            <w:tcBorders>
              <w:tl2br w:val="nil"/>
              <w:tr2bl w:val="nil"/>
            </w:tcBorders>
            <w:vAlign w:val="center"/>
          </w:tcPr>
          <w:p>
            <w:pPr>
              <w:pStyle w:val="69"/>
              <w:pageBreakBefore w:val="0"/>
              <w:widowControl/>
              <w:numPr>
                <w:ilvl w:val="0"/>
                <w:numId w:val="38"/>
              </w:numPr>
              <w:kinsoku/>
              <w:wordWrap/>
              <w:overflowPunct/>
              <w:topLinePunct w:val="0"/>
              <w:bidi w:val="0"/>
              <w:spacing w:after="0" w:line="400" w:lineRule="exact"/>
              <w:ind w:left="244" w:hanging="244"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提供多种对病人的处理方式，方便病人就诊。</w:t>
            </w:r>
          </w:p>
          <w:p>
            <w:pPr>
              <w:pStyle w:val="69"/>
              <w:pageBreakBefore w:val="0"/>
              <w:widowControl/>
              <w:numPr>
                <w:ilvl w:val="0"/>
                <w:numId w:val="38"/>
              </w:numPr>
              <w:kinsoku/>
              <w:wordWrap/>
              <w:overflowPunct/>
              <w:topLinePunct w:val="0"/>
              <w:bidi w:val="0"/>
              <w:spacing w:after="0" w:line="400" w:lineRule="exact"/>
              <w:ind w:left="244" w:hanging="244"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支持一卡通挂号，在门诊医生处按医生级别选择收取不同的挂号费或者不收挂号费</w:t>
            </w:r>
          </w:p>
          <w:p>
            <w:pPr>
              <w:pStyle w:val="69"/>
              <w:pageBreakBefore w:val="0"/>
              <w:widowControl/>
              <w:numPr>
                <w:ilvl w:val="0"/>
                <w:numId w:val="38"/>
              </w:numPr>
              <w:kinsoku/>
              <w:wordWrap/>
              <w:overflowPunct/>
              <w:topLinePunct w:val="0"/>
              <w:bidi w:val="0"/>
              <w:spacing w:after="0" w:line="400" w:lineRule="exact"/>
              <w:ind w:left="244" w:hanging="244"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急诊病人可速挂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833"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书写门诊病历</w:t>
            </w:r>
          </w:p>
        </w:tc>
        <w:tc>
          <w:tcPr>
            <w:tcW w:w="7578" w:type="dxa"/>
            <w:tcBorders>
              <w:tl2br w:val="nil"/>
              <w:tr2bl w:val="nil"/>
            </w:tcBorders>
            <w:vAlign w:val="center"/>
          </w:tcPr>
          <w:p>
            <w:pPr>
              <w:pageBreakBefore w:val="0"/>
              <w:widowControl/>
              <w:numPr>
                <w:ilvl w:val="0"/>
                <w:numId w:val="39"/>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支持病人即往病历信息的查询</w:t>
            </w:r>
          </w:p>
          <w:p>
            <w:pPr>
              <w:pageBreakBefore w:val="0"/>
              <w:widowControl/>
              <w:numPr>
                <w:ilvl w:val="0"/>
                <w:numId w:val="39"/>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支持门诊病历的预览、打印</w:t>
            </w:r>
          </w:p>
          <w:p>
            <w:pPr>
              <w:pageBreakBefore w:val="0"/>
              <w:widowControl/>
              <w:numPr>
                <w:ilvl w:val="0"/>
                <w:numId w:val="39"/>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电子病历编辑器</w:t>
            </w:r>
          </w:p>
          <w:p>
            <w:pPr>
              <w:pageBreakBefore w:val="0"/>
              <w:widowControl/>
              <w:numPr>
                <w:ilvl w:val="0"/>
                <w:numId w:val="39"/>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电子病历查询与浏览器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833" w:type="dxa"/>
            <w:tcBorders>
              <w:tl2br w:val="nil"/>
              <w:tr2bl w:val="nil"/>
            </w:tcBorders>
            <w:tcMar>
              <w:top w:w="0" w:type="dxa"/>
              <w:left w:w="51" w:type="dxa"/>
              <w:bottom w:w="0" w:type="dxa"/>
              <w:right w:w="51"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书写疾病诊断</w:t>
            </w:r>
          </w:p>
        </w:tc>
        <w:tc>
          <w:tcPr>
            <w:tcW w:w="7578" w:type="dxa"/>
            <w:tcBorders>
              <w:tl2br w:val="nil"/>
              <w:tr2bl w:val="nil"/>
            </w:tcBorders>
            <w:vAlign w:val="center"/>
          </w:tcPr>
          <w:p>
            <w:pPr>
              <w:pageBreakBefore w:val="0"/>
              <w:widowControl/>
              <w:numPr>
                <w:ilvl w:val="0"/>
                <w:numId w:val="40"/>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支持书写中医诊断和西医诊断，诊断名称通过下拉框选择，可以书写多个。</w:t>
            </w:r>
          </w:p>
          <w:p>
            <w:pPr>
              <w:pageBreakBefore w:val="0"/>
              <w:widowControl/>
              <w:numPr>
                <w:ilvl w:val="0"/>
                <w:numId w:val="40"/>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支持一个病人可下多种诊断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833"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开立检查单</w:t>
            </w:r>
          </w:p>
        </w:tc>
        <w:tc>
          <w:tcPr>
            <w:tcW w:w="7578" w:type="dxa"/>
            <w:tcBorders>
              <w:tl2br w:val="nil"/>
              <w:tr2bl w:val="nil"/>
            </w:tcBorders>
            <w:vAlign w:val="center"/>
          </w:tcPr>
          <w:p>
            <w:pPr>
              <w:pageBreakBefore w:val="0"/>
              <w:widowControl/>
              <w:numPr>
                <w:ilvl w:val="0"/>
                <w:numId w:val="41"/>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支持调取检查单模板，勾选检查项目</w:t>
            </w:r>
          </w:p>
          <w:p>
            <w:pPr>
              <w:pageBreakBefore w:val="0"/>
              <w:widowControl/>
              <w:numPr>
                <w:ilvl w:val="0"/>
                <w:numId w:val="41"/>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支持检查项目成组开立</w:t>
            </w:r>
          </w:p>
          <w:p>
            <w:pPr>
              <w:pageBreakBefore w:val="0"/>
              <w:widowControl/>
              <w:numPr>
                <w:ilvl w:val="0"/>
                <w:numId w:val="41"/>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支持辅助检查单的开立</w:t>
            </w:r>
          </w:p>
          <w:p>
            <w:pPr>
              <w:pageBreakBefore w:val="0"/>
              <w:widowControl/>
              <w:numPr>
                <w:ilvl w:val="0"/>
                <w:numId w:val="41"/>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支持医生自定义检查单</w:t>
            </w:r>
          </w:p>
          <w:p>
            <w:pPr>
              <w:pageBreakBefore w:val="0"/>
              <w:widowControl/>
              <w:numPr>
                <w:ilvl w:val="0"/>
                <w:numId w:val="41"/>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支持已开立检查单的删除、预览、打印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833"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开立处方</w:t>
            </w:r>
          </w:p>
        </w:tc>
        <w:tc>
          <w:tcPr>
            <w:tcW w:w="7578" w:type="dxa"/>
            <w:tcBorders>
              <w:tl2br w:val="nil"/>
              <w:tr2bl w:val="nil"/>
            </w:tcBorders>
            <w:vAlign w:val="center"/>
          </w:tcPr>
          <w:p>
            <w:pPr>
              <w:pageBreakBefore w:val="0"/>
              <w:widowControl/>
              <w:numPr>
                <w:ilvl w:val="0"/>
                <w:numId w:val="42"/>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一卡通病人支持开立处方后不扣除药费</w:t>
            </w:r>
          </w:p>
          <w:p>
            <w:pPr>
              <w:pageBreakBefore w:val="0"/>
              <w:widowControl/>
              <w:numPr>
                <w:ilvl w:val="0"/>
                <w:numId w:val="42"/>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药房药品库存实时更新，库存为零的药品不允许开出</w:t>
            </w:r>
          </w:p>
          <w:p>
            <w:pPr>
              <w:pageBreakBefore w:val="0"/>
              <w:widowControl/>
              <w:numPr>
                <w:ilvl w:val="0"/>
                <w:numId w:val="42"/>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支持医生开立处方时，在一个界面上完成所有操作（开立药品、检查、化验、治疗、材料等），实现处方自动归类</w:t>
            </w:r>
          </w:p>
          <w:p>
            <w:pPr>
              <w:pageBreakBefore w:val="0"/>
              <w:widowControl/>
              <w:numPr>
                <w:ilvl w:val="0"/>
                <w:numId w:val="42"/>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权限管理，不同级别的医生拥有不同的开方权限。有权限的医生才可以开出像吗啡之类的毒麻限制药。</w:t>
            </w:r>
          </w:p>
          <w:p>
            <w:pPr>
              <w:pageBreakBefore w:val="0"/>
              <w:widowControl/>
              <w:numPr>
                <w:ilvl w:val="0"/>
                <w:numId w:val="42"/>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在抗生素药物方面，不同级别的医生开出不同级别的抗生素药</w:t>
            </w:r>
          </w:p>
          <w:p>
            <w:pPr>
              <w:pageBreakBefore w:val="0"/>
              <w:widowControl/>
              <w:numPr>
                <w:ilvl w:val="0"/>
                <w:numId w:val="42"/>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医生输入处方信息，字典方式或模板方式。处方模板可以基于医生个人、科室及全院分级建立。处方模板可根据医生自己的习惯建立，可以按照一种疾病，也可以按照身体部位进行维护各类电子处方模板</w:t>
            </w:r>
          </w:p>
          <w:p>
            <w:pPr>
              <w:pageBreakBefore w:val="0"/>
              <w:widowControl/>
              <w:numPr>
                <w:ilvl w:val="0"/>
                <w:numId w:val="42"/>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在药品处方录入时既支持商品名、通用名也支持化学名。在打印电子处方上统一用一种药品名称</w:t>
            </w:r>
          </w:p>
          <w:p>
            <w:pPr>
              <w:pageBreakBefore w:val="0"/>
              <w:widowControl/>
              <w:numPr>
                <w:ilvl w:val="0"/>
                <w:numId w:val="42"/>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打印出的电子处方除正确反映医生处方外，还应符合国家电子处方规范，并且能反应出病人的医保身份，诊断。能反应出毒麻处方、精神类药等不同药品属性的不同处方。</w:t>
            </w:r>
          </w:p>
          <w:p>
            <w:pPr>
              <w:pageBreakBefore w:val="0"/>
              <w:widowControl/>
              <w:numPr>
                <w:ilvl w:val="0"/>
                <w:numId w:val="42"/>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处方上的药品价格可以在医生站反映</w:t>
            </w:r>
          </w:p>
          <w:p>
            <w:pPr>
              <w:pageBreakBefore w:val="0"/>
              <w:widowControl/>
              <w:numPr>
                <w:ilvl w:val="0"/>
                <w:numId w:val="42"/>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color w:val="000000"/>
                <w:kern w:val="0"/>
                <w:sz w:val="24"/>
                <w:szCs w:val="24"/>
              </w:rPr>
              <w:t>支持药品大单位与小单位之间进行换算。</w:t>
            </w:r>
          </w:p>
          <w:p>
            <w:pPr>
              <w:pageBreakBefore w:val="0"/>
              <w:widowControl/>
              <w:numPr>
                <w:ilvl w:val="0"/>
                <w:numId w:val="42"/>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支持病人处方的引用功能</w:t>
            </w:r>
          </w:p>
          <w:p>
            <w:pPr>
              <w:pageBreakBefore w:val="0"/>
              <w:widowControl/>
              <w:numPr>
                <w:ilvl w:val="0"/>
                <w:numId w:val="42"/>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支持已开立处方的作废</w:t>
            </w:r>
          </w:p>
          <w:p>
            <w:pPr>
              <w:pageBreakBefore w:val="0"/>
              <w:widowControl/>
              <w:numPr>
                <w:ilvl w:val="0"/>
                <w:numId w:val="42"/>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支持中医协定方的开立，可设置为不允许打印，便于对医院处方进  行保护管理</w:t>
            </w:r>
          </w:p>
          <w:p>
            <w:pPr>
              <w:pageBreakBefore w:val="0"/>
              <w:widowControl/>
              <w:numPr>
                <w:ilvl w:val="0"/>
                <w:numId w:val="42"/>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支持中医处方开立，自动生成草药煎服用法、中医脚注处理等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833"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开立入院证</w:t>
            </w:r>
          </w:p>
        </w:tc>
        <w:tc>
          <w:tcPr>
            <w:tcW w:w="7578" w:type="dxa"/>
            <w:tcBorders>
              <w:tl2br w:val="nil"/>
              <w:tr2bl w:val="nil"/>
            </w:tcBorders>
            <w:vAlign w:val="center"/>
          </w:tcPr>
          <w:p>
            <w:pPr>
              <w:pageBreakBefore w:val="0"/>
              <w:widowControl/>
              <w:numPr>
                <w:ilvl w:val="0"/>
                <w:numId w:val="43"/>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能够开立入院证，支持读取一卡通病人信息</w:t>
            </w:r>
          </w:p>
          <w:p>
            <w:pPr>
              <w:pageBreakBefore w:val="0"/>
              <w:widowControl/>
              <w:numPr>
                <w:ilvl w:val="0"/>
                <w:numId w:val="43"/>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支持未书写门诊诊断，不允许保存入院证</w:t>
            </w:r>
          </w:p>
          <w:p>
            <w:pPr>
              <w:pageBreakBefore w:val="0"/>
              <w:widowControl/>
              <w:numPr>
                <w:ilvl w:val="0"/>
                <w:numId w:val="43"/>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支持打印入院证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33"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开立诊断证明</w:t>
            </w:r>
          </w:p>
        </w:tc>
        <w:tc>
          <w:tcPr>
            <w:tcW w:w="7578"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支持开立电子的诊断证明并打印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833"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检验检查信息查询</w:t>
            </w:r>
          </w:p>
        </w:tc>
        <w:tc>
          <w:tcPr>
            <w:tcW w:w="7578"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在门诊医生工作站要实时查询到患者的检验检查信息（接口预留）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833"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组套项目的开立</w:t>
            </w:r>
          </w:p>
        </w:tc>
        <w:tc>
          <w:tcPr>
            <w:tcW w:w="7578"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可以一次性开立成组的检查、检验项目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833"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查询统计</w:t>
            </w:r>
          </w:p>
        </w:tc>
        <w:tc>
          <w:tcPr>
            <w:tcW w:w="7578" w:type="dxa"/>
            <w:tcBorders>
              <w:tl2br w:val="nil"/>
              <w:tr2bl w:val="nil"/>
            </w:tcBorders>
            <w:vAlign w:val="center"/>
          </w:tcPr>
          <w:p>
            <w:pPr>
              <w:pageBreakBefore w:val="0"/>
              <w:widowControl/>
              <w:numPr>
                <w:ilvl w:val="0"/>
                <w:numId w:val="4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支持医生个人处方查询</w:t>
            </w:r>
          </w:p>
          <w:p>
            <w:pPr>
              <w:pageBreakBefore w:val="0"/>
              <w:widowControl/>
              <w:numPr>
                <w:ilvl w:val="0"/>
                <w:numId w:val="4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支持查看医生科室费用分类报表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33"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w:t>
            </w:r>
            <w:r>
              <w:rPr>
                <w:rFonts w:hint="eastAsia" w:ascii="新宋体" w:hAnsi="新宋体" w:eastAsia="新宋体" w:cs="新宋体"/>
                <w:kern w:val="0"/>
                <w:sz w:val="24"/>
                <w:szCs w:val="24"/>
              </w:rPr>
              <w:t>其他</w:t>
            </w:r>
          </w:p>
        </w:tc>
        <w:tc>
          <w:tcPr>
            <w:tcW w:w="7578"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在门诊医生的工作界面可以完成住院医生及与其相关科室职能的操作。</w:t>
            </w:r>
          </w:p>
        </w:tc>
      </w:tr>
    </w:tbl>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36" w:name="_Toc10767"/>
      <w:r>
        <w:rPr>
          <w:rFonts w:hint="eastAsia" w:ascii="新宋体" w:hAnsi="新宋体" w:eastAsia="新宋体" w:cs="新宋体"/>
          <w:sz w:val="24"/>
          <w:szCs w:val="24"/>
        </w:rPr>
        <w:t>3.2.3、护士工作站</w:t>
      </w:r>
      <w:bookmarkEnd w:id="36"/>
    </w:p>
    <w:tbl>
      <w:tblPr>
        <w:tblStyle w:val="26"/>
        <w:tblW w:w="941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780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09"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主要功能</w:t>
            </w:r>
          </w:p>
        </w:tc>
        <w:tc>
          <w:tcPr>
            <w:tcW w:w="7802"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609"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床位管理</w:t>
            </w:r>
          </w:p>
        </w:tc>
        <w:tc>
          <w:tcPr>
            <w:tcW w:w="7802" w:type="dxa"/>
            <w:tcBorders>
              <w:tl2br w:val="nil"/>
              <w:tr2bl w:val="nil"/>
            </w:tcBorders>
            <w:vAlign w:val="center"/>
          </w:tcPr>
          <w:p>
            <w:pPr>
              <w:pageBreakBefore w:val="0"/>
              <w:widowControl/>
              <w:numPr>
                <w:ilvl w:val="0"/>
                <w:numId w:val="4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床位字典维护：具有增加、删除、定义床位属性功能</w:t>
            </w:r>
          </w:p>
          <w:p>
            <w:pPr>
              <w:pageBreakBefore w:val="0"/>
              <w:widowControl/>
              <w:numPr>
                <w:ilvl w:val="0"/>
                <w:numId w:val="4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给病人安排床位</w:t>
            </w:r>
          </w:p>
          <w:p>
            <w:pPr>
              <w:pageBreakBefore w:val="0"/>
              <w:widowControl/>
              <w:numPr>
                <w:ilvl w:val="0"/>
                <w:numId w:val="4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床位设置与科室绑定</w:t>
            </w:r>
          </w:p>
          <w:p>
            <w:pPr>
              <w:pageBreakBefore w:val="0"/>
              <w:widowControl/>
              <w:numPr>
                <w:ilvl w:val="0"/>
                <w:numId w:val="4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设置加床并安排病人加床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609"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病人管理</w:t>
            </w:r>
          </w:p>
        </w:tc>
        <w:tc>
          <w:tcPr>
            <w:tcW w:w="7802" w:type="dxa"/>
            <w:tcBorders>
              <w:tl2br w:val="nil"/>
              <w:tr2bl w:val="nil"/>
            </w:tcBorders>
            <w:vAlign w:val="center"/>
          </w:tcPr>
          <w:p>
            <w:pPr>
              <w:pageBreakBefore w:val="0"/>
              <w:widowControl/>
              <w:numPr>
                <w:ilvl w:val="0"/>
                <w:numId w:val="46"/>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病人基本信息查询</w:t>
            </w:r>
          </w:p>
          <w:p>
            <w:pPr>
              <w:pageBreakBefore w:val="0"/>
              <w:widowControl/>
              <w:numPr>
                <w:ilvl w:val="0"/>
                <w:numId w:val="46"/>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支持病人入科、转科并为病人分配床位、管床医生</w:t>
            </w:r>
          </w:p>
          <w:p>
            <w:pPr>
              <w:pageBreakBefore w:val="0"/>
              <w:widowControl/>
              <w:numPr>
                <w:ilvl w:val="0"/>
                <w:numId w:val="46"/>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支持病人床头卡片的显示，方便护理人员查看在院病人押金余额、护理级别、管床医生、责任护士、病人类型等</w:t>
            </w:r>
          </w:p>
          <w:p>
            <w:pPr>
              <w:pageBreakBefore w:val="0"/>
              <w:widowControl/>
              <w:numPr>
                <w:ilvl w:val="0"/>
                <w:numId w:val="46"/>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支持重要及特殊病人有特别显示，不同护理级别有颜色区别。</w:t>
            </w:r>
          </w:p>
          <w:p>
            <w:pPr>
              <w:pageBreakBefore w:val="0"/>
              <w:widowControl/>
              <w:numPr>
                <w:ilvl w:val="0"/>
                <w:numId w:val="46"/>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支持更改管床医生、责任护士、护理级别</w:t>
            </w:r>
          </w:p>
          <w:p>
            <w:pPr>
              <w:pageBreakBefore w:val="0"/>
              <w:widowControl/>
              <w:numPr>
                <w:ilvl w:val="0"/>
                <w:numId w:val="46"/>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病人转科、办理出院，支持出院病人的召回功能</w:t>
            </w:r>
          </w:p>
          <w:p>
            <w:pPr>
              <w:pageBreakBefore w:val="0"/>
              <w:widowControl/>
              <w:numPr>
                <w:ilvl w:val="0"/>
                <w:numId w:val="46"/>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护士办理出院流程简单，快捷，比如出院病人办理出院核对出院医嘱、定义出院、办理出院结算。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609"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医嘱管理</w:t>
            </w:r>
          </w:p>
        </w:tc>
        <w:tc>
          <w:tcPr>
            <w:tcW w:w="7802" w:type="dxa"/>
            <w:tcBorders>
              <w:tl2br w:val="nil"/>
              <w:tr2bl w:val="nil"/>
            </w:tcBorders>
            <w:vAlign w:val="center"/>
          </w:tcPr>
          <w:p>
            <w:pPr>
              <w:pageBreakBefore w:val="0"/>
              <w:widowControl/>
              <w:numPr>
                <w:ilvl w:val="0"/>
                <w:numId w:val="47"/>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护嘱录入：录入材料、费用等护嘱</w:t>
            </w:r>
          </w:p>
          <w:p>
            <w:pPr>
              <w:pageBreakBefore w:val="0"/>
              <w:widowControl/>
              <w:numPr>
                <w:ilvl w:val="0"/>
                <w:numId w:val="47"/>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支持逐条或者全选核对医嘱</w:t>
            </w:r>
          </w:p>
          <w:p>
            <w:pPr>
              <w:pageBreakBefore w:val="0"/>
              <w:widowControl/>
              <w:numPr>
                <w:ilvl w:val="0"/>
                <w:numId w:val="47"/>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非药品类医嘱执行扣费</w:t>
            </w:r>
          </w:p>
          <w:p>
            <w:pPr>
              <w:pageBreakBefore w:val="0"/>
              <w:widowControl/>
              <w:numPr>
                <w:ilvl w:val="0"/>
                <w:numId w:val="47"/>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支持长期医嘱停用</w:t>
            </w:r>
          </w:p>
          <w:p>
            <w:pPr>
              <w:pageBreakBefore w:val="0"/>
              <w:widowControl/>
              <w:numPr>
                <w:ilvl w:val="0"/>
                <w:numId w:val="47"/>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按照病历规范,打印长期及临时医嘱单</w:t>
            </w:r>
          </w:p>
          <w:p>
            <w:pPr>
              <w:pageBreakBefore w:val="0"/>
              <w:widowControl/>
              <w:numPr>
                <w:ilvl w:val="0"/>
                <w:numId w:val="47"/>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支持配送药品发药前对待领药进行审核</w:t>
            </w:r>
          </w:p>
          <w:p>
            <w:pPr>
              <w:pageBreakBefore w:val="0"/>
              <w:widowControl/>
              <w:numPr>
                <w:ilvl w:val="0"/>
                <w:numId w:val="47"/>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自定义各类护士长期、临时执行单据，如：口服单，治疗单、输液单（含输液卡）、注射单、床头卡等。</w:t>
            </w:r>
          </w:p>
          <w:p>
            <w:pPr>
              <w:pageBreakBefore w:val="0"/>
              <w:widowControl/>
              <w:numPr>
                <w:ilvl w:val="0"/>
                <w:numId w:val="47"/>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支持按单个病人查询、打印执行单</w:t>
            </w:r>
          </w:p>
          <w:p>
            <w:pPr>
              <w:pageBreakBefore w:val="0"/>
              <w:widowControl/>
              <w:numPr>
                <w:ilvl w:val="0"/>
                <w:numId w:val="47"/>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医嘱提交到护士站有消息提醒功能</w:t>
            </w:r>
          </w:p>
          <w:p>
            <w:pPr>
              <w:pageBreakBefore w:val="0"/>
              <w:widowControl/>
              <w:numPr>
                <w:ilvl w:val="0"/>
                <w:numId w:val="47"/>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支持按照医嘱内容生成临床所需各种执行单的功能</w:t>
            </w:r>
          </w:p>
          <w:p>
            <w:pPr>
              <w:pageBreakBefore w:val="0"/>
              <w:widowControl/>
              <w:numPr>
                <w:ilvl w:val="0"/>
                <w:numId w:val="47"/>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支持打印、选择性打印、重新打印医嘱单、执行单的功能</w:t>
            </w:r>
          </w:p>
          <w:p>
            <w:pPr>
              <w:pageBreakBefore w:val="0"/>
              <w:widowControl/>
              <w:numPr>
                <w:ilvl w:val="0"/>
                <w:numId w:val="47"/>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支持套打，打印内容不歪。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609"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费用管理</w:t>
            </w:r>
          </w:p>
        </w:tc>
        <w:tc>
          <w:tcPr>
            <w:tcW w:w="7802" w:type="dxa"/>
            <w:tcBorders>
              <w:tl2br w:val="nil"/>
              <w:tr2bl w:val="nil"/>
            </w:tcBorders>
            <w:vAlign w:val="center"/>
          </w:tcPr>
          <w:p>
            <w:pPr>
              <w:pageBreakBefore w:val="0"/>
              <w:widowControl/>
              <w:numPr>
                <w:ilvl w:val="0"/>
                <w:numId w:val="48"/>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护士站收费（一次性材料、治疗费等）</w:t>
            </w:r>
          </w:p>
          <w:p>
            <w:pPr>
              <w:pageBreakBefore w:val="0"/>
              <w:widowControl/>
              <w:numPr>
                <w:ilvl w:val="0"/>
                <w:numId w:val="48"/>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支持诊疗费退费处理</w:t>
            </w:r>
          </w:p>
          <w:p>
            <w:pPr>
              <w:pageBreakBefore w:val="0"/>
              <w:widowControl/>
              <w:numPr>
                <w:ilvl w:val="0"/>
                <w:numId w:val="48"/>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支持跨科记账</w:t>
            </w:r>
          </w:p>
          <w:p>
            <w:pPr>
              <w:pageBreakBefore w:val="0"/>
              <w:widowControl/>
              <w:numPr>
                <w:ilvl w:val="0"/>
                <w:numId w:val="48"/>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支持申请退药</w:t>
            </w:r>
          </w:p>
          <w:p>
            <w:pPr>
              <w:pageBreakBefore w:val="0"/>
              <w:widowControl/>
              <w:numPr>
                <w:ilvl w:val="0"/>
                <w:numId w:val="48"/>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显示病人费用剩余情况，查询病区欠费病人清单</w:t>
            </w:r>
          </w:p>
          <w:p>
            <w:pPr>
              <w:pageBreakBefore w:val="0"/>
              <w:widowControl/>
              <w:numPr>
                <w:ilvl w:val="0"/>
                <w:numId w:val="48"/>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查询、打印病人费用日、汇总清单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609"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报表管理</w:t>
            </w:r>
          </w:p>
        </w:tc>
        <w:tc>
          <w:tcPr>
            <w:tcW w:w="7802" w:type="dxa"/>
            <w:tcBorders>
              <w:tl2br w:val="nil"/>
              <w:tr2bl w:val="nil"/>
            </w:tcBorders>
            <w:vAlign w:val="center"/>
          </w:tcPr>
          <w:p>
            <w:pPr>
              <w:pageBreakBefore w:val="0"/>
              <w:widowControl/>
              <w:numPr>
                <w:ilvl w:val="0"/>
                <w:numId w:val="49"/>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病人费用清单</w:t>
            </w:r>
          </w:p>
          <w:p>
            <w:pPr>
              <w:pageBreakBefore w:val="0"/>
              <w:widowControl/>
              <w:numPr>
                <w:ilvl w:val="0"/>
                <w:numId w:val="49"/>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病人信息查询</w:t>
            </w:r>
          </w:p>
          <w:p>
            <w:pPr>
              <w:pageBreakBefore w:val="0"/>
              <w:widowControl/>
              <w:numPr>
                <w:ilvl w:val="0"/>
                <w:numId w:val="49"/>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科室信息查询</w:t>
            </w:r>
          </w:p>
          <w:p>
            <w:pPr>
              <w:pageBreakBefore w:val="0"/>
              <w:widowControl/>
              <w:numPr>
                <w:ilvl w:val="0"/>
                <w:numId w:val="49"/>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病人一览表</w:t>
            </w:r>
          </w:p>
          <w:p>
            <w:pPr>
              <w:pageBreakBefore w:val="0"/>
              <w:widowControl/>
              <w:numPr>
                <w:ilvl w:val="0"/>
                <w:numId w:val="49"/>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病人一日清单</w:t>
            </w:r>
          </w:p>
        </w:tc>
      </w:tr>
    </w:tbl>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37" w:name="_Toc25387"/>
      <w:r>
        <w:rPr>
          <w:rFonts w:hint="eastAsia" w:ascii="新宋体" w:hAnsi="新宋体" w:eastAsia="新宋体" w:cs="新宋体"/>
          <w:sz w:val="24"/>
          <w:szCs w:val="24"/>
        </w:rPr>
        <w:t>3.2.4、电子病历书写与管理系统</w:t>
      </w:r>
      <w:bookmarkEnd w:id="37"/>
    </w:p>
    <w:tbl>
      <w:tblPr>
        <w:tblStyle w:val="26"/>
        <w:tblW w:w="941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763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4"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主要功能</w:t>
            </w:r>
          </w:p>
        </w:tc>
        <w:tc>
          <w:tcPr>
            <w:tcW w:w="7637"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1774"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身份认证与权限管理</w:t>
            </w:r>
          </w:p>
        </w:tc>
        <w:tc>
          <w:tcPr>
            <w:tcW w:w="7637" w:type="dxa"/>
            <w:tcBorders>
              <w:tl2br w:val="nil"/>
              <w:tr2bl w:val="nil"/>
            </w:tcBorders>
            <w:vAlign w:val="center"/>
          </w:tcPr>
          <w:p>
            <w:pPr>
              <w:pageBreakBefore w:val="0"/>
              <w:widowControl/>
              <w:numPr>
                <w:ilvl w:val="0"/>
                <w:numId w:val="50"/>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color w:val="000000"/>
                <w:kern w:val="0"/>
                <w:sz w:val="24"/>
                <w:szCs w:val="24"/>
              </w:rPr>
              <w:t>用户认证功能，所有对电子病历系统的使用必需要经过认证</w:t>
            </w:r>
          </w:p>
          <w:p>
            <w:pPr>
              <w:pageBreakBefore w:val="0"/>
              <w:widowControl/>
              <w:numPr>
                <w:ilvl w:val="0"/>
                <w:numId w:val="50"/>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至少以下一种认证方式：用户名/密码</w:t>
            </w:r>
          </w:p>
          <w:p>
            <w:pPr>
              <w:pageBreakBefore w:val="0"/>
              <w:widowControl/>
              <w:numPr>
                <w:ilvl w:val="0"/>
                <w:numId w:val="50"/>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每一使用者分配独立用户名</w:t>
            </w:r>
          </w:p>
          <w:p>
            <w:pPr>
              <w:pageBreakBefore w:val="0"/>
              <w:widowControl/>
              <w:numPr>
                <w:ilvl w:val="0"/>
                <w:numId w:val="50"/>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创建用户角色和工作组</w:t>
            </w:r>
          </w:p>
          <w:p>
            <w:pPr>
              <w:pageBreakBefore w:val="0"/>
              <w:widowControl/>
              <w:numPr>
                <w:ilvl w:val="0"/>
                <w:numId w:val="50"/>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提供创建、修改访问规则的功能，以适应更加灵活、细致的授权需要</w:t>
            </w:r>
          </w:p>
          <w:p>
            <w:pPr>
              <w:pageBreakBefore w:val="0"/>
              <w:widowControl/>
              <w:numPr>
                <w:ilvl w:val="0"/>
                <w:numId w:val="50"/>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提供根据业务规则（如检查科室的医务人员对做检查的患者获得病历查阅权限）对用户自动临时授权的功能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774"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临床知识库、标准术语字典、疾病分类编码表，</w:t>
            </w:r>
          </w:p>
        </w:tc>
        <w:tc>
          <w:tcPr>
            <w:tcW w:w="7637"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电子病历的书写应符合医生的操作习惯，系统提供标准术语字典、疾病分类编码表等辅助书写病历工具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774"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多种方式输入</w:t>
            </w:r>
          </w:p>
        </w:tc>
        <w:tc>
          <w:tcPr>
            <w:tcW w:w="7637" w:type="dxa"/>
            <w:tcBorders>
              <w:tl2br w:val="nil"/>
              <w:tr2bl w:val="nil"/>
            </w:tcBorders>
            <w:vAlign w:val="center"/>
          </w:tcPr>
          <w:p>
            <w:pPr>
              <w:pageBreakBefore w:val="0"/>
              <w:widowControl/>
              <w:numPr>
                <w:ilvl w:val="0"/>
                <w:numId w:val="51"/>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各类病历记录录入编辑，支持卫生部病历书写规范中列出的所有病历文书类型</w:t>
            </w:r>
          </w:p>
          <w:p>
            <w:pPr>
              <w:pageBreakBefore w:val="0"/>
              <w:widowControl/>
              <w:numPr>
                <w:ilvl w:val="0"/>
                <w:numId w:val="51"/>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病历记录自由文本录入</w:t>
            </w:r>
          </w:p>
          <w:p>
            <w:pPr>
              <w:pageBreakBefore w:val="0"/>
              <w:widowControl/>
              <w:numPr>
                <w:ilvl w:val="0"/>
                <w:numId w:val="51"/>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在病历记录中嵌入图片并对图片进行编辑</w:t>
            </w:r>
          </w:p>
          <w:p>
            <w:pPr>
              <w:pageBreakBefore w:val="0"/>
              <w:widowControl/>
              <w:numPr>
                <w:ilvl w:val="0"/>
                <w:numId w:val="51"/>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在病历记录中嵌入表格并对表格进行编辑</w:t>
            </w:r>
          </w:p>
          <w:p>
            <w:pPr>
              <w:pageBreakBefore w:val="0"/>
              <w:widowControl/>
              <w:numPr>
                <w:ilvl w:val="0"/>
                <w:numId w:val="51"/>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在病历记录中复制、粘贴患者其它病历记录指定内容</w:t>
            </w:r>
          </w:p>
          <w:p>
            <w:pPr>
              <w:pageBreakBefore w:val="0"/>
              <w:widowControl/>
              <w:numPr>
                <w:ilvl w:val="0"/>
                <w:numId w:val="51"/>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支持复制、粘贴非患者自己的病历记录内容，禁止修改他人病历</w:t>
            </w:r>
          </w:p>
          <w:p>
            <w:pPr>
              <w:pageBreakBefore w:val="0"/>
              <w:widowControl/>
              <w:numPr>
                <w:ilvl w:val="0"/>
                <w:numId w:val="51"/>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病历记录中插入来自于系统或外部的疾病知识资料库相关知识文本</w:t>
            </w:r>
          </w:p>
          <w:p>
            <w:pPr>
              <w:pageBreakBefore w:val="0"/>
              <w:widowControl/>
              <w:numPr>
                <w:ilvl w:val="0"/>
                <w:numId w:val="51"/>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病历书写可粘贴体征单、医嘱本、检查检验报告等</w:t>
            </w:r>
          </w:p>
          <w:p>
            <w:pPr>
              <w:pageBreakBefore w:val="0"/>
              <w:widowControl/>
              <w:numPr>
                <w:ilvl w:val="0"/>
                <w:numId w:val="51"/>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病历内容</w:t>
            </w:r>
            <w:r>
              <w:rPr>
                <w:rFonts w:hint="eastAsia" w:ascii="新宋体" w:hAnsi="新宋体" w:eastAsia="新宋体" w:cs="新宋体"/>
                <w:color w:val="000000"/>
                <w:kern w:val="0"/>
                <w:sz w:val="24"/>
                <w:szCs w:val="24"/>
              </w:rPr>
              <w:t>分段控制权限</w:t>
            </w:r>
            <w:r>
              <w:rPr>
                <w:rFonts w:hint="eastAsia" w:ascii="新宋体" w:hAnsi="新宋体" w:eastAsia="新宋体" w:cs="新宋体"/>
                <w:kern w:val="0"/>
                <w:sz w:val="24"/>
                <w:szCs w:val="24"/>
              </w:rPr>
              <w:t>（病程记录分段书写）</w:t>
            </w:r>
          </w:p>
          <w:p>
            <w:pPr>
              <w:pageBreakBefore w:val="0"/>
              <w:widowControl/>
              <w:numPr>
                <w:ilvl w:val="0"/>
                <w:numId w:val="51"/>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常见医学符号、图表引用</w:t>
            </w:r>
          </w:p>
          <w:p>
            <w:pPr>
              <w:pageBreakBefore w:val="0"/>
              <w:widowControl/>
              <w:numPr>
                <w:ilvl w:val="0"/>
                <w:numId w:val="51"/>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支持病历文件大纲显示，快速定位病历具体内容</w:t>
            </w:r>
          </w:p>
          <w:p>
            <w:pPr>
              <w:pageBreakBefore w:val="0"/>
              <w:widowControl/>
              <w:numPr>
                <w:ilvl w:val="0"/>
                <w:numId w:val="51"/>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护理记录特殊（表格病历）格式处理</w:t>
            </w:r>
          </w:p>
          <w:p>
            <w:pPr>
              <w:pageBreakBefore w:val="0"/>
              <w:widowControl/>
              <w:numPr>
                <w:ilvl w:val="0"/>
                <w:numId w:val="51"/>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提供医学特殊公式编辑（月经史、牙齿公式等）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774"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归档锁定功能</w:t>
            </w:r>
          </w:p>
        </w:tc>
        <w:tc>
          <w:tcPr>
            <w:tcW w:w="7637" w:type="dxa"/>
            <w:tcBorders>
              <w:tl2br w:val="nil"/>
              <w:tr2bl w:val="nil"/>
            </w:tcBorders>
            <w:vAlign w:val="center"/>
          </w:tcPr>
          <w:p>
            <w:pPr>
              <w:pageBreakBefore w:val="0"/>
              <w:widowControl/>
              <w:numPr>
                <w:ilvl w:val="0"/>
                <w:numId w:val="52"/>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电子病历归档锁定功能</w:t>
            </w:r>
          </w:p>
          <w:p>
            <w:pPr>
              <w:pageBreakBefore w:val="0"/>
              <w:widowControl/>
              <w:numPr>
                <w:ilvl w:val="0"/>
                <w:numId w:val="52"/>
              </w:numPr>
              <w:kinsoku/>
              <w:wordWrap/>
              <w:overflowPunct/>
              <w:topLinePunct w:val="0"/>
              <w:bidi w:val="0"/>
              <w:spacing w:line="400" w:lineRule="exact"/>
              <w:ind w:left="244" w:hanging="244"/>
              <w:rPr>
                <w:rFonts w:hint="eastAsia" w:ascii="新宋体" w:hAnsi="新宋体" w:eastAsia="新宋体" w:cs="新宋体"/>
                <w:color w:val="000000"/>
                <w:kern w:val="0"/>
                <w:sz w:val="24"/>
                <w:szCs w:val="24"/>
              </w:rPr>
            </w:pPr>
            <w:r>
              <w:rPr>
                <w:rFonts w:hint="eastAsia" w:ascii="新宋体" w:hAnsi="新宋体" w:eastAsia="新宋体" w:cs="新宋体"/>
                <w:kern w:val="0"/>
                <w:sz w:val="24"/>
                <w:szCs w:val="24"/>
              </w:rPr>
              <w:t>对医疗记录修改权限管理，</w:t>
            </w:r>
            <w:r>
              <w:rPr>
                <w:rFonts w:hint="eastAsia" w:ascii="新宋体" w:hAnsi="新宋体" w:eastAsia="新宋体" w:cs="新宋体"/>
                <w:color w:val="000000"/>
                <w:kern w:val="0"/>
                <w:sz w:val="24"/>
                <w:szCs w:val="24"/>
              </w:rPr>
              <w:t>允许上级医务人员查看下级医务人员创建的医疗记录，不允许修改</w:t>
            </w:r>
          </w:p>
          <w:p>
            <w:pPr>
              <w:pageBreakBefore w:val="0"/>
              <w:widowControl/>
              <w:numPr>
                <w:ilvl w:val="0"/>
                <w:numId w:val="52"/>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医疗记录禁止修改的设置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774"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专科特色模版</w:t>
            </w:r>
          </w:p>
        </w:tc>
        <w:tc>
          <w:tcPr>
            <w:tcW w:w="7637"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提供医生制作修改专科特色模版的工具，不同专科医生可根据本科特点制作模版或仿制别科模版，方便输入浏览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774"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病历打印</w:t>
            </w:r>
          </w:p>
        </w:tc>
        <w:tc>
          <w:tcPr>
            <w:tcW w:w="7637" w:type="dxa"/>
            <w:tcBorders>
              <w:tl2br w:val="nil"/>
              <w:tr2bl w:val="nil"/>
            </w:tcBorders>
            <w:vAlign w:val="center"/>
          </w:tcPr>
          <w:p>
            <w:pPr>
              <w:pageBreakBefore w:val="0"/>
              <w:widowControl/>
              <w:numPr>
                <w:ilvl w:val="0"/>
                <w:numId w:val="53"/>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提供病历满页打印、续打印、转科出院一次性打印等功能</w:t>
            </w:r>
          </w:p>
          <w:p>
            <w:pPr>
              <w:pageBreakBefore w:val="0"/>
              <w:widowControl/>
              <w:numPr>
                <w:ilvl w:val="0"/>
                <w:numId w:val="53"/>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首页页码可以需要重新设置，不从1开始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774"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多维度病历查询浏览</w:t>
            </w:r>
          </w:p>
        </w:tc>
        <w:tc>
          <w:tcPr>
            <w:tcW w:w="7637" w:type="dxa"/>
            <w:tcBorders>
              <w:tl2br w:val="nil"/>
              <w:tr2bl w:val="nil"/>
            </w:tcBorders>
            <w:vAlign w:val="center"/>
          </w:tcPr>
          <w:p>
            <w:pPr>
              <w:pageBreakBefore w:val="0"/>
              <w:widowControl/>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全面收录病历主要内容，包括病人一般情况，住院病人病案首页、历次就诊住院情况，如：主诉、病史（现病史、既往史、个人史、婚育史、家族史）、体格检查信息、辅助检查信息、入院诊断、最后诊断、病程（首程、历程）、手术记录及各种知情同意单，另外有阶段总结、会诊记录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774"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收录病历内容要求</w:t>
            </w:r>
          </w:p>
        </w:tc>
        <w:tc>
          <w:tcPr>
            <w:tcW w:w="7637" w:type="dxa"/>
            <w:tcBorders>
              <w:tl2br w:val="nil"/>
              <w:tr2bl w:val="nil"/>
            </w:tcBorders>
            <w:vAlign w:val="center"/>
          </w:tcPr>
          <w:p>
            <w:pPr>
              <w:pageBreakBefore w:val="0"/>
              <w:widowControl/>
              <w:numPr>
                <w:ilvl w:val="0"/>
                <w:numId w:val="5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电子病历内容的架构符合卫生部病理书写管理规范的要求，符合卫生部电子病案基本架构与数据集标准的要求</w:t>
            </w:r>
          </w:p>
          <w:p>
            <w:pPr>
              <w:pageBreakBefore w:val="0"/>
              <w:widowControl/>
              <w:numPr>
                <w:ilvl w:val="0"/>
                <w:numId w:val="5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对患者诊断进行分类编码录入（编目）</w:t>
            </w:r>
          </w:p>
          <w:p>
            <w:pPr>
              <w:pageBreakBefore w:val="0"/>
              <w:widowControl/>
              <w:numPr>
                <w:ilvl w:val="0"/>
                <w:numId w:val="5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显示患者在本院的门（急）诊和住院就诊历史</w:t>
            </w:r>
          </w:p>
          <w:p>
            <w:pPr>
              <w:pageBreakBefore w:val="0"/>
              <w:widowControl/>
              <w:numPr>
                <w:ilvl w:val="0"/>
                <w:numId w:val="5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根据患者住院医疗记录，自动生成首页中住院天数、确诊日期、手术及操作、费用信息、护理等信息</w:t>
            </w:r>
          </w:p>
          <w:p>
            <w:pPr>
              <w:pageBreakBefore w:val="0"/>
              <w:widowControl/>
              <w:numPr>
                <w:ilvl w:val="0"/>
                <w:numId w:val="5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对患者诊断进行分类编码录入</w:t>
            </w:r>
          </w:p>
          <w:p>
            <w:pPr>
              <w:pageBreakBefore w:val="0"/>
              <w:widowControl/>
              <w:numPr>
                <w:ilvl w:val="0"/>
                <w:numId w:val="5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国际疾病编码ICD-10自动对应，并且是最新版本</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774"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病历质控</w:t>
            </w:r>
          </w:p>
        </w:tc>
        <w:tc>
          <w:tcPr>
            <w:tcW w:w="7637"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采用三级质控模式，由经管医生、科室主任、病案室管理员一级一级审核提交，进行质控，不合格病历直接退回到经管医生，并由上级医生反馈质控意见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774"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w:t>
            </w:r>
            <w:r>
              <w:rPr>
                <w:rFonts w:hint="eastAsia" w:ascii="新宋体" w:hAnsi="新宋体" w:eastAsia="新宋体" w:cs="新宋体"/>
                <w:kern w:val="0"/>
                <w:sz w:val="24"/>
                <w:szCs w:val="24"/>
              </w:rPr>
              <w:t>归档</w:t>
            </w:r>
          </w:p>
        </w:tc>
        <w:tc>
          <w:tcPr>
            <w:tcW w:w="7637" w:type="dxa"/>
            <w:tcBorders>
              <w:tl2br w:val="nil"/>
              <w:tr2bl w:val="nil"/>
            </w:tcBorders>
            <w:vAlign w:val="center"/>
          </w:tcPr>
          <w:p>
            <w:pPr>
              <w:pageBreakBefore w:val="0"/>
              <w:widowControl/>
              <w:numPr>
                <w:ilvl w:val="0"/>
                <w:numId w:val="5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对医生申请归档的病历进行缺陷指出反馈</w:t>
            </w:r>
          </w:p>
          <w:p>
            <w:pPr>
              <w:pageBreakBefore w:val="0"/>
              <w:widowControl/>
              <w:numPr>
                <w:ilvl w:val="0"/>
                <w:numId w:val="5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查看医生对缺陷的处理结果</w:t>
            </w:r>
          </w:p>
          <w:p>
            <w:pPr>
              <w:pageBreakBefore w:val="0"/>
              <w:widowControl/>
              <w:numPr>
                <w:ilvl w:val="0"/>
                <w:numId w:val="5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对病历进行归档，归档后病历不允许修改 </w:t>
            </w:r>
          </w:p>
        </w:tc>
      </w:tr>
    </w:tbl>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38" w:name="_Toc17234"/>
      <w:r>
        <w:rPr>
          <w:rFonts w:hint="eastAsia" w:ascii="新宋体" w:hAnsi="新宋体" w:eastAsia="新宋体" w:cs="新宋体"/>
          <w:sz w:val="24"/>
          <w:szCs w:val="24"/>
        </w:rPr>
        <w:t>3.2.5临床路径系统</w:t>
      </w:r>
      <w:bookmarkEnd w:id="38"/>
    </w:p>
    <w:tbl>
      <w:tblPr>
        <w:tblStyle w:val="26"/>
        <w:tblW w:w="9447"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770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42"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主要功能</w:t>
            </w:r>
          </w:p>
        </w:tc>
        <w:tc>
          <w:tcPr>
            <w:tcW w:w="7705" w:type="dxa"/>
            <w:tcBorders>
              <w:tl2br w:val="nil"/>
              <w:tr2bl w:val="nil"/>
            </w:tcBorders>
            <w:vAlign w:val="center"/>
          </w:tcPr>
          <w:p>
            <w:pPr>
              <w:pageBreakBefore w:val="0"/>
              <w:kinsoku/>
              <w:wordWrap/>
              <w:overflowPunct/>
              <w:topLinePunct w:val="0"/>
              <w:bidi w:val="0"/>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8" w:hRule="atLeast"/>
          <w:jc w:val="center"/>
        </w:trPr>
        <w:tc>
          <w:tcPr>
            <w:tcW w:w="1742"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路径委员会</w:t>
            </w:r>
          </w:p>
          <w:p>
            <w:pPr>
              <w:pageBreakBefore w:val="0"/>
              <w:kinsoku/>
              <w:wordWrap/>
              <w:overflowPunct/>
              <w:topLinePunct w:val="0"/>
              <w:bidi w:val="0"/>
              <w:spacing w:line="400" w:lineRule="exact"/>
              <w:ind w:firstLine="480" w:firstLineChars="200"/>
              <w:jc w:val="left"/>
              <w:rPr>
                <w:rFonts w:hint="eastAsia" w:ascii="新宋体" w:hAnsi="新宋体" w:eastAsia="新宋体" w:cs="新宋体"/>
                <w:sz w:val="24"/>
                <w:szCs w:val="24"/>
              </w:rPr>
            </w:pPr>
          </w:p>
        </w:tc>
        <w:tc>
          <w:tcPr>
            <w:tcW w:w="7705" w:type="dxa"/>
            <w:tcBorders>
              <w:tl2br w:val="nil"/>
              <w:tr2bl w:val="nil"/>
            </w:tcBorders>
            <w:vAlign w:val="center"/>
          </w:tcPr>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1.路径维护：通过数据字典、路径表单和模板对路径的流程和进入条件进行配置；</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2.路径审核：相关部门通过路径审核功能，对路径的流程、进入条件、医嘱、护理等信息进行审核工作；</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3.路径裁剪：根据临床经验，对路径流程进行裁剪优化工作；</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4.变异原因维护：对路径变异的原因进行维护更新；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jc w:val="center"/>
        </w:trPr>
        <w:tc>
          <w:tcPr>
            <w:tcW w:w="1742"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医生执行中心</w:t>
            </w:r>
          </w:p>
        </w:tc>
        <w:tc>
          <w:tcPr>
            <w:tcW w:w="7705"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1.病人管理：通过HIS系统引人病人基本体征信息；并可以通过电子病历系统可以查询其病史信息；</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2.★病区一览：医生通过一览式的界面，可以直观的了解病历的时限提示、警告信息；其分管病人体检报告等相关信息；医师的任务信息；以及出现异常问题的处理信息；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742"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护士执行中心</w:t>
            </w:r>
          </w:p>
        </w:tc>
        <w:tc>
          <w:tcPr>
            <w:tcW w:w="7705"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1.护理路径执行：护士根据对病人的路径信息，对病人进行相应的护理执行工作；</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2.医嘱执行：在病人路径的执行流程中，护士根据系统提示信息执行相关医嘱工作；</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3.护理记录：在病人路径的执行流程中，护士根据系统提示信息执行相关护理工作；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742"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患者功能</w:t>
            </w:r>
          </w:p>
        </w:tc>
        <w:tc>
          <w:tcPr>
            <w:tcW w:w="7705"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患者便捷中心：实现医患交互的窗口，可以查询病人在径情况，其路径费用、用药、护理、检查、时间等信息；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742"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报表管理</w:t>
            </w:r>
          </w:p>
        </w:tc>
        <w:tc>
          <w:tcPr>
            <w:tcW w:w="7705"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1.路径执行统计：对路径的执行情况进行相关分析统计；</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2.路径退出统计：对路径的退出情况进行相关分析统计；</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3.路径异常统计：对路径的异常情况进行相关分析统计；</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4.路径完成率统计：对路径的执行完成情况进行相关分析统计；</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5.月度出径指标环比：医院可以按月份对出径相关指标进行环比分析；</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6.路径监测表：可以对路径的整个完成过程进行监测；</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7.入径统计：对路径的入径进行相关分析统计；</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8.变异情况分析：对执行路径过程中出现的变异情况进行分析统计；</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9.费用结算分析：对单或多病种路径执行发生的费用进行统计分析；</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10.决策支持和系统分析：提供辅助决策系统，为临床医学的案例分析和决策提供有力的支持。</w:t>
            </w:r>
          </w:p>
        </w:tc>
      </w:tr>
    </w:tbl>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39" w:name="_Toc25433"/>
      <w:r>
        <w:rPr>
          <w:rFonts w:hint="eastAsia" w:ascii="新宋体" w:hAnsi="新宋体" w:eastAsia="新宋体" w:cs="新宋体"/>
          <w:sz w:val="24"/>
          <w:szCs w:val="24"/>
        </w:rPr>
        <w:t>3.2.6、病案管理系统</w:t>
      </w:r>
      <w:bookmarkEnd w:id="39"/>
    </w:p>
    <w:tbl>
      <w:tblPr>
        <w:tblStyle w:val="26"/>
        <w:tblW w:w="9308"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717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137"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主要功能</w:t>
            </w:r>
          </w:p>
        </w:tc>
        <w:tc>
          <w:tcPr>
            <w:tcW w:w="7171" w:type="dxa"/>
            <w:tcBorders>
              <w:tl2br w:val="nil"/>
              <w:tr2bl w:val="nil"/>
            </w:tcBorders>
            <w:vAlign w:val="center"/>
          </w:tcPr>
          <w:p>
            <w:pPr>
              <w:pageBreakBefore w:val="0"/>
              <w:kinsoku/>
              <w:wordWrap/>
              <w:overflowPunct/>
              <w:topLinePunct w:val="0"/>
              <w:bidi w:val="0"/>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1" w:hRule="atLeast"/>
          <w:jc w:val="center"/>
        </w:trPr>
        <w:tc>
          <w:tcPr>
            <w:tcW w:w="2137" w:type="dxa"/>
            <w:tcBorders>
              <w:tl2br w:val="nil"/>
              <w:tr2bl w:val="nil"/>
            </w:tcBorders>
          </w:tcPr>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病历借阅审核</w:t>
            </w:r>
          </w:p>
        </w:tc>
        <w:tc>
          <w:tcPr>
            <w:tcW w:w="7171" w:type="dxa"/>
            <w:tcBorders>
              <w:tl2br w:val="nil"/>
              <w:tr2bl w:val="nil"/>
            </w:tcBorders>
          </w:tcPr>
          <w:p>
            <w:pPr>
              <w:pStyle w:val="67"/>
              <w:pageBreakBefore w:val="0"/>
              <w:numPr>
                <w:ilvl w:val="0"/>
                <w:numId w:val="56"/>
              </w:numPr>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支持病历借阅记录的审核查看</w:t>
            </w:r>
          </w:p>
          <w:p>
            <w:pPr>
              <w:pStyle w:val="67"/>
              <w:pageBreakBefore w:val="0"/>
              <w:numPr>
                <w:ilvl w:val="0"/>
                <w:numId w:val="56"/>
              </w:numPr>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支持根据病人姓名、出院日期、科室、住院号、出院诊断查询出需要借阅的病人</w:t>
            </w:r>
          </w:p>
          <w:p>
            <w:pPr>
              <w:pStyle w:val="67"/>
              <w:pageBreakBefore w:val="0"/>
              <w:numPr>
                <w:ilvl w:val="0"/>
                <w:numId w:val="56"/>
              </w:numPr>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支持单项审核通过或同时勾选多条记录，进行批量审核</w:t>
            </w:r>
          </w:p>
          <w:p>
            <w:pPr>
              <w:pStyle w:val="67"/>
              <w:pageBreakBefore w:val="0"/>
              <w:numPr>
                <w:ilvl w:val="0"/>
                <w:numId w:val="56"/>
              </w:numPr>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支持借阅期限，限制借阅的最大天数和批量申请的总条数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9" w:hRule="atLeast"/>
          <w:jc w:val="center"/>
        </w:trPr>
        <w:tc>
          <w:tcPr>
            <w:tcW w:w="2137" w:type="dxa"/>
            <w:tcBorders>
              <w:tl2br w:val="nil"/>
              <w:tr2bl w:val="nil"/>
            </w:tcBorders>
          </w:tcPr>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病历借阅记录查询</w:t>
            </w:r>
          </w:p>
        </w:tc>
        <w:tc>
          <w:tcPr>
            <w:tcW w:w="7171" w:type="dxa"/>
            <w:tcBorders>
              <w:tl2br w:val="nil"/>
              <w:tr2bl w:val="nil"/>
            </w:tcBorders>
          </w:tcPr>
          <w:p>
            <w:pPr>
              <w:pageBreakBefore w:val="0"/>
              <w:tabs>
                <w:tab w:val="left" w:pos="713"/>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1、支持查询所有申请状态下的病历借阅记录</w:t>
            </w:r>
          </w:p>
          <w:p>
            <w:pPr>
              <w:pageBreakBefore w:val="0"/>
              <w:tabs>
                <w:tab w:val="left" w:pos="713"/>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2、支持审核状态可追溯</w:t>
            </w:r>
          </w:p>
          <w:p>
            <w:pPr>
              <w:pageBreakBefore w:val="0"/>
              <w:tabs>
                <w:tab w:val="left" w:pos="713"/>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3、支持默认病历归还状态，如借阅期限已过或手动归还后，该记录的申请状态为归还。</w:t>
            </w:r>
          </w:p>
          <w:p>
            <w:pPr>
              <w:pageBreakBefore w:val="0"/>
              <w:tabs>
                <w:tab w:val="left" w:pos="713"/>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4、支持输入条件进行筛选，查出需要的记录。</w:t>
            </w:r>
          </w:p>
          <w:p>
            <w:pPr>
              <w:pageBreakBefore w:val="0"/>
              <w:tabs>
                <w:tab w:val="left" w:pos="713"/>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5、支持到了借阅期限后，仍未阅览结束，就可申请延期，继续借阅</w:t>
            </w:r>
          </w:p>
          <w:p>
            <w:pPr>
              <w:pageBreakBefore w:val="0"/>
              <w:tabs>
                <w:tab w:val="left" w:pos="713"/>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6、支持“草稿”状态下的病历借阅申请记录可进行提交、编辑、删除操作，其余操作置灰不可使用。</w:t>
            </w:r>
          </w:p>
          <w:p>
            <w:pPr>
              <w:pageBreakBefore w:val="0"/>
              <w:tabs>
                <w:tab w:val="left" w:pos="713"/>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7、支持对于“待审核”状态下的病历借阅申请记录，如不需借阅，可进行“撤销”操作，其余操作置灰不可使用。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2137" w:type="dxa"/>
            <w:tcBorders>
              <w:tl2br w:val="nil"/>
              <w:tr2bl w:val="nil"/>
            </w:tcBorders>
          </w:tcPr>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病历查询</w:t>
            </w:r>
          </w:p>
        </w:tc>
        <w:tc>
          <w:tcPr>
            <w:tcW w:w="7171" w:type="dxa"/>
            <w:tcBorders>
              <w:tl2br w:val="nil"/>
              <w:tr2bl w:val="nil"/>
            </w:tcBorders>
          </w:tcPr>
          <w:p>
            <w:pPr>
              <w:pageBreakBefore w:val="0"/>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1、支持查询所有在院、已出院的病人，并可查看其病历。</w:t>
            </w:r>
          </w:p>
          <w:p>
            <w:pPr>
              <w:pageBreakBefore w:val="0"/>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2、支持未提交、已提交、未归档、已归档、撤销归档和封存的病历查询</w:t>
            </w:r>
          </w:p>
          <w:p>
            <w:pPr>
              <w:pageBreakBefore w:val="0"/>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3、支持对在院的病人进行阅览病历操作，只能查看，不能编辑。</w:t>
            </w:r>
          </w:p>
          <w:p>
            <w:pPr>
              <w:pageBreakBefore w:val="0"/>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4、支持对已出院的病人进行病历自动提交的时间设置</w:t>
            </w:r>
          </w:p>
          <w:p>
            <w:pPr>
              <w:pageBreakBefore w:val="0"/>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5、支持对于病历状态为“未提交”的病历可进行查看操作</w:t>
            </w:r>
          </w:p>
          <w:p>
            <w:pPr>
              <w:pageBreakBefore w:val="0"/>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6、支持对于病历状态为“已提交”的病历可进行归档、驳回操作</w:t>
            </w:r>
          </w:p>
          <w:p>
            <w:pPr>
              <w:pageBreakBefore w:val="0"/>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7、支持对于归档成功的病历会在“已提交”状态下的列表中消失，显示在“已归档”状态下的病历列表中</w:t>
            </w:r>
          </w:p>
          <w:p>
            <w:pPr>
              <w:pageBreakBefore w:val="0"/>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8、支持对于病历状态为“已归档”的病历进行“撤销归档”操作</w:t>
            </w:r>
          </w:p>
          <w:p>
            <w:pPr>
              <w:pageBreakBefore w:val="0"/>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9、支持封存操作，选择一条记录进行封存或撤销封存。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jc w:val="center"/>
        </w:trPr>
        <w:tc>
          <w:tcPr>
            <w:tcW w:w="2137" w:type="dxa"/>
            <w:tcBorders>
              <w:tl2br w:val="nil"/>
              <w:tr2bl w:val="nil"/>
            </w:tcBorders>
          </w:tcPr>
          <w:p>
            <w:pPr>
              <w:pageBreakBefore w:val="0"/>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病案首页编辑归档</w:t>
            </w:r>
          </w:p>
          <w:p>
            <w:pPr>
              <w:pageBreakBefore w:val="0"/>
              <w:kinsoku/>
              <w:wordWrap/>
              <w:overflowPunct/>
              <w:topLinePunct w:val="0"/>
              <w:bidi w:val="0"/>
              <w:spacing w:line="400" w:lineRule="exact"/>
              <w:rPr>
                <w:rFonts w:hint="eastAsia" w:ascii="新宋体" w:hAnsi="新宋体" w:eastAsia="新宋体" w:cs="新宋体"/>
                <w:sz w:val="24"/>
                <w:szCs w:val="24"/>
              </w:rPr>
            </w:pPr>
          </w:p>
        </w:tc>
        <w:tc>
          <w:tcPr>
            <w:tcW w:w="7171" w:type="dxa"/>
            <w:tcBorders>
              <w:tl2br w:val="nil"/>
              <w:tr2bl w:val="nil"/>
            </w:tcBorders>
          </w:tcPr>
          <w:p>
            <w:pPr>
              <w:pageBreakBefore w:val="0"/>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1、支持用于对已出院病人编辑病案首页、进行归档、撤销归档操作</w:t>
            </w:r>
          </w:p>
          <w:p>
            <w:pPr>
              <w:pageBreakBefore w:val="0"/>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2、支持根据条件查询病人记录，选中需要的记录展现病案首页，病案首页内的信息可以进行编辑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2137" w:type="dxa"/>
            <w:tcBorders>
              <w:tl2br w:val="nil"/>
              <w:tr2bl w:val="nil"/>
            </w:tcBorders>
          </w:tcPr>
          <w:p>
            <w:pPr>
              <w:pageBreakBefore w:val="0"/>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病历补写审核</w:t>
            </w:r>
          </w:p>
          <w:p>
            <w:pPr>
              <w:pageBreakBefore w:val="0"/>
              <w:tabs>
                <w:tab w:val="left" w:pos="255"/>
              </w:tabs>
              <w:kinsoku/>
              <w:wordWrap/>
              <w:overflowPunct/>
              <w:topLinePunct w:val="0"/>
              <w:bidi w:val="0"/>
              <w:spacing w:line="400" w:lineRule="exact"/>
              <w:rPr>
                <w:rFonts w:hint="eastAsia" w:ascii="新宋体" w:hAnsi="新宋体" w:eastAsia="新宋体" w:cs="新宋体"/>
                <w:sz w:val="24"/>
                <w:szCs w:val="24"/>
              </w:rPr>
            </w:pPr>
          </w:p>
        </w:tc>
        <w:tc>
          <w:tcPr>
            <w:tcW w:w="7171" w:type="dxa"/>
            <w:tcBorders>
              <w:tl2br w:val="nil"/>
              <w:tr2bl w:val="nil"/>
            </w:tcBorders>
          </w:tcPr>
          <w:p>
            <w:pPr>
              <w:pageBreakBefore w:val="0"/>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1、支持对病历补写申请的审核</w:t>
            </w:r>
          </w:p>
          <w:p>
            <w:pPr>
              <w:pageBreakBefore w:val="0"/>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2、支持单个或同时勾选多条记录，进行批量审核</w:t>
            </w:r>
          </w:p>
        </w:tc>
      </w:tr>
    </w:tbl>
    <w:p>
      <w:pPr>
        <w:pStyle w:val="4"/>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40" w:name="_Toc22783"/>
      <w:r>
        <w:rPr>
          <w:rFonts w:hint="eastAsia" w:ascii="新宋体" w:hAnsi="新宋体" w:eastAsia="新宋体" w:cs="新宋体"/>
          <w:sz w:val="24"/>
          <w:szCs w:val="24"/>
        </w:rPr>
        <w:t>3.3、医技管理系统</w:t>
      </w:r>
      <w:bookmarkEnd w:id="40"/>
    </w:p>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41" w:name="_Toc29001"/>
      <w:r>
        <w:rPr>
          <w:rFonts w:hint="eastAsia" w:ascii="新宋体" w:hAnsi="新宋体" w:eastAsia="新宋体" w:cs="新宋体"/>
          <w:sz w:val="24"/>
          <w:szCs w:val="24"/>
        </w:rPr>
        <w:t>3.3.1、检验信息系统</w:t>
      </w:r>
      <w:bookmarkEnd w:id="41"/>
    </w:p>
    <w:tbl>
      <w:tblPr>
        <w:tblStyle w:val="26"/>
        <w:tblW w:w="941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773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2" w:type="dxa"/>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主要功能</w:t>
            </w:r>
          </w:p>
        </w:tc>
        <w:tc>
          <w:tcPr>
            <w:tcW w:w="7739" w:type="dxa"/>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1672"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系统管理模块</w:t>
            </w:r>
          </w:p>
        </w:tc>
        <w:tc>
          <w:tcPr>
            <w:tcW w:w="7739" w:type="dxa"/>
            <w:vAlign w:val="center"/>
          </w:tcPr>
          <w:p>
            <w:pPr>
              <w:pageBreakBefore w:val="0"/>
              <w:widowControl/>
              <w:numPr>
                <w:ilvl w:val="0"/>
                <w:numId w:val="57"/>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系统维护工作站主要是用来进行LIS系统的数据字典维护、打印、用户管理等综合设置的管理平台。</w:t>
            </w:r>
          </w:p>
          <w:p>
            <w:pPr>
              <w:pageBreakBefore w:val="0"/>
              <w:widowControl/>
              <w:numPr>
                <w:ilvl w:val="0"/>
                <w:numId w:val="57"/>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基本数据字典维护：用于对开单科室、病区、送检医生、临床诊断信息、送检单位、民族、标本性状信等各种信息的维护。</w:t>
            </w:r>
          </w:p>
          <w:p>
            <w:pPr>
              <w:pageBreakBefore w:val="0"/>
              <w:widowControl/>
              <w:numPr>
                <w:ilvl w:val="0"/>
                <w:numId w:val="57"/>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用户权限管理：对用户的管理，包括角色管理，权限管理、用户管理、电子签名管理等。</w:t>
            </w:r>
          </w:p>
          <w:p>
            <w:pPr>
              <w:pageBreakBefore w:val="0"/>
              <w:widowControl/>
              <w:numPr>
                <w:ilvl w:val="0"/>
                <w:numId w:val="57"/>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项目管理：包括基本项目、收费项目及相应关系的设置。</w:t>
            </w:r>
          </w:p>
          <w:p>
            <w:pPr>
              <w:pageBreakBefore w:val="0"/>
              <w:widowControl/>
              <w:numPr>
                <w:ilvl w:val="0"/>
                <w:numId w:val="57"/>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报告单设置：系统内置了多种数据格式，包括细菌报告单、常规报告单等，支持图形打印。自定义报告。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672"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样本采集模块</w:t>
            </w:r>
          </w:p>
        </w:tc>
        <w:tc>
          <w:tcPr>
            <w:tcW w:w="7739" w:type="dxa"/>
            <w:vAlign w:val="center"/>
          </w:tcPr>
          <w:p>
            <w:pPr>
              <w:pageBreakBefore w:val="0"/>
              <w:widowControl/>
              <w:numPr>
                <w:ilvl w:val="0"/>
                <w:numId w:val="5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支持打印条码工作模式。</w:t>
            </w:r>
          </w:p>
          <w:p>
            <w:pPr>
              <w:pageBreakBefore w:val="0"/>
              <w:widowControl/>
              <w:numPr>
                <w:ilvl w:val="0"/>
                <w:numId w:val="5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自动提示本次采样需用的采样管类型、颜色等。</w:t>
            </w:r>
          </w:p>
          <w:p>
            <w:pPr>
              <w:pageBreakBefore w:val="0"/>
              <w:widowControl/>
              <w:numPr>
                <w:ilvl w:val="0"/>
                <w:numId w:val="5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打印的样本标签应有明确的标识，区分各个不同的小组；预置条码部分要提供相应的样本分组说明。</w:t>
            </w:r>
          </w:p>
          <w:p>
            <w:pPr>
              <w:pageBreakBefore w:val="0"/>
              <w:widowControl/>
              <w:numPr>
                <w:ilvl w:val="0"/>
                <w:numId w:val="58"/>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样本采集模块有相应的样本采集信息的记录：包括样本采集时间、样本量、其他采样说明等信息。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672"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样本核收模块</w:t>
            </w:r>
          </w:p>
        </w:tc>
        <w:tc>
          <w:tcPr>
            <w:tcW w:w="7739" w:type="dxa"/>
            <w:vAlign w:val="center"/>
          </w:tcPr>
          <w:p>
            <w:pPr>
              <w:pageBreakBefore w:val="0"/>
              <w:widowControl/>
              <w:numPr>
                <w:ilvl w:val="0"/>
                <w:numId w:val="59"/>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支持条形码读入进行核收。</w:t>
            </w:r>
          </w:p>
          <w:p>
            <w:pPr>
              <w:pageBreakBefore w:val="0"/>
              <w:widowControl/>
              <w:numPr>
                <w:ilvl w:val="0"/>
                <w:numId w:val="59"/>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可进行样本取消核收操作，并留有日志记录。</w:t>
            </w:r>
          </w:p>
          <w:p>
            <w:pPr>
              <w:pageBreakBefore w:val="0"/>
              <w:widowControl/>
              <w:numPr>
                <w:ilvl w:val="0"/>
                <w:numId w:val="59"/>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对不合格的样本拒收，提示拒收原因、拒收人和拒收时间备查。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672"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技师工作站模块</w:t>
            </w:r>
          </w:p>
        </w:tc>
        <w:tc>
          <w:tcPr>
            <w:tcW w:w="7739" w:type="dxa"/>
            <w:vAlign w:val="center"/>
          </w:tcPr>
          <w:p>
            <w:pPr>
              <w:pageBreakBefore w:val="0"/>
              <w:widowControl/>
              <w:numPr>
                <w:ilvl w:val="0"/>
                <w:numId w:val="60"/>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审核后可自动打印检验报告单功能。</w:t>
            </w:r>
          </w:p>
          <w:p>
            <w:pPr>
              <w:pageBreakBefore w:val="0"/>
              <w:widowControl/>
              <w:numPr>
                <w:ilvl w:val="0"/>
                <w:numId w:val="60"/>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可通过颜色或字体区别打印报告、未打印报告；对急诊报告能够自动提示检验操作人员，防止超时报告。</w:t>
            </w:r>
          </w:p>
          <w:p>
            <w:pPr>
              <w:pageBreakBefore w:val="0"/>
              <w:widowControl/>
              <w:numPr>
                <w:ilvl w:val="0"/>
                <w:numId w:val="60"/>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根据用户设置的打印规则，判断是否符合打印条件，自动调整打印输出检验报告单的内容，动态调整检验报告单。</w:t>
            </w:r>
          </w:p>
          <w:p>
            <w:pPr>
              <w:pageBreakBefore w:val="0"/>
              <w:widowControl/>
              <w:numPr>
                <w:ilvl w:val="0"/>
                <w:numId w:val="60"/>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可设置报告单类型，自定义报告单的输出内容，自定义报告单提示信息的方式。</w:t>
            </w:r>
          </w:p>
          <w:p>
            <w:pPr>
              <w:pageBreakBefore w:val="0"/>
              <w:widowControl/>
              <w:numPr>
                <w:ilvl w:val="0"/>
                <w:numId w:val="60"/>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检验报告可以转换成pdf、jpg等通用格式文件，保存和发布。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672"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样本打印模块</w:t>
            </w:r>
          </w:p>
        </w:tc>
        <w:tc>
          <w:tcPr>
            <w:tcW w:w="7739" w:type="dxa"/>
            <w:vAlign w:val="center"/>
          </w:tcPr>
          <w:p>
            <w:pPr>
              <w:pageBreakBefore w:val="0"/>
              <w:widowControl/>
              <w:numPr>
                <w:ilvl w:val="0"/>
                <w:numId w:val="61"/>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系统提供多种检验报告格式模板，供实验室选择；</w:t>
            </w:r>
          </w:p>
          <w:p>
            <w:pPr>
              <w:pageBreakBefore w:val="0"/>
              <w:widowControl/>
              <w:numPr>
                <w:ilvl w:val="0"/>
                <w:numId w:val="61"/>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能单个或成批打印检验报告；</w:t>
            </w:r>
          </w:p>
          <w:p>
            <w:pPr>
              <w:pageBreakBefore w:val="0"/>
              <w:widowControl/>
              <w:numPr>
                <w:ilvl w:val="0"/>
                <w:numId w:val="61"/>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提供检验报告预览功能；</w:t>
            </w:r>
          </w:p>
          <w:p>
            <w:pPr>
              <w:pageBreakBefore w:val="0"/>
              <w:widowControl/>
              <w:numPr>
                <w:ilvl w:val="0"/>
                <w:numId w:val="61"/>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快速显示与打印检验结果；</w:t>
            </w:r>
          </w:p>
          <w:p>
            <w:pPr>
              <w:pageBreakBefore w:val="0"/>
              <w:widowControl/>
              <w:numPr>
                <w:ilvl w:val="0"/>
                <w:numId w:val="61"/>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实验室可以根据检验报告的项目数量和纸张的大小，可在一张A4纸上打印一张、两张、甚至三张检验报告；</w:t>
            </w:r>
          </w:p>
          <w:p>
            <w:pPr>
              <w:pageBreakBefore w:val="0"/>
              <w:widowControl/>
              <w:numPr>
                <w:ilvl w:val="0"/>
                <w:numId w:val="61"/>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可以根据检验报告中每一个项目的打印内容的多少，可在每张报告中打印一列或者两列检验项目信息；</w:t>
            </w:r>
          </w:p>
          <w:p>
            <w:pPr>
              <w:pageBreakBefore w:val="0"/>
              <w:widowControl/>
              <w:numPr>
                <w:ilvl w:val="0"/>
                <w:numId w:val="61"/>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可以选择将病人信息打印在报告的指定位置；</w:t>
            </w:r>
          </w:p>
          <w:p>
            <w:pPr>
              <w:pageBreakBefore w:val="0"/>
              <w:widowControl/>
              <w:numPr>
                <w:ilvl w:val="0"/>
                <w:numId w:val="61"/>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支持套打报告。实验室可预先印刷大量的标准格式的空白报告单，甚至加入水印，防止检验报告被伪造；</w:t>
            </w:r>
          </w:p>
          <w:p>
            <w:pPr>
              <w:pageBreakBefore w:val="0"/>
              <w:widowControl/>
              <w:numPr>
                <w:ilvl w:val="0"/>
                <w:numId w:val="61"/>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对某些检验项目，可以将相应的散点图、折线图或其他分布图，在检验报告中一起打印出来；</w:t>
            </w:r>
          </w:p>
          <w:p>
            <w:pPr>
              <w:pageBreakBefore w:val="0"/>
              <w:widowControl/>
              <w:numPr>
                <w:ilvl w:val="0"/>
                <w:numId w:val="61"/>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系统提供报告单定制工具，可支持实验室其他个性化的报告设计</w:t>
            </w:r>
          </w:p>
          <w:p>
            <w:pPr>
              <w:pageBreakBefore w:val="0"/>
              <w:widowControl/>
              <w:numPr>
                <w:ilvl w:val="0"/>
                <w:numId w:val="61"/>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系统可以自动根据收费项目和报告项目的对照关系，在打印报告或者标本审核前检查是否存在漏做或未做项目，防止不必要的差错；</w:t>
            </w:r>
          </w:p>
          <w:p>
            <w:pPr>
              <w:pageBreakBefore w:val="0"/>
              <w:widowControl/>
              <w:numPr>
                <w:ilvl w:val="0"/>
                <w:numId w:val="61"/>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支持自助打印。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672"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报告查询模块</w:t>
            </w:r>
          </w:p>
        </w:tc>
        <w:tc>
          <w:tcPr>
            <w:tcW w:w="7739" w:type="dxa"/>
            <w:vAlign w:val="center"/>
          </w:tcPr>
          <w:p>
            <w:pPr>
              <w:pageBreakBefore w:val="0"/>
              <w:widowControl/>
              <w:numPr>
                <w:ilvl w:val="0"/>
                <w:numId w:val="62"/>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可按多种索引、关键字查询统计。查询结果可导出成EXCEL等多种格式。</w:t>
            </w:r>
          </w:p>
          <w:p>
            <w:pPr>
              <w:pageBreakBefore w:val="0"/>
              <w:widowControl/>
              <w:numPr>
                <w:ilvl w:val="0"/>
                <w:numId w:val="62"/>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根据权限不同，可进行跨检验专业组的报告查询。</w:t>
            </w:r>
          </w:p>
          <w:p>
            <w:pPr>
              <w:pageBreakBefore w:val="0"/>
              <w:widowControl/>
              <w:numPr>
                <w:ilvl w:val="0"/>
                <w:numId w:val="62"/>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支持阳性报告的查询，并可按照固定格式进行导出和打印。</w:t>
            </w:r>
          </w:p>
          <w:p>
            <w:pPr>
              <w:pageBreakBefore w:val="0"/>
              <w:widowControl/>
              <w:numPr>
                <w:ilvl w:val="0"/>
                <w:numId w:val="62"/>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检验总汇表查询，并可按照固定格式进行导出和打印。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672"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微生物专业检验</w:t>
            </w:r>
          </w:p>
        </w:tc>
        <w:tc>
          <w:tcPr>
            <w:tcW w:w="7739" w:type="dxa"/>
            <w:vAlign w:val="center"/>
          </w:tcPr>
          <w:p>
            <w:pPr>
              <w:pageBreakBefore w:val="0"/>
              <w:widowControl/>
              <w:numPr>
                <w:ilvl w:val="0"/>
                <w:numId w:val="63"/>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针对微生物检测中定性描述多的特点，设计专业的检验流程、结果录入模板和检验报告单。</w:t>
            </w:r>
          </w:p>
          <w:p>
            <w:pPr>
              <w:pageBreakBefore w:val="0"/>
              <w:widowControl/>
              <w:numPr>
                <w:ilvl w:val="0"/>
                <w:numId w:val="63"/>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设置各种分类短语：可设置细菌分类以及不同分类下的细菌名称与输入快捷码；设置细菌培养的描述性短语，供技师快速调用；设置抗生素的分类名称、输入快捷码、默认抗生素、自动判定规则；设置不同抗生素的单位、高低值、参考值范围等；设置不同抗生素的使用方法、血药浓度、尿药浓度等。</w:t>
            </w:r>
          </w:p>
          <w:p>
            <w:pPr>
              <w:pageBreakBefore w:val="0"/>
              <w:widowControl/>
              <w:numPr>
                <w:ilvl w:val="0"/>
                <w:numId w:val="63"/>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可对患者历史药敏结果进行对比显示，可自动判断药敏：在审核阳性报告时，能增加简单的专家系统，对常见细菌的少见药敏结果提出警告。</w:t>
            </w:r>
          </w:p>
          <w:p>
            <w:pPr>
              <w:pageBreakBefore w:val="0"/>
              <w:widowControl/>
              <w:numPr>
                <w:ilvl w:val="0"/>
                <w:numId w:val="63"/>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批量阴性报告：批量报告阴性结果，如“无细菌生长”等。</w:t>
            </w:r>
          </w:p>
          <w:p>
            <w:pPr>
              <w:pageBreakBefore w:val="0"/>
              <w:widowControl/>
              <w:numPr>
                <w:ilvl w:val="0"/>
                <w:numId w:val="63"/>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专业定制微生物检验报告打印模板。</w:t>
            </w:r>
          </w:p>
          <w:p>
            <w:pPr>
              <w:pageBreakBefore w:val="0"/>
              <w:widowControl/>
              <w:numPr>
                <w:ilvl w:val="0"/>
                <w:numId w:val="63"/>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能进行每天、每月、每年科室送检标本类型、数量、送检目的、阳性率、耐药率的分类统计或总体统计功能。</w:t>
            </w:r>
          </w:p>
          <w:p>
            <w:pPr>
              <w:pageBreakBefore w:val="0"/>
              <w:widowControl/>
              <w:numPr>
                <w:ilvl w:val="0"/>
                <w:numId w:val="63"/>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支持微生物相关的样本阴阳性统计分析，药敏统计分析和细菌统计分析，细菌分布，细菌交叉分布分析，细菌分布趋势，抗生素敏感趋势，培养描述分布，以及分析报告的发布，提供相应的柱状图及饼状图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672"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通讯接口模块</w:t>
            </w:r>
          </w:p>
        </w:tc>
        <w:tc>
          <w:tcPr>
            <w:tcW w:w="7739" w:type="dxa"/>
            <w:vAlign w:val="center"/>
          </w:tcPr>
          <w:p>
            <w:pPr>
              <w:pageBreakBefore w:val="0"/>
              <w:widowControl/>
              <w:numPr>
                <w:ilvl w:val="0"/>
                <w:numId w:val="64"/>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支持检验仪器的单向通讯，可自动接收仪器检验结果。</w:t>
            </w:r>
          </w:p>
          <w:p>
            <w:pPr>
              <w:pageBreakBefore w:val="0"/>
              <w:widowControl/>
              <w:numPr>
                <w:ilvl w:val="0"/>
                <w:numId w:val="64"/>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支持检验仪器的双向通讯，对大型的生化、免疫类仪器，可以支持无固定位置的放置检验样本，而仪器通过扫描样本条码，直接从LIS系统读取检验项目，减少人工设置的工作量。</w:t>
            </w:r>
          </w:p>
          <w:p>
            <w:pPr>
              <w:pageBreakBefore w:val="0"/>
              <w:widowControl/>
              <w:numPr>
                <w:ilvl w:val="0"/>
                <w:numId w:val="64"/>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支持数据交换，可将本系统的数据形成文件，或者读入其他系统的数据文件。</w:t>
            </w:r>
          </w:p>
          <w:p>
            <w:pPr>
              <w:pageBreakBefore w:val="0"/>
              <w:widowControl/>
              <w:numPr>
                <w:ilvl w:val="0"/>
                <w:numId w:val="64"/>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LIS与仪器通讯时，醒目标识提醒技师。</w:t>
            </w:r>
          </w:p>
          <w:p>
            <w:pPr>
              <w:pageBreakBefore w:val="0"/>
              <w:widowControl/>
              <w:numPr>
                <w:ilvl w:val="0"/>
                <w:numId w:val="64"/>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通讯诊断，对应通讯故障时的诊断功能。</w:t>
            </w:r>
          </w:p>
          <w:p>
            <w:pPr>
              <w:pageBreakBefore w:val="0"/>
              <w:widowControl/>
              <w:numPr>
                <w:ilvl w:val="0"/>
                <w:numId w:val="64"/>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提供试管打包机接口程序，支持不同厂家的试管打包机连接到LIS系统，可以把不同小组，不同设备所做的样本自动分开，针对不同采样信息自动进行样本采集的准备。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672"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LIS接口模块</w:t>
            </w:r>
          </w:p>
        </w:tc>
        <w:tc>
          <w:tcPr>
            <w:tcW w:w="7739" w:type="dxa"/>
            <w:vAlign w:val="center"/>
          </w:tcPr>
          <w:p>
            <w:pPr>
              <w:pageBreakBefore w:val="0"/>
              <w:widowControl/>
              <w:numPr>
                <w:ilvl w:val="0"/>
                <w:numId w:val="65"/>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LIS系统从医院信息化系统数据库中得到病人的基础信息如病人姓名、性别、民族、科室等。</w:t>
            </w:r>
          </w:p>
          <w:p>
            <w:pPr>
              <w:pageBreakBefore w:val="0"/>
              <w:widowControl/>
              <w:numPr>
                <w:ilvl w:val="0"/>
                <w:numId w:val="65"/>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LIS系统从医院信息化系统数据库中得到病人的医嘱检验项目信息。</w:t>
            </w:r>
          </w:p>
          <w:p>
            <w:pPr>
              <w:pageBreakBefore w:val="0"/>
              <w:widowControl/>
              <w:numPr>
                <w:ilvl w:val="0"/>
                <w:numId w:val="65"/>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LIS系统向医院信息化系统返回医嘱检验项目信息的状态如记费状态，确认费用，退费信息。</w:t>
            </w:r>
          </w:p>
          <w:p>
            <w:pPr>
              <w:pageBreakBefore w:val="0"/>
              <w:widowControl/>
              <w:numPr>
                <w:ilvl w:val="0"/>
                <w:numId w:val="65"/>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LIS系统向医院信息化系统返回检验结果信息。</w:t>
            </w:r>
          </w:p>
          <w:p>
            <w:pPr>
              <w:pageBreakBefore w:val="0"/>
              <w:widowControl/>
              <w:numPr>
                <w:ilvl w:val="0"/>
                <w:numId w:val="6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LIS与医院信息化系统之间可以采用HL7标准进行接口设计。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672"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设备管理模块</w:t>
            </w:r>
          </w:p>
        </w:tc>
        <w:tc>
          <w:tcPr>
            <w:tcW w:w="7739" w:type="dxa"/>
            <w:vAlign w:val="center"/>
          </w:tcPr>
          <w:p>
            <w:pPr>
              <w:pageBreakBefore w:val="0"/>
              <w:widowControl/>
              <w:numPr>
                <w:ilvl w:val="0"/>
                <w:numId w:val="66"/>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设备维护信息管理：对设备的维护包括维修、保养、校验、申请报废的记录的添加、修改、删除等功能。</w:t>
            </w:r>
          </w:p>
          <w:p>
            <w:pPr>
              <w:pageBreakBefore w:val="0"/>
              <w:widowControl/>
              <w:numPr>
                <w:ilvl w:val="0"/>
                <w:numId w:val="66"/>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维修信息包括设备名称、维修日期、维修费用、维修单位、维修人、维修人电话、负责人等信息。</w:t>
            </w:r>
          </w:p>
          <w:p>
            <w:pPr>
              <w:pageBreakBefore w:val="0"/>
              <w:widowControl/>
              <w:numPr>
                <w:ilvl w:val="0"/>
                <w:numId w:val="66"/>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保养信息包括设备名称、保养日期、保养费用、保养单位、保养人、保养电话、负责人等信息。</w:t>
            </w:r>
          </w:p>
          <w:p>
            <w:pPr>
              <w:pageBreakBefore w:val="0"/>
              <w:widowControl/>
              <w:numPr>
                <w:ilvl w:val="0"/>
                <w:numId w:val="66"/>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校验信息包括设备名称、校验日期、校验费用、校验单位、校验人、校验人电话、负责人等信息。</w:t>
            </w:r>
          </w:p>
          <w:p>
            <w:pPr>
              <w:pageBreakBefore w:val="0"/>
              <w:widowControl/>
              <w:numPr>
                <w:ilvl w:val="0"/>
                <w:numId w:val="66"/>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报废信息包括设备名称、报废原因、报废申请人、报废申请时间等信息。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672"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质控管理模块</w:t>
            </w:r>
          </w:p>
        </w:tc>
        <w:tc>
          <w:tcPr>
            <w:tcW w:w="7739" w:type="dxa"/>
            <w:vAlign w:val="center"/>
          </w:tcPr>
          <w:p>
            <w:pPr>
              <w:pageBreakBefore w:val="0"/>
              <w:widowControl/>
              <w:numPr>
                <w:ilvl w:val="0"/>
                <w:numId w:val="67"/>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质控批号设置：对质控批号的增加、修改删除等功能。</w:t>
            </w:r>
          </w:p>
          <w:p>
            <w:pPr>
              <w:pageBreakBefore w:val="0"/>
              <w:widowControl/>
              <w:numPr>
                <w:ilvl w:val="0"/>
                <w:numId w:val="67"/>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质控项目设置：对质控项目的增加、修改、删除等功能。项目参数包括项目编码、项目名称、打印顺序、是否启用等功能。</w:t>
            </w:r>
          </w:p>
          <w:p>
            <w:pPr>
              <w:pageBreakBefore w:val="0"/>
              <w:widowControl/>
              <w:numPr>
                <w:ilvl w:val="0"/>
                <w:numId w:val="67"/>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质控品设置：①根据检验仪器设置质控品 ，每个仪器最多可以设置6个质控品。②质控品详细信息包括质控项目、质控批号、浓度、靶值、SD值、CV值、试剂名称、检验波长、质控方法、参数设置日期、失效日期、当前状态（包括已停用、已删除、正常等状态）等信息。</w:t>
            </w:r>
          </w:p>
          <w:p>
            <w:pPr>
              <w:pageBreakBefore w:val="0"/>
              <w:widowControl/>
              <w:numPr>
                <w:ilvl w:val="0"/>
                <w:numId w:val="67"/>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质控违规设置：用于设置质控项目当违背了某种违则时的提示信息。支持1-2S规则、1-3S规则、2-2s规则、R_4s规则、3_1s规则、4_1s规则、7_T规则、10_S规则等检验规则。每个规则分别可以设置违背违则时的提示信息。</w:t>
            </w:r>
          </w:p>
          <w:p>
            <w:pPr>
              <w:pageBreakBefore w:val="0"/>
              <w:widowControl/>
              <w:numPr>
                <w:ilvl w:val="0"/>
                <w:numId w:val="67"/>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质控图打印设置：系统默认支持A4纵向、A4横向、B5纵向、B5横向打印等四种打印格式。</w:t>
            </w:r>
          </w:p>
          <w:p>
            <w:pPr>
              <w:pageBreakBefore w:val="0"/>
              <w:widowControl/>
              <w:numPr>
                <w:ilvl w:val="0"/>
                <w:numId w:val="67"/>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用于显示支持质控结果与图形。支持Westgrat多规则质控图。</w:t>
            </w:r>
          </w:p>
          <w:p>
            <w:pPr>
              <w:pageBreakBefore w:val="0"/>
              <w:widowControl/>
              <w:numPr>
                <w:ilvl w:val="0"/>
                <w:numId w:val="67"/>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根据质控结果自动绘制各种质控曲线，当数据失控时，系统会自动根据设置的规则进行提示。</w:t>
            </w:r>
          </w:p>
          <w:p>
            <w:pPr>
              <w:pageBreakBefore w:val="0"/>
              <w:widowControl/>
              <w:numPr>
                <w:ilvl w:val="0"/>
                <w:numId w:val="67"/>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同时失控的数据会自动记录系统内部。以作将来查询。质控失控记录包括质控日期、质控品、质控项目、浓度、质控结果、违背的质控规则等信息。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672"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住院护士</w:t>
            </w:r>
          </w:p>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工作站</w:t>
            </w:r>
          </w:p>
        </w:tc>
        <w:tc>
          <w:tcPr>
            <w:tcW w:w="7739" w:type="dxa"/>
            <w:vAlign w:val="center"/>
          </w:tcPr>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条码处理方式设置：系统支持多种条码处理方式，包括预置条码与打印条形码。如果选择了打印条形码方式，可以设定是否有系统自动打印条形码。</w:t>
            </w:r>
          </w:p>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项目类别设置：根据项目的不同类别进行分类，并设置各个类别项目的默认标本、显示的颜色，用来提醒用户在采血中需要注意的事项。</w:t>
            </w:r>
          </w:p>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项目类别关系设置：用来设置项目类别与收费项目之间的关系。</w:t>
            </w:r>
          </w:p>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默认打印机设置：设置分别打印条形码与病人取单凭证时的打印机。</w:t>
            </w:r>
          </w:p>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标本采集：支持预置条码与打印条码两种条码方式。</w:t>
            </w:r>
          </w:p>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支持护士通过录入病人姓名、门诊住院号码或通过刷卡（医院一卡通）,获取病人相信的交费信息。</w:t>
            </w:r>
          </w:p>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支持护士通过扫描条码（预置条码）与病人收费信息自动对应。</w:t>
            </w:r>
          </w:p>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系统自动根据病人交费项目类别自动生成相应的条码（打印条形码）。</w:t>
            </w:r>
          </w:p>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条码打印功能与病人取单凭证的打印功能。</w:t>
            </w:r>
          </w:p>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不同颜色区分病人交费信息的各种状态（未使用、标本已采集、标本已接收等）。</w:t>
            </w:r>
          </w:p>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不同颜色区分病人交费信息的项目类别，并提示该类别应采集的标本类别、采集的标本量。</w:t>
            </w:r>
          </w:p>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标本接收：按开单科室、采集人员、采集时间、条形码等分类查询病人标本信息。</w:t>
            </w:r>
          </w:p>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不同颜色区分病人交费信息的各种状态（未使用、标本已采集、标本已接收等）。</w:t>
            </w:r>
          </w:p>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标本状态查询：按科室、采集时间、采集人员、接收时间、接收人员、标本状态等各种条件进行标本状态跟踪，不同颜色区分病人交费信息的各种状态（未使用、标本已采集、标本已接收等）。</w:t>
            </w:r>
          </w:p>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病人收费信息查询：按最近一月、最近一周、今日、自定义等时间段、按病人来源、开单科室、开单人员、门诊住院号、条形码等分别查询收费信息。不同颜色区分病人交费信息的各种状态（未使用、标本已采集、标本已接收等）。</w:t>
            </w:r>
          </w:p>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报告单查询功能：按最近一月、最近一周、今日、自定义等检验时间段来查询检验报告单。按病人来源、开单科室、开单人员、检验医生、标本类型、检验项目、门诊住院号、病人姓名、条形码等信息查询功能。</w:t>
            </w:r>
          </w:p>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报告单打印功能。</w:t>
            </w:r>
          </w:p>
        </w:tc>
      </w:tr>
    </w:tbl>
    <w:p>
      <w:pPr>
        <w:pStyle w:val="4"/>
        <w:pageBreakBefore w:val="0"/>
        <w:numPr>
          <w:ilvl w:val="0"/>
          <w:numId w:val="0"/>
        </w:numPr>
        <w:kinsoku/>
        <w:wordWrap/>
        <w:overflowPunct/>
        <w:topLinePunct w:val="0"/>
        <w:bidi w:val="0"/>
        <w:spacing w:line="400" w:lineRule="exact"/>
        <w:rPr>
          <w:rFonts w:hint="eastAsia" w:ascii="新宋体" w:hAnsi="新宋体" w:eastAsia="新宋体" w:cs="新宋体"/>
          <w:sz w:val="24"/>
          <w:szCs w:val="24"/>
        </w:rPr>
      </w:pPr>
      <w:bookmarkStart w:id="42" w:name="_Toc3432"/>
      <w:r>
        <w:rPr>
          <w:rFonts w:hint="eastAsia" w:ascii="新宋体" w:hAnsi="新宋体" w:eastAsia="新宋体" w:cs="新宋体"/>
          <w:sz w:val="24"/>
          <w:szCs w:val="24"/>
        </w:rPr>
        <w:t>3.4、医疗质量管理</w:t>
      </w:r>
      <w:bookmarkEnd w:id="42"/>
    </w:p>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43" w:name="_Toc22538"/>
      <w:r>
        <w:rPr>
          <w:rFonts w:hint="eastAsia" w:ascii="新宋体" w:hAnsi="新宋体" w:eastAsia="新宋体" w:cs="新宋体"/>
          <w:sz w:val="24"/>
          <w:szCs w:val="24"/>
        </w:rPr>
        <w:t>3.4.1、不良事件上报系统</w:t>
      </w:r>
      <w:bookmarkEnd w:id="43"/>
    </w:p>
    <w:tbl>
      <w:tblPr>
        <w:tblStyle w:val="26"/>
        <w:tblW w:w="941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773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2"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主要功能</w:t>
            </w:r>
          </w:p>
        </w:tc>
        <w:tc>
          <w:tcPr>
            <w:tcW w:w="7739"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1672"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不良事件上报</w:t>
            </w:r>
          </w:p>
        </w:tc>
        <w:tc>
          <w:tcPr>
            <w:tcW w:w="7739"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1.任何人都可以上报,可以支持匿名上报。</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2.支持上传附件文档。</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3.上报时,如果长时间不响应,应该支持自动保存,以免时间太久,数据丢失。</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4.上报事件分类至少包括以下事件类型,并且可以根据医院的实际需要进行增删,至少包括药物事件，跌倒事件、管路事件、非预期伤口事件、输血事件、麻醉事件、手术事件、检查/检验/病理切片事件、医疗设备器械事件、医院感染事件、公共意外事件、信息安全事件、治安/伤害事件、院内不预期心跳停止事件、职业暴露事件、后勤事件、其他事件等。</w:t>
            </w:r>
          </w:p>
          <w:p>
            <w:pPr>
              <w:pageBreakBefore w:val="0"/>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5.对于暂时不想上报的内容,可以暂存到草稿箱。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672"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不良事件审批流转</w:t>
            </w:r>
          </w:p>
        </w:tc>
        <w:tc>
          <w:tcPr>
            <w:tcW w:w="7739" w:type="dxa"/>
            <w:tcBorders>
              <w:tl2br w:val="nil"/>
              <w:tr2bl w:val="nil"/>
            </w:tcBorders>
            <w:vAlign w:val="center"/>
          </w:tcPr>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1.用户登录后,可以根据权限的设置,仅仅查阅或者审批自己权限范围内的报告。</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2.对于审批者或者查阅者,系统能自动提醒,包括离线提醒和在线提醒。</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3.不良事件内容的打印,支持导出PDF文件,或者直接打印。</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4.药品\器械\输血,可以根据国家标准格式,导出word文档。</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5.对于审批的报告,支持退回\转发\抄送等功能。</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6.对于审批的报告,可以进行事发原因的分析。</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7.可以对事件进行跟踪。</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8.可以对事件进行意见的反馈。</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9.对于超期未处理的事件,系统应该能进行相应识别和提醒。</w:t>
            </w:r>
          </w:p>
          <w:p>
            <w:pPr>
              <w:pageBreakBefore w:val="0"/>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sz w:val="24"/>
                <w:szCs w:val="24"/>
              </w:rPr>
              <w:t>10.对于已经结束的报告,可以进行召回,重新流转审批。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672"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不良事件检索</w:t>
            </w:r>
          </w:p>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p>
        </w:tc>
        <w:tc>
          <w:tcPr>
            <w:tcW w:w="7739"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1.能对于当前用户上报过的报告进行检索。</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2.能对自己查阅\审批权限范围内的报告,进行检索。</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3.对于自己已经审批处理过的报告进行检索。</w:t>
            </w:r>
          </w:p>
          <w:p>
            <w:pPr>
              <w:pageBreakBefore w:val="0"/>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4.对于自己未处理或者待处理的报告进行检索。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672"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不良事件统计</w:t>
            </w:r>
          </w:p>
        </w:tc>
        <w:tc>
          <w:tcPr>
            <w:tcW w:w="7739"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1.根据检索条件,对事件的数量进行统计,并能形成各类报表,包括但不仅限于柱状图\饼图\折线图等。</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2.年月累计统计,可以按照年度,进行统计,形成各类趋势图。</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3.深层原因统计,根据选择的表单种类,对于其中的选择输入项目,进行统计,展现其各类趋势。</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4. 交叉类统计,用户可以自定义选择任意两个指标作为交叉统计的横纵坐标,进行交叉统计。</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5.指标统计,根据医院等级评审的要求,对于一些考核指标,进行统计,并生成相应的报表,便于用户在等级评审是直接使用。</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6.上报及时率的统计,根据事发时间以及上报时间,参照各类事件的上报期限,统计出各类事件的上报及时率,便于管理者参照。</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7.可以根据事件类型、发生部门等指标，进行同比的统计。</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8.可以根据事件类型、发生部门等指标，进行环比的统计。</w:t>
            </w:r>
          </w:p>
          <w:p>
            <w:pPr>
              <w:pageBreakBefore w:val="0"/>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9.综合统计报告功能，系统应该根据相关条件（时间段、部门、报告种类等），进行自动分析汇总，按照月报、季报、年报的格式进行展示，从事件分布、事发原因分析、改进对策等纬度进行汇总，为管理提供便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672"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不良事件汇总</w:t>
            </w:r>
          </w:p>
        </w:tc>
        <w:tc>
          <w:tcPr>
            <w:tcW w:w="7739"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1.根据不同种类报告,用户可以自己选择汇总哪些列,从而根据设定的条件,进行事件的汇总,并能导出excel文件。</w:t>
            </w:r>
          </w:p>
          <w:p>
            <w:pPr>
              <w:pageBreakBefore w:val="0"/>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2.每个报告从上报到审批处置完毕,从管理上都有一个时限的要求,根据这个要求,进行汇总,看哪些报告已经超越时限了。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672"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辅助功能</w:t>
            </w:r>
          </w:p>
        </w:tc>
        <w:tc>
          <w:tcPr>
            <w:tcW w:w="7739"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1.在线提醒功能,对于需要审批处理的\或者被退回重写的报告,或者是有权限查阅的报告,都可以通过提醒功能提醒到相关用户(需要登陆到系统) 。</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2 .离线的提醒(不用登陆系统,只要电脑开着就能提醒)方式。</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3.流程管理,对于每一类的事件,都可以定义一个管理上的审批流程,以便于用户执行个性化的管理。</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4.报告管理,主要是可以临时增加某一个报告的审批者,对于一些权限配置有误,或者人员的岗位变更引起的权限不足的情况下,可以通过临时增加某一个人的权限,从而使当前报告能快速流畅的流转下去。</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5.权限的同步,针对人员的权限的变更,为了保证其权限变更后,能对已经启动的报告(流程已经开始)能及时介入,从而使用权限同步功能,达到抛弃旧权限,适用新权限。</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6.品管工具，系统提供鱼骨图和柏拉图的自动生成工具，为医院工作者提供制作图形的便利工具。</w:t>
            </w:r>
          </w:p>
          <w:p>
            <w:pPr>
              <w:pageBreakBefore w:val="0"/>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7.无效报告的排除功能，不良事件上报重复，或者上报了一些非不良事件报告的情况下，管理者可以进行排除，排除后的事件，不再统计进各类结果中。</w:t>
            </w:r>
          </w:p>
        </w:tc>
      </w:tr>
    </w:tbl>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44" w:name="_Toc29013"/>
      <w:r>
        <w:rPr>
          <w:rFonts w:hint="eastAsia" w:ascii="新宋体" w:hAnsi="新宋体" w:eastAsia="新宋体" w:cs="新宋体"/>
          <w:sz w:val="24"/>
          <w:szCs w:val="24"/>
        </w:rPr>
        <w:t>3.4.2、抗菌药物管理系统</w:t>
      </w:r>
      <w:bookmarkEnd w:id="44"/>
    </w:p>
    <w:tbl>
      <w:tblPr>
        <w:tblStyle w:val="26"/>
        <w:tblW w:w="9397"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702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tcBorders>
              <w:tl2br w:val="nil"/>
              <w:tr2bl w:val="nil"/>
            </w:tcBorders>
          </w:tcPr>
          <w:p>
            <w:pPr>
              <w:pageBreakBefore w:val="0"/>
              <w:kinsoku/>
              <w:wordWrap/>
              <w:overflowPunct/>
              <w:topLinePunct w:val="0"/>
              <w:bidi w:val="0"/>
              <w:spacing w:line="400" w:lineRule="exact"/>
              <w:ind w:firstLine="562"/>
              <w:rPr>
                <w:rFonts w:hint="eastAsia" w:ascii="新宋体" w:hAnsi="新宋体" w:eastAsia="新宋体" w:cs="新宋体"/>
                <w:b/>
                <w:sz w:val="24"/>
                <w:szCs w:val="24"/>
              </w:rPr>
            </w:pPr>
            <w:r>
              <w:rPr>
                <w:rFonts w:hint="eastAsia" w:ascii="新宋体" w:hAnsi="新宋体" w:eastAsia="新宋体" w:cs="新宋体"/>
                <w:b/>
                <w:sz w:val="24"/>
                <w:szCs w:val="24"/>
              </w:rPr>
              <w:t>主要功能</w:t>
            </w:r>
          </w:p>
        </w:tc>
        <w:tc>
          <w:tcPr>
            <w:tcW w:w="7021" w:type="dxa"/>
            <w:tcBorders>
              <w:tl2br w:val="nil"/>
              <w:tr2bl w:val="nil"/>
            </w:tcBorders>
          </w:tcPr>
          <w:p>
            <w:pPr>
              <w:pageBreakBefore w:val="0"/>
              <w:kinsoku/>
              <w:wordWrap/>
              <w:overflowPunct/>
              <w:topLinePunct w:val="0"/>
              <w:bidi w:val="0"/>
              <w:spacing w:line="400" w:lineRule="exact"/>
              <w:ind w:firstLine="562"/>
              <w:jc w:val="center"/>
              <w:rPr>
                <w:rFonts w:hint="eastAsia" w:ascii="新宋体" w:hAnsi="新宋体" w:eastAsia="新宋体" w:cs="新宋体"/>
                <w:b/>
                <w:sz w:val="24"/>
                <w:szCs w:val="24"/>
              </w:rPr>
            </w:pPr>
            <w:r>
              <w:rPr>
                <w:rFonts w:hint="eastAsia" w:ascii="新宋体" w:hAnsi="新宋体" w:eastAsia="新宋体" w:cs="新宋体"/>
                <w:b/>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tcBorders>
              <w:tl2br w:val="nil"/>
              <w:tr2bl w:val="nil"/>
            </w:tcBorders>
            <w:vAlign w:val="center"/>
          </w:tcPr>
          <w:p>
            <w:pPr>
              <w:pageBreakBefore w:val="0"/>
              <w:kinsoku/>
              <w:wordWrap/>
              <w:overflowPunct/>
              <w:topLinePunct w:val="0"/>
              <w:bidi w:val="0"/>
              <w:spacing w:line="4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抗生素分级管理</w:t>
            </w:r>
          </w:p>
        </w:tc>
        <w:tc>
          <w:tcPr>
            <w:tcW w:w="7021" w:type="dxa"/>
            <w:tcBorders>
              <w:tl2br w:val="nil"/>
              <w:tr2bl w:val="nil"/>
            </w:tcBorders>
          </w:tcPr>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1、抗生素药品定义；</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2、医师权限维护；</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3、抗生素使用申请、审批；</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4、按不同条件统计抗菌药物使用率、金额比例、使用强度；</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5、抗菌药物消耗明细查询。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tcBorders>
              <w:tl2br w:val="nil"/>
              <w:tr2bl w:val="nil"/>
            </w:tcBorders>
            <w:vAlign w:val="center"/>
          </w:tcPr>
          <w:p>
            <w:pPr>
              <w:pageBreakBefore w:val="0"/>
              <w:kinsoku/>
              <w:wordWrap/>
              <w:overflowPunct/>
              <w:topLinePunct w:val="0"/>
              <w:bidi w:val="0"/>
              <w:spacing w:line="4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基本药物统计</w:t>
            </w:r>
          </w:p>
        </w:tc>
        <w:tc>
          <w:tcPr>
            <w:tcW w:w="7021" w:type="dxa"/>
            <w:tcBorders>
              <w:tl2br w:val="nil"/>
              <w:tr2bl w:val="nil"/>
            </w:tcBorders>
          </w:tcPr>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1、国家、省级、二级以上医疗机构、省增补基本药物定义；</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2、基本药物消耗明细、汇总统计；</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3、基本药物入、出库统计；</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4、基本药物库存统计；</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5、基本药物配备使用情况统计；</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6、基本药物销售前十统计；</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7、基本药物销售统计（按科室、按医生）</w:t>
            </w:r>
          </w:p>
        </w:tc>
      </w:tr>
    </w:tbl>
    <w:p>
      <w:pPr>
        <w:pStyle w:val="5"/>
        <w:pageBreakBefore w:val="0"/>
        <w:numPr>
          <w:ilvl w:val="0"/>
          <w:numId w:val="0"/>
        </w:numPr>
        <w:kinsoku/>
        <w:wordWrap/>
        <w:overflowPunct/>
        <w:topLinePunct w:val="0"/>
        <w:bidi w:val="0"/>
        <w:spacing w:line="400" w:lineRule="exact"/>
        <w:rPr>
          <w:rFonts w:hint="eastAsia" w:ascii="新宋体" w:hAnsi="新宋体" w:eastAsia="新宋体" w:cs="新宋体"/>
          <w:sz w:val="24"/>
          <w:szCs w:val="24"/>
        </w:rPr>
      </w:pPr>
      <w:bookmarkStart w:id="45" w:name="_Toc30547"/>
      <w:r>
        <w:rPr>
          <w:rFonts w:hint="eastAsia" w:ascii="新宋体" w:hAnsi="新宋体" w:eastAsia="新宋体" w:cs="新宋体"/>
          <w:sz w:val="24"/>
          <w:szCs w:val="24"/>
        </w:rPr>
        <w:t>3.4.3、物资管理系统</w:t>
      </w:r>
      <w:bookmarkEnd w:id="45"/>
    </w:p>
    <w:tbl>
      <w:tblPr>
        <w:tblStyle w:val="26"/>
        <w:tblW w:w="9397"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702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tcBorders>
              <w:tl2br w:val="nil"/>
              <w:tr2bl w:val="nil"/>
            </w:tcBorders>
          </w:tcPr>
          <w:p>
            <w:pPr>
              <w:pageBreakBefore w:val="0"/>
              <w:kinsoku/>
              <w:wordWrap/>
              <w:overflowPunct/>
              <w:topLinePunct w:val="0"/>
              <w:bidi w:val="0"/>
              <w:spacing w:line="400" w:lineRule="exact"/>
              <w:ind w:firstLine="562"/>
              <w:rPr>
                <w:rFonts w:hint="eastAsia" w:ascii="新宋体" w:hAnsi="新宋体" w:eastAsia="新宋体" w:cs="新宋体"/>
                <w:b/>
                <w:sz w:val="24"/>
                <w:szCs w:val="24"/>
              </w:rPr>
            </w:pPr>
            <w:r>
              <w:rPr>
                <w:rFonts w:hint="eastAsia" w:ascii="新宋体" w:hAnsi="新宋体" w:eastAsia="新宋体" w:cs="新宋体"/>
                <w:b/>
                <w:sz w:val="24"/>
                <w:szCs w:val="24"/>
              </w:rPr>
              <w:t>主要功能</w:t>
            </w:r>
          </w:p>
        </w:tc>
        <w:tc>
          <w:tcPr>
            <w:tcW w:w="7021" w:type="dxa"/>
            <w:tcBorders>
              <w:tl2br w:val="nil"/>
              <w:tr2bl w:val="nil"/>
            </w:tcBorders>
          </w:tcPr>
          <w:p>
            <w:pPr>
              <w:pageBreakBefore w:val="0"/>
              <w:kinsoku/>
              <w:wordWrap/>
              <w:overflowPunct/>
              <w:topLinePunct w:val="0"/>
              <w:bidi w:val="0"/>
              <w:spacing w:line="400" w:lineRule="exact"/>
              <w:ind w:firstLine="562"/>
              <w:jc w:val="center"/>
              <w:rPr>
                <w:rFonts w:hint="eastAsia" w:ascii="新宋体" w:hAnsi="新宋体" w:eastAsia="新宋体" w:cs="新宋体"/>
                <w:b/>
                <w:sz w:val="24"/>
                <w:szCs w:val="24"/>
              </w:rPr>
            </w:pPr>
            <w:r>
              <w:rPr>
                <w:rFonts w:hint="eastAsia" w:ascii="新宋体" w:hAnsi="新宋体" w:eastAsia="新宋体" w:cs="新宋体"/>
                <w:b/>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tcBorders>
              <w:tl2br w:val="nil"/>
              <w:tr2bl w:val="nil"/>
            </w:tcBorders>
            <w:vAlign w:val="center"/>
          </w:tcPr>
          <w:p>
            <w:pPr>
              <w:pageBreakBefore w:val="0"/>
              <w:kinsoku/>
              <w:wordWrap/>
              <w:overflowPunct/>
              <w:topLinePunct w:val="0"/>
              <w:bidi w:val="0"/>
              <w:spacing w:line="4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物资管理系统</w:t>
            </w:r>
          </w:p>
        </w:tc>
        <w:tc>
          <w:tcPr>
            <w:tcW w:w="7021" w:type="dxa"/>
            <w:tcBorders>
              <w:tl2br w:val="nil"/>
              <w:tr2bl w:val="nil"/>
            </w:tcBorders>
          </w:tcPr>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物资管理系统主要是流程化管理各种（如低值易耗、卫生材料等，由医院自己维护和分配）物资的出入库、出库及退货处理、采购管理、库存管理及盘点、报增报损、调价管理等，提供日常查询、各种统计报表的打印、字典的维护等常规工具，需具备以下功能：</w:t>
            </w:r>
          </w:p>
          <w:p>
            <w:pPr>
              <w:pageBreakBefore w:val="0"/>
              <w:kinsoku/>
              <w:wordWrap/>
              <w:overflowPunct/>
              <w:topLinePunct w:val="0"/>
              <w:bidi w:val="0"/>
              <w:snapToGrid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1.提供字典库维护功能键，并能按常用项目进行归类。</w:t>
            </w:r>
          </w:p>
          <w:p>
            <w:pPr>
              <w:pageBreakBefore w:val="0"/>
              <w:kinsoku/>
              <w:wordWrap/>
              <w:overflowPunct/>
              <w:topLinePunct w:val="0"/>
              <w:bidi w:val="0"/>
              <w:snapToGrid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2.有库存量提示功能；</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3.录入、采购计划单编辑查询功能； </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4.库存量查询打印功能；</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5.库存分类汇总打印功能；</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6.科室领用汇总打印功能；</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7.出入库情况汇总打印功能；</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8.采购结算统计打印功能；</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9.物资管理月报、年报报表打印功能；</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10.物资管理字典维护功能；</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11.系统初始化管理功能；</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12.用户权限管理功能；</w:t>
            </w:r>
          </w:p>
        </w:tc>
      </w:tr>
    </w:tbl>
    <w:p>
      <w:pPr>
        <w:pStyle w:val="5"/>
        <w:pageBreakBefore w:val="0"/>
        <w:numPr>
          <w:ilvl w:val="0"/>
          <w:numId w:val="0"/>
        </w:numPr>
        <w:kinsoku/>
        <w:wordWrap/>
        <w:overflowPunct/>
        <w:topLinePunct w:val="0"/>
        <w:bidi w:val="0"/>
        <w:spacing w:line="400" w:lineRule="exact"/>
        <w:rPr>
          <w:rFonts w:hint="eastAsia" w:ascii="新宋体" w:hAnsi="新宋体" w:eastAsia="新宋体" w:cs="新宋体"/>
          <w:sz w:val="24"/>
          <w:szCs w:val="24"/>
        </w:rPr>
      </w:pPr>
      <w:bookmarkStart w:id="46" w:name="_Toc30574"/>
      <w:r>
        <w:rPr>
          <w:rFonts w:hint="eastAsia" w:ascii="新宋体" w:hAnsi="新宋体" w:eastAsia="新宋体" w:cs="新宋体"/>
          <w:sz w:val="24"/>
          <w:szCs w:val="24"/>
        </w:rPr>
        <w:t>3.4.4、设备管理系统</w:t>
      </w:r>
      <w:bookmarkEnd w:id="46"/>
    </w:p>
    <w:tbl>
      <w:tblPr>
        <w:tblStyle w:val="26"/>
        <w:tblW w:w="9397"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702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tcBorders>
              <w:tl2br w:val="nil"/>
              <w:tr2bl w:val="nil"/>
            </w:tcBorders>
          </w:tcPr>
          <w:p>
            <w:pPr>
              <w:pageBreakBefore w:val="0"/>
              <w:kinsoku/>
              <w:wordWrap/>
              <w:overflowPunct/>
              <w:topLinePunct w:val="0"/>
              <w:bidi w:val="0"/>
              <w:spacing w:line="400" w:lineRule="exact"/>
              <w:ind w:firstLine="562"/>
              <w:rPr>
                <w:rFonts w:hint="eastAsia" w:ascii="新宋体" w:hAnsi="新宋体" w:eastAsia="新宋体" w:cs="新宋体"/>
                <w:b/>
                <w:sz w:val="24"/>
                <w:szCs w:val="24"/>
              </w:rPr>
            </w:pPr>
            <w:r>
              <w:rPr>
                <w:rFonts w:hint="eastAsia" w:ascii="新宋体" w:hAnsi="新宋体" w:eastAsia="新宋体" w:cs="新宋体"/>
                <w:b/>
                <w:sz w:val="24"/>
                <w:szCs w:val="24"/>
              </w:rPr>
              <w:t>主要功能</w:t>
            </w:r>
          </w:p>
        </w:tc>
        <w:tc>
          <w:tcPr>
            <w:tcW w:w="7021" w:type="dxa"/>
            <w:tcBorders>
              <w:tl2br w:val="nil"/>
              <w:tr2bl w:val="nil"/>
            </w:tcBorders>
          </w:tcPr>
          <w:p>
            <w:pPr>
              <w:pageBreakBefore w:val="0"/>
              <w:kinsoku/>
              <w:wordWrap/>
              <w:overflowPunct/>
              <w:topLinePunct w:val="0"/>
              <w:bidi w:val="0"/>
              <w:spacing w:line="400" w:lineRule="exact"/>
              <w:ind w:firstLine="562"/>
              <w:jc w:val="center"/>
              <w:rPr>
                <w:rFonts w:hint="eastAsia" w:ascii="新宋体" w:hAnsi="新宋体" w:eastAsia="新宋体" w:cs="新宋体"/>
                <w:b/>
                <w:sz w:val="24"/>
                <w:szCs w:val="24"/>
              </w:rPr>
            </w:pPr>
            <w:r>
              <w:rPr>
                <w:rFonts w:hint="eastAsia" w:ascii="新宋体" w:hAnsi="新宋体" w:eastAsia="新宋体" w:cs="新宋体"/>
                <w:b/>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1" w:hRule="atLeast"/>
          <w:jc w:val="center"/>
        </w:trPr>
        <w:tc>
          <w:tcPr>
            <w:tcW w:w="2376" w:type="dxa"/>
            <w:tcBorders>
              <w:tl2br w:val="nil"/>
              <w:tr2bl w:val="nil"/>
            </w:tcBorders>
            <w:vAlign w:val="center"/>
          </w:tcPr>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设备（仪器）管理</w:t>
            </w:r>
          </w:p>
        </w:tc>
        <w:tc>
          <w:tcPr>
            <w:tcW w:w="7021" w:type="dxa"/>
            <w:tcBorders>
              <w:tl2br w:val="nil"/>
              <w:tr2bl w:val="nil"/>
            </w:tcBorders>
          </w:tcPr>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1、整体说明：完成设备的登记、使用、维修、折旧、转移、报废管理。</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2、档案管理：根据设备（仪器）分类进行编码，并输入设备（仪器）的其它一些基本信息。</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3、使用管理：定期输入设备（仪器）使用情况表（包括一、二类贵重设备（仪器）），以便进行使用率、完好率统计及设备（仪器）效益分析。</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4、仪器转移：用于处理设备（仪器）从一个使用单位到另一个使用单位转移的情况。</w:t>
            </w:r>
          </w:p>
          <w:p>
            <w:pPr>
              <w:pageBreakBefore w:val="0"/>
              <w:kinsoku/>
              <w:wordWrap/>
              <w:overflowPunct/>
              <w:topLinePunct w:val="0"/>
              <w:bidi w:val="0"/>
              <w:adjustRightInd w:val="0"/>
              <w:spacing w:line="400" w:lineRule="exact"/>
              <w:textAlignment w:val="baseline"/>
              <w:rPr>
                <w:rFonts w:hint="eastAsia" w:ascii="新宋体" w:hAnsi="新宋体" w:eastAsia="新宋体" w:cs="新宋体"/>
                <w:sz w:val="24"/>
                <w:szCs w:val="24"/>
              </w:rPr>
            </w:pPr>
            <w:r>
              <w:rPr>
                <w:rFonts w:hint="eastAsia" w:ascii="新宋体" w:hAnsi="新宋体" w:eastAsia="新宋体" w:cs="新宋体"/>
                <w:sz w:val="24"/>
                <w:szCs w:val="24"/>
              </w:rPr>
              <w:t>5、仪器报废：用于处理设备（仪器）报废情况，转移报废设备（仪器）基本资料等。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tcBorders>
              <w:tl2br w:val="nil"/>
              <w:tr2bl w:val="nil"/>
            </w:tcBorders>
            <w:vAlign w:val="center"/>
          </w:tcPr>
          <w:p>
            <w:pPr>
              <w:pStyle w:val="4"/>
              <w:pageBreakBefore w:val="0"/>
              <w:kinsoku/>
              <w:wordWrap/>
              <w:overflowPunct/>
              <w:topLinePunct w:val="0"/>
              <w:bidi w:val="0"/>
              <w:spacing w:before="240" w:after="120" w:line="400" w:lineRule="exact"/>
              <w:rPr>
                <w:rFonts w:hint="eastAsia" w:ascii="新宋体" w:hAnsi="新宋体" w:eastAsia="新宋体" w:cs="新宋体"/>
                <w:sz w:val="24"/>
                <w:szCs w:val="24"/>
                <w:shd w:val="pct10" w:color="auto" w:fill="FFFFFF"/>
              </w:rPr>
            </w:pP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报表管理及数据分析</w:t>
            </w:r>
          </w:p>
          <w:p>
            <w:pPr>
              <w:pageBreakBefore w:val="0"/>
              <w:kinsoku/>
              <w:wordWrap/>
              <w:overflowPunct/>
              <w:topLinePunct w:val="0"/>
              <w:bidi w:val="0"/>
              <w:spacing w:line="400" w:lineRule="exact"/>
              <w:jc w:val="center"/>
              <w:rPr>
                <w:rFonts w:hint="eastAsia" w:ascii="新宋体" w:hAnsi="新宋体" w:eastAsia="新宋体" w:cs="新宋体"/>
                <w:sz w:val="24"/>
                <w:szCs w:val="24"/>
              </w:rPr>
            </w:pPr>
          </w:p>
        </w:tc>
        <w:tc>
          <w:tcPr>
            <w:tcW w:w="7021" w:type="dxa"/>
            <w:tcBorders>
              <w:tl2br w:val="nil"/>
              <w:tr2bl w:val="nil"/>
            </w:tcBorders>
          </w:tcPr>
          <w:p>
            <w:pPr>
              <w:pageBreakBefore w:val="0"/>
              <w:kinsoku/>
              <w:wordWrap/>
              <w:overflowPunct/>
              <w:topLinePunct w:val="0"/>
              <w:bidi w:val="0"/>
              <w:snapToGrid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效益分析报表</w:t>
            </w:r>
          </w:p>
          <w:p>
            <w:pPr>
              <w:pageBreakBefore w:val="0"/>
              <w:kinsoku/>
              <w:wordWrap/>
              <w:overflowPunct/>
              <w:topLinePunct w:val="0"/>
              <w:bidi w:val="0"/>
              <w:snapToGrid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xml:space="preserve">      一类设备（仪器）效益分析报表、二类设备（仪器）效益分析报表</w:t>
            </w:r>
          </w:p>
          <w:p>
            <w:pPr>
              <w:pageBreakBefore w:val="0"/>
              <w:kinsoku/>
              <w:wordWrap/>
              <w:overflowPunct/>
              <w:topLinePunct w:val="0"/>
              <w:bidi w:val="0"/>
              <w:adjustRightInd w:val="0"/>
              <w:spacing w:line="400" w:lineRule="exact"/>
              <w:ind w:firstLine="482"/>
              <w:textAlignment w:val="baseline"/>
              <w:rPr>
                <w:rFonts w:hint="eastAsia" w:ascii="新宋体" w:hAnsi="新宋体" w:eastAsia="新宋体" w:cs="新宋体"/>
                <w:sz w:val="24"/>
                <w:szCs w:val="24"/>
              </w:rPr>
            </w:pPr>
            <w:r>
              <w:rPr>
                <w:rFonts w:hint="eastAsia" w:ascii="新宋体" w:hAnsi="新宋体" w:eastAsia="新宋体" w:cs="新宋体"/>
                <w:sz w:val="24"/>
                <w:szCs w:val="24"/>
              </w:rPr>
              <w:t>用于统计和打印设备（仪器）使用率，完好率及设备（仪器）效益情况。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tcBorders>
              <w:tl2br w:val="nil"/>
              <w:tr2bl w:val="nil"/>
            </w:tcBorders>
            <w:vAlign w:val="center"/>
          </w:tcPr>
          <w:p>
            <w:pPr>
              <w:pageBreakBefore w:val="0"/>
              <w:kinsoku/>
              <w:wordWrap/>
              <w:overflowPunct/>
              <w:topLinePunct w:val="0"/>
              <w:bidi w:val="0"/>
              <w:spacing w:line="4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数据查询</w:t>
            </w:r>
          </w:p>
        </w:tc>
        <w:tc>
          <w:tcPr>
            <w:tcW w:w="7021" w:type="dxa"/>
            <w:tcBorders>
              <w:tl2br w:val="nil"/>
              <w:tr2bl w:val="nil"/>
            </w:tcBorders>
          </w:tcPr>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 设备（仪器）档案查询</w:t>
            </w:r>
          </w:p>
          <w:p>
            <w:pPr>
              <w:pageBreakBefore w:val="0"/>
              <w:kinsoku/>
              <w:wordWrap/>
              <w:overflowPunct/>
              <w:topLinePunct w:val="0"/>
              <w:bidi w:val="0"/>
              <w:adjustRightInd w:val="0"/>
              <w:spacing w:line="400" w:lineRule="exact"/>
              <w:ind w:firstLine="482"/>
              <w:textAlignment w:val="baseline"/>
              <w:rPr>
                <w:rFonts w:hint="eastAsia" w:ascii="新宋体" w:hAnsi="新宋体" w:eastAsia="新宋体" w:cs="新宋体"/>
                <w:sz w:val="24"/>
                <w:szCs w:val="24"/>
              </w:rPr>
            </w:pPr>
            <w:r>
              <w:rPr>
                <w:rFonts w:hint="eastAsia" w:ascii="新宋体" w:hAnsi="新宋体" w:eastAsia="新宋体" w:cs="新宋体"/>
                <w:sz w:val="24"/>
                <w:szCs w:val="24"/>
              </w:rPr>
              <w:t>功能：查询某一设备（仪器）的详细档案，内容包括：贵重设备（仪器）论证报告，设备（仪器）安装验收报告，设备（仪器）基本信息，维修记录及转移情况等。</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2 设备（仪器）帐查询</w:t>
            </w:r>
          </w:p>
          <w:p>
            <w:pPr>
              <w:pageBreakBefore w:val="0"/>
              <w:kinsoku/>
              <w:wordWrap/>
              <w:overflowPunct/>
              <w:topLinePunct w:val="0"/>
              <w:bidi w:val="0"/>
              <w:adjustRightInd w:val="0"/>
              <w:spacing w:line="400" w:lineRule="exact"/>
              <w:ind w:firstLine="482"/>
              <w:textAlignment w:val="baseline"/>
              <w:rPr>
                <w:rFonts w:hint="eastAsia" w:ascii="新宋体" w:hAnsi="新宋体" w:eastAsia="新宋体" w:cs="新宋体"/>
                <w:sz w:val="24"/>
                <w:szCs w:val="24"/>
              </w:rPr>
            </w:pPr>
            <w:r>
              <w:rPr>
                <w:rFonts w:hint="eastAsia" w:ascii="新宋体" w:hAnsi="新宋体" w:eastAsia="新宋体" w:cs="新宋体"/>
                <w:sz w:val="24"/>
                <w:szCs w:val="24"/>
              </w:rPr>
              <w:t>功能：用于查询医疗设备（仪器）总帐及分类设备（仪器）帐。</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3 科室设备（仪器）查询</w:t>
            </w:r>
          </w:p>
          <w:p>
            <w:pPr>
              <w:pageBreakBefore w:val="0"/>
              <w:kinsoku/>
              <w:wordWrap/>
              <w:overflowPunct/>
              <w:topLinePunct w:val="0"/>
              <w:bidi w:val="0"/>
              <w:adjustRightInd w:val="0"/>
              <w:spacing w:line="400" w:lineRule="exact"/>
              <w:ind w:firstLine="482"/>
              <w:textAlignment w:val="baseline"/>
              <w:rPr>
                <w:rFonts w:hint="eastAsia" w:ascii="新宋体" w:hAnsi="新宋体" w:eastAsia="新宋体" w:cs="新宋体"/>
                <w:sz w:val="24"/>
                <w:szCs w:val="24"/>
              </w:rPr>
            </w:pPr>
            <w:r>
              <w:rPr>
                <w:rFonts w:hint="eastAsia" w:ascii="新宋体" w:hAnsi="新宋体" w:eastAsia="新宋体" w:cs="新宋体"/>
                <w:sz w:val="24"/>
                <w:szCs w:val="24"/>
              </w:rPr>
              <w:t>功能：用于查询全院各科室当前设备（仪器）情况。</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4 按购入金额查询</w:t>
            </w:r>
          </w:p>
          <w:p>
            <w:pPr>
              <w:pageBreakBefore w:val="0"/>
              <w:kinsoku/>
              <w:wordWrap/>
              <w:overflowPunct/>
              <w:topLinePunct w:val="0"/>
              <w:bidi w:val="0"/>
              <w:adjustRightInd w:val="0"/>
              <w:spacing w:line="400" w:lineRule="exact"/>
              <w:ind w:firstLine="482"/>
              <w:textAlignment w:val="baseline"/>
              <w:rPr>
                <w:rFonts w:hint="eastAsia" w:ascii="新宋体" w:hAnsi="新宋体" w:eastAsia="新宋体" w:cs="新宋体"/>
                <w:sz w:val="24"/>
                <w:szCs w:val="24"/>
              </w:rPr>
            </w:pPr>
            <w:r>
              <w:rPr>
                <w:rFonts w:hint="eastAsia" w:ascii="新宋体" w:hAnsi="新宋体" w:eastAsia="新宋体" w:cs="新宋体"/>
                <w:sz w:val="24"/>
                <w:szCs w:val="24"/>
              </w:rPr>
              <w:t>功能：用于查询某一金额范围内的当前设备（仪器）情况。</w:t>
            </w:r>
          </w:p>
        </w:tc>
      </w:tr>
    </w:tbl>
    <w:p>
      <w:pPr>
        <w:pageBreakBefore w:val="0"/>
        <w:kinsoku/>
        <w:wordWrap/>
        <w:overflowPunct/>
        <w:topLinePunct w:val="0"/>
        <w:bidi w:val="0"/>
        <w:spacing w:line="400" w:lineRule="exact"/>
        <w:rPr>
          <w:rFonts w:hint="eastAsia" w:ascii="新宋体" w:hAnsi="新宋体" w:eastAsia="新宋体" w:cs="新宋体"/>
          <w:sz w:val="24"/>
          <w:szCs w:val="24"/>
        </w:rPr>
      </w:pPr>
    </w:p>
    <w:p>
      <w:pPr>
        <w:pageBreakBefore w:val="0"/>
        <w:kinsoku/>
        <w:wordWrap/>
        <w:overflowPunct/>
        <w:topLinePunct w:val="0"/>
        <w:bidi w:val="0"/>
        <w:spacing w:line="400" w:lineRule="exact"/>
        <w:ind w:firstLine="4320" w:firstLineChars="1800"/>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第三标段</w:t>
      </w:r>
    </w:p>
    <w:tbl>
      <w:tblPr>
        <w:tblStyle w:val="26"/>
        <w:tblW w:w="9444" w:type="dxa"/>
        <w:tblInd w:w="0" w:type="dxa"/>
        <w:tblLayout w:type="fixed"/>
        <w:tblCellMar>
          <w:top w:w="0" w:type="dxa"/>
          <w:left w:w="0" w:type="dxa"/>
          <w:bottom w:w="0" w:type="dxa"/>
          <w:right w:w="0" w:type="dxa"/>
        </w:tblCellMar>
      </w:tblPr>
      <w:tblGrid>
        <w:gridCol w:w="743"/>
        <w:gridCol w:w="2070"/>
        <w:gridCol w:w="3718"/>
        <w:gridCol w:w="929"/>
        <w:gridCol w:w="962"/>
        <w:gridCol w:w="1022"/>
      </w:tblGrid>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序号</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货物名称</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技术规格及主要参数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数量</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单位</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是否为核心产品</w:t>
            </w:r>
          </w:p>
        </w:tc>
      </w:tr>
      <w:tr>
        <w:tblPrEx>
          <w:tblLayout w:type="fixed"/>
          <w:tblCellMar>
            <w:top w:w="0" w:type="dxa"/>
            <w:left w:w="0" w:type="dxa"/>
            <w:bottom w:w="0" w:type="dxa"/>
            <w:right w:w="0" w:type="dxa"/>
          </w:tblCellMar>
        </w:tblPrEx>
        <w:trPr>
          <w:trHeight w:val="403" w:hRule="atLeast"/>
        </w:trPr>
        <w:tc>
          <w:tcPr>
            <w:tcW w:w="9444" w:type="dxa"/>
            <w:gridSpan w:val="6"/>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一、办公用品</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办公桌椅</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1400*1200*600（mm）</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造型L型，办公空间更大更舒适，立柱采用上面玻璃下面实木压缩板材，桌面采用25mm厚实木压缩板材，并贴有环保耐磨仿木皮饰纸。</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8门更衣柜</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1800*850*380（mm）</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流水线剪冲折一体成型，采用优质冷轧钢板，厚度为0.5mm。后经焊接组装、脱脂、磷化、酸洗、喷塑、烘烤等工艺完成，确保表面不含油污及锈蚀。       配件：锁具统一大拇指，扣手采用铝合金扣手或者ABS塑料拉手</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9</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二抽文件柜</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1800*850*380（mm）</w:t>
            </w:r>
          </w:p>
          <w:p>
            <w:pPr>
              <w:pageBreakBefore w:val="0"/>
              <w:widowControl/>
              <w:kinsoku/>
              <w:wordWrap/>
              <w:overflowPunct/>
              <w:topLinePunct w:val="0"/>
              <w:bidi w:val="0"/>
              <w:snapToGrid/>
              <w:spacing w:line="320" w:lineRule="exact"/>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流水线剪冲折一体成型，采用优质冷轧钢板，厚度为0.5mm。后经焊接组装、脱脂、磷化、酸洗、喷塑、烘烤等工艺完成，确保表面不含油污及锈蚀。       配件：锁具统一大拇指，扣手采用铝合金扣手或者ABS塑料拉手</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9</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4</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病历夹车</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流水线剪冲折一体成型，采用优质304不锈钢板和不锈钢管，厚度为1.0mm。后经组装无缝焊接，外观精美实用。                     配件：锁具统一大拇指，轮子采用橡胶实心轮，耐用耐磨。</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5</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病历夹</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sz w:val="24"/>
                <w:szCs w:val="24"/>
                <w:shd w:val="clear" w:color="auto" w:fill="FFFFFF"/>
              </w:rPr>
              <w:t>325*230mm，加厚型ABS病历夹</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6</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病案档案柜</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（通用玻璃款）</w:t>
            </w:r>
          </w:p>
        </w:tc>
        <w:tc>
          <w:tcPr>
            <w:tcW w:w="371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1800*850*380（mm）</w:t>
            </w:r>
          </w:p>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流水线剪冲折一体成型，采用优质冷轧钢板，厚度为0.5mm。后经焊接组装、脱脂、磷化、酸洗、喷塑、烘烤等工艺完成，确保表面不含油污及锈蚀。       配件：锁具统一大拇指，扣手采用铝合金扣手或者ABS塑料拉手</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7</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12门物品储藏柜</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1800*850*380（mm）</w:t>
            </w:r>
          </w:p>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 xml:space="preserve">流水线剪冲折一体成型，采用优质冷轧钢板，厚度为0.5mm。后经焊接组装、脱脂、磷化、酸洗、喷塑、烘烤等工艺完成，确保表面不含油污及锈蚀。       </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配件：锁具统一大拇指，扣手采用铝合金扣手或者ABS塑料拉手</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8</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24门备用药柜</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1800*850*380（mm）</w:t>
            </w:r>
          </w:p>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 xml:space="preserve">流水线剪冲折一体成型，采用优质冷轧钢板，厚度为0.5mm。后经焊接组装、脱脂、磷化、酸洗、喷塑、烘烤等工艺完成，确保表面不含油污及锈蚀。       </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配件：锁具统一大拇指，扣手采用铝合金扣手或者ABS塑料拉手</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抢救推车</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常规国标钢质+根据救护车实际尺寸定制</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10</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护士操作柜</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不锈钢面+根据实际面积定制</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11</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护士药品台</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1800*900*上280下500（mm）流水线剪冲折一体成型，采用优质304不锈钢板，厚度为1.0mm。后经组装无缝焊接，外观精美实用。                     配件：锁具统一大拇指，玻璃6mm厚，扣手采用铝合金扣手或者ABS塑料拉手</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病床</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200cm*90cm*50cm，平型病床</w:t>
            </w:r>
          </w:p>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床头床尾采用38mm不锈钢管加工而成，壁厚1.2mm</w:t>
            </w:r>
          </w:p>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床面采用70*15mm C形钢一次冲压而成，管壁厚度1.0mm</w:t>
            </w:r>
          </w:p>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床框采用40*80mm矩形冷轧钢管，管壁厚度1.2mm</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250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9444" w:type="dxa"/>
            <w:gridSpan w:val="6"/>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二、饮水系统</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13</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直饮水系统</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见参数详情</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14</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热水器系统</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ind w:firstLine="960" w:firstLineChars="400"/>
              <w:jc w:val="left"/>
              <w:textAlignment w:val="center"/>
              <w:rPr>
                <w:rFonts w:hint="eastAsia" w:ascii="新宋体" w:hAnsi="新宋体" w:eastAsia="新宋体" w:cs="新宋体"/>
                <w:sz w:val="24"/>
                <w:szCs w:val="24"/>
              </w:rPr>
            </w:pPr>
            <w:r>
              <w:rPr>
                <w:rFonts w:hint="eastAsia" w:ascii="新宋体" w:hAnsi="新宋体" w:eastAsia="新宋体" w:cs="新宋体"/>
                <w:bCs/>
                <w:color w:val="000000"/>
                <w:kern w:val="0"/>
                <w:sz w:val="24"/>
                <w:szCs w:val="24"/>
              </w:rPr>
              <w:t>见参数详情</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9444" w:type="dxa"/>
            <w:gridSpan w:val="6"/>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三、电脑、打印机及相关硬件</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15</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电脑</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见参数详情</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16</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票据针式打印机</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见参数详情</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17</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黑白激光打印机</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见参数详情</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14</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18</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黑白激光多功能一体机</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见参数详情</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黑白数码复合机</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见参数详情</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20</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服务器</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见参数详情</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是</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21</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防火墙</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见参数详情</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是</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身份证读卡器</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见参数详情</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15</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9444" w:type="dxa"/>
            <w:gridSpan w:val="6"/>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四、厨房用品</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23</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双炒单温灶子</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1800*1000*800（mm）</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炉台: 采用201不锈钢板材,厚1.0mm,侧板厚0.8mm炉体: 骨架采用40*40*4mm角铁,作防腐处理,炉通脚用50mm无缝不锈钢管,内含支撑身的钢柱,不锈钢调整脚,脚底封闭.灶膛: 厚1.0mm钢板焊接,内外用硅酸铝高温涂料防腐,内衫用硅酸铝高温材料隔热,炉膛辅设1600度以上的耐火材料.炉头: 采用点火棒点火,设有常明火装置,炉头中部采用特殊U型转向耐火材料.</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24</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调料台</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1800*600*800（mm）</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201不锈钢板材，厚度0.8mm ,经无缝氩弧焊技术焊接而成</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25</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低汤灶</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1800*1000*800（mm）</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炉台: 采用201不锈钢板材,厚1.0mm,侧板厚0.8mm炉体: 骨架采用40*40*4mm角铁,作防腐处理,炉通脚用50mm无缝不锈钢管,内含支撑身的钢柱,不锈钢调整脚,脚底封闭.灶膛: 厚1.0mm钢板焊接,内外用硅酸铝高温涂料防腐,内衫用硅酸铝高温材料隔热,炉膛辅设1600度以上的耐火材料.炉头: 采用点火棒点火,设有常明火装置,炉头中部采用特殊U型转向耐火材料.</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26</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24层蒸车</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1400*600*1650（mm）</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201不锈钢板材，厚度0.8mm ,经无缝氩弧焊技术焊接而成</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27</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电饼铛</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1000*1000*850（mm）</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电压：220V/380V功率：2.2KW</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28</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面条机</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电压：220V功率：2.2KW</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和面机</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 xml:space="preserve">和面能力：25KG   </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电压：220V/380V功率：2.2KW</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30</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压面机</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 xml:space="preserve"> 压面能力：150kg/h </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 xml:space="preserve"> 电压：220V/380V功率：2.2KW</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31</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四门冰柜</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工程款，聚氨酯全发泡，全钢铜管，自动回归门，温度范围：-2℃-+10℃/0℃—-12℃；高品质进口压缩机，低噪音，环保无氟制冷剂，加厚喷塑钢板，蒸发器全铜管制作，电子控制，一体发泡。</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拉门工作台</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1800*600*800（mm）</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201不锈钢板材，厚度0.8mm ,经无缝氩弧焊技术焊接而成</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33</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面案工作台</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1800*600*800（mm）</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201不锈钢板材，厚度1.0mm ,经无缝氩弧焊技术焊接而成</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34</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四层货架</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1550*500*1500（mm）</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201不锈钢板材，厚度1.0mm ,经无缝氩弧焊技术焊接而成</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35</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双星水池</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1200*600*800（mm）</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201不锈钢板材，厚度0.8mm ,经无缝氩弧焊技术焊接而成</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36</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不锈钢烟罩</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 xml:space="preserve">不锈钢定制，厚度0.8mm </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9.6</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平方</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37</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不锈钢烟室</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 xml:space="preserve">不锈钢定制，厚度0.8mm  </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平方</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38</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不锈钢管道</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 xml:space="preserve">不锈钢定制，厚度0.8mm  </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米</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不锈钢弯头</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 xml:space="preserve">不锈钢定制，厚度0.8mm </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个</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40</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风柜变口</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与风柜配套</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个</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41</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净化器变口</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与净化器配套</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个</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42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防震支架</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与风柜配套</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43</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双层静音风柜</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7.5KW，离心式，低噪音，转速低，风量大</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44</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净化器</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20000风量，低空净化</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45</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启动电箱</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与风柜配套</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46</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软连接</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201不锈钢板材，厚度0.8mm ,</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47</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三星水池</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1800*600*800（mm）</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201不锈钢板材，厚度0.8mm ,经无缝氩弧焊技术焊接而成</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48</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简易工作台</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1800*600*800（mm）</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bCs/>
                <w:color w:val="000000"/>
                <w:kern w:val="0"/>
                <w:sz w:val="24"/>
                <w:szCs w:val="24"/>
              </w:rPr>
              <w:t>201不锈钢板材，厚度1.0mm ,经无缝氩弧焊技术焊接而成</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49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高温消毒柜</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bidi w:val="0"/>
              <w:snapToGrid/>
              <w:spacing w:line="320" w:lineRule="exact"/>
              <w:jc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1400*700*1960（mm）</w:t>
            </w:r>
          </w:p>
          <w:p>
            <w:pPr>
              <w:pageBreakBefore w:val="0"/>
              <w:kinsoku/>
              <w:wordWrap/>
              <w:overflowPunct/>
              <w:topLinePunct w:val="0"/>
              <w:bidi w:val="0"/>
              <w:snapToGrid/>
              <w:spacing w:line="320" w:lineRule="exact"/>
              <w:jc w:val="center"/>
              <w:rPr>
                <w:rFonts w:hint="eastAsia" w:ascii="新宋体" w:hAnsi="新宋体" w:eastAsia="新宋体" w:cs="新宋体"/>
                <w:color w:val="000000"/>
                <w:sz w:val="24"/>
                <w:szCs w:val="24"/>
              </w:rPr>
            </w:pPr>
            <w:r>
              <w:rPr>
                <w:rFonts w:hint="eastAsia" w:ascii="新宋体" w:hAnsi="新宋体" w:eastAsia="新宋体" w:cs="新宋体"/>
                <w:bCs/>
                <w:color w:val="000000"/>
                <w:kern w:val="0"/>
                <w:sz w:val="24"/>
                <w:szCs w:val="24"/>
              </w:rPr>
              <w:t>201不锈钢板材，厚度1.0mm ,经无缝氩弧焊技术焊接而成</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50</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双星水池</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bidi w:val="0"/>
              <w:snapToGrid/>
              <w:spacing w:line="320" w:lineRule="exact"/>
              <w:jc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1400*600*800（mm）</w:t>
            </w:r>
          </w:p>
          <w:p>
            <w:pPr>
              <w:pageBreakBefore w:val="0"/>
              <w:kinsoku/>
              <w:wordWrap/>
              <w:overflowPunct/>
              <w:topLinePunct w:val="0"/>
              <w:bidi w:val="0"/>
              <w:snapToGrid/>
              <w:spacing w:line="320" w:lineRule="exact"/>
              <w:jc w:val="center"/>
              <w:rPr>
                <w:rFonts w:hint="eastAsia" w:ascii="新宋体" w:hAnsi="新宋体" w:eastAsia="新宋体" w:cs="新宋体"/>
                <w:color w:val="000000"/>
                <w:sz w:val="24"/>
                <w:szCs w:val="24"/>
              </w:rPr>
            </w:pPr>
            <w:r>
              <w:rPr>
                <w:rFonts w:hint="eastAsia" w:ascii="新宋体" w:hAnsi="新宋体" w:eastAsia="新宋体" w:cs="新宋体"/>
                <w:bCs/>
                <w:color w:val="000000"/>
                <w:kern w:val="0"/>
                <w:sz w:val="24"/>
                <w:szCs w:val="24"/>
              </w:rPr>
              <w:t>201不锈钢板材，厚度0.8mm ,经无缝氩弧焊技术焊接而成</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51</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收残台</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bCs/>
                <w:color w:val="000000"/>
                <w:kern w:val="0"/>
                <w:sz w:val="24"/>
                <w:szCs w:val="24"/>
              </w:rPr>
              <w:t>优</w:t>
            </w:r>
            <w:r>
              <w:rPr>
                <w:rFonts w:hint="eastAsia" w:ascii="新宋体" w:hAnsi="新宋体" w:eastAsia="新宋体" w:cs="新宋体"/>
                <w:color w:val="000000"/>
                <w:kern w:val="0"/>
                <w:sz w:val="24"/>
                <w:szCs w:val="24"/>
              </w:rPr>
              <w:t>201不锈钢板材，厚度1.0mm</w:t>
            </w:r>
            <w:r>
              <w:rPr>
                <w:rFonts w:hint="eastAsia" w:ascii="新宋体" w:hAnsi="新宋体" w:eastAsia="新宋体" w:cs="新宋体"/>
                <w:bCs/>
                <w:color w:val="000000"/>
                <w:kern w:val="0"/>
                <w:sz w:val="24"/>
                <w:szCs w:val="24"/>
              </w:rPr>
              <w:t>经无缝氩弧焊技术焊接而成</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52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保温售饭台</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优</w:t>
            </w:r>
            <w:r>
              <w:rPr>
                <w:rFonts w:hint="eastAsia" w:ascii="新宋体" w:hAnsi="新宋体" w:eastAsia="新宋体" w:cs="新宋体"/>
                <w:color w:val="000000"/>
                <w:kern w:val="0"/>
                <w:sz w:val="24"/>
                <w:szCs w:val="24"/>
              </w:rPr>
              <w:t>201不锈钢板材，厚度1.0mm</w:t>
            </w:r>
            <w:r>
              <w:rPr>
                <w:rFonts w:hint="eastAsia" w:ascii="新宋体" w:hAnsi="新宋体" w:eastAsia="新宋体" w:cs="新宋体"/>
                <w:bCs/>
                <w:color w:val="000000"/>
                <w:kern w:val="0"/>
                <w:sz w:val="24"/>
                <w:szCs w:val="24"/>
              </w:rPr>
              <w:t>经无缝氩弧焊技术焊接而成</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bCs/>
                <w:color w:val="000000"/>
                <w:kern w:val="0"/>
                <w:sz w:val="24"/>
                <w:szCs w:val="24"/>
              </w:rPr>
              <w:t>电压：220V功率：4KW</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53</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留样柜</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bidi w:val="0"/>
              <w:snapToGrid/>
              <w:spacing w:line="320" w:lineRule="exact"/>
              <w:jc w:val="center"/>
              <w:rPr>
                <w:rFonts w:hint="eastAsia" w:ascii="新宋体" w:hAnsi="新宋体" w:eastAsia="新宋体" w:cs="新宋体"/>
                <w:color w:val="000000"/>
                <w:sz w:val="24"/>
                <w:szCs w:val="24"/>
              </w:rPr>
            </w:pPr>
            <w:r>
              <w:rPr>
                <w:rFonts w:hint="eastAsia" w:ascii="新宋体" w:hAnsi="新宋体" w:eastAsia="新宋体" w:cs="新宋体"/>
                <w:bCs/>
                <w:color w:val="000000"/>
                <w:kern w:val="0"/>
                <w:sz w:val="24"/>
                <w:szCs w:val="24"/>
              </w:rPr>
              <w:t>工程款，聚氨酯全发泡，全钢铜管，，温度范围：-5℃-0℃/；高品质进口压缩机，低噪音，环保无氟制冷剂，加厚喷塑钢板，蒸发器全铜管制作，电子控制，一体发泡。</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54</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四层货架</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1550*500*1500（mm）</w:t>
            </w:r>
          </w:p>
          <w:p>
            <w:pPr>
              <w:pageBreakBefore w:val="0"/>
              <w:kinsoku/>
              <w:wordWrap/>
              <w:overflowPunct/>
              <w:topLinePunct w:val="0"/>
              <w:bidi w:val="0"/>
              <w:snapToGrid/>
              <w:spacing w:line="320" w:lineRule="exact"/>
              <w:jc w:val="center"/>
              <w:rPr>
                <w:rFonts w:hint="eastAsia" w:ascii="新宋体" w:hAnsi="新宋体" w:eastAsia="新宋体" w:cs="新宋体"/>
                <w:color w:val="000000"/>
                <w:sz w:val="24"/>
                <w:szCs w:val="24"/>
              </w:rPr>
            </w:pPr>
            <w:r>
              <w:rPr>
                <w:rFonts w:hint="eastAsia" w:ascii="新宋体" w:hAnsi="新宋体" w:eastAsia="新宋体" w:cs="新宋体"/>
                <w:bCs/>
                <w:color w:val="000000"/>
                <w:kern w:val="0"/>
                <w:sz w:val="24"/>
                <w:szCs w:val="24"/>
              </w:rPr>
              <w:t>201不锈钢板材，厚度1.0mm ,经无缝氩弧焊技术焊接而成</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55</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餐厅桌椅</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松木</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长方形1200*600（mm），1*4</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40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56</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餐厅桌椅</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松木</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圆形直径1600mm，1*10</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57</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收餐车</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201不锈钢板材，厚度1.0mm经无缝氩弧焊技术焊接而成</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58</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筷子消毒车</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201不锈钢板材，厚度1.0mm经无缝氩弧焊技术焊接而成</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bCs/>
                <w:color w:val="000000"/>
                <w:kern w:val="0"/>
                <w:sz w:val="24"/>
                <w:szCs w:val="24"/>
              </w:rPr>
              <w:t>电压：220V功率：3KW</w:t>
            </w:r>
            <w:r>
              <w:rPr>
                <w:rFonts w:hint="eastAsia" w:ascii="新宋体" w:hAnsi="新宋体" w:eastAsia="新宋体" w:cs="新宋体"/>
                <w:color w:val="000000"/>
                <w:kern w:val="0"/>
                <w:sz w:val="24"/>
                <w:szCs w:val="24"/>
              </w:rPr>
              <w:t xml:space="preserve"> </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59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备餐柜</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800*500*900（mm）</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201不锈钢板材，厚度1.0mm ,经无缝氩弧焊技术焊接而成</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bCs/>
                <w:color w:val="000000"/>
                <w:kern w:val="0"/>
                <w:sz w:val="24"/>
                <w:szCs w:val="24"/>
              </w:rPr>
              <w:t>60</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灭蝇灯</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bidi w:val="0"/>
              <w:snapToGrid/>
              <w:spacing w:line="320" w:lineRule="exact"/>
              <w:jc w:val="center"/>
              <w:rPr>
                <w:rFonts w:hint="eastAsia" w:ascii="新宋体" w:hAnsi="新宋体" w:eastAsia="新宋体" w:cs="新宋体"/>
                <w:color w:val="000000"/>
                <w:sz w:val="24"/>
                <w:szCs w:val="24"/>
              </w:rPr>
            </w:pPr>
            <w:r>
              <w:rPr>
                <w:rFonts w:hint="eastAsia" w:ascii="新宋体" w:hAnsi="新宋体" w:eastAsia="新宋体" w:cs="新宋体"/>
                <w:bCs/>
                <w:color w:val="000000"/>
                <w:kern w:val="0"/>
                <w:sz w:val="24"/>
                <w:szCs w:val="24"/>
              </w:rPr>
              <w:t>电压：220V功率：40W</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bCs/>
                <w:color w:val="000000"/>
                <w:kern w:val="0"/>
                <w:sz w:val="24"/>
                <w:szCs w:val="24"/>
              </w:rPr>
              <w:t>61</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风幕机</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bCs/>
                <w:color w:val="000000"/>
                <w:kern w:val="0"/>
                <w:sz w:val="24"/>
                <w:szCs w:val="24"/>
              </w:rPr>
              <w:t>电压：220V功率：40W</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4</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bCs/>
                <w:color w:val="000000"/>
                <w:kern w:val="0"/>
                <w:sz w:val="24"/>
                <w:szCs w:val="24"/>
              </w:rPr>
              <w:t>62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紫外线消毒灯</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bidi w:val="0"/>
              <w:snapToGrid/>
              <w:spacing w:line="320" w:lineRule="exact"/>
              <w:jc w:val="center"/>
              <w:rPr>
                <w:rFonts w:hint="eastAsia" w:ascii="新宋体" w:hAnsi="新宋体" w:eastAsia="新宋体" w:cs="新宋体"/>
                <w:color w:val="000000"/>
                <w:sz w:val="24"/>
                <w:szCs w:val="24"/>
              </w:rPr>
            </w:pPr>
            <w:r>
              <w:rPr>
                <w:rFonts w:hint="eastAsia" w:ascii="新宋体" w:hAnsi="新宋体" w:eastAsia="新宋体" w:cs="新宋体"/>
                <w:bCs/>
                <w:color w:val="000000"/>
                <w:kern w:val="0"/>
                <w:sz w:val="24"/>
                <w:szCs w:val="24"/>
              </w:rPr>
              <w:t>电压：220V功率：40W</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9444"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五、救护车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63</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救护车</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辆</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bl>
    <w:p>
      <w:pPr>
        <w:pStyle w:val="11"/>
        <w:pageBreakBefore w:val="0"/>
        <w:kinsoku/>
        <w:wordWrap/>
        <w:overflowPunct/>
        <w:topLinePunct w:val="0"/>
        <w:bidi w:val="0"/>
        <w:snapToGrid/>
        <w:spacing w:line="320" w:lineRule="exact"/>
        <w:rPr>
          <w:rFonts w:hint="eastAsia" w:ascii="新宋体" w:hAnsi="新宋体" w:eastAsia="新宋体" w:cs="新宋体"/>
          <w:sz w:val="24"/>
          <w:szCs w:val="24"/>
        </w:rPr>
      </w:pPr>
    </w:p>
    <w:p>
      <w:pPr>
        <w:pStyle w:val="3"/>
        <w:pageBreakBefore w:val="0"/>
        <w:numPr>
          <w:ilvl w:val="0"/>
          <w:numId w:val="0"/>
        </w:numPr>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参数详情</w:t>
      </w:r>
    </w:p>
    <w:p>
      <w:pPr>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一、</w:t>
      </w:r>
      <w:r>
        <w:rPr>
          <w:rFonts w:hint="eastAsia" w:ascii="新宋体" w:hAnsi="新宋体" w:eastAsia="新宋体" w:cs="新宋体"/>
          <w:bCs/>
          <w:color w:val="000000"/>
          <w:kern w:val="0"/>
          <w:sz w:val="24"/>
          <w:szCs w:val="24"/>
        </w:rPr>
        <w:t>直饮水系统</w:t>
      </w:r>
    </w:p>
    <w:tbl>
      <w:tblPr>
        <w:tblStyle w:val="26"/>
        <w:tblW w:w="8892" w:type="dxa"/>
        <w:tblInd w:w="27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72"/>
        <w:gridCol w:w="1195"/>
        <w:gridCol w:w="885"/>
        <w:gridCol w:w="2387"/>
        <w:gridCol w:w="628"/>
        <w:gridCol w:w="578"/>
        <w:gridCol w:w="1617"/>
        <w:gridCol w:w="1030"/>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664" w:hRule="atLeast"/>
        </w:trPr>
        <w:tc>
          <w:tcPr>
            <w:tcW w:w="8892" w:type="dxa"/>
            <w:gridSpan w:val="8"/>
            <w:tcBorders>
              <w:bottom w:val="single" w:color="000000" w:sz="8" w:space="0"/>
            </w:tcBorders>
          </w:tcPr>
          <w:p>
            <w:pPr>
              <w:pStyle w:val="73"/>
              <w:pageBreakBefore w:val="0"/>
              <w:kinsoku/>
              <w:wordWrap/>
              <w:overflowPunct/>
              <w:topLinePunct w:val="0"/>
              <w:bidi w:val="0"/>
              <w:snapToGrid/>
              <w:spacing w:before="135" w:line="320" w:lineRule="exact"/>
              <w:ind w:left="1203" w:right="1138"/>
              <w:rPr>
                <w:rFonts w:hint="eastAsia" w:ascii="新宋体" w:hAnsi="新宋体" w:eastAsia="新宋体" w:cs="新宋体"/>
                <w:b/>
                <w:sz w:val="24"/>
                <w:szCs w:val="24"/>
              </w:rPr>
            </w:pPr>
            <w:r>
              <w:rPr>
                <w:rFonts w:hint="eastAsia" w:ascii="新宋体" w:hAnsi="新宋体" w:eastAsia="新宋体" w:cs="新宋体"/>
                <w:b/>
                <w:sz w:val="24"/>
                <w:szCs w:val="24"/>
              </w:rPr>
              <w:t>1000L/h单级反渗透系统配置清单（标配版）</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8"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81" w:right="40"/>
              <w:rPr>
                <w:rFonts w:hint="eastAsia" w:ascii="新宋体" w:hAnsi="新宋体" w:eastAsia="新宋体" w:cs="新宋体"/>
                <w:sz w:val="24"/>
                <w:szCs w:val="24"/>
              </w:rPr>
            </w:pPr>
            <w:r>
              <w:rPr>
                <w:rFonts w:hint="eastAsia" w:ascii="新宋体" w:hAnsi="新宋体" w:eastAsia="新宋体" w:cs="新宋体"/>
                <w:w w:val="105"/>
                <w:sz w:val="24"/>
                <w:szCs w:val="24"/>
              </w:rPr>
              <w:t>序号</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685"/>
              <w:jc w:val="left"/>
              <w:rPr>
                <w:rFonts w:hint="eastAsia" w:ascii="新宋体" w:hAnsi="新宋体" w:eastAsia="新宋体" w:cs="新宋体"/>
                <w:sz w:val="24"/>
                <w:szCs w:val="24"/>
              </w:rPr>
            </w:pPr>
            <w:r>
              <w:rPr>
                <w:rFonts w:hint="eastAsia" w:ascii="新宋体" w:hAnsi="新宋体" w:eastAsia="新宋体" w:cs="新宋体"/>
                <w:w w:val="105"/>
                <w:sz w:val="24"/>
                <w:szCs w:val="24"/>
              </w:rPr>
              <w:t>设备名称</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04" w:right="55"/>
              <w:rPr>
                <w:rFonts w:hint="eastAsia" w:ascii="新宋体" w:hAnsi="新宋体" w:eastAsia="新宋体" w:cs="新宋体"/>
                <w:sz w:val="24"/>
                <w:szCs w:val="24"/>
              </w:rPr>
            </w:pPr>
            <w:r>
              <w:rPr>
                <w:rFonts w:hint="eastAsia" w:ascii="新宋体" w:hAnsi="新宋体" w:eastAsia="新宋体" w:cs="新宋体"/>
                <w:w w:val="105"/>
                <w:sz w:val="24"/>
                <w:szCs w:val="24"/>
              </w:rPr>
              <w:t>规格/型号</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21" w:right="68"/>
              <w:rPr>
                <w:rFonts w:hint="eastAsia" w:ascii="新宋体" w:hAnsi="新宋体" w:eastAsia="新宋体" w:cs="新宋体"/>
                <w:sz w:val="24"/>
                <w:szCs w:val="24"/>
              </w:rPr>
            </w:pPr>
            <w:r>
              <w:rPr>
                <w:rFonts w:hint="eastAsia" w:ascii="新宋体" w:hAnsi="新宋体" w:eastAsia="新宋体" w:cs="新宋体"/>
                <w:w w:val="105"/>
                <w:sz w:val="24"/>
                <w:szCs w:val="24"/>
              </w:rPr>
              <w:t>单位</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6" w:right="43"/>
              <w:rPr>
                <w:rFonts w:hint="eastAsia" w:ascii="新宋体" w:hAnsi="新宋体" w:eastAsia="新宋体" w:cs="新宋体"/>
                <w:sz w:val="24"/>
                <w:szCs w:val="24"/>
              </w:rPr>
            </w:pPr>
            <w:r>
              <w:rPr>
                <w:rFonts w:hint="eastAsia" w:ascii="新宋体" w:hAnsi="新宋体" w:eastAsia="新宋体" w:cs="新宋体"/>
                <w:w w:val="105"/>
                <w:sz w:val="24"/>
                <w:szCs w:val="24"/>
              </w:rPr>
              <w:t>数量</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3" w:right="43"/>
              <w:rPr>
                <w:rFonts w:hint="eastAsia" w:ascii="新宋体" w:hAnsi="新宋体" w:eastAsia="新宋体" w:cs="新宋体"/>
                <w:sz w:val="24"/>
                <w:szCs w:val="24"/>
              </w:rPr>
            </w:pPr>
            <w:r>
              <w:rPr>
                <w:rFonts w:hint="eastAsia" w:ascii="新宋体" w:hAnsi="新宋体" w:eastAsia="新宋体" w:cs="新宋体"/>
                <w:w w:val="105"/>
                <w:sz w:val="24"/>
                <w:szCs w:val="24"/>
              </w:rPr>
              <w:t>备注</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352"/>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45"/>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366" w:right="318"/>
              <w:rPr>
                <w:rFonts w:hint="eastAsia" w:ascii="新宋体" w:hAnsi="新宋体" w:eastAsia="新宋体" w:cs="新宋体"/>
                <w:sz w:val="24"/>
                <w:szCs w:val="24"/>
              </w:rPr>
            </w:pPr>
            <w:r>
              <w:rPr>
                <w:rFonts w:hint="eastAsia" w:ascii="新宋体" w:hAnsi="新宋体" w:eastAsia="新宋体" w:cs="新宋体"/>
                <w:w w:val="105"/>
                <w:sz w:val="24"/>
                <w:szCs w:val="24"/>
              </w:rPr>
              <w:t>原水箱</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05" w:right="55"/>
              <w:rPr>
                <w:rFonts w:hint="eastAsia" w:ascii="新宋体" w:hAnsi="新宋体" w:eastAsia="新宋体" w:cs="新宋体"/>
                <w:sz w:val="24"/>
                <w:szCs w:val="24"/>
              </w:rPr>
            </w:pPr>
            <w:r>
              <w:rPr>
                <w:rFonts w:hint="eastAsia" w:ascii="新宋体" w:hAnsi="新宋体" w:eastAsia="新宋体" w:cs="新宋体"/>
                <w:w w:val="105"/>
                <w:sz w:val="24"/>
                <w:szCs w:val="24"/>
                <w:lang w:val="en-US"/>
              </w:rPr>
              <w:t>1</w:t>
            </w:r>
            <w:r>
              <w:rPr>
                <w:rFonts w:hint="eastAsia" w:ascii="新宋体" w:hAnsi="新宋体" w:eastAsia="新宋体" w:cs="新宋体"/>
                <w:w w:val="105"/>
                <w:sz w:val="24"/>
                <w:szCs w:val="24"/>
              </w:rPr>
              <w:t>T</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个</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0" w:right="43"/>
              <w:rPr>
                <w:rFonts w:hint="eastAsia" w:ascii="新宋体" w:hAnsi="新宋体" w:eastAsia="新宋体" w:cs="新宋体"/>
                <w:sz w:val="24"/>
                <w:szCs w:val="24"/>
              </w:rPr>
            </w:pPr>
            <w:r>
              <w:rPr>
                <w:rFonts w:hint="eastAsia" w:ascii="新宋体" w:hAnsi="新宋体" w:eastAsia="新宋体" w:cs="新宋体"/>
                <w:w w:val="105"/>
                <w:sz w:val="24"/>
                <w:szCs w:val="24"/>
              </w:rPr>
              <w:t>不锈钢材质</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167"/>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45"/>
              <w:rPr>
                <w:rFonts w:hint="eastAsia" w:ascii="新宋体" w:hAnsi="新宋体" w:eastAsia="新宋体" w:cs="新宋体"/>
                <w:sz w:val="24"/>
                <w:szCs w:val="24"/>
              </w:rPr>
            </w:pPr>
            <w:r>
              <w:rPr>
                <w:rFonts w:hint="eastAsia" w:ascii="新宋体" w:hAnsi="新宋体" w:eastAsia="新宋体" w:cs="新宋体"/>
                <w:w w:val="102"/>
                <w:sz w:val="24"/>
                <w:szCs w:val="24"/>
              </w:rPr>
              <w:t>2</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91"/>
              <w:jc w:val="left"/>
              <w:rPr>
                <w:rFonts w:hint="eastAsia" w:ascii="新宋体" w:hAnsi="新宋体" w:eastAsia="新宋体" w:cs="新宋体"/>
                <w:sz w:val="24"/>
                <w:szCs w:val="24"/>
              </w:rPr>
            </w:pPr>
            <w:r>
              <w:rPr>
                <w:rFonts w:hint="eastAsia" w:ascii="新宋体" w:hAnsi="新宋体" w:eastAsia="新宋体" w:cs="新宋体"/>
                <w:w w:val="105"/>
                <w:sz w:val="24"/>
                <w:szCs w:val="24"/>
              </w:rPr>
              <w:t>进水电磁阀</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94" w:right="55"/>
              <w:rPr>
                <w:rFonts w:hint="eastAsia" w:ascii="新宋体" w:hAnsi="新宋体" w:eastAsia="新宋体" w:cs="新宋体"/>
                <w:sz w:val="24"/>
                <w:szCs w:val="24"/>
              </w:rPr>
            </w:pPr>
            <w:r>
              <w:rPr>
                <w:rFonts w:hint="eastAsia" w:ascii="新宋体" w:hAnsi="新宋体" w:eastAsia="新宋体" w:cs="新宋体"/>
                <w:w w:val="105"/>
                <w:sz w:val="24"/>
                <w:szCs w:val="24"/>
              </w:rPr>
              <w:t>DN25 黄铜材质</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个</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6" w:right="42"/>
              <w:rPr>
                <w:rFonts w:hint="eastAsia" w:ascii="新宋体" w:hAnsi="新宋体" w:eastAsia="新宋体" w:cs="新宋体"/>
                <w:sz w:val="24"/>
                <w:szCs w:val="24"/>
              </w:rPr>
            </w:pPr>
            <w:r>
              <w:rPr>
                <w:rFonts w:hint="eastAsia" w:ascii="新宋体" w:hAnsi="新宋体" w:eastAsia="新宋体" w:cs="新宋体"/>
                <w:w w:val="105"/>
                <w:sz w:val="24"/>
                <w:szCs w:val="24"/>
              </w:rPr>
              <w:t>220V</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352"/>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45"/>
              <w:rPr>
                <w:rFonts w:hint="eastAsia" w:ascii="新宋体" w:hAnsi="新宋体" w:eastAsia="新宋体" w:cs="新宋体"/>
                <w:sz w:val="24"/>
                <w:szCs w:val="24"/>
              </w:rPr>
            </w:pPr>
            <w:r>
              <w:rPr>
                <w:rFonts w:hint="eastAsia" w:ascii="新宋体" w:hAnsi="新宋体" w:eastAsia="新宋体" w:cs="新宋体"/>
                <w:w w:val="102"/>
                <w:sz w:val="24"/>
                <w:szCs w:val="24"/>
              </w:rPr>
              <w:t>3</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91"/>
              <w:jc w:val="left"/>
              <w:rPr>
                <w:rFonts w:hint="eastAsia" w:ascii="新宋体" w:hAnsi="新宋体" w:eastAsia="新宋体" w:cs="新宋体"/>
                <w:sz w:val="24"/>
                <w:szCs w:val="24"/>
              </w:rPr>
            </w:pPr>
            <w:r>
              <w:rPr>
                <w:rFonts w:hint="eastAsia" w:ascii="新宋体" w:hAnsi="新宋体" w:eastAsia="新宋体" w:cs="新宋体"/>
                <w:w w:val="105"/>
                <w:sz w:val="24"/>
                <w:szCs w:val="24"/>
              </w:rPr>
              <w:t>液位控制器</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03" w:right="55"/>
              <w:rPr>
                <w:rFonts w:hint="eastAsia" w:ascii="新宋体" w:hAnsi="新宋体" w:eastAsia="新宋体" w:cs="新宋体"/>
                <w:sz w:val="24"/>
                <w:szCs w:val="24"/>
              </w:rPr>
            </w:pPr>
            <w:r>
              <w:rPr>
                <w:rFonts w:hint="eastAsia" w:ascii="新宋体" w:hAnsi="新宋体" w:eastAsia="新宋体" w:cs="新宋体"/>
                <w:w w:val="105"/>
                <w:sz w:val="24"/>
                <w:szCs w:val="24"/>
              </w:rPr>
              <w:t>投入式/220VAC</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套</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2</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3" w:right="43"/>
              <w:rPr>
                <w:rFonts w:hint="eastAsia" w:ascii="新宋体" w:hAnsi="新宋体" w:eastAsia="新宋体" w:cs="新宋体"/>
                <w:sz w:val="24"/>
                <w:szCs w:val="24"/>
              </w:rPr>
            </w:pPr>
            <w:r>
              <w:rPr>
                <w:rFonts w:hint="eastAsia" w:ascii="新宋体" w:hAnsi="新宋体" w:eastAsia="新宋体" w:cs="新宋体"/>
                <w:w w:val="105"/>
                <w:sz w:val="24"/>
                <w:szCs w:val="24"/>
              </w:rPr>
              <w:t>——</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120"/>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45"/>
              <w:rPr>
                <w:rFonts w:hint="eastAsia" w:ascii="新宋体" w:hAnsi="新宋体" w:eastAsia="新宋体" w:cs="新宋体"/>
                <w:sz w:val="24"/>
                <w:szCs w:val="24"/>
              </w:rPr>
            </w:pPr>
            <w:r>
              <w:rPr>
                <w:rFonts w:hint="eastAsia" w:ascii="新宋体" w:hAnsi="新宋体" w:eastAsia="新宋体" w:cs="新宋体"/>
                <w:w w:val="102"/>
                <w:sz w:val="24"/>
                <w:szCs w:val="24"/>
              </w:rPr>
              <w:t>4</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366" w:right="318"/>
              <w:rPr>
                <w:rFonts w:hint="eastAsia" w:ascii="新宋体" w:hAnsi="新宋体" w:eastAsia="新宋体" w:cs="新宋体"/>
                <w:sz w:val="24"/>
                <w:szCs w:val="24"/>
              </w:rPr>
            </w:pPr>
            <w:r>
              <w:rPr>
                <w:rFonts w:hint="eastAsia" w:ascii="新宋体" w:hAnsi="新宋体" w:eastAsia="新宋体" w:cs="新宋体"/>
                <w:w w:val="105"/>
                <w:sz w:val="24"/>
                <w:szCs w:val="24"/>
              </w:rPr>
              <w:t>原水泵</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7" w:right="55"/>
              <w:rPr>
                <w:rFonts w:hint="eastAsia" w:ascii="新宋体" w:hAnsi="新宋体" w:eastAsia="新宋体" w:cs="新宋体"/>
                <w:sz w:val="24"/>
                <w:szCs w:val="24"/>
              </w:rPr>
            </w:pPr>
            <w:r>
              <w:rPr>
                <w:rFonts w:hint="eastAsia" w:ascii="新宋体" w:hAnsi="新宋体" w:eastAsia="新宋体" w:cs="新宋体"/>
                <w:w w:val="105"/>
                <w:sz w:val="24"/>
                <w:szCs w:val="24"/>
              </w:rPr>
              <w:t>CHL4-40/380V 不锈钢材质</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台</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0" w:right="43"/>
              <w:rPr>
                <w:rFonts w:hint="eastAsia" w:ascii="新宋体" w:hAnsi="新宋体" w:eastAsia="新宋体" w:cs="新宋体"/>
                <w:sz w:val="24"/>
                <w:szCs w:val="24"/>
              </w:rPr>
            </w:pPr>
            <w:r>
              <w:rPr>
                <w:rFonts w:hint="eastAsia" w:ascii="新宋体" w:hAnsi="新宋体" w:eastAsia="新宋体" w:cs="新宋体"/>
                <w:w w:val="105"/>
                <w:sz w:val="24"/>
                <w:szCs w:val="24"/>
              </w:rPr>
              <w:t>卧式多级泵</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167"/>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8"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45"/>
              <w:rPr>
                <w:rFonts w:hint="eastAsia" w:ascii="新宋体" w:hAnsi="新宋体" w:eastAsia="新宋体" w:cs="新宋体"/>
                <w:sz w:val="24"/>
                <w:szCs w:val="24"/>
              </w:rPr>
            </w:pPr>
            <w:r>
              <w:rPr>
                <w:rFonts w:hint="eastAsia" w:ascii="新宋体" w:hAnsi="新宋体" w:eastAsia="新宋体" w:cs="新宋体"/>
                <w:w w:val="102"/>
                <w:sz w:val="24"/>
                <w:szCs w:val="24"/>
              </w:rPr>
              <w:t>5</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366" w:right="318"/>
              <w:rPr>
                <w:rFonts w:hint="eastAsia" w:ascii="新宋体" w:hAnsi="新宋体" w:eastAsia="新宋体" w:cs="新宋体"/>
                <w:sz w:val="24"/>
                <w:szCs w:val="24"/>
              </w:rPr>
            </w:pPr>
            <w:r>
              <w:rPr>
                <w:rFonts w:hint="eastAsia" w:ascii="新宋体" w:hAnsi="新宋体" w:eastAsia="新宋体" w:cs="新宋体"/>
                <w:w w:val="105"/>
                <w:sz w:val="24"/>
                <w:szCs w:val="24"/>
              </w:rPr>
              <w:t>压力表</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9" w:right="55"/>
              <w:rPr>
                <w:rFonts w:hint="eastAsia" w:ascii="新宋体" w:hAnsi="新宋体" w:eastAsia="新宋体" w:cs="新宋体"/>
                <w:sz w:val="24"/>
                <w:szCs w:val="24"/>
              </w:rPr>
            </w:pPr>
            <w:r>
              <w:rPr>
                <w:rFonts w:hint="eastAsia" w:ascii="新宋体" w:hAnsi="新宋体" w:eastAsia="新宋体" w:cs="新宋体"/>
                <w:w w:val="105"/>
                <w:sz w:val="24"/>
                <w:szCs w:val="24"/>
              </w:rPr>
              <w:t>0～1MPa 不锈钢材质</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只</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0" w:line="320" w:lineRule="exact"/>
              <w:ind w:left="96" w:right="43"/>
              <w:rPr>
                <w:rFonts w:hint="eastAsia" w:ascii="新宋体" w:hAnsi="新宋体" w:eastAsia="新宋体" w:cs="新宋体"/>
                <w:sz w:val="24"/>
                <w:szCs w:val="24"/>
              </w:rPr>
            </w:pPr>
            <w:r>
              <w:rPr>
                <w:rFonts w:hint="eastAsia" w:ascii="新宋体" w:hAnsi="新宋体" w:eastAsia="新宋体" w:cs="新宋体"/>
                <w:w w:val="105"/>
                <w:sz w:val="24"/>
                <w:szCs w:val="24"/>
              </w:rPr>
              <w:t>充油抗震型/指针</w:t>
            </w:r>
          </w:p>
          <w:p>
            <w:pPr>
              <w:pStyle w:val="73"/>
              <w:pageBreakBefore w:val="0"/>
              <w:kinsoku/>
              <w:wordWrap/>
              <w:overflowPunct/>
              <w:topLinePunct w:val="0"/>
              <w:bidi w:val="0"/>
              <w:snapToGrid/>
              <w:spacing w:before="0" w:line="320" w:lineRule="exact"/>
              <w:ind w:left="55"/>
              <w:rPr>
                <w:rFonts w:hint="eastAsia" w:ascii="新宋体" w:hAnsi="新宋体" w:eastAsia="新宋体" w:cs="新宋体"/>
                <w:sz w:val="24"/>
                <w:szCs w:val="24"/>
              </w:rPr>
            </w:pPr>
            <w:r>
              <w:rPr>
                <w:rFonts w:hint="eastAsia" w:ascii="新宋体" w:hAnsi="新宋体" w:eastAsia="新宋体" w:cs="新宋体"/>
                <w:w w:val="102"/>
                <w:sz w:val="24"/>
                <w:szCs w:val="24"/>
              </w:rPr>
              <w:t>式</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120"/>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vMerge w:val="restart"/>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0" w:line="320" w:lineRule="exact"/>
              <w:ind w:left="0"/>
              <w:jc w:val="left"/>
              <w:rPr>
                <w:rFonts w:hint="eastAsia" w:ascii="新宋体" w:hAnsi="新宋体" w:eastAsia="新宋体" w:cs="新宋体"/>
                <w:sz w:val="24"/>
                <w:szCs w:val="24"/>
              </w:rPr>
            </w:pPr>
          </w:p>
          <w:p>
            <w:pPr>
              <w:pStyle w:val="73"/>
              <w:pageBreakBefore w:val="0"/>
              <w:kinsoku/>
              <w:wordWrap/>
              <w:overflowPunct/>
              <w:topLinePunct w:val="0"/>
              <w:bidi w:val="0"/>
              <w:snapToGrid/>
              <w:spacing w:before="0" w:line="320" w:lineRule="exact"/>
              <w:ind w:left="0"/>
              <w:jc w:val="left"/>
              <w:rPr>
                <w:rFonts w:hint="eastAsia" w:ascii="新宋体" w:hAnsi="新宋体" w:eastAsia="新宋体" w:cs="新宋体"/>
                <w:sz w:val="24"/>
                <w:szCs w:val="24"/>
              </w:rPr>
            </w:pPr>
          </w:p>
          <w:p>
            <w:pPr>
              <w:pStyle w:val="73"/>
              <w:pageBreakBefore w:val="0"/>
              <w:kinsoku/>
              <w:wordWrap/>
              <w:overflowPunct/>
              <w:topLinePunct w:val="0"/>
              <w:bidi w:val="0"/>
              <w:snapToGrid/>
              <w:spacing w:before="0" w:line="320" w:lineRule="exact"/>
              <w:ind w:left="0"/>
              <w:jc w:val="left"/>
              <w:rPr>
                <w:rFonts w:hint="eastAsia" w:ascii="新宋体" w:hAnsi="新宋体" w:eastAsia="新宋体" w:cs="新宋体"/>
                <w:sz w:val="24"/>
                <w:szCs w:val="24"/>
              </w:rPr>
            </w:pPr>
          </w:p>
          <w:p>
            <w:pPr>
              <w:pStyle w:val="73"/>
              <w:pageBreakBefore w:val="0"/>
              <w:kinsoku/>
              <w:wordWrap/>
              <w:overflowPunct/>
              <w:topLinePunct w:val="0"/>
              <w:bidi w:val="0"/>
              <w:snapToGrid/>
              <w:spacing w:before="0" w:line="320" w:lineRule="exact"/>
              <w:ind w:left="45"/>
              <w:rPr>
                <w:rFonts w:hint="eastAsia" w:ascii="新宋体" w:hAnsi="新宋体" w:eastAsia="新宋体" w:cs="新宋体"/>
                <w:sz w:val="24"/>
                <w:szCs w:val="24"/>
              </w:rPr>
            </w:pPr>
            <w:r>
              <w:rPr>
                <w:rFonts w:hint="eastAsia" w:ascii="新宋体" w:hAnsi="新宋体" w:eastAsia="新宋体" w:cs="新宋体"/>
                <w:w w:val="102"/>
                <w:sz w:val="24"/>
                <w:szCs w:val="24"/>
              </w:rPr>
              <w:t>6</w:t>
            </w:r>
          </w:p>
        </w:tc>
        <w:tc>
          <w:tcPr>
            <w:tcW w:w="1195" w:type="dxa"/>
            <w:vMerge w:val="restart"/>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0" w:line="320" w:lineRule="exact"/>
              <w:ind w:left="0"/>
              <w:jc w:val="left"/>
              <w:rPr>
                <w:rFonts w:hint="eastAsia" w:ascii="新宋体" w:hAnsi="新宋体" w:eastAsia="新宋体" w:cs="新宋体"/>
                <w:sz w:val="24"/>
                <w:szCs w:val="24"/>
              </w:rPr>
            </w:pPr>
          </w:p>
          <w:p>
            <w:pPr>
              <w:pStyle w:val="73"/>
              <w:pageBreakBefore w:val="0"/>
              <w:kinsoku/>
              <w:wordWrap/>
              <w:overflowPunct/>
              <w:topLinePunct w:val="0"/>
              <w:bidi w:val="0"/>
              <w:snapToGrid/>
              <w:spacing w:before="0" w:line="320" w:lineRule="exact"/>
              <w:ind w:left="0"/>
              <w:jc w:val="left"/>
              <w:rPr>
                <w:rFonts w:hint="eastAsia" w:ascii="新宋体" w:hAnsi="新宋体" w:eastAsia="新宋体" w:cs="新宋体"/>
                <w:sz w:val="24"/>
                <w:szCs w:val="24"/>
              </w:rPr>
            </w:pPr>
          </w:p>
          <w:p>
            <w:pPr>
              <w:pStyle w:val="73"/>
              <w:pageBreakBefore w:val="0"/>
              <w:kinsoku/>
              <w:wordWrap/>
              <w:overflowPunct/>
              <w:topLinePunct w:val="0"/>
              <w:bidi w:val="0"/>
              <w:snapToGrid/>
              <w:spacing w:before="0" w:line="320" w:lineRule="exact"/>
              <w:ind w:left="0"/>
              <w:jc w:val="left"/>
              <w:rPr>
                <w:rFonts w:hint="eastAsia" w:ascii="新宋体" w:hAnsi="新宋体" w:eastAsia="新宋体" w:cs="新宋体"/>
                <w:sz w:val="24"/>
                <w:szCs w:val="24"/>
              </w:rPr>
            </w:pPr>
          </w:p>
          <w:p>
            <w:pPr>
              <w:pStyle w:val="73"/>
              <w:pageBreakBefore w:val="0"/>
              <w:kinsoku/>
              <w:wordWrap/>
              <w:overflowPunct/>
              <w:topLinePunct w:val="0"/>
              <w:bidi w:val="0"/>
              <w:snapToGrid/>
              <w:spacing w:before="0" w:line="320" w:lineRule="exact"/>
              <w:ind w:left="55"/>
              <w:jc w:val="left"/>
              <w:rPr>
                <w:rFonts w:hint="eastAsia" w:ascii="新宋体" w:hAnsi="新宋体" w:eastAsia="新宋体" w:cs="新宋体"/>
                <w:sz w:val="24"/>
                <w:szCs w:val="24"/>
              </w:rPr>
            </w:pPr>
            <w:r>
              <w:rPr>
                <w:rFonts w:hint="eastAsia" w:ascii="新宋体" w:hAnsi="新宋体" w:eastAsia="新宋体" w:cs="新宋体"/>
                <w:sz w:val="24"/>
                <w:szCs w:val="24"/>
              </w:rPr>
              <w:t>多介质过滤器</w:t>
            </w:r>
          </w:p>
        </w:tc>
        <w:tc>
          <w:tcPr>
            <w:tcW w:w="885"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50" w:right="102"/>
              <w:rPr>
                <w:rFonts w:hint="eastAsia" w:ascii="新宋体" w:hAnsi="新宋体" w:eastAsia="新宋体" w:cs="新宋体"/>
                <w:sz w:val="24"/>
                <w:szCs w:val="24"/>
              </w:rPr>
            </w:pPr>
            <w:r>
              <w:rPr>
                <w:rFonts w:hint="eastAsia" w:ascii="新宋体" w:hAnsi="新宋体" w:eastAsia="新宋体" w:cs="新宋体"/>
                <w:w w:val="105"/>
                <w:sz w:val="24"/>
                <w:szCs w:val="24"/>
              </w:rPr>
              <w:t>罐体</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82" w:line="320" w:lineRule="exact"/>
              <w:ind w:left="104" w:right="55"/>
              <w:rPr>
                <w:rFonts w:hint="eastAsia" w:ascii="新宋体" w:hAnsi="新宋体" w:eastAsia="新宋体" w:cs="新宋体"/>
                <w:sz w:val="24"/>
                <w:szCs w:val="24"/>
              </w:rPr>
            </w:pPr>
            <w:r>
              <w:rPr>
                <w:rFonts w:hint="eastAsia" w:ascii="新宋体" w:hAnsi="新宋体" w:eastAsia="新宋体" w:cs="新宋体"/>
                <w:w w:val="105"/>
                <w:sz w:val="24"/>
                <w:szCs w:val="24"/>
              </w:rPr>
              <w:t>Ø</w:t>
            </w:r>
            <w:r>
              <w:rPr>
                <w:rFonts w:hint="eastAsia" w:ascii="新宋体" w:hAnsi="新宋体" w:eastAsia="新宋体" w:cs="新宋体"/>
                <w:w w:val="105"/>
                <w:sz w:val="24"/>
                <w:szCs w:val="24"/>
                <w:lang w:val="en-US"/>
              </w:rPr>
              <w:t>3</w:t>
            </w:r>
            <w:r>
              <w:rPr>
                <w:rFonts w:hint="eastAsia" w:ascii="新宋体" w:hAnsi="新宋体" w:eastAsia="新宋体" w:cs="新宋体"/>
                <w:w w:val="105"/>
                <w:sz w:val="24"/>
                <w:szCs w:val="24"/>
              </w:rPr>
              <w:t>00×1650mm</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套</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88" w:right="43"/>
              <w:rPr>
                <w:rFonts w:hint="eastAsia" w:ascii="新宋体" w:hAnsi="新宋体" w:eastAsia="新宋体" w:cs="新宋体"/>
                <w:sz w:val="24"/>
                <w:szCs w:val="24"/>
              </w:rPr>
            </w:pPr>
            <w:r>
              <w:rPr>
                <w:rFonts w:hint="eastAsia" w:ascii="新宋体" w:hAnsi="新宋体" w:eastAsia="新宋体" w:cs="新宋体"/>
                <w:w w:val="105"/>
                <w:sz w:val="24"/>
                <w:szCs w:val="24"/>
              </w:rPr>
              <w:t>不锈钢内做防腐</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before="0" w:line="320" w:lineRule="exact"/>
              <w:ind w:left="75"/>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vMerge w:val="continue"/>
            <w:tcBorders>
              <w:top w:val="nil"/>
              <w:bottom w:val="single" w:color="000000" w:sz="8" w:space="0"/>
              <w:right w:val="single" w:color="000000" w:sz="8" w:space="0"/>
            </w:tcBorders>
          </w:tcPr>
          <w:p>
            <w:pPr>
              <w:pageBreakBefore w:val="0"/>
              <w:kinsoku/>
              <w:wordWrap/>
              <w:overflowPunct/>
              <w:topLinePunct w:val="0"/>
              <w:bidi w:val="0"/>
              <w:snapToGrid/>
              <w:spacing w:line="320" w:lineRule="exact"/>
              <w:rPr>
                <w:rFonts w:hint="eastAsia" w:ascii="新宋体" w:hAnsi="新宋体" w:eastAsia="新宋体" w:cs="新宋体"/>
                <w:sz w:val="24"/>
                <w:szCs w:val="24"/>
              </w:rPr>
            </w:pPr>
          </w:p>
        </w:tc>
        <w:tc>
          <w:tcPr>
            <w:tcW w:w="1195" w:type="dxa"/>
            <w:vMerge w:val="continue"/>
            <w:tcBorders>
              <w:top w:val="nil"/>
              <w:left w:val="single" w:color="000000" w:sz="8" w:space="0"/>
              <w:bottom w:val="single" w:color="000000" w:sz="8" w:space="0"/>
              <w:right w:val="single" w:color="000000" w:sz="8" w:space="0"/>
            </w:tcBorders>
          </w:tcPr>
          <w:p>
            <w:pPr>
              <w:pageBreakBefore w:val="0"/>
              <w:kinsoku/>
              <w:wordWrap/>
              <w:overflowPunct/>
              <w:topLinePunct w:val="0"/>
              <w:bidi w:val="0"/>
              <w:snapToGrid/>
              <w:spacing w:line="320" w:lineRule="exact"/>
              <w:rPr>
                <w:rFonts w:hint="eastAsia" w:ascii="新宋体" w:hAnsi="新宋体" w:eastAsia="新宋体" w:cs="新宋体"/>
                <w:sz w:val="24"/>
                <w:szCs w:val="24"/>
              </w:rPr>
            </w:pPr>
          </w:p>
        </w:tc>
        <w:tc>
          <w:tcPr>
            <w:tcW w:w="885"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50" w:right="102"/>
              <w:rPr>
                <w:rFonts w:hint="eastAsia" w:ascii="新宋体" w:hAnsi="新宋体" w:eastAsia="新宋体" w:cs="新宋体"/>
                <w:sz w:val="24"/>
                <w:szCs w:val="24"/>
              </w:rPr>
            </w:pPr>
            <w:r>
              <w:rPr>
                <w:rFonts w:hint="eastAsia" w:ascii="新宋体" w:hAnsi="新宋体" w:eastAsia="新宋体" w:cs="新宋体"/>
                <w:w w:val="105"/>
                <w:sz w:val="24"/>
                <w:szCs w:val="24"/>
              </w:rPr>
              <w:t>填料</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04" w:right="55"/>
              <w:rPr>
                <w:rFonts w:hint="eastAsia" w:ascii="新宋体" w:hAnsi="新宋体" w:eastAsia="新宋体" w:cs="新宋体"/>
                <w:sz w:val="24"/>
                <w:szCs w:val="24"/>
              </w:rPr>
            </w:pPr>
            <w:r>
              <w:rPr>
                <w:rFonts w:hint="eastAsia" w:ascii="新宋体" w:hAnsi="新宋体" w:eastAsia="新宋体" w:cs="新宋体"/>
                <w:w w:val="105"/>
                <w:sz w:val="24"/>
                <w:szCs w:val="24"/>
              </w:rPr>
              <w:t>石英砂/50kg</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袋</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lang w:val="en-US"/>
              </w:rPr>
            </w:pPr>
            <w:r>
              <w:rPr>
                <w:rFonts w:hint="eastAsia" w:ascii="新宋体" w:hAnsi="新宋体" w:eastAsia="新宋体" w:cs="新宋体"/>
                <w:sz w:val="24"/>
                <w:szCs w:val="24"/>
                <w:lang w:val="en-US"/>
              </w:rPr>
              <w:t>2</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1" w:right="43"/>
              <w:rPr>
                <w:rFonts w:hint="eastAsia" w:ascii="新宋体" w:hAnsi="新宋体" w:eastAsia="新宋体" w:cs="新宋体"/>
                <w:sz w:val="24"/>
                <w:szCs w:val="24"/>
              </w:rPr>
            </w:pPr>
            <w:r>
              <w:rPr>
                <w:rFonts w:hint="eastAsia" w:ascii="新宋体" w:hAnsi="新宋体" w:eastAsia="新宋体" w:cs="新宋体"/>
                <w:w w:val="105"/>
                <w:sz w:val="24"/>
                <w:szCs w:val="24"/>
              </w:rPr>
              <w:t>压力过滤</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352"/>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vMerge w:val="continue"/>
            <w:tcBorders>
              <w:top w:val="nil"/>
              <w:bottom w:val="single" w:color="000000" w:sz="8" w:space="0"/>
              <w:right w:val="single" w:color="000000" w:sz="8" w:space="0"/>
            </w:tcBorders>
          </w:tcPr>
          <w:p>
            <w:pPr>
              <w:pageBreakBefore w:val="0"/>
              <w:kinsoku/>
              <w:wordWrap/>
              <w:overflowPunct/>
              <w:topLinePunct w:val="0"/>
              <w:bidi w:val="0"/>
              <w:snapToGrid/>
              <w:spacing w:line="320" w:lineRule="exact"/>
              <w:rPr>
                <w:rFonts w:hint="eastAsia" w:ascii="新宋体" w:hAnsi="新宋体" w:eastAsia="新宋体" w:cs="新宋体"/>
                <w:sz w:val="24"/>
                <w:szCs w:val="24"/>
              </w:rPr>
            </w:pPr>
          </w:p>
        </w:tc>
        <w:tc>
          <w:tcPr>
            <w:tcW w:w="1195" w:type="dxa"/>
            <w:vMerge w:val="continue"/>
            <w:tcBorders>
              <w:top w:val="nil"/>
              <w:left w:val="single" w:color="000000" w:sz="8" w:space="0"/>
              <w:bottom w:val="single" w:color="000000" w:sz="8" w:space="0"/>
              <w:right w:val="single" w:color="000000" w:sz="8" w:space="0"/>
            </w:tcBorders>
          </w:tcPr>
          <w:p>
            <w:pPr>
              <w:pageBreakBefore w:val="0"/>
              <w:kinsoku/>
              <w:wordWrap/>
              <w:overflowPunct/>
              <w:topLinePunct w:val="0"/>
              <w:bidi w:val="0"/>
              <w:snapToGrid/>
              <w:spacing w:line="320" w:lineRule="exact"/>
              <w:rPr>
                <w:rFonts w:hint="eastAsia" w:ascii="新宋体" w:hAnsi="新宋体" w:eastAsia="新宋体" w:cs="新宋体"/>
                <w:sz w:val="24"/>
                <w:szCs w:val="24"/>
              </w:rPr>
            </w:pPr>
          </w:p>
        </w:tc>
        <w:tc>
          <w:tcPr>
            <w:tcW w:w="885"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50" w:right="107"/>
              <w:rPr>
                <w:rFonts w:hint="eastAsia" w:ascii="新宋体" w:hAnsi="新宋体" w:eastAsia="新宋体" w:cs="新宋体"/>
                <w:sz w:val="24"/>
                <w:szCs w:val="24"/>
              </w:rPr>
            </w:pPr>
            <w:r>
              <w:rPr>
                <w:rFonts w:hint="eastAsia" w:ascii="新宋体" w:hAnsi="新宋体" w:eastAsia="新宋体" w:cs="新宋体"/>
                <w:w w:val="105"/>
                <w:sz w:val="24"/>
                <w:szCs w:val="24"/>
              </w:rPr>
              <w:t>控制阀</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05" w:right="55"/>
              <w:rPr>
                <w:rFonts w:hint="eastAsia" w:ascii="新宋体" w:hAnsi="新宋体" w:eastAsia="新宋体" w:cs="新宋体"/>
                <w:sz w:val="24"/>
                <w:szCs w:val="24"/>
              </w:rPr>
            </w:pPr>
            <w:r>
              <w:rPr>
                <w:rFonts w:hint="eastAsia" w:ascii="新宋体" w:hAnsi="新宋体" w:eastAsia="新宋体" w:cs="新宋体"/>
                <w:w w:val="105"/>
                <w:sz w:val="24"/>
                <w:szCs w:val="24"/>
              </w:rPr>
              <w:t>6m³/h</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套</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1" w:right="43"/>
              <w:rPr>
                <w:rFonts w:hint="eastAsia" w:ascii="新宋体" w:hAnsi="新宋体" w:eastAsia="新宋体" w:cs="新宋体"/>
                <w:sz w:val="24"/>
                <w:szCs w:val="24"/>
              </w:rPr>
            </w:pPr>
            <w:r>
              <w:rPr>
                <w:rFonts w:hint="eastAsia" w:ascii="新宋体" w:hAnsi="新宋体" w:eastAsia="新宋体" w:cs="新宋体"/>
                <w:w w:val="105"/>
                <w:sz w:val="24"/>
                <w:szCs w:val="24"/>
              </w:rPr>
              <w:t>自动过滤</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120"/>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vMerge w:val="continue"/>
            <w:tcBorders>
              <w:top w:val="nil"/>
              <w:bottom w:val="single" w:color="000000" w:sz="8" w:space="0"/>
              <w:right w:val="single" w:color="000000" w:sz="8" w:space="0"/>
            </w:tcBorders>
          </w:tcPr>
          <w:p>
            <w:pPr>
              <w:pageBreakBefore w:val="0"/>
              <w:kinsoku/>
              <w:wordWrap/>
              <w:overflowPunct/>
              <w:topLinePunct w:val="0"/>
              <w:bidi w:val="0"/>
              <w:snapToGrid/>
              <w:spacing w:line="320" w:lineRule="exact"/>
              <w:rPr>
                <w:rFonts w:hint="eastAsia" w:ascii="新宋体" w:hAnsi="新宋体" w:eastAsia="新宋体" w:cs="新宋体"/>
                <w:sz w:val="24"/>
                <w:szCs w:val="24"/>
              </w:rPr>
            </w:pPr>
          </w:p>
        </w:tc>
        <w:tc>
          <w:tcPr>
            <w:tcW w:w="1195" w:type="dxa"/>
            <w:vMerge w:val="continue"/>
            <w:tcBorders>
              <w:top w:val="nil"/>
              <w:left w:val="single" w:color="000000" w:sz="8" w:space="0"/>
              <w:bottom w:val="single" w:color="000000" w:sz="8" w:space="0"/>
              <w:right w:val="single" w:color="000000" w:sz="8" w:space="0"/>
            </w:tcBorders>
          </w:tcPr>
          <w:p>
            <w:pPr>
              <w:pageBreakBefore w:val="0"/>
              <w:kinsoku/>
              <w:wordWrap/>
              <w:overflowPunct/>
              <w:topLinePunct w:val="0"/>
              <w:bidi w:val="0"/>
              <w:snapToGrid/>
              <w:spacing w:line="320" w:lineRule="exact"/>
              <w:rPr>
                <w:rFonts w:hint="eastAsia" w:ascii="新宋体" w:hAnsi="新宋体" w:eastAsia="新宋体" w:cs="新宋体"/>
                <w:sz w:val="24"/>
                <w:szCs w:val="24"/>
              </w:rPr>
            </w:pPr>
          </w:p>
        </w:tc>
        <w:tc>
          <w:tcPr>
            <w:tcW w:w="885"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50" w:right="107"/>
              <w:rPr>
                <w:rFonts w:hint="eastAsia" w:ascii="新宋体" w:hAnsi="新宋体" w:eastAsia="新宋体" w:cs="新宋体"/>
                <w:sz w:val="24"/>
                <w:szCs w:val="24"/>
              </w:rPr>
            </w:pPr>
            <w:r>
              <w:rPr>
                <w:rFonts w:hint="eastAsia" w:ascii="新宋体" w:hAnsi="新宋体" w:eastAsia="新宋体" w:cs="新宋体"/>
                <w:w w:val="105"/>
                <w:sz w:val="24"/>
                <w:szCs w:val="24"/>
              </w:rPr>
              <w:t>压力表</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9" w:right="55"/>
              <w:rPr>
                <w:rFonts w:hint="eastAsia" w:ascii="新宋体" w:hAnsi="新宋体" w:eastAsia="新宋体" w:cs="新宋体"/>
                <w:sz w:val="24"/>
                <w:szCs w:val="24"/>
              </w:rPr>
            </w:pPr>
            <w:r>
              <w:rPr>
                <w:rFonts w:hint="eastAsia" w:ascii="新宋体" w:hAnsi="新宋体" w:eastAsia="新宋体" w:cs="新宋体"/>
                <w:w w:val="105"/>
                <w:sz w:val="24"/>
                <w:szCs w:val="24"/>
              </w:rPr>
              <w:t>0～1MPa 不锈钢材质</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套</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0" w:line="320" w:lineRule="exact"/>
              <w:ind w:left="96" w:right="43"/>
              <w:rPr>
                <w:rFonts w:hint="eastAsia" w:ascii="新宋体" w:hAnsi="新宋体" w:eastAsia="新宋体" w:cs="新宋体"/>
                <w:sz w:val="24"/>
                <w:szCs w:val="24"/>
              </w:rPr>
            </w:pPr>
            <w:r>
              <w:rPr>
                <w:rFonts w:hint="eastAsia" w:ascii="新宋体" w:hAnsi="新宋体" w:eastAsia="新宋体" w:cs="新宋体"/>
                <w:w w:val="105"/>
                <w:sz w:val="24"/>
                <w:szCs w:val="24"/>
              </w:rPr>
              <w:t>充油抗震型/指针</w:t>
            </w:r>
          </w:p>
          <w:p>
            <w:pPr>
              <w:pStyle w:val="73"/>
              <w:pageBreakBefore w:val="0"/>
              <w:kinsoku/>
              <w:wordWrap/>
              <w:overflowPunct/>
              <w:topLinePunct w:val="0"/>
              <w:bidi w:val="0"/>
              <w:snapToGrid/>
              <w:spacing w:before="0" w:line="320" w:lineRule="exact"/>
              <w:ind w:left="55"/>
              <w:rPr>
                <w:rFonts w:hint="eastAsia" w:ascii="新宋体" w:hAnsi="新宋体" w:eastAsia="新宋体" w:cs="新宋体"/>
                <w:sz w:val="24"/>
                <w:szCs w:val="24"/>
              </w:rPr>
            </w:pPr>
            <w:r>
              <w:rPr>
                <w:rFonts w:hint="eastAsia" w:ascii="新宋体" w:hAnsi="新宋体" w:eastAsia="新宋体" w:cs="新宋体"/>
                <w:w w:val="102"/>
                <w:sz w:val="24"/>
                <w:szCs w:val="24"/>
              </w:rPr>
              <w:t>式</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120"/>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vMerge w:val="restart"/>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0" w:line="320" w:lineRule="exact"/>
              <w:ind w:left="0"/>
              <w:jc w:val="left"/>
              <w:rPr>
                <w:rFonts w:hint="eastAsia" w:ascii="新宋体" w:hAnsi="新宋体" w:eastAsia="新宋体" w:cs="新宋体"/>
                <w:sz w:val="24"/>
                <w:szCs w:val="24"/>
              </w:rPr>
            </w:pPr>
          </w:p>
          <w:p>
            <w:pPr>
              <w:pStyle w:val="73"/>
              <w:pageBreakBefore w:val="0"/>
              <w:kinsoku/>
              <w:wordWrap/>
              <w:overflowPunct/>
              <w:topLinePunct w:val="0"/>
              <w:bidi w:val="0"/>
              <w:snapToGrid/>
              <w:spacing w:before="0" w:line="320" w:lineRule="exact"/>
              <w:ind w:left="0"/>
              <w:jc w:val="left"/>
              <w:rPr>
                <w:rFonts w:hint="eastAsia" w:ascii="新宋体" w:hAnsi="新宋体" w:eastAsia="新宋体" w:cs="新宋体"/>
                <w:sz w:val="24"/>
                <w:szCs w:val="24"/>
              </w:rPr>
            </w:pPr>
          </w:p>
          <w:p>
            <w:pPr>
              <w:pStyle w:val="73"/>
              <w:pageBreakBefore w:val="0"/>
              <w:kinsoku/>
              <w:wordWrap/>
              <w:overflowPunct/>
              <w:topLinePunct w:val="0"/>
              <w:bidi w:val="0"/>
              <w:snapToGrid/>
              <w:spacing w:before="0" w:line="320" w:lineRule="exact"/>
              <w:ind w:left="0"/>
              <w:jc w:val="left"/>
              <w:rPr>
                <w:rFonts w:hint="eastAsia" w:ascii="新宋体" w:hAnsi="新宋体" w:eastAsia="新宋体" w:cs="新宋体"/>
                <w:sz w:val="24"/>
                <w:szCs w:val="24"/>
              </w:rPr>
            </w:pPr>
          </w:p>
          <w:p>
            <w:pPr>
              <w:pStyle w:val="73"/>
              <w:pageBreakBefore w:val="0"/>
              <w:kinsoku/>
              <w:wordWrap/>
              <w:overflowPunct/>
              <w:topLinePunct w:val="0"/>
              <w:bidi w:val="0"/>
              <w:snapToGrid/>
              <w:spacing w:before="1" w:line="320" w:lineRule="exact"/>
              <w:ind w:left="45"/>
              <w:rPr>
                <w:rFonts w:hint="eastAsia" w:ascii="新宋体" w:hAnsi="新宋体" w:eastAsia="新宋体" w:cs="新宋体"/>
                <w:sz w:val="24"/>
                <w:szCs w:val="24"/>
              </w:rPr>
            </w:pPr>
            <w:r>
              <w:rPr>
                <w:rFonts w:hint="eastAsia" w:ascii="新宋体" w:hAnsi="新宋体" w:eastAsia="新宋体" w:cs="新宋体"/>
                <w:w w:val="102"/>
                <w:sz w:val="24"/>
                <w:szCs w:val="24"/>
              </w:rPr>
              <w:t>7</w:t>
            </w:r>
          </w:p>
        </w:tc>
        <w:tc>
          <w:tcPr>
            <w:tcW w:w="1195" w:type="dxa"/>
            <w:vMerge w:val="restart"/>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0" w:line="320" w:lineRule="exact"/>
              <w:ind w:left="0"/>
              <w:jc w:val="left"/>
              <w:rPr>
                <w:rFonts w:hint="eastAsia" w:ascii="新宋体" w:hAnsi="新宋体" w:eastAsia="新宋体" w:cs="新宋体"/>
                <w:sz w:val="24"/>
                <w:szCs w:val="24"/>
              </w:rPr>
            </w:pPr>
          </w:p>
          <w:p>
            <w:pPr>
              <w:pStyle w:val="73"/>
              <w:pageBreakBefore w:val="0"/>
              <w:kinsoku/>
              <w:wordWrap/>
              <w:overflowPunct/>
              <w:topLinePunct w:val="0"/>
              <w:bidi w:val="0"/>
              <w:snapToGrid/>
              <w:spacing w:before="0" w:line="320" w:lineRule="exact"/>
              <w:ind w:left="0"/>
              <w:jc w:val="left"/>
              <w:rPr>
                <w:rFonts w:hint="eastAsia" w:ascii="新宋体" w:hAnsi="新宋体" w:eastAsia="新宋体" w:cs="新宋体"/>
                <w:sz w:val="24"/>
                <w:szCs w:val="24"/>
              </w:rPr>
            </w:pPr>
          </w:p>
          <w:p>
            <w:pPr>
              <w:pStyle w:val="73"/>
              <w:pageBreakBefore w:val="0"/>
              <w:kinsoku/>
              <w:wordWrap/>
              <w:overflowPunct/>
              <w:topLinePunct w:val="0"/>
              <w:bidi w:val="0"/>
              <w:snapToGrid/>
              <w:spacing w:before="0" w:line="320" w:lineRule="exact"/>
              <w:ind w:left="0"/>
              <w:jc w:val="left"/>
              <w:rPr>
                <w:rFonts w:hint="eastAsia" w:ascii="新宋体" w:hAnsi="新宋体" w:eastAsia="新宋体" w:cs="新宋体"/>
                <w:sz w:val="24"/>
                <w:szCs w:val="24"/>
              </w:rPr>
            </w:pPr>
          </w:p>
          <w:p>
            <w:pPr>
              <w:pStyle w:val="73"/>
              <w:pageBreakBefore w:val="0"/>
              <w:kinsoku/>
              <w:wordWrap/>
              <w:overflowPunct/>
              <w:topLinePunct w:val="0"/>
              <w:bidi w:val="0"/>
              <w:snapToGrid/>
              <w:spacing w:before="1" w:line="320" w:lineRule="exact"/>
              <w:ind w:left="55"/>
              <w:jc w:val="left"/>
              <w:rPr>
                <w:rFonts w:hint="eastAsia" w:ascii="新宋体" w:hAnsi="新宋体" w:eastAsia="新宋体" w:cs="新宋体"/>
                <w:sz w:val="24"/>
                <w:szCs w:val="24"/>
              </w:rPr>
            </w:pPr>
            <w:r>
              <w:rPr>
                <w:rFonts w:hint="eastAsia" w:ascii="新宋体" w:hAnsi="新宋体" w:eastAsia="新宋体" w:cs="新宋体"/>
                <w:sz w:val="24"/>
                <w:szCs w:val="24"/>
              </w:rPr>
              <w:t>活性碳过滤器</w:t>
            </w:r>
          </w:p>
        </w:tc>
        <w:tc>
          <w:tcPr>
            <w:tcW w:w="885"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50" w:right="102"/>
              <w:rPr>
                <w:rFonts w:hint="eastAsia" w:ascii="新宋体" w:hAnsi="新宋体" w:eastAsia="新宋体" w:cs="新宋体"/>
                <w:sz w:val="24"/>
                <w:szCs w:val="24"/>
              </w:rPr>
            </w:pPr>
            <w:r>
              <w:rPr>
                <w:rFonts w:hint="eastAsia" w:ascii="新宋体" w:hAnsi="新宋体" w:eastAsia="新宋体" w:cs="新宋体"/>
                <w:w w:val="105"/>
                <w:sz w:val="24"/>
                <w:szCs w:val="24"/>
              </w:rPr>
              <w:t>罐体</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83" w:line="320" w:lineRule="exact"/>
              <w:ind w:left="104" w:right="55"/>
              <w:rPr>
                <w:rFonts w:hint="eastAsia" w:ascii="新宋体" w:hAnsi="新宋体" w:eastAsia="新宋体" w:cs="新宋体"/>
                <w:sz w:val="24"/>
                <w:szCs w:val="24"/>
              </w:rPr>
            </w:pPr>
            <w:r>
              <w:rPr>
                <w:rFonts w:hint="eastAsia" w:ascii="新宋体" w:hAnsi="新宋体" w:eastAsia="新宋体" w:cs="新宋体"/>
                <w:w w:val="105"/>
                <w:sz w:val="24"/>
                <w:szCs w:val="24"/>
              </w:rPr>
              <w:t>Ø</w:t>
            </w:r>
            <w:r>
              <w:rPr>
                <w:rFonts w:hint="eastAsia" w:ascii="新宋体" w:hAnsi="新宋体" w:eastAsia="新宋体" w:cs="新宋体"/>
                <w:w w:val="105"/>
                <w:sz w:val="24"/>
                <w:szCs w:val="24"/>
                <w:lang w:val="en-US"/>
              </w:rPr>
              <w:t>3</w:t>
            </w:r>
            <w:r>
              <w:rPr>
                <w:rFonts w:hint="eastAsia" w:ascii="新宋体" w:hAnsi="新宋体" w:eastAsia="新宋体" w:cs="新宋体"/>
                <w:w w:val="105"/>
                <w:sz w:val="24"/>
                <w:szCs w:val="24"/>
              </w:rPr>
              <w:t>00×1650mm</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套</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88" w:right="43"/>
              <w:rPr>
                <w:rFonts w:hint="eastAsia" w:ascii="新宋体" w:hAnsi="新宋体" w:eastAsia="新宋体" w:cs="新宋体"/>
                <w:sz w:val="24"/>
                <w:szCs w:val="24"/>
              </w:rPr>
            </w:pPr>
            <w:r>
              <w:rPr>
                <w:rFonts w:hint="eastAsia" w:ascii="新宋体" w:hAnsi="新宋体" w:eastAsia="新宋体" w:cs="新宋体"/>
                <w:w w:val="105"/>
                <w:sz w:val="24"/>
                <w:szCs w:val="24"/>
              </w:rPr>
              <w:t>不锈钢内做防腐</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before="0" w:line="320" w:lineRule="exact"/>
              <w:ind w:left="75"/>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8" w:hRule="atLeast"/>
        </w:trPr>
        <w:tc>
          <w:tcPr>
            <w:tcW w:w="572" w:type="dxa"/>
            <w:vMerge w:val="continue"/>
            <w:tcBorders>
              <w:top w:val="nil"/>
              <w:bottom w:val="single" w:color="000000" w:sz="8" w:space="0"/>
              <w:right w:val="single" w:color="000000" w:sz="8" w:space="0"/>
            </w:tcBorders>
          </w:tcPr>
          <w:p>
            <w:pPr>
              <w:pageBreakBefore w:val="0"/>
              <w:kinsoku/>
              <w:wordWrap/>
              <w:overflowPunct/>
              <w:topLinePunct w:val="0"/>
              <w:bidi w:val="0"/>
              <w:snapToGrid/>
              <w:spacing w:line="320" w:lineRule="exact"/>
              <w:rPr>
                <w:rFonts w:hint="eastAsia" w:ascii="新宋体" w:hAnsi="新宋体" w:eastAsia="新宋体" w:cs="新宋体"/>
                <w:sz w:val="24"/>
                <w:szCs w:val="24"/>
              </w:rPr>
            </w:pPr>
          </w:p>
        </w:tc>
        <w:tc>
          <w:tcPr>
            <w:tcW w:w="1195" w:type="dxa"/>
            <w:vMerge w:val="continue"/>
            <w:tcBorders>
              <w:top w:val="nil"/>
              <w:left w:val="single" w:color="000000" w:sz="8" w:space="0"/>
              <w:bottom w:val="single" w:color="000000" w:sz="8" w:space="0"/>
              <w:right w:val="single" w:color="000000" w:sz="8" w:space="0"/>
            </w:tcBorders>
          </w:tcPr>
          <w:p>
            <w:pPr>
              <w:pageBreakBefore w:val="0"/>
              <w:kinsoku/>
              <w:wordWrap/>
              <w:overflowPunct/>
              <w:topLinePunct w:val="0"/>
              <w:bidi w:val="0"/>
              <w:snapToGrid/>
              <w:spacing w:line="320" w:lineRule="exact"/>
              <w:rPr>
                <w:rFonts w:hint="eastAsia" w:ascii="新宋体" w:hAnsi="新宋体" w:eastAsia="新宋体" w:cs="新宋体"/>
                <w:sz w:val="24"/>
                <w:szCs w:val="24"/>
              </w:rPr>
            </w:pPr>
          </w:p>
        </w:tc>
        <w:tc>
          <w:tcPr>
            <w:tcW w:w="885"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50" w:right="102"/>
              <w:rPr>
                <w:rFonts w:hint="eastAsia" w:ascii="新宋体" w:hAnsi="新宋体" w:eastAsia="新宋体" w:cs="新宋体"/>
                <w:sz w:val="24"/>
                <w:szCs w:val="24"/>
              </w:rPr>
            </w:pPr>
            <w:r>
              <w:rPr>
                <w:rFonts w:hint="eastAsia" w:ascii="新宋体" w:hAnsi="新宋体" w:eastAsia="新宋体" w:cs="新宋体"/>
                <w:w w:val="105"/>
                <w:sz w:val="24"/>
                <w:szCs w:val="24"/>
              </w:rPr>
              <w:t>填料</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06" w:right="55"/>
              <w:rPr>
                <w:rFonts w:hint="eastAsia" w:ascii="新宋体" w:hAnsi="新宋体" w:eastAsia="新宋体" w:cs="新宋体"/>
                <w:sz w:val="24"/>
                <w:szCs w:val="24"/>
              </w:rPr>
            </w:pPr>
            <w:r>
              <w:rPr>
                <w:rFonts w:hint="eastAsia" w:ascii="新宋体" w:hAnsi="新宋体" w:eastAsia="新宋体" w:cs="新宋体"/>
                <w:w w:val="105"/>
                <w:sz w:val="24"/>
                <w:szCs w:val="24"/>
              </w:rPr>
              <w:t>垫层石英砂/</w:t>
            </w:r>
            <w:r>
              <w:rPr>
                <w:rFonts w:hint="eastAsia" w:ascii="新宋体" w:hAnsi="新宋体" w:eastAsia="新宋体" w:cs="新宋体"/>
                <w:w w:val="105"/>
                <w:sz w:val="24"/>
                <w:szCs w:val="24"/>
                <w:lang w:val="en-US"/>
              </w:rPr>
              <w:t>25</w:t>
            </w:r>
            <w:r>
              <w:rPr>
                <w:rFonts w:hint="eastAsia" w:ascii="新宋体" w:hAnsi="新宋体" w:eastAsia="新宋体" w:cs="新宋体"/>
                <w:w w:val="105"/>
                <w:sz w:val="24"/>
                <w:szCs w:val="24"/>
              </w:rPr>
              <w:t>kg</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袋</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6" w:right="41"/>
              <w:rPr>
                <w:rFonts w:hint="eastAsia" w:ascii="新宋体" w:hAnsi="新宋体" w:eastAsia="新宋体" w:cs="新宋体"/>
                <w:sz w:val="24"/>
                <w:szCs w:val="24"/>
                <w:lang w:val="en-US"/>
              </w:rPr>
            </w:pPr>
            <w:r>
              <w:rPr>
                <w:rFonts w:hint="eastAsia" w:ascii="新宋体" w:hAnsi="新宋体" w:eastAsia="新宋体" w:cs="新宋体"/>
                <w:w w:val="105"/>
                <w:sz w:val="24"/>
                <w:szCs w:val="24"/>
              </w:rPr>
              <w:t>0.</w:t>
            </w:r>
            <w:r>
              <w:rPr>
                <w:rFonts w:hint="eastAsia" w:ascii="新宋体" w:hAnsi="新宋体" w:eastAsia="新宋体" w:cs="新宋体"/>
                <w:w w:val="105"/>
                <w:sz w:val="24"/>
                <w:szCs w:val="24"/>
                <w:lang w:val="en-US"/>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1" w:right="43"/>
              <w:rPr>
                <w:rFonts w:hint="eastAsia" w:ascii="新宋体" w:hAnsi="新宋体" w:eastAsia="新宋体" w:cs="新宋体"/>
                <w:sz w:val="24"/>
                <w:szCs w:val="24"/>
              </w:rPr>
            </w:pPr>
            <w:r>
              <w:rPr>
                <w:rFonts w:hint="eastAsia" w:ascii="新宋体" w:hAnsi="新宋体" w:eastAsia="新宋体" w:cs="新宋体"/>
                <w:w w:val="105"/>
                <w:sz w:val="24"/>
                <w:szCs w:val="24"/>
              </w:rPr>
              <w:t>压力过滤</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352"/>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vMerge w:val="continue"/>
            <w:tcBorders>
              <w:top w:val="nil"/>
              <w:bottom w:val="single" w:color="000000" w:sz="8" w:space="0"/>
              <w:right w:val="single" w:color="000000" w:sz="8" w:space="0"/>
            </w:tcBorders>
          </w:tcPr>
          <w:p>
            <w:pPr>
              <w:pageBreakBefore w:val="0"/>
              <w:kinsoku/>
              <w:wordWrap/>
              <w:overflowPunct/>
              <w:topLinePunct w:val="0"/>
              <w:bidi w:val="0"/>
              <w:snapToGrid/>
              <w:spacing w:line="320" w:lineRule="exact"/>
              <w:rPr>
                <w:rFonts w:hint="eastAsia" w:ascii="新宋体" w:hAnsi="新宋体" w:eastAsia="新宋体" w:cs="新宋体"/>
                <w:sz w:val="24"/>
                <w:szCs w:val="24"/>
              </w:rPr>
            </w:pPr>
          </w:p>
        </w:tc>
        <w:tc>
          <w:tcPr>
            <w:tcW w:w="1195" w:type="dxa"/>
            <w:vMerge w:val="continue"/>
            <w:tcBorders>
              <w:top w:val="nil"/>
              <w:left w:val="single" w:color="000000" w:sz="8" w:space="0"/>
              <w:bottom w:val="single" w:color="000000" w:sz="8" w:space="0"/>
              <w:right w:val="single" w:color="000000" w:sz="8" w:space="0"/>
            </w:tcBorders>
          </w:tcPr>
          <w:p>
            <w:pPr>
              <w:pageBreakBefore w:val="0"/>
              <w:kinsoku/>
              <w:wordWrap/>
              <w:overflowPunct/>
              <w:topLinePunct w:val="0"/>
              <w:bidi w:val="0"/>
              <w:snapToGrid/>
              <w:spacing w:line="320" w:lineRule="exact"/>
              <w:rPr>
                <w:rFonts w:hint="eastAsia" w:ascii="新宋体" w:hAnsi="新宋体" w:eastAsia="新宋体" w:cs="新宋体"/>
                <w:sz w:val="24"/>
                <w:szCs w:val="24"/>
              </w:rPr>
            </w:pPr>
          </w:p>
        </w:tc>
        <w:tc>
          <w:tcPr>
            <w:tcW w:w="885"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50" w:right="102"/>
              <w:rPr>
                <w:rFonts w:hint="eastAsia" w:ascii="新宋体" w:hAnsi="新宋体" w:eastAsia="新宋体" w:cs="新宋体"/>
                <w:sz w:val="24"/>
                <w:szCs w:val="24"/>
              </w:rPr>
            </w:pPr>
            <w:r>
              <w:rPr>
                <w:rFonts w:hint="eastAsia" w:ascii="新宋体" w:hAnsi="新宋体" w:eastAsia="新宋体" w:cs="新宋体"/>
                <w:w w:val="105"/>
                <w:sz w:val="24"/>
                <w:szCs w:val="24"/>
              </w:rPr>
              <w:t>填料</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04" w:right="55"/>
              <w:rPr>
                <w:rFonts w:hint="eastAsia" w:ascii="新宋体" w:hAnsi="新宋体" w:eastAsia="新宋体" w:cs="新宋体"/>
                <w:sz w:val="24"/>
                <w:szCs w:val="24"/>
              </w:rPr>
            </w:pPr>
            <w:r>
              <w:rPr>
                <w:rFonts w:hint="eastAsia" w:ascii="新宋体" w:hAnsi="新宋体" w:eastAsia="新宋体" w:cs="新宋体"/>
                <w:w w:val="105"/>
                <w:sz w:val="24"/>
                <w:szCs w:val="24"/>
              </w:rPr>
              <w:t>活性碳/25kg</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袋</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lang w:val="en-US"/>
              </w:rPr>
            </w:pPr>
            <w:r>
              <w:rPr>
                <w:rFonts w:hint="eastAsia" w:ascii="新宋体" w:hAnsi="新宋体" w:eastAsia="新宋体" w:cs="新宋体"/>
                <w:sz w:val="24"/>
                <w:szCs w:val="24"/>
                <w:lang w:val="en-US"/>
              </w:rPr>
              <w:t>2</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0" w:right="43"/>
              <w:rPr>
                <w:rFonts w:hint="eastAsia" w:ascii="新宋体" w:hAnsi="新宋体" w:eastAsia="新宋体" w:cs="新宋体"/>
                <w:sz w:val="24"/>
                <w:szCs w:val="24"/>
              </w:rPr>
            </w:pPr>
            <w:r>
              <w:rPr>
                <w:rFonts w:hint="eastAsia" w:ascii="新宋体" w:hAnsi="新宋体" w:eastAsia="新宋体" w:cs="新宋体"/>
                <w:w w:val="105"/>
                <w:sz w:val="24"/>
                <w:szCs w:val="24"/>
              </w:rPr>
              <w:t>颗粒活性炭</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352"/>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vMerge w:val="continue"/>
            <w:tcBorders>
              <w:top w:val="nil"/>
              <w:bottom w:val="single" w:color="000000" w:sz="8" w:space="0"/>
              <w:right w:val="single" w:color="000000" w:sz="8" w:space="0"/>
            </w:tcBorders>
          </w:tcPr>
          <w:p>
            <w:pPr>
              <w:pageBreakBefore w:val="0"/>
              <w:kinsoku/>
              <w:wordWrap/>
              <w:overflowPunct/>
              <w:topLinePunct w:val="0"/>
              <w:bidi w:val="0"/>
              <w:snapToGrid/>
              <w:spacing w:line="320" w:lineRule="exact"/>
              <w:rPr>
                <w:rFonts w:hint="eastAsia" w:ascii="新宋体" w:hAnsi="新宋体" w:eastAsia="新宋体" w:cs="新宋体"/>
                <w:sz w:val="24"/>
                <w:szCs w:val="24"/>
              </w:rPr>
            </w:pPr>
          </w:p>
        </w:tc>
        <w:tc>
          <w:tcPr>
            <w:tcW w:w="1195" w:type="dxa"/>
            <w:vMerge w:val="continue"/>
            <w:tcBorders>
              <w:top w:val="nil"/>
              <w:left w:val="single" w:color="000000" w:sz="8" w:space="0"/>
              <w:bottom w:val="single" w:color="000000" w:sz="8" w:space="0"/>
              <w:right w:val="single" w:color="000000" w:sz="8" w:space="0"/>
            </w:tcBorders>
          </w:tcPr>
          <w:p>
            <w:pPr>
              <w:pageBreakBefore w:val="0"/>
              <w:kinsoku/>
              <w:wordWrap/>
              <w:overflowPunct/>
              <w:topLinePunct w:val="0"/>
              <w:bidi w:val="0"/>
              <w:snapToGrid/>
              <w:spacing w:line="320" w:lineRule="exact"/>
              <w:rPr>
                <w:rFonts w:hint="eastAsia" w:ascii="新宋体" w:hAnsi="新宋体" w:eastAsia="新宋体" w:cs="新宋体"/>
                <w:sz w:val="24"/>
                <w:szCs w:val="24"/>
              </w:rPr>
            </w:pPr>
          </w:p>
        </w:tc>
        <w:tc>
          <w:tcPr>
            <w:tcW w:w="885"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50" w:right="107"/>
              <w:rPr>
                <w:rFonts w:hint="eastAsia" w:ascii="新宋体" w:hAnsi="新宋体" w:eastAsia="新宋体" w:cs="新宋体"/>
                <w:sz w:val="24"/>
                <w:szCs w:val="24"/>
              </w:rPr>
            </w:pPr>
            <w:r>
              <w:rPr>
                <w:rFonts w:hint="eastAsia" w:ascii="新宋体" w:hAnsi="新宋体" w:eastAsia="新宋体" w:cs="新宋体"/>
                <w:w w:val="105"/>
                <w:sz w:val="24"/>
                <w:szCs w:val="24"/>
              </w:rPr>
              <w:t>控制阀</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05" w:right="55"/>
              <w:rPr>
                <w:rFonts w:hint="eastAsia" w:ascii="新宋体" w:hAnsi="新宋体" w:eastAsia="新宋体" w:cs="新宋体"/>
                <w:sz w:val="24"/>
                <w:szCs w:val="24"/>
              </w:rPr>
            </w:pPr>
            <w:r>
              <w:rPr>
                <w:rFonts w:hint="eastAsia" w:ascii="新宋体" w:hAnsi="新宋体" w:eastAsia="新宋体" w:cs="新宋体"/>
                <w:w w:val="105"/>
                <w:sz w:val="24"/>
                <w:szCs w:val="24"/>
              </w:rPr>
              <w:t>6m³/h</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套</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1" w:right="43"/>
              <w:rPr>
                <w:rFonts w:hint="eastAsia" w:ascii="新宋体" w:hAnsi="新宋体" w:eastAsia="新宋体" w:cs="新宋体"/>
                <w:sz w:val="24"/>
                <w:szCs w:val="24"/>
              </w:rPr>
            </w:pPr>
            <w:r>
              <w:rPr>
                <w:rFonts w:hint="eastAsia" w:ascii="新宋体" w:hAnsi="新宋体" w:eastAsia="新宋体" w:cs="新宋体"/>
                <w:w w:val="105"/>
                <w:sz w:val="24"/>
                <w:szCs w:val="24"/>
              </w:rPr>
              <w:t>自动过滤</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120"/>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vMerge w:val="restart"/>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0" w:line="320" w:lineRule="exact"/>
              <w:ind w:left="0"/>
              <w:jc w:val="left"/>
              <w:rPr>
                <w:rFonts w:hint="eastAsia" w:ascii="新宋体" w:hAnsi="新宋体" w:eastAsia="新宋体" w:cs="新宋体"/>
                <w:sz w:val="24"/>
                <w:szCs w:val="24"/>
              </w:rPr>
            </w:pPr>
          </w:p>
          <w:p>
            <w:pPr>
              <w:pStyle w:val="73"/>
              <w:pageBreakBefore w:val="0"/>
              <w:kinsoku/>
              <w:wordWrap/>
              <w:overflowPunct/>
              <w:topLinePunct w:val="0"/>
              <w:bidi w:val="0"/>
              <w:snapToGrid/>
              <w:spacing w:before="4" w:line="320" w:lineRule="exact"/>
              <w:ind w:left="0"/>
              <w:jc w:val="left"/>
              <w:rPr>
                <w:rFonts w:hint="eastAsia" w:ascii="新宋体" w:hAnsi="新宋体" w:eastAsia="新宋体" w:cs="新宋体"/>
                <w:sz w:val="24"/>
                <w:szCs w:val="24"/>
              </w:rPr>
            </w:pPr>
          </w:p>
          <w:p>
            <w:pPr>
              <w:pStyle w:val="73"/>
              <w:pageBreakBefore w:val="0"/>
              <w:kinsoku/>
              <w:wordWrap/>
              <w:overflowPunct/>
              <w:topLinePunct w:val="0"/>
              <w:bidi w:val="0"/>
              <w:snapToGrid/>
              <w:spacing w:before="0" w:line="320" w:lineRule="exact"/>
              <w:ind w:left="45"/>
              <w:rPr>
                <w:rFonts w:hint="eastAsia" w:ascii="新宋体" w:hAnsi="新宋体" w:eastAsia="新宋体" w:cs="新宋体"/>
                <w:sz w:val="24"/>
                <w:szCs w:val="24"/>
              </w:rPr>
            </w:pPr>
            <w:r>
              <w:rPr>
                <w:rFonts w:hint="eastAsia" w:ascii="新宋体" w:hAnsi="新宋体" w:eastAsia="新宋体" w:cs="新宋体"/>
                <w:w w:val="102"/>
                <w:sz w:val="24"/>
                <w:szCs w:val="24"/>
              </w:rPr>
              <w:t>8</w:t>
            </w:r>
          </w:p>
        </w:tc>
        <w:tc>
          <w:tcPr>
            <w:tcW w:w="1195" w:type="dxa"/>
            <w:vMerge w:val="restart"/>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0" w:line="320" w:lineRule="exact"/>
              <w:ind w:left="0"/>
              <w:jc w:val="left"/>
              <w:rPr>
                <w:rFonts w:hint="eastAsia" w:ascii="新宋体" w:hAnsi="新宋体" w:eastAsia="新宋体" w:cs="新宋体"/>
                <w:sz w:val="24"/>
                <w:szCs w:val="24"/>
              </w:rPr>
            </w:pPr>
          </w:p>
          <w:p>
            <w:pPr>
              <w:pStyle w:val="73"/>
              <w:pageBreakBefore w:val="0"/>
              <w:kinsoku/>
              <w:wordWrap/>
              <w:overflowPunct/>
              <w:topLinePunct w:val="0"/>
              <w:bidi w:val="0"/>
              <w:snapToGrid/>
              <w:spacing w:before="4" w:line="320" w:lineRule="exact"/>
              <w:ind w:left="0"/>
              <w:jc w:val="left"/>
              <w:rPr>
                <w:rFonts w:hint="eastAsia" w:ascii="新宋体" w:hAnsi="新宋体" w:eastAsia="新宋体" w:cs="新宋体"/>
                <w:sz w:val="24"/>
                <w:szCs w:val="24"/>
              </w:rPr>
            </w:pPr>
          </w:p>
          <w:p>
            <w:pPr>
              <w:pStyle w:val="73"/>
              <w:pageBreakBefore w:val="0"/>
              <w:kinsoku/>
              <w:wordWrap/>
              <w:overflowPunct/>
              <w:topLinePunct w:val="0"/>
              <w:bidi w:val="0"/>
              <w:snapToGrid/>
              <w:spacing w:before="0" w:line="320" w:lineRule="exact"/>
              <w:ind w:left="241"/>
              <w:jc w:val="left"/>
              <w:rPr>
                <w:rFonts w:hint="eastAsia" w:ascii="新宋体" w:hAnsi="新宋体" w:eastAsia="新宋体" w:cs="新宋体"/>
                <w:sz w:val="24"/>
                <w:szCs w:val="24"/>
              </w:rPr>
            </w:pPr>
            <w:r>
              <w:rPr>
                <w:rFonts w:hint="eastAsia" w:ascii="新宋体" w:hAnsi="新宋体" w:eastAsia="新宋体" w:cs="新宋体"/>
                <w:w w:val="105"/>
                <w:sz w:val="24"/>
                <w:szCs w:val="24"/>
              </w:rPr>
              <w:t>阻垢装置</w:t>
            </w:r>
          </w:p>
        </w:tc>
        <w:tc>
          <w:tcPr>
            <w:tcW w:w="885"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50" w:right="107"/>
              <w:rPr>
                <w:rFonts w:hint="eastAsia" w:ascii="新宋体" w:hAnsi="新宋体" w:eastAsia="新宋体" w:cs="新宋体"/>
                <w:sz w:val="24"/>
                <w:szCs w:val="24"/>
              </w:rPr>
            </w:pPr>
            <w:r>
              <w:rPr>
                <w:rFonts w:hint="eastAsia" w:ascii="新宋体" w:hAnsi="新宋体" w:eastAsia="新宋体" w:cs="新宋体"/>
                <w:w w:val="105"/>
                <w:sz w:val="24"/>
                <w:szCs w:val="24"/>
              </w:rPr>
              <w:t>计量泵</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83" w:line="320" w:lineRule="exact"/>
              <w:ind w:left="106" w:right="55"/>
              <w:rPr>
                <w:rFonts w:hint="eastAsia" w:ascii="新宋体" w:hAnsi="新宋体" w:eastAsia="新宋体" w:cs="新宋体"/>
                <w:sz w:val="24"/>
                <w:szCs w:val="24"/>
              </w:rPr>
            </w:pPr>
            <w:r>
              <w:rPr>
                <w:rFonts w:hint="eastAsia" w:ascii="新宋体" w:hAnsi="新宋体" w:eastAsia="新宋体" w:cs="新宋体"/>
                <w:w w:val="105"/>
                <w:sz w:val="24"/>
                <w:szCs w:val="24"/>
              </w:rPr>
              <w:t>3L/h</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套</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3" w:right="43"/>
              <w:rPr>
                <w:rFonts w:hint="eastAsia" w:ascii="新宋体" w:hAnsi="新宋体" w:eastAsia="新宋体" w:cs="新宋体"/>
                <w:sz w:val="24"/>
                <w:szCs w:val="24"/>
              </w:rPr>
            </w:pPr>
            <w:r>
              <w:rPr>
                <w:rFonts w:hint="eastAsia" w:ascii="新宋体" w:hAnsi="新宋体" w:eastAsia="新宋体" w:cs="新宋体"/>
                <w:w w:val="105"/>
                <w:sz w:val="24"/>
                <w:szCs w:val="24"/>
              </w:rPr>
              <w:t>PE及PVC</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352"/>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vMerge w:val="continue"/>
            <w:tcBorders>
              <w:top w:val="nil"/>
              <w:bottom w:val="single" w:color="000000" w:sz="8" w:space="0"/>
              <w:right w:val="single" w:color="000000" w:sz="8" w:space="0"/>
            </w:tcBorders>
          </w:tcPr>
          <w:p>
            <w:pPr>
              <w:pageBreakBefore w:val="0"/>
              <w:kinsoku/>
              <w:wordWrap/>
              <w:overflowPunct/>
              <w:topLinePunct w:val="0"/>
              <w:bidi w:val="0"/>
              <w:snapToGrid/>
              <w:spacing w:line="320" w:lineRule="exact"/>
              <w:rPr>
                <w:rFonts w:hint="eastAsia" w:ascii="新宋体" w:hAnsi="新宋体" w:eastAsia="新宋体" w:cs="新宋体"/>
                <w:sz w:val="24"/>
                <w:szCs w:val="24"/>
              </w:rPr>
            </w:pPr>
          </w:p>
        </w:tc>
        <w:tc>
          <w:tcPr>
            <w:tcW w:w="1195" w:type="dxa"/>
            <w:vMerge w:val="continue"/>
            <w:tcBorders>
              <w:top w:val="nil"/>
              <w:left w:val="single" w:color="000000" w:sz="8" w:space="0"/>
              <w:bottom w:val="single" w:color="000000" w:sz="8" w:space="0"/>
              <w:right w:val="single" w:color="000000" w:sz="8" w:space="0"/>
            </w:tcBorders>
          </w:tcPr>
          <w:p>
            <w:pPr>
              <w:pageBreakBefore w:val="0"/>
              <w:kinsoku/>
              <w:wordWrap/>
              <w:overflowPunct/>
              <w:topLinePunct w:val="0"/>
              <w:bidi w:val="0"/>
              <w:snapToGrid/>
              <w:spacing w:line="320" w:lineRule="exact"/>
              <w:rPr>
                <w:rFonts w:hint="eastAsia" w:ascii="新宋体" w:hAnsi="新宋体" w:eastAsia="新宋体" w:cs="新宋体"/>
                <w:sz w:val="24"/>
                <w:szCs w:val="24"/>
              </w:rPr>
            </w:pPr>
          </w:p>
        </w:tc>
        <w:tc>
          <w:tcPr>
            <w:tcW w:w="885"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50" w:right="102"/>
              <w:rPr>
                <w:rFonts w:hint="eastAsia" w:ascii="新宋体" w:hAnsi="新宋体" w:eastAsia="新宋体" w:cs="新宋体"/>
                <w:sz w:val="24"/>
                <w:szCs w:val="24"/>
              </w:rPr>
            </w:pPr>
            <w:r>
              <w:rPr>
                <w:rFonts w:hint="eastAsia" w:ascii="新宋体" w:hAnsi="新宋体" w:eastAsia="新宋体" w:cs="新宋体"/>
                <w:w w:val="105"/>
                <w:sz w:val="24"/>
                <w:szCs w:val="24"/>
              </w:rPr>
              <w:t>药剂</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00" w:right="55"/>
              <w:rPr>
                <w:rFonts w:hint="eastAsia" w:ascii="新宋体" w:hAnsi="新宋体" w:eastAsia="新宋体" w:cs="新宋体"/>
                <w:sz w:val="24"/>
                <w:szCs w:val="24"/>
              </w:rPr>
            </w:pPr>
            <w:r>
              <w:rPr>
                <w:rFonts w:hint="eastAsia" w:ascii="新宋体" w:hAnsi="新宋体" w:eastAsia="新宋体" w:cs="新宋体"/>
                <w:w w:val="105"/>
                <w:sz w:val="24"/>
                <w:szCs w:val="24"/>
              </w:rPr>
              <w:t>阻垢剂</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桶</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0" w:line="320" w:lineRule="exact"/>
              <w:ind w:left="0"/>
              <w:jc w:val="left"/>
              <w:rPr>
                <w:rFonts w:hint="eastAsia" w:ascii="新宋体" w:hAnsi="新宋体" w:eastAsia="新宋体" w:cs="新宋体"/>
                <w:sz w:val="24"/>
                <w:szCs w:val="24"/>
              </w:rPr>
            </w:pP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352"/>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8" w:hRule="atLeast"/>
        </w:trPr>
        <w:tc>
          <w:tcPr>
            <w:tcW w:w="572" w:type="dxa"/>
            <w:vMerge w:val="continue"/>
            <w:tcBorders>
              <w:top w:val="nil"/>
              <w:bottom w:val="single" w:color="000000" w:sz="8" w:space="0"/>
              <w:right w:val="single" w:color="000000" w:sz="8" w:space="0"/>
            </w:tcBorders>
          </w:tcPr>
          <w:p>
            <w:pPr>
              <w:pageBreakBefore w:val="0"/>
              <w:kinsoku/>
              <w:wordWrap/>
              <w:overflowPunct/>
              <w:topLinePunct w:val="0"/>
              <w:bidi w:val="0"/>
              <w:snapToGrid/>
              <w:spacing w:line="320" w:lineRule="exact"/>
              <w:rPr>
                <w:rFonts w:hint="eastAsia" w:ascii="新宋体" w:hAnsi="新宋体" w:eastAsia="新宋体" w:cs="新宋体"/>
                <w:sz w:val="24"/>
                <w:szCs w:val="24"/>
              </w:rPr>
            </w:pPr>
          </w:p>
        </w:tc>
        <w:tc>
          <w:tcPr>
            <w:tcW w:w="1195" w:type="dxa"/>
            <w:vMerge w:val="continue"/>
            <w:tcBorders>
              <w:top w:val="nil"/>
              <w:left w:val="single" w:color="000000" w:sz="8" w:space="0"/>
              <w:bottom w:val="single" w:color="000000" w:sz="8" w:space="0"/>
              <w:right w:val="single" w:color="000000" w:sz="8" w:space="0"/>
            </w:tcBorders>
          </w:tcPr>
          <w:p>
            <w:pPr>
              <w:pageBreakBefore w:val="0"/>
              <w:kinsoku/>
              <w:wordWrap/>
              <w:overflowPunct/>
              <w:topLinePunct w:val="0"/>
              <w:bidi w:val="0"/>
              <w:snapToGrid/>
              <w:spacing w:line="320" w:lineRule="exact"/>
              <w:rPr>
                <w:rFonts w:hint="eastAsia" w:ascii="新宋体" w:hAnsi="新宋体" w:eastAsia="新宋体" w:cs="新宋体"/>
                <w:sz w:val="24"/>
                <w:szCs w:val="24"/>
              </w:rPr>
            </w:pPr>
          </w:p>
        </w:tc>
        <w:tc>
          <w:tcPr>
            <w:tcW w:w="885"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50" w:right="102"/>
              <w:rPr>
                <w:rFonts w:hint="eastAsia" w:ascii="新宋体" w:hAnsi="新宋体" w:eastAsia="新宋体" w:cs="新宋体"/>
                <w:sz w:val="24"/>
                <w:szCs w:val="24"/>
              </w:rPr>
            </w:pPr>
            <w:r>
              <w:rPr>
                <w:rFonts w:hint="eastAsia" w:ascii="新宋体" w:hAnsi="新宋体" w:eastAsia="新宋体" w:cs="新宋体"/>
                <w:w w:val="105"/>
                <w:sz w:val="24"/>
                <w:szCs w:val="24"/>
              </w:rPr>
              <w:t>药箱</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05" w:right="55"/>
              <w:rPr>
                <w:rFonts w:hint="eastAsia" w:ascii="新宋体" w:hAnsi="新宋体" w:eastAsia="新宋体" w:cs="新宋体"/>
                <w:sz w:val="24"/>
                <w:szCs w:val="24"/>
              </w:rPr>
            </w:pPr>
            <w:r>
              <w:rPr>
                <w:rFonts w:hint="eastAsia" w:ascii="新宋体" w:hAnsi="新宋体" w:eastAsia="新宋体" w:cs="新宋体"/>
                <w:w w:val="105"/>
                <w:sz w:val="24"/>
                <w:szCs w:val="24"/>
              </w:rPr>
              <w:t>容积40L</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套</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4" w:right="43"/>
              <w:rPr>
                <w:rFonts w:hint="eastAsia" w:ascii="新宋体" w:hAnsi="新宋体" w:eastAsia="新宋体" w:cs="新宋体"/>
                <w:sz w:val="24"/>
                <w:szCs w:val="24"/>
              </w:rPr>
            </w:pPr>
            <w:r>
              <w:rPr>
                <w:rFonts w:hint="eastAsia" w:ascii="新宋体" w:hAnsi="新宋体" w:eastAsia="新宋体" w:cs="新宋体"/>
                <w:w w:val="105"/>
                <w:sz w:val="24"/>
                <w:szCs w:val="24"/>
              </w:rPr>
              <w:t>PE材质</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before="0" w:line="320" w:lineRule="exact"/>
              <w:ind w:left="75"/>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45"/>
              <w:rPr>
                <w:rFonts w:hint="eastAsia" w:ascii="新宋体" w:hAnsi="新宋体" w:eastAsia="新宋体" w:cs="新宋体"/>
                <w:sz w:val="24"/>
                <w:szCs w:val="24"/>
              </w:rPr>
            </w:pPr>
            <w:r>
              <w:rPr>
                <w:rFonts w:hint="eastAsia" w:ascii="新宋体" w:hAnsi="新宋体" w:eastAsia="新宋体" w:cs="新宋体"/>
                <w:w w:val="102"/>
                <w:sz w:val="24"/>
                <w:szCs w:val="24"/>
              </w:rPr>
              <w:t>9</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366" w:right="318"/>
              <w:rPr>
                <w:rFonts w:hint="eastAsia" w:ascii="新宋体" w:hAnsi="新宋体" w:eastAsia="新宋体" w:cs="新宋体"/>
                <w:sz w:val="24"/>
                <w:szCs w:val="24"/>
              </w:rPr>
            </w:pPr>
            <w:r>
              <w:rPr>
                <w:rFonts w:hint="eastAsia" w:ascii="新宋体" w:hAnsi="新宋体" w:eastAsia="新宋体" w:cs="新宋体"/>
                <w:w w:val="105"/>
                <w:sz w:val="24"/>
                <w:szCs w:val="24"/>
              </w:rPr>
              <w:t>压力表</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9" w:right="55"/>
              <w:rPr>
                <w:rFonts w:hint="eastAsia" w:ascii="新宋体" w:hAnsi="新宋体" w:eastAsia="新宋体" w:cs="新宋体"/>
                <w:sz w:val="24"/>
                <w:szCs w:val="24"/>
              </w:rPr>
            </w:pPr>
            <w:r>
              <w:rPr>
                <w:rFonts w:hint="eastAsia" w:ascii="新宋体" w:hAnsi="新宋体" w:eastAsia="新宋体" w:cs="新宋体"/>
                <w:w w:val="105"/>
                <w:sz w:val="24"/>
                <w:szCs w:val="24"/>
              </w:rPr>
              <w:t>0～1MPa 不锈钢材质</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只</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0" w:line="320" w:lineRule="exact"/>
              <w:ind w:left="96" w:right="43"/>
              <w:rPr>
                <w:rFonts w:hint="eastAsia" w:ascii="新宋体" w:hAnsi="新宋体" w:eastAsia="新宋体" w:cs="新宋体"/>
                <w:sz w:val="24"/>
                <w:szCs w:val="24"/>
              </w:rPr>
            </w:pPr>
            <w:r>
              <w:rPr>
                <w:rFonts w:hint="eastAsia" w:ascii="新宋体" w:hAnsi="新宋体" w:eastAsia="新宋体" w:cs="新宋体"/>
                <w:w w:val="105"/>
                <w:sz w:val="24"/>
                <w:szCs w:val="24"/>
              </w:rPr>
              <w:t>充油抗震型/指针</w:t>
            </w:r>
          </w:p>
          <w:p>
            <w:pPr>
              <w:pStyle w:val="73"/>
              <w:pageBreakBefore w:val="0"/>
              <w:kinsoku/>
              <w:wordWrap/>
              <w:overflowPunct/>
              <w:topLinePunct w:val="0"/>
              <w:bidi w:val="0"/>
              <w:snapToGrid/>
              <w:spacing w:before="0" w:line="320" w:lineRule="exact"/>
              <w:ind w:left="55"/>
              <w:rPr>
                <w:rFonts w:hint="eastAsia" w:ascii="新宋体" w:hAnsi="新宋体" w:eastAsia="新宋体" w:cs="新宋体"/>
                <w:sz w:val="24"/>
                <w:szCs w:val="24"/>
              </w:rPr>
            </w:pPr>
            <w:r>
              <w:rPr>
                <w:rFonts w:hint="eastAsia" w:ascii="新宋体" w:hAnsi="新宋体" w:eastAsia="新宋体" w:cs="新宋体"/>
                <w:w w:val="102"/>
                <w:sz w:val="24"/>
                <w:szCs w:val="24"/>
              </w:rPr>
              <w:t>式</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120"/>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81" w:right="40"/>
              <w:rPr>
                <w:rFonts w:hint="eastAsia" w:ascii="新宋体" w:hAnsi="新宋体" w:eastAsia="新宋体" w:cs="新宋体"/>
                <w:sz w:val="24"/>
                <w:szCs w:val="24"/>
              </w:rPr>
            </w:pPr>
            <w:r>
              <w:rPr>
                <w:rFonts w:hint="eastAsia" w:ascii="新宋体" w:hAnsi="新宋体" w:eastAsia="新宋体" w:cs="新宋体"/>
                <w:w w:val="105"/>
                <w:sz w:val="24"/>
                <w:szCs w:val="24"/>
              </w:rPr>
              <w:t>10</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91"/>
              <w:jc w:val="left"/>
              <w:rPr>
                <w:rFonts w:hint="eastAsia" w:ascii="新宋体" w:hAnsi="新宋体" w:eastAsia="新宋体" w:cs="新宋体"/>
                <w:sz w:val="24"/>
                <w:szCs w:val="24"/>
              </w:rPr>
            </w:pPr>
            <w:r>
              <w:rPr>
                <w:rFonts w:hint="eastAsia" w:ascii="新宋体" w:hAnsi="新宋体" w:eastAsia="新宋体" w:cs="新宋体"/>
                <w:w w:val="105"/>
                <w:sz w:val="24"/>
                <w:szCs w:val="24"/>
              </w:rPr>
              <w:t>保安过滤器</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08" w:right="55"/>
              <w:rPr>
                <w:rFonts w:hint="eastAsia" w:ascii="新宋体" w:hAnsi="新宋体" w:eastAsia="新宋体" w:cs="新宋体"/>
                <w:sz w:val="24"/>
                <w:szCs w:val="24"/>
              </w:rPr>
            </w:pPr>
            <w:r>
              <w:rPr>
                <w:rFonts w:hint="eastAsia" w:ascii="新宋体" w:hAnsi="新宋体" w:eastAsia="新宋体" w:cs="新宋体"/>
                <w:w w:val="105"/>
                <w:sz w:val="24"/>
                <w:szCs w:val="24"/>
              </w:rPr>
              <w:t>20”5芯（含滤芯）</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套</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6" w:right="43"/>
              <w:rPr>
                <w:rFonts w:hint="eastAsia" w:ascii="新宋体" w:hAnsi="新宋体" w:eastAsia="新宋体" w:cs="新宋体"/>
                <w:sz w:val="24"/>
                <w:szCs w:val="24"/>
              </w:rPr>
            </w:pPr>
            <w:r>
              <w:rPr>
                <w:rFonts w:hint="eastAsia" w:ascii="新宋体" w:hAnsi="新宋体" w:eastAsia="新宋体" w:cs="新宋体"/>
                <w:w w:val="105"/>
                <w:sz w:val="24"/>
                <w:szCs w:val="24"/>
              </w:rPr>
              <w:t>PP/5微米 PE材质</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167"/>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8"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81" w:right="40"/>
              <w:rPr>
                <w:rFonts w:hint="eastAsia" w:ascii="新宋体" w:hAnsi="新宋体" w:eastAsia="新宋体" w:cs="新宋体"/>
                <w:sz w:val="24"/>
                <w:szCs w:val="24"/>
              </w:rPr>
            </w:pPr>
            <w:r>
              <w:rPr>
                <w:rFonts w:hint="eastAsia" w:ascii="新宋体" w:hAnsi="新宋体" w:eastAsia="新宋体" w:cs="新宋体"/>
                <w:w w:val="105"/>
                <w:sz w:val="24"/>
                <w:szCs w:val="24"/>
              </w:rPr>
              <w:t>11</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firstLine="1008" w:firstLineChars="400"/>
              <w:jc w:val="left"/>
              <w:rPr>
                <w:rFonts w:hint="eastAsia" w:ascii="新宋体" w:hAnsi="新宋体" w:eastAsia="新宋体" w:cs="新宋体"/>
                <w:sz w:val="24"/>
                <w:szCs w:val="24"/>
              </w:rPr>
            </w:pPr>
            <w:r>
              <w:rPr>
                <w:rFonts w:hint="eastAsia" w:ascii="新宋体" w:hAnsi="新宋体" w:eastAsia="新宋体" w:cs="新宋体"/>
                <w:w w:val="105"/>
                <w:sz w:val="24"/>
                <w:szCs w:val="24"/>
              </w:rPr>
              <w:t>高压泵</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04" w:right="55"/>
              <w:rPr>
                <w:rFonts w:hint="eastAsia" w:ascii="新宋体" w:hAnsi="新宋体" w:eastAsia="新宋体" w:cs="新宋体"/>
                <w:sz w:val="24"/>
                <w:szCs w:val="24"/>
              </w:rPr>
            </w:pPr>
            <w:r>
              <w:rPr>
                <w:rFonts w:hint="eastAsia" w:ascii="新宋体" w:hAnsi="新宋体" w:eastAsia="新宋体" w:cs="新宋体"/>
                <w:w w:val="105"/>
                <w:sz w:val="24"/>
                <w:szCs w:val="24"/>
              </w:rPr>
              <w:t>CDL4-12/380V/2.2KW</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台</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0" w:right="43"/>
              <w:rPr>
                <w:rFonts w:hint="eastAsia" w:ascii="新宋体" w:hAnsi="新宋体" w:eastAsia="新宋体" w:cs="新宋体"/>
                <w:sz w:val="24"/>
                <w:szCs w:val="24"/>
              </w:rPr>
            </w:pPr>
            <w:r>
              <w:rPr>
                <w:rFonts w:hint="eastAsia" w:ascii="新宋体" w:hAnsi="新宋体" w:eastAsia="新宋体" w:cs="新宋体"/>
                <w:w w:val="105"/>
                <w:sz w:val="24"/>
                <w:szCs w:val="24"/>
              </w:rPr>
              <w:t>立式多级泵</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167"/>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81" w:right="40"/>
              <w:rPr>
                <w:rFonts w:hint="eastAsia" w:ascii="新宋体" w:hAnsi="新宋体" w:eastAsia="新宋体" w:cs="新宋体"/>
                <w:sz w:val="24"/>
                <w:szCs w:val="24"/>
              </w:rPr>
            </w:pPr>
            <w:r>
              <w:rPr>
                <w:rFonts w:hint="eastAsia" w:ascii="新宋体" w:hAnsi="新宋体" w:eastAsia="新宋体" w:cs="新宋体"/>
                <w:w w:val="105"/>
                <w:sz w:val="24"/>
                <w:szCs w:val="24"/>
              </w:rPr>
              <w:t>12</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00" w:firstLine="252" w:firstLineChars="100"/>
              <w:jc w:val="left"/>
              <w:rPr>
                <w:rFonts w:hint="eastAsia" w:ascii="新宋体" w:hAnsi="新宋体" w:eastAsia="新宋体" w:cs="新宋体"/>
                <w:sz w:val="24"/>
                <w:szCs w:val="24"/>
              </w:rPr>
            </w:pPr>
            <w:r>
              <w:rPr>
                <w:rFonts w:hint="eastAsia" w:ascii="新宋体" w:hAnsi="新宋体" w:eastAsia="新宋体" w:cs="新宋体"/>
                <w:w w:val="105"/>
                <w:sz w:val="24"/>
                <w:szCs w:val="24"/>
              </w:rPr>
              <w:t>反渗透膜</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00" w:right="55"/>
              <w:rPr>
                <w:rFonts w:hint="eastAsia" w:ascii="新宋体" w:hAnsi="新宋体" w:eastAsia="新宋体" w:cs="新宋体"/>
                <w:sz w:val="24"/>
                <w:szCs w:val="24"/>
              </w:rPr>
            </w:pPr>
            <w:r>
              <w:rPr>
                <w:rFonts w:hint="eastAsia" w:ascii="新宋体" w:hAnsi="新宋体" w:eastAsia="新宋体" w:cs="新宋体"/>
                <w:w w:val="105"/>
                <w:sz w:val="24"/>
                <w:szCs w:val="24"/>
              </w:rPr>
              <w:t>LP-4040</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支</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lang w:val="en-US"/>
              </w:rPr>
            </w:pPr>
            <w:r>
              <w:rPr>
                <w:rFonts w:hint="eastAsia" w:ascii="新宋体" w:hAnsi="新宋体" w:eastAsia="新宋体" w:cs="新宋体"/>
                <w:sz w:val="24"/>
                <w:szCs w:val="24"/>
                <w:lang w:val="en-US"/>
              </w:rPr>
              <w:t>4</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87" w:right="43"/>
              <w:rPr>
                <w:rFonts w:hint="eastAsia" w:ascii="新宋体" w:hAnsi="新宋体" w:eastAsia="新宋体" w:cs="新宋体"/>
                <w:sz w:val="24"/>
                <w:szCs w:val="24"/>
              </w:rPr>
            </w:pPr>
            <w:r>
              <w:rPr>
                <w:rFonts w:hint="eastAsia" w:ascii="新宋体" w:hAnsi="新宋体" w:eastAsia="新宋体" w:cs="新宋体"/>
                <w:w w:val="105"/>
                <w:sz w:val="24"/>
                <w:szCs w:val="24"/>
              </w:rPr>
              <w:t>聚酰胺复合膜</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348"/>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81" w:right="40"/>
              <w:rPr>
                <w:rFonts w:hint="eastAsia" w:ascii="新宋体" w:hAnsi="新宋体" w:eastAsia="新宋体" w:cs="新宋体"/>
                <w:sz w:val="24"/>
                <w:szCs w:val="24"/>
              </w:rPr>
            </w:pPr>
            <w:r>
              <w:rPr>
                <w:rFonts w:hint="eastAsia" w:ascii="新宋体" w:hAnsi="新宋体" w:eastAsia="新宋体" w:cs="新宋体"/>
                <w:w w:val="105"/>
                <w:sz w:val="24"/>
                <w:szCs w:val="24"/>
              </w:rPr>
              <w:t>13</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406"/>
              <w:jc w:val="left"/>
              <w:rPr>
                <w:rFonts w:hint="eastAsia" w:ascii="新宋体" w:hAnsi="新宋体" w:eastAsia="新宋体" w:cs="新宋体"/>
                <w:sz w:val="24"/>
                <w:szCs w:val="24"/>
              </w:rPr>
            </w:pPr>
            <w:r>
              <w:rPr>
                <w:rFonts w:hint="eastAsia" w:ascii="新宋体" w:hAnsi="新宋体" w:eastAsia="新宋体" w:cs="新宋体"/>
                <w:w w:val="105"/>
                <w:sz w:val="24"/>
                <w:szCs w:val="24"/>
              </w:rPr>
              <w:t>反渗透膜壳</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04" w:right="55"/>
              <w:rPr>
                <w:rFonts w:hint="eastAsia" w:ascii="新宋体" w:hAnsi="新宋体" w:eastAsia="新宋体" w:cs="新宋体"/>
                <w:sz w:val="24"/>
                <w:szCs w:val="24"/>
              </w:rPr>
            </w:pPr>
            <w:r>
              <w:rPr>
                <w:rFonts w:hint="eastAsia" w:ascii="新宋体" w:hAnsi="新宋体" w:eastAsia="新宋体" w:cs="新宋体"/>
                <w:w w:val="105"/>
                <w:sz w:val="24"/>
                <w:szCs w:val="24"/>
              </w:rPr>
              <w:t>4040×</w:t>
            </w:r>
            <w:r>
              <w:rPr>
                <w:rFonts w:hint="eastAsia" w:ascii="新宋体" w:hAnsi="新宋体" w:eastAsia="新宋体" w:cs="新宋体"/>
                <w:w w:val="105"/>
                <w:sz w:val="24"/>
                <w:szCs w:val="24"/>
                <w:lang w:val="en-US"/>
              </w:rPr>
              <w:t>1</w:t>
            </w:r>
            <w:r>
              <w:rPr>
                <w:rFonts w:hint="eastAsia" w:ascii="新宋体" w:hAnsi="新宋体" w:eastAsia="新宋体" w:cs="新宋体"/>
                <w:w w:val="105"/>
                <w:sz w:val="24"/>
                <w:szCs w:val="24"/>
              </w:rPr>
              <w:t>芯装</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套</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lang w:val="en-US"/>
              </w:rPr>
            </w:pPr>
            <w:r>
              <w:rPr>
                <w:rFonts w:hint="eastAsia" w:ascii="新宋体" w:hAnsi="新宋体" w:eastAsia="新宋体" w:cs="新宋体"/>
                <w:sz w:val="24"/>
                <w:szCs w:val="24"/>
                <w:lang w:val="en-US"/>
              </w:rPr>
              <w:t>4</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2" w:right="43"/>
              <w:rPr>
                <w:rFonts w:hint="eastAsia" w:ascii="新宋体" w:hAnsi="新宋体" w:eastAsia="新宋体" w:cs="新宋体"/>
                <w:sz w:val="24"/>
                <w:szCs w:val="24"/>
              </w:rPr>
            </w:pPr>
            <w:r>
              <w:rPr>
                <w:rFonts w:hint="eastAsia" w:ascii="新宋体" w:hAnsi="新宋体" w:eastAsia="新宋体" w:cs="新宋体"/>
                <w:w w:val="105"/>
                <w:sz w:val="24"/>
                <w:szCs w:val="24"/>
              </w:rPr>
              <w:t>304不锈钢</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167"/>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81" w:right="40"/>
              <w:rPr>
                <w:rFonts w:hint="eastAsia" w:ascii="新宋体" w:hAnsi="新宋体" w:eastAsia="新宋体" w:cs="新宋体"/>
                <w:sz w:val="24"/>
                <w:szCs w:val="24"/>
                <w:lang w:val="en-US"/>
              </w:rPr>
            </w:pPr>
            <w:r>
              <w:rPr>
                <w:rFonts w:hint="eastAsia" w:ascii="新宋体" w:hAnsi="新宋体" w:eastAsia="新宋体" w:cs="新宋体"/>
                <w:w w:val="105"/>
                <w:sz w:val="24"/>
                <w:szCs w:val="24"/>
              </w:rPr>
              <w:t>1</w:t>
            </w:r>
            <w:r>
              <w:rPr>
                <w:rFonts w:hint="eastAsia" w:ascii="新宋体" w:hAnsi="新宋体" w:eastAsia="新宋体" w:cs="新宋体"/>
                <w:w w:val="105"/>
                <w:sz w:val="24"/>
                <w:szCs w:val="24"/>
                <w:lang w:val="en-US"/>
              </w:rPr>
              <w:t>4</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366" w:right="319"/>
              <w:rPr>
                <w:rFonts w:hint="eastAsia" w:ascii="新宋体" w:hAnsi="新宋体" w:eastAsia="新宋体" w:cs="新宋体"/>
                <w:sz w:val="24"/>
                <w:szCs w:val="24"/>
              </w:rPr>
            </w:pPr>
            <w:r>
              <w:rPr>
                <w:rFonts w:hint="eastAsia" w:ascii="新宋体" w:hAnsi="新宋体" w:eastAsia="新宋体" w:cs="新宋体"/>
                <w:w w:val="105"/>
                <w:sz w:val="24"/>
                <w:szCs w:val="24"/>
              </w:rPr>
              <w:t>机架</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04" w:right="55"/>
              <w:rPr>
                <w:rFonts w:hint="eastAsia" w:ascii="新宋体" w:hAnsi="新宋体" w:eastAsia="新宋体" w:cs="新宋体"/>
                <w:sz w:val="24"/>
                <w:szCs w:val="24"/>
              </w:rPr>
            </w:pPr>
            <w:r>
              <w:rPr>
                <w:rFonts w:hint="eastAsia" w:ascii="新宋体" w:hAnsi="新宋体" w:eastAsia="新宋体" w:cs="新宋体"/>
                <w:w w:val="105"/>
                <w:sz w:val="24"/>
                <w:szCs w:val="24"/>
              </w:rPr>
              <w:t>RO主机</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台</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0" w:right="43"/>
              <w:rPr>
                <w:rFonts w:hint="eastAsia" w:ascii="新宋体" w:hAnsi="新宋体" w:eastAsia="新宋体" w:cs="新宋体"/>
                <w:sz w:val="24"/>
                <w:szCs w:val="24"/>
              </w:rPr>
            </w:pPr>
            <w:r>
              <w:rPr>
                <w:rFonts w:hint="eastAsia" w:ascii="新宋体" w:hAnsi="新宋体" w:eastAsia="新宋体" w:cs="新宋体"/>
                <w:w w:val="105"/>
                <w:sz w:val="24"/>
                <w:szCs w:val="24"/>
              </w:rPr>
              <w:t>不锈钢材质</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167"/>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81" w:right="40"/>
              <w:rPr>
                <w:rFonts w:hint="eastAsia" w:ascii="新宋体" w:hAnsi="新宋体" w:eastAsia="新宋体" w:cs="新宋体"/>
                <w:sz w:val="24"/>
                <w:szCs w:val="24"/>
                <w:lang w:val="en-US"/>
              </w:rPr>
            </w:pPr>
            <w:r>
              <w:rPr>
                <w:rFonts w:hint="eastAsia" w:ascii="新宋体" w:hAnsi="新宋体" w:eastAsia="新宋体" w:cs="新宋体"/>
                <w:w w:val="105"/>
                <w:sz w:val="24"/>
                <w:szCs w:val="24"/>
              </w:rPr>
              <w:t>1</w:t>
            </w:r>
            <w:r>
              <w:rPr>
                <w:rFonts w:hint="eastAsia" w:ascii="新宋体" w:hAnsi="新宋体" w:eastAsia="新宋体" w:cs="新宋体"/>
                <w:w w:val="105"/>
                <w:sz w:val="24"/>
                <w:szCs w:val="24"/>
                <w:lang w:val="en-US"/>
              </w:rPr>
              <w:t>5</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91"/>
              <w:jc w:val="left"/>
              <w:rPr>
                <w:rFonts w:hint="eastAsia" w:ascii="新宋体" w:hAnsi="新宋体" w:eastAsia="新宋体" w:cs="新宋体"/>
                <w:sz w:val="24"/>
                <w:szCs w:val="24"/>
              </w:rPr>
            </w:pPr>
            <w:r>
              <w:rPr>
                <w:rFonts w:hint="eastAsia" w:ascii="新宋体" w:hAnsi="新宋体" w:eastAsia="新宋体" w:cs="新宋体"/>
                <w:w w:val="105"/>
                <w:sz w:val="24"/>
                <w:szCs w:val="24"/>
              </w:rPr>
              <w:t>自动控制柜</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01" w:right="55"/>
              <w:rPr>
                <w:rFonts w:hint="eastAsia" w:ascii="新宋体" w:hAnsi="新宋体" w:eastAsia="新宋体" w:cs="新宋体"/>
                <w:sz w:val="24"/>
                <w:szCs w:val="24"/>
              </w:rPr>
            </w:pPr>
            <w:r>
              <w:rPr>
                <w:rFonts w:hint="eastAsia" w:ascii="新宋体" w:hAnsi="新宋体" w:eastAsia="新宋体" w:cs="新宋体"/>
                <w:w w:val="105"/>
                <w:sz w:val="24"/>
                <w:szCs w:val="24"/>
              </w:rPr>
              <w:t>标准配置</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套</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0" w:right="43"/>
              <w:rPr>
                <w:rFonts w:hint="eastAsia" w:ascii="新宋体" w:hAnsi="新宋体" w:eastAsia="新宋体" w:cs="新宋体"/>
                <w:sz w:val="24"/>
                <w:szCs w:val="24"/>
              </w:rPr>
            </w:pPr>
            <w:r>
              <w:rPr>
                <w:rFonts w:hint="eastAsia" w:ascii="新宋体" w:hAnsi="新宋体" w:eastAsia="新宋体" w:cs="新宋体"/>
                <w:w w:val="105"/>
                <w:sz w:val="24"/>
                <w:szCs w:val="24"/>
              </w:rPr>
              <w:t>德力西电器</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167"/>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443"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116" w:line="320" w:lineRule="exact"/>
              <w:ind w:left="81" w:right="40"/>
              <w:rPr>
                <w:rFonts w:hint="eastAsia" w:ascii="新宋体" w:hAnsi="新宋体" w:eastAsia="新宋体" w:cs="新宋体"/>
                <w:sz w:val="24"/>
                <w:szCs w:val="24"/>
                <w:lang w:val="en-US"/>
              </w:rPr>
            </w:pPr>
            <w:r>
              <w:rPr>
                <w:rFonts w:hint="eastAsia" w:ascii="新宋体" w:hAnsi="新宋体" w:eastAsia="新宋体" w:cs="新宋体"/>
                <w:w w:val="105"/>
                <w:sz w:val="24"/>
                <w:szCs w:val="24"/>
              </w:rPr>
              <w:t>1</w:t>
            </w:r>
            <w:r>
              <w:rPr>
                <w:rFonts w:hint="eastAsia" w:ascii="新宋体" w:hAnsi="新宋体" w:eastAsia="新宋体" w:cs="新宋体"/>
                <w:w w:val="105"/>
                <w:sz w:val="24"/>
                <w:szCs w:val="24"/>
                <w:lang w:val="en-US"/>
              </w:rPr>
              <w:t>6</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116" w:line="320" w:lineRule="exact"/>
              <w:ind w:left="685"/>
              <w:jc w:val="left"/>
              <w:rPr>
                <w:rFonts w:hint="eastAsia" w:ascii="新宋体" w:hAnsi="新宋体" w:eastAsia="新宋体" w:cs="新宋体"/>
                <w:sz w:val="24"/>
                <w:szCs w:val="24"/>
              </w:rPr>
            </w:pPr>
            <w:r>
              <w:rPr>
                <w:rFonts w:hint="eastAsia" w:ascii="新宋体" w:hAnsi="新宋体" w:eastAsia="新宋体" w:cs="新宋体"/>
                <w:w w:val="105"/>
                <w:sz w:val="24"/>
                <w:szCs w:val="24"/>
              </w:rPr>
              <w:t>低压保护</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116" w:line="320" w:lineRule="exact"/>
              <w:ind w:left="104" w:right="55"/>
              <w:rPr>
                <w:rFonts w:hint="eastAsia" w:ascii="新宋体" w:hAnsi="新宋体" w:eastAsia="新宋体" w:cs="新宋体"/>
                <w:sz w:val="24"/>
                <w:szCs w:val="24"/>
              </w:rPr>
            </w:pPr>
            <w:r>
              <w:rPr>
                <w:rFonts w:hint="eastAsia" w:ascii="新宋体" w:hAnsi="新宋体" w:eastAsia="新宋体" w:cs="新宋体"/>
                <w:w w:val="105"/>
                <w:sz w:val="24"/>
                <w:szCs w:val="24"/>
              </w:rPr>
              <w:t>——</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116"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个</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116"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116" w:line="320" w:lineRule="exact"/>
              <w:ind w:left="93" w:right="43"/>
              <w:rPr>
                <w:rFonts w:hint="eastAsia" w:ascii="新宋体" w:hAnsi="新宋体" w:eastAsia="新宋体" w:cs="新宋体"/>
                <w:sz w:val="24"/>
                <w:szCs w:val="24"/>
              </w:rPr>
            </w:pPr>
            <w:r>
              <w:rPr>
                <w:rFonts w:hint="eastAsia" w:ascii="新宋体" w:hAnsi="新宋体" w:eastAsia="新宋体" w:cs="新宋体"/>
                <w:w w:val="105"/>
                <w:sz w:val="24"/>
                <w:szCs w:val="24"/>
              </w:rPr>
              <w:t>220VAC</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before="1" w:line="320" w:lineRule="exact"/>
              <w:ind w:left="352" w:right="41" w:hanging="233"/>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469"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124" w:line="320" w:lineRule="exact"/>
              <w:ind w:left="81" w:right="40"/>
              <w:rPr>
                <w:rFonts w:hint="eastAsia" w:ascii="新宋体" w:hAnsi="新宋体" w:eastAsia="新宋体" w:cs="新宋体"/>
                <w:sz w:val="24"/>
                <w:szCs w:val="24"/>
                <w:lang w:val="en-US"/>
              </w:rPr>
            </w:pPr>
            <w:r>
              <w:rPr>
                <w:rFonts w:hint="eastAsia" w:ascii="新宋体" w:hAnsi="新宋体" w:eastAsia="新宋体" w:cs="新宋体"/>
                <w:sz w:val="24"/>
                <w:szCs w:val="24"/>
                <w:lang w:val="en-US"/>
              </w:rPr>
              <w:t>17</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124" w:line="320" w:lineRule="exact"/>
              <w:ind w:left="685"/>
              <w:jc w:val="left"/>
              <w:rPr>
                <w:rFonts w:hint="eastAsia" w:ascii="新宋体" w:hAnsi="新宋体" w:eastAsia="新宋体" w:cs="新宋体"/>
                <w:sz w:val="24"/>
                <w:szCs w:val="24"/>
              </w:rPr>
            </w:pPr>
            <w:r>
              <w:rPr>
                <w:rFonts w:hint="eastAsia" w:ascii="新宋体" w:hAnsi="新宋体" w:eastAsia="新宋体" w:cs="新宋体"/>
                <w:w w:val="105"/>
                <w:sz w:val="24"/>
                <w:szCs w:val="24"/>
              </w:rPr>
              <w:t>高压保护</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124" w:line="320" w:lineRule="exact"/>
              <w:ind w:left="104" w:right="55"/>
              <w:rPr>
                <w:rFonts w:hint="eastAsia" w:ascii="新宋体" w:hAnsi="新宋体" w:eastAsia="新宋体" w:cs="新宋体"/>
                <w:sz w:val="24"/>
                <w:szCs w:val="24"/>
              </w:rPr>
            </w:pPr>
            <w:r>
              <w:rPr>
                <w:rFonts w:hint="eastAsia" w:ascii="新宋体" w:hAnsi="新宋体" w:eastAsia="新宋体" w:cs="新宋体"/>
                <w:w w:val="105"/>
                <w:sz w:val="24"/>
                <w:szCs w:val="24"/>
              </w:rPr>
              <w:t>——</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124"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个</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124"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124" w:line="320" w:lineRule="exact"/>
              <w:ind w:left="93" w:right="43"/>
              <w:rPr>
                <w:rFonts w:hint="eastAsia" w:ascii="新宋体" w:hAnsi="新宋体" w:eastAsia="新宋体" w:cs="新宋体"/>
                <w:sz w:val="24"/>
                <w:szCs w:val="24"/>
              </w:rPr>
            </w:pPr>
            <w:r>
              <w:rPr>
                <w:rFonts w:hint="eastAsia" w:ascii="新宋体" w:hAnsi="新宋体" w:eastAsia="新宋体" w:cs="新宋体"/>
                <w:w w:val="105"/>
                <w:sz w:val="24"/>
                <w:szCs w:val="24"/>
              </w:rPr>
              <w:t>220VAC</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before="7" w:line="320" w:lineRule="exact"/>
              <w:ind w:left="352" w:right="41" w:hanging="233"/>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81" w:right="40"/>
              <w:rPr>
                <w:rFonts w:hint="eastAsia" w:ascii="新宋体" w:hAnsi="新宋体" w:eastAsia="新宋体" w:cs="新宋体"/>
                <w:sz w:val="24"/>
                <w:szCs w:val="24"/>
                <w:lang w:val="en-US"/>
              </w:rPr>
            </w:pPr>
            <w:r>
              <w:rPr>
                <w:rFonts w:hint="eastAsia" w:ascii="新宋体" w:hAnsi="新宋体" w:eastAsia="新宋体" w:cs="新宋体"/>
                <w:sz w:val="24"/>
                <w:szCs w:val="24"/>
                <w:lang w:val="en-US"/>
              </w:rPr>
              <w:t>18</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406" w:firstLine="252" w:firstLineChars="100"/>
              <w:jc w:val="left"/>
              <w:rPr>
                <w:rFonts w:hint="eastAsia" w:ascii="新宋体" w:hAnsi="新宋体" w:eastAsia="新宋体" w:cs="新宋体"/>
                <w:sz w:val="24"/>
                <w:szCs w:val="24"/>
              </w:rPr>
            </w:pPr>
            <w:r>
              <w:rPr>
                <w:rFonts w:hint="eastAsia" w:ascii="新宋体" w:hAnsi="新宋体" w:eastAsia="新宋体" w:cs="新宋体"/>
                <w:w w:val="105"/>
                <w:sz w:val="24"/>
                <w:szCs w:val="24"/>
              </w:rPr>
              <w:t>产水流量计</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9" w:right="55"/>
              <w:rPr>
                <w:rFonts w:hint="eastAsia" w:ascii="新宋体" w:hAnsi="新宋体" w:eastAsia="新宋体" w:cs="新宋体"/>
                <w:sz w:val="24"/>
                <w:szCs w:val="24"/>
              </w:rPr>
            </w:pPr>
            <w:r>
              <w:rPr>
                <w:rFonts w:hint="eastAsia" w:ascii="新宋体" w:hAnsi="新宋体" w:eastAsia="新宋体" w:cs="新宋体"/>
                <w:w w:val="105"/>
                <w:sz w:val="24"/>
                <w:szCs w:val="24"/>
              </w:rPr>
              <w:t>0-10加仑 有机玻璃</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只</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lang w:val="en-US"/>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4" w:right="43"/>
              <w:rPr>
                <w:rFonts w:hint="eastAsia" w:ascii="新宋体" w:hAnsi="新宋体" w:eastAsia="新宋体" w:cs="新宋体"/>
                <w:sz w:val="24"/>
                <w:szCs w:val="24"/>
              </w:rPr>
            </w:pPr>
            <w:r>
              <w:rPr>
                <w:rFonts w:hint="eastAsia" w:ascii="新宋体" w:hAnsi="新宋体" w:eastAsia="新宋体" w:cs="新宋体"/>
                <w:w w:val="105"/>
                <w:sz w:val="24"/>
                <w:szCs w:val="24"/>
              </w:rPr>
              <w:t>面板式</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167"/>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8"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81" w:right="40"/>
              <w:rPr>
                <w:rFonts w:hint="eastAsia" w:ascii="新宋体" w:hAnsi="新宋体" w:eastAsia="新宋体" w:cs="新宋体"/>
                <w:sz w:val="24"/>
                <w:szCs w:val="24"/>
                <w:lang w:val="en-US"/>
              </w:rPr>
            </w:pPr>
            <w:r>
              <w:rPr>
                <w:rFonts w:hint="eastAsia" w:ascii="新宋体" w:hAnsi="新宋体" w:eastAsia="新宋体" w:cs="新宋体"/>
                <w:sz w:val="24"/>
                <w:szCs w:val="24"/>
                <w:lang w:val="en-US"/>
              </w:rPr>
              <w:t>19</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406" w:firstLine="252" w:firstLineChars="100"/>
              <w:jc w:val="left"/>
              <w:rPr>
                <w:rFonts w:hint="eastAsia" w:ascii="新宋体" w:hAnsi="新宋体" w:eastAsia="新宋体" w:cs="新宋体"/>
                <w:sz w:val="24"/>
                <w:szCs w:val="24"/>
              </w:rPr>
            </w:pPr>
            <w:r>
              <w:rPr>
                <w:rFonts w:hint="eastAsia" w:ascii="新宋体" w:hAnsi="新宋体" w:eastAsia="新宋体" w:cs="新宋体"/>
                <w:w w:val="105"/>
                <w:sz w:val="24"/>
                <w:szCs w:val="24"/>
              </w:rPr>
              <w:t>浓水流量计</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9" w:right="55"/>
              <w:rPr>
                <w:rFonts w:hint="eastAsia" w:ascii="新宋体" w:hAnsi="新宋体" w:eastAsia="新宋体" w:cs="新宋体"/>
                <w:sz w:val="24"/>
                <w:szCs w:val="24"/>
              </w:rPr>
            </w:pPr>
            <w:r>
              <w:rPr>
                <w:rFonts w:hint="eastAsia" w:ascii="新宋体" w:hAnsi="新宋体" w:eastAsia="新宋体" w:cs="新宋体"/>
                <w:w w:val="105"/>
                <w:sz w:val="24"/>
                <w:szCs w:val="24"/>
              </w:rPr>
              <w:t>0-10加仑 有机玻璃</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只</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lang w:val="en-US"/>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4" w:right="43"/>
              <w:rPr>
                <w:rFonts w:hint="eastAsia" w:ascii="新宋体" w:hAnsi="新宋体" w:eastAsia="新宋体" w:cs="新宋体"/>
                <w:sz w:val="24"/>
                <w:szCs w:val="24"/>
              </w:rPr>
            </w:pPr>
            <w:r>
              <w:rPr>
                <w:rFonts w:hint="eastAsia" w:ascii="新宋体" w:hAnsi="新宋体" w:eastAsia="新宋体" w:cs="新宋体"/>
                <w:w w:val="105"/>
                <w:sz w:val="24"/>
                <w:szCs w:val="24"/>
              </w:rPr>
              <w:t>面板式</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167"/>
              <w:jc w:val="left"/>
              <w:rPr>
                <w:rFonts w:hint="eastAsia" w:ascii="新宋体" w:hAnsi="新宋体" w:eastAsia="新宋体" w:cs="新宋体"/>
                <w:sz w:val="24"/>
                <w:szCs w:val="24"/>
              </w:rPr>
            </w:pPr>
          </w:p>
        </w:tc>
      </w:tr>
    </w:tbl>
    <w:p>
      <w:pPr>
        <w:pageBreakBefore w:val="0"/>
        <w:kinsoku/>
        <w:wordWrap/>
        <w:overflowPunct/>
        <w:topLinePunct w:val="0"/>
        <w:bidi w:val="0"/>
        <w:snapToGrid/>
        <w:spacing w:line="320" w:lineRule="exact"/>
        <w:rPr>
          <w:rFonts w:hint="eastAsia" w:ascii="新宋体" w:hAnsi="新宋体" w:eastAsia="新宋体" w:cs="新宋体"/>
          <w:sz w:val="24"/>
          <w:szCs w:val="24"/>
        </w:rPr>
      </w:pPr>
    </w:p>
    <w:tbl>
      <w:tblPr>
        <w:tblStyle w:val="26"/>
        <w:tblW w:w="8892" w:type="dxa"/>
        <w:tblInd w:w="2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72"/>
        <w:gridCol w:w="2080"/>
        <w:gridCol w:w="2387"/>
        <w:gridCol w:w="628"/>
        <w:gridCol w:w="578"/>
        <w:gridCol w:w="1617"/>
        <w:gridCol w:w="10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8" w:hRule="atLeast"/>
        </w:trPr>
        <w:tc>
          <w:tcPr>
            <w:tcW w:w="572" w:type="dxa"/>
            <w:tcBorders>
              <w:left w:val="single" w:color="000000" w:sz="18" w:space="0"/>
            </w:tcBorders>
          </w:tcPr>
          <w:p>
            <w:pPr>
              <w:pStyle w:val="73"/>
              <w:pageBreakBefore w:val="0"/>
              <w:kinsoku/>
              <w:wordWrap/>
              <w:overflowPunct/>
              <w:topLinePunct w:val="0"/>
              <w:bidi w:val="0"/>
              <w:snapToGrid/>
              <w:spacing w:before="89" w:line="320" w:lineRule="exact"/>
              <w:ind w:left="0" w:right="154"/>
              <w:jc w:val="right"/>
              <w:rPr>
                <w:rFonts w:hint="eastAsia" w:ascii="新宋体" w:hAnsi="新宋体" w:eastAsia="新宋体" w:cs="新宋体"/>
                <w:sz w:val="24"/>
                <w:szCs w:val="24"/>
                <w:lang w:val="en-US"/>
              </w:rPr>
            </w:pPr>
            <w:r>
              <w:rPr>
                <w:rFonts w:hint="eastAsia" w:ascii="新宋体" w:hAnsi="新宋体" w:eastAsia="新宋体" w:cs="新宋体"/>
                <w:sz w:val="24"/>
                <w:szCs w:val="24"/>
                <w:lang w:val="en-US"/>
              </w:rPr>
              <w:t>20</w:t>
            </w:r>
          </w:p>
        </w:tc>
        <w:tc>
          <w:tcPr>
            <w:tcW w:w="2080" w:type="dxa"/>
          </w:tcPr>
          <w:p>
            <w:pPr>
              <w:pStyle w:val="73"/>
              <w:pageBreakBefore w:val="0"/>
              <w:kinsoku/>
              <w:wordWrap/>
              <w:overflowPunct/>
              <w:topLinePunct w:val="0"/>
              <w:bidi w:val="0"/>
              <w:snapToGrid/>
              <w:spacing w:before="89" w:line="320" w:lineRule="exact"/>
              <w:ind w:left="366" w:right="318"/>
              <w:rPr>
                <w:rFonts w:hint="eastAsia" w:ascii="新宋体" w:hAnsi="新宋体" w:eastAsia="新宋体" w:cs="新宋体"/>
                <w:sz w:val="24"/>
                <w:szCs w:val="24"/>
              </w:rPr>
            </w:pPr>
            <w:r>
              <w:rPr>
                <w:rFonts w:hint="eastAsia" w:ascii="新宋体" w:hAnsi="新宋体" w:eastAsia="新宋体" w:cs="新宋体"/>
                <w:w w:val="105"/>
                <w:sz w:val="24"/>
                <w:szCs w:val="24"/>
              </w:rPr>
              <w:t>压力表</w:t>
            </w:r>
          </w:p>
        </w:tc>
        <w:tc>
          <w:tcPr>
            <w:tcW w:w="2387" w:type="dxa"/>
          </w:tcPr>
          <w:p>
            <w:pPr>
              <w:pStyle w:val="73"/>
              <w:pageBreakBefore w:val="0"/>
              <w:kinsoku/>
              <w:wordWrap/>
              <w:overflowPunct/>
              <w:topLinePunct w:val="0"/>
              <w:bidi w:val="0"/>
              <w:snapToGrid/>
              <w:spacing w:before="89" w:line="320" w:lineRule="exact"/>
              <w:ind w:left="99" w:right="55"/>
              <w:rPr>
                <w:rFonts w:hint="eastAsia" w:ascii="新宋体" w:hAnsi="新宋体" w:eastAsia="新宋体" w:cs="新宋体"/>
                <w:sz w:val="24"/>
                <w:szCs w:val="24"/>
              </w:rPr>
            </w:pPr>
            <w:r>
              <w:rPr>
                <w:rFonts w:hint="eastAsia" w:ascii="新宋体" w:hAnsi="新宋体" w:eastAsia="新宋体" w:cs="新宋体"/>
                <w:w w:val="105"/>
                <w:sz w:val="24"/>
                <w:szCs w:val="24"/>
              </w:rPr>
              <w:t>0～1MPa 不锈钢材质</w:t>
            </w:r>
          </w:p>
        </w:tc>
        <w:tc>
          <w:tcPr>
            <w:tcW w:w="628" w:type="dxa"/>
          </w:tcPr>
          <w:p>
            <w:pPr>
              <w:pStyle w:val="73"/>
              <w:pageBreakBefore w:val="0"/>
              <w:kinsoku/>
              <w:wordWrap/>
              <w:overflowPunct/>
              <w:topLinePunct w:val="0"/>
              <w:bidi w:val="0"/>
              <w:snapToGrid/>
              <w:spacing w:before="89" w:line="320" w:lineRule="exact"/>
              <w:ind w:left="238"/>
              <w:jc w:val="left"/>
              <w:rPr>
                <w:rFonts w:hint="eastAsia" w:ascii="新宋体" w:hAnsi="新宋体" w:eastAsia="新宋体" w:cs="新宋体"/>
                <w:sz w:val="24"/>
                <w:szCs w:val="24"/>
              </w:rPr>
            </w:pPr>
            <w:r>
              <w:rPr>
                <w:rFonts w:hint="eastAsia" w:ascii="新宋体" w:hAnsi="新宋体" w:eastAsia="新宋体" w:cs="新宋体"/>
                <w:w w:val="102"/>
                <w:sz w:val="24"/>
                <w:szCs w:val="24"/>
              </w:rPr>
              <w:t>只</w:t>
            </w:r>
          </w:p>
        </w:tc>
        <w:tc>
          <w:tcPr>
            <w:tcW w:w="578" w:type="dxa"/>
          </w:tcPr>
          <w:p>
            <w:pPr>
              <w:pStyle w:val="73"/>
              <w:pageBreakBefore w:val="0"/>
              <w:kinsoku/>
              <w:wordWrap/>
              <w:overflowPunct/>
              <w:topLinePunct w:val="0"/>
              <w:bidi w:val="0"/>
              <w:snapToGrid/>
              <w:spacing w:before="89"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lang w:val="en-US"/>
              </w:rPr>
              <w:t>2</w:t>
            </w:r>
          </w:p>
        </w:tc>
        <w:tc>
          <w:tcPr>
            <w:tcW w:w="1617" w:type="dxa"/>
          </w:tcPr>
          <w:p>
            <w:pPr>
              <w:pStyle w:val="73"/>
              <w:pageBreakBefore w:val="0"/>
              <w:kinsoku/>
              <w:wordWrap/>
              <w:overflowPunct/>
              <w:topLinePunct w:val="0"/>
              <w:bidi w:val="0"/>
              <w:snapToGrid/>
              <w:spacing w:before="89" w:line="320" w:lineRule="exact"/>
              <w:ind w:left="90" w:right="43"/>
              <w:rPr>
                <w:rFonts w:hint="eastAsia" w:ascii="新宋体" w:hAnsi="新宋体" w:eastAsia="新宋体" w:cs="新宋体"/>
                <w:sz w:val="24"/>
                <w:szCs w:val="24"/>
              </w:rPr>
            </w:pPr>
            <w:r>
              <w:rPr>
                <w:rFonts w:hint="eastAsia" w:ascii="新宋体" w:hAnsi="新宋体" w:eastAsia="新宋体" w:cs="新宋体"/>
                <w:w w:val="105"/>
                <w:sz w:val="24"/>
                <w:szCs w:val="24"/>
              </w:rPr>
              <w:t>指针面板式</w:t>
            </w:r>
          </w:p>
        </w:tc>
        <w:tc>
          <w:tcPr>
            <w:tcW w:w="1030" w:type="dxa"/>
            <w:tcBorders>
              <w:right w:val="single" w:color="000000" w:sz="18" w:space="0"/>
            </w:tcBorders>
          </w:tcPr>
          <w:p>
            <w:pPr>
              <w:pStyle w:val="73"/>
              <w:pageBreakBefore w:val="0"/>
              <w:kinsoku/>
              <w:wordWrap/>
              <w:overflowPunct/>
              <w:topLinePunct w:val="0"/>
              <w:bidi w:val="0"/>
              <w:snapToGrid/>
              <w:spacing w:before="89" w:line="320" w:lineRule="exact"/>
              <w:ind w:left="120"/>
              <w:jc w:val="left"/>
              <w:rPr>
                <w:rFonts w:hint="eastAsia" w:ascii="新宋体" w:hAnsi="新宋体" w:eastAsia="新宋体" w:cs="新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7" w:hRule="atLeast"/>
        </w:trPr>
        <w:tc>
          <w:tcPr>
            <w:tcW w:w="572" w:type="dxa"/>
            <w:tcBorders>
              <w:left w:val="single" w:color="000000" w:sz="18" w:space="0"/>
            </w:tcBorders>
          </w:tcPr>
          <w:p>
            <w:pPr>
              <w:pStyle w:val="73"/>
              <w:pageBreakBefore w:val="0"/>
              <w:kinsoku/>
              <w:wordWrap/>
              <w:overflowPunct/>
              <w:topLinePunct w:val="0"/>
              <w:bidi w:val="0"/>
              <w:snapToGrid/>
              <w:spacing w:before="88" w:line="320" w:lineRule="exact"/>
              <w:ind w:left="0" w:right="154"/>
              <w:jc w:val="right"/>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rPr>
              <w:t>1</w:t>
            </w:r>
          </w:p>
        </w:tc>
        <w:tc>
          <w:tcPr>
            <w:tcW w:w="2080" w:type="dxa"/>
          </w:tcPr>
          <w:p>
            <w:pPr>
              <w:pStyle w:val="73"/>
              <w:pageBreakBefore w:val="0"/>
              <w:kinsoku/>
              <w:wordWrap/>
              <w:overflowPunct/>
              <w:topLinePunct w:val="0"/>
              <w:bidi w:val="0"/>
              <w:snapToGrid/>
              <w:spacing w:before="88" w:line="320" w:lineRule="exact"/>
              <w:ind w:left="366" w:right="318"/>
              <w:rPr>
                <w:rFonts w:hint="eastAsia" w:ascii="新宋体" w:hAnsi="新宋体" w:eastAsia="新宋体" w:cs="新宋体"/>
                <w:sz w:val="24"/>
                <w:szCs w:val="24"/>
              </w:rPr>
            </w:pPr>
            <w:r>
              <w:rPr>
                <w:rFonts w:hint="eastAsia" w:ascii="新宋体" w:hAnsi="新宋体" w:eastAsia="新宋体" w:cs="新宋体"/>
                <w:w w:val="105"/>
                <w:sz w:val="24"/>
                <w:szCs w:val="24"/>
              </w:rPr>
              <w:t>压力表</w:t>
            </w:r>
          </w:p>
        </w:tc>
        <w:tc>
          <w:tcPr>
            <w:tcW w:w="2387" w:type="dxa"/>
          </w:tcPr>
          <w:p>
            <w:pPr>
              <w:pStyle w:val="73"/>
              <w:pageBreakBefore w:val="0"/>
              <w:kinsoku/>
              <w:wordWrap/>
              <w:overflowPunct/>
              <w:topLinePunct w:val="0"/>
              <w:bidi w:val="0"/>
              <w:snapToGrid/>
              <w:spacing w:before="88" w:line="320" w:lineRule="exact"/>
              <w:ind w:left="99" w:right="55"/>
              <w:rPr>
                <w:rFonts w:hint="eastAsia" w:ascii="新宋体" w:hAnsi="新宋体" w:eastAsia="新宋体" w:cs="新宋体"/>
                <w:sz w:val="24"/>
                <w:szCs w:val="24"/>
              </w:rPr>
            </w:pPr>
            <w:r>
              <w:rPr>
                <w:rFonts w:hint="eastAsia" w:ascii="新宋体" w:hAnsi="新宋体" w:eastAsia="新宋体" w:cs="新宋体"/>
                <w:w w:val="105"/>
                <w:sz w:val="24"/>
                <w:szCs w:val="24"/>
              </w:rPr>
              <w:t>0～3MPa 不锈钢材质</w:t>
            </w:r>
          </w:p>
        </w:tc>
        <w:tc>
          <w:tcPr>
            <w:tcW w:w="628" w:type="dxa"/>
          </w:tcPr>
          <w:p>
            <w:pPr>
              <w:pStyle w:val="73"/>
              <w:pageBreakBefore w:val="0"/>
              <w:kinsoku/>
              <w:wordWrap/>
              <w:overflowPunct/>
              <w:topLinePunct w:val="0"/>
              <w:bidi w:val="0"/>
              <w:snapToGrid/>
              <w:spacing w:before="88" w:line="320" w:lineRule="exact"/>
              <w:ind w:left="238"/>
              <w:jc w:val="left"/>
              <w:rPr>
                <w:rFonts w:hint="eastAsia" w:ascii="新宋体" w:hAnsi="新宋体" w:eastAsia="新宋体" w:cs="新宋体"/>
                <w:sz w:val="24"/>
                <w:szCs w:val="24"/>
              </w:rPr>
            </w:pPr>
            <w:r>
              <w:rPr>
                <w:rFonts w:hint="eastAsia" w:ascii="新宋体" w:hAnsi="新宋体" w:eastAsia="新宋体" w:cs="新宋体"/>
                <w:w w:val="102"/>
                <w:sz w:val="24"/>
                <w:szCs w:val="24"/>
              </w:rPr>
              <w:t>只</w:t>
            </w:r>
          </w:p>
        </w:tc>
        <w:tc>
          <w:tcPr>
            <w:tcW w:w="578" w:type="dxa"/>
          </w:tcPr>
          <w:p>
            <w:pPr>
              <w:pStyle w:val="73"/>
              <w:pageBreakBefore w:val="0"/>
              <w:kinsoku/>
              <w:wordWrap/>
              <w:overflowPunct/>
              <w:topLinePunct w:val="0"/>
              <w:bidi w:val="0"/>
              <w:snapToGrid/>
              <w:spacing w:before="88"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2</w:t>
            </w:r>
          </w:p>
        </w:tc>
        <w:tc>
          <w:tcPr>
            <w:tcW w:w="1617" w:type="dxa"/>
          </w:tcPr>
          <w:p>
            <w:pPr>
              <w:pStyle w:val="73"/>
              <w:pageBreakBefore w:val="0"/>
              <w:kinsoku/>
              <w:wordWrap/>
              <w:overflowPunct/>
              <w:topLinePunct w:val="0"/>
              <w:bidi w:val="0"/>
              <w:snapToGrid/>
              <w:spacing w:before="88" w:line="320" w:lineRule="exact"/>
              <w:ind w:left="90" w:right="43"/>
              <w:rPr>
                <w:rFonts w:hint="eastAsia" w:ascii="新宋体" w:hAnsi="新宋体" w:eastAsia="新宋体" w:cs="新宋体"/>
                <w:sz w:val="24"/>
                <w:szCs w:val="24"/>
              </w:rPr>
            </w:pPr>
            <w:r>
              <w:rPr>
                <w:rFonts w:hint="eastAsia" w:ascii="新宋体" w:hAnsi="新宋体" w:eastAsia="新宋体" w:cs="新宋体"/>
                <w:w w:val="105"/>
                <w:sz w:val="24"/>
                <w:szCs w:val="24"/>
              </w:rPr>
              <w:t>指针面板式</w:t>
            </w:r>
          </w:p>
        </w:tc>
        <w:tc>
          <w:tcPr>
            <w:tcW w:w="1030" w:type="dxa"/>
            <w:tcBorders>
              <w:right w:val="single" w:color="000000" w:sz="18" w:space="0"/>
            </w:tcBorders>
          </w:tcPr>
          <w:p>
            <w:pPr>
              <w:pStyle w:val="73"/>
              <w:pageBreakBefore w:val="0"/>
              <w:kinsoku/>
              <w:wordWrap/>
              <w:overflowPunct/>
              <w:topLinePunct w:val="0"/>
              <w:bidi w:val="0"/>
              <w:snapToGrid/>
              <w:spacing w:before="88" w:line="320" w:lineRule="exact"/>
              <w:ind w:left="120"/>
              <w:jc w:val="left"/>
              <w:rPr>
                <w:rFonts w:hint="eastAsia" w:ascii="新宋体" w:hAnsi="新宋体" w:eastAsia="新宋体" w:cs="新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7" w:hRule="atLeast"/>
        </w:trPr>
        <w:tc>
          <w:tcPr>
            <w:tcW w:w="572" w:type="dxa"/>
            <w:tcBorders>
              <w:left w:val="single" w:color="000000" w:sz="18" w:space="0"/>
            </w:tcBorders>
          </w:tcPr>
          <w:p>
            <w:pPr>
              <w:pStyle w:val="73"/>
              <w:pageBreakBefore w:val="0"/>
              <w:kinsoku/>
              <w:wordWrap/>
              <w:overflowPunct/>
              <w:topLinePunct w:val="0"/>
              <w:bidi w:val="0"/>
              <w:snapToGrid/>
              <w:spacing w:before="88" w:line="320" w:lineRule="exact"/>
              <w:ind w:left="0" w:right="154"/>
              <w:jc w:val="right"/>
              <w:rPr>
                <w:rFonts w:hint="eastAsia" w:ascii="新宋体" w:hAnsi="新宋体" w:eastAsia="新宋体" w:cs="新宋体"/>
                <w:sz w:val="24"/>
                <w:szCs w:val="24"/>
                <w:lang w:val="en-US"/>
              </w:rPr>
            </w:pPr>
            <w:r>
              <w:rPr>
                <w:rFonts w:hint="eastAsia" w:ascii="新宋体" w:hAnsi="新宋体" w:eastAsia="新宋体" w:cs="新宋体"/>
                <w:sz w:val="24"/>
                <w:szCs w:val="24"/>
              </w:rPr>
              <w:t>2</w:t>
            </w:r>
            <w:r>
              <w:rPr>
                <w:rFonts w:hint="eastAsia" w:ascii="新宋体" w:hAnsi="新宋体" w:eastAsia="新宋体" w:cs="新宋体"/>
                <w:sz w:val="24"/>
                <w:szCs w:val="24"/>
                <w:lang w:val="en-US"/>
              </w:rPr>
              <w:t>2</w:t>
            </w:r>
          </w:p>
        </w:tc>
        <w:tc>
          <w:tcPr>
            <w:tcW w:w="2080" w:type="dxa"/>
          </w:tcPr>
          <w:p>
            <w:pPr>
              <w:pStyle w:val="73"/>
              <w:pageBreakBefore w:val="0"/>
              <w:kinsoku/>
              <w:wordWrap/>
              <w:overflowPunct/>
              <w:topLinePunct w:val="0"/>
              <w:bidi w:val="0"/>
              <w:snapToGrid/>
              <w:spacing w:before="88" w:line="320" w:lineRule="exact"/>
              <w:ind w:left="366" w:right="326"/>
              <w:rPr>
                <w:rFonts w:hint="eastAsia" w:ascii="新宋体" w:hAnsi="新宋体" w:eastAsia="新宋体" w:cs="新宋体"/>
                <w:sz w:val="24"/>
                <w:szCs w:val="24"/>
              </w:rPr>
            </w:pPr>
            <w:r>
              <w:rPr>
                <w:rFonts w:hint="eastAsia" w:ascii="新宋体" w:hAnsi="新宋体" w:eastAsia="新宋体" w:cs="新宋体"/>
                <w:w w:val="105"/>
                <w:sz w:val="24"/>
                <w:szCs w:val="24"/>
              </w:rPr>
              <w:t>进水电磁阀</w:t>
            </w:r>
          </w:p>
        </w:tc>
        <w:tc>
          <w:tcPr>
            <w:tcW w:w="2387" w:type="dxa"/>
          </w:tcPr>
          <w:p>
            <w:pPr>
              <w:pStyle w:val="73"/>
              <w:pageBreakBefore w:val="0"/>
              <w:kinsoku/>
              <w:wordWrap/>
              <w:overflowPunct/>
              <w:topLinePunct w:val="0"/>
              <w:bidi w:val="0"/>
              <w:snapToGrid/>
              <w:spacing w:before="88" w:line="320" w:lineRule="exact"/>
              <w:ind w:left="194" w:right="55"/>
              <w:rPr>
                <w:rFonts w:hint="eastAsia" w:ascii="新宋体" w:hAnsi="新宋体" w:eastAsia="新宋体" w:cs="新宋体"/>
                <w:sz w:val="24"/>
                <w:szCs w:val="24"/>
              </w:rPr>
            </w:pPr>
            <w:r>
              <w:rPr>
                <w:rFonts w:hint="eastAsia" w:ascii="新宋体" w:hAnsi="新宋体" w:eastAsia="新宋体" w:cs="新宋体"/>
                <w:w w:val="105"/>
                <w:sz w:val="24"/>
                <w:szCs w:val="24"/>
              </w:rPr>
              <w:t>DN25 黄铜材质</w:t>
            </w:r>
          </w:p>
        </w:tc>
        <w:tc>
          <w:tcPr>
            <w:tcW w:w="628" w:type="dxa"/>
          </w:tcPr>
          <w:p>
            <w:pPr>
              <w:pStyle w:val="73"/>
              <w:pageBreakBefore w:val="0"/>
              <w:kinsoku/>
              <w:wordWrap/>
              <w:overflowPunct/>
              <w:topLinePunct w:val="0"/>
              <w:bidi w:val="0"/>
              <w:snapToGrid/>
              <w:spacing w:before="88" w:line="320" w:lineRule="exact"/>
              <w:ind w:left="238"/>
              <w:jc w:val="left"/>
              <w:rPr>
                <w:rFonts w:hint="eastAsia" w:ascii="新宋体" w:hAnsi="新宋体" w:eastAsia="新宋体" w:cs="新宋体"/>
                <w:sz w:val="24"/>
                <w:szCs w:val="24"/>
              </w:rPr>
            </w:pPr>
            <w:r>
              <w:rPr>
                <w:rFonts w:hint="eastAsia" w:ascii="新宋体" w:hAnsi="新宋体" w:eastAsia="新宋体" w:cs="新宋体"/>
                <w:w w:val="102"/>
                <w:sz w:val="24"/>
                <w:szCs w:val="24"/>
              </w:rPr>
              <w:t>只</w:t>
            </w:r>
          </w:p>
        </w:tc>
        <w:tc>
          <w:tcPr>
            <w:tcW w:w="578" w:type="dxa"/>
          </w:tcPr>
          <w:p>
            <w:pPr>
              <w:pStyle w:val="73"/>
              <w:pageBreakBefore w:val="0"/>
              <w:kinsoku/>
              <w:wordWrap/>
              <w:overflowPunct/>
              <w:topLinePunct w:val="0"/>
              <w:bidi w:val="0"/>
              <w:snapToGrid/>
              <w:spacing w:before="88"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Pr>
          <w:p>
            <w:pPr>
              <w:pStyle w:val="73"/>
              <w:pageBreakBefore w:val="0"/>
              <w:kinsoku/>
              <w:wordWrap/>
              <w:overflowPunct/>
              <w:topLinePunct w:val="0"/>
              <w:bidi w:val="0"/>
              <w:snapToGrid/>
              <w:spacing w:before="88" w:line="320" w:lineRule="exact"/>
              <w:ind w:left="96" w:right="42"/>
              <w:rPr>
                <w:rFonts w:hint="eastAsia" w:ascii="新宋体" w:hAnsi="新宋体" w:eastAsia="新宋体" w:cs="新宋体"/>
                <w:sz w:val="24"/>
                <w:szCs w:val="24"/>
              </w:rPr>
            </w:pPr>
            <w:r>
              <w:rPr>
                <w:rFonts w:hint="eastAsia" w:ascii="新宋体" w:hAnsi="新宋体" w:eastAsia="新宋体" w:cs="新宋体"/>
                <w:w w:val="105"/>
                <w:sz w:val="24"/>
                <w:szCs w:val="24"/>
              </w:rPr>
              <w:t>220V</w:t>
            </w:r>
          </w:p>
        </w:tc>
        <w:tc>
          <w:tcPr>
            <w:tcW w:w="1030" w:type="dxa"/>
            <w:tcBorders>
              <w:right w:val="single" w:color="000000" w:sz="18" w:space="0"/>
            </w:tcBorders>
          </w:tcPr>
          <w:p>
            <w:pPr>
              <w:pStyle w:val="73"/>
              <w:pageBreakBefore w:val="0"/>
              <w:kinsoku/>
              <w:wordWrap/>
              <w:overflowPunct/>
              <w:topLinePunct w:val="0"/>
              <w:bidi w:val="0"/>
              <w:snapToGrid/>
              <w:spacing w:before="88" w:line="320" w:lineRule="exact"/>
              <w:ind w:left="352"/>
              <w:jc w:val="left"/>
              <w:rPr>
                <w:rFonts w:hint="eastAsia" w:ascii="新宋体" w:hAnsi="新宋体" w:eastAsia="新宋体" w:cs="新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8" w:hRule="atLeast"/>
        </w:trPr>
        <w:tc>
          <w:tcPr>
            <w:tcW w:w="572" w:type="dxa"/>
            <w:tcBorders>
              <w:left w:val="single" w:color="000000" w:sz="18" w:space="0"/>
            </w:tcBorders>
          </w:tcPr>
          <w:p>
            <w:pPr>
              <w:pStyle w:val="73"/>
              <w:pageBreakBefore w:val="0"/>
              <w:kinsoku/>
              <w:wordWrap/>
              <w:overflowPunct/>
              <w:topLinePunct w:val="0"/>
              <w:bidi w:val="0"/>
              <w:snapToGrid/>
              <w:spacing w:before="89" w:line="320" w:lineRule="exact"/>
              <w:ind w:left="0" w:right="154"/>
              <w:jc w:val="right"/>
              <w:rPr>
                <w:rFonts w:hint="eastAsia" w:ascii="新宋体" w:hAnsi="新宋体" w:eastAsia="新宋体" w:cs="新宋体"/>
                <w:sz w:val="24"/>
                <w:szCs w:val="24"/>
                <w:lang w:val="en-US"/>
              </w:rPr>
            </w:pPr>
            <w:r>
              <w:rPr>
                <w:rFonts w:hint="eastAsia" w:ascii="新宋体" w:hAnsi="新宋体" w:eastAsia="新宋体" w:cs="新宋体"/>
                <w:sz w:val="24"/>
                <w:szCs w:val="24"/>
              </w:rPr>
              <w:t>2</w:t>
            </w:r>
            <w:r>
              <w:rPr>
                <w:rFonts w:hint="eastAsia" w:ascii="新宋体" w:hAnsi="新宋体" w:eastAsia="新宋体" w:cs="新宋体"/>
                <w:sz w:val="24"/>
                <w:szCs w:val="24"/>
                <w:lang w:val="en-US"/>
              </w:rPr>
              <w:t>3</w:t>
            </w:r>
          </w:p>
        </w:tc>
        <w:tc>
          <w:tcPr>
            <w:tcW w:w="2080" w:type="dxa"/>
          </w:tcPr>
          <w:p>
            <w:pPr>
              <w:pStyle w:val="73"/>
              <w:pageBreakBefore w:val="0"/>
              <w:kinsoku/>
              <w:wordWrap/>
              <w:overflowPunct/>
              <w:topLinePunct w:val="0"/>
              <w:bidi w:val="0"/>
              <w:snapToGrid/>
              <w:spacing w:before="89" w:line="320" w:lineRule="exact"/>
              <w:ind w:left="366" w:right="326"/>
              <w:rPr>
                <w:rFonts w:hint="eastAsia" w:ascii="新宋体" w:hAnsi="新宋体" w:eastAsia="新宋体" w:cs="新宋体"/>
                <w:sz w:val="24"/>
                <w:szCs w:val="24"/>
              </w:rPr>
            </w:pPr>
            <w:r>
              <w:rPr>
                <w:rFonts w:hint="eastAsia" w:ascii="新宋体" w:hAnsi="新宋体" w:eastAsia="新宋体" w:cs="新宋体"/>
                <w:w w:val="105"/>
                <w:sz w:val="24"/>
                <w:szCs w:val="24"/>
              </w:rPr>
              <w:t>冲洗电磁阀</w:t>
            </w:r>
          </w:p>
        </w:tc>
        <w:tc>
          <w:tcPr>
            <w:tcW w:w="2387" w:type="dxa"/>
          </w:tcPr>
          <w:p>
            <w:pPr>
              <w:pStyle w:val="73"/>
              <w:pageBreakBefore w:val="0"/>
              <w:kinsoku/>
              <w:wordWrap/>
              <w:overflowPunct/>
              <w:topLinePunct w:val="0"/>
              <w:bidi w:val="0"/>
              <w:snapToGrid/>
              <w:spacing w:before="89" w:line="320" w:lineRule="exact"/>
              <w:ind w:left="194" w:right="55"/>
              <w:rPr>
                <w:rFonts w:hint="eastAsia" w:ascii="新宋体" w:hAnsi="新宋体" w:eastAsia="新宋体" w:cs="新宋体"/>
                <w:sz w:val="24"/>
                <w:szCs w:val="24"/>
              </w:rPr>
            </w:pPr>
            <w:r>
              <w:rPr>
                <w:rFonts w:hint="eastAsia" w:ascii="新宋体" w:hAnsi="新宋体" w:eastAsia="新宋体" w:cs="新宋体"/>
                <w:w w:val="105"/>
                <w:sz w:val="24"/>
                <w:szCs w:val="24"/>
              </w:rPr>
              <w:t>DN25 黄铜材质</w:t>
            </w:r>
          </w:p>
        </w:tc>
        <w:tc>
          <w:tcPr>
            <w:tcW w:w="628" w:type="dxa"/>
          </w:tcPr>
          <w:p>
            <w:pPr>
              <w:pStyle w:val="73"/>
              <w:pageBreakBefore w:val="0"/>
              <w:kinsoku/>
              <w:wordWrap/>
              <w:overflowPunct/>
              <w:topLinePunct w:val="0"/>
              <w:bidi w:val="0"/>
              <w:snapToGrid/>
              <w:spacing w:before="89" w:line="320" w:lineRule="exact"/>
              <w:ind w:left="238"/>
              <w:jc w:val="left"/>
              <w:rPr>
                <w:rFonts w:hint="eastAsia" w:ascii="新宋体" w:hAnsi="新宋体" w:eastAsia="新宋体" w:cs="新宋体"/>
                <w:sz w:val="24"/>
                <w:szCs w:val="24"/>
              </w:rPr>
            </w:pPr>
            <w:r>
              <w:rPr>
                <w:rFonts w:hint="eastAsia" w:ascii="新宋体" w:hAnsi="新宋体" w:eastAsia="新宋体" w:cs="新宋体"/>
                <w:w w:val="102"/>
                <w:sz w:val="24"/>
                <w:szCs w:val="24"/>
              </w:rPr>
              <w:t>只</w:t>
            </w:r>
          </w:p>
        </w:tc>
        <w:tc>
          <w:tcPr>
            <w:tcW w:w="578" w:type="dxa"/>
          </w:tcPr>
          <w:p>
            <w:pPr>
              <w:pStyle w:val="73"/>
              <w:pageBreakBefore w:val="0"/>
              <w:kinsoku/>
              <w:wordWrap/>
              <w:overflowPunct/>
              <w:topLinePunct w:val="0"/>
              <w:bidi w:val="0"/>
              <w:snapToGrid/>
              <w:spacing w:before="89"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Pr>
          <w:p>
            <w:pPr>
              <w:pStyle w:val="73"/>
              <w:pageBreakBefore w:val="0"/>
              <w:kinsoku/>
              <w:wordWrap/>
              <w:overflowPunct/>
              <w:topLinePunct w:val="0"/>
              <w:bidi w:val="0"/>
              <w:snapToGrid/>
              <w:spacing w:before="89" w:line="320" w:lineRule="exact"/>
              <w:ind w:left="96" w:right="42"/>
              <w:rPr>
                <w:rFonts w:hint="eastAsia" w:ascii="新宋体" w:hAnsi="新宋体" w:eastAsia="新宋体" w:cs="新宋体"/>
                <w:sz w:val="24"/>
                <w:szCs w:val="24"/>
              </w:rPr>
            </w:pPr>
            <w:r>
              <w:rPr>
                <w:rFonts w:hint="eastAsia" w:ascii="新宋体" w:hAnsi="新宋体" w:eastAsia="新宋体" w:cs="新宋体"/>
                <w:w w:val="105"/>
                <w:sz w:val="24"/>
                <w:szCs w:val="24"/>
              </w:rPr>
              <w:t>220V</w:t>
            </w:r>
          </w:p>
        </w:tc>
        <w:tc>
          <w:tcPr>
            <w:tcW w:w="1030" w:type="dxa"/>
            <w:tcBorders>
              <w:right w:val="single" w:color="000000" w:sz="18" w:space="0"/>
            </w:tcBorders>
          </w:tcPr>
          <w:p>
            <w:pPr>
              <w:pStyle w:val="73"/>
              <w:pageBreakBefore w:val="0"/>
              <w:kinsoku/>
              <w:wordWrap/>
              <w:overflowPunct/>
              <w:topLinePunct w:val="0"/>
              <w:bidi w:val="0"/>
              <w:snapToGrid/>
              <w:spacing w:before="89" w:line="320" w:lineRule="exact"/>
              <w:ind w:left="352"/>
              <w:jc w:val="left"/>
              <w:rPr>
                <w:rFonts w:hint="eastAsia" w:ascii="新宋体" w:hAnsi="新宋体" w:eastAsia="新宋体" w:cs="新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7" w:hRule="atLeast"/>
        </w:trPr>
        <w:tc>
          <w:tcPr>
            <w:tcW w:w="572" w:type="dxa"/>
            <w:tcBorders>
              <w:left w:val="single" w:color="000000" w:sz="18" w:space="0"/>
            </w:tcBorders>
          </w:tcPr>
          <w:p>
            <w:pPr>
              <w:pStyle w:val="73"/>
              <w:pageBreakBefore w:val="0"/>
              <w:kinsoku/>
              <w:wordWrap/>
              <w:overflowPunct/>
              <w:topLinePunct w:val="0"/>
              <w:bidi w:val="0"/>
              <w:snapToGrid/>
              <w:spacing w:before="88" w:line="320" w:lineRule="exact"/>
              <w:ind w:left="0" w:right="154"/>
              <w:jc w:val="right"/>
              <w:rPr>
                <w:rFonts w:hint="eastAsia" w:ascii="新宋体" w:hAnsi="新宋体" w:eastAsia="新宋体" w:cs="新宋体"/>
                <w:sz w:val="24"/>
                <w:szCs w:val="24"/>
                <w:lang w:val="en-US"/>
              </w:rPr>
            </w:pPr>
            <w:r>
              <w:rPr>
                <w:rFonts w:hint="eastAsia" w:ascii="新宋体" w:hAnsi="新宋体" w:eastAsia="新宋体" w:cs="新宋体"/>
                <w:sz w:val="24"/>
                <w:szCs w:val="24"/>
              </w:rPr>
              <w:t>2</w:t>
            </w:r>
            <w:r>
              <w:rPr>
                <w:rFonts w:hint="eastAsia" w:ascii="新宋体" w:hAnsi="新宋体" w:eastAsia="新宋体" w:cs="新宋体"/>
                <w:sz w:val="24"/>
                <w:szCs w:val="24"/>
                <w:lang w:val="en-US"/>
              </w:rPr>
              <w:t>4</w:t>
            </w:r>
          </w:p>
        </w:tc>
        <w:tc>
          <w:tcPr>
            <w:tcW w:w="2080" w:type="dxa"/>
          </w:tcPr>
          <w:p>
            <w:pPr>
              <w:pStyle w:val="73"/>
              <w:pageBreakBefore w:val="0"/>
              <w:kinsoku/>
              <w:wordWrap/>
              <w:overflowPunct/>
              <w:topLinePunct w:val="0"/>
              <w:bidi w:val="0"/>
              <w:snapToGrid/>
              <w:spacing w:before="88" w:line="320" w:lineRule="exact"/>
              <w:ind w:left="366" w:right="325"/>
              <w:rPr>
                <w:rFonts w:hint="eastAsia" w:ascii="新宋体" w:hAnsi="新宋体" w:eastAsia="新宋体" w:cs="新宋体"/>
                <w:sz w:val="24"/>
                <w:szCs w:val="24"/>
              </w:rPr>
            </w:pPr>
            <w:r>
              <w:rPr>
                <w:rFonts w:hint="eastAsia" w:ascii="新宋体" w:hAnsi="新宋体" w:eastAsia="新宋体" w:cs="新宋体"/>
                <w:w w:val="105"/>
                <w:sz w:val="24"/>
                <w:szCs w:val="24"/>
              </w:rPr>
              <w:t>产水电导率仪</w:t>
            </w:r>
          </w:p>
        </w:tc>
        <w:tc>
          <w:tcPr>
            <w:tcW w:w="2387" w:type="dxa"/>
          </w:tcPr>
          <w:p>
            <w:pPr>
              <w:pStyle w:val="73"/>
              <w:pageBreakBefore w:val="0"/>
              <w:kinsoku/>
              <w:wordWrap/>
              <w:overflowPunct/>
              <w:topLinePunct w:val="0"/>
              <w:bidi w:val="0"/>
              <w:snapToGrid/>
              <w:spacing w:before="88" w:line="320" w:lineRule="exact"/>
              <w:ind w:left="101" w:right="55"/>
              <w:rPr>
                <w:rFonts w:hint="eastAsia" w:ascii="新宋体" w:hAnsi="新宋体" w:eastAsia="新宋体" w:cs="新宋体"/>
                <w:sz w:val="24"/>
                <w:szCs w:val="24"/>
              </w:rPr>
            </w:pPr>
            <w:r>
              <w:rPr>
                <w:rFonts w:hint="eastAsia" w:ascii="新宋体" w:hAnsi="新宋体" w:eastAsia="新宋体" w:cs="新宋体"/>
                <w:w w:val="105"/>
                <w:sz w:val="24"/>
                <w:szCs w:val="24"/>
              </w:rPr>
              <w:t>CM230</w:t>
            </w:r>
          </w:p>
        </w:tc>
        <w:tc>
          <w:tcPr>
            <w:tcW w:w="628" w:type="dxa"/>
          </w:tcPr>
          <w:p>
            <w:pPr>
              <w:pStyle w:val="73"/>
              <w:pageBreakBefore w:val="0"/>
              <w:kinsoku/>
              <w:wordWrap/>
              <w:overflowPunct/>
              <w:topLinePunct w:val="0"/>
              <w:bidi w:val="0"/>
              <w:snapToGrid/>
              <w:spacing w:before="88" w:line="320" w:lineRule="exact"/>
              <w:ind w:left="238"/>
              <w:jc w:val="left"/>
              <w:rPr>
                <w:rFonts w:hint="eastAsia" w:ascii="新宋体" w:hAnsi="新宋体" w:eastAsia="新宋体" w:cs="新宋体"/>
                <w:sz w:val="24"/>
                <w:szCs w:val="24"/>
              </w:rPr>
            </w:pPr>
            <w:r>
              <w:rPr>
                <w:rFonts w:hint="eastAsia" w:ascii="新宋体" w:hAnsi="新宋体" w:eastAsia="新宋体" w:cs="新宋体"/>
                <w:w w:val="102"/>
                <w:sz w:val="24"/>
                <w:szCs w:val="24"/>
              </w:rPr>
              <w:t>只</w:t>
            </w:r>
          </w:p>
        </w:tc>
        <w:tc>
          <w:tcPr>
            <w:tcW w:w="578" w:type="dxa"/>
          </w:tcPr>
          <w:p>
            <w:pPr>
              <w:pStyle w:val="73"/>
              <w:pageBreakBefore w:val="0"/>
              <w:kinsoku/>
              <w:wordWrap/>
              <w:overflowPunct/>
              <w:topLinePunct w:val="0"/>
              <w:bidi w:val="0"/>
              <w:snapToGrid/>
              <w:spacing w:before="88"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Pr>
          <w:p>
            <w:pPr>
              <w:pStyle w:val="73"/>
              <w:pageBreakBefore w:val="0"/>
              <w:kinsoku/>
              <w:wordWrap/>
              <w:overflowPunct/>
              <w:topLinePunct w:val="0"/>
              <w:bidi w:val="0"/>
              <w:snapToGrid/>
              <w:spacing w:before="88" w:line="320" w:lineRule="exact"/>
              <w:ind w:left="94" w:right="43"/>
              <w:rPr>
                <w:rFonts w:hint="eastAsia" w:ascii="新宋体" w:hAnsi="新宋体" w:eastAsia="新宋体" w:cs="新宋体"/>
                <w:sz w:val="24"/>
                <w:szCs w:val="24"/>
              </w:rPr>
            </w:pPr>
            <w:r>
              <w:rPr>
                <w:rFonts w:hint="eastAsia" w:ascii="新宋体" w:hAnsi="新宋体" w:eastAsia="新宋体" w:cs="新宋体"/>
                <w:w w:val="105"/>
                <w:sz w:val="24"/>
                <w:szCs w:val="24"/>
              </w:rPr>
              <w:t>面板式</w:t>
            </w:r>
          </w:p>
        </w:tc>
        <w:tc>
          <w:tcPr>
            <w:tcW w:w="1030" w:type="dxa"/>
            <w:tcBorders>
              <w:right w:val="single" w:color="000000" w:sz="18" w:space="0"/>
            </w:tcBorders>
          </w:tcPr>
          <w:p>
            <w:pPr>
              <w:pStyle w:val="73"/>
              <w:pageBreakBefore w:val="0"/>
              <w:kinsoku/>
              <w:wordWrap/>
              <w:overflowPunct/>
              <w:topLinePunct w:val="0"/>
              <w:bidi w:val="0"/>
              <w:snapToGrid/>
              <w:spacing w:before="0" w:line="320" w:lineRule="exact"/>
              <w:ind w:left="75"/>
              <w:rPr>
                <w:rFonts w:hint="eastAsia" w:ascii="新宋体" w:hAnsi="新宋体" w:eastAsia="新宋体" w:cs="新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8" w:hRule="atLeast"/>
        </w:trPr>
        <w:tc>
          <w:tcPr>
            <w:tcW w:w="572" w:type="dxa"/>
            <w:tcBorders>
              <w:left w:val="single" w:color="000000" w:sz="18" w:space="0"/>
            </w:tcBorders>
          </w:tcPr>
          <w:p>
            <w:pPr>
              <w:pStyle w:val="73"/>
              <w:pageBreakBefore w:val="0"/>
              <w:kinsoku/>
              <w:wordWrap/>
              <w:overflowPunct/>
              <w:topLinePunct w:val="0"/>
              <w:bidi w:val="0"/>
              <w:snapToGrid/>
              <w:spacing w:before="88" w:line="320" w:lineRule="exact"/>
              <w:ind w:left="0" w:right="154"/>
              <w:jc w:val="right"/>
              <w:rPr>
                <w:rFonts w:hint="eastAsia" w:ascii="新宋体" w:hAnsi="新宋体" w:eastAsia="新宋体" w:cs="新宋体"/>
                <w:sz w:val="24"/>
                <w:szCs w:val="24"/>
                <w:lang w:val="en-US"/>
              </w:rPr>
            </w:pPr>
            <w:r>
              <w:rPr>
                <w:rFonts w:hint="eastAsia" w:ascii="新宋体" w:hAnsi="新宋体" w:eastAsia="新宋体" w:cs="新宋体"/>
                <w:sz w:val="24"/>
                <w:szCs w:val="24"/>
                <w:lang w:val="en-US"/>
              </w:rPr>
              <w:t>25</w:t>
            </w:r>
          </w:p>
        </w:tc>
        <w:tc>
          <w:tcPr>
            <w:tcW w:w="2080" w:type="dxa"/>
          </w:tcPr>
          <w:p>
            <w:pPr>
              <w:pStyle w:val="73"/>
              <w:pageBreakBefore w:val="0"/>
              <w:kinsoku/>
              <w:wordWrap/>
              <w:overflowPunct/>
              <w:topLinePunct w:val="0"/>
              <w:bidi w:val="0"/>
              <w:snapToGrid/>
              <w:spacing w:before="88" w:line="320" w:lineRule="exact"/>
              <w:ind w:left="366" w:right="326"/>
              <w:rPr>
                <w:rFonts w:hint="eastAsia" w:ascii="新宋体" w:hAnsi="新宋体" w:eastAsia="新宋体" w:cs="新宋体"/>
                <w:sz w:val="24"/>
                <w:szCs w:val="24"/>
              </w:rPr>
            </w:pPr>
            <w:r>
              <w:rPr>
                <w:rFonts w:hint="eastAsia" w:ascii="新宋体" w:hAnsi="新宋体" w:eastAsia="新宋体" w:cs="新宋体"/>
                <w:w w:val="105"/>
                <w:sz w:val="24"/>
                <w:szCs w:val="24"/>
              </w:rPr>
              <w:t>产水调压阀</w:t>
            </w:r>
          </w:p>
        </w:tc>
        <w:tc>
          <w:tcPr>
            <w:tcW w:w="2387" w:type="dxa"/>
          </w:tcPr>
          <w:p>
            <w:pPr>
              <w:pStyle w:val="73"/>
              <w:pageBreakBefore w:val="0"/>
              <w:kinsoku/>
              <w:wordWrap/>
              <w:overflowPunct/>
              <w:topLinePunct w:val="0"/>
              <w:bidi w:val="0"/>
              <w:snapToGrid/>
              <w:spacing w:before="88" w:line="320" w:lineRule="exact"/>
              <w:ind w:left="194" w:right="55"/>
              <w:rPr>
                <w:rFonts w:hint="eastAsia" w:ascii="新宋体" w:hAnsi="新宋体" w:eastAsia="新宋体" w:cs="新宋体"/>
                <w:sz w:val="24"/>
                <w:szCs w:val="24"/>
              </w:rPr>
            </w:pPr>
            <w:r>
              <w:rPr>
                <w:rFonts w:hint="eastAsia" w:ascii="新宋体" w:hAnsi="新宋体" w:eastAsia="新宋体" w:cs="新宋体"/>
                <w:w w:val="105"/>
                <w:sz w:val="24"/>
                <w:szCs w:val="24"/>
              </w:rPr>
              <w:t>DN25 黄铜材质</w:t>
            </w:r>
          </w:p>
        </w:tc>
        <w:tc>
          <w:tcPr>
            <w:tcW w:w="628" w:type="dxa"/>
          </w:tcPr>
          <w:p>
            <w:pPr>
              <w:pStyle w:val="73"/>
              <w:pageBreakBefore w:val="0"/>
              <w:kinsoku/>
              <w:wordWrap/>
              <w:overflowPunct/>
              <w:topLinePunct w:val="0"/>
              <w:bidi w:val="0"/>
              <w:snapToGrid/>
              <w:spacing w:before="88" w:line="320" w:lineRule="exact"/>
              <w:ind w:left="238"/>
              <w:jc w:val="left"/>
              <w:rPr>
                <w:rFonts w:hint="eastAsia" w:ascii="新宋体" w:hAnsi="新宋体" w:eastAsia="新宋体" w:cs="新宋体"/>
                <w:sz w:val="24"/>
                <w:szCs w:val="24"/>
              </w:rPr>
            </w:pPr>
            <w:r>
              <w:rPr>
                <w:rFonts w:hint="eastAsia" w:ascii="新宋体" w:hAnsi="新宋体" w:eastAsia="新宋体" w:cs="新宋体"/>
                <w:w w:val="102"/>
                <w:sz w:val="24"/>
                <w:szCs w:val="24"/>
              </w:rPr>
              <w:t>只</w:t>
            </w:r>
          </w:p>
        </w:tc>
        <w:tc>
          <w:tcPr>
            <w:tcW w:w="578" w:type="dxa"/>
          </w:tcPr>
          <w:p>
            <w:pPr>
              <w:pStyle w:val="73"/>
              <w:pageBreakBefore w:val="0"/>
              <w:kinsoku/>
              <w:wordWrap/>
              <w:overflowPunct/>
              <w:topLinePunct w:val="0"/>
              <w:bidi w:val="0"/>
              <w:snapToGrid/>
              <w:spacing w:before="88"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2</w:t>
            </w:r>
          </w:p>
        </w:tc>
        <w:tc>
          <w:tcPr>
            <w:tcW w:w="1617" w:type="dxa"/>
          </w:tcPr>
          <w:p>
            <w:pPr>
              <w:pStyle w:val="73"/>
              <w:pageBreakBefore w:val="0"/>
              <w:kinsoku/>
              <w:wordWrap/>
              <w:overflowPunct/>
              <w:topLinePunct w:val="0"/>
              <w:bidi w:val="0"/>
              <w:snapToGrid/>
              <w:spacing w:before="88" w:line="320" w:lineRule="exact"/>
              <w:ind w:left="93" w:right="43"/>
              <w:rPr>
                <w:rFonts w:hint="eastAsia" w:ascii="新宋体" w:hAnsi="新宋体" w:eastAsia="新宋体" w:cs="新宋体"/>
                <w:sz w:val="24"/>
                <w:szCs w:val="24"/>
              </w:rPr>
            </w:pPr>
            <w:r>
              <w:rPr>
                <w:rFonts w:hint="eastAsia" w:ascii="新宋体" w:hAnsi="新宋体" w:eastAsia="新宋体" w:cs="新宋体"/>
                <w:w w:val="105"/>
                <w:sz w:val="24"/>
                <w:szCs w:val="24"/>
              </w:rPr>
              <w:t>轮式</w:t>
            </w:r>
          </w:p>
        </w:tc>
        <w:tc>
          <w:tcPr>
            <w:tcW w:w="1030" w:type="dxa"/>
            <w:tcBorders>
              <w:right w:val="single" w:color="000000" w:sz="18" w:space="0"/>
            </w:tcBorders>
          </w:tcPr>
          <w:p>
            <w:pPr>
              <w:pStyle w:val="73"/>
              <w:pageBreakBefore w:val="0"/>
              <w:kinsoku/>
              <w:wordWrap/>
              <w:overflowPunct/>
              <w:topLinePunct w:val="0"/>
              <w:bidi w:val="0"/>
              <w:snapToGrid/>
              <w:spacing w:before="88" w:line="320" w:lineRule="exact"/>
              <w:ind w:left="352"/>
              <w:jc w:val="left"/>
              <w:rPr>
                <w:rFonts w:hint="eastAsia" w:ascii="新宋体" w:hAnsi="新宋体" w:eastAsia="新宋体" w:cs="新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7" w:hRule="atLeast"/>
        </w:trPr>
        <w:tc>
          <w:tcPr>
            <w:tcW w:w="572" w:type="dxa"/>
            <w:tcBorders>
              <w:left w:val="single" w:color="000000" w:sz="18" w:space="0"/>
            </w:tcBorders>
          </w:tcPr>
          <w:p>
            <w:pPr>
              <w:pStyle w:val="73"/>
              <w:pageBreakBefore w:val="0"/>
              <w:kinsoku/>
              <w:wordWrap/>
              <w:overflowPunct/>
              <w:topLinePunct w:val="0"/>
              <w:bidi w:val="0"/>
              <w:snapToGrid/>
              <w:spacing w:before="89" w:line="320" w:lineRule="exact"/>
              <w:ind w:left="0" w:right="154"/>
              <w:jc w:val="right"/>
              <w:rPr>
                <w:rFonts w:hint="eastAsia" w:ascii="新宋体" w:hAnsi="新宋体" w:eastAsia="新宋体" w:cs="新宋体"/>
                <w:sz w:val="24"/>
                <w:szCs w:val="24"/>
                <w:lang w:val="en-US"/>
              </w:rPr>
            </w:pPr>
            <w:r>
              <w:rPr>
                <w:rFonts w:hint="eastAsia" w:ascii="新宋体" w:hAnsi="新宋体" w:eastAsia="新宋体" w:cs="新宋体"/>
                <w:sz w:val="24"/>
                <w:szCs w:val="24"/>
                <w:lang w:val="en-US"/>
              </w:rPr>
              <w:t>26</w:t>
            </w:r>
          </w:p>
        </w:tc>
        <w:tc>
          <w:tcPr>
            <w:tcW w:w="2080" w:type="dxa"/>
          </w:tcPr>
          <w:p>
            <w:pPr>
              <w:pStyle w:val="73"/>
              <w:pageBreakBefore w:val="0"/>
              <w:kinsoku/>
              <w:wordWrap/>
              <w:overflowPunct/>
              <w:topLinePunct w:val="0"/>
              <w:bidi w:val="0"/>
              <w:snapToGrid/>
              <w:spacing w:before="89" w:line="320" w:lineRule="exact"/>
              <w:ind w:left="366" w:right="326"/>
              <w:rPr>
                <w:rFonts w:hint="eastAsia" w:ascii="新宋体" w:hAnsi="新宋体" w:eastAsia="新宋体" w:cs="新宋体"/>
                <w:sz w:val="24"/>
                <w:szCs w:val="24"/>
              </w:rPr>
            </w:pPr>
            <w:r>
              <w:rPr>
                <w:rFonts w:hint="eastAsia" w:ascii="新宋体" w:hAnsi="新宋体" w:eastAsia="新宋体" w:cs="新宋体"/>
                <w:w w:val="105"/>
                <w:sz w:val="24"/>
                <w:szCs w:val="24"/>
              </w:rPr>
              <w:t>液位控制器</w:t>
            </w:r>
          </w:p>
        </w:tc>
        <w:tc>
          <w:tcPr>
            <w:tcW w:w="2387" w:type="dxa"/>
          </w:tcPr>
          <w:p>
            <w:pPr>
              <w:pStyle w:val="73"/>
              <w:pageBreakBefore w:val="0"/>
              <w:kinsoku/>
              <w:wordWrap/>
              <w:overflowPunct/>
              <w:topLinePunct w:val="0"/>
              <w:bidi w:val="0"/>
              <w:snapToGrid/>
              <w:spacing w:before="89" w:line="320" w:lineRule="exact"/>
              <w:ind w:left="105" w:right="55"/>
              <w:rPr>
                <w:rFonts w:hint="eastAsia" w:ascii="新宋体" w:hAnsi="新宋体" w:eastAsia="新宋体" w:cs="新宋体"/>
                <w:sz w:val="24"/>
                <w:szCs w:val="24"/>
              </w:rPr>
            </w:pPr>
            <w:r>
              <w:rPr>
                <w:rFonts w:hint="eastAsia" w:ascii="新宋体" w:hAnsi="新宋体" w:eastAsia="新宋体" w:cs="新宋体"/>
                <w:w w:val="105"/>
                <w:sz w:val="24"/>
                <w:szCs w:val="24"/>
              </w:rPr>
              <w:t>TEK-1</w:t>
            </w:r>
          </w:p>
        </w:tc>
        <w:tc>
          <w:tcPr>
            <w:tcW w:w="628" w:type="dxa"/>
          </w:tcPr>
          <w:p>
            <w:pPr>
              <w:pStyle w:val="73"/>
              <w:pageBreakBefore w:val="0"/>
              <w:kinsoku/>
              <w:wordWrap/>
              <w:overflowPunct/>
              <w:topLinePunct w:val="0"/>
              <w:bidi w:val="0"/>
              <w:snapToGrid/>
              <w:spacing w:before="89" w:line="320" w:lineRule="exact"/>
              <w:ind w:left="238"/>
              <w:jc w:val="left"/>
              <w:rPr>
                <w:rFonts w:hint="eastAsia" w:ascii="新宋体" w:hAnsi="新宋体" w:eastAsia="新宋体" w:cs="新宋体"/>
                <w:sz w:val="24"/>
                <w:szCs w:val="24"/>
              </w:rPr>
            </w:pPr>
            <w:r>
              <w:rPr>
                <w:rFonts w:hint="eastAsia" w:ascii="新宋体" w:hAnsi="新宋体" w:eastAsia="新宋体" w:cs="新宋体"/>
                <w:w w:val="102"/>
                <w:sz w:val="24"/>
                <w:szCs w:val="24"/>
              </w:rPr>
              <w:t>套</w:t>
            </w:r>
          </w:p>
        </w:tc>
        <w:tc>
          <w:tcPr>
            <w:tcW w:w="578" w:type="dxa"/>
          </w:tcPr>
          <w:p>
            <w:pPr>
              <w:pStyle w:val="73"/>
              <w:pageBreakBefore w:val="0"/>
              <w:kinsoku/>
              <w:wordWrap/>
              <w:overflowPunct/>
              <w:topLinePunct w:val="0"/>
              <w:bidi w:val="0"/>
              <w:snapToGrid/>
              <w:spacing w:before="89"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Pr>
          <w:p>
            <w:pPr>
              <w:pStyle w:val="73"/>
              <w:pageBreakBefore w:val="0"/>
              <w:kinsoku/>
              <w:wordWrap/>
              <w:overflowPunct/>
              <w:topLinePunct w:val="0"/>
              <w:bidi w:val="0"/>
              <w:snapToGrid/>
              <w:spacing w:before="89" w:line="320" w:lineRule="exact"/>
              <w:ind w:left="96" w:right="43"/>
              <w:rPr>
                <w:rFonts w:hint="eastAsia" w:ascii="新宋体" w:hAnsi="新宋体" w:eastAsia="新宋体" w:cs="新宋体"/>
                <w:sz w:val="24"/>
                <w:szCs w:val="24"/>
              </w:rPr>
            </w:pPr>
            <w:r>
              <w:rPr>
                <w:rFonts w:hint="eastAsia" w:ascii="新宋体" w:hAnsi="新宋体" w:eastAsia="新宋体" w:cs="新宋体"/>
                <w:w w:val="105"/>
                <w:sz w:val="24"/>
                <w:szCs w:val="24"/>
              </w:rPr>
              <w:t>投入式/220VAC</w:t>
            </w:r>
          </w:p>
        </w:tc>
        <w:tc>
          <w:tcPr>
            <w:tcW w:w="1030" w:type="dxa"/>
            <w:tcBorders>
              <w:right w:val="single" w:color="000000" w:sz="18" w:space="0"/>
            </w:tcBorders>
          </w:tcPr>
          <w:p>
            <w:pPr>
              <w:pStyle w:val="73"/>
              <w:pageBreakBefore w:val="0"/>
              <w:kinsoku/>
              <w:wordWrap/>
              <w:overflowPunct/>
              <w:topLinePunct w:val="0"/>
              <w:bidi w:val="0"/>
              <w:snapToGrid/>
              <w:spacing w:before="89" w:line="320" w:lineRule="exact"/>
              <w:ind w:left="120"/>
              <w:jc w:val="left"/>
              <w:rPr>
                <w:rFonts w:hint="eastAsia" w:ascii="新宋体" w:hAnsi="新宋体" w:eastAsia="新宋体" w:cs="新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7" w:hRule="atLeast"/>
        </w:trPr>
        <w:tc>
          <w:tcPr>
            <w:tcW w:w="572" w:type="dxa"/>
            <w:tcBorders>
              <w:left w:val="single" w:color="000000" w:sz="18" w:space="0"/>
            </w:tcBorders>
          </w:tcPr>
          <w:p>
            <w:pPr>
              <w:pStyle w:val="73"/>
              <w:pageBreakBefore w:val="0"/>
              <w:kinsoku/>
              <w:wordWrap/>
              <w:overflowPunct/>
              <w:topLinePunct w:val="0"/>
              <w:bidi w:val="0"/>
              <w:snapToGrid/>
              <w:spacing w:before="88" w:line="320" w:lineRule="exact"/>
              <w:ind w:left="0" w:right="154"/>
              <w:jc w:val="right"/>
              <w:rPr>
                <w:rFonts w:hint="eastAsia" w:ascii="新宋体" w:hAnsi="新宋体" w:eastAsia="新宋体" w:cs="新宋体"/>
                <w:sz w:val="24"/>
                <w:szCs w:val="24"/>
                <w:lang w:val="en-US"/>
              </w:rPr>
            </w:pPr>
            <w:r>
              <w:rPr>
                <w:rFonts w:hint="eastAsia" w:ascii="新宋体" w:hAnsi="新宋体" w:eastAsia="新宋体" w:cs="新宋体"/>
                <w:sz w:val="24"/>
                <w:szCs w:val="24"/>
                <w:lang w:val="en-US"/>
              </w:rPr>
              <w:t>27</w:t>
            </w:r>
          </w:p>
        </w:tc>
        <w:tc>
          <w:tcPr>
            <w:tcW w:w="2080" w:type="dxa"/>
          </w:tcPr>
          <w:p>
            <w:pPr>
              <w:pStyle w:val="73"/>
              <w:pageBreakBefore w:val="0"/>
              <w:kinsoku/>
              <w:wordWrap/>
              <w:overflowPunct/>
              <w:topLinePunct w:val="0"/>
              <w:bidi w:val="0"/>
              <w:snapToGrid/>
              <w:spacing w:before="88" w:line="320" w:lineRule="exact"/>
              <w:ind w:left="366" w:right="318"/>
              <w:rPr>
                <w:rFonts w:hint="eastAsia" w:ascii="新宋体" w:hAnsi="新宋体" w:eastAsia="新宋体" w:cs="新宋体"/>
                <w:sz w:val="24"/>
                <w:szCs w:val="24"/>
              </w:rPr>
            </w:pPr>
            <w:r>
              <w:rPr>
                <w:rFonts w:hint="eastAsia" w:ascii="新宋体" w:hAnsi="新宋体" w:eastAsia="新宋体" w:cs="新宋体"/>
                <w:w w:val="105"/>
                <w:sz w:val="24"/>
                <w:szCs w:val="24"/>
              </w:rPr>
              <w:t>纯水箱</w:t>
            </w:r>
          </w:p>
        </w:tc>
        <w:tc>
          <w:tcPr>
            <w:tcW w:w="2387" w:type="dxa"/>
          </w:tcPr>
          <w:p>
            <w:pPr>
              <w:pStyle w:val="73"/>
              <w:pageBreakBefore w:val="0"/>
              <w:kinsoku/>
              <w:wordWrap/>
              <w:overflowPunct/>
              <w:topLinePunct w:val="0"/>
              <w:bidi w:val="0"/>
              <w:snapToGrid/>
              <w:spacing w:before="88" w:line="320" w:lineRule="exact"/>
              <w:ind w:left="105" w:right="55"/>
              <w:rPr>
                <w:rFonts w:hint="eastAsia" w:ascii="新宋体" w:hAnsi="新宋体" w:eastAsia="新宋体" w:cs="新宋体"/>
                <w:sz w:val="24"/>
                <w:szCs w:val="24"/>
              </w:rPr>
            </w:pPr>
            <w:r>
              <w:rPr>
                <w:rFonts w:hint="eastAsia" w:ascii="新宋体" w:hAnsi="新宋体" w:eastAsia="新宋体" w:cs="新宋体"/>
                <w:w w:val="105"/>
                <w:sz w:val="24"/>
                <w:szCs w:val="24"/>
                <w:lang w:val="en-US"/>
              </w:rPr>
              <w:t>1</w:t>
            </w:r>
            <w:r>
              <w:rPr>
                <w:rFonts w:hint="eastAsia" w:ascii="新宋体" w:hAnsi="新宋体" w:eastAsia="新宋体" w:cs="新宋体"/>
                <w:w w:val="105"/>
                <w:sz w:val="24"/>
                <w:szCs w:val="24"/>
              </w:rPr>
              <w:t>T</w:t>
            </w:r>
          </w:p>
        </w:tc>
        <w:tc>
          <w:tcPr>
            <w:tcW w:w="628" w:type="dxa"/>
          </w:tcPr>
          <w:p>
            <w:pPr>
              <w:pStyle w:val="73"/>
              <w:pageBreakBefore w:val="0"/>
              <w:kinsoku/>
              <w:wordWrap/>
              <w:overflowPunct/>
              <w:topLinePunct w:val="0"/>
              <w:bidi w:val="0"/>
              <w:snapToGrid/>
              <w:spacing w:before="88" w:line="320" w:lineRule="exact"/>
              <w:ind w:left="238"/>
              <w:jc w:val="left"/>
              <w:rPr>
                <w:rFonts w:hint="eastAsia" w:ascii="新宋体" w:hAnsi="新宋体" w:eastAsia="新宋体" w:cs="新宋体"/>
                <w:sz w:val="24"/>
                <w:szCs w:val="24"/>
              </w:rPr>
            </w:pPr>
            <w:r>
              <w:rPr>
                <w:rFonts w:hint="eastAsia" w:ascii="新宋体" w:hAnsi="新宋体" w:eastAsia="新宋体" w:cs="新宋体"/>
                <w:w w:val="102"/>
                <w:sz w:val="24"/>
                <w:szCs w:val="24"/>
              </w:rPr>
              <w:t>个</w:t>
            </w:r>
          </w:p>
        </w:tc>
        <w:tc>
          <w:tcPr>
            <w:tcW w:w="578" w:type="dxa"/>
          </w:tcPr>
          <w:p>
            <w:pPr>
              <w:pStyle w:val="73"/>
              <w:pageBreakBefore w:val="0"/>
              <w:kinsoku/>
              <w:wordWrap/>
              <w:overflowPunct/>
              <w:topLinePunct w:val="0"/>
              <w:bidi w:val="0"/>
              <w:snapToGrid/>
              <w:spacing w:before="88"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Pr>
          <w:p>
            <w:pPr>
              <w:pStyle w:val="73"/>
              <w:pageBreakBefore w:val="0"/>
              <w:kinsoku/>
              <w:wordWrap/>
              <w:overflowPunct/>
              <w:topLinePunct w:val="0"/>
              <w:bidi w:val="0"/>
              <w:snapToGrid/>
              <w:spacing w:before="88" w:line="320" w:lineRule="exact"/>
              <w:ind w:left="90" w:right="43"/>
              <w:rPr>
                <w:rFonts w:hint="eastAsia" w:ascii="新宋体" w:hAnsi="新宋体" w:eastAsia="新宋体" w:cs="新宋体"/>
                <w:sz w:val="24"/>
                <w:szCs w:val="24"/>
              </w:rPr>
            </w:pPr>
            <w:r>
              <w:rPr>
                <w:rFonts w:hint="eastAsia" w:ascii="新宋体" w:hAnsi="新宋体" w:eastAsia="新宋体" w:cs="新宋体"/>
                <w:w w:val="105"/>
                <w:sz w:val="24"/>
                <w:szCs w:val="24"/>
              </w:rPr>
              <w:t>不锈钢材质</w:t>
            </w:r>
          </w:p>
        </w:tc>
        <w:tc>
          <w:tcPr>
            <w:tcW w:w="1030" w:type="dxa"/>
            <w:tcBorders>
              <w:right w:val="single" w:color="000000" w:sz="18" w:space="0"/>
            </w:tcBorders>
          </w:tcPr>
          <w:p>
            <w:pPr>
              <w:pStyle w:val="73"/>
              <w:pageBreakBefore w:val="0"/>
              <w:kinsoku/>
              <w:wordWrap/>
              <w:overflowPunct/>
              <w:topLinePunct w:val="0"/>
              <w:bidi w:val="0"/>
              <w:snapToGrid/>
              <w:spacing w:before="88" w:line="320" w:lineRule="exact"/>
              <w:ind w:left="167"/>
              <w:jc w:val="left"/>
              <w:rPr>
                <w:rFonts w:hint="eastAsia" w:ascii="新宋体" w:hAnsi="新宋体" w:eastAsia="新宋体" w:cs="新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7" w:hRule="atLeast"/>
        </w:trPr>
        <w:tc>
          <w:tcPr>
            <w:tcW w:w="572" w:type="dxa"/>
            <w:tcBorders>
              <w:left w:val="single" w:color="000000" w:sz="18" w:space="0"/>
            </w:tcBorders>
          </w:tcPr>
          <w:p>
            <w:pPr>
              <w:pStyle w:val="73"/>
              <w:pageBreakBefore w:val="0"/>
              <w:kinsoku/>
              <w:wordWrap/>
              <w:overflowPunct/>
              <w:topLinePunct w:val="0"/>
              <w:bidi w:val="0"/>
              <w:snapToGrid/>
              <w:spacing w:before="88" w:line="320" w:lineRule="exact"/>
              <w:ind w:left="0" w:right="154"/>
              <w:jc w:val="right"/>
              <w:rPr>
                <w:rFonts w:hint="eastAsia" w:ascii="新宋体" w:hAnsi="新宋体" w:eastAsia="新宋体" w:cs="新宋体"/>
                <w:sz w:val="24"/>
                <w:szCs w:val="24"/>
                <w:lang w:val="en-US"/>
              </w:rPr>
            </w:pPr>
            <w:r>
              <w:rPr>
                <w:rFonts w:hint="eastAsia" w:ascii="新宋体" w:hAnsi="新宋体" w:eastAsia="新宋体" w:cs="新宋体"/>
                <w:sz w:val="24"/>
                <w:szCs w:val="24"/>
                <w:lang w:val="en-US"/>
              </w:rPr>
              <w:t>28</w:t>
            </w:r>
          </w:p>
        </w:tc>
        <w:tc>
          <w:tcPr>
            <w:tcW w:w="2080" w:type="dxa"/>
          </w:tcPr>
          <w:p>
            <w:pPr>
              <w:pStyle w:val="73"/>
              <w:pageBreakBefore w:val="0"/>
              <w:kinsoku/>
              <w:wordWrap/>
              <w:overflowPunct/>
              <w:topLinePunct w:val="0"/>
              <w:bidi w:val="0"/>
              <w:snapToGrid/>
              <w:spacing w:before="88" w:line="320" w:lineRule="exact"/>
              <w:ind w:left="366" w:right="330"/>
              <w:rPr>
                <w:rFonts w:hint="eastAsia" w:ascii="新宋体" w:hAnsi="新宋体" w:eastAsia="新宋体" w:cs="新宋体"/>
                <w:sz w:val="24"/>
                <w:szCs w:val="24"/>
              </w:rPr>
            </w:pPr>
            <w:r>
              <w:rPr>
                <w:rFonts w:hint="eastAsia" w:ascii="新宋体" w:hAnsi="新宋体" w:eastAsia="新宋体" w:cs="新宋体"/>
                <w:w w:val="105"/>
                <w:sz w:val="24"/>
                <w:szCs w:val="24"/>
              </w:rPr>
              <w:t>反渗透主机管路</w:t>
            </w:r>
          </w:p>
        </w:tc>
        <w:tc>
          <w:tcPr>
            <w:tcW w:w="2387" w:type="dxa"/>
          </w:tcPr>
          <w:p>
            <w:pPr>
              <w:pStyle w:val="73"/>
              <w:pageBreakBefore w:val="0"/>
              <w:kinsoku/>
              <w:wordWrap/>
              <w:overflowPunct/>
              <w:topLinePunct w:val="0"/>
              <w:bidi w:val="0"/>
              <w:snapToGrid/>
              <w:spacing w:before="88" w:line="320" w:lineRule="exact"/>
              <w:ind w:left="104" w:right="55"/>
              <w:rPr>
                <w:rFonts w:hint="eastAsia" w:ascii="新宋体" w:hAnsi="新宋体" w:eastAsia="新宋体" w:cs="新宋体"/>
                <w:sz w:val="24"/>
                <w:szCs w:val="24"/>
              </w:rPr>
            </w:pPr>
            <w:r>
              <w:rPr>
                <w:rFonts w:hint="eastAsia" w:ascii="新宋体" w:hAnsi="新宋体" w:eastAsia="新宋体" w:cs="新宋体"/>
                <w:w w:val="105"/>
                <w:sz w:val="24"/>
                <w:szCs w:val="24"/>
              </w:rPr>
              <w:t>管件DN15～DN25</w:t>
            </w:r>
          </w:p>
        </w:tc>
        <w:tc>
          <w:tcPr>
            <w:tcW w:w="628" w:type="dxa"/>
          </w:tcPr>
          <w:p>
            <w:pPr>
              <w:pStyle w:val="73"/>
              <w:pageBreakBefore w:val="0"/>
              <w:kinsoku/>
              <w:wordWrap/>
              <w:overflowPunct/>
              <w:topLinePunct w:val="0"/>
              <w:bidi w:val="0"/>
              <w:snapToGrid/>
              <w:spacing w:before="88" w:line="320" w:lineRule="exact"/>
              <w:ind w:left="192"/>
              <w:jc w:val="left"/>
              <w:rPr>
                <w:rFonts w:hint="eastAsia" w:ascii="新宋体" w:hAnsi="新宋体" w:eastAsia="新宋体" w:cs="新宋体"/>
                <w:sz w:val="24"/>
                <w:szCs w:val="24"/>
              </w:rPr>
            </w:pPr>
            <w:r>
              <w:rPr>
                <w:rFonts w:hint="eastAsia" w:ascii="新宋体" w:hAnsi="新宋体" w:eastAsia="新宋体" w:cs="新宋体"/>
                <w:w w:val="105"/>
                <w:sz w:val="24"/>
                <w:szCs w:val="24"/>
              </w:rPr>
              <w:t>1批</w:t>
            </w:r>
          </w:p>
        </w:tc>
        <w:tc>
          <w:tcPr>
            <w:tcW w:w="578" w:type="dxa"/>
          </w:tcPr>
          <w:p>
            <w:pPr>
              <w:pStyle w:val="73"/>
              <w:pageBreakBefore w:val="0"/>
              <w:kinsoku/>
              <w:wordWrap/>
              <w:overflowPunct/>
              <w:topLinePunct w:val="0"/>
              <w:bidi w:val="0"/>
              <w:snapToGrid/>
              <w:spacing w:before="88"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Pr>
          <w:p>
            <w:pPr>
              <w:pStyle w:val="73"/>
              <w:pageBreakBefore w:val="0"/>
              <w:kinsoku/>
              <w:wordWrap/>
              <w:overflowPunct/>
              <w:topLinePunct w:val="0"/>
              <w:bidi w:val="0"/>
              <w:snapToGrid/>
              <w:spacing w:before="88" w:line="320" w:lineRule="exact"/>
              <w:ind w:left="95" w:right="43"/>
              <w:rPr>
                <w:rFonts w:hint="eastAsia" w:ascii="新宋体" w:hAnsi="新宋体" w:eastAsia="新宋体" w:cs="新宋体"/>
                <w:sz w:val="24"/>
                <w:szCs w:val="24"/>
              </w:rPr>
            </w:pPr>
            <w:r>
              <w:rPr>
                <w:rFonts w:hint="eastAsia" w:ascii="新宋体" w:hAnsi="新宋体" w:eastAsia="新宋体" w:cs="新宋体"/>
                <w:w w:val="105"/>
                <w:sz w:val="24"/>
                <w:szCs w:val="24"/>
              </w:rPr>
              <w:t>PVC</w:t>
            </w:r>
          </w:p>
        </w:tc>
        <w:tc>
          <w:tcPr>
            <w:tcW w:w="1030" w:type="dxa"/>
            <w:tcBorders>
              <w:right w:val="single" w:color="000000" w:sz="18" w:space="0"/>
            </w:tcBorders>
          </w:tcPr>
          <w:p>
            <w:pPr>
              <w:pStyle w:val="73"/>
              <w:pageBreakBefore w:val="0"/>
              <w:kinsoku/>
              <w:wordWrap/>
              <w:overflowPunct/>
              <w:topLinePunct w:val="0"/>
              <w:bidi w:val="0"/>
              <w:snapToGrid/>
              <w:spacing w:before="88" w:line="320" w:lineRule="exact"/>
              <w:ind w:left="167"/>
              <w:jc w:val="left"/>
              <w:rPr>
                <w:rFonts w:hint="eastAsia" w:ascii="新宋体" w:hAnsi="新宋体" w:eastAsia="新宋体" w:cs="新宋体"/>
                <w:sz w:val="24"/>
                <w:szCs w:val="24"/>
              </w:rPr>
            </w:pPr>
          </w:p>
        </w:tc>
      </w:tr>
    </w:tbl>
    <w:p>
      <w:pPr>
        <w:pStyle w:val="11"/>
        <w:pageBreakBefore w:val="0"/>
        <w:kinsoku/>
        <w:wordWrap/>
        <w:overflowPunct/>
        <w:topLinePunct w:val="0"/>
        <w:bidi w:val="0"/>
        <w:snapToGrid/>
        <w:spacing w:line="320" w:lineRule="exact"/>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二、热水器系统</w:t>
      </w:r>
    </w:p>
    <w:p>
      <w:pPr>
        <w:pStyle w:val="4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电源规格：         380V/3N-/50Hz</w:t>
      </w:r>
    </w:p>
    <w:p>
      <w:pPr>
        <w:pStyle w:val="4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额定制热量：       18kW</w:t>
      </w:r>
    </w:p>
    <w:p>
      <w:pPr>
        <w:pStyle w:val="4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产水量：           387L/h</w:t>
      </w:r>
    </w:p>
    <w:p>
      <w:pPr>
        <w:pStyle w:val="4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冷媒冲灌量(R22)：  2700g</w:t>
      </w:r>
    </w:p>
    <w:p>
      <w:pPr>
        <w:pStyle w:val="4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设计最大冷媒压力： 3.OMPa</w:t>
      </w:r>
    </w:p>
    <w:p>
      <w:pPr>
        <w:pStyle w:val="4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制热额定输入功率： 4.2kW</w:t>
      </w:r>
    </w:p>
    <w:p>
      <w:pPr>
        <w:pStyle w:val="4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制热额定输入电流:  7.4A</w:t>
      </w:r>
    </w:p>
    <w:p>
      <w:pPr>
        <w:pStyle w:val="4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额定/最高出水温度：55/60℃</w:t>
      </w:r>
    </w:p>
    <w:p>
      <w:pPr>
        <w:pStyle w:val="4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 xml:space="preserve">循环加热水流量：   3.1m3/h  </w:t>
      </w:r>
    </w:p>
    <w:p>
      <w:pPr>
        <w:pStyle w:val="4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水侧压力损失：     ≤60lkPa</w:t>
      </w:r>
    </w:p>
    <w:p>
      <w:pPr>
        <w:pStyle w:val="4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运行噪声：         58dB(A)</w:t>
      </w:r>
    </w:p>
    <w:p>
      <w:pPr>
        <w:pStyle w:val="4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外壳防护等级:      IPX4</w:t>
      </w:r>
    </w:p>
    <w:p>
      <w:pPr>
        <w:pStyle w:val="4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机组净重:          130Kg</w:t>
      </w:r>
    </w:p>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三、电脑</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1.制造商：国内知名厂商</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2.J3060处理器</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3.4G内存</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4.500G硬盘</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5.19.5显示器</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6.WIN10操作系统</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7.包含配套鼠标，键盘</w:t>
      </w:r>
    </w:p>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四、票据针式打印机</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1.平推式</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2.打印方式：24点阵击打式</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3.复写能力：7份（1份原件+6份拷贝）</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4.打印针数：24针</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5.接口：标配：USB, 选配：蓝牙、WIFI</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6.打印头寿命：3亿次/针</w:t>
      </w:r>
    </w:p>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五、黑白激光打印机</w:t>
      </w:r>
    </w:p>
    <w:p>
      <w:pPr>
        <w:pStyle w:val="1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1.A4黑白激光打印机</w:t>
      </w:r>
    </w:p>
    <w:p>
      <w:pPr>
        <w:pStyle w:val="1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2.耗材类型：鼓粉分离</w:t>
      </w:r>
    </w:p>
    <w:p>
      <w:pPr>
        <w:pStyle w:val="1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3.进纸盒容量：标配：150页</w:t>
      </w:r>
    </w:p>
    <w:p>
      <w:pPr>
        <w:pStyle w:val="1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4.黑白打印速度：20ppm</w:t>
      </w:r>
    </w:p>
    <w:p>
      <w:pPr>
        <w:pStyle w:val="1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5.最高分辨率：HQ1200，600×600dpi</w:t>
      </w:r>
    </w:p>
    <w:p>
      <w:pPr>
        <w:pStyle w:val="1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6.双面打印：手动</w:t>
      </w:r>
    </w:p>
    <w:p>
      <w:pPr>
        <w:pStyle w:val="11"/>
        <w:pageBreakBefore w:val="0"/>
        <w:kinsoku/>
        <w:wordWrap/>
        <w:overflowPunct/>
        <w:topLinePunct w:val="0"/>
        <w:bidi w:val="0"/>
        <w:snapToGrid/>
        <w:spacing w:line="320" w:lineRule="exact"/>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六、黑白激光多功能一体机</w:t>
      </w:r>
    </w:p>
    <w:p>
      <w:pPr>
        <w:pStyle w:val="1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1.功能：打印/复印/扫描</w:t>
      </w:r>
    </w:p>
    <w:p>
      <w:pPr>
        <w:pStyle w:val="1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2.黑白打印速度：20ppm</w:t>
      </w:r>
    </w:p>
    <w:p>
      <w:pPr>
        <w:pStyle w:val="1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3.打印分辨率：HQ1200，600×600dpi</w:t>
      </w:r>
    </w:p>
    <w:p>
      <w:pPr>
        <w:pStyle w:val="1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4.最大处理幅面：A4</w:t>
      </w:r>
    </w:p>
    <w:p>
      <w:pPr>
        <w:pStyle w:val="1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5.双面功能：手动</w:t>
      </w:r>
    </w:p>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七、黑白数码复合机</w:t>
      </w:r>
    </w:p>
    <w:p>
      <w:pPr>
        <w:pageBreakBefore w:val="0"/>
        <w:numPr>
          <w:ilvl w:val="0"/>
          <w:numId w:val="69"/>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A3中速/250页；</w:t>
      </w:r>
    </w:p>
    <w:p>
      <w:pPr>
        <w:pageBreakBefore w:val="0"/>
        <w:numPr>
          <w:ilvl w:val="0"/>
          <w:numId w:val="69"/>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纸盒：60-90g/㎡，</w:t>
      </w:r>
    </w:p>
    <w:p>
      <w:pPr>
        <w:pageBreakBefore w:val="0"/>
        <w:numPr>
          <w:ilvl w:val="0"/>
          <w:numId w:val="69"/>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手送纸盘：60-216g/㎡；支持有线网络打印；</w:t>
      </w:r>
    </w:p>
    <w:p>
      <w:pPr>
        <w:pageBreakBefore w:val="0"/>
        <w:numPr>
          <w:ilvl w:val="0"/>
          <w:numId w:val="69"/>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接口：USB2.0，10Base-T/100Base-TX（RJ-45网络接口）；</w:t>
      </w:r>
    </w:p>
    <w:p>
      <w:pPr>
        <w:pageBreakBefore w:val="0"/>
        <w:numPr>
          <w:ilvl w:val="0"/>
          <w:numId w:val="69"/>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A4横向/B5横向：21cpm；</w:t>
      </w:r>
    </w:p>
    <w:p>
      <w:pPr>
        <w:pageBreakBefore w:val="0"/>
        <w:numPr>
          <w:ilvl w:val="0"/>
          <w:numId w:val="69"/>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复印分辨率：600×600dpi；</w:t>
      </w:r>
    </w:p>
    <w:p>
      <w:pPr>
        <w:pageBreakBefore w:val="0"/>
        <w:numPr>
          <w:ilvl w:val="0"/>
          <w:numId w:val="69"/>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规格：最大A3、11×17"，最小A5</w:t>
      </w:r>
    </w:p>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八、服务器</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制造商</w:t>
      </w:r>
      <w:r>
        <w:rPr>
          <w:rFonts w:hint="eastAsia" w:ascii="新宋体" w:hAnsi="新宋体" w:eastAsia="新宋体" w:cs="新宋体"/>
          <w:kern w:val="0"/>
          <w:sz w:val="24"/>
          <w:szCs w:val="24"/>
        </w:rPr>
        <w:tab/>
      </w:r>
      <w:r>
        <w:rPr>
          <w:rFonts w:hint="eastAsia" w:ascii="新宋体" w:hAnsi="新宋体" w:eastAsia="新宋体" w:cs="新宋体"/>
          <w:kern w:val="0"/>
          <w:sz w:val="24"/>
          <w:szCs w:val="24"/>
        </w:rPr>
        <w:t>国内知名厂商</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服务器外型</w:t>
      </w:r>
      <w:r>
        <w:rPr>
          <w:rFonts w:hint="eastAsia" w:ascii="新宋体" w:hAnsi="新宋体" w:eastAsia="新宋体" w:cs="新宋体"/>
          <w:kern w:val="0"/>
          <w:sz w:val="24"/>
          <w:szCs w:val="24"/>
        </w:rPr>
        <w:tab/>
      </w:r>
      <w:r>
        <w:rPr>
          <w:rFonts w:hint="eastAsia" w:ascii="新宋体" w:hAnsi="新宋体" w:eastAsia="新宋体" w:cs="新宋体"/>
          <w:kern w:val="0"/>
          <w:sz w:val="24"/>
          <w:szCs w:val="24"/>
        </w:rPr>
        <w:t>机架式</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服务器高度</w:t>
      </w:r>
      <w:r>
        <w:rPr>
          <w:rFonts w:hint="eastAsia" w:ascii="新宋体" w:hAnsi="新宋体" w:eastAsia="新宋体" w:cs="新宋体"/>
          <w:kern w:val="0"/>
          <w:sz w:val="24"/>
          <w:szCs w:val="24"/>
        </w:rPr>
        <w:tab/>
      </w:r>
      <w:r>
        <w:rPr>
          <w:rFonts w:hint="eastAsia" w:ascii="新宋体" w:hAnsi="新宋体" w:eastAsia="新宋体" w:cs="新宋体"/>
          <w:kern w:val="0"/>
          <w:sz w:val="24"/>
          <w:szCs w:val="24"/>
        </w:rPr>
        <w:t>≥2U，标配原厂导轨</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★CPU型号</w:t>
      </w:r>
      <w:r>
        <w:rPr>
          <w:rFonts w:hint="eastAsia" w:ascii="新宋体" w:hAnsi="新宋体" w:eastAsia="新宋体" w:cs="新宋体"/>
          <w:kern w:val="0"/>
          <w:sz w:val="24"/>
          <w:szCs w:val="24"/>
        </w:rPr>
        <w:tab/>
      </w:r>
      <w:r>
        <w:rPr>
          <w:rFonts w:hint="eastAsia" w:ascii="新宋体" w:hAnsi="新宋体" w:eastAsia="新宋体" w:cs="新宋体"/>
          <w:kern w:val="0"/>
          <w:sz w:val="24"/>
          <w:szCs w:val="24"/>
        </w:rPr>
        <w:t xml:space="preserve">Intel Xeon 3106（八核1.7GHz），最大支持功率85W </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CPU实配数量</w:t>
      </w:r>
      <w:r>
        <w:rPr>
          <w:rFonts w:hint="eastAsia" w:ascii="新宋体" w:hAnsi="新宋体" w:eastAsia="新宋体" w:cs="新宋体"/>
          <w:kern w:val="0"/>
          <w:sz w:val="24"/>
          <w:szCs w:val="24"/>
        </w:rPr>
        <w:tab/>
      </w:r>
      <w:r>
        <w:rPr>
          <w:rFonts w:hint="eastAsia" w:ascii="新宋体" w:hAnsi="新宋体" w:eastAsia="新宋体" w:cs="新宋体"/>
          <w:kern w:val="0"/>
          <w:sz w:val="24"/>
          <w:szCs w:val="24"/>
        </w:rPr>
        <w:t>≥1颗，最大支持2颗</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内存功能</w:t>
      </w:r>
      <w:r>
        <w:rPr>
          <w:rFonts w:hint="eastAsia" w:ascii="新宋体" w:hAnsi="新宋体" w:eastAsia="新宋体" w:cs="新宋体"/>
          <w:kern w:val="0"/>
          <w:sz w:val="24"/>
          <w:szCs w:val="24"/>
        </w:rPr>
        <w:tab/>
      </w:r>
      <w:r>
        <w:rPr>
          <w:rFonts w:hint="eastAsia" w:ascii="新宋体" w:hAnsi="新宋体" w:eastAsia="新宋体" w:cs="新宋体"/>
          <w:kern w:val="0"/>
          <w:sz w:val="24"/>
          <w:szCs w:val="24"/>
        </w:rPr>
        <w:t xml:space="preserve">Advanced ECC、内存在线热备 </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内存实配规格≥32GB DDR4-2666 </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★内存可扩展数量</w:t>
      </w:r>
      <w:r>
        <w:rPr>
          <w:rFonts w:hint="eastAsia" w:ascii="新宋体" w:hAnsi="新宋体" w:eastAsia="新宋体" w:cs="新宋体"/>
          <w:kern w:val="0"/>
          <w:sz w:val="24"/>
          <w:szCs w:val="24"/>
        </w:rPr>
        <w:tab/>
      </w:r>
      <w:r>
        <w:rPr>
          <w:rFonts w:hint="eastAsia" w:ascii="新宋体" w:hAnsi="新宋体" w:eastAsia="新宋体" w:cs="新宋体"/>
          <w:kern w:val="0"/>
          <w:sz w:val="24"/>
          <w:szCs w:val="24"/>
        </w:rPr>
        <w:t xml:space="preserve">可扩展≥24个内存插槽，官方支持最大容量1.5T </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实配硬盘及托架≥3块1.2TB 10K  SAS硬盘</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★硬盘槽位</w:t>
      </w:r>
      <w:r>
        <w:rPr>
          <w:rFonts w:hint="eastAsia" w:ascii="新宋体" w:hAnsi="新宋体" w:eastAsia="新宋体" w:cs="新宋体"/>
          <w:kern w:val="0"/>
          <w:sz w:val="24"/>
          <w:szCs w:val="24"/>
        </w:rPr>
        <w:tab/>
      </w:r>
      <w:r>
        <w:rPr>
          <w:rFonts w:hint="eastAsia" w:ascii="新宋体" w:hAnsi="新宋体" w:eastAsia="新宋体" w:cs="新宋体"/>
          <w:kern w:val="0"/>
          <w:sz w:val="24"/>
          <w:szCs w:val="24"/>
        </w:rPr>
        <w:t>配置≥8个2.5寸热插拔硬盘槽位，可扩展至≥37个2.5寸热插拔硬盘槽位，同时可扩展3个3.5寸硬盘。</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★阵列控制器≥1个标配SAS Raid阵列卡（不占用PCIE扩展槽），支持Raid0/1/10/5/6，≥2GB缓存，支持缓存数据保护，且后备保护时间不受限制；</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PCI I/O插槽</w:t>
      </w:r>
      <w:r>
        <w:rPr>
          <w:rFonts w:hint="eastAsia" w:ascii="新宋体" w:hAnsi="新宋体" w:eastAsia="新宋体" w:cs="新宋体"/>
          <w:kern w:val="0"/>
          <w:sz w:val="24"/>
          <w:szCs w:val="24"/>
        </w:rPr>
        <w:tab/>
      </w:r>
      <w:r>
        <w:rPr>
          <w:rFonts w:hint="eastAsia" w:ascii="新宋体" w:hAnsi="新宋体" w:eastAsia="新宋体" w:cs="新宋体"/>
          <w:kern w:val="0"/>
          <w:sz w:val="24"/>
          <w:szCs w:val="24"/>
        </w:rPr>
        <w:t>最多可提供≥10个标准PCIE3.0插槽。</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★网卡本次配置≥4个千兆网口；要求额外提供≥1个网卡专用插槽（不占用PCIE扩展槽），可选配千兆或万兆网卡。</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GPU</w:t>
      </w:r>
      <w:r>
        <w:rPr>
          <w:rFonts w:hint="eastAsia" w:ascii="新宋体" w:hAnsi="新宋体" w:eastAsia="新宋体" w:cs="新宋体"/>
          <w:kern w:val="0"/>
          <w:sz w:val="24"/>
          <w:szCs w:val="24"/>
        </w:rPr>
        <w:tab/>
      </w:r>
      <w:r>
        <w:rPr>
          <w:rFonts w:hint="eastAsia" w:ascii="新宋体" w:hAnsi="新宋体" w:eastAsia="新宋体" w:cs="新宋体"/>
          <w:kern w:val="0"/>
          <w:sz w:val="24"/>
          <w:szCs w:val="24"/>
        </w:rPr>
        <w:t>最高支持3个双宽GPU卡</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接口≥5个USB3.0接口（≥1*前置USB3.0）</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★冗余电源≥2*550w铂金版热插拔冗余电源</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冗余风扇：热插拔冗余风扇</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远程管理卡配置≥1Gb独立的远程管理控制端口，配置虚拟KVM功能, 可实现与操作系统无关的远程对服务器的完全控制，包括远程的开机、关机、重启、更新Firmware、虚拟软驱、虚拟光驱、虚拟文件夹等操作，提供服务器健康日记、服务器控制台录屏/回放功能，能够提供电源监控，可支持动态功率封顶。</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售后服务</w:t>
      </w:r>
      <w:r>
        <w:rPr>
          <w:rFonts w:hint="eastAsia" w:ascii="新宋体" w:hAnsi="新宋体" w:eastAsia="新宋体" w:cs="新宋体"/>
          <w:kern w:val="0"/>
          <w:sz w:val="24"/>
          <w:szCs w:val="24"/>
        </w:rPr>
        <w:tab/>
      </w:r>
      <w:r>
        <w:rPr>
          <w:rFonts w:hint="eastAsia" w:ascii="新宋体" w:hAnsi="新宋体" w:eastAsia="新宋体" w:cs="新宋体"/>
          <w:kern w:val="0"/>
          <w:sz w:val="24"/>
          <w:szCs w:val="24"/>
        </w:rPr>
        <w:t>提供原厂商3年保修服务</w:t>
      </w:r>
    </w:p>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九、防火墙</w:t>
      </w:r>
    </w:p>
    <w:p>
      <w:pPr>
        <w:pageBreakBefore w:val="0"/>
        <w:widowControl/>
        <w:numPr>
          <w:ilvl w:val="0"/>
          <w:numId w:val="71"/>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技术指标</w:t>
      </w:r>
      <w:r>
        <w:rPr>
          <w:rFonts w:hint="eastAsia" w:ascii="新宋体" w:hAnsi="新宋体" w:eastAsia="新宋体" w:cs="新宋体"/>
          <w:sz w:val="24"/>
          <w:szCs w:val="24"/>
        </w:rPr>
        <w:tab/>
      </w:r>
      <w:r>
        <w:rPr>
          <w:rFonts w:hint="eastAsia" w:ascii="新宋体" w:hAnsi="新宋体" w:eastAsia="新宋体" w:cs="新宋体"/>
          <w:sz w:val="24"/>
          <w:szCs w:val="24"/>
        </w:rPr>
        <w:t>指标要求</w:t>
      </w:r>
    </w:p>
    <w:p>
      <w:pPr>
        <w:pageBreakBefore w:val="0"/>
        <w:widowControl/>
        <w:numPr>
          <w:ilvl w:val="0"/>
          <w:numId w:val="71"/>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基本要求</w:t>
      </w:r>
      <w:r>
        <w:rPr>
          <w:rFonts w:hint="eastAsia" w:ascii="新宋体" w:hAnsi="新宋体" w:eastAsia="新宋体" w:cs="新宋体"/>
          <w:sz w:val="24"/>
          <w:szCs w:val="24"/>
        </w:rPr>
        <w:tab/>
      </w:r>
      <w:r>
        <w:rPr>
          <w:rFonts w:hint="eastAsia" w:ascii="新宋体" w:hAnsi="新宋体" w:eastAsia="新宋体" w:cs="新宋体"/>
          <w:sz w:val="24"/>
          <w:szCs w:val="24"/>
        </w:rPr>
        <w:t>具备自主研发的安全操作系统；</w:t>
      </w:r>
    </w:p>
    <w:p>
      <w:pPr>
        <w:pageBreakBefore w:val="0"/>
        <w:widowControl/>
        <w:numPr>
          <w:ilvl w:val="0"/>
          <w:numId w:val="71"/>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ab/>
      </w:r>
      <w:r>
        <w:rPr>
          <w:rFonts w:hint="eastAsia" w:ascii="新宋体" w:hAnsi="新宋体" w:eastAsia="新宋体" w:cs="新宋体"/>
          <w:sz w:val="24"/>
          <w:szCs w:val="24"/>
        </w:rPr>
        <w:t>标准机架式设备，标准1U机箱，标配6个10/100/1000BASE-T接口；</w:t>
      </w:r>
    </w:p>
    <w:p>
      <w:pPr>
        <w:pageBreakBefore w:val="0"/>
        <w:widowControl/>
        <w:numPr>
          <w:ilvl w:val="0"/>
          <w:numId w:val="71"/>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ab/>
      </w:r>
      <w:r>
        <w:rPr>
          <w:rFonts w:hint="eastAsia" w:ascii="新宋体" w:hAnsi="新宋体" w:eastAsia="新宋体" w:cs="新宋体"/>
          <w:kern w:val="0"/>
          <w:sz w:val="24"/>
          <w:szCs w:val="24"/>
        </w:rPr>
        <w:t>★</w:t>
      </w:r>
      <w:r>
        <w:rPr>
          <w:rFonts w:hint="eastAsia" w:ascii="新宋体" w:hAnsi="新宋体" w:eastAsia="新宋体" w:cs="新宋体"/>
          <w:sz w:val="24"/>
          <w:szCs w:val="24"/>
        </w:rPr>
        <w:t>整机吞吐量不小于500Mbps，最大并发连接数不小于100万；</w:t>
      </w:r>
    </w:p>
    <w:p>
      <w:pPr>
        <w:pageBreakBefore w:val="0"/>
        <w:widowControl/>
        <w:numPr>
          <w:ilvl w:val="0"/>
          <w:numId w:val="71"/>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ab/>
      </w:r>
      <w:r>
        <w:rPr>
          <w:rFonts w:hint="eastAsia" w:ascii="新宋体" w:hAnsi="新宋体" w:eastAsia="新宋体" w:cs="新宋体"/>
          <w:sz w:val="24"/>
          <w:szCs w:val="24"/>
        </w:rPr>
        <w:t>要求支持多操作系统，并可WEB界面上配置启动顺序，要求除恢复系统之外，还可支持系统一键式切换及完整备份</w:t>
      </w:r>
    </w:p>
    <w:p>
      <w:pPr>
        <w:pageBreakBefore w:val="0"/>
        <w:widowControl/>
        <w:numPr>
          <w:ilvl w:val="0"/>
          <w:numId w:val="71"/>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会话管理</w:t>
      </w:r>
      <w:r>
        <w:rPr>
          <w:rFonts w:hint="eastAsia" w:ascii="新宋体" w:hAnsi="新宋体" w:eastAsia="新宋体" w:cs="新宋体"/>
          <w:sz w:val="24"/>
          <w:szCs w:val="24"/>
        </w:rPr>
        <w:tab/>
      </w:r>
      <w:r>
        <w:rPr>
          <w:rFonts w:hint="eastAsia" w:ascii="新宋体" w:hAnsi="新宋体" w:eastAsia="新宋体" w:cs="新宋体"/>
          <w:sz w:val="24"/>
          <w:szCs w:val="24"/>
        </w:rPr>
        <w:t>支持会话临时阻断功能；</w:t>
      </w:r>
    </w:p>
    <w:p>
      <w:pPr>
        <w:pageBreakBefore w:val="0"/>
        <w:widowControl/>
        <w:numPr>
          <w:ilvl w:val="0"/>
          <w:numId w:val="71"/>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ab/>
      </w:r>
      <w:r>
        <w:rPr>
          <w:rFonts w:hint="eastAsia" w:ascii="新宋体" w:hAnsi="新宋体" w:eastAsia="新宋体" w:cs="新宋体"/>
          <w:sz w:val="24"/>
          <w:szCs w:val="24"/>
        </w:rPr>
        <w:t>支持IPV6会话管理功能，可进行各协议连接数统计，按源目IP进行连接排行；</w:t>
      </w:r>
    </w:p>
    <w:p>
      <w:pPr>
        <w:pageBreakBefore w:val="0"/>
        <w:widowControl/>
        <w:numPr>
          <w:ilvl w:val="0"/>
          <w:numId w:val="71"/>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IPv6/IPv4双协议栈</w:t>
      </w:r>
      <w:r>
        <w:rPr>
          <w:rFonts w:hint="eastAsia" w:ascii="新宋体" w:hAnsi="新宋体" w:eastAsia="新宋体" w:cs="新宋体"/>
          <w:sz w:val="24"/>
          <w:szCs w:val="24"/>
        </w:rPr>
        <w:tab/>
      </w:r>
      <w:r>
        <w:rPr>
          <w:rFonts w:hint="eastAsia" w:ascii="新宋体" w:hAnsi="新宋体" w:eastAsia="新宋体" w:cs="新宋体"/>
          <w:sz w:val="24"/>
          <w:szCs w:val="24"/>
        </w:rPr>
        <w:t>支持持IPv6安全控制策略设置，能针对IPV6的目的/源地址、目的/源服务端口、服务、扩展头属性等条件进行安全访问规则的设置；</w:t>
      </w:r>
    </w:p>
    <w:p>
      <w:pPr>
        <w:pageBreakBefore w:val="0"/>
        <w:widowControl/>
        <w:numPr>
          <w:ilvl w:val="0"/>
          <w:numId w:val="71"/>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ab/>
      </w:r>
      <w:r>
        <w:rPr>
          <w:rFonts w:hint="eastAsia" w:ascii="新宋体" w:hAnsi="新宋体" w:eastAsia="新宋体" w:cs="新宋体"/>
          <w:sz w:val="24"/>
          <w:szCs w:val="24"/>
        </w:rPr>
        <w:t>支持IPv6/IPv4翻译策略技术，包括支持静态NAT-PT、动态NAT-PT、NAPT-PT技术；</w:t>
      </w:r>
    </w:p>
    <w:p>
      <w:pPr>
        <w:pageBreakBefore w:val="0"/>
        <w:widowControl/>
        <w:numPr>
          <w:ilvl w:val="0"/>
          <w:numId w:val="71"/>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安全防护</w:t>
      </w:r>
      <w:r>
        <w:rPr>
          <w:rFonts w:hint="eastAsia" w:ascii="新宋体" w:hAnsi="新宋体" w:eastAsia="新宋体" w:cs="新宋体"/>
          <w:sz w:val="24"/>
          <w:szCs w:val="24"/>
        </w:rPr>
        <w:tab/>
      </w:r>
      <w:r>
        <w:rPr>
          <w:rFonts w:hint="eastAsia" w:ascii="新宋体" w:hAnsi="新宋体" w:eastAsia="新宋体" w:cs="新宋体"/>
          <w:sz w:val="24"/>
          <w:szCs w:val="24"/>
        </w:rPr>
        <w:t>具有垃圾邮件过滤功能，能够通过黑白名单、关键字过滤、敏感参数限制等方式保护服务器的稳定运行；</w:t>
      </w:r>
    </w:p>
    <w:p>
      <w:pPr>
        <w:pageBreakBefore w:val="0"/>
        <w:widowControl/>
        <w:numPr>
          <w:ilvl w:val="0"/>
          <w:numId w:val="71"/>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管理配置</w:t>
      </w:r>
      <w:r>
        <w:rPr>
          <w:rFonts w:hint="eastAsia" w:ascii="新宋体" w:hAnsi="新宋体" w:eastAsia="新宋体" w:cs="新宋体"/>
          <w:sz w:val="24"/>
          <w:szCs w:val="24"/>
        </w:rPr>
        <w:tab/>
      </w:r>
      <w:r>
        <w:rPr>
          <w:rFonts w:hint="eastAsia" w:ascii="新宋体" w:hAnsi="新宋体" w:eastAsia="新宋体" w:cs="新宋体"/>
          <w:sz w:val="24"/>
          <w:szCs w:val="24"/>
        </w:rPr>
        <w:t>支持日志中文化，可显示配置命令日志的操作人；</w:t>
      </w:r>
    </w:p>
    <w:p>
      <w:pPr>
        <w:pageBreakBefore w:val="0"/>
        <w:widowControl/>
        <w:numPr>
          <w:ilvl w:val="0"/>
          <w:numId w:val="71"/>
        </w:numPr>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ab/>
      </w:r>
      <w:r>
        <w:rPr>
          <w:rFonts w:hint="eastAsia" w:ascii="新宋体" w:hAnsi="新宋体" w:eastAsia="新宋体" w:cs="新宋体"/>
          <w:sz w:val="24"/>
          <w:szCs w:val="24"/>
        </w:rPr>
        <w:t>支持用户可配置的WEBUI接口，支持多套皮肤设置；</w:t>
      </w:r>
    </w:p>
    <w:p>
      <w:pPr>
        <w:pageBreakBefore w:val="0"/>
        <w:widowControl/>
        <w:numPr>
          <w:ilvl w:val="0"/>
          <w:numId w:val="71"/>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高可用性</w:t>
      </w:r>
      <w:r>
        <w:rPr>
          <w:rFonts w:hint="eastAsia" w:ascii="新宋体" w:hAnsi="新宋体" w:eastAsia="新宋体" w:cs="新宋体"/>
          <w:sz w:val="24"/>
          <w:szCs w:val="24"/>
        </w:rPr>
        <w:tab/>
      </w:r>
      <w:r>
        <w:rPr>
          <w:rFonts w:hint="eastAsia" w:ascii="新宋体" w:hAnsi="新宋体" w:eastAsia="新宋体" w:cs="新宋体"/>
          <w:sz w:val="24"/>
          <w:szCs w:val="24"/>
        </w:rPr>
        <w:t>可在热备和集群工作模式下支持多台防火墙的配置自动同步；</w:t>
      </w:r>
    </w:p>
    <w:p>
      <w:pPr>
        <w:pageBreakBefore w:val="0"/>
        <w:widowControl/>
        <w:numPr>
          <w:ilvl w:val="0"/>
          <w:numId w:val="71"/>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ab/>
      </w:r>
      <w:r>
        <w:rPr>
          <w:rFonts w:hint="eastAsia" w:ascii="新宋体" w:hAnsi="新宋体" w:eastAsia="新宋体" w:cs="新宋体"/>
          <w:sz w:val="24"/>
          <w:szCs w:val="24"/>
        </w:rPr>
        <w:t>支持多重冗余协议(MRP)，实现链路备份、端口冗余、双机热备份、集群备份等；</w:t>
      </w:r>
      <w:r>
        <w:rPr>
          <w:rFonts w:hint="eastAsia" w:ascii="新宋体" w:hAnsi="新宋体" w:eastAsia="新宋体" w:cs="新宋体"/>
          <w:sz w:val="24"/>
          <w:szCs w:val="24"/>
        </w:rPr>
        <w:tab/>
      </w:r>
    </w:p>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十、身份证读卡器</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1、标准规范 符合ISO/IEC 14443TypeA/ B标准，以及《GA450-2013台式居民身份证阅读器通用技术要求》、《GA467居民身份证验证安全控制模块接口技术规范》、《GA/T1011-2012居民身份证指纹采集器通用技术要求》 </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2、读卡时间 &lt;1s </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3、阅读距离 0-30mm </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4、传感器类型 光学 </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5、有效采集窗口 14.4*18.5mm </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6、图像大小 256*360pixel </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7、图像分辨率 500dpi </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8、畸变率 &lt;1% </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9、灰度等级 8 bit </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10、数据加密 AES-256 </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11、数据接口 USB数据接口*1、USB扩展接口*1，USB1.0/2.0兼容 </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12、工作频率 13.56MHZ（fc） </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13、天线能量 天线表面电磁场强度(Hmx )≤ 7.5A/m rms;天线表面法线方向在最大阅读距离处电磁场强度(Hmh)≥1.5A/m rms。 </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14、推荐平台 WIN2000 /WIN7/WIN8/WIN8.1/WIN10 </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15、开发工具 SDK支持VC/VB/DELPHI/PB等 </w:t>
      </w:r>
    </w:p>
    <w:p>
      <w:pPr>
        <w:pStyle w:val="42"/>
        <w:pageBreakBefore w:val="0"/>
        <w:widowControl/>
        <w:numPr>
          <w:ilvl w:val="0"/>
          <w:numId w:val="0"/>
        </w:numPr>
        <w:kinsoku/>
        <w:wordWrap/>
        <w:overflowPunct/>
        <w:topLinePunct w:val="0"/>
        <w:bidi w:val="0"/>
        <w:snapToGrid/>
        <w:spacing w:line="320" w:lineRule="exact"/>
        <w:jc w:val="left"/>
        <w:textAlignment w:val="cente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16、</w:t>
      </w:r>
      <w:r>
        <w:rPr>
          <w:rFonts w:hint="eastAsia" w:ascii="新宋体" w:hAnsi="新宋体" w:eastAsia="新宋体" w:cs="新宋体"/>
          <w:sz w:val="24"/>
          <w:szCs w:val="24"/>
        </w:rPr>
        <w:t xml:space="preserve">使用环境 工作温度：0~50℃    工作湿度：&lt;90％ 贮运温度：-40~+60℃  </w:t>
      </w:r>
    </w:p>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十一、救护车</w:t>
      </w:r>
    </w:p>
    <w:p>
      <w:pPr>
        <w:pStyle w:val="2"/>
        <w:rPr>
          <w:rFonts w:hint="eastAsia" w:ascii="新宋体" w:hAnsi="新宋体" w:eastAsia="新宋体" w:cs="新宋体"/>
          <w:sz w:val="24"/>
          <w:szCs w:val="24"/>
        </w:rPr>
      </w:pPr>
      <w:r>
        <w:rPr>
          <w:rFonts w:hint="eastAsia" w:ascii="新宋体" w:hAnsi="新宋体" w:eastAsia="新宋体" w:cs="新宋体"/>
          <w:sz w:val="24"/>
          <w:szCs w:val="24"/>
        </w:rPr>
        <w:t>1、长条LED爆闪灯1盏;蓝色100W救护车专用示意灯；</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2、外观标识1套，按医院需求定制；</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3、中隔断1套，把驾驶室与急救室分离，前软包，后玻璃钢；</w:t>
      </w:r>
      <w:r>
        <w:rPr>
          <w:rFonts w:hint="eastAsia" w:ascii="新宋体" w:hAnsi="新宋体" w:eastAsia="新宋体" w:cs="新宋体"/>
          <w:sz w:val="24"/>
          <w:szCs w:val="24"/>
        </w:rPr>
        <w:br w:type="textWrapping"/>
      </w:r>
      <w:r>
        <w:rPr>
          <w:rFonts w:hint="eastAsia" w:ascii="新宋体" w:hAnsi="新宋体" w:eastAsia="新宋体" w:cs="新宋体"/>
          <w:sz w:val="24"/>
          <w:szCs w:val="24"/>
        </w:rPr>
        <w:t>4、供氧系统1套，2个10L氧气瓶及管路、2个湿化器；</w:t>
      </w:r>
      <w:r>
        <w:rPr>
          <w:rFonts w:hint="eastAsia" w:ascii="新宋体" w:hAnsi="新宋体" w:eastAsia="新宋体" w:cs="新宋体"/>
          <w:sz w:val="24"/>
          <w:szCs w:val="24"/>
        </w:rPr>
        <w:br w:type="textWrapping"/>
      </w:r>
      <w:r>
        <w:rPr>
          <w:rFonts w:hint="eastAsia" w:ascii="新宋体" w:hAnsi="新宋体" w:eastAsia="新宋体" w:cs="新宋体"/>
          <w:sz w:val="24"/>
          <w:szCs w:val="24"/>
        </w:rPr>
        <w:t>5、输液挂钩2套；</w:t>
      </w:r>
      <w:r>
        <w:rPr>
          <w:rFonts w:hint="eastAsia" w:ascii="新宋体" w:hAnsi="新宋体" w:eastAsia="新宋体" w:cs="新宋体"/>
          <w:sz w:val="24"/>
          <w:szCs w:val="24"/>
        </w:rPr>
        <w:br w:type="textWrapping"/>
      </w:r>
      <w:r>
        <w:rPr>
          <w:rFonts w:hint="eastAsia" w:ascii="新宋体" w:hAnsi="新宋体" w:eastAsia="新宋体" w:cs="新宋体"/>
          <w:sz w:val="24"/>
          <w:szCs w:val="24"/>
        </w:rPr>
        <w:t>6、室内照明LED灯4盏；</w:t>
      </w:r>
      <w:r>
        <w:rPr>
          <w:rFonts w:hint="eastAsia" w:ascii="新宋体" w:hAnsi="新宋体" w:eastAsia="新宋体" w:cs="新宋体"/>
          <w:sz w:val="24"/>
          <w:szCs w:val="24"/>
        </w:rPr>
        <w:br w:type="textWrapping"/>
      </w:r>
      <w:r>
        <w:rPr>
          <w:rFonts w:hint="eastAsia" w:ascii="新宋体" w:hAnsi="新宋体" w:eastAsia="新宋体" w:cs="新宋体"/>
          <w:sz w:val="24"/>
          <w:szCs w:val="24"/>
        </w:rPr>
        <w:t>7、电源控制面板1套，含空开及漏保；</w:t>
      </w:r>
      <w:r>
        <w:rPr>
          <w:rFonts w:hint="eastAsia" w:ascii="新宋体" w:hAnsi="新宋体" w:eastAsia="新宋体" w:cs="新宋体"/>
          <w:sz w:val="24"/>
          <w:szCs w:val="24"/>
        </w:rPr>
        <w:br w:type="textWrapping"/>
      </w:r>
      <w:r>
        <w:rPr>
          <w:rFonts w:hint="eastAsia" w:ascii="新宋体" w:hAnsi="新宋体" w:eastAsia="新宋体" w:cs="新宋体"/>
          <w:sz w:val="24"/>
          <w:szCs w:val="24"/>
        </w:rPr>
        <w:t>8、护士座椅1张；</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 9、医护座椅3张；</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10、污物桶1个；</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11、左侧医疗柜1套，左侧PVC材质，表面玻璃钢喷塑；</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12、医疗地柜1套，隔断下方；</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13、灭火器1只，1kg；</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14、医用防滑地板1套；</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15、电源插座1套，4个五孔插，1个12V；</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16、自动上车担架1套，操作方便，简单容易把用户安全推上救护车；</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17、后暖风、后空调1套；</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18、1KW逆变电源及备用电瓶1块；</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19、紫外线消毒灯1盏；</w:t>
      </w:r>
    </w:p>
    <w:p>
      <w:pPr>
        <w:pStyle w:val="2"/>
        <w:rPr>
          <w:rFonts w:hint="eastAsia" w:ascii="新宋体" w:hAnsi="新宋体" w:eastAsia="新宋体" w:cs="新宋体"/>
          <w:sz w:val="24"/>
          <w:szCs w:val="24"/>
        </w:rPr>
      </w:pPr>
    </w:p>
    <w:p>
      <w:pPr>
        <w:pStyle w:val="2"/>
        <w:ind w:firstLine="4320" w:firstLineChars="18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第四标段</w:t>
      </w:r>
    </w:p>
    <w:tbl>
      <w:tblPr>
        <w:tblStyle w:val="26"/>
        <w:tblW w:w="9444" w:type="dxa"/>
        <w:tblInd w:w="0" w:type="dxa"/>
        <w:tblLayout w:type="fixed"/>
        <w:tblCellMar>
          <w:top w:w="0" w:type="dxa"/>
          <w:left w:w="0" w:type="dxa"/>
          <w:bottom w:w="0" w:type="dxa"/>
          <w:right w:w="0" w:type="dxa"/>
        </w:tblCellMar>
      </w:tblPr>
      <w:tblGrid>
        <w:gridCol w:w="743"/>
        <w:gridCol w:w="2070"/>
        <w:gridCol w:w="3718"/>
        <w:gridCol w:w="929"/>
        <w:gridCol w:w="962"/>
        <w:gridCol w:w="1022"/>
      </w:tblGrid>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序号</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货物名称</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技术规格及主要参数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数量</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单位</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是否为核心产品</w:t>
            </w:r>
          </w:p>
        </w:tc>
      </w:tr>
      <w:tr>
        <w:tblPrEx>
          <w:tblLayout w:type="fixed"/>
          <w:tblCellMar>
            <w:top w:w="0" w:type="dxa"/>
            <w:left w:w="0" w:type="dxa"/>
            <w:bottom w:w="0" w:type="dxa"/>
            <w:right w:w="0" w:type="dxa"/>
          </w:tblCellMar>
        </w:tblPrEx>
        <w:trPr>
          <w:trHeight w:val="403" w:hRule="atLeast"/>
        </w:trPr>
        <w:tc>
          <w:tcPr>
            <w:tcW w:w="9444"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left"/>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一．纺织类</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被子（棉）</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新疆长绒棉（国家一级棉花）</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2.3米*1.6米</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重2.5千克</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是</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褥子</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新疆长绒棉（国家一级棉花）</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2.0米*0.9米</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重1.5千克</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床单</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国家医用一级纯棉布料(100%棉）</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2.5米*1.8米</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450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4</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中单</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国家医用一级纯棉布料(100%棉）</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1.7米*0.85米</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50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5</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被罩</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国家医用一级纯棉布料</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(100%棉）</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2.5米*1.7米</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450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6</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枕芯</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内装为木棉、羽绒或人造棉</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0.6米*0.4米</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7</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枕套</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国家医用一级纯棉布料</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(100%棉）</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0.65米*0.45米</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450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8</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橡胶单</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国家医用一级纯棉布料、两端与棉布缝制在一起，棉布长0.4米(100%棉）</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0.85米*0.65米</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50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lang w:eastAsia="zh-CN"/>
              </w:rPr>
            </w:pPr>
            <w:r>
              <w:rPr>
                <w:rFonts w:hint="eastAsia" w:ascii="新宋体" w:hAnsi="新宋体" w:eastAsia="新宋体" w:cs="新宋体"/>
                <w:bCs/>
                <w:color w:val="000000"/>
                <w:kern w:val="0"/>
                <w:sz w:val="24"/>
                <w:szCs w:val="24"/>
              </w:rPr>
              <w:t>病号服装夏装</w:t>
            </w:r>
            <w:r>
              <w:rPr>
                <w:rFonts w:hint="eastAsia" w:ascii="新宋体" w:hAnsi="新宋体" w:eastAsia="新宋体" w:cs="新宋体"/>
                <w:bCs/>
                <w:color w:val="000000"/>
                <w:kern w:val="0"/>
                <w:sz w:val="24"/>
                <w:szCs w:val="24"/>
                <w:lang w:eastAsia="zh-CN"/>
              </w:rPr>
              <w:t>（衬衣</w:t>
            </w:r>
            <w:r>
              <w:rPr>
                <w:rFonts w:hint="eastAsia" w:ascii="新宋体" w:hAnsi="新宋体" w:eastAsia="新宋体" w:cs="新宋体"/>
                <w:bCs/>
                <w:color w:val="000000"/>
                <w:kern w:val="0"/>
                <w:sz w:val="24"/>
                <w:szCs w:val="24"/>
                <w:lang w:val="en-US" w:eastAsia="zh-CN"/>
              </w:rPr>
              <w:t>+裤子</w:t>
            </w:r>
            <w:r>
              <w:rPr>
                <w:rFonts w:hint="eastAsia" w:ascii="新宋体" w:hAnsi="新宋体" w:eastAsia="新宋体" w:cs="新宋体"/>
                <w:bCs/>
                <w:color w:val="000000"/>
                <w:kern w:val="0"/>
                <w:sz w:val="24"/>
                <w:szCs w:val="24"/>
                <w:lang w:eastAsia="zh-CN"/>
              </w:rPr>
              <w:t>）</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国家医用一级纯棉布料</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(100%棉）</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大中小号</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500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10</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病号服棉袄</w:t>
            </w:r>
            <w:r>
              <w:rPr>
                <w:rFonts w:hint="eastAsia" w:ascii="新宋体" w:hAnsi="新宋体" w:eastAsia="新宋体" w:cs="新宋体"/>
                <w:bCs/>
                <w:color w:val="000000"/>
                <w:kern w:val="0"/>
                <w:sz w:val="24"/>
                <w:szCs w:val="24"/>
                <w:lang w:eastAsia="zh-CN"/>
              </w:rPr>
              <w:t>、</w:t>
            </w:r>
            <w:r>
              <w:rPr>
                <w:rFonts w:hint="eastAsia" w:ascii="新宋体" w:hAnsi="新宋体" w:eastAsia="新宋体" w:cs="新宋体"/>
                <w:bCs/>
                <w:color w:val="000000"/>
                <w:kern w:val="0"/>
                <w:sz w:val="24"/>
                <w:szCs w:val="24"/>
              </w:rPr>
              <w:t>棉裤</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国家医用一级纯棉布料</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(100%棉）大中小号</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11</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床垫</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4cm棕丝、4cm海绵</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2米*0.9米*0.08米</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250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lang w:eastAsia="zh-CN"/>
              </w:rPr>
            </w:pPr>
            <w:r>
              <w:rPr>
                <w:rFonts w:hint="eastAsia" w:ascii="新宋体" w:hAnsi="新宋体" w:eastAsia="新宋体" w:cs="新宋体"/>
                <w:bCs/>
                <w:color w:val="000000"/>
                <w:kern w:val="0"/>
                <w:sz w:val="24"/>
                <w:szCs w:val="24"/>
              </w:rPr>
              <w:t>医生工作服夏装</w:t>
            </w:r>
            <w:r>
              <w:rPr>
                <w:rFonts w:hint="eastAsia" w:ascii="新宋体" w:hAnsi="新宋体" w:eastAsia="新宋体" w:cs="新宋体"/>
                <w:bCs/>
                <w:color w:val="000000"/>
                <w:kern w:val="0"/>
                <w:sz w:val="24"/>
                <w:szCs w:val="24"/>
                <w:lang w:eastAsia="zh-CN"/>
              </w:rPr>
              <w:t>（长款短袖）</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涤棉（涤纶35%，棉花65%）</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大中小号</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150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13</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lang w:eastAsia="zh-CN"/>
              </w:rPr>
            </w:pPr>
            <w:r>
              <w:rPr>
                <w:rFonts w:hint="eastAsia" w:ascii="新宋体" w:hAnsi="新宋体" w:eastAsia="新宋体" w:cs="新宋体"/>
                <w:bCs/>
                <w:color w:val="000000"/>
                <w:kern w:val="0"/>
                <w:sz w:val="24"/>
                <w:szCs w:val="24"/>
              </w:rPr>
              <w:t>医生工作服冬装</w:t>
            </w:r>
            <w:r>
              <w:rPr>
                <w:rFonts w:hint="eastAsia" w:ascii="新宋体" w:hAnsi="新宋体" w:eastAsia="新宋体" w:cs="新宋体"/>
                <w:bCs/>
                <w:color w:val="000000"/>
                <w:kern w:val="0"/>
                <w:sz w:val="24"/>
                <w:szCs w:val="24"/>
                <w:lang w:eastAsia="zh-CN"/>
              </w:rPr>
              <w:t>（长款长袖）</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涤棉（涤纶35%，棉花65%）</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大中小号</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150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bl>
    <w:p>
      <w:pPr>
        <w:pStyle w:val="41"/>
        <w:keepNext w:val="0"/>
        <w:keepLines w:val="0"/>
        <w:pageBreakBefore w:val="0"/>
        <w:kinsoku/>
        <w:wordWrap/>
        <w:overflowPunct/>
        <w:topLinePunct w:val="0"/>
        <w:bidi w:val="0"/>
        <w:snapToGrid/>
        <w:spacing w:line="300" w:lineRule="exact"/>
        <w:rPr>
          <w:rFonts w:hint="eastAsia" w:ascii="新宋体" w:hAnsi="新宋体" w:eastAsia="新宋体" w:cs="新宋体"/>
          <w:sz w:val="24"/>
          <w:szCs w:val="24"/>
        </w:rPr>
      </w:pPr>
    </w:p>
    <w:p>
      <w:pPr>
        <w:pStyle w:val="2"/>
        <w:rPr>
          <w:rFonts w:hint="eastAsia" w:ascii="新宋体" w:hAnsi="新宋体" w:eastAsia="新宋体" w:cs="新宋体"/>
          <w:sz w:val="24"/>
          <w:szCs w:val="24"/>
          <w:lang w:val="zh-CN" w:eastAsia="zh-CN"/>
        </w:rPr>
      </w:pPr>
      <w:r>
        <w:rPr>
          <w:rFonts w:hint="eastAsia" w:ascii="新宋体" w:hAnsi="新宋体" w:eastAsia="新宋体" w:cs="新宋体"/>
          <w:sz w:val="24"/>
          <w:szCs w:val="24"/>
        </w:rPr>
        <w:t>备注：</w:t>
      </w:r>
      <w:r>
        <w:rPr>
          <w:rFonts w:hint="eastAsia" w:ascii="新宋体" w:hAnsi="新宋体" w:eastAsia="新宋体" w:cs="新宋体"/>
          <w:sz w:val="24"/>
          <w:szCs w:val="24"/>
          <w:lang w:eastAsia="zh-CN"/>
        </w:rPr>
        <w:t>第四标段</w:t>
      </w:r>
      <w:r>
        <w:rPr>
          <w:rFonts w:hint="eastAsia" w:ascii="新宋体" w:hAnsi="新宋体" w:eastAsia="新宋体" w:cs="新宋体"/>
          <w:sz w:val="24"/>
          <w:szCs w:val="24"/>
        </w:rPr>
        <w:t>中标单位需按业主要求</w:t>
      </w:r>
      <w:r>
        <w:rPr>
          <w:rFonts w:hint="eastAsia" w:ascii="新宋体" w:hAnsi="新宋体" w:eastAsia="新宋体" w:cs="新宋体"/>
          <w:sz w:val="24"/>
          <w:szCs w:val="24"/>
          <w:lang w:eastAsia="zh-CN"/>
        </w:rPr>
        <w:t>对</w:t>
      </w:r>
      <w:r>
        <w:rPr>
          <w:rFonts w:hint="eastAsia" w:ascii="新宋体" w:hAnsi="新宋体" w:eastAsia="新宋体" w:cs="新宋体"/>
          <w:sz w:val="24"/>
          <w:szCs w:val="24"/>
        </w:rPr>
        <w:t>以上采购</w:t>
      </w:r>
      <w:r>
        <w:rPr>
          <w:rFonts w:hint="eastAsia" w:ascii="新宋体" w:hAnsi="新宋体" w:eastAsia="新宋体" w:cs="新宋体"/>
          <w:sz w:val="24"/>
          <w:szCs w:val="24"/>
          <w:lang w:eastAsia="zh-CN"/>
        </w:rPr>
        <w:t>物品</w:t>
      </w:r>
      <w:r>
        <w:rPr>
          <w:rFonts w:hint="eastAsia" w:ascii="新宋体" w:hAnsi="新宋体" w:eastAsia="新宋体" w:cs="新宋体"/>
          <w:sz w:val="24"/>
          <w:szCs w:val="24"/>
        </w:rPr>
        <w:t>印制“禹州市第三人民医院”字样。</w:t>
      </w:r>
      <w:bookmarkStart w:id="59" w:name="_GoBack"/>
      <w:bookmarkEnd w:id="59"/>
    </w:p>
    <w:p>
      <w:pPr>
        <w:numPr>
          <w:ilvl w:val="0"/>
          <w:numId w:val="72"/>
        </w:numPr>
        <w:spacing w:line="360" w:lineRule="auto"/>
        <w:ind w:firstLine="482" w:firstLineChars="200"/>
        <w:contextualSpacing/>
        <w:rPr>
          <w:b w:val="0"/>
          <w:bCs/>
          <w:lang w:val="zh-CN"/>
        </w:rPr>
      </w:pPr>
      <w:r>
        <w:rPr>
          <w:rFonts w:hint="eastAsia" w:cs="宋体" w:asciiTheme="minorEastAsia" w:hAnsiTheme="minorEastAsia"/>
          <w:b/>
          <w:color w:val="000000"/>
          <w:kern w:val="0"/>
          <w:sz w:val="24"/>
          <w:szCs w:val="24"/>
          <w:lang w:val="zh-CN"/>
        </w:rPr>
        <w:t>采购标的执行标准：</w:t>
      </w:r>
    </w:p>
    <w:p>
      <w:pPr>
        <w:pStyle w:val="71"/>
        <w:pageBreakBefore w:val="0"/>
        <w:widowControl/>
        <w:shd w:val="clear" w:color="auto" w:fill="FFFFFF"/>
        <w:kinsoku/>
        <w:wordWrap/>
        <w:overflowPunct/>
        <w:topLinePunct w:val="0"/>
        <w:bidi w:val="0"/>
        <w:spacing w:line="400" w:lineRule="exact"/>
        <w:ind w:left="64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1、强制性产品认证</w:t>
      </w:r>
    </w:p>
    <w:p>
      <w:pPr>
        <w:pStyle w:val="71"/>
        <w:pageBreakBefore w:val="0"/>
        <w:widowControl/>
        <w:shd w:val="clear" w:color="auto" w:fill="FFFFFF"/>
        <w:kinsoku/>
        <w:wordWrap/>
        <w:overflowPunct/>
        <w:topLinePunct w:val="0"/>
        <w:bidi w:val="0"/>
        <w:spacing w:line="400" w:lineRule="exact"/>
        <w:ind w:left="64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71"/>
        <w:pageBreakBefore w:val="0"/>
        <w:widowControl/>
        <w:shd w:val="clear" w:color="auto" w:fill="FFFFFF"/>
        <w:kinsoku/>
        <w:wordWrap/>
        <w:overflowPunct/>
        <w:topLinePunct w:val="0"/>
        <w:bidi w:val="0"/>
        <w:spacing w:line="400" w:lineRule="exact"/>
        <w:ind w:left="64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2、信息安全产品强制性认证</w:t>
      </w:r>
    </w:p>
    <w:p>
      <w:pPr>
        <w:pStyle w:val="71"/>
        <w:pageBreakBefore w:val="0"/>
        <w:widowControl/>
        <w:shd w:val="clear" w:color="auto" w:fill="FFFFFF"/>
        <w:kinsoku/>
        <w:wordWrap/>
        <w:overflowPunct/>
        <w:topLinePunct w:val="0"/>
        <w:bidi w:val="0"/>
        <w:spacing w:line="400" w:lineRule="exact"/>
        <w:ind w:left="64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如投标人所投产品被列入《信息安全产品强制性认证目录》，投标人不能提供出此目录范畴外的替代品并须在投标文件中提供：</w:t>
      </w:r>
    </w:p>
    <w:p>
      <w:pPr>
        <w:pStyle w:val="71"/>
        <w:pageBreakBefore w:val="0"/>
        <w:widowControl/>
        <w:shd w:val="clear" w:color="auto" w:fill="FFFFFF"/>
        <w:kinsoku/>
        <w:wordWrap/>
        <w:overflowPunct/>
        <w:topLinePunct w:val="0"/>
        <w:bidi w:val="0"/>
        <w:spacing w:line="400" w:lineRule="exact"/>
        <w:ind w:left="64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（1）中国信息安全认证中心官网(http://www.isccc.gov.cn/index.shtml)产品查询结果截图并加盖投标人公章；</w:t>
      </w:r>
    </w:p>
    <w:p>
      <w:pPr>
        <w:pStyle w:val="71"/>
        <w:pageBreakBefore w:val="0"/>
        <w:widowControl/>
        <w:shd w:val="clear" w:color="auto" w:fill="FFFFFF"/>
        <w:kinsoku/>
        <w:wordWrap/>
        <w:overflowPunct/>
        <w:topLinePunct w:val="0"/>
        <w:bidi w:val="0"/>
        <w:spacing w:line="400" w:lineRule="exact"/>
        <w:ind w:left="64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（2）中国信息安全认证中心颁发的《中国国家信息安全产品认证证书》的原件扫描件(或图片)并加盖投标人公章。</w:t>
      </w:r>
    </w:p>
    <w:p>
      <w:pPr>
        <w:pStyle w:val="71"/>
        <w:pageBreakBefore w:val="0"/>
        <w:widowControl/>
        <w:shd w:val="clear" w:color="auto" w:fill="FFFFFF"/>
        <w:kinsoku/>
        <w:wordWrap/>
        <w:overflowPunct/>
        <w:topLinePunct w:val="0"/>
        <w:bidi w:val="0"/>
        <w:spacing w:line="400" w:lineRule="exact"/>
        <w:ind w:left="64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注:仅需提供序号（1）~（2）其中之一即可。</w:t>
      </w:r>
    </w:p>
    <w:p>
      <w:pPr>
        <w:pStyle w:val="71"/>
        <w:pageBreakBefore w:val="0"/>
        <w:widowControl/>
        <w:shd w:val="clear" w:color="auto" w:fill="FFFFFF"/>
        <w:kinsoku/>
        <w:wordWrap/>
        <w:overflowPunct/>
        <w:topLinePunct w:val="0"/>
        <w:bidi w:val="0"/>
        <w:spacing w:line="400" w:lineRule="exact"/>
        <w:ind w:left="640"/>
        <w:jc w:val="left"/>
        <w:rPr>
          <w:rFonts w:hint="eastAsia" w:ascii="新宋体" w:hAnsi="新宋体" w:eastAsia="新宋体" w:cs="新宋体"/>
          <w:color w:val="000000"/>
          <w:kern w:val="0"/>
          <w:sz w:val="24"/>
          <w:szCs w:val="24"/>
          <w:u w:color="000000"/>
          <w:lang w:val="zh-TW" w:eastAsia="zh-TW"/>
        </w:rPr>
      </w:pPr>
      <w:r>
        <w:rPr>
          <w:rFonts w:hint="eastAsia" w:ascii="新宋体" w:hAnsi="新宋体" w:eastAsia="新宋体" w:cs="新宋体"/>
          <w:kern w:val="0"/>
          <w:sz w:val="24"/>
          <w:szCs w:val="24"/>
          <w:lang w:val="zh-TW" w:eastAsia="zh-CN"/>
        </w:rPr>
        <w:t>四、</w:t>
      </w:r>
      <w:r>
        <w:rPr>
          <w:rFonts w:hint="eastAsia" w:cs="宋体" w:asciiTheme="minorEastAsia" w:hAnsiTheme="minorEastAsia"/>
          <w:b/>
          <w:color w:val="000000"/>
          <w:kern w:val="0"/>
          <w:sz w:val="24"/>
          <w:szCs w:val="24"/>
          <w:lang w:val="zh-CN"/>
        </w:rPr>
        <w:t>服务标准、期限、效率等要求：</w:t>
      </w:r>
    </w:p>
    <w:p>
      <w:pPr>
        <w:pageBreakBefore w:val="0"/>
        <w:widowControl/>
        <w:numPr>
          <w:ilvl w:val="0"/>
          <w:numId w:val="0"/>
        </w:numPr>
        <w:shd w:val="clear" w:color="auto" w:fill="FFFFFF"/>
        <w:kinsoku/>
        <w:wordWrap/>
        <w:overflowPunct/>
        <w:topLinePunct w:val="0"/>
        <w:bidi w:val="0"/>
        <w:spacing w:line="400" w:lineRule="exact"/>
        <w:ind w:firstLine="720" w:firstLineChars="300"/>
        <w:contextualSpacing/>
        <w:jc w:val="left"/>
        <w:rPr>
          <w:rFonts w:hint="eastAsia" w:ascii="新宋体" w:hAnsi="新宋体" w:eastAsia="新宋体" w:cs="新宋体"/>
          <w:color w:val="000000"/>
          <w:kern w:val="0"/>
          <w:sz w:val="24"/>
          <w:szCs w:val="24"/>
          <w:u w:color="000000"/>
          <w:lang w:val="zh-TW" w:eastAsia="zh-TW"/>
        </w:rPr>
      </w:pPr>
      <w:r>
        <w:rPr>
          <w:rFonts w:hint="eastAsia" w:ascii="新宋体" w:hAnsi="新宋体" w:eastAsia="新宋体" w:cs="新宋体"/>
          <w:color w:val="000000"/>
          <w:kern w:val="0"/>
          <w:sz w:val="24"/>
          <w:szCs w:val="24"/>
          <w:u w:color="000000"/>
          <w:lang w:val="zh-TW" w:eastAsia="zh-TW"/>
        </w:rPr>
        <w:t>1、服务标准：按国家相关标准执行。</w:t>
      </w:r>
    </w:p>
    <w:p>
      <w:pPr>
        <w:pageBreakBefore w:val="0"/>
        <w:widowControl/>
        <w:numPr>
          <w:ilvl w:val="0"/>
          <w:numId w:val="0"/>
        </w:numPr>
        <w:shd w:val="clear" w:color="auto" w:fill="FFFFFF"/>
        <w:kinsoku/>
        <w:wordWrap/>
        <w:overflowPunct/>
        <w:topLinePunct w:val="0"/>
        <w:bidi w:val="0"/>
        <w:spacing w:line="400" w:lineRule="exact"/>
        <w:ind w:firstLine="720" w:firstLineChars="300"/>
        <w:contextualSpacing/>
        <w:jc w:val="left"/>
        <w:rPr>
          <w:rFonts w:hint="eastAsia" w:ascii="新宋体" w:hAnsi="新宋体" w:eastAsia="新宋体" w:cs="新宋体"/>
          <w:color w:val="000000"/>
          <w:kern w:val="0"/>
          <w:sz w:val="24"/>
          <w:szCs w:val="24"/>
          <w:u w:color="000000"/>
          <w:lang w:val="zh-TW" w:eastAsia="zh-TW"/>
        </w:rPr>
      </w:pPr>
      <w:r>
        <w:rPr>
          <w:rFonts w:hint="eastAsia" w:ascii="新宋体" w:hAnsi="新宋体" w:eastAsia="新宋体" w:cs="新宋体"/>
          <w:color w:val="000000"/>
          <w:kern w:val="0"/>
          <w:sz w:val="24"/>
          <w:szCs w:val="24"/>
          <w:u w:color="000000"/>
          <w:lang w:val="zh-TW" w:eastAsia="zh-TW"/>
        </w:rPr>
        <w:t>2、服务期限：质保期不少于</w:t>
      </w:r>
      <w:r>
        <w:rPr>
          <w:rFonts w:hint="eastAsia" w:ascii="新宋体" w:hAnsi="新宋体" w:eastAsia="新宋体" w:cs="新宋体"/>
          <w:color w:val="000000"/>
          <w:kern w:val="0"/>
          <w:sz w:val="24"/>
          <w:szCs w:val="24"/>
          <w:u w:color="000000"/>
        </w:rPr>
        <w:t>3</w:t>
      </w:r>
      <w:r>
        <w:rPr>
          <w:rFonts w:hint="eastAsia" w:ascii="新宋体" w:hAnsi="新宋体" w:eastAsia="新宋体" w:cs="新宋体"/>
          <w:color w:val="000000"/>
          <w:kern w:val="0"/>
          <w:sz w:val="24"/>
          <w:szCs w:val="24"/>
          <w:u w:color="000000"/>
          <w:lang w:val="zh-TW" w:eastAsia="zh-TW"/>
        </w:rPr>
        <w:t>年</w:t>
      </w:r>
      <w:r>
        <w:rPr>
          <w:rFonts w:hint="eastAsia" w:ascii="新宋体" w:hAnsi="新宋体" w:eastAsia="新宋体" w:cs="新宋体"/>
          <w:color w:val="000000"/>
          <w:kern w:val="0"/>
          <w:sz w:val="24"/>
          <w:szCs w:val="24"/>
          <w:u w:color="000000"/>
          <w:lang w:val="zh-TW"/>
        </w:rPr>
        <w:t>。</w:t>
      </w:r>
    </w:p>
    <w:p>
      <w:pPr>
        <w:pageBreakBefore w:val="0"/>
        <w:widowControl/>
        <w:shd w:val="clear" w:color="auto" w:fill="FFFFFF"/>
        <w:kinsoku/>
        <w:wordWrap/>
        <w:overflowPunct/>
        <w:topLinePunct w:val="0"/>
        <w:bidi w:val="0"/>
        <w:spacing w:line="400" w:lineRule="exact"/>
        <w:ind w:firstLine="720" w:firstLineChars="300"/>
        <w:contextualSpacing/>
        <w:jc w:val="left"/>
        <w:rPr>
          <w:rFonts w:hint="eastAsia" w:cs="宋体" w:asciiTheme="minorEastAsia" w:hAnsiTheme="minorEastAsia"/>
          <w:b w:val="0"/>
          <w:bCs/>
          <w:color w:val="000000"/>
          <w:kern w:val="0"/>
          <w:sz w:val="24"/>
          <w:szCs w:val="24"/>
          <w:lang w:val="zh-CN"/>
        </w:rPr>
      </w:pPr>
      <w:r>
        <w:rPr>
          <w:rFonts w:hint="eastAsia" w:ascii="新宋体" w:hAnsi="新宋体" w:eastAsia="新宋体" w:cs="新宋体"/>
          <w:color w:val="000000"/>
          <w:kern w:val="0"/>
          <w:sz w:val="24"/>
          <w:szCs w:val="24"/>
          <w:u w:color="000000"/>
        </w:rPr>
        <w:t>3</w:t>
      </w:r>
      <w:r>
        <w:rPr>
          <w:rFonts w:hint="eastAsia" w:ascii="新宋体" w:hAnsi="新宋体" w:eastAsia="新宋体" w:cs="新宋体"/>
          <w:color w:val="000000"/>
          <w:kern w:val="0"/>
          <w:sz w:val="24"/>
          <w:szCs w:val="24"/>
          <w:u w:color="000000"/>
          <w:lang w:val="zh-TW" w:eastAsia="zh-TW"/>
        </w:rPr>
        <w:t>、质保期内设备发生故障时，需在</w:t>
      </w:r>
      <w:r>
        <w:rPr>
          <w:rFonts w:hint="eastAsia" w:ascii="新宋体" w:hAnsi="新宋体" w:eastAsia="新宋体" w:cs="新宋体"/>
          <w:color w:val="000000"/>
          <w:kern w:val="0"/>
          <w:sz w:val="24"/>
          <w:szCs w:val="24"/>
          <w:u w:color="000000"/>
          <w:lang w:val="zh-TW"/>
        </w:rPr>
        <w:t>1</w:t>
      </w:r>
      <w:r>
        <w:rPr>
          <w:rFonts w:hint="eastAsia" w:ascii="新宋体" w:hAnsi="新宋体" w:eastAsia="新宋体" w:cs="新宋体"/>
          <w:color w:val="000000"/>
          <w:kern w:val="0"/>
          <w:sz w:val="24"/>
          <w:szCs w:val="24"/>
          <w:u w:color="000000"/>
          <w:lang w:val="zh-TW" w:eastAsia="zh-TW"/>
        </w:rPr>
        <w:t>小时内电话响应，</w:t>
      </w:r>
      <w:r>
        <w:rPr>
          <w:rFonts w:hint="eastAsia" w:ascii="新宋体" w:hAnsi="新宋体" w:eastAsia="新宋体" w:cs="新宋体"/>
          <w:color w:val="000000"/>
          <w:kern w:val="0"/>
          <w:sz w:val="24"/>
          <w:szCs w:val="24"/>
          <w:u w:color="000000"/>
          <w:lang w:val="zh-TW"/>
        </w:rPr>
        <w:t>3</w:t>
      </w:r>
      <w:r>
        <w:rPr>
          <w:rFonts w:hint="eastAsia" w:ascii="新宋体" w:hAnsi="新宋体" w:eastAsia="新宋体" w:cs="新宋体"/>
          <w:color w:val="000000"/>
          <w:kern w:val="0"/>
          <w:sz w:val="24"/>
          <w:szCs w:val="24"/>
          <w:u w:color="000000"/>
          <w:lang w:val="zh-TW" w:eastAsia="zh-TW"/>
        </w:rPr>
        <w:t>小时到达现场，24小时之内解决故障。</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五、采购标的的其他技术、服务等要求：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hint="eastAsia" w:ascii="宋体" w:cs="宋体"/>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snapToGrid w:val="0"/>
        <w:spacing w:line="360" w:lineRule="auto"/>
        <w:ind w:firstLine="482" w:firstLineChars="200"/>
        <w:rPr>
          <w:rFonts w:hint="eastAsia" w:ascii="宋体" w:cs="宋体"/>
          <w:b/>
          <w:bCs/>
          <w:color w:val="FF0000"/>
          <w:sz w:val="24"/>
          <w:lang w:val="zh-CN"/>
        </w:rPr>
      </w:pPr>
      <w:r>
        <w:rPr>
          <w:rFonts w:hint="eastAsia" w:ascii="宋体" w:cs="宋体"/>
          <w:b/>
          <w:sz w:val="24"/>
          <w:lang w:val="en-US" w:eastAsia="zh-CN"/>
        </w:rPr>
        <w:t>3</w:t>
      </w:r>
      <w:r>
        <w:rPr>
          <w:rFonts w:hint="eastAsia" w:ascii="宋体" w:cs="宋体"/>
          <w:b/>
          <w:sz w:val="24"/>
          <w:lang w:val="zh-CN"/>
        </w:rPr>
        <w:t>、</w:t>
      </w:r>
      <w:r>
        <w:rPr>
          <w:rFonts w:hint="eastAsia" w:ascii="宋体" w:cs="宋体"/>
          <w:bCs/>
          <w:color w:val="FF0000"/>
          <w:sz w:val="24"/>
          <w:lang w:val="zh-CN"/>
        </w:rPr>
        <w:t>投标文件中须有详细的实施（技术）方案</w:t>
      </w:r>
      <w:r>
        <w:rPr>
          <w:rFonts w:hint="eastAsia" w:ascii="宋体" w:cs="宋体"/>
          <w:b/>
          <w:bCs/>
          <w:color w:val="FF0000"/>
          <w:sz w:val="24"/>
          <w:lang w:val="zh-CN"/>
        </w:rPr>
        <w:t>，否则为无效投标。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六、验收标准：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由采购人成立验收小组,按照采购合同的约定对中标人履约情况进行验收</w:t>
      </w:r>
      <w:r>
        <w:rPr>
          <w:rFonts w:hint="eastAsia" w:ascii="新宋体" w:hAnsi="新宋体" w:eastAsia="新宋体" w:cs="新宋体"/>
          <w:color w:val="auto"/>
          <w:kern w:val="0"/>
          <w:sz w:val="24"/>
          <w:szCs w:val="24"/>
          <w:lang w:eastAsia="zh-CN"/>
        </w:rPr>
        <w:t>。</w:t>
      </w:r>
      <w:r>
        <w:rPr>
          <w:rFonts w:hint="eastAsia" w:ascii="新宋体" w:hAnsi="新宋体" w:eastAsia="新宋体" w:cs="新宋体"/>
          <w:color w:val="auto"/>
          <w:kern w:val="0"/>
          <w:sz w:val="24"/>
          <w:szCs w:val="24"/>
        </w:rPr>
        <w:t>验收时,按照采购合同的约定对每一项技术、服务、安全标准的履约情况进行确认。验收结束后</w:t>
      </w:r>
      <w:r>
        <w:rPr>
          <w:rFonts w:hint="eastAsia" w:ascii="新宋体" w:hAnsi="新宋体" w:eastAsia="新宋体" w:cs="新宋体"/>
          <w:color w:val="auto"/>
          <w:kern w:val="0"/>
          <w:sz w:val="24"/>
          <w:szCs w:val="24"/>
          <w:lang w:eastAsia="zh-CN"/>
        </w:rPr>
        <w:t>由</w:t>
      </w:r>
      <w:r>
        <w:rPr>
          <w:rFonts w:hint="eastAsia" w:ascii="新宋体" w:hAnsi="新宋体" w:eastAsia="新宋体" w:cs="新宋体"/>
          <w:color w:val="auto"/>
          <w:kern w:val="0"/>
          <w:sz w:val="24"/>
          <w:szCs w:val="24"/>
        </w:rPr>
        <w:t>验收小组出具验收</w:t>
      </w:r>
      <w:r>
        <w:rPr>
          <w:rFonts w:hint="eastAsia" w:ascii="新宋体" w:hAnsi="新宋体" w:eastAsia="新宋体" w:cs="新宋体"/>
          <w:color w:val="auto"/>
          <w:kern w:val="0"/>
          <w:sz w:val="24"/>
          <w:szCs w:val="24"/>
          <w:lang w:eastAsia="zh-CN"/>
        </w:rPr>
        <w:t>报告</w:t>
      </w:r>
      <w:r>
        <w:rPr>
          <w:rFonts w:hint="eastAsia" w:ascii="新宋体" w:hAnsi="新宋体" w:eastAsia="新宋体" w:cs="新宋体"/>
          <w:color w:val="auto"/>
          <w:kern w:val="0"/>
          <w:sz w:val="24"/>
          <w:szCs w:val="24"/>
        </w:rPr>
        <w:t>,列明各项标准的验收情况及项目总体评价,由验收双方共同签署。</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en-US" w:eastAsia="zh-CN"/>
        </w:rPr>
        <w:t>1、</w:t>
      </w:r>
      <w:r>
        <w:rPr>
          <w:rFonts w:hint="eastAsia" w:ascii="新宋体" w:hAnsi="新宋体" w:eastAsia="新宋体" w:cs="新宋体"/>
          <w:color w:val="auto"/>
          <w:kern w:val="0"/>
          <w:sz w:val="24"/>
          <w:szCs w:val="24"/>
          <w:lang w:eastAsia="zh-CN"/>
        </w:rPr>
        <w:t>按照</w:t>
      </w:r>
      <w:r>
        <w:rPr>
          <w:rFonts w:hint="eastAsia" w:ascii="新宋体" w:hAnsi="新宋体" w:eastAsia="新宋体" w:cs="新宋体"/>
          <w:color w:val="auto"/>
          <w:kern w:val="0"/>
          <w:sz w:val="24"/>
          <w:szCs w:val="24"/>
          <w:lang w:val="en-US" w:eastAsia="zh-CN"/>
        </w:rPr>
        <w:t>国家相关标准、行业标准、地方标准或其他标准、规范验收；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2、</w:t>
      </w:r>
      <w:r>
        <w:rPr>
          <w:rFonts w:hint="eastAsia" w:ascii="新宋体" w:hAnsi="新宋体" w:eastAsia="新宋体" w:cs="新宋体"/>
          <w:color w:val="auto"/>
          <w:kern w:val="0"/>
          <w:sz w:val="24"/>
          <w:szCs w:val="24"/>
          <w:lang w:eastAsia="zh-CN"/>
        </w:rPr>
        <w:t>按照招标文件要求、投标文件响应和承诺验收；</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八、资金支付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新宋体" w:hAnsi="新宋体" w:eastAsia="新宋体" w:cs="新宋体"/>
          <w:color w:val="auto"/>
          <w:kern w:val="0"/>
          <w:sz w:val="24"/>
          <w:szCs w:val="24"/>
          <w:lang w:eastAsia="zh-CN"/>
        </w:rPr>
      </w:pPr>
      <w:r>
        <w:rPr>
          <w:rFonts w:hint="eastAsia" w:ascii="新宋体" w:hAnsi="新宋体" w:eastAsia="新宋体" w:cs="新宋体"/>
          <w:color w:val="auto"/>
          <w:kern w:val="0"/>
          <w:sz w:val="24"/>
          <w:szCs w:val="24"/>
        </w:rPr>
        <w:t>（一）支付方式：</w:t>
      </w:r>
      <w:r>
        <w:rPr>
          <w:rFonts w:hint="eastAsia" w:ascii="新宋体" w:hAnsi="新宋体" w:eastAsia="新宋体" w:cs="新宋体"/>
          <w:color w:val="auto"/>
          <w:sz w:val="24"/>
          <w:szCs w:val="24"/>
          <w:lang w:eastAsia="zh-CN"/>
        </w:rPr>
        <w:t>按照合同约定，经</w:t>
      </w:r>
      <w:r>
        <w:rPr>
          <w:rFonts w:hint="eastAsia" w:ascii="新宋体" w:hAnsi="新宋体" w:eastAsia="新宋体" w:cs="新宋体"/>
          <w:color w:val="auto"/>
          <w:sz w:val="24"/>
          <w:szCs w:val="24"/>
        </w:rPr>
        <w:t>验收合格</w:t>
      </w:r>
      <w:r>
        <w:rPr>
          <w:rFonts w:hint="eastAsia" w:ascii="新宋体" w:hAnsi="新宋体" w:eastAsia="新宋体" w:cs="新宋体"/>
          <w:color w:val="auto"/>
          <w:sz w:val="24"/>
          <w:szCs w:val="24"/>
          <w:lang w:eastAsia="zh-CN"/>
        </w:rPr>
        <w:t>后申请</w:t>
      </w:r>
      <w:r>
        <w:rPr>
          <w:rFonts w:hint="eastAsia" w:ascii="新宋体" w:hAnsi="新宋体" w:eastAsia="新宋体" w:cs="新宋体"/>
          <w:color w:val="auto"/>
          <w:sz w:val="24"/>
          <w:szCs w:val="24"/>
        </w:rPr>
        <w:t>支付</w:t>
      </w:r>
      <w:r>
        <w:rPr>
          <w:rFonts w:hint="eastAsia" w:ascii="新宋体" w:hAnsi="新宋体" w:eastAsia="新宋体" w:cs="新宋体"/>
          <w:color w:val="auto"/>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（二）支付时间及条件：以合同为准。</w:t>
      </w: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6"/>
        <w:tblW w:w="10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94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943" w:type="dxa"/>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jc w:val="left"/>
              <w:textAlignment w:val="auto"/>
              <w:rPr>
                <w:rFonts w:hint="eastAsia"/>
              </w:rPr>
            </w:pPr>
            <w:r>
              <w:rPr>
                <w:rFonts w:hint="eastAsia"/>
              </w:rPr>
              <w:t>项目名称：</w:t>
            </w:r>
            <w:r>
              <w:rPr>
                <w:rFonts w:hint="eastAsia"/>
                <w:lang w:val="en-US" w:eastAsia="zh-CN"/>
              </w:rPr>
              <w:t>禹州市精神卫生康复中心所需信息化系统、医疗器械、后勤物资采购项目（不见面开标）</w:t>
            </w:r>
          </w:p>
          <w:p>
            <w:pPr>
              <w:autoSpaceDE w:val="0"/>
              <w:autoSpaceDN w:val="0"/>
              <w:adjustRightInd w:val="0"/>
              <w:spacing w:line="360" w:lineRule="auto"/>
              <w:jc w:val="left"/>
              <w:rPr>
                <w:rFonts w:hint="default"/>
                <w:lang w:val="en-US"/>
              </w:rPr>
            </w:pPr>
            <w:r>
              <w:rPr>
                <w:rFonts w:hint="eastAsia"/>
                <w:lang w:val="en-US" w:eastAsia="zh-CN"/>
              </w:rPr>
              <w:t>采购</w:t>
            </w:r>
            <w:r>
              <w:rPr>
                <w:rFonts w:hint="eastAsia"/>
              </w:rPr>
              <w:t>编号：YZCG-</w:t>
            </w:r>
            <w:r>
              <w:rPr>
                <w:rFonts w:hint="eastAsia"/>
                <w:lang w:val="en-US" w:eastAsia="zh-CN"/>
              </w:rPr>
              <w:t>G</w:t>
            </w:r>
            <w:r>
              <w:rPr>
                <w:rFonts w:hint="eastAsia"/>
              </w:rPr>
              <w:t>20</w:t>
            </w:r>
            <w:r>
              <w:rPr>
                <w:rFonts w:hint="eastAsia"/>
                <w:lang w:val="en-US" w:eastAsia="zh-CN"/>
              </w:rPr>
              <w:t>20106</w:t>
            </w:r>
          </w:p>
          <w:p>
            <w:pPr>
              <w:numPr>
                <w:ilvl w:val="0"/>
                <w:numId w:val="73"/>
              </w:numPr>
              <w:autoSpaceDE w:val="0"/>
              <w:autoSpaceDN w:val="0"/>
              <w:adjustRightInd w:val="0"/>
              <w:spacing w:line="360" w:lineRule="auto"/>
              <w:jc w:val="left"/>
              <w:rPr>
                <w:rFonts w:hint="default"/>
                <w:lang w:val="en-US" w:eastAsia="zh-CN"/>
              </w:rPr>
            </w:pPr>
            <w:r>
              <w:rPr>
                <w:rFonts w:hint="eastAsia"/>
                <w:lang w:val="en-US" w:eastAsia="zh-CN"/>
              </w:rPr>
              <w:t>二标段交付（服务、完工）时间：合同签订后20日内</w:t>
            </w:r>
          </w:p>
          <w:p>
            <w:pPr>
              <w:numPr>
                <w:ilvl w:val="0"/>
                <w:numId w:val="0"/>
              </w:numPr>
              <w:autoSpaceDE w:val="0"/>
              <w:autoSpaceDN w:val="0"/>
              <w:adjustRightInd w:val="0"/>
              <w:spacing w:line="360" w:lineRule="auto"/>
              <w:jc w:val="left"/>
              <w:rPr>
                <w:rFonts w:hint="default"/>
                <w:lang w:val="en-US" w:eastAsia="zh-CN"/>
              </w:rPr>
            </w:pPr>
            <w:r>
              <w:rPr>
                <w:rFonts w:hint="eastAsia"/>
                <w:lang w:val="en-US" w:eastAsia="zh-CN"/>
              </w:rPr>
              <w:t>第三、四标段交付（服务、完工）时间：合同签订后15日内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943" w:type="dxa"/>
            <w:vAlign w:val="center"/>
          </w:tcPr>
          <w:p>
            <w:pPr>
              <w:pStyle w:val="24"/>
              <w:widowControl/>
              <w:shd w:val="clear" w:color="auto" w:fill="FFFFFF"/>
              <w:spacing w:line="360" w:lineRule="auto"/>
              <w:contextualSpacing/>
              <w:jc w:val="left"/>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w:t>采购人：禹州市第三人民医院</w:t>
            </w:r>
          </w:p>
          <w:p>
            <w:pPr>
              <w:pStyle w:val="24"/>
              <w:widowControl/>
              <w:shd w:val="clear" w:color="auto" w:fill="FFFFFF"/>
              <w:spacing w:line="360" w:lineRule="auto"/>
              <w:contextualSpacing/>
              <w:jc w:val="left"/>
              <w:rPr>
                <w:rFonts w:hint="eastAsia" w:cs="仿宋_GB2312" w:asciiTheme="minorEastAsia" w:hAnsiTheme="minorEastAsia"/>
                <w:szCs w:val="21"/>
              </w:rPr>
            </w:pPr>
            <w:r>
              <w:rPr>
                <w:rFonts w:hint="eastAsia" w:cs="仿宋_GB2312" w:asciiTheme="minorEastAsia" w:hAnsiTheme="minorEastAsia"/>
                <w:szCs w:val="21"/>
              </w:rPr>
              <w:t>地址：禹州市梁北镇三峰山</w:t>
            </w:r>
          </w:p>
          <w:p>
            <w:pPr>
              <w:pStyle w:val="24"/>
              <w:widowControl/>
              <w:shd w:val="clear" w:color="auto" w:fill="FFFFFF"/>
              <w:spacing w:line="360" w:lineRule="auto"/>
              <w:contextualSpacing/>
              <w:jc w:val="left"/>
              <w:rPr>
                <w:rFonts w:cs="仿宋_GB2312" w:asciiTheme="minorEastAsia" w:hAnsiTheme="minorEastAsia"/>
                <w:szCs w:val="21"/>
              </w:rPr>
            </w:pPr>
            <w:r>
              <w:rPr>
                <w:rFonts w:hint="eastAsia" w:cs="仿宋_GB2312" w:asciiTheme="minorEastAsia" w:hAnsiTheme="minorEastAsia"/>
                <w:szCs w:val="21"/>
              </w:rPr>
              <w:t>联系人：张先生  联系电话：13782310843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94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禹州</w:t>
            </w:r>
            <w:r>
              <w:rPr>
                <w:rFonts w:hint="eastAsia" w:cs="仿宋_GB2312" w:asciiTheme="minorEastAsia" w:hAnsiTheme="minorEastAsia"/>
                <w:szCs w:val="21"/>
              </w:rPr>
              <w:t>市政府采购中心</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地址：禹州市行政服务中心楼917房间</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侯</w:t>
            </w:r>
            <w:r>
              <w:rPr>
                <w:rFonts w:hint="eastAsia" w:cs="仿宋_GB2312" w:asciiTheme="minorEastAsia" w:hAnsiTheme="minorEastAsia"/>
                <w:szCs w:val="21"/>
              </w:rPr>
              <w:t>女士    联系电话：0374-2077111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94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1、企业法人营业执照或营业执照。（企业投标提供）</w:t>
            </w:r>
          </w:p>
          <w:p>
            <w:pPr>
              <w:autoSpaceDE w:val="0"/>
              <w:autoSpaceDN w:val="0"/>
              <w:adjustRightInd w:val="0"/>
              <w:spacing w:line="360" w:lineRule="auto"/>
              <w:ind w:right="-11"/>
              <w:rPr>
                <w:lang w:val="zh-CN"/>
              </w:rPr>
            </w:pPr>
            <w:r>
              <w:rPr>
                <w:rFonts w:hint="eastAsia"/>
                <w:lang w:val="zh-CN"/>
              </w:rPr>
              <w:t>2、事业单位法人证书。（事业单位投标提供）</w:t>
            </w:r>
          </w:p>
          <w:p>
            <w:pPr>
              <w:autoSpaceDE w:val="0"/>
              <w:autoSpaceDN w:val="0"/>
              <w:adjustRightInd w:val="0"/>
              <w:spacing w:line="360" w:lineRule="auto"/>
              <w:ind w:right="-11"/>
              <w:rPr>
                <w:lang w:val="zh-CN"/>
              </w:rPr>
            </w:pPr>
            <w:r>
              <w:rPr>
                <w:rFonts w:hint="eastAsia"/>
                <w:lang w:val="zh-CN"/>
              </w:rPr>
              <w:t>3、执业许可证。（非企业专业服务机构投标提供）</w:t>
            </w:r>
          </w:p>
          <w:p>
            <w:pPr>
              <w:autoSpaceDE w:val="0"/>
              <w:autoSpaceDN w:val="0"/>
              <w:adjustRightInd w:val="0"/>
              <w:spacing w:line="360" w:lineRule="auto"/>
              <w:ind w:right="-11"/>
              <w:rPr>
                <w:lang w:val="zh-CN"/>
              </w:rPr>
            </w:pPr>
            <w:r>
              <w:rPr>
                <w:rFonts w:hint="eastAsia"/>
                <w:lang w:val="zh-CN"/>
              </w:rPr>
              <w:t>4、个体工商户营业执照。（个体工商户投标提供）</w:t>
            </w:r>
          </w:p>
          <w:p>
            <w:pPr>
              <w:autoSpaceDE w:val="0"/>
              <w:autoSpaceDN w:val="0"/>
              <w:adjustRightInd w:val="0"/>
              <w:spacing w:line="360" w:lineRule="auto"/>
              <w:jc w:val="left"/>
              <w:rPr>
                <w:lang w:val="zh-CN"/>
              </w:rPr>
            </w:pPr>
            <w:r>
              <w:rPr>
                <w:rFonts w:hint="eastAsia"/>
                <w:lang w:val="zh-CN"/>
              </w:rPr>
              <w:t>5、自然人身份证明。（自然人投标提供）</w:t>
            </w:r>
          </w:p>
          <w:p>
            <w:pPr>
              <w:autoSpaceDE w:val="0"/>
              <w:autoSpaceDN w:val="0"/>
              <w:adjustRightInd w:val="0"/>
              <w:spacing w:line="360" w:lineRule="auto"/>
              <w:jc w:val="left"/>
              <w:rPr>
                <w:lang w:val="zh-CN"/>
              </w:rPr>
            </w:pPr>
            <w:r>
              <w:rPr>
                <w:rFonts w:hint="eastAsia"/>
                <w:lang w:val="zh-CN"/>
              </w:rPr>
              <w:t>6、民办非企业单位登记证书。（民办非企业单位投标提供）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1、投标人是法人（法人包括企业法人、机关法人、事业单位法人和社会团体法人），提供本单位：</w:t>
            </w:r>
          </w:p>
          <w:p>
            <w:pPr>
              <w:spacing w:line="360" w:lineRule="auto"/>
            </w:pPr>
            <w:r>
              <w:rPr>
                <w:rFonts w:hint="eastAsia"/>
              </w:rPr>
              <w:t>①2018年度或2019年度经审计的财务报告，包括资产负债表、利润表、现金流量表、所有者权益变动表及其附注；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2、投标人（其他组织和自然人）提供本单位：</w:t>
            </w:r>
          </w:p>
          <w:p>
            <w:pPr>
              <w:spacing w:line="360" w:lineRule="auto"/>
            </w:pPr>
            <w:r>
              <w:rPr>
                <w:rFonts w:hint="eastAsia"/>
              </w:rPr>
              <w:t>①2018年度或2019年度经审计的财务报告，包括资产负债表、利润表、现金流量表、所有者权益变动表及其附注；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1、相关设备的购置发票、专业技术人员职称证书、用工合同等；</w:t>
            </w:r>
          </w:p>
          <w:p>
            <w:pPr>
              <w:spacing w:line="360" w:lineRule="auto"/>
            </w:pPr>
            <w:r>
              <w:rPr>
                <w:rFonts w:hint="eastAsia"/>
              </w:rPr>
              <w:t>2、投标人具备履行合同所必须的设备和专业技术能力承诺函或声明（承诺函或声明格式自拟）。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1～2其中之一即可。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投标人“</w:t>
            </w:r>
            <w:r>
              <w:rPr>
                <w:lang w:val="zh-CN"/>
              </w:rPr>
              <w:t>参加政府采购活动前3年内在经营活动中没有重大违法记录的书面声明</w:t>
            </w:r>
            <w:r>
              <w:rPr>
                <w:rFonts w:hint="eastAsia"/>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未被列入“信用中国”网站(www.creditchina.gov.cn)失信被执行人、重大税收违法案件当事人名单的投标人；</w:t>
            </w:r>
            <w:r>
              <w:rPr>
                <w:rFonts w:hint="eastAsia"/>
              </w:rPr>
              <w:t>“</w:t>
            </w:r>
            <w:r>
              <w:t>中国政府采购网</w:t>
            </w:r>
            <w:r>
              <w:rPr>
                <w:rFonts w:hint="eastAsia"/>
              </w:rPr>
              <w:t>”</w:t>
            </w:r>
            <w:r>
              <w:t xml:space="preserve"> (www.ccgp.gov.cn)政府采购严重违法失信行为记录名单的投标人</w:t>
            </w:r>
            <w:r>
              <w:rPr>
                <w:rFonts w:hint="eastAsia"/>
                <w:lang w:val="zh-CN"/>
              </w:rPr>
              <w:t>；</w:t>
            </w:r>
            <w:r>
              <w:rPr>
                <w:rFonts w:hint="eastAsia"/>
              </w:rPr>
              <w:t xml:space="preserve"> “中国社会组织公共服务平台”网站（</w:t>
            </w:r>
            <w:r>
              <w:t>www.chinanpo.gov.cn</w:t>
            </w:r>
            <w:r>
              <w:rPr>
                <w:rFonts w:hint="eastAsia"/>
              </w:rPr>
              <w:t>）严重违法失信社会组织（联合体形式投标的，联合体成员存在不良信用记录，视同联合体存在不良信用记录）。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政府采购严重违法失信行为记录名单</w:t>
            </w:r>
            <w:r>
              <w:rPr>
                <w:rFonts w:hint="eastAsia"/>
              </w:rPr>
              <w:t>的投标人、严重违法失信社会组织，将拒绝其参与本次政府采购活动。</w:t>
            </w:r>
          </w:p>
          <w:p>
            <w:pPr>
              <w:autoSpaceDE w:val="0"/>
              <w:autoSpaceDN w:val="0"/>
              <w:spacing w:line="360" w:lineRule="auto"/>
              <w:contextualSpacing/>
            </w:pPr>
            <w:r>
              <w:rPr>
                <w:rFonts w:hint="eastAsia"/>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lang w:val="en-US" w:eastAsia="zh-CN"/>
              </w:rPr>
            </w:pPr>
            <w:r>
              <w:rPr>
                <w:rFonts w:hint="eastAsia"/>
                <w:lang w:val="en-US" w:eastAsia="zh-CN"/>
              </w:rPr>
              <w:t>6、被委托人须是本单位职工，须提供公司为本人缴纳社会保险证明。</w:t>
            </w:r>
          </w:p>
          <w:p>
            <w:pPr>
              <w:pStyle w:val="2"/>
              <w:ind w:left="0" w:leftChars="0" w:firstLine="0" w:firstLineChars="0"/>
              <w:rPr>
                <w:rFonts w:hint="eastAsia"/>
                <w:lang w:eastAsia="zh-CN"/>
              </w:rPr>
            </w:pPr>
            <w:r>
              <w:rPr>
                <w:rFonts w:hint="eastAsia" w:cs="仿宋_GB2312" w:asciiTheme="minorEastAsia" w:hAnsiTheme="minorEastAsia"/>
                <w:color w:val="000000"/>
                <w:kern w:val="2"/>
                <w:sz w:val="21"/>
                <w:szCs w:val="21"/>
                <w:shd w:val="clear" w:color="auto" w:fill="FFFFFF"/>
                <w:lang w:val="en-US" w:eastAsia="zh-CN" w:bidi="ar-SA"/>
              </w:rPr>
              <w:t>第一标段：投标人须具有《医疗器械生产许可证》或《医疗器械经营许可证》。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第一标段 186.32万元，第二标段99万元，第三标段69.562万元，第四标段23.985万元，超出最高限价的投标无效。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94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94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94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en-US" w:eastAsia="zh-CN"/>
              </w:rPr>
              <w:t>2020</w:t>
            </w:r>
            <w:r>
              <w:rPr>
                <w:rFonts w:hint="eastAsia" w:cs="宋体" w:asciiTheme="minorEastAsia" w:hAnsiTheme="minorEastAsia"/>
                <w:bCs/>
                <w:szCs w:val="21"/>
                <w:lang w:val="zh-CN"/>
              </w:rPr>
              <w:t xml:space="preserve">年 </w:t>
            </w:r>
            <w:r>
              <w:rPr>
                <w:rFonts w:hint="eastAsia" w:cs="宋体" w:asciiTheme="minorEastAsia" w:hAnsiTheme="minorEastAsia"/>
                <w:bCs/>
                <w:szCs w:val="21"/>
                <w:lang w:val="en-US" w:eastAsia="zh-CN"/>
              </w:rPr>
              <w:t xml:space="preserve">  </w:t>
            </w:r>
            <w:r>
              <w:rPr>
                <w:rFonts w:hint="eastAsia" w:cs="宋体" w:asciiTheme="minorEastAsia" w:hAnsiTheme="minorEastAsia"/>
                <w:bCs/>
                <w:szCs w:val="21"/>
                <w:lang w:val="zh-CN"/>
              </w:rPr>
              <w:t xml:space="preserve">月 </w:t>
            </w:r>
            <w:r>
              <w:rPr>
                <w:rFonts w:hint="eastAsia" w:cs="宋体" w:asciiTheme="minorEastAsia" w:hAnsiTheme="minorEastAsia"/>
                <w:bCs/>
                <w:szCs w:val="21"/>
                <w:lang w:val="en-US" w:eastAsia="zh-CN"/>
              </w:rPr>
              <w:t xml:space="preserve"> </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 xml:space="preserve"> 10：00</w:t>
            </w:r>
            <w:r>
              <w:rPr>
                <w:rFonts w:hint="eastAsia" w:cs="宋体" w:asciiTheme="minorEastAsia" w:hAnsiTheme="minorEastAsia"/>
                <w:bCs/>
                <w:szCs w:val="21"/>
                <w:lang w:val="zh-CN"/>
              </w:rPr>
              <w:t xml:space="preserve">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w:t>
            </w:r>
            <w:r>
              <w:rPr>
                <w:rFonts w:hint="eastAsia" w:cs="仿宋_GB2312" w:asciiTheme="minorEastAsia" w:hAnsiTheme="minorEastAsia"/>
                <w:color w:val="000000"/>
                <w:szCs w:val="21"/>
                <w:lang w:eastAsia="zh-CN"/>
              </w:rPr>
              <w:t>二</w:t>
            </w:r>
            <w:r>
              <w:rPr>
                <w:rFonts w:hint="eastAsia" w:cs="仿宋_GB2312" w:asciiTheme="minorEastAsia" w:hAnsiTheme="minorEastAsia"/>
                <w:color w:val="000000"/>
                <w:szCs w:val="21"/>
              </w:rPr>
              <w:t>室（地址：禹州市行政服务中心楼九楼）</w:t>
            </w:r>
            <w:r>
              <w:rPr>
                <w:rFonts w:hint="eastAsia" w:cs="仿宋_GB2312" w:asciiTheme="minorEastAsia" w:hAnsiTheme="minorEastAsia"/>
                <w:color w:val="FF0000"/>
                <w:szCs w:val="21"/>
              </w:rPr>
              <w:t>（本项目采用远程不见面谈判，供应商无须到达现场）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94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hint="eastAsia" w:cs="仿宋_GB2312" w:asciiTheme="minorEastAsia" w:hAnsiTheme="minorEastAsia"/>
                <w:szCs w:val="21"/>
                <w:lang w:eastAsia="zh-CN"/>
              </w:rPr>
            </w:pPr>
            <w:r>
              <w:rPr>
                <w:rFonts w:hint="eastAsia" w:cs="仿宋_GB2312" w:asciiTheme="minorEastAsia" w:hAnsiTheme="minorEastAsia"/>
                <w:szCs w:val="21"/>
                <w:lang w:val="en-US" w:eastAsia="zh-CN"/>
              </w:rPr>
              <w:t>招标</w:t>
            </w:r>
            <w:r>
              <w:rPr>
                <w:rFonts w:hint="eastAsia" w:cs="仿宋_GB2312" w:asciiTheme="minorEastAsia" w:hAnsiTheme="minorEastAsia"/>
                <w:szCs w:val="21"/>
                <w:lang w:eastAsia="zh-CN"/>
              </w:rPr>
              <w:t>文件费用</w:t>
            </w:r>
          </w:p>
          <w:p>
            <w:pPr>
              <w:autoSpaceDE w:val="0"/>
              <w:autoSpaceDN w:val="0"/>
              <w:adjustRightInd w:val="0"/>
              <w:spacing w:line="276" w:lineRule="auto"/>
              <w:jc w:val="center"/>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szCs w:val="21"/>
                <w:lang w:eastAsia="zh-CN"/>
              </w:rPr>
              <w:t>缴纳方式</w:t>
            </w:r>
          </w:p>
        </w:tc>
        <w:tc>
          <w:tcPr>
            <w:tcW w:w="6943" w:type="dxa"/>
            <w:tcBorders>
              <w:top w:val="single" w:color="auto" w:sz="4" w:space="0"/>
            </w:tcBorders>
            <w:vAlign w:val="center"/>
          </w:tcPr>
          <w:p>
            <w:pPr>
              <w:autoSpaceDE w:val="0"/>
              <w:autoSpaceDN w:val="0"/>
              <w:adjustRightInd w:val="0"/>
              <w:spacing w:line="360" w:lineRule="auto"/>
              <w:rPr>
                <w:rFonts w:hint="eastAsia"/>
                <w:lang w:eastAsia="zh-CN"/>
              </w:rPr>
            </w:pPr>
            <w:r>
              <w:rPr>
                <w:rFonts w:hint="eastAsia"/>
                <w:lang w:eastAsia="zh-CN"/>
              </w:rPr>
              <w:t>户名：禹州市非税收入管理办公室</w:t>
            </w:r>
          </w:p>
          <w:p>
            <w:pPr>
              <w:pStyle w:val="11"/>
              <w:rPr>
                <w:rFonts w:hint="eastAsia"/>
                <w:lang w:val="en-US" w:eastAsia="zh-CN"/>
              </w:rPr>
            </w:pPr>
            <w:r>
              <w:rPr>
                <w:rFonts w:hint="eastAsia"/>
                <w:lang w:eastAsia="zh-CN"/>
              </w:rPr>
              <w:t>开户行及帐号：中原银行禹州支行</w:t>
            </w:r>
            <w:r>
              <w:rPr>
                <w:rFonts w:hint="eastAsia"/>
                <w:lang w:val="en-US" w:eastAsia="zh-CN"/>
              </w:rPr>
              <w:t xml:space="preserve"> 0184 0101 8730 0010 0170 001</w:t>
            </w:r>
          </w:p>
          <w:p>
            <w:pPr>
              <w:pStyle w:val="11"/>
              <w:rPr>
                <w:rFonts w:hint="eastAsia"/>
                <w:lang w:val="en-US" w:eastAsia="zh-CN"/>
              </w:rPr>
            </w:pPr>
            <w:r>
              <w:rPr>
                <w:rFonts w:hint="eastAsia" w:asciiTheme="minorHAnsi" w:hAnsiTheme="minorHAnsi" w:eastAsiaTheme="minorEastAsia" w:cstheme="minorBidi"/>
                <w:kern w:val="2"/>
                <w:sz w:val="21"/>
                <w:szCs w:val="22"/>
                <w:lang w:val="en-US" w:eastAsia="zh-CN" w:bidi="ar-SA"/>
              </w:rPr>
              <w:t>行号：</w:t>
            </w:r>
            <w:r>
              <w:rPr>
                <w:rFonts w:hint="eastAsia"/>
                <w:lang w:val="en-US" w:eastAsia="zh-CN"/>
              </w:rPr>
              <w:t>313503418012</w:t>
            </w:r>
          </w:p>
          <w:p>
            <w:pPr>
              <w:pStyle w:val="11"/>
              <w:rPr>
                <w:rFonts w:hint="eastAsia"/>
                <w:lang w:val="en-US" w:eastAsia="zh-CN"/>
              </w:rPr>
            </w:pPr>
            <w:r>
              <w:rPr>
                <w:rFonts w:hint="eastAsia"/>
                <w:lang w:val="en-US" w:eastAsia="zh-CN"/>
              </w:rPr>
              <w:t>（投标人须从本公司基本帐户转入且须注明项目名称或采购编号，缴纳回执单复印件附投标文件。）</w:t>
            </w:r>
          </w:p>
          <w:p>
            <w:pPr>
              <w:pStyle w:val="11"/>
              <w:rPr>
                <w:rFonts w:hint="eastAsia" w:asciiTheme="minorHAnsi" w:hAnsiTheme="minorHAnsi" w:eastAsiaTheme="minorEastAsia" w:cstheme="minorBidi"/>
                <w:kern w:val="2"/>
                <w:sz w:val="21"/>
                <w:szCs w:val="22"/>
                <w:lang w:val="en-US" w:eastAsia="zh-CN" w:bidi="ar-SA"/>
              </w:rPr>
            </w:pPr>
            <w:r>
              <w:rPr>
                <w:rFonts w:hint="eastAsia"/>
                <w:lang w:val="en-US" w:eastAsia="zh-CN"/>
              </w:rPr>
              <w:t xml:space="preserve">温馨提示： 发票开具联系人  孙女士  15893741177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16</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94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943" w:type="dxa"/>
            <w:vAlign w:val="center"/>
          </w:tcPr>
          <w:p>
            <w:pPr>
              <w:autoSpaceDE w:val="0"/>
              <w:autoSpaceDN w:val="0"/>
              <w:adjustRightInd w:val="0"/>
              <w:spacing w:line="360" w:lineRule="auto"/>
              <w:rPr>
                <w:rFonts w:cs="宋体" w:asciiTheme="minorEastAsia" w:hAnsiTheme="minorEastAsia"/>
                <w:color w:val="FF0000"/>
                <w:szCs w:val="21"/>
              </w:rPr>
            </w:pPr>
            <w:r>
              <w:rPr>
                <w:rFonts w:ascii="新宋体" w:hAnsi="新宋体" w:eastAsia="新宋体"/>
                <w:b/>
                <w:color w:val="FF0000"/>
                <w:szCs w:val="21"/>
              </w:rPr>
              <w:fldChar w:fldCharType="begin"/>
            </w:r>
            <w:r>
              <w:rPr>
                <w:rFonts w:ascii="新宋体" w:hAnsi="新宋体" w:eastAsia="新宋体"/>
                <w:b/>
                <w:color w:val="FF0000"/>
                <w:szCs w:val="21"/>
              </w:rPr>
              <w:instrText xml:space="preserve"> </w:instrText>
            </w:r>
            <w:r>
              <w:rPr>
                <w:rFonts w:hint="eastAsia" w:ascii="新宋体" w:hAnsi="新宋体" w:eastAsia="新宋体"/>
                <w:b/>
                <w:color w:val="FF0000"/>
                <w:szCs w:val="21"/>
              </w:rPr>
              <w:instrText xml:space="preserve">eq \o\ac(□,√)</w:instrText>
            </w:r>
            <w:r>
              <w:rPr>
                <w:rFonts w:ascii="新宋体" w:hAnsi="新宋体" w:eastAsia="新宋体"/>
                <w:b/>
                <w:color w:val="FF0000"/>
                <w:szCs w:val="21"/>
              </w:rPr>
              <w:fldChar w:fldCharType="end"/>
            </w:r>
            <w:r>
              <w:rPr>
                <w:rFonts w:hint="eastAsia" w:ascii="新宋体" w:hAnsi="新宋体" w:eastAsia="新宋体"/>
                <w:color w:val="FF0000"/>
                <w:szCs w:val="21"/>
              </w:rPr>
              <w:t>电子投标文件：成功上传至《全国公共资源交易平台（河南省·许昌市）》公共资源交易系统加密电子投标文件1份</w:t>
            </w:r>
            <w:r>
              <w:rPr>
                <w:rFonts w:hint="eastAsia" w:hAnsi="宋体" w:cs="宋体"/>
                <w:color w:val="FF0000"/>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eastAsiaTheme="minorEastAsia"/>
                <w:kern w:val="2"/>
                <w:sz w:val="21"/>
                <w:szCs w:val="21"/>
                <w:lang w:val="en-US" w:eastAsia="zh-CN" w:bidi="ar-SA"/>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94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94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943" w:type="dxa"/>
            <w:vAlign w:val="center"/>
          </w:tcPr>
          <w:p>
            <w:pPr>
              <w:autoSpaceDE w:val="0"/>
              <w:autoSpaceDN w:val="0"/>
              <w:adjustRightInd w:val="0"/>
              <w:spacing w:line="360" w:lineRule="auto"/>
              <w:rPr>
                <w:rFonts w:hint="eastAsia" w:cs="宋体" w:asciiTheme="minorEastAsia" w:hAnsiTheme="minorEastAsia"/>
                <w:color w:val="000000"/>
                <w:kern w:val="0"/>
                <w:szCs w:val="21"/>
                <w:lang w:val="zh-CN"/>
              </w:rPr>
            </w:pPr>
            <w:r>
              <w:rPr>
                <w:rFonts w:hint="eastAsia" w:cs="宋体" w:asciiTheme="minorEastAsia" w:hAnsiTheme="minorEastAsia"/>
                <w:b/>
                <w:color w:val="000000"/>
                <w:kern w:val="0"/>
                <w:szCs w:val="21"/>
                <w:lang w:val="zh-CN"/>
              </w:rPr>
              <w:t>第一、二、三标段</w:t>
            </w:r>
            <w:r>
              <w:rPr>
                <w:rFonts w:hint="eastAsia" w:cs="宋体" w:asciiTheme="minorEastAsia" w:hAnsiTheme="minorEastAsia"/>
                <w:b/>
                <w:color w:val="000000"/>
                <w:kern w:val="0"/>
                <w:szCs w:val="21"/>
                <w:lang w:val="en-US" w:eastAsia="zh-CN"/>
              </w:rPr>
              <w:t xml:space="preserve">    </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 w:val="13"/>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第四标段</w:t>
            </w:r>
            <w:r>
              <w:rPr>
                <w:rFonts w:hint="eastAsia" w:cs="宋体" w:asciiTheme="minorEastAsia" w:hAnsiTheme="minorEastAsia"/>
                <w:b/>
                <w:bCs/>
                <w:szCs w:val="21"/>
                <w:lang w:val="en-US" w:eastAsia="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94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w:t>
            </w:r>
            <w:r>
              <w:rPr>
                <w:rFonts w:hint="eastAsia" w:ascii="新宋体" w:hAnsi="新宋体" w:eastAsia="新宋体"/>
                <w:szCs w:val="21"/>
                <w:lang w:val="en-US" w:eastAsia="zh-CN"/>
              </w:rPr>
              <w:t>禹州</w:t>
            </w:r>
            <w:r>
              <w:rPr>
                <w:rFonts w:hint="eastAsia" w:ascii="新宋体" w:hAnsi="新宋体" w:eastAsia="新宋体"/>
                <w:szCs w:val="21"/>
              </w:rPr>
              <w:t>市公共资源交易中心交易见证</w:t>
            </w:r>
            <w:r>
              <w:rPr>
                <w:rFonts w:hint="eastAsia" w:ascii="新宋体" w:hAnsi="新宋体" w:eastAsia="新宋体"/>
                <w:szCs w:val="21"/>
                <w:lang w:val="en-US" w:eastAsia="zh-CN"/>
              </w:rPr>
              <w:t>部</w:t>
            </w:r>
            <w:r>
              <w:rPr>
                <w:rFonts w:hint="eastAsia" w:ascii="新宋体" w:hAnsi="新宋体" w:eastAsia="新宋体"/>
                <w:szCs w:val="21"/>
              </w:rPr>
              <w:t>发</w:t>
            </w:r>
            <w:r>
              <w:rPr>
                <w:rFonts w:hint="eastAsia" w:cs="宋体" w:asciiTheme="minorEastAsia" w:hAnsiTheme="minorEastAsia"/>
                <w:bCs/>
                <w:szCs w:val="21"/>
                <w:lang w:val="zh-CN"/>
              </w:rPr>
              <w:t>送投标报价及分项报价一览表（包含主要中标标的的名称、规格型号、数量、单价、服务要求等）电子文档，并同时电话告知交易见证</w:t>
            </w:r>
            <w:r>
              <w:rPr>
                <w:rFonts w:hint="eastAsia" w:cs="宋体" w:asciiTheme="minorEastAsia" w:hAnsiTheme="minorEastAsia"/>
                <w:bCs/>
                <w:szCs w:val="21"/>
                <w:lang w:val="en-US" w:eastAsia="zh-CN"/>
              </w:rPr>
              <w:t>部</w:t>
            </w:r>
            <w:r>
              <w:rPr>
                <w:rFonts w:hint="eastAsia" w:cs="宋体" w:asciiTheme="minorEastAsia" w:hAnsiTheme="minorEastAsia"/>
                <w:bCs/>
                <w:szCs w:val="21"/>
                <w:lang w:val="zh-CN"/>
              </w:rPr>
              <w:t>。联系电话：0374-</w:t>
            </w:r>
            <w:r>
              <w:rPr>
                <w:rFonts w:hint="eastAsia" w:cs="宋体" w:asciiTheme="minorEastAsia" w:hAnsiTheme="minorEastAsia"/>
                <w:bCs/>
                <w:szCs w:val="21"/>
                <w:lang w:val="en-US" w:eastAsia="zh-CN"/>
              </w:rPr>
              <w:t>2077772</w:t>
            </w:r>
            <w:r>
              <w:rPr>
                <w:rFonts w:hint="eastAsia" w:cs="宋体" w:asciiTheme="minorEastAsia" w:hAnsiTheme="minorEastAsia"/>
                <w:bCs/>
                <w:szCs w:val="21"/>
                <w:lang w:val="zh-CN"/>
              </w:rPr>
              <w:t>；邮箱：</w:t>
            </w:r>
            <w:r>
              <w:rPr>
                <w:rFonts w:hint="eastAsia" w:cs="宋体" w:asciiTheme="minorEastAsia" w:hAnsiTheme="minorEastAsia"/>
                <w:color w:val="333333"/>
                <w:szCs w:val="21"/>
              </w:rPr>
              <w:t>Y</w:t>
            </w:r>
            <w:r>
              <w:rPr>
                <w:rFonts w:hint="eastAsia" w:cs="宋体" w:asciiTheme="minorEastAsia" w:hAnsiTheme="minorEastAsia"/>
                <w:color w:val="333333"/>
                <w:szCs w:val="21"/>
                <w:lang w:val="en-US" w:eastAsia="zh-CN"/>
              </w:rPr>
              <w:t>Z</w:t>
            </w:r>
            <w:r>
              <w:rPr>
                <w:rFonts w:hint="eastAsia" w:cs="宋体" w:asciiTheme="minorEastAsia" w:hAnsiTheme="minorEastAsia"/>
                <w:color w:val="333333"/>
                <w:szCs w:val="21"/>
              </w:rPr>
              <w:t>GGZY2076770</w:t>
            </w:r>
            <w:r>
              <w:rPr>
                <w:rFonts w:hint="eastAsia" w:cs="宋体" w:asciiTheme="minorEastAsia" w:hAnsiTheme="minorEastAsia"/>
                <w:color w:val="333333"/>
                <w:szCs w:val="21"/>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943" w:type="dxa"/>
            <w:vAlign w:val="center"/>
          </w:tcPr>
          <w:p>
            <w:pPr>
              <w:autoSpaceDE w:val="0"/>
              <w:autoSpaceDN w:val="0"/>
              <w:adjustRightInd w:val="0"/>
              <w:spacing w:line="360" w:lineRule="auto"/>
              <w:contextualSpacing/>
              <w:rPr>
                <w:rFonts w:hAnsi="宋体" w:cs="宋体"/>
                <w:color w:val="FF0000"/>
                <w:szCs w:val="21"/>
                <w:lang w:val="zh-CN"/>
              </w:rPr>
            </w:pPr>
            <w:r>
              <w:rPr>
                <w:rFonts w:cs="宋体" w:asciiTheme="minorEastAsia" w:hAnsiTheme="minorEastAsia"/>
                <w:b/>
                <w:color w:val="FF0000"/>
                <w:kern w:val="0"/>
                <w:szCs w:val="21"/>
                <w:lang w:val="zh-CN"/>
              </w:rPr>
              <w:fldChar w:fldCharType="begin"/>
            </w:r>
            <w:r>
              <w:rPr>
                <w:rFonts w:cs="宋体" w:asciiTheme="minorEastAsia" w:hAnsiTheme="minorEastAsia"/>
                <w:b/>
                <w:color w:val="FF0000"/>
                <w:kern w:val="0"/>
                <w:szCs w:val="21"/>
                <w:lang w:val="zh-CN"/>
              </w:rPr>
              <w:instrText xml:space="preserve"> </w:instrText>
            </w:r>
            <w:r>
              <w:rPr>
                <w:rFonts w:hint="eastAsia" w:cs="宋体" w:asciiTheme="minorEastAsia" w:hAnsiTheme="minorEastAsia"/>
                <w:b/>
                <w:color w:val="FF0000"/>
                <w:kern w:val="0"/>
                <w:szCs w:val="21"/>
                <w:lang w:val="zh-CN"/>
              </w:rPr>
              <w:instrText xml:space="preserve">eq \o\ac(□,</w:instrText>
            </w:r>
            <w:r>
              <w:rPr>
                <w:rFonts w:hint="eastAsia" w:cs="宋体" w:asciiTheme="minorEastAsia" w:hAnsiTheme="minorEastAsia"/>
                <w:b/>
                <w:color w:val="FF0000"/>
                <w:kern w:val="0"/>
                <w:position w:val="2"/>
                <w:szCs w:val="21"/>
                <w:lang w:val="zh-CN"/>
              </w:rPr>
              <w:instrText xml:space="preserve">√</w:instrText>
            </w:r>
            <w:r>
              <w:rPr>
                <w:rFonts w:hint="eastAsia" w:cs="宋体" w:asciiTheme="minorEastAsia" w:hAnsiTheme="minorEastAsia"/>
                <w:b/>
                <w:color w:val="FF0000"/>
                <w:kern w:val="0"/>
                <w:szCs w:val="21"/>
                <w:lang w:val="zh-CN"/>
              </w:rPr>
              <w:instrText xml:space="preserve">)</w:instrText>
            </w:r>
            <w:r>
              <w:rPr>
                <w:rFonts w:cs="宋体" w:asciiTheme="minorEastAsia" w:hAnsiTheme="minorEastAsia"/>
                <w:b/>
                <w:color w:val="FF0000"/>
                <w:kern w:val="0"/>
                <w:szCs w:val="21"/>
                <w:lang w:val="zh-CN"/>
              </w:rPr>
              <w:fldChar w:fldCharType="end"/>
            </w:r>
            <w:r>
              <w:rPr>
                <w:rFonts w:hint="eastAsia" w:cs="宋体" w:asciiTheme="minorEastAsia" w:hAnsiTheme="minorEastAsia"/>
                <w:bCs/>
                <w:color w:val="FF0000"/>
                <w:szCs w:val="21"/>
                <w:lang w:val="zh-CN"/>
              </w:rPr>
              <w:t>是。</w:t>
            </w:r>
            <w:r>
              <w:rPr>
                <w:rFonts w:hint="eastAsia" w:hAnsi="宋体" w:cs="宋体"/>
                <w:color w:val="FF0000"/>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94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2"/>
        <w:numPr>
          <w:ilvl w:val="0"/>
          <w:numId w:val="7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2"/>
        <w:autoSpaceDE w:val="0"/>
        <w:autoSpaceDN w:val="0"/>
        <w:spacing w:line="360" w:lineRule="auto"/>
        <w:ind w:left="780" w:firstLine="0" w:firstLineChars="0"/>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2"/>
        <w:numPr>
          <w:ilvl w:val="0"/>
          <w:numId w:val="7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2"/>
        <w:numPr>
          <w:ilvl w:val="1"/>
          <w:numId w:val="74"/>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2"/>
        <w:autoSpaceDE w:val="0"/>
        <w:autoSpaceDN w:val="0"/>
        <w:spacing w:line="360" w:lineRule="auto"/>
        <w:ind w:left="0" w:leftChars="0" w:firstLine="0" w:firstLineChars="0"/>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2"/>
        <w:numPr>
          <w:ilvl w:val="0"/>
          <w:numId w:val="7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2"/>
        <w:numPr>
          <w:ilvl w:val="0"/>
          <w:numId w:val="76"/>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31"/>
          <w:rFonts w:cs="宋体" w:asciiTheme="minorEastAsia" w:hAnsiTheme="minorEastAsia"/>
          <w:kern w:val="0"/>
          <w:szCs w:val="21"/>
        </w:rPr>
        <w:t>www.chinanpo.gov.cn</w:t>
      </w:r>
      <w:r>
        <w:rPr>
          <w:rStyle w:val="31"/>
          <w:rFonts w:cs="宋体" w:asciiTheme="minorEastAsia" w:hAnsiTheme="minorEastAsia"/>
          <w:kern w:val="0"/>
          <w:szCs w:val="21"/>
        </w:rPr>
        <w:fldChar w:fldCharType="end"/>
      </w:r>
      <w:r>
        <w:rPr>
          <w:rFonts w:hint="eastAsia" w:cs="宋体" w:asciiTheme="minorEastAsia" w:hAnsiTheme="minorEastAsia"/>
          <w:kern w:val="0"/>
          <w:szCs w:val="21"/>
        </w:rPr>
        <w:t>）；</w:t>
      </w:r>
    </w:p>
    <w:p>
      <w:pPr>
        <w:pStyle w:val="42"/>
        <w:numPr>
          <w:ilvl w:val="0"/>
          <w:numId w:val="76"/>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42"/>
        <w:numPr>
          <w:ilvl w:val="0"/>
          <w:numId w:val="76"/>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42"/>
        <w:numPr>
          <w:ilvl w:val="0"/>
          <w:numId w:val="76"/>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42"/>
        <w:numPr>
          <w:ilvl w:val="0"/>
          <w:numId w:val="76"/>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2"/>
        <w:numPr>
          <w:ilvl w:val="1"/>
          <w:numId w:val="74"/>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42"/>
        <w:numPr>
          <w:ilvl w:val="1"/>
          <w:numId w:val="74"/>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2"/>
        <w:numPr>
          <w:ilvl w:val="1"/>
          <w:numId w:val="74"/>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2"/>
        <w:numPr>
          <w:ilvl w:val="0"/>
          <w:numId w:val="7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42"/>
        <w:numPr>
          <w:ilvl w:val="0"/>
          <w:numId w:val="7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2"/>
        <w:numPr>
          <w:ilvl w:val="0"/>
          <w:numId w:val="7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42"/>
        <w:numPr>
          <w:ilvl w:val="0"/>
          <w:numId w:val="7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2"/>
        <w:numPr>
          <w:ilvl w:val="0"/>
          <w:numId w:val="77"/>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2"/>
        <w:numPr>
          <w:ilvl w:val="0"/>
          <w:numId w:val="7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2"/>
        <w:numPr>
          <w:ilvl w:val="0"/>
          <w:numId w:val="7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2"/>
        <w:numPr>
          <w:ilvl w:val="1"/>
          <w:numId w:val="7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47" w:name="baidusnap0"/>
      <w:bookmarkEnd w:id="47"/>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w:t>
      </w:r>
    </w:p>
    <w:p>
      <w:pPr>
        <w:pStyle w:val="42"/>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除标书费用外，不收取费用。</w:t>
      </w: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2"/>
        <w:numPr>
          <w:ilvl w:val="0"/>
          <w:numId w:val="7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2"/>
        <w:numPr>
          <w:ilvl w:val="0"/>
          <w:numId w:val="7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2"/>
        <w:numPr>
          <w:ilvl w:val="0"/>
          <w:numId w:val="8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2"/>
        <w:numPr>
          <w:ilvl w:val="0"/>
          <w:numId w:val="8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42"/>
        <w:numPr>
          <w:ilvl w:val="0"/>
          <w:numId w:val="8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2"/>
        <w:numPr>
          <w:ilvl w:val="0"/>
          <w:numId w:val="8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2"/>
        <w:numPr>
          <w:ilvl w:val="0"/>
          <w:numId w:val="8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2"/>
        <w:numPr>
          <w:ilvl w:val="1"/>
          <w:numId w:val="74"/>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FF0000"/>
          <w:kern w:val="0"/>
          <w:szCs w:val="21"/>
        </w:rPr>
        <w:t>.file</w:t>
      </w:r>
      <w:r>
        <w:rPr>
          <w:rFonts w:hint="eastAsia" w:cs="宋体" w:asciiTheme="minorEastAsia" w:hAnsiTheme="minorEastAsia"/>
          <w:color w:val="FF0000"/>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2"/>
        <w:numPr>
          <w:ilvl w:val="0"/>
          <w:numId w:val="81"/>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2"/>
        <w:numPr>
          <w:ilvl w:val="0"/>
          <w:numId w:val="8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2"/>
        <w:numPr>
          <w:ilvl w:val="0"/>
          <w:numId w:val="8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2"/>
        <w:numPr>
          <w:ilvl w:val="1"/>
          <w:numId w:val="74"/>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2"/>
        <w:numPr>
          <w:ilvl w:val="0"/>
          <w:numId w:val="81"/>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投标人必须在“投标邀请”和“投标人须知前附表”中规定的投标截止时间前，将</w:t>
      </w:r>
      <w:r>
        <w:rPr>
          <w:rFonts w:hint="eastAsia" w:cs="仿宋_GB2312" w:asciiTheme="minorEastAsia" w:hAnsiTheme="minorEastAsia"/>
          <w:color w:val="FF0000"/>
          <w:szCs w:val="21"/>
        </w:rPr>
        <w:t>加密电子投标文件</w:t>
      </w:r>
      <w:r>
        <w:rPr>
          <w:rFonts w:hint="eastAsia" w:cs="宋体" w:asciiTheme="minorEastAsia" w:hAnsiTheme="minorEastAsia"/>
          <w:color w:val="FF0000"/>
          <w:szCs w:val="21"/>
        </w:rPr>
        <w:t>（</w:t>
      </w:r>
      <w:r>
        <w:rPr>
          <w:rFonts w:asciiTheme="minorEastAsia" w:hAnsiTheme="minorEastAsia"/>
          <w:color w:val="FF0000"/>
          <w:szCs w:val="21"/>
        </w:rPr>
        <w:t>.file</w:t>
      </w:r>
      <w:r>
        <w:rPr>
          <w:rFonts w:hint="eastAsia" w:cs="宋体" w:asciiTheme="minorEastAsia" w:hAnsiTheme="minorEastAsia"/>
          <w:color w:val="FF0000"/>
          <w:szCs w:val="21"/>
        </w:rPr>
        <w:t>格式）</w:t>
      </w:r>
      <w:r>
        <w:rPr>
          <w:rFonts w:hint="eastAsia" w:cs="仿宋_GB2312" w:asciiTheme="minorEastAsia" w:hAnsiTheme="minorEastAsia"/>
          <w:color w:val="FF0000"/>
          <w:szCs w:val="21"/>
        </w:rPr>
        <w:t>通过《全国公共资源交易平台(河南省</w:t>
      </w:r>
      <w:r>
        <w:rPr>
          <w:rFonts w:hint="eastAsia" w:ascii="MS Mincho" w:hAnsi="MS Mincho" w:eastAsia="MS Mincho" w:cs="MS Mincho"/>
          <w:color w:val="FF0000"/>
          <w:szCs w:val="21"/>
        </w:rPr>
        <w:t>▪</w:t>
      </w:r>
      <w:r>
        <w:rPr>
          <w:rFonts w:hint="eastAsia" w:ascii="宋体" w:hAnsi="宋体" w:cs="宋体"/>
          <w:color w:val="FF0000"/>
          <w:szCs w:val="21"/>
        </w:rPr>
        <w:t>许昌市</w:t>
      </w:r>
      <w:r>
        <w:rPr>
          <w:rFonts w:hint="eastAsia" w:cs="仿宋_GB2312" w:asciiTheme="minorEastAsia" w:hAnsiTheme="minorEastAsia"/>
          <w:color w:val="FF0000"/>
          <w:szCs w:val="21"/>
        </w:rPr>
        <w:t>)》公共资源交易系统成功上传。</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2"/>
        <w:numPr>
          <w:ilvl w:val="0"/>
          <w:numId w:val="82"/>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投标人应当在投标截止时间前完成电子投标文件的提交，可以补充、修改或撤回。投标截止时间前未完成电子投标文件提交的，视为撤回投标文件。</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2"/>
        <w:numPr>
          <w:ilvl w:val="1"/>
          <w:numId w:val="74"/>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投标人在提交投标文件后，可以撤回其投标，但投标人必须在规定的投标截止时间前以书面形式告知招标人。</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color w:val="FF0000"/>
          <w:kern w:val="0"/>
          <w:szCs w:val="21"/>
        </w:rPr>
      </w:pPr>
      <w:r>
        <w:rPr>
          <w:rFonts w:hint="eastAsia" w:cs="宋体" w:asciiTheme="minorEastAsia" w:hAnsiTheme="minorEastAsia"/>
          <w:b/>
          <w:color w:val="FF0000"/>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2"/>
        <w:numPr>
          <w:ilvl w:val="0"/>
          <w:numId w:val="83"/>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招标人将按招标文件规定的时间和地点组织远程不见面开标。开标由代理机构主持，投标人无须到现场。评标委员会成员不得参加开标活动。</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2"/>
        <w:numPr>
          <w:ilvl w:val="1"/>
          <w:numId w:val="74"/>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FF0000"/>
          <w:szCs w:val="21"/>
        </w:rPr>
        <w:t>投标人选择功能栏“开标记录”按钮可查看</w:t>
      </w:r>
      <w:r>
        <w:rPr>
          <w:rFonts w:hint="eastAsia" w:cs="宋体" w:asciiTheme="minorEastAsia" w:hAnsiTheme="minorEastAsia"/>
          <w:color w:val="FF0000"/>
          <w:kern w:val="0"/>
          <w:szCs w:val="21"/>
        </w:rPr>
        <w:t>投标人名称、投标价格、修改和撤回投标的通知（如有的话）和招标文件规定的需要宣布的其他内容。</w:t>
      </w:r>
    </w:p>
    <w:p>
      <w:pPr>
        <w:pStyle w:val="42"/>
        <w:numPr>
          <w:ilvl w:val="1"/>
          <w:numId w:val="8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pPr>
        <w:pStyle w:val="42"/>
        <w:numPr>
          <w:ilvl w:val="1"/>
          <w:numId w:val="85"/>
        </w:numPr>
        <w:autoSpaceDE w:val="0"/>
        <w:autoSpaceDN w:val="0"/>
        <w:spacing w:line="360" w:lineRule="auto"/>
        <w:ind w:left="1843" w:hanging="1843"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2"/>
        <w:numPr>
          <w:ilvl w:val="1"/>
          <w:numId w:val="86"/>
        </w:numPr>
        <w:autoSpaceDE w:val="0"/>
        <w:autoSpaceDN w:val="0"/>
        <w:spacing w:line="360" w:lineRule="auto"/>
        <w:ind w:left="1843" w:hanging="1843"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因投标人原因电子投标文件解密失败的，其投标将被拒绝。</w:t>
      </w:r>
    </w:p>
    <w:p>
      <w:pPr>
        <w:pStyle w:val="42"/>
        <w:numPr>
          <w:ilvl w:val="1"/>
          <w:numId w:val="8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2"/>
        <w:numPr>
          <w:ilvl w:val="1"/>
          <w:numId w:val="87"/>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开标过程由采购代理机构负责记录，</w:t>
      </w:r>
      <w:r>
        <w:rPr>
          <w:rFonts w:hint="eastAsia" w:hAnsi="宋体"/>
          <w:color w:val="FF0000"/>
          <w:szCs w:val="21"/>
        </w:rPr>
        <w:t>《开标记录表》经投标人进行电子签章、</w:t>
      </w:r>
      <w:r>
        <w:rPr>
          <w:rFonts w:hint="eastAsia" w:cs="宋体" w:asciiTheme="minorEastAsia" w:hAnsiTheme="minorEastAsia"/>
          <w:color w:val="FF0000"/>
          <w:kern w:val="0"/>
          <w:szCs w:val="21"/>
        </w:rPr>
        <w:t>由参加开标相关工作人员签字确认后随采购文件一并存档。</w:t>
      </w:r>
      <w:r>
        <w:rPr>
          <w:rFonts w:hint="eastAsia" w:hAnsi="宋体"/>
          <w:color w:val="FF0000"/>
          <w:szCs w:val="21"/>
        </w:rPr>
        <w:t>投标人未电子签章的，视同认可开标结果。</w:t>
      </w:r>
    </w:p>
    <w:p>
      <w:pPr>
        <w:pStyle w:val="42"/>
        <w:numPr>
          <w:ilvl w:val="1"/>
          <w:numId w:val="87"/>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2"/>
        <w:numPr>
          <w:ilvl w:val="1"/>
          <w:numId w:val="87"/>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项目远程不见面开标活动结束时，投标人应在《开标记录表》上进行电子签章。投标人未签章的，视同认可开标结果。</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8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2"/>
        <w:numPr>
          <w:ilvl w:val="0"/>
          <w:numId w:val="8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2"/>
        <w:numPr>
          <w:ilvl w:val="0"/>
          <w:numId w:val="8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42"/>
        <w:numPr>
          <w:ilvl w:val="0"/>
          <w:numId w:val="8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pPr>
        <w:pStyle w:val="42"/>
        <w:numPr>
          <w:ilvl w:val="0"/>
          <w:numId w:val="8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pStyle w:val="42"/>
        <w:numPr>
          <w:ilvl w:val="0"/>
          <w:numId w:val="9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pPr>
        <w:pStyle w:val="42"/>
        <w:numPr>
          <w:ilvl w:val="0"/>
          <w:numId w:val="9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42"/>
        <w:numPr>
          <w:ilvl w:val="0"/>
          <w:numId w:val="9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42"/>
        <w:numPr>
          <w:ilvl w:val="0"/>
          <w:numId w:val="8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2"/>
        <w:numPr>
          <w:ilvl w:val="0"/>
          <w:numId w:val="9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42"/>
        <w:numPr>
          <w:ilvl w:val="0"/>
          <w:numId w:val="9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42"/>
        <w:numPr>
          <w:ilvl w:val="0"/>
          <w:numId w:val="9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42"/>
        <w:numPr>
          <w:ilvl w:val="0"/>
          <w:numId w:val="9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42"/>
        <w:numPr>
          <w:ilvl w:val="1"/>
          <w:numId w:val="9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2"/>
        <w:numPr>
          <w:ilvl w:val="1"/>
          <w:numId w:val="9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2"/>
        <w:numPr>
          <w:ilvl w:val="1"/>
          <w:numId w:val="9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2"/>
        <w:numPr>
          <w:ilvl w:val="1"/>
          <w:numId w:val="9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2"/>
        <w:numPr>
          <w:ilvl w:val="0"/>
          <w:numId w:val="9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2"/>
        <w:numPr>
          <w:ilvl w:val="0"/>
          <w:numId w:val="9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2"/>
        <w:numPr>
          <w:ilvl w:val="1"/>
          <w:numId w:val="9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2"/>
        <w:numPr>
          <w:ilvl w:val="1"/>
          <w:numId w:val="9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9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2"/>
        <w:numPr>
          <w:ilvl w:val="0"/>
          <w:numId w:val="9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2"/>
        <w:numPr>
          <w:ilvl w:val="0"/>
          <w:numId w:val="9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2"/>
        <w:numPr>
          <w:ilvl w:val="0"/>
          <w:numId w:val="9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9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42"/>
        <w:numPr>
          <w:ilvl w:val="0"/>
          <w:numId w:val="9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42"/>
        <w:numPr>
          <w:ilvl w:val="0"/>
          <w:numId w:val="9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2"/>
        <w:numPr>
          <w:ilvl w:val="0"/>
          <w:numId w:val="9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2"/>
        <w:numPr>
          <w:ilvl w:val="0"/>
          <w:numId w:val="9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2"/>
        <w:numPr>
          <w:ilvl w:val="0"/>
          <w:numId w:val="9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2"/>
        <w:numPr>
          <w:ilvl w:val="0"/>
          <w:numId w:val="10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42"/>
        <w:numPr>
          <w:ilvl w:val="0"/>
          <w:numId w:val="10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r>
        <w:rPr>
          <w:rFonts w:cs="宋体" w:asciiTheme="minorEastAsia" w:hAnsiTheme="minorEastAsia"/>
          <w:kern w:val="0"/>
          <w:szCs w:val="21"/>
        </w:rPr>
        <w:t xml:space="preserve"> </w:t>
      </w:r>
    </w:p>
    <w:p>
      <w:pPr>
        <w:pStyle w:val="42"/>
        <w:numPr>
          <w:ilvl w:val="0"/>
          <w:numId w:val="10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42"/>
        <w:numPr>
          <w:ilvl w:val="0"/>
          <w:numId w:val="10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42"/>
        <w:numPr>
          <w:ilvl w:val="0"/>
          <w:numId w:val="10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42"/>
        <w:numPr>
          <w:ilvl w:val="0"/>
          <w:numId w:val="10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42"/>
        <w:numPr>
          <w:ilvl w:val="0"/>
          <w:numId w:val="101"/>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2"/>
        <w:numPr>
          <w:ilvl w:val="0"/>
          <w:numId w:val="10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42"/>
        <w:numPr>
          <w:ilvl w:val="0"/>
          <w:numId w:val="10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42"/>
        <w:numPr>
          <w:ilvl w:val="0"/>
          <w:numId w:val="10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42"/>
        <w:numPr>
          <w:ilvl w:val="0"/>
          <w:numId w:val="10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42"/>
        <w:numPr>
          <w:ilvl w:val="0"/>
          <w:numId w:val="10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42"/>
        <w:numPr>
          <w:ilvl w:val="0"/>
          <w:numId w:val="10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42"/>
        <w:numPr>
          <w:ilvl w:val="0"/>
          <w:numId w:val="10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2"/>
        <w:numPr>
          <w:ilvl w:val="0"/>
          <w:numId w:val="10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2"/>
        <w:numPr>
          <w:ilvl w:val="0"/>
          <w:numId w:val="106"/>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2"/>
        <w:numPr>
          <w:ilvl w:val="0"/>
          <w:numId w:val="10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9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2"/>
        <w:numPr>
          <w:ilvl w:val="0"/>
          <w:numId w:val="10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2"/>
        <w:numPr>
          <w:ilvl w:val="0"/>
          <w:numId w:val="10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9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2"/>
        <w:numPr>
          <w:ilvl w:val="0"/>
          <w:numId w:val="9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2"/>
        <w:numPr>
          <w:ilvl w:val="0"/>
          <w:numId w:val="10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42"/>
        <w:numPr>
          <w:ilvl w:val="0"/>
          <w:numId w:val="11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42"/>
        <w:numPr>
          <w:ilvl w:val="0"/>
          <w:numId w:val="111"/>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42"/>
        <w:numPr>
          <w:ilvl w:val="0"/>
          <w:numId w:val="111"/>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42"/>
        <w:numPr>
          <w:ilvl w:val="0"/>
          <w:numId w:val="11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42"/>
        <w:numPr>
          <w:ilvl w:val="0"/>
          <w:numId w:val="11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42"/>
        <w:numPr>
          <w:ilvl w:val="0"/>
          <w:numId w:val="11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42"/>
        <w:numPr>
          <w:ilvl w:val="0"/>
          <w:numId w:val="11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42"/>
        <w:numPr>
          <w:ilvl w:val="0"/>
          <w:numId w:val="11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42"/>
        <w:numPr>
          <w:ilvl w:val="1"/>
          <w:numId w:val="1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1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2"/>
        <w:numPr>
          <w:ilvl w:val="0"/>
          <w:numId w:val="10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2"/>
        <w:numPr>
          <w:ilvl w:val="0"/>
          <w:numId w:val="1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1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2"/>
        <w:numPr>
          <w:ilvl w:val="0"/>
          <w:numId w:val="1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2"/>
        <w:numPr>
          <w:ilvl w:val="0"/>
          <w:numId w:val="1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42"/>
        <w:numPr>
          <w:ilvl w:val="0"/>
          <w:numId w:val="1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42"/>
        <w:numPr>
          <w:ilvl w:val="0"/>
          <w:numId w:val="1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42"/>
        <w:numPr>
          <w:ilvl w:val="0"/>
          <w:numId w:val="1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42"/>
        <w:numPr>
          <w:ilvl w:val="0"/>
          <w:numId w:val="1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42"/>
        <w:numPr>
          <w:ilvl w:val="0"/>
          <w:numId w:val="1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42"/>
        <w:numPr>
          <w:ilvl w:val="0"/>
          <w:numId w:val="1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2"/>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42"/>
        <w:numPr>
          <w:ilvl w:val="0"/>
          <w:numId w:val="1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2"/>
        <w:numPr>
          <w:ilvl w:val="0"/>
          <w:numId w:val="1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2"/>
        <w:numPr>
          <w:ilvl w:val="0"/>
          <w:numId w:val="1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2"/>
        <w:numPr>
          <w:ilvl w:val="0"/>
          <w:numId w:val="1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2"/>
        <w:numPr>
          <w:ilvl w:val="0"/>
          <w:numId w:val="1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2"/>
        <w:numPr>
          <w:ilvl w:val="0"/>
          <w:numId w:val="1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1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2"/>
        <w:numPr>
          <w:ilvl w:val="0"/>
          <w:numId w:val="1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2"/>
        <w:numPr>
          <w:ilvl w:val="0"/>
          <w:numId w:val="1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2"/>
        <w:numPr>
          <w:ilvl w:val="0"/>
          <w:numId w:val="12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1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2"/>
        <w:numPr>
          <w:ilvl w:val="0"/>
          <w:numId w:val="12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2"/>
        <w:numPr>
          <w:ilvl w:val="0"/>
          <w:numId w:val="124"/>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pStyle w:val="42"/>
        <w:numPr>
          <w:ilvl w:val="0"/>
          <w:numId w:val="124"/>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  内，以书面形式向采购人和采购代理机构一次性提出；</w:t>
      </w:r>
    </w:p>
    <w:p>
      <w:pPr>
        <w:pStyle w:val="42"/>
        <w:numPr>
          <w:ilvl w:val="0"/>
          <w:numId w:val="124"/>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42"/>
        <w:numPr>
          <w:ilvl w:val="1"/>
          <w:numId w:val="125"/>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42"/>
        <w:numPr>
          <w:ilvl w:val="0"/>
          <w:numId w:val="12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42"/>
        <w:numPr>
          <w:ilvl w:val="0"/>
          <w:numId w:val="12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2"/>
        <w:numPr>
          <w:ilvl w:val="0"/>
          <w:numId w:val="1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2"/>
        <w:numPr>
          <w:ilvl w:val="0"/>
          <w:numId w:val="1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48" w:name="OLE_LINK6"/>
      <w:r>
        <w:rPr>
          <w:rFonts w:hint="eastAsia" w:cs="仿宋_GB2312" w:asciiTheme="minorEastAsia" w:hAnsiTheme="minorEastAsia"/>
          <w:szCs w:val="21"/>
          <w:lang w:val="zh-CN"/>
        </w:rPr>
        <w:t>财库[2014]68号</w:t>
      </w:r>
      <w:bookmarkEnd w:id="48"/>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color w:val="FF0000"/>
                <w:szCs w:val="21"/>
              </w:rPr>
            </w:pPr>
            <w:r>
              <w:rPr>
                <w:rFonts w:hint="eastAsia" w:asciiTheme="minorEastAsia" w:hAnsiTheme="minorEastAsia"/>
                <w:bCs/>
                <w:szCs w:val="21"/>
              </w:rPr>
              <w:t>①</w:t>
            </w:r>
            <w:r>
              <w:rPr>
                <w:rFonts w:hint="eastAsia" w:asciiTheme="minorEastAsia" w:hAnsiTheme="minorEastAsia"/>
                <w:bCs/>
                <w:color w:val="FF0000"/>
                <w:szCs w:val="21"/>
              </w:rPr>
              <w:t>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color w:val="FF0000"/>
                <w:szCs w:val="21"/>
              </w:rPr>
              <w:t>2018年度或2019年度经审计的财务报告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1"/>
                <w:rFonts w:hint="eastAsia" w:asciiTheme="minorEastAsia" w:hAnsiTheme="minorEastAsia"/>
                <w:bCs/>
                <w:szCs w:val="21"/>
              </w:rPr>
              <w:t>www.creditchina.gov.cn</w:t>
            </w:r>
            <w:r>
              <w:rPr>
                <w:rStyle w:val="31"/>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default" w:asciiTheme="minorEastAsia" w:hAnsiTheme="minorEastAsia" w:eastAsiaTheme="minorEastAsia"/>
                <w:b/>
                <w:bCs/>
                <w:szCs w:val="21"/>
                <w:lang w:val="en-US" w:eastAsia="zh-CN"/>
              </w:rPr>
            </w:pPr>
            <w:r>
              <w:rPr>
                <w:rFonts w:hint="eastAsia" w:asciiTheme="minorEastAsia" w:hAnsiTheme="minorEastAsia"/>
                <w:b/>
                <w:bCs/>
                <w:szCs w:val="21"/>
                <w:lang w:eastAsia="zh-CN"/>
              </w:rPr>
              <w:t>第一标段</w:t>
            </w:r>
            <w:r>
              <w:rPr>
                <w:rFonts w:hint="eastAsia" w:asciiTheme="minorEastAsia" w:hAnsiTheme="minorEastAsia"/>
                <w:b/>
                <w:bCs/>
                <w:szCs w:val="21"/>
                <w:lang w:val="en-US" w:eastAsia="zh-CN"/>
              </w:rPr>
              <w:t>:投标人须具有《医疗器械生产许可证》或《医疗器械经营许可证》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w:t>
            </w:r>
            <w:r>
              <w:rPr>
                <w:rFonts w:hint="eastAsia" w:cs="仿宋_GB2312" w:asciiTheme="minorEastAsia" w:hAnsiTheme="minorEastAsia"/>
                <w:szCs w:val="21"/>
                <w:lang w:val="en-US" w:eastAsia="zh-CN"/>
              </w:rPr>
              <w:t>和社保证明</w:t>
            </w:r>
            <w:r>
              <w:rPr>
                <w:rFonts w:hint="eastAsia" w:cs="仿宋_GB2312" w:asciiTheme="minorEastAsia" w:hAnsiTheme="minorEastAsia"/>
                <w:szCs w:val="21"/>
                <w:lang w:val="zh-CN"/>
              </w:rPr>
              <w:t>。（法人投标提供）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w:t>
            </w:r>
            <w:r>
              <w:rPr>
                <w:rFonts w:hint="eastAsia" w:cs="仿宋_GB2312" w:asciiTheme="minorEastAsia" w:hAnsiTheme="minorEastAsia"/>
                <w:szCs w:val="21"/>
                <w:lang w:val="en-US" w:eastAsia="zh-CN"/>
              </w:rPr>
              <w:t>和社保证明</w:t>
            </w:r>
            <w:r>
              <w:rPr>
                <w:rFonts w:hint="eastAsia" w:cs="仿宋_GB2312" w:asciiTheme="minorEastAsia" w:hAnsiTheme="minorEastAsia"/>
                <w:szCs w:val="21"/>
                <w:lang w:val="zh-CN"/>
              </w:rPr>
              <w:t>。（非法人投标提供）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9" w:name="baidusnap2"/>
            <w:bookmarkEnd w:id="49"/>
            <w:r>
              <w:rPr>
                <w:rFonts w:hint="eastAsia" w:cs="仿宋_GB2312" w:asciiTheme="minorEastAsia" w:hAnsiTheme="minorEastAsia"/>
                <w:szCs w:val="21"/>
                <w:lang w:val="zh-CN"/>
              </w:rPr>
              <w:t>提供未为本项目提供整体设计、</w:t>
            </w:r>
            <w:bookmarkStart w:id="50" w:name="baidusnap9"/>
            <w:bookmarkEnd w:id="50"/>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本项目采用第一、二、三标段采用综合评分法。总分为100分。</w:t>
      </w:r>
    </w:p>
    <w:p>
      <w:pPr>
        <w:pStyle w:val="15"/>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第四标段采用最低价评分办法。</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cs="仿宋_GB2312" w:asciiTheme="minorEastAsia" w:hAnsiTheme="minorEastAsia" w:eastAsiaTheme="minorEastAsia"/>
          <w:color w:val="FF0000"/>
          <w:sz w:val="21"/>
          <w:szCs w:val="21"/>
          <w:lang w:val="zh-CN"/>
        </w:rPr>
      </w:pPr>
      <w:r>
        <w:rPr>
          <w:rFonts w:hint="eastAsia" w:cs="仿宋_GB2312" w:asciiTheme="minorEastAsia" w:hAnsiTheme="minorEastAsia" w:eastAsiaTheme="minorEastAsia"/>
          <w:color w:val="FF0000"/>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FF0000"/>
          <w:szCs w:val="21"/>
          <w:lang w:val="zh-CN"/>
        </w:rPr>
      </w:pPr>
      <w:r>
        <w:rPr>
          <w:rFonts w:hint="eastAsia" w:cs="仿宋_GB2312" w:asciiTheme="minorEastAsia" w:hAnsiTheme="minor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FF0000"/>
          <w:sz w:val="21"/>
          <w:szCs w:val="21"/>
        </w:rPr>
      </w:pPr>
      <w:r>
        <w:rPr>
          <w:rFonts w:hint="eastAsia" w:cs="仿宋_GB2312" w:asciiTheme="minorEastAsia" w:hAnsiTheme="minorEastAsia" w:eastAsiaTheme="minorEastAsia"/>
          <w:color w:val="FF0000"/>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FF0000"/>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5"/>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p>
      <w:pPr>
        <w:pStyle w:val="15"/>
        <w:spacing w:line="360" w:lineRule="auto"/>
        <w:ind w:firstLine="4216" w:firstLineChars="20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第一标段</w:t>
      </w:r>
    </w:p>
    <w:tbl>
      <w:tblPr>
        <w:tblStyle w:val="2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分值构成</w:t>
            </w:r>
          </w:p>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价格部分：       50分</w:t>
            </w:r>
          </w:p>
          <w:p>
            <w:pPr>
              <w:widowControl/>
              <w:spacing w:line="360" w:lineRule="auto"/>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商务部分：       13分</w:t>
            </w:r>
          </w:p>
          <w:p>
            <w:pPr>
              <w:widowControl/>
              <w:spacing w:line="360" w:lineRule="auto"/>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技术部分：       37分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一、价格部分（满分50分）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w:t>
            </w:r>
          </w:p>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评分标准</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评标基准价：满足招标文件要求的有效投标报价中，最低的投标报价为评标基准价。</w:t>
            </w:r>
          </w:p>
          <w:p>
            <w:pPr>
              <w:widowControl/>
              <w:spacing w:line="33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投标报价得分=（评标基准价/投标报价）×50</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二、商务部分（满分13分）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企业资信</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1、投标人具有ISO14001环境管理体系认证证书;OHSAS18001职业健康安全管理体系认证证书；ISO9001质量管理体系认证证书；每项得1分，共得3分。</w:t>
            </w:r>
          </w:p>
          <w:p>
            <w:pPr>
              <w:widowControl/>
              <w:spacing w:line="33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2、投标人具有信用等级AAA级证书得3分，具有信用等级AA级证书得1分，没有不得分。</w:t>
            </w:r>
          </w:p>
          <w:p>
            <w:pPr>
              <w:widowControl/>
              <w:spacing w:line="33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3、投标人具有高新技术企业资质证书；得3分。不提供不得分。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企业业绩</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投标人提供2017年1月1日以来所承接类似项目业绩合同（以合同签订时间为准），每提供一份得1分，最高得4分。</w:t>
            </w:r>
            <w:r>
              <w:rPr>
                <w:rFonts w:hint="eastAsia" w:ascii="新宋体" w:hAnsi="新宋体" w:eastAsia="新宋体" w:cs="新宋体"/>
                <w:color w:val="000000"/>
                <w:kern w:val="0"/>
                <w:sz w:val="24"/>
                <w:szCs w:val="24"/>
                <w:lang w:val="ru-RU"/>
              </w:rPr>
              <w:t>（提供合同、中标通知书，未按要求提供的不得分）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三、技术部分（满分37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对招标文件</w:t>
            </w:r>
          </w:p>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响应程度</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投标货物的技术参数全部满足招标文件要求的得20分。</w:t>
            </w:r>
          </w:p>
          <w:p>
            <w:pPr>
              <w:widowControl/>
              <w:spacing w:line="33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重要技术参数(带</w:t>
            </w:r>
            <w:r>
              <w:rPr>
                <w:rFonts w:hint="eastAsia" w:ascii="新宋体" w:hAnsi="新宋体" w:eastAsia="新宋体" w:cs="新宋体"/>
                <w:sz w:val="24"/>
                <w:szCs w:val="24"/>
              </w:rPr>
              <w:t>★</w:t>
            </w:r>
            <w:r>
              <w:rPr>
                <w:rFonts w:hint="eastAsia" w:ascii="新宋体" w:hAnsi="新宋体" w:eastAsia="新宋体" w:cs="新宋体"/>
                <w:color w:val="000000"/>
                <w:kern w:val="0"/>
                <w:sz w:val="24"/>
                <w:szCs w:val="24"/>
              </w:rPr>
              <w:t>项)优于招标文件要求的，每一项加2分，最多加10分。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安装、调试、验收方案、解决方案</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zh-CN"/>
              </w:rPr>
              <w:t>根据投标人提供的项目的安装、调试、验收方案、项目技术服务及培训方案、计划</w:t>
            </w:r>
            <w:r>
              <w:rPr>
                <w:rFonts w:hint="eastAsia" w:ascii="新宋体" w:hAnsi="新宋体" w:eastAsia="新宋体" w:cs="新宋体"/>
                <w:color w:val="000000"/>
                <w:kern w:val="0"/>
                <w:sz w:val="24"/>
                <w:szCs w:val="24"/>
              </w:rPr>
              <w:t>由评委</w:t>
            </w:r>
            <w:r>
              <w:rPr>
                <w:rFonts w:hint="eastAsia" w:ascii="新宋体" w:hAnsi="新宋体" w:eastAsia="新宋体" w:cs="新宋体"/>
                <w:color w:val="000000"/>
                <w:kern w:val="0"/>
                <w:sz w:val="24"/>
                <w:szCs w:val="24"/>
                <w:lang w:val="zh-CN"/>
              </w:rPr>
              <w:t>进行横向比较打分。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服务承诺</w:t>
            </w:r>
          </w:p>
        </w:tc>
        <w:tc>
          <w:tcPr>
            <w:tcW w:w="6165" w:type="dxa"/>
            <w:vAlign w:val="center"/>
          </w:tcPr>
          <w:p>
            <w:pPr>
              <w:widowControl/>
              <w:spacing w:line="33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1.保修期内维修保养措施。1分</w:t>
            </w:r>
          </w:p>
          <w:p>
            <w:pPr>
              <w:widowControl/>
              <w:spacing w:line="33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2.保修期外售后服务承诺及质量保证措施。1分</w:t>
            </w:r>
          </w:p>
        </w:tc>
        <w:tc>
          <w:tcPr>
            <w:tcW w:w="1002" w:type="dxa"/>
          </w:tcPr>
          <w:p>
            <w:pPr>
              <w:widowControl/>
              <w:spacing w:line="330" w:lineRule="atLeas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2分</w:t>
            </w:r>
          </w:p>
        </w:tc>
      </w:tr>
    </w:tbl>
    <w:p>
      <w:pPr>
        <w:pStyle w:val="15"/>
        <w:spacing w:line="360" w:lineRule="auto"/>
        <w:ind w:firstLine="3855" w:firstLineChars="1600"/>
        <w:contextualSpacing/>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第二标段</w:t>
      </w:r>
    </w:p>
    <w:tbl>
      <w:tblPr>
        <w:tblStyle w:val="2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分值构成</w:t>
            </w:r>
          </w:p>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价格部分：       30分</w:t>
            </w:r>
          </w:p>
          <w:p>
            <w:pPr>
              <w:pageBreakBefore w:val="0"/>
              <w:widowControl/>
              <w:kinsoku/>
              <w:wordWrap/>
              <w:overflowPunct/>
              <w:topLinePunct w:val="0"/>
              <w:bidi w:val="0"/>
              <w:spacing w:line="400" w:lineRule="exact"/>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商务部分：       30分</w:t>
            </w:r>
          </w:p>
          <w:p>
            <w:pPr>
              <w:pageBreakBefore w:val="0"/>
              <w:widowControl/>
              <w:kinsoku/>
              <w:wordWrap/>
              <w:overflowPunct/>
              <w:topLinePunct w:val="0"/>
              <w:bidi w:val="0"/>
              <w:spacing w:line="400" w:lineRule="exact"/>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技术部分：       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w:t>
            </w:r>
          </w:p>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评分标准</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评标基准价：满足招标文件要求的有效投标报价中，最低的投标报价为评标基准价。</w:t>
            </w:r>
          </w:p>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投标报价得分=（评标基准价/投标报价）×30</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二、</w:t>
            </w:r>
            <w:r>
              <w:rPr>
                <w:rFonts w:hint="eastAsia" w:ascii="新宋体" w:hAnsi="新宋体" w:eastAsia="新宋体" w:cs="新宋体"/>
                <w:bCs/>
                <w:kern w:val="0"/>
                <w:sz w:val="24"/>
                <w:szCs w:val="24"/>
              </w:rPr>
              <w:t>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企业业绩</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投标人提供2017年1月1日以来所承接类似项目业绩合同（以合同签订时间为准），每提供一份得2分，最高得4分。其完整的业绩证明文件=完整合同+中标通知书，否则不计为有效业绩。</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 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企业综合</w:t>
            </w:r>
          </w:p>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kern w:val="0"/>
                <w:sz w:val="24"/>
                <w:szCs w:val="24"/>
              </w:rPr>
              <w:t>实力</w:t>
            </w:r>
          </w:p>
        </w:tc>
        <w:tc>
          <w:tcPr>
            <w:tcW w:w="6165" w:type="dxa"/>
            <w:tcBorders>
              <w:top w:val="single" w:color="auto" w:sz="4" w:space="0"/>
              <w:left w:val="single" w:color="auto" w:sz="4" w:space="0"/>
              <w:right w:val="single" w:color="auto" w:sz="4" w:space="0"/>
            </w:tcBorders>
            <w:vAlign w:val="center"/>
          </w:tcPr>
          <w:p>
            <w:pPr>
              <w:pStyle w:val="42"/>
              <w:pageBreakBefore w:val="0"/>
              <w:numPr>
                <w:ilvl w:val="0"/>
                <w:numId w:val="127"/>
              </w:numPr>
              <w:kinsoku/>
              <w:wordWrap/>
              <w:overflowPunct/>
              <w:topLinePunct w:val="0"/>
              <w:bidi w:val="0"/>
              <w:spacing w:line="400" w:lineRule="exact"/>
              <w:ind w:firstLineChars="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企业信誉：投标人具有AAA及以上信用等级资信证书，得3分；</w:t>
            </w:r>
          </w:p>
          <w:p>
            <w:pPr>
              <w:pStyle w:val="42"/>
              <w:pageBreakBefore w:val="0"/>
              <w:numPr>
                <w:ilvl w:val="0"/>
                <w:numId w:val="127"/>
              </w:numPr>
              <w:kinsoku/>
              <w:wordWrap/>
              <w:overflowPunct/>
              <w:topLinePunct w:val="0"/>
              <w:bidi w:val="0"/>
              <w:spacing w:line="400" w:lineRule="exact"/>
              <w:ind w:firstLineChars="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质量管理：投标人具有ISO9001质量管理体系证书，得3分；</w:t>
            </w:r>
          </w:p>
          <w:p>
            <w:pPr>
              <w:pStyle w:val="42"/>
              <w:pageBreakBefore w:val="0"/>
              <w:numPr>
                <w:ilvl w:val="0"/>
                <w:numId w:val="127"/>
              </w:numPr>
              <w:kinsoku/>
              <w:wordWrap/>
              <w:overflowPunct/>
              <w:topLinePunct w:val="0"/>
              <w:bidi w:val="0"/>
              <w:spacing w:line="400" w:lineRule="exact"/>
              <w:ind w:firstLineChars="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软件成熟度：投标人具有CMMI软件成熟度认证，具有五级认证的得4分，四级得2分，三级得1分。</w:t>
            </w:r>
          </w:p>
          <w:p>
            <w:pPr>
              <w:pStyle w:val="42"/>
              <w:pageBreakBefore w:val="0"/>
              <w:numPr>
                <w:ilvl w:val="0"/>
                <w:numId w:val="127"/>
              </w:numPr>
              <w:kinsoku/>
              <w:wordWrap/>
              <w:overflowPunct/>
              <w:topLinePunct w:val="0"/>
              <w:bidi w:val="0"/>
              <w:spacing w:line="400" w:lineRule="exact"/>
              <w:ind w:firstLineChars="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信息系统安全可靠认证：投标人同时具有“IS0/IEC 27001 信息安全管理体系证书”、“IS0/IEC 20000-1信息技术服务管理体系证书”，每项得2分，最多得4分，没有不得分。</w:t>
            </w:r>
          </w:p>
        </w:tc>
        <w:tc>
          <w:tcPr>
            <w:tcW w:w="1002"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14分</w:t>
            </w:r>
          </w:p>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2119"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企业研发</w:t>
            </w:r>
          </w:p>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kern w:val="0"/>
                <w:sz w:val="24"/>
                <w:szCs w:val="24"/>
              </w:rPr>
              <w:t>实力</w:t>
            </w:r>
          </w:p>
        </w:tc>
        <w:tc>
          <w:tcPr>
            <w:tcW w:w="6165" w:type="dxa"/>
            <w:tcBorders>
              <w:top w:val="single" w:color="auto" w:sz="4" w:space="0"/>
              <w:left w:val="single" w:color="auto" w:sz="4" w:space="0"/>
              <w:right w:val="single" w:color="auto" w:sz="4" w:space="0"/>
            </w:tcBorders>
            <w:vAlign w:val="center"/>
          </w:tcPr>
          <w:p>
            <w:pPr>
              <w:pStyle w:val="42"/>
              <w:pageBreakBefore w:val="0"/>
              <w:numPr>
                <w:ilvl w:val="0"/>
                <w:numId w:val="128"/>
              </w:numPr>
              <w:kinsoku/>
              <w:wordWrap/>
              <w:overflowPunct/>
              <w:topLinePunct w:val="0"/>
              <w:bidi w:val="0"/>
              <w:spacing w:line="400" w:lineRule="exact"/>
              <w:ind w:firstLineChars="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软件著作权：具备HIS、LIS、EMR软件著作权，每项得1分，最多得3分，没有不得分</w:t>
            </w:r>
          </w:p>
          <w:p>
            <w:pPr>
              <w:pStyle w:val="42"/>
              <w:pageBreakBefore w:val="0"/>
              <w:numPr>
                <w:ilvl w:val="0"/>
                <w:numId w:val="128"/>
              </w:numPr>
              <w:kinsoku/>
              <w:wordWrap/>
              <w:overflowPunct/>
              <w:topLinePunct w:val="0"/>
              <w:bidi w:val="0"/>
              <w:spacing w:line="400" w:lineRule="exact"/>
              <w:ind w:firstLineChars="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研发平台：投标人有自主的软件开发平台，并获得过国家级软件创新证书得 3分，省级得2分，市级得1分；</w:t>
            </w:r>
          </w:p>
          <w:p>
            <w:pPr>
              <w:pStyle w:val="42"/>
              <w:pageBreakBefore w:val="0"/>
              <w:numPr>
                <w:ilvl w:val="0"/>
                <w:numId w:val="128"/>
              </w:numPr>
              <w:kinsoku/>
              <w:wordWrap/>
              <w:overflowPunct/>
              <w:topLinePunct w:val="0"/>
              <w:bidi w:val="0"/>
              <w:spacing w:line="400" w:lineRule="exact"/>
              <w:ind w:firstLineChars="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软件开发：投标人具有信息安全服务资质认证证书（CCRC认证证书），且同时具有“软件安全开发”一级资质得3分，二级得2分，三级得1分；</w:t>
            </w:r>
          </w:p>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4.软件运维：投标人具有“信息系统安全运维” （CCRC认证证书） 一级资质得3分，二级得2分，三级得1分。</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ind w:firstLine="1680" w:firstLineChars="7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三、技术部分（满分40分）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对招标文件响应程度</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129"/>
              </w:numPr>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投标人的系统架构设计科学、合理、全面，得2分，一般得1分，未提供不得分。</w:t>
            </w:r>
          </w:p>
          <w:p>
            <w:pPr>
              <w:pageBreakBefore w:val="0"/>
              <w:numPr>
                <w:ilvl w:val="0"/>
                <w:numId w:val="129"/>
              </w:numPr>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投标文件中有科学合理的实施方案；方案中有针对医院业务特点、重点、难点、创新点及业务效果的体现做出全面规划及充分准备得2分，一般得1分，未提供不得分</w:t>
            </w:r>
          </w:p>
          <w:p>
            <w:pPr>
              <w:pageBreakBefore w:val="0"/>
              <w:kinsoku/>
              <w:wordWrap/>
              <w:overflowPunct/>
              <w:topLinePunct w:val="0"/>
              <w:bidi w:val="0"/>
              <w:spacing w:line="400" w:lineRule="exac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3、投标文件中项目管理和质量控制措施合理可靠，对建设达标医院有独到见解，能够提出建设性方案和远景规划得2分，一般得1分，未提供不得分。</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技术参数</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投标产品与招标产品技术参数对比，完全满足招标技术参数配置要求的得满分30分；若投标文件中技术规格偏离表中“偏离说明”为空白项均按“负偏离”处理。</w:t>
            </w:r>
          </w:p>
          <w:p>
            <w:pPr>
              <w:pageBreakBefore w:val="0"/>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标记“★”项每出现一处“负偏离”扣2分，超过3处（含）以上得0分；</w:t>
            </w:r>
          </w:p>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非标“★”项为每出现一处“负偏离”扣1分，扣完为止</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售后服务</w:t>
            </w:r>
          </w:p>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详细说明售后服务的内容、形式、含免费维修响应时间、解决质量或操作问题的响应时间、解决问题时间等，优4分，良2分，一般1分。</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4分</w:t>
            </w:r>
          </w:p>
        </w:tc>
      </w:tr>
    </w:tbl>
    <w:p>
      <w:pPr>
        <w:pStyle w:val="15"/>
        <w:spacing w:line="360" w:lineRule="auto"/>
        <w:ind w:firstLine="3855" w:firstLineChars="1600"/>
        <w:contextualSpacing/>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第三标段</w:t>
      </w:r>
    </w:p>
    <w:tbl>
      <w:tblPr>
        <w:tblStyle w:val="2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分值构成</w:t>
            </w:r>
          </w:p>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价格分值：       50分</w:t>
            </w:r>
          </w:p>
          <w:p>
            <w:pPr>
              <w:pageBreakBefore w:val="0"/>
              <w:widowControl/>
              <w:kinsoku/>
              <w:wordWrap/>
              <w:overflowPunct/>
              <w:topLinePunct w:val="0"/>
              <w:bidi w:val="0"/>
              <w:snapToGrid/>
              <w:spacing w:line="320" w:lineRule="exact"/>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商务部分：       18分</w:t>
            </w:r>
          </w:p>
          <w:p>
            <w:pPr>
              <w:pageBreakBefore w:val="0"/>
              <w:widowControl/>
              <w:kinsoku/>
              <w:wordWrap/>
              <w:overflowPunct/>
              <w:topLinePunct w:val="0"/>
              <w:bidi w:val="0"/>
              <w:snapToGrid/>
              <w:spacing w:line="320" w:lineRule="exact"/>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技术部分：       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一、价格部分（满分50分）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w:t>
            </w:r>
          </w:p>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评分标准</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评标基准价：满足招标文件要求的有效投标报价中，最低的投标报价为评标基准价。</w:t>
            </w:r>
          </w:p>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投标报价得分=（评标基准价/投标报价）×50</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二、商务部分（满分18分）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企业资信</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1、投标人具有ISO14001环境管理体系认证证书;OHSAS18001职业健康安全管理体系认证证书；ISO9001质量管理体系认证证书；每项得1分，共得3分。</w:t>
            </w:r>
          </w:p>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2、投标人具有信用等级AAA级证书得3分，具有信用等级AA级证书得1分，没有不得分。</w:t>
            </w:r>
          </w:p>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3、投标人具有防火墙软件著作权登记证书；得2分，不提供不得分。</w:t>
            </w:r>
          </w:p>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4、投标人具有自动化办公云服务软件著作权登记证书；得2分，不提供不得分。</w:t>
            </w:r>
          </w:p>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5、投标人具有高新技术企业资质证书；得</w:t>
            </w: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rPr>
              <w:t>分。不提供不得分。</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w:t>
            </w:r>
          </w:p>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企业业绩</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投标人提供2017年1月1日以来所承接类似项目业绩合同（以合同签订时间为准），每提供一份得</w:t>
            </w: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rPr>
              <w:t>分，最高得</w:t>
            </w:r>
            <w:r>
              <w:rPr>
                <w:rFonts w:hint="eastAsia" w:ascii="新宋体" w:hAnsi="新宋体" w:eastAsia="新宋体" w:cs="新宋体"/>
                <w:color w:val="000000"/>
                <w:kern w:val="0"/>
                <w:sz w:val="24"/>
                <w:szCs w:val="24"/>
                <w:lang w:val="en-US" w:eastAsia="zh-CN"/>
              </w:rPr>
              <w:t>6</w:t>
            </w:r>
            <w:r>
              <w:rPr>
                <w:rFonts w:hint="eastAsia" w:ascii="新宋体" w:hAnsi="新宋体" w:eastAsia="新宋体" w:cs="新宋体"/>
                <w:color w:val="000000"/>
                <w:kern w:val="0"/>
                <w:sz w:val="24"/>
                <w:szCs w:val="24"/>
              </w:rPr>
              <w:t>分。</w:t>
            </w:r>
            <w:r>
              <w:rPr>
                <w:rFonts w:hint="eastAsia" w:ascii="新宋体" w:hAnsi="新宋体" w:eastAsia="新宋体" w:cs="新宋体"/>
                <w:color w:val="000000"/>
                <w:kern w:val="0"/>
                <w:sz w:val="24"/>
                <w:szCs w:val="24"/>
                <w:lang w:val="ru-RU"/>
              </w:rPr>
              <w:t>（提供合同、中标通知书，单位用户反馈表，未按要求提供的不得分）</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6</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三、技术部分（满分32分）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产品技术性能和功能</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1、为响应国家低碳的要求，产品厂商在产品设计、研发、生产、过程需采取有效减少温室气体排放措施，符合国家温室气体排放和清除的量化和报告的规范。产品生产厂商需通过ISO 14064温室气体核查，厂商提供报告复印件（加盖厂商公章），提供者得2分</w:t>
            </w:r>
          </w:p>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2、服务器厂商具有QC080000有害物质过程管理体系认证证书（加盖厂商公章），提供者得2分</w:t>
            </w:r>
          </w:p>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3、服务器厂商软件研发实力需通过CMMI L5 认证（提供认证证书加盖厂商公章），提供者得2分</w:t>
            </w:r>
          </w:p>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4、防火墙支持节能降耗电子信息技术，入围工信部《电子信息节能技术开发与应用方案推荐目录》；（提供证明文件，加盖厂商公章），提供者得2分</w:t>
            </w:r>
          </w:p>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5、具有下一代边界接入防火墙《计算机软件著作权登记证书》；得2分</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对招标文件的响应程度</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重要技术参数(带</w:t>
            </w:r>
            <w:r>
              <w:rPr>
                <w:rFonts w:hint="eastAsia" w:ascii="新宋体" w:hAnsi="新宋体" w:eastAsia="新宋体" w:cs="新宋体"/>
                <w:sz w:val="24"/>
                <w:szCs w:val="24"/>
              </w:rPr>
              <w:t>★</w:t>
            </w:r>
            <w:r>
              <w:rPr>
                <w:rFonts w:hint="eastAsia" w:ascii="新宋体" w:hAnsi="新宋体" w:eastAsia="新宋体" w:cs="新宋体"/>
                <w:color w:val="000000"/>
                <w:kern w:val="0"/>
                <w:sz w:val="24"/>
                <w:szCs w:val="24"/>
              </w:rPr>
              <w:t>项)优于招标文件要求的，每一项加2分，最多加14分。</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安装、调试、验收方案、解决方案</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zh-CN"/>
              </w:rPr>
              <w:t>根据投标人提供的项目的安装、调试、验收方案、项目技术服务及培训方案、计划</w:t>
            </w:r>
            <w:r>
              <w:rPr>
                <w:rFonts w:hint="eastAsia" w:ascii="新宋体" w:hAnsi="新宋体" w:eastAsia="新宋体" w:cs="新宋体"/>
                <w:color w:val="000000"/>
                <w:kern w:val="0"/>
                <w:sz w:val="24"/>
                <w:szCs w:val="24"/>
              </w:rPr>
              <w:t>由评委</w:t>
            </w:r>
            <w:r>
              <w:rPr>
                <w:rFonts w:hint="eastAsia" w:ascii="新宋体" w:hAnsi="新宋体" w:eastAsia="新宋体" w:cs="新宋体"/>
                <w:color w:val="000000"/>
                <w:kern w:val="0"/>
                <w:sz w:val="24"/>
                <w:szCs w:val="24"/>
                <w:lang w:val="zh-CN"/>
              </w:rPr>
              <w:t>进行横向比较打分。</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服务承诺</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1.保修期内维修保养措施。1分</w:t>
            </w:r>
          </w:p>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2.保修期外售后服务承诺及质量保证措施。1分</w:t>
            </w:r>
          </w:p>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3.现场实施培训计划。1分</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3分</w:t>
            </w:r>
          </w:p>
        </w:tc>
      </w:tr>
    </w:tbl>
    <w:p>
      <w:pPr>
        <w:pStyle w:val="15"/>
        <w:spacing w:line="360" w:lineRule="auto"/>
        <w:contextualSpacing/>
        <w:rPr>
          <w:rFonts w:hint="eastAsia" w:ascii="新宋体" w:hAnsi="新宋体" w:eastAsia="新宋体" w:cs="新宋体"/>
          <w:b/>
          <w:sz w:val="24"/>
          <w:szCs w:val="24"/>
          <w:lang w:val="en-US" w:eastAsia="zh-CN"/>
        </w:rPr>
      </w:pPr>
    </w:p>
    <w:p>
      <w:pPr>
        <w:spacing w:line="360" w:lineRule="auto"/>
        <w:ind w:firstLine="482" w:firstLineChars="200"/>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非联合体投标人</w:t>
            </w:r>
          </w:p>
        </w:tc>
        <w:tc>
          <w:tcPr>
            <w:tcW w:w="2552" w:type="dxa"/>
            <w:vAlign w:val="center"/>
          </w:tcPr>
          <w:p>
            <w:pPr>
              <w:jc w:val="center"/>
              <w:rPr>
                <w:rFonts w:hint="eastAsia" w:ascii="新宋体" w:hAnsi="新宋体" w:eastAsia="新宋体" w:cs="新宋体"/>
                <w:b/>
                <w:color w:val="FF0000"/>
                <w:sz w:val="24"/>
                <w:szCs w:val="24"/>
                <w:lang w:val="en-GB"/>
              </w:rPr>
            </w:pPr>
            <w:r>
              <w:rPr>
                <w:rFonts w:hint="eastAsia" w:ascii="新宋体" w:hAnsi="新宋体" w:eastAsia="新宋体" w:cs="新宋体"/>
                <w:color w:val="FF0000"/>
                <w:sz w:val="24"/>
                <w:szCs w:val="24"/>
              </w:rPr>
              <w:t>对小型和微型企业产品的价格扣除</w:t>
            </w:r>
            <w:r>
              <w:rPr>
                <w:rFonts w:hint="eastAsia" w:ascii="新宋体" w:hAnsi="新宋体" w:eastAsia="新宋体" w:cs="新宋体"/>
                <w:color w:val="FF0000"/>
                <w:sz w:val="24"/>
                <w:szCs w:val="24"/>
                <w:lang w:val="en-US" w:eastAsia="zh-CN"/>
              </w:rPr>
              <w:t>6</w:t>
            </w:r>
            <w:r>
              <w:rPr>
                <w:rFonts w:hint="eastAsia" w:ascii="新宋体" w:hAnsi="新宋体" w:eastAsia="新宋体" w:cs="新宋体"/>
                <w:color w:val="FF0000"/>
                <w:sz w:val="24"/>
                <w:szCs w:val="24"/>
              </w:rPr>
              <w:t>%</w:t>
            </w:r>
          </w:p>
        </w:tc>
        <w:tc>
          <w:tcPr>
            <w:tcW w:w="2835" w:type="dxa"/>
            <w:vMerge w:val="restart"/>
            <w:shd w:val="clear" w:color="auto" w:fill="auto"/>
            <w:vAlign w:val="center"/>
          </w:tcPr>
          <w:p>
            <w:pPr>
              <w:jc w:val="center"/>
              <w:rPr>
                <w:rFonts w:hint="eastAsia" w:ascii="新宋体" w:hAnsi="新宋体" w:eastAsia="新宋体" w:cs="新宋体"/>
                <w:color w:val="FF0000"/>
                <w:sz w:val="24"/>
                <w:szCs w:val="24"/>
                <w:lang w:val="en-GB"/>
              </w:rPr>
            </w:pPr>
            <w:r>
              <w:rPr>
                <w:rFonts w:hint="eastAsia" w:ascii="新宋体" w:hAnsi="新宋体" w:eastAsia="新宋体" w:cs="新宋体"/>
                <w:color w:val="FF0000"/>
                <w:sz w:val="24"/>
                <w:szCs w:val="24"/>
                <w:lang w:val="en-GB"/>
              </w:rPr>
              <w:t>评标价格＝投标报价—</w:t>
            </w:r>
            <w:r>
              <w:rPr>
                <w:rFonts w:hint="eastAsia" w:ascii="新宋体" w:hAnsi="新宋体" w:eastAsia="新宋体" w:cs="新宋体"/>
                <w:color w:val="FF0000"/>
                <w:sz w:val="24"/>
                <w:szCs w:val="24"/>
              </w:rPr>
              <w:t>小型和微型企业产品的价格</w:t>
            </w:r>
            <w:r>
              <w:rPr>
                <w:rFonts w:hint="eastAsia" w:ascii="新宋体" w:hAnsi="新宋体" w:eastAsia="新宋体" w:cs="新宋体"/>
                <w:color w:val="FF0000"/>
                <w:sz w:val="24"/>
                <w:szCs w:val="24"/>
                <w:lang w:val="en-GB"/>
              </w:rPr>
              <w:t>×</w:t>
            </w:r>
            <w:r>
              <w:rPr>
                <w:rFonts w:hint="eastAsia" w:ascii="新宋体" w:hAnsi="新宋体" w:eastAsia="新宋体" w:cs="新宋体"/>
                <w:color w:val="FF0000"/>
                <w:sz w:val="24"/>
                <w:szCs w:val="24"/>
                <w:lang w:val="en-US" w:eastAsia="zh-CN"/>
              </w:rPr>
              <w:t>6</w:t>
            </w:r>
            <w:r>
              <w:rPr>
                <w:rFonts w:hint="eastAsia" w:ascii="新宋体" w:hAnsi="新宋体" w:eastAsia="新宋体" w:cs="新宋体"/>
                <w:color w:val="FF0000"/>
                <w:sz w:val="24"/>
                <w:szCs w:val="24"/>
                <w:lang w:val="en-GB"/>
              </w:rPr>
              <w:t>%</w:t>
            </w:r>
          </w:p>
          <w:p>
            <w:pPr>
              <w:jc w:val="center"/>
              <w:rPr>
                <w:rFonts w:hint="eastAsia" w:ascii="新宋体" w:hAnsi="新宋体" w:eastAsia="新宋体" w:cs="新宋体"/>
                <w:b/>
                <w:color w:val="FF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hint="eastAsia"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hint="eastAsia" w:ascii="新宋体" w:hAnsi="新宋体" w:eastAsia="新宋体" w:cs="新宋体"/>
                <w:color w:val="FF0000"/>
                <w:sz w:val="24"/>
                <w:szCs w:val="24"/>
              </w:rPr>
            </w:pPr>
            <w:r>
              <w:rPr>
                <w:rFonts w:hint="eastAsia" w:ascii="新宋体" w:hAnsi="新宋体" w:eastAsia="新宋体" w:cs="新宋体"/>
                <w:color w:val="FF0000"/>
                <w:sz w:val="24"/>
                <w:szCs w:val="24"/>
              </w:rPr>
              <w:t>对小型和微型企业产品的价格扣除</w:t>
            </w:r>
            <w:r>
              <w:rPr>
                <w:rFonts w:hint="eastAsia" w:ascii="新宋体" w:hAnsi="新宋体" w:eastAsia="新宋体" w:cs="新宋体"/>
                <w:color w:val="FF0000"/>
                <w:sz w:val="24"/>
                <w:szCs w:val="24"/>
                <w:lang w:val="en-US" w:eastAsia="zh-CN"/>
              </w:rPr>
              <w:t>6</w:t>
            </w:r>
            <w:r>
              <w:rPr>
                <w:rFonts w:hint="eastAsia" w:ascii="新宋体" w:hAnsi="新宋体" w:eastAsia="新宋体" w:cs="新宋体"/>
                <w:color w:val="FF0000"/>
                <w:sz w:val="24"/>
                <w:szCs w:val="24"/>
              </w:rPr>
              <w:t>%</w:t>
            </w:r>
          </w:p>
          <w:p>
            <w:pPr>
              <w:jc w:val="center"/>
              <w:rPr>
                <w:rFonts w:hint="eastAsia" w:ascii="新宋体" w:hAnsi="新宋体" w:eastAsia="新宋体" w:cs="新宋体"/>
                <w:b/>
                <w:color w:val="FF0000"/>
                <w:sz w:val="24"/>
                <w:szCs w:val="24"/>
                <w:lang w:val="en-GB"/>
              </w:rPr>
            </w:pPr>
            <w:r>
              <w:rPr>
                <w:rFonts w:hint="eastAsia" w:ascii="新宋体" w:hAnsi="新宋体" w:eastAsia="新宋体" w:cs="新宋体"/>
                <w:color w:val="FF0000"/>
                <w:sz w:val="24"/>
                <w:szCs w:val="24"/>
              </w:rPr>
              <w:t>（不再享受序号3的价格折扣）</w:t>
            </w:r>
          </w:p>
        </w:tc>
        <w:tc>
          <w:tcPr>
            <w:tcW w:w="2835" w:type="dxa"/>
            <w:vMerge w:val="continue"/>
            <w:shd w:val="clear" w:color="auto" w:fill="auto"/>
          </w:tcPr>
          <w:p>
            <w:pPr>
              <w:rPr>
                <w:rFonts w:hint="eastAsia"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3</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对联合体总金额扣除</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u w:val="single"/>
              </w:rPr>
              <w:t xml:space="preserve"> 2 </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FF0000"/>
                <w:sz w:val="24"/>
                <w:szCs w:val="24"/>
                <w:u w:val="single"/>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u w:val="single"/>
              </w:rPr>
              <w:t>2%)</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4</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监狱企业</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对监狱企业产品价格扣除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监狱企业产品的价格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5</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残疾人福利性单位</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对残疾人福利性单位产品价格扣除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残疾人福利性单位产品的价格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4"/>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4"/>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ind w:firstLine="2249" w:firstLineChars="700"/>
        <w:contextualSpacing/>
        <w:jc w:val="both"/>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51" w:name="_Toc186274126"/>
      <w:bookmarkStart w:id="52" w:name="_Toc184023138"/>
      <w:bookmarkStart w:id="53" w:name="_Toc174185203"/>
      <w:r>
        <w:rPr>
          <w:rFonts w:hint="eastAsia" w:cs="黑体" w:asciiTheme="minorEastAsia" w:hAnsiTheme="minorEastAsia" w:eastAsiaTheme="minorEastAsia"/>
          <w:color w:val="auto"/>
          <w:kern w:val="2"/>
          <w:sz w:val="28"/>
          <w:szCs w:val="28"/>
          <w:lang w:val="zh-CN"/>
        </w:rPr>
        <w:t>一、投标人应答索引表</w:t>
      </w:r>
      <w:bookmarkEnd w:id="51"/>
      <w:bookmarkEnd w:id="52"/>
      <w:bookmarkEnd w:id="53"/>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both"/>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center"/>
        <w:rPr>
          <w:rFonts w:hint="eastAsia"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val="en-US" w:eastAsia="zh-CN"/>
        </w:rPr>
        <w:t>禹州</w:t>
      </w:r>
      <w:r>
        <w:rPr>
          <w:rFonts w:hint="eastAsia" w:asciiTheme="minorEastAsia" w:hAnsiTheme="minorEastAsia"/>
          <w:snapToGrid w:val="0"/>
          <w:kern w:val="0"/>
          <w:szCs w:val="21"/>
        </w:rPr>
        <w:t>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color w:val="FF0000"/>
          <w:kern w:val="0"/>
          <w:sz w:val="21"/>
          <w:szCs w:val="21"/>
        </w:rPr>
      </w:pPr>
      <w:r>
        <w:rPr>
          <w:rFonts w:hint="eastAsia" w:asciiTheme="minorEastAsia" w:hAnsiTheme="minorEastAsia" w:eastAsiaTheme="minor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FF0000"/>
          <w:sz w:val="21"/>
          <w:szCs w:val="21"/>
        </w:rPr>
        <w:t>已完全理解并接受招标文件的各项规定和要求及资金支付规定，对招标文件的合理性、合法性不再有异议，</w:t>
      </w:r>
      <w:r>
        <w:rPr>
          <w:rFonts w:hint="eastAsia" w:ascii="宋体" w:hAnsi="宋体"/>
          <w:color w:val="FF0000"/>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FF0000"/>
          <w:szCs w:val="21"/>
        </w:rPr>
      </w:pPr>
      <w:r>
        <w:rPr>
          <w:rFonts w:hint="eastAsia" w:cs="Courier New" w:asciiTheme="minorEastAsia" w:hAnsiTheme="minorEastAsia"/>
          <w:color w:val="FF0000"/>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4"/>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540" w:firstLineChars="225"/>
        <w:jc w:val="left"/>
        <w:rPr>
          <w:rFonts w:asciiTheme="minorEastAsia" w:hAnsiTheme="minorEastAsia"/>
          <w:color w:val="FF0000"/>
          <w:sz w:val="21"/>
          <w:szCs w:val="21"/>
        </w:rPr>
      </w:pPr>
      <w:r>
        <w:rPr>
          <w:rFonts w:hint="eastAsia" w:asciiTheme="minorEastAsia" w:hAnsiTheme="minorEastAsia"/>
          <w:color w:val="FF0000"/>
          <w:szCs w:val="21"/>
        </w:rPr>
        <w:t>法定代表人（单位负责人）联系电话（手机）：</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 xml:space="preserve">法定代表人（单位负责人）： </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color w:val="FF0000"/>
          <w:szCs w:val="21"/>
        </w:rPr>
      </w:pPr>
      <w:r>
        <w:rPr>
          <w:rFonts w:hint="eastAsia" w:asciiTheme="minorEastAsia" w:hAnsiTheme="minorEastAsia"/>
          <w:color w:val="FF0000"/>
          <w:szCs w:val="21"/>
        </w:rPr>
        <w:t>法定代表人（单位负责人）授权代表联系电话（手机）：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54" w:name="_资格证明文件"/>
            <w:bookmarkEnd w:id="54"/>
            <w:bookmarkStart w:id="5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5"/>
          </w:p>
        </w:tc>
        <w:tc>
          <w:tcPr>
            <w:tcW w:w="4492" w:type="dxa"/>
            <w:gridSpan w:val="2"/>
            <w:vAlign w:val="center"/>
          </w:tcPr>
          <w:p>
            <w:pPr>
              <w:jc w:val="center"/>
              <w:rPr>
                <w:rFonts w:asciiTheme="minorEastAsia" w:hAnsiTheme="minorEastAsia"/>
                <w:szCs w:val="21"/>
              </w:rPr>
            </w:pPr>
            <w:bookmarkStart w:id="5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5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en-US" w:eastAsia="zh-CN"/>
        </w:rPr>
        <w:t>禹州</w:t>
      </w:r>
      <w:r>
        <w:rPr>
          <w:rFonts w:hint="eastAsia" w:ascii="宋体" w:hAnsi="宋体" w:eastAsia="宋体" w:cs="宋体"/>
          <w:szCs w:val="21"/>
          <w:lang w:val="zh-CN"/>
        </w:rPr>
        <w:t>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hint="eastAsia"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spacing w:line="360" w:lineRule="auto"/>
        <w:jc w:val="center"/>
        <w:rPr>
          <w:rFonts w:hint="eastAsia"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en-US" w:eastAsia="zh-CN"/>
              </w:rPr>
              <w:t>品牌</w:t>
            </w: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品牌</w:t>
            </w:r>
            <w:r>
              <w:rPr>
                <w:rFonts w:hint="eastAsia" w:ascii="宋体" w:hAnsi="宋体" w:eastAsia="宋体" w:cs="宋体"/>
                <w:b/>
                <w:bCs/>
                <w:sz w:val="21"/>
                <w:szCs w:val="21"/>
              </w:rPr>
              <w:t>规格</w:t>
            </w:r>
          </w:p>
          <w:p>
            <w:pPr>
              <w:pStyle w:val="8"/>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1、根据《工业和信息化部、国家统计局、国家发展和改革委员会、财政部关于印发中小企业划型标准规定的通知》（工信部联企业[2011]300号）规定的划分标准，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ascii="宋体" w:hAnsi="宋体" w:cs="Arial"/>
          <w:color w:val="000000"/>
          <w:kern w:val="0"/>
          <w:szCs w:val="21"/>
        </w:rPr>
        <w:t>。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contextualSpacing/>
        <w:jc w:val="left"/>
        <w:rPr>
          <w:rFonts w:cs="宋体" w:asciiTheme="minorEastAsia" w:hAnsiTheme="minorEastAsia"/>
          <w:szCs w:val="21"/>
        </w:rPr>
      </w:pPr>
      <w:r>
        <w:rPr>
          <w:rFonts w:hint="eastAsia" w:ascii="宋体" w:hAnsi="宋体" w:cs="Arial"/>
          <w:color w:val="000000"/>
          <w:kern w:val="0"/>
          <w:szCs w:val="21"/>
        </w:rPr>
        <w:t>企业名称：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57" w:name="OLE_LINK13"/>
      <w:bookmarkStart w:id="58" w:name="OLE_LINK14"/>
      <w:r>
        <w:rPr>
          <w:rFonts w:hint="eastAsia" w:ascii="宋体" w:hAnsi="宋体"/>
          <w:b/>
          <w:bCs/>
          <w:color w:val="000000"/>
          <w:sz w:val="24"/>
          <w:szCs w:val="24"/>
        </w:rPr>
        <w:t>4.10 残疾人福利性单位声明函</w:t>
      </w:r>
    </w:p>
    <w:bookmarkEnd w:id="57"/>
    <w:bookmarkEnd w:id="5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5"/>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66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01BDF"/>
    <w:multiLevelType w:val="singleLevel"/>
    <w:tmpl w:val="92D01BDF"/>
    <w:lvl w:ilvl="0" w:tentative="0">
      <w:start w:val="1"/>
      <w:numFmt w:val="chineseCounting"/>
      <w:suff w:val="space"/>
      <w:lvlText w:val="第%1章"/>
      <w:lvlJc w:val="left"/>
      <w:rPr>
        <w:rFonts w:hint="eastAsia"/>
      </w:rPr>
    </w:lvl>
  </w:abstractNum>
  <w:abstractNum w:abstractNumId="1">
    <w:nsid w:val="9CC8EA27"/>
    <w:multiLevelType w:val="singleLevel"/>
    <w:tmpl w:val="9CC8EA27"/>
    <w:lvl w:ilvl="0" w:tentative="0">
      <w:start w:val="1"/>
      <w:numFmt w:val="decimal"/>
      <w:suff w:val="nothing"/>
      <w:lvlText w:val="%1、"/>
      <w:lvlJc w:val="left"/>
    </w:lvl>
  </w:abstractNum>
  <w:abstractNum w:abstractNumId="2">
    <w:nsid w:val="9F9E867D"/>
    <w:multiLevelType w:val="singleLevel"/>
    <w:tmpl w:val="9F9E867D"/>
    <w:lvl w:ilvl="0" w:tentative="0">
      <w:start w:val="3"/>
      <w:numFmt w:val="chineseCounting"/>
      <w:suff w:val="nothing"/>
      <w:lvlText w:val="%1、"/>
      <w:lvlJc w:val="left"/>
      <w:rPr>
        <w:rFonts w:hint="eastAsia"/>
      </w:rPr>
    </w:lvl>
  </w:abstractNum>
  <w:abstractNum w:abstractNumId="3">
    <w:nsid w:val="AEDF3F2F"/>
    <w:multiLevelType w:val="singleLevel"/>
    <w:tmpl w:val="AEDF3F2F"/>
    <w:lvl w:ilvl="0" w:tentative="0">
      <w:start w:val="1"/>
      <w:numFmt w:val="decimal"/>
      <w:suff w:val="nothing"/>
      <w:lvlText w:val="%1."/>
      <w:lvlJc w:val="left"/>
      <w:pPr>
        <w:tabs>
          <w:tab w:val="left" w:pos="0"/>
        </w:tabs>
        <w:ind w:left="425" w:hanging="425"/>
      </w:pPr>
      <w:rPr>
        <w:rFonts w:hint="default"/>
      </w:rPr>
    </w:lvl>
  </w:abstractNum>
  <w:abstractNum w:abstractNumId="4">
    <w:nsid w:val="B336EA58"/>
    <w:multiLevelType w:val="singleLevel"/>
    <w:tmpl w:val="B336EA58"/>
    <w:lvl w:ilvl="0" w:tentative="0">
      <w:start w:val="2"/>
      <w:numFmt w:val="chineseCounting"/>
      <w:suff w:val="nothing"/>
      <w:lvlText w:val="（%1）"/>
      <w:lvlJc w:val="left"/>
      <w:rPr>
        <w:rFonts w:hint="eastAsia"/>
      </w:rPr>
    </w:lvl>
  </w:abstractNum>
  <w:abstractNum w:abstractNumId="5">
    <w:nsid w:val="BDBD49EB"/>
    <w:multiLevelType w:val="singleLevel"/>
    <w:tmpl w:val="BDBD49EB"/>
    <w:lvl w:ilvl="0" w:tentative="0">
      <w:start w:val="1"/>
      <w:numFmt w:val="chineseCounting"/>
      <w:suff w:val="nothing"/>
      <w:lvlText w:val="第%1、"/>
      <w:lvlJc w:val="left"/>
      <w:rPr>
        <w:rFonts w:hint="eastAsia"/>
      </w:rPr>
    </w:lvl>
  </w:abstractNum>
  <w:abstractNum w:abstractNumId="6">
    <w:nsid w:val="D4ECB28C"/>
    <w:multiLevelType w:val="singleLevel"/>
    <w:tmpl w:val="D4ECB28C"/>
    <w:lvl w:ilvl="0" w:tentative="0">
      <w:start w:val="1"/>
      <w:numFmt w:val="decimal"/>
      <w:suff w:val="nothing"/>
      <w:lvlText w:val="%1."/>
      <w:lvlJc w:val="left"/>
      <w:pPr>
        <w:tabs>
          <w:tab w:val="left" w:pos="0"/>
        </w:tabs>
        <w:ind w:left="227" w:hanging="227"/>
      </w:pPr>
      <w:rPr>
        <w:rFonts w:hint="default"/>
      </w:rPr>
    </w:lvl>
  </w:abstractNum>
  <w:abstractNum w:abstractNumId="7">
    <w:nsid w:val="D6E9BDD4"/>
    <w:multiLevelType w:val="singleLevel"/>
    <w:tmpl w:val="D6E9BDD4"/>
    <w:lvl w:ilvl="0" w:tentative="0">
      <w:start w:val="1"/>
      <w:numFmt w:val="chineseCounting"/>
      <w:lvlText w:val="%1."/>
      <w:lvlJc w:val="left"/>
      <w:pPr>
        <w:tabs>
          <w:tab w:val="left" w:pos="312"/>
        </w:tabs>
      </w:pPr>
      <w:rPr>
        <w:rFonts w:hint="eastAsia"/>
      </w:rPr>
    </w:lvl>
  </w:abstractNum>
  <w:abstractNum w:abstractNumId="8">
    <w:nsid w:val="00000001"/>
    <w:multiLevelType w:val="multilevel"/>
    <w:tmpl w:val="000000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0">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6AA5451"/>
    <w:multiLevelType w:val="singleLevel"/>
    <w:tmpl w:val="06AA5451"/>
    <w:lvl w:ilvl="0" w:tentative="0">
      <w:start w:val="1"/>
      <w:numFmt w:val="decimal"/>
      <w:suff w:val="nothing"/>
      <w:lvlText w:val="%1、"/>
      <w:lvlJc w:val="left"/>
    </w:lvl>
  </w:abstractNum>
  <w:abstractNum w:abstractNumId="13">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4">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5">
    <w:nsid w:val="0B5187FD"/>
    <w:multiLevelType w:val="singleLevel"/>
    <w:tmpl w:val="0B5187FD"/>
    <w:lvl w:ilvl="0" w:tentative="0">
      <w:start w:val="1"/>
      <w:numFmt w:val="decimal"/>
      <w:lvlText w:val="%1."/>
      <w:lvlJc w:val="left"/>
      <w:pPr>
        <w:tabs>
          <w:tab w:val="left" w:pos="312"/>
        </w:tabs>
      </w:pPr>
    </w:lvl>
  </w:abstractNum>
  <w:abstractNum w:abstractNumId="16">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1">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6">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951327A"/>
    <w:multiLevelType w:val="multilevel"/>
    <w:tmpl w:val="2951327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9">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2E5122BD"/>
    <w:multiLevelType w:val="multilevel"/>
    <w:tmpl w:val="2E5122B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4">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833C601"/>
    <w:multiLevelType w:val="singleLevel"/>
    <w:tmpl w:val="5833C601"/>
    <w:lvl w:ilvl="0" w:tentative="0">
      <w:start w:val="1"/>
      <w:numFmt w:val="decimal"/>
      <w:lvlText w:val="%1."/>
      <w:lvlJc w:val="left"/>
      <w:pPr>
        <w:tabs>
          <w:tab w:val="left" w:pos="312"/>
        </w:tabs>
      </w:pPr>
    </w:lvl>
  </w:abstractNum>
  <w:abstractNum w:abstractNumId="48">
    <w:nsid w:val="59957390"/>
    <w:multiLevelType w:val="singleLevel"/>
    <w:tmpl w:val="59957390"/>
    <w:lvl w:ilvl="0" w:tentative="0">
      <w:start w:val="1"/>
      <w:numFmt w:val="decimal"/>
      <w:suff w:val="nothing"/>
      <w:lvlText w:val="%1."/>
      <w:lvlJc w:val="left"/>
      <w:pPr>
        <w:tabs>
          <w:tab w:val="left" w:pos="0"/>
        </w:tabs>
        <w:ind w:left="425" w:hanging="425"/>
      </w:pPr>
      <w:rPr>
        <w:rFonts w:hint="default"/>
      </w:rPr>
    </w:lvl>
  </w:abstractNum>
  <w:abstractNum w:abstractNumId="49">
    <w:nsid w:val="599573DE"/>
    <w:multiLevelType w:val="singleLevel"/>
    <w:tmpl w:val="599573DE"/>
    <w:lvl w:ilvl="0" w:tentative="0">
      <w:start w:val="1"/>
      <w:numFmt w:val="decimal"/>
      <w:suff w:val="nothing"/>
      <w:lvlText w:val="%1."/>
      <w:lvlJc w:val="left"/>
      <w:pPr>
        <w:tabs>
          <w:tab w:val="left" w:pos="0"/>
        </w:tabs>
        <w:ind w:left="425" w:hanging="425"/>
      </w:pPr>
      <w:rPr>
        <w:rFonts w:hint="default"/>
      </w:rPr>
    </w:lvl>
  </w:abstractNum>
  <w:abstractNum w:abstractNumId="50">
    <w:nsid w:val="59957413"/>
    <w:multiLevelType w:val="singleLevel"/>
    <w:tmpl w:val="59957413"/>
    <w:lvl w:ilvl="0" w:tentative="0">
      <w:start w:val="1"/>
      <w:numFmt w:val="decimal"/>
      <w:suff w:val="nothing"/>
      <w:lvlText w:val="%1."/>
      <w:lvlJc w:val="left"/>
      <w:pPr>
        <w:tabs>
          <w:tab w:val="left" w:pos="0"/>
        </w:tabs>
        <w:ind w:left="425" w:hanging="425"/>
      </w:pPr>
      <w:rPr>
        <w:rFonts w:hint="default"/>
      </w:rPr>
    </w:lvl>
  </w:abstractNum>
  <w:abstractNum w:abstractNumId="51">
    <w:nsid w:val="59957434"/>
    <w:multiLevelType w:val="singleLevel"/>
    <w:tmpl w:val="59957434"/>
    <w:lvl w:ilvl="0" w:tentative="0">
      <w:start w:val="1"/>
      <w:numFmt w:val="decimal"/>
      <w:suff w:val="nothing"/>
      <w:lvlText w:val="%1."/>
      <w:lvlJc w:val="left"/>
      <w:pPr>
        <w:tabs>
          <w:tab w:val="left" w:pos="0"/>
        </w:tabs>
        <w:ind w:left="425" w:hanging="425"/>
      </w:pPr>
      <w:rPr>
        <w:rFonts w:hint="default"/>
      </w:rPr>
    </w:lvl>
  </w:abstractNum>
  <w:abstractNum w:abstractNumId="52">
    <w:nsid w:val="5995746C"/>
    <w:multiLevelType w:val="singleLevel"/>
    <w:tmpl w:val="5995746C"/>
    <w:lvl w:ilvl="0" w:tentative="0">
      <w:start w:val="1"/>
      <w:numFmt w:val="decimal"/>
      <w:suff w:val="nothing"/>
      <w:lvlText w:val="%1."/>
      <w:lvlJc w:val="left"/>
      <w:pPr>
        <w:tabs>
          <w:tab w:val="left" w:pos="0"/>
        </w:tabs>
        <w:ind w:left="425" w:hanging="425"/>
      </w:pPr>
      <w:rPr>
        <w:rFonts w:hint="default"/>
      </w:rPr>
    </w:lvl>
  </w:abstractNum>
  <w:abstractNum w:abstractNumId="53">
    <w:nsid w:val="59957571"/>
    <w:multiLevelType w:val="singleLevel"/>
    <w:tmpl w:val="59957571"/>
    <w:lvl w:ilvl="0" w:tentative="0">
      <w:start w:val="1"/>
      <w:numFmt w:val="decimal"/>
      <w:suff w:val="nothing"/>
      <w:lvlText w:val="%1."/>
      <w:lvlJc w:val="left"/>
      <w:pPr>
        <w:tabs>
          <w:tab w:val="left" w:pos="0"/>
        </w:tabs>
        <w:ind w:left="425" w:hanging="425"/>
      </w:pPr>
      <w:rPr>
        <w:rFonts w:hint="default"/>
      </w:rPr>
    </w:lvl>
  </w:abstractNum>
  <w:abstractNum w:abstractNumId="54">
    <w:nsid w:val="5995758B"/>
    <w:multiLevelType w:val="singleLevel"/>
    <w:tmpl w:val="5995758B"/>
    <w:lvl w:ilvl="0" w:tentative="0">
      <w:start w:val="1"/>
      <w:numFmt w:val="decimal"/>
      <w:suff w:val="nothing"/>
      <w:lvlText w:val="%1."/>
      <w:lvlJc w:val="left"/>
      <w:pPr>
        <w:tabs>
          <w:tab w:val="left" w:pos="0"/>
        </w:tabs>
        <w:ind w:left="425" w:hanging="425"/>
      </w:pPr>
      <w:rPr>
        <w:rFonts w:hint="default"/>
      </w:rPr>
    </w:lvl>
  </w:abstractNum>
  <w:abstractNum w:abstractNumId="55">
    <w:nsid w:val="599575C9"/>
    <w:multiLevelType w:val="singleLevel"/>
    <w:tmpl w:val="599575C9"/>
    <w:lvl w:ilvl="0" w:tentative="0">
      <w:start w:val="1"/>
      <w:numFmt w:val="decimal"/>
      <w:suff w:val="nothing"/>
      <w:lvlText w:val="%1."/>
      <w:lvlJc w:val="left"/>
      <w:pPr>
        <w:tabs>
          <w:tab w:val="left" w:pos="0"/>
        </w:tabs>
        <w:ind w:left="425" w:hanging="425"/>
      </w:pPr>
      <w:rPr>
        <w:rFonts w:hint="default"/>
      </w:rPr>
    </w:lvl>
  </w:abstractNum>
  <w:abstractNum w:abstractNumId="56">
    <w:nsid w:val="59957753"/>
    <w:multiLevelType w:val="singleLevel"/>
    <w:tmpl w:val="59957753"/>
    <w:lvl w:ilvl="0" w:tentative="0">
      <w:start w:val="1"/>
      <w:numFmt w:val="decimal"/>
      <w:suff w:val="nothing"/>
      <w:lvlText w:val="%1."/>
      <w:lvlJc w:val="left"/>
      <w:pPr>
        <w:tabs>
          <w:tab w:val="left" w:pos="0"/>
        </w:tabs>
        <w:ind w:left="425" w:hanging="425"/>
      </w:pPr>
      <w:rPr>
        <w:rFonts w:hint="default"/>
      </w:rPr>
    </w:lvl>
  </w:abstractNum>
  <w:abstractNum w:abstractNumId="57">
    <w:nsid w:val="599577DB"/>
    <w:multiLevelType w:val="singleLevel"/>
    <w:tmpl w:val="599577DB"/>
    <w:lvl w:ilvl="0" w:tentative="0">
      <w:start w:val="1"/>
      <w:numFmt w:val="decimal"/>
      <w:suff w:val="nothing"/>
      <w:lvlText w:val="%1."/>
      <w:lvlJc w:val="left"/>
      <w:pPr>
        <w:tabs>
          <w:tab w:val="left" w:pos="0"/>
        </w:tabs>
        <w:ind w:left="425" w:hanging="425"/>
      </w:pPr>
      <w:rPr>
        <w:rFonts w:hint="default"/>
      </w:rPr>
    </w:lvl>
  </w:abstractNum>
  <w:abstractNum w:abstractNumId="58">
    <w:nsid w:val="59957809"/>
    <w:multiLevelType w:val="singleLevel"/>
    <w:tmpl w:val="59957809"/>
    <w:lvl w:ilvl="0" w:tentative="0">
      <w:start w:val="1"/>
      <w:numFmt w:val="decimal"/>
      <w:suff w:val="nothing"/>
      <w:lvlText w:val="%1."/>
      <w:lvlJc w:val="left"/>
      <w:pPr>
        <w:tabs>
          <w:tab w:val="left" w:pos="0"/>
        </w:tabs>
        <w:ind w:left="425" w:hanging="425"/>
      </w:pPr>
      <w:rPr>
        <w:rFonts w:hint="default"/>
      </w:rPr>
    </w:lvl>
  </w:abstractNum>
  <w:abstractNum w:abstractNumId="59">
    <w:nsid w:val="599578A4"/>
    <w:multiLevelType w:val="singleLevel"/>
    <w:tmpl w:val="599578A4"/>
    <w:lvl w:ilvl="0" w:tentative="0">
      <w:start w:val="1"/>
      <w:numFmt w:val="decimal"/>
      <w:suff w:val="nothing"/>
      <w:lvlText w:val="%1."/>
      <w:lvlJc w:val="left"/>
      <w:pPr>
        <w:tabs>
          <w:tab w:val="left" w:pos="420"/>
        </w:tabs>
        <w:ind w:left="425" w:hanging="425"/>
      </w:pPr>
      <w:rPr>
        <w:rFonts w:hint="default"/>
      </w:rPr>
    </w:lvl>
  </w:abstractNum>
  <w:abstractNum w:abstractNumId="60">
    <w:nsid w:val="599578F0"/>
    <w:multiLevelType w:val="singleLevel"/>
    <w:tmpl w:val="599578F0"/>
    <w:lvl w:ilvl="0" w:tentative="0">
      <w:start w:val="1"/>
      <w:numFmt w:val="decimal"/>
      <w:suff w:val="nothing"/>
      <w:lvlText w:val="%1."/>
      <w:lvlJc w:val="left"/>
      <w:pPr>
        <w:tabs>
          <w:tab w:val="left" w:pos="420"/>
        </w:tabs>
        <w:ind w:left="425" w:hanging="425"/>
      </w:pPr>
      <w:rPr>
        <w:rFonts w:hint="default"/>
      </w:rPr>
    </w:lvl>
  </w:abstractNum>
  <w:abstractNum w:abstractNumId="61">
    <w:nsid w:val="59957919"/>
    <w:multiLevelType w:val="singleLevel"/>
    <w:tmpl w:val="59957919"/>
    <w:lvl w:ilvl="0" w:tentative="0">
      <w:start w:val="1"/>
      <w:numFmt w:val="decimal"/>
      <w:suff w:val="nothing"/>
      <w:lvlText w:val="%1."/>
      <w:lvlJc w:val="left"/>
      <w:pPr>
        <w:tabs>
          <w:tab w:val="left" w:pos="420"/>
        </w:tabs>
        <w:ind w:left="425" w:hanging="425"/>
      </w:pPr>
      <w:rPr>
        <w:rFonts w:hint="default"/>
      </w:rPr>
    </w:lvl>
  </w:abstractNum>
  <w:abstractNum w:abstractNumId="62">
    <w:nsid w:val="59957958"/>
    <w:multiLevelType w:val="singleLevel"/>
    <w:tmpl w:val="59957958"/>
    <w:lvl w:ilvl="0" w:tentative="0">
      <w:start w:val="1"/>
      <w:numFmt w:val="decimal"/>
      <w:suff w:val="nothing"/>
      <w:lvlText w:val="%1."/>
      <w:lvlJc w:val="left"/>
      <w:pPr>
        <w:tabs>
          <w:tab w:val="left" w:pos="420"/>
        </w:tabs>
        <w:ind w:left="425" w:hanging="425"/>
      </w:pPr>
      <w:rPr>
        <w:rFonts w:hint="default"/>
      </w:rPr>
    </w:lvl>
  </w:abstractNum>
  <w:abstractNum w:abstractNumId="63">
    <w:nsid w:val="599579C9"/>
    <w:multiLevelType w:val="singleLevel"/>
    <w:tmpl w:val="599579C9"/>
    <w:lvl w:ilvl="0" w:tentative="0">
      <w:start w:val="1"/>
      <w:numFmt w:val="decimal"/>
      <w:suff w:val="nothing"/>
      <w:lvlText w:val="%1."/>
      <w:lvlJc w:val="left"/>
      <w:pPr>
        <w:tabs>
          <w:tab w:val="left" w:pos="420"/>
        </w:tabs>
        <w:ind w:left="425" w:hanging="425"/>
      </w:pPr>
      <w:rPr>
        <w:rFonts w:hint="default"/>
      </w:rPr>
    </w:lvl>
  </w:abstractNum>
  <w:abstractNum w:abstractNumId="64">
    <w:nsid w:val="59957A82"/>
    <w:multiLevelType w:val="singleLevel"/>
    <w:tmpl w:val="59957A82"/>
    <w:lvl w:ilvl="0" w:tentative="0">
      <w:start w:val="1"/>
      <w:numFmt w:val="decimal"/>
      <w:suff w:val="nothing"/>
      <w:lvlText w:val="%1."/>
      <w:lvlJc w:val="left"/>
      <w:pPr>
        <w:tabs>
          <w:tab w:val="left" w:pos="0"/>
        </w:tabs>
        <w:ind w:left="244" w:hanging="244"/>
      </w:pPr>
      <w:rPr>
        <w:rFonts w:hint="default"/>
      </w:rPr>
    </w:lvl>
  </w:abstractNum>
  <w:abstractNum w:abstractNumId="65">
    <w:nsid w:val="59957B54"/>
    <w:multiLevelType w:val="singleLevel"/>
    <w:tmpl w:val="59957B54"/>
    <w:lvl w:ilvl="0" w:tentative="0">
      <w:start w:val="1"/>
      <w:numFmt w:val="decimal"/>
      <w:suff w:val="nothing"/>
      <w:lvlText w:val="%1."/>
      <w:lvlJc w:val="left"/>
      <w:pPr>
        <w:tabs>
          <w:tab w:val="left" w:pos="0"/>
        </w:tabs>
        <w:ind w:left="244" w:hanging="244"/>
      </w:pPr>
      <w:rPr>
        <w:rFonts w:hint="default"/>
      </w:rPr>
    </w:lvl>
  </w:abstractNum>
  <w:abstractNum w:abstractNumId="66">
    <w:nsid w:val="59957C35"/>
    <w:multiLevelType w:val="singleLevel"/>
    <w:tmpl w:val="59957C35"/>
    <w:lvl w:ilvl="0" w:tentative="0">
      <w:start w:val="1"/>
      <w:numFmt w:val="decimal"/>
      <w:suff w:val="nothing"/>
      <w:lvlText w:val="%1."/>
      <w:lvlJc w:val="left"/>
      <w:pPr>
        <w:tabs>
          <w:tab w:val="left" w:pos="0"/>
        </w:tabs>
        <w:ind w:left="244" w:hanging="244"/>
      </w:pPr>
      <w:rPr>
        <w:rFonts w:hint="default"/>
      </w:rPr>
    </w:lvl>
  </w:abstractNum>
  <w:abstractNum w:abstractNumId="67">
    <w:nsid w:val="59957CA0"/>
    <w:multiLevelType w:val="singleLevel"/>
    <w:tmpl w:val="59957CA0"/>
    <w:lvl w:ilvl="0" w:tentative="0">
      <w:start w:val="1"/>
      <w:numFmt w:val="decimal"/>
      <w:suff w:val="nothing"/>
      <w:lvlText w:val="%1."/>
      <w:lvlJc w:val="left"/>
      <w:pPr>
        <w:tabs>
          <w:tab w:val="left" w:pos="0"/>
        </w:tabs>
        <w:ind w:left="244" w:hanging="244"/>
      </w:pPr>
      <w:rPr>
        <w:rFonts w:hint="default"/>
      </w:rPr>
    </w:lvl>
  </w:abstractNum>
  <w:abstractNum w:abstractNumId="68">
    <w:nsid w:val="59957CCB"/>
    <w:multiLevelType w:val="singleLevel"/>
    <w:tmpl w:val="59957CCB"/>
    <w:lvl w:ilvl="0" w:tentative="0">
      <w:start w:val="1"/>
      <w:numFmt w:val="decimal"/>
      <w:suff w:val="nothing"/>
      <w:lvlText w:val="%1."/>
      <w:lvlJc w:val="left"/>
      <w:pPr>
        <w:tabs>
          <w:tab w:val="left" w:pos="0"/>
        </w:tabs>
        <w:ind w:left="244" w:hanging="244"/>
      </w:pPr>
      <w:rPr>
        <w:rFonts w:hint="default"/>
      </w:rPr>
    </w:lvl>
  </w:abstractNum>
  <w:abstractNum w:abstractNumId="69">
    <w:nsid w:val="59957CEB"/>
    <w:multiLevelType w:val="singleLevel"/>
    <w:tmpl w:val="59957CEB"/>
    <w:lvl w:ilvl="0" w:tentative="0">
      <w:start w:val="1"/>
      <w:numFmt w:val="decimal"/>
      <w:suff w:val="nothing"/>
      <w:lvlText w:val="%1."/>
      <w:lvlJc w:val="left"/>
      <w:pPr>
        <w:tabs>
          <w:tab w:val="left" w:pos="0"/>
        </w:tabs>
        <w:ind w:left="244" w:hanging="244"/>
      </w:pPr>
      <w:rPr>
        <w:rFonts w:hint="default"/>
      </w:rPr>
    </w:lvl>
  </w:abstractNum>
  <w:abstractNum w:abstractNumId="70">
    <w:nsid w:val="59957D14"/>
    <w:multiLevelType w:val="singleLevel"/>
    <w:tmpl w:val="59957D14"/>
    <w:lvl w:ilvl="0" w:tentative="0">
      <w:start w:val="1"/>
      <w:numFmt w:val="decimal"/>
      <w:suff w:val="nothing"/>
      <w:lvlText w:val="%1."/>
      <w:lvlJc w:val="left"/>
      <w:pPr>
        <w:tabs>
          <w:tab w:val="left" w:pos="0"/>
        </w:tabs>
        <w:ind w:left="244" w:hanging="244"/>
      </w:pPr>
      <w:rPr>
        <w:rFonts w:hint="default"/>
      </w:rPr>
    </w:lvl>
  </w:abstractNum>
  <w:abstractNum w:abstractNumId="71">
    <w:nsid w:val="59957D33"/>
    <w:multiLevelType w:val="singleLevel"/>
    <w:tmpl w:val="59957D33"/>
    <w:lvl w:ilvl="0" w:tentative="0">
      <w:start w:val="1"/>
      <w:numFmt w:val="decimal"/>
      <w:suff w:val="nothing"/>
      <w:lvlText w:val="%1."/>
      <w:lvlJc w:val="left"/>
      <w:pPr>
        <w:tabs>
          <w:tab w:val="left" w:pos="0"/>
        </w:tabs>
        <w:ind w:left="244" w:hanging="244"/>
      </w:pPr>
      <w:rPr>
        <w:rFonts w:hint="default"/>
      </w:rPr>
    </w:lvl>
  </w:abstractNum>
  <w:abstractNum w:abstractNumId="72">
    <w:nsid w:val="59957D63"/>
    <w:multiLevelType w:val="singleLevel"/>
    <w:tmpl w:val="59957D63"/>
    <w:lvl w:ilvl="0" w:tentative="0">
      <w:start w:val="1"/>
      <w:numFmt w:val="decimal"/>
      <w:suff w:val="nothing"/>
      <w:lvlText w:val="%1."/>
      <w:lvlJc w:val="left"/>
      <w:pPr>
        <w:tabs>
          <w:tab w:val="left" w:pos="0"/>
        </w:tabs>
        <w:ind w:left="244" w:hanging="244"/>
      </w:pPr>
      <w:rPr>
        <w:rFonts w:hint="default"/>
      </w:rPr>
    </w:lvl>
  </w:abstractNum>
  <w:abstractNum w:abstractNumId="73">
    <w:nsid w:val="59957D84"/>
    <w:multiLevelType w:val="singleLevel"/>
    <w:tmpl w:val="59957D84"/>
    <w:lvl w:ilvl="0" w:tentative="0">
      <w:start w:val="1"/>
      <w:numFmt w:val="decimal"/>
      <w:suff w:val="nothing"/>
      <w:lvlText w:val="%1."/>
      <w:lvlJc w:val="left"/>
      <w:pPr>
        <w:tabs>
          <w:tab w:val="left" w:pos="0"/>
        </w:tabs>
        <w:ind w:left="244" w:hanging="244"/>
      </w:pPr>
      <w:rPr>
        <w:rFonts w:hint="default"/>
      </w:rPr>
    </w:lvl>
  </w:abstractNum>
  <w:abstractNum w:abstractNumId="74">
    <w:nsid w:val="59957DC2"/>
    <w:multiLevelType w:val="singleLevel"/>
    <w:tmpl w:val="59957DC2"/>
    <w:lvl w:ilvl="0" w:tentative="0">
      <w:start w:val="1"/>
      <w:numFmt w:val="decimal"/>
      <w:suff w:val="nothing"/>
      <w:lvlText w:val="%1."/>
      <w:lvlJc w:val="left"/>
      <w:pPr>
        <w:tabs>
          <w:tab w:val="left" w:pos="0"/>
        </w:tabs>
        <w:ind w:left="244" w:hanging="244"/>
      </w:pPr>
      <w:rPr>
        <w:rFonts w:hint="default"/>
      </w:rPr>
    </w:lvl>
  </w:abstractNum>
  <w:abstractNum w:abstractNumId="75">
    <w:nsid w:val="59957DE4"/>
    <w:multiLevelType w:val="singleLevel"/>
    <w:tmpl w:val="59957DE4"/>
    <w:lvl w:ilvl="0" w:tentative="0">
      <w:start w:val="1"/>
      <w:numFmt w:val="decimal"/>
      <w:suff w:val="nothing"/>
      <w:lvlText w:val="%1."/>
      <w:lvlJc w:val="left"/>
      <w:pPr>
        <w:tabs>
          <w:tab w:val="left" w:pos="0"/>
        </w:tabs>
        <w:ind w:left="244" w:hanging="244"/>
      </w:pPr>
      <w:rPr>
        <w:rFonts w:hint="default"/>
      </w:rPr>
    </w:lvl>
  </w:abstractNum>
  <w:abstractNum w:abstractNumId="76">
    <w:nsid w:val="59957E09"/>
    <w:multiLevelType w:val="singleLevel"/>
    <w:tmpl w:val="59957E09"/>
    <w:lvl w:ilvl="0" w:tentative="0">
      <w:start w:val="1"/>
      <w:numFmt w:val="decimal"/>
      <w:suff w:val="nothing"/>
      <w:lvlText w:val="%1."/>
      <w:lvlJc w:val="left"/>
      <w:pPr>
        <w:tabs>
          <w:tab w:val="left" w:pos="0"/>
        </w:tabs>
        <w:ind w:left="244" w:hanging="244"/>
      </w:pPr>
      <w:rPr>
        <w:rFonts w:hint="default"/>
      </w:rPr>
    </w:lvl>
  </w:abstractNum>
  <w:abstractNum w:abstractNumId="77">
    <w:nsid w:val="59957E8E"/>
    <w:multiLevelType w:val="singleLevel"/>
    <w:tmpl w:val="59957E8E"/>
    <w:lvl w:ilvl="0" w:tentative="0">
      <w:start w:val="1"/>
      <w:numFmt w:val="decimal"/>
      <w:suff w:val="nothing"/>
      <w:lvlText w:val="%1."/>
      <w:lvlJc w:val="left"/>
      <w:pPr>
        <w:tabs>
          <w:tab w:val="left" w:pos="0"/>
        </w:tabs>
        <w:ind w:left="244" w:hanging="244"/>
      </w:pPr>
      <w:rPr>
        <w:rFonts w:hint="default"/>
      </w:rPr>
    </w:lvl>
  </w:abstractNum>
  <w:abstractNum w:abstractNumId="78">
    <w:nsid w:val="59957FF2"/>
    <w:multiLevelType w:val="singleLevel"/>
    <w:tmpl w:val="59957FF2"/>
    <w:lvl w:ilvl="0" w:tentative="0">
      <w:start w:val="1"/>
      <w:numFmt w:val="decimal"/>
      <w:suff w:val="nothing"/>
      <w:lvlText w:val="%1."/>
      <w:lvlJc w:val="left"/>
      <w:pPr>
        <w:tabs>
          <w:tab w:val="left" w:pos="0"/>
        </w:tabs>
        <w:ind w:left="244" w:hanging="244"/>
      </w:pPr>
      <w:rPr>
        <w:rFonts w:hint="default"/>
      </w:rPr>
    </w:lvl>
  </w:abstractNum>
  <w:abstractNum w:abstractNumId="79">
    <w:nsid w:val="599A9524"/>
    <w:multiLevelType w:val="singleLevel"/>
    <w:tmpl w:val="599A9524"/>
    <w:lvl w:ilvl="0" w:tentative="0">
      <w:start w:val="1"/>
      <w:numFmt w:val="decimal"/>
      <w:suff w:val="nothing"/>
      <w:lvlText w:val="%1."/>
      <w:lvlJc w:val="left"/>
      <w:pPr>
        <w:ind w:left="244" w:hanging="244"/>
      </w:pPr>
      <w:rPr>
        <w:rFonts w:hint="default"/>
      </w:rPr>
    </w:lvl>
  </w:abstractNum>
  <w:abstractNum w:abstractNumId="80">
    <w:nsid w:val="599A95C5"/>
    <w:multiLevelType w:val="singleLevel"/>
    <w:tmpl w:val="599A95C5"/>
    <w:lvl w:ilvl="0" w:tentative="0">
      <w:start w:val="1"/>
      <w:numFmt w:val="decimal"/>
      <w:suff w:val="nothing"/>
      <w:lvlText w:val="%1."/>
      <w:lvlJc w:val="left"/>
      <w:pPr>
        <w:ind w:left="244" w:hanging="244"/>
      </w:pPr>
      <w:rPr>
        <w:rFonts w:hint="default"/>
      </w:rPr>
    </w:lvl>
  </w:abstractNum>
  <w:abstractNum w:abstractNumId="81">
    <w:nsid w:val="599A95F2"/>
    <w:multiLevelType w:val="singleLevel"/>
    <w:tmpl w:val="599A95F2"/>
    <w:lvl w:ilvl="0" w:tentative="0">
      <w:start w:val="1"/>
      <w:numFmt w:val="decimal"/>
      <w:suff w:val="nothing"/>
      <w:lvlText w:val="%1."/>
      <w:lvlJc w:val="left"/>
      <w:pPr>
        <w:ind w:left="244" w:hanging="244"/>
      </w:pPr>
      <w:rPr>
        <w:rFonts w:hint="default"/>
      </w:rPr>
    </w:lvl>
  </w:abstractNum>
  <w:abstractNum w:abstractNumId="82">
    <w:nsid w:val="599A9633"/>
    <w:multiLevelType w:val="singleLevel"/>
    <w:tmpl w:val="599A9633"/>
    <w:lvl w:ilvl="0" w:tentative="0">
      <w:start w:val="1"/>
      <w:numFmt w:val="decimal"/>
      <w:suff w:val="nothing"/>
      <w:lvlText w:val="%1."/>
      <w:lvlJc w:val="left"/>
      <w:pPr>
        <w:ind w:left="244" w:hanging="244"/>
      </w:pPr>
      <w:rPr>
        <w:rFonts w:hint="default"/>
      </w:rPr>
    </w:lvl>
  </w:abstractNum>
  <w:abstractNum w:abstractNumId="83">
    <w:nsid w:val="599A9658"/>
    <w:multiLevelType w:val="singleLevel"/>
    <w:tmpl w:val="599A9658"/>
    <w:lvl w:ilvl="0" w:tentative="0">
      <w:start w:val="1"/>
      <w:numFmt w:val="decimal"/>
      <w:suff w:val="nothing"/>
      <w:lvlText w:val="%1."/>
      <w:lvlJc w:val="left"/>
      <w:pPr>
        <w:ind w:left="244" w:hanging="244"/>
      </w:pPr>
      <w:rPr>
        <w:rFonts w:hint="default"/>
      </w:rPr>
    </w:lvl>
  </w:abstractNum>
  <w:abstractNum w:abstractNumId="84">
    <w:nsid w:val="599A96AA"/>
    <w:multiLevelType w:val="singleLevel"/>
    <w:tmpl w:val="599A96AA"/>
    <w:lvl w:ilvl="0" w:tentative="0">
      <w:start w:val="1"/>
      <w:numFmt w:val="decimal"/>
      <w:suff w:val="nothing"/>
      <w:lvlText w:val="%1."/>
      <w:lvlJc w:val="left"/>
      <w:pPr>
        <w:ind w:left="244" w:hanging="244"/>
      </w:pPr>
      <w:rPr>
        <w:rFonts w:hint="default"/>
      </w:rPr>
    </w:lvl>
  </w:abstractNum>
  <w:abstractNum w:abstractNumId="85">
    <w:nsid w:val="599A96D9"/>
    <w:multiLevelType w:val="singleLevel"/>
    <w:tmpl w:val="599A96D9"/>
    <w:lvl w:ilvl="0" w:tentative="0">
      <w:start w:val="1"/>
      <w:numFmt w:val="decimal"/>
      <w:suff w:val="nothing"/>
      <w:lvlText w:val="%1."/>
      <w:lvlJc w:val="left"/>
      <w:pPr>
        <w:ind w:left="244" w:hanging="244"/>
      </w:pPr>
      <w:rPr>
        <w:rFonts w:hint="default"/>
      </w:rPr>
    </w:lvl>
  </w:abstractNum>
  <w:abstractNum w:abstractNumId="86">
    <w:nsid w:val="599A9705"/>
    <w:multiLevelType w:val="singleLevel"/>
    <w:tmpl w:val="599A9705"/>
    <w:lvl w:ilvl="0" w:tentative="0">
      <w:start w:val="1"/>
      <w:numFmt w:val="decimal"/>
      <w:suff w:val="nothing"/>
      <w:lvlText w:val="%1."/>
      <w:lvlJc w:val="left"/>
      <w:pPr>
        <w:ind w:left="244" w:hanging="244"/>
      </w:pPr>
      <w:rPr>
        <w:rFonts w:hint="default"/>
      </w:rPr>
    </w:lvl>
  </w:abstractNum>
  <w:abstractNum w:abstractNumId="87">
    <w:nsid w:val="599C0433"/>
    <w:multiLevelType w:val="singleLevel"/>
    <w:tmpl w:val="599C0433"/>
    <w:lvl w:ilvl="0" w:tentative="0">
      <w:start w:val="1"/>
      <w:numFmt w:val="decimal"/>
      <w:suff w:val="nothing"/>
      <w:lvlText w:val="%1."/>
      <w:lvlJc w:val="left"/>
      <w:pPr>
        <w:ind w:left="244" w:hanging="244"/>
      </w:pPr>
      <w:rPr>
        <w:rFonts w:hint="default"/>
      </w:rPr>
    </w:lvl>
  </w:abstractNum>
  <w:abstractNum w:abstractNumId="88">
    <w:nsid w:val="599C045D"/>
    <w:multiLevelType w:val="singleLevel"/>
    <w:tmpl w:val="599C045D"/>
    <w:lvl w:ilvl="0" w:tentative="0">
      <w:start w:val="1"/>
      <w:numFmt w:val="decimal"/>
      <w:suff w:val="nothing"/>
      <w:lvlText w:val="%1."/>
      <w:lvlJc w:val="left"/>
      <w:pPr>
        <w:ind w:left="244" w:hanging="244"/>
      </w:pPr>
      <w:rPr>
        <w:rFonts w:hint="default"/>
      </w:rPr>
    </w:lvl>
  </w:abstractNum>
  <w:abstractNum w:abstractNumId="89">
    <w:nsid w:val="599C0496"/>
    <w:multiLevelType w:val="singleLevel"/>
    <w:tmpl w:val="599C0496"/>
    <w:lvl w:ilvl="0" w:tentative="0">
      <w:start w:val="1"/>
      <w:numFmt w:val="decimal"/>
      <w:suff w:val="nothing"/>
      <w:lvlText w:val="%1."/>
      <w:lvlJc w:val="left"/>
    </w:lvl>
  </w:abstractNum>
  <w:abstractNum w:abstractNumId="90">
    <w:nsid w:val="599C0508"/>
    <w:multiLevelType w:val="singleLevel"/>
    <w:tmpl w:val="599C0508"/>
    <w:lvl w:ilvl="0" w:tentative="0">
      <w:start w:val="1"/>
      <w:numFmt w:val="decimal"/>
      <w:suff w:val="nothing"/>
      <w:lvlText w:val="%1."/>
      <w:lvlJc w:val="left"/>
      <w:pPr>
        <w:ind w:left="244" w:hanging="244"/>
      </w:pPr>
      <w:rPr>
        <w:rFonts w:hint="default"/>
      </w:rPr>
    </w:lvl>
  </w:abstractNum>
  <w:abstractNum w:abstractNumId="91">
    <w:nsid w:val="599C0584"/>
    <w:multiLevelType w:val="singleLevel"/>
    <w:tmpl w:val="599C0584"/>
    <w:lvl w:ilvl="0" w:tentative="0">
      <w:start w:val="1"/>
      <w:numFmt w:val="decimal"/>
      <w:suff w:val="nothing"/>
      <w:lvlText w:val="%1."/>
      <w:lvlJc w:val="left"/>
      <w:pPr>
        <w:ind w:left="244" w:hanging="244"/>
      </w:pPr>
      <w:rPr>
        <w:rFonts w:hint="default"/>
      </w:rPr>
    </w:lvl>
  </w:abstractNum>
  <w:abstractNum w:abstractNumId="92">
    <w:nsid w:val="599C064E"/>
    <w:multiLevelType w:val="singleLevel"/>
    <w:tmpl w:val="599C064E"/>
    <w:lvl w:ilvl="0" w:tentative="0">
      <w:start w:val="1"/>
      <w:numFmt w:val="decimal"/>
      <w:suff w:val="nothing"/>
      <w:lvlText w:val="%1."/>
      <w:lvlJc w:val="left"/>
      <w:pPr>
        <w:ind w:left="244" w:hanging="244"/>
      </w:pPr>
      <w:rPr>
        <w:rFonts w:hint="default"/>
      </w:rPr>
    </w:lvl>
  </w:abstractNum>
  <w:abstractNum w:abstractNumId="93">
    <w:nsid w:val="599C067D"/>
    <w:multiLevelType w:val="singleLevel"/>
    <w:tmpl w:val="599C067D"/>
    <w:lvl w:ilvl="0" w:tentative="0">
      <w:start w:val="1"/>
      <w:numFmt w:val="decimal"/>
      <w:suff w:val="nothing"/>
      <w:lvlText w:val="%1."/>
      <w:lvlJc w:val="left"/>
      <w:pPr>
        <w:ind w:left="244" w:hanging="244"/>
      </w:pPr>
      <w:rPr>
        <w:rFonts w:hint="default"/>
      </w:rPr>
    </w:lvl>
  </w:abstractNum>
  <w:abstractNum w:abstractNumId="94">
    <w:nsid w:val="599C06B5"/>
    <w:multiLevelType w:val="singleLevel"/>
    <w:tmpl w:val="599C06B5"/>
    <w:lvl w:ilvl="0" w:tentative="0">
      <w:start w:val="1"/>
      <w:numFmt w:val="decimal"/>
      <w:suff w:val="nothing"/>
      <w:lvlText w:val="%1."/>
      <w:lvlJc w:val="left"/>
      <w:pPr>
        <w:ind w:left="244" w:hanging="244"/>
      </w:pPr>
      <w:rPr>
        <w:rFonts w:hint="default"/>
      </w:rPr>
    </w:lvl>
  </w:abstractNum>
  <w:abstractNum w:abstractNumId="95">
    <w:nsid w:val="599C093C"/>
    <w:multiLevelType w:val="singleLevel"/>
    <w:tmpl w:val="599C093C"/>
    <w:lvl w:ilvl="0" w:tentative="0">
      <w:start w:val="1"/>
      <w:numFmt w:val="decimal"/>
      <w:suff w:val="nothing"/>
      <w:lvlText w:val="%1."/>
      <w:lvlJc w:val="left"/>
      <w:pPr>
        <w:ind w:left="244" w:hanging="244"/>
      </w:pPr>
      <w:rPr>
        <w:rFonts w:hint="default"/>
      </w:rPr>
    </w:lvl>
  </w:abstractNum>
  <w:abstractNum w:abstractNumId="96">
    <w:nsid w:val="599C0B0E"/>
    <w:multiLevelType w:val="singleLevel"/>
    <w:tmpl w:val="599C0B0E"/>
    <w:lvl w:ilvl="0" w:tentative="0">
      <w:start w:val="1"/>
      <w:numFmt w:val="decimal"/>
      <w:suff w:val="nothing"/>
      <w:lvlText w:val="%1."/>
      <w:lvlJc w:val="left"/>
      <w:pPr>
        <w:tabs>
          <w:tab w:val="left" w:pos="420"/>
        </w:tabs>
        <w:ind w:left="244" w:hanging="244"/>
      </w:pPr>
      <w:rPr>
        <w:rFonts w:hint="default"/>
      </w:rPr>
    </w:lvl>
  </w:abstractNum>
  <w:abstractNum w:abstractNumId="97">
    <w:nsid w:val="599C0B34"/>
    <w:multiLevelType w:val="singleLevel"/>
    <w:tmpl w:val="599C0B34"/>
    <w:lvl w:ilvl="0" w:tentative="0">
      <w:start w:val="1"/>
      <w:numFmt w:val="decimal"/>
      <w:suff w:val="nothing"/>
      <w:lvlText w:val="%1."/>
      <w:lvlJc w:val="left"/>
      <w:pPr>
        <w:tabs>
          <w:tab w:val="left" w:pos="420"/>
        </w:tabs>
        <w:ind w:left="244" w:hanging="244"/>
      </w:pPr>
      <w:rPr>
        <w:rFonts w:hint="default"/>
      </w:rPr>
    </w:lvl>
  </w:abstractNum>
  <w:abstractNum w:abstractNumId="98">
    <w:nsid w:val="599C0B68"/>
    <w:multiLevelType w:val="singleLevel"/>
    <w:tmpl w:val="599C0B68"/>
    <w:lvl w:ilvl="0" w:tentative="0">
      <w:start w:val="1"/>
      <w:numFmt w:val="decimal"/>
      <w:suff w:val="nothing"/>
      <w:lvlText w:val="%1."/>
      <w:lvlJc w:val="left"/>
      <w:pPr>
        <w:tabs>
          <w:tab w:val="left" w:pos="420"/>
        </w:tabs>
        <w:ind w:left="244" w:hanging="244"/>
      </w:pPr>
      <w:rPr>
        <w:rFonts w:hint="default"/>
      </w:rPr>
    </w:lvl>
  </w:abstractNum>
  <w:abstractNum w:abstractNumId="99">
    <w:nsid w:val="599C0B90"/>
    <w:multiLevelType w:val="singleLevel"/>
    <w:tmpl w:val="599C0B90"/>
    <w:lvl w:ilvl="0" w:tentative="0">
      <w:start w:val="1"/>
      <w:numFmt w:val="decimal"/>
      <w:suff w:val="nothing"/>
      <w:lvlText w:val="%1."/>
      <w:lvlJc w:val="left"/>
      <w:pPr>
        <w:tabs>
          <w:tab w:val="left" w:pos="420"/>
        </w:tabs>
        <w:ind w:left="244" w:hanging="244"/>
      </w:pPr>
      <w:rPr>
        <w:rFonts w:hint="default"/>
      </w:rPr>
    </w:lvl>
  </w:abstractNum>
  <w:abstractNum w:abstractNumId="100">
    <w:nsid w:val="599C0BAD"/>
    <w:multiLevelType w:val="singleLevel"/>
    <w:tmpl w:val="599C0BAD"/>
    <w:lvl w:ilvl="0" w:tentative="0">
      <w:start w:val="1"/>
      <w:numFmt w:val="decimal"/>
      <w:suff w:val="nothing"/>
      <w:lvlText w:val="%1."/>
      <w:lvlJc w:val="left"/>
      <w:pPr>
        <w:tabs>
          <w:tab w:val="left" w:pos="420"/>
        </w:tabs>
        <w:ind w:left="244" w:hanging="244"/>
      </w:pPr>
      <w:rPr>
        <w:rFonts w:hint="default"/>
      </w:rPr>
    </w:lvl>
  </w:abstractNum>
  <w:abstractNum w:abstractNumId="101">
    <w:nsid w:val="599C0BCE"/>
    <w:multiLevelType w:val="singleLevel"/>
    <w:tmpl w:val="599C0BCE"/>
    <w:lvl w:ilvl="0" w:tentative="0">
      <w:start w:val="1"/>
      <w:numFmt w:val="decimal"/>
      <w:suff w:val="nothing"/>
      <w:lvlText w:val="%1."/>
      <w:lvlJc w:val="left"/>
      <w:pPr>
        <w:tabs>
          <w:tab w:val="left" w:pos="420"/>
        </w:tabs>
        <w:ind w:left="244" w:hanging="244"/>
      </w:pPr>
      <w:rPr>
        <w:rFonts w:hint="default"/>
      </w:rPr>
    </w:lvl>
  </w:abstractNum>
  <w:abstractNum w:abstractNumId="102">
    <w:nsid w:val="59BBA1E8"/>
    <w:multiLevelType w:val="singleLevel"/>
    <w:tmpl w:val="59BBA1E8"/>
    <w:lvl w:ilvl="0" w:tentative="0">
      <w:start w:val="1"/>
      <w:numFmt w:val="decimal"/>
      <w:suff w:val="nothing"/>
      <w:lvlText w:val="%1."/>
      <w:lvlJc w:val="left"/>
      <w:pPr>
        <w:tabs>
          <w:tab w:val="left" w:pos="0"/>
        </w:tabs>
        <w:ind w:left="227" w:hanging="227"/>
      </w:pPr>
      <w:rPr>
        <w:rFonts w:hint="default"/>
      </w:rPr>
    </w:lvl>
  </w:abstractNum>
  <w:abstractNum w:abstractNumId="103">
    <w:nsid w:val="59F817C2"/>
    <w:multiLevelType w:val="singleLevel"/>
    <w:tmpl w:val="59F817C2"/>
    <w:lvl w:ilvl="0" w:tentative="0">
      <w:start w:val="2"/>
      <w:numFmt w:val="chineseCounting"/>
      <w:suff w:val="space"/>
      <w:lvlText w:val="第%1章"/>
      <w:lvlJc w:val="left"/>
    </w:lvl>
  </w:abstractNum>
  <w:abstractNum w:abstractNumId="104">
    <w:nsid w:val="59F817E8"/>
    <w:multiLevelType w:val="singleLevel"/>
    <w:tmpl w:val="59F817E8"/>
    <w:lvl w:ilvl="0" w:tentative="0">
      <w:start w:val="1"/>
      <w:numFmt w:val="chineseCounting"/>
      <w:pStyle w:val="53"/>
      <w:suff w:val="nothing"/>
      <w:lvlText w:val="%1、"/>
      <w:lvlJc w:val="left"/>
    </w:lvl>
  </w:abstractNum>
  <w:abstractNum w:abstractNumId="105">
    <w:nsid w:val="5A051E9E"/>
    <w:multiLevelType w:val="singleLevel"/>
    <w:tmpl w:val="5A051E9E"/>
    <w:lvl w:ilvl="0" w:tentative="0">
      <w:start w:val="1"/>
      <w:numFmt w:val="chineseCounting"/>
      <w:suff w:val="nothing"/>
      <w:lvlText w:val="%1、"/>
      <w:lvlJc w:val="left"/>
    </w:lvl>
  </w:abstractNum>
  <w:abstractNum w:abstractNumId="106">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7">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8">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9">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0">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1">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2">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3">
    <w:nsid w:val="606708B7"/>
    <w:multiLevelType w:val="multilevel"/>
    <w:tmpl w:val="606708B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4">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5">
    <w:nsid w:val="654E26F6"/>
    <w:multiLevelType w:val="singleLevel"/>
    <w:tmpl w:val="654E26F6"/>
    <w:lvl w:ilvl="0" w:tentative="0">
      <w:start w:val="1"/>
      <w:numFmt w:val="decimal"/>
      <w:suff w:val="nothing"/>
      <w:lvlText w:val="%1、"/>
      <w:lvlJc w:val="left"/>
    </w:lvl>
  </w:abstractNum>
  <w:abstractNum w:abstractNumId="116">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117">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9">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0">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1">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2">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3">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24">
    <w:nsid w:val="740F3425"/>
    <w:multiLevelType w:val="multilevel"/>
    <w:tmpl w:val="740F3425"/>
    <w:lvl w:ilvl="0" w:tentative="0">
      <w:start w:val="29"/>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5">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6">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7">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9">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9"/>
  </w:num>
  <w:num w:numId="2">
    <w:abstractNumId w:val="10"/>
  </w:num>
  <w:num w:numId="3">
    <w:abstractNumId w:val="104"/>
  </w:num>
  <w:num w:numId="4">
    <w:abstractNumId w:val="0"/>
  </w:num>
  <w:num w:numId="5">
    <w:abstractNumId w:val="105"/>
  </w:num>
  <w:num w:numId="6">
    <w:abstractNumId w:val="115"/>
  </w:num>
  <w:num w:numId="7">
    <w:abstractNumId w:val="4"/>
  </w:num>
  <w:num w:numId="8">
    <w:abstractNumId w:val="103"/>
  </w:num>
  <w:num w:numId="9">
    <w:abstractNumId w:val="7"/>
  </w:num>
  <w:num w:numId="10">
    <w:abstractNumId w:val="79"/>
  </w:num>
  <w:num w:numId="11">
    <w:abstractNumId w:val="80"/>
  </w:num>
  <w:num w:numId="12">
    <w:abstractNumId w:val="81"/>
  </w:num>
  <w:num w:numId="13">
    <w:abstractNumId w:val="82"/>
  </w:num>
  <w:num w:numId="14">
    <w:abstractNumId w:val="83"/>
  </w:num>
  <w:num w:numId="15">
    <w:abstractNumId w:val="84"/>
  </w:num>
  <w:num w:numId="16">
    <w:abstractNumId w:val="85"/>
  </w:num>
  <w:num w:numId="17">
    <w:abstractNumId w:val="86"/>
  </w:num>
  <w:num w:numId="18">
    <w:abstractNumId w:val="87"/>
  </w:num>
  <w:num w:numId="19">
    <w:abstractNumId w:val="88"/>
  </w:num>
  <w:num w:numId="20">
    <w:abstractNumId w:val="89"/>
  </w:num>
  <w:num w:numId="21">
    <w:abstractNumId w:val="91"/>
  </w:num>
  <w:num w:numId="22">
    <w:abstractNumId w:val="90"/>
  </w:num>
  <w:num w:numId="23">
    <w:abstractNumId w:val="47"/>
  </w:num>
  <w:num w:numId="24">
    <w:abstractNumId w:val="92"/>
  </w:num>
  <w:num w:numId="25">
    <w:abstractNumId w:val="93"/>
  </w:num>
  <w:num w:numId="26">
    <w:abstractNumId w:val="94"/>
  </w:num>
  <w:num w:numId="27">
    <w:abstractNumId w:val="96"/>
  </w:num>
  <w:num w:numId="28">
    <w:abstractNumId w:val="97"/>
  </w:num>
  <w:num w:numId="29">
    <w:abstractNumId w:val="98"/>
  </w:num>
  <w:num w:numId="30">
    <w:abstractNumId w:val="99"/>
  </w:num>
  <w:num w:numId="31">
    <w:abstractNumId w:val="100"/>
  </w:num>
  <w:num w:numId="32">
    <w:abstractNumId w:val="101"/>
  </w:num>
  <w:num w:numId="33">
    <w:abstractNumId w:val="95"/>
  </w:num>
  <w:num w:numId="34">
    <w:abstractNumId w:val="55"/>
  </w:num>
  <w:num w:numId="35">
    <w:abstractNumId w:val="6"/>
  </w:num>
  <w:num w:numId="36">
    <w:abstractNumId w:val="3"/>
  </w:num>
  <w:num w:numId="37">
    <w:abstractNumId w:val="102"/>
  </w:num>
  <w:num w:numId="38">
    <w:abstractNumId w:val="48"/>
  </w:num>
  <w:num w:numId="39">
    <w:abstractNumId w:val="49"/>
  </w:num>
  <w:num w:numId="40">
    <w:abstractNumId w:val="50"/>
  </w:num>
  <w:num w:numId="41">
    <w:abstractNumId w:val="51"/>
  </w:num>
  <w:num w:numId="42">
    <w:abstractNumId w:val="52"/>
  </w:num>
  <w:num w:numId="43">
    <w:abstractNumId w:val="53"/>
  </w:num>
  <w:num w:numId="44">
    <w:abstractNumId w:val="54"/>
  </w:num>
  <w:num w:numId="45">
    <w:abstractNumId w:val="57"/>
  </w:num>
  <w:num w:numId="46">
    <w:abstractNumId w:val="56"/>
  </w:num>
  <w:num w:numId="47">
    <w:abstractNumId w:val="58"/>
  </w:num>
  <w:num w:numId="48">
    <w:abstractNumId w:val="59"/>
  </w:num>
  <w:num w:numId="49">
    <w:abstractNumId w:val="60"/>
  </w:num>
  <w:num w:numId="50">
    <w:abstractNumId w:val="61"/>
  </w:num>
  <w:num w:numId="51">
    <w:abstractNumId w:val="62"/>
  </w:num>
  <w:num w:numId="52">
    <w:abstractNumId w:val="63"/>
  </w:num>
  <w:num w:numId="53">
    <w:abstractNumId w:val="64"/>
  </w:num>
  <w:num w:numId="54">
    <w:abstractNumId w:val="65"/>
  </w:num>
  <w:num w:numId="55">
    <w:abstractNumId w:val="66"/>
  </w:num>
  <w:num w:numId="56">
    <w:abstractNumId w:val="113"/>
  </w:num>
  <w:num w:numId="57">
    <w:abstractNumId w:val="67"/>
  </w:num>
  <w:num w:numId="58">
    <w:abstractNumId w:val="68"/>
  </w:num>
  <w:num w:numId="59">
    <w:abstractNumId w:val="69"/>
  </w:num>
  <w:num w:numId="60">
    <w:abstractNumId w:val="70"/>
  </w:num>
  <w:num w:numId="61">
    <w:abstractNumId w:val="71"/>
  </w:num>
  <w:num w:numId="62">
    <w:abstractNumId w:val="72"/>
  </w:num>
  <w:num w:numId="63">
    <w:abstractNumId w:val="73"/>
  </w:num>
  <w:num w:numId="64">
    <w:abstractNumId w:val="74"/>
  </w:num>
  <w:num w:numId="65">
    <w:abstractNumId w:val="75"/>
  </w:num>
  <w:num w:numId="66">
    <w:abstractNumId w:val="76"/>
  </w:num>
  <w:num w:numId="67">
    <w:abstractNumId w:val="77"/>
  </w:num>
  <w:num w:numId="68">
    <w:abstractNumId w:val="78"/>
  </w:num>
  <w:num w:numId="69">
    <w:abstractNumId w:val="15"/>
  </w:num>
  <w:num w:numId="70">
    <w:abstractNumId w:val="8"/>
  </w:num>
  <w:num w:numId="71">
    <w:abstractNumId w:val="12"/>
  </w:num>
  <w:num w:numId="72">
    <w:abstractNumId w:val="2"/>
  </w:num>
  <w:num w:numId="73">
    <w:abstractNumId w:val="5"/>
  </w:num>
  <w:num w:numId="74">
    <w:abstractNumId w:val="33"/>
  </w:num>
  <w:num w:numId="75">
    <w:abstractNumId w:val="118"/>
  </w:num>
  <w:num w:numId="76">
    <w:abstractNumId w:val="38"/>
  </w:num>
  <w:num w:numId="77">
    <w:abstractNumId w:val="41"/>
  </w:num>
  <w:num w:numId="78">
    <w:abstractNumId w:val="114"/>
  </w:num>
  <w:num w:numId="79">
    <w:abstractNumId w:val="25"/>
  </w:num>
  <w:num w:numId="80">
    <w:abstractNumId w:val="27"/>
  </w:num>
  <w:num w:numId="81">
    <w:abstractNumId w:val="128"/>
  </w:num>
  <w:num w:numId="82">
    <w:abstractNumId w:val="110"/>
  </w:num>
  <w:num w:numId="83">
    <w:abstractNumId w:val="126"/>
  </w:num>
  <w:num w:numId="84">
    <w:abstractNumId w:val="18"/>
  </w:num>
  <w:num w:numId="85">
    <w:abstractNumId w:val="20"/>
  </w:num>
  <w:num w:numId="86">
    <w:abstractNumId w:val="108"/>
  </w:num>
  <w:num w:numId="87">
    <w:abstractNumId w:val="35"/>
  </w:num>
  <w:num w:numId="88">
    <w:abstractNumId w:val="106"/>
  </w:num>
  <w:num w:numId="89">
    <w:abstractNumId w:val="117"/>
  </w:num>
  <w:num w:numId="90">
    <w:abstractNumId w:val="42"/>
  </w:num>
  <w:num w:numId="91">
    <w:abstractNumId w:val="36"/>
  </w:num>
  <w:num w:numId="92">
    <w:abstractNumId w:val="14"/>
  </w:num>
  <w:num w:numId="93">
    <w:abstractNumId w:val="30"/>
  </w:num>
  <w:num w:numId="94">
    <w:abstractNumId w:val="29"/>
  </w:num>
  <w:num w:numId="95">
    <w:abstractNumId w:val="125"/>
  </w:num>
  <w:num w:numId="96">
    <w:abstractNumId w:val="119"/>
  </w:num>
  <w:num w:numId="97">
    <w:abstractNumId w:val="112"/>
  </w:num>
  <w:num w:numId="98">
    <w:abstractNumId w:val="121"/>
  </w:num>
  <w:num w:numId="99">
    <w:abstractNumId w:val="46"/>
  </w:num>
  <w:num w:numId="100">
    <w:abstractNumId w:val="21"/>
  </w:num>
  <w:num w:numId="101">
    <w:abstractNumId w:val="32"/>
  </w:num>
  <w:num w:numId="102">
    <w:abstractNumId w:val="124"/>
  </w:num>
  <w:num w:numId="103">
    <w:abstractNumId w:val="31"/>
  </w:num>
  <w:num w:numId="104">
    <w:abstractNumId w:val="34"/>
  </w:num>
  <w:num w:numId="105">
    <w:abstractNumId w:val="16"/>
  </w:num>
  <w:num w:numId="106">
    <w:abstractNumId w:val="26"/>
  </w:num>
  <w:num w:numId="107">
    <w:abstractNumId w:val="111"/>
  </w:num>
  <w:num w:numId="108">
    <w:abstractNumId w:val="44"/>
  </w:num>
  <w:num w:numId="109">
    <w:abstractNumId w:val="127"/>
  </w:num>
  <w:num w:numId="110">
    <w:abstractNumId w:val="129"/>
  </w:num>
  <w:num w:numId="111">
    <w:abstractNumId w:val="28"/>
  </w:num>
  <w:num w:numId="112">
    <w:abstractNumId w:val="22"/>
  </w:num>
  <w:num w:numId="113">
    <w:abstractNumId w:val="45"/>
  </w:num>
  <w:num w:numId="114">
    <w:abstractNumId w:val="122"/>
  </w:num>
  <w:num w:numId="115">
    <w:abstractNumId w:val="120"/>
  </w:num>
  <w:num w:numId="116">
    <w:abstractNumId w:val="109"/>
  </w:num>
  <w:num w:numId="117">
    <w:abstractNumId w:val="13"/>
  </w:num>
  <w:num w:numId="118">
    <w:abstractNumId w:val="123"/>
  </w:num>
  <w:num w:numId="119">
    <w:abstractNumId w:val="24"/>
  </w:num>
  <w:num w:numId="120">
    <w:abstractNumId w:val="11"/>
  </w:num>
  <w:num w:numId="121">
    <w:abstractNumId w:val="107"/>
  </w:num>
  <w:num w:numId="122">
    <w:abstractNumId w:val="23"/>
  </w:num>
  <w:num w:numId="123">
    <w:abstractNumId w:val="17"/>
  </w:num>
  <w:num w:numId="124">
    <w:abstractNumId w:val="116"/>
  </w:num>
  <w:num w:numId="125">
    <w:abstractNumId w:val="43"/>
  </w:num>
  <w:num w:numId="126">
    <w:abstractNumId w:val="39"/>
  </w:num>
  <w:num w:numId="127">
    <w:abstractNumId w:val="40"/>
  </w:num>
  <w:num w:numId="128">
    <w:abstractNumId w:val="37"/>
  </w:num>
  <w:num w:numId="129">
    <w:abstractNumId w:val="1"/>
  </w:num>
  <w:num w:numId="1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D3FE2"/>
    <w:rsid w:val="005E1EEC"/>
    <w:rsid w:val="005E3FAA"/>
    <w:rsid w:val="005E60FE"/>
    <w:rsid w:val="005E781B"/>
    <w:rsid w:val="005F4263"/>
    <w:rsid w:val="005F6BFD"/>
    <w:rsid w:val="0061174C"/>
    <w:rsid w:val="0061264C"/>
    <w:rsid w:val="00620A5F"/>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 w:val="02840747"/>
    <w:rsid w:val="04B536B0"/>
    <w:rsid w:val="04CC142C"/>
    <w:rsid w:val="05DE2256"/>
    <w:rsid w:val="07CB1886"/>
    <w:rsid w:val="091F5496"/>
    <w:rsid w:val="095630A4"/>
    <w:rsid w:val="096B55F2"/>
    <w:rsid w:val="0ABA3A82"/>
    <w:rsid w:val="0B3C757E"/>
    <w:rsid w:val="0C0C43B3"/>
    <w:rsid w:val="0C84298E"/>
    <w:rsid w:val="0CA1510D"/>
    <w:rsid w:val="0CD5291F"/>
    <w:rsid w:val="12C932AF"/>
    <w:rsid w:val="13CD6C7C"/>
    <w:rsid w:val="148C3ED8"/>
    <w:rsid w:val="156F0174"/>
    <w:rsid w:val="157A68EA"/>
    <w:rsid w:val="19703EDA"/>
    <w:rsid w:val="1ABC33BA"/>
    <w:rsid w:val="1B704A88"/>
    <w:rsid w:val="1C2C6E41"/>
    <w:rsid w:val="1C304AD0"/>
    <w:rsid w:val="1CED7F7A"/>
    <w:rsid w:val="22B6586E"/>
    <w:rsid w:val="24161BED"/>
    <w:rsid w:val="26766A30"/>
    <w:rsid w:val="281F28DF"/>
    <w:rsid w:val="2B2340EB"/>
    <w:rsid w:val="2BB27A8A"/>
    <w:rsid w:val="332E21C0"/>
    <w:rsid w:val="344F3478"/>
    <w:rsid w:val="349C31E8"/>
    <w:rsid w:val="34A0145B"/>
    <w:rsid w:val="36575D46"/>
    <w:rsid w:val="384D766E"/>
    <w:rsid w:val="388F0711"/>
    <w:rsid w:val="393B0401"/>
    <w:rsid w:val="3B964A58"/>
    <w:rsid w:val="3C4B0E70"/>
    <w:rsid w:val="3CC1702F"/>
    <w:rsid w:val="40301170"/>
    <w:rsid w:val="419D472B"/>
    <w:rsid w:val="41FA550B"/>
    <w:rsid w:val="44733299"/>
    <w:rsid w:val="46232B27"/>
    <w:rsid w:val="463C6DB3"/>
    <w:rsid w:val="47B27561"/>
    <w:rsid w:val="47D4161F"/>
    <w:rsid w:val="484057AE"/>
    <w:rsid w:val="496D648B"/>
    <w:rsid w:val="4B9D3CA0"/>
    <w:rsid w:val="4D5B5A05"/>
    <w:rsid w:val="4E872575"/>
    <w:rsid w:val="501D7499"/>
    <w:rsid w:val="51807F02"/>
    <w:rsid w:val="526D4588"/>
    <w:rsid w:val="55931354"/>
    <w:rsid w:val="56015981"/>
    <w:rsid w:val="56D43EFB"/>
    <w:rsid w:val="57372FF6"/>
    <w:rsid w:val="576B28B1"/>
    <w:rsid w:val="5C085522"/>
    <w:rsid w:val="5DA62BBC"/>
    <w:rsid w:val="5FEC7A38"/>
    <w:rsid w:val="63AF0298"/>
    <w:rsid w:val="6542412F"/>
    <w:rsid w:val="65FE437E"/>
    <w:rsid w:val="66C02337"/>
    <w:rsid w:val="67D444FF"/>
    <w:rsid w:val="68DB481C"/>
    <w:rsid w:val="6ACE1BDF"/>
    <w:rsid w:val="6D1C2ED9"/>
    <w:rsid w:val="6D842A93"/>
    <w:rsid w:val="6D9269EF"/>
    <w:rsid w:val="72D55C8A"/>
    <w:rsid w:val="735206BD"/>
    <w:rsid w:val="753A57F2"/>
    <w:rsid w:val="75ED49C8"/>
    <w:rsid w:val="77527AE0"/>
    <w:rsid w:val="77772537"/>
    <w:rsid w:val="77EA03FB"/>
    <w:rsid w:val="782C63CB"/>
    <w:rsid w:val="79BC3F63"/>
    <w:rsid w:val="7A960213"/>
    <w:rsid w:val="7ABB1F4B"/>
    <w:rsid w:val="7AD1378D"/>
    <w:rsid w:val="7C0461C8"/>
    <w:rsid w:val="7D134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annotation text"/>
    <w:basedOn w:val="1"/>
    <w:unhideWhenUsed/>
    <w:qFormat/>
    <w:uiPriority w:val="0"/>
    <w:pPr>
      <w:jc w:val="left"/>
    </w:pPr>
  </w:style>
  <w:style w:type="paragraph" w:styleId="10">
    <w:name w:val="Body Text 3"/>
    <w:basedOn w:val="1"/>
    <w:link w:val="50"/>
    <w:qFormat/>
    <w:uiPriority w:val="0"/>
    <w:rPr>
      <w:rFonts w:ascii="Times New Roman" w:hAnsi="Times New Roman" w:eastAsia="宋体" w:cs="Times New Roman"/>
      <w:color w:val="FF0000"/>
      <w:sz w:val="24"/>
      <w:szCs w:val="24"/>
    </w:rPr>
  </w:style>
  <w:style w:type="paragraph" w:styleId="11">
    <w:name w:val="Body Text"/>
    <w:basedOn w:val="1"/>
    <w:link w:val="54"/>
    <w:semiHidden/>
    <w:unhideWhenUsed/>
    <w:qFormat/>
    <w:uiPriority w:val="99"/>
    <w:pPr>
      <w:spacing w:after="120"/>
    </w:pPr>
  </w:style>
  <w:style w:type="paragraph" w:styleId="12">
    <w:name w:val="Body Text Indent"/>
    <w:basedOn w:val="1"/>
    <w:link w:val="59"/>
    <w:qFormat/>
    <w:uiPriority w:val="0"/>
    <w:pPr>
      <w:adjustRightInd w:val="0"/>
      <w:spacing w:after="120" w:line="360" w:lineRule="atLeast"/>
      <w:ind w:left="420" w:leftChars="200"/>
      <w:jc w:val="left"/>
      <w:textAlignment w:val="baseline"/>
    </w:pPr>
    <w:rPr>
      <w:sz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6"/>
    <w:qFormat/>
    <w:uiPriority w:val="0"/>
    <w:rPr>
      <w:rFonts w:eastAsia="宋体"/>
      <w:sz w:val="24"/>
    </w:rPr>
  </w:style>
  <w:style w:type="paragraph" w:styleId="16">
    <w:name w:val="Date"/>
    <w:basedOn w:val="1"/>
    <w:next w:val="1"/>
    <w:link w:val="37"/>
    <w:unhideWhenUsed/>
    <w:qFormat/>
    <w:uiPriority w:val="99"/>
    <w:pPr>
      <w:ind w:left="100" w:leftChars="2500"/>
    </w:pPr>
  </w:style>
  <w:style w:type="paragraph" w:styleId="17">
    <w:name w:val="Balloon Text"/>
    <w:basedOn w:val="1"/>
    <w:link w:val="61"/>
    <w:semiHidden/>
    <w:unhideWhenUsed/>
    <w:qFormat/>
    <w:uiPriority w:val="99"/>
    <w:rPr>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footnote text"/>
    <w:semiHidden/>
    <w:qFormat/>
    <w:uiPriority w:val="99"/>
    <w:pPr>
      <w:widowControl w:val="0"/>
      <w:snapToGrid w:val="0"/>
      <w:jc w:val="left"/>
    </w:pPr>
    <w:rPr>
      <w:rFonts w:ascii="Book Antiqua" w:hAnsi="Book Antiqua" w:eastAsia="宋体" w:cs="Times New Roman"/>
      <w:kern w:val="2"/>
      <w:sz w:val="18"/>
      <w:szCs w:val="18"/>
      <w:lang w:val="en-US" w:eastAsia="zh-CN" w:bidi="ar-SA"/>
    </w:rPr>
  </w:style>
  <w:style w:type="paragraph" w:styleId="2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3">
    <w:name w:val="HTML Preformatted"/>
    <w:basedOn w:val="1"/>
    <w:link w:val="5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paragraph" w:styleId="25">
    <w:name w:val="Body Text First Indent"/>
    <w:basedOn w:val="11"/>
    <w:link w:val="55"/>
    <w:qFormat/>
    <w:uiPriority w:val="0"/>
    <w:pPr>
      <w:ind w:firstLine="420" w:firstLineChars="100"/>
    </w:pPr>
    <w:rPr>
      <w:rFonts w:ascii="宋体" w:hAnsi="Times New Roman" w:eastAsia="宋体" w:cs="Times New Roman"/>
      <w:kern w:val="0"/>
      <w:sz w:val="34"/>
      <w:szCs w:val="20"/>
    </w:rPr>
  </w:style>
  <w:style w:type="table" w:styleId="27">
    <w:name w:val="Table Grid"/>
    <w:basedOn w:val="2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FollowedHyperlink"/>
    <w:basedOn w:val="28"/>
    <w:semiHidden/>
    <w:unhideWhenUsed/>
    <w:qFormat/>
    <w:uiPriority w:val="99"/>
    <w:rPr>
      <w:color w:val="800080" w:themeColor="followedHyperlink"/>
      <w:u w:val="single"/>
    </w:rPr>
  </w:style>
  <w:style w:type="character" w:styleId="31">
    <w:name w:val="Hyperlink"/>
    <w:basedOn w:val="28"/>
    <w:unhideWhenUsed/>
    <w:qFormat/>
    <w:uiPriority w:val="99"/>
    <w:rPr>
      <w:color w:val="0000FF"/>
      <w:u w:val="single"/>
    </w:rPr>
  </w:style>
  <w:style w:type="character" w:customStyle="1" w:styleId="32">
    <w:name w:val="标题 1 Char"/>
    <w:basedOn w:val="28"/>
    <w:link w:val="3"/>
    <w:qFormat/>
    <w:uiPriority w:val="0"/>
    <w:rPr>
      <w:rFonts w:ascii="Calibri" w:hAnsi="Calibri" w:eastAsia="宋体" w:cs="Times New Roman"/>
      <w:b/>
      <w:bCs/>
      <w:kern w:val="44"/>
      <w:sz w:val="44"/>
      <w:szCs w:val="44"/>
    </w:rPr>
  </w:style>
  <w:style w:type="character" w:customStyle="1" w:styleId="33">
    <w:name w:val="标题 2 Char"/>
    <w:basedOn w:val="28"/>
    <w:link w:val="4"/>
    <w:qFormat/>
    <w:uiPriority w:val="0"/>
    <w:rPr>
      <w:rFonts w:ascii="Arial" w:hAnsi="Arial" w:eastAsia="黑体" w:cs="Times New Roman"/>
      <w:b/>
      <w:bCs/>
      <w:kern w:val="0"/>
      <w:sz w:val="32"/>
      <w:szCs w:val="32"/>
    </w:rPr>
  </w:style>
  <w:style w:type="character" w:customStyle="1" w:styleId="34">
    <w:name w:val="标题 3 Char"/>
    <w:basedOn w:val="28"/>
    <w:link w:val="5"/>
    <w:qFormat/>
    <w:uiPriority w:val="0"/>
    <w:rPr>
      <w:rFonts w:ascii="宋体" w:hAnsi="宋体" w:eastAsia="宋体" w:cs="Times New Roman"/>
      <w:b/>
      <w:color w:val="000000"/>
      <w:kern w:val="0"/>
      <w:sz w:val="24"/>
      <w:szCs w:val="20"/>
      <w:lang w:val="en-GB"/>
    </w:rPr>
  </w:style>
  <w:style w:type="character" w:customStyle="1" w:styleId="35">
    <w:name w:val="标题 4 Char"/>
    <w:basedOn w:val="28"/>
    <w:link w:val="6"/>
    <w:qFormat/>
    <w:uiPriority w:val="0"/>
    <w:rPr>
      <w:rFonts w:ascii="Arial" w:hAnsi="Arial" w:eastAsia="黑体" w:cs="Times New Roman"/>
      <w:b/>
      <w:bCs/>
      <w:kern w:val="0"/>
      <w:sz w:val="28"/>
      <w:szCs w:val="28"/>
    </w:rPr>
  </w:style>
  <w:style w:type="character" w:customStyle="1" w:styleId="36">
    <w:name w:val="纯文本 Char"/>
    <w:basedOn w:val="28"/>
    <w:link w:val="15"/>
    <w:qFormat/>
    <w:uiPriority w:val="0"/>
    <w:rPr>
      <w:rFonts w:eastAsia="宋体"/>
      <w:sz w:val="24"/>
    </w:rPr>
  </w:style>
  <w:style w:type="character" w:customStyle="1" w:styleId="37">
    <w:name w:val="日期 Char"/>
    <w:basedOn w:val="28"/>
    <w:link w:val="16"/>
    <w:qFormat/>
    <w:uiPriority w:val="99"/>
  </w:style>
  <w:style w:type="character" w:customStyle="1" w:styleId="38">
    <w:name w:val="页脚 Char"/>
    <w:basedOn w:val="28"/>
    <w:link w:val="18"/>
    <w:qFormat/>
    <w:uiPriority w:val="99"/>
    <w:rPr>
      <w:sz w:val="18"/>
      <w:szCs w:val="18"/>
    </w:rPr>
  </w:style>
  <w:style w:type="character" w:customStyle="1" w:styleId="39">
    <w:name w:val="页眉 Char"/>
    <w:basedOn w:val="28"/>
    <w:link w:val="19"/>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42">
    <w:name w:val="List Paragraph"/>
    <w:basedOn w:val="1"/>
    <w:unhideWhenUsed/>
    <w:qFormat/>
    <w:uiPriority w:val="99"/>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Char"/>
    <w:basedOn w:val="28"/>
    <w:link w:val="10"/>
    <w:qFormat/>
    <w:uiPriority w:val="0"/>
    <w:rPr>
      <w:rFonts w:ascii="Times New Roman" w:hAnsi="Times New Roman" w:eastAsia="宋体" w:cs="Times New Roman"/>
      <w:color w:val="FF0000"/>
      <w:sz w:val="24"/>
      <w:szCs w:val="24"/>
    </w:rPr>
  </w:style>
  <w:style w:type="character" w:customStyle="1" w:styleId="51">
    <w:name w:val="edittexttarea"/>
    <w:basedOn w:val="28"/>
    <w:qFormat/>
    <w:uiPriority w:val="0"/>
  </w:style>
  <w:style w:type="paragraph" w:customStyle="1" w:styleId="52">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Char"/>
    <w:basedOn w:val="28"/>
    <w:link w:val="11"/>
    <w:semiHidden/>
    <w:qFormat/>
    <w:uiPriority w:val="99"/>
  </w:style>
  <w:style w:type="character" w:customStyle="1" w:styleId="55">
    <w:name w:val="正文首行缩进 Char"/>
    <w:basedOn w:val="54"/>
    <w:link w:val="25"/>
    <w:qFormat/>
    <w:uiPriority w:val="0"/>
    <w:rPr>
      <w:rFonts w:ascii="宋体" w:hAnsi="Times New Roman" w:eastAsia="宋体" w:cs="Times New Roman"/>
      <w:kern w:val="0"/>
      <w:sz w:val="34"/>
      <w:szCs w:val="20"/>
    </w:rPr>
  </w:style>
  <w:style w:type="character" w:customStyle="1" w:styleId="56">
    <w:name w:val="HTML 预设格式 Char"/>
    <w:basedOn w:val="28"/>
    <w:link w:val="23"/>
    <w:semiHidden/>
    <w:qFormat/>
    <w:uiPriority w:val="99"/>
    <w:rPr>
      <w:rFonts w:ascii="宋体" w:hAnsi="宋体" w:eastAsia="宋体" w:cs="宋体"/>
      <w:kern w:val="0"/>
      <w:sz w:val="24"/>
      <w:szCs w:val="24"/>
    </w:rPr>
  </w:style>
  <w:style w:type="character" w:customStyle="1" w:styleId="57">
    <w:name w:val="HTML 预设格式 Char1"/>
    <w:basedOn w:val="28"/>
    <w:link w:val="23"/>
    <w:semiHidden/>
    <w:qFormat/>
    <w:uiPriority w:val="99"/>
    <w:rPr>
      <w:rFonts w:ascii="Courier New" w:hAnsi="Courier New" w:cs="Courier New"/>
      <w:sz w:val="20"/>
      <w:szCs w:val="20"/>
    </w:rPr>
  </w:style>
  <w:style w:type="character" w:customStyle="1" w:styleId="58">
    <w:name w:val="正文文本缩进 Char"/>
    <w:link w:val="12"/>
    <w:qFormat/>
    <w:uiPriority w:val="0"/>
    <w:rPr>
      <w:sz w:val="24"/>
    </w:rPr>
  </w:style>
  <w:style w:type="character" w:customStyle="1" w:styleId="59">
    <w:name w:val="正文文本缩进 Char1"/>
    <w:basedOn w:val="28"/>
    <w:link w:val="12"/>
    <w:semiHidden/>
    <w:qFormat/>
    <w:uiPriority w:val="99"/>
  </w:style>
  <w:style w:type="character" w:customStyle="1" w:styleId="60">
    <w:name w:val="批注框文本 Char"/>
    <w:basedOn w:val="28"/>
    <w:link w:val="17"/>
    <w:semiHidden/>
    <w:qFormat/>
    <w:uiPriority w:val="99"/>
    <w:rPr>
      <w:sz w:val="18"/>
      <w:szCs w:val="18"/>
    </w:rPr>
  </w:style>
  <w:style w:type="character" w:customStyle="1" w:styleId="61">
    <w:name w:val="批注框文本 Char1"/>
    <w:basedOn w:val="28"/>
    <w:link w:val="17"/>
    <w:semiHidden/>
    <w:qFormat/>
    <w:uiPriority w:val="99"/>
    <w:rPr>
      <w:sz w:val="18"/>
      <w:szCs w:val="18"/>
    </w:rPr>
  </w:style>
  <w:style w:type="paragraph" w:customStyle="1" w:styleId="62">
    <w:name w:val="style4"/>
    <w:basedOn w:val="1"/>
    <w:next w:val="63"/>
    <w:qFormat/>
    <w:uiPriority w:val="0"/>
    <w:pPr>
      <w:widowControl/>
      <w:autoSpaceDE/>
      <w:autoSpaceDN/>
      <w:spacing w:before="280" w:after="280" w:line="240" w:lineRule="auto"/>
      <w:ind w:left="0" w:firstLine="0"/>
      <w:jc w:val="both"/>
    </w:pPr>
    <w:rPr>
      <w:rFonts w:ascii="宋体" w:hAnsi="Times New Roman" w:eastAsia="宋体" w:cs="Times New Roman"/>
      <w:sz w:val="18"/>
    </w:rPr>
  </w:style>
  <w:style w:type="paragraph" w:customStyle="1" w:styleId="6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4">
    <w:name w:val="表格文字"/>
    <w:basedOn w:val="1"/>
    <w:next w:val="11"/>
    <w:qFormat/>
    <w:uiPriority w:val="0"/>
    <w:rPr>
      <w:rFonts w:ascii="宋体" w:hAnsi="宋体"/>
      <w:bCs/>
      <w:kern w:val="0"/>
      <w:szCs w:val="18"/>
    </w:rPr>
  </w:style>
  <w:style w:type="paragraph" w:customStyle="1" w:styleId="65">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66">
    <w:name w:val="题注1"/>
    <w:basedOn w:val="1"/>
    <w:next w:val="8"/>
    <w:qFormat/>
    <w:uiPriority w:val="0"/>
    <w:pPr>
      <w:tabs>
        <w:tab w:val="left" w:pos="420"/>
      </w:tabs>
      <w:spacing w:line="360" w:lineRule="auto"/>
      <w:ind w:left="284" w:hanging="284"/>
    </w:pPr>
    <w:rPr>
      <w:rFonts w:ascii="Calibri" w:hAnsi="Calibri" w:eastAsia="宋体" w:cs="Times New Roman"/>
      <w:szCs w:val="24"/>
    </w:rPr>
  </w:style>
  <w:style w:type="paragraph" w:customStyle="1" w:styleId="67">
    <w:name w:val="列出段落2"/>
    <w:basedOn w:val="1"/>
    <w:qFormat/>
    <w:uiPriority w:val="0"/>
    <w:pPr>
      <w:ind w:left="720"/>
      <w:contextualSpacing/>
    </w:pPr>
    <w:rPr>
      <w:rFonts w:ascii="Calibri" w:hAnsi="Calibri" w:eastAsia="宋体" w:cs="Times New Roman"/>
      <w:szCs w:val="24"/>
    </w:rPr>
  </w:style>
  <w:style w:type="paragraph" w:customStyle="1" w:styleId="68">
    <w:name w:val="首行缩进"/>
    <w:basedOn w:val="1"/>
    <w:qFormat/>
    <w:uiPriority w:val="0"/>
    <w:pPr>
      <w:spacing w:line="360" w:lineRule="auto"/>
      <w:ind w:firstLine="480" w:firstLineChars="200"/>
    </w:pPr>
    <w:rPr>
      <w:rFonts w:ascii="Calibri" w:hAnsi="Calibri" w:eastAsia="宋体" w:cs="Times New Roman"/>
      <w:sz w:val="24"/>
      <w:szCs w:val="24"/>
      <w:lang w:val="zh-CN"/>
    </w:rPr>
  </w:style>
  <w:style w:type="paragraph" w:customStyle="1" w:styleId="69">
    <w:name w:val="_Style 7"/>
    <w:basedOn w:val="1"/>
    <w:qFormat/>
    <w:uiPriority w:val="34"/>
    <w:pPr>
      <w:spacing w:after="120" w:line="360" w:lineRule="auto"/>
      <w:ind w:firstLine="420" w:firstLineChars="200"/>
    </w:pPr>
    <w:rPr>
      <w:rFonts w:ascii="Calibri" w:hAnsi="Calibri" w:eastAsia="宋体" w:cs="Times New Roman"/>
      <w:kern w:val="0"/>
      <w:sz w:val="24"/>
      <w:szCs w:val="20"/>
    </w:rPr>
  </w:style>
  <w:style w:type="paragraph" w:customStyle="1" w:styleId="70">
    <w:name w:val="样式 正文缩进 + 首行缩进:  2 字符"/>
    <w:basedOn w:val="7"/>
    <w:qFormat/>
    <w:uiPriority w:val="0"/>
    <w:pPr>
      <w:spacing w:line="360" w:lineRule="auto"/>
      <w:ind w:firstLine="200" w:firstLineChars="0"/>
    </w:pPr>
    <w:rPr>
      <w:rFonts w:ascii="Calibri" w:hAnsi="Calibri" w:eastAsia="宋体" w:cs="宋体"/>
      <w:sz w:val="24"/>
      <w:szCs w:val="20"/>
    </w:rPr>
  </w:style>
  <w:style w:type="paragraph" w:customStyle="1" w:styleId="71">
    <w:name w:val="正文 A"/>
    <w:next w:val="72"/>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72">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paragraph" w:customStyle="1" w:styleId="73">
    <w:name w:val="Table Paragraph"/>
    <w:basedOn w:val="1"/>
    <w:qFormat/>
    <w:uiPriority w:val="1"/>
    <w:pPr>
      <w:autoSpaceDE w:val="0"/>
      <w:autoSpaceDN w:val="0"/>
      <w:spacing w:before="90"/>
      <w:ind w:left="56"/>
      <w:jc w:val="center"/>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5796</Words>
  <Characters>33043</Characters>
  <Lines>275</Lines>
  <Paragraphs>77</Paragraphs>
  <TotalTime>0</TotalTime>
  <ScaleCrop>false</ScaleCrop>
  <LinksUpToDate>false</LinksUpToDate>
  <CharactersWithSpaces>38762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2019-08-05T00:24:00Z</dcterms:created>
  <dc:creator>许昌市公共资源交易中心:孟莉</dc:creator>
  <cp:lastModifiedBy>禹州市公共资源交易中心:侯英红</cp:lastModifiedBy>
  <cp:lastPrinted>2020-03-05T02:20:00Z</cp:lastPrinted>
  <dcterms:modified xsi:type="dcterms:W3CDTF">2020-06-19T07:21:14Z</dcterms:modified>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