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禹州市城区黑臭水体治理工程               </w:t>
      </w:r>
    </w:p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评标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结果公示</w:t>
      </w:r>
    </w:p>
    <w:p>
      <w:pPr>
        <w:autoSpaceDE w:val="0"/>
        <w:spacing w:line="312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一、基本情况和数据表</w:t>
      </w:r>
    </w:p>
    <w:p>
      <w:pPr>
        <w:autoSpaceDE w:val="0"/>
        <w:spacing w:line="312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(一) 项目概况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JSGC-SL-2020057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项目概况：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主要对城区牛沟河、花园河、倒流江、秦北沟、梁北沟、小泥河、禁沟等河道黑臭水体进行专项治理；完善沿河截污纳管工程；对城区主要河道重要河段进行水环境保护、水生态修复、水景观提升治理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招标控制价：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施工第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标段：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大写: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贰佰壹拾贰万陆仟陆佰零伍元伍角叁分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小写：￥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2126605.53 </w:t>
      </w:r>
      <w:r>
        <w:rPr>
          <w:rFonts w:hint="eastAsia" w:ascii="宋体" w:hAnsi="宋体" w:eastAsia="宋体" w:cs="宋体"/>
          <w:sz w:val="21"/>
          <w:szCs w:val="21"/>
        </w:rPr>
        <w:t>元（含规费、税金、安全文明施工措施费）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施工第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标段：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大写: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贰佰陆拾叁万玖仟壹佰玖拾贰元叁角肆分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小写：￥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2639192.34</w:t>
      </w:r>
      <w:r>
        <w:rPr>
          <w:rFonts w:hint="eastAsia" w:ascii="宋体" w:hAnsi="宋体" w:eastAsia="宋体" w:cs="宋体"/>
          <w:sz w:val="21"/>
          <w:szCs w:val="21"/>
        </w:rPr>
        <w:t>元（含规费、税金、安全文明施工措施费）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施工第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标段：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大写: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贰佰伍拾贰万肆仟玖佰壹拾陆元柒角柒分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小写：￥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2524916.77</w:t>
      </w:r>
      <w:r>
        <w:rPr>
          <w:rFonts w:hint="eastAsia" w:ascii="宋体" w:hAnsi="宋体" w:eastAsia="宋体" w:cs="宋体"/>
          <w:sz w:val="21"/>
          <w:szCs w:val="21"/>
        </w:rPr>
        <w:t>元（含规费、税金、安全文明施工措施费）</w:t>
      </w:r>
      <w:r>
        <w:rPr>
          <w:rFonts w:hint="eastAsia" w:hAnsi="宋体" w:eastAsia="宋体" w:cs="宋体"/>
          <w:sz w:val="21"/>
          <w:szCs w:val="21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4、质量要求：合格；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5、计划工期：施工第1、2、3标段均60日历天（可扣除施工现场受降雨影响的日历天）。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评标办法：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综合评标法；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资格审查方式：资格后审</w:t>
      </w:r>
    </w:p>
    <w:p>
      <w:pPr>
        <w:autoSpaceDE w:val="0"/>
        <w:spacing w:line="312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本工程招标采用公开招标方式进行，按照法定公开招标程序和要求，于 2020年5月19日至2020年6月1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日在</w:t>
      </w:r>
      <w:r>
        <w:rPr>
          <w:rFonts w:hint="eastAsia" w:ascii="宋体" w:hAnsi="宋体" w:eastAsia="宋体" w:cs="宋体"/>
          <w:bCs/>
          <w:szCs w:val="21"/>
        </w:rPr>
        <w:t>《河南省电子招标投标公共服务平台》、《全国公共资源交易平台（河南省·许昌市）》</w:t>
      </w:r>
      <w:r>
        <w:rPr>
          <w:rFonts w:hint="eastAsia" w:ascii="宋体" w:hAnsi="宋体"/>
          <w:color w:val="000000"/>
          <w:sz w:val="21"/>
          <w:szCs w:val="21"/>
        </w:rPr>
        <w:t>上公开发布招标信息，于投标截止时间递交投标文件及投标保证金的投标单位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施工第1标段3家，施工第2标段4家，施工第3标段5家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spacing w:line="312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（三）项目开标数据表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招标人名称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</w:rPr>
              <w:t>禹州市抗旱规划项目工程建设管理局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招标代理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机构名称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</w:rPr>
              <w:t>河北恒基建设招标有限公司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工程名称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  <w:lang w:eastAsia="zh-CN"/>
              </w:rPr>
              <w:t>禹州市城区黑臭水体治理工程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开标时间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10" w:hangingChars="100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2020年6月1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开标地点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禹州市公共资源交易中心开标1室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评标时间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10" w:hangingChars="100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2020年6月1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 xml:space="preserve"> 12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评标地点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禹州市公共资源交易中心评标4室</w:t>
            </w:r>
          </w:p>
        </w:tc>
      </w:tr>
    </w:tbl>
    <w:p>
      <w:pPr>
        <w:autoSpaceDE w:val="0"/>
        <w:spacing w:line="312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开标记录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施工第1标段：</w:t>
      </w:r>
    </w:p>
    <w:tbl>
      <w:tblPr>
        <w:tblStyle w:val="11"/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经理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对本次开标过程是否有异议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河南昊锦建设集团有限公司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2098159.35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尹基鑫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河南鸿盛建筑工程有限公司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2114800.41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河南中博建筑有限公司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2105766.87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60日历天（可扣除施工现场受降雨影响的日历天）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吴振华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2126605.53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施工第2标段：</w:t>
      </w:r>
    </w:p>
    <w:tbl>
      <w:tblPr>
        <w:tblStyle w:val="11"/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对本次开标过程是否有异议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河南颖淮建工有限公司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2586031.44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王江龙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河南正捷建筑工程有限公司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2624257.49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60日历天（可扣除施工现场受降雨影响的日历天）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马祥洋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2599608.39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60日历天（可扣除施工现场受降雨影响的日历天）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张广杰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2614008.86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汪艳艳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2639192.34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施工第3标段：</w:t>
      </w:r>
    </w:p>
    <w:tbl>
      <w:tblPr>
        <w:tblStyle w:val="11"/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对本次开标过程是否有异议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2523884.66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何龙飞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河南颖淮建工有限公司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2524405.39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2499939.13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 日历天（可扣除施工现场受降雨影响的日历天）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赵艳丽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2523116.06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王俊清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2477603.88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60日历天（可扣除施工现场受降雨影响的日历天）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张广杰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2524916.77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b/>
          <w:bCs/>
          <w:sz w:val="24"/>
          <w:szCs w:val="24"/>
        </w:rPr>
        <w:t>评标标准、评标办法或者评标因素一览表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2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详见招标文件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施工第1标段：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硬件特征码：</w:t>
      </w:r>
      <w:r>
        <w:rPr>
          <w:rFonts w:hint="eastAsia" w:ascii="宋体" w:hAnsi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家投标人均无雷同。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（一）初步评审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河南中博建筑有限公司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详细评审（详见评标委员会成员技术部分、商务部分评分表格）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rightChars="0"/>
        <w:textAlignment w:val="auto"/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施工第2标段：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硬件特征码：</w:t>
      </w:r>
      <w:r>
        <w:rPr>
          <w:rFonts w:hint="eastAsia" w:ascii="宋体" w:hAnsi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家投标人均无雷同。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（一）初步评审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河南颖淮建工有限公司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河南正捷建筑工程有限公司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许昌水利建筑工程有限公司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扶沟县第三建筑公司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详细评审（详见评标委员会成员技术部分、商务部分评分表格）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Chars="0" w:right="0" w:rightChars="0"/>
        <w:textAlignment w:val="auto"/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施工第3标段：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硬件特征码：</w:t>
      </w:r>
      <w:r>
        <w:rPr>
          <w:rFonts w:hint="eastAsia" w:ascii="宋体" w:hAnsi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家投标人均无雷同。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（一）初步评审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河南颖淮建工有限公司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许昌水利建筑工程有限公司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详细评审（详见评标委员会成员技术部分、商务部分评分表格）</w:t>
      </w:r>
    </w:p>
    <w:p>
      <w:pPr>
        <w:numPr>
          <w:ilvl w:val="0"/>
          <w:numId w:val="0"/>
        </w:num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施工第1标段：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河南鸿盛建筑工程有限公司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85.10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河南昊锦建设集团有限公司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81.44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河南中博建筑有限公司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79.38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施工第2标段：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许昌水利建筑工程有限公司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90.46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颍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淮建工有限公司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84.76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河南正捷建筑工程有限公司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74.84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扶沟县第三建筑公司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71.42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施工第3标段：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河南省嘉德建筑工程有限公司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92.80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许昌水利建筑工程有限公司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89.26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河南志鹏水利水电工程有限公司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83.87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颍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淮建工有限公司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76.38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中启建设有限公司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73.08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施工第1标段：</w:t>
      </w: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河南鸿盛建筑工程有限公司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85.1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河南昊锦建设集团有限公司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1.6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28.7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81.44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河南中博建筑有限公司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27.9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79.38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施工第2标段：</w:t>
      </w: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许昌水利建筑工程有限公司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27.46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90.46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  <w:lang w:val="en-US" w:eastAsia="zh-CN"/>
              </w:rPr>
              <w:t>颍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淮建工有限公司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84.76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河南正捷建筑工程有限公司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  <w:lang w:val="en-US" w:eastAsia="zh-CN"/>
              </w:rPr>
              <w:t>29.98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74.84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施工第3标段：</w:t>
      </w: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河南省嘉德建筑工程有限公司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30.9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92.8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许昌水利建筑工程有限公司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89.26</w:t>
            </w:r>
          </w:p>
        </w:tc>
      </w:tr>
    </w:tbl>
    <w:p>
      <w:pPr>
        <w:pStyle w:val="4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1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1905"/>
        <w:gridCol w:w="884"/>
        <w:gridCol w:w="1070"/>
        <w:gridCol w:w="1025"/>
        <w:gridCol w:w="958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9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中标候选人</w:t>
            </w:r>
          </w:p>
        </w:tc>
        <w:tc>
          <w:tcPr>
            <w:tcW w:w="49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sz w:val="21"/>
                <w:szCs w:val="21"/>
              </w:rPr>
              <w:t>河南志鹏水利水电工程有限公司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技术部分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1、施工方案与技术措施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2、质量管理体系与措施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安全管理及环境保护管理体系与措施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3、施工安全措施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4、文明施工措施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5、施工场地安保措施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6、施工环保措施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7、雨季施工措施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8、工程进度计划与措施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9、资源配备及现场布置计划（人员和设备等）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要求及承诺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1、成品保护和工程保修工作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2、紧急情况处理措施、预案及抵抗风险措施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3、其他实质性承诺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28.7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28.5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27.34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报价得分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报价平均分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  <w:lang w:val="en-US" w:eastAsia="zh-CN"/>
              </w:rPr>
              <w:t>29.9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综合部分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Cs w:val="21"/>
              </w:rPr>
              <w:t>业绩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企业实力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团队能力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体系认证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组织机构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服务承诺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26.6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83.87</w:t>
            </w:r>
          </w:p>
        </w:tc>
      </w:tr>
    </w:tbl>
    <w:p>
      <w:p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（一）推荐的中标候选人名单：</w:t>
      </w:r>
    </w:p>
    <w:p>
      <w:pPr>
        <w:spacing w:line="312" w:lineRule="auto"/>
        <w:ind w:firstLine="268" w:firstLineChars="100"/>
        <w:jc w:val="left"/>
        <w:rPr>
          <w:rFonts w:hint="eastAsia" w:ascii="宋体" w:hAnsi="宋体" w:eastAsia="宋体" w:cs="宋体"/>
          <w:color w:val="000000"/>
          <w:spacing w:val="14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4"/>
          <w:sz w:val="24"/>
          <w:szCs w:val="24"/>
        </w:rPr>
        <w:t>评标委员会按照招标文件要求，按得分由高到低顺序推荐中标候选人如下：</w:t>
      </w:r>
    </w:p>
    <w:p>
      <w:pPr>
        <w:spacing w:line="360" w:lineRule="auto"/>
        <w:ind w:firstLine="487" w:firstLineChars="202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施工</w:t>
      </w:r>
      <w:r>
        <w:rPr>
          <w:rFonts w:hint="eastAsia" w:ascii="宋体" w:hAnsi="宋体"/>
          <w:b/>
          <w:sz w:val="24"/>
          <w:szCs w:val="24"/>
          <w:lang w:eastAsia="zh-CN"/>
        </w:rPr>
        <w:t>第</w:t>
      </w:r>
      <w:r>
        <w:rPr>
          <w:rFonts w:hint="eastAsia" w:ascii="宋体" w:hAnsi="宋体"/>
          <w:b/>
          <w:sz w:val="24"/>
          <w:szCs w:val="24"/>
        </w:rPr>
        <w:t>1标段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河南鸿盛建筑工程有限公司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2114800.41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元，大写：贰佰壹拾壹万肆仟捌佰元肆角壹分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60 日历天 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古金  证书名称、编号：二级注册建造师 豫241161693490 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河南昊锦建设集团有限公司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2098159.35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元，大写：贰佰零玖万捌仟壹佰伍拾玖元叁角伍分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日历天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尹基鑫  证书名称、编号：二级注册建造师 豫 241171722107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河南中博建筑有限公司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12" w:lineRule="auto"/>
        <w:ind w:firstLine="268" w:firstLineChars="1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2105766.87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元，大写：贰佰壹拾万零伍仟柒佰陆拾陆元捌角柒分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60日历天（可扣除施工现场受降雨影响的日历天）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吴振华   证书名称、编号：二级注册建造师 豫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241111121015 </w:t>
      </w:r>
    </w:p>
    <w:p>
      <w:pPr>
        <w:spacing w:line="360" w:lineRule="auto"/>
        <w:ind w:firstLine="487" w:firstLineChars="202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施工</w:t>
      </w:r>
      <w:r>
        <w:rPr>
          <w:rFonts w:hint="eastAsia" w:ascii="宋体" w:hAnsi="宋体"/>
          <w:b/>
          <w:sz w:val="24"/>
          <w:szCs w:val="24"/>
          <w:lang w:eastAsia="zh-CN"/>
        </w:rPr>
        <w:t>第</w:t>
      </w:r>
      <w:r>
        <w:rPr>
          <w:rFonts w:hint="eastAsia" w:ascii="宋体" w:hAnsi="宋体"/>
          <w:b/>
          <w:sz w:val="24"/>
          <w:szCs w:val="24"/>
        </w:rPr>
        <w:t>2标段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许昌水利建筑工程有限公司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2599608.39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元，大写：贰佰伍拾玖万玖仟陆佰零捌元叁角玖分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日历天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张广杰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证书名称、编号：一级注册建造师 豫141060805277 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pacing w:val="14"/>
          <w:sz w:val="21"/>
          <w:szCs w:val="21"/>
        </w:rPr>
      </w:pPr>
      <w:r>
        <w:rPr>
          <w:rFonts w:hint="eastAsia" w:ascii="宋体" w:hAnsi="宋体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河南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  <w:lang w:val="en-US" w:eastAsia="zh-CN"/>
        </w:rPr>
        <w:t>颍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 xml:space="preserve">淮建工有限公司 </w:t>
      </w:r>
    </w:p>
    <w:p>
      <w:pPr>
        <w:spacing w:line="312" w:lineRule="auto"/>
        <w:ind w:firstLine="476" w:firstLineChars="200"/>
        <w:jc w:val="left"/>
        <w:rPr>
          <w:rFonts w:hint="eastAsia" w:ascii="宋体" w:hAnsi="宋体" w:eastAsia="宋体" w:cs="宋体"/>
          <w:color w:val="000000"/>
          <w:spacing w:val="1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投标报价：2586031.44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  <w:lang w:val="en-US" w:eastAsia="zh-CN"/>
        </w:rPr>
        <w:t xml:space="preserve"> 元，大写：贰佰伍拾捌万陆仟零叁拾壹元肆角肆分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日历天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王江龙 证书名称、编号：二级注册建造师 豫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241161688899 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河南正捷建筑工程有限公司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12" w:lineRule="auto"/>
        <w:ind w:firstLine="268" w:firstLineChars="1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2624257.49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元，大写：贰佰陆拾贰万肆仟贰佰伍拾柒元肆角玖分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60日历天（可扣除施工现场受降雨影响的日历天）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马祥洋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证书名称、编号：二级注册建造师 豫 241141577797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line="360" w:lineRule="auto"/>
        <w:ind w:firstLine="487" w:firstLineChars="202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施工</w:t>
      </w:r>
      <w:r>
        <w:rPr>
          <w:rFonts w:hint="eastAsia" w:ascii="宋体" w:hAnsi="宋体"/>
          <w:b/>
          <w:sz w:val="24"/>
          <w:szCs w:val="24"/>
          <w:lang w:eastAsia="zh-CN"/>
        </w:rPr>
        <w:t>第</w:t>
      </w:r>
      <w:r>
        <w:rPr>
          <w:rFonts w:hint="eastAsia" w:ascii="宋体" w:hAnsi="宋体"/>
          <w:b/>
          <w:sz w:val="24"/>
          <w:szCs w:val="24"/>
        </w:rPr>
        <w:t>3标段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第一中标候选人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：河南省嘉德建筑工程有限公司 </w:t>
      </w:r>
    </w:p>
    <w:p>
      <w:pPr>
        <w:spacing w:line="312" w:lineRule="auto"/>
        <w:ind w:firstLine="268" w:firstLineChars="100"/>
        <w:jc w:val="left"/>
        <w:rPr>
          <w:rFonts w:hint="default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投标报价：2499939.13元，大写：贰佰肆拾玖万玖仟玖佰叁拾玖元壹角叁分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60日历天（可扣除施工现场受降雨影响的日历天）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赵艳丽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证书名称、编号：二级注册建造师、豫 241151685574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许昌水利建筑工程有限公司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spacing w:val="14"/>
          <w:sz w:val="21"/>
          <w:szCs w:val="21"/>
        </w:rPr>
        <w:t>2477603.88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元，大写：贰佰肆拾柒万柒仟陆佰零叁元捌角捌分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60日历天（可扣除施工现场受降雨影响的日历天）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张广杰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证书名称、编号：二级注册建造师 豫141060805277 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第三中标候选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人：河南志鹏水利水电工程有限公司  </w:t>
      </w:r>
    </w:p>
    <w:p>
      <w:pPr>
        <w:spacing w:line="312" w:lineRule="auto"/>
        <w:ind w:firstLine="268" w:firstLineChars="1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投标报价：2523116.06 元，大写：贰佰伍拾贰万叁仟壹佰壹拾陆元零陆分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质量：合格</w:t>
      </w:r>
    </w:p>
    <w:p>
      <w:pPr>
        <w:spacing w:line="312" w:lineRule="auto"/>
        <w:ind w:firstLine="536" w:firstLineChars="200"/>
        <w:jc w:val="left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日历天</w:t>
      </w:r>
    </w:p>
    <w:p>
      <w:pPr>
        <w:keepNext w:val="0"/>
        <w:keepLines w:val="0"/>
        <w:widowControl/>
        <w:suppressLineNumbers w:val="0"/>
        <w:ind w:firstLine="536" w:firstLineChars="200"/>
        <w:jc w:val="left"/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王俊清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证书名称、编号：二级注册建造师 豫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241171718810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</w:t>
      </w:r>
      <w:r>
        <w:rPr>
          <w:rFonts w:hint="eastAsia" w:asciiTheme="minorEastAsia" w:hAnsiTheme="minorEastAsia"/>
          <w:sz w:val="21"/>
          <w:szCs w:val="21"/>
        </w:rPr>
        <w:t>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  <w:t>九、公示期：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22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招标人：禹州市抗旱规划项目工程建设管理局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  址：禹州市禹王大道东段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eastAsia="zh-CN"/>
        </w:rPr>
        <w:t>关小帅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0374-8183565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招标代理机构：河北恒基建设招标有限公司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地址：郑州市郑东新区金水东路与东风南路交叉口绿地原胜国际1号楼B座19楼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 系 人：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 丁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先生    联系电话：0371-61685888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邮    箱：hjjszb@126.com 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监督单位：禹州市水利局招标投标监督管理工作领导小组办公室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监督电话：0374-6068710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rPr>
          <w:rFonts w:asciiTheme="minorEastAsia" w:hAnsiTheme="minorEastAsia"/>
          <w:sz w:val="21"/>
          <w:szCs w:val="21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504FC"/>
    <w:multiLevelType w:val="singleLevel"/>
    <w:tmpl w:val="A40504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0F1431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3C284F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37E06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263E8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26247FB"/>
    <w:rsid w:val="027F2AD4"/>
    <w:rsid w:val="03714612"/>
    <w:rsid w:val="06810217"/>
    <w:rsid w:val="06B94F6C"/>
    <w:rsid w:val="06BF4D14"/>
    <w:rsid w:val="07366B7F"/>
    <w:rsid w:val="085A7F9B"/>
    <w:rsid w:val="08F8311A"/>
    <w:rsid w:val="08FE35FF"/>
    <w:rsid w:val="099C5668"/>
    <w:rsid w:val="09EA7F8D"/>
    <w:rsid w:val="0A545C1F"/>
    <w:rsid w:val="0A9A120B"/>
    <w:rsid w:val="0AF32395"/>
    <w:rsid w:val="0C216BCC"/>
    <w:rsid w:val="0C2F7101"/>
    <w:rsid w:val="0D094400"/>
    <w:rsid w:val="0DB25FF6"/>
    <w:rsid w:val="0E8A74ED"/>
    <w:rsid w:val="0EAD7AEB"/>
    <w:rsid w:val="0F0A4624"/>
    <w:rsid w:val="0F715007"/>
    <w:rsid w:val="0FC71DED"/>
    <w:rsid w:val="0FF326F1"/>
    <w:rsid w:val="101875F6"/>
    <w:rsid w:val="10443851"/>
    <w:rsid w:val="107131DF"/>
    <w:rsid w:val="10BA38B1"/>
    <w:rsid w:val="10D47E0D"/>
    <w:rsid w:val="10E3543C"/>
    <w:rsid w:val="11495459"/>
    <w:rsid w:val="11D63AFF"/>
    <w:rsid w:val="12102C96"/>
    <w:rsid w:val="12661890"/>
    <w:rsid w:val="12727C96"/>
    <w:rsid w:val="128532B0"/>
    <w:rsid w:val="128F133D"/>
    <w:rsid w:val="12BA4BEE"/>
    <w:rsid w:val="135779D2"/>
    <w:rsid w:val="138B21B3"/>
    <w:rsid w:val="13EA7F5F"/>
    <w:rsid w:val="14414F10"/>
    <w:rsid w:val="14F62D1C"/>
    <w:rsid w:val="155C3D3A"/>
    <w:rsid w:val="15641D2C"/>
    <w:rsid w:val="15A64D00"/>
    <w:rsid w:val="17240F06"/>
    <w:rsid w:val="17DE04D6"/>
    <w:rsid w:val="17FD074D"/>
    <w:rsid w:val="18503915"/>
    <w:rsid w:val="192C431E"/>
    <w:rsid w:val="19481A74"/>
    <w:rsid w:val="198A4C1E"/>
    <w:rsid w:val="19A4348F"/>
    <w:rsid w:val="19AE1A14"/>
    <w:rsid w:val="19D34D82"/>
    <w:rsid w:val="1A242555"/>
    <w:rsid w:val="1A5B0552"/>
    <w:rsid w:val="1A956E37"/>
    <w:rsid w:val="1AA23D90"/>
    <w:rsid w:val="1ADB2520"/>
    <w:rsid w:val="1B1C7549"/>
    <w:rsid w:val="1B784198"/>
    <w:rsid w:val="1C6B51B5"/>
    <w:rsid w:val="1C803D8C"/>
    <w:rsid w:val="1C9E4798"/>
    <w:rsid w:val="1D754FFB"/>
    <w:rsid w:val="1DD10182"/>
    <w:rsid w:val="1E255FB4"/>
    <w:rsid w:val="1E5860DC"/>
    <w:rsid w:val="1EA25844"/>
    <w:rsid w:val="1EA313AA"/>
    <w:rsid w:val="1EAC1B93"/>
    <w:rsid w:val="1F9C30E9"/>
    <w:rsid w:val="1FB102D8"/>
    <w:rsid w:val="205026C3"/>
    <w:rsid w:val="209D3020"/>
    <w:rsid w:val="211417E7"/>
    <w:rsid w:val="22D11CEE"/>
    <w:rsid w:val="231D0486"/>
    <w:rsid w:val="233177A9"/>
    <w:rsid w:val="23CC7167"/>
    <w:rsid w:val="2499589D"/>
    <w:rsid w:val="24F156FF"/>
    <w:rsid w:val="25002A16"/>
    <w:rsid w:val="25041E4D"/>
    <w:rsid w:val="255E7DC0"/>
    <w:rsid w:val="258B3C42"/>
    <w:rsid w:val="25952BCD"/>
    <w:rsid w:val="25ED1FB0"/>
    <w:rsid w:val="26371118"/>
    <w:rsid w:val="27C851AA"/>
    <w:rsid w:val="286D7C61"/>
    <w:rsid w:val="28D65D89"/>
    <w:rsid w:val="28EB2019"/>
    <w:rsid w:val="29611EE6"/>
    <w:rsid w:val="296C0569"/>
    <w:rsid w:val="29864B27"/>
    <w:rsid w:val="299A0B0D"/>
    <w:rsid w:val="2AB91B05"/>
    <w:rsid w:val="2AC524B2"/>
    <w:rsid w:val="2C0F3C60"/>
    <w:rsid w:val="2C5059D6"/>
    <w:rsid w:val="2C6E63B0"/>
    <w:rsid w:val="2C775A0F"/>
    <w:rsid w:val="2D012435"/>
    <w:rsid w:val="2D7D5B6F"/>
    <w:rsid w:val="2E2C7164"/>
    <w:rsid w:val="2E425DA9"/>
    <w:rsid w:val="2E951F4E"/>
    <w:rsid w:val="2F674F7F"/>
    <w:rsid w:val="313C57A4"/>
    <w:rsid w:val="313E48DB"/>
    <w:rsid w:val="31623E22"/>
    <w:rsid w:val="320927E8"/>
    <w:rsid w:val="328D4BED"/>
    <w:rsid w:val="32951B45"/>
    <w:rsid w:val="33481151"/>
    <w:rsid w:val="339A7857"/>
    <w:rsid w:val="34115200"/>
    <w:rsid w:val="3484538C"/>
    <w:rsid w:val="34F269C8"/>
    <w:rsid w:val="35077566"/>
    <w:rsid w:val="361D5DBB"/>
    <w:rsid w:val="37506517"/>
    <w:rsid w:val="384725C4"/>
    <w:rsid w:val="386C6D65"/>
    <w:rsid w:val="38AB2886"/>
    <w:rsid w:val="390F0EC7"/>
    <w:rsid w:val="3962762B"/>
    <w:rsid w:val="3A092EB1"/>
    <w:rsid w:val="3A4420F0"/>
    <w:rsid w:val="3A694B5F"/>
    <w:rsid w:val="3A7608FE"/>
    <w:rsid w:val="3A7F5EAE"/>
    <w:rsid w:val="3B036F67"/>
    <w:rsid w:val="3B3A1E55"/>
    <w:rsid w:val="3B464C7D"/>
    <w:rsid w:val="3D1D295D"/>
    <w:rsid w:val="3D5F37A3"/>
    <w:rsid w:val="3D79750F"/>
    <w:rsid w:val="3D990510"/>
    <w:rsid w:val="3E316BB2"/>
    <w:rsid w:val="3E382F8B"/>
    <w:rsid w:val="3F305038"/>
    <w:rsid w:val="40860A3B"/>
    <w:rsid w:val="40CD273C"/>
    <w:rsid w:val="41607504"/>
    <w:rsid w:val="417D50A6"/>
    <w:rsid w:val="41AF3FB7"/>
    <w:rsid w:val="42532D04"/>
    <w:rsid w:val="427158FA"/>
    <w:rsid w:val="42813BA5"/>
    <w:rsid w:val="44172494"/>
    <w:rsid w:val="442737AC"/>
    <w:rsid w:val="442C31AE"/>
    <w:rsid w:val="453A07B1"/>
    <w:rsid w:val="45BD2654"/>
    <w:rsid w:val="463F26C5"/>
    <w:rsid w:val="470A1518"/>
    <w:rsid w:val="478712BA"/>
    <w:rsid w:val="478A3084"/>
    <w:rsid w:val="47F4084D"/>
    <w:rsid w:val="492918EA"/>
    <w:rsid w:val="498A6D35"/>
    <w:rsid w:val="49BE375B"/>
    <w:rsid w:val="4A2F35BF"/>
    <w:rsid w:val="4B1B7A02"/>
    <w:rsid w:val="4B1D0FC9"/>
    <w:rsid w:val="4B3F7E01"/>
    <w:rsid w:val="4CCD3150"/>
    <w:rsid w:val="4CF614CF"/>
    <w:rsid w:val="4D002E11"/>
    <w:rsid w:val="4DE271A9"/>
    <w:rsid w:val="4E8601D2"/>
    <w:rsid w:val="4EFC3A0C"/>
    <w:rsid w:val="4F9F1193"/>
    <w:rsid w:val="50856EF7"/>
    <w:rsid w:val="509D1E4E"/>
    <w:rsid w:val="51486093"/>
    <w:rsid w:val="51864049"/>
    <w:rsid w:val="5276757A"/>
    <w:rsid w:val="527A0CA6"/>
    <w:rsid w:val="535F07EF"/>
    <w:rsid w:val="54784F6C"/>
    <w:rsid w:val="55AC135D"/>
    <w:rsid w:val="560D3068"/>
    <w:rsid w:val="566C0880"/>
    <w:rsid w:val="575341FD"/>
    <w:rsid w:val="577710B6"/>
    <w:rsid w:val="57BC42FC"/>
    <w:rsid w:val="58BA08F6"/>
    <w:rsid w:val="58E3208D"/>
    <w:rsid w:val="592616E7"/>
    <w:rsid w:val="594B118E"/>
    <w:rsid w:val="59EB4D57"/>
    <w:rsid w:val="5A7A4CF1"/>
    <w:rsid w:val="5ACA4B8C"/>
    <w:rsid w:val="5B334E49"/>
    <w:rsid w:val="5BE118CD"/>
    <w:rsid w:val="5C3162F3"/>
    <w:rsid w:val="5CC96F9D"/>
    <w:rsid w:val="5D0A3A16"/>
    <w:rsid w:val="5D9B6D30"/>
    <w:rsid w:val="5DDB77DA"/>
    <w:rsid w:val="5E010CF7"/>
    <w:rsid w:val="5E1E2F23"/>
    <w:rsid w:val="5E550D44"/>
    <w:rsid w:val="5EFE5428"/>
    <w:rsid w:val="5F113B68"/>
    <w:rsid w:val="5F416769"/>
    <w:rsid w:val="5FC54253"/>
    <w:rsid w:val="5FDB70C6"/>
    <w:rsid w:val="6108099F"/>
    <w:rsid w:val="617410B5"/>
    <w:rsid w:val="61A95695"/>
    <w:rsid w:val="61AC06AE"/>
    <w:rsid w:val="626D1DA5"/>
    <w:rsid w:val="62F639B4"/>
    <w:rsid w:val="63650098"/>
    <w:rsid w:val="639F7C88"/>
    <w:rsid w:val="63DD3A0C"/>
    <w:rsid w:val="6474788A"/>
    <w:rsid w:val="64C3698F"/>
    <w:rsid w:val="65AD5024"/>
    <w:rsid w:val="65F91CE1"/>
    <w:rsid w:val="66244570"/>
    <w:rsid w:val="66973D57"/>
    <w:rsid w:val="67053563"/>
    <w:rsid w:val="67256B99"/>
    <w:rsid w:val="67360782"/>
    <w:rsid w:val="67BC09C0"/>
    <w:rsid w:val="6A2565B6"/>
    <w:rsid w:val="6A4F682C"/>
    <w:rsid w:val="6BBF0F86"/>
    <w:rsid w:val="6BEA3A6B"/>
    <w:rsid w:val="6C095A3B"/>
    <w:rsid w:val="6C714979"/>
    <w:rsid w:val="6C7D6FC9"/>
    <w:rsid w:val="6CE45F67"/>
    <w:rsid w:val="6CE531C8"/>
    <w:rsid w:val="6CFD25BC"/>
    <w:rsid w:val="6D362AE9"/>
    <w:rsid w:val="6E163593"/>
    <w:rsid w:val="6E616F5D"/>
    <w:rsid w:val="6F1A0109"/>
    <w:rsid w:val="6F30688A"/>
    <w:rsid w:val="6F564DE9"/>
    <w:rsid w:val="7020732D"/>
    <w:rsid w:val="70437A24"/>
    <w:rsid w:val="71273F6D"/>
    <w:rsid w:val="71426EF9"/>
    <w:rsid w:val="7162437E"/>
    <w:rsid w:val="71D707CA"/>
    <w:rsid w:val="72451899"/>
    <w:rsid w:val="72F4344D"/>
    <w:rsid w:val="731E2912"/>
    <w:rsid w:val="738A167F"/>
    <w:rsid w:val="738D146F"/>
    <w:rsid w:val="73D61E53"/>
    <w:rsid w:val="73D93449"/>
    <w:rsid w:val="73DC0574"/>
    <w:rsid w:val="742C5AE7"/>
    <w:rsid w:val="74791530"/>
    <w:rsid w:val="753B5842"/>
    <w:rsid w:val="755975AE"/>
    <w:rsid w:val="765B0AC6"/>
    <w:rsid w:val="768C77E3"/>
    <w:rsid w:val="77D06853"/>
    <w:rsid w:val="781743E7"/>
    <w:rsid w:val="78D3748F"/>
    <w:rsid w:val="79417CE6"/>
    <w:rsid w:val="795B3933"/>
    <w:rsid w:val="7A8E0145"/>
    <w:rsid w:val="7A975B1B"/>
    <w:rsid w:val="7AC83C22"/>
    <w:rsid w:val="7AED45C5"/>
    <w:rsid w:val="7B6656E5"/>
    <w:rsid w:val="7BB61758"/>
    <w:rsid w:val="7BF50E11"/>
    <w:rsid w:val="7CA45380"/>
    <w:rsid w:val="7CA93D1C"/>
    <w:rsid w:val="7CB81300"/>
    <w:rsid w:val="7D697566"/>
    <w:rsid w:val="7D751C4C"/>
    <w:rsid w:val="7D8722BB"/>
    <w:rsid w:val="7D9B1AA4"/>
    <w:rsid w:val="7E3610F5"/>
    <w:rsid w:val="7F4061C5"/>
    <w:rsid w:val="7F423B9E"/>
    <w:rsid w:val="7F614FC4"/>
    <w:rsid w:val="7FD27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 w:cs="Arial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7">
    <w:name w:val="down1"/>
    <w:basedOn w:val="13"/>
    <w:qFormat/>
    <w:uiPriority w:val="0"/>
    <w:rPr>
      <w:shd w:val="clear" w:color="auto" w:fill="DAEEF9"/>
    </w:rPr>
  </w:style>
  <w:style w:type="character" w:customStyle="1" w:styleId="18">
    <w:name w:val="15"/>
    <w:basedOn w:val="13"/>
    <w:qFormat/>
    <w:uiPriority w:val="0"/>
  </w:style>
  <w:style w:type="character" w:customStyle="1" w:styleId="19">
    <w:name w:val="tit"/>
    <w:basedOn w:val="13"/>
    <w:qFormat/>
    <w:uiPriority w:val="0"/>
  </w:style>
  <w:style w:type="character" w:customStyle="1" w:styleId="20">
    <w:name w:val="sl"/>
    <w:basedOn w:val="13"/>
    <w:qFormat/>
    <w:uiPriority w:val="0"/>
  </w:style>
  <w:style w:type="character" w:customStyle="1" w:styleId="21">
    <w:name w:val="lsr"/>
    <w:basedOn w:val="13"/>
    <w:qFormat/>
    <w:uiPriority w:val="0"/>
  </w:style>
  <w:style w:type="character" w:customStyle="1" w:styleId="22">
    <w:name w:val="tit1"/>
    <w:basedOn w:val="13"/>
    <w:qFormat/>
    <w:uiPriority w:val="0"/>
  </w:style>
  <w:style w:type="character" w:customStyle="1" w:styleId="23">
    <w:name w:val="lsl"/>
    <w:basedOn w:val="13"/>
    <w:qFormat/>
    <w:uiPriority w:val="0"/>
  </w:style>
  <w:style w:type="character" w:customStyle="1" w:styleId="24">
    <w:name w:val="sr"/>
    <w:basedOn w:val="13"/>
    <w:qFormat/>
    <w:uiPriority w:val="0"/>
  </w:style>
  <w:style w:type="character" w:customStyle="1" w:styleId="25">
    <w:name w:val="down"/>
    <w:basedOn w:val="13"/>
    <w:qFormat/>
    <w:uiPriority w:val="0"/>
    <w:rPr>
      <w:shd w:val="clear" w:color="auto" w:fill="DAEEF9"/>
    </w:rPr>
  </w:style>
  <w:style w:type="character" w:customStyle="1" w:styleId="26">
    <w:name w:val="focus"/>
    <w:basedOn w:val="13"/>
    <w:qFormat/>
    <w:uiPriority w:val="0"/>
    <w:rPr>
      <w:b/>
      <w:color w:val="000000"/>
    </w:rPr>
  </w:style>
  <w:style w:type="character" w:customStyle="1" w:styleId="27">
    <w:name w:val="menutitle"/>
    <w:basedOn w:val="13"/>
    <w:qFormat/>
    <w:uiPriority w:val="0"/>
    <w:rPr>
      <w:color w:val="333333"/>
      <w:sz w:val="24"/>
      <w:szCs w:val="24"/>
    </w:rPr>
  </w:style>
  <w:style w:type="character" w:customStyle="1" w:styleId="28">
    <w:name w:val="menutitle1"/>
    <w:basedOn w:val="13"/>
    <w:qFormat/>
    <w:uiPriority w:val="0"/>
    <w:rPr>
      <w:color w:val="333333"/>
      <w:sz w:val="24"/>
      <w:szCs w:val="24"/>
    </w:rPr>
  </w:style>
  <w:style w:type="character" w:customStyle="1" w:styleId="29">
    <w:name w:val="swapimg"/>
    <w:basedOn w:val="13"/>
    <w:qFormat/>
    <w:uiPriority w:val="0"/>
  </w:style>
  <w:style w:type="character" w:customStyle="1" w:styleId="30">
    <w:name w:val="swapimg1"/>
    <w:basedOn w:val="13"/>
    <w:qFormat/>
    <w:uiPriority w:val="0"/>
  </w:style>
  <w:style w:type="character" w:customStyle="1" w:styleId="31">
    <w:name w:val="icon_dljg"/>
    <w:basedOn w:val="13"/>
    <w:qFormat/>
    <w:uiPriority w:val="0"/>
  </w:style>
  <w:style w:type="character" w:customStyle="1" w:styleId="32">
    <w:name w:val="icon_cxktbr"/>
    <w:basedOn w:val="13"/>
    <w:qFormat/>
    <w:uiPriority w:val="0"/>
  </w:style>
  <w:style w:type="character" w:customStyle="1" w:styleId="33">
    <w:name w:val="icon_cxkcyry"/>
    <w:basedOn w:val="13"/>
    <w:qFormat/>
    <w:uiPriority w:val="0"/>
  </w:style>
  <w:style w:type="character" w:customStyle="1" w:styleId="34">
    <w:name w:val="icon_gzkj"/>
    <w:basedOn w:val="13"/>
    <w:qFormat/>
    <w:uiPriority w:val="0"/>
  </w:style>
  <w:style w:type="character" w:customStyle="1" w:styleId="35">
    <w:name w:val="close6"/>
    <w:basedOn w:val="13"/>
    <w:qFormat/>
    <w:uiPriority w:val="0"/>
  </w:style>
  <w:style w:type="character" w:customStyle="1" w:styleId="36">
    <w:name w:val="l_8"/>
    <w:basedOn w:val="13"/>
    <w:qFormat/>
    <w:uiPriority w:val="0"/>
  </w:style>
  <w:style w:type="character" w:customStyle="1" w:styleId="37">
    <w:name w:val="l_5"/>
    <w:basedOn w:val="13"/>
    <w:qFormat/>
    <w:uiPriority w:val="0"/>
  </w:style>
  <w:style w:type="character" w:customStyle="1" w:styleId="38">
    <w:name w:val="searchclose"/>
    <w:basedOn w:val="13"/>
    <w:qFormat/>
    <w:uiPriority w:val="0"/>
  </w:style>
  <w:style w:type="character" w:customStyle="1" w:styleId="39">
    <w:name w:val="searchopen"/>
    <w:basedOn w:val="13"/>
    <w:qFormat/>
    <w:uiPriority w:val="0"/>
  </w:style>
  <w:style w:type="character" w:customStyle="1" w:styleId="40">
    <w:name w:val="icon_xglc"/>
    <w:basedOn w:val="13"/>
    <w:qFormat/>
    <w:uiPriority w:val="0"/>
  </w:style>
  <w:style w:type="character" w:customStyle="1" w:styleId="41">
    <w:name w:val="icon_xzry"/>
    <w:basedOn w:val="13"/>
    <w:qFormat/>
    <w:uiPriority w:val="0"/>
  </w:style>
  <w:style w:type="character" w:customStyle="1" w:styleId="42">
    <w:name w:val="icon_lzrz"/>
    <w:basedOn w:val="13"/>
    <w:qFormat/>
    <w:uiPriority w:val="0"/>
  </w:style>
  <w:style w:type="character" w:customStyle="1" w:styleId="43">
    <w:name w:val="m-text"/>
    <w:basedOn w:val="13"/>
    <w:qFormat/>
    <w:uiPriority w:val="0"/>
  </w:style>
  <w:style w:type="character" w:customStyle="1" w:styleId="44">
    <w:name w:val="l_0"/>
    <w:basedOn w:val="13"/>
    <w:qFormat/>
    <w:uiPriority w:val="0"/>
  </w:style>
  <w:style w:type="character" w:customStyle="1" w:styleId="45">
    <w:name w:val="l_01"/>
    <w:basedOn w:val="13"/>
    <w:qFormat/>
    <w:uiPriority w:val="0"/>
  </w:style>
  <w:style w:type="character" w:customStyle="1" w:styleId="46">
    <w:name w:val="l_3"/>
    <w:basedOn w:val="13"/>
    <w:qFormat/>
    <w:uiPriority w:val="0"/>
  </w:style>
  <w:style w:type="character" w:customStyle="1" w:styleId="47">
    <w:name w:val="l_31"/>
    <w:basedOn w:val="13"/>
    <w:qFormat/>
    <w:uiPriority w:val="0"/>
  </w:style>
  <w:style w:type="character" w:customStyle="1" w:styleId="48">
    <w:name w:val="l_1"/>
    <w:basedOn w:val="13"/>
    <w:qFormat/>
    <w:uiPriority w:val="0"/>
  </w:style>
  <w:style w:type="character" w:customStyle="1" w:styleId="49">
    <w:name w:val="l_11"/>
    <w:basedOn w:val="13"/>
    <w:qFormat/>
    <w:uiPriority w:val="0"/>
  </w:style>
  <w:style w:type="character" w:customStyle="1" w:styleId="50">
    <w:name w:val="l_2"/>
    <w:basedOn w:val="13"/>
    <w:qFormat/>
    <w:uiPriority w:val="0"/>
  </w:style>
  <w:style w:type="character" w:customStyle="1" w:styleId="51">
    <w:name w:val="l_21"/>
    <w:basedOn w:val="13"/>
    <w:qFormat/>
    <w:uiPriority w:val="0"/>
  </w:style>
  <w:style w:type="character" w:customStyle="1" w:styleId="52">
    <w:name w:val="l_4"/>
    <w:basedOn w:val="13"/>
    <w:qFormat/>
    <w:uiPriority w:val="0"/>
  </w:style>
  <w:style w:type="character" w:customStyle="1" w:styleId="53">
    <w:name w:val="l_41"/>
    <w:basedOn w:val="13"/>
    <w:qFormat/>
    <w:uiPriority w:val="0"/>
  </w:style>
  <w:style w:type="character" w:customStyle="1" w:styleId="54">
    <w:name w:val="l_6"/>
    <w:basedOn w:val="13"/>
    <w:qFormat/>
    <w:uiPriority w:val="0"/>
  </w:style>
  <w:style w:type="character" w:customStyle="1" w:styleId="55">
    <w:name w:val="l_61"/>
    <w:basedOn w:val="13"/>
    <w:qFormat/>
    <w:uiPriority w:val="0"/>
  </w:style>
  <w:style w:type="character" w:customStyle="1" w:styleId="56">
    <w:name w:val="l_111"/>
    <w:basedOn w:val="13"/>
    <w:qFormat/>
    <w:uiPriority w:val="0"/>
  </w:style>
  <w:style w:type="character" w:customStyle="1" w:styleId="57">
    <w:name w:val="l_112"/>
    <w:basedOn w:val="13"/>
    <w:qFormat/>
    <w:uiPriority w:val="0"/>
  </w:style>
  <w:style w:type="character" w:customStyle="1" w:styleId="58">
    <w:name w:val="l_7"/>
    <w:basedOn w:val="13"/>
    <w:qFormat/>
    <w:uiPriority w:val="0"/>
  </w:style>
  <w:style w:type="character" w:customStyle="1" w:styleId="59">
    <w:name w:val="l_71"/>
    <w:basedOn w:val="13"/>
    <w:qFormat/>
    <w:uiPriority w:val="0"/>
  </w:style>
  <w:style w:type="character" w:customStyle="1" w:styleId="60">
    <w:name w:val="l_10"/>
    <w:basedOn w:val="13"/>
    <w:qFormat/>
    <w:uiPriority w:val="0"/>
  </w:style>
  <w:style w:type="character" w:customStyle="1" w:styleId="61">
    <w:name w:val="l_101"/>
    <w:basedOn w:val="13"/>
    <w:qFormat/>
    <w:uiPriority w:val="0"/>
  </w:style>
  <w:style w:type="character" w:customStyle="1" w:styleId="62">
    <w:name w:val="l_9"/>
    <w:basedOn w:val="13"/>
    <w:qFormat/>
    <w:uiPriority w:val="0"/>
  </w:style>
  <w:style w:type="character" w:customStyle="1" w:styleId="63">
    <w:name w:val="l_91"/>
    <w:basedOn w:val="13"/>
    <w:qFormat/>
    <w:uiPriority w:val="0"/>
  </w:style>
  <w:style w:type="character" w:customStyle="1" w:styleId="64">
    <w:name w:val="l_12"/>
    <w:basedOn w:val="13"/>
    <w:qFormat/>
    <w:uiPriority w:val="0"/>
  </w:style>
  <w:style w:type="character" w:customStyle="1" w:styleId="65">
    <w:name w:val="l_121"/>
    <w:basedOn w:val="13"/>
    <w:qFormat/>
    <w:uiPriority w:val="0"/>
  </w:style>
  <w:style w:type="character" w:customStyle="1" w:styleId="66">
    <w:name w:val="l_13"/>
    <w:basedOn w:val="13"/>
    <w:qFormat/>
    <w:uiPriority w:val="0"/>
  </w:style>
  <w:style w:type="character" w:customStyle="1" w:styleId="67">
    <w:name w:val="l_131"/>
    <w:basedOn w:val="13"/>
    <w:qFormat/>
    <w:uiPriority w:val="0"/>
  </w:style>
  <w:style w:type="character" w:customStyle="1" w:styleId="68">
    <w:name w:val="l_14"/>
    <w:basedOn w:val="13"/>
    <w:qFormat/>
    <w:uiPriority w:val="0"/>
  </w:style>
  <w:style w:type="character" w:customStyle="1" w:styleId="69">
    <w:name w:val="l_141"/>
    <w:basedOn w:val="13"/>
    <w:qFormat/>
    <w:uiPriority w:val="0"/>
  </w:style>
  <w:style w:type="character" w:customStyle="1" w:styleId="70">
    <w:name w:val="l_15"/>
    <w:basedOn w:val="13"/>
    <w:qFormat/>
    <w:uiPriority w:val="0"/>
  </w:style>
  <w:style w:type="character" w:customStyle="1" w:styleId="71">
    <w:name w:val="l_151"/>
    <w:basedOn w:val="13"/>
    <w:qFormat/>
    <w:uiPriority w:val="0"/>
  </w:style>
  <w:style w:type="character" w:customStyle="1" w:styleId="72">
    <w:name w:val="color_cdyy"/>
    <w:basedOn w:val="13"/>
    <w:qFormat/>
    <w:uiPriority w:val="0"/>
    <w:rPr>
      <w:color w:val="FFFFFF"/>
      <w:bdr w:val="single" w:color="FFFFFF" w:sz="6" w:space="0"/>
    </w:rPr>
  </w:style>
  <w:style w:type="character" w:customStyle="1" w:styleId="73">
    <w:name w:val="focus2"/>
    <w:basedOn w:val="13"/>
    <w:qFormat/>
    <w:uiPriority w:val="0"/>
    <w:rPr>
      <w:b/>
      <w:color w:val="000000"/>
    </w:rPr>
  </w:style>
  <w:style w:type="character" w:customStyle="1" w:styleId="74">
    <w:name w:val="menutitle10"/>
    <w:basedOn w:val="13"/>
    <w:qFormat/>
    <w:uiPriority w:val="0"/>
    <w:rPr>
      <w:color w:val="333333"/>
      <w:sz w:val="24"/>
      <w:szCs w:val="24"/>
    </w:rPr>
  </w:style>
  <w:style w:type="character" w:customStyle="1" w:styleId="75">
    <w:name w:val="menutitle11"/>
    <w:basedOn w:val="13"/>
    <w:qFormat/>
    <w:uiPriority w:val="0"/>
    <w:rPr>
      <w:color w:val="333333"/>
      <w:sz w:val="24"/>
      <w:szCs w:val="24"/>
    </w:rPr>
  </w:style>
  <w:style w:type="character" w:customStyle="1" w:styleId="76">
    <w:name w:val="swapimg4"/>
    <w:basedOn w:val="13"/>
    <w:qFormat/>
    <w:uiPriority w:val="0"/>
  </w:style>
  <w:style w:type="character" w:customStyle="1" w:styleId="77">
    <w:name w:val="swapimg5"/>
    <w:basedOn w:val="13"/>
    <w:qFormat/>
    <w:uiPriority w:val="0"/>
  </w:style>
  <w:style w:type="character" w:customStyle="1" w:styleId="78">
    <w:name w:val="l_51"/>
    <w:basedOn w:val="13"/>
    <w:qFormat/>
    <w:uiPriority w:val="0"/>
  </w:style>
  <w:style w:type="character" w:customStyle="1" w:styleId="79">
    <w:name w:val="l_81"/>
    <w:basedOn w:val="13"/>
    <w:qFormat/>
    <w:uiPriority w:val="0"/>
  </w:style>
  <w:style w:type="character" w:customStyle="1" w:styleId="80">
    <w:name w:val="close"/>
    <w:basedOn w:val="13"/>
    <w:qFormat/>
    <w:uiPriority w:val="0"/>
  </w:style>
  <w:style w:type="character" w:customStyle="1" w:styleId="81">
    <w:name w:val="swapimg3"/>
    <w:basedOn w:val="13"/>
    <w:qFormat/>
    <w:uiPriority w:val="0"/>
  </w:style>
  <w:style w:type="character" w:customStyle="1" w:styleId="82">
    <w:name w:val="l_132"/>
    <w:basedOn w:val="13"/>
    <w:qFormat/>
    <w:uiPriority w:val="0"/>
  </w:style>
  <w:style w:type="character" w:customStyle="1" w:styleId="83">
    <w:name w:val="close5"/>
    <w:basedOn w:val="13"/>
    <w:qFormat/>
    <w:uiPriority w:val="0"/>
  </w:style>
  <w:style w:type="character" w:customStyle="1" w:styleId="84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85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86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87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88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89">
    <w:name w:val="red2"/>
    <w:basedOn w:val="13"/>
    <w:qFormat/>
    <w:uiPriority w:val="0"/>
    <w:rPr>
      <w:color w:val="CC0000"/>
    </w:rPr>
  </w:style>
  <w:style w:type="character" w:customStyle="1" w:styleId="90">
    <w:name w:val="red3"/>
    <w:basedOn w:val="13"/>
    <w:qFormat/>
    <w:uiPriority w:val="0"/>
    <w:rPr>
      <w:color w:val="FF0000"/>
    </w:rPr>
  </w:style>
  <w:style w:type="character" w:customStyle="1" w:styleId="91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92">
    <w:name w:val="hover24"/>
    <w:basedOn w:val="13"/>
    <w:qFormat/>
    <w:uiPriority w:val="0"/>
  </w:style>
  <w:style w:type="character" w:customStyle="1" w:styleId="93">
    <w:name w:val="gb-j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38</TotalTime>
  <ScaleCrop>false</ScaleCrop>
  <LinksUpToDate>false</LinksUpToDate>
  <CharactersWithSpaces>5163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河北恒基建设招标有限公司:丁宏宁</cp:lastModifiedBy>
  <cp:lastPrinted>2020-06-19T00:55:00Z</cp:lastPrinted>
  <dcterms:modified xsi:type="dcterms:W3CDTF">2020-06-19T03:05:43Z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