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禹州市财政局选定中介服务机构项目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（不见面开标）评 标 报 告</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640" w:lineRule="exact"/>
        <w:ind w:right="0" w:firstLine="640" w:firstLineChars="200"/>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widowControl/>
        <w:shd w:val="clear" w:color="auto" w:fill="FFFFFF"/>
        <w:kinsoku/>
        <w:wordWrap/>
        <w:overflowPunct/>
        <w:topLinePunct w:val="0"/>
        <w:autoSpaceDE/>
        <w:autoSpaceDN/>
        <w:bidi w:val="0"/>
        <w:adjustRightInd/>
        <w:spacing w:line="680" w:lineRule="exact"/>
        <w:jc w:val="left"/>
        <w:textAlignment w:val="auto"/>
        <w:rPr>
          <w:rFonts w:hint="default" w:ascii="仿宋" w:hAnsi="仿宋" w:eastAsia="仿宋" w:cs="仿宋"/>
          <w:sz w:val="32"/>
          <w:szCs w:val="32"/>
          <w:lang w:val="en-US"/>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w:t>
      </w:r>
      <w:r>
        <w:rPr>
          <w:rFonts w:hint="eastAsia" w:ascii="仿宋" w:hAnsi="仿宋" w:eastAsia="仿宋" w:cs="仿宋"/>
          <w:color w:val="000000"/>
          <w:sz w:val="32"/>
          <w:szCs w:val="32"/>
          <w:u w:val="none"/>
          <w:shd w:val="clear" w:color="auto" w:fill="FFFFFF"/>
          <w:lang w:val="en-US" w:eastAsia="zh-CN"/>
        </w:rPr>
        <w:t>禹州市财政局</w:t>
      </w:r>
    </w:p>
    <w:p>
      <w:pPr>
        <w:pStyle w:val="7"/>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80" w:lineRule="exact"/>
        <w:ind w:right="0"/>
        <w:jc w:val="left"/>
        <w:textAlignment w:val="auto"/>
        <w:rPr>
          <w:rFonts w:hint="eastAsia" w:ascii="仿宋" w:hAnsi="仿宋" w:eastAsia="仿宋" w:cs="仿宋"/>
          <w:color w:val="000000"/>
          <w:kern w:val="2"/>
          <w:sz w:val="32"/>
          <w:szCs w:val="32"/>
          <w:u w:val="none"/>
          <w:shd w:val="clear" w:color="auto" w:fill="FFFFFF"/>
          <w:lang w:val="en-US" w:eastAsia="zh-CN" w:bidi="ar-SA"/>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kern w:val="2"/>
          <w:sz w:val="32"/>
          <w:szCs w:val="32"/>
          <w:u w:val="none"/>
          <w:shd w:val="clear" w:color="auto" w:fill="FFFFFF"/>
          <w:lang w:val="en-US" w:eastAsia="zh-CN" w:bidi="ar-SA"/>
        </w:rPr>
        <w:t>禹州市财政局选定中介服务机构项目（不见面开标）</w:t>
      </w:r>
    </w:p>
    <w:p>
      <w:pPr>
        <w:keepNext w:val="0"/>
        <w:keepLines w:val="0"/>
        <w:pageBreakBefore w:val="0"/>
        <w:kinsoku/>
        <w:wordWrap/>
        <w:overflowPunct/>
        <w:topLinePunct w:val="0"/>
        <w:autoSpaceDE/>
        <w:autoSpaceDN/>
        <w:bidi w:val="0"/>
        <w:adjustRightInd/>
        <w:spacing w:line="680" w:lineRule="exac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color w:val="000000"/>
          <w:kern w:val="0"/>
          <w:sz w:val="32"/>
          <w:szCs w:val="32"/>
          <w:lang w:val="en-US" w:eastAsia="zh-CN"/>
        </w:rPr>
        <w:t>YZCG-G2020087</w:t>
      </w:r>
    </w:p>
    <w:p>
      <w:pPr>
        <w:keepNext w:val="0"/>
        <w:keepLines w:val="0"/>
        <w:pageBreakBefore w:val="0"/>
        <w:kinsoku/>
        <w:wordWrap/>
        <w:overflowPunct/>
        <w:topLinePunct w:val="0"/>
        <w:autoSpaceDE/>
        <w:autoSpaceDN/>
        <w:bidi w:val="0"/>
        <w:adjustRightInd/>
        <w:spacing w:line="680" w:lineRule="exac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4、招标公告发布日期：</w:t>
      </w:r>
      <w:r>
        <w:rPr>
          <w:rFonts w:hint="eastAsia" w:ascii="仿宋" w:hAnsi="仿宋" w:eastAsia="仿宋" w:cs="仿宋"/>
          <w:b w:val="0"/>
          <w:bCs/>
          <w:sz w:val="32"/>
          <w:szCs w:val="32"/>
          <w:lang w:val="en-US" w:eastAsia="zh-CN"/>
        </w:rPr>
        <w:t>2020年5月21日</w:t>
      </w:r>
    </w:p>
    <w:p>
      <w:pPr>
        <w:keepNext w:val="0"/>
        <w:keepLines w:val="0"/>
        <w:pageBreakBefore w:val="0"/>
        <w:kinsoku/>
        <w:wordWrap/>
        <w:overflowPunct/>
        <w:topLinePunct w:val="0"/>
        <w:autoSpaceDE/>
        <w:autoSpaceDN/>
        <w:bidi w:val="0"/>
        <w:adjustRightInd/>
        <w:spacing w:line="680" w:lineRule="exac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5、开标日期：2020年6月11日9时00分</w:t>
      </w:r>
    </w:p>
    <w:p>
      <w:pPr>
        <w:keepNext w:val="0"/>
        <w:keepLines w:val="0"/>
        <w:pageBreakBefore w:val="0"/>
        <w:widowControl/>
        <w:shd w:val="clear" w:color="auto" w:fill="FFFFFF"/>
        <w:kinsoku/>
        <w:wordWrap/>
        <w:overflowPunct/>
        <w:topLinePunct w:val="0"/>
        <w:autoSpaceDE/>
        <w:autoSpaceDN/>
        <w:bidi w:val="0"/>
        <w:adjustRightInd/>
        <w:spacing w:line="680" w:lineRule="exact"/>
        <w:contextualSpacing/>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、项目需求：</w:t>
      </w:r>
      <w:r>
        <w:rPr>
          <w:rFonts w:hint="eastAsia" w:ascii="仿宋" w:hAnsi="仿宋" w:eastAsia="仿宋" w:cs="仿宋"/>
          <w:b w:val="0"/>
          <w:bCs/>
          <w:i w:val="0"/>
          <w:color w:val="000000"/>
          <w:kern w:val="0"/>
          <w:sz w:val="32"/>
          <w:szCs w:val="32"/>
          <w:u w:val="none"/>
          <w:shd w:val="clear" w:fill="FFFFFF"/>
          <w:lang w:val="en-US" w:eastAsia="zh-CN" w:bidi="ar"/>
        </w:rPr>
        <w:t>承担委托项目资产评估及其相关工作</w:t>
      </w:r>
      <w:r>
        <w:rPr>
          <w:rFonts w:hint="eastAsia" w:ascii="仿宋" w:hAnsi="仿宋" w:eastAsia="仿宋" w:cs="仿宋"/>
          <w:sz w:val="32"/>
          <w:szCs w:val="32"/>
          <w:lang w:val="en-US" w:eastAsia="zh-CN"/>
        </w:rPr>
        <w:t>（详见招标文件）</w:t>
      </w:r>
    </w:p>
    <w:p>
      <w:pPr>
        <w:keepNext w:val="0"/>
        <w:keepLines w:val="0"/>
        <w:pageBreakBefore w:val="0"/>
        <w:widowControl/>
        <w:shd w:val="clear" w:color="auto" w:fill="FFFFFF"/>
        <w:kinsoku/>
        <w:wordWrap/>
        <w:overflowPunct/>
        <w:topLinePunct w:val="0"/>
        <w:autoSpaceDE/>
        <w:autoSpaceDN/>
        <w:bidi w:val="0"/>
        <w:adjustRightInd/>
        <w:spacing w:line="680" w:lineRule="exact"/>
        <w:jc w:val="left"/>
        <w:textAlignment w:val="auto"/>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、采购限价：</w:t>
      </w:r>
      <w:r>
        <w:rPr>
          <w:rFonts w:hint="eastAsia" w:ascii="仿宋" w:hAnsi="仿宋" w:eastAsia="仿宋" w:cs="仿宋"/>
          <w:color w:val="000000"/>
          <w:kern w:val="0"/>
          <w:sz w:val="32"/>
          <w:szCs w:val="32"/>
          <w:lang w:val="en-US" w:eastAsia="zh-CN"/>
        </w:rPr>
        <w:t>发改价格〔2009〕2914号文件规定最低计费率50%（详招标文件）；</w:t>
      </w:r>
    </w:p>
    <w:p>
      <w:pPr>
        <w:keepNext w:val="0"/>
        <w:keepLines w:val="0"/>
        <w:pageBreakBefore w:val="0"/>
        <w:kinsoku/>
        <w:wordWrap/>
        <w:overflowPunct/>
        <w:topLinePunct w:val="0"/>
        <w:autoSpaceDE/>
        <w:autoSpaceDN/>
        <w:bidi w:val="0"/>
        <w:adjustRightInd/>
        <w:spacing w:line="68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综合评分法</w:t>
      </w:r>
    </w:p>
    <w:p>
      <w:pPr>
        <w:keepNext w:val="0"/>
        <w:keepLines w:val="0"/>
        <w:pageBreakBefore w:val="0"/>
        <w:kinsoku/>
        <w:wordWrap/>
        <w:overflowPunct/>
        <w:topLinePunct w:val="0"/>
        <w:autoSpaceDE/>
        <w:autoSpaceDN/>
        <w:bidi w:val="0"/>
        <w:adjustRightInd/>
        <w:spacing w:line="68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开标结束后，采购人依法对投标人的资格进行审查。</w:t>
      </w:r>
    </w:p>
    <w:p>
      <w:pPr>
        <w:keepNext w:val="0"/>
        <w:keepLines w:val="0"/>
        <w:pageBreakBefore w:val="0"/>
        <w:kinsoku/>
        <w:wordWrap/>
        <w:overflowPunct/>
        <w:topLinePunct w:val="0"/>
        <w:autoSpaceDE/>
        <w:autoSpaceDN/>
        <w:bidi w:val="0"/>
        <w:adjustRightInd/>
        <w:spacing w:line="68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 招标公告刊登的媒体：中国政府采购网、河南省政府采购网、许昌市政府采购网、全国公共资源交易平台（河南省·许昌市）。</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right="0" w:firstLine="640" w:firstLineChars="2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8"/>
        <w:tblW w:w="887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67"/>
        <w:gridCol w:w="3677"/>
        <w:gridCol w:w="1516"/>
        <w:gridCol w:w="1226"/>
        <w:gridCol w:w="1992"/>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08"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序</w:t>
            </w:r>
          </w:p>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号</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投标人</w:t>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投标报价（%）</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b/>
                <w:bCs/>
                <w:lang w:val="en-US" w:eastAsia="zh-CN"/>
              </w:rPr>
            </w:pPr>
            <w:r>
              <w:rPr>
                <w:rFonts w:hint="eastAsia"/>
                <w:b/>
                <w:bCs/>
                <w:lang w:val="en-US" w:eastAsia="zh-CN"/>
              </w:rPr>
              <w:t>小微企业（是否）</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b/>
                <w:bCs/>
                <w:lang w:val="en-US" w:eastAsia="zh-CN"/>
              </w:rPr>
            </w:pPr>
            <w:r>
              <w:rPr>
                <w:rFonts w:hint="eastAsia"/>
                <w:b/>
                <w:bCs/>
                <w:lang w:val="en-US" w:eastAsia="zh-CN"/>
              </w:rPr>
              <w:t>服务期（年）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04"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00" w:lineRule="atLeast"/>
              <w:jc w:val="both"/>
              <w:textAlignment w:val="baseline"/>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河南恒立资产评估事务所（普通合伙）</w:t>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Theme="minorEastAsia" w:cstheme="minorBidi"/>
                <w:kern w:val="2"/>
                <w:sz w:val="24"/>
                <w:szCs w:val="24"/>
                <w:lang w:val="en-US" w:eastAsia="zh-CN" w:bidi="ar-SA"/>
              </w:rPr>
            </w:pPr>
            <w:r>
              <w:rPr>
                <w:rFonts w:hint="eastAsia" w:ascii="宋体" w:hAnsi="宋体"/>
                <w:sz w:val="24"/>
                <w:lang w:val="en-US" w:eastAsia="zh-CN"/>
              </w:rPr>
              <w:t>45</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8"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 xml:space="preserve">河南博为房地产资产评估有限公司 </w:t>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eastAsia" w:ascii="宋体" w:hAnsi="宋体" w:eastAsia="宋体" w:cstheme="minorBidi"/>
                <w:kern w:val="2"/>
                <w:sz w:val="24"/>
                <w:szCs w:val="24"/>
                <w:lang w:val="en-US" w:eastAsia="zh-CN" w:bidi="ar-SA"/>
              </w:rPr>
            </w:pPr>
            <w:r>
              <w:rPr>
                <w:rFonts w:hint="eastAsia" w:ascii="宋体" w:hAnsi="宋体" w:eastAsia="宋体"/>
                <w:sz w:val="24"/>
                <w:lang w:val="en-US" w:eastAsia="zh-CN"/>
              </w:rPr>
              <w:t>38</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73"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 xml:space="preserve"> 河南正昊资产评估有限公司</w:t>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theme="minorBidi"/>
                <w:kern w:val="2"/>
                <w:sz w:val="24"/>
                <w:szCs w:val="24"/>
                <w:lang w:val="en-US" w:eastAsia="zh-CN" w:bidi="ar-SA"/>
              </w:rPr>
            </w:pPr>
            <w:r>
              <w:rPr>
                <w:rFonts w:hint="eastAsia" w:ascii="宋体" w:hAnsi="宋体" w:eastAsia="宋体"/>
                <w:sz w:val="24"/>
                <w:lang w:val="en-US" w:eastAsia="zh-CN"/>
              </w:rPr>
              <w:t>30</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1</w:t>
            </w:r>
          </w:p>
        </w:tc>
      </w:tr>
    </w:tbl>
    <w:p>
      <w:pPr>
        <w:pStyle w:val="7"/>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360" w:lineRule="auto"/>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keepNext w:val="0"/>
        <w:keepLines w:val="0"/>
        <w:pageBreakBefore w:val="0"/>
        <w:kinsoku/>
        <w:wordWrap/>
        <w:overflowPunct/>
        <w:topLinePunct w:val="0"/>
        <w:autoSpaceDE/>
        <w:autoSpaceDN/>
        <w:bidi w:val="0"/>
        <w:adjustRightInd/>
        <w:spacing w:line="360" w:lineRule="auto"/>
        <w:ind w:firstLine="640" w:firstLineChars="200"/>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由采购人对供应商进行资格审查，其三家供应商均通过了资格审查。</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420"/>
        <w:jc w:val="left"/>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（一）符合性审查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leftChars="0" w:right="0" w:rightChars="0" w:firstLine="640" w:firstLineChars="200"/>
        <w:jc w:val="left"/>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河南博为房地产资产评估有限公司、河南正昊资产评估有限公司两家供应商电子投标文件CPU相同，其它制作硬件特征码无异常。全部通过符合性审查。</w:t>
      </w:r>
    </w:p>
    <w:p>
      <w:pPr>
        <w:pStyle w:val="74"/>
        <w:keepNext w:val="0"/>
        <w:keepLines w:val="0"/>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 xml:space="preserve"> </w:t>
      </w:r>
    </w:p>
    <w:p>
      <w:pPr>
        <w:pStyle w:val="74"/>
        <w:keepNext w:val="0"/>
        <w:keepLines w:val="0"/>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 xml:space="preserve"> 通过资格审查的四家投标人中，通过资质审查的4家供应商中许昌市轩逸时代信息技术有限公司未明确产品可靠性检验MTBF数值，窗体顶端</w:t>
      </w:r>
    </w:p>
    <w:p>
      <w:pPr>
        <w:pStyle w:val="75"/>
        <w:keepNext w:val="0"/>
        <w:keepLines w:val="0"/>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窗体底端</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640" w:firstLineChars="200"/>
        <w:jc w:val="left"/>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（二）经过评审委员会对报价、商务部分和技术部分的综合评比，各投标人得分情况如下：</w:t>
      </w:r>
    </w:p>
    <w:tbl>
      <w:tblPr>
        <w:tblStyle w:val="8"/>
        <w:tblW w:w="8518" w:type="dxa"/>
        <w:tblInd w:w="-40" w:type="dxa"/>
        <w:shd w:val="clear" w:color="auto" w:fill="auto"/>
        <w:tblLayout w:type="fixed"/>
        <w:tblCellMar>
          <w:top w:w="0" w:type="dxa"/>
          <w:left w:w="0" w:type="dxa"/>
          <w:bottom w:w="0" w:type="dxa"/>
          <w:right w:w="0" w:type="dxa"/>
        </w:tblCellMar>
      </w:tblPr>
      <w:tblGrid>
        <w:gridCol w:w="1270"/>
        <w:gridCol w:w="1413"/>
        <w:gridCol w:w="1597"/>
        <w:gridCol w:w="2028"/>
        <w:gridCol w:w="2210"/>
      </w:tblGrid>
      <w:tr>
        <w:tblPrEx>
          <w:shd w:val="clear" w:color="auto" w:fill="auto"/>
          <w:tblCellMar>
            <w:top w:w="0" w:type="dxa"/>
            <w:left w:w="0" w:type="dxa"/>
            <w:bottom w:w="0" w:type="dxa"/>
            <w:right w:w="0" w:type="dxa"/>
          </w:tblCellMar>
        </w:tblPrEx>
        <w:trPr>
          <w:trHeight w:val="414" w:hRule="atLeast"/>
        </w:trPr>
        <w:tc>
          <w:tcPr>
            <w:tcW w:w="8518" w:type="dxa"/>
            <w:gridSpan w:val="5"/>
            <w:tcBorders>
              <w:top w:val="single" w:color="000000" w:sz="8" w:space="0"/>
              <w:left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Theme="minorHAnsi" w:hAnsiTheme="minorHAnsi" w:eastAsiaTheme="minorEastAsia" w:cstheme="minorBidi"/>
                <w:kern w:val="0"/>
                <w:sz w:val="24"/>
                <w:szCs w:val="24"/>
                <w:lang w:val="en-US" w:eastAsia="zh-CN" w:bidi="ar"/>
              </w:rPr>
              <w:t>河南恒立资产评估事务所（普通合伙）</w:t>
            </w:r>
          </w:p>
        </w:tc>
      </w:tr>
      <w:tr>
        <w:tblPrEx>
          <w:shd w:val="clear" w:color="auto" w:fill="auto"/>
          <w:tblCellMar>
            <w:top w:w="0" w:type="dxa"/>
            <w:left w:w="0" w:type="dxa"/>
            <w:bottom w:w="0" w:type="dxa"/>
            <w:right w:w="0" w:type="dxa"/>
          </w:tblCellMar>
        </w:tblPrEx>
        <w:trPr>
          <w:trHeight w:val="87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因素</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20分</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60分</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20分</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合计</w:t>
            </w:r>
          </w:p>
        </w:tc>
      </w:tr>
      <w:tr>
        <w:tblPrEx>
          <w:shd w:val="clear" w:color="auto" w:fill="auto"/>
          <w:tblCellMar>
            <w:top w:w="0" w:type="dxa"/>
            <w:left w:w="0" w:type="dxa"/>
            <w:bottom w:w="0" w:type="dxa"/>
            <w:right w:w="0" w:type="dxa"/>
          </w:tblCellMar>
        </w:tblPrEx>
        <w:trPr>
          <w:trHeight w:val="9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评委1</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13.33</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73.33</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评委2</w:t>
            </w:r>
          </w:p>
        </w:tc>
        <w:tc>
          <w:tcPr>
            <w:tcW w:w="1413"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13.33</w:t>
            </w:r>
          </w:p>
        </w:tc>
        <w:tc>
          <w:tcPr>
            <w:tcW w:w="159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73.33</w:t>
            </w:r>
          </w:p>
        </w:tc>
      </w:tr>
      <w:tr>
        <w:tblPrEx>
          <w:shd w:val="clear" w:color="auto" w:fill="auto"/>
          <w:tblCellMar>
            <w:top w:w="0" w:type="dxa"/>
            <w:left w:w="0" w:type="dxa"/>
            <w:bottom w:w="0" w:type="dxa"/>
            <w:right w:w="0" w:type="dxa"/>
          </w:tblCellMar>
        </w:tblPrEx>
        <w:trPr>
          <w:trHeight w:val="90"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评委3</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13.33</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73.33</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评委4</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13.33</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73.33</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评委5</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13.33</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73.33</w:t>
            </w:r>
          </w:p>
        </w:tc>
      </w:tr>
      <w:tr>
        <w:tblPrEx>
          <w:shd w:val="clear" w:color="auto" w:fill="auto"/>
          <w:tblCellMar>
            <w:top w:w="0" w:type="dxa"/>
            <w:left w:w="0" w:type="dxa"/>
            <w:bottom w:w="0" w:type="dxa"/>
            <w:right w:w="0" w:type="dxa"/>
          </w:tblCellMar>
        </w:tblPrEx>
        <w:trPr>
          <w:trHeight w:val="90"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平均分</w:t>
            </w:r>
          </w:p>
        </w:tc>
        <w:tc>
          <w:tcPr>
            <w:tcW w:w="7248" w:type="dxa"/>
            <w:gridSpan w:val="4"/>
            <w:tcBorders>
              <w:top w:val="single" w:color="000000" w:sz="8" w:space="0"/>
              <w:left w:val="single" w:color="000000" w:sz="8"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73.33</w:t>
            </w:r>
          </w:p>
        </w:tc>
      </w:tr>
    </w:tbl>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tbl>
      <w:tblPr>
        <w:tblStyle w:val="8"/>
        <w:tblW w:w="8518" w:type="dxa"/>
        <w:tblInd w:w="-40" w:type="dxa"/>
        <w:shd w:val="clear" w:color="auto" w:fill="auto"/>
        <w:tblLayout w:type="fixed"/>
        <w:tblCellMar>
          <w:top w:w="0" w:type="dxa"/>
          <w:left w:w="0" w:type="dxa"/>
          <w:bottom w:w="0" w:type="dxa"/>
          <w:right w:w="0" w:type="dxa"/>
        </w:tblCellMar>
      </w:tblPr>
      <w:tblGrid>
        <w:gridCol w:w="1270"/>
        <w:gridCol w:w="1413"/>
        <w:gridCol w:w="1597"/>
        <w:gridCol w:w="2028"/>
        <w:gridCol w:w="2210"/>
      </w:tblGrid>
      <w:tr>
        <w:tblPrEx>
          <w:shd w:val="clear" w:color="auto" w:fill="auto"/>
        </w:tblPrEx>
        <w:trPr>
          <w:trHeight w:val="414" w:hRule="atLeast"/>
        </w:trPr>
        <w:tc>
          <w:tcPr>
            <w:tcW w:w="8518" w:type="dxa"/>
            <w:gridSpan w:val="5"/>
            <w:tcBorders>
              <w:top w:val="single" w:color="000000" w:sz="8" w:space="0"/>
              <w:left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Theme="minorHAnsi" w:hAnsiTheme="minorHAnsi" w:eastAsiaTheme="minorEastAsia" w:cstheme="minorBidi"/>
                <w:kern w:val="0"/>
                <w:sz w:val="24"/>
                <w:szCs w:val="24"/>
                <w:lang w:val="en-US" w:eastAsia="zh-CN" w:bidi="ar"/>
              </w:rPr>
              <w:t xml:space="preserve">河南博为房地产资产评估有限公司 </w:t>
            </w:r>
          </w:p>
        </w:tc>
      </w:tr>
      <w:tr>
        <w:tblPrEx>
          <w:shd w:val="clear" w:color="auto" w:fill="auto"/>
          <w:tblCellMar>
            <w:top w:w="0" w:type="dxa"/>
            <w:left w:w="0" w:type="dxa"/>
            <w:bottom w:w="0" w:type="dxa"/>
            <w:right w:w="0" w:type="dxa"/>
          </w:tblCellMar>
        </w:tblPrEx>
        <w:trPr>
          <w:trHeight w:val="87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因素</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20分</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60分</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20分</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合计</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评委1</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15.79</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59</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94.79</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评委2</w:t>
            </w:r>
          </w:p>
        </w:tc>
        <w:tc>
          <w:tcPr>
            <w:tcW w:w="1413"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15.79</w:t>
            </w:r>
          </w:p>
        </w:tc>
        <w:tc>
          <w:tcPr>
            <w:tcW w:w="159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59</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94.79</w:t>
            </w:r>
          </w:p>
        </w:tc>
      </w:tr>
      <w:tr>
        <w:tblPrEx>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评委3</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15.79</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59</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94.79</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评委4</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15.79</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59</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94.79</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评委5</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15.79</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59</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94.79</w:t>
            </w:r>
          </w:p>
        </w:tc>
      </w:tr>
      <w:tr>
        <w:tblPrEx>
          <w:shd w:val="clear" w:color="auto" w:fill="auto"/>
          <w:tblCellMar>
            <w:top w:w="0" w:type="dxa"/>
            <w:left w:w="0" w:type="dxa"/>
            <w:bottom w:w="0" w:type="dxa"/>
            <w:right w:w="0" w:type="dxa"/>
          </w:tblCellMar>
        </w:tblPrEx>
        <w:trPr>
          <w:trHeight w:val="35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平均分</w:t>
            </w:r>
          </w:p>
        </w:tc>
        <w:tc>
          <w:tcPr>
            <w:tcW w:w="7248" w:type="dxa"/>
            <w:gridSpan w:val="4"/>
            <w:tcBorders>
              <w:top w:val="single" w:color="000000" w:sz="8" w:space="0"/>
              <w:left w:val="single" w:color="000000" w:sz="8"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94.79</w:t>
            </w:r>
          </w:p>
        </w:tc>
      </w:tr>
    </w:tbl>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tbl>
      <w:tblPr>
        <w:tblStyle w:val="8"/>
        <w:tblW w:w="8518" w:type="dxa"/>
        <w:tblInd w:w="-40" w:type="dxa"/>
        <w:shd w:val="clear" w:color="auto" w:fill="auto"/>
        <w:tblLayout w:type="fixed"/>
        <w:tblCellMar>
          <w:top w:w="0" w:type="dxa"/>
          <w:left w:w="0" w:type="dxa"/>
          <w:bottom w:w="0" w:type="dxa"/>
          <w:right w:w="0" w:type="dxa"/>
        </w:tblCellMar>
      </w:tblPr>
      <w:tblGrid>
        <w:gridCol w:w="1270"/>
        <w:gridCol w:w="1413"/>
        <w:gridCol w:w="1597"/>
        <w:gridCol w:w="2028"/>
        <w:gridCol w:w="2210"/>
      </w:tblGrid>
      <w:tr>
        <w:tblPrEx>
          <w:shd w:val="clear" w:color="auto" w:fill="auto"/>
          <w:tblCellMar>
            <w:top w:w="0" w:type="dxa"/>
            <w:left w:w="0" w:type="dxa"/>
            <w:bottom w:w="0" w:type="dxa"/>
            <w:right w:w="0" w:type="dxa"/>
          </w:tblCellMar>
        </w:tblPrEx>
        <w:trPr>
          <w:trHeight w:val="414" w:hRule="atLeast"/>
        </w:trPr>
        <w:tc>
          <w:tcPr>
            <w:tcW w:w="8518" w:type="dxa"/>
            <w:gridSpan w:val="5"/>
            <w:tcBorders>
              <w:top w:val="single" w:color="000000" w:sz="8" w:space="0"/>
              <w:left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Theme="minorHAnsi" w:hAnsiTheme="minorHAnsi" w:eastAsiaTheme="minorEastAsia" w:cstheme="minorBidi"/>
                <w:kern w:val="0"/>
                <w:sz w:val="24"/>
                <w:szCs w:val="24"/>
                <w:lang w:val="en-US" w:eastAsia="zh-CN" w:bidi="ar"/>
              </w:rPr>
              <w:t>河南正昊资产评估有限公司</w:t>
            </w:r>
          </w:p>
        </w:tc>
      </w:tr>
      <w:tr>
        <w:tblPrEx>
          <w:shd w:val="clear" w:color="auto" w:fill="auto"/>
          <w:tblCellMar>
            <w:top w:w="0" w:type="dxa"/>
            <w:left w:w="0" w:type="dxa"/>
            <w:bottom w:w="0" w:type="dxa"/>
            <w:right w:w="0" w:type="dxa"/>
          </w:tblCellMar>
        </w:tblPrEx>
        <w:trPr>
          <w:trHeight w:val="87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因素</w:t>
            </w:r>
          </w:p>
        </w:tc>
        <w:tc>
          <w:tcPr>
            <w:tcW w:w="1413"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20分</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60分</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20分</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合计</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评委1</w:t>
            </w:r>
          </w:p>
        </w:tc>
        <w:tc>
          <w:tcPr>
            <w:tcW w:w="1413" w:type="dxa"/>
            <w:tcBorders>
              <w:top w:val="single" w:color="000000" w:sz="8" w:space="0"/>
              <w:left w:val="single" w:color="auto" w:sz="4"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评委2</w:t>
            </w:r>
          </w:p>
        </w:tc>
        <w:tc>
          <w:tcPr>
            <w:tcW w:w="1413"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59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评委3</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w:t>
            </w:r>
          </w:p>
        </w:tc>
      </w:tr>
      <w:tr>
        <w:tblPrEx>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评委4</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评委5</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w:t>
            </w:r>
          </w:p>
        </w:tc>
      </w:tr>
      <w:tr>
        <w:tblPrEx>
          <w:shd w:val="clear" w:color="auto" w:fill="auto"/>
          <w:tblCellMar>
            <w:top w:w="0" w:type="dxa"/>
            <w:left w:w="0" w:type="dxa"/>
            <w:bottom w:w="0" w:type="dxa"/>
            <w:right w:w="0" w:type="dxa"/>
          </w:tblCellMar>
        </w:tblPrEx>
        <w:trPr>
          <w:trHeight w:val="35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平均分</w:t>
            </w:r>
          </w:p>
        </w:tc>
        <w:tc>
          <w:tcPr>
            <w:tcW w:w="7248" w:type="dxa"/>
            <w:gridSpan w:val="4"/>
            <w:tcBorders>
              <w:top w:val="single" w:color="000000" w:sz="8" w:space="0"/>
              <w:left w:val="single" w:color="000000" w:sz="8"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leftChars="100"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（三）评比结果如下：</w:t>
      </w:r>
    </w:p>
    <w:tbl>
      <w:tblPr>
        <w:tblStyle w:val="8"/>
        <w:tblpPr w:leftFromText="180" w:rightFromText="180" w:vertAnchor="text" w:horzAnchor="page" w:tblpXSpec="center" w:tblpY="113"/>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4760"/>
        <w:gridCol w:w="1284"/>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191" w:type="dxa"/>
            <w:noWrap w:val="0"/>
            <w:vAlign w:val="center"/>
          </w:tcPr>
          <w:p>
            <w:pPr>
              <w:spacing w:line="440" w:lineRule="exact"/>
              <w:jc w:val="cente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序号</w:t>
            </w:r>
          </w:p>
        </w:tc>
        <w:tc>
          <w:tcPr>
            <w:tcW w:w="4760" w:type="dxa"/>
            <w:noWrap w:val="0"/>
            <w:vAlign w:val="center"/>
          </w:tcPr>
          <w:p>
            <w:pPr>
              <w:bidi w:val="0"/>
              <w:jc w:val="center"/>
              <w:rPr>
                <w:rFonts w:hint="eastAsia" w:asciiTheme="minorHAnsi" w:hAnsiTheme="minorHAnsi" w:eastAsiaTheme="minorEastAsia" w:cstheme="minorBidi"/>
                <w:b/>
                <w:bCs/>
                <w:kern w:val="2"/>
                <w:sz w:val="32"/>
                <w:szCs w:val="32"/>
                <w:lang w:val="en-US" w:eastAsia="zh-CN" w:bidi="ar-SA"/>
              </w:rPr>
            </w:pPr>
            <w:r>
              <w:rPr>
                <w:rFonts w:hint="eastAsia" w:ascii="仿宋" w:hAnsi="仿宋" w:eastAsia="仿宋"/>
                <w:b/>
                <w:bCs/>
                <w:sz w:val="32"/>
                <w:szCs w:val="32"/>
              </w:rPr>
              <w:t>投标商名称</w:t>
            </w:r>
          </w:p>
        </w:tc>
        <w:tc>
          <w:tcPr>
            <w:tcW w:w="1284" w:type="dxa"/>
            <w:noWrap w:val="0"/>
            <w:vAlign w:val="center"/>
          </w:tcPr>
          <w:p>
            <w:pPr>
              <w:spacing w:line="440" w:lineRule="exact"/>
              <w:jc w:val="center"/>
              <w:rPr>
                <w:rFonts w:hint="default" w:ascii="仿宋" w:hAnsi="仿宋" w:eastAsia="仿宋"/>
                <w:b/>
                <w:bCs/>
                <w:sz w:val="32"/>
                <w:szCs w:val="32"/>
                <w:lang w:val="en-US" w:eastAsia="zh-CN"/>
              </w:rPr>
            </w:pPr>
            <w:r>
              <w:rPr>
                <w:rFonts w:hint="eastAsia" w:ascii="仿宋" w:hAnsi="仿宋" w:eastAsia="仿宋"/>
                <w:b/>
                <w:bCs/>
                <w:sz w:val="32"/>
                <w:szCs w:val="32"/>
                <w:lang w:val="en-US" w:eastAsia="zh-CN"/>
              </w:rPr>
              <w:t>得分</w:t>
            </w:r>
          </w:p>
        </w:tc>
        <w:tc>
          <w:tcPr>
            <w:tcW w:w="1284" w:type="dxa"/>
            <w:noWrap w:val="0"/>
            <w:vAlign w:val="center"/>
          </w:tcPr>
          <w:p>
            <w:pPr>
              <w:spacing w:line="440" w:lineRule="exact"/>
              <w:jc w:val="cente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191"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b/>
                <w:bCs/>
                <w:sz w:val="30"/>
                <w:lang w:val="en-US" w:eastAsia="zh-CN"/>
              </w:rPr>
            </w:pPr>
            <w:r>
              <w:rPr>
                <w:rFonts w:hint="eastAsia"/>
                <w:b/>
                <w:bCs/>
                <w:lang w:val="en-US" w:eastAsia="zh-CN"/>
              </w:rPr>
              <w:t>1</w:t>
            </w:r>
          </w:p>
        </w:tc>
        <w:tc>
          <w:tcPr>
            <w:tcW w:w="4760" w:type="dxa"/>
            <w:noWrap w:val="0"/>
            <w:vAlign w:val="center"/>
          </w:tcPr>
          <w:p>
            <w:pPr>
              <w:spacing w:line="200" w:lineRule="atLeast"/>
              <w:ind w:firstLine="480" w:firstLineChars="200"/>
              <w:jc w:val="center"/>
              <w:textAlignment w:val="baseline"/>
              <w:rPr>
                <w:rFonts w:hint="eastAsia" w:ascii="宋体" w:hAnsi="宋体" w:eastAsia="宋体" w:cs="宋体"/>
                <w:sz w:val="24"/>
                <w:szCs w:val="24"/>
                <w:lang w:val="en-US" w:eastAsia="zh-CN"/>
              </w:rPr>
            </w:pPr>
            <w:r>
              <w:rPr>
                <w:rFonts w:hint="eastAsia" w:asciiTheme="minorHAnsi" w:hAnsiTheme="minorHAnsi" w:eastAsiaTheme="minorEastAsia" w:cstheme="minorBidi"/>
                <w:kern w:val="0"/>
                <w:sz w:val="24"/>
                <w:szCs w:val="24"/>
                <w:lang w:val="en-US" w:eastAsia="zh-CN" w:bidi="ar"/>
              </w:rPr>
              <w:t>河南博为房地产资产评估有限公司</w:t>
            </w:r>
          </w:p>
        </w:tc>
        <w:tc>
          <w:tcPr>
            <w:tcW w:w="1284" w:type="dxa"/>
            <w:noWrap w:val="0"/>
            <w:vAlign w:val="center"/>
          </w:tcPr>
          <w:p>
            <w:pPr>
              <w:spacing w:line="440" w:lineRule="exact"/>
              <w:jc w:val="center"/>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94.79</w:t>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191"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b/>
                <w:bCs/>
                <w:sz w:val="30"/>
                <w:lang w:val="en-US" w:eastAsia="zh-CN"/>
              </w:rPr>
            </w:pPr>
            <w:r>
              <w:rPr>
                <w:rFonts w:hint="eastAsia"/>
                <w:b/>
                <w:bCs/>
                <w:lang w:val="en-US" w:eastAsia="zh-CN"/>
              </w:rPr>
              <w:t>2</w:t>
            </w:r>
          </w:p>
        </w:tc>
        <w:tc>
          <w:tcPr>
            <w:tcW w:w="4760" w:type="dxa"/>
            <w:noWrap w:val="0"/>
            <w:vAlign w:val="center"/>
          </w:tcPr>
          <w:p>
            <w:pPr>
              <w:spacing w:line="200" w:lineRule="atLeast"/>
              <w:ind w:firstLine="480" w:firstLineChars="200"/>
              <w:jc w:val="center"/>
              <w:textAlignment w:val="baseline"/>
              <w:rPr>
                <w:rFonts w:hint="eastAsia" w:ascii="宋体" w:hAnsi="宋体" w:eastAsia="宋体" w:cs="宋体"/>
                <w:sz w:val="24"/>
                <w:szCs w:val="24"/>
                <w:lang w:val="en-US" w:eastAsia="zh-CN"/>
              </w:rPr>
            </w:pPr>
            <w:r>
              <w:rPr>
                <w:rFonts w:hint="eastAsia" w:asciiTheme="minorHAnsi" w:hAnsiTheme="minorHAnsi" w:eastAsiaTheme="minorEastAsia" w:cstheme="minorBidi"/>
                <w:kern w:val="0"/>
                <w:sz w:val="24"/>
                <w:szCs w:val="24"/>
                <w:lang w:val="en-US" w:eastAsia="zh-CN" w:bidi="ar"/>
              </w:rPr>
              <w:t xml:space="preserve">河南正昊资产评估有限公司 </w:t>
            </w:r>
          </w:p>
        </w:tc>
        <w:tc>
          <w:tcPr>
            <w:tcW w:w="1284" w:type="dxa"/>
            <w:noWrap w:val="0"/>
            <w:vAlign w:val="center"/>
          </w:tcPr>
          <w:p>
            <w:pPr>
              <w:spacing w:line="440" w:lineRule="exact"/>
              <w:jc w:val="center"/>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87</w:t>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191" w:type="dxa"/>
            <w:noWrap w:val="0"/>
            <w:vAlign w:val="center"/>
          </w:tcPr>
          <w:p>
            <w:pPr>
              <w:pStyle w:val="7"/>
              <w:keepNext w:val="0"/>
              <w:keepLines w:val="0"/>
              <w:widowControl/>
              <w:suppressLineNumbers w:val="0"/>
              <w:spacing w:line="330" w:lineRule="atLeast"/>
              <w:ind w:right="0" w:rightChars="0"/>
              <w:jc w:val="center"/>
              <w:rPr>
                <w:rFonts w:hint="default"/>
                <w:b/>
                <w:bCs/>
                <w:lang w:val="en-US" w:eastAsia="zh-CN"/>
              </w:rPr>
            </w:pPr>
            <w:r>
              <w:rPr>
                <w:rFonts w:hint="eastAsia"/>
                <w:b/>
                <w:bCs/>
                <w:lang w:val="en-US" w:eastAsia="zh-CN"/>
              </w:rPr>
              <w:t>3</w:t>
            </w:r>
          </w:p>
        </w:tc>
        <w:tc>
          <w:tcPr>
            <w:tcW w:w="4760" w:type="dxa"/>
            <w:noWrap w:val="0"/>
            <w:vAlign w:val="center"/>
          </w:tcPr>
          <w:p>
            <w:pPr>
              <w:spacing w:line="200" w:lineRule="atLeast"/>
              <w:ind w:firstLine="480" w:firstLineChars="200"/>
              <w:jc w:val="center"/>
              <w:textAlignment w:val="baseline"/>
              <w:rPr>
                <w:rFonts w:hint="eastAsia" w:ascii="宋体" w:hAnsi="宋体" w:eastAsia="宋体" w:cs="宋体"/>
                <w:kern w:val="2"/>
                <w:sz w:val="28"/>
                <w:szCs w:val="28"/>
                <w:lang w:val="en-US" w:eastAsia="zh-CN" w:bidi="ar-SA"/>
              </w:rPr>
            </w:pPr>
            <w:r>
              <w:rPr>
                <w:rFonts w:hint="eastAsia" w:asciiTheme="minorHAnsi" w:hAnsiTheme="minorHAnsi" w:eastAsiaTheme="minorEastAsia" w:cstheme="minorBidi"/>
                <w:kern w:val="0"/>
                <w:sz w:val="24"/>
                <w:szCs w:val="24"/>
                <w:lang w:val="en-US" w:eastAsia="zh-CN" w:bidi="ar"/>
              </w:rPr>
              <w:t>河南恒立资产评估事务所（普通合伙）</w:t>
            </w:r>
          </w:p>
        </w:tc>
        <w:tc>
          <w:tcPr>
            <w:tcW w:w="1284" w:type="dxa"/>
            <w:noWrap w:val="0"/>
            <w:vAlign w:val="center"/>
          </w:tcPr>
          <w:p>
            <w:pPr>
              <w:spacing w:line="440" w:lineRule="exact"/>
              <w:jc w:val="center"/>
              <w:rPr>
                <w:rFonts w:hint="default"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73.33</w:t>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w:t>
            </w:r>
          </w:p>
        </w:tc>
      </w:tr>
    </w:tbl>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sz w:val="32"/>
          <w:szCs w:val="32"/>
          <w:u w:val="none"/>
          <w:shd w:val="clear" w:fill="FFFFFF"/>
          <w:lang w:val="en-US" w:eastAsia="zh-CN"/>
        </w:rPr>
        <w:t>第一中标候选人：</w:t>
      </w:r>
      <w:r>
        <w:rPr>
          <w:rFonts w:hint="eastAsia" w:ascii="仿宋" w:hAnsi="仿宋" w:eastAsia="仿宋" w:cs="仿宋"/>
          <w:color w:val="000000"/>
          <w:kern w:val="0"/>
          <w:sz w:val="32"/>
          <w:szCs w:val="32"/>
          <w:u w:val="none"/>
          <w:shd w:val="clear" w:color="auto" w:fill="FFFFFF"/>
          <w:lang w:val="en-US" w:eastAsia="zh-CN" w:bidi="ar"/>
        </w:rPr>
        <w:t>河南博为房地产资产评估有限公司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地    址</w:t>
      </w:r>
      <w:r>
        <w:rPr>
          <w:rFonts w:hint="eastAsia" w:ascii="仿宋" w:hAnsi="仿宋" w:eastAsia="仿宋" w:cs="仿宋"/>
          <w:color w:val="000000"/>
          <w:kern w:val="0"/>
          <w:sz w:val="32"/>
          <w:szCs w:val="32"/>
          <w:u w:val="none"/>
          <w:shd w:val="clear" w:color="auto" w:fill="FFFFFF"/>
          <w:lang w:val="en-US" w:eastAsia="zh-CN" w:bidi="ar"/>
        </w:rPr>
        <w:t>：河南省许昌市市辖区魏文路信通金融中心 D 座 20 层</w:t>
      </w:r>
    </w:p>
    <w:p>
      <w:pPr>
        <w:keepNext w:val="0"/>
        <w:keepLines w:val="0"/>
        <w:widowControl/>
        <w:suppressLineNumbers w:val="0"/>
        <w:jc w:val="left"/>
      </w:pPr>
      <w:r>
        <w:rPr>
          <w:rFonts w:hint="eastAsia" w:ascii="仿宋" w:hAnsi="仿宋" w:eastAsia="仿宋" w:cs="仿宋"/>
          <w:b/>
          <w:bCs/>
          <w:color w:val="000000"/>
          <w:kern w:val="0"/>
          <w:sz w:val="32"/>
          <w:szCs w:val="32"/>
          <w:u w:val="none"/>
          <w:shd w:val="clear" w:color="auto" w:fill="FFFFFF"/>
          <w:lang w:val="en-US" w:eastAsia="zh-CN" w:bidi="ar"/>
        </w:rPr>
        <w:t>联 系 人：</w:t>
      </w:r>
      <w:r>
        <w:rPr>
          <w:rFonts w:hint="eastAsia" w:ascii="仿宋" w:hAnsi="仿宋" w:eastAsia="仿宋" w:cs="仿宋"/>
          <w:color w:val="000000"/>
          <w:kern w:val="0"/>
          <w:sz w:val="32"/>
          <w:szCs w:val="32"/>
          <w:u w:val="none"/>
          <w:shd w:val="clear" w:color="auto" w:fill="FFFFFF"/>
          <w:lang w:val="en-US" w:eastAsia="zh-CN" w:bidi="ar"/>
        </w:rPr>
        <w:t xml:space="preserve">吴姗姗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电    话</w:t>
      </w:r>
      <w:r>
        <w:rPr>
          <w:rFonts w:hint="eastAsia" w:ascii="仿宋" w:hAnsi="仿宋" w:eastAsia="仿宋" w:cs="仿宋"/>
          <w:color w:val="000000"/>
          <w:kern w:val="0"/>
          <w:sz w:val="32"/>
          <w:szCs w:val="32"/>
          <w:u w:val="none"/>
          <w:shd w:val="clear" w:color="auto" w:fill="FFFFFF"/>
          <w:lang w:val="en-US" w:eastAsia="zh-CN" w:bidi="ar"/>
        </w:rPr>
        <w:t xml:space="preserve">：0374-8585886   </w:t>
      </w:r>
      <w:r>
        <w:rPr>
          <w:rFonts w:hint="eastAsia" w:ascii="仿宋" w:hAnsi="仿宋" w:eastAsia="仿宋" w:cs="仿宋"/>
          <w:b/>
          <w:bCs/>
          <w:color w:val="000000"/>
          <w:kern w:val="0"/>
          <w:sz w:val="32"/>
          <w:szCs w:val="32"/>
          <w:u w:val="none"/>
          <w:shd w:val="clear" w:color="auto" w:fill="FFFFFF"/>
          <w:lang w:val="en-US" w:eastAsia="zh-CN" w:bidi="ar"/>
        </w:rPr>
        <w:t>邮政编码</w:t>
      </w:r>
      <w:r>
        <w:rPr>
          <w:rFonts w:hint="eastAsia" w:ascii="仿宋" w:hAnsi="仿宋" w:eastAsia="仿宋" w:cs="仿宋"/>
          <w:color w:val="000000"/>
          <w:kern w:val="0"/>
          <w:sz w:val="32"/>
          <w:szCs w:val="32"/>
          <w:u w:val="none"/>
          <w:shd w:val="clear" w:color="auto" w:fill="FFFFFF"/>
          <w:lang w:val="en-US" w:eastAsia="zh-CN" w:bidi="ar"/>
        </w:rPr>
        <w:t>：461000</w:t>
      </w:r>
    </w:p>
    <w:p>
      <w:pPr>
        <w:keepNext w:val="0"/>
        <w:keepLines w:val="0"/>
        <w:widowControl/>
        <w:suppressLineNumbers w:val="0"/>
        <w:jc w:val="left"/>
        <w:rPr>
          <w:rFonts w:hint="eastAsia" w:ascii="仿宋" w:hAnsi="仿宋" w:eastAsia="仿宋" w:cs="仿宋"/>
          <w:color w:val="000000"/>
          <w:kern w:val="0"/>
          <w:sz w:val="32"/>
          <w:szCs w:val="32"/>
          <w:lang w:val="en-US" w:eastAsia="zh-CN"/>
        </w:rPr>
      </w:pPr>
      <w:r>
        <w:rPr>
          <w:rFonts w:hint="eastAsia" w:ascii="仿宋" w:hAnsi="仿宋" w:eastAsia="仿宋" w:cs="仿宋"/>
          <w:b/>
          <w:bCs/>
          <w:color w:val="000000"/>
          <w:kern w:val="0"/>
          <w:sz w:val="32"/>
          <w:szCs w:val="32"/>
          <w:u w:val="none"/>
          <w:shd w:val="clear" w:color="auto" w:fill="FFFFFF"/>
          <w:lang w:val="en-US" w:eastAsia="zh-CN" w:bidi="ar"/>
        </w:rPr>
        <w:t>中标金额</w:t>
      </w:r>
      <w:r>
        <w:rPr>
          <w:rFonts w:hint="eastAsia" w:ascii="仿宋" w:hAnsi="仿宋" w:eastAsia="仿宋" w:cs="仿宋"/>
          <w:color w:val="000000"/>
          <w:kern w:val="0"/>
          <w:sz w:val="32"/>
          <w:szCs w:val="32"/>
          <w:u w:val="none"/>
          <w:shd w:val="clear" w:color="auto" w:fill="FFFFFF"/>
          <w:lang w:val="en-US" w:eastAsia="zh-CN" w:bidi="ar"/>
        </w:rPr>
        <w:t>：</w:t>
      </w:r>
      <w:r>
        <w:rPr>
          <w:rFonts w:hint="eastAsia" w:ascii="仿宋" w:hAnsi="仿宋" w:eastAsia="仿宋" w:cs="仿宋"/>
          <w:color w:val="000000"/>
          <w:kern w:val="0"/>
          <w:sz w:val="32"/>
          <w:szCs w:val="32"/>
          <w:lang w:val="en-US" w:eastAsia="zh-CN"/>
        </w:rPr>
        <w:t>发改价格〔2009〕2914号文件规定最低计费率38%</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sz w:val="32"/>
          <w:szCs w:val="32"/>
          <w:u w:val="none"/>
          <w:shd w:val="clear" w:fill="FFFFFF"/>
          <w:lang w:val="en-US" w:eastAsia="zh-CN"/>
        </w:rPr>
        <w:t>第二中标候选人：</w:t>
      </w:r>
      <w:r>
        <w:rPr>
          <w:rFonts w:hint="eastAsia" w:ascii="仿宋" w:hAnsi="仿宋" w:eastAsia="仿宋" w:cs="仿宋"/>
          <w:color w:val="000000"/>
          <w:kern w:val="0"/>
          <w:sz w:val="32"/>
          <w:szCs w:val="32"/>
          <w:u w:val="none"/>
          <w:shd w:val="clear" w:color="auto" w:fill="FFFFFF"/>
          <w:lang w:val="en-US" w:eastAsia="zh-CN" w:bidi="ar"/>
        </w:rPr>
        <w:t>河南正昊资产评估有限公司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地    址</w:t>
      </w:r>
      <w:r>
        <w:rPr>
          <w:rFonts w:hint="eastAsia" w:ascii="仿宋" w:hAnsi="仿宋" w:eastAsia="仿宋" w:cs="仿宋"/>
          <w:color w:val="000000"/>
          <w:kern w:val="0"/>
          <w:sz w:val="32"/>
          <w:szCs w:val="32"/>
          <w:u w:val="none"/>
          <w:shd w:val="clear" w:color="auto" w:fill="FFFFFF"/>
          <w:lang w:val="en-US" w:eastAsia="zh-CN" w:bidi="ar"/>
        </w:rPr>
        <w:t>：郑州市金水区经三路 66 号 1 号楼 507 室</w:t>
      </w:r>
    </w:p>
    <w:p>
      <w:pPr>
        <w:keepNext w:val="0"/>
        <w:keepLines w:val="0"/>
        <w:widowControl/>
        <w:suppressLineNumbers w:val="0"/>
        <w:jc w:val="left"/>
      </w:pPr>
      <w:r>
        <w:rPr>
          <w:rFonts w:hint="eastAsia" w:ascii="仿宋" w:hAnsi="仿宋" w:eastAsia="仿宋" w:cs="仿宋"/>
          <w:b/>
          <w:bCs/>
          <w:color w:val="000000"/>
          <w:kern w:val="0"/>
          <w:sz w:val="32"/>
          <w:szCs w:val="32"/>
          <w:u w:val="none"/>
          <w:shd w:val="clear" w:color="auto" w:fill="FFFFFF"/>
          <w:lang w:val="en-US" w:eastAsia="zh-CN" w:bidi="ar"/>
        </w:rPr>
        <w:t>联 系 人：</w:t>
      </w:r>
      <w:r>
        <w:rPr>
          <w:rFonts w:hint="eastAsia" w:ascii="仿宋" w:hAnsi="仿宋" w:eastAsia="仿宋" w:cs="仿宋"/>
          <w:color w:val="000000"/>
          <w:kern w:val="0"/>
          <w:sz w:val="32"/>
          <w:szCs w:val="32"/>
          <w:u w:val="none"/>
          <w:shd w:val="clear" w:color="auto" w:fill="FFFFFF"/>
          <w:lang w:val="en-US" w:eastAsia="zh-CN" w:bidi="ar"/>
        </w:rPr>
        <w:t>朱彩霞</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电    话</w:t>
      </w:r>
      <w:r>
        <w:rPr>
          <w:rFonts w:hint="eastAsia" w:ascii="仿宋" w:hAnsi="仿宋" w:eastAsia="仿宋" w:cs="仿宋"/>
          <w:color w:val="000000"/>
          <w:kern w:val="0"/>
          <w:sz w:val="32"/>
          <w:szCs w:val="32"/>
          <w:u w:val="none"/>
          <w:shd w:val="clear" w:color="auto" w:fill="FFFFFF"/>
          <w:lang w:val="en-US" w:eastAsia="zh-CN" w:bidi="ar"/>
        </w:rPr>
        <w:t xml:space="preserve">：15539523188  </w:t>
      </w:r>
      <w:r>
        <w:rPr>
          <w:rFonts w:hint="eastAsia" w:ascii="仿宋" w:hAnsi="仿宋" w:eastAsia="仿宋" w:cs="仿宋"/>
          <w:b/>
          <w:bCs/>
          <w:color w:val="000000"/>
          <w:kern w:val="0"/>
          <w:sz w:val="32"/>
          <w:szCs w:val="32"/>
          <w:u w:val="none"/>
          <w:shd w:val="clear" w:color="auto" w:fill="FFFFFF"/>
          <w:lang w:val="en-US" w:eastAsia="zh-CN" w:bidi="ar"/>
        </w:rPr>
        <w:t>邮政编码</w:t>
      </w:r>
      <w:r>
        <w:rPr>
          <w:rFonts w:hint="eastAsia" w:ascii="仿宋" w:hAnsi="仿宋" w:eastAsia="仿宋" w:cs="仿宋"/>
          <w:color w:val="000000"/>
          <w:kern w:val="0"/>
          <w:sz w:val="32"/>
          <w:szCs w:val="32"/>
          <w:u w:val="none"/>
          <w:shd w:val="clear" w:color="auto" w:fill="FFFFFF"/>
          <w:lang w:val="en-US" w:eastAsia="zh-CN" w:bidi="ar"/>
        </w:rPr>
        <w:t xml:space="preserve">：450000 </w:t>
      </w:r>
    </w:p>
    <w:p>
      <w:pPr>
        <w:keepNext w:val="0"/>
        <w:keepLines w:val="0"/>
        <w:widowControl/>
        <w:suppressLineNumbers w:val="0"/>
        <w:jc w:val="left"/>
        <w:rPr>
          <w:rFonts w:hint="eastAsia" w:ascii="仿宋" w:hAnsi="仿宋" w:eastAsia="仿宋" w:cs="仿宋"/>
          <w:color w:val="000000"/>
          <w:kern w:val="0"/>
          <w:sz w:val="32"/>
          <w:szCs w:val="32"/>
          <w:lang w:val="en-US" w:eastAsia="zh-CN"/>
        </w:rPr>
      </w:pPr>
      <w:r>
        <w:rPr>
          <w:rFonts w:hint="eastAsia" w:ascii="仿宋" w:hAnsi="仿宋" w:eastAsia="仿宋" w:cs="仿宋"/>
          <w:b/>
          <w:bCs/>
          <w:color w:val="000000"/>
          <w:kern w:val="0"/>
          <w:sz w:val="32"/>
          <w:szCs w:val="32"/>
          <w:u w:val="none"/>
          <w:shd w:val="clear" w:color="auto" w:fill="FFFFFF"/>
          <w:lang w:val="en-US" w:eastAsia="zh-CN" w:bidi="ar"/>
        </w:rPr>
        <w:t>中标金额</w:t>
      </w:r>
      <w:r>
        <w:rPr>
          <w:rFonts w:hint="eastAsia" w:ascii="仿宋" w:hAnsi="仿宋" w:eastAsia="仿宋" w:cs="仿宋"/>
          <w:color w:val="000000"/>
          <w:kern w:val="0"/>
          <w:sz w:val="32"/>
          <w:szCs w:val="32"/>
          <w:u w:val="none"/>
          <w:shd w:val="clear" w:color="auto" w:fill="FFFFFF"/>
          <w:lang w:val="en-US" w:eastAsia="zh-CN" w:bidi="ar"/>
        </w:rPr>
        <w:t>：</w:t>
      </w:r>
      <w:r>
        <w:rPr>
          <w:rFonts w:hint="eastAsia" w:ascii="仿宋" w:hAnsi="仿宋" w:eastAsia="仿宋" w:cs="仿宋"/>
          <w:color w:val="000000"/>
          <w:kern w:val="0"/>
          <w:sz w:val="32"/>
          <w:szCs w:val="32"/>
          <w:lang w:val="en-US" w:eastAsia="zh-CN"/>
        </w:rPr>
        <w:t>发改价格〔2009〕2914号文件规定最低计费率30%</w:t>
      </w:r>
    </w:p>
    <w:p>
      <w:pPr>
        <w:keepNext w:val="0"/>
        <w:keepLines w:val="0"/>
        <w:widowControl/>
        <w:suppressLineNumbers w:val="0"/>
        <w:jc w:val="left"/>
        <w:rPr>
          <w:rFonts w:hint="eastAsia" w:ascii="仿宋" w:hAnsi="仿宋" w:eastAsia="仿宋" w:cs="仿宋"/>
          <w:color w:val="000000"/>
          <w:spacing w:val="-20"/>
          <w:kern w:val="0"/>
          <w:sz w:val="32"/>
          <w:szCs w:val="32"/>
          <w:u w:val="none"/>
          <w:shd w:val="clear" w:color="auto" w:fill="FFFFFF"/>
          <w:lang w:val="en-US" w:eastAsia="zh-CN" w:bidi="ar"/>
        </w:rPr>
      </w:pPr>
      <w:r>
        <w:rPr>
          <w:rFonts w:hint="eastAsia" w:ascii="仿宋" w:hAnsi="仿宋" w:eastAsia="仿宋" w:cs="仿宋"/>
          <w:b/>
          <w:bCs/>
          <w:color w:val="000000"/>
          <w:sz w:val="32"/>
          <w:szCs w:val="32"/>
          <w:u w:val="none"/>
          <w:shd w:val="clear" w:fill="FFFFFF"/>
          <w:lang w:val="en-US" w:eastAsia="zh-CN"/>
        </w:rPr>
        <w:t>第三中标候选人：</w:t>
      </w:r>
      <w:r>
        <w:rPr>
          <w:rFonts w:hint="eastAsia" w:ascii="仿宋" w:hAnsi="仿宋" w:eastAsia="仿宋" w:cs="仿宋"/>
          <w:color w:val="000000"/>
          <w:spacing w:val="-20"/>
          <w:kern w:val="0"/>
          <w:sz w:val="32"/>
          <w:szCs w:val="32"/>
          <w:u w:val="none"/>
          <w:shd w:val="clear" w:color="auto" w:fill="FFFFFF"/>
          <w:lang w:val="en-US" w:eastAsia="zh-CN" w:bidi="ar"/>
        </w:rPr>
        <w:t>河南恒立资产评估事务所（普通合伙）</w:t>
      </w:r>
    </w:p>
    <w:p>
      <w:pPr>
        <w:keepNext w:val="0"/>
        <w:keepLines w:val="0"/>
        <w:widowControl/>
        <w:suppressLineNumbers w:val="0"/>
        <w:jc w:val="left"/>
        <w:rPr>
          <w:rFonts w:hint="eastAsia" w:ascii="仿宋" w:hAnsi="仿宋" w:eastAsia="仿宋" w:cs="仿宋"/>
          <w:color w:val="000000"/>
          <w:spacing w:val="-2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地    址</w:t>
      </w:r>
      <w:r>
        <w:rPr>
          <w:rFonts w:hint="eastAsia" w:ascii="仿宋" w:hAnsi="仿宋" w:eastAsia="仿宋" w:cs="仿宋"/>
          <w:color w:val="000000"/>
          <w:kern w:val="0"/>
          <w:sz w:val="32"/>
          <w:szCs w:val="32"/>
          <w:u w:val="none"/>
          <w:shd w:val="clear" w:color="auto" w:fill="FFFFFF"/>
          <w:lang w:val="en-US" w:eastAsia="zh-CN" w:bidi="ar"/>
        </w:rPr>
        <w:t>：</w:t>
      </w:r>
      <w:r>
        <w:rPr>
          <w:rFonts w:hint="eastAsia" w:ascii="仿宋" w:hAnsi="仿宋" w:eastAsia="仿宋" w:cs="仿宋"/>
          <w:color w:val="000000"/>
          <w:spacing w:val="-20"/>
          <w:kern w:val="0"/>
          <w:sz w:val="32"/>
          <w:szCs w:val="32"/>
          <w:u w:val="none"/>
          <w:shd w:val="clear" w:color="auto" w:fill="FFFFFF"/>
          <w:lang w:val="en-US" w:eastAsia="zh-CN" w:bidi="ar"/>
        </w:rPr>
        <w:t>许昌市文峰路鑫悦广场 10 号写字楼 7 楼</w:t>
      </w:r>
    </w:p>
    <w:p>
      <w:pPr>
        <w:keepNext w:val="0"/>
        <w:keepLines w:val="0"/>
        <w:widowControl/>
        <w:suppressLineNumbers w:val="0"/>
        <w:jc w:val="left"/>
      </w:pPr>
      <w:r>
        <w:rPr>
          <w:rFonts w:hint="eastAsia" w:ascii="仿宋" w:hAnsi="仿宋" w:eastAsia="仿宋" w:cs="仿宋"/>
          <w:b/>
          <w:bCs/>
          <w:color w:val="000000"/>
          <w:kern w:val="0"/>
          <w:sz w:val="32"/>
          <w:szCs w:val="32"/>
          <w:u w:val="none"/>
          <w:shd w:val="clear" w:color="auto" w:fill="FFFFFF"/>
          <w:lang w:val="en-US" w:eastAsia="zh-CN" w:bidi="ar"/>
        </w:rPr>
        <w:t>联 系 人：</w:t>
      </w:r>
      <w:r>
        <w:rPr>
          <w:rFonts w:hint="eastAsia" w:ascii="仿宋" w:hAnsi="仿宋" w:eastAsia="仿宋" w:cs="仿宋"/>
          <w:color w:val="000000"/>
          <w:spacing w:val="-20"/>
          <w:kern w:val="0"/>
          <w:sz w:val="32"/>
          <w:szCs w:val="32"/>
          <w:u w:val="none"/>
          <w:shd w:val="clear" w:color="auto" w:fill="FFFFFF"/>
          <w:lang w:val="en-US" w:eastAsia="zh-CN" w:bidi="ar"/>
        </w:rPr>
        <w:t xml:space="preserve">侯磊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电    话</w:t>
      </w:r>
      <w:r>
        <w:rPr>
          <w:rFonts w:hint="eastAsia" w:ascii="仿宋" w:hAnsi="仿宋" w:eastAsia="仿宋" w:cs="仿宋"/>
          <w:color w:val="000000"/>
          <w:kern w:val="0"/>
          <w:sz w:val="32"/>
          <w:szCs w:val="32"/>
          <w:u w:val="none"/>
          <w:shd w:val="clear" w:color="auto" w:fill="FFFFFF"/>
          <w:lang w:val="en-US" w:eastAsia="zh-CN" w:bidi="ar"/>
        </w:rPr>
        <w:t xml:space="preserve">：0374-2655919   </w:t>
      </w:r>
      <w:r>
        <w:rPr>
          <w:rFonts w:hint="eastAsia" w:ascii="仿宋" w:hAnsi="仿宋" w:eastAsia="仿宋" w:cs="仿宋"/>
          <w:b/>
          <w:bCs/>
          <w:color w:val="000000"/>
          <w:kern w:val="0"/>
          <w:sz w:val="32"/>
          <w:szCs w:val="32"/>
          <w:u w:val="none"/>
          <w:shd w:val="clear" w:color="auto" w:fill="FFFFFF"/>
          <w:lang w:val="en-US" w:eastAsia="zh-CN" w:bidi="ar"/>
        </w:rPr>
        <w:t>邮政编码</w:t>
      </w:r>
      <w:r>
        <w:rPr>
          <w:rFonts w:hint="eastAsia" w:ascii="仿宋" w:hAnsi="仿宋" w:eastAsia="仿宋" w:cs="仿宋"/>
          <w:color w:val="000000"/>
          <w:kern w:val="0"/>
          <w:sz w:val="32"/>
          <w:szCs w:val="32"/>
          <w:u w:val="none"/>
          <w:shd w:val="clear" w:color="auto" w:fill="FFFFFF"/>
          <w:lang w:val="en-US" w:eastAsia="zh-CN" w:bidi="ar"/>
        </w:rPr>
        <w:t>：461000</w:t>
      </w:r>
    </w:p>
    <w:p>
      <w:pPr>
        <w:keepNext w:val="0"/>
        <w:keepLines w:val="0"/>
        <w:widowControl/>
        <w:suppressLineNumbers w:val="0"/>
        <w:jc w:val="left"/>
        <w:rPr>
          <w:rFonts w:hint="eastAsia" w:ascii="仿宋" w:hAnsi="仿宋" w:eastAsia="仿宋" w:cs="仿宋"/>
          <w:color w:val="000000"/>
          <w:kern w:val="0"/>
          <w:sz w:val="32"/>
          <w:szCs w:val="32"/>
          <w:lang w:val="en-US" w:eastAsia="zh-CN"/>
        </w:rPr>
      </w:pPr>
      <w:r>
        <w:rPr>
          <w:rFonts w:hint="eastAsia" w:ascii="仿宋" w:hAnsi="仿宋" w:eastAsia="仿宋" w:cs="仿宋"/>
          <w:b/>
          <w:bCs/>
          <w:color w:val="000000"/>
          <w:kern w:val="0"/>
          <w:sz w:val="32"/>
          <w:szCs w:val="32"/>
          <w:u w:val="none"/>
          <w:shd w:val="clear" w:color="auto" w:fill="FFFFFF"/>
          <w:lang w:val="en-US" w:eastAsia="zh-CN" w:bidi="ar"/>
        </w:rPr>
        <w:t>中标金额</w:t>
      </w:r>
      <w:r>
        <w:rPr>
          <w:rFonts w:hint="eastAsia" w:ascii="仿宋" w:hAnsi="仿宋" w:eastAsia="仿宋" w:cs="仿宋"/>
          <w:color w:val="000000"/>
          <w:kern w:val="0"/>
          <w:sz w:val="32"/>
          <w:szCs w:val="32"/>
          <w:u w:val="none"/>
          <w:shd w:val="clear" w:color="auto" w:fill="FFFFFF"/>
          <w:lang w:val="en-US" w:eastAsia="zh-CN" w:bidi="ar"/>
        </w:rPr>
        <w:t>：</w:t>
      </w:r>
      <w:r>
        <w:rPr>
          <w:rFonts w:hint="eastAsia" w:ascii="仿宋" w:hAnsi="仿宋" w:eastAsia="仿宋" w:cs="仿宋"/>
          <w:color w:val="000000"/>
          <w:kern w:val="0"/>
          <w:sz w:val="32"/>
          <w:szCs w:val="32"/>
          <w:lang w:val="en-US" w:eastAsia="zh-CN"/>
        </w:rPr>
        <w:t>发改价格〔2009〕2914号文件规定最低计费率45%</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0" w:right="0" w:rightChars="0" w:hanging="640" w:hangingChars="20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r>
        <w:rPr>
          <w:rFonts w:hint="eastAsia" w:ascii="黑体" w:hAnsi="黑体" w:eastAsia="黑体" w:cs="黑体"/>
          <w:color w:val="000000"/>
          <w:kern w:val="2"/>
          <w:sz w:val="30"/>
          <w:szCs w:val="30"/>
          <w:u w:val="none"/>
          <w:shd w:val="clear" w:fill="FFFFFF"/>
          <w:lang w:val="en-US" w:eastAsia="zh-CN" w:bidi="ar-SA"/>
        </w:rPr>
        <w:t>无。</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default" w:ascii="黑体" w:hAnsi="黑体" w:eastAsia="黑体" w:cs="黑体"/>
          <w:color w:val="000000"/>
          <w:sz w:val="30"/>
          <w:szCs w:val="30"/>
          <w:u w:val="none"/>
          <w:shd w:val="clear" w:fill="FFFFFF"/>
          <w:lang w:val="en-US" w:eastAsia="zh-CN"/>
        </w:rPr>
      </w:pPr>
      <w:r>
        <w:rPr>
          <w:rFonts w:hint="eastAsia" w:ascii="黑体" w:hAnsi="黑体" w:eastAsia="黑体" w:cs="黑体"/>
          <w:color w:val="000000"/>
          <w:sz w:val="30"/>
          <w:szCs w:val="30"/>
          <w:u w:val="none"/>
          <w:shd w:val="clear" w:fill="FFFFFF"/>
          <w:lang w:val="en-US" w:eastAsia="zh-CN"/>
        </w:rPr>
        <w:t>八、</w:t>
      </w:r>
      <w:r>
        <w:rPr>
          <w:rFonts w:hint="eastAsia" w:ascii="黑体" w:hAnsi="黑体" w:eastAsia="黑体" w:cs="黑体"/>
          <w:color w:val="000000"/>
          <w:sz w:val="30"/>
          <w:szCs w:val="30"/>
          <w:u w:val="none"/>
          <w:shd w:val="clear" w:fill="FFFFFF"/>
        </w:rPr>
        <w:t>评标委员会</w:t>
      </w:r>
      <w:r>
        <w:rPr>
          <w:rFonts w:hint="eastAsia" w:ascii="黑体" w:hAnsi="黑体" w:eastAsia="黑体" w:cs="黑体"/>
          <w:color w:val="000000"/>
          <w:sz w:val="30"/>
          <w:szCs w:val="30"/>
          <w:u w:val="none"/>
          <w:shd w:val="clear" w:fill="FFFFFF"/>
          <w:lang w:val="en-US" w:eastAsia="zh-CN"/>
        </w:rPr>
        <w:t>主任：李兴来</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kern w:val="2"/>
          <w:sz w:val="30"/>
          <w:szCs w:val="30"/>
          <w:u w:val="none"/>
          <w:shd w:val="clear" w:fill="FFFFFF"/>
          <w:lang w:val="en-US" w:eastAsia="zh-CN" w:bidi="ar-SA"/>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sz w:val="30"/>
          <w:szCs w:val="30"/>
          <w:u w:val="none"/>
          <w:shd w:val="clear" w:fill="FFFFFF"/>
          <w:lang w:val="en-US" w:eastAsia="zh-CN"/>
        </w:rPr>
      </w:pPr>
      <w:r>
        <w:rPr>
          <w:rFonts w:hint="eastAsia" w:ascii="黑体" w:hAnsi="黑体" w:eastAsia="黑体" w:cs="黑体"/>
          <w:color w:val="000000"/>
          <w:kern w:val="2"/>
          <w:sz w:val="30"/>
          <w:szCs w:val="30"/>
          <w:u w:val="none"/>
          <w:shd w:val="clear" w:fill="FFFFFF"/>
          <w:lang w:val="en-US" w:eastAsia="zh-CN" w:bidi="ar-SA"/>
        </w:rPr>
        <w:t>九、评标委员会</w:t>
      </w:r>
      <w:r>
        <w:rPr>
          <w:rFonts w:hint="eastAsia" w:ascii="黑体" w:hAnsi="黑体" w:eastAsia="黑体" w:cs="黑体"/>
          <w:color w:val="000000"/>
          <w:sz w:val="30"/>
          <w:szCs w:val="30"/>
          <w:u w:val="none"/>
          <w:shd w:val="clear" w:fill="FFFFFF"/>
        </w:rPr>
        <w:t>成员名单：</w:t>
      </w:r>
      <w:r>
        <w:rPr>
          <w:rFonts w:hint="eastAsia" w:ascii="黑体" w:hAnsi="黑体" w:eastAsia="黑体" w:cs="黑体"/>
          <w:color w:val="000000"/>
          <w:sz w:val="30"/>
          <w:szCs w:val="30"/>
          <w:u w:val="none"/>
          <w:shd w:val="clear" w:fill="FFFFFF"/>
          <w:lang w:val="en-US" w:eastAsia="zh-CN"/>
        </w:rPr>
        <w:t xml:space="preserve">杨津、耿进环、刘文平、张新姣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default" w:ascii="仿宋" w:hAnsi="仿宋" w:eastAsia="仿宋" w:cs="仿宋"/>
          <w:sz w:val="32"/>
          <w:szCs w:val="32"/>
          <w:lang w:val="en-US" w:eastAsia="zh-CN"/>
        </w:rPr>
      </w:pPr>
      <w:r>
        <w:rPr>
          <w:rFonts w:hint="eastAsia" w:ascii="仿宋" w:hAnsi="仿宋" w:eastAsia="仿宋" w:cs="仿宋"/>
          <w:color w:val="000000"/>
          <w:kern w:val="2"/>
          <w:sz w:val="28"/>
          <w:szCs w:val="28"/>
          <w:u w:val="none"/>
          <w:shd w:val="clear" w:fill="FFFFFF"/>
          <w:lang w:val="en-US" w:eastAsia="zh-CN" w:bidi="ar-SA"/>
        </w:rPr>
        <w:t xml:space="preserve">                       </w:t>
      </w:r>
      <w:r>
        <w:rPr>
          <w:rFonts w:hint="eastAsia" w:ascii="仿宋" w:hAnsi="仿宋" w:eastAsia="仿宋" w:cs="仿宋"/>
          <w:color w:val="000000"/>
          <w:kern w:val="2"/>
          <w:sz w:val="32"/>
          <w:szCs w:val="32"/>
          <w:u w:val="none"/>
          <w:shd w:val="clear" w:fill="FFFFFF"/>
          <w:lang w:val="en-US" w:eastAsia="zh-CN" w:bidi="ar-SA"/>
        </w:rPr>
        <w:t>2020年6月15</w:t>
      </w:r>
      <w:bookmarkStart w:id="0" w:name="_GoBack"/>
      <w:bookmarkEnd w:id="0"/>
      <w:r>
        <w:rPr>
          <w:rFonts w:hint="eastAsia" w:ascii="仿宋" w:hAnsi="仿宋" w:eastAsia="仿宋" w:cs="仿宋"/>
          <w:color w:val="000000"/>
          <w:kern w:val="2"/>
          <w:sz w:val="32"/>
          <w:szCs w:val="32"/>
          <w:u w:val="none"/>
          <w:shd w:val="clear" w:fill="FFFFFF"/>
          <w:lang w:val="en-US" w:eastAsia="zh-CN" w:bidi="ar-SA"/>
        </w:rPr>
        <w:t>日</w:t>
      </w:r>
    </w:p>
    <w:sectPr>
      <w:headerReference r:id="rId3" w:type="default"/>
      <w:footerReference r:id="rId4" w:type="default"/>
      <w:pgSz w:w="11906" w:h="16838"/>
      <w:pgMar w:top="1240" w:right="1286"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D597E9"/>
    <w:multiLevelType w:val="singleLevel"/>
    <w:tmpl w:val="94D597E9"/>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0A0B"/>
    <w:rsid w:val="016655D3"/>
    <w:rsid w:val="030D4F75"/>
    <w:rsid w:val="0387216D"/>
    <w:rsid w:val="046A30F2"/>
    <w:rsid w:val="050E61B3"/>
    <w:rsid w:val="05664BDF"/>
    <w:rsid w:val="0568416F"/>
    <w:rsid w:val="05FC31AD"/>
    <w:rsid w:val="06AD1E3E"/>
    <w:rsid w:val="06BB1302"/>
    <w:rsid w:val="06C07076"/>
    <w:rsid w:val="07222B1D"/>
    <w:rsid w:val="07E44978"/>
    <w:rsid w:val="07F800D3"/>
    <w:rsid w:val="084F70BC"/>
    <w:rsid w:val="085E1B68"/>
    <w:rsid w:val="08D75275"/>
    <w:rsid w:val="091D1846"/>
    <w:rsid w:val="099C3E00"/>
    <w:rsid w:val="09F03305"/>
    <w:rsid w:val="0C523669"/>
    <w:rsid w:val="0D21183A"/>
    <w:rsid w:val="0E2F1406"/>
    <w:rsid w:val="0E3D02A4"/>
    <w:rsid w:val="0ECF2D77"/>
    <w:rsid w:val="0F6B7734"/>
    <w:rsid w:val="0FD802D1"/>
    <w:rsid w:val="109A17DA"/>
    <w:rsid w:val="126114B8"/>
    <w:rsid w:val="12BB5366"/>
    <w:rsid w:val="13A7762A"/>
    <w:rsid w:val="14245DBC"/>
    <w:rsid w:val="143425F3"/>
    <w:rsid w:val="144A3A3E"/>
    <w:rsid w:val="1499695F"/>
    <w:rsid w:val="14A27E5E"/>
    <w:rsid w:val="15033594"/>
    <w:rsid w:val="157129DD"/>
    <w:rsid w:val="15FC2A9B"/>
    <w:rsid w:val="171063F1"/>
    <w:rsid w:val="17D926FA"/>
    <w:rsid w:val="192006A8"/>
    <w:rsid w:val="1A5042D6"/>
    <w:rsid w:val="1B250E50"/>
    <w:rsid w:val="1BD00BD8"/>
    <w:rsid w:val="1C456B87"/>
    <w:rsid w:val="1D03587C"/>
    <w:rsid w:val="1D2F1724"/>
    <w:rsid w:val="1D577B34"/>
    <w:rsid w:val="1D8063EF"/>
    <w:rsid w:val="1D863BDB"/>
    <w:rsid w:val="1D935A5F"/>
    <w:rsid w:val="1DA95CDC"/>
    <w:rsid w:val="1DEF5AD4"/>
    <w:rsid w:val="1E196947"/>
    <w:rsid w:val="2004781A"/>
    <w:rsid w:val="203854D7"/>
    <w:rsid w:val="204B397B"/>
    <w:rsid w:val="219845BA"/>
    <w:rsid w:val="22034C9F"/>
    <w:rsid w:val="220719F2"/>
    <w:rsid w:val="22BF2B0F"/>
    <w:rsid w:val="23D527F8"/>
    <w:rsid w:val="24347A56"/>
    <w:rsid w:val="248F3AB2"/>
    <w:rsid w:val="250F79CA"/>
    <w:rsid w:val="26301AD7"/>
    <w:rsid w:val="274F5AA5"/>
    <w:rsid w:val="27DF7A32"/>
    <w:rsid w:val="281C3862"/>
    <w:rsid w:val="28B2034C"/>
    <w:rsid w:val="28EB5395"/>
    <w:rsid w:val="29B06DA3"/>
    <w:rsid w:val="2B1A2E58"/>
    <w:rsid w:val="2C580DD3"/>
    <w:rsid w:val="2C7A62AD"/>
    <w:rsid w:val="2C8C5314"/>
    <w:rsid w:val="2CF750BA"/>
    <w:rsid w:val="2D080062"/>
    <w:rsid w:val="2D577C2B"/>
    <w:rsid w:val="2D723D7C"/>
    <w:rsid w:val="2D9C085B"/>
    <w:rsid w:val="2ED67925"/>
    <w:rsid w:val="2F4C455E"/>
    <w:rsid w:val="2FDC63C1"/>
    <w:rsid w:val="30784B2B"/>
    <w:rsid w:val="30920C70"/>
    <w:rsid w:val="30DC346F"/>
    <w:rsid w:val="313C2C12"/>
    <w:rsid w:val="31534C8B"/>
    <w:rsid w:val="31833D59"/>
    <w:rsid w:val="31A42F31"/>
    <w:rsid w:val="32084038"/>
    <w:rsid w:val="321D771D"/>
    <w:rsid w:val="33A37472"/>
    <w:rsid w:val="33DB07DB"/>
    <w:rsid w:val="3423363F"/>
    <w:rsid w:val="34E763F5"/>
    <w:rsid w:val="35A81230"/>
    <w:rsid w:val="35BE61DE"/>
    <w:rsid w:val="363A185F"/>
    <w:rsid w:val="37337795"/>
    <w:rsid w:val="37362008"/>
    <w:rsid w:val="37CC5D40"/>
    <w:rsid w:val="386B5961"/>
    <w:rsid w:val="387E3CE9"/>
    <w:rsid w:val="3A190DD9"/>
    <w:rsid w:val="3A745AA5"/>
    <w:rsid w:val="3B1C631F"/>
    <w:rsid w:val="3B6A6ED8"/>
    <w:rsid w:val="3B9F5F6E"/>
    <w:rsid w:val="3BDA5757"/>
    <w:rsid w:val="3C2C4265"/>
    <w:rsid w:val="3C492603"/>
    <w:rsid w:val="3C7C4CD6"/>
    <w:rsid w:val="3CC736A9"/>
    <w:rsid w:val="3CC9487F"/>
    <w:rsid w:val="3D375DAF"/>
    <w:rsid w:val="3D483ECD"/>
    <w:rsid w:val="3D90594C"/>
    <w:rsid w:val="3DD7020A"/>
    <w:rsid w:val="3E504CFE"/>
    <w:rsid w:val="40493C60"/>
    <w:rsid w:val="413E399E"/>
    <w:rsid w:val="41A4580B"/>
    <w:rsid w:val="41CD71DB"/>
    <w:rsid w:val="42A668D7"/>
    <w:rsid w:val="44EB3951"/>
    <w:rsid w:val="4522252F"/>
    <w:rsid w:val="455D56BD"/>
    <w:rsid w:val="45B164AC"/>
    <w:rsid w:val="45B82664"/>
    <w:rsid w:val="462721B8"/>
    <w:rsid w:val="463B1FB6"/>
    <w:rsid w:val="46FA4DE1"/>
    <w:rsid w:val="471813B4"/>
    <w:rsid w:val="47EF3F2C"/>
    <w:rsid w:val="49172E64"/>
    <w:rsid w:val="493123CC"/>
    <w:rsid w:val="499E0CFB"/>
    <w:rsid w:val="49DE41DD"/>
    <w:rsid w:val="4A234A73"/>
    <w:rsid w:val="4AFD0F3D"/>
    <w:rsid w:val="4B7B39BE"/>
    <w:rsid w:val="4C6A5EC8"/>
    <w:rsid w:val="4C702E23"/>
    <w:rsid w:val="4D2103BD"/>
    <w:rsid w:val="4D4F67C9"/>
    <w:rsid w:val="4D565D01"/>
    <w:rsid w:val="4DD70C15"/>
    <w:rsid w:val="4EC84EC9"/>
    <w:rsid w:val="4ECF48F5"/>
    <w:rsid w:val="4EF50BB6"/>
    <w:rsid w:val="4F1149FB"/>
    <w:rsid w:val="4FB242F0"/>
    <w:rsid w:val="4FCE6222"/>
    <w:rsid w:val="5198609B"/>
    <w:rsid w:val="534E6D42"/>
    <w:rsid w:val="53F96CC1"/>
    <w:rsid w:val="54530735"/>
    <w:rsid w:val="54B368C9"/>
    <w:rsid w:val="54CD5EE6"/>
    <w:rsid w:val="55F515B1"/>
    <w:rsid w:val="56002705"/>
    <w:rsid w:val="563F1657"/>
    <w:rsid w:val="570A794C"/>
    <w:rsid w:val="57133B04"/>
    <w:rsid w:val="575E34E9"/>
    <w:rsid w:val="59272954"/>
    <w:rsid w:val="592F4437"/>
    <w:rsid w:val="59743366"/>
    <w:rsid w:val="599C62FB"/>
    <w:rsid w:val="59D950BD"/>
    <w:rsid w:val="5C1437CD"/>
    <w:rsid w:val="5C3C5905"/>
    <w:rsid w:val="5C9A3D5C"/>
    <w:rsid w:val="5D781309"/>
    <w:rsid w:val="5DB21964"/>
    <w:rsid w:val="5DC340DF"/>
    <w:rsid w:val="5DE74906"/>
    <w:rsid w:val="5E943DC4"/>
    <w:rsid w:val="5E944783"/>
    <w:rsid w:val="5EB82EB7"/>
    <w:rsid w:val="5F7475E7"/>
    <w:rsid w:val="604133F7"/>
    <w:rsid w:val="609B7DDD"/>
    <w:rsid w:val="61676F9F"/>
    <w:rsid w:val="61B4681C"/>
    <w:rsid w:val="61F51884"/>
    <w:rsid w:val="62094375"/>
    <w:rsid w:val="62DF2949"/>
    <w:rsid w:val="632F4F38"/>
    <w:rsid w:val="639635CF"/>
    <w:rsid w:val="63B02821"/>
    <w:rsid w:val="642057C7"/>
    <w:rsid w:val="64207847"/>
    <w:rsid w:val="64776005"/>
    <w:rsid w:val="66683B46"/>
    <w:rsid w:val="6671571E"/>
    <w:rsid w:val="66C75080"/>
    <w:rsid w:val="681C0391"/>
    <w:rsid w:val="68755092"/>
    <w:rsid w:val="68B3744B"/>
    <w:rsid w:val="68FF76E4"/>
    <w:rsid w:val="6A4D3015"/>
    <w:rsid w:val="6A7F5A88"/>
    <w:rsid w:val="6B970672"/>
    <w:rsid w:val="6C191A6E"/>
    <w:rsid w:val="6C2D42C5"/>
    <w:rsid w:val="6C6726DC"/>
    <w:rsid w:val="6D711C09"/>
    <w:rsid w:val="6E902FFD"/>
    <w:rsid w:val="6EC648B5"/>
    <w:rsid w:val="6F2D1DE0"/>
    <w:rsid w:val="6F3D47A3"/>
    <w:rsid w:val="6F7613B8"/>
    <w:rsid w:val="6F87576C"/>
    <w:rsid w:val="6FC82958"/>
    <w:rsid w:val="6FCB3031"/>
    <w:rsid w:val="70B91580"/>
    <w:rsid w:val="71336BEC"/>
    <w:rsid w:val="716031FF"/>
    <w:rsid w:val="71D76903"/>
    <w:rsid w:val="72FB3E82"/>
    <w:rsid w:val="748561D3"/>
    <w:rsid w:val="74B27047"/>
    <w:rsid w:val="75B75AFB"/>
    <w:rsid w:val="75ED24AD"/>
    <w:rsid w:val="763860D4"/>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2"/>
    <w:qFormat/>
    <w:uiPriority w:val="0"/>
    <w:pPr>
      <w:tabs>
        <w:tab w:val="center" w:pos="4153"/>
        <w:tab w:val="right" w:pos="8306"/>
      </w:tabs>
      <w:snapToGrid w:val="0"/>
      <w:jc w:val="left"/>
    </w:pPr>
    <w:rPr>
      <w:sz w:val="18"/>
    </w:rPr>
  </w:style>
  <w:style w:type="paragraph" w:styleId="6">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5"/>
    <w:qFormat/>
    <w:uiPriority w:val="0"/>
  </w:style>
  <w:style w:type="character" w:customStyle="1" w:styleId="83">
    <w:name w:val="页眉 Char"/>
    <w:basedOn w:val="10"/>
    <w:link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2020-06-11T06:12:00Z</cp:lastPrinted>
  <dcterms:modified xsi:type="dcterms:W3CDTF">2020-06-15T02:22:57Z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