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pacing w:val="20"/>
          <w:sz w:val="44"/>
          <w:szCs w:val="44"/>
        </w:rPr>
      </w:pPr>
      <w:bookmarkStart w:id="0" w:name="_Hlk528156679"/>
    </w:p>
    <w:p>
      <w:pPr>
        <w:autoSpaceDE w:val="0"/>
        <w:autoSpaceDN w:val="0"/>
        <w:adjustRightInd w:val="0"/>
        <w:jc w:val="center"/>
        <w:rPr>
          <w:rFonts w:ascii="宋体" w:hAnsi="宋体"/>
          <w:b/>
          <w:bCs/>
          <w:color w:val="000000"/>
          <w:spacing w:val="20"/>
          <w:sz w:val="48"/>
          <w:szCs w:val="36"/>
        </w:rPr>
      </w:pPr>
      <w:r>
        <w:rPr>
          <w:rFonts w:hint="eastAsia" w:ascii="宋体" w:hAnsi="宋体"/>
          <w:b/>
          <w:bCs/>
          <w:color w:val="000000"/>
          <w:spacing w:val="20"/>
          <w:sz w:val="48"/>
          <w:szCs w:val="36"/>
        </w:rPr>
        <w:t>长葛市后河镇闫楼村、三角王村排前道路工程（</w:t>
      </w:r>
      <w:r>
        <w:rPr>
          <w:rFonts w:hint="eastAsia" w:hAnsi="宋体" w:cs="宋体"/>
          <w:b/>
          <w:sz w:val="48"/>
          <w:szCs w:val="48"/>
        </w:rPr>
        <w:t>不见面开标</w:t>
      </w:r>
      <w:r>
        <w:rPr>
          <w:rFonts w:hint="eastAsia" w:ascii="宋体" w:hAnsi="宋体"/>
          <w:b/>
          <w:bCs/>
          <w:color w:val="000000"/>
          <w:spacing w:val="20"/>
          <w:sz w:val="48"/>
          <w:szCs w:val="36"/>
        </w:rPr>
        <w:t>）</w:t>
      </w:r>
    </w:p>
    <w:p>
      <w:pPr>
        <w:rPr>
          <w:b/>
          <w:bCs/>
          <w:color w:val="000000"/>
          <w:spacing w:val="20"/>
          <w:sz w:val="96"/>
          <w:szCs w:val="96"/>
        </w:rPr>
      </w:pPr>
    </w:p>
    <w:p/>
    <w:p>
      <w:pPr>
        <w:pStyle w:val="2"/>
      </w:pPr>
    </w:p>
    <w:p>
      <w:pPr>
        <w:jc w:val="center"/>
        <w:rPr>
          <w:b/>
          <w:sz w:val="52"/>
          <w:szCs w:val="52"/>
        </w:rPr>
      </w:pPr>
      <w:r>
        <w:rPr>
          <w:rFonts w:hint="eastAsia"/>
          <w:b/>
          <w:bCs/>
          <w:color w:val="000000"/>
          <w:spacing w:val="20"/>
          <w:sz w:val="96"/>
          <w:szCs w:val="96"/>
        </w:rPr>
        <w:t>招标文件</w:t>
      </w:r>
    </w:p>
    <w:p>
      <w:pPr>
        <w:jc w:val="center"/>
        <w:rPr>
          <w:bCs/>
          <w:color w:val="000000"/>
          <w:sz w:val="24"/>
        </w:rPr>
      </w:pPr>
    </w:p>
    <w:p>
      <w:pPr>
        <w:jc w:val="center"/>
        <w:rPr>
          <w:b/>
          <w:bCs/>
          <w:color w:val="FF0000"/>
          <w:sz w:val="32"/>
          <w:szCs w:val="32"/>
        </w:rPr>
      </w:pPr>
      <w:r>
        <w:rPr>
          <w:rFonts w:hint="eastAsia"/>
          <w:b/>
          <w:bCs/>
          <w:sz w:val="32"/>
          <w:szCs w:val="32"/>
        </w:rPr>
        <w:t>项目编号：长</w:t>
      </w:r>
      <w:r>
        <w:rPr>
          <w:rFonts w:hint="eastAsia" w:ascii="宋体" w:hAnsi="宋体"/>
          <w:b/>
          <w:bCs/>
          <w:sz w:val="32"/>
          <w:szCs w:val="32"/>
        </w:rPr>
        <w:t>交建【</w:t>
      </w:r>
      <w:r>
        <w:rPr>
          <w:rFonts w:ascii="宋体" w:hAnsi="宋体"/>
          <w:b/>
          <w:bCs/>
          <w:sz w:val="32"/>
          <w:szCs w:val="32"/>
        </w:rPr>
        <w:t>2020</w:t>
      </w:r>
      <w:r>
        <w:rPr>
          <w:rFonts w:hint="eastAsia" w:ascii="宋体" w:hAnsi="宋体"/>
          <w:b/>
          <w:bCs/>
          <w:sz w:val="32"/>
          <w:szCs w:val="32"/>
        </w:rPr>
        <w:t>】G</w:t>
      </w:r>
      <w:r>
        <w:rPr>
          <w:rFonts w:ascii="宋体" w:hAnsi="宋体"/>
          <w:b/>
          <w:bCs/>
          <w:sz w:val="32"/>
          <w:szCs w:val="32"/>
        </w:rPr>
        <w:t>Z070</w:t>
      </w:r>
      <w:r>
        <w:rPr>
          <w:rFonts w:hint="eastAsia" w:ascii="宋体" w:hAnsi="宋体"/>
          <w:b/>
          <w:bCs/>
          <w:sz w:val="32"/>
          <w:szCs w:val="32"/>
        </w:rPr>
        <w:t>号</w:t>
      </w:r>
    </w:p>
    <w:p>
      <w:pPr>
        <w:jc w:val="center"/>
        <w:rPr>
          <w:b/>
          <w:bCs/>
          <w:color w:val="FF0000"/>
          <w:sz w:val="24"/>
          <w:szCs w:val="24"/>
        </w:rPr>
      </w:pPr>
    </w:p>
    <w:p>
      <w:pPr>
        <w:pStyle w:val="2"/>
      </w:pPr>
    </w:p>
    <w:p>
      <w:pPr>
        <w:widowControl/>
        <w:jc w:val="left"/>
        <w:rPr>
          <w:rFonts w:ascii="宋体" w:hAnsi="宋体" w:cs="宋体"/>
          <w:kern w:val="0"/>
          <w:sz w:val="24"/>
          <w:szCs w:val="24"/>
        </w:rPr>
      </w:pPr>
    </w:p>
    <w:p>
      <w:pPr>
        <w:pStyle w:val="2"/>
      </w:pPr>
    </w:p>
    <w:p>
      <w:pPr>
        <w:pStyle w:val="2"/>
        <w:tabs>
          <w:tab w:val="left" w:pos="1665"/>
        </w:tabs>
        <w:spacing w:line="240" w:lineRule="auto"/>
        <w:rPr>
          <w:rFonts w:eastAsia="等线"/>
        </w:rPr>
      </w:pPr>
      <w:r>
        <w:rPr>
          <w:rFonts w:eastAsia="等线"/>
        </w:rPr>
        <w:tab/>
      </w:r>
    </w:p>
    <w:p>
      <w:pPr>
        <w:autoSpaceDE w:val="0"/>
        <w:autoSpaceDN w:val="0"/>
        <w:adjustRightInd w:val="0"/>
        <w:ind w:firstLine="643" w:firstLineChars="200"/>
        <w:rPr>
          <w:b/>
          <w:bCs/>
          <w:color w:val="FF0000"/>
          <w:sz w:val="32"/>
          <w:szCs w:val="32"/>
        </w:rPr>
      </w:pPr>
      <w:r>
        <w:rPr>
          <w:rFonts w:hint="eastAsia"/>
          <w:b/>
          <w:bCs/>
          <w:color w:val="000000"/>
          <w:sz w:val="32"/>
          <w:szCs w:val="32"/>
        </w:rPr>
        <w:t>招标人：</w:t>
      </w:r>
      <w:r>
        <w:rPr>
          <w:rFonts w:hint="eastAsia"/>
          <w:b/>
          <w:bCs/>
          <w:sz w:val="32"/>
          <w:szCs w:val="32"/>
        </w:rPr>
        <w:t>长葛市后河镇人民政府</w:t>
      </w:r>
    </w:p>
    <w:p>
      <w:pPr>
        <w:autoSpaceDE w:val="0"/>
        <w:autoSpaceDN w:val="0"/>
        <w:adjustRightInd w:val="0"/>
        <w:ind w:firstLine="643" w:firstLineChars="200"/>
        <w:rPr>
          <w:b/>
          <w:bCs/>
          <w:color w:val="000000"/>
          <w:sz w:val="32"/>
          <w:szCs w:val="32"/>
        </w:rPr>
      </w:pPr>
      <w:r>
        <w:rPr>
          <w:rFonts w:hint="eastAsia"/>
          <w:b/>
          <w:bCs/>
          <w:color w:val="000000"/>
          <w:sz w:val="32"/>
          <w:szCs w:val="32"/>
        </w:rPr>
        <w:t>招标代理机构：河南省君利工程管理有限公司</w:t>
      </w:r>
    </w:p>
    <w:p>
      <w:pPr>
        <w:autoSpaceDE w:val="0"/>
        <w:autoSpaceDN w:val="0"/>
        <w:adjustRightInd w:val="0"/>
        <w:ind w:firstLine="643" w:firstLineChars="200"/>
        <w:rPr>
          <w:sz w:val="36"/>
          <w:szCs w:val="36"/>
        </w:rPr>
      </w:pPr>
      <w:r>
        <w:rPr>
          <w:rFonts w:hint="eastAsia"/>
          <w:b/>
          <w:sz w:val="32"/>
          <w:szCs w:val="32"/>
        </w:rPr>
        <w:t>日期：二〇二〇年六月</w:t>
      </w:r>
      <w:bookmarkEnd w:id="0"/>
    </w:p>
    <w:p>
      <w:pPr>
        <w:pStyle w:val="2"/>
        <w:sectPr>
          <w:footerReference r:id="rId3" w:type="default"/>
          <w:pgSz w:w="11906" w:h="16838"/>
          <w:pgMar w:top="1440" w:right="1746" w:bottom="1440" w:left="1746" w:header="720" w:footer="720" w:gutter="0"/>
          <w:cols w:space="720" w:num="1"/>
          <w:docGrid w:type="lines" w:linePitch="312" w:charSpace="0"/>
        </w:sectPr>
      </w:pPr>
    </w:p>
    <w:p>
      <w:pPr>
        <w:autoSpaceDE w:val="0"/>
        <w:autoSpaceDN w:val="0"/>
        <w:adjustRightInd w:val="0"/>
        <w:jc w:val="center"/>
        <w:rPr>
          <w:rFonts w:ascii="宋体" w:hAnsi="宋体"/>
          <w:b/>
          <w:bCs/>
          <w:sz w:val="44"/>
          <w:szCs w:val="44"/>
        </w:rPr>
      </w:pPr>
      <w:r>
        <w:rPr>
          <w:rFonts w:hint="eastAsia" w:ascii="宋体" w:hAnsi="宋体"/>
          <w:b/>
          <w:bCs/>
          <w:sz w:val="44"/>
          <w:szCs w:val="44"/>
        </w:rPr>
        <w:t>目录</w:t>
      </w:r>
    </w:p>
    <w:p>
      <w:pPr>
        <w:pStyle w:val="25"/>
        <w:ind w:firstLine="200"/>
      </w:pPr>
    </w:p>
    <w:p>
      <w:pPr>
        <w:pStyle w:val="25"/>
        <w:ind w:firstLine="200"/>
        <w:rPr>
          <w:sz w:val="36"/>
          <w:szCs w:val="24"/>
        </w:rPr>
      </w:pPr>
      <w:r>
        <w:fldChar w:fldCharType="begin"/>
      </w:r>
      <w:r>
        <w:instrText xml:space="preserve"> HYPERLINK \l "_Toc28446_" </w:instrText>
      </w:r>
      <w:r>
        <w:fldChar w:fldCharType="separate"/>
      </w:r>
      <w:r>
        <w:rPr>
          <w:rStyle w:val="15"/>
          <w:rFonts w:hint="eastAsia" w:ascii="宋体" w:hAnsi="宋体"/>
          <w:sz w:val="24"/>
        </w:rPr>
        <w:t>第一章招标公告</w:t>
      </w:r>
      <w:r>
        <w:rPr>
          <w:rStyle w:val="15"/>
          <w:rFonts w:hint="eastAsia" w:ascii="宋体" w:hAnsi="宋体"/>
          <w:sz w:val="24"/>
        </w:rPr>
        <w:fldChar w:fldCharType="end"/>
      </w:r>
    </w:p>
    <w:p>
      <w:pPr>
        <w:pStyle w:val="25"/>
        <w:ind w:firstLine="200"/>
        <w:rPr>
          <w:sz w:val="36"/>
          <w:szCs w:val="24"/>
        </w:rPr>
      </w:pPr>
      <w:r>
        <w:fldChar w:fldCharType="begin"/>
      </w:r>
      <w:r>
        <w:instrText xml:space="preserve"> HYPERLINK \l "_Toc27617_" </w:instrText>
      </w:r>
      <w:r>
        <w:fldChar w:fldCharType="separate"/>
      </w:r>
      <w:r>
        <w:rPr>
          <w:rStyle w:val="15"/>
          <w:rFonts w:hint="eastAsia" w:ascii="宋体" w:hAnsi="宋体"/>
          <w:sz w:val="24"/>
        </w:rPr>
        <w:t>第二章投标人须知</w:t>
      </w:r>
      <w:r>
        <w:rPr>
          <w:rStyle w:val="15"/>
          <w:rFonts w:hint="eastAsia" w:ascii="宋体" w:hAnsi="宋体"/>
          <w:sz w:val="24"/>
        </w:rPr>
        <w:fldChar w:fldCharType="end"/>
      </w:r>
    </w:p>
    <w:p>
      <w:pPr>
        <w:pStyle w:val="25"/>
        <w:ind w:firstLine="200"/>
        <w:rPr>
          <w:sz w:val="36"/>
          <w:szCs w:val="24"/>
        </w:rPr>
      </w:pPr>
      <w:r>
        <w:fldChar w:fldCharType="begin"/>
      </w:r>
      <w:r>
        <w:instrText xml:space="preserve"> HYPERLINK \l "_Toc12931_" </w:instrText>
      </w:r>
      <w:r>
        <w:fldChar w:fldCharType="separate"/>
      </w:r>
      <w:r>
        <w:rPr>
          <w:rStyle w:val="15"/>
          <w:rFonts w:hint="eastAsia" w:ascii="宋体" w:hAnsi="宋体"/>
          <w:sz w:val="24"/>
        </w:rPr>
        <w:t>第三章评标</w:t>
      </w:r>
      <w:bookmarkStart w:id="1" w:name="_Hlt528156879"/>
      <w:bookmarkStart w:id="2" w:name="_Hlt528156884"/>
      <w:bookmarkStart w:id="3" w:name="_Hlt528156878"/>
      <w:bookmarkStart w:id="4" w:name="_Hlt528156886"/>
      <w:bookmarkStart w:id="5" w:name="_Hlt528156876"/>
      <w:bookmarkStart w:id="6" w:name="_Hlt528156885"/>
      <w:bookmarkStart w:id="7" w:name="_Hlt528156883"/>
      <w:bookmarkStart w:id="8" w:name="_Hlt528156882"/>
      <w:bookmarkStart w:id="9" w:name="_Hlt528156881"/>
      <w:bookmarkStart w:id="10" w:name="_Hlt528156877"/>
      <w:bookmarkStart w:id="11" w:name="_Hlt528156880"/>
      <w:r>
        <w:rPr>
          <w:rStyle w:val="15"/>
          <w:rFonts w:hint="eastAsia" w:ascii="宋体" w:hAnsi="宋体"/>
          <w:sz w:val="24"/>
        </w:rPr>
        <w:t>办</w:t>
      </w:r>
      <w:bookmarkEnd w:id="1"/>
      <w:bookmarkEnd w:id="2"/>
      <w:bookmarkEnd w:id="3"/>
      <w:bookmarkEnd w:id="4"/>
      <w:bookmarkEnd w:id="5"/>
      <w:bookmarkEnd w:id="6"/>
      <w:bookmarkEnd w:id="7"/>
      <w:bookmarkEnd w:id="8"/>
      <w:bookmarkEnd w:id="9"/>
      <w:bookmarkEnd w:id="10"/>
      <w:bookmarkEnd w:id="11"/>
      <w:r>
        <w:rPr>
          <w:rStyle w:val="15"/>
          <w:rFonts w:hint="eastAsia" w:ascii="宋体" w:hAnsi="宋体"/>
          <w:sz w:val="24"/>
        </w:rPr>
        <w:t>法（综合</w:t>
      </w:r>
      <w:bookmarkStart w:id="12" w:name="_Hlt528156874"/>
      <w:bookmarkStart w:id="13" w:name="_Hlt528156873"/>
      <w:r>
        <w:rPr>
          <w:rStyle w:val="15"/>
          <w:rFonts w:hint="eastAsia" w:ascii="宋体" w:hAnsi="宋体"/>
          <w:sz w:val="24"/>
        </w:rPr>
        <w:t>计分法</w:t>
      </w:r>
      <w:bookmarkEnd w:id="12"/>
      <w:bookmarkEnd w:id="13"/>
      <w:r>
        <w:rPr>
          <w:rStyle w:val="15"/>
          <w:rFonts w:hint="eastAsia" w:ascii="宋体" w:hAnsi="宋体"/>
          <w:sz w:val="24"/>
        </w:rPr>
        <w:t>）</w:t>
      </w:r>
      <w:r>
        <w:rPr>
          <w:rStyle w:val="15"/>
          <w:rFonts w:hint="eastAsia" w:ascii="宋体" w:hAnsi="宋体"/>
          <w:sz w:val="24"/>
        </w:rPr>
        <w:fldChar w:fldCharType="end"/>
      </w:r>
    </w:p>
    <w:p>
      <w:pPr>
        <w:pStyle w:val="25"/>
        <w:ind w:firstLine="200"/>
        <w:rPr>
          <w:sz w:val="36"/>
          <w:szCs w:val="24"/>
        </w:rPr>
      </w:pPr>
      <w:r>
        <w:fldChar w:fldCharType="begin"/>
      </w:r>
      <w:r>
        <w:instrText xml:space="preserve"> HYPERLINK \l "_Toc26486_" </w:instrText>
      </w:r>
      <w:r>
        <w:fldChar w:fldCharType="separate"/>
      </w:r>
      <w:r>
        <w:rPr>
          <w:rStyle w:val="15"/>
          <w:rFonts w:hint="eastAsia" w:ascii="宋体" w:hAnsi="宋体"/>
          <w:sz w:val="24"/>
        </w:rPr>
        <w:t>第四章合同条款及格式</w:t>
      </w:r>
      <w:r>
        <w:rPr>
          <w:rStyle w:val="15"/>
          <w:rFonts w:hint="eastAsia" w:ascii="宋体" w:hAnsi="宋体"/>
          <w:sz w:val="24"/>
        </w:rPr>
        <w:fldChar w:fldCharType="end"/>
      </w:r>
    </w:p>
    <w:p>
      <w:pPr>
        <w:pStyle w:val="25"/>
        <w:ind w:firstLine="200"/>
        <w:rPr>
          <w:sz w:val="36"/>
          <w:szCs w:val="24"/>
        </w:rPr>
      </w:pPr>
      <w:r>
        <w:fldChar w:fldCharType="begin"/>
      </w:r>
      <w:r>
        <w:instrText xml:space="preserve"> HYPERLINK \l "_Toc8159_" </w:instrText>
      </w:r>
      <w:r>
        <w:fldChar w:fldCharType="separate"/>
      </w:r>
      <w:r>
        <w:rPr>
          <w:rStyle w:val="15"/>
          <w:rFonts w:hint="eastAsia" w:ascii="宋体" w:hAnsi="宋体"/>
          <w:sz w:val="24"/>
        </w:rPr>
        <w:t>第五章工程量清单</w:t>
      </w:r>
      <w:r>
        <w:rPr>
          <w:rStyle w:val="15"/>
          <w:rFonts w:hint="eastAsia" w:ascii="宋体" w:hAnsi="宋体"/>
          <w:sz w:val="24"/>
        </w:rPr>
        <w:fldChar w:fldCharType="end"/>
      </w:r>
    </w:p>
    <w:p>
      <w:pPr>
        <w:pStyle w:val="25"/>
        <w:ind w:firstLine="200"/>
        <w:rPr>
          <w:sz w:val="36"/>
          <w:szCs w:val="24"/>
        </w:rPr>
      </w:pPr>
      <w:r>
        <w:fldChar w:fldCharType="begin"/>
      </w:r>
      <w:r>
        <w:instrText xml:space="preserve"> HYPERLINK \l "_Toc32164_" </w:instrText>
      </w:r>
      <w:r>
        <w:fldChar w:fldCharType="separate"/>
      </w:r>
      <w:r>
        <w:rPr>
          <w:rStyle w:val="15"/>
          <w:rFonts w:hint="eastAsia" w:ascii="宋体" w:hAnsi="宋体"/>
          <w:sz w:val="24"/>
        </w:rPr>
        <w:t>第六章技术标准和要求</w:t>
      </w:r>
      <w:r>
        <w:rPr>
          <w:rStyle w:val="15"/>
          <w:rFonts w:hint="eastAsia" w:ascii="宋体" w:hAnsi="宋体"/>
          <w:sz w:val="24"/>
        </w:rPr>
        <w:fldChar w:fldCharType="end"/>
      </w:r>
    </w:p>
    <w:p>
      <w:pPr>
        <w:pStyle w:val="25"/>
        <w:ind w:firstLine="200"/>
        <w:rPr>
          <w:rFonts w:ascii="宋体"/>
          <w:b/>
          <w:bCs/>
          <w:sz w:val="36"/>
          <w:szCs w:val="24"/>
        </w:rPr>
      </w:pPr>
      <w:r>
        <w:fldChar w:fldCharType="begin"/>
      </w:r>
      <w:r>
        <w:instrText xml:space="preserve"> HYPERLINK \l "_Toc7581_" </w:instrText>
      </w:r>
      <w:r>
        <w:fldChar w:fldCharType="separate"/>
      </w:r>
      <w:r>
        <w:rPr>
          <w:rStyle w:val="15"/>
          <w:rFonts w:hint="eastAsia" w:ascii="宋体" w:hAnsi="宋体"/>
          <w:sz w:val="24"/>
        </w:rPr>
        <w:t>第七章投标文件格式</w:t>
      </w:r>
      <w:r>
        <w:rPr>
          <w:rStyle w:val="15"/>
          <w:rFonts w:hint="eastAsia" w:ascii="宋体" w:hAnsi="宋体"/>
          <w:sz w:val="24"/>
        </w:rPr>
        <w:fldChar w:fldCharType="end"/>
      </w:r>
    </w:p>
    <w:p>
      <w:pPr>
        <w:pStyle w:val="25"/>
        <w:ind w:firstLine="240"/>
        <w:rPr>
          <w:sz w:val="24"/>
          <w:szCs w:val="24"/>
        </w:rPr>
      </w:pPr>
    </w:p>
    <w:p>
      <w:pPr>
        <w:autoSpaceDE w:val="0"/>
        <w:autoSpaceDN w:val="0"/>
        <w:ind w:firstLine="422" w:firstLineChars="200"/>
        <w:jc w:val="left"/>
        <w:outlineLvl w:val="0"/>
        <w:rPr>
          <w:rFonts w:ascii="宋体" w:hAnsi="宋体"/>
          <w:b/>
          <w:bCs/>
        </w:rPr>
      </w:pPr>
    </w:p>
    <w:p>
      <w:pPr>
        <w:autoSpaceDE w:val="0"/>
        <w:autoSpaceDN w:val="0"/>
        <w:spacing w:line="460" w:lineRule="exact"/>
        <w:outlineLvl w:val="0"/>
        <w:rPr>
          <w:sz w:val="24"/>
          <w:szCs w:val="24"/>
        </w:rPr>
      </w:pPr>
      <w:bookmarkStart w:id="14" w:name="_Toc28446"/>
      <w:bookmarkEnd w:id="14"/>
      <w:bookmarkStart w:id="15" w:name="_Toc397605780"/>
      <w:bookmarkEnd w:id="15"/>
      <w:bookmarkStart w:id="16" w:name="_Toc464824529"/>
      <w:bookmarkEnd w:id="16"/>
    </w:p>
    <w:p>
      <w:pPr>
        <w:widowControl/>
        <w:jc w:val="left"/>
        <w:rPr>
          <w:rFonts w:cs="宋体"/>
          <w:b/>
          <w:bCs/>
          <w:kern w:val="0"/>
          <w:sz w:val="36"/>
          <w:szCs w:val="36"/>
        </w:rPr>
        <w:sectPr>
          <w:pgSz w:w="11906" w:h="16838"/>
          <w:pgMar w:top="1440" w:right="1689" w:bottom="1440" w:left="1746" w:header="720" w:footer="720" w:gutter="0"/>
          <w:cols w:space="720" w:num="1"/>
          <w:docGrid w:type="lines" w:linePitch="312" w:charSpace="0"/>
        </w:sectPr>
      </w:pPr>
    </w:p>
    <w:p>
      <w:pPr>
        <w:autoSpaceDE w:val="0"/>
        <w:autoSpaceDN w:val="0"/>
        <w:ind w:firstLine="723" w:firstLineChars="200"/>
        <w:jc w:val="center"/>
        <w:outlineLvl w:val="0"/>
        <w:rPr>
          <w:b/>
          <w:bCs/>
        </w:rPr>
      </w:pPr>
      <w:bookmarkStart w:id="17" w:name="_Toc27617"/>
      <w:bookmarkEnd w:id="17"/>
      <w:bookmarkStart w:id="18" w:name="_Toc397507514"/>
      <w:bookmarkEnd w:id="18"/>
      <w:bookmarkStart w:id="19" w:name="_Toc464824549"/>
      <w:bookmarkEnd w:id="19"/>
      <w:bookmarkStart w:id="20" w:name="_Toc397507927"/>
      <w:bookmarkEnd w:id="20"/>
      <w:bookmarkStart w:id="21" w:name="_Toc397605796"/>
      <w:bookmarkEnd w:id="21"/>
      <w:bookmarkStart w:id="22" w:name="_Toc283559940"/>
      <w:r>
        <w:rPr>
          <w:rFonts w:hint="eastAsia"/>
          <w:b/>
          <w:bCs/>
          <w:sz w:val="36"/>
          <w:szCs w:val="36"/>
        </w:rPr>
        <w:t>第一章招标公告</w:t>
      </w:r>
      <w:bookmarkEnd w:id="22"/>
    </w:p>
    <w:p>
      <w:pPr>
        <w:autoSpaceDE w:val="0"/>
        <w:autoSpaceDN w:val="0"/>
        <w:jc w:val="center"/>
        <w:outlineLvl w:val="0"/>
        <w:rPr>
          <w:b/>
          <w:bCs/>
          <w:sz w:val="28"/>
          <w:szCs w:val="28"/>
        </w:rPr>
      </w:pPr>
      <w:r>
        <w:rPr>
          <w:rFonts w:hint="eastAsia"/>
          <w:b/>
          <w:bCs/>
          <w:sz w:val="28"/>
          <w:szCs w:val="28"/>
        </w:rPr>
        <w:t>长葛市后河镇闫楼村、三角王村排前道路工程（不见面开标）</w:t>
      </w:r>
    </w:p>
    <w:p>
      <w:pPr>
        <w:autoSpaceDE w:val="0"/>
        <w:autoSpaceDN w:val="0"/>
        <w:jc w:val="center"/>
        <w:outlineLvl w:val="0"/>
        <w:rPr>
          <w:b/>
          <w:bCs/>
          <w:sz w:val="28"/>
          <w:szCs w:val="28"/>
        </w:rPr>
      </w:pPr>
      <w:r>
        <w:rPr>
          <w:rFonts w:hint="eastAsia"/>
          <w:b/>
          <w:bCs/>
          <w:sz w:val="28"/>
          <w:szCs w:val="28"/>
        </w:rPr>
        <w:t>招标公告</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一、招标条件</w:t>
      </w:r>
    </w:p>
    <w:p>
      <w:pPr>
        <w:autoSpaceDE w:val="0"/>
        <w:autoSpaceDN w:val="0"/>
        <w:spacing w:line="460" w:lineRule="exact"/>
        <w:ind w:firstLine="480" w:firstLineChars="200"/>
        <w:outlineLvl w:val="0"/>
        <w:rPr>
          <w:rFonts w:ascii="宋体" w:hAnsi="宋体"/>
          <w:b/>
          <w:bCs/>
          <w:sz w:val="24"/>
          <w:szCs w:val="24"/>
        </w:rPr>
      </w:pPr>
      <w:r>
        <w:rPr>
          <w:rFonts w:hint="eastAsia" w:ascii="宋体" w:hAnsi="宋体"/>
          <w:sz w:val="24"/>
          <w:szCs w:val="24"/>
        </w:rPr>
        <w:t>本招标项目</w:t>
      </w:r>
      <w:r>
        <w:rPr>
          <w:rFonts w:hint="eastAsia" w:ascii="宋体" w:hAnsi="宋体"/>
          <w:bCs/>
          <w:sz w:val="24"/>
          <w:szCs w:val="24"/>
        </w:rPr>
        <w:t>长葛市后河镇闫楼村、三角王村排前道路工程</w:t>
      </w:r>
      <w:r>
        <w:rPr>
          <w:rFonts w:hint="eastAsia" w:ascii="宋体" w:hAnsi="宋体"/>
          <w:sz w:val="24"/>
          <w:szCs w:val="24"/>
        </w:rPr>
        <w:t>已由长葛市发展和改革委员会以长发改综合【</w:t>
      </w:r>
      <w:r>
        <w:rPr>
          <w:rFonts w:ascii="宋体" w:hAnsi="宋体"/>
          <w:sz w:val="24"/>
          <w:szCs w:val="24"/>
        </w:rPr>
        <w:t>2020</w:t>
      </w:r>
      <w:r>
        <w:rPr>
          <w:rFonts w:hint="eastAsia" w:ascii="宋体" w:hAnsi="宋体"/>
          <w:sz w:val="24"/>
          <w:szCs w:val="24"/>
        </w:rPr>
        <w:t>】</w:t>
      </w:r>
      <w:r>
        <w:rPr>
          <w:rFonts w:ascii="宋体" w:hAnsi="宋体"/>
          <w:sz w:val="24"/>
          <w:szCs w:val="24"/>
        </w:rPr>
        <w:t>41</w:t>
      </w:r>
      <w:r>
        <w:rPr>
          <w:rFonts w:hint="eastAsia" w:ascii="宋体" w:hAnsi="宋体"/>
          <w:sz w:val="24"/>
          <w:szCs w:val="24"/>
        </w:rPr>
        <w:t>号文批准建设，建设资金来源为村镇自筹。招标人为</w:t>
      </w:r>
      <w:r>
        <w:rPr>
          <w:rFonts w:hint="eastAsia" w:ascii="宋体" w:hAnsi="宋体"/>
          <w:bCs/>
          <w:sz w:val="24"/>
          <w:szCs w:val="24"/>
        </w:rPr>
        <w:t>长葛市后河镇人民政府</w:t>
      </w:r>
      <w:r>
        <w:rPr>
          <w:rFonts w:hint="eastAsia" w:ascii="宋体" w:hAnsi="宋体"/>
          <w:sz w:val="24"/>
          <w:szCs w:val="24"/>
        </w:rPr>
        <w:t>，招标代理机构为河南省君利工程管理有限公司。本项目已具备招标条件，现对该项目进行国内公开招标。</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二、项目概况及招标范围</w:t>
      </w:r>
    </w:p>
    <w:p>
      <w:pPr>
        <w:autoSpaceDE w:val="0"/>
        <w:autoSpaceDN w:val="0"/>
        <w:spacing w:line="460" w:lineRule="exact"/>
        <w:ind w:firstLine="480" w:firstLineChars="200"/>
        <w:outlineLvl w:val="0"/>
        <w:rPr>
          <w:rFonts w:ascii="宋体" w:hAnsi="宋体"/>
          <w:color w:val="FF0000"/>
          <w:sz w:val="24"/>
          <w:szCs w:val="24"/>
        </w:rPr>
      </w:pPr>
      <w:r>
        <w:rPr>
          <w:rFonts w:hint="eastAsia" w:ascii="宋体" w:hAnsi="宋体"/>
          <w:sz w:val="24"/>
          <w:szCs w:val="24"/>
        </w:rPr>
        <w:t>2.1招标编号：长交建【</w:t>
      </w:r>
      <w:r>
        <w:rPr>
          <w:rFonts w:ascii="宋体" w:hAnsi="宋体"/>
          <w:sz w:val="24"/>
          <w:szCs w:val="24"/>
        </w:rPr>
        <w:t>2020</w:t>
      </w:r>
      <w:r>
        <w:rPr>
          <w:rFonts w:hint="eastAsia" w:ascii="宋体" w:hAnsi="宋体"/>
          <w:sz w:val="24"/>
          <w:szCs w:val="24"/>
        </w:rPr>
        <w:t>】G</w:t>
      </w:r>
      <w:r>
        <w:rPr>
          <w:rFonts w:ascii="宋体" w:hAnsi="宋体"/>
          <w:sz w:val="24"/>
          <w:szCs w:val="24"/>
        </w:rPr>
        <w:t>Z</w:t>
      </w:r>
      <w:r>
        <w:rPr>
          <w:rFonts w:hint="eastAsia" w:ascii="宋体" w:hAnsi="宋体"/>
          <w:sz w:val="24"/>
          <w:szCs w:val="24"/>
        </w:rPr>
        <w:t xml:space="preserve"> </w:t>
      </w:r>
      <w:r>
        <w:rPr>
          <w:rFonts w:ascii="宋体" w:hAnsi="宋体"/>
          <w:sz w:val="24"/>
          <w:szCs w:val="24"/>
        </w:rPr>
        <w:t>070</w:t>
      </w:r>
      <w:r>
        <w:rPr>
          <w:rFonts w:hint="eastAsia" w:ascii="宋体" w:hAnsi="宋体"/>
          <w:sz w:val="24"/>
          <w:szCs w:val="24"/>
        </w:rPr>
        <w:t>号</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2.2项目名称：</w:t>
      </w:r>
      <w:r>
        <w:rPr>
          <w:rFonts w:hint="eastAsia" w:ascii="宋体" w:hAnsi="宋体"/>
          <w:bCs/>
          <w:sz w:val="24"/>
          <w:szCs w:val="24"/>
        </w:rPr>
        <w:t>长葛市后河镇闫楼村、三角王村排前道路工程</w:t>
      </w:r>
      <w:r>
        <w:rPr>
          <w:rFonts w:hint="eastAsia" w:ascii="宋体" w:hAnsi="宋体"/>
          <w:sz w:val="24"/>
          <w:szCs w:val="24"/>
        </w:rPr>
        <w:t>（不见面开标）</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2.3建设地点：长葛市</w:t>
      </w:r>
      <w:r>
        <w:rPr>
          <w:rFonts w:hint="eastAsia" w:ascii="宋体" w:hAnsi="宋体"/>
          <w:bCs/>
          <w:sz w:val="24"/>
          <w:szCs w:val="24"/>
        </w:rPr>
        <w:t>后河镇闫楼村、三角王村</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项目建设内容：</w:t>
      </w:r>
      <w:r>
        <w:rPr>
          <w:rFonts w:hint="eastAsia" w:ascii="宋体" w:hAnsi="宋体"/>
          <w:bCs/>
          <w:sz w:val="24"/>
          <w:szCs w:val="24"/>
        </w:rPr>
        <w:t>长葛市后河镇闫楼村、三角王村排前道路工程，位于长葛市，工程内容包括：表土清除、外购土方、新建四米宽道路，路面设计结构为水泥混凝土路面（18cm厚C25水泥砼/12cm厚C25水泥砼+15cm厚4%水泥稳定土）、切割伸缩缝宽度为4-6mm，间距5m，缝切割深度不小于厚度的1/3，聚氯乙烯胶泥填缝。</w:t>
      </w:r>
      <w:r>
        <w:rPr>
          <w:rFonts w:hint="eastAsia" w:ascii="宋体" w:hAnsi="宋体"/>
          <w:sz w:val="24"/>
          <w:szCs w:val="24"/>
        </w:rPr>
        <w:t>具体详见工程量清单。</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5</w:t>
      </w:r>
      <w:r>
        <w:rPr>
          <w:rFonts w:hint="eastAsia" w:ascii="宋体" w:hAnsi="宋体"/>
          <w:sz w:val="24"/>
          <w:szCs w:val="24"/>
        </w:rPr>
        <w:t>招标范围：招标文件、工程量清单、施工图纸、补充文件（如有）、答疑纪要等列明的所有建设内容；</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6</w:t>
      </w:r>
      <w:r>
        <w:rPr>
          <w:rFonts w:hint="eastAsia" w:ascii="宋体" w:hAnsi="宋体"/>
          <w:sz w:val="24"/>
          <w:szCs w:val="24"/>
        </w:rPr>
        <w:t>标段划分：本项目共划分为一个标段；</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7</w:t>
      </w:r>
      <w:r>
        <w:rPr>
          <w:rFonts w:hint="eastAsia" w:ascii="宋体" w:hAnsi="宋体"/>
          <w:sz w:val="24"/>
          <w:szCs w:val="24"/>
        </w:rPr>
        <w:t>招标控制价：1380286.58元；</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8</w:t>
      </w:r>
      <w:r>
        <w:rPr>
          <w:rFonts w:hint="eastAsia" w:ascii="宋体" w:hAnsi="宋体"/>
          <w:sz w:val="24"/>
          <w:szCs w:val="24"/>
        </w:rPr>
        <w:t xml:space="preserve">计划工期： </w:t>
      </w:r>
      <w:r>
        <w:rPr>
          <w:rFonts w:ascii="宋体" w:hAnsi="宋体"/>
          <w:sz w:val="24"/>
          <w:szCs w:val="24"/>
        </w:rPr>
        <w:t>60</w:t>
      </w:r>
      <w:r>
        <w:rPr>
          <w:rFonts w:hint="eastAsia" w:ascii="宋体" w:hAnsi="宋体"/>
          <w:sz w:val="24"/>
          <w:szCs w:val="24"/>
        </w:rPr>
        <w:t xml:space="preserve"> 日历天；</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9</w:t>
      </w:r>
      <w:r>
        <w:rPr>
          <w:rFonts w:hint="eastAsia" w:ascii="宋体" w:hAnsi="宋体"/>
          <w:sz w:val="24"/>
          <w:szCs w:val="24"/>
        </w:rPr>
        <w:t>质量要求：合格（符合国家现行的验收规范和标准）；</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三、投标人资格要求</w:t>
      </w:r>
    </w:p>
    <w:p>
      <w:pPr>
        <w:spacing w:line="500" w:lineRule="exact"/>
        <w:ind w:firstLine="540" w:firstLineChars="225"/>
        <w:rPr>
          <w:rFonts w:ascii="宋体" w:hAnsi="宋体" w:cs="宋体"/>
          <w:sz w:val="24"/>
          <w:szCs w:val="24"/>
          <w:shd w:val="clear" w:color="auto" w:fill="FFFFFF"/>
        </w:rPr>
      </w:pPr>
      <w:r>
        <w:rPr>
          <w:rFonts w:hint="eastAsia" w:ascii="宋体" w:hAnsi="宋体"/>
          <w:sz w:val="24"/>
          <w:szCs w:val="24"/>
        </w:rPr>
        <w:t>3.1投标人须</w:t>
      </w:r>
      <w:r>
        <w:rPr>
          <w:rFonts w:hint="eastAsia" w:ascii="宋体" w:hAnsi="宋体" w:cs="宋体"/>
          <w:sz w:val="24"/>
          <w:szCs w:val="24"/>
          <w:shd w:val="clear" w:color="auto" w:fill="FFFFFF"/>
        </w:rPr>
        <w:t>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r>
        <w:rPr>
          <w:rFonts w:ascii="宋体" w:hAnsi="宋体" w:cs="宋体"/>
          <w:sz w:val="24"/>
          <w:szCs w:val="24"/>
        </w:rPr>
        <w:t>。</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3.</w:t>
      </w:r>
      <w:r>
        <w:rPr>
          <w:rFonts w:ascii="宋体" w:hAnsi="宋体"/>
          <w:sz w:val="24"/>
          <w:szCs w:val="24"/>
        </w:rPr>
        <w:t>2</w:t>
      </w:r>
      <w:r>
        <w:rPr>
          <w:rFonts w:hint="eastAsia" w:ascii="宋体" w:hAnsi="宋体"/>
          <w:sz w:val="24"/>
          <w:szCs w:val="24"/>
        </w:rPr>
        <w:t>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3.</w:t>
      </w:r>
      <w:r>
        <w:rPr>
          <w:rFonts w:ascii="宋体" w:hAnsi="宋体"/>
          <w:sz w:val="24"/>
          <w:szCs w:val="24"/>
        </w:rPr>
        <w:t>3</w:t>
      </w:r>
      <w:r>
        <w:rPr>
          <w:rFonts w:hint="eastAsia" w:ascii="宋体" w:hAnsi="宋体"/>
          <w:sz w:val="24"/>
          <w:szCs w:val="24"/>
        </w:rPr>
        <w:t>本次招标不接受联合体投标，不得转包、挂靠及违法分包；</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3.</w:t>
      </w:r>
      <w:r>
        <w:rPr>
          <w:rFonts w:ascii="宋体" w:hAnsi="宋体"/>
          <w:sz w:val="24"/>
          <w:szCs w:val="24"/>
        </w:rPr>
        <w:t>4</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autoSpaceDE w:val="0"/>
        <w:autoSpaceDN w:val="0"/>
        <w:spacing w:line="460" w:lineRule="exact"/>
        <w:ind w:firstLine="482" w:firstLineChars="200"/>
        <w:outlineLvl w:val="0"/>
        <w:rPr>
          <w:rFonts w:ascii="宋体" w:hAnsi="宋体"/>
          <w:b/>
          <w:bCs/>
          <w:sz w:val="24"/>
          <w:szCs w:val="24"/>
        </w:rPr>
      </w:pPr>
      <w:bookmarkStart w:id="23" w:name="_Toc397605791"/>
      <w:bookmarkEnd w:id="23"/>
      <w:bookmarkStart w:id="24" w:name="_Toc397507922"/>
      <w:bookmarkEnd w:id="24"/>
      <w:bookmarkStart w:id="25" w:name="_Toc397507510"/>
      <w:r>
        <w:rPr>
          <w:rFonts w:hint="eastAsia" w:ascii="宋体" w:hAnsi="宋体"/>
          <w:b/>
          <w:bCs/>
          <w:sz w:val="24"/>
          <w:szCs w:val="24"/>
        </w:rPr>
        <w:t>四、</w:t>
      </w:r>
      <w:bookmarkEnd w:id="25"/>
      <w:r>
        <w:rPr>
          <w:rFonts w:hint="eastAsia" w:ascii="宋体" w:hAnsi="宋体"/>
          <w:b/>
          <w:bCs/>
          <w:sz w:val="24"/>
          <w:szCs w:val="24"/>
        </w:rPr>
        <w:t>网上下载招标文件</w:t>
      </w:r>
    </w:p>
    <w:p>
      <w:pPr>
        <w:widowControl/>
        <w:shd w:val="clear" w:color="auto" w:fill="FFFFFF"/>
        <w:spacing w:line="460" w:lineRule="exact"/>
        <w:ind w:firstLine="480" w:firstLineChars="200"/>
        <w:jc w:val="left"/>
        <w:rPr>
          <w:rFonts w:ascii="宋体" w:hAnsi="宋体"/>
          <w:sz w:val="24"/>
          <w:szCs w:val="24"/>
        </w:rPr>
      </w:pPr>
      <w:r>
        <w:rPr>
          <w:rFonts w:hint="eastAsia" w:ascii="宋体" w:hAnsi="宋体"/>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460" w:lineRule="exact"/>
        <w:ind w:firstLine="480"/>
        <w:jc w:val="left"/>
        <w:rPr>
          <w:rFonts w:ascii="宋体" w:hAnsi="宋体"/>
          <w:sz w:val="24"/>
          <w:szCs w:val="24"/>
        </w:rPr>
      </w:pPr>
      <w:r>
        <w:rPr>
          <w:rFonts w:hint="eastAsia" w:ascii="宋体" w:hAnsi="宋体"/>
          <w:sz w:val="24"/>
          <w:szCs w:val="24"/>
        </w:rPr>
        <w:t>4.2在投标截止时间前均可登录【全国公共资源交易平台（河南省·许昌市）】“投标人/供应商登录”入口（http://221.14.6.70:8088/ggzy/）自行下载招标文件等（详见“常见问题解答-交易系统操作手册”）。</w:t>
      </w:r>
    </w:p>
    <w:p>
      <w:pPr>
        <w:autoSpaceDE w:val="0"/>
        <w:autoSpaceDN w:val="0"/>
        <w:spacing w:line="460" w:lineRule="exact"/>
        <w:ind w:firstLine="482" w:firstLineChars="200"/>
        <w:outlineLvl w:val="0"/>
        <w:rPr>
          <w:rFonts w:ascii="宋体" w:hAnsi="宋体"/>
          <w:b/>
          <w:bCs/>
          <w:sz w:val="24"/>
          <w:szCs w:val="24"/>
        </w:rPr>
      </w:pPr>
      <w:r>
        <w:rPr>
          <w:rFonts w:hint="eastAsia" w:ascii="宋体" w:hAnsi="宋体"/>
          <w:b/>
          <w:bCs/>
          <w:sz w:val="24"/>
          <w:szCs w:val="24"/>
        </w:rPr>
        <w:t>五、招标文件和施工图纸的获取</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5.1招标文件和工程量清单的下载：投标截止时间前，投标人登录《全国公共资源交易平台（河南省·许昌市）》自行下载本项目招标文件、工程量清单。</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5.2施工图纸下载（如有）：按照招标文件中第二章投标人须知前附表所给的网址自行下载。</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5.3招标文件每套售价 300 元，投标人于开标结束后转账至支付宝账户：18737467892（转账时请注明项目编号、标段及公司名称）。</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5.4本项目实行资格后审，资格后审所需资料详见招标文件。</w:t>
      </w:r>
    </w:p>
    <w:p>
      <w:pPr>
        <w:autoSpaceDE w:val="0"/>
        <w:autoSpaceDN w:val="0"/>
        <w:spacing w:line="480" w:lineRule="exact"/>
        <w:ind w:firstLine="482" w:firstLineChars="200"/>
        <w:outlineLvl w:val="0"/>
        <w:rPr>
          <w:rFonts w:ascii="宋体" w:hAnsi="宋体"/>
          <w:b/>
          <w:bCs/>
          <w:sz w:val="24"/>
          <w:szCs w:val="24"/>
        </w:rPr>
      </w:pPr>
      <w:r>
        <w:rPr>
          <w:rFonts w:hint="eastAsia" w:ascii="宋体" w:hAnsi="宋体"/>
          <w:b/>
          <w:bCs/>
          <w:sz w:val="24"/>
          <w:szCs w:val="24"/>
        </w:rPr>
        <w:t>六、投标文件的递交</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6.1本项目为全流程电子化交易项目，投标人应按规定在投标截止时间（同开标时间）前通过《全国公共资源交易平台</w:t>
      </w:r>
      <w:r>
        <w:rPr>
          <w:rFonts w:ascii="宋体" w:hAnsi="宋体"/>
          <w:sz w:val="24"/>
          <w:szCs w:val="24"/>
        </w:rPr>
        <w:t>(</w:t>
      </w:r>
      <w:r>
        <w:rPr>
          <w:rFonts w:hint="eastAsia" w:ascii="宋体" w:hAnsi="宋体"/>
          <w:sz w:val="24"/>
          <w:szCs w:val="24"/>
        </w:rPr>
        <w:t>河南省</w:t>
      </w:r>
      <w:r>
        <w:rPr>
          <w:rFonts w:ascii="Segoe UI Emoji" w:hAnsi="Segoe UI Emoji" w:cs="Segoe UI Emoji"/>
          <w:sz w:val="24"/>
          <w:szCs w:val="24"/>
        </w:rPr>
        <w:t>▪</w:t>
      </w:r>
      <w:r>
        <w:rPr>
          <w:rFonts w:hint="eastAsia" w:ascii="宋体" w:hAnsi="宋体"/>
          <w:sz w:val="24"/>
          <w:szCs w:val="24"/>
        </w:rPr>
        <w:t>许昌市</w:t>
      </w:r>
      <w:r>
        <w:rPr>
          <w:rFonts w:ascii="宋体" w:hAnsi="宋体"/>
          <w:sz w:val="24"/>
          <w:szCs w:val="24"/>
        </w:rPr>
        <w:t>)</w:t>
      </w:r>
      <w:r>
        <w:rPr>
          <w:rFonts w:hint="eastAsia" w:ascii="宋体" w:hAnsi="宋体"/>
          <w:sz w:val="24"/>
          <w:szCs w:val="24"/>
        </w:rPr>
        <w:t>》公共资源交易系统成功上传本项目加密电子投标文件。</w:t>
      </w:r>
    </w:p>
    <w:p>
      <w:pPr>
        <w:autoSpaceDE w:val="0"/>
        <w:autoSpaceDN w:val="0"/>
        <w:spacing w:line="480" w:lineRule="exact"/>
        <w:ind w:firstLine="480" w:firstLineChars="200"/>
        <w:outlineLvl w:val="0"/>
        <w:rPr>
          <w:rFonts w:ascii="宋体" w:hAnsi="宋体"/>
          <w:sz w:val="24"/>
          <w:szCs w:val="24"/>
        </w:rPr>
      </w:pPr>
      <w:r>
        <w:rPr>
          <w:rFonts w:hint="eastAsia" w:ascii="宋体" w:hAnsi="宋体"/>
          <w:sz w:val="24"/>
          <w:szCs w:val="24"/>
        </w:rPr>
        <w:t>6.2投标文件提交截止时间及开标时间：20</w:t>
      </w:r>
      <w:r>
        <w:rPr>
          <w:rFonts w:ascii="宋体" w:hAnsi="宋体"/>
          <w:sz w:val="24"/>
          <w:szCs w:val="24"/>
        </w:rPr>
        <w:t>20</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10</w:t>
      </w:r>
      <w:r>
        <w:rPr>
          <w:rFonts w:hint="eastAsia" w:ascii="宋体" w:hAnsi="宋体"/>
          <w:sz w:val="24"/>
          <w:szCs w:val="24"/>
        </w:rPr>
        <w:t xml:space="preserve"> 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00</w:t>
      </w:r>
      <w:r>
        <w:rPr>
          <w:rFonts w:hint="eastAsia" w:ascii="宋体" w:hAnsi="宋体"/>
          <w:sz w:val="24"/>
          <w:szCs w:val="24"/>
        </w:rPr>
        <w:t>分。</w:t>
      </w:r>
    </w:p>
    <w:p>
      <w:pPr>
        <w:widowControl/>
        <w:spacing w:line="460" w:lineRule="exact"/>
        <w:ind w:firstLine="480" w:firstLineChars="200"/>
        <w:contextualSpacing/>
        <w:rPr>
          <w:rFonts w:hAnsi="宋体"/>
          <w:bCs/>
          <w:color w:val="FF0000"/>
          <w:sz w:val="24"/>
        </w:rPr>
      </w:pPr>
      <w:r>
        <w:rPr>
          <w:rFonts w:hint="eastAsia" w:ascii="宋体" w:hAnsi="宋体"/>
          <w:sz w:val="24"/>
          <w:szCs w:val="24"/>
        </w:rPr>
        <w:t>6.3招标人（代理机构）线上开标地点：长葛市公共资源交易中心开标</w:t>
      </w:r>
      <w:r>
        <w:rPr>
          <w:rFonts w:hint="eastAsia" w:ascii="宋体" w:hAnsi="宋体"/>
          <w:sz w:val="24"/>
          <w:szCs w:val="24"/>
          <w:lang w:eastAsia="zh-CN"/>
        </w:rPr>
        <w:t>二</w:t>
      </w:r>
      <w:r>
        <w:rPr>
          <w:rFonts w:hint="eastAsia" w:ascii="宋体" w:hAnsi="宋体"/>
          <w:sz w:val="24"/>
          <w:szCs w:val="24"/>
        </w:rPr>
        <w:t>室（长葛市葛天大道东段商务区6号楼</w:t>
      </w:r>
      <w:r>
        <w:rPr>
          <w:rFonts w:hint="eastAsia" w:ascii="宋体" w:hAnsi="宋体"/>
          <w:sz w:val="24"/>
          <w:szCs w:val="24"/>
          <w:lang w:val="en-US" w:eastAsia="zh-CN"/>
        </w:rPr>
        <w:t>409</w:t>
      </w:r>
      <w:r>
        <w:rPr>
          <w:rFonts w:hint="eastAsia" w:ascii="宋体" w:hAnsi="宋体"/>
          <w:sz w:val="24"/>
          <w:szCs w:val="24"/>
        </w:rPr>
        <w:t>室）。</w:t>
      </w:r>
      <w:r>
        <w:rPr>
          <w:rFonts w:hint="eastAsia" w:hAnsi="宋体"/>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widowControl/>
        <w:spacing w:line="460" w:lineRule="exact"/>
        <w:ind w:firstLine="480" w:firstLineChars="200"/>
        <w:contextualSpacing/>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七、发布公告的媒介</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本次招标公告同时在河南省电子招标投标公共服务平台、全国公共资源交易平台（河南省•许昌市）、长葛市人民政府门户网站上发布。</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八、招标人及代理机构</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招标人：长葛市后河镇人民政府</w:t>
      </w:r>
    </w:p>
    <w:p>
      <w:pPr>
        <w:autoSpaceDE w:val="0"/>
        <w:autoSpaceDN w:val="0"/>
        <w:spacing w:line="440" w:lineRule="exact"/>
        <w:ind w:firstLine="480" w:firstLineChars="200"/>
        <w:outlineLvl w:val="0"/>
        <w:rPr>
          <w:rFonts w:ascii="宋体" w:hAnsi="宋体"/>
          <w:color w:val="FF0000"/>
          <w:sz w:val="24"/>
          <w:szCs w:val="24"/>
        </w:rPr>
      </w:pPr>
      <w:r>
        <w:rPr>
          <w:rFonts w:hint="eastAsia" w:ascii="宋体" w:hAnsi="宋体"/>
          <w:sz w:val="24"/>
          <w:szCs w:val="24"/>
        </w:rPr>
        <w:t>联系人：崔先生</w:t>
      </w:r>
      <w:r>
        <w:rPr>
          <w:rFonts w:hint="eastAsia" w:ascii="宋体" w:hAnsi="宋体"/>
          <w:color w:val="FF0000"/>
          <w:sz w:val="24"/>
          <w:szCs w:val="24"/>
        </w:rPr>
        <w:t xml:space="preserve">  </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联系电话：1</w:t>
      </w:r>
      <w:r>
        <w:rPr>
          <w:rFonts w:ascii="宋体" w:hAnsi="宋体"/>
          <w:sz w:val="24"/>
          <w:szCs w:val="24"/>
        </w:rPr>
        <w:t xml:space="preserve">3733615099 </w:t>
      </w:r>
    </w:p>
    <w:p>
      <w:pPr>
        <w:autoSpaceDE w:val="0"/>
        <w:autoSpaceDN w:val="0"/>
        <w:spacing w:line="440" w:lineRule="exact"/>
        <w:ind w:firstLine="480" w:firstLineChars="200"/>
        <w:outlineLvl w:val="0"/>
        <w:rPr>
          <w:rFonts w:ascii="宋体" w:hAnsi="宋体"/>
          <w:color w:val="FF0000"/>
          <w:sz w:val="24"/>
          <w:szCs w:val="24"/>
        </w:rPr>
      </w:pPr>
      <w:r>
        <w:rPr>
          <w:rFonts w:hint="eastAsia" w:ascii="宋体" w:hAnsi="宋体"/>
          <w:sz w:val="24"/>
          <w:szCs w:val="24"/>
        </w:rPr>
        <w:t>地址：长葛市后河镇</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招标代理机构：河南省君利工程管理有限公司</w:t>
      </w:r>
    </w:p>
    <w:p>
      <w:pPr>
        <w:autoSpaceDE w:val="0"/>
        <w:autoSpaceDN w:val="0"/>
        <w:spacing w:line="440" w:lineRule="exact"/>
        <w:ind w:firstLine="480" w:firstLineChars="200"/>
        <w:outlineLvl w:val="0"/>
        <w:rPr>
          <w:rFonts w:ascii="宋体" w:hAnsi="宋体"/>
          <w:color w:val="000000"/>
          <w:sz w:val="24"/>
          <w:szCs w:val="24"/>
        </w:rPr>
      </w:pPr>
      <w:r>
        <w:rPr>
          <w:rFonts w:hint="eastAsia" w:ascii="宋体" w:hAnsi="宋体"/>
          <w:sz w:val="24"/>
          <w:szCs w:val="24"/>
        </w:rPr>
        <w:t>项目联系人</w:t>
      </w:r>
      <w:r>
        <w:rPr>
          <w:rFonts w:hint="eastAsia" w:ascii="宋体" w:hAnsi="宋体"/>
          <w:color w:val="000000"/>
          <w:sz w:val="24"/>
          <w:szCs w:val="24"/>
        </w:rPr>
        <w:t>：段女士</w:t>
      </w:r>
    </w:p>
    <w:p>
      <w:pPr>
        <w:autoSpaceDE w:val="0"/>
        <w:autoSpaceDN w:val="0"/>
        <w:spacing w:line="440" w:lineRule="exact"/>
        <w:ind w:firstLine="480" w:firstLineChars="200"/>
        <w:outlineLvl w:val="0"/>
        <w:rPr>
          <w:rFonts w:ascii="宋体" w:hAnsi="宋体"/>
          <w:color w:val="000000"/>
          <w:sz w:val="24"/>
          <w:szCs w:val="24"/>
        </w:rPr>
      </w:pPr>
      <w:r>
        <w:rPr>
          <w:rFonts w:hint="eastAsia" w:ascii="宋体" w:hAnsi="宋体"/>
          <w:color w:val="000000"/>
          <w:sz w:val="24"/>
          <w:szCs w:val="24"/>
        </w:rPr>
        <w:t>项目联系电话：</w:t>
      </w:r>
      <w:r>
        <w:rPr>
          <w:rFonts w:ascii="宋体" w:hAnsi="宋体"/>
          <w:color w:val="000000"/>
          <w:sz w:val="24"/>
          <w:szCs w:val="24"/>
        </w:rPr>
        <w:t>17797719199</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地址：郑州市金水区紫荆山路1</w:t>
      </w:r>
      <w:r>
        <w:rPr>
          <w:rFonts w:ascii="宋体" w:hAnsi="宋体"/>
          <w:sz w:val="24"/>
          <w:szCs w:val="24"/>
        </w:rPr>
        <w:t>6</w:t>
      </w:r>
      <w:r>
        <w:rPr>
          <w:rFonts w:hint="eastAsia" w:ascii="宋体" w:hAnsi="宋体"/>
          <w:sz w:val="24"/>
          <w:szCs w:val="24"/>
        </w:rPr>
        <w:t>号紫荆城写字楼1</w:t>
      </w:r>
      <w:r>
        <w:rPr>
          <w:rFonts w:ascii="宋体" w:hAnsi="宋体"/>
          <w:sz w:val="24"/>
          <w:szCs w:val="24"/>
        </w:rPr>
        <w:t>8</w:t>
      </w:r>
      <w:r>
        <w:rPr>
          <w:rFonts w:hint="eastAsia" w:ascii="宋体" w:hAnsi="宋体"/>
          <w:sz w:val="24"/>
          <w:szCs w:val="24"/>
        </w:rPr>
        <w:t>层1</w:t>
      </w:r>
      <w:r>
        <w:rPr>
          <w:rFonts w:ascii="宋体" w:hAnsi="宋体"/>
          <w:sz w:val="24"/>
          <w:szCs w:val="24"/>
        </w:rPr>
        <w:t>802</w:t>
      </w:r>
      <w:r>
        <w:rPr>
          <w:rFonts w:hint="eastAsia" w:ascii="宋体" w:hAnsi="宋体"/>
          <w:sz w:val="24"/>
          <w:szCs w:val="24"/>
        </w:rPr>
        <w:t>号</w:t>
      </w:r>
    </w:p>
    <w:p>
      <w:pPr>
        <w:autoSpaceDE w:val="0"/>
        <w:autoSpaceDN w:val="0"/>
        <w:spacing w:line="440" w:lineRule="exact"/>
        <w:ind w:firstLine="482" w:firstLineChars="200"/>
        <w:outlineLvl w:val="0"/>
        <w:rPr>
          <w:rFonts w:ascii="宋体" w:hAnsi="宋体"/>
          <w:b/>
          <w:bCs/>
          <w:sz w:val="24"/>
          <w:szCs w:val="24"/>
        </w:rPr>
      </w:pPr>
      <w:r>
        <w:rPr>
          <w:rFonts w:hint="eastAsia" w:ascii="宋体" w:hAnsi="宋体"/>
          <w:b/>
          <w:bCs/>
          <w:sz w:val="24"/>
          <w:szCs w:val="24"/>
        </w:rPr>
        <w:t>九、特别提示：</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1、所有投标单位请时刻关注全国公共资源交易平台（河南省.许昌市），澄清、答疑、变更均在全国公共资源交易平台（河南省.许昌市）发布，不再另行通知。如未及时查看影响其投标，后果自负。</w:t>
      </w:r>
    </w:p>
    <w:p>
      <w:pPr>
        <w:autoSpaceDE w:val="0"/>
        <w:autoSpaceDN w:val="0"/>
        <w:spacing w:line="440" w:lineRule="exact"/>
        <w:ind w:firstLine="480" w:firstLineChars="200"/>
        <w:outlineLvl w:val="0"/>
        <w:rPr>
          <w:rFonts w:ascii="宋体" w:hAnsi="宋体"/>
          <w:sz w:val="24"/>
          <w:szCs w:val="24"/>
        </w:rPr>
      </w:pPr>
      <w:r>
        <w:rPr>
          <w:rFonts w:hint="eastAsia" w:ascii="宋体" w:hAnsi="宋体"/>
          <w:sz w:val="24"/>
          <w:szCs w:val="24"/>
        </w:rPr>
        <w:t>2、各投标人对代理公司提供的服务不满意，或认为代理公司在服务过程中有不当行为的，可致电长葛市公共资源交易管理委员会办公室监管股（0374-6189576），经查实后将按规定作出处理。</w:t>
      </w:r>
    </w:p>
    <w:p>
      <w:pPr>
        <w:spacing w:line="460" w:lineRule="exact"/>
        <w:contextualSpacing/>
        <w:rPr>
          <w:rFonts w:hAnsi="宋体"/>
          <w:b/>
          <w:sz w:val="28"/>
          <w:szCs w:val="28"/>
        </w:rPr>
      </w:pPr>
    </w:p>
    <w:p>
      <w:pPr>
        <w:spacing w:line="460" w:lineRule="exact"/>
        <w:contextualSpacing/>
        <w:rPr>
          <w:rFonts w:hAnsi="宋体"/>
          <w:b/>
          <w:sz w:val="28"/>
          <w:szCs w:val="28"/>
        </w:rPr>
      </w:pPr>
      <w:r>
        <w:rPr>
          <w:rFonts w:hint="eastAsia" w:hAnsi="宋体"/>
          <w:b/>
          <w:sz w:val="28"/>
          <w:szCs w:val="28"/>
        </w:rPr>
        <w:t>温馨提示：</w:t>
      </w:r>
    </w:p>
    <w:p>
      <w:pPr>
        <w:spacing w:line="460" w:lineRule="exact"/>
        <w:ind w:firstLine="482" w:firstLineChars="200"/>
        <w:contextualSpacing/>
        <w:rPr>
          <w:rFonts w:hAnsi="宋体"/>
          <w:sz w:val="24"/>
          <w:szCs w:val="24"/>
        </w:rPr>
      </w:pPr>
      <w:r>
        <w:rPr>
          <w:rFonts w:hint="eastAsia" w:hAnsi="宋体"/>
          <w:b/>
          <w:sz w:val="24"/>
          <w:szCs w:val="24"/>
        </w:rPr>
        <w:t>本项目为全流程电子化交易项目，请认真阅读招标文件，并注意以下事项。</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1.投标人应按招标文件规定编制、提交、解密电子投标文件。</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2.电子文件下载、制作、提交期间和远程不见面开标（电子投标文件的解密）环节，投标人须使用同一个CA数字证书（证书须在有效期内并可正常使用）。</w:t>
      </w:r>
    </w:p>
    <w:p>
      <w:pPr>
        <w:tabs>
          <w:tab w:val="left" w:pos="7095"/>
        </w:tabs>
        <w:spacing w:line="460" w:lineRule="exact"/>
        <w:ind w:firstLine="482" w:firstLineChars="200"/>
        <w:contextualSpacing/>
        <w:rPr>
          <w:rFonts w:ascii="宋体" w:hAnsi="宋体"/>
          <w:b/>
          <w:sz w:val="24"/>
          <w:szCs w:val="24"/>
        </w:rPr>
      </w:pPr>
      <w:r>
        <w:rPr>
          <w:rFonts w:hint="eastAsia" w:ascii="宋体" w:hAnsi="宋体"/>
          <w:b/>
          <w:sz w:val="24"/>
          <w:szCs w:val="24"/>
        </w:rPr>
        <w:t>3.电子投标文件的制作</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ascii="宋体" w:hAnsi="宋体"/>
          <w:sz w:val="24"/>
          <w:szCs w:val="24"/>
        </w:rPr>
        <w:fldChar w:fldCharType="end"/>
      </w:r>
      <w:r>
        <w:rPr>
          <w:rFonts w:hint="eastAsia" w:ascii="宋体" w:hAnsi="宋体"/>
          <w:sz w:val="24"/>
          <w:szCs w:val="24"/>
        </w:rPr>
        <w:t>）下载“许昌投标文件制作系统SEARUN 最新版本”，按招标文件要求制作电子投标文件。</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电子投标文件的制作，参考《全国公共资源交易平台(河南省▪许昌市)》公共资源交易系统——组件下载——交易系统操作手册（投标人、供应商）。</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3.2 投标人须将招标文件要求的资质、业绩、荣誉及相关人员证明材料等资料原件扫描件（或图片）制作到所提交的电子投标文件中。</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一个标段对应生成一个文件夹（xxxx项目xx标段）,其中后缀名为“.file”的文件用于电子投标使用。</w:t>
      </w:r>
    </w:p>
    <w:p>
      <w:pPr>
        <w:autoSpaceDE w:val="0"/>
        <w:autoSpaceDN w:val="0"/>
        <w:spacing w:line="460" w:lineRule="exact"/>
        <w:ind w:firstLine="482" w:firstLineChars="200"/>
        <w:contextualSpacing/>
        <w:rPr>
          <w:rFonts w:hAnsi="宋体"/>
          <w:b/>
          <w:bCs/>
          <w:sz w:val="24"/>
        </w:rPr>
      </w:pPr>
      <w:r>
        <w:rPr>
          <w:rFonts w:hint="eastAsia" w:hAnsi="宋体" w:cs="宋体"/>
          <w:b/>
          <w:bCs/>
          <w:sz w:val="24"/>
        </w:rPr>
        <w:t>4.投标保证金的提交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4.1使用银行转帐方式提交的，投标人通过基本账户将款项一次足额递交、成功绑定，以收款人到账时间为准。</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4.1.1投标人网上下载招标文件并根据每个标段的缴纳说明单在开标截止时间前提交。每个投标人每个项目每个标段只有唯一缴纳账号，切勿重复缴纳或错误缴纳。</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4.1.2提交后再次登录</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ascii="宋体" w:hAnsi="宋体"/>
          <w:sz w:val="24"/>
          <w:szCs w:val="24"/>
        </w:rPr>
        <w:fldChar w:fldCharType="end"/>
      </w:r>
      <w:r>
        <w:rPr>
          <w:rFonts w:hint="eastAsia" w:ascii="宋体" w:hAnsi="宋体"/>
          <w:sz w:val="24"/>
          <w:szCs w:val="24"/>
        </w:rPr>
        <w:t>系统，依次点击“会员向导”→“参与投标”→“保证金绑定”→“绑定”进行投标保证金绑定，前述系统显示“许昌公共资源交易中心保证金缴纳回执”表示投标保证金提交完成。未绑定标段的投标保证金，视为未按规定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4.1.3投标人按照所投项目及标段将缴纳凭证“保证金缴纳回执”附于投标文件中。</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4.2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tabs>
          <w:tab w:val="left" w:pos="7095"/>
        </w:tabs>
        <w:spacing w:line="460" w:lineRule="exact"/>
        <w:ind w:firstLine="482" w:firstLineChars="200"/>
        <w:contextualSpacing/>
        <w:rPr>
          <w:rFonts w:ascii="宋体" w:hAnsi="宋体"/>
          <w:b/>
          <w:sz w:val="24"/>
          <w:szCs w:val="24"/>
        </w:rPr>
      </w:pPr>
      <w:r>
        <w:rPr>
          <w:rFonts w:hint="eastAsia" w:ascii="宋体" w:hAnsi="宋体"/>
          <w:b/>
          <w:sz w:val="24"/>
          <w:szCs w:val="24"/>
        </w:rPr>
        <w:t>5.加密电子投标文件的提交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5.1电子投标文件应在规定的投标截止时间（开标时间）之前成功提交至【全国公共资源交易平台(河南省▪许昌市)】公共资源交易系统（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ascii="宋体" w:hAnsi="宋体"/>
          <w:sz w:val="24"/>
          <w:szCs w:val="24"/>
        </w:rPr>
        <w:t>http://221.14.6.70:8088/ggzy/</w:t>
      </w:r>
      <w:r>
        <w:rPr>
          <w:rFonts w:hint="eastAsia" w:ascii="宋体" w:hAnsi="宋体"/>
          <w:sz w:val="24"/>
          <w:szCs w:val="24"/>
        </w:rPr>
        <w:fldChar w:fldCharType="end"/>
      </w:r>
      <w:r>
        <w:rPr>
          <w:rFonts w:hint="eastAsia" w:ascii="宋体" w:hAnsi="宋体"/>
          <w:sz w:val="24"/>
          <w:szCs w:val="24"/>
        </w:rPr>
        <w:t>）。</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投标人应充分考虑并预留技术处理和上传数据所需时间。</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5.2 投标人对同一项目多个标段进行投标的，电子投标文件应按标段分别提交。</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5.3加密电子投标文件成功提交后，《全国公共资源交易平台（河南省·许昌市）》公共资源交易系统（</w:t>
      </w:r>
      <w:r>
        <w:fldChar w:fldCharType="begin"/>
      </w:r>
      <w:r>
        <w:instrText xml:space="preserve"> HYPERLINK "http://221.14.6.70" </w:instrText>
      </w:r>
      <w:r>
        <w:fldChar w:fldCharType="separate"/>
      </w:r>
      <w:r>
        <w:rPr>
          <w:rFonts w:hint="eastAsia" w:ascii="宋体" w:hAnsi="宋体"/>
          <w:sz w:val="24"/>
          <w:szCs w:val="24"/>
        </w:rPr>
        <w:t>http://221.14.6.70</w:t>
      </w:r>
      <w:r>
        <w:rPr>
          <w:rFonts w:ascii="宋体" w:hAnsi="宋体"/>
          <w:sz w:val="24"/>
          <w:szCs w:val="24"/>
        </w:rPr>
        <w:fldChar w:fldCharType="end"/>
      </w:r>
      <w:r>
        <w:rPr>
          <w:rFonts w:hint="eastAsia" w:ascii="宋体" w:hAnsi="宋体"/>
          <w:sz w:val="24"/>
          <w:szCs w:val="24"/>
        </w:rPr>
        <w:t>：8088/ggzy/）生成“投标文件提交回执单”。</w:t>
      </w:r>
    </w:p>
    <w:p>
      <w:pPr>
        <w:tabs>
          <w:tab w:val="left" w:pos="7095"/>
        </w:tabs>
        <w:spacing w:line="460" w:lineRule="exact"/>
        <w:ind w:firstLine="482" w:firstLineChars="200"/>
        <w:contextualSpacing/>
        <w:rPr>
          <w:rFonts w:ascii="宋体" w:hAnsi="宋体"/>
          <w:b/>
          <w:sz w:val="24"/>
          <w:szCs w:val="24"/>
        </w:rPr>
      </w:pPr>
      <w:r>
        <w:rPr>
          <w:rFonts w:hint="eastAsia" w:ascii="宋体" w:hAnsi="宋体"/>
          <w:b/>
          <w:sz w:val="24"/>
          <w:szCs w:val="24"/>
        </w:rPr>
        <w:t>6.远程不见面开标(电子投标文件的解密)</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6.1 投标人应熟悉《许昌市不见面开标操作手册》，并提前设置不见面开标浏览器（设置流程详见《许昌市不见面开标操作手册》）。</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6.2 《许昌市不见面开标操作手册》下载路径：全国公共资源交易平台（河南省·许昌市）—“资料下载”栏目。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6.3开标时间前投标人应登录本项目不见面开标大厅，按照招标文件确定的开标时间准时参加网上开标。</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6.4投标人对开标过程和开标记录如有疑义，可在本项目不见面开标大厅“文字互动”对话框或“新增质疑”处在线提出询问。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6.6项目远程不见面开标活动结束时，投标人应在《开标记录表》上进行电子签章。投标人未签章的，视同认可开标结果。</w:t>
      </w:r>
    </w:p>
    <w:p>
      <w:pPr>
        <w:spacing w:line="460" w:lineRule="exact"/>
        <w:ind w:firstLine="482" w:firstLineChars="200"/>
        <w:contextualSpacing/>
        <w:rPr>
          <w:rFonts w:hAnsi="宋体"/>
          <w:b/>
          <w:bCs/>
          <w:sz w:val="24"/>
        </w:rPr>
      </w:pPr>
      <w:r>
        <w:rPr>
          <w:rFonts w:hint="eastAsia" w:hAnsi="宋体"/>
          <w:b/>
          <w:bCs/>
          <w:sz w:val="24"/>
        </w:rPr>
        <w:t>7.评标依据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7.1全流程电子化交易（远程不见面开标）项目，评标委员会以成功上传、解密的电子投标文件为评标依据。</w:t>
      </w:r>
    </w:p>
    <w:p>
      <w:pPr>
        <w:tabs>
          <w:tab w:val="left" w:pos="7095"/>
        </w:tabs>
        <w:spacing w:line="460" w:lineRule="exact"/>
        <w:ind w:firstLine="480" w:firstLineChars="200"/>
        <w:contextualSpacing/>
        <w:rPr>
          <w:rFonts w:ascii="宋体" w:hAnsi="宋体"/>
          <w:sz w:val="24"/>
          <w:szCs w:val="24"/>
        </w:rPr>
      </w:pPr>
      <w:r>
        <w:rPr>
          <w:rFonts w:hint="eastAsia" w:ascii="宋体" w:hAnsi="宋体"/>
          <w:sz w:val="24"/>
          <w:szCs w:val="24"/>
        </w:rPr>
        <w:t>7.2 评审期间，保持投标文件提供的联系方式畅通，评标委员会随时可能对投标文件内容质询，投标人应及时进行答复（包括但不限于电子文档、电子邮件等）。</w:t>
      </w:r>
      <w:r>
        <w:rPr>
          <w:rFonts w:ascii="宋体" w:hAnsi="宋体"/>
          <w:b/>
          <w:bCs/>
          <w:kern w:val="0"/>
          <w:sz w:val="36"/>
          <w:szCs w:val="36"/>
        </w:rPr>
        <w:br w:type="page"/>
      </w:r>
    </w:p>
    <w:p>
      <w:pPr>
        <w:autoSpaceDE w:val="0"/>
        <w:autoSpaceDN w:val="0"/>
        <w:spacing w:line="440" w:lineRule="exact"/>
        <w:ind w:firstLine="723" w:firstLineChars="200"/>
        <w:jc w:val="center"/>
        <w:outlineLvl w:val="0"/>
        <w:rPr>
          <w:b/>
          <w:bCs/>
          <w:kern w:val="0"/>
          <w:sz w:val="36"/>
          <w:szCs w:val="36"/>
        </w:rPr>
      </w:pPr>
      <w:r>
        <w:rPr>
          <w:rFonts w:hint="eastAsia" w:ascii="宋体" w:hAnsi="宋体"/>
          <w:b/>
          <w:bCs/>
          <w:kern w:val="0"/>
          <w:sz w:val="36"/>
          <w:szCs w:val="36"/>
        </w:rPr>
        <w:t>第二章投标人须知</w:t>
      </w:r>
    </w:p>
    <w:p>
      <w:pPr>
        <w:autoSpaceDE w:val="0"/>
        <w:autoSpaceDN w:val="0"/>
        <w:adjustRightInd w:val="0"/>
        <w:jc w:val="center"/>
        <w:outlineLvl w:val="0"/>
        <w:rPr>
          <w:rFonts w:ascii="宋体" w:hAnsi="宋体" w:cs="黑体"/>
          <w:b/>
          <w:bCs/>
          <w:kern w:val="0"/>
          <w:sz w:val="28"/>
          <w:szCs w:val="28"/>
        </w:rPr>
      </w:pPr>
      <w:bookmarkStart w:id="26" w:name="_Toc464824550"/>
      <w:bookmarkEnd w:id="26"/>
      <w:bookmarkStart w:id="27" w:name="_Toc17870"/>
      <w:r>
        <w:rPr>
          <w:rFonts w:hint="eastAsia" w:ascii="宋体" w:hAnsi="宋体" w:cs="黑体"/>
          <w:b/>
          <w:bCs/>
          <w:kern w:val="0"/>
          <w:sz w:val="28"/>
          <w:szCs w:val="28"/>
        </w:rPr>
        <w:t>投标人须知前附表</w:t>
      </w:r>
      <w:bookmarkEnd w:id="27"/>
    </w:p>
    <w:tbl>
      <w:tblPr>
        <w:tblStyle w:val="11"/>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5"/>
        <w:gridCol w:w="42"/>
        <w:gridCol w:w="203"/>
        <w:gridCol w:w="96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条款号</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仿宋_GB2312"/>
                <w:kern w:val="0"/>
                <w:sz w:val="24"/>
                <w:szCs w:val="24"/>
              </w:rPr>
              <w:t>条款名称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sz w:val="24"/>
                <w:szCs w:val="24"/>
              </w:rPr>
            </w:pPr>
            <w:r>
              <w:rPr>
                <w:rFonts w:hint="eastAsia" w:ascii="宋体" w:hAnsi="宋体"/>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招标编号</w:t>
            </w:r>
          </w:p>
        </w:tc>
        <w:tc>
          <w:tcPr>
            <w:tcW w:w="6378" w:type="dxa"/>
            <w:tcBorders>
              <w:top w:val="single" w:color="auto" w:sz="4" w:space="0"/>
              <w:left w:val="nil"/>
              <w:bottom w:val="single" w:color="auto" w:sz="4" w:space="0"/>
              <w:right w:val="single" w:color="auto" w:sz="4" w:space="0"/>
            </w:tcBorders>
          </w:tcPr>
          <w:p>
            <w:pPr>
              <w:spacing w:line="460" w:lineRule="exact"/>
              <w:contextualSpacing/>
              <w:rPr>
                <w:rFonts w:ascii="宋体" w:hAnsi="宋体"/>
                <w:sz w:val="24"/>
                <w:szCs w:val="24"/>
              </w:rPr>
            </w:pPr>
            <w:r>
              <w:rPr>
                <w:rFonts w:hint="eastAsia" w:ascii="宋体" w:hAnsi="宋体"/>
                <w:sz w:val="24"/>
                <w:szCs w:val="24"/>
              </w:rPr>
              <w:t>长交建【</w:t>
            </w:r>
            <w:r>
              <w:rPr>
                <w:rFonts w:ascii="宋体" w:hAnsi="宋体"/>
                <w:sz w:val="24"/>
                <w:szCs w:val="24"/>
              </w:rPr>
              <w:t>2020</w:t>
            </w:r>
            <w:r>
              <w:rPr>
                <w:rFonts w:hint="eastAsia" w:ascii="宋体" w:hAnsi="宋体"/>
                <w:sz w:val="24"/>
                <w:szCs w:val="24"/>
              </w:rPr>
              <w:t>】G</w:t>
            </w:r>
            <w:r>
              <w:rPr>
                <w:rFonts w:ascii="宋体" w:hAnsi="宋体"/>
                <w:sz w:val="24"/>
                <w:szCs w:val="24"/>
              </w:rPr>
              <w:t>Z070</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sz w:val="24"/>
                <w:szCs w:val="24"/>
              </w:rPr>
            </w:pPr>
            <w:r>
              <w:rPr>
                <w:rFonts w:hint="eastAsia" w:ascii="宋体" w:hAnsi="宋体"/>
                <w:sz w:val="24"/>
                <w:szCs w:val="24"/>
              </w:rPr>
              <w:t>招标人：长葛市后河镇人民政府</w:t>
            </w:r>
          </w:p>
          <w:p>
            <w:pPr>
              <w:autoSpaceDE w:val="0"/>
              <w:autoSpaceDN w:val="0"/>
              <w:spacing w:line="460" w:lineRule="exact"/>
              <w:contextualSpacing/>
              <w:rPr>
                <w:rFonts w:ascii="宋体" w:hAnsi="宋体"/>
                <w:sz w:val="24"/>
                <w:szCs w:val="24"/>
              </w:rPr>
            </w:pPr>
            <w:r>
              <w:rPr>
                <w:rFonts w:hint="eastAsia" w:ascii="宋体" w:hAnsi="宋体"/>
                <w:sz w:val="24"/>
                <w:szCs w:val="24"/>
              </w:rPr>
              <w:t>联系人：崔先生</w:t>
            </w:r>
            <w:r>
              <w:rPr>
                <w:rFonts w:ascii="宋体" w:hAnsi="宋体"/>
                <w:sz w:val="24"/>
                <w:szCs w:val="24"/>
              </w:rPr>
              <w:t xml:space="preserve"> </w:t>
            </w:r>
          </w:p>
          <w:p>
            <w:pPr>
              <w:autoSpaceDE w:val="0"/>
              <w:autoSpaceDN w:val="0"/>
              <w:spacing w:line="460" w:lineRule="exact"/>
              <w:contextualSpacing/>
              <w:rPr>
                <w:rFonts w:ascii="宋体" w:hAnsi="宋体"/>
                <w:color w:val="FF0000"/>
                <w:sz w:val="24"/>
                <w:szCs w:val="24"/>
              </w:rPr>
            </w:pPr>
            <w:r>
              <w:rPr>
                <w:rFonts w:hint="eastAsia" w:ascii="宋体" w:hAnsi="宋体"/>
                <w:sz w:val="24"/>
                <w:szCs w:val="24"/>
              </w:rPr>
              <w:t>联系电话：1</w:t>
            </w:r>
            <w:r>
              <w:rPr>
                <w:rFonts w:ascii="宋体" w:hAnsi="宋体"/>
                <w:sz w:val="24"/>
                <w:szCs w:val="24"/>
              </w:rPr>
              <w:t>3733615099</w:t>
            </w:r>
          </w:p>
          <w:p>
            <w:pPr>
              <w:autoSpaceDE w:val="0"/>
              <w:autoSpaceDN w:val="0"/>
              <w:spacing w:line="460" w:lineRule="exact"/>
              <w:contextualSpacing/>
              <w:rPr>
                <w:rFonts w:ascii="宋体" w:hAnsi="宋体"/>
                <w:sz w:val="24"/>
                <w:szCs w:val="24"/>
              </w:rPr>
            </w:pPr>
            <w:r>
              <w:rPr>
                <w:rFonts w:hint="eastAsia" w:ascii="宋体" w:hAnsi="宋体"/>
                <w:sz w:val="24"/>
                <w:szCs w:val="24"/>
              </w:rPr>
              <w:t>地址：长葛市后河镇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招标代理机构</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代理机构：</w:t>
            </w:r>
            <w:r>
              <w:rPr>
                <w:rFonts w:hint="eastAsia" w:ascii="宋体" w:hAnsi="宋体"/>
                <w:sz w:val="24"/>
                <w:szCs w:val="24"/>
              </w:rPr>
              <w:t>河南省君利工程管理有限公司</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项目联系人:</w:t>
            </w:r>
            <w:r>
              <w:rPr>
                <w:rFonts w:hint="eastAsia" w:ascii="宋体" w:hAnsi="宋体"/>
                <w:color w:val="000000"/>
                <w:sz w:val="24"/>
                <w:szCs w:val="24"/>
              </w:rPr>
              <w:t xml:space="preserve"> 段女士</w:t>
            </w:r>
          </w:p>
          <w:p>
            <w:pPr>
              <w:autoSpaceDE w:val="0"/>
              <w:autoSpaceDN w:val="0"/>
              <w:spacing w:line="460" w:lineRule="exact"/>
              <w:contextualSpacing/>
              <w:jc w:val="left"/>
              <w:rPr>
                <w:rFonts w:ascii="宋体" w:hAnsi="宋体" w:cs="仿宋_GB2312"/>
                <w:color w:val="FF0000"/>
                <w:kern w:val="0"/>
                <w:sz w:val="24"/>
                <w:szCs w:val="24"/>
              </w:rPr>
            </w:pPr>
            <w:r>
              <w:rPr>
                <w:rFonts w:hint="eastAsia" w:ascii="宋体" w:hAnsi="宋体" w:cs="仿宋_GB2312"/>
                <w:kern w:val="0"/>
                <w:sz w:val="24"/>
                <w:szCs w:val="24"/>
              </w:rPr>
              <w:t>项目联系电话：</w:t>
            </w:r>
            <w:r>
              <w:rPr>
                <w:rFonts w:ascii="宋体" w:hAnsi="宋体"/>
                <w:color w:val="000000"/>
                <w:sz w:val="24"/>
                <w:szCs w:val="24"/>
              </w:rPr>
              <w:t>17797719199</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地址：</w:t>
            </w:r>
            <w:r>
              <w:rPr>
                <w:rFonts w:hint="eastAsia" w:ascii="宋体" w:hAnsi="宋体"/>
                <w:sz w:val="24"/>
                <w:szCs w:val="24"/>
              </w:rPr>
              <w:t>郑州市金水区紫荆山路1</w:t>
            </w:r>
            <w:r>
              <w:rPr>
                <w:rFonts w:ascii="宋体" w:hAnsi="宋体"/>
                <w:sz w:val="24"/>
                <w:szCs w:val="24"/>
              </w:rPr>
              <w:t>6</w:t>
            </w:r>
            <w:r>
              <w:rPr>
                <w:rFonts w:hint="eastAsia" w:ascii="宋体" w:hAnsi="宋体"/>
                <w:sz w:val="24"/>
                <w:szCs w:val="24"/>
              </w:rPr>
              <w:t>号紫荆城写字楼1</w:t>
            </w:r>
            <w:r>
              <w:rPr>
                <w:rFonts w:ascii="宋体" w:hAnsi="宋体"/>
                <w:sz w:val="24"/>
                <w:szCs w:val="24"/>
              </w:rPr>
              <w:t>8</w:t>
            </w:r>
            <w:r>
              <w:rPr>
                <w:rFonts w:hint="eastAsia" w:ascii="宋体" w:hAnsi="宋体"/>
                <w:sz w:val="24"/>
                <w:szCs w:val="24"/>
              </w:rPr>
              <w:t>层1</w:t>
            </w:r>
            <w:r>
              <w:rPr>
                <w:rFonts w:ascii="宋体" w:hAnsi="宋体"/>
                <w:sz w:val="24"/>
                <w:szCs w:val="24"/>
              </w:rPr>
              <w:t>802</w:t>
            </w:r>
            <w:r>
              <w:rPr>
                <w:rFonts w:hint="eastAsia" w:ascii="宋体" w:hAnsi="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项目名称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sz w:val="24"/>
                <w:szCs w:val="24"/>
              </w:rPr>
            </w:pPr>
            <w:r>
              <w:rPr>
                <w:rFonts w:hint="eastAsia" w:ascii="宋体" w:hAnsi="宋体"/>
                <w:bCs/>
                <w:sz w:val="24"/>
                <w:szCs w:val="24"/>
              </w:rPr>
              <w:t>长葛市后河镇闫楼村、三角王村排前道路工程</w:t>
            </w:r>
            <w:r>
              <w:rPr>
                <w:rFonts w:hint="eastAsia" w:ascii="宋体" w:hAnsi="宋体"/>
                <w:sz w:val="24"/>
                <w:szCs w:val="24"/>
              </w:rPr>
              <w:t>（不见面开标）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color w:val="FF0000"/>
                <w:kern w:val="0"/>
                <w:sz w:val="24"/>
                <w:szCs w:val="24"/>
              </w:rPr>
            </w:pPr>
            <w:r>
              <w:rPr>
                <w:rFonts w:hint="eastAsia" w:ascii="宋体" w:hAnsi="宋体"/>
                <w:sz w:val="24"/>
                <w:szCs w:val="24"/>
              </w:rPr>
              <w:t>建设地点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sz w:val="24"/>
                <w:szCs w:val="24"/>
              </w:rPr>
            </w:pPr>
            <w:r>
              <w:rPr>
                <w:rFonts w:hint="eastAsia" w:ascii="宋体" w:hAnsi="宋体"/>
                <w:sz w:val="24"/>
                <w:szCs w:val="24"/>
              </w:rPr>
              <w:t>长葛市</w:t>
            </w:r>
            <w:r>
              <w:rPr>
                <w:rFonts w:hint="eastAsia" w:ascii="宋体" w:hAnsi="宋体"/>
                <w:bCs/>
                <w:sz w:val="24"/>
                <w:szCs w:val="24"/>
              </w:rPr>
              <w:t>后河镇闫楼村、三角王村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项目概况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480" w:firstLineChars="200"/>
              <w:outlineLvl w:val="0"/>
              <w:rPr>
                <w:rFonts w:ascii="宋体" w:hAnsi="宋体"/>
                <w:sz w:val="24"/>
                <w:szCs w:val="24"/>
              </w:rPr>
            </w:pPr>
            <w:r>
              <w:rPr>
                <w:rFonts w:hint="eastAsia" w:ascii="宋体" w:hAnsi="宋体"/>
                <w:bCs/>
                <w:sz w:val="24"/>
                <w:szCs w:val="24"/>
              </w:rPr>
              <w:t>长葛市后河镇闫楼村、三角王村排前道路工程，位于长葛市，工程内容包括：表土清除、外购土方、新建四米宽道路，路面设计结构为水泥混凝土路面（18cm厚C25水泥砼/12cm厚C25水泥砼+15cm厚4%水泥稳定土）、切割伸缩缝宽度为4-6mm，间距5m，缝切割深度不小于厚度的1/3，聚氯乙烯胶泥填缝。</w:t>
            </w:r>
            <w:r>
              <w:rPr>
                <w:rFonts w:hint="eastAsia" w:ascii="宋体" w:hAnsi="宋体"/>
                <w:sz w:val="24"/>
                <w:szCs w:val="24"/>
              </w:rPr>
              <w:t>具体详见工程量清单。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资金来源</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olor w:val="FF0000"/>
                <w:sz w:val="24"/>
                <w:szCs w:val="24"/>
              </w:rPr>
            </w:pPr>
            <w:r>
              <w:rPr>
                <w:rFonts w:hint="eastAsia" w:ascii="宋体" w:hAnsi="宋体" w:cs="仿宋_GB2312"/>
                <w:kern w:val="0"/>
                <w:sz w:val="24"/>
                <w:szCs w:val="24"/>
              </w:rPr>
              <w:t>村镇自筹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出资比例</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rPr>
                <w:rFonts w:ascii="宋体" w:hAnsi="宋体" w:cs="仿宋_GB2312"/>
                <w:kern w:val="0"/>
                <w:sz w:val="24"/>
                <w:szCs w:val="24"/>
              </w:rPr>
            </w:pPr>
            <w:r>
              <w:rPr>
                <w:rFonts w:ascii="宋体" w:hAnsi="宋体"/>
                <w:sz w:val="24"/>
                <w:szCs w:val="24"/>
              </w:rPr>
              <w:t>100</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资金落实情况</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黑体"/>
                <w:kern w:val="0"/>
                <w:sz w:val="24"/>
                <w:szCs w:val="24"/>
              </w:rPr>
            </w:pPr>
            <w:r>
              <w:rPr>
                <w:rFonts w:hint="eastAsia" w:ascii="宋体" w:hAnsi="宋体" w:cs="黑体"/>
                <w:kern w:val="0"/>
                <w:sz w:val="24"/>
                <w:szCs w:val="24"/>
              </w:rPr>
              <w:t>项目资金已落实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1.2.4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标段划分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cs="仿宋_GB2312"/>
                <w:kern w:val="0"/>
                <w:sz w:val="24"/>
                <w:szCs w:val="24"/>
              </w:rPr>
            </w:pPr>
            <w:r>
              <w:rPr>
                <w:rFonts w:hint="eastAsia" w:ascii="宋体" w:hAnsi="宋体" w:cs="仿宋_GB2312"/>
                <w:kern w:val="0"/>
                <w:sz w:val="24"/>
                <w:szCs w:val="24"/>
              </w:rPr>
              <w:t>本项目共划分为一个标段。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1.3.1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招标范围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outlineLvl w:val="0"/>
              <w:rPr>
                <w:rFonts w:ascii="宋体" w:hAnsi="宋体" w:cs="仿宋_GB2312"/>
                <w:kern w:val="0"/>
                <w:sz w:val="24"/>
                <w:szCs w:val="24"/>
              </w:rPr>
            </w:pPr>
            <w:r>
              <w:rPr>
                <w:rFonts w:hint="eastAsia" w:ascii="宋体" w:hAnsi="宋体" w:cs="仿宋_GB2312"/>
                <w:kern w:val="0"/>
                <w:sz w:val="24"/>
                <w:szCs w:val="24"/>
              </w:rPr>
              <w:t>招标文件、工程量清单、施工图纸、补充文件（如有）、答疑纪要等列明的所有建设内容</w:t>
            </w:r>
            <w:r>
              <w:rPr>
                <w:rFonts w:hint="eastAsia" w:ascii="仿宋_GB2312" w:hAnsi="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1.3.2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计划工期</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ind w:firstLine="480" w:firstLineChars="200"/>
              <w:outlineLvl w:val="0"/>
              <w:rPr>
                <w:rFonts w:ascii="宋体" w:hAnsi="宋体" w:cs="仿宋_GB2312"/>
                <w:kern w:val="0"/>
                <w:sz w:val="24"/>
                <w:szCs w:val="24"/>
              </w:rPr>
            </w:pPr>
            <w:r>
              <w:rPr>
                <w:rFonts w:hint="eastAsia" w:ascii="宋体" w:hAnsi="宋体" w:cs="仿宋_GB2312"/>
                <w:kern w:val="0"/>
                <w:sz w:val="24"/>
                <w:szCs w:val="24"/>
              </w:rPr>
              <w:t>6</w:t>
            </w:r>
            <w:r>
              <w:rPr>
                <w:rFonts w:ascii="宋体" w:hAnsi="宋体" w:cs="仿宋_GB2312"/>
                <w:kern w:val="0"/>
                <w:sz w:val="24"/>
                <w:szCs w:val="24"/>
              </w:rPr>
              <w:t>0</w:t>
            </w:r>
            <w:r>
              <w:rPr>
                <w:rFonts w:hint="eastAsia" w:ascii="宋体" w:hAnsi="宋体" w:cs="仿宋_GB2312"/>
                <w:kern w:val="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质量要求</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p>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投标人资质条件</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ind w:firstLine="480" w:firstLineChars="200"/>
              <w:outlineLvl w:val="0"/>
              <w:rPr>
                <w:rFonts w:ascii="宋体" w:hAnsi="宋体" w:cs="宋体"/>
                <w:sz w:val="24"/>
                <w:szCs w:val="24"/>
              </w:rPr>
            </w:pPr>
            <w:r>
              <w:rPr>
                <w:rFonts w:hint="eastAsia" w:ascii="宋体" w:hAnsi="宋体"/>
                <w:sz w:val="24"/>
                <w:szCs w:val="24"/>
              </w:rPr>
              <w:t>1.投标人须</w:t>
            </w:r>
            <w:r>
              <w:rPr>
                <w:rFonts w:hint="eastAsia" w:ascii="宋体" w:hAnsi="宋体" w:cs="宋体"/>
                <w:sz w:val="24"/>
                <w:szCs w:val="24"/>
                <w:shd w:val="clear" w:color="auto" w:fill="FFFFFF"/>
              </w:rPr>
              <w:t>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r>
              <w:rPr>
                <w:rFonts w:ascii="宋体" w:hAnsi="宋体" w:cs="宋体"/>
                <w:sz w:val="24"/>
                <w:szCs w:val="24"/>
              </w:rPr>
              <w:t>。</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未被列入“信用中国”/“信用河南”网站信用信息栏黑名单，“国家企业信用信息公示系统”经营异常名录或严重失信黑名单,无行贿犯罪记录的投标人。</w:t>
            </w:r>
          </w:p>
          <w:p>
            <w:pPr>
              <w:autoSpaceDE w:val="0"/>
              <w:autoSpaceDN w:val="0"/>
              <w:spacing w:line="460" w:lineRule="exact"/>
              <w:ind w:firstLine="480" w:firstLineChars="200"/>
              <w:outlineLvl w:val="0"/>
              <w:rPr>
                <w:rFonts w:ascii="宋体" w:hAnsi="宋体"/>
                <w:sz w:val="24"/>
                <w:szCs w:val="24"/>
              </w:rPr>
            </w:pPr>
            <w:r>
              <w:rPr>
                <w:rFonts w:hint="eastAsia" w:ascii="宋体" w:hAnsi="宋体"/>
                <w:sz w:val="24"/>
                <w:szCs w:val="24"/>
              </w:rPr>
              <w:t>3.本次招标不接受联合体投标，不得转包、挂靠及违法分包；</w:t>
            </w:r>
          </w:p>
          <w:p>
            <w:pPr>
              <w:spacing w:line="460" w:lineRule="exact"/>
              <w:ind w:firstLine="480" w:firstLineChars="200"/>
              <w:contextualSpacing/>
              <w:rPr>
                <w:rFonts w:ascii="宋体" w:hAnsi="宋体"/>
                <w:sz w:val="24"/>
                <w:szCs w:val="24"/>
              </w:rPr>
            </w:pPr>
            <w:r>
              <w:rPr>
                <w:rFonts w:ascii="宋体" w:hAnsi="宋体"/>
                <w:sz w:val="24"/>
                <w:szCs w:val="24"/>
              </w:rPr>
              <w:t>4.</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1.4.2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是否接受联合体投标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1.9.1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踏勘现场</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1.10.1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黑体"/>
                <w:kern w:val="0"/>
                <w:sz w:val="24"/>
                <w:szCs w:val="24"/>
              </w:rPr>
              <w:t>投标预备会</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1.10.3</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招标人书面澄清的时间</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1.11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分包</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 xml:space="preserve">1.12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偏离</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kern w:val="0"/>
                <w:sz w:val="24"/>
                <w:szCs w:val="24"/>
              </w:rPr>
              <w:t>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招标文件的获取</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在全国公共资源交易平台（河南省.许昌市）网上下载招标文件、商务标招标文件（工程量清单）、招标控制价。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2.1.1 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宋体" w:hAnsi="宋体" w:cs="仿宋_GB2312"/>
                <w:kern w:val="0"/>
                <w:sz w:val="24"/>
                <w:szCs w:val="24"/>
              </w:rPr>
              <w:t>构成招标文件的其他材料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2.2.1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投标截止时间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黑体"/>
                <w:b/>
                <w:bCs/>
                <w:kern w:val="0"/>
                <w:sz w:val="24"/>
                <w:szCs w:val="24"/>
                <w:u w:val="single"/>
              </w:rPr>
              <w:t>20</w:t>
            </w:r>
            <w:r>
              <w:rPr>
                <w:rFonts w:ascii="宋体" w:hAnsi="宋体" w:cs="黑体"/>
                <w:b/>
                <w:bCs/>
                <w:kern w:val="0"/>
                <w:sz w:val="24"/>
                <w:szCs w:val="24"/>
                <w:u w:val="single"/>
              </w:rPr>
              <w:t>20</w:t>
            </w:r>
            <w:r>
              <w:rPr>
                <w:rFonts w:hint="eastAsia" w:ascii="宋体" w:hAnsi="宋体" w:cs="黑体"/>
                <w:b/>
                <w:bCs/>
                <w:kern w:val="0"/>
                <w:sz w:val="24"/>
                <w:szCs w:val="24"/>
              </w:rPr>
              <w:t>年</w:t>
            </w:r>
            <w:r>
              <w:rPr>
                <w:rFonts w:hint="eastAsia" w:ascii="宋体" w:hAnsi="宋体" w:cs="黑体"/>
                <w:b/>
                <w:bCs/>
                <w:kern w:val="0"/>
                <w:sz w:val="24"/>
                <w:szCs w:val="24"/>
                <w:u w:val="single"/>
              </w:rPr>
              <w:t xml:space="preserve"> </w:t>
            </w:r>
            <w:r>
              <w:rPr>
                <w:rFonts w:hint="eastAsia" w:ascii="宋体" w:hAnsi="宋体" w:cs="黑体"/>
                <w:b/>
                <w:bCs/>
                <w:kern w:val="0"/>
                <w:sz w:val="24"/>
                <w:szCs w:val="24"/>
                <w:u w:val="single"/>
                <w:lang w:val="en-US" w:eastAsia="zh-CN"/>
              </w:rPr>
              <w:t>7</w:t>
            </w:r>
            <w:r>
              <w:rPr>
                <w:rFonts w:hint="eastAsia" w:ascii="宋体" w:hAnsi="宋体" w:cs="黑体"/>
                <w:b/>
                <w:bCs/>
                <w:kern w:val="0"/>
                <w:sz w:val="24"/>
                <w:szCs w:val="24"/>
                <w:u w:val="single"/>
              </w:rPr>
              <w:t xml:space="preserve">  </w:t>
            </w:r>
            <w:r>
              <w:rPr>
                <w:rFonts w:hint="eastAsia" w:ascii="宋体" w:hAnsi="宋体" w:cs="仿宋_GB2312"/>
                <w:b/>
                <w:bCs/>
                <w:kern w:val="0"/>
                <w:sz w:val="24"/>
                <w:szCs w:val="24"/>
              </w:rPr>
              <w:t>月</w:t>
            </w:r>
            <w:r>
              <w:rPr>
                <w:rFonts w:hint="eastAsia" w:ascii="宋体" w:hAnsi="宋体" w:cs="仿宋_GB2312"/>
                <w:b/>
                <w:bCs/>
                <w:kern w:val="0"/>
                <w:sz w:val="24"/>
                <w:szCs w:val="24"/>
                <w:u w:val="single"/>
              </w:rPr>
              <w:t xml:space="preserve"> </w:t>
            </w:r>
            <w:r>
              <w:rPr>
                <w:rFonts w:hint="eastAsia" w:ascii="宋体" w:hAnsi="宋体" w:cs="仿宋_GB2312"/>
                <w:b/>
                <w:bCs/>
                <w:kern w:val="0"/>
                <w:sz w:val="24"/>
                <w:szCs w:val="24"/>
                <w:u w:val="single"/>
                <w:lang w:val="en-US" w:eastAsia="zh-CN"/>
              </w:rPr>
              <w:t>10</w:t>
            </w:r>
            <w:r>
              <w:rPr>
                <w:rFonts w:hint="eastAsia" w:ascii="宋体" w:hAnsi="宋体" w:cs="仿宋_GB2312"/>
                <w:b/>
                <w:bCs/>
                <w:kern w:val="0"/>
                <w:sz w:val="24"/>
                <w:szCs w:val="24"/>
                <w:u w:val="single"/>
              </w:rPr>
              <w:t xml:space="preserve"> </w:t>
            </w:r>
            <w:r>
              <w:rPr>
                <w:rFonts w:hint="eastAsia" w:ascii="宋体" w:hAnsi="宋体" w:cs="仿宋_GB2312"/>
                <w:b/>
                <w:bCs/>
                <w:kern w:val="0"/>
                <w:sz w:val="24"/>
                <w:szCs w:val="24"/>
              </w:rPr>
              <w:t>日</w:t>
            </w:r>
            <w:r>
              <w:rPr>
                <w:rFonts w:hint="eastAsia" w:ascii="宋体" w:hAnsi="宋体" w:cs="黑体"/>
                <w:b/>
                <w:bCs/>
                <w:kern w:val="0"/>
                <w:sz w:val="24"/>
                <w:szCs w:val="24"/>
                <w:u w:val="single"/>
              </w:rPr>
              <w:t> </w:t>
            </w:r>
            <w:r>
              <w:rPr>
                <w:rFonts w:hint="eastAsia" w:ascii="宋体" w:hAnsi="宋体" w:cs="黑体"/>
                <w:b/>
                <w:bCs/>
                <w:kern w:val="0"/>
                <w:sz w:val="24"/>
                <w:szCs w:val="24"/>
                <w:u w:val="single"/>
                <w:lang w:val="en-US" w:eastAsia="zh-CN"/>
              </w:rPr>
              <w:t>9</w:t>
            </w:r>
            <w:r>
              <w:rPr>
                <w:rFonts w:hint="eastAsia" w:ascii="宋体" w:hAnsi="宋体" w:cs="黑体"/>
                <w:b/>
                <w:bCs/>
                <w:kern w:val="0"/>
                <w:sz w:val="24"/>
                <w:szCs w:val="24"/>
                <w:u w:val="single"/>
              </w:rPr>
              <w:t xml:space="preserve"> </w:t>
            </w:r>
            <w:r>
              <w:rPr>
                <w:rFonts w:hint="eastAsia" w:ascii="宋体" w:hAnsi="宋体" w:cs="仿宋_GB2312"/>
                <w:b/>
                <w:bCs/>
                <w:kern w:val="0"/>
                <w:sz w:val="24"/>
                <w:szCs w:val="24"/>
              </w:rPr>
              <w:t>时</w:t>
            </w:r>
            <w:r>
              <w:rPr>
                <w:rFonts w:hint="eastAsia" w:ascii="宋体" w:hAnsi="宋体" w:cs="黑体"/>
                <w:b/>
                <w:bCs/>
                <w:kern w:val="0"/>
                <w:sz w:val="24"/>
                <w:szCs w:val="24"/>
                <w:u w:val="single"/>
              </w:rPr>
              <w:t xml:space="preserve"> </w:t>
            </w:r>
            <w:r>
              <w:rPr>
                <w:rFonts w:hint="eastAsia" w:ascii="宋体" w:hAnsi="宋体" w:cs="黑体"/>
                <w:b/>
                <w:bCs/>
                <w:kern w:val="0"/>
                <w:sz w:val="24"/>
                <w:szCs w:val="24"/>
                <w:u w:val="single"/>
                <w:lang w:val="en-US" w:eastAsia="zh-CN"/>
              </w:rPr>
              <w:t>00</w:t>
            </w:r>
            <w:r>
              <w:rPr>
                <w:rFonts w:hint="eastAsia" w:ascii="宋体" w:hAnsi="宋体" w:cs="黑体"/>
                <w:b/>
                <w:bCs/>
                <w:kern w:val="0"/>
                <w:sz w:val="24"/>
                <w:szCs w:val="24"/>
                <w:u w:val="single"/>
              </w:rPr>
              <w:t xml:space="preserve">  </w:t>
            </w:r>
            <w:r>
              <w:rPr>
                <w:rFonts w:hint="eastAsia" w:ascii="宋体" w:hAnsi="宋体" w:cs="仿宋_GB2312"/>
                <w:b/>
                <w:bCs/>
                <w:kern w:val="0"/>
                <w:sz w:val="24"/>
                <w:szCs w:val="24"/>
              </w:rPr>
              <w:t>分</w:t>
            </w:r>
            <w:r>
              <w:rPr>
                <w:rFonts w:hint="eastAsia" w:ascii="宋体" w:hAnsi="宋体" w:cs="仿宋_GB2312"/>
                <w:kern w:val="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投标人确认收到招标文件澄清的时间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宋体"/>
                <w:sz w:val="24"/>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2.3.2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投标人确认收到招标文件修改的时间</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宋体"/>
                <w:sz w:val="24"/>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2.3.3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仿宋_GB2312"/>
                <w:kern w:val="0"/>
                <w:sz w:val="24"/>
                <w:szCs w:val="24"/>
              </w:rPr>
            </w:pPr>
            <w:r>
              <w:rPr>
                <w:rFonts w:hint="eastAsia" w:ascii="宋体" w:hAnsi="宋体" w:cs="仿宋_GB2312"/>
                <w:kern w:val="0"/>
                <w:sz w:val="24"/>
                <w:szCs w:val="24"/>
              </w:rPr>
              <w:t>投标人对招标文件有异议的提出与受理</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投标人对招标文件有异议的应当在投标截止时间10日前提出，招标人应当自收到异议之日起3日内作出答复，作出答复前，应当暂停招标投标活动。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3.1.1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构成投标文件的其他材料</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（1）投标人认为其它需要补充的内容</w:t>
            </w:r>
          </w:p>
          <w:p>
            <w:pPr>
              <w:autoSpaceDE w:val="0"/>
              <w:autoSpaceDN w:val="0"/>
              <w:spacing w:line="460" w:lineRule="exact"/>
              <w:contextualSpacing/>
              <w:rPr>
                <w:rFonts w:ascii="宋体" w:hAnsi="宋体" w:cs="黑体"/>
                <w:kern w:val="0"/>
                <w:sz w:val="24"/>
                <w:szCs w:val="24"/>
              </w:rPr>
            </w:pPr>
            <w:r>
              <w:rPr>
                <w:rFonts w:hint="eastAsia" w:ascii="宋体" w:hAnsi="宋体" w:cs="黑体"/>
                <w:kern w:val="0"/>
                <w:sz w:val="24"/>
                <w:szCs w:val="24"/>
              </w:rPr>
              <w:t>（2）本项目发出的补遗书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3.3.1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投标有效期</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黑体"/>
                <w:color w:val="FF0000"/>
                <w:kern w:val="0"/>
                <w:sz w:val="24"/>
                <w:szCs w:val="24"/>
              </w:rPr>
            </w:pPr>
            <w:r>
              <w:rPr>
                <w:rFonts w:hint="eastAsia" w:ascii="宋体" w:hAnsi="宋体" w:cs="黑体"/>
                <w:kern w:val="0"/>
                <w:sz w:val="24"/>
                <w:szCs w:val="24"/>
              </w:rPr>
              <w:t>自投标截止时间起60日历天，投标人应当在投标有效期内办理相关事宜。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3.4.1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投标担保</w:t>
            </w:r>
          </w:p>
        </w:tc>
        <w:tc>
          <w:tcPr>
            <w:tcW w:w="6378" w:type="dxa"/>
            <w:tcBorders>
              <w:top w:val="single" w:color="auto" w:sz="4" w:space="0"/>
              <w:left w:val="nil"/>
              <w:bottom w:val="single" w:color="auto" w:sz="4" w:space="0"/>
              <w:right w:val="single" w:color="auto" w:sz="4" w:space="0"/>
            </w:tcBorders>
          </w:tcPr>
          <w:p>
            <w:pPr>
              <w:spacing w:line="460" w:lineRule="exact"/>
              <w:ind w:firstLine="482" w:firstLineChars="200"/>
              <w:contextualSpacing/>
              <w:rPr>
                <w:rFonts w:ascii="楷体" w:hAnsi="楷体" w:eastAsia="楷体"/>
                <w:b/>
                <w:bCs/>
                <w:sz w:val="24"/>
                <w:szCs w:val="24"/>
              </w:rPr>
            </w:pPr>
            <w:r>
              <w:rPr>
                <w:rFonts w:hint="eastAsia" w:ascii="宋体" w:hAnsi="宋体"/>
                <w:b/>
                <w:bCs/>
                <w:sz w:val="24"/>
                <w:szCs w:val="24"/>
              </w:rPr>
              <w:t>1.</w:t>
            </w:r>
            <w:r>
              <w:rPr>
                <w:rFonts w:hint="eastAsia" w:ascii="楷体" w:hAnsi="楷体" w:eastAsia="楷体"/>
                <w:b/>
                <w:bCs/>
                <w:sz w:val="24"/>
                <w:szCs w:val="24"/>
              </w:rPr>
              <w:t>投标保证金递交截止时间：</w:t>
            </w:r>
            <w:r>
              <w:rPr>
                <w:rFonts w:hint="eastAsia" w:ascii="宋体" w:hAnsi="宋体" w:cs="仿宋"/>
                <w:sz w:val="24"/>
                <w:szCs w:val="24"/>
              </w:rPr>
              <w:t>同投标截止时间。</w:t>
            </w:r>
          </w:p>
          <w:p>
            <w:pPr>
              <w:spacing w:line="460" w:lineRule="exact"/>
              <w:ind w:firstLine="482" w:firstLineChars="200"/>
              <w:contextualSpacing/>
              <w:rPr>
                <w:rFonts w:ascii="宋体" w:hAnsi="宋体" w:cs="仿宋"/>
                <w:sz w:val="24"/>
                <w:szCs w:val="24"/>
                <w:u w:val="single"/>
              </w:rPr>
            </w:pPr>
            <w:r>
              <w:rPr>
                <w:rFonts w:hint="eastAsia" w:ascii="楷体" w:hAnsi="楷体" w:eastAsia="楷体"/>
                <w:b/>
                <w:bCs/>
                <w:sz w:val="24"/>
                <w:szCs w:val="24"/>
              </w:rPr>
              <w:t>2.金额：</w:t>
            </w:r>
            <w:r>
              <w:rPr>
                <w:rFonts w:hint="eastAsia" w:ascii="宋体" w:hAnsi="宋体" w:cs="仿宋"/>
                <w:sz w:val="24"/>
                <w:szCs w:val="24"/>
                <w:u w:val="single"/>
              </w:rPr>
              <w:t>人民币贰万柒仟元整（￥27000.00元）</w:t>
            </w:r>
            <w:r>
              <w:rPr>
                <w:rFonts w:hint="eastAsia" w:ascii="宋体" w:hAnsi="宋体"/>
                <w:sz w:val="24"/>
                <w:szCs w:val="24"/>
              </w:rPr>
              <w:t>；</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3.递交方式</w:t>
            </w:r>
            <w:r>
              <w:rPr>
                <w:rFonts w:hint="eastAsia" w:ascii="宋体" w:hAnsi="宋体"/>
                <w:sz w:val="24"/>
                <w:szCs w:val="24"/>
              </w:rPr>
              <w:t>：银行转账、银行电汇（均需从投标人的基本账户汇出），不接受以现金方式缴纳的投标</w:t>
            </w:r>
            <w:r>
              <w:rPr>
                <w:rFonts w:hint="eastAsia" w:ascii="宋体" w:hAnsi="宋体" w:cs="宋体"/>
                <w:sz w:val="24"/>
                <w:szCs w:val="24"/>
              </w:rPr>
              <w:t>保证金</w:t>
            </w:r>
            <w:r>
              <w:rPr>
                <w:rFonts w:hint="eastAsia" w:ascii="宋体" w:hAnsi="宋体"/>
                <w:sz w:val="24"/>
                <w:szCs w:val="24"/>
              </w:rPr>
              <w:t>。</w:t>
            </w:r>
            <w:r>
              <w:rPr>
                <w:rFonts w:hint="eastAsia" w:ascii="宋体" w:hAnsi="宋体"/>
                <w:b/>
                <w:bCs/>
                <w:sz w:val="24"/>
                <w:szCs w:val="24"/>
              </w:rPr>
              <w:t>凡以现金方式缴纳投标保证金而影响其投标结果的，由投标人自行负责。</w:t>
            </w:r>
          </w:p>
          <w:p>
            <w:pPr>
              <w:spacing w:line="460" w:lineRule="exact"/>
              <w:ind w:firstLine="482" w:firstLineChars="200"/>
              <w:contextualSpacing/>
              <w:rPr>
                <w:rFonts w:ascii="宋体" w:hAnsi="宋体"/>
                <w:b/>
                <w:bCs/>
                <w:sz w:val="24"/>
                <w:szCs w:val="24"/>
              </w:rPr>
            </w:pPr>
            <w:r>
              <w:rPr>
                <w:rFonts w:hint="eastAsia" w:ascii="宋体" w:hAnsi="宋体"/>
                <w:b/>
                <w:bCs/>
                <w:sz w:val="24"/>
                <w:szCs w:val="24"/>
              </w:rPr>
              <w:t>使用银行转账方式的，于截止时间前通过投标人基本账户将款项一次足额递交、成功绑定，以收款人到账时间为准，在途资金无效，视为未按时交纳。同时投标人应承担节假日银行系统不能支付的风险。</w:t>
            </w:r>
          </w:p>
          <w:p>
            <w:pPr>
              <w:spacing w:line="460" w:lineRule="exact"/>
              <w:ind w:firstLine="482" w:firstLineChars="200"/>
              <w:contextualSpacing/>
              <w:rPr>
                <w:rFonts w:ascii="宋体" w:hAnsi="宋体"/>
                <w:sz w:val="24"/>
                <w:szCs w:val="24"/>
              </w:rPr>
            </w:pPr>
            <w:r>
              <w:rPr>
                <w:rFonts w:hint="eastAsia" w:ascii="楷体" w:hAnsi="楷体" w:eastAsia="楷体"/>
                <w:b/>
                <w:bCs/>
                <w:sz w:val="24"/>
                <w:szCs w:val="24"/>
              </w:rPr>
              <w:t>4.基本户备案：</w:t>
            </w:r>
            <w:r>
              <w:rPr>
                <w:rFonts w:hint="eastAsia" w:ascii="宋体" w:hAnsi="宋体"/>
                <w:sz w:val="24"/>
                <w:szCs w:val="24"/>
              </w:rPr>
              <w:t>自文件发布之日起，投标人需进行基本户备案；已备案的基本户，其开户银行及账户发生变化的，须在投标保证金缴纳前办理变更手续。</w:t>
            </w:r>
          </w:p>
          <w:p>
            <w:pPr>
              <w:spacing w:line="460" w:lineRule="exact"/>
              <w:ind w:firstLine="480" w:firstLineChars="200"/>
              <w:contextualSpacing/>
              <w:rPr>
                <w:rFonts w:ascii="宋体" w:hAnsi="宋体"/>
                <w:sz w:val="24"/>
                <w:szCs w:val="24"/>
              </w:rPr>
            </w:pPr>
            <w:r>
              <w:rPr>
                <w:rFonts w:hint="eastAsia" w:ascii="宋体" w:hAnsi="宋体"/>
                <w:sz w:val="24"/>
                <w:szCs w:val="24"/>
              </w:rPr>
              <w:t>5.其他事项详见本招标文件投标人须知。</w:t>
            </w:r>
          </w:p>
          <w:p>
            <w:pPr>
              <w:spacing w:line="460" w:lineRule="exact"/>
              <w:ind w:firstLine="480" w:firstLineChars="200"/>
              <w:contextualSpacing/>
              <w:rPr>
                <w:rFonts w:ascii="宋体" w:hAnsi="宋体"/>
                <w:sz w:val="24"/>
                <w:szCs w:val="24"/>
              </w:rPr>
            </w:pPr>
            <w:r>
              <w:rPr>
                <w:rFonts w:hint="eastAsia" w:ascii="宋体" w:hAnsi="宋体"/>
                <w:sz w:val="24"/>
                <w:szCs w:val="24"/>
              </w:rPr>
              <w:t>投标</w:t>
            </w:r>
            <w:r>
              <w:rPr>
                <w:rFonts w:hint="eastAsia" w:ascii="宋体" w:hAnsi="宋体" w:cs="宋体"/>
                <w:sz w:val="24"/>
                <w:szCs w:val="24"/>
              </w:rPr>
              <w:t>保证金</w:t>
            </w:r>
            <w:r>
              <w:rPr>
                <w:rFonts w:hint="eastAsia" w:ascii="宋体" w:hAnsi="宋体"/>
                <w:sz w:val="24"/>
                <w:szCs w:val="24"/>
              </w:rPr>
              <w:t>缴纳绑定问题咨询电话:0374-2961598</w:t>
            </w:r>
          </w:p>
          <w:p>
            <w:pPr>
              <w:spacing w:line="460" w:lineRule="exact"/>
              <w:ind w:firstLine="482" w:firstLineChars="200"/>
              <w:contextualSpacing/>
              <w:rPr>
                <w:rFonts w:ascii="宋体" w:hAnsi="宋体" w:cs="仿宋_GB2312"/>
                <w:b/>
                <w:bCs/>
                <w:color w:val="000000"/>
                <w:kern w:val="0"/>
                <w:sz w:val="24"/>
                <w:szCs w:val="24"/>
              </w:rPr>
            </w:pPr>
            <w:r>
              <w:rPr>
                <w:rFonts w:hint="eastAsia" w:ascii="宋体" w:hAnsi="宋体"/>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3.5.2</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近年财务状况的年份要求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2016、2017、2018年度（若公司成立未满三年，需提供从成立至今的年度财务状况）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3.5.3</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近年完成的类似项目的年份要求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201</w:t>
            </w:r>
            <w:r>
              <w:rPr>
                <w:rFonts w:ascii="宋体" w:hAnsi="宋体"/>
                <w:sz w:val="24"/>
                <w:szCs w:val="24"/>
              </w:rPr>
              <w:t>7</w:t>
            </w:r>
            <w:r>
              <w:rPr>
                <w:rFonts w:hint="eastAsia" w:ascii="宋体" w:hAnsi="宋体"/>
                <w:sz w:val="24"/>
                <w:szCs w:val="24"/>
              </w:rPr>
              <w:t>年</w:t>
            </w:r>
            <w:r>
              <w:rPr>
                <w:rFonts w:ascii="宋体" w:hAnsi="宋体"/>
                <w:sz w:val="24"/>
                <w:szCs w:val="24"/>
              </w:rPr>
              <w:t>1</w:t>
            </w:r>
            <w:r>
              <w:rPr>
                <w:rFonts w:hint="eastAsia" w:ascii="宋体" w:hAnsi="宋体"/>
                <w:sz w:val="24"/>
                <w:szCs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rFonts w:ascii="宋体" w:hAnsi="宋体"/>
                <w:sz w:val="24"/>
                <w:szCs w:val="24"/>
              </w:rPr>
            </w:pPr>
            <w:r>
              <w:rPr>
                <w:rFonts w:hint="eastAsia" w:ascii="宋体" w:hAnsi="宋体"/>
                <w:sz w:val="24"/>
                <w:szCs w:val="24"/>
              </w:rPr>
              <w:t>3.5.4</w:t>
            </w:r>
          </w:p>
        </w:tc>
        <w:tc>
          <w:tcPr>
            <w:tcW w:w="1235" w:type="dxa"/>
            <w:gridSpan w:val="4"/>
            <w:tcBorders>
              <w:top w:val="single" w:color="auto" w:sz="4" w:space="0"/>
              <w:left w:val="nil"/>
              <w:bottom w:val="single" w:color="auto" w:sz="4" w:space="0"/>
              <w:right w:val="single" w:color="auto" w:sz="4" w:space="0"/>
            </w:tcBorders>
            <w:vAlign w:val="center"/>
          </w:tcPr>
          <w:p>
            <w:pPr>
              <w:spacing w:line="440" w:lineRule="exact"/>
              <w:contextualSpacing/>
              <w:jc w:val="center"/>
              <w:rPr>
                <w:rFonts w:ascii="宋体" w:hAnsi="宋体"/>
                <w:sz w:val="24"/>
                <w:szCs w:val="24"/>
              </w:rPr>
            </w:pPr>
            <w:r>
              <w:rPr>
                <w:rFonts w:hint="eastAsia" w:ascii="宋体" w:hAnsi="宋体"/>
                <w:sz w:val="24"/>
                <w:szCs w:val="24"/>
              </w:rPr>
              <w:t>近年发生的诉讼及仲裁情况的年份要求</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201</w:t>
            </w:r>
            <w:r>
              <w:rPr>
                <w:rFonts w:ascii="宋体" w:hAnsi="宋体"/>
                <w:sz w:val="24"/>
                <w:szCs w:val="24"/>
              </w:rPr>
              <w:t>7</w:t>
            </w:r>
            <w:r>
              <w:rPr>
                <w:rFonts w:hint="eastAsia" w:ascii="宋体" w:hAnsi="宋体"/>
                <w:sz w:val="24"/>
                <w:szCs w:val="24"/>
              </w:rPr>
              <w:t>年</w:t>
            </w:r>
            <w:r>
              <w:rPr>
                <w:rFonts w:ascii="宋体" w:hAnsi="宋体"/>
                <w:sz w:val="24"/>
                <w:szCs w:val="24"/>
              </w:rPr>
              <w:t>1</w:t>
            </w:r>
            <w:r>
              <w:rPr>
                <w:rFonts w:hint="eastAsia" w:ascii="宋体" w:hAnsi="宋体"/>
                <w:sz w:val="24"/>
                <w:szCs w:val="24"/>
              </w:rPr>
              <w:t>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3.6</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是否允许递交备选投标方案</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kern w:val="0"/>
                <w:sz w:val="24"/>
                <w:szCs w:val="24"/>
              </w:rPr>
            </w:pPr>
            <w:r>
              <w:rPr>
                <w:rFonts w:hint="eastAsia" w:ascii="宋体" w:hAnsi="宋体" w:cs="仿宋_GB2312"/>
                <w:kern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签字或盖章要求</w:t>
            </w:r>
          </w:p>
        </w:tc>
        <w:tc>
          <w:tcPr>
            <w:tcW w:w="6378" w:type="dxa"/>
            <w:tcBorders>
              <w:top w:val="single" w:color="auto" w:sz="4" w:space="0"/>
              <w:left w:val="nil"/>
              <w:bottom w:val="single" w:color="auto" w:sz="4" w:space="0"/>
              <w:right w:val="single" w:color="auto" w:sz="4" w:space="0"/>
            </w:tcBorders>
          </w:tcPr>
          <w:p>
            <w:pPr>
              <w:spacing w:line="460" w:lineRule="exact"/>
              <w:contextualSpacing/>
              <w:rPr>
                <w:color w:val="FF00FF"/>
                <w:sz w:val="24"/>
                <w:szCs w:val="24"/>
              </w:rPr>
            </w:pPr>
            <w:r>
              <w:rPr>
                <w:rFonts w:hint="eastAsia" w:ascii="新宋体" w:hAnsi="新宋体" w:eastAsia="新宋体"/>
                <w:sz w:val="24"/>
                <w:szCs w:val="24"/>
              </w:rPr>
              <w:t>电子投标文件：按招标文件要求加盖</w:t>
            </w:r>
            <w:r>
              <w:rPr>
                <w:rFonts w:hint="eastAsia" w:hAnsi="宋体"/>
                <w:sz w:val="24"/>
                <w:szCs w:val="24"/>
              </w:rPr>
              <w:t>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3.7.4</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投标文件份数</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hAnsi="宋体" w:cs="宋体"/>
                <w:sz w:val="24"/>
                <w:szCs w:val="24"/>
              </w:rPr>
            </w:pPr>
            <w:r>
              <w:rPr>
                <w:rFonts w:hint="eastAsia" w:ascii="宋体" w:hAnsi="宋体"/>
                <w:sz w:val="24"/>
                <w:szCs w:val="24"/>
              </w:rPr>
              <w:t>电子投标文件</w:t>
            </w:r>
          </w:p>
          <w:p>
            <w:pPr>
              <w:autoSpaceDE w:val="0"/>
              <w:autoSpaceDN w:val="0"/>
              <w:adjustRightInd w:val="0"/>
              <w:spacing w:line="360" w:lineRule="auto"/>
              <w:rPr>
                <w:rFonts w:hAnsi="宋体" w:cs="宋体"/>
                <w:color w:val="000000"/>
                <w:sz w:val="24"/>
              </w:rPr>
            </w:pPr>
            <w:r>
              <w:rPr>
                <w:rFonts w:hint="eastAsia" w:hAnsi="宋体" w:cs="宋体"/>
                <w:color w:val="000000"/>
                <w:sz w:val="24"/>
              </w:rPr>
              <w:t>成功上传至【全国公共资源交易平台（河南省·许昌市）】公共资源交易系统电子投标文件1份</w:t>
            </w:r>
            <w:r>
              <w:rPr>
                <w:rFonts w:hint="eastAsia" w:hAnsi="宋体" w:cs="宋体"/>
                <w:color w:val="000000"/>
                <w:sz w:val="24"/>
                <w:szCs w:val="20"/>
              </w:rPr>
              <w:t>（文件格式为：XX公司XXX项目编号.file）</w:t>
            </w:r>
            <w:r>
              <w:rPr>
                <w:rFonts w:hint="eastAsia" w:hAnsi="宋体" w:cs="宋体"/>
                <w:color w:val="000000"/>
                <w:sz w:val="24"/>
              </w:rPr>
              <w:t>。</w:t>
            </w:r>
          </w:p>
          <w:p>
            <w:pPr>
              <w:autoSpaceDE w:val="0"/>
              <w:autoSpaceDN w:val="0"/>
              <w:spacing w:line="460" w:lineRule="exact"/>
              <w:contextualSpacing/>
              <w:rPr>
                <w:rFonts w:ascii="宋体" w:hAnsi="宋体" w:cs="仿宋_GB2312"/>
                <w:color w:val="000000"/>
                <w:kern w:val="0"/>
                <w:sz w:val="24"/>
                <w:szCs w:val="24"/>
              </w:rPr>
            </w:pPr>
            <w:r>
              <w:rPr>
                <w:rFonts w:hint="eastAsia" w:hAnsi="宋体" w:cs="宋体"/>
                <w:b/>
                <w:color w:val="000000"/>
                <w:sz w:val="24"/>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3.7.5</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hAnsi="宋体" w:cs="宋体"/>
                <w:color w:val="000000"/>
                <w:sz w:val="24"/>
              </w:rPr>
              <w:t>本项目是否采用不见面开标</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仿宋_GB2312"/>
                <w:color w:val="000000"/>
                <w:kern w:val="0"/>
                <w:sz w:val="24"/>
                <w:szCs w:val="24"/>
              </w:rPr>
            </w:pPr>
            <w:r>
              <w:rPr>
                <w:rFonts w:hint="eastAsia" w:hAnsi="宋体" w:cs="宋体"/>
                <w:color w:val="000000"/>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4.2.2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hAnsi="宋体" w:cs="宋体"/>
                <w:color w:val="000000"/>
                <w:sz w:val="24"/>
              </w:rPr>
              <w:t>递交投标文件地点</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hAnsi="宋体" w:cs="宋体"/>
                <w:color w:val="000000"/>
                <w:sz w:val="24"/>
              </w:rPr>
              <w:t>电子投标文件递交地点：电子投标文件应按规定在投标截止时间（开标时间）之前成功提交至【全国公共资源交易平台</w:t>
            </w:r>
            <w:r>
              <w:rPr>
                <w:rFonts w:hAnsi="宋体" w:cs="宋体"/>
                <w:color w:val="000000"/>
                <w:sz w:val="24"/>
              </w:rPr>
              <w:t>(</w:t>
            </w:r>
            <w:r>
              <w:rPr>
                <w:rFonts w:hint="eastAsia" w:hAnsi="宋体" w:cs="宋体"/>
                <w:color w:val="000000"/>
                <w:sz w:val="24"/>
              </w:rPr>
              <w:t>河南省</w:t>
            </w:r>
            <w:r>
              <w:rPr>
                <w:rFonts w:hint="eastAsia" w:ascii="MS Mincho" w:hAnsi="MS Mincho" w:eastAsia="MS Mincho" w:cs="MS Mincho"/>
                <w:color w:val="000000"/>
                <w:sz w:val="24"/>
              </w:rPr>
              <w:t>▪</w:t>
            </w:r>
            <w:r>
              <w:rPr>
                <w:rFonts w:hint="eastAsia" w:hAnsi="宋体" w:cs="宋体"/>
                <w:color w:val="000000"/>
                <w:sz w:val="24"/>
              </w:rPr>
              <w:t>许昌市</w:t>
            </w:r>
            <w:r>
              <w:rPr>
                <w:rFonts w:hAnsi="宋体" w:cs="宋体"/>
                <w:color w:val="000000"/>
                <w:sz w:val="24"/>
              </w:rPr>
              <w:t>)</w:t>
            </w:r>
            <w:r>
              <w:rPr>
                <w:rFonts w:hint="eastAsia" w:hAnsi="宋体" w:cs="宋体"/>
                <w:color w:val="000000"/>
                <w:sz w:val="24"/>
              </w:rPr>
              <w:t>】公共资源交易系统（</w:t>
            </w:r>
            <w:r>
              <w:rPr>
                <w:rFonts w:hAnsi="宋体" w:cs="宋体"/>
                <w:color w:val="000000"/>
                <w:sz w:val="24"/>
              </w:rPr>
              <w:t>http://221.14.6.70:8088/ggzy/</w:t>
            </w:r>
            <w:r>
              <w:rPr>
                <w:rFonts w:hint="eastAsia"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4.2.3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是否退还投标文件</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5.1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开标时间地点</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同投标截止时间</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开标地点：长葛市公共资源交易中心开标</w:t>
            </w:r>
            <w:r>
              <w:rPr>
                <w:rFonts w:hint="eastAsia" w:ascii="宋体" w:hAnsi="宋体" w:cs="仿宋_GB2312"/>
                <w:kern w:val="0"/>
                <w:sz w:val="24"/>
                <w:szCs w:val="24"/>
                <w:lang w:eastAsia="zh-CN"/>
              </w:rPr>
              <w:t>二</w:t>
            </w:r>
            <w:r>
              <w:rPr>
                <w:rFonts w:hint="eastAsia" w:ascii="宋体" w:hAnsi="宋体" w:cs="仿宋_GB2312"/>
                <w:kern w:val="0"/>
                <w:sz w:val="24"/>
                <w:szCs w:val="24"/>
              </w:rPr>
              <w:t xml:space="preserve"> 室（长葛市葛天大道东段商务区</w:t>
            </w:r>
            <w:r>
              <w:rPr>
                <w:rFonts w:ascii="宋体" w:hAnsi="宋体" w:cs="仿宋_GB2312"/>
                <w:kern w:val="0"/>
                <w:sz w:val="24"/>
                <w:szCs w:val="24"/>
              </w:rPr>
              <w:t xml:space="preserve"> 6</w:t>
            </w:r>
            <w:r>
              <w:rPr>
                <w:rFonts w:hint="eastAsia" w:ascii="宋体" w:hAnsi="宋体" w:cs="仿宋_GB2312"/>
                <w:kern w:val="0"/>
                <w:sz w:val="24"/>
                <w:szCs w:val="24"/>
              </w:rPr>
              <w:t>号楼</w:t>
            </w:r>
            <w:r>
              <w:rPr>
                <w:rFonts w:hint="eastAsia" w:ascii="宋体" w:hAnsi="宋体" w:cs="仿宋_GB2312"/>
                <w:kern w:val="0"/>
                <w:sz w:val="24"/>
                <w:szCs w:val="24"/>
                <w:lang w:val="en-US" w:eastAsia="zh-CN"/>
              </w:rPr>
              <w:t>409</w:t>
            </w:r>
            <w:bookmarkStart w:id="366" w:name="_GoBack"/>
            <w:bookmarkEnd w:id="366"/>
            <w:r>
              <w:rPr>
                <w:rFonts w:hint="eastAsia" w:ascii="宋体" w:hAnsi="宋体" w:cs="仿宋_GB2312"/>
                <w:kern w:val="0"/>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TimesNewRomanPSMT"/>
                <w:kern w:val="0"/>
                <w:sz w:val="24"/>
                <w:szCs w:val="24"/>
              </w:rPr>
            </w:pPr>
            <w:r>
              <w:rPr>
                <w:rFonts w:hint="eastAsia" w:ascii="宋体" w:hAnsi="宋体" w:cs="TimesNewRomanPSMT"/>
                <w:kern w:val="0"/>
                <w:sz w:val="24"/>
                <w:szCs w:val="24"/>
              </w:rPr>
              <w:t>5</w:t>
            </w:r>
            <w:r>
              <w:rPr>
                <w:rFonts w:ascii="宋体" w:hAnsi="宋体" w:cs="TimesNewRomanPSMT"/>
                <w:kern w:val="0"/>
                <w:sz w:val="24"/>
                <w:szCs w:val="24"/>
              </w:rPr>
              <w:t>.2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仿宋_GB2312"/>
                <w:kern w:val="0"/>
                <w:sz w:val="24"/>
                <w:szCs w:val="24"/>
              </w:rPr>
            </w:pPr>
            <w:r>
              <w:rPr>
                <w:rFonts w:hint="eastAsia" w:ascii="等线" w:hAnsi="等线"/>
                <w:sz w:val="24"/>
                <w:szCs w:val="24"/>
              </w:rPr>
              <w:t>授权函</w:t>
            </w:r>
          </w:p>
        </w:tc>
        <w:tc>
          <w:tcPr>
            <w:tcW w:w="6378" w:type="dxa"/>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招标人委派代表参加开标会议，或者作为招标人代表进入评标委员会的，须向招标代理机构出具由招标人法定代表人签字并加盖单位公章的有明确授权事项的授权函。</w:t>
            </w:r>
          </w:p>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除授权代表外，招标人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5.</w:t>
            </w:r>
            <w:r>
              <w:rPr>
                <w:rFonts w:ascii="宋体" w:hAnsi="宋体" w:cs="TimesNewRomanPSMT"/>
                <w:kern w:val="0"/>
                <w:sz w:val="24"/>
                <w:szCs w:val="24"/>
              </w:rPr>
              <w:t>3</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开标程序</w:t>
            </w:r>
          </w:p>
        </w:tc>
        <w:tc>
          <w:tcPr>
            <w:tcW w:w="6378" w:type="dxa"/>
            <w:tcBorders>
              <w:top w:val="single" w:color="auto" w:sz="4" w:space="0"/>
              <w:left w:val="nil"/>
              <w:bottom w:val="single" w:color="auto" w:sz="4" w:space="0"/>
              <w:right w:val="single" w:color="auto" w:sz="4" w:space="0"/>
            </w:tcBorders>
            <w:vAlign w:val="center"/>
          </w:tcPr>
          <w:p>
            <w:pPr>
              <w:spacing w:line="360" w:lineRule="auto"/>
              <w:rPr>
                <w:rFonts w:hAnsi="宋体"/>
                <w:sz w:val="24"/>
              </w:rPr>
            </w:pPr>
            <w:r>
              <w:rPr>
                <w:rFonts w:hint="eastAsia" w:hAnsi="宋体" w:cs="宋体"/>
                <w:sz w:val="24"/>
              </w:rPr>
              <w:t>（1）</w:t>
            </w:r>
            <w:r>
              <w:rPr>
                <w:rFonts w:hint="eastAsia" w:hAnsi="宋体"/>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rPr>
                <w:rFonts w:hAnsi="宋体"/>
                <w:sz w:val="24"/>
              </w:rPr>
            </w:pPr>
            <w:r>
              <w:rPr>
                <w:rFonts w:hint="eastAsia" w:hAnsi="宋体"/>
                <w:sz w:val="24"/>
              </w:rPr>
              <w:t>（3）解密完成后，招标人（代理机构）点击“系数抽取”按钮进行系数抽取，系数抽取情况在“公告通知”处显示。</w:t>
            </w:r>
          </w:p>
          <w:p>
            <w:pPr>
              <w:spacing w:line="360" w:lineRule="auto"/>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sz w:val="24"/>
              </w:rPr>
            </w:pPr>
            <w:r>
              <w:rPr>
                <w:rFonts w:hint="eastAsia" w:hAnsi="宋体"/>
                <w:sz w:val="24"/>
              </w:rPr>
              <w:t>（5）如无投标人提出异议，招标代理机构通过“文字互动”对话框通知各投标人进行电子签章。投标人应在《开标记录表》上进行电子签章，未进行电子签章的视为对开标结果无异议。</w:t>
            </w:r>
          </w:p>
          <w:p>
            <w:pPr>
              <w:autoSpaceDE w:val="0"/>
              <w:autoSpaceDN w:val="0"/>
              <w:spacing w:line="460" w:lineRule="exact"/>
              <w:contextualSpacing/>
              <w:jc w:val="left"/>
              <w:rPr>
                <w:rFonts w:ascii="宋体" w:hAnsi="宋体" w:cs="仿宋_GB2312"/>
                <w:kern w:val="0"/>
                <w:sz w:val="24"/>
                <w:szCs w:val="24"/>
              </w:rPr>
            </w:pPr>
            <w:r>
              <w:rPr>
                <w:rFonts w:hint="eastAsia" w:hAnsi="宋体"/>
                <w:sz w:val="24"/>
              </w:rPr>
              <w:t>（6）招标人（代理机构）签章并上传《开标记录表》，不见面开标活动结束。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 xml:space="preserve">6.1.1 </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仿宋_GB2312"/>
                <w:kern w:val="0"/>
                <w:sz w:val="24"/>
                <w:szCs w:val="24"/>
              </w:rPr>
              <w:t>评标委员会的组建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仿宋_GB2312"/>
                <w:kern w:val="0"/>
                <w:sz w:val="24"/>
                <w:szCs w:val="24"/>
              </w:rPr>
              <w:t>评标委员会构成：</w:t>
            </w:r>
            <w:r>
              <w:rPr>
                <w:rFonts w:ascii="宋体" w:hAnsi="宋体" w:cs="仿宋_GB2312"/>
                <w:kern w:val="0"/>
                <w:sz w:val="24"/>
                <w:szCs w:val="24"/>
              </w:rPr>
              <w:t>5</w:t>
            </w:r>
            <w:r>
              <w:rPr>
                <w:rFonts w:hint="eastAsia" w:ascii="宋体" w:hAnsi="宋体" w:cs="仿宋_GB2312"/>
                <w:kern w:val="0"/>
                <w:sz w:val="24"/>
                <w:szCs w:val="24"/>
              </w:rPr>
              <w:t>人，其中招标人代表</w:t>
            </w:r>
            <w:r>
              <w:rPr>
                <w:rFonts w:ascii="宋体" w:hAnsi="宋体" w:cs="仿宋_GB2312"/>
                <w:kern w:val="0"/>
                <w:sz w:val="24"/>
                <w:szCs w:val="24"/>
              </w:rPr>
              <w:t>1</w:t>
            </w:r>
            <w:r>
              <w:rPr>
                <w:rFonts w:hint="eastAsia" w:ascii="宋体" w:hAnsi="宋体" w:cs="仿宋_GB2312"/>
                <w:kern w:val="0"/>
                <w:sz w:val="24"/>
                <w:szCs w:val="24"/>
              </w:rPr>
              <w:t>人，其余</w:t>
            </w:r>
            <w:r>
              <w:rPr>
                <w:rFonts w:ascii="宋体" w:hAnsi="宋体" w:cs="仿宋_GB2312"/>
                <w:kern w:val="0"/>
                <w:sz w:val="24"/>
                <w:szCs w:val="24"/>
              </w:rPr>
              <w:t>4</w:t>
            </w:r>
            <w:r>
              <w:rPr>
                <w:rFonts w:hint="eastAsia" w:ascii="宋体" w:hAnsi="宋体" w:cs="仿宋_GB2312"/>
                <w:kern w:val="0"/>
                <w:sz w:val="24"/>
                <w:szCs w:val="24"/>
              </w:rPr>
              <w:t>人由经济、技术类专家组成（含注册造价工程师2人）。开标前从河南省综合评标专家库中抽取，评标委员会主任通过现场随机抽取方式确立，与投标人有利害关系的人不得进入评标委员会。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center"/>
              <w:rPr>
                <w:rFonts w:ascii="宋体" w:hAnsi="宋体" w:cs="黑体"/>
                <w:kern w:val="0"/>
                <w:sz w:val="24"/>
                <w:szCs w:val="24"/>
              </w:rPr>
            </w:pPr>
            <w:r>
              <w:rPr>
                <w:rFonts w:hint="eastAsia" w:ascii="宋体" w:hAnsi="宋体" w:cs="TimesNewRomanPSMT"/>
                <w:kern w:val="0"/>
                <w:sz w:val="24"/>
                <w:szCs w:val="24"/>
              </w:rPr>
              <w:t>7.1</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jc w:val="center"/>
              <w:rPr>
                <w:rFonts w:ascii="宋体" w:hAnsi="宋体" w:cs="黑体"/>
                <w:kern w:val="0"/>
                <w:sz w:val="24"/>
                <w:szCs w:val="24"/>
              </w:rPr>
            </w:pPr>
            <w:r>
              <w:rPr>
                <w:rFonts w:hint="eastAsia" w:ascii="宋体" w:hAnsi="宋体" w:cs="仿宋_GB2312"/>
                <w:kern w:val="0"/>
                <w:sz w:val="24"/>
                <w:szCs w:val="24"/>
              </w:rPr>
              <w:t>是否授权评标委员会确定中标人</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rPr>
                <w:rFonts w:ascii="宋体" w:hAnsi="宋体" w:cs="黑体"/>
                <w:kern w:val="0"/>
                <w:sz w:val="24"/>
                <w:szCs w:val="24"/>
              </w:rPr>
            </w:pPr>
            <w:r>
              <w:rPr>
                <w:rFonts w:hint="eastAsia" w:ascii="宋体" w:hAnsi="宋体" w:cs="仿宋_GB2312"/>
                <w:kern w:val="0"/>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仿宋_GB2312"/>
                <w:kern w:val="0"/>
                <w:sz w:val="24"/>
                <w:szCs w:val="24"/>
              </w:rPr>
            </w:pPr>
            <w:r>
              <w:rPr>
                <w:rFonts w:hint="eastAsia" w:ascii="宋体" w:hAnsi="宋体" w:cs="TimesNewRomanPSMT"/>
                <w:kern w:val="0"/>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TimesNewRomanPSMT"/>
                <w:kern w:val="0"/>
                <w:sz w:val="24"/>
                <w:szCs w:val="24"/>
              </w:rPr>
            </w:pPr>
            <w:r>
              <w:rPr>
                <w:rFonts w:hint="eastAsia" w:ascii="宋体" w:hAnsi="宋体" w:cs="TimesNewRomanPSMT"/>
                <w:kern w:val="0"/>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color w:val="000000"/>
                <w:sz w:val="24"/>
                <w:szCs w:val="24"/>
              </w:rPr>
            </w:pPr>
            <w:r>
              <w:rPr>
                <w:rFonts w:hint="eastAsia"/>
                <w:color w:val="000000"/>
                <w:sz w:val="24"/>
                <w:szCs w:val="24"/>
              </w:rPr>
              <w:t>10.1.1</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黑体"/>
                <w:kern w:val="0"/>
                <w:sz w:val="24"/>
                <w:szCs w:val="24"/>
              </w:rPr>
            </w:pPr>
            <w:r>
              <w:rPr>
                <w:rFonts w:hint="eastAsia" w:ascii="宋体" w:hAnsi="宋体"/>
                <w:sz w:val="24"/>
                <w:szCs w:val="24"/>
              </w:rPr>
              <w:t>类似项目</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sz w:val="24"/>
              </w:rPr>
            </w:pPr>
            <w:r>
              <w:rPr>
                <w:rFonts w:hint="eastAsia" w:ascii="宋体" w:hAnsi="宋体"/>
                <w:sz w:val="24"/>
              </w:rPr>
              <w:t>201</w:t>
            </w:r>
            <w:r>
              <w:rPr>
                <w:rFonts w:ascii="宋体" w:hAnsi="宋体"/>
                <w:sz w:val="24"/>
              </w:rPr>
              <w:t>7</w:t>
            </w:r>
            <w:r>
              <w:rPr>
                <w:rFonts w:hint="eastAsia" w:ascii="宋体" w:hAnsi="宋体"/>
                <w:sz w:val="24"/>
              </w:rPr>
              <w:t>年1月1日以来承建的类似的市政公用工程项目（以合同签订日期为准）。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color w:val="000000"/>
                <w:sz w:val="24"/>
                <w:szCs w:val="24"/>
              </w:rPr>
            </w:pPr>
            <w:r>
              <w:rPr>
                <w:rFonts w:hint="eastAsia"/>
                <w:color w:val="000000"/>
                <w:sz w:val="24"/>
                <w:szCs w:val="24"/>
              </w:rPr>
              <w:t>10.1.2</w:t>
            </w:r>
          </w:p>
        </w:tc>
        <w:tc>
          <w:tcPr>
            <w:tcW w:w="1235" w:type="dxa"/>
            <w:gridSpan w:val="4"/>
            <w:tcBorders>
              <w:top w:val="single" w:color="auto" w:sz="4" w:space="0"/>
              <w:left w:val="nil"/>
              <w:bottom w:val="single" w:color="auto" w:sz="4" w:space="0"/>
              <w:right w:val="single" w:color="auto" w:sz="4" w:space="0"/>
            </w:tcBorders>
            <w:vAlign w:val="center"/>
          </w:tcPr>
          <w:p>
            <w:pPr>
              <w:spacing w:line="460" w:lineRule="exact"/>
              <w:contextualSpacing/>
              <w:rPr>
                <w:rFonts w:ascii="宋体" w:hAnsi="宋体" w:cs="黑体"/>
                <w:kern w:val="0"/>
                <w:sz w:val="24"/>
                <w:szCs w:val="24"/>
              </w:rPr>
            </w:pPr>
            <w:r>
              <w:rPr>
                <w:rFonts w:hint="eastAsia"/>
                <w:color w:val="000000"/>
                <w:sz w:val="24"/>
                <w:szCs w:val="24"/>
              </w:rPr>
              <w:t>不良行为记录</w:t>
            </w:r>
          </w:p>
        </w:tc>
        <w:tc>
          <w:tcPr>
            <w:tcW w:w="6378" w:type="dxa"/>
            <w:tcBorders>
              <w:top w:val="single" w:color="auto" w:sz="4" w:space="0"/>
              <w:left w:val="nil"/>
              <w:bottom w:val="single" w:color="auto" w:sz="4" w:space="0"/>
              <w:right w:val="single" w:color="auto" w:sz="4" w:space="0"/>
            </w:tcBorders>
            <w:vAlign w:val="center"/>
          </w:tcPr>
          <w:p>
            <w:pPr>
              <w:spacing w:line="460" w:lineRule="exact"/>
              <w:contextualSpacing/>
              <w:rPr>
                <w:rFonts w:ascii="仿宋_GB2312" w:hAnsi="仿宋_GB2312"/>
                <w:color w:val="000000"/>
                <w:sz w:val="24"/>
                <w:szCs w:val="24"/>
                <w:shd w:val="clear" w:color="auto" w:fill="FFFFFF"/>
              </w:rPr>
            </w:pPr>
            <w:r>
              <w:rPr>
                <w:rFonts w:hint="eastAsia" w:ascii="宋体" w:hAnsi="宋体"/>
                <w:sz w:val="24"/>
                <w:szCs w:val="24"/>
              </w:rPr>
              <w:t>投标人因质量、安全事故、拖欠农民工工资及招标投标中出具虚假资料等受到县级以上建设行政主管部门或招投标监督部门查实和行政处罚，形成的不良记录。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72" w:type="dxa"/>
            <w:tcBorders>
              <w:top w:val="single" w:color="auto" w:sz="4" w:space="0"/>
              <w:left w:val="single" w:color="auto" w:sz="4" w:space="0"/>
              <w:bottom w:val="single" w:color="auto" w:sz="4" w:space="0"/>
              <w:right w:val="single" w:color="auto" w:sz="4" w:space="0"/>
            </w:tcBorders>
            <w:vAlign w:val="center"/>
          </w:tcPr>
          <w:p>
            <w:pPr>
              <w:spacing w:line="460" w:lineRule="exact"/>
              <w:contextualSpacing/>
              <w:jc w:val="center"/>
              <w:rPr>
                <w:color w:val="000000"/>
                <w:sz w:val="24"/>
                <w:szCs w:val="24"/>
              </w:rPr>
            </w:pPr>
            <w:r>
              <w:rPr>
                <w:rFonts w:hint="eastAsia"/>
                <w:color w:val="000000"/>
                <w:sz w:val="24"/>
                <w:szCs w:val="24"/>
              </w:rPr>
              <w:t>10.2</w:t>
            </w:r>
          </w:p>
        </w:tc>
        <w:tc>
          <w:tcPr>
            <w:tcW w:w="1235" w:type="dxa"/>
            <w:gridSpan w:val="4"/>
            <w:tcBorders>
              <w:top w:val="single" w:color="auto" w:sz="4" w:space="0"/>
              <w:left w:val="nil"/>
              <w:bottom w:val="single" w:color="auto" w:sz="4" w:space="0"/>
              <w:right w:val="single" w:color="auto" w:sz="4" w:space="0"/>
            </w:tcBorders>
            <w:vAlign w:val="center"/>
          </w:tcPr>
          <w:p>
            <w:pPr>
              <w:autoSpaceDE w:val="0"/>
              <w:autoSpaceDN w:val="0"/>
              <w:spacing w:line="460" w:lineRule="exact"/>
              <w:contextualSpacing/>
              <w:jc w:val="center"/>
              <w:rPr>
                <w:color w:val="000000"/>
                <w:sz w:val="24"/>
                <w:szCs w:val="24"/>
              </w:rPr>
            </w:pPr>
            <w:r>
              <w:rPr>
                <w:rFonts w:hint="eastAsia" w:ascii="宋体" w:hAnsi="宋体" w:cs="黑体"/>
                <w:kern w:val="0"/>
                <w:sz w:val="24"/>
                <w:szCs w:val="24"/>
              </w:rPr>
              <w:t>招标控制价</w:t>
            </w:r>
          </w:p>
        </w:tc>
        <w:tc>
          <w:tcPr>
            <w:tcW w:w="6378" w:type="dxa"/>
            <w:tcBorders>
              <w:top w:val="single" w:color="auto" w:sz="4" w:space="0"/>
              <w:left w:val="nil"/>
              <w:bottom w:val="single" w:color="auto" w:sz="4" w:space="0"/>
              <w:right w:val="single" w:color="auto" w:sz="4" w:space="0"/>
            </w:tcBorders>
            <w:vAlign w:val="center"/>
          </w:tcPr>
          <w:p>
            <w:pPr>
              <w:autoSpaceDE w:val="0"/>
              <w:autoSpaceDN w:val="0"/>
              <w:spacing w:line="460" w:lineRule="exact"/>
              <w:outlineLvl w:val="0"/>
              <w:rPr>
                <w:rFonts w:ascii="宋体" w:hAnsi="宋体"/>
                <w:kern w:val="0"/>
                <w:sz w:val="24"/>
                <w:szCs w:val="24"/>
              </w:rPr>
            </w:pPr>
            <w:bookmarkStart w:id="28" w:name="_Toc32423"/>
            <w:r>
              <w:rPr>
                <w:rFonts w:hint="eastAsia" w:ascii="宋体" w:hAnsi="宋体"/>
                <w:kern w:val="0"/>
                <w:sz w:val="24"/>
                <w:szCs w:val="24"/>
              </w:rPr>
              <w:t>招标控制价：</w:t>
            </w:r>
            <w:bookmarkEnd w:id="28"/>
            <w:r>
              <w:rPr>
                <w:rFonts w:hint="eastAsia" w:ascii="宋体" w:hAnsi="宋体"/>
                <w:kern w:val="0"/>
                <w:sz w:val="24"/>
                <w:szCs w:val="24"/>
              </w:rPr>
              <w:t>壹佰叁拾捌万零贰佰捌拾陆元伍角捌分（￥1380286.58元）；</w:t>
            </w:r>
          </w:p>
          <w:p>
            <w:pPr>
              <w:spacing w:line="460" w:lineRule="exact"/>
              <w:ind w:firstLine="482" w:firstLineChars="200"/>
              <w:contextualSpacing/>
              <w:outlineLvl w:val="0"/>
              <w:rPr>
                <w:rFonts w:ascii="宋体" w:hAnsi="宋体"/>
                <w:b/>
                <w:bCs/>
                <w:color w:val="000000"/>
                <w:kern w:val="0"/>
                <w:sz w:val="24"/>
                <w:szCs w:val="24"/>
              </w:rPr>
            </w:pPr>
            <w:r>
              <w:rPr>
                <w:rFonts w:hint="eastAsia" w:ascii="宋体" w:hAnsi="宋体"/>
                <w:b/>
                <w:bCs/>
                <w:color w:val="000000"/>
                <w:kern w:val="0"/>
                <w:sz w:val="24"/>
                <w:szCs w:val="24"/>
              </w:rPr>
              <w:t>招标控制价由招标人依据国家计价规范、《河南省建设工程工程量清单招标控制价管理规定》、河南省现行计价依据的规定编制。</w:t>
            </w:r>
          </w:p>
          <w:p>
            <w:pPr>
              <w:spacing w:line="460" w:lineRule="exact"/>
              <w:ind w:firstLine="236" w:firstLineChars="98"/>
              <w:contextualSpacing/>
              <w:outlineLvl w:val="0"/>
              <w:rPr>
                <w:rFonts w:ascii="宋体" w:hAnsi="宋体"/>
                <w:b/>
                <w:bCs/>
                <w:color w:val="000000"/>
                <w:kern w:val="0"/>
                <w:sz w:val="24"/>
                <w:szCs w:val="24"/>
              </w:rPr>
            </w:pPr>
            <w:bookmarkStart w:id="29" w:name="_Toc13776"/>
            <w:r>
              <w:rPr>
                <w:rFonts w:hint="eastAsia" w:ascii="宋体" w:hAnsi="宋体"/>
                <w:b/>
                <w:bCs/>
                <w:color w:val="000000"/>
                <w:kern w:val="0"/>
                <w:sz w:val="24"/>
                <w:szCs w:val="24"/>
              </w:rPr>
              <w:t>凡投标人的投标总报价高于招标控制价（不含等于“招标控制价”）的，该投标人的投标文件应予拒绝。</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r>
              <w:rPr>
                <w:rFonts w:hint="eastAsia"/>
                <w:sz w:val="24"/>
                <w:szCs w:val="24"/>
              </w:rPr>
              <w:t>10.4</w:t>
            </w:r>
            <w:r>
              <w:rPr>
                <w:rFonts w:hint="eastAsia" w:ascii="宋体" w:hAnsi="宋体"/>
                <w:sz w:val="24"/>
                <w:szCs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rPr>
                <w:rFonts w:ascii="宋体" w:hAnsi="宋体" w:cs="TimesNewRomanPSMT"/>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spacing w:line="440" w:lineRule="exact"/>
              <w:ind w:firstLine="602" w:firstLineChars="250"/>
              <w:contextualSpacing/>
              <w:rPr>
                <w:rFonts w:ascii="宋体" w:hAnsi="宋体" w:cs="仿宋_GB2312"/>
                <w:b/>
                <w:bCs/>
                <w:kern w:val="0"/>
                <w:sz w:val="24"/>
                <w:szCs w:val="24"/>
              </w:rPr>
            </w:pPr>
            <w:r>
              <w:rPr>
                <w:rFonts w:hint="eastAsia" w:hAnsi="宋体" w:cs="宋体"/>
                <w:b/>
                <w:bCs/>
                <w:color w:val="000000"/>
                <w:sz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color w:val="000000"/>
                <w:sz w:val="24"/>
                <w:szCs w:val="24"/>
              </w:rPr>
            </w:pPr>
            <w:r>
              <w:rPr>
                <w:rFonts w:hint="eastAsia"/>
                <w:color w:val="000000"/>
                <w:sz w:val="24"/>
                <w:szCs w:val="24"/>
              </w:rPr>
              <w:t>10.5</w:t>
            </w:r>
            <w:r>
              <w:rPr>
                <w:rFonts w:hint="eastAsia" w:ascii="宋体" w:hAnsi="宋体"/>
                <w:color w:val="000000"/>
                <w:sz w:val="24"/>
                <w:szCs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sz w:val="24"/>
                <w:szCs w:val="24"/>
              </w:rPr>
            </w:pPr>
            <w:r>
              <w:rPr>
                <w:rFonts w:hint="eastAsia" w:ascii="宋体" w:hAnsi="宋体"/>
                <w:sz w:val="24"/>
                <w:szCs w:val="24"/>
              </w:rPr>
              <w:t>1、在中标通知书发出前，招标人将中标候选人的情况在《河南省电子招标投标公共服务平台》、《全国公共资源交易平台(河南省</w:t>
            </w:r>
            <w:r>
              <w:rPr>
                <w:rFonts w:hint="eastAsia" w:ascii="MS Mincho" w:hAnsi="MS Mincho" w:eastAsia="MS Mincho" w:cs="MS Mincho"/>
                <w:sz w:val="24"/>
                <w:szCs w:val="24"/>
              </w:rPr>
              <w:t>▪</w:t>
            </w:r>
            <w:r>
              <w:rPr>
                <w:rFonts w:hint="eastAsia" w:ascii="宋体" w:hAnsi="宋体" w:cs="宋体"/>
                <w:sz w:val="24"/>
                <w:szCs w:val="24"/>
              </w:rPr>
              <w:t>许昌市</w:t>
            </w:r>
            <w:r>
              <w:rPr>
                <w:rFonts w:hint="eastAsia" w:ascii="宋体" w:hAnsi="宋体"/>
                <w:sz w:val="24"/>
                <w:szCs w:val="24"/>
              </w:rPr>
              <w:t>)》和《长葛市人民政府门户网站》予以公示，公示期不少于3日。</w:t>
            </w:r>
          </w:p>
          <w:p>
            <w:pPr>
              <w:spacing w:line="460" w:lineRule="exact"/>
              <w:contextualSpacing/>
              <w:rPr>
                <w:rFonts w:ascii="宋体" w:hAnsi="宋体"/>
                <w:sz w:val="24"/>
                <w:szCs w:val="24"/>
              </w:rPr>
            </w:pPr>
            <w:r>
              <w:rPr>
                <w:rFonts w:hint="eastAsia" w:ascii="宋体" w:hAnsi="宋体"/>
                <w:sz w:val="24"/>
                <w:szCs w:val="24"/>
              </w:rPr>
              <w:t>2、关于排名第一的中标候选人资格核验：排名第一的中标候选人，应当在评标结果公示期满且无异议后的5个工作日内，其在投标文件中约定的拟任项目经理，持以下证明材料，到项目招标单位接受资格核验：1、注册建造师证原件、身份证原件；2、投标文件中列明的所有证书、证件、证明材料原件（包括资质资格、业绩、社保等）。审核结果的真实性由招标人负责，并将结果（由招标人法定代表人签字并加盖单位公章）书面告知公共资源交易中心业务科室，业务科室依据核验结果按照相关程序协助招标人发出中标通知书。</w:t>
            </w:r>
          </w:p>
          <w:p>
            <w:pPr>
              <w:spacing w:line="460" w:lineRule="exact"/>
              <w:contextualSpacing/>
              <w:rPr>
                <w:rFonts w:ascii="宋体" w:hAnsi="宋体"/>
                <w:b/>
                <w:sz w:val="24"/>
                <w:szCs w:val="24"/>
              </w:rPr>
            </w:pPr>
            <w:r>
              <w:rPr>
                <w:rFonts w:hint="eastAsia" w:ascii="宋体" w:hAnsi="宋体"/>
                <w:b/>
                <w:sz w:val="24"/>
                <w:szCs w:val="24"/>
              </w:rPr>
              <w:t>核验中发现其存在弄虚作假、围标串标、挂靠借用资质等骗取中标行为的；或者被查实存在影响中标结果的违法行为等情形，不符合中标条件的；或逾期未按约定接受核验（视为放弃中标）的，招标人有权取消其中标资格。招标人将经法定代表人签字并加盖单位公章的核验结果书面告知公共资源交易中心业务科室和公管办监管股。</w:t>
            </w:r>
          </w:p>
          <w:p>
            <w:pPr>
              <w:spacing w:line="460" w:lineRule="exact"/>
              <w:contextualSpacing/>
              <w:rPr>
                <w:b/>
                <w:bCs/>
                <w:sz w:val="24"/>
                <w:szCs w:val="24"/>
              </w:rPr>
            </w:pPr>
            <w:r>
              <w:rPr>
                <w:rFonts w:hint="eastAsia" w:ascii="宋体" w:hAnsi="宋体"/>
                <w:b/>
                <w:sz w:val="24"/>
                <w:szCs w:val="24"/>
              </w:rPr>
              <w:t>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240" w:hanging="240" w:hangingChars="100"/>
              <w:contextualSpacing/>
              <w:rPr>
                <w:color w:val="000000"/>
                <w:sz w:val="24"/>
                <w:szCs w:val="24"/>
              </w:rPr>
            </w:pPr>
            <w:r>
              <w:rPr>
                <w:rFonts w:hint="eastAsia"/>
                <w:color w:val="000000"/>
                <w:sz w:val="24"/>
                <w:szCs w:val="24"/>
              </w:rPr>
              <w:t>10.6</w:t>
            </w:r>
            <w:r>
              <w:rPr>
                <w:rFonts w:hint="eastAsia" w:ascii="宋体" w:hAnsi="宋体"/>
                <w:color w:val="000000"/>
                <w:sz w:val="24"/>
                <w:szCs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10.7</w:t>
            </w:r>
            <w:r>
              <w:rPr>
                <w:rFonts w:hint="eastAsia" w:ascii="宋体" w:hAnsi="宋体"/>
                <w:color w:val="000000"/>
                <w:sz w:val="24"/>
                <w:szCs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除投标人须知正文第8</w:t>
            </w:r>
            <w:r>
              <w:rPr>
                <w:rFonts w:hint="eastAsia" w:ascii="宋体" w:hAnsi="宋体"/>
                <w:color w:val="000000"/>
                <w:sz w:val="24"/>
                <w:szCs w:val="24"/>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ind w:hanging="240"/>
              <w:contextualSpacing/>
              <w:rPr>
                <w:color w:val="000000"/>
                <w:sz w:val="24"/>
                <w:szCs w:val="24"/>
              </w:rPr>
            </w:pPr>
            <w:r>
              <w:rPr>
                <w:rFonts w:hint="eastAsia"/>
                <w:color w:val="000000"/>
                <w:sz w:val="24"/>
                <w:szCs w:val="24"/>
              </w:rPr>
              <w:t>10.8</w:t>
            </w:r>
            <w:r>
              <w:rPr>
                <w:rFonts w:hint="eastAsia" w:ascii="宋体" w:hAnsi="宋体"/>
                <w:color w:val="000000"/>
                <w:sz w:val="24"/>
                <w:szCs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ind w:left="240" w:hanging="240"/>
              <w:contextualSpacing/>
              <w:rPr>
                <w:color w:val="000000"/>
                <w:sz w:val="24"/>
                <w:szCs w:val="24"/>
              </w:rPr>
            </w:pPr>
            <w:r>
              <w:rPr>
                <w:rFonts w:hint="eastAsia"/>
                <w:color w:val="000000"/>
                <w:sz w:val="24"/>
                <w:szCs w:val="24"/>
              </w:rPr>
              <w:t>10.9</w:t>
            </w:r>
            <w:r>
              <w:rPr>
                <w:rFonts w:hint="eastAsia" w:ascii="宋体" w:hAnsi="宋体"/>
                <w:color w:val="000000"/>
                <w:sz w:val="24"/>
                <w:szCs w:val="24"/>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本项目的招标投标活动及其相关当事人应当接受有管辖权的招标投标行政监督部门依法实施的监督。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ind w:left="240" w:hanging="240"/>
              <w:contextualSpacing/>
              <w:rPr>
                <w:color w:val="000000"/>
                <w:sz w:val="24"/>
                <w:szCs w:val="24"/>
              </w:rPr>
            </w:pPr>
            <w:r>
              <w:rPr>
                <w:rFonts w:hint="eastAsia"/>
                <w:color w:val="000000"/>
                <w:sz w:val="24"/>
                <w:szCs w:val="24"/>
              </w:rPr>
              <w:t>10.10</w:t>
            </w:r>
            <w:r>
              <w:rPr>
                <w:rFonts w:hint="eastAsia" w:ascii="宋体" w:hAnsi="宋体"/>
                <w:color w:val="000000"/>
                <w:sz w:val="24"/>
                <w:szCs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spacing w:line="450" w:lineRule="exact"/>
              <w:contextualSpacing/>
              <w:rPr>
                <w:color w:val="000000"/>
                <w:sz w:val="24"/>
                <w:szCs w:val="24"/>
              </w:rPr>
            </w:pPr>
            <w:r>
              <w:rPr>
                <w:rFonts w:hint="eastAsia"/>
                <w:color w:val="000000"/>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contextualSpacing/>
              <w:jc w:val="left"/>
              <w:rPr>
                <w:sz w:val="24"/>
                <w:szCs w:val="24"/>
              </w:rPr>
            </w:pPr>
            <w:r>
              <w:rPr>
                <w:rFonts w:hint="eastAsia"/>
                <w:sz w:val="24"/>
                <w:szCs w:val="24"/>
              </w:rPr>
              <w:t>10.11</w:t>
            </w:r>
            <w:r>
              <w:rPr>
                <w:rFonts w:hint="eastAsia" w:ascii="宋体" w:hAnsi="宋体"/>
                <w:kern w:val="0"/>
                <w:sz w:val="24"/>
                <w:szCs w:val="24"/>
              </w:rPr>
              <w:t>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sz w:val="24"/>
                <w:szCs w:val="24"/>
              </w:rPr>
            </w:pPr>
          </w:p>
        </w:tc>
        <w:tc>
          <w:tcPr>
            <w:tcW w:w="7546" w:type="dxa"/>
            <w:gridSpan w:val="3"/>
            <w:tcBorders>
              <w:top w:val="single" w:color="auto" w:sz="4" w:space="0"/>
              <w:left w:val="nil"/>
              <w:bottom w:val="single" w:color="auto" w:sz="4" w:space="0"/>
              <w:right w:val="single" w:color="auto" w:sz="4" w:space="0"/>
            </w:tcBorders>
            <w:vAlign w:val="center"/>
          </w:tcPr>
          <w:p>
            <w:pPr>
              <w:autoSpaceDE w:val="0"/>
              <w:autoSpaceDN w:val="0"/>
              <w:spacing w:line="450" w:lineRule="exact"/>
              <w:contextualSpacing/>
              <w:jc w:val="left"/>
              <w:outlineLvl w:val="0"/>
              <w:rPr>
                <w:rFonts w:hAnsi="宋体" w:cs="宋体"/>
                <w:color w:val="000000"/>
                <w:sz w:val="24"/>
              </w:rPr>
            </w:pPr>
            <w:r>
              <w:rPr>
                <w:rFonts w:hint="eastAsia" w:hAnsi="宋体" w:cs="宋体"/>
                <w:color w:val="000000"/>
                <w:sz w:val="24"/>
              </w:rPr>
              <w:t>1、未成功</w:t>
            </w:r>
            <w:r>
              <w:rPr>
                <w:rFonts w:hint="eastAsia" w:hAnsi="宋体" w:cs="宋体"/>
                <w:sz w:val="24"/>
              </w:rPr>
              <w:t>上传的投标文件</w:t>
            </w:r>
            <w:r>
              <w:rPr>
                <w:rFonts w:hint="eastAsia" w:hAnsi="宋体" w:cs="宋体"/>
                <w:color w:val="000000"/>
                <w:sz w:val="24"/>
              </w:rPr>
              <w:t>；</w:t>
            </w:r>
          </w:p>
          <w:p>
            <w:pPr>
              <w:autoSpaceDE w:val="0"/>
              <w:autoSpaceDN w:val="0"/>
              <w:spacing w:line="450" w:lineRule="exact"/>
              <w:contextualSpacing/>
              <w:jc w:val="left"/>
              <w:outlineLvl w:val="0"/>
              <w:rPr>
                <w:rFonts w:ascii="新宋体" w:hAnsi="新宋体" w:eastAsia="新宋体" w:cs="宋体"/>
                <w:kern w:val="0"/>
                <w:sz w:val="24"/>
                <w:szCs w:val="24"/>
              </w:rPr>
            </w:pPr>
            <w:r>
              <w:rPr>
                <w:rFonts w:hint="eastAsia" w:hAnsi="宋体" w:cs="宋体"/>
                <w:color w:val="000000"/>
                <w:sz w:val="24"/>
              </w:rPr>
              <w:t>2、</w:t>
            </w:r>
            <w:r>
              <w:rPr>
                <w:rFonts w:hint="eastAsia" w:hAnsi="宋体" w:cs="宋体"/>
                <w:sz w:val="24"/>
              </w:rPr>
              <w:t>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contextualSpacing/>
              <w:jc w:val="left"/>
              <w:outlineLvl w:val="0"/>
              <w:rPr>
                <w:rFonts w:ascii="新宋体" w:hAnsi="新宋体" w:eastAsia="新宋体" w:cs="宋体"/>
                <w:kern w:val="0"/>
                <w:sz w:val="24"/>
                <w:szCs w:val="24"/>
              </w:rPr>
            </w:pPr>
            <w:bookmarkStart w:id="30" w:name="_Toc464824557"/>
            <w:r>
              <w:rPr>
                <w:rFonts w:hint="eastAsia" w:ascii="新宋体" w:hAnsi="新宋体" w:eastAsia="新宋体" w:cs="宋体"/>
                <w:kern w:val="0"/>
                <w:sz w:val="24"/>
                <w:szCs w:val="24"/>
              </w:rPr>
              <w:t>10.12招标代理费</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contextualSpacing/>
              <w:jc w:val="left"/>
              <w:outlineLvl w:val="0"/>
              <w:rPr>
                <w:rFonts w:ascii="新宋体" w:hAnsi="新宋体" w:eastAsia="新宋体" w:cs="宋体"/>
                <w:kern w:val="0"/>
                <w:sz w:val="24"/>
                <w:szCs w:val="24"/>
              </w:rPr>
            </w:pPr>
            <w:bookmarkStart w:id="31" w:name="_Toc5119"/>
            <w:r>
              <w:rPr>
                <w:sz w:val="24"/>
                <w:szCs w:val="24"/>
              </w:rPr>
              <w:t>由</w:t>
            </w:r>
            <w:bookmarkEnd w:id="31"/>
            <w:r>
              <w:rPr>
                <w:rFonts w:hint="eastAsia"/>
                <w:sz w:val="24"/>
                <w:szCs w:val="24"/>
              </w:rPr>
              <w:t>中标</w:t>
            </w:r>
            <w:r>
              <w:rPr>
                <w:sz w:val="24"/>
                <w:szCs w:val="24"/>
              </w:rPr>
              <w:t>人</w:t>
            </w:r>
            <w:r>
              <w:rPr>
                <w:rFonts w:hint="eastAsia"/>
                <w:sz w:val="24"/>
                <w:szCs w:val="24"/>
              </w:rPr>
              <w:t>向招标代理机构</w:t>
            </w:r>
            <w:r>
              <w:rPr>
                <w:sz w:val="24"/>
                <w:szCs w:val="24"/>
              </w:rPr>
              <w:t>支付</w:t>
            </w:r>
            <w:r>
              <w:rPr>
                <w:rFonts w:hint="eastAsia"/>
                <w:sz w:val="24"/>
                <w:szCs w:val="24"/>
              </w:rPr>
              <w:t>服务费及相关费用</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85" w:type="dxa"/>
            <w:gridSpan w:val="6"/>
            <w:tcBorders>
              <w:top w:val="single" w:color="auto" w:sz="4" w:space="0"/>
              <w:left w:val="single" w:color="auto" w:sz="4" w:space="0"/>
              <w:bottom w:val="single" w:color="auto" w:sz="4" w:space="0"/>
              <w:right w:val="single" w:color="auto" w:sz="4" w:space="0"/>
            </w:tcBorders>
          </w:tcPr>
          <w:p>
            <w:pPr>
              <w:autoSpaceDE w:val="0"/>
              <w:autoSpaceDN w:val="0"/>
              <w:spacing w:line="450" w:lineRule="exact"/>
              <w:contextualSpacing/>
              <w:jc w:val="left"/>
              <w:outlineLvl w:val="0"/>
              <w:rPr>
                <w:rFonts w:ascii="新宋体" w:hAnsi="新宋体" w:eastAsia="新宋体" w:cs="宋体"/>
                <w:kern w:val="0"/>
                <w:sz w:val="24"/>
                <w:szCs w:val="24"/>
              </w:rPr>
            </w:pPr>
            <w:bookmarkStart w:id="32" w:name="_Toc464824559"/>
            <w:r>
              <w:rPr>
                <w:rFonts w:hint="eastAsia" w:ascii="新宋体" w:hAnsi="新宋体" w:eastAsia="新宋体"/>
                <w:sz w:val="24"/>
                <w:szCs w:val="24"/>
              </w:rPr>
              <w:t>10.13招标文件费</w:t>
            </w:r>
            <w:bookmarkEnd w:id="32"/>
            <w:r>
              <w:rPr>
                <w:rFonts w:hint="eastAsia" w:ascii="新宋体" w:hAnsi="新宋体" w:eastAsia="新宋体"/>
                <w:sz w:val="24"/>
                <w:szCs w:val="24"/>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rFonts w:ascii="宋体" w:hAnsi="宋体"/>
                <w:sz w:val="24"/>
                <w:szCs w:val="24"/>
              </w:rPr>
            </w:pPr>
          </w:p>
        </w:tc>
        <w:tc>
          <w:tcPr>
            <w:tcW w:w="7546" w:type="dxa"/>
            <w:gridSpan w:val="3"/>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ascii="宋体" w:hAnsi="宋体"/>
                <w:sz w:val="24"/>
                <w:szCs w:val="24"/>
              </w:rPr>
            </w:pPr>
            <w:bookmarkStart w:id="33" w:name="_Toc464824560"/>
            <w:r>
              <w:rPr>
                <w:rFonts w:hint="eastAsia" w:ascii="宋体" w:hAnsi="宋体"/>
                <w:sz w:val="24"/>
                <w:szCs w:val="24"/>
              </w:rPr>
              <w:t>1、招标文件费用</w:t>
            </w:r>
            <w:bookmarkEnd w:id="33"/>
            <w:r>
              <w:rPr>
                <w:rFonts w:ascii="宋体" w:hAnsi="宋体"/>
                <w:sz w:val="24"/>
                <w:szCs w:val="24"/>
              </w:rPr>
              <w:t>3</w:t>
            </w:r>
            <w:r>
              <w:rPr>
                <w:rFonts w:hint="eastAsia" w:ascii="宋体" w:hAnsi="宋体"/>
                <w:sz w:val="24"/>
                <w:szCs w:val="24"/>
              </w:rPr>
              <w:t>00元/套，售后不退；</w:t>
            </w:r>
          </w:p>
          <w:p>
            <w:pPr>
              <w:autoSpaceDE w:val="0"/>
              <w:autoSpaceDN w:val="0"/>
              <w:spacing w:line="460" w:lineRule="exact"/>
              <w:contextualSpacing/>
              <w:jc w:val="left"/>
              <w:outlineLvl w:val="0"/>
              <w:rPr>
                <w:rFonts w:ascii="宋体" w:hAnsi="宋体"/>
                <w:sz w:val="24"/>
                <w:szCs w:val="24"/>
              </w:rPr>
            </w:pPr>
            <w:r>
              <w:rPr>
                <w:rFonts w:hint="eastAsia" w:hAnsi="宋体"/>
                <w:sz w:val="24"/>
                <w:szCs w:val="24"/>
              </w:rPr>
              <w:t>2、投标人于开标结束后转账至支付宝账户：</w:t>
            </w:r>
            <w:r>
              <w:rPr>
                <w:rFonts w:hint="eastAsia" w:ascii="宋体" w:hAnsi="宋体"/>
                <w:sz w:val="24"/>
                <w:szCs w:val="24"/>
              </w:rPr>
              <w:t>18737467892</w:t>
            </w:r>
            <w:r>
              <w:rPr>
                <w:rFonts w:hint="eastAsia" w:hAnsi="宋体"/>
                <w:sz w:val="24"/>
                <w:szCs w:val="24"/>
              </w:rPr>
              <w:t>（转账时请注明项目编号、标段及公司名称）。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仿宋_GB2312"/>
                <w:b/>
                <w:bCs/>
                <w:kern w:val="0"/>
                <w:sz w:val="24"/>
                <w:szCs w:val="24"/>
              </w:rPr>
            </w:pPr>
            <w:bookmarkStart w:id="34" w:name="_Toc397507523"/>
            <w:r>
              <w:rPr>
                <w:rFonts w:hint="eastAsia" w:ascii="宋体" w:hAnsi="宋体" w:cs="仿宋_GB2312"/>
                <w:b/>
                <w:bCs/>
                <w:kern w:val="0"/>
                <w:sz w:val="24"/>
                <w:szCs w:val="24"/>
              </w:rPr>
              <w:t xml:space="preserve">10.14 </w:t>
            </w:r>
            <w:bookmarkEnd w:id="34"/>
            <w:r>
              <w:rPr>
                <w:rFonts w:hint="eastAsia" w:ascii="宋体" w:hAnsi="宋体"/>
                <w:b/>
                <w:bCs/>
                <w:sz w:val="24"/>
                <w:szCs w:val="24"/>
              </w:rPr>
              <w:t>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2"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contextualSpacing/>
              <w:rPr>
                <w:b/>
                <w:bCs/>
                <w:sz w:val="24"/>
                <w:szCs w:val="24"/>
              </w:rPr>
            </w:pPr>
          </w:p>
        </w:tc>
        <w:tc>
          <w:tcPr>
            <w:tcW w:w="7343" w:type="dxa"/>
            <w:gridSpan w:val="2"/>
            <w:tcBorders>
              <w:top w:val="single" w:color="auto" w:sz="4" w:space="0"/>
              <w:left w:val="nil"/>
              <w:bottom w:val="single" w:color="auto" w:sz="4" w:space="0"/>
              <w:right w:val="single" w:color="auto" w:sz="4" w:space="0"/>
            </w:tcBorders>
          </w:tcPr>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开户行：中国工商银行股份有限公司长葛支行</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户  名：长葛市公共资源交易中心</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账  号：1708026029200151795</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履约担保的金额：中标金额的10%</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注：履约担保缴纳时需备注项目编号：</w:t>
            </w:r>
          </w:p>
          <w:p>
            <w:pPr>
              <w:autoSpaceDE w:val="0"/>
              <w:autoSpaceDN w:val="0"/>
              <w:spacing w:line="460" w:lineRule="exact"/>
              <w:contextualSpacing/>
              <w:jc w:val="left"/>
              <w:outlineLvl w:val="0"/>
              <w:rPr>
                <w:rFonts w:ascii="宋体" w:hAnsi="宋体" w:cs="仿宋_GB2312"/>
                <w:b/>
                <w:bCs/>
                <w:kern w:val="0"/>
                <w:sz w:val="24"/>
                <w:szCs w:val="24"/>
              </w:rPr>
            </w:pPr>
            <w:r>
              <w:rPr>
                <w:rFonts w:hint="eastAsia" w:ascii="宋体" w:hAnsi="宋体" w:cs="仿宋_GB2312"/>
                <w:b/>
                <w:bCs/>
                <w:kern w:val="0"/>
                <w:sz w:val="24"/>
                <w:szCs w:val="24"/>
              </w:rPr>
              <w:t>长交建【2020】GZ</w:t>
            </w:r>
            <w:r>
              <w:rPr>
                <w:rFonts w:hint="eastAsia" w:ascii="宋体" w:hAnsi="宋体" w:cs="仿宋_GB2312"/>
                <w:b/>
                <w:bCs/>
                <w:kern w:val="0"/>
                <w:sz w:val="24"/>
                <w:szCs w:val="24"/>
                <w:u w:val="single"/>
              </w:rPr>
              <w:t xml:space="preserve">     </w:t>
            </w:r>
            <w:r>
              <w:rPr>
                <w:rFonts w:hint="eastAsia" w:ascii="宋体" w:hAnsi="宋体" w:cs="仿宋_GB2312"/>
                <w:b/>
                <w:bCs/>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10.15招标人、投标人不得有下列行为：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《中华人民共和国招标投标法》第三十二条：</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《中华人民共和国招标投标法》第三十三条：</w:t>
            </w:r>
            <w:r>
              <w:rPr>
                <w:rFonts w:hint="eastAsia" w:ascii="宋体" w:hAnsi="宋体" w:cs="仿宋_GB2312"/>
                <w:kern w:val="0"/>
                <w:sz w:val="24"/>
                <w:szCs w:val="24"/>
              </w:rPr>
              <w:t>投标人不得以低于成本的报价竞标，也不得以他人名义投标或者以其他方式弄虚作假，骗取中标。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b/>
                <w:bCs/>
                <w:kern w:val="0"/>
                <w:sz w:val="24"/>
                <w:szCs w:val="24"/>
              </w:rPr>
              <w:t>《中华人民共和国招标投标法实施条例》第三十九条：</w:t>
            </w:r>
            <w:r>
              <w:rPr>
                <w:rFonts w:hint="eastAsia" w:ascii="宋体" w:hAnsi="宋体" w:cs="仿宋_GB2312"/>
                <w:kern w:val="0"/>
                <w:sz w:val="24"/>
                <w:szCs w:val="24"/>
              </w:rPr>
              <w:t>禁止投标人相互串通投标，有下列情形之一的，属于投标人相互串通投标：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（一）投标人之间协商投标报价等投标文件的实质性内容；</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（二）投标人之间约定中标人；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（三）投标人之间约定部分投标人放弃投标或者中标；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（四）属于同一集团、协会、商会等组织成员的投标人按照该组织要求协同投标；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（五）投标人之间为谋取中标或者排斥特定投标人而采取的其他联合行动。</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《中华人民共和国招标投标法实施条例》第四十条：</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有下列情形之一的，视为投标人相互串通投标：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（一）不同投标人的投标文件由同一单位或者个人编制；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（二）不同投标人委托同一单位或者个人办理投标事宜；</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（三）不同投标人的投标文件载明的项目管理成员为同一人；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（四）不同投标人的投标文件异常一致或者投标报价呈规律性差异；</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（五）不同投标人的投标文件相互混装；</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（六）不同投标人的投标保证金从同一单位或者个人的账户转出。</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《中华人民共和国招标投标法实施条例》第四十一条：</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禁止招标人与投标人串通投标。</w:t>
            </w:r>
          </w:p>
          <w:p>
            <w:pPr>
              <w:autoSpaceDE w:val="0"/>
              <w:autoSpaceDN w:val="0"/>
              <w:spacing w:line="440" w:lineRule="exact"/>
              <w:ind w:firstLine="120" w:firstLineChars="50"/>
              <w:contextualSpacing/>
              <w:rPr>
                <w:rFonts w:ascii="宋体" w:hAnsi="宋体" w:cs="仿宋_GB2312"/>
                <w:kern w:val="0"/>
                <w:sz w:val="24"/>
                <w:szCs w:val="24"/>
              </w:rPr>
            </w:pPr>
            <w:r>
              <w:rPr>
                <w:rFonts w:hint="eastAsia" w:ascii="宋体" w:hAnsi="宋体" w:cs="仿宋_GB2312"/>
                <w:kern w:val="0"/>
                <w:sz w:val="24"/>
                <w:szCs w:val="24"/>
              </w:rPr>
              <w:t>有下列情形之一的，属于招标人与投标人串通投标：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（一）招标人在开标前开启投标文件并将有关信息泄露给其他投标人;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（二）招标人直接或者间接向投标人泄露标底、评标委员会成员等信息；</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（三）招标人明示或者暗示投标人压低或者抬高投标报价；</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（四）招标人授意投标人撤换、修改投标文件；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（五）招标人明示或者暗示投标人为特定投标人中标提供方便；</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（六）招标人与投标人为谋求特定投标人中标而采取的其他串通行为。</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《中华人民共和国招标投标法实施条例》第四十二条：</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使用通过受让或者租借等方式获取的资格、资质证书投标的，属于招标投标法第三十三条规定的以他人名义投标。</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投标人有下列情形之一的，属于招标投标法第三十三条规定的以其他方式弄虚作假的行为：</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（一）使用伪造、变造的许可证件；</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（二）提供虚假的财务状况或者业绩；</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（三）提供虚假的项目负责人或者主要技术人员简历、劳动关系证明；</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（四）提供虚假的信用状况；</w:t>
            </w:r>
          </w:p>
          <w:p>
            <w:pPr>
              <w:autoSpaceDE w:val="0"/>
              <w:autoSpaceDN w:val="0"/>
              <w:spacing w:line="440" w:lineRule="exact"/>
              <w:contextualSpacing/>
              <w:rPr>
                <w:rFonts w:ascii="宋体" w:hAnsi="宋体" w:cs="仿宋_GB2312"/>
                <w:kern w:val="0"/>
                <w:sz w:val="24"/>
                <w:szCs w:val="24"/>
              </w:rPr>
            </w:pPr>
            <w:r>
              <w:rPr>
                <w:rFonts w:hint="eastAsia" w:ascii="宋体" w:hAnsi="宋体" w:cs="仿宋_GB2312"/>
                <w:kern w:val="0"/>
                <w:sz w:val="24"/>
                <w:szCs w:val="24"/>
              </w:rPr>
              <w:t>（五）其他弄虚作假的行为。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ascii="宋体" w:hAnsi="宋体" w:cs="仿宋_GB2312"/>
                <w:b/>
                <w:bCs/>
                <w:kern w:val="0"/>
                <w:sz w:val="24"/>
                <w:szCs w:val="24"/>
              </w:rPr>
            </w:pPr>
            <w:r>
              <w:rPr>
                <w:rFonts w:hint="eastAsia" w:ascii="宋体" w:hAnsi="宋体" w:cs="仿宋_GB2312"/>
                <w:b/>
                <w:bCs/>
                <w:kern w:val="0"/>
                <w:sz w:val="24"/>
                <w:szCs w:val="24"/>
              </w:rPr>
              <w:t>10.16 特别提醒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9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rPr>
                <w:rFonts w:ascii="宋体" w:hAnsi="宋体" w:cs="仿宋_GB2312"/>
                <w:b/>
                <w:bCs/>
                <w:kern w:val="0"/>
                <w:sz w:val="24"/>
                <w:szCs w:val="24"/>
              </w:rPr>
            </w:pPr>
          </w:p>
        </w:tc>
        <w:tc>
          <w:tcPr>
            <w:tcW w:w="7588" w:type="dxa"/>
            <w:gridSpan w:val="4"/>
            <w:tcBorders>
              <w:top w:val="single" w:color="auto" w:sz="4" w:space="0"/>
              <w:left w:val="nil"/>
              <w:bottom w:val="single" w:color="auto" w:sz="4" w:space="0"/>
              <w:right w:val="single" w:color="auto" w:sz="4" w:space="0"/>
            </w:tcBorders>
            <w:vAlign w:val="center"/>
          </w:tcPr>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中标人应当按合同约定履行义务，完成中标项目。中标人不得向他人转让中标项目，也不得将中标项目肢解后分别向他人转让。</w:t>
            </w:r>
          </w:p>
          <w:p>
            <w:pPr>
              <w:autoSpaceDE w:val="0"/>
              <w:autoSpaceDN w:val="0"/>
              <w:spacing w:line="440" w:lineRule="exact"/>
              <w:contextualSpacing/>
              <w:rPr>
                <w:rFonts w:ascii="宋体" w:hAnsi="宋体" w:cs="仿宋_GB2312"/>
                <w:b/>
                <w:bCs/>
                <w:kern w:val="0"/>
                <w:sz w:val="24"/>
                <w:szCs w:val="24"/>
              </w:rPr>
            </w:pPr>
            <w:r>
              <w:rPr>
                <w:rFonts w:hint="eastAsia" w:ascii="宋体" w:hAnsi="宋体" w:cs="仿宋_GB2312"/>
                <w:b/>
                <w:bCs/>
                <w:kern w:val="0"/>
                <w:sz w:val="24"/>
                <w:szCs w:val="24"/>
              </w:rPr>
              <w:t>投标人应作出“不挂靠、不转包、不违法分包”的专项承诺。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hAnsi="宋体"/>
                <w:sz w:val="24"/>
                <w:szCs w:val="24"/>
              </w:rPr>
            </w:pPr>
            <w:r>
              <w:rPr>
                <w:rFonts w:hint="eastAsia" w:hAnsi="宋体"/>
                <w:b/>
                <w:bCs/>
                <w:sz w:val="24"/>
                <w:szCs w:val="24"/>
              </w:rPr>
              <w:t>特别提示</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3、投标人在投标截止时间前应随时关注《全国公共资源交易平台（河南省·许昌市）》公共资源交易系统发出的有关本项目的答疑、修改等相关内容。</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240" w:firstLineChars="100"/>
              <w:rPr>
                <w:rFonts w:hAnsi="宋体" w:cs="宋体"/>
                <w:color w:val="000000"/>
                <w:sz w:val="24"/>
              </w:rPr>
            </w:pPr>
            <w:r>
              <w:rPr>
                <w:rFonts w:hint="eastAsia" w:hAnsi="宋体" w:cs="宋体"/>
                <w:color w:val="000000"/>
                <w:sz w:val="24"/>
              </w:rPr>
              <w:t>5、招标人及其代理机构需留存项目电子档案时，可在质疑期满后使用</w:t>
            </w:r>
            <w:r>
              <w:rPr>
                <w:rFonts w:hAnsi="宋体" w:cs="宋体"/>
                <w:color w:val="000000"/>
                <w:sz w:val="24"/>
              </w:rPr>
              <w:t>CA锁从交易平台自行下载。</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6、商务标投标文件制作注意事项：</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6.1 投标人登录《全国公共资源交易平台（河南省·许昌市）》公共资源交易系统下载“许昌投标文件制作系统SEARUN V1.1”和操作手册（工程项目），按招标文件要求制作商务标投标文件。</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6.2 商务标投标文件制作技术咨询：0374-2961598。</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6.3投标人应在投标文件递交的截止时间之前通过【全国公共资源交易平台（河南省·许昌市）】公共资源交易系统（http://www.xcggzy.gov.cn/）递交电子投标文件；</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6.4请投标人在上传电子投标文件时认真检查上传投标文件是否完整、正确。</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6.5加密电子投标文件逾期上传的，招标人不予受理。</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6.6投标</w:t>
            </w:r>
            <w:r>
              <w:rPr>
                <w:rFonts w:hint="eastAsia" w:hAnsi="宋体" w:cs="宋体"/>
                <w:sz w:val="24"/>
              </w:rPr>
              <w:t>人采用银行转账方式提交投标保证金的，</w:t>
            </w:r>
            <w:r>
              <w:rPr>
                <w:rFonts w:hint="eastAsia" w:hAnsi="宋体" w:cs="宋体"/>
                <w:color w:val="000000"/>
                <w:sz w:val="24"/>
              </w:rPr>
              <w:t>应在投标文件递交的截止时间之前按程序完成投标保证金绑定。</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7、投标人需提前熟悉招标文件相关事项及《许昌市不见面开标操作手册》，并设置不见面开标浏览器（设置流程详见《许昌市不见面开标操作手册》）。</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8、投标人上传、解密投标文件需使用同一个CA数字证书，需确保用于解密的CA数字证书在有效期内、可正常使用，并在规定时间内完成电子投标文件解密。评标时仅以成功上传、解密的投标文件为准。</w:t>
            </w:r>
          </w:p>
          <w:p>
            <w:pPr>
              <w:tabs>
                <w:tab w:val="left" w:pos="7095"/>
              </w:tabs>
              <w:spacing w:line="360" w:lineRule="auto"/>
              <w:ind w:firstLine="240" w:firstLineChars="100"/>
              <w:rPr>
                <w:rFonts w:hAnsi="宋体" w:cs="宋体"/>
                <w:color w:val="000000"/>
                <w:sz w:val="24"/>
              </w:rPr>
            </w:pPr>
            <w:r>
              <w:rPr>
                <w:rFonts w:hint="eastAsia" w:hAnsi="宋体" w:cs="宋体"/>
                <w:color w:val="000000"/>
                <w:sz w:val="24"/>
              </w:rPr>
              <w:t>9、对开标过程有关内容有异议（质疑）的，投标人可在本项目的不见面开标大厅通过“文字互动”功能或“新增质疑”处提出异议（质疑），招标人（代理机构）及时进行线上答复。</w:t>
            </w:r>
          </w:p>
          <w:p>
            <w:pPr>
              <w:tabs>
                <w:tab w:val="left" w:pos="7095"/>
              </w:tabs>
              <w:spacing w:line="360" w:lineRule="auto"/>
              <w:ind w:firstLine="240" w:firstLineChars="100"/>
              <w:rPr>
                <w:rFonts w:hAnsi="宋体" w:cs="宋体"/>
                <w:color w:val="000000"/>
                <w:sz w:val="24"/>
              </w:rPr>
            </w:pPr>
            <w:r>
              <w:rPr>
                <w:rFonts w:hint="eastAsia" w:hAnsi="宋体" w:cs="宋体"/>
                <w:color w:val="000000"/>
                <w:sz w:val="24"/>
              </w:rPr>
              <w:t>不见面开标活动结束时，投标人应在《开标记录表》上进行电子签章，未进行电子签章的视为对开标结果无异议。</w:t>
            </w:r>
          </w:p>
          <w:p>
            <w:pPr>
              <w:autoSpaceDE w:val="0"/>
              <w:autoSpaceDN w:val="0"/>
              <w:spacing w:line="360" w:lineRule="auto"/>
              <w:ind w:firstLine="240" w:firstLineChars="100"/>
              <w:jc w:val="left"/>
              <w:outlineLvl w:val="0"/>
              <w:rPr>
                <w:rFonts w:hAnsi="宋体" w:cs="宋体"/>
                <w:color w:val="000000"/>
                <w:sz w:val="24"/>
              </w:rPr>
            </w:pPr>
            <w:r>
              <w:rPr>
                <w:rFonts w:hint="eastAsia" w:hAnsi="宋体" w:cs="宋体"/>
                <w:color w:val="000000"/>
                <w:sz w:val="24"/>
              </w:rPr>
              <w:t>10、从参与项目交易开始至项目交易活动结束止，投标（响应）人应时刻关注电子交易系统中的项目进度和状</w:t>
            </w:r>
            <w:r>
              <w:rPr>
                <w:rFonts w:hint="eastAsia" w:hAnsi="宋体" w:cs="宋体"/>
                <w:sz w:val="24"/>
              </w:rPr>
              <w:t>态，特别在项目评审期间，保持投标文件提供的联系方式畅通，评标委员会随时可能对投标文件内容质询，投标人应及时进行答复（包括但不限于电子文档、电子邮件等）。由于自</w:t>
            </w:r>
            <w:r>
              <w:rPr>
                <w:rFonts w:hint="eastAsia" w:hAnsi="宋体" w:cs="宋体"/>
                <w:color w:val="000000"/>
                <w:sz w:val="24"/>
              </w:rPr>
              <w:t>身原因错过变更通知、文件澄清、报价响应（自系统发起30分钟内做出）等重要信息的，后果由投标（响应）人自行承担。</w:t>
            </w:r>
          </w:p>
          <w:p>
            <w:pPr>
              <w:autoSpaceDE w:val="0"/>
              <w:autoSpaceDN w:val="0"/>
              <w:spacing w:line="460" w:lineRule="exact"/>
              <w:ind w:firstLine="482" w:firstLineChars="200"/>
              <w:contextualSpacing/>
              <w:jc w:val="left"/>
              <w:outlineLvl w:val="0"/>
              <w:rPr>
                <w:rFonts w:ascii="黑体" w:hAnsi="黑体" w:eastAsia="黑体" w:cs="宋体"/>
                <w:b/>
                <w:bCs/>
                <w:color w:val="FF0000"/>
                <w:kern w:val="0"/>
                <w:sz w:val="24"/>
                <w:szCs w:val="24"/>
              </w:rPr>
            </w:pPr>
            <w:r>
              <w:rPr>
                <w:rFonts w:hint="eastAsia" w:hAnsi="宋体" w:cs="宋体"/>
                <w:b/>
                <w:color w:val="000000"/>
                <w:sz w:val="24"/>
              </w:rPr>
              <w:t>11、不同投标人电子投标文件制作硬件特征码（网卡MAC地址、CPU序号、硬盘序列号）均一致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hAnsi="宋体"/>
                <w:b/>
                <w:bCs/>
                <w:sz w:val="24"/>
                <w:szCs w:val="24"/>
              </w:rPr>
            </w:pPr>
            <w:r>
              <w:rPr>
                <w:rFonts w:hint="eastAsia" w:hAnsi="宋体"/>
                <w:b/>
                <w:bCs/>
                <w:sz w:val="24"/>
                <w:szCs w:val="24"/>
              </w:rPr>
              <w:t>注意事项：</w:t>
            </w:r>
          </w:p>
          <w:p>
            <w:pPr>
              <w:autoSpaceDE w:val="0"/>
              <w:autoSpaceDN w:val="0"/>
              <w:spacing w:line="460" w:lineRule="exact"/>
              <w:ind w:firstLine="482" w:firstLineChars="200"/>
              <w:contextualSpacing/>
              <w:jc w:val="left"/>
              <w:outlineLvl w:val="0"/>
              <w:rPr>
                <w:rFonts w:hAnsi="宋体"/>
                <w:b/>
                <w:bCs/>
                <w:sz w:val="24"/>
                <w:szCs w:val="24"/>
              </w:rPr>
            </w:pPr>
            <w:r>
              <w:rPr>
                <w:rFonts w:hint="eastAsia" w:hAnsi="宋体"/>
                <w:b/>
                <w:bCs/>
                <w:sz w:val="24"/>
                <w:szCs w:val="24"/>
              </w:rPr>
              <w:t>招标人和中标人应当自中标通知书发出之日起三十日内，依照《中华人民共和国招标投标法》及其实施条例的规定签订书面合同，合同的标的、价款、质量、履行期限等主要条款应当与招标文件和中标人的投标文件的内容一致。招标人和中标人不得再行订立背离合同实质性内容的其他协议。</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招标人和中标人不按照招标文件和中标人的投标文件订立合同，合同的主要条款与招标文件、中标人的投标文件的内容不一致，或者招标人、中标人订立背离合同实质性内容的协议的，按《中华人民共和国招标投标法》及其实施条例、配套部门规章的规定处理。</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中标人无正当理由不与招标人订立合同，在签订合同时向招标人提出附加条件，或者不按照招标文件要求提交履约担保的，取消其中标资格，投标保证金不予退还。</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中标人不履行与招标人订立的合同的，履约担保不予退还，给招标人造成的损失超过履约担保数额的，还应当对超过部分予以赔偿；没有提交履约担保的，应当对招标人的损失承担赔偿责任。</w:t>
            </w:r>
          </w:p>
          <w:p>
            <w:pPr>
              <w:autoSpaceDE w:val="0"/>
              <w:autoSpaceDN w:val="0"/>
              <w:spacing w:line="460" w:lineRule="exact"/>
              <w:ind w:firstLine="480" w:firstLineChars="200"/>
              <w:contextualSpacing/>
              <w:jc w:val="left"/>
              <w:outlineLvl w:val="0"/>
              <w:rPr>
                <w:rFonts w:hAnsi="宋体"/>
                <w:bCs/>
                <w:sz w:val="24"/>
                <w:szCs w:val="24"/>
              </w:rPr>
            </w:pPr>
            <w:r>
              <w:rPr>
                <w:rFonts w:hint="eastAsia" w:hAnsi="宋体"/>
                <w:bCs/>
                <w:sz w:val="24"/>
                <w:szCs w:val="24"/>
              </w:rPr>
              <w:t>投标人的投标活动属于“国家发展改革委等２４部委《关于对公共资源交易领域严重失信主体开展联合惩戒的备忘录》（发改法规〔2018〕457号）”十九种行为界定的不良行为的，按相关文件规定执行。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85"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60" w:lineRule="exact"/>
              <w:contextualSpacing/>
              <w:jc w:val="left"/>
              <w:outlineLvl w:val="0"/>
              <w:rPr>
                <w:rFonts w:ascii="宋体" w:hAnsi="宋体" w:cs="仿宋_GB2312"/>
                <w:kern w:val="0"/>
                <w:sz w:val="24"/>
                <w:szCs w:val="24"/>
              </w:rPr>
            </w:pPr>
            <w:bookmarkStart w:id="35" w:name="_Toc397507525"/>
            <w:r>
              <w:rPr>
                <w:rFonts w:hint="eastAsia" w:ascii="宋体" w:hAnsi="宋体"/>
                <w:position w:val="6"/>
                <w:sz w:val="24"/>
                <w:szCs w:val="24"/>
              </w:rPr>
              <w:t>未尽事宜，按国家有关规定执行。</w:t>
            </w:r>
            <w:bookmarkEnd w:id="35"/>
          </w:p>
        </w:tc>
      </w:tr>
    </w:tbl>
    <w:p>
      <w:pPr>
        <w:pStyle w:val="2"/>
        <w:spacing w:before="0" w:after="0" w:line="460" w:lineRule="exact"/>
        <w:contextualSpacing/>
        <w:rPr>
          <w:rFonts w:ascii="宋体" w:hAnsi="宋体"/>
          <w:sz w:val="24"/>
          <w:szCs w:val="24"/>
        </w:rPr>
      </w:pPr>
      <w:bookmarkStart w:id="36" w:name="_Toc397507939"/>
      <w:bookmarkEnd w:id="36"/>
      <w:bookmarkStart w:id="37" w:name="_Toc397507526"/>
      <w:bookmarkEnd w:id="37"/>
      <w:bookmarkStart w:id="38" w:name="_Toc397605808"/>
      <w:r>
        <w:rPr>
          <w:kern w:val="0"/>
          <w:sz w:val="26"/>
          <w:szCs w:val="26"/>
        </w:rPr>
        <w:br w:type="page"/>
      </w:r>
      <w:bookmarkEnd w:id="38"/>
      <w:r>
        <w:rPr>
          <w:rFonts w:hint="eastAsia" w:ascii="宋体" w:hAnsi="宋体"/>
          <w:sz w:val="32"/>
          <w:szCs w:val="24"/>
        </w:rPr>
        <w:t>1. 总则</w:t>
      </w:r>
    </w:p>
    <w:p>
      <w:pPr>
        <w:pStyle w:val="4"/>
        <w:topLinePunct/>
        <w:spacing w:before="0" w:after="0" w:line="460" w:lineRule="exact"/>
        <w:contextualSpacing/>
        <w:rPr>
          <w:rFonts w:ascii="宋体" w:hAnsi="宋体" w:cs="宋体"/>
          <w:sz w:val="24"/>
          <w:szCs w:val="24"/>
        </w:rPr>
      </w:pPr>
      <w:bookmarkStart w:id="39" w:name="_Toc450029230"/>
      <w:r>
        <w:rPr>
          <w:rFonts w:hint="eastAsia" w:ascii="宋体" w:hAnsi="宋体" w:cs="宋体"/>
          <w:sz w:val="24"/>
          <w:szCs w:val="24"/>
        </w:rPr>
        <w:t>1.1 项目概况</w:t>
      </w:r>
      <w:bookmarkEnd w:id="3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1.1.1根据《中华人民共和国招标投标法》等有关法律、法规和规章的规定，本招标项目已具备招标条件，现对本标段施工进行招标。</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 本招标项目招标人：见投标人须知前附表。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1.1.3 本标段招标代理机构：见投标人须知前附表。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1.1.4 本招标项目名称：见投标人须知前附表。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1.1.5 本标段建设地点：见投标人须知前附表。</w:t>
      </w:r>
    </w:p>
    <w:p>
      <w:pPr>
        <w:pStyle w:val="4"/>
        <w:topLinePunct/>
        <w:spacing w:before="0" w:after="0" w:line="460" w:lineRule="exact"/>
        <w:contextualSpacing/>
        <w:rPr>
          <w:rFonts w:ascii="宋体" w:hAnsi="宋体" w:cs="宋体"/>
          <w:sz w:val="24"/>
          <w:szCs w:val="24"/>
        </w:rPr>
      </w:pPr>
      <w:bookmarkStart w:id="40" w:name="_Toc450029231"/>
      <w:r>
        <w:rPr>
          <w:rFonts w:hint="eastAsia" w:ascii="宋体" w:hAnsi="宋体" w:cs="宋体"/>
          <w:sz w:val="24"/>
          <w:szCs w:val="24"/>
        </w:rPr>
        <w:t>1.2 资金来源和落实情况</w:t>
      </w:r>
      <w:bookmarkEnd w:id="40"/>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1.2.1 本招标项目的资金来源：见投标人须知前附表。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1.2.2 本招标项目的出资比例：见投标人须知前附表。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1.2.3 本招标项目的资金落实情况：见投标人须知前附表。</w:t>
      </w:r>
    </w:p>
    <w:p>
      <w:pPr>
        <w:pStyle w:val="4"/>
        <w:topLinePunct/>
        <w:spacing w:before="0" w:after="0" w:line="460" w:lineRule="exact"/>
        <w:contextualSpacing/>
        <w:rPr>
          <w:rFonts w:ascii="宋体" w:hAnsi="宋体" w:cs="宋体"/>
          <w:sz w:val="24"/>
          <w:szCs w:val="24"/>
        </w:rPr>
      </w:pPr>
      <w:bookmarkStart w:id="41" w:name="_Toc450029232"/>
      <w:r>
        <w:rPr>
          <w:rFonts w:hint="eastAsia" w:ascii="宋体" w:hAnsi="宋体" w:cs="宋体"/>
          <w:sz w:val="24"/>
          <w:szCs w:val="24"/>
        </w:rPr>
        <w:t>1.3 招标范围、计划工期和质量要求</w:t>
      </w:r>
      <w:bookmarkEnd w:id="41"/>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1.3.1 本次招标范围：见投标人须知前附表。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1.3.2 本标段的计划工期：见投标人须知前附表。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1.3.3 本标段的质量要求：见投标人须知前附表。</w:t>
      </w:r>
    </w:p>
    <w:p>
      <w:pPr>
        <w:pStyle w:val="4"/>
        <w:topLinePunct/>
        <w:spacing w:before="0" w:after="0" w:line="460" w:lineRule="exact"/>
        <w:contextualSpacing/>
        <w:rPr>
          <w:rFonts w:ascii="宋体" w:hAnsi="宋体" w:cs="宋体"/>
          <w:sz w:val="24"/>
          <w:szCs w:val="24"/>
        </w:rPr>
      </w:pPr>
      <w:bookmarkStart w:id="42" w:name="_Toc450029233"/>
      <w:r>
        <w:rPr>
          <w:rFonts w:hint="eastAsia" w:ascii="宋体" w:hAnsi="宋体" w:cs="宋体"/>
          <w:sz w:val="24"/>
          <w:szCs w:val="24"/>
        </w:rPr>
        <w:t>1.4 投标人资格要求</w:t>
      </w:r>
      <w:bookmarkEnd w:id="42"/>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1.4.1 投标人应具备承担本标段施工的资质条件、能力。</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（1）资质条件：见投标人须知前附表；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（2）业绩要求：见投标人须知前附表；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（3）人员资格：见投标人须知前附表；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（4）主要机械设备和试验检测设备要求：见投标人须知前附表。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1.4.2 投标人须知前附表规定接受联合体投标的，除应符合本章第1.4.1项和投标人须知前附表的要求外，还应遵守以下规定(本项目不适用)：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（3）联合体各方不得再以自己名义单独或参加其他联合体在同一标段中投标；</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（4）联合体所有成员数量不得超过投标人须知前附表规定的数量；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（5）联合体牵头人所承担的工程量必须超过总工程量的50%；</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（7）尽管委任了联合体牵头人，但联合体各成员在投标、签约与履行合同过程中，仍负有连带的和各自的法律责任。</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1.4.3 投标人不得存在下列情形之一：</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（1）为招标人不具有独立法人资格的附属机构（单位）；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（2）为本标段前期准备提供设计或咨询服务的，但设计施工总承包的除外；</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（3）为本标段的监理人；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（4）为本标段的代建人；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（5）为本标段提供招标代理服务的；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（6）与本标段的监理人或代建人或招标代理机构同为一个法定代表人的；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（7）与本标段的监理人或代建人或招标代理机构相互控股或参股的；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（8）与本标段的监理人或代建人或招标代理机构相互任职或工作的；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（9）被责令停业的；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（10）被暂停或取消投标资格的；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（11）财产被接管或冻结的；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（12）在最近三年内有骗取中标或严重违约或重大工程质量问题的；</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（13）涉及正在诉讼的案件，或涉及正在诉讼的案件但经审查委员会认定不会对承担本项目造成重大影响；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（14）为投资参股本项目的法人单位。</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15</w:t>
      </w:r>
      <w:r>
        <w:rPr>
          <w:rFonts w:hint="eastAsia" w:ascii="宋体" w:hAnsi="宋体" w:cs="宋体"/>
          <w:sz w:val="24"/>
          <w:szCs w:val="24"/>
        </w:rPr>
        <w:t>) 被国家发改委等部门列入联合惩戒备忘录（黑名单）</w:t>
      </w:r>
    </w:p>
    <w:p>
      <w:pPr>
        <w:topLinePunct/>
        <w:spacing w:line="460" w:lineRule="exact"/>
        <w:ind w:firstLine="480" w:firstLineChars="200"/>
        <w:contextualSpacing/>
        <w:rPr>
          <w:rFonts w:ascii="宋体" w:hAnsi="宋体" w:cs="宋体"/>
          <w:sz w:val="24"/>
          <w:szCs w:val="24"/>
        </w:rPr>
      </w:pPr>
      <w:bookmarkStart w:id="43" w:name="_Hlk534616117"/>
      <w:r>
        <w:rPr>
          <w:rFonts w:hint="eastAsia" w:ascii="宋体" w:hAnsi="宋体" w:cs="宋体"/>
          <w:sz w:val="24"/>
          <w:szCs w:val="24"/>
        </w:rPr>
        <w:t>1.4.4单位负责人为同一人或存在控股、管理关系的不同单位，不得同时参加本项目投标。</w:t>
      </w:r>
      <w:bookmarkEnd w:id="43"/>
      <w:bookmarkStart w:id="44" w:name="_Toc450029234"/>
    </w:p>
    <w:p>
      <w:pPr>
        <w:topLinePunct/>
        <w:spacing w:line="460" w:lineRule="exact"/>
        <w:contextualSpacing/>
        <w:rPr>
          <w:rFonts w:ascii="宋体" w:hAnsi="宋体" w:cs="宋体"/>
          <w:b/>
          <w:sz w:val="24"/>
          <w:szCs w:val="24"/>
        </w:rPr>
      </w:pPr>
      <w:r>
        <w:rPr>
          <w:rFonts w:hint="eastAsia" w:ascii="宋体" w:hAnsi="宋体" w:cs="宋体"/>
          <w:b/>
          <w:sz w:val="24"/>
          <w:szCs w:val="24"/>
        </w:rPr>
        <w:t>1.5 费用承担</w:t>
      </w:r>
      <w:bookmarkEnd w:id="44"/>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投标人准备和参加投标活动发生的费用自理。</w:t>
      </w:r>
    </w:p>
    <w:p>
      <w:pPr>
        <w:pStyle w:val="4"/>
        <w:topLinePunct/>
        <w:spacing w:before="0" w:after="0" w:line="460" w:lineRule="exact"/>
        <w:contextualSpacing/>
        <w:rPr>
          <w:rFonts w:ascii="宋体" w:hAnsi="宋体" w:cs="宋体"/>
          <w:sz w:val="24"/>
          <w:szCs w:val="24"/>
        </w:rPr>
      </w:pPr>
      <w:bookmarkStart w:id="45" w:name="_Toc450029235"/>
      <w:r>
        <w:rPr>
          <w:rFonts w:hint="eastAsia" w:ascii="宋体" w:hAnsi="宋体" w:cs="宋体"/>
          <w:sz w:val="24"/>
          <w:szCs w:val="24"/>
        </w:rPr>
        <w:t>1.6 保密</w:t>
      </w:r>
      <w:bookmarkEnd w:id="45"/>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参与招标投标活动的各方应对招标文件和投标文件中的商业和技术等秘密保密，违者应对由此造成的后果承担法律责任。</w:t>
      </w:r>
    </w:p>
    <w:p>
      <w:pPr>
        <w:pStyle w:val="4"/>
        <w:topLinePunct/>
        <w:spacing w:before="0" w:after="0" w:line="460" w:lineRule="exact"/>
        <w:contextualSpacing/>
        <w:rPr>
          <w:rFonts w:ascii="宋体" w:hAnsi="宋体" w:cs="宋体"/>
          <w:sz w:val="24"/>
          <w:szCs w:val="24"/>
        </w:rPr>
      </w:pPr>
      <w:bookmarkStart w:id="46" w:name="_Toc450029236"/>
      <w:r>
        <w:rPr>
          <w:rFonts w:hint="eastAsia" w:ascii="宋体" w:hAnsi="宋体" w:cs="宋体"/>
          <w:sz w:val="24"/>
          <w:szCs w:val="24"/>
        </w:rPr>
        <w:t>1.7 语言文字</w:t>
      </w:r>
      <w:bookmarkEnd w:id="46"/>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pStyle w:val="4"/>
        <w:topLinePunct/>
        <w:spacing w:before="0" w:after="0" w:line="460" w:lineRule="exact"/>
        <w:contextualSpacing/>
        <w:rPr>
          <w:rFonts w:ascii="宋体" w:hAnsi="宋体" w:cs="宋体"/>
          <w:sz w:val="24"/>
          <w:szCs w:val="24"/>
        </w:rPr>
      </w:pPr>
      <w:bookmarkStart w:id="47" w:name="_Toc450029237"/>
      <w:r>
        <w:rPr>
          <w:rFonts w:hint="eastAsia" w:ascii="宋体" w:hAnsi="宋体" w:cs="宋体"/>
          <w:sz w:val="24"/>
          <w:szCs w:val="24"/>
        </w:rPr>
        <w:t>1.8 计量单位</w:t>
      </w:r>
      <w:bookmarkEnd w:id="47"/>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所有计量均采用中华人民共和国法定计量单位。</w:t>
      </w:r>
    </w:p>
    <w:p>
      <w:pPr>
        <w:pStyle w:val="4"/>
        <w:topLinePunct/>
        <w:spacing w:before="0" w:after="0" w:line="460" w:lineRule="exact"/>
        <w:contextualSpacing/>
        <w:rPr>
          <w:rFonts w:ascii="宋体" w:hAnsi="宋体" w:cs="宋体"/>
          <w:sz w:val="24"/>
          <w:szCs w:val="24"/>
        </w:rPr>
      </w:pPr>
      <w:bookmarkStart w:id="48" w:name="_Toc450029238"/>
      <w:r>
        <w:rPr>
          <w:rFonts w:hint="eastAsia" w:ascii="宋体" w:hAnsi="宋体" w:cs="宋体"/>
          <w:sz w:val="24"/>
          <w:szCs w:val="24"/>
        </w:rPr>
        <w:t>1.9 踏勘现场</w:t>
      </w:r>
      <w:bookmarkEnd w:id="48"/>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1.9.1 投标人须知前附表规定组织踏勘现场的，招标人按投标人须知前附表规定的时间、地点组织投标人踏勘项目现场。</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1.9.2 投标人踏勘现场发生的费用自理。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1.9.3 除招标人的原因外，投标人自行负责在踏勘现场中所发生的人员伤亡和财产损失。</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1.9.4 招标人在踏勘现场中介绍的工程场地和相关的周边环境情况，供投标人在编制投标文件时参考，招标人不对投标人据此作出的判断和决策负责。</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1.9.5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topLinePunct/>
        <w:spacing w:before="0" w:after="0" w:line="460" w:lineRule="exact"/>
        <w:contextualSpacing/>
        <w:rPr>
          <w:rFonts w:ascii="宋体" w:hAnsi="宋体" w:cs="宋体"/>
          <w:sz w:val="24"/>
          <w:szCs w:val="24"/>
        </w:rPr>
      </w:pPr>
      <w:bookmarkStart w:id="49" w:name="_Toc450029239"/>
      <w:r>
        <w:rPr>
          <w:rFonts w:hint="eastAsia" w:ascii="宋体" w:hAnsi="宋体" w:cs="宋体"/>
          <w:sz w:val="24"/>
          <w:szCs w:val="24"/>
        </w:rPr>
        <w:t>1.10 投标预备会</w:t>
      </w:r>
      <w:bookmarkEnd w:id="4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1.10.1 投标人须知前附表规定召开投标预备会的，招标人按投标人须知前附表规定的时间和地点召开投标预备会，澄清投标人提出的问题。</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1.10.2 投标人应在投标人须知前附表规定的时间前，以书面形式将提出的问题送达招标人，以便招标人在会议期间澄清。</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1.10.3 投标预备会后，招标人在投标人须知前附表规定的时间内，将对投标人所提问题的澄清，以书面方式通知所有购买招标文件的投标人。该澄清内容为招标文件的组成部分。</w:t>
      </w:r>
    </w:p>
    <w:p>
      <w:pPr>
        <w:pStyle w:val="4"/>
        <w:topLinePunct/>
        <w:spacing w:before="0" w:after="0" w:line="460" w:lineRule="exact"/>
        <w:contextualSpacing/>
        <w:rPr>
          <w:rFonts w:ascii="宋体" w:hAnsi="宋体" w:cs="宋体"/>
          <w:sz w:val="24"/>
          <w:szCs w:val="24"/>
        </w:rPr>
      </w:pPr>
      <w:bookmarkStart w:id="50" w:name="_Toc450029240"/>
      <w:r>
        <w:rPr>
          <w:rFonts w:hint="eastAsia" w:ascii="宋体" w:hAnsi="宋体" w:cs="宋体"/>
          <w:sz w:val="24"/>
          <w:szCs w:val="24"/>
        </w:rPr>
        <w:t>1.11 分包</w:t>
      </w:r>
      <w:bookmarkEnd w:id="50"/>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本项目严禁转包和违规分包，且不得再次分包。投标人拟在中标后将中标项目的部分非主体、非关键性工作进行分包的，应符合以下规定：</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分包内容要求：允许分包的工程范围仅限于非关键性工程或者适合专业化队伍施工的专业工程；</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分包金额要求：专业工程分包的工程量累计不得超过总工程量的30%；</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接受分包的第三人资质要求：分包人的资格能力应与其分包工程的标准和规模相适应，具备相应的专业承包资质或劳务分包资质；</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其他要求；投标人如有分包计划，应按第七章“投标文件格式”的要求填写“拟分包项目调查表”，且投标人中标后的分包应满足合同条款第4.3款的相关要求。</w:t>
      </w:r>
    </w:p>
    <w:p>
      <w:pPr>
        <w:pStyle w:val="4"/>
        <w:topLinePunct/>
        <w:spacing w:before="0" w:after="0" w:line="460" w:lineRule="exact"/>
        <w:contextualSpacing/>
        <w:rPr>
          <w:rFonts w:ascii="宋体" w:hAnsi="宋体" w:cs="宋体"/>
          <w:sz w:val="24"/>
          <w:szCs w:val="24"/>
          <w:vertAlign w:val="superscript"/>
        </w:rPr>
      </w:pPr>
      <w:bookmarkStart w:id="51" w:name="_Toc450029241"/>
      <w:r>
        <w:rPr>
          <w:rFonts w:hint="eastAsia" w:ascii="宋体" w:hAnsi="宋体" w:cs="宋体"/>
          <w:sz w:val="24"/>
          <w:szCs w:val="24"/>
        </w:rPr>
        <w:t>1.12 偏离</w:t>
      </w:r>
      <w:bookmarkEnd w:id="51"/>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投标人须知前附表允许投标文件偏离招标文件某些要求的，偏离应当符合招标文件规定的偏离范围和幅度。</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偏离即偏差，偏差分重大偏差和细微偏差。</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1.12.1 投标文件不符合第三章“评标办法”所列的初步评审标准以外的，属于重大偏差，视为对招标文件未作出实质性响应，按废标处理。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3"/>
        <w:topLinePunct/>
        <w:spacing w:before="0" w:after="0" w:line="460" w:lineRule="exact"/>
        <w:contextualSpacing/>
        <w:rPr>
          <w:rFonts w:ascii="宋体" w:hAnsi="宋体" w:eastAsia="宋体" w:cs="宋体"/>
          <w:sz w:val="24"/>
          <w:szCs w:val="24"/>
        </w:rPr>
      </w:pPr>
      <w:bookmarkStart w:id="52" w:name="_Toc450029242"/>
      <w:r>
        <w:rPr>
          <w:rFonts w:hint="eastAsia" w:ascii="宋体" w:hAnsi="宋体" w:eastAsia="宋体" w:cs="宋体"/>
          <w:sz w:val="24"/>
          <w:szCs w:val="24"/>
        </w:rPr>
        <w:t>2. 招标文件</w:t>
      </w:r>
      <w:bookmarkEnd w:id="52"/>
    </w:p>
    <w:p>
      <w:pPr>
        <w:pStyle w:val="4"/>
        <w:topLinePunct/>
        <w:spacing w:before="0" w:after="0" w:line="460" w:lineRule="exact"/>
        <w:contextualSpacing/>
        <w:rPr>
          <w:rFonts w:ascii="宋体" w:hAnsi="宋体" w:cs="宋体"/>
          <w:sz w:val="24"/>
          <w:szCs w:val="24"/>
        </w:rPr>
      </w:pPr>
      <w:bookmarkStart w:id="53" w:name="_Toc450029243"/>
      <w:r>
        <w:rPr>
          <w:rFonts w:hint="eastAsia" w:ascii="宋体" w:hAnsi="宋体" w:cs="宋体"/>
          <w:sz w:val="24"/>
          <w:szCs w:val="24"/>
        </w:rPr>
        <w:t>2.1 招标文件的组成</w:t>
      </w:r>
      <w:bookmarkEnd w:id="53"/>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本招标文件包括：</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（1）招标公告；</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（2）投标人须知；</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（3）评标办法（综合计分法）；</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（4）合同条款及格式；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（5）工程量清单；</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）技术标准和要求；</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）投标文件格式；</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根据本章第2.2款和第2.3款对招标文件所作的澄清、修改，构成招标文件的组成部分。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当招标文件、招标文件的澄清或修改等在同一内容的表述上不一致时，以最后发出的书面文件为准。</w:t>
      </w:r>
    </w:p>
    <w:p>
      <w:pPr>
        <w:topLinePunct/>
        <w:spacing w:line="460" w:lineRule="exact"/>
        <w:contextualSpacing/>
        <w:rPr>
          <w:rFonts w:ascii="宋体" w:hAnsi="宋体" w:cs="宋体"/>
          <w:b/>
          <w:bCs/>
          <w:sz w:val="24"/>
          <w:szCs w:val="24"/>
        </w:rPr>
      </w:pPr>
      <w:bookmarkStart w:id="54" w:name="_Toc450029246"/>
      <w:r>
        <w:rPr>
          <w:rFonts w:hint="eastAsia" w:ascii="宋体" w:hAnsi="宋体" w:cs="宋体"/>
          <w:b/>
          <w:bCs/>
          <w:sz w:val="24"/>
          <w:szCs w:val="24"/>
        </w:rPr>
        <w:t>2.2 招标文件的澄清</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2.2.1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2.2.3 所有澄清、答疑全部以许昌市公共资源交易系统电子平台发出的为准，不再接受书面形式的递交。</w:t>
      </w:r>
    </w:p>
    <w:p>
      <w:pPr>
        <w:topLinePunct/>
        <w:spacing w:line="460" w:lineRule="exact"/>
        <w:contextualSpacing/>
        <w:rPr>
          <w:rFonts w:ascii="宋体" w:hAnsi="宋体" w:cs="宋体"/>
          <w:b/>
          <w:bCs/>
          <w:sz w:val="24"/>
          <w:szCs w:val="24"/>
        </w:rPr>
      </w:pPr>
      <w:bookmarkStart w:id="55" w:name="_Toc283559954"/>
      <w:r>
        <w:rPr>
          <w:rFonts w:hint="eastAsia" w:ascii="宋体" w:hAnsi="宋体" w:cs="宋体"/>
          <w:b/>
          <w:bCs/>
          <w:sz w:val="24"/>
          <w:szCs w:val="24"/>
        </w:rPr>
        <w:t>2.3 招标文件的修改</w:t>
      </w:r>
      <w:bookmarkEnd w:id="55"/>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2.3.1 在投标截止时间15天前，招标人可以通过许昌市公共资源交易系统电子平台修改招标文件，如果修改招标文件的时间距投标截止时间不足15 天，相应延长投标截止时间。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2.3.2 当招标文件（含评标、定标办法）、补充通知、答疑纪要，内容相互矛盾时，以最后发出的通知（或纪要）为准。</w:t>
      </w:r>
    </w:p>
    <w:p>
      <w:pPr>
        <w:pStyle w:val="3"/>
        <w:topLinePunct/>
        <w:spacing w:before="0" w:after="0" w:line="460" w:lineRule="exact"/>
        <w:contextualSpacing/>
        <w:rPr>
          <w:rFonts w:ascii="宋体" w:hAnsi="宋体" w:eastAsia="宋体" w:cs="宋体"/>
          <w:sz w:val="24"/>
          <w:szCs w:val="24"/>
        </w:rPr>
      </w:pPr>
      <w:r>
        <w:rPr>
          <w:rFonts w:hint="eastAsia" w:ascii="宋体" w:hAnsi="宋体" w:eastAsia="宋体" w:cs="宋体"/>
          <w:sz w:val="24"/>
          <w:szCs w:val="24"/>
        </w:rPr>
        <w:t>3. 投标文件</w:t>
      </w:r>
      <w:bookmarkEnd w:id="54"/>
    </w:p>
    <w:p>
      <w:pPr>
        <w:spacing w:line="460" w:lineRule="exact"/>
        <w:ind w:firstLine="472" w:firstLineChars="196"/>
        <w:contextualSpacing/>
        <w:rPr>
          <w:rFonts w:ascii="宋体" w:hAnsi="宋体" w:cs="宋体"/>
          <w:b/>
          <w:sz w:val="24"/>
          <w:szCs w:val="24"/>
        </w:rPr>
      </w:pPr>
      <w:bookmarkStart w:id="56" w:name="_Toc301170860"/>
      <w:bookmarkStart w:id="57" w:name="_Toc15649"/>
      <w:bookmarkStart w:id="58" w:name="_Toc327875519"/>
      <w:bookmarkStart w:id="59" w:name="_Toc301170395"/>
      <w:bookmarkStart w:id="60" w:name="_Toc352312265"/>
      <w:bookmarkStart w:id="61" w:name="_Toc383795209"/>
      <w:bookmarkStart w:id="62" w:name="_Toc8622"/>
      <w:bookmarkStart w:id="63" w:name="_Toc5086"/>
      <w:bookmarkStart w:id="64" w:name="_Toc152045547"/>
      <w:bookmarkStart w:id="65" w:name="_Toc179632565"/>
      <w:bookmarkStart w:id="66" w:name="_Toc311013686"/>
      <w:bookmarkStart w:id="67" w:name="_Toc152042323"/>
      <w:bookmarkStart w:id="68" w:name="_Toc144974515"/>
      <w:bookmarkStart w:id="69" w:name="_Toc450029254"/>
      <w:r>
        <w:rPr>
          <w:rFonts w:hint="eastAsia" w:ascii="宋体" w:hAnsi="宋体" w:cs="宋体"/>
          <w:b/>
          <w:sz w:val="24"/>
          <w:szCs w:val="24"/>
        </w:rPr>
        <w:t>3.1  投标文件</w:t>
      </w:r>
      <w:bookmarkEnd w:id="56"/>
      <w:bookmarkEnd w:id="57"/>
      <w:bookmarkEnd w:id="58"/>
      <w:bookmarkEnd w:id="59"/>
      <w:bookmarkEnd w:id="60"/>
      <w:bookmarkEnd w:id="61"/>
      <w:bookmarkEnd w:id="62"/>
      <w:bookmarkEnd w:id="63"/>
      <w:r>
        <w:rPr>
          <w:rFonts w:hint="eastAsia" w:ascii="宋体" w:hAnsi="宋体" w:cs="宋体"/>
          <w:b/>
          <w:sz w:val="24"/>
          <w:szCs w:val="24"/>
        </w:rPr>
        <w:t>分商务标、综合（信用）标、技术标三部分。</w:t>
      </w:r>
    </w:p>
    <w:bookmarkEnd w:id="64"/>
    <w:bookmarkEnd w:id="65"/>
    <w:bookmarkEnd w:id="66"/>
    <w:bookmarkEnd w:id="67"/>
    <w:bookmarkEnd w:id="68"/>
    <w:p>
      <w:pPr>
        <w:topLinePunct/>
        <w:spacing w:line="460" w:lineRule="exact"/>
        <w:ind w:firstLine="482" w:firstLineChars="200"/>
        <w:contextualSpacing/>
        <w:rPr>
          <w:rFonts w:ascii="宋体" w:hAnsi="宋体" w:cs="宋体"/>
          <w:b/>
          <w:bCs/>
          <w:sz w:val="24"/>
          <w:szCs w:val="24"/>
        </w:rPr>
      </w:pPr>
      <w:bookmarkStart w:id="70" w:name="_Toc144974516"/>
      <w:bookmarkStart w:id="71" w:name="_Toc152042324"/>
      <w:bookmarkStart w:id="72" w:name="_Toc152045548"/>
      <w:bookmarkStart w:id="73" w:name="_Toc311013701"/>
      <w:bookmarkStart w:id="74" w:name="_Toc179632566"/>
      <w:r>
        <w:rPr>
          <w:rFonts w:hint="eastAsia" w:ascii="宋体" w:hAnsi="宋体" w:cs="宋体"/>
          <w:b/>
          <w:bCs/>
          <w:sz w:val="24"/>
          <w:szCs w:val="24"/>
        </w:rPr>
        <w:t>3.2 投标报价</w:t>
      </w:r>
      <w:bookmarkEnd w:id="70"/>
      <w:bookmarkEnd w:id="71"/>
      <w:bookmarkEnd w:id="72"/>
      <w:bookmarkEnd w:id="73"/>
      <w:bookmarkEnd w:id="74"/>
    </w:p>
    <w:p>
      <w:pPr>
        <w:topLinePunct/>
        <w:spacing w:line="460" w:lineRule="exact"/>
        <w:ind w:firstLine="480" w:firstLineChars="200"/>
        <w:contextualSpacing/>
        <w:rPr>
          <w:rFonts w:ascii="宋体" w:hAnsi="宋体" w:cs="宋体"/>
          <w:sz w:val="24"/>
          <w:szCs w:val="24"/>
        </w:rPr>
      </w:pPr>
      <w:bookmarkStart w:id="75" w:name="_Toc311013702"/>
      <w:bookmarkStart w:id="76" w:name="_Toc152042325"/>
      <w:bookmarkStart w:id="77" w:name="_Toc179632567"/>
      <w:bookmarkStart w:id="78" w:name="_Toc144974517"/>
      <w:bookmarkStart w:id="79" w:name="_Toc152045549"/>
      <w:r>
        <w:rPr>
          <w:rFonts w:hint="eastAsia" w:ascii="宋体" w:hAnsi="宋体" w:cs="宋体"/>
          <w:sz w:val="24"/>
          <w:szCs w:val="24"/>
        </w:rPr>
        <w:t xml:space="preserve">  3.2.1 投标人应按第五章“工程量清单”的要求填写相应表格。</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3.2.2 投标人在投标截止时间前修改投标函中的投标总报价，应同时修改“工程量清单”中的相应报价。此修改须符合本章第4.3款的有关要求。</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3.2.3投标人只能提出一个不变价格，招标人不接受任何选择报价。不允许任一投标人对同一招标项目提出两个或两个以上不同的投标报价。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3.2.4投标报价有算术错误的，评标委员会按以下原则进行修正：</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（一）用数字表示的数额与用文字表示的数额不一致时，以文字数额为准；</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（二）单价与工程量的乘积与总价之间不一致时，以单价为准。若单价有明显的小数点错位，应以总价为准，并修改单价。</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调整后的报价经投标人确认后产生约束力，投标人不接受修正价格的，其投标将被否决。</w:t>
      </w:r>
    </w:p>
    <w:p>
      <w:pPr>
        <w:topLinePunct/>
        <w:spacing w:line="460" w:lineRule="exact"/>
        <w:ind w:firstLine="480" w:firstLineChars="200"/>
        <w:contextualSpacing/>
        <w:rPr>
          <w:rFonts w:ascii="宋体" w:hAnsi="宋体" w:cs="宋体"/>
          <w:sz w:val="24"/>
          <w:szCs w:val="24"/>
        </w:rPr>
      </w:pPr>
      <w:bookmarkStart w:id="80" w:name="OLE_LINK21"/>
      <w:r>
        <w:rPr>
          <w:rFonts w:hint="eastAsia" w:ascii="宋体" w:hAnsi="宋体" w:cs="宋体"/>
          <w:sz w:val="24"/>
          <w:szCs w:val="24"/>
        </w:rPr>
        <w:t>3.2.5规费和税金应按规定费（税）率足额计取，即费（税）率不可竞争。规费、税金、安全文明施工措施费计入投标总报价，并在投标函、投标函附录中单列，不参与商务标评审。</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3.2.6 “安全文明施工措施费”是不可竞争费，即费率不可竞争；投标人编制投标报价时，应按省级主管部门规定的计价标准计取。</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投标人编制投标报价时，同一投标文件综合工日应前后保持一致。</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不按照以上要求编制投标报价的，视为违反《河南省建设工程工程量清单招标评标办法》之规定，按废标处理。</w:t>
      </w:r>
      <w:bookmarkEnd w:id="80"/>
    </w:p>
    <w:p>
      <w:pPr>
        <w:topLinePunct/>
        <w:spacing w:line="460" w:lineRule="exact"/>
        <w:ind w:firstLine="482" w:firstLineChars="200"/>
        <w:contextualSpacing/>
        <w:rPr>
          <w:rFonts w:ascii="宋体" w:hAnsi="宋体" w:cs="宋体"/>
          <w:b/>
          <w:sz w:val="24"/>
          <w:szCs w:val="24"/>
        </w:rPr>
      </w:pPr>
      <w:r>
        <w:rPr>
          <w:rFonts w:hint="eastAsia" w:ascii="宋体" w:hAnsi="宋体" w:cs="宋体"/>
          <w:b/>
          <w:sz w:val="24"/>
          <w:szCs w:val="24"/>
        </w:rPr>
        <w:t>3.3 投标有效期</w:t>
      </w:r>
      <w:bookmarkEnd w:id="75"/>
      <w:bookmarkEnd w:id="76"/>
      <w:bookmarkEnd w:id="77"/>
      <w:bookmarkEnd w:id="78"/>
      <w:bookmarkEnd w:id="7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3.3.1 在投标人须知前附表规定的投标有效期内，投标人不得要求撤销或修改其投标文件。</w:t>
      </w:r>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60" w:lineRule="exact"/>
        <w:ind w:firstLine="482" w:firstLineChars="200"/>
        <w:rPr>
          <w:rFonts w:ascii="宋体" w:hAnsi="宋体" w:cs="宋体"/>
          <w:b/>
          <w:sz w:val="24"/>
          <w:szCs w:val="24"/>
        </w:rPr>
      </w:pPr>
      <w:bookmarkStart w:id="81" w:name="_Toc144974518"/>
      <w:bookmarkStart w:id="82" w:name="_Toc179632568"/>
      <w:bookmarkStart w:id="83" w:name="_Toc311013703"/>
      <w:bookmarkStart w:id="84" w:name="_Toc152045550"/>
      <w:bookmarkStart w:id="85" w:name="_Toc152042326"/>
      <w:r>
        <w:rPr>
          <w:rFonts w:hint="eastAsia" w:ascii="宋体" w:hAnsi="宋体" w:cs="宋体"/>
          <w:b/>
          <w:sz w:val="24"/>
          <w:szCs w:val="24"/>
        </w:rPr>
        <w:t xml:space="preserve">3.4 </w:t>
      </w:r>
      <w:bookmarkEnd w:id="81"/>
      <w:bookmarkEnd w:id="82"/>
      <w:bookmarkEnd w:id="83"/>
      <w:bookmarkEnd w:id="84"/>
      <w:bookmarkEnd w:id="85"/>
      <w:bookmarkStart w:id="86" w:name="_Toc179632570"/>
      <w:bookmarkStart w:id="87" w:name="_Toc152045552"/>
      <w:bookmarkStart w:id="88" w:name="_Toc311013704"/>
      <w:bookmarkStart w:id="89" w:name="_Toc152042328"/>
      <w:bookmarkStart w:id="90" w:name="_Toc144974520"/>
      <w:r>
        <w:rPr>
          <w:rFonts w:hint="eastAsia" w:ascii="宋体" w:hAnsi="宋体" w:cs="宋体"/>
          <w:b/>
          <w:sz w:val="24"/>
          <w:szCs w:val="24"/>
        </w:rPr>
        <w:t>投标担保</w:t>
      </w:r>
    </w:p>
    <w:p>
      <w:pPr>
        <w:spacing w:line="460" w:lineRule="exact"/>
        <w:ind w:firstLine="480" w:firstLineChars="200"/>
        <w:rPr>
          <w:rFonts w:ascii="宋体" w:hAnsi="宋体" w:cs="宋体"/>
          <w:sz w:val="24"/>
          <w:szCs w:val="24"/>
        </w:rPr>
      </w:pPr>
      <w:r>
        <w:rPr>
          <w:rFonts w:hint="eastAsia" w:ascii="宋体" w:hAnsi="宋体" w:cs="宋体"/>
          <w:sz w:val="24"/>
          <w:szCs w:val="24"/>
        </w:rPr>
        <w:t>1、投标保证金递交截止时间及金额见投标人须知前附表。</w:t>
      </w:r>
    </w:p>
    <w:p>
      <w:pPr>
        <w:spacing w:line="460" w:lineRule="exact"/>
        <w:ind w:firstLine="480" w:firstLineChars="200"/>
        <w:rPr>
          <w:rFonts w:ascii="宋体" w:hAnsi="宋体" w:cs="宋体"/>
          <w:sz w:val="24"/>
          <w:szCs w:val="24"/>
        </w:rPr>
      </w:pPr>
      <w:r>
        <w:rPr>
          <w:rFonts w:hint="eastAsia" w:ascii="宋体" w:hAnsi="宋体" w:cs="宋体"/>
          <w:sz w:val="24"/>
          <w:szCs w:val="24"/>
        </w:rPr>
        <w:t>2、投标保证金缴纳方式：银行转账、银行电汇（均需从投标人的基本账户汇出），不接受以现金方式缴纳的投标保证金。凡以现金方式缴纳投标保证金而影响其投标结果的，由投标人自行负责。</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2.1 投标人网上报名后，登录http://221.14.6.70:8088/ggzy系统，依次点击“会员向导”→“参与投标”→“费用缴纳说明”→“担保缴纳说明单”，获取缴费说明单，根据每个标段的缴纳说明单在缴纳截止时间前缴纳；</w:t>
      </w:r>
    </w:p>
    <w:p>
      <w:pPr>
        <w:spacing w:line="460" w:lineRule="exact"/>
        <w:ind w:firstLine="480" w:firstLineChars="200"/>
        <w:rPr>
          <w:rFonts w:ascii="宋体" w:hAnsi="宋体" w:cs="宋体"/>
          <w:sz w:val="24"/>
          <w:szCs w:val="24"/>
        </w:rPr>
      </w:pPr>
      <w:r>
        <w:rPr>
          <w:rFonts w:hint="eastAsia" w:ascii="宋体" w:hAnsi="宋体" w:cs="宋体"/>
          <w:sz w:val="24"/>
          <w:szCs w:val="24"/>
        </w:rPr>
        <w:t>2.2 成功缴纳后重新登录前述系统，依次点击“会员向导”→“参与投标”→“担保绑定”→“绑定”进行投标保证金绑定。</w:t>
      </w:r>
    </w:p>
    <w:p>
      <w:pPr>
        <w:spacing w:line="460" w:lineRule="exact"/>
        <w:ind w:firstLine="480" w:firstLineChars="200"/>
        <w:rPr>
          <w:rFonts w:ascii="宋体" w:hAnsi="宋体" w:cs="宋体"/>
          <w:sz w:val="24"/>
          <w:szCs w:val="24"/>
        </w:rPr>
      </w:pPr>
      <w:r>
        <w:rPr>
          <w:rFonts w:hint="eastAsia" w:ascii="宋体" w:hAnsi="宋体" w:cs="宋体"/>
          <w:sz w:val="24"/>
          <w:szCs w:val="24"/>
        </w:rPr>
        <w:t>2.3 投标人要严格按照“担保缴纳说明单”内容缴纳、成功绑定投标保证金。未绑定标段的投标保证金，视为未按时交纳。并将缴纳凭证“长葛市公共资源交易中心担保缴纳回执”附于投标文件中。</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使用银行保函方式提交的，投标人办理投标银行保函，银行保函应明确所投项目名称、项目编号及标段、受益人（招标人）、有效期（不低于本项目投标有效期）、担保金额（不低于本项目本标段投标保证金数额）。投标人应将投标银行保函原件扫描件附于投标文件中，否则视为未按规定提交投标保证金。</w:t>
      </w:r>
    </w:p>
    <w:p>
      <w:pPr>
        <w:spacing w:line="460" w:lineRule="exact"/>
        <w:ind w:firstLine="480" w:firstLineChars="200"/>
        <w:rPr>
          <w:rFonts w:ascii="宋体" w:hAnsi="宋体" w:cs="宋体"/>
          <w:sz w:val="24"/>
          <w:szCs w:val="24"/>
        </w:rPr>
      </w:pPr>
      <w:r>
        <w:rPr>
          <w:rFonts w:hint="eastAsia" w:ascii="宋体" w:hAnsi="宋体" w:cs="宋体"/>
          <w:sz w:val="24"/>
          <w:szCs w:val="24"/>
        </w:rPr>
        <w:t>2.4 每个投标人每个项目每个标段只有唯一缴纳账号，切勿重复缴纳或错误缴纳。</w:t>
      </w:r>
    </w:p>
    <w:p>
      <w:pPr>
        <w:spacing w:line="460" w:lineRule="exact"/>
        <w:ind w:firstLine="480" w:firstLineChars="200"/>
        <w:rPr>
          <w:rFonts w:ascii="宋体" w:hAnsi="宋体" w:cs="宋体"/>
          <w:sz w:val="24"/>
          <w:szCs w:val="24"/>
        </w:rPr>
      </w:pPr>
      <w:r>
        <w:rPr>
          <w:rFonts w:hint="eastAsia" w:ascii="宋体" w:hAnsi="宋体" w:cs="宋体"/>
          <w:sz w:val="24"/>
          <w:szCs w:val="24"/>
        </w:rPr>
        <w:t>3、未按上述规定操作引起的无效投标，由投标人自行负责。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4、汇款凭证无须备注项目编号和项目名称。</w:t>
      </w:r>
    </w:p>
    <w:p>
      <w:pPr>
        <w:spacing w:line="460" w:lineRule="exact"/>
        <w:ind w:firstLine="480" w:firstLineChars="200"/>
        <w:rPr>
          <w:rFonts w:ascii="宋体" w:hAnsi="宋体" w:cs="宋体"/>
          <w:sz w:val="24"/>
          <w:szCs w:val="24"/>
        </w:rPr>
      </w:pPr>
      <w:r>
        <w:rPr>
          <w:rFonts w:hint="eastAsia" w:ascii="宋体" w:hAnsi="宋体" w:cs="宋体"/>
          <w:sz w:val="24"/>
          <w:szCs w:val="24"/>
        </w:rPr>
        <w:t>5、出现以下情形造成的投标保证金无效，由投标人自行负责。</w:t>
      </w:r>
    </w:p>
    <w:p>
      <w:pPr>
        <w:spacing w:line="460" w:lineRule="exact"/>
        <w:ind w:firstLine="480" w:firstLineChars="200"/>
        <w:rPr>
          <w:rFonts w:ascii="宋体" w:hAnsi="宋体" w:cs="宋体"/>
          <w:sz w:val="24"/>
          <w:szCs w:val="24"/>
        </w:rPr>
      </w:pPr>
      <w:r>
        <w:rPr>
          <w:rFonts w:hint="eastAsia" w:ascii="宋体" w:hAnsi="宋体" w:cs="宋体"/>
          <w:sz w:val="24"/>
          <w:szCs w:val="24"/>
        </w:rPr>
        <w:t>(1)投标保证金未从投标人的基本账户转出；</w:t>
      </w:r>
    </w:p>
    <w:p>
      <w:pPr>
        <w:spacing w:line="460" w:lineRule="exact"/>
        <w:ind w:firstLine="480" w:firstLineChars="200"/>
        <w:rPr>
          <w:rFonts w:ascii="宋体" w:hAnsi="宋体" w:cs="宋体"/>
          <w:sz w:val="24"/>
          <w:szCs w:val="24"/>
        </w:rPr>
      </w:pPr>
      <w:r>
        <w:rPr>
          <w:rFonts w:hint="eastAsia" w:ascii="宋体" w:hAnsi="宋体" w:cs="宋体"/>
          <w:sz w:val="24"/>
          <w:szCs w:val="24"/>
        </w:rPr>
        <w:t>(2)投标保证金未按照招标文件划分的标段转账。</w:t>
      </w:r>
    </w:p>
    <w:p>
      <w:pPr>
        <w:spacing w:line="460" w:lineRule="exact"/>
        <w:ind w:firstLine="480" w:firstLineChars="200"/>
        <w:rPr>
          <w:rFonts w:ascii="宋体" w:hAnsi="宋体" w:cs="宋体"/>
          <w:sz w:val="24"/>
          <w:szCs w:val="24"/>
        </w:rPr>
      </w:pPr>
      <w:r>
        <w:rPr>
          <w:rFonts w:hint="eastAsia" w:ascii="宋体" w:hAnsi="宋体" w:cs="宋体"/>
          <w:sz w:val="24"/>
          <w:szCs w:val="24"/>
        </w:rPr>
        <w:t>6、《保证金缴纳绑定操作指南》获取方法：</w:t>
      </w:r>
    </w:p>
    <w:p>
      <w:pPr>
        <w:spacing w:line="460" w:lineRule="exact"/>
        <w:ind w:firstLine="480" w:firstLineChars="200"/>
        <w:rPr>
          <w:rFonts w:ascii="宋体" w:hAnsi="宋体" w:cs="宋体"/>
          <w:sz w:val="24"/>
          <w:szCs w:val="24"/>
        </w:rPr>
      </w:pPr>
      <w:r>
        <w:rPr>
          <w:rFonts w:hint="eastAsia" w:ascii="宋体" w:hAnsi="宋体" w:cs="宋体"/>
          <w:sz w:val="24"/>
          <w:szCs w:val="24"/>
        </w:rPr>
        <w:t>登录《全国公共资源交易平台（河南省·许昌市）》系统-组件下载-《保证金缴纳绑定操作指南》。</w:t>
      </w:r>
    </w:p>
    <w:p>
      <w:pPr>
        <w:spacing w:line="460" w:lineRule="exact"/>
        <w:ind w:firstLine="480" w:firstLineChars="200"/>
        <w:rPr>
          <w:rFonts w:ascii="宋体" w:hAnsi="宋体" w:cs="宋体"/>
          <w:sz w:val="24"/>
          <w:szCs w:val="24"/>
        </w:rPr>
      </w:pPr>
      <w:r>
        <w:rPr>
          <w:rFonts w:hint="eastAsia" w:ascii="宋体" w:hAnsi="宋体" w:cs="宋体"/>
          <w:sz w:val="24"/>
          <w:szCs w:val="24"/>
        </w:rPr>
        <w:t>保证金缴纳绑定问题咨询电话:0374-2961598</w:t>
      </w:r>
    </w:p>
    <w:p>
      <w:pPr>
        <w:spacing w:line="460" w:lineRule="exact"/>
        <w:ind w:firstLine="480" w:firstLineChars="200"/>
        <w:rPr>
          <w:rFonts w:ascii="宋体" w:hAnsi="宋体" w:cs="宋体"/>
          <w:sz w:val="24"/>
          <w:szCs w:val="24"/>
        </w:rPr>
      </w:pPr>
      <w:r>
        <w:rPr>
          <w:rFonts w:hint="eastAsia" w:ascii="宋体" w:hAnsi="宋体" w:cs="宋体"/>
          <w:sz w:val="24"/>
          <w:szCs w:val="24"/>
        </w:rPr>
        <w:t>7、基本户备案</w:t>
      </w:r>
    </w:p>
    <w:p>
      <w:pPr>
        <w:spacing w:line="460" w:lineRule="exact"/>
        <w:ind w:firstLine="480" w:firstLineChars="200"/>
        <w:rPr>
          <w:rFonts w:ascii="宋体" w:hAnsi="宋体" w:cs="宋体"/>
          <w:sz w:val="24"/>
          <w:szCs w:val="24"/>
        </w:rPr>
      </w:pPr>
      <w:r>
        <w:rPr>
          <w:rFonts w:hint="eastAsia" w:ascii="宋体" w:hAnsi="宋体" w:cs="宋体"/>
          <w:sz w:val="24"/>
          <w:szCs w:val="24"/>
        </w:rPr>
        <w:t>7.1 自文件发布之日起，投标人需进行基本户备案，已备案的基本户开户银行、账户发生变化的，须在投标保证金缴纳前办理变更手续。</w:t>
      </w:r>
    </w:p>
    <w:p>
      <w:pPr>
        <w:spacing w:line="460" w:lineRule="exact"/>
        <w:ind w:firstLine="480" w:firstLineChars="200"/>
        <w:rPr>
          <w:rFonts w:ascii="宋体" w:hAnsi="宋体" w:cs="宋体"/>
          <w:sz w:val="24"/>
          <w:szCs w:val="24"/>
        </w:rPr>
      </w:pPr>
      <w:r>
        <w:rPr>
          <w:rFonts w:hint="eastAsia" w:ascii="宋体" w:hAnsi="宋体" w:cs="宋体"/>
          <w:sz w:val="24"/>
          <w:szCs w:val="24"/>
        </w:rPr>
        <w:t>7.2 基本户备案流程：</w:t>
      </w:r>
    </w:p>
    <w:p>
      <w:pPr>
        <w:spacing w:line="460" w:lineRule="exact"/>
        <w:ind w:firstLine="480" w:firstLineChars="200"/>
        <w:rPr>
          <w:rFonts w:ascii="宋体" w:hAnsi="宋体" w:cs="宋体"/>
          <w:sz w:val="24"/>
          <w:szCs w:val="24"/>
        </w:rPr>
      </w:pPr>
      <w:r>
        <w:rPr>
          <w:rFonts w:hint="eastAsia" w:ascii="宋体" w:hAnsi="宋体" w:cs="宋体"/>
          <w:sz w:val="24"/>
          <w:szCs w:val="24"/>
        </w:rPr>
        <w:t>工程建设项目的投标人登录注册网址进行系统用户注册（http://221.14.6.70:8088/ggzy/），在注册流程中“银行账户”环节，增加“账户类别-基本账户”，填写投标人基本账户信息，扫描上传基本户开户许可证（两者信息必须相符），保存备案信息，提交并绑定CA后可缴纳、绑定投标保证金。</w:t>
      </w:r>
    </w:p>
    <w:p>
      <w:pPr>
        <w:spacing w:line="460" w:lineRule="exact"/>
        <w:ind w:firstLine="480" w:firstLineChars="200"/>
        <w:rPr>
          <w:rFonts w:ascii="宋体" w:hAnsi="宋体" w:cs="宋体"/>
          <w:sz w:val="24"/>
          <w:szCs w:val="24"/>
        </w:rPr>
      </w:pPr>
      <w:r>
        <w:rPr>
          <w:rFonts w:hint="eastAsia" w:ascii="宋体" w:hAnsi="宋体" w:cs="宋体"/>
          <w:sz w:val="24"/>
          <w:szCs w:val="24"/>
        </w:rPr>
        <w:t>7.3 因投标人的原因无法及时退还投标保证金、滞留三年以上的，投标保证金上缴同级国库。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8、投标保证金的退还：</w:t>
      </w:r>
    </w:p>
    <w:p>
      <w:pPr>
        <w:spacing w:line="460" w:lineRule="exact"/>
        <w:ind w:firstLine="480" w:firstLineChars="200"/>
        <w:rPr>
          <w:rFonts w:ascii="宋体" w:hAnsi="宋体" w:cs="宋体"/>
          <w:sz w:val="24"/>
          <w:szCs w:val="24"/>
        </w:rPr>
      </w:pPr>
      <w:r>
        <w:rPr>
          <w:rFonts w:hint="eastAsia" w:ascii="宋体" w:hAnsi="宋体" w:cs="宋体"/>
          <w:sz w:val="24"/>
          <w:szCs w:val="24"/>
        </w:rPr>
        <w:t>8.1 中标候选人公示期满后没有质疑或投诉的，退还非中标候选人投标保证金及银行同期存款利息；最迟在书面合同签订后5日内向中标人（携带其中标通知书和合同原件）和其他中标候选人退还投标保证金及银行同期存款利息。</w:t>
      </w:r>
    </w:p>
    <w:p>
      <w:pPr>
        <w:spacing w:line="460" w:lineRule="exact"/>
        <w:ind w:firstLine="480" w:firstLineChars="200"/>
        <w:rPr>
          <w:rFonts w:ascii="宋体" w:hAnsi="宋体" w:cs="宋体"/>
          <w:sz w:val="24"/>
          <w:szCs w:val="24"/>
        </w:rPr>
      </w:pPr>
      <w:r>
        <w:rPr>
          <w:rFonts w:hint="eastAsia" w:ascii="宋体" w:hAnsi="宋体" w:cs="宋体"/>
          <w:sz w:val="24"/>
          <w:szCs w:val="24"/>
        </w:rPr>
        <w:t>电话：</w:t>
      </w:r>
      <w:r>
        <w:rPr>
          <w:rFonts w:ascii="宋体" w:hAnsi="宋体" w:cs="宋体"/>
          <w:sz w:val="24"/>
          <w:szCs w:val="24"/>
        </w:rPr>
        <w:t>0374-6198229</w:t>
      </w:r>
    </w:p>
    <w:p>
      <w:pPr>
        <w:spacing w:line="460" w:lineRule="exact"/>
        <w:ind w:firstLine="480" w:firstLineChars="200"/>
        <w:rPr>
          <w:rFonts w:ascii="宋体" w:hAnsi="宋体" w:cs="宋体"/>
          <w:sz w:val="24"/>
          <w:szCs w:val="24"/>
        </w:rPr>
      </w:pPr>
      <w:r>
        <w:rPr>
          <w:rFonts w:hint="eastAsia" w:ascii="宋体" w:hAnsi="宋体" w:cs="宋体"/>
          <w:sz w:val="24"/>
          <w:szCs w:val="24"/>
        </w:rPr>
        <w:t>8.2 法定期限内未签订书面合同的，按照有关规定向中标人和其他中标候选人退还投标保证金及银行同期活期存款利息。</w:t>
      </w:r>
    </w:p>
    <w:p>
      <w:pPr>
        <w:spacing w:line="460" w:lineRule="exact"/>
        <w:ind w:firstLine="480" w:firstLineChars="200"/>
        <w:rPr>
          <w:rFonts w:ascii="宋体" w:hAnsi="宋体" w:cs="宋体"/>
          <w:sz w:val="24"/>
          <w:szCs w:val="24"/>
        </w:rPr>
      </w:pPr>
      <w:r>
        <w:rPr>
          <w:rFonts w:hint="eastAsia" w:ascii="宋体" w:hAnsi="宋体" w:cs="宋体"/>
          <w:sz w:val="24"/>
          <w:szCs w:val="24"/>
        </w:rPr>
        <w:t>8.3 项目废标或招标人终止招标的，在此后5个工作日内退还投标保证金及银行同期活期存利息。</w:t>
      </w:r>
    </w:p>
    <w:p>
      <w:pPr>
        <w:spacing w:line="460" w:lineRule="exact"/>
        <w:ind w:firstLine="480" w:firstLineChars="200"/>
        <w:rPr>
          <w:rFonts w:ascii="宋体" w:hAnsi="宋体" w:cs="宋体"/>
          <w:sz w:val="24"/>
          <w:szCs w:val="24"/>
        </w:rPr>
      </w:pPr>
      <w:r>
        <w:rPr>
          <w:rFonts w:hint="eastAsia" w:ascii="宋体" w:hAnsi="宋体" w:cs="宋体"/>
          <w:sz w:val="24"/>
          <w:szCs w:val="24"/>
        </w:rPr>
        <w:t>8.4 投标活动中出现质疑、投诉的，中标候选人、质疑人和被质疑人、投诉人和被投诉人的投标保证金暂停退还。</w:t>
      </w:r>
    </w:p>
    <w:p>
      <w:pPr>
        <w:spacing w:line="460" w:lineRule="exact"/>
        <w:ind w:firstLine="480" w:firstLineChars="200"/>
        <w:rPr>
          <w:rFonts w:ascii="宋体" w:hAnsi="宋体" w:cs="宋体"/>
          <w:sz w:val="24"/>
          <w:szCs w:val="24"/>
        </w:rPr>
      </w:pPr>
      <w:r>
        <w:rPr>
          <w:rFonts w:hint="eastAsia" w:ascii="宋体" w:hAnsi="宋体" w:cs="宋体"/>
          <w:sz w:val="24"/>
          <w:szCs w:val="24"/>
        </w:rPr>
        <w:t>8.5 相关投标人有违法违规行为的项目，其投标保证金暂不退还，待行政监督部门对相关情况处置后，按照有关规定办理。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8.6 因投标人的原因无法及时退还投标（竞买）保证金、滞留三年以上的，投标（竞买）保证金上缴同级国库。</w:t>
      </w:r>
    </w:p>
    <w:p>
      <w:pPr>
        <w:spacing w:line="460" w:lineRule="exact"/>
        <w:ind w:firstLine="480" w:firstLineChars="200"/>
        <w:rPr>
          <w:rFonts w:ascii="宋体" w:hAnsi="宋体" w:cs="宋体"/>
          <w:sz w:val="24"/>
          <w:szCs w:val="24"/>
        </w:rPr>
      </w:pPr>
      <w:r>
        <w:rPr>
          <w:rFonts w:hint="eastAsia" w:ascii="宋体" w:hAnsi="宋体" w:cs="宋体"/>
          <w:sz w:val="24"/>
          <w:szCs w:val="24"/>
        </w:rPr>
        <w:t>8.7退还投标保证金，除另有规定外，一般以转账方式一次性退还至投标保证金的原提交账户。</w:t>
      </w:r>
    </w:p>
    <w:p>
      <w:pPr>
        <w:spacing w:line="460" w:lineRule="exact"/>
        <w:ind w:firstLine="480" w:firstLineChars="200"/>
        <w:rPr>
          <w:rFonts w:ascii="宋体" w:hAnsi="宋体" w:cs="宋体"/>
          <w:sz w:val="24"/>
          <w:szCs w:val="24"/>
        </w:rPr>
      </w:pPr>
      <w:r>
        <w:rPr>
          <w:rFonts w:hint="eastAsia" w:ascii="宋体" w:hAnsi="宋体" w:cs="宋体"/>
          <w:sz w:val="24"/>
          <w:szCs w:val="24"/>
        </w:rPr>
        <w:t>9、特殊情况处理</w:t>
      </w:r>
    </w:p>
    <w:p>
      <w:pPr>
        <w:spacing w:line="460" w:lineRule="exact"/>
        <w:ind w:firstLine="480" w:firstLineChars="200"/>
        <w:rPr>
          <w:rFonts w:ascii="宋体" w:hAnsi="宋体" w:cs="宋体"/>
          <w:sz w:val="24"/>
          <w:szCs w:val="24"/>
        </w:rPr>
      </w:pPr>
      <w:r>
        <w:rPr>
          <w:rFonts w:hint="eastAsia" w:ascii="宋体" w:hAnsi="宋体" w:cs="宋体"/>
          <w:sz w:val="24"/>
          <w:szCs w:val="24"/>
        </w:rPr>
        <w:t>投标人投标过程中因账户开户银行、银行账号发生变化，不能按照来款途径原路返还投标保证金的，投标人须提供原账户开户银行相关证明及新开账户开户许可证，到长葛市公共资源交易中心业务受理部办理退款手续（长葛市葛天大道东段商务区6号楼4楼40</w:t>
      </w:r>
      <w:r>
        <w:rPr>
          <w:rFonts w:ascii="宋体" w:hAnsi="宋体" w:cs="宋体"/>
          <w:sz w:val="24"/>
          <w:szCs w:val="24"/>
        </w:rPr>
        <w:t>5</w:t>
      </w:r>
      <w:r>
        <w:rPr>
          <w:rFonts w:hint="eastAsia" w:ascii="宋体" w:hAnsi="宋体" w:cs="宋体"/>
          <w:sz w:val="24"/>
          <w:szCs w:val="24"/>
        </w:rPr>
        <w:t>室）。</w:t>
      </w:r>
    </w:p>
    <w:p>
      <w:pPr>
        <w:spacing w:line="460" w:lineRule="exact"/>
        <w:ind w:firstLine="480" w:firstLineChars="200"/>
        <w:rPr>
          <w:rFonts w:ascii="宋体" w:hAnsi="宋体" w:cs="宋体"/>
          <w:sz w:val="24"/>
          <w:szCs w:val="24"/>
        </w:rPr>
      </w:pPr>
      <w:r>
        <w:rPr>
          <w:rFonts w:hint="eastAsia" w:ascii="宋体" w:hAnsi="宋体" w:cs="宋体"/>
          <w:sz w:val="24"/>
          <w:szCs w:val="24"/>
        </w:rPr>
        <w:t>电话：0374-61</w:t>
      </w:r>
      <w:r>
        <w:rPr>
          <w:rFonts w:ascii="宋体" w:hAnsi="宋体" w:cs="宋体"/>
          <w:sz w:val="24"/>
          <w:szCs w:val="24"/>
        </w:rPr>
        <w:t>89133</w:t>
      </w:r>
    </w:p>
    <w:p>
      <w:pPr>
        <w:spacing w:line="460" w:lineRule="exact"/>
        <w:ind w:firstLine="482" w:firstLineChars="200"/>
        <w:rPr>
          <w:rFonts w:ascii="宋体" w:hAnsi="宋体" w:cs="宋体"/>
          <w:b/>
          <w:sz w:val="24"/>
          <w:szCs w:val="24"/>
        </w:rPr>
      </w:pPr>
      <w:r>
        <w:rPr>
          <w:rFonts w:hint="eastAsia" w:ascii="宋体" w:hAnsi="宋体" w:cs="宋体"/>
          <w:b/>
          <w:sz w:val="24"/>
          <w:szCs w:val="24"/>
        </w:rPr>
        <w:t>10、投标人有下列情形之一的，投标保证金不予退还：</w:t>
      </w:r>
    </w:p>
    <w:p>
      <w:pPr>
        <w:spacing w:line="460" w:lineRule="exact"/>
        <w:ind w:firstLine="480" w:firstLineChars="200"/>
        <w:rPr>
          <w:rFonts w:ascii="宋体" w:hAnsi="宋体" w:cs="宋体"/>
          <w:sz w:val="24"/>
          <w:szCs w:val="24"/>
        </w:rPr>
      </w:pPr>
      <w:r>
        <w:rPr>
          <w:rFonts w:hint="eastAsia" w:ascii="宋体" w:hAnsi="宋体" w:cs="宋体"/>
          <w:sz w:val="24"/>
          <w:szCs w:val="24"/>
        </w:rPr>
        <w:t>10.1 中标人无正当理由不与招标人订立合同，在签订合同时向招标人提出附加条件，或者不按照招标文件要求提交履约担保的，取消其中标资格，投标保证金不予退还。</w:t>
      </w:r>
    </w:p>
    <w:p>
      <w:pPr>
        <w:spacing w:line="460" w:lineRule="exact"/>
        <w:ind w:firstLine="480" w:firstLineChars="200"/>
        <w:rPr>
          <w:rFonts w:ascii="宋体" w:hAnsi="宋体" w:cs="宋体"/>
          <w:sz w:val="24"/>
          <w:szCs w:val="24"/>
        </w:rPr>
      </w:pPr>
      <w:r>
        <w:rPr>
          <w:rFonts w:hint="eastAsia" w:ascii="宋体" w:hAnsi="宋体" w:cs="宋体"/>
          <w:sz w:val="24"/>
          <w:szCs w:val="24"/>
        </w:rPr>
        <w:t>10.2 投标人有违法违规行为，其投标保证金暂不退还，待行政监督部门对相关情况处置后，按照有关规定办理。</w:t>
      </w:r>
    </w:p>
    <w:p>
      <w:pPr>
        <w:spacing w:line="460" w:lineRule="exact"/>
        <w:ind w:firstLine="480" w:firstLineChars="200"/>
        <w:rPr>
          <w:rFonts w:ascii="宋体" w:hAnsi="宋体" w:cs="宋体"/>
          <w:sz w:val="24"/>
          <w:szCs w:val="24"/>
        </w:rPr>
      </w:pPr>
      <w:r>
        <w:rPr>
          <w:rFonts w:hint="eastAsia" w:ascii="宋体" w:hAnsi="宋体" w:cs="宋体"/>
          <w:sz w:val="24"/>
          <w:szCs w:val="24"/>
        </w:rPr>
        <w:t>10.3 凡投标人投标保证金交纳至同一标段相同子账号的，保证金暂不予退还对涉嫌串通投标等违规行为的，移交有关部门进行查处。经调查核实后，按有关规定处理。不予退还的保证金上缴国库。</w:t>
      </w:r>
    </w:p>
    <w:p>
      <w:pPr>
        <w:spacing w:line="460" w:lineRule="exact"/>
        <w:ind w:firstLine="480" w:firstLineChars="200"/>
        <w:rPr>
          <w:rFonts w:ascii="宋体" w:hAnsi="宋体" w:cs="宋体"/>
          <w:sz w:val="24"/>
          <w:szCs w:val="24"/>
        </w:rPr>
      </w:pPr>
      <w:r>
        <w:rPr>
          <w:rFonts w:hint="eastAsia" w:ascii="宋体" w:hAnsi="宋体" w:cs="宋体"/>
          <w:sz w:val="24"/>
          <w:szCs w:val="24"/>
        </w:rPr>
        <w:t>10.4 相关法律、法规规定不予退还的其它情形。</w:t>
      </w:r>
    </w:p>
    <w:p>
      <w:pPr>
        <w:topLinePunct/>
        <w:spacing w:line="460" w:lineRule="exact"/>
        <w:ind w:firstLine="482" w:firstLineChars="200"/>
        <w:contextualSpacing/>
        <w:rPr>
          <w:rFonts w:ascii="宋体" w:hAnsi="宋体" w:cs="宋体"/>
          <w:b/>
          <w:sz w:val="24"/>
          <w:szCs w:val="24"/>
        </w:rPr>
      </w:pPr>
      <w:r>
        <w:rPr>
          <w:rFonts w:hint="eastAsia" w:ascii="宋体" w:hAnsi="宋体" w:cs="宋体"/>
          <w:b/>
          <w:sz w:val="24"/>
          <w:szCs w:val="24"/>
        </w:rPr>
        <w:t>3.5资格审查资料</w:t>
      </w:r>
      <w:bookmarkEnd w:id="86"/>
      <w:bookmarkEnd w:id="87"/>
      <w:bookmarkEnd w:id="88"/>
      <w:bookmarkEnd w:id="89"/>
      <w:bookmarkEnd w:id="90"/>
      <w:bookmarkStart w:id="91" w:name="_Toc179632571"/>
      <w:bookmarkStart w:id="92" w:name="_Toc144974521"/>
      <w:bookmarkStart w:id="93" w:name="_Toc152045553"/>
      <w:bookmarkStart w:id="94" w:name="_Toc152042329"/>
    </w:p>
    <w:p>
      <w:pPr>
        <w:topLinePunct/>
        <w:spacing w:line="460" w:lineRule="exact"/>
        <w:ind w:firstLine="480" w:firstLineChars="200"/>
        <w:contextualSpacing/>
        <w:rPr>
          <w:rFonts w:ascii="宋体" w:hAnsi="宋体" w:cs="宋体"/>
          <w:sz w:val="24"/>
          <w:szCs w:val="24"/>
        </w:rPr>
      </w:pPr>
      <w:r>
        <w:rPr>
          <w:rFonts w:hint="eastAsia" w:ascii="宋体" w:hAnsi="宋体" w:cs="宋体"/>
          <w:sz w:val="24"/>
          <w:szCs w:val="24"/>
        </w:rPr>
        <w:t>3.5.1 “投标人基本情况表”应附投标人营业执照副本、安全生产许可证、资质证书副本等材料的扫描件。</w:t>
      </w:r>
    </w:p>
    <w:p>
      <w:pPr>
        <w:topLinePunct/>
        <w:spacing w:line="440" w:lineRule="exact"/>
        <w:ind w:firstLine="480" w:firstLineChars="200"/>
        <w:contextualSpacing/>
        <w:rPr>
          <w:rFonts w:ascii="宋体" w:hAnsi="宋体" w:cs="宋体"/>
          <w:sz w:val="24"/>
          <w:szCs w:val="24"/>
        </w:rPr>
      </w:pPr>
      <w:r>
        <w:rPr>
          <w:rFonts w:hint="eastAsia" w:ascii="宋体" w:hAnsi="宋体" w:cs="宋体"/>
          <w:sz w:val="24"/>
          <w:szCs w:val="24"/>
        </w:rPr>
        <w:t>3.5.2 “近年财务状况表”应附有效的经会计师事务所或审计机构审计的财务会计报表，包括资产负债表、现金流量表、利润表和所有者权益变动表及其附注的扫描件，具体年份要求见投标人须知前附表。</w:t>
      </w:r>
    </w:p>
    <w:p>
      <w:pPr>
        <w:topLinePunct/>
        <w:spacing w:line="440" w:lineRule="exact"/>
        <w:ind w:firstLine="480" w:firstLineChars="200"/>
        <w:contextualSpacing/>
        <w:rPr>
          <w:rFonts w:hAnsi="宋体" w:cs="宋体"/>
          <w:sz w:val="24"/>
          <w:szCs w:val="24"/>
        </w:rPr>
      </w:pPr>
      <w:r>
        <w:rPr>
          <w:rFonts w:hint="eastAsia" w:ascii="宋体" w:hAnsi="宋体" w:cs="宋体"/>
          <w:sz w:val="24"/>
          <w:szCs w:val="24"/>
        </w:rPr>
        <w:t>3.5.3 “近年完成的类似项目情况表”应附法定媒介中标（成交）公示网页截图、合同、中标通知书（或竣工备案表）。具体年份要求见投标人须知前附表。每张表格只填写一个项目，并标明序号。</w:t>
      </w:r>
    </w:p>
    <w:p>
      <w:pPr>
        <w:topLinePunct/>
        <w:spacing w:line="440" w:lineRule="exact"/>
        <w:ind w:firstLine="480" w:firstLineChars="200"/>
        <w:contextualSpacing/>
        <w:rPr>
          <w:rFonts w:ascii="宋体" w:hAnsi="宋体" w:cs="宋体"/>
          <w:sz w:val="24"/>
          <w:szCs w:val="24"/>
        </w:rPr>
      </w:pPr>
      <w:r>
        <w:rPr>
          <w:rFonts w:hint="eastAsia" w:ascii="宋体" w:hAnsi="宋体" w:cs="宋体"/>
          <w:sz w:val="24"/>
          <w:szCs w:val="24"/>
        </w:rPr>
        <w:t>3.5.4“正在施工和新承接的项目情况表”应附法定媒介中标（成交）公示网页截图、合同、中标通知书。每张表格只填写一个项目，并标明序号。</w:t>
      </w:r>
    </w:p>
    <w:p>
      <w:pPr>
        <w:topLinePunct/>
        <w:spacing w:line="440" w:lineRule="exact"/>
        <w:ind w:firstLine="480" w:firstLineChars="200"/>
        <w:contextualSpacing/>
        <w:rPr>
          <w:rFonts w:ascii="宋体" w:hAnsi="宋体" w:cs="宋体"/>
          <w:sz w:val="24"/>
          <w:szCs w:val="24"/>
        </w:rPr>
      </w:pPr>
      <w:r>
        <w:rPr>
          <w:rFonts w:hint="eastAsia" w:ascii="宋体" w:hAnsi="宋体" w:cs="宋体"/>
          <w:sz w:val="24"/>
          <w:szCs w:val="24"/>
        </w:rPr>
        <w:t>3.5.5“近年发生的诉讼及仲裁情况”应说明相关情况，并附法院或仲裁机构作出的判决、裁决等有关法律文件扫描件，具体年份要求见投标人须知前附表。</w:t>
      </w:r>
    </w:p>
    <w:bookmarkEnd w:id="91"/>
    <w:bookmarkEnd w:id="92"/>
    <w:bookmarkEnd w:id="93"/>
    <w:bookmarkEnd w:id="94"/>
    <w:p>
      <w:pPr>
        <w:topLinePunct/>
        <w:spacing w:line="440" w:lineRule="exact"/>
        <w:ind w:firstLine="482" w:firstLineChars="200"/>
        <w:contextualSpacing/>
        <w:rPr>
          <w:rFonts w:ascii="宋体" w:hAnsi="宋体" w:cs="宋体"/>
          <w:b/>
          <w:bCs/>
          <w:sz w:val="24"/>
          <w:szCs w:val="24"/>
        </w:rPr>
      </w:pPr>
      <w:bookmarkStart w:id="95" w:name="_Hlk534616169"/>
      <w:r>
        <w:rPr>
          <w:rFonts w:hint="eastAsia" w:ascii="宋体" w:hAnsi="宋体" w:cs="宋体"/>
          <w:b/>
          <w:bCs/>
          <w:sz w:val="24"/>
          <w:szCs w:val="24"/>
        </w:rPr>
        <w:t>3</w:t>
      </w:r>
      <w:r>
        <w:rPr>
          <w:rFonts w:ascii="宋体" w:hAnsi="宋体" w:cs="宋体"/>
          <w:b/>
          <w:bCs/>
          <w:sz w:val="24"/>
          <w:szCs w:val="24"/>
        </w:rPr>
        <w:t>.5.6</w:t>
      </w:r>
      <w:r>
        <w:rPr>
          <w:rFonts w:hint="eastAsia" w:ascii="宋体" w:hAnsi="宋体" w:cs="宋体"/>
          <w:b/>
          <w:bCs/>
          <w:sz w:val="24"/>
          <w:szCs w:val="24"/>
        </w:rPr>
        <w:t>被列入失信被执行人名单的投标人，其投标将被拒绝。</w:t>
      </w:r>
    </w:p>
    <w:p>
      <w:pPr>
        <w:topLinePunct/>
        <w:spacing w:line="440" w:lineRule="exact"/>
        <w:ind w:firstLine="482" w:firstLineChars="200"/>
        <w:contextualSpacing/>
        <w:rPr>
          <w:rFonts w:ascii="宋体" w:hAnsi="宋体" w:cs="宋体"/>
          <w:b/>
          <w:bCs/>
          <w:sz w:val="24"/>
          <w:szCs w:val="24"/>
        </w:rPr>
      </w:pPr>
      <w:r>
        <w:rPr>
          <w:rFonts w:hint="eastAsia" w:ascii="宋体" w:hAnsi="宋体" w:cs="宋体"/>
          <w:b/>
          <w:bCs/>
          <w:sz w:val="24"/>
          <w:szCs w:val="24"/>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
          <w:bCs/>
          <w:sz w:val="24"/>
        </w:rPr>
        <w:t>投标人无须提供信用记录查询结果网页截图。</w:t>
      </w:r>
    </w:p>
    <w:p>
      <w:pPr>
        <w:topLinePunct/>
        <w:spacing w:line="440" w:lineRule="exact"/>
        <w:ind w:firstLine="482" w:firstLineChars="200"/>
        <w:contextualSpacing/>
        <w:rPr>
          <w:rFonts w:ascii="宋体" w:hAnsi="宋体" w:cs="宋体"/>
          <w:b/>
          <w:bCs/>
          <w:sz w:val="24"/>
          <w:szCs w:val="24"/>
        </w:rPr>
      </w:pPr>
      <w:r>
        <w:rPr>
          <w:rFonts w:hint="eastAsia" w:ascii="宋体" w:hAnsi="宋体" w:cs="宋体"/>
          <w:b/>
          <w:bCs/>
          <w:sz w:val="24"/>
          <w:szCs w:val="24"/>
        </w:rPr>
        <w:t>信用信息查询记录和证据留存具体方式：经评标委员会确认的查询结果网页截图作为查询记录和证据，与其他文件一并存档。</w:t>
      </w:r>
      <w:bookmarkEnd w:id="95"/>
    </w:p>
    <w:p>
      <w:pPr>
        <w:topLinePunct/>
        <w:spacing w:line="440" w:lineRule="exact"/>
        <w:ind w:firstLine="480" w:firstLineChars="200"/>
        <w:contextualSpacing/>
        <w:rPr>
          <w:rFonts w:ascii="宋体" w:hAnsi="宋体" w:cs="宋体"/>
          <w:sz w:val="24"/>
          <w:szCs w:val="24"/>
        </w:rPr>
      </w:pPr>
      <w:bookmarkStart w:id="96" w:name="_Toc311013705"/>
      <w:bookmarkStart w:id="97" w:name="_Toc311013706"/>
      <w:bookmarkStart w:id="98" w:name="_Toc144974522"/>
      <w:bookmarkStart w:id="99" w:name="_Toc152042330"/>
      <w:bookmarkStart w:id="100" w:name="_Toc179632572"/>
      <w:bookmarkStart w:id="101" w:name="_Toc152045554"/>
      <w:r>
        <w:rPr>
          <w:rFonts w:hint="eastAsia" w:ascii="宋体" w:hAnsi="宋体" w:cs="宋体"/>
          <w:sz w:val="24"/>
          <w:szCs w:val="24"/>
        </w:rPr>
        <w:t>3.6 备选投标方案（不接受）</w:t>
      </w:r>
      <w:bookmarkEnd w:id="96"/>
    </w:p>
    <w:p>
      <w:pPr>
        <w:topLinePunct/>
        <w:spacing w:line="440" w:lineRule="exact"/>
        <w:ind w:firstLine="482" w:firstLineChars="200"/>
        <w:contextualSpacing/>
        <w:rPr>
          <w:rFonts w:ascii="宋体" w:hAnsi="宋体" w:cs="宋体"/>
          <w:b/>
          <w:sz w:val="24"/>
          <w:szCs w:val="24"/>
        </w:rPr>
      </w:pPr>
      <w:r>
        <w:rPr>
          <w:rFonts w:hint="eastAsia" w:ascii="宋体" w:hAnsi="宋体" w:cs="宋体"/>
          <w:b/>
          <w:sz w:val="24"/>
          <w:szCs w:val="24"/>
        </w:rPr>
        <w:t>3.7 投标文件的编制</w:t>
      </w:r>
      <w:bookmarkEnd w:id="97"/>
      <w:bookmarkEnd w:id="98"/>
      <w:bookmarkEnd w:id="99"/>
      <w:bookmarkEnd w:id="100"/>
      <w:bookmarkEnd w:id="101"/>
    </w:p>
    <w:p>
      <w:pPr>
        <w:spacing w:line="440" w:lineRule="exact"/>
        <w:ind w:firstLine="480" w:firstLineChars="200"/>
        <w:contextualSpacing/>
        <w:rPr>
          <w:rFonts w:ascii="宋体" w:hAnsi="宋体" w:cs="宋体"/>
          <w:sz w:val="24"/>
          <w:szCs w:val="24"/>
        </w:rPr>
      </w:pPr>
      <w:r>
        <w:rPr>
          <w:rFonts w:ascii="宋体" w:hAnsi="宋体" w:cs="宋体"/>
          <w:sz w:val="24"/>
          <w:szCs w:val="24"/>
        </w:rPr>
        <w:t xml:space="preserve">3.7.1 </w:t>
      </w:r>
      <w:r>
        <w:rPr>
          <w:rFonts w:hint="eastAsia" w:ascii="宋体" w:hAnsi="宋体" w:cs="宋体"/>
          <w:sz w:val="24"/>
          <w:szCs w:val="24"/>
        </w:rPr>
        <w:t>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contextualSpacing/>
        <w:jc w:val="left"/>
        <w:outlineLvl w:val="0"/>
        <w:rPr>
          <w:rFonts w:ascii="宋体" w:hAnsi="宋体" w:cs="宋体"/>
          <w:sz w:val="24"/>
          <w:szCs w:val="24"/>
        </w:rPr>
      </w:pPr>
      <w:r>
        <w:rPr>
          <w:rFonts w:ascii="宋体" w:hAnsi="宋体" w:cs="宋体"/>
          <w:sz w:val="24"/>
          <w:szCs w:val="24"/>
        </w:rPr>
        <w:t xml:space="preserve">3.7.2 </w:t>
      </w:r>
      <w:r>
        <w:rPr>
          <w:rFonts w:hint="eastAsia" w:ascii="宋体" w:hAnsi="宋体" w:cs="宋体"/>
          <w:sz w:val="24"/>
          <w:szCs w:val="24"/>
        </w:rPr>
        <w:t>投标文件应当对招标文件有关工期、投标有效期、质量要求、招标范围作出响应。</w:t>
      </w:r>
    </w:p>
    <w:p>
      <w:pPr>
        <w:tabs>
          <w:tab w:val="left" w:pos="7095"/>
        </w:tabs>
        <w:spacing w:line="440" w:lineRule="exact"/>
        <w:ind w:firstLine="480" w:firstLineChars="200"/>
        <w:contextualSpacing/>
        <w:rPr>
          <w:rFonts w:ascii="宋体" w:hAnsi="宋体" w:cs="宋体"/>
          <w:sz w:val="24"/>
          <w:szCs w:val="24"/>
        </w:rPr>
      </w:pPr>
      <w:r>
        <w:rPr>
          <w:rFonts w:ascii="宋体" w:hAnsi="宋体" w:cs="宋体"/>
          <w:sz w:val="24"/>
          <w:szCs w:val="24"/>
        </w:rPr>
        <w:t xml:space="preserve">3.7.3 </w:t>
      </w:r>
      <w:r>
        <w:rPr>
          <w:rFonts w:hint="eastAsia" w:ascii="宋体" w:hAnsi="宋体" w:cs="宋体"/>
          <w:sz w:val="24"/>
          <w:szCs w:val="24"/>
        </w:rPr>
        <w:t>投标人编制的投标文件应分为商务标、综合（信用）标和技术标。</w:t>
      </w:r>
    </w:p>
    <w:p>
      <w:pPr>
        <w:tabs>
          <w:tab w:val="left" w:pos="7095"/>
        </w:tabs>
        <w:spacing w:line="440" w:lineRule="exact"/>
        <w:ind w:firstLine="480" w:firstLineChars="200"/>
        <w:contextualSpacing/>
        <w:rPr>
          <w:rFonts w:ascii="宋体" w:hAnsi="宋体"/>
          <w:sz w:val="24"/>
          <w:szCs w:val="24"/>
        </w:rPr>
      </w:pPr>
      <w:r>
        <w:rPr>
          <w:rFonts w:ascii="宋体" w:hAnsi="宋体" w:cs="宋体"/>
          <w:sz w:val="24"/>
          <w:szCs w:val="24"/>
        </w:rPr>
        <w:t xml:space="preserve">3.7.4 </w:t>
      </w:r>
      <w:r>
        <w:rPr>
          <w:rFonts w:hint="eastAsia" w:ascii="宋体" w:hAnsi="宋体"/>
          <w:sz w:val="24"/>
          <w:szCs w:val="24"/>
        </w:rPr>
        <w:t>投标人登录许昌公共资源交易系统下载“许昌投标文件制作系统</w:t>
      </w:r>
      <w:r>
        <w:rPr>
          <w:rFonts w:ascii="宋体" w:hAnsi="宋体"/>
          <w:sz w:val="24"/>
          <w:szCs w:val="24"/>
        </w:rPr>
        <w:t>SEARUN V1.1</w:t>
      </w:r>
      <w:r>
        <w:rPr>
          <w:rFonts w:hint="eastAsia" w:ascii="宋体" w:hAnsi="宋体"/>
          <w:sz w:val="24"/>
          <w:szCs w:val="24"/>
        </w:rPr>
        <w:t>”，按招标文件要求制作电子投标文件。</w:t>
      </w:r>
    </w:p>
    <w:p>
      <w:pPr>
        <w:tabs>
          <w:tab w:val="left" w:pos="7095"/>
        </w:tabs>
        <w:spacing w:line="440" w:lineRule="exact"/>
        <w:ind w:firstLine="480" w:firstLineChars="200"/>
        <w:contextualSpacing/>
        <w:rPr>
          <w:rFonts w:ascii="宋体" w:hAnsi="宋体" w:cs="黑体"/>
          <w:b/>
          <w:sz w:val="24"/>
          <w:szCs w:val="24"/>
        </w:rPr>
      </w:pPr>
      <w:r>
        <w:rPr>
          <w:rFonts w:hint="eastAsia" w:ascii="宋体" w:hAnsi="宋体"/>
          <w:sz w:val="24"/>
          <w:szCs w:val="24"/>
        </w:rPr>
        <w:t>3.7.5当生成的电子投标文件投标报价大小写不一致时，以大写为准。</w:t>
      </w:r>
    </w:p>
    <w:p>
      <w:pPr>
        <w:autoSpaceDE w:val="0"/>
        <w:autoSpaceDN w:val="0"/>
        <w:spacing w:line="440" w:lineRule="exact"/>
        <w:ind w:firstLine="482" w:firstLineChars="200"/>
        <w:contextualSpacing/>
        <w:jc w:val="left"/>
        <w:outlineLvl w:val="0"/>
        <w:rPr>
          <w:rFonts w:ascii="宋体" w:hAnsi="宋体" w:cs="宋体"/>
          <w:b/>
          <w:sz w:val="24"/>
          <w:szCs w:val="24"/>
        </w:rPr>
      </w:pPr>
      <w:r>
        <w:rPr>
          <w:rFonts w:ascii="宋体" w:hAnsi="宋体" w:cs="宋体"/>
          <w:b/>
          <w:sz w:val="24"/>
          <w:szCs w:val="24"/>
        </w:rPr>
        <w:t xml:space="preserve">3.7.6 </w:t>
      </w:r>
      <w:r>
        <w:rPr>
          <w:rFonts w:hint="eastAsia" w:ascii="宋体" w:hAnsi="宋体" w:cs="宋体"/>
          <w:b/>
          <w:sz w:val="24"/>
          <w:szCs w:val="24"/>
        </w:rPr>
        <w:t>商务标投标文件制作注意事项：</w:t>
      </w:r>
    </w:p>
    <w:p>
      <w:pPr>
        <w:spacing w:line="440" w:lineRule="exact"/>
        <w:contextualSpacing/>
        <w:rPr>
          <w:rFonts w:ascii="宋体" w:hAnsi="宋体" w:cs="宋体"/>
          <w:sz w:val="24"/>
          <w:szCs w:val="24"/>
        </w:rPr>
      </w:pPr>
      <w:r>
        <w:rPr>
          <w:rFonts w:hint="eastAsia" w:ascii="宋体" w:hAnsi="宋体" w:cs="宋体"/>
          <w:sz w:val="24"/>
          <w:szCs w:val="24"/>
        </w:rPr>
        <w:t xml:space="preserve">  3.7.</w:t>
      </w:r>
      <w:r>
        <w:rPr>
          <w:rFonts w:ascii="宋体" w:hAnsi="宋体" w:cs="宋体"/>
          <w:sz w:val="24"/>
          <w:szCs w:val="24"/>
        </w:rPr>
        <w:t>6</w:t>
      </w:r>
      <w:r>
        <w:rPr>
          <w:rFonts w:hint="eastAsia" w:ascii="宋体" w:hAnsi="宋体" w:cs="宋体"/>
          <w:sz w:val="24"/>
          <w:szCs w:val="24"/>
        </w:rPr>
        <w:t>.1 投标人登录【全国公共资源交易平台（河南省·许昌市）】公共资源交易系统下载“许昌投标文件制作系统SEARUN V1.</w:t>
      </w:r>
      <w:r>
        <w:rPr>
          <w:rFonts w:ascii="宋体" w:hAnsi="宋体" w:cs="宋体"/>
          <w:sz w:val="24"/>
          <w:szCs w:val="24"/>
        </w:rPr>
        <w:t>1</w:t>
      </w:r>
      <w:r>
        <w:rPr>
          <w:rFonts w:hint="eastAsia" w:ascii="宋体" w:hAnsi="宋体" w:cs="宋体"/>
          <w:sz w:val="24"/>
          <w:szCs w:val="24"/>
        </w:rPr>
        <w:t>”和操作手册（工程项目），按招标文件要求制作商务标投标文件。</w:t>
      </w:r>
    </w:p>
    <w:p>
      <w:pPr>
        <w:spacing w:line="480" w:lineRule="exact"/>
        <w:ind w:firstLine="360" w:firstLineChars="150"/>
        <w:contextualSpacing/>
        <w:rPr>
          <w:rFonts w:ascii="宋体" w:hAnsi="宋体" w:cs="宋体"/>
          <w:sz w:val="24"/>
          <w:szCs w:val="24"/>
        </w:rPr>
      </w:pPr>
      <w:r>
        <w:rPr>
          <w:rFonts w:hint="eastAsia" w:ascii="宋体" w:hAnsi="宋体" w:cs="宋体"/>
          <w:sz w:val="24"/>
          <w:szCs w:val="24"/>
        </w:rPr>
        <w:t>3.7.</w:t>
      </w:r>
      <w:r>
        <w:rPr>
          <w:rFonts w:ascii="宋体" w:hAnsi="宋体" w:cs="宋体"/>
          <w:sz w:val="24"/>
          <w:szCs w:val="24"/>
        </w:rPr>
        <w:t>6</w:t>
      </w:r>
      <w:r>
        <w:rPr>
          <w:rFonts w:hint="eastAsia" w:ascii="宋体" w:hAnsi="宋体" w:cs="宋体"/>
          <w:sz w:val="24"/>
          <w:szCs w:val="24"/>
        </w:rPr>
        <w:t>.2 商务标投标文件制作技术咨询：0374-2961598。</w:t>
      </w:r>
    </w:p>
    <w:p>
      <w:pPr>
        <w:pStyle w:val="3"/>
        <w:topLinePunct/>
        <w:spacing w:before="0" w:after="0" w:line="480" w:lineRule="exact"/>
        <w:contextualSpacing/>
        <w:rPr>
          <w:rFonts w:ascii="宋体" w:hAnsi="宋体" w:eastAsia="宋体" w:cs="宋体"/>
          <w:sz w:val="24"/>
          <w:szCs w:val="24"/>
        </w:rPr>
      </w:pPr>
      <w:r>
        <w:rPr>
          <w:rFonts w:hint="eastAsia" w:ascii="宋体" w:hAnsi="宋体" w:eastAsia="宋体" w:cs="宋体"/>
          <w:sz w:val="24"/>
          <w:szCs w:val="24"/>
        </w:rPr>
        <w:t>4. 投标</w:t>
      </w:r>
      <w:bookmarkEnd w:id="69"/>
    </w:p>
    <w:p>
      <w:pPr>
        <w:autoSpaceDE w:val="0"/>
        <w:autoSpaceDN w:val="0"/>
        <w:spacing w:line="480" w:lineRule="exact"/>
        <w:ind w:firstLine="472" w:firstLineChars="196"/>
        <w:contextualSpacing/>
        <w:jc w:val="left"/>
        <w:outlineLvl w:val="0"/>
        <w:rPr>
          <w:rFonts w:ascii="宋体" w:hAnsi="宋体" w:cs="宋体"/>
          <w:b/>
          <w:sz w:val="24"/>
          <w:szCs w:val="24"/>
        </w:rPr>
      </w:pPr>
      <w:bookmarkStart w:id="102" w:name="_Toc283559962"/>
      <w:bookmarkStart w:id="103" w:name="_Toc311013709"/>
      <w:bookmarkStart w:id="104" w:name="_Toc152042333"/>
      <w:bookmarkStart w:id="105" w:name="_Toc152045557"/>
      <w:bookmarkStart w:id="106" w:name="_Toc179632575"/>
      <w:bookmarkStart w:id="107" w:name="_Toc144974525"/>
      <w:bookmarkStart w:id="108" w:name="_Toc450029256"/>
      <w:r>
        <w:rPr>
          <w:rFonts w:ascii="宋体" w:hAnsi="宋体" w:cs="宋体"/>
          <w:b/>
          <w:sz w:val="24"/>
          <w:szCs w:val="24"/>
        </w:rPr>
        <w:t>4.1</w:t>
      </w:r>
      <w:bookmarkEnd w:id="102"/>
      <w:r>
        <w:rPr>
          <w:rFonts w:hint="eastAsia" w:ascii="宋体" w:hAnsi="宋体" w:cs="宋体"/>
          <w:b/>
          <w:sz w:val="24"/>
          <w:szCs w:val="24"/>
        </w:rPr>
        <w:t>投标文件的提交</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4.1.1 投标人应在投标人须知前附表中规定的投标截止时间前成功上传电子投标文件。</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4.1.2 除投标人须知前附表另有规定外，投标人所提交的电子投标文件不予退还。</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4.1.3 逾期未成功上传的电子投标文件，招标人不予受理。</w:t>
      </w:r>
    </w:p>
    <w:p>
      <w:pPr>
        <w:autoSpaceDE w:val="0"/>
        <w:autoSpaceDN w:val="0"/>
        <w:spacing w:line="480" w:lineRule="exact"/>
        <w:ind w:firstLine="472" w:firstLineChars="196"/>
        <w:contextualSpacing/>
        <w:jc w:val="left"/>
        <w:outlineLvl w:val="0"/>
        <w:rPr>
          <w:rFonts w:ascii="宋体" w:hAnsi="宋体" w:cs="宋体"/>
          <w:b/>
          <w:sz w:val="24"/>
          <w:szCs w:val="24"/>
        </w:rPr>
      </w:pPr>
      <w:r>
        <w:rPr>
          <w:rFonts w:ascii="宋体" w:hAnsi="宋体" w:cs="宋体"/>
          <w:b/>
          <w:sz w:val="24"/>
          <w:szCs w:val="24"/>
        </w:rPr>
        <w:t xml:space="preserve">4.2 </w:t>
      </w:r>
      <w:bookmarkEnd w:id="103"/>
      <w:bookmarkEnd w:id="104"/>
      <w:bookmarkEnd w:id="105"/>
      <w:bookmarkEnd w:id="106"/>
      <w:bookmarkEnd w:id="107"/>
      <w:r>
        <w:rPr>
          <w:rFonts w:hint="eastAsia" w:ascii="宋体" w:hAnsi="宋体" w:cs="宋体"/>
          <w:b/>
          <w:sz w:val="24"/>
          <w:szCs w:val="24"/>
        </w:rPr>
        <w:t>投标文件的修改与撤回</w:t>
      </w:r>
    </w:p>
    <w:bookmarkEnd w:id="108"/>
    <w:p>
      <w:pPr>
        <w:autoSpaceDE w:val="0"/>
        <w:autoSpaceDN w:val="0"/>
        <w:spacing w:line="480" w:lineRule="exact"/>
        <w:ind w:firstLine="470" w:firstLineChars="196"/>
        <w:contextualSpacing/>
        <w:jc w:val="left"/>
        <w:outlineLvl w:val="0"/>
        <w:rPr>
          <w:rFonts w:ascii="宋体" w:hAnsi="宋体" w:cs="宋体"/>
          <w:sz w:val="24"/>
          <w:szCs w:val="24"/>
        </w:rPr>
      </w:pPr>
      <w:bookmarkStart w:id="109" w:name="_Toc10603"/>
      <w:bookmarkStart w:id="110" w:name="_Toc311013711"/>
      <w:r>
        <w:rPr>
          <w:rFonts w:hint="eastAsia" w:ascii="宋体" w:hAnsi="宋体" w:cs="宋体"/>
          <w:sz w:val="24"/>
          <w:szCs w:val="24"/>
        </w:rPr>
        <w:t>4.2.1 在本章第2.2.2 项规定的投标截止时间前，投标人可以修改或撤回已提交的电子投标文件。</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4.2.</w:t>
      </w:r>
      <w:r>
        <w:rPr>
          <w:rFonts w:ascii="宋体" w:hAnsi="宋体" w:cs="宋体"/>
          <w:sz w:val="24"/>
          <w:szCs w:val="24"/>
        </w:rPr>
        <w:t>2</w:t>
      </w:r>
      <w:r>
        <w:rPr>
          <w:rFonts w:hint="eastAsia" w:ascii="宋体" w:hAnsi="宋体" w:cs="宋体"/>
          <w:sz w:val="24"/>
          <w:szCs w:val="24"/>
        </w:rPr>
        <w:t xml:space="preserve"> 修改的内容为投标文件的组成部分。修改的电子投标文件应按照本章第3条、第4条规定进行编制、标记和提交，并标明“修改”字样。</w:t>
      </w:r>
    </w:p>
    <w:p>
      <w:pPr>
        <w:autoSpaceDE w:val="0"/>
        <w:autoSpaceDN w:val="0"/>
        <w:spacing w:line="480" w:lineRule="exact"/>
        <w:ind w:firstLine="470" w:firstLineChars="196"/>
        <w:contextualSpacing/>
        <w:jc w:val="left"/>
        <w:outlineLvl w:val="0"/>
        <w:rPr>
          <w:rFonts w:ascii="宋体" w:hAnsi="宋体" w:cs="宋体"/>
          <w:sz w:val="24"/>
          <w:szCs w:val="24"/>
        </w:rPr>
      </w:pPr>
      <w:r>
        <w:rPr>
          <w:rFonts w:hint="eastAsia" w:ascii="宋体" w:hAnsi="宋体" w:cs="宋体"/>
          <w:sz w:val="24"/>
          <w:szCs w:val="24"/>
        </w:rPr>
        <w:t>4.2.</w:t>
      </w:r>
      <w:r>
        <w:rPr>
          <w:rFonts w:ascii="宋体" w:hAnsi="宋体" w:cs="宋体"/>
          <w:sz w:val="24"/>
          <w:szCs w:val="24"/>
        </w:rPr>
        <w:t>3</w:t>
      </w:r>
      <w:r>
        <w:rPr>
          <w:rFonts w:hint="eastAsia" w:ascii="宋体" w:hAnsi="宋体" w:cs="宋体"/>
          <w:sz w:val="24"/>
          <w:szCs w:val="24"/>
        </w:rPr>
        <w:t xml:space="preserve"> 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460" w:lineRule="exact"/>
        <w:contextualSpacing/>
        <w:jc w:val="left"/>
        <w:rPr>
          <w:rFonts w:ascii="宋体" w:hAnsi="宋体" w:cs="宋体"/>
          <w:b/>
          <w:sz w:val="24"/>
          <w:szCs w:val="24"/>
        </w:rPr>
      </w:pPr>
      <w:r>
        <w:rPr>
          <w:rFonts w:hint="eastAsia" w:ascii="宋体" w:hAnsi="宋体" w:cs="宋体"/>
          <w:b/>
          <w:bCs/>
          <w:sz w:val="24"/>
          <w:szCs w:val="24"/>
        </w:rPr>
        <w:t>5. 开标</w:t>
      </w:r>
      <w:bookmarkEnd w:id="109"/>
      <w:bookmarkEnd w:id="110"/>
      <w:r>
        <w:rPr>
          <w:rFonts w:hint="eastAsia" w:ascii="宋体" w:hAnsi="宋体" w:cs="宋体"/>
          <w:b/>
          <w:sz w:val="24"/>
          <w:szCs w:val="24"/>
        </w:rPr>
        <w:t>、解密、唱标程序</w:t>
      </w:r>
    </w:p>
    <w:p>
      <w:pPr>
        <w:autoSpaceDE w:val="0"/>
        <w:autoSpaceDN w:val="0"/>
        <w:adjustRightInd w:val="0"/>
        <w:spacing w:line="460" w:lineRule="exact"/>
        <w:jc w:val="left"/>
        <w:outlineLvl w:val="0"/>
        <w:rPr>
          <w:rFonts w:hAnsi="宋体" w:cs="宋体"/>
          <w:b/>
          <w:color w:val="000000"/>
          <w:sz w:val="24"/>
        </w:rPr>
      </w:pPr>
      <w:bookmarkStart w:id="111" w:name="_Toc283559968"/>
      <w:bookmarkStart w:id="112" w:name="_Toc311013714"/>
      <w:bookmarkStart w:id="113" w:name="_Toc152042338"/>
      <w:bookmarkStart w:id="114" w:name="_Toc144974530"/>
      <w:bookmarkStart w:id="115" w:name="_Toc179632580"/>
      <w:bookmarkStart w:id="116" w:name="_Toc152045562"/>
      <w:bookmarkStart w:id="117" w:name="_Toc6454"/>
      <w:r>
        <w:rPr>
          <w:rFonts w:hint="eastAsia" w:hAnsi="宋体" w:cs="宋体"/>
          <w:b/>
          <w:color w:val="000000"/>
          <w:sz w:val="24"/>
        </w:rPr>
        <w:t>5.1 开标时间和地点</w:t>
      </w:r>
      <w:bookmarkEnd w:id="111"/>
    </w:p>
    <w:p>
      <w:pPr>
        <w:spacing w:line="460" w:lineRule="exact"/>
        <w:ind w:firstLine="480" w:firstLineChars="200"/>
        <w:rPr>
          <w:rFonts w:hAnsi="宋体" w:cs="宋体"/>
          <w:color w:val="000000"/>
          <w:sz w:val="24"/>
        </w:rPr>
      </w:pPr>
      <w:r>
        <w:rPr>
          <w:rFonts w:hint="eastAsia" w:hAnsi="宋体" w:cs="宋体"/>
          <w:color w:val="000000"/>
          <w:sz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460" w:lineRule="exact"/>
        <w:jc w:val="left"/>
        <w:rPr>
          <w:rFonts w:hAnsi="宋体" w:cs="宋体"/>
          <w:b/>
          <w:color w:val="000000"/>
          <w:sz w:val="24"/>
        </w:rPr>
      </w:pPr>
      <w:r>
        <w:rPr>
          <w:rFonts w:hint="eastAsia" w:hAnsi="宋体" w:cs="宋体"/>
          <w:b/>
          <w:color w:val="000000"/>
          <w:sz w:val="24"/>
        </w:rPr>
        <w:t>5.2 开标程序</w:t>
      </w:r>
    </w:p>
    <w:p>
      <w:pPr>
        <w:spacing w:line="360" w:lineRule="auto"/>
        <w:ind w:firstLine="480" w:firstLineChars="200"/>
        <w:rPr>
          <w:rFonts w:hAnsi="宋体"/>
          <w:sz w:val="24"/>
        </w:rPr>
      </w:pPr>
      <w:r>
        <w:rPr>
          <w:rFonts w:hint="eastAsia" w:hAnsi="宋体" w:cs="宋体"/>
          <w:sz w:val="24"/>
        </w:rPr>
        <w:t>（1）</w:t>
      </w:r>
      <w:r>
        <w:rPr>
          <w:rFonts w:hint="eastAsia" w:hAnsi="宋体"/>
          <w:sz w:val="24"/>
        </w:rPr>
        <w:t>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480" w:firstLineChars="200"/>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480" w:firstLineChars="200"/>
        <w:rPr>
          <w:rFonts w:hAnsi="宋体"/>
          <w:sz w:val="24"/>
        </w:rPr>
      </w:pPr>
      <w:r>
        <w:rPr>
          <w:rFonts w:hint="eastAsia" w:hAnsi="宋体"/>
          <w:sz w:val="24"/>
        </w:rPr>
        <w:t>（3）解密完成后，招标人（代理机构）点击“系数抽取”按钮进行系数抽取，系数抽取情况在“公告通知”处显示。</w:t>
      </w:r>
    </w:p>
    <w:p>
      <w:pPr>
        <w:spacing w:line="360" w:lineRule="auto"/>
        <w:ind w:firstLine="480" w:firstLineChars="200"/>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rPr>
          <w:rFonts w:hAnsi="宋体"/>
          <w:sz w:val="24"/>
        </w:rPr>
      </w:pPr>
      <w:r>
        <w:rPr>
          <w:rFonts w:hint="eastAsia" w:hAnsi="宋体"/>
          <w:sz w:val="24"/>
        </w:rPr>
        <w:t>（5）如无投标人提出异议，招标代理机构通过“文字互动”对话框通知各投标人进行电子签章。投标人应在《开标记录表》上进行电子签章，未进行电子签章的视为对开标结果无异议。</w:t>
      </w:r>
    </w:p>
    <w:p>
      <w:pPr>
        <w:pStyle w:val="37"/>
        <w:spacing w:line="440" w:lineRule="exact"/>
        <w:ind w:firstLine="480" w:firstLineChars="200"/>
        <w:jc w:val="both"/>
        <w:outlineLvl w:val="0"/>
        <w:rPr>
          <w:rFonts w:hAnsi="宋体"/>
          <w:color w:val="auto"/>
          <w:szCs w:val="22"/>
        </w:rPr>
      </w:pPr>
      <w:r>
        <w:rPr>
          <w:rFonts w:hint="eastAsia" w:hAnsi="宋体"/>
          <w:color w:val="auto"/>
          <w:szCs w:val="22"/>
        </w:rPr>
        <w:t>（6）招标人（代理机构）签章并上传《开标记录表》，不见面开标活动结束。</w:t>
      </w:r>
    </w:p>
    <w:p>
      <w:pPr>
        <w:spacing w:line="460" w:lineRule="exact"/>
        <w:contextualSpacing/>
        <w:outlineLvl w:val="1"/>
        <w:rPr>
          <w:rFonts w:ascii="宋体" w:hAnsi="宋体" w:cs="宋体"/>
          <w:b/>
          <w:bCs/>
          <w:sz w:val="24"/>
          <w:szCs w:val="24"/>
        </w:rPr>
      </w:pPr>
      <w:r>
        <w:rPr>
          <w:rFonts w:hint="eastAsia" w:ascii="宋体" w:hAnsi="宋体" w:cs="宋体"/>
          <w:b/>
          <w:bCs/>
          <w:sz w:val="24"/>
          <w:szCs w:val="24"/>
        </w:rPr>
        <w:t>6. 评标</w:t>
      </w:r>
      <w:bookmarkEnd w:id="112"/>
      <w:bookmarkEnd w:id="113"/>
      <w:bookmarkEnd w:id="114"/>
      <w:bookmarkEnd w:id="115"/>
      <w:bookmarkEnd w:id="116"/>
      <w:r>
        <w:rPr>
          <w:rFonts w:hint="eastAsia" w:ascii="宋体" w:hAnsi="宋体" w:cs="宋体"/>
          <w:b/>
          <w:bCs/>
          <w:sz w:val="24"/>
          <w:szCs w:val="24"/>
        </w:rPr>
        <w:t>委员会</w:t>
      </w:r>
      <w:bookmarkEnd w:id="117"/>
    </w:p>
    <w:p>
      <w:pPr>
        <w:spacing w:line="460" w:lineRule="exact"/>
        <w:contextualSpacing/>
        <w:rPr>
          <w:rFonts w:ascii="宋体" w:hAnsi="宋体" w:cs="宋体"/>
          <w:sz w:val="24"/>
          <w:szCs w:val="24"/>
        </w:rPr>
      </w:pPr>
      <w:bookmarkStart w:id="118" w:name="_Toc152042339"/>
      <w:bookmarkStart w:id="119" w:name="_Toc311013715"/>
      <w:bookmarkStart w:id="120" w:name="_Toc152045563"/>
      <w:bookmarkStart w:id="121" w:name="_Toc179632581"/>
      <w:bookmarkStart w:id="122" w:name="_Toc144974531"/>
      <w:r>
        <w:rPr>
          <w:rFonts w:hint="eastAsia" w:ascii="宋体" w:hAnsi="宋体" w:cs="宋体"/>
          <w:sz w:val="24"/>
          <w:szCs w:val="24"/>
        </w:rPr>
        <w:t>6.1 评标委员会</w:t>
      </w:r>
      <w:bookmarkEnd w:id="118"/>
      <w:bookmarkEnd w:id="119"/>
      <w:bookmarkEnd w:id="120"/>
      <w:bookmarkEnd w:id="121"/>
      <w:bookmarkEnd w:id="122"/>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6.1.1评标由招标人依法组建的评标委员会负责，评标委员会组成详见前附表。</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6.1.2 评标委员会成员有下列情形之一的，应当回避：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（1）投标人或投标人的主要负责人的近亲属；</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（2）项目主管部门或者行政监督部门的人员；</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（3）与投标人有经济利益关系，可能影响对投标公正评审的；</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pPr>
        <w:spacing w:line="460" w:lineRule="exact"/>
        <w:contextualSpacing/>
        <w:rPr>
          <w:rFonts w:ascii="宋体" w:hAnsi="宋体" w:cs="宋体"/>
          <w:sz w:val="24"/>
          <w:szCs w:val="24"/>
        </w:rPr>
      </w:pPr>
      <w:bookmarkStart w:id="123" w:name="_Toc179632582"/>
      <w:bookmarkStart w:id="124" w:name="_Toc152045564"/>
      <w:bookmarkStart w:id="125" w:name="_Toc144974532"/>
      <w:bookmarkStart w:id="126" w:name="_Toc311013716"/>
      <w:bookmarkStart w:id="127" w:name="_Toc152042340"/>
      <w:r>
        <w:rPr>
          <w:rFonts w:hint="eastAsia" w:ascii="宋体" w:hAnsi="宋体" w:cs="宋体"/>
          <w:sz w:val="24"/>
          <w:szCs w:val="24"/>
        </w:rPr>
        <w:t>6.2 评标原则</w:t>
      </w:r>
      <w:bookmarkEnd w:id="123"/>
      <w:bookmarkEnd w:id="124"/>
      <w:bookmarkEnd w:id="125"/>
      <w:bookmarkEnd w:id="126"/>
      <w:bookmarkEnd w:id="127"/>
      <w:r>
        <w:rPr>
          <w:rFonts w:hint="eastAsia" w:ascii="宋体" w:hAnsi="宋体" w:cs="宋体"/>
          <w:sz w:val="24"/>
          <w:szCs w:val="24"/>
        </w:rPr>
        <w:tab/>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评标活动遵循公平、公正、科学和择优的原则严格按照招标文件进行。</w:t>
      </w:r>
    </w:p>
    <w:p>
      <w:pPr>
        <w:spacing w:line="460" w:lineRule="exact"/>
        <w:contextualSpacing/>
        <w:rPr>
          <w:rFonts w:ascii="宋体" w:hAnsi="宋体" w:cs="宋体"/>
          <w:sz w:val="24"/>
          <w:szCs w:val="24"/>
        </w:rPr>
      </w:pPr>
      <w:bookmarkStart w:id="128" w:name="_Toc179632583"/>
      <w:bookmarkStart w:id="129" w:name="_Toc152042341"/>
      <w:bookmarkStart w:id="130" w:name="_Toc311013717"/>
      <w:bookmarkStart w:id="131" w:name="_Toc144974533"/>
      <w:bookmarkStart w:id="132" w:name="_Toc152045565"/>
      <w:r>
        <w:rPr>
          <w:rFonts w:hint="eastAsia" w:ascii="宋体" w:hAnsi="宋体" w:cs="宋体"/>
          <w:sz w:val="24"/>
          <w:szCs w:val="24"/>
        </w:rPr>
        <w:t>6.3 评标</w:t>
      </w:r>
      <w:bookmarkEnd w:id="128"/>
      <w:bookmarkEnd w:id="129"/>
      <w:bookmarkEnd w:id="130"/>
      <w:bookmarkEnd w:id="131"/>
      <w:bookmarkEnd w:id="132"/>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评标委员会按照第三章“评标办法”规定的方法、评审因素、标准和程序对投标文件进行评审。第三章“评标办法”没有规定的方法、评审因素和标准，不作为评标依据。</w:t>
      </w:r>
    </w:p>
    <w:p>
      <w:pPr>
        <w:spacing w:line="460" w:lineRule="exact"/>
        <w:contextualSpacing/>
        <w:outlineLvl w:val="1"/>
        <w:rPr>
          <w:rFonts w:ascii="宋体" w:hAnsi="宋体" w:cs="宋体"/>
          <w:b/>
          <w:bCs/>
          <w:sz w:val="24"/>
          <w:szCs w:val="24"/>
        </w:rPr>
      </w:pPr>
      <w:bookmarkStart w:id="133" w:name="_Toc589"/>
      <w:bookmarkStart w:id="134" w:name="_Toc152045566"/>
      <w:bookmarkStart w:id="135" w:name="_Toc152042342"/>
      <w:bookmarkStart w:id="136" w:name="_Toc179632584"/>
      <w:bookmarkStart w:id="137" w:name="_Toc311013718"/>
      <w:bookmarkStart w:id="138" w:name="_Toc144974534"/>
      <w:r>
        <w:rPr>
          <w:rFonts w:hint="eastAsia" w:ascii="宋体" w:hAnsi="宋体" w:cs="宋体"/>
          <w:b/>
          <w:bCs/>
          <w:sz w:val="24"/>
          <w:szCs w:val="24"/>
        </w:rPr>
        <w:t>7.合同授予</w:t>
      </w:r>
      <w:bookmarkEnd w:id="133"/>
      <w:bookmarkEnd w:id="134"/>
      <w:bookmarkEnd w:id="135"/>
      <w:bookmarkEnd w:id="136"/>
      <w:bookmarkEnd w:id="137"/>
      <w:bookmarkEnd w:id="138"/>
    </w:p>
    <w:p>
      <w:pPr>
        <w:spacing w:line="460" w:lineRule="exact"/>
        <w:contextualSpacing/>
        <w:rPr>
          <w:rFonts w:ascii="宋体" w:hAnsi="宋体" w:cs="宋体"/>
          <w:sz w:val="24"/>
          <w:szCs w:val="24"/>
        </w:rPr>
      </w:pPr>
      <w:bookmarkStart w:id="139" w:name="_Toc152045567"/>
      <w:bookmarkStart w:id="140" w:name="_Toc152042343"/>
      <w:bookmarkStart w:id="141" w:name="_Toc179632585"/>
      <w:bookmarkStart w:id="142" w:name="_Toc144974535"/>
      <w:bookmarkStart w:id="143" w:name="_Toc311013719"/>
      <w:r>
        <w:rPr>
          <w:rFonts w:hint="eastAsia" w:ascii="宋体" w:hAnsi="宋体" w:cs="宋体"/>
          <w:sz w:val="24"/>
          <w:szCs w:val="24"/>
        </w:rPr>
        <w:t>7.1 定标方式</w:t>
      </w:r>
      <w:bookmarkEnd w:id="139"/>
      <w:bookmarkEnd w:id="140"/>
      <w:bookmarkEnd w:id="141"/>
      <w:bookmarkEnd w:id="142"/>
      <w:bookmarkEnd w:id="143"/>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460" w:lineRule="exact"/>
        <w:contextualSpacing/>
        <w:rPr>
          <w:rFonts w:ascii="宋体" w:hAnsi="宋体" w:cs="宋体"/>
          <w:sz w:val="24"/>
          <w:szCs w:val="24"/>
        </w:rPr>
      </w:pPr>
      <w:bookmarkStart w:id="144" w:name="_Toc179632586"/>
      <w:bookmarkStart w:id="145" w:name="_Toc152042344"/>
      <w:bookmarkStart w:id="146" w:name="_Toc311013720"/>
      <w:bookmarkStart w:id="147" w:name="_Toc144974536"/>
      <w:bookmarkStart w:id="148" w:name="_Toc152045568"/>
      <w:r>
        <w:rPr>
          <w:rFonts w:hint="eastAsia" w:ascii="宋体" w:hAnsi="宋体" w:cs="宋体"/>
          <w:sz w:val="24"/>
          <w:szCs w:val="24"/>
        </w:rPr>
        <w:t>7.2 中标通知</w:t>
      </w:r>
      <w:bookmarkEnd w:id="144"/>
      <w:bookmarkEnd w:id="145"/>
      <w:bookmarkEnd w:id="146"/>
      <w:bookmarkEnd w:id="147"/>
      <w:bookmarkEnd w:id="148"/>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在本章第3.3款规定的投标有效期内，招标人以书面形式向中标人发出中标通知书，同时将中标结果通知未中标的投标人。</w:t>
      </w:r>
    </w:p>
    <w:p>
      <w:pPr>
        <w:spacing w:line="460" w:lineRule="exact"/>
        <w:contextualSpacing/>
        <w:rPr>
          <w:rFonts w:ascii="宋体" w:hAnsi="宋体" w:cs="宋体"/>
          <w:sz w:val="24"/>
          <w:szCs w:val="24"/>
        </w:rPr>
      </w:pPr>
      <w:bookmarkStart w:id="149" w:name="_Toc311013721"/>
      <w:bookmarkStart w:id="150" w:name="_Toc152042345"/>
      <w:bookmarkStart w:id="151" w:name="_Toc144974537"/>
      <w:bookmarkStart w:id="152" w:name="_Toc152045569"/>
      <w:bookmarkStart w:id="153" w:name="_Toc179632587"/>
      <w:r>
        <w:rPr>
          <w:rFonts w:hint="eastAsia" w:ascii="宋体" w:hAnsi="宋体" w:cs="宋体"/>
          <w:sz w:val="24"/>
          <w:szCs w:val="24"/>
        </w:rPr>
        <w:t>7.3 履约</w:t>
      </w:r>
      <w:bookmarkEnd w:id="149"/>
      <w:bookmarkEnd w:id="150"/>
      <w:bookmarkEnd w:id="151"/>
      <w:bookmarkEnd w:id="152"/>
      <w:bookmarkEnd w:id="153"/>
      <w:r>
        <w:rPr>
          <w:rFonts w:hint="eastAsia" w:ascii="宋体" w:hAnsi="宋体" w:cs="宋体"/>
          <w:sz w:val="24"/>
          <w:szCs w:val="24"/>
        </w:rPr>
        <w:t>担保</w:t>
      </w:r>
    </w:p>
    <w:p>
      <w:pPr>
        <w:spacing w:line="460" w:lineRule="exact"/>
        <w:ind w:firstLine="480" w:firstLineChars="200"/>
        <w:contextualSpacing/>
        <w:rPr>
          <w:rFonts w:ascii="宋体" w:hAnsi="宋体" w:cs="宋体"/>
          <w:sz w:val="24"/>
          <w:szCs w:val="24"/>
        </w:rPr>
      </w:pPr>
      <w:bookmarkStart w:id="154" w:name="_Toc152042346"/>
      <w:bookmarkStart w:id="155" w:name="_Toc311013722"/>
      <w:bookmarkStart w:id="156" w:name="_Toc179632588"/>
      <w:bookmarkStart w:id="157" w:name="_Toc144974538"/>
      <w:bookmarkStart w:id="158" w:name="_Toc152045570"/>
      <w:r>
        <w:rPr>
          <w:rFonts w:hint="eastAsia" w:ascii="宋体" w:hAnsi="宋体" w:cs="宋体"/>
          <w:sz w:val="24"/>
          <w:szCs w:val="24"/>
        </w:rPr>
        <w:t>7.3.1在签订合同前，中标人应按投标人须知前附表规定提交履约担保。中标人不能按投标人须知前附表规定提交履约担保的，视为放弃中标，其投标保证金不予退还，给招标人造成的损失超过投标保证金数额的，中标人还应当对超过部分予以赔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7.3.2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rPr>
          <w:rFonts w:ascii="宋体" w:hAnsi="宋体" w:cs="宋体"/>
          <w:sz w:val="24"/>
          <w:szCs w:val="24"/>
        </w:rPr>
      </w:pPr>
      <w:r>
        <w:rPr>
          <w:rFonts w:hint="eastAsia" w:ascii="宋体" w:hAnsi="宋体" w:cs="宋体"/>
          <w:sz w:val="24"/>
          <w:szCs w:val="24"/>
        </w:rPr>
        <w:t>7.4 签订合同</w:t>
      </w:r>
      <w:bookmarkEnd w:id="154"/>
      <w:bookmarkEnd w:id="155"/>
      <w:bookmarkEnd w:id="156"/>
      <w:bookmarkEnd w:id="157"/>
      <w:bookmarkEnd w:id="158"/>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7.4.1招标人和中标人应当在投标有效期内并在自中标通知书发出之日起三十日内，按照招标文件和中标人的投标文件订立书面合同。招标人和中标人不得再行订立背离合同实质性内容的其他协议。</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7.4.2中标人无正当理由拒签合同的，招标人取消其中标资格，其投标保证金不予退还；给招标人造成的损失超过投标保证金数额的，中标人还应当对超过部分予以赔偿。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7.4.3发出中标通知书后，招标人无正当理由拒签合同的，招标人向中标人退还投标保证金；给中标人造成损失的，还应当赔偿损失。</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中标人不能按本条规定要求提交履约担保的，视为放弃中标，投标保证金不予退还，给招标人造成的损失超过投标保证金金额的，中标人还应对超过部分予以赔偿。</w:t>
      </w:r>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中标人不履行与招标人订立的合同的，履约担保不予退还，给招标人造成的损失超过履约担保数额的，还应当对超过部分予以赔偿；没有提交履约担保的，应当对招标人的损失承担赔偿责任。招标人不履行与中标人订立的合同的，应当返还中标人的履约担保，并承担相应的赔偿责任；没有提交履约担保的，应当对中标人的损失承担赔偿责任。</w:t>
      </w:r>
    </w:p>
    <w:p>
      <w:pPr>
        <w:spacing w:line="460" w:lineRule="exact"/>
        <w:contextualSpacing/>
        <w:outlineLvl w:val="1"/>
        <w:rPr>
          <w:rFonts w:ascii="宋体" w:hAnsi="宋体" w:cs="宋体"/>
          <w:b/>
          <w:bCs/>
          <w:sz w:val="24"/>
          <w:szCs w:val="24"/>
        </w:rPr>
      </w:pPr>
      <w:bookmarkStart w:id="159" w:name="_Toc2707"/>
      <w:bookmarkStart w:id="160" w:name="_Toc179632589"/>
      <w:bookmarkStart w:id="161" w:name="_Toc152042347"/>
      <w:bookmarkStart w:id="162" w:name="_Toc144974539"/>
      <w:bookmarkStart w:id="163" w:name="_Toc152045571"/>
      <w:bookmarkStart w:id="164" w:name="_Toc311013723"/>
      <w:r>
        <w:rPr>
          <w:rFonts w:hint="eastAsia" w:ascii="宋体" w:hAnsi="宋体" w:cs="宋体"/>
          <w:b/>
          <w:bCs/>
          <w:sz w:val="24"/>
          <w:szCs w:val="24"/>
        </w:rPr>
        <w:t>8. 重新招标和不再招标</w:t>
      </w:r>
      <w:bookmarkEnd w:id="159"/>
      <w:bookmarkEnd w:id="160"/>
      <w:bookmarkEnd w:id="161"/>
      <w:bookmarkEnd w:id="162"/>
      <w:bookmarkEnd w:id="163"/>
      <w:bookmarkEnd w:id="164"/>
    </w:p>
    <w:p>
      <w:pPr>
        <w:spacing w:line="460" w:lineRule="exact"/>
        <w:contextualSpacing/>
        <w:rPr>
          <w:rFonts w:ascii="宋体" w:hAnsi="宋体" w:cs="宋体"/>
          <w:sz w:val="24"/>
          <w:szCs w:val="24"/>
        </w:rPr>
      </w:pPr>
      <w:bookmarkStart w:id="165" w:name="_Toc152045572"/>
      <w:bookmarkStart w:id="166" w:name="_Toc144974540"/>
      <w:bookmarkStart w:id="167" w:name="_Toc179632590"/>
      <w:bookmarkStart w:id="168" w:name="_Toc152042348"/>
      <w:bookmarkStart w:id="169" w:name="_Toc311013724"/>
      <w:r>
        <w:rPr>
          <w:rFonts w:hint="eastAsia" w:ascii="宋体" w:hAnsi="宋体" w:cs="宋体"/>
          <w:sz w:val="24"/>
          <w:szCs w:val="24"/>
        </w:rPr>
        <w:t>8.1 重新招标</w:t>
      </w:r>
      <w:bookmarkEnd w:id="165"/>
      <w:bookmarkEnd w:id="166"/>
      <w:bookmarkEnd w:id="167"/>
      <w:bookmarkEnd w:id="168"/>
      <w:bookmarkEnd w:id="169"/>
    </w:p>
    <w:p>
      <w:pPr>
        <w:spacing w:line="460" w:lineRule="exact"/>
        <w:ind w:firstLine="480" w:firstLineChars="200"/>
        <w:contextualSpacing/>
        <w:rPr>
          <w:rFonts w:ascii="宋体" w:hAnsi="宋体" w:cs="宋体"/>
          <w:sz w:val="24"/>
          <w:szCs w:val="24"/>
        </w:rPr>
      </w:pPr>
      <w:r>
        <w:rPr>
          <w:rFonts w:hint="eastAsia" w:ascii="宋体" w:hAnsi="宋体" w:cs="宋体"/>
          <w:sz w:val="24"/>
          <w:szCs w:val="24"/>
        </w:rPr>
        <w:t>有下列情形之一的，招标人将重新招标：</w:t>
      </w:r>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（1）投标截止时间止，投标人少于3个的；</w:t>
      </w:r>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（2）经评标委员会评审后否决所有投标的。</w:t>
      </w:r>
    </w:p>
    <w:p>
      <w:pPr>
        <w:spacing w:line="440" w:lineRule="exact"/>
        <w:contextualSpacing/>
        <w:rPr>
          <w:rFonts w:ascii="宋体" w:hAnsi="宋体" w:cs="宋体"/>
          <w:sz w:val="24"/>
          <w:szCs w:val="24"/>
        </w:rPr>
      </w:pPr>
      <w:bookmarkStart w:id="170" w:name="_Toc152045573"/>
      <w:bookmarkStart w:id="171" w:name="_Toc152042349"/>
      <w:bookmarkStart w:id="172" w:name="_Toc311013725"/>
      <w:bookmarkStart w:id="173" w:name="_Toc144974541"/>
      <w:bookmarkStart w:id="174" w:name="_Toc179632591"/>
      <w:r>
        <w:rPr>
          <w:rFonts w:hint="eastAsia" w:ascii="宋体" w:hAnsi="宋体" w:cs="宋体"/>
          <w:sz w:val="24"/>
          <w:szCs w:val="24"/>
        </w:rPr>
        <w:t>8.2 不再招标</w:t>
      </w:r>
      <w:bookmarkEnd w:id="170"/>
      <w:bookmarkEnd w:id="171"/>
      <w:bookmarkEnd w:id="172"/>
      <w:bookmarkEnd w:id="173"/>
      <w:bookmarkEnd w:id="174"/>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重新招标后投标人仍少于3个或者所有投标被否决的，属于必须审批或核准的工程建设项目，经原审批或核准部门批准后不再进行招标。</w:t>
      </w:r>
    </w:p>
    <w:p>
      <w:pPr>
        <w:spacing w:line="440" w:lineRule="exact"/>
        <w:contextualSpacing/>
        <w:outlineLvl w:val="1"/>
        <w:rPr>
          <w:rFonts w:ascii="宋体" w:hAnsi="宋体" w:cs="宋体"/>
          <w:b/>
          <w:bCs/>
          <w:sz w:val="24"/>
          <w:szCs w:val="24"/>
        </w:rPr>
      </w:pPr>
      <w:bookmarkStart w:id="175" w:name="_Toc152042350"/>
      <w:bookmarkStart w:id="176" w:name="_Toc311013726"/>
      <w:bookmarkStart w:id="177" w:name="_Toc8268"/>
      <w:bookmarkStart w:id="178" w:name="_Toc179632592"/>
      <w:bookmarkStart w:id="179" w:name="_Toc144974542"/>
      <w:bookmarkStart w:id="180" w:name="_Toc152045574"/>
      <w:r>
        <w:rPr>
          <w:rFonts w:hint="eastAsia" w:ascii="宋体" w:hAnsi="宋体" w:cs="宋体"/>
          <w:b/>
          <w:bCs/>
          <w:sz w:val="24"/>
          <w:szCs w:val="24"/>
        </w:rPr>
        <w:t>9. 纪律和监督</w:t>
      </w:r>
      <w:bookmarkEnd w:id="175"/>
      <w:bookmarkEnd w:id="176"/>
      <w:bookmarkEnd w:id="177"/>
      <w:bookmarkEnd w:id="178"/>
      <w:bookmarkEnd w:id="179"/>
      <w:bookmarkEnd w:id="180"/>
    </w:p>
    <w:p>
      <w:pPr>
        <w:spacing w:line="440" w:lineRule="exact"/>
        <w:contextualSpacing/>
        <w:rPr>
          <w:rFonts w:ascii="宋体" w:hAnsi="宋体" w:cs="宋体"/>
          <w:sz w:val="24"/>
          <w:szCs w:val="24"/>
        </w:rPr>
      </w:pPr>
      <w:bookmarkStart w:id="181" w:name="_Toc179632593"/>
      <w:bookmarkStart w:id="182" w:name="_Toc311013727"/>
      <w:bookmarkStart w:id="183" w:name="_Toc152042351"/>
      <w:bookmarkStart w:id="184" w:name="_Toc144974543"/>
      <w:bookmarkStart w:id="185" w:name="_Toc152045575"/>
      <w:r>
        <w:rPr>
          <w:rFonts w:hint="eastAsia" w:ascii="宋体" w:hAnsi="宋体" w:cs="宋体"/>
          <w:sz w:val="24"/>
          <w:szCs w:val="24"/>
        </w:rPr>
        <w:t>9.1 对招标人的纪律要求</w:t>
      </w:r>
      <w:bookmarkEnd w:id="181"/>
      <w:bookmarkEnd w:id="182"/>
      <w:bookmarkEnd w:id="183"/>
      <w:bookmarkEnd w:id="184"/>
      <w:bookmarkEnd w:id="185"/>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招标人不得泄漏招标投标活动中应当保密的情况和资料，不得与投标人串通损害国家利益、社会公共利益或者他人合法权益。</w:t>
      </w:r>
    </w:p>
    <w:p>
      <w:pPr>
        <w:spacing w:line="440" w:lineRule="exact"/>
        <w:contextualSpacing/>
        <w:rPr>
          <w:rFonts w:ascii="宋体" w:hAnsi="宋体" w:cs="宋体"/>
          <w:sz w:val="24"/>
          <w:szCs w:val="24"/>
        </w:rPr>
      </w:pPr>
      <w:bookmarkStart w:id="186" w:name="_Toc179632594"/>
      <w:bookmarkStart w:id="187" w:name="_Toc311013728"/>
      <w:bookmarkStart w:id="188" w:name="_Toc152042352"/>
      <w:bookmarkStart w:id="189" w:name="_Toc152045576"/>
      <w:bookmarkStart w:id="190" w:name="_Toc144974544"/>
      <w:r>
        <w:rPr>
          <w:rFonts w:hint="eastAsia" w:ascii="宋体" w:hAnsi="宋体" w:cs="宋体"/>
          <w:sz w:val="24"/>
          <w:szCs w:val="24"/>
        </w:rPr>
        <w:t>9.2 对投标人的纪律要求</w:t>
      </w:r>
      <w:bookmarkEnd w:id="186"/>
      <w:bookmarkEnd w:id="187"/>
      <w:bookmarkEnd w:id="188"/>
      <w:bookmarkEnd w:id="189"/>
      <w:bookmarkEnd w:id="190"/>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contextualSpacing/>
        <w:rPr>
          <w:rFonts w:ascii="宋体" w:hAnsi="宋体" w:cs="宋体"/>
          <w:sz w:val="24"/>
          <w:szCs w:val="24"/>
        </w:rPr>
      </w:pPr>
      <w:bookmarkStart w:id="191" w:name="_Toc152042353"/>
      <w:bookmarkStart w:id="192" w:name="_Toc144974545"/>
      <w:bookmarkStart w:id="193" w:name="_Toc179632595"/>
      <w:bookmarkStart w:id="194" w:name="_Toc152045577"/>
      <w:bookmarkStart w:id="195" w:name="_Toc311013729"/>
      <w:r>
        <w:rPr>
          <w:rFonts w:hint="eastAsia" w:ascii="宋体" w:hAnsi="宋体" w:cs="宋体"/>
          <w:sz w:val="24"/>
          <w:szCs w:val="24"/>
        </w:rPr>
        <w:t>9.3 对评标委员会成员的纪律要求</w:t>
      </w:r>
      <w:bookmarkEnd w:id="191"/>
      <w:bookmarkEnd w:id="192"/>
      <w:bookmarkEnd w:id="193"/>
      <w:bookmarkEnd w:id="194"/>
      <w:bookmarkEnd w:id="195"/>
    </w:p>
    <w:p>
      <w:pPr>
        <w:spacing w:line="440" w:lineRule="exact"/>
        <w:ind w:firstLine="480" w:firstLineChars="200"/>
        <w:contextualSpacing/>
        <w:rPr>
          <w:rFonts w:ascii="宋体" w:hAnsi="宋体" w:cs="宋体"/>
          <w:sz w:val="24"/>
          <w:szCs w:val="24"/>
        </w:rPr>
      </w:pPr>
      <w:r>
        <w:rPr>
          <w:rFonts w:hint="eastAsia" w:ascii="宋体" w:hAnsi="宋体" w:cs="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40" w:lineRule="exact"/>
        <w:contextualSpacing/>
        <w:rPr>
          <w:rFonts w:ascii="宋体" w:hAnsi="宋体" w:cs="宋体"/>
          <w:sz w:val="24"/>
          <w:szCs w:val="24"/>
        </w:rPr>
      </w:pPr>
      <w:bookmarkStart w:id="196" w:name="_Toc152042354"/>
      <w:bookmarkStart w:id="197" w:name="_Toc152045578"/>
      <w:bookmarkStart w:id="198" w:name="_Toc311013730"/>
      <w:bookmarkStart w:id="199" w:name="_Toc179632596"/>
      <w:bookmarkStart w:id="200" w:name="_Toc144974546"/>
      <w:r>
        <w:rPr>
          <w:rFonts w:hint="eastAsia" w:ascii="宋体" w:hAnsi="宋体" w:cs="宋体"/>
          <w:sz w:val="24"/>
          <w:szCs w:val="24"/>
        </w:rPr>
        <w:t>9.4 对与评标活动有关的工作人员的纪律要求</w:t>
      </w:r>
      <w:bookmarkEnd w:id="196"/>
      <w:bookmarkEnd w:id="197"/>
      <w:bookmarkEnd w:id="198"/>
      <w:bookmarkEnd w:id="199"/>
    </w:p>
    <w:p>
      <w:pPr>
        <w:spacing w:line="440" w:lineRule="exact"/>
        <w:ind w:firstLine="480" w:firstLineChars="200"/>
        <w:contextualSpacing/>
        <w:rPr>
          <w:rFonts w:ascii="宋体" w:hAnsi="宋体" w:cs="宋体"/>
          <w:sz w:val="24"/>
          <w:szCs w:val="24"/>
        </w:rPr>
      </w:pPr>
      <w:bookmarkStart w:id="201" w:name="_Toc152042355"/>
      <w:r>
        <w:rPr>
          <w:rFonts w:hint="eastAsia" w:ascii="宋体" w:hAnsi="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1"/>
    </w:p>
    <w:p>
      <w:pPr>
        <w:spacing w:line="440" w:lineRule="exact"/>
        <w:contextualSpacing/>
        <w:rPr>
          <w:rFonts w:ascii="宋体" w:hAnsi="宋体" w:cs="宋体"/>
          <w:sz w:val="24"/>
          <w:szCs w:val="24"/>
        </w:rPr>
      </w:pPr>
      <w:bookmarkStart w:id="202" w:name="_Toc179632597"/>
      <w:bookmarkStart w:id="203" w:name="_Toc311013731"/>
      <w:bookmarkStart w:id="204" w:name="_Toc152042356"/>
      <w:bookmarkStart w:id="205" w:name="_Toc152045579"/>
      <w:r>
        <w:rPr>
          <w:rFonts w:hint="eastAsia" w:ascii="宋体" w:hAnsi="宋体" w:cs="宋体"/>
          <w:sz w:val="24"/>
          <w:szCs w:val="24"/>
        </w:rPr>
        <w:t>9.5 投诉</w:t>
      </w:r>
      <w:bookmarkEnd w:id="200"/>
      <w:bookmarkEnd w:id="202"/>
      <w:bookmarkEnd w:id="203"/>
      <w:bookmarkEnd w:id="204"/>
      <w:bookmarkEnd w:id="205"/>
    </w:p>
    <w:p>
      <w:pPr>
        <w:spacing w:line="440" w:lineRule="exact"/>
        <w:contextualSpacing/>
        <w:outlineLvl w:val="1"/>
        <w:rPr>
          <w:rFonts w:ascii="宋体" w:hAnsi="宋体" w:cs="宋体"/>
          <w:sz w:val="24"/>
          <w:szCs w:val="24"/>
        </w:rPr>
      </w:pPr>
      <w:bookmarkStart w:id="206" w:name="_Toc311013732"/>
      <w:bookmarkStart w:id="207" w:name="_Toc152045580"/>
      <w:bookmarkStart w:id="208" w:name="_Toc10228"/>
      <w:bookmarkStart w:id="209" w:name="_Toc152042357"/>
      <w:bookmarkStart w:id="210" w:name="_Toc144974547"/>
      <w:bookmarkStart w:id="211" w:name="_Toc179632598"/>
      <w:r>
        <w:rPr>
          <w:rFonts w:hint="eastAsia" w:ascii="宋体" w:hAnsi="宋体" w:cs="宋体"/>
          <w:sz w:val="24"/>
          <w:szCs w:val="24"/>
        </w:rPr>
        <w:t>投标人和其他利害关系人认为本次招标活动违反法律、法规和规章规定的，有权向有关行政监督部门投诉。</w:t>
      </w:r>
    </w:p>
    <w:p>
      <w:pPr>
        <w:spacing w:line="440" w:lineRule="exact"/>
        <w:ind w:firstLine="480" w:firstLineChars="200"/>
        <w:contextualSpacing/>
        <w:outlineLvl w:val="1"/>
        <w:rPr>
          <w:rFonts w:ascii="宋体" w:hAnsi="宋体" w:cs="宋体"/>
          <w:sz w:val="24"/>
          <w:szCs w:val="24"/>
        </w:rPr>
      </w:pPr>
      <w:r>
        <w:rPr>
          <w:rFonts w:hint="eastAsia" w:ascii="宋体" w:hAnsi="宋体" w:cs="宋体"/>
          <w:sz w:val="24"/>
          <w:szCs w:val="24"/>
        </w:rPr>
        <w:t>投标人提起投诉应当符合《中华人民共和国招标投标法》及其实施条例、《工程建设项目招标投标活动投诉处理办法》（七部委11号令；九部委23号令于2013年3月11日修改）规定。</w:t>
      </w:r>
    </w:p>
    <w:p>
      <w:pPr>
        <w:spacing w:line="440" w:lineRule="exact"/>
        <w:contextualSpacing/>
        <w:outlineLvl w:val="1"/>
        <w:rPr>
          <w:rFonts w:ascii="宋体" w:hAnsi="宋体" w:cs="宋体"/>
          <w:b/>
          <w:bCs/>
          <w:sz w:val="24"/>
          <w:szCs w:val="24"/>
        </w:rPr>
      </w:pPr>
      <w:r>
        <w:rPr>
          <w:rFonts w:hint="eastAsia" w:ascii="宋体" w:hAnsi="宋体" w:cs="宋体"/>
          <w:b/>
          <w:bCs/>
          <w:sz w:val="24"/>
          <w:szCs w:val="24"/>
        </w:rPr>
        <w:t>10. 需要补充的其他内容</w:t>
      </w:r>
      <w:bookmarkEnd w:id="206"/>
      <w:bookmarkEnd w:id="207"/>
      <w:bookmarkEnd w:id="208"/>
      <w:bookmarkEnd w:id="209"/>
      <w:bookmarkEnd w:id="210"/>
      <w:bookmarkEnd w:id="211"/>
    </w:p>
    <w:p>
      <w:pPr>
        <w:spacing w:line="440" w:lineRule="exact"/>
        <w:contextualSpacing/>
        <w:rPr>
          <w:rFonts w:ascii="宋体" w:hAnsi="宋体" w:cs="宋体"/>
          <w:sz w:val="24"/>
          <w:szCs w:val="24"/>
        </w:rPr>
      </w:pPr>
      <w:r>
        <w:rPr>
          <w:rFonts w:hint="eastAsia" w:ascii="宋体" w:hAnsi="宋体" w:cs="宋体"/>
          <w:sz w:val="24"/>
          <w:szCs w:val="24"/>
        </w:rPr>
        <w:t>10.1需要补充的其他内容：见投标人须知前附表</w:t>
      </w:r>
    </w:p>
    <w:p>
      <w:pPr>
        <w:rPr>
          <w:rFonts w:ascii="黑体" w:eastAsia="黑体"/>
          <w:color w:val="000000"/>
          <w:sz w:val="24"/>
          <w:szCs w:val="24"/>
        </w:rPr>
      </w:pPr>
      <w:bookmarkStart w:id="212" w:name="_Toc464824567"/>
      <w:bookmarkEnd w:id="212"/>
      <w:r>
        <w:rPr>
          <w:rFonts w:ascii="黑体" w:hAnsi="黑体" w:eastAsia="黑体"/>
          <w:color w:val="000000"/>
          <w:sz w:val="24"/>
          <w:szCs w:val="24"/>
        </w:rPr>
        <w:br w:type="page"/>
      </w:r>
      <w:bookmarkStart w:id="213" w:name="_Toc12931"/>
      <w:bookmarkEnd w:id="213"/>
      <w:bookmarkStart w:id="214" w:name="_Toc464824711"/>
      <w:bookmarkEnd w:id="214"/>
      <w:bookmarkStart w:id="215" w:name="_Toc277936916"/>
      <w:bookmarkEnd w:id="215"/>
      <w:bookmarkStart w:id="216" w:name="_Toc397605954"/>
      <w:r>
        <w:rPr>
          <w:rFonts w:hint="eastAsia" w:ascii="黑体" w:hAnsi="黑体" w:eastAsia="黑体"/>
          <w:color w:val="000000"/>
          <w:sz w:val="24"/>
          <w:szCs w:val="24"/>
        </w:rPr>
        <w:t>附表一：问题澄清通知</w:t>
      </w:r>
    </w:p>
    <w:p>
      <w:pPr>
        <w:spacing w:before="312" w:beforeLines="100" w:after="312" w:afterLines="100"/>
        <w:jc w:val="center"/>
        <w:rPr>
          <w:rFonts w:ascii="黑体" w:eastAsia="黑体"/>
          <w:color w:val="000000"/>
          <w:sz w:val="28"/>
          <w:szCs w:val="28"/>
        </w:rPr>
      </w:pPr>
      <w:r>
        <w:rPr>
          <w:rFonts w:hint="eastAsia" w:ascii="黑体" w:hAnsi="黑体" w:eastAsia="黑体"/>
          <w:color w:val="000000"/>
          <w:sz w:val="28"/>
          <w:szCs w:val="28"/>
        </w:rPr>
        <w:t>问题澄清通知</w:t>
      </w:r>
    </w:p>
    <w:p>
      <w:pPr>
        <w:ind w:firstLine="5355" w:firstLineChars="2550"/>
        <w:rPr>
          <w:color w:val="000000"/>
          <w:u w:val="single"/>
        </w:rPr>
      </w:pPr>
      <w:r>
        <w:rPr>
          <w:rFonts w:hint="eastAsia" w:ascii="宋体" w:hAnsi="宋体"/>
          <w:color w:val="000000"/>
        </w:rPr>
        <w:t>编号：</w:t>
      </w:r>
      <w:r>
        <w:rPr>
          <w:rFonts w:hint="eastAsia"/>
          <w:color w:val="000000"/>
          <w:u w:val="single"/>
        </w:rPr>
        <w:t xml:space="preserve">                  </w:t>
      </w:r>
    </w:p>
    <w:p>
      <w:pPr>
        <w:ind w:firstLine="420" w:firstLineChars="200"/>
        <w:rPr>
          <w:color w:val="000000"/>
        </w:rPr>
      </w:pPr>
      <w:r>
        <w:rPr>
          <w:rFonts w:hint="eastAsia"/>
          <w:color w:val="000000"/>
          <w:u w:val="single"/>
        </w:rPr>
        <w:t xml:space="preserve">            </w:t>
      </w:r>
      <w:r>
        <w:rPr>
          <w:rFonts w:hint="eastAsia" w:ascii="宋体" w:hAnsi="宋体"/>
          <w:color w:val="000000"/>
          <w:u w:val="single"/>
        </w:rPr>
        <w:t xml:space="preserve">         </w:t>
      </w:r>
      <w:r>
        <w:rPr>
          <w:rFonts w:hint="eastAsia"/>
          <w:color w:val="000000"/>
          <w:u w:val="single"/>
        </w:rPr>
        <w:t xml:space="preserve">      </w:t>
      </w:r>
      <w:r>
        <w:rPr>
          <w:rFonts w:hint="eastAsia" w:ascii="宋体" w:hAnsi="宋体"/>
          <w:color w:val="000000"/>
        </w:rPr>
        <w:t>（投标人名称）：</w:t>
      </w:r>
    </w:p>
    <w:p>
      <w:pPr>
        <w:ind w:firstLine="420" w:firstLineChars="200"/>
        <w:rPr>
          <w:color w:val="000000"/>
        </w:rPr>
      </w:pPr>
      <w:r>
        <w:rPr>
          <w:rFonts w:hint="eastAsia"/>
          <w:color w:val="000000"/>
          <w:u w:val="single"/>
        </w:rPr>
        <w:t xml:space="preserve">             </w:t>
      </w:r>
      <w:r>
        <w:rPr>
          <w:rFonts w:hint="eastAsia" w:ascii="宋体" w:hAnsi="宋体"/>
          <w:color w:val="000000"/>
        </w:rPr>
        <w:t>（项目名称）</w:t>
      </w:r>
      <w:r>
        <w:rPr>
          <w:rFonts w:hint="eastAsia"/>
          <w:color w:val="000000"/>
          <w:u w:val="single"/>
        </w:rPr>
        <w:t xml:space="preserve">        </w:t>
      </w:r>
      <w:r>
        <w:rPr>
          <w:rFonts w:hint="eastAsia" w:ascii="宋体" w:hAnsi="宋体"/>
          <w:color w:val="000000"/>
          <w:u w:val="single"/>
        </w:rPr>
        <w:t>标</w:t>
      </w:r>
      <w:r>
        <w:rPr>
          <w:rFonts w:hint="eastAsia" w:ascii="宋体" w:hAnsi="宋体"/>
          <w:color w:val="000000"/>
        </w:rPr>
        <w:t>段施工招标的评标委员会，对你方的投标文件进行了仔细的审查，现需你方对本通知所附质疑问卷中的问题以书面形式予以澄清、说明或者补正。</w:t>
      </w:r>
    </w:p>
    <w:p>
      <w:pPr>
        <w:ind w:firstLine="420" w:firstLineChars="200"/>
        <w:rPr>
          <w:color w:val="000000"/>
        </w:rPr>
      </w:pPr>
      <w:r>
        <w:rPr>
          <w:rFonts w:hint="eastAsia" w:ascii="宋体" w:hAnsi="宋体"/>
          <w:color w:val="000000"/>
        </w:rPr>
        <w:t>请将上述问题的澄清、说明或者补正于</w:t>
      </w: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r>
        <w:rPr>
          <w:rFonts w:hint="eastAsia"/>
          <w:color w:val="000000"/>
          <w:u w:val="single"/>
        </w:rPr>
        <w:t xml:space="preserve">     </w:t>
      </w:r>
      <w:r>
        <w:rPr>
          <w:rFonts w:hint="eastAsia" w:ascii="宋体" w:hAnsi="宋体"/>
          <w:color w:val="000000"/>
        </w:rPr>
        <w:t>时前密封递交至（详细地址）或传真至</w:t>
      </w:r>
      <w:r>
        <w:rPr>
          <w:rFonts w:hint="eastAsia"/>
          <w:color w:val="000000"/>
          <w:u w:val="single"/>
        </w:rPr>
        <w:t xml:space="preserve">      </w:t>
      </w:r>
      <w:r>
        <w:rPr>
          <w:rFonts w:hint="eastAsia" w:ascii="宋体" w:hAnsi="宋体"/>
          <w:color w:val="000000"/>
        </w:rPr>
        <w:t>（传真号码）。采用传真方式的，应在</w:t>
      </w: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p>
    <w:p>
      <w:pPr>
        <w:rPr>
          <w:color w:val="000000"/>
        </w:rPr>
      </w:pPr>
      <w:r>
        <w:rPr>
          <w:rFonts w:hint="eastAsia"/>
          <w:color w:val="000000"/>
          <w:u w:val="single"/>
        </w:rPr>
        <w:t xml:space="preserve">     </w:t>
      </w:r>
      <w:r>
        <w:rPr>
          <w:rFonts w:hint="eastAsia" w:ascii="宋体" w:hAnsi="宋体"/>
          <w:color w:val="000000"/>
        </w:rPr>
        <w:t>时前将原件递交至</w:t>
      </w:r>
      <w:r>
        <w:rPr>
          <w:rFonts w:hint="eastAsia"/>
          <w:color w:val="000000"/>
          <w:u w:val="single"/>
        </w:rPr>
        <w:t xml:space="preserve">                         </w:t>
      </w:r>
      <w:r>
        <w:rPr>
          <w:rFonts w:hint="eastAsia"/>
          <w:color w:val="000000"/>
        </w:rPr>
        <w:t xml:space="preserve"> </w:t>
      </w:r>
      <w:r>
        <w:rPr>
          <w:rFonts w:hint="eastAsia" w:ascii="宋体" w:hAnsi="宋体"/>
          <w:color w:val="000000"/>
        </w:rPr>
        <w:t>（详细地址）。</w:t>
      </w:r>
    </w:p>
    <w:p>
      <w:pPr>
        <w:rPr>
          <w:color w:val="000000"/>
        </w:rPr>
      </w:pPr>
      <w:r>
        <w:rPr>
          <w:rFonts w:hint="eastAsia"/>
          <w:color w:val="000000"/>
        </w:rPr>
        <w:t xml:space="preserve"> </w:t>
      </w:r>
    </w:p>
    <w:p>
      <w:pPr>
        <w:rPr>
          <w:color w:val="000000"/>
        </w:rPr>
      </w:pPr>
      <w:r>
        <w:rPr>
          <w:rFonts w:hint="eastAsia" w:ascii="宋体" w:hAnsi="宋体"/>
          <w:color w:val="000000"/>
        </w:rPr>
        <w:t>附件：质疑问卷</w:t>
      </w: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u w:val="single"/>
        </w:rPr>
      </w:pPr>
    </w:p>
    <w:p>
      <w:pPr>
        <w:ind w:firstLine="3570" w:firstLineChars="1700"/>
        <w:rPr>
          <w:color w:val="000000"/>
        </w:rPr>
      </w:pPr>
      <w:r>
        <w:rPr>
          <w:rFonts w:hint="eastAsia"/>
          <w:color w:val="000000"/>
          <w:u w:val="single"/>
        </w:rPr>
        <w:t xml:space="preserve">                 </w:t>
      </w:r>
      <w:r>
        <w:rPr>
          <w:rFonts w:hint="eastAsia"/>
          <w:color w:val="000000"/>
        </w:rPr>
        <w:t xml:space="preserve"> </w:t>
      </w:r>
      <w:r>
        <w:rPr>
          <w:rFonts w:hint="eastAsia" w:ascii="宋体" w:hAnsi="宋体"/>
          <w:color w:val="000000"/>
        </w:rPr>
        <w:t>（项目名称）招标评标委员会</w:t>
      </w:r>
    </w:p>
    <w:p>
      <w:pPr>
        <w:jc w:val="right"/>
        <w:rPr>
          <w:color w:val="000000"/>
        </w:rPr>
      </w:pPr>
      <w:r>
        <w:rPr>
          <w:rFonts w:hint="eastAsia"/>
          <w:color w:val="000000"/>
        </w:rPr>
        <w:t xml:space="preserve"> </w:t>
      </w:r>
      <w:r>
        <w:rPr>
          <w:rFonts w:hint="eastAsia" w:ascii="宋体" w:hAnsi="宋体"/>
          <w:color w:val="000000"/>
        </w:rPr>
        <w:t>（经评标委员会授权的招标人代表签字或招标人加盖单位章）</w:t>
      </w:r>
    </w:p>
    <w:p>
      <w:pPr>
        <w:ind w:firstLine="4620" w:firstLineChars="2200"/>
        <w:rPr>
          <w:rFonts w:ascii="黑体" w:eastAsia="黑体"/>
          <w:color w:val="000000"/>
          <w:sz w:val="24"/>
          <w:szCs w:val="24"/>
        </w:rPr>
      </w:pP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color w:val="000000"/>
        </w:rPr>
        <w:br w:type="page"/>
      </w:r>
      <w:r>
        <w:rPr>
          <w:rFonts w:hint="eastAsia" w:ascii="黑体" w:hAnsi="黑体" w:eastAsia="黑体"/>
          <w:color w:val="000000"/>
          <w:sz w:val="24"/>
          <w:szCs w:val="24"/>
        </w:rPr>
        <w:t>附表二：问题的澄清</w:t>
      </w:r>
    </w:p>
    <w:p>
      <w:pPr>
        <w:spacing w:before="312" w:beforeLines="100" w:after="312" w:afterLines="100"/>
        <w:jc w:val="center"/>
        <w:rPr>
          <w:rFonts w:ascii="黑体" w:eastAsia="黑体"/>
          <w:color w:val="000000"/>
          <w:sz w:val="28"/>
          <w:szCs w:val="28"/>
        </w:rPr>
      </w:pPr>
      <w:r>
        <w:rPr>
          <w:rFonts w:hint="eastAsia" w:ascii="黑体" w:hAnsi="黑体" w:eastAsia="黑体"/>
          <w:color w:val="000000"/>
          <w:sz w:val="28"/>
          <w:szCs w:val="28"/>
        </w:rPr>
        <w:t>问题的澄清、说明或补正</w:t>
      </w:r>
    </w:p>
    <w:p>
      <w:pPr>
        <w:ind w:firstLine="5355" w:firstLineChars="2550"/>
        <w:rPr>
          <w:color w:val="000000"/>
          <w:u w:val="single"/>
        </w:rPr>
      </w:pPr>
      <w:r>
        <w:rPr>
          <w:rFonts w:hint="eastAsia" w:ascii="宋体" w:hAnsi="宋体"/>
          <w:color w:val="000000"/>
        </w:rPr>
        <w:t>编号：</w:t>
      </w:r>
      <w:r>
        <w:rPr>
          <w:rFonts w:hint="eastAsia"/>
          <w:color w:val="000000"/>
          <w:u w:val="single"/>
        </w:rPr>
        <w:t xml:space="preserve">                  </w:t>
      </w:r>
    </w:p>
    <w:p>
      <w:pPr>
        <w:rPr>
          <w:color w:val="000000"/>
        </w:rPr>
      </w:pPr>
      <w:r>
        <w:rPr>
          <w:rFonts w:hint="eastAsia"/>
          <w:color w:val="000000"/>
        </w:rPr>
        <w:t xml:space="preserve">  </w:t>
      </w:r>
      <w:r>
        <w:rPr>
          <w:rFonts w:hint="eastAsia"/>
          <w:color w:val="000000"/>
          <w:u w:val="single"/>
        </w:rPr>
        <w:t xml:space="preserve">            </w:t>
      </w:r>
      <w:r>
        <w:rPr>
          <w:rFonts w:hint="eastAsia" w:ascii="宋体" w:hAnsi="宋体"/>
          <w:color w:val="000000"/>
        </w:rPr>
        <w:t>（项目名称）</w:t>
      </w:r>
      <w:r>
        <w:rPr>
          <w:rFonts w:hint="eastAsia"/>
          <w:color w:val="000000"/>
          <w:u w:val="single"/>
        </w:rPr>
        <w:t xml:space="preserve">      </w:t>
      </w:r>
      <w:r>
        <w:rPr>
          <w:rFonts w:hint="eastAsia" w:ascii="宋体" w:hAnsi="宋体"/>
          <w:color w:val="000000"/>
        </w:rPr>
        <w:t>标段施工招标评标委员会：</w:t>
      </w:r>
    </w:p>
    <w:p>
      <w:pPr>
        <w:ind w:firstLine="420" w:firstLineChars="200"/>
        <w:rPr>
          <w:color w:val="000000"/>
        </w:rPr>
      </w:pPr>
      <w:r>
        <w:rPr>
          <w:rFonts w:hint="eastAsia" w:ascii="宋体" w:hAnsi="宋体"/>
          <w:color w:val="000000"/>
        </w:rPr>
        <w:t>问题澄清通知（编号：</w:t>
      </w:r>
      <w:r>
        <w:rPr>
          <w:rFonts w:hint="eastAsia"/>
          <w:color w:val="000000"/>
          <w:u w:val="single"/>
        </w:rPr>
        <w:t xml:space="preserve">      </w:t>
      </w:r>
      <w:r>
        <w:rPr>
          <w:rFonts w:hint="eastAsia" w:ascii="宋体" w:hAnsi="宋体"/>
          <w:color w:val="000000"/>
        </w:rPr>
        <w:t>）已收悉，现澄清、说明或者补正如下：</w:t>
      </w:r>
    </w:p>
    <w:p>
      <w:pPr>
        <w:ind w:firstLine="420" w:firstLineChars="200"/>
        <w:rPr>
          <w:color w:val="000000"/>
        </w:rPr>
      </w:pPr>
      <w:r>
        <w:rPr>
          <w:rFonts w:hint="eastAsia"/>
          <w:color w:val="000000"/>
        </w:rPr>
        <w:t>1.</w:t>
      </w:r>
    </w:p>
    <w:p>
      <w:pPr>
        <w:ind w:firstLine="420" w:firstLineChars="200"/>
        <w:rPr>
          <w:color w:val="000000"/>
        </w:rPr>
      </w:pPr>
      <w:r>
        <w:rPr>
          <w:rFonts w:hint="eastAsia"/>
          <w:color w:val="000000"/>
        </w:rPr>
        <w:t>2.</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rPr>
          <w:color w:val="000000"/>
        </w:rPr>
      </w:pPr>
      <w:r>
        <w:rPr>
          <w:rFonts w:hint="eastAsia"/>
          <w:color w:val="000000"/>
        </w:rPr>
        <w:t xml:space="preserve"> </w:t>
      </w:r>
    </w:p>
    <w:p>
      <w:pPr>
        <w:ind w:firstLine="420" w:firstLineChars="200"/>
        <w:jc w:val="right"/>
        <w:rPr>
          <w:color w:val="000000"/>
        </w:rPr>
      </w:pPr>
      <w:r>
        <w:rPr>
          <w:rFonts w:hint="eastAsia" w:ascii="黑体" w:hAnsi="黑体" w:eastAsia="黑体"/>
          <w:color w:val="000000"/>
        </w:rPr>
        <w:t>投标人：</w:t>
      </w:r>
      <w:r>
        <w:rPr>
          <w:rFonts w:hint="eastAsia"/>
          <w:color w:val="000000"/>
          <w:u w:val="single"/>
        </w:rPr>
        <w:t xml:space="preserve">                           </w:t>
      </w:r>
      <w:r>
        <w:rPr>
          <w:rFonts w:hint="eastAsia" w:ascii="宋体" w:hAnsi="宋体"/>
          <w:color w:val="000000"/>
        </w:rPr>
        <w:t>（盖单位章）</w:t>
      </w:r>
      <w:r>
        <w:rPr>
          <w:rFonts w:hint="eastAsia"/>
          <w:color w:val="000000"/>
        </w:rPr>
        <w:t xml:space="preserve"> </w:t>
      </w:r>
    </w:p>
    <w:p>
      <w:pPr>
        <w:spacing w:before="156" w:beforeLines="50" w:after="156" w:afterLines="50"/>
        <w:jc w:val="right"/>
        <w:rPr>
          <w:color w:val="000000"/>
        </w:rPr>
      </w:pPr>
      <w:r>
        <w:rPr>
          <w:rFonts w:hint="eastAsia" w:ascii="黑体" w:eastAsia="黑体"/>
          <w:color w:val="000000"/>
        </w:rPr>
        <w:t xml:space="preserve">      </w:t>
      </w:r>
      <w:r>
        <w:rPr>
          <w:rFonts w:hint="eastAsia" w:ascii="黑体" w:hAnsi="黑体" w:eastAsia="黑体"/>
          <w:color w:val="000000"/>
        </w:rPr>
        <w:t>法定代表人或其委托代理人：</w:t>
      </w:r>
      <w:r>
        <w:rPr>
          <w:rFonts w:hint="eastAsia"/>
          <w:color w:val="000000"/>
          <w:u w:val="single"/>
        </w:rPr>
        <w:t xml:space="preserve">      </w:t>
      </w:r>
      <w:r>
        <w:rPr>
          <w:rFonts w:hint="eastAsia" w:ascii="宋体" w:hAnsi="宋体"/>
          <w:color w:val="000000"/>
        </w:rPr>
        <w:t>（</w:t>
      </w:r>
      <w:r>
        <w:rPr>
          <w:rFonts w:hint="eastAsia" w:ascii="宋体" w:hAnsi="宋体"/>
          <w:kern w:val="0"/>
        </w:rPr>
        <w:t>签字或盖章</w:t>
      </w:r>
      <w:r>
        <w:rPr>
          <w:rFonts w:hint="eastAsia" w:ascii="宋体" w:hAnsi="宋体"/>
          <w:color w:val="000000"/>
        </w:rPr>
        <w:t>）</w:t>
      </w:r>
      <w:r>
        <w:rPr>
          <w:rFonts w:hint="eastAsia"/>
          <w:color w:val="000000"/>
        </w:rPr>
        <w:t xml:space="preserve">      </w:t>
      </w:r>
    </w:p>
    <w:p>
      <w:pPr>
        <w:ind w:firstLine="5775" w:firstLineChars="2750"/>
        <w:rPr>
          <w:color w:val="000000"/>
        </w:rPr>
      </w:pPr>
      <w:r>
        <w:rPr>
          <w:rFonts w:hint="eastAsia"/>
          <w:color w:val="000000"/>
          <w:u w:val="single"/>
        </w:rPr>
        <w:t xml:space="preserve">      </w:t>
      </w:r>
      <w:r>
        <w:rPr>
          <w:rFonts w:hint="eastAsia" w:ascii="宋体" w:hAnsi="宋体"/>
          <w:color w:val="000000"/>
        </w:rPr>
        <w:t>年</w:t>
      </w:r>
      <w:r>
        <w:rPr>
          <w:rFonts w:hint="eastAsia"/>
          <w:color w:val="000000"/>
          <w:u w:val="single"/>
        </w:rPr>
        <w:t xml:space="preserve">     </w:t>
      </w:r>
      <w:r>
        <w:rPr>
          <w:rFonts w:hint="eastAsia" w:ascii="宋体" w:hAnsi="宋体"/>
          <w:color w:val="000000"/>
        </w:rPr>
        <w:t>月</w:t>
      </w:r>
      <w:r>
        <w:rPr>
          <w:rFonts w:hint="eastAsia"/>
          <w:color w:val="000000"/>
          <w:u w:val="single"/>
        </w:rPr>
        <w:t xml:space="preserve">     </w:t>
      </w:r>
      <w:r>
        <w:rPr>
          <w:rFonts w:hint="eastAsia" w:ascii="宋体" w:hAnsi="宋体"/>
          <w:color w:val="000000"/>
        </w:rPr>
        <w:t>日</w:t>
      </w:r>
    </w:p>
    <w:p>
      <w:pPr>
        <w:jc w:val="center"/>
        <w:rPr>
          <w:kern w:val="0"/>
        </w:rPr>
      </w:pPr>
      <w:r>
        <w:rPr>
          <w:color w:val="000000"/>
        </w:rPr>
        <w:br w:type="page"/>
      </w:r>
      <w:r>
        <w:rPr>
          <w:rFonts w:hint="eastAsia" w:ascii="宋体" w:hAnsi="宋体"/>
          <w:b/>
          <w:bCs/>
          <w:kern w:val="0"/>
          <w:sz w:val="36"/>
          <w:szCs w:val="36"/>
        </w:rPr>
        <w:t>第三章评标办法（综合计分法）</w:t>
      </w:r>
      <w:bookmarkEnd w:id="216"/>
    </w:p>
    <w:p>
      <w:pPr>
        <w:adjustRightInd w:val="0"/>
        <w:snapToGrid w:val="0"/>
        <w:spacing w:line="430" w:lineRule="exact"/>
        <w:rPr>
          <w:rFonts w:ascii="宋体" w:hAnsi="宋体" w:cs="新宋体"/>
          <w:b/>
          <w:sz w:val="24"/>
        </w:rPr>
      </w:pPr>
      <w:bookmarkStart w:id="217" w:name="_Toc397507672"/>
      <w:bookmarkEnd w:id="217"/>
      <w:r>
        <w:rPr>
          <w:rFonts w:hint="eastAsia" w:ascii="宋体" w:hAnsi="宋体" w:cs="新宋体"/>
          <w:b/>
          <w:sz w:val="24"/>
        </w:rPr>
        <w:t>一、评标应遵循公正、公平、择优的原则严格按照招标文件进行。</w:t>
      </w:r>
    </w:p>
    <w:p>
      <w:pPr>
        <w:autoSpaceDE w:val="0"/>
        <w:autoSpaceDN w:val="0"/>
        <w:spacing w:line="460" w:lineRule="exact"/>
        <w:ind w:firstLine="482" w:firstLineChars="200"/>
        <w:contextualSpacing/>
        <w:jc w:val="left"/>
        <w:outlineLvl w:val="0"/>
        <w:rPr>
          <w:rFonts w:ascii="宋体" w:hAnsi="宋体" w:cs="新宋体"/>
          <w:b/>
          <w:sz w:val="24"/>
        </w:rPr>
      </w:pPr>
      <w:r>
        <w:rPr>
          <w:rFonts w:hint="eastAsia" w:ascii="宋体" w:hAnsi="宋体" w:cs="新宋体"/>
          <w:b/>
          <w:sz w:val="24"/>
        </w:rPr>
        <w:t>二、评标由招标人依法组建的评标委员会负责</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（一）评标委员会的组成：</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评标委员会为</w:t>
      </w:r>
      <w:r>
        <w:rPr>
          <w:rFonts w:ascii="宋体" w:hAnsi="宋体" w:cs="宋体"/>
          <w:sz w:val="24"/>
        </w:rPr>
        <w:t>5</w:t>
      </w:r>
      <w:r>
        <w:rPr>
          <w:rFonts w:hint="eastAsia" w:ascii="宋体" w:hAnsi="宋体" w:cs="宋体"/>
          <w:sz w:val="24"/>
        </w:rPr>
        <w:t>人，其中招标人代表</w:t>
      </w:r>
      <w:r>
        <w:rPr>
          <w:rFonts w:ascii="宋体" w:hAnsi="宋体" w:cs="宋体"/>
          <w:sz w:val="24"/>
        </w:rPr>
        <w:t>1</w:t>
      </w:r>
      <w:r>
        <w:rPr>
          <w:rFonts w:hint="eastAsia" w:ascii="宋体" w:hAnsi="宋体" w:cs="宋体"/>
          <w:sz w:val="24"/>
        </w:rPr>
        <w:t>人，其余</w:t>
      </w:r>
      <w:r>
        <w:rPr>
          <w:rFonts w:ascii="宋体" w:hAnsi="宋体" w:cs="宋体"/>
          <w:sz w:val="24"/>
        </w:rPr>
        <w:t>4</w:t>
      </w:r>
      <w:r>
        <w:rPr>
          <w:rFonts w:hint="eastAsia" w:ascii="宋体" w:hAnsi="宋体" w:cs="宋体"/>
          <w:sz w:val="24"/>
        </w:rPr>
        <w:t>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评标委员会成员中的招标人代表应持招标单位有明确授权事项的授权书、身份证和身份证复印件（须加盖招标单位公章）经监督人员审验并履行相关程序后进入指定评标室。</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（二）评标委员会成员的回避：</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有下列情形之一的，不得担任评标委员会成员：</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1、投标人或者投标人主要负责人的近亲属；</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2、项目主管部门或者行政监督部门的人员；</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spacing w:line="460" w:lineRule="exact"/>
        <w:ind w:firstLine="480" w:firstLineChars="200"/>
        <w:contextualSpacing/>
        <w:jc w:val="left"/>
        <w:outlineLvl w:val="0"/>
        <w:rPr>
          <w:rFonts w:ascii="宋体" w:hAnsi="宋体" w:cs="宋体"/>
          <w:sz w:val="24"/>
        </w:rPr>
      </w:pPr>
      <w:r>
        <w:rPr>
          <w:rFonts w:hint="eastAsia" w:ascii="宋体" w:hAnsi="宋体" w:cs="宋体"/>
          <w:sz w:val="24"/>
        </w:rPr>
        <w:t>评标委员会成员有前款规定情形之一的，应当主动提出回避。</w:t>
      </w:r>
    </w:p>
    <w:p>
      <w:pPr>
        <w:adjustRightInd w:val="0"/>
        <w:snapToGrid w:val="0"/>
        <w:spacing w:line="430" w:lineRule="exact"/>
        <w:ind w:firstLine="482" w:firstLineChars="200"/>
        <w:rPr>
          <w:rFonts w:ascii="宋体" w:hAnsi="宋体" w:cs="新宋体"/>
          <w:sz w:val="24"/>
        </w:rPr>
      </w:pPr>
      <w:r>
        <w:rPr>
          <w:rFonts w:hint="eastAsia" w:ascii="黑体" w:hAnsi="黑体" w:eastAsia="黑体" w:cs="黑体"/>
          <w:b/>
          <w:sz w:val="24"/>
        </w:rPr>
        <w:t>三、</w:t>
      </w:r>
      <w:r>
        <w:rPr>
          <w:rFonts w:hint="eastAsia" w:ascii="宋体" w:hAnsi="宋体" w:cs="新宋体"/>
          <w:b/>
          <w:bCs/>
          <w:sz w:val="24"/>
        </w:rPr>
        <w:t>评标采用综合计分法：</w:t>
      </w:r>
      <w:r>
        <w:rPr>
          <w:rFonts w:hint="eastAsia" w:ascii="宋体" w:hAnsi="宋体" w:cs="新宋体"/>
          <w:sz w:val="24"/>
        </w:rPr>
        <w:t>是指评标委员会根据招标文件要求应从技术标、商务标、综合标三部分进行综合评审。</w:t>
      </w:r>
    </w:p>
    <w:p>
      <w:pPr>
        <w:adjustRightInd w:val="0"/>
        <w:snapToGrid w:val="0"/>
        <w:spacing w:line="430" w:lineRule="exact"/>
        <w:ind w:firstLine="480" w:firstLineChars="200"/>
        <w:rPr>
          <w:rFonts w:ascii="宋体" w:hAnsi="宋体" w:cs="新宋体"/>
          <w:sz w:val="24"/>
        </w:rPr>
      </w:pPr>
      <w:r>
        <w:rPr>
          <w:rFonts w:hint="eastAsia" w:ascii="宋体" w:hAnsi="宋体" w:cs="新宋体"/>
          <w:sz w:val="24"/>
        </w:rPr>
        <w:t>评标委员会完成对技术标、综合标的汇总后，评标委员会取所有评委评分的平均值作为该投标人的最终得分。投标人最终得分=技术标平均得分+商务标得分+综合标平均得分。计算分值均四舍五入保留两位小数。</w:t>
      </w:r>
    </w:p>
    <w:p>
      <w:pPr>
        <w:adjustRightInd w:val="0"/>
        <w:snapToGrid w:val="0"/>
        <w:spacing w:line="430" w:lineRule="exact"/>
        <w:ind w:firstLine="482" w:firstLineChars="200"/>
        <w:rPr>
          <w:rFonts w:ascii="宋体" w:hAnsi="宋体"/>
          <w:b/>
          <w:sz w:val="24"/>
        </w:rPr>
      </w:pPr>
      <w:r>
        <w:rPr>
          <w:rFonts w:hint="eastAsia" w:ascii="宋体" w:hAnsi="宋体"/>
          <w:b/>
          <w:sz w:val="24"/>
        </w:rPr>
        <w:t>四、评标程序为：</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（1）清标；</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（2）初步评审；</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（3）详细评审；</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（4）问题的澄清、说明或补正；</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（5）推荐中标候选人；</w:t>
      </w:r>
    </w:p>
    <w:p>
      <w:pPr>
        <w:autoSpaceDE w:val="0"/>
        <w:autoSpaceDN w:val="0"/>
        <w:spacing w:line="460" w:lineRule="exact"/>
        <w:ind w:firstLine="480" w:firstLineChars="200"/>
        <w:contextualSpacing/>
        <w:jc w:val="left"/>
        <w:outlineLvl w:val="0"/>
        <w:rPr>
          <w:rFonts w:ascii="宋体" w:hAnsi="宋体" w:cs="新宋体"/>
          <w:sz w:val="24"/>
        </w:rPr>
      </w:pPr>
      <w:r>
        <w:rPr>
          <w:rFonts w:hint="eastAsia" w:ascii="宋体" w:hAnsi="宋体" w:cs="新宋体"/>
          <w:sz w:val="24"/>
        </w:rPr>
        <w:t>（6）推荐的中标候选人结果在指定媒体上进行公示。</w:t>
      </w:r>
    </w:p>
    <w:p>
      <w:pPr>
        <w:adjustRightInd w:val="0"/>
        <w:snapToGrid w:val="0"/>
        <w:spacing w:line="430" w:lineRule="exact"/>
        <w:ind w:firstLine="482" w:firstLineChars="200"/>
        <w:rPr>
          <w:rFonts w:ascii="宋体" w:hAnsi="宋体"/>
          <w:b/>
          <w:bCs/>
          <w:sz w:val="24"/>
          <w:szCs w:val="24"/>
        </w:rPr>
      </w:pPr>
      <w:r>
        <w:rPr>
          <w:rFonts w:hint="eastAsia" w:ascii="宋体" w:hAnsi="宋体"/>
          <w:b/>
          <w:sz w:val="24"/>
        </w:rPr>
        <w:t>五、清标</w:t>
      </w:r>
    </w:p>
    <w:p>
      <w:pPr>
        <w:autoSpaceDE w:val="0"/>
        <w:autoSpaceDN w:val="0"/>
        <w:spacing w:line="460" w:lineRule="exact"/>
        <w:ind w:firstLine="482" w:firstLineChars="200"/>
        <w:contextualSpacing/>
        <w:jc w:val="left"/>
        <w:outlineLvl w:val="0"/>
        <w:rPr>
          <w:rFonts w:ascii="宋体" w:hAnsi="宋体"/>
          <w:b/>
          <w:bCs/>
          <w:sz w:val="24"/>
          <w:szCs w:val="24"/>
        </w:rPr>
      </w:pPr>
      <w:r>
        <w:rPr>
          <w:rFonts w:hint="eastAsia" w:ascii="宋体" w:hAnsi="宋体"/>
          <w:b/>
          <w:bCs/>
          <w:sz w:val="24"/>
          <w:szCs w:val="24"/>
        </w:rPr>
        <w:t>先由评标委员会在商务标清标系统的辅助下对投标文件进行基础性数据分析和整理（清标内容见下表），形成清标成果。</w:t>
      </w:r>
    </w:p>
    <w:p>
      <w:pPr>
        <w:spacing w:line="460" w:lineRule="exact"/>
        <w:ind w:firstLine="480" w:firstLineChars="200"/>
        <w:contextualSpacing/>
        <w:rPr>
          <w:rFonts w:ascii="宋体" w:hAnsi="宋体"/>
          <w:sz w:val="24"/>
          <w:szCs w:val="24"/>
        </w:rPr>
      </w:pPr>
      <w:r>
        <w:rPr>
          <w:rFonts w:hint="eastAsia" w:ascii="宋体" w:hAnsi="宋体"/>
          <w:sz w:val="24"/>
          <w:szCs w:val="24"/>
        </w:rPr>
        <w:t>出现否定事项的，评标委员会不再对其质询，直接作为无效投标处理（但法律法规规定的细微偏差除外）。</w:t>
      </w:r>
    </w:p>
    <w:p>
      <w:pPr>
        <w:spacing w:line="460" w:lineRule="exact"/>
        <w:ind w:firstLine="480" w:firstLineChars="200"/>
        <w:contextualSpacing/>
        <w:rPr>
          <w:rFonts w:ascii="宋体" w:hAnsi="宋体"/>
          <w:sz w:val="24"/>
          <w:szCs w:val="24"/>
        </w:rPr>
      </w:pPr>
      <w:r>
        <w:rPr>
          <w:rFonts w:hint="eastAsia" w:ascii="宋体" w:hAnsi="宋体"/>
          <w:sz w:val="24"/>
          <w:szCs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460" w:lineRule="exact"/>
        <w:ind w:firstLine="480" w:firstLineChars="200"/>
        <w:contextualSpacing/>
        <w:rPr>
          <w:rFonts w:ascii="宋体" w:hAnsi="宋体"/>
          <w:sz w:val="24"/>
          <w:szCs w:val="24"/>
        </w:rPr>
      </w:pPr>
      <w:r>
        <w:rPr>
          <w:rFonts w:hint="eastAsia" w:ascii="宋体" w:hAnsi="宋体"/>
          <w:sz w:val="24"/>
          <w:szCs w:val="24"/>
        </w:rPr>
        <w:t>评标委员会应当书面要求存在细微偏差的投标人在评标结束前予以补正。拒不补正的，在详细评审时评标委员会将否决其投标。</w:t>
      </w:r>
    </w:p>
    <w:p>
      <w:pPr>
        <w:spacing w:line="460" w:lineRule="exact"/>
        <w:ind w:firstLine="480" w:firstLineChars="200"/>
        <w:contextualSpacing/>
        <w:rPr>
          <w:rFonts w:ascii="宋体" w:hAnsi="宋体"/>
          <w:sz w:val="24"/>
          <w:szCs w:val="24"/>
        </w:rPr>
      </w:pPr>
      <w:r>
        <w:rPr>
          <w:rFonts w:hint="eastAsia" w:ascii="宋体" w:hAnsi="宋体"/>
          <w:sz w:val="24"/>
          <w:szCs w:val="24"/>
        </w:rPr>
        <w:t>投标文件存在下列情形之一的，按废标处理：</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1.未按招标文件规定编制各项报价的；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2.投标总报价与其组成部分、工程量清单项目合价与综合单价、综合单价与人材机用量相互矛盾，致使评标委员会无法正常评审判定的；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3.规费和税金、安全文明施工措施费违背工程造价管理规定的；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4.分部分项工程项目、措施项目报价中的项目编码、项目名称、项目特征、计量单位和工程量与招标文件的清单不一致的；</w:t>
      </w:r>
    </w:p>
    <w:p>
      <w:pPr>
        <w:spacing w:line="460" w:lineRule="exact"/>
        <w:ind w:firstLine="480" w:firstLineChars="200"/>
        <w:contextualSpacing/>
        <w:jc w:val="left"/>
        <w:rPr>
          <w:rFonts w:ascii="宋体" w:hAnsi="宋体"/>
          <w:sz w:val="24"/>
          <w:szCs w:val="24"/>
        </w:rPr>
      </w:pPr>
      <w:r>
        <w:rPr>
          <w:rFonts w:hint="eastAsia" w:ascii="宋体" w:hAnsi="宋体"/>
          <w:sz w:val="24"/>
          <w:szCs w:val="24"/>
        </w:rPr>
        <w:t>5.未按照暂列金额或者暂估价编制投标报价的。</w:t>
      </w:r>
    </w:p>
    <w:p>
      <w:pPr>
        <w:spacing w:line="440" w:lineRule="exact"/>
        <w:ind w:firstLine="480" w:firstLineChars="200"/>
        <w:rPr>
          <w:rFonts w:ascii="宋体" w:hAnsi="宋体"/>
          <w:sz w:val="24"/>
          <w:szCs w:val="24"/>
        </w:rPr>
      </w:pPr>
      <w:r>
        <w:rPr>
          <w:rFonts w:hint="eastAsia" w:ascii="宋体"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60" w:lineRule="exact"/>
        <w:ind w:firstLine="482" w:firstLineChars="200"/>
        <w:contextualSpacing/>
        <w:jc w:val="center"/>
        <w:rPr>
          <w:rFonts w:ascii="新宋体" w:hAnsi="新宋体" w:eastAsia="新宋体"/>
          <w:b/>
          <w:bCs/>
          <w:sz w:val="24"/>
          <w:szCs w:val="24"/>
        </w:rPr>
      </w:pPr>
    </w:p>
    <w:p>
      <w:pPr>
        <w:spacing w:line="460" w:lineRule="exact"/>
        <w:ind w:firstLine="482" w:firstLineChars="200"/>
        <w:contextualSpacing/>
        <w:jc w:val="center"/>
        <w:rPr>
          <w:rFonts w:ascii="新宋体" w:hAnsi="新宋体" w:eastAsia="新宋体"/>
          <w:b/>
          <w:bCs/>
          <w:sz w:val="24"/>
          <w:szCs w:val="24"/>
        </w:rPr>
      </w:pPr>
      <w:r>
        <w:rPr>
          <w:rFonts w:hint="eastAsia" w:ascii="新宋体" w:hAnsi="新宋体" w:eastAsia="新宋体"/>
          <w:b/>
          <w:bCs/>
          <w:sz w:val="24"/>
          <w:szCs w:val="24"/>
        </w:rPr>
        <w:t>商务标清标内容</w:t>
      </w:r>
    </w:p>
    <w:tbl>
      <w:tblPr>
        <w:tblStyle w:val="11"/>
        <w:tblW w:w="0" w:type="auto"/>
        <w:jc w:val="center"/>
        <w:tblLayout w:type="fixed"/>
        <w:tblCellMar>
          <w:top w:w="0" w:type="dxa"/>
          <w:left w:w="108" w:type="dxa"/>
          <w:bottom w:w="0" w:type="dxa"/>
          <w:right w:w="108" w:type="dxa"/>
        </w:tblCellMar>
      </w:tblPr>
      <w:tblGrid>
        <w:gridCol w:w="525"/>
        <w:gridCol w:w="645"/>
        <w:gridCol w:w="3698"/>
        <w:gridCol w:w="3645"/>
        <w:gridCol w:w="698"/>
        <w:gridCol w:w="660"/>
      </w:tblGrid>
      <w:tr>
        <w:tblPrEx>
          <w:tblCellMar>
            <w:top w:w="0" w:type="dxa"/>
            <w:left w:w="108" w:type="dxa"/>
            <w:bottom w:w="0" w:type="dxa"/>
            <w:right w:w="108" w:type="dxa"/>
          </w:tblCellMar>
        </w:tblPrEx>
        <w:trPr>
          <w:trHeight w:val="282" w:hRule="atLeast"/>
          <w:jc w:val="center"/>
        </w:trPr>
        <w:tc>
          <w:tcPr>
            <w:tcW w:w="117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bookmarkStart w:id="218" w:name="_Toc464824721"/>
            <w:bookmarkEnd w:id="218"/>
            <w:bookmarkStart w:id="219" w:name="_Toc31423"/>
            <w:r>
              <w:rPr>
                <w:rFonts w:hint="eastAsia" w:ascii="新宋体" w:hAnsi="新宋体" w:eastAsia="新宋体"/>
                <w:sz w:val="22"/>
                <w:szCs w:val="20"/>
              </w:rPr>
              <w:t>序号</w:t>
            </w:r>
          </w:p>
        </w:tc>
        <w:tc>
          <w:tcPr>
            <w:tcW w:w="3698"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清标项目</w:t>
            </w:r>
          </w:p>
        </w:tc>
        <w:tc>
          <w:tcPr>
            <w:tcW w:w="3645" w:type="dxa"/>
            <w:vMerge w:val="restart"/>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清标内容</w:t>
            </w:r>
          </w:p>
        </w:tc>
        <w:tc>
          <w:tcPr>
            <w:tcW w:w="135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清标结果</w:t>
            </w:r>
          </w:p>
        </w:tc>
      </w:tr>
      <w:tr>
        <w:tblPrEx>
          <w:tblCellMar>
            <w:top w:w="0" w:type="dxa"/>
            <w:left w:w="108" w:type="dxa"/>
            <w:bottom w:w="0" w:type="dxa"/>
            <w:right w:w="108" w:type="dxa"/>
          </w:tblCellMar>
        </w:tblPrEx>
        <w:trPr>
          <w:trHeight w:val="204" w:hRule="atLeast"/>
          <w:jc w:val="center"/>
        </w:trPr>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98"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45" w:type="dxa"/>
            <w:vMerge w:val="continue"/>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98"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是</w:t>
            </w:r>
          </w:p>
        </w:tc>
        <w:tc>
          <w:tcPr>
            <w:tcW w:w="660"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否</w:t>
            </w: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项目总报价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是否等于各单项工程造价之和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单项工程费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是否等于各单位工程造价之和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1.3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单位工程费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是否等于分部分项工程费+措施项目费+其它项目费+规费+税金之和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2.1</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分部分项工程费及单价措施费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是否等于各分部分项清单（含单价措施项目）费之和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分部分项及单价措施项目编码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2.3</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分部分项及单价措施项目名称</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2.4</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分部分项及单价措施项目特征</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2.5</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分部分项及单价措施项目计量单位</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2.6</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分部分项及单价措施项目工程量</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不得修改招标人清单</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2.7</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分部分项工程费及单价措施费清单综合单价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综合单价＝人工费+材料费+机械费+管理费+利润之和</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2.8</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材料单价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材料表中的单价与组成清单单价中的综合单价必须一致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安全文明施工费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3.2</w:t>
            </w:r>
          </w:p>
        </w:tc>
        <w:tc>
          <w:tcPr>
            <w:tcW w:w="3698" w:type="dxa"/>
            <w:tcBorders>
              <w:top w:val="single" w:color="auto" w:sz="4" w:space="0"/>
              <w:left w:val="nil"/>
              <w:bottom w:val="single" w:color="auto" w:sz="4" w:space="0"/>
              <w:right w:val="single" w:color="auto" w:sz="4" w:space="0"/>
            </w:tcBorders>
            <w:vAlign w:val="center"/>
          </w:tcPr>
          <w:p>
            <w:pPr>
              <w:spacing w:line="440" w:lineRule="exact"/>
              <w:jc w:val="left"/>
              <w:rPr>
                <w:rFonts w:ascii="新宋体" w:hAnsi="新宋体" w:eastAsia="新宋体"/>
                <w:sz w:val="22"/>
                <w:szCs w:val="20"/>
              </w:rPr>
            </w:pPr>
            <w:r>
              <w:rPr>
                <w:rFonts w:hint="eastAsia" w:ascii="新宋体" w:hAnsi="新宋体" w:eastAsia="新宋体"/>
                <w:sz w:val="22"/>
                <w:szCs w:val="20"/>
              </w:rPr>
              <w:t>其他措施费（费率类）项目</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根据招标文件要求自主报价</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539" w:hRule="atLeast"/>
          <w:jc w:val="center"/>
        </w:trPr>
        <w:tc>
          <w:tcPr>
            <w:tcW w:w="525"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w:t>
            </w: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4.1</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其它项目费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各组成部分之和（暂列金额+专业暂估价+计日工费+总承包服务费）</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4.2</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暂列金额</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4.3</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专业工程暂估价</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应与招标人价格一致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4.4</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计日工</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应与招标人数量一致</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vMerge w:val="continue"/>
            <w:tcBorders>
              <w:top w:val="nil"/>
              <w:left w:val="single" w:color="auto" w:sz="4" w:space="0"/>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45" w:type="dxa"/>
            <w:tcBorders>
              <w:top w:val="single" w:color="auto" w:sz="4" w:space="0"/>
              <w:left w:val="nil"/>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4.5</w:t>
            </w: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总承包服务费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是否按招标文件要求计算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5</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规费</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54"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6</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3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left"/>
              <w:rPr>
                <w:rFonts w:ascii="新宋体" w:hAnsi="新宋体" w:eastAsia="新宋体"/>
                <w:sz w:val="22"/>
                <w:szCs w:val="20"/>
              </w:rPr>
            </w:pPr>
            <w:r>
              <w:rPr>
                <w:rFonts w:hint="eastAsia" w:ascii="新宋体" w:hAnsi="新宋体" w:eastAsia="新宋体"/>
                <w:sz w:val="22"/>
                <w:szCs w:val="20"/>
              </w:rPr>
              <w:t>增值税</w:t>
            </w:r>
          </w:p>
        </w:tc>
        <w:tc>
          <w:tcPr>
            <w:tcW w:w="3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根据河南省计价依据规定计算</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r>
        <w:tblPrEx>
          <w:tblCellMar>
            <w:top w:w="0" w:type="dxa"/>
            <w:left w:w="108" w:type="dxa"/>
            <w:bottom w:w="0" w:type="dxa"/>
            <w:right w:w="108" w:type="dxa"/>
          </w:tblCellMar>
        </w:tblPrEx>
        <w:trPr>
          <w:trHeight w:val="471" w:hRule="exact"/>
          <w:jc w:val="center"/>
        </w:trPr>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sz w:val="22"/>
                <w:szCs w:val="20"/>
              </w:rPr>
            </w:pPr>
            <w:r>
              <w:rPr>
                <w:rFonts w:hint="eastAsia" w:ascii="新宋体" w:hAnsi="新宋体" w:eastAsia="新宋体"/>
                <w:sz w:val="22"/>
                <w:szCs w:val="20"/>
              </w:rPr>
              <w:t>7</w:t>
            </w:r>
          </w:p>
        </w:tc>
        <w:tc>
          <w:tcPr>
            <w:tcW w:w="645"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7343" w:type="dxa"/>
            <w:gridSpan w:val="2"/>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r>
              <w:rPr>
                <w:rFonts w:hint="eastAsia" w:ascii="新宋体" w:hAnsi="新宋体" w:eastAsia="新宋体"/>
                <w:sz w:val="22"/>
                <w:szCs w:val="20"/>
              </w:rPr>
              <w:t>不违反法律、法规、规章、规范性文件规定的其它情况</w:t>
            </w:r>
          </w:p>
        </w:tc>
        <w:tc>
          <w:tcPr>
            <w:tcW w:w="698"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c>
          <w:tcPr>
            <w:tcW w:w="660" w:type="dxa"/>
            <w:tcBorders>
              <w:top w:val="single" w:color="auto" w:sz="4" w:space="0"/>
              <w:left w:val="nil"/>
              <w:bottom w:val="single" w:color="auto" w:sz="4" w:space="0"/>
              <w:right w:val="single" w:color="auto" w:sz="4" w:space="0"/>
            </w:tcBorders>
            <w:vAlign w:val="center"/>
          </w:tcPr>
          <w:p>
            <w:pPr>
              <w:spacing w:line="440" w:lineRule="exact"/>
              <w:ind w:firstLine="440" w:firstLineChars="200"/>
              <w:jc w:val="center"/>
              <w:rPr>
                <w:rFonts w:ascii="新宋体" w:hAnsi="新宋体" w:eastAsia="新宋体"/>
                <w:sz w:val="22"/>
                <w:szCs w:val="20"/>
              </w:rPr>
            </w:pPr>
          </w:p>
        </w:tc>
      </w:tr>
    </w:tbl>
    <w:p>
      <w:pPr>
        <w:autoSpaceDE w:val="0"/>
        <w:autoSpaceDN w:val="0"/>
        <w:spacing w:line="480" w:lineRule="exact"/>
        <w:ind w:firstLine="482" w:firstLineChars="200"/>
        <w:contextualSpacing/>
        <w:jc w:val="left"/>
        <w:outlineLvl w:val="0"/>
        <w:rPr>
          <w:rFonts w:ascii="宋体" w:hAnsi="宋体" w:eastAsia="新宋体"/>
          <w:b/>
          <w:bCs/>
          <w:sz w:val="24"/>
          <w:szCs w:val="24"/>
        </w:rPr>
      </w:pPr>
      <w:r>
        <w:rPr>
          <w:rFonts w:hint="eastAsia" w:ascii="宋体" w:hAnsi="宋体" w:eastAsia="新宋体"/>
          <w:b/>
          <w:bCs/>
          <w:sz w:val="24"/>
          <w:szCs w:val="24"/>
        </w:rPr>
        <w:t>注：不在上述范围内且不具有实质性影响的内容，均不能作为清标的依据或理由。</w:t>
      </w:r>
    </w:p>
    <w:bookmarkEnd w:id="219"/>
    <w:p>
      <w:pPr>
        <w:adjustRightInd w:val="0"/>
        <w:snapToGrid w:val="0"/>
        <w:spacing w:line="480" w:lineRule="exact"/>
        <w:ind w:firstLine="482" w:firstLineChars="200"/>
        <w:rPr>
          <w:rFonts w:ascii="宋体" w:hAnsi="宋体"/>
          <w:b/>
          <w:sz w:val="24"/>
        </w:rPr>
      </w:pPr>
      <w:r>
        <w:rPr>
          <w:rFonts w:hint="eastAsia" w:ascii="宋体" w:hAnsi="宋体"/>
          <w:b/>
          <w:sz w:val="24"/>
        </w:rPr>
        <w:t>六、初步评审</w:t>
      </w:r>
    </w:p>
    <w:p>
      <w:pPr>
        <w:autoSpaceDE w:val="0"/>
        <w:autoSpaceDN w:val="0"/>
        <w:spacing w:line="480" w:lineRule="exact"/>
        <w:ind w:firstLine="480" w:firstLineChars="200"/>
        <w:contextualSpacing/>
        <w:jc w:val="left"/>
        <w:outlineLvl w:val="0"/>
        <w:rPr>
          <w:rFonts w:ascii="新宋体" w:hAnsi="新宋体" w:eastAsia="新宋体" w:cs="宋体"/>
          <w:kern w:val="0"/>
          <w:sz w:val="24"/>
          <w:szCs w:val="24"/>
        </w:rPr>
      </w:pPr>
      <w:bookmarkStart w:id="220" w:name="_Toc21112"/>
      <w:r>
        <w:rPr>
          <w:rFonts w:hint="eastAsia" w:ascii="新宋体" w:hAnsi="新宋体" w:eastAsia="新宋体" w:cs="宋体"/>
          <w:kern w:val="0"/>
          <w:sz w:val="24"/>
          <w:szCs w:val="24"/>
        </w:rPr>
        <w:t>招标人依法组织的评标委员会首先对投标人进行初步评审，只有通过初步评审的投标人才能进入下步评审。</w:t>
      </w:r>
      <w:bookmarkEnd w:id="220"/>
      <w:bookmarkStart w:id="221" w:name="_Toc464824723"/>
      <w:bookmarkEnd w:id="221"/>
      <w:bookmarkStart w:id="222" w:name="_Toc27484"/>
      <w:bookmarkEnd w:id="222"/>
    </w:p>
    <w:p>
      <w:pPr>
        <w:snapToGrid w:val="0"/>
        <w:spacing w:line="480" w:lineRule="exact"/>
        <w:ind w:firstLine="480" w:firstLineChars="200"/>
        <w:rPr>
          <w:rFonts w:ascii="宋体" w:hAnsi="宋体" w:cs="新宋体"/>
          <w:sz w:val="24"/>
        </w:rPr>
      </w:pPr>
      <w:r>
        <w:rPr>
          <w:rFonts w:hint="eastAsia" w:ascii="宋体" w:hAnsi="宋体" w:cs="新宋体"/>
          <w:sz w:val="24"/>
        </w:rPr>
        <w:t>初步评审主要包括以下内容：</w:t>
      </w:r>
    </w:p>
    <w:p>
      <w:pPr>
        <w:numPr>
          <w:ilvl w:val="0"/>
          <w:numId w:val="1"/>
        </w:numPr>
        <w:snapToGrid w:val="0"/>
        <w:spacing w:line="440" w:lineRule="exact"/>
        <w:ind w:firstLine="480" w:firstLineChars="200"/>
        <w:rPr>
          <w:rFonts w:ascii="宋体" w:hAnsi="宋体" w:cs="新宋体"/>
          <w:sz w:val="24"/>
        </w:rPr>
      </w:pPr>
      <w:r>
        <w:rPr>
          <w:rFonts w:hint="eastAsia" w:ascii="宋体" w:hAnsi="宋体" w:cs="新宋体"/>
          <w:sz w:val="24"/>
        </w:rPr>
        <w:t>投标文件未按前附表要求签字盖章；</w:t>
      </w:r>
    </w:p>
    <w:p>
      <w:pPr>
        <w:snapToGrid w:val="0"/>
        <w:spacing w:line="440" w:lineRule="exact"/>
        <w:ind w:firstLine="480" w:firstLineChars="200"/>
        <w:rPr>
          <w:rFonts w:ascii="宋体" w:hAnsi="宋体"/>
          <w:sz w:val="24"/>
          <w:szCs w:val="24"/>
        </w:rPr>
      </w:pPr>
      <w:r>
        <w:rPr>
          <w:rFonts w:hint="eastAsia" w:ascii="新宋体" w:hAnsi="新宋体" w:eastAsia="新宋体" w:cs="新宋体"/>
          <w:sz w:val="24"/>
        </w:rPr>
        <w:t>2.</w:t>
      </w:r>
      <w:r>
        <w:rPr>
          <w:rFonts w:hint="eastAsia" w:ascii="宋体" w:hAnsi="宋体"/>
          <w:sz w:val="24"/>
          <w:szCs w:val="24"/>
        </w:rPr>
        <w:t>投标人名称与营业执照、资质证书等证件名称不一致；</w:t>
      </w:r>
    </w:p>
    <w:p>
      <w:pPr>
        <w:snapToGrid w:val="0"/>
        <w:spacing w:line="480" w:lineRule="exact"/>
        <w:ind w:firstLine="480" w:firstLineChars="200"/>
        <w:rPr>
          <w:rFonts w:ascii="宋体" w:hAnsi="宋体" w:cs="新宋体"/>
          <w:sz w:val="24"/>
        </w:rPr>
      </w:pPr>
      <w:r>
        <w:rPr>
          <w:rFonts w:hint="eastAsia" w:ascii="宋体" w:hAnsi="宋体" w:cs="新宋体"/>
          <w:sz w:val="24"/>
        </w:rPr>
        <w:t>3.投标人不符合国家或者招标文件规定的资格条件；</w:t>
      </w:r>
    </w:p>
    <w:p>
      <w:pPr>
        <w:snapToGrid w:val="0"/>
        <w:spacing w:line="480" w:lineRule="exact"/>
        <w:ind w:firstLine="480" w:firstLineChars="200"/>
        <w:rPr>
          <w:rFonts w:ascii="宋体" w:hAnsi="宋体" w:cs="新宋体"/>
          <w:sz w:val="24"/>
        </w:rPr>
      </w:pPr>
      <w:r>
        <w:rPr>
          <w:rFonts w:hint="eastAsia" w:ascii="宋体" w:hAnsi="宋体" w:cs="新宋体"/>
          <w:sz w:val="24"/>
        </w:rPr>
        <w:t>4.同一投标人提交两个以上不同的投标文件或者投标报价，但招标文件要求提交备选投标的除外；</w:t>
      </w:r>
    </w:p>
    <w:p>
      <w:pPr>
        <w:snapToGrid w:val="0"/>
        <w:spacing w:line="480" w:lineRule="exact"/>
        <w:ind w:firstLine="480" w:firstLineChars="200"/>
        <w:rPr>
          <w:rFonts w:ascii="宋体" w:hAnsi="宋体" w:cs="新宋体"/>
          <w:sz w:val="24"/>
        </w:rPr>
      </w:pPr>
      <w:r>
        <w:rPr>
          <w:rFonts w:hint="eastAsia" w:ascii="宋体" w:hAnsi="宋体" w:cs="新宋体"/>
          <w:sz w:val="24"/>
        </w:rPr>
        <w:t>5.投标报价高于招标文件设定的最高投标限价；</w:t>
      </w:r>
    </w:p>
    <w:p>
      <w:pPr>
        <w:snapToGrid w:val="0"/>
        <w:spacing w:line="480" w:lineRule="exact"/>
        <w:ind w:firstLine="480" w:firstLineChars="200"/>
        <w:rPr>
          <w:rFonts w:ascii="宋体" w:hAnsi="宋体" w:cs="新宋体"/>
          <w:sz w:val="24"/>
        </w:rPr>
      </w:pPr>
      <w:r>
        <w:rPr>
          <w:rFonts w:hint="eastAsia" w:ascii="宋体" w:hAnsi="宋体" w:cs="新宋体"/>
          <w:sz w:val="24"/>
        </w:rPr>
        <w:t>6.投标范围、工期、工程质量、投标有效期、付款方式不符合招标文件规定；</w:t>
      </w:r>
    </w:p>
    <w:p>
      <w:pPr>
        <w:snapToGrid w:val="0"/>
        <w:spacing w:line="480" w:lineRule="exact"/>
        <w:ind w:firstLine="480" w:firstLineChars="200"/>
        <w:rPr>
          <w:rFonts w:ascii="宋体" w:hAnsi="宋体" w:cs="新宋体"/>
          <w:sz w:val="24"/>
        </w:rPr>
      </w:pPr>
      <w:r>
        <w:rPr>
          <w:rFonts w:hint="eastAsia" w:ascii="宋体" w:hAnsi="宋体" w:cs="新宋体"/>
          <w:sz w:val="24"/>
        </w:rPr>
        <w:t>7.投标人有串通投标、弄虚作假等违法行为。</w:t>
      </w:r>
    </w:p>
    <w:p>
      <w:pPr>
        <w:snapToGrid w:val="0"/>
        <w:spacing w:line="480" w:lineRule="exact"/>
        <w:ind w:firstLine="482" w:firstLineChars="200"/>
        <w:rPr>
          <w:rFonts w:ascii="宋体" w:hAnsi="宋体" w:cs="新宋体"/>
          <w:b/>
          <w:sz w:val="24"/>
        </w:rPr>
      </w:pPr>
      <w:r>
        <w:rPr>
          <w:rFonts w:hint="eastAsia" w:ascii="宋体" w:hAnsi="宋体" w:cs="新宋体"/>
          <w:b/>
          <w:sz w:val="24"/>
        </w:rPr>
        <w:t xml:space="preserve">8. </w:t>
      </w:r>
      <w:r>
        <w:rPr>
          <w:rFonts w:hint="eastAsia" w:ascii="新宋体" w:hAnsi="新宋体" w:eastAsia="新宋体" w:cs="宋体"/>
          <w:b/>
          <w:bCs/>
          <w:sz w:val="24"/>
          <w:szCs w:val="24"/>
          <w:lang w:val="zh-CN"/>
        </w:rPr>
        <w:t>按照《关于推进全流程电子化交易和在线监管工作有关问题的通知》（许公管办[2019]3号）规定：</w:t>
      </w:r>
      <w:r>
        <w:rPr>
          <w:rFonts w:hint="eastAsia" w:ascii="宋体" w:hAnsi="宋体" w:cs="新宋体"/>
          <w:b/>
          <w:sz w:val="24"/>
        </w:rPr>
        <w:t>不同投标人电子投标文件记录的网卡MAC地址、CPU序号、硬盘序列号等硬件特征码均相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均一致的分析及判定结果。</w:t>
      </w:r>
    </w:p>
    <w:p>
      <w:pPr>
        <w:snapToGrid w:val="0"/>
        <w:spacing w:line="480" w:lineRule="exact"/>
        <w:ind w:firstLine="480" w:firstLineChars="200"/>
        <w:rPr>
          <w:rFonts w:ascii="新宋体" w:hAnsi="新宋体" w:eastAsia="新宋体" w:cs="宋体"/>
          <w:sz w:val="24"/>
          <w:szCs w:val="24"/>
        </w:rPr>
      </w:pPr>
      <w:r>
        <w:rPr>
          <w:rFonts w:hint="eastAsia" w:ascii="宋体" w:hAnsi="宋体" w:cs="新宋体"/>
          <w:sz w:val="24"/>
        </w:rPr>
        <w:t>9.被列入失信被执行人名单的投标人，其投标将被拒绝。（</w:t>
      </w:r>
      <w:bookmarkStart w:id="223" w:name="_Hlk534616277"/>
      <w:r>
        <w:rPr>
          <w:rFonts w:hint="eastAsia" w:ascii="宋体" w:hAnsi="宋体" w:cs="新宋体"/>
          <w:sz w:val="24"/>
        </w:rPr>
        <w:t>招标项目开标结束后、评标开始前，招标人（或招标代理机构）对投标人信用记录进行现场查询，并将查询结果随项目开标资料一并送入评标室，由专家进行评判。</w:t>
      </w:r>
      <w:r>
        <w:rPr>
          <w:rFonts w:hint="eastAsia" w:ascii="宋体" w:hAnsi="宋体" w:cs="新宋体"/>
          <w:b/>
          <w:bCs/>
          <w:sz w:val="24"/>
        </w:rPr>
        <w:t>投标人无须提供信用记录查询结果网页截图，</w:t>
      </w:r>
      <w:r>
        <w:rPr>
          <w:rFonts w:hint="eastAsia" w:ascii="宋体" w:hAnsi="宋体" w:cs="新宋体"/>
          <w:sz w:val="24"/>
        </w:rPr>
        <w:t>信用信息查询记录和证据留存具体方式：经评标委员会确认的查询结果网页截图作为查询记录和证据，与其他文件一并存档）</w:t>
      </w:r>
      <w:bookmarkEnd w:id="223"/>
      <w:r>
        <w:rPr>
          <w:rFonts w:hint="eastAsia" w:ascii="宋体" w:hAnsi="宋体" w:cs="新宋体"/>
          <w:sz w:val="24"/>
        </w:rPr>
        <w:t>。</w:t>
      </w:r>
    </w:p>
    <w:p>
      <w:pPr>
        <w:snapToGrid w:val="0"/>
        <w:spacing w:line="480" w:lineRule="exact"/>
        <w:ind w:firstLine="480" w:firstLineChars="200"/>
        <w:rPr>
          <w:rFonts w:ascii="宋体" w:hAnsi="宋体" w:cs="新宋体"/>
          <w:sz w:val="24"/>
        </w:rPr>
      </w:pPr>
      <w:r>
        <w:rPr>
          <w:rFonts w:hint="eastAsia" w:ascii="宋体" w:hAnsi="宋体" w:cs="新宋体"/>
          <w:sz w:val="24"/>
        </w:rPr>
        <w:t>（1）“信用中国”（www.creditchina.gov.cn）“失信被执行人”、“重大税收违法案件当事人名单”网页查询结果截图，查询对象为投标人；</w:t>
      </w:r>
    </w:p>
    <w:p>
      <w:pPr>
        <w:snapToGrid w:val="0"/>
        <w:spacing w:line="460" w:lineRule="exact"/>
        <w:ind w:firstLine="480" w:firstLineChars="200"/>
        <w:rPr>
          <w:rFonts w:ascii="宋体" w:hAnsi="宋体" w:cs="新宋体"/>
          <w:sz w:val="24"/>
        </w:rPr>
      </w:pPr>
      <w:r>
        <w:rPr>
          <w:rFonts w:hint="eastAsia" w:ascii="宋体" w:hAnsi="宋体" w:cs="新宋体"/>
          <w:sz w:val="24"/>
        </w:rPr>
        <w:t>“信用河南”（www.xyhn.gov.cn）黑名单查询截图。查询内容包括：严重失信债务人名单，国家人社部-拖欠农民工工资黑名单，查询对象为投标人；</w:t>
      </w:r>
    </w:p>
    <w:p>
      <w:pPr>
        <w:snapToGrid w:val="0"/>
        <w:spacing w:line="460" w:lineRule="exact"/>
        <w:ind w:firstLine="480" w:firstLineChars="200"/>
        <w:rPr>
          <w:rFonts w:ascii="宋体" w:hAnsi="宋体" w:cs="新宋体"/>
          <w:sz w:val="24"/>
        </w:rPr>
      </w:pPr>
      <w:r>
        <w:rPr>
          <w:rFonts w:hint="eastAsia" w:ascii="宋体" w:hAnsi="宋体" w:cs="新宋体"/>
          <w:sz w:val="24"/>
        </w:rPr>
        <w:t>（2）“全国企业信用信息公示系统”（www.gsxt.gov.cn）“经营异常名录和严重违法失信企业名单”网页查询结果截图；</w:t>
      </w:r>
    </w:p>
    <w:p>
      <w:pPr>
        <w:snapToGrid w:val="0"/>
        <w:spacing w:line="460" w:lineRule="exact"/>
        <w:ind w:firstLine="480" w:firstLineChars="200"/>
        <w:rPr>
          <w:rFonts w:ascii="宋体" w:hAnsi="宋体" w:cs="新宋体"/>
          <w:sz w:val="24"/>
        </w:rPr>
      </w:pPr>
      <w:r>
        <w:rPr>
          <w:rFonts w:hint="eastAsia" w:ascii="宋体" w:hAnsi="宋体" w:cs="新宋体"/>
          <w:sz w:val="24"/>
        </w:rPr>
        <w:t>（3）“中国裁判文书网”（wenshu.court.gov.cn）行贿犯罪网页查询结果截图。查询对象为投标人。</w:t>
      </w:r>
    </w:p>
    <w:p>
      <w:pPr>
        <w:snapToGrid w:val="0"/>
        <w:spacing w:line="460" w:lineRule="exact"/>
        <w:ind w:firstLine="480" w:firstLineChars="200"/>
        <w:rPr>
          <w:rFonts w:ascii="宋体" w:hAnsi="宋体" w:cs="新宋体"/>
          <w:sz w:val="24"/>
        </w:rPr>
      </w:pPr>
      <w:r>
        <w:rPr>
          <w:rFonts w:hint="eastAsia" w:ascii="宋体" w:hAnsi="宋体" w:cs="新宋体"/>
          <w:sz w:val="24"/>
        </w:rPr>
        <w:t>10.招标人在招标文件列入的其它内容：</w:t>
      </w:r>
    </w:p>
    <w:p>
      <w:pPr>
        <w:spacing w:line="460" w:lineRule="exact"/>
        <w:ind w:firstLine="240" w:firstLineChars="100"/>
        <w:contextualSpacing/>
        <w:rPr>
          <w:sz w:val="24"/>
          <w:szCs w:val="24"/>
        </w:rPr>
      </w:pPr>
      <w:r>
        <w:rPr>
          <w:rFonts w:hint="eastAsia" w:ascii="宋体" w:hAnsi="宋体"/>
          <w:sz w:val="24"/>
          <w:szCs w:val="24"/>
        </w:rPr>
        <w:t>（1）近三年财务是否无亏损</w:t>
      </w:r>
      <w:r>
        <w:rPr>
          <w:rFonts w:hint="eastAsia"/>
          <w:sz w:val="24"/>
          <w:szCs w:val="24"/>
        </w:rPr>
        <w:t>(</w:t>
      </w:r>
      <w:r>
        <w:rPr>
          <w:rFonts w:hint="eastAsia" w:ascii="宋体" w:hAnsi="宋体"/>
          <w:sz w:val="24"/>
          <w:szCs w:val="24"/>
        </w:rPr>
        <w:t>至少有一年盈利），且没有被接管、冻结、破产状态（以经会计师事务所或审计机构审计的有效的财务会计报表扫描件为准。若公司成立未满三年，需提供从成立至今的年度财务状况）；</w:t>
      </w:r>
    </w:p>
    <w:p>
      <w:pPr>
        <w:spacing w:line="460" w:lineRule="exact"/>
        <w:ind w:firstLine="240" w:firstLineChars="100"/>
        <w:contextualSpacing/>
        <w:rPr>
          <w:sz w:val="24"/>
          <w:szCs w:val="24"/>
        </w:rPr>
      </w:pPr>
      <w:r>
        <w:rPr>
          <w:rFonts w:hint="eastAsia" w:ascii="宋体" w:hAnsi="宋体"/>
          <w:sz w:val="24"/>
          <w:szCs w:val="24"/>
        </w:rPr>
        <w:t>（2）</w:t>
      </w:r>
      <w:r>
        <w:rPr>
          <w:rFonts w:hint="eastAsia"/>
          <w:sz w:val="24"/>
          <w:szCs w:val="24"/>
        </w:rPr>
        <w:t>是否</w:t>
      </w:r>
      <w:r>
        <w:rPr>
          <w:rFonts w:hint="eastAsia" w:ascii="宋体" w:hAnsi="宋体"/>
          <w:sz w:val="24"/>
          <w:szCs w:val="24"/>
        </w:rPr>
        <w:t>提供授权委托人、项目经理（项目负责人）劳动合同和由人社部门出具的</w:t>
      </w:r>
      <w:r>
        <w:rPr>
          <w:rFonts w:hint="eastAsia"/>
          <w:sz w:val="24"/>
          <w:szCs w:val="24"/>
        </w:rPr>
        <w:t>截止开标时间前一年内任意连续三个月的</w:t>
      </w:r>
      <w:r>
        <w:rPr>
          <w:rFonts w:hint="eastAsia" w:ascii="宋体" w:hAnsi="宋体"/>
          <w:sz w:val="24"/>
          <w:szCs w:val="24"/>
        </w:rPr>
        <w:t>社会保险缴纳证明或网上打印的社保缴纳凭证；</w:t>
      </w:r>
    </w:p>
    <w:p>
      <w:pPr>
        <w:snapToGrid w:val="0"/>
        <w:spacing w:line="440" w:lineRule="exact"/>
        <w:ind w:firstLine="240" w:firstLineChars="100"/>
        <w:rPr>
          <w:rFonts w:ascii="宋体" w:hAnsi="宋体"/>
          <w:sz w:val="24"/>
          <w:szCs w:val="24"/>
        </w:rPr>
      </w:pPr>
      <w:r>
        <w:rPr>
          <w:rFonts w:hint="eastAsia" w:ascii="宋体" w:hAnsi="宋体"/>
          <w:sz w:val="24"/>
          <w:szCs w:val="24"/>
        </w:rPr>
        <w:t>（3）项目经理（项目负责人）与投标文件中拟派的项目经理（项目负责人）姓名不一致；没有项目经理（项目负责人）无在建承诺书；</w:t>
      </w:r>
    </w:p>
    <w:p>
      <w:pPr>
        <w:snapToGrid w:val="0"/>
        <w:spacing w:line="440" w:lineRule="exact"/>
        <w:ind w:firstLine="240" w:firstLineChars="100"/>
        <w:rPr>
          <w:rFonts w:ascii="新宋体" w:hAnsi="新宋体" w:eastAsia="新宋体" w:cs="新宋体"/>
          <w:sz w:val="24"/>
        </w:rPr>
      </w:pPr>
      <w:r>
        <w:rPr>
          <w:rFonts w:hint="eastAsia" w:ascii="宋体" w:hAnsi="宋体" w:eastAsia="新宋体"/>
          <w:sz w:val="24"/>
          <w:szCs w:val="24"/>
        </w:rPr>
        <w:t>（4）</w:t>
      </w:r>
      <w:r>
        <w:rPr>
          <w:rFonts w:hint="eastAsia" w:ascii="新宋体" w:hAnsi="新宋体" w:eastAsia="新宋体" w:cs="新宋体"/>
          <w:sz w:val="24"/>
        </w:rPr>
        <w:t>是否有专项承诺：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①投标文件中投标企业是否有农民工工资保障金的承诺。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②投标单位是否出具“不挂靠、不转包、不违法分包”的专项承诺。</w:t>
      </w:r>
    </w:p>
    <w:p>
      <w:pPr>
        <w:snapToGrid w:val="0"/>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③投标单位是否出具“</w:t>
      </w:r>
      <w:r>
        <w:rPr>
          <w:rFonts w:hint="eastAsia" w:ascii="新宋体" w:hAnsi="新宋体" w:eastAsia="新宋体"/>
          <w:sz w:val="24"/>
        </w:rPr>
        <w:t>施工工地扬尘污染整治</w:t>
      </w:r>
      <w:r>
        <w:rPr>
          <w:rFonts w:hint="eastAsia" w:ascii="新宋体" w:hAnsi="新宋体" w:eastAsia="新宋体" w:cs="新宋体"/>
          <w:sz w:val="24"/>
        </w:rPr>
        <w:t>”的专项承诺。</w:t>
      </w:r>
    </w:p>
    <w:p>
      <w:pPr>
        <w:spacing w:line="460" w:lineRule="exact"/>
        <w:ind w:firstLine="480" w:firstLineChars="200"/>
        <w:contextualSpacing/>
        <w:rPr>
          <w:rFonts w:ascii="新宋体" w:hAnsi="新宋体" w:eastAsia="新宋体" w:cs="宋体"/>
          <w:sz w:val="24"/>
          <w:szCs w:val="24"/>
        </w:rPr>
      </w:pPr>
    </w:p>
    <w:p>
      <w:pPr>
        <w:spacing w:line="460" w:lineRule="exact"/>
        <w:contextualSpacing/>
        <w:rPr>
          <w:rFonts w:ascii="新宋体" w:hAnsi="新宋体" w:eastAsia="新宋体" w:cs="宋体"/>
          <w:b/>
          <w:sz w:val="24"/>
          <w:szCs w:val="24"/>
        </w:rPr>
      </w:pPr>
      <w:r>
        <w:rPr>
          <w:rFonts w:ascii="新宋体" w:hAnsi="新宋体" w:eastAsia="新宋体" w:cs="宋体"/>
          <w:b/>
          <w:sz w:val="24"/>
          <w:szCs w:val="24"/>
        </w:rPr>
        <w:t>.</w:t>
      </w:r>
      <w:r>
        <w:rPr>
          <w:rFonts w:hint="eastAsia" w:ascii="新宋体" w:hAnsi="新宋体" w:eastAsia="新宋体" w:cs="宋体"/>
          <w:b/>
          <w:sz w:val="24"/>
          <w:szCs w:val="24"/>
        </w:rPr>
        <w:t>注：开标不再接收原件，一律以投标文件电子档中电子扫描件为准。</w:t>
      </w:r>
    </w:p>
    <w:p>
      <w:pPr>
        <w:spacing w:line="460" w:lineRule="exact"/>
        <w:contextualSpacing/>
        <w:rPr>
          <w:rFonts w:ascii="新宋体" w:hAnsi="新宋体" w:eastAsia="新宋体" w:cs="宋体"/>
          <w:kern w:val="0"/>
          <w:sz w:val="24"/>
          <w:szCs w:val="24"/>
        </w:rPr>
      </w:pPr>
      <w:r>
        <w:rPr>
          <w:rFonts w:hint="eastAsia" w:ascii="新宋体" w:hAnsi="新宋体" w:eastAsia="新宋体" w:cs="宋体"/>
          <w:b/>
          <w:bCs/>
          <w:kern w:val="0"/>
          <w:sz w:val="24"/>
          <w:szCs w:val="24"/>
        </w:rPr>
        <w:t>八、详细评审</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4" w:name="_Toc9786"/>
      <w:bookmarkEnd w:id="224"/>
      <w:r>
        <w:rPr>
          <w:rFonts w:hint="eastAsia" w:ascii="新宋体" w:hAnsi="新宋体" w:eastAsia="新宋体" w:cs="宋体"/>
          <w:kern w:val="0"/>
          <w:sz w:val="24"/>
          <w:szCs w:val="24"/>
        </w:rPr>
        <w:t>评标委员会根据招标文件要求对技术标、商务标、综合（信用）标三部分进行综合评审。技术标的权重占2</w:t>
      </w:r>
      <w:r>
        <w:rPr>
          <w:rFonts w:ascii="新宋体" w:hAnsi="新宋体" w:eastAsia="新宋体" w:cs="宋体"/>
          <w:kern w:val="0"/>
          <w:sz w:val="24"/>
          <w:szCs w:val="24"/>
        </w:rPr>
        <w:t>5</w:t>
      </w:r>
      <w:r>
        <w:rPr>
          <w:rFonts w:hint="eastAsia" w:ascii="新宋体" w:hAnsi="新宋体" w:eastAsia="新宋体" w:cs="宋体"/>
          <w:kern w:val="0"/>
          <w:sz w:val="24"/>
          <w:szCs w:val="24"/>
        </w:rPr>
        <w:t>%，商务标的权重占</w:t>
      </w:r>
      <w:r>
        <w:rPr>
          <w:rFonts w:ascii="新宋体" w:hAnsi="新宋体" w:eastAsia="新宋体" w:cs="宋体"/>
          <w:kern w:val="0"/>
          <w:sz w:val="24"/>
          <w:szCs w:val="24"/>
        </w:rPr>
        <w:t>5</w:t>
      </w:r>
      <w:r>
        <w:rPr>
          <w:rFonts w:hint="eastAsia" w:ascii="新宋体" w:hAnsi="新宋体" w:eastAsia="新宋体" w:cs="宋体"/>
          <w:kern w:val="0"/>
          <w:sz w:val="24"/>
          <w:szCs w:val="24"/>
        </w:rPr>
        <w:t>0%，综合（信用）标的权重占2</w:t>
      </w:r>
      <w:r>
        <w:rPr>
          <w:rFonts w:ascii="新宋体" w:hAnsi="新宋体" w:eastAsia="新宋体" w:cs="宋体"/>
          <w:kern w:val="0"/>
          <w:sz w:val="24"/>
          <w:szCs w:val="24"/>
        </w:rPr>
        <w:t>5</w:t>
      </w:r>
      <w:r>
        <w:rPr>
          <w:rFonts w:hint="eastAsia" w:ascii="新宋体" w:hAnsi="新宋体" w:eastAsia="新宋体" w:cs="宋体"/>
          <w:kern w:val="0"/>
          <w:sz w:val="24"/>
          <w:szCs w:val="24"/>
        </w:rPr>
        <w:t>%。</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5" w:name="_Toc10320"/>
      <w:bookmarkEnd w:id="225"/>
      <w:r>
        <w:rPr>
          <w:rFonts w:hint="eastAsia" w:ascii="新宋体" w:hAnsi="新宋体" w:eastAsia="新宋体" w:cs="宋体"/>
          <w:kern w:val="0"/>
          <w:sz w:val="24"/>
          <w:szCs w:val="24"/>
        </w:rPr>
        <w:t>（一）工程量清单报价评标基准价计算公式为：</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6" w:name="_Toc280"/>
      <w:bookmarkEnd w:id="226"/>
      <w:bookmarkStart w:id="227" w:name="_Toc27922"/>
      <w:bookmarkEnd w:id="227"/>
      <w:r>
        <w:rPr>
          <w:rFonts w:hint="eastAsia" w:ascii="新宋体" w:hAnsi="新宋体" w:eastAsia="新宋体" w:cs="宋体"/>
          <w:kern w:val="0"/>
          <w:sz w:val="24"/>
          <w:szCs w:val="24"/>
        </w:rPr>
        <w:t>评标基准价＝最高投标限价×K+投标报价×（1－K）</w:t>
      </w:r>
    </w:p>
    <w:p>
      <w:pPr>
        <w:autoSpaceDE w:val="0"/>
        <w:autoSpaceDN w:val="0"/>
        <w:spacing w:line="460" w:lineRule="exact"/>
        <w:ind w:left="210" w:leftChars="100" w:firstLine="240" w:firstLineChars="100"/>
        <w:contextualSpacing/>
        <w:jc w:val="left"/>
        <w:outlineLvl w:val="0"/>
        <w:rPr>
          <w:rFonts w:ascii="新宋体" w:hAnsi="新宋体" w:eastAsia="新宋体" w:cs="宋体"/>
          <w:kern w:val="0"/>
          <w:sz w:val="24"/>
          <w:szCs w:val="24"/>
        </w:rPr>
      </w:pPr>
      <w:bookmarkStart w:id="228" w:name="_Toc5078"/>
      <w:bookmarkEnd w:id="228"/>
      <w:r>
        <w:rPr>
          <w:rFonts w:hint="eastAsia" w:ascii="新宋体" w:hAnsi="新宋体" w:eastAsia="新宋体" w:cs="宋体"/>
          <w:kern w:val="0"/>
          <w:sz w:val="24"/>
          <w:szCs w:val="24"/>
        </w:rPr>
        <w:t>其中：K为最高投标限价权重系数，取值范围为0.3≤K≤0</w:t>
      </w:r>
      <w:r>
        <w:rPr>
          <w:rFonts w:ascii="新宋体" w:hAnsi="新宋体" w:eastAsia="新宋体" w:cs="宋体"/>
          <w:kern w:val="0"/>
          <w:sz w:val="24"/>
          <w:szCs w:val="24"/>
        </w:rPr>
        <w:t>.5,</w:t>
      </w:r>
      <w:r>
        <w:rPr>
          <w:rFonts w:hint="eastAsia" w:ascii="新宋体" w:hAnsi="新宋体" w:eastAsia="新宋体" w:cs="宋体"/>
          <w:kern w:val="0"/>
          <w:sz w:val="24"/>
          <w:szCs w:val="24"/>
        </w:rPr>
        <w:t>在开标现场随机抽取。投标报价为各投标人有效投标报价去掉一个最高和最低报价后的算术平均值。当有效投标报价少于5家时（不含5家），则以所有有效投标报价的算术平均值作为投标报价。上述最高投标限价、投标报价、有效投标报价在参与评标基准价计算时，均不含：规费、安全文明施工措施费、暂列金额与专业暂估价、增值税。</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29" w:name="_Toc5578"/>
      <w:bookmarkEnd w:id="229"/>
      <w:r>
        <w:rPr>
          <w:rFonts w:hint="eastAsia" w:ascii="新宋体" w:hAnsi="新宋体" w:eastAsia="新宋体" w:cs="宋体"/>
          <w:kern w:val="0"/>
          <w:sz w:val="24"/>
          <w:szCs w:val="24"/>
        </w:rPr>
        <w:t>K为最高投标限价权重系数，K值为</w:t>
      </w:r>
      <w:r>
        <w:rPr>
          <w:rFonts w:ascii="新宋体" w:hAnsi="新宋体" w:eastAsia="新宋体" w:cs="宋体"/>
          <w:kern w:val="0"/>
          <w:sz w:val="24"/>
          <w:szCs w:val="24"/>
        </w:rPr>
        <w:t>0.3</w:t>
      </w:r>
      <w:r>
        <w:rPr>
          <w:rFonts w:hint="eastAsia" w:ascii="新宋体" w:hAnsi="新宋体" w:eastAsia="新宋体" w:cs="宋体"/>
          <w:kern w:val="0"/>
          <w:sz w:val="24"/>
          <w:szCs w:val="24"/>
        </w:rPr>
        <w:t>、</w:t>
      </w:r>
      <w:r>
        <w:rPr>
          <w:rFonts w:ascii="新宋体" w:hAnsi="新宋体" w:eastAsia="新宋体" w:cs="宋体"/>
          <w:kern w:val="0"/>
          <w:sz w:val="24"/>
          <w:szCs w:val="24"/>
        </w:rPr>
        <w:t>0.35</w:t>
      </w:r>
      <w:r>
        <w:rPr>
          <w:rFonts w:hint="eastAsia" w:ascii="新宋体" w:hAnsi="新宋体" w:eastAsia="新宋体" w:cs="宋体"/>
          <w:kern w:val="0"/>
          <w:sz w:val="24"/>
          <w:szCs w:val="24"/>
        </w:rPr>
        <w:t>、</w:t>
      </w:r>
      <w:r>
        <w:rPr>
          <w:rFonts w:ascii="新宋体" w:hAnsi="新宋体" w:eastAsia="新宋体" w:cs="宋体"/>
          <w:kern w:val="0"/>
          <w:sz w:val="24"/>
          <w:szCs w:val="24"/>
        </w:rPr>
        <w:t>0.4</w:t>
      </w:r>
      <w:r>
        <w:rPr>
          <w:rFonts w:hint="eastAsia" w:ascii="新宋体" w:hAnsi="新宋体" w:eastAsia="新宋体" w:cs="宋体"/>
          <w:kern w:val="0"/>
          <w:sz w:val="24"/>
          <w:szCs w:val="24"/>
        </w:rPr>
        <w:t>、</w:t>
      </w:r>
      <w:r>
        <w:rPr>
          <w:rFonts w:ascii="新宋体" w:hAnsi="新宋体" w:eastAsia="新宋体" w:cs="宋体"/>
          <w:kern w:val="0"/>
          <w:sz w:val="24"/>
          <w:szCs w:val="24"/>
        </w:rPr>
        <w:t>0.45</w:t>
      </w:r>
      <w:r>
        <w:rPr>
          <w:rFonts w:hint="eastAsia" w:ascii="新宋体" w:hAnsi="新宋体" w:eastAsia="新宋体" w:cs="宋体"/>
          <w:kern w:val="0"/>
          <w:sz w:val="24"/>
          <w:szCs w:val="24"/>
        </w:rPr>
        <w:t>、</w:t>
      </w:r>
      <w:r>
        <w:rPr>
          <w:rFonts w:ascii="新宋体" w:hAnsi="新宋体" w:eastAsia="新宋体" w:cs="宋体"/>
          <w:kern w:val="0"/>
          <w:sz w:val="24"/>
          <w:szCs w:val="24"/>
        </w:rPr>
        <w:t>0.5</w:t>
      </w:r>
      <w:r>
        <w:rPr>
          <w:rFonts w:hint="eastAsia" w:ascii="新宋体" w:hAnsi="新宋体" w:eastAsia="新宋体" w:cs="宋体"/>
          <w:kern w:val="0"/>
          <w:sz w:val="24"/>
          <w:szCs w:val="24"/>
        </w:rPr>
        <w:t>，在开标现场随机抽取。</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r>
        <w:rPr>
          <w:rFonts w:hint="eastAsia" w:ascii="新宋体" w:hAnsi="新宋体" w:eastAsia="新宋体" w:cs="宋体"/>
          <w:b/>
          <w:bCs/>
          <w:kern w:val="0"/>
          <w:sz w:val="24"/>
          <w:szCs w:val="24"/>
        </w:rPr>
        <w:t>（二）商务标的评标分值50分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1.投标报价的评审，共计30分。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2.分部分项工程项目清单单价的评审，共计10分。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从最高投标限价中分部分项工程项目权重最大的前10-30项清单项目中抽取15项，在剩余的分部分项工程项目清单项目中抽取5项。</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综合单价基准值是以各有效投标报价中（当有效投标人5名及以上时，去掉1个最高、1个最低值）对应抽取清单项目综合单价的算术平均值。</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投标人报价在综合单价基准值95%—103%范围内（不含95%和103%）的，每项得0.5分；在综合单价评标基准值90%—95%范围内（含90%和95%）每项得0.25分；满分共计10分。超出该范围的不得分。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3.措施项目费的评审（不含安全文明措施费），共计5分。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措施项目费基准值是在最高投标限价中措施项目费用的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4.主要材料单价的评审，共计5分。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从最高投标限价中材料总价权重最大的前10-</w:t>
      </w:r>
      <w:r>
        <w:rPr>
          <w:rFonts w:ascii="新宋体" w:hAnsi="新宋体" w:eastAsia="新宋体" w:cs="宋体"/>
          <w:kern w:val="0"/>
          <w:sz w:val="24"/>
          <w:szCs w:val="24"/>
        </w:rPr>
        <w:t>20</w:t>
      </w:r>
      <w:r>
        <w:rPr>
          <w:rFonts w:hint="eastAsia" w:ascii="新宋体" w:hAnsi="新宋体" w:eastAsia="新宋体" w:cs="宋体"/>
          <w:kern w:val="0"/>
          <w:sz w:val="24"/>
          <w:szCs w:val="24"/>
        </w:rPr>
        <w:t>项材料中抽取</w:t>
      </w:r>
      <w:r>
        <w:rPr>
          <w:rFonts w:ascii="新宋体" w:hAnsi="新宋体" w:eastAsia="新宋体" w:cs="宋体"/>
          <w:kern w:val="0"/>
          <w:sz w:val="24"/>
          <w:szCs w:val="24"/>
        </w:rPr>
        <w:t>6</w:t>
      </w:r>
      <w:r>
        <w:rPr>
          <w:rFonts w:hint="eastAsia" w:ascii="新宋体" w:hAnsi="新宋体" w:eastAsia="新宋体" w:cs="宋体"/>
          <w:kern w:val="0"/>
          <w:sz w:val="24"/>
          <w:szCs w:val="24"/>
        </w:rPr>
        <w:t>项，在剩余材料中抽取</w:t>
      </w:r>
      <w:r>
        <w:rPr>
          <w:rFonts w:ascii="新宋体" w:hAnsi="新宋体" w:eastAsia="新宋体" w:cs="宋体"/>
          <w:kern w:val="0"/>
          <w:sz w:val="24"/>
          <w:szCs w:val="24"/>
        </w:rPr>
        <w:t>4</w:t>
      </w:r>
      <w:r>
        <w:rPr>
          <w:rFonts w:hint="eastAsia" w:ascii="新宋体" w:hAnsi="新宋体" w:eastAsia="新宋体" w:cs="宋体"/>
          <w:kern w:val="0"/>
          <w:sz w:val="24"/>
          <w:szCs w:val="24"/>
        </w:rPr>
        <w:t>项。</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主要材料单价基准值是以各有效投标报价中（当有效投标人5名及以上时，去掉1个最高、1个最低值）对应抽取材料单价的算术平均值。</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当投标人报价在材料单价基准值95%—103%范围内（不含95%和103%）每项得0.5分，在材料单价基准值90%—95%范围内（含90%和95%）每项得0.25分。超出该范围的不得分。</w:t>
      </w: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r>
        <w:rPr>
          <w:rFonts w:hint="eastAsia" w:ascii="新宋体" w:hAnsi="新宋体" w:eastAsia="新宋体" w:cs="宋体"/>
          <w:b/>
          <w:bCs/>
          <w:kern w:val="0"/>
          <w:sz w:val="24"/>
          <w:szCs w:val="24"/>
        </w:rPr>
        <w:t>（三）技术标的评标分值2</w:t>
      </w:r>
      <w:r>
        <w:rPr>
          <w:rFonts w:ascii="新宋体" w:hAnsi="新宋体" w:eastAsia="新宋体" w:cs="宋体"/>
          <w:b/>
          <w:bCs/>
          <w:kern w:val="0"/>
          <w:sz w:val="24"/>
          <w:szCs w:val="24"/>
        </w:rPr>
        <w:t>5</w:t>
      </w:r>
      <w:r>
        <w:rPr>
          <w:rFonts w:hint="eastAsia" w:ascii="新宋体" w:hAnsi="新宋体" w:eastAsia="新宋体" w:cs="宋体"/>
          <w:b/>
          <w:bCs/>
          <w:kern w:val="0"/>
          <w:sz w:val="24"/>
          <w:szCs w:val="24"/>
        </w:rPr>
        <w:t>分</w:t>
      </w:r>
    </w:p>
    <w:p>
      <w:pPr>
        <w:spacing w:line="460" w:lineRule="exact"/>
        <w:contextualSpacing/>
        <w:rPr>
          <w:rFonts w:ascii="宋体" w:hAnsi="宋体"/>
          <w:b/>
          <w:bCs/>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文明施工、环境保护管理体系及施工现场扬尘治理措施</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p>
    <w:p>
      <w:pPr>
        <w:autoSpaceDE w:val="0"/>
        <w:autoSpaceDN w:val="0"/>
        <w:spacing w:line="460" w:lineRule="exact"/>
        <w:ind w:firstLine="482" w:firstLineChars="200"/>
        <w:contextualSpacing/>
        <w:jc w:val="left"/>
        <w:outlineLvl w:val="0"/>
        <w:rPr>
          <w:rFonts w:ascii="新宋体" w:hAnsi="新宋体" w:eastAsia="新宋体" w:cs="宋体"/>
          <w:b/>
          <w:bCs/>
          <w:kern w:val="0"/>
          <w:sz w:val="24"/>
          <w:szCs w:val="24"/>
        </w:rPr>
      </w:pPr>
      <w:r>
        <w:rPr>
          <w:rFonts w:hint="eastAsia" w:ascii="新宋体" w:hAnsi="新宋体" w:eastAsia="新宋体" w:cs="宋体"/>
          <w:b/>
          <w:bCs/>
          <w:kern w:val="0"/>
          <w:sz w:val="24"/>
          <w:szCs w:val="24"/>
        </w:rPr>
        <w:t>（四）综合（信用）标的评标分值2</w:t>
      </w:r>
      <w:r>
        <w:rPr>
          <w:rFonts w:ascii="新宋体" w:hAnsi="新宋体" w:eastAsia="新宋体" w:cs="宋体"/>
          <w:b/>
          <w:bCs/>
          <w:kern w:val="0"/>
          <w:sz w:val="24"/>
          <w:szCs w:val="24"/>
        </w:rPr>
        <w:t>5</w:t>
      </w:r>
      <w:r>
        <w:rPr>
          <w:rFonts w:hint="eastAsia" w:ascii="新宋体" w:hAnsi="新宋体" w:eastAsia="新宋体" w:cs="宋体"/>
          <w:b/>
          <w:bCs/>
          <w:kern w:val="0"/>
          <w:sz w:val="24"/>
          <w:szCs w:val="24"/>
        </w:rPr>
        <w:t>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569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30" w:type="dxa"/>
            <w:vAlign w:val="center"/>
          </w:tcPr>
          <w:p>
            <w:pPr>
              <w:jc w:val="center"/>
              <w:rPr>
                <w:rFonts w:hAnsi="宋体" w:cs="宋体"/>
                <w:sz w:val="24"/>
                <w:szCs w:val="24"/>
              </w:rPr>
            </w:pPr>
            <w:r>
              <w:rPr>
                <w:rFonts w:hint="eastAsia" w:hAnsi="宋体" w:cs="宋体"/>
                <w:sz w:val="24"/>
                <w:szCs w:val="24"/>
              </w:rPr>
              <w:t>序号</w:t>
            </w:r>
          </w:p>
        </w:tc>
        <w:tc>
          <w:tcPr>
            <w:tcW w:w="1417" w:type="dxa"/>
            <w:vAlign w:val="center"/>
          </w:tcPr>
          <w:p>
            <w:pPr>
              <w:jc w:val="center"/>
              <w:rPr>
                <w:rFonts w:hAnsi="宋体" w:cs="宋体"/>
                <w:sz w:val="24"/>
                <w:szCs w:val="24"/>
              </w:rPr>
            </w:pPr>
            <w:r>
              <w:rPr>
                <w:rFonts w:hint="eastAsia" w:hAnsi="宋体" w:cs="宋体"/>
                <w:sz w:val="24"/>
                <w:szCs w:val="24"/>
              </w:rPr>
              <w:t>项目</w:t>
            </w:r>
          </w:p>
        </w:tc>
        <w:tc>
          <w:tcPr>
            <w:tcW w:w="5699" w:type="dxa"/>
            <w:vAlign w:val="center"/>
          </w:tcPr>
          <w:p>
            <w:pPr>
              <w:jc w:val="center"/>
              <w:rPr>
                <w:rFonts w:hAnsi="宋体" w:cs="宋体"/>
                <w:sz w:val="24"/>
                <w:szCs w:val="24"/>
              </w:rPr>
            </w:pPr>
            <w:r>
              <w:rPr>
                <w:rFonts w:hint="eastAsia" w:hAnsi="宋体" w:cs="宋体"/>
                <w:sz w:val="24"/>
                <w:szCs w:val="24"/>
              </w:rPr>
              <w:t>评审标准</w:t>
            </w:r>
          </w:p>
        </w:tc>
        <w:tc>
          <w:tcPr>
            <w:tcW w:w="1691" w:type="dxa"/>
            <w:vAlign w:val="center"/>
          </w:tcPr>
          <w:p>
            <w:pPr>
              <w:jc w:val="center"/>
              <w:rPr>
                <w:rFonts w:hAnsi="宋体" w:cs="宋体"/>
                <w:sz w:val="24"/>
                <w:szCs w:val="24"/>
              </w:rPr>
            </w:pPr>
            <w:r>
              <w:rPr>
                <w:rFonts w:hint="eastAsia" w:hAnsi="宋体" w:cs="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30" w:type="dxa"/>
            <w:vAlign w:val="center"/>
          </w:tcPr>
          <w:p>
            <w:pPr>
              <w:jc w:val="center"/>
              <w:rPr>
                <w:rFonts w:hAnsi="宋体" w:cs="宋体"/>
                <w:sz w:val="24"/>
                <w:szCs w:val="24"/>
              </w:rPr>
            </w:pPr>
            <w:r>
              <w:rPr>
                <w:rFonts w:hint="eastAsia" w:hAnsi="宋体" w:cs="宋体"/>
                <w:sz w:val="24"/>
                <w:szCs w:val="24"/>
              </w:rPr>
              <w:t>1</w:t>
            </w:r>
          </w:p>
        </w:tc>
        <w:tc>
          <w:tcPr>
            <w:tcW w:w="1417" w:type="dxa"/>
            <w:vAlign w:val="center"/>
          </w:tcPr>
          <w:p>
            <w:pPr>
              <w:jc w:val="center"/>
              <w:rPr>
                <w:rFonts w:hAnsi="宋体" w:cs="宋体"/>
                <w:sz w:val="24"/>
                <w:szCs w:val="24"/>
              </w:rPr>
            </w:pPr>
            <w:r>
              <w:rPr>
                <w:rFonts w:hint="eastAsia" w:hAnsi="宋体" w:cs="宋体"/>
                <w:sz w:val="24"/>
                <w:szCs w:val="24"/>
              </w:rPr>
              <w:t>企业业绩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201</w:t>
            </w:r>
            <w:r>
              <w:rPr>
                <w:rFonts w:hAnsi="宋体" w:cs="宋体"/>
                <w:sz w:val="24"/>
                <w:szCs w:val="24"/>
              </w:rPr>
              <w:t>7</w:t>
            </w:r>
            <w:r>
              <w:rPr>
                <w:rFonts w:hint="eastAsia" w:hAnsi="宋体" w:cs="宋体"/>
                <w:sz w:val="24"/>
                <w:szCs w:val="24"/>
              </w:rPr>
              <w:t>年1月1日以来，投标人承担过的类似项目业绩，每项得2分，本项最高得4分。（应提供法定媒介中标（成交）公示网页截图、合同、中标通知书（或竣工备案表）缺一项不得分。）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jc w:val="center"/>
              <w:rPr>
                <w:rFonts w:hAnsi="宋体" w:cs="宋体"/>
                <w:sz w:val="24"/>
                <w:szCs w:val="24"/>
              </w:rPr>
            </w:pPr>
            <w:r>
              <w:rPr>
                <w:rFonts w:hint="eastAsia" w:hAnsi="宋体" w:cs="宋体"/>
                <w:sz w:val="24"/>
                <w:szCs w:val="24"/>
              </w:rPr>
              <w:t>2</w:t>
            </w:r>
          </w:p>
        </w:tc>
        <w:tc>
          <w:tcPr>
            <w:tcW w:w="1417" w:type="dxa"/>
            <w:vAlign w:val="center"/>
          </w:tcPr>
          <w:p>
            <w:pPr>
              <w:jc w:val="center"/>
              <w:rPr>
                <w:rFonts w:hAnsi="宋体" w:cs="宋体"/>
                <w:sz w:val="24"/>
                <w:szCs w:val="24"/>
              </w:rPr>
            </w:pPr>
            <w:r>
              <w:rPr>
                <w:rFonts w:hint="eastAsia" w:hAnsi="宋体" w:cs="宋体"/>
                <w:sz w:val="24"/>
                <w:szCs w:val="24"/>
              </w:rPr>
              <w:t>项目经理业绩</w:t>
            </w:r>
          </w:p>
        </w:tc>
        <w:tc>
          <w:tcPr>
            <w:tcW w:w="5699" w:type="dxa"/>
            <w:vAlign w:val="center"/>
          </w:tcPr>
          <w:p>
            <w:pPr>
              <w:spacing w:line="300" w:lineRule="exact"/>
              <w:jc w:val="left"/>
              <w:rPr>
                <w:rFonts w:hAnsi="宋体" w:cs="宋体"/>
                <w:sz w:val="24"/>
                <w:szCs w:val="24"/>
              </w:rPr>
            </w:pPr>
            <w:r>
              <w:rPr>
                <w:rFonts w:hint="eastAsia" w:hAnsi="宋体" w:cs="宋体"/>
                <w:sz w:val="24"/>
                <w:szCs w:val="24"/>
              </w:rPr>
              <w:t>拟派项目经理201</w:t>
            </w:r>
            <w:r>
              <w:rPr>
                <w:rFonts w:hAnsi="宋体" w:cs="宋体"/>
                <w:sz w:val="24"/>
                <w:szCs w:val="24"/>
              </w:rPr>
              <w:t>7</w:t>
            </w:r>
            <w:r>
              <w:rPr>
                <w:rFonts w:hint="eastAsia" w:hAnsi="宋体" w:cs="宋体"/>
                <w:sz w:val="24"/>
                <w:szCs w:val="24"/>
              </w:rPr>
              <w:t>年1月1日以来，承担过类似项目业绩的，得2分，本项最高得6分。（应提供法定媒介中标（成交）公示网页截图、合同、中标通知书（或竣工备案表）缺一项不得分。）</w:t>
            </w:r>
          </w:p>
        </w:tc>
        <w:tc>
          <w:tcPr>
            <w:tcW w:w="1691" w:type="dxa"/>
            <w:vAlign w:val="center"/>
          </w:tcPr>
          <w:p>
            <w:pPr>
              <w:jc w:val="center"/>
              <w:rPr>
                <w:rFonts w:hAnsi="宋体" w:cs="宋体"/>
                <w:sz w:val="24"/>
                <w:szCs w:val="24"/>
              </w:rPr>
            </w:pPr>
            <w:r>
              <w:rPr>
                <w:rFonts w:hint="eastAsia" w:hAnsi="宋体" w:cs="宋体"/>
                <w:sz w:val="24"/>
                <w:szCs w:val="24"/>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3</w:t>
            </w:r>
          </w:p>
        </w:tc>
        <w:tc>
          <w:tcPr>
            <w:tcW w:w="1417" w:type="dxa"/>
            <w:vMerge w:val="restart"/>
            <w:vAlign w:val="center"/>
          </w:tcPr>
          <w:p>
            <w:pPr>
              <w:jc w:val="center"/>
              <w:rPr>
                <w:rFonts w:hAnsi="宋体" w:cs="宋体"/>
                <w:sz w:val="24"/>
                <w:szCs w:val="24"/>
              </w:rPr>
            </w:pPr>
            <w:r>
              <w:rPr>
                <w:rFonts w:hint="eastAsia" w:hAnsi="宋体" w:cs="宋体"/>
                <w:sz w:val="24"/>
                <w:szCs w:val="24"/>
              </w:rPr>
              <w:t>优惠承诺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优惠承诺应是书面的符合工程实际情况，确保依法依规，优惠合理，详实可行。</w:t>
            </w:r>
          </w:p>
        </w:tc>
        <w:tc>
          <w:tcPr>
            <w:tcW w:w="1691" w:type="dxa"/>
            <w:vAlign w:val="center"/>
          </w:tcPr>
          <w:p>
            <w:pPr>
              <w:jc w:val="center"/>
              <w:rPr>
                <w:rFonts w:hAnsi="宋体" w:cs="宋体"/>
                <w:sz w:val="24"/>
                <w:szCs w:val="24"/>
              </w:rPr>
            </w:pPr>
            <w:r>
              <w:rPr>
                <w:rFonts w:hint="eastAsia" w:hAnsi="宋体" w:cs="宋体"/>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优惠承诺符合工程实际情况，确保依法依规，优惠基本合理，基本详实可行。</w:t>
            </w:r>
          </w:p>
        </w:tc>
        <w:tc>
          <w:tcPr>
            <w:tcW w:w="1691" w:type="dxa"/>
            <w:vAlign w:val="center"/>
          </w:tcPr>
          <w:p>
            <w:pPr>
              <w:jc w:val="center"/>
              <w:rPr>
                <w:rFonts w:hAnsi="宋体" w:cs="宋体"/>
                <w:sz w:val="24"/>
                <w:szCs w:val="24"/>
              </w:rPr>
            </w:pPr>
            <w:r>
              <w:rPr>
                <w:rFonts w:hint="eastAsia" w:hAnsi="宋体" w:cs="宋体"/>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jc w:val="center"/>
              <w:rPr>
                <w:rFonts w:hAnsi="宋体" w:cs="宋体"/>
                <w:sz w:val="24"/>
                <w:szCs w:val="24"/>
              </w:rPr>
            </w:pPr>
            <w:r>
              <w:rPr>
                <w:rFonts w:hint="eastAsia" w:hAnsi="宋体" w:cs="宋体"/>
                <w:sz w:val="24"/>
                <w:szCs w:val="24"/>
              </w:rPr>
              <w:t>4</w:t>
            </w:r>
          </w:p>
        </w:tc>
        <w:tc>
          <w:tcPr>
            <w:tcW w:w="1417" w:type="dxa"/>
            <w:vMerge w:val="restart"/>
            <w:vAlign w:val="center"/>
          </w:tcPr>
          <w:p>
            <w:pPr>
              <w:jc w:val="center"/>
              <w:rPr>
                <w:rFonts w:hAnsi="宋体" w:cs="宋体"/>
                <w:sz w:val="24"/>
                <w:szCs w:val="24"/>
              </w:rPr>
            </w:pPr>
            <w:r>
              <w:rPr>
                <w:rFonts w:hint="eastAsia" w:hAnsi="宋体" w:cs="宋体"/>
                <w:sz w:val="24"/>
                <w:szCs w:val="24"/>
              </w:rPr>
              <w:t>履职尽责承诺</w:t>
            </w: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jc w:val="left"/>
              <w:rPr>
                <w:rFonts w:hAnsi="宋体" w:cs="宋体"/>
                <w:sz w:val="24"/>
                <w:szCs w:val="24"/>
              </w:rPr>
            </w:pPr>
          </w:p>
        </w:tc>
        <w:tc>
          <w:tcPr>
            <w:tcW w:w="1417" w:type="dxa"/>
            <w:vMerge w:val="continue"/>
            <w:vAlign w:val="center"/>
          </w:tcPr>
          <w:p>
            <w:pPr>
              <w:jc w:val="left"/>
              <w:rPr>
                <w:rFonts w:hAnsi="宋体" w:cs="宋体"/>
                <w:sz w:val="24"/>
                <w:szCs w:val="24"/>
              </w:rPr>
            </w:pPr>
          </w:p>
        </w:tc>
        <w:tc>
          <w:tcPr>
            <w:tcW w:w="5699" w:type="dxa"/>
            <w:vAlign w:val="center"/>
          </w:tcPr>
          <w:p>
            <w:pPr>
              <w:spacing w:line="300" w:lineRule="exact"/>
              <w:jc w:val="left"/>
              <w:rPr>
                <w:rFonts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经理、技术负责人及相关技术人员、质量员、安全员、材料员、施工员等）的在岗、更换等履职尽责承诺，提供承包商履约保证。</w:t>
            </w:r>
          </w:p>
        </w:tc>
        <w:tc>
          <w:tcPr>
            <w:tcW w:w="1691"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jc w:val="center"/>
              <w:rPr>
                <w:rFonts w:hAnsi="宋体" w:cs="宋体"/>
                <w:sz w:val="24"/>
                <w:szCs w:val="24"/>
              </w:rPr>
            </w:pPr>
            <w:r>
              <w:rPr>
                <w:rFonts w:hint="eastAsia" w:hAnsi="宋体" w:cs="宋体"/>
                <w:sz w:val="24"/>
                <w:szCs w:val="24"/>
              </w:rPr>
              <w:t>5</w:t>
            </w:r>
          </w:p>
        </w:tc>
        <w:tc>
          <w:tcPr>
            <w:tcW w:w="1417" w:type="dxa"/>
            <w:vAlign w:val="center"/>
          </w:tcPr>
          <w:p>
            <w:pPr>
              <w:jc w:val="center"/>
              <w:rPr>
                <w:rFonts w:hAnsi="宋体" w:cs="宋体"/>
                <w:sz w:val="24"/>
                <w:szCs w:val="24"/>
              </w:rPr>
            </w:pPr>
            <w:r>
              <w:rPr>
                <w:rFonts w:hint="eastAsia" w:hAnsi="宋体" w:cs="宋体"/>
                <w:sz w:val="24"/>
                <w:szCs w:val="24"/>
              </w:rPr>
              <w:t>企业信用</w:t>
            </w:r>
          </w:p>
        </w:tc>
        <w:tc>
          <w:tcPr>
            <w:tcW w:w="5699" w:type="dxa"/>
            <w:vAlign w:val="center"/>
          </w:tcPr>
          <w:p>
            <w:pPr>
              <w:spacing w:line="340" w:lineRule="exact"/>
              <w:jc w:val="left"/>
              <w:rPr>
                <w:rFonts w:hAnsi="宋体" w:cs="宋体"/>
                <w:sz w:val="24"/>
                <w:szCs w:val="24"/>
              </w:rPr>
            </w:pPr>
            <w:r>
              <w:rPr>
                <w:rFonts w:hint="eastAsia" w:hAnsi="宋体" w:cs="宋体"/>
                <w:sz w:val="24"/>
                <w:szCs w:val="24"/>
              </w:rPr>
              <w:t>1、201</w:t>
            </w:r>
            <w:r>
              <w:rPr>
                <w:rFonts w:hAnsi="宋体" w:cs="宋体"/>
                <w:sz w:val="24"/>
                <w:szCs w:val="24"/>
              </w:rPr>
              <w:t>7</w:t>
            </w:r>
            <w:r>
              <w:rPr>
                <w:rFonts w:hint="eastAsia" w:hAnsi="宋体" w:cs="宋体"/>
                <w:sz w:val="24"/>
                <w:szCs w:val="24"/>
              </w:rPr>
              <w:t>年1月1日以来企业获得过市级安全文明工地，一项得1分；省级及以上安全文明工地，一项得2分，没有不得分，本项最高得4分。</w:t>
            </w:r>
          </w:p>
          <w:p>
            <w:pPr>
              <w:spacing w:line="340" w:lineRule="exact"/>
              <w:jc w:val="left"/>
              <w:rPr>
                <w:rFonts w:hAnsi="宋体" w:cs="宋体"/>
                <w:sz w:val="24"/>
                <w:szCs w:val="24"/>
              </w:rPr>
            </w:pPr>
            <w:r>
              <w:rPr>
                <w:rFonts w:hint="eastAsia" w:hAnsi="宋体" w:cs="宋体"/>
                <w:sz w:val="24"/>
                <w:szCs w:val="24"/>
              </w:rPr>
              <w:t>（</w:t>
            </w:r>
            <w:r>
              <w:rPr>
                <w:rFonts w:hint="eastAsia" w:hAnsi="宋体" w:cs="宋体"/>
                <w:b/>
                <w:bCs/>
                <w:sz w:val="24"/>
                <w:szCs w:val="24"/>
              </w:rPr>
              <w:t>具体企业信用详见本章附件1）</w:t>
            </w:r>
          </w:p>
        </w:tc>
        <w:tc>
          <w:tcPr>
            <w:tcW w:w="1691" w:type="dxa"/>
            <w:vAlign w:val="center"/>
          </w:tcPr>
          <w:p>
            <w:pPr>
              <w:jc w:val="center"/>
              <w:rPr>
                <w:rFonts w:hAnsi="宋体" w:cs="宋体"/>
                <w:sz w:val="24"/>
                <w:szCs w:val="24"/>
              </w:rPr>
            </w:pPr>
            <w:r>
              <w:rPr>
                <w:rFonts w:hint="eastAsia" w:hAnsi="宋体" w:cs="宋体"/>
                <w:sz w:val="24"/>
                <w:szCs w:val="24"/>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jc w:val="center"/>
              <w:rPr>
                <w:rFonts w:hAnsi="宋体" w:cs="宋体"/>
                <w:sz w:val="24"/>
                <w:szCs w:val="24"/>
              </w:rPr>
            </w:pPr>
            <w:r>
              <w:rPr>
                <w:rFonts w:hint="eastAsia" w:hAnsi="宋体" w:cs="宋体"/>
                <w:sz w:val="24"/>
                <w:szCs w:val="24"/>
              </w:rPr>
              <w:t>6</w:t>
            </w:r>
          </w:p>
        </w:tc>
        <w:tc>
          <w:tcPr>
            <w:tcW w:w="1417" w:type="dxa"/>
            <w:vAlign w:val="center"/>
          </w:tcPr>
          <w:p>
            <w:pPr>
              <w:jc w:val="center"/>
              <w:rPr>
                <w:rFonts w:hAnsi="宋体" w:cs="宋体"/>
                <w:sz w:val="24"/>
                <w:szCs w:val="24"/>
              </w:rPr>
            </w:pPr>
            <w:r>
              <w:rPr>
                <w:rFonts w:hint="eastAsia" w:hAnsi="宋体" w:cs="宋体"/>
                <w:sz w:val="24"/>
                <w:szCs w:val="24"/>
              </w:rPr>
              <w:t>项目经理信用</w:t>
            </w:r>
          </w:p>
        </w:tc>
        <w:tc>
          <w:tcPr>
            <w:tcW w:w="5699" w:type="dxa"/>
            <w:vAlign w:val="center"/>
          </w:tcPr>
          <w:p>
            <w:pPr>
              <w:widowControl/>
              <w:jc w:val="left"/>
              <w:rPr>
                <w:rFonts w:ascii="宋体" w:hAnsi="宋体" w:cs="宋体"/>
                <w:kern w:val="0"/>
                <w:sz w:val="24"/>
                <w:szCs w:val="24"/>
              </w:rPr>
            </w:pPr>
            <w:r>
              <w:rPr>
                <w:rFonts w:ascii="宋体" w:hAnsi="宋体" w:cs="宋体"/>
                <w:kern w:val="0"/>
                <w:sz w:val="24"/>
                <w:szCs w:val="24"/>
              </w:rPr>
              <w:t>2017年1月1日以来项目经理曾获得过市级安全文明工地，一项得1分；省级</w:t>
            </w:r>
            <w:r>
              <w:rPr>
                <w:rFonts w:hint="eastAsia" w:ascii="宋体" w:hAnsi="宋体" w:cs="宋体"/>
                <w:kern w:val="0"/>
                <w:sz w:val="24"/>
                <w:szCs w:val="24"/>
              </w:rPr>
              <w:t>及以上</w:t>
            </w:r>
            <w:r>
              <w:rPr>
                <w:rFonts w:ascii="宋体" w:hAnsi="宋体" w:cs="宋体"/>
                <w:kern w:val="0"/>
                <w:sz w:val="24"/>
                <w:szCs w:val="24"/>
              </w:rPr>
              <w:t>安全文明工地，一项得2分，没有不得分，本项最高得2分。</w:t>
            </w:r>
            <w:r>
              <w:rPr>
                <w:rFonts w:ascii="宋体" w:hAnsi="宋体" w:cs="宋体"/>
                <w:kern w:val="0"/>
                <w:sz w:val="24"/>
                <w:szCs w:val="24"/>
              </w:rPr>
              <w:br w:type="textWrapping"/>
            </w:r>
            <w:r>
              <w:rPr>
                <w:rFonts w:ascii="宋体" w:hAnsi="宋体" w:cs="宋体"/>
                <w:b/>
                <w:bCs/>
                <w:kern w:val="0"/>
                <w:sz w:val="24"/>
                <w:szCs w:val="24"/>
              </w:rPr>
              <w:t>（具体项目经理信用详见本章附件2）</w:t>
            </w:r>
          </w:p>
        </w:tc>
        <w:tc>
          <w:tcPr>
            <w:tcW w:w="1691" w:type="dxa"/>
            <w:vAlign w:val="center"/>
          </w:tcPr>
          <w:p>
            <w:pPr>
              <w:jc w:val="center"/>
              <w:rPr>
                <w:rFonts w:hAnsi="宋体" w:cs="宋体"/>
                <w:sz w:val="24"/>
                <w:szCs w:val="24"/>
              </w:rPr>
            </w:pPr>
            <w:r>
              <w:rPr>
                <w:rFonts w:hint="eastAsia" w:hAnsi="宋体" w:cs="宋体"/>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jc w:val="center"/>
              <w:rPr>
                <w:rFonts w:hAnsi="宋体" w:cs="宋体"/>
                <w:sz w:val="24"/>
                <w:szCs w:val="24"/>
              </w:rPr>
            </w:pPr>
            <w:r>
              <w:rPr>
                <w:rFonts w:hint="eastAsia" w:hAnsi="宋体" w:cs="宋体"/>
                <w:sz w:val="24"/>
                <w:szCs w:val="24"/>
              </w:rPr>
              <w:t>7</w:t>
            </w:r>
          </w:p>
        </w:tc>
        <w:tc>
          <w:tcPr>
            <w:tcW w:w="1417" w:type="dxa"/>
            <w:vAlign w:val="center"/>
          </w:tcPr>
          <w:p>
            <w:pPr>
              <w:jc w:val="center"/>
              <w:rPr>
                <w:rFonts w:hAnsi="宋体" w:cs="宋体"/>
                <w:sz w:val="24"/>
                <w:szCs w:val="24"/>
              </w:rPr>
            </w:pPr>
            <w:r>
              <w:rPr>
                <w:rFonts w:hint="eastAsia" w:hAnsi="宋体" w:cs="宋体"/>
                <w:sz w:val="24"/>
                <w:szCs w:val="24"/>
              </w:rPr>
              <w:t>招标人意见</w:t>
            </w:r>
          </w:p>
        </w:tc>
        <w:tc>
          <w:tcPr>
            <w:tcW w:w="5699" w:type="dxa"/>
            <w:vAlign w:val="center"/>
          </w:tcPr>
          <w:p>
            <w:pPr>
              <w:rPr>
                <w:rFonts w:hAnsi="宋体" w:cs="宋体"/>
                <w:sz w:val="24"/>
                <w:szCs w:val="24"/>
              </w:rPr>
            </w:pPr>
            <w:r>
              <w:rPr>
                <w:rFonts w:hint="eastAsia" w:hAnsi="宋体" w:cs="宋体"/>
                <w:sz w:val="24"/>
                <w:szCs w:val="24"/>
              </w:rPr>
              <w:t>各投标人得分均按2分计算。</w:t>
            </w:r>
          </w:p>
        </w:tc>
        <w:tc>
          <w:tcPr>
            <w:tcW w:w="1691" w:type="dxa"/>
            <w:vAlign w:val="center"/>
          </w:tcPr>
          <w:p>
            <w:pPr>
              <w:jc w:val="center"/>
              <w:rPr>
                <w:rFonts w:hAnsi="宋体" w:cs="宋体"/>
                <w:sz w:val="24"/>
                <w:szCs w:val="24"/>
              </w:rPr>
            </w:pPr>
            <w:r>
              <w:rPr>
                <w:rFonts w:hint="eastAsia" w:hAnsi="宋体" w:cs="宋体"/>
                <w:sz w:val="24"/>
                <w:szCs w:val="24"/>
              </w:rPr>
              <w:t>0≤得分≤2分</w:t>
            </w:r>
          </w:p>
        </w:tc>
      </w:tr>
    </w:tbl>
    <w:p>
      <w:pPr>
        <w:autoSpaceDE w:val="0"/>
        <w:autoSpaceDN w:val="0"/>
        <w:spacing w:line="460" w:lineRule="exact"/>
        <w:ind w:firstLine="482" w:firstLineChars="200"/>
        <w:contextualSpacing/>
        <w:jc w:val="left"/>
        <w:outlineLvl w:val="0"/>
        <w:rPr>
          <w:rFonts w:ascii="新宋体" w:hAnsi="新宋体" w:eastAsia="新宋体" w:cs="宋体"/>
          <w:b/>
          <w:kern w:val="0"/>
          <w:sz w:val="24"/>
          <w:szCs w:val="24"/>
        </w:rPr>
      </w:pPr>
      <w:r>
        <w:rPr>
          <w:rFonts w:hint="eastAsia" w:ascii="新宋体" w:hAnsi="新宋体" w:eastAsia="新宋体" w:cs="宋体"/>
          <w:b/>
          <w:kern w:val="0"/>
          <w:sz w:val="24"/>
          <w:szCs w:val="24"/>
        </w:rPr>
        <w:t>注：1）业绩合同以合同签订日期为准。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（五）投标人综合得分按下列公式计算：评标委员会完成对技术标、综合（信用）标的汇总后，评标委员会取所有评委评分的平均值作为该投标人的最终得分。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投标人最终得分=技术标平均得分+商务标得分+综合（信用）标平均得分</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计算分值均四舍五入保留两位小数。</w:t>
      </w:r>
      <w:bookmarkStart w:id="230" w:name="_Toc21547"/>
      <w:bookmarkEnd w:id="23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（六）投标人的最终得分及中标候选人排序</w:t>
      </w:r>
    </w:p>
    <w:p>
      <w:pPr>
        <w:autoSpaceDE w:val="0"/>
        <w:autoSpaceDN w:val="0"/>
        <w:spacing w:line="460" w:lineRule="exact"/>
        <w:ind w:firstLine="720" w:firstLineChars="300"/>
        <w:contextualSpacing/>
        <w:jc w:val="left"/>
        <w:outlineLvl w:val="0"/>
        <w:rPr>
          <w:rFonts w:ascii="新宋体" w:hAnsi="新宋体" w:eastAsia="新宋体" w:cs="宋体"/>
          <w:kern w:val="0"/>
          <w:sz w:val="24"/>
          <w:szCs w:val="24"/>
        </w:rPr>
      </w:pPr>
      <w:bookmarkStart w:id="231" w:name="_Toc22631"/>
      <w:bookmarkEnd w:id="231"/>
      <w:r>
        <w:rPr>
          <w:rFonts w:hint="eastAsia" w:ascii="新宋体" w:hAnsi="新宋体" w:eastAsia="新宋体" w:cs="宋体"/>
          <w:kern w:val="0"/>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w:t>
      </w:r>
    </w:p>
    <w:p>
      <w:pPr>
        <w:autoSpaceDE w:val="0"/>
        <w:autoSpaceDN w:val="0"/>
        <w:spacing w:line="460" w:lineRule="exact"/>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排序。</w:t>
      </w:r>
      <w:r>
        <w:rPr>
          <w:rFonts w:hint="eastAsia" w:ascii="新宋体" w:hAnsi="新宋体" w:eastAsia="新宋体" w:cs="宋体"/>
          <w:b/>
          <w:bCs/>
          <w:kern w:val="0"/>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bookmarkStart w:id="232" w:name="_Toc17480"/>
      <w:bookmarkEnd w:id="232"/>
      <w:bookmarkStart w:id="233" w:name="_Toc464824745"/>
      <w:bookmarkEnd w:id="233"/>
      <w:bookmarkStart w:id="234" w:name="_Toc397507722"/>
      <w:bookmarkEnd w:id="234"/>
      <w:bookmarkStart w:id="235" w:name="_Toc397508135"/>
      <w:bookmarkEnd w:id="235"/>
      <w:bookmarkStart w:id="236" w:name="_Toc272833454"/>
      <w:bookmarkEnd w:id="236"/>
      <w:bookmarkStart w:id="237" w:name="_Toc273546399"/>
      <w:bookmarkEnd w:id="237"/>
      <w:bookmarkStart w:id="238" w:name="_Toc270931535"/>
      <w:bookmarkEnd w:id="238"/>
      <w:bookmarkStart w:id="239" w:name="_Toc295572536"/>
      <w:bookmarkEnd w:id="239"/>
      <w:bookmarkStart w:id="240" w:name="_Toc397606004"/>
      <w:bookmarkEnd w:id="240"/>
    </w:p>
    <w:p>
      <w:pPr>
        <w:autoSpaceDE w:val="0"/>
        <w:autoSpaceDN w:val="0"/>
        <w:spacing w:line="460" w:lineRule="exact"/>
        <w:contextualSpacing/>
        <w:jc w:val="left"/>
        <w:outlineLvl w:val="0"/>
        <w:rPr>
          <w:rFonts w:ascii="新宋体" w:hAnsi="新宋体" w:eastAsia="新宋体" w:cs="宋体"/>
          <w:kern w:val="0"/>
          <w:sz w:val="24"/>
          <w:szCs w:val="24"/>
        </w:rPr>
      </w:pPr>
      <w:r>
        <w:rPr>
          <w:rFonts w:hint="eastAsia" w:ascii="新宋体" w:hAnsi="新宋体" w:eastAsia="新宋体" w:cs="宋体"/>
          <w:b/>
          <w:bCs/>
          <w:kern w:val="0"/>
          <w:sz w:val="24"/>
          <w:szCs w:val="24"/>
        </w:rPr>
        <w:t>九、澄清和说明</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1" w:name="_Toc464824746"/>
      <w:bookmarkEnd w:id="241"/>
      <w:bookmarkStart w:id="242" w:name="_Toc18189"/>
      <w:r>
        <w:rPr>
          <w:rFonts w:hint="eastAsia" w:ascii="新宋体" w:hAnsi="新宋体" w:eastAsia="新宋体" w:cs="宋体"/>
          <w:kern w:val="0"/>
          <w:sz w:val="24"/>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24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3" w:name="_Toc8308"/>
      <w:bookmarkEnd w:id="243"/>
      <w:bookmarkStart w:id="244" w:name="_Toc464824747"/>
      <w:r>
        <w:rPr>
          <w:rFonts w:hint="eastAsia" w:ascii="新宋体" w:hAnsi="新宋体" w:eastAsia="新宋体" w:cs="宋体"/>
          <w:kern w:val="0"/>
          <w:sz w:val="24"/>
          <w:szCs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24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5" w:name="_Toc4170"/>
      <w:bookmarkEnd w:id="245"/>
      <w:bookmarkStart w:id="246" w:name="_Toc464824748"/>
      <w:r>
        <w:rPr>
          <w:rFonts w:hint="eastAsia" w:ascii="新宋体" w:hAnsi="新宋体" w:eastAsia="新宋体" w:cs="宋体"/>
          <w:kern w:val="0"/>
          <w:sz w:val="24"/>
          <w:szCs w:val="24"/>
        </w:rPr>
        <w:t>调整后的报价经投标人确认后产生约束力，投标人不接受修正价格的，其投标将被否决。</w:t>
      </w:r>
      <w:bookmarkEnd w:id="246"/>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47" w:name="_Toc464824749"/>
      <w:bookmarkEnd w:id="247"/>
      <w:bookmarkStart w:id="248" w:name="_Toc10515"/>
      <w:r>
        <w:rPr>
          <w:rFonts w:hint="eastAsia" w:ascii="新宋体" w:hAnsi="新宋体" w:eastAsia="新宋体" w:cs="宋体"/>
          <w:b/>
          <w:bCs/>
          <w:kern w:val="0"/>
          <w:sz w:val="24"/>
          <w:szCs w:val="24"/>
        </w:rPr>
        <w:t>十、关于低价投标</w:t>
      </w:r>
      <w:bookmarkEnd w:id="248"/>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49" w:name="_Toc464824750"/>
      <w:bookmarkEnd w:id="249"/>
      <w:bookmarkStart w:id="250" w:name="_Toc20615"/>
      <w:r>
        <w:rPr>
          <w:rFonts w:hint="eastAsia" w:ascii="新宋体" w:hAnsi="新宋体" w:eastAsia="新宋体" w:cs="宋体"/>
          <w:kern w:val="0"/>
          <w:sz w:val="24"/>
          <w:szCs w:val="24"/>
        </w:rPr>
        <w:t>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50"/>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51" w:name="_Toc17583"/>
      <w:bookmarkEnd w:id="251"/>
      <w:bookmarkStart w:id="252" w:name="_Toc464824751"/>
      <w:r>
        <w:rPr>
          <w:rFonts w:hint="eastAsia" w:ascii="新宋体" w:hAnsi="新宋体" w:eastAsia="新宋体" w:cs="宋体"/>
          <w:b/>
          <w:bCs/>
          <w:kern w:val="0"/>
          <w:sz w:val="24"/>
          <w:szCs w:val="24"/>
        </w:rPr>
        <w:t>十一、投标文件的修正</w:t>
      </w:r>
      <w:bookmarkEnd w:id="25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3" w:name="_Toc464824752"/>
      <w:bookmarkEnd w:id="253"/>
      <w:bookmarkStart w:id="254" w:name="_Toc10463"/>
      <w:r>
        <w:rPr>
          <w:rFonts w:hint="eastAsia" w:ascii="新宋体" w:hAnsi="新宋体" w:eastAsia="新宋体" w:cs="宋体"/>
          <w:kern w:val="0"/>
          <w:sz w:val="24"/>
          <w:szCs w:val="24"/>
        </w:rPr>
        <w:t>投标文件不响应招标文件的实质性要求和条件的，评标委员会不得允许投标人通过修正或撤销其不符合要求的差异或保留，使之成为具有响应性的投标。</w:t>
      </w:r>
      <w:bookmarkEnd w:id="25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5" w:name="_Toc31173"/>
      <w:bookmarkEnd w:id="255"/>
      <w:bookmarkStart w:id="256" w:name="_Toc464824753"/>
      <w:r>
        <w:rPr>
          <w:rFonts w:hint="eastAsia" w:ascii="新宋体" w:hAnsi="新宋体" w:eastAsia="新宋体" w:cs="宋体"/>
          <w:kern w:val="0"/>
          <w:sz w:val="24"/>
          <w:szCs w:val="24"/>
        </w:rPr>
        <w:t>投标报价有算术错误的，评标委员会按以下原则进行修正：</w:t>
      </w:r>
      <w:bookmarkEnd w:id="25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7" w:name="_Toc464824754"/>
      <w:bookmarkEnd w:id="257"/>
      <w:bookmarkStart w:id="258" w:name="_Toc4197"/>
      <w:r>
        <w:rPr>
          <w:rFonts w:hint="eastAsia" w:ascii="新宋体" w:hAnsi="新宋体" w:eastAsia="新宋体" w:cs="宋体"/>
          <w:kern w:val="0"/>
          <w:sz w:val="24"/>
          <w:szCs w:val="24"/>
        </w:rPr>
        <w:t>（一）用数字表示的数额与用文字表示的数额不一致时，以文字数额为准；</w:t>
      </w:r>
      <w:bookmarkEnd w:id="258"/>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59" w:name="_Toc27518"/>
      <w:bookmarkEnd w:id="259"/>
      <w:bookmarkStart w:id="260" w:name="_Toc464824755"/>
      <w:r>
        <w:rPr>
          <w:rFonts w:hint="eastAsia" w:ascii="新宋体" w:hAnsi="新宋体" w:eastAsia="新宋体" w:cs="宋体"/>
          <w:kern w:val="0"/>
          <w:sz w:val="24"/>
          <w:szCs w:val="24"/>
        </w:rPr>
        <w:t>（二）单价与工程量的乘积与总价之间不一致时，以单价为准。若单价有明显的小数点错位，应以总价为准，并修改单价。</w:t>
      </w:r>
      <w:bookmarkEnd w:id="26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1" w:name="_Toc464824756"/>
      <w:bookmarkEnd w:id="261"/>
      <w:bookmarkStart w:id="262" w:name="_Toc3190"/>
      <w:r>
        <w:rPr>
          <w:rFonts w:hint="eastAsia" w:ascii="新宋体" w:hAnsi="新宋体" w:eastAsia="新宋体" w:cs="宋体"/>
          <w:kern w:val="0"/>
          <w:sz w:val="24"/>
          <w:szCs w:val="24"/>
        </w:rPr>
        <w:t>调整后的报价经投标人确认后产生约束力，投标人不接受修正价格的，其投标将被否决。</w:t>
      </w:r>
      <w:bookmarkEnd w:id="262"/>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63" w:name="_Toc9528"/>
      <w:bookmarkEnd w:id="263"/>
      <w:bookmarkStart w:id="264" w:name="_Toc464824757"/>
      <w:r>
        <w:rPr>
          <w:rFonts w:hint="eastAsia" w:ascii="新宋体" w:hAnsi="新宋体" w:eastAsia="新宋体" w:cs="宋体"/>
          <w:b/>
          <w:bCs/>
          <w:kern w:val="0"/>
          <w:sz w:val="24"/>
          <w:szCs w:val="24"/>
        </w:rPr>
        <w:t>十二、投标文件的偏差</w:t>
      </w:r>
      <w:bookmarkEnd w:id="26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5" w:name="_Toc464824758"/>
      <w:bookmarkEnd w:id="265"/>
      <w:bookmarkStart w:id="266" w:name="_Toc28835"/>
      <w:r>
        <w:rPr>
          <w:rFonts w:hint="eastAsia" w:ascii="新宋体" w:hAnsi="新宋体" w:eastAsia="新宋体" w:cs="宋体"/>
          <w:kern w:val="0"/>
          <w:sz w:val="24"/>
          <w:szCs w:val="24"/>
        </w:rPr>
        <w:t>评标委员会应当根据招标文件，审查并逐项列出投标文件的全部投标偏差。投标偏差分为重大偏差和细微偏差。</w:t>
      </w:r>
      <w:bookmarkEnd w:id="26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7" w:name="_Toc29503"/>
      <w:bookmarkEnd w:id="267"/>
      <w:bookmarkStart w:id="268" w:name="_Toc464824759"/>
      <w:r>
        <w:rPr>
          <w:rFonts w:hint="eastAsia" w:ascii="新宋体" w:hAnsi="新宋体" w:eastAsia="新宋体" w:cs="宋体"/>
          <w:kern w:val="0"/>
          <w:sz w:val="24"/>
          <w:szCs w:val="24"/>
        </w:rPr>
        <w:t>下列情况属于重大偏差：</w:t>
      </w:r>
      <w:bookmarkEnd w:id="268"/>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69" w:name="_Toc464824760"/>
      <w:bookmarkEnd w:id="269"/>
      <w:bookmarkStart w:id="270" w:name="_Toc2817"/>
      <w:r>
        <w:rPr>
          <w:rFonts w:hint="eastAsia" w:ascii="新宋体" w:hAnsi="新宋体" w:eastAsia="新宋体" w:cs="宋体"/>
          <w:kern w:val="0"/>
          <w:sz w:val="24"/>
          <w:szCs w:val="24"/>
        </w:rPr>
        <w:t>(一)没有按照招标文件要求提供投标</w:t>
      </w:r>
      <w:r>
        <w:rPr>
          <w:rFonts w:hint="eastAsia" w:ascii="宋体" w:hAnsi="宋体" w:cs="宋体"/>
          <w:sz w:val="24"/>
          <w:szCs w:val="24"/>
        </w:rPr>
        <w:t>保证金</w:t>
      </w:r>
      <w:r>
        <w:rPr>
          <w:rFonts w:hint="eastAsia" w:ascii="新宋体" w:hAnsi="新宋体" w:eastAsia="新宋体" w:cs="宋体"/>
          <w:kern w:val="0"/>
          <w:sz w:val="24"/>
          <w:szCs w:val="24"/>
        </w:rPr>
        <w:t>或者所提供的投标</w:t>
      </w:r>
      <w:r>
        <w:rPr>
          <w:rFonts w:hint="eastAsia" w:ascii="宋体" w:hAnsi="宋体" w:cs="宋体"/>
          <w:sz w:val="24"/>
          <w:szCs w:val="24"/>
        </w:rPr>
        <w:t>保证金</w:t>
      </w:r>
      <w:r>
        <w:rPr>
          <w:rFonts w:hint="eastAsia" w:ascii="新宋体" w:hAnsi="新宋体" w:eastAsia="新宋体" w:cs="宋体"/>
          <w:kern w:val="0"/>
          <w:sz w:val="24"/>
          <w:szCs w:val="24"/>
        </w:rPr>
        <w:t>有瑕疵；</w:t>
      </w:r>
      <w:bookmarkEnd w:id="27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1" w:name="_Toc14952"/>
      <w:bookmarkEnd w:id="271"/>
      <w:bookmarkStart w:id="272" w:name="_Toc464824761"/>
      <w:r>
        <w:rPr>
          <w:rFonts w:hint="eastAsia" w:ascii="新宋体" w:hAnsi="新宋体" w:eastAsia="新宋体" w:cs="宋体"/>
          <w:kern w:val="0"/>
          <w:sz w:val="24"/>
          <w:szCs w:val="24"/>
        </w:rPr>
        <w:t>(二)投标文件没有法定代表人或其委托代理人签字或盖章，并加盖单位公章；</w:t>
      </w:r>
      <w:bookmarkEnd w:id="27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3" w:name="_Toc2013"/>
      <w:bookmarkEnd w:id="273"/>
      <w:bookmarkStart w:id="274" w:name="_Toc464824762"/>
      <w:r>
        <w:rPr>
          <w:rFonts w:hint="eastAsia" w:ascii="新宋体" w:hAnsi="新宋体" w:eastAsia="新宋体" w:cs="宋体"/>
          <w:kern w:val="0"/>
          <w:sz w:val="24"/>
          <w:szCs w:val="24"/>
        </w:rPr>
        <w:t>(三)投标文件载明的招标项目完成期限超过招标文件规定的期限；</w:t>
      </w:r>
      <w:bookmarkEnd w:id="27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5" w:name="_Toc3437"/>
      <w:bookmarkEnd w:id="275"/>
      <w:bookmarkStart w:id="276" w:name="_Toc464824763"/>
      <w:r>
        <w:rPr>
          <w:rFonts w:hint="eastAsia" w:ascii="新宋体" w:hAnsi="新宋体" w:eastAsia="新宋体" w:cs="宋体"/>
          <w:kern w:val="0"/>
          <w:sz w:val="24"/>
          <w:szCs w:val="24"/>
        </w:rPr>
        <w:t>(四)明显不符合技术规格、技术标准的要求；</w:t>
      </w:r>
      <w:bookmarkEnd w:id="27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77" w:name="_Toc28709"/>
      <w:bookmarkEnd w:id="277"/>
      <w:bookmarkStart w:id="278" w:name="_Toc464824764"/>
      <w:r>
        <w:rPr>
          <w:rFonts w:hint="eastAsia" w:ascii="新宋体" w:hAnsi="新宋体" w:eastAsia="新宋体" w:cs="宋体"/>
          <w:kern w:val="0"/>
          <w:sz w:val="24"/>
          <w:szCs w:val="24"/>
        </w:rPr>
        <w:t>(五)投标文件载明的货物包装方式、检验标准和方法等不符合招标文件的要求；</w:t>
      </w:r>
      <w:bookmarkEnd w:id="278"/>
    </w:p>
    <w:p>
      <w:pPr>
        <w:autoSpaceDE w:val="0"/>
        <w:autoSpaceDN w:val="0"/>
        <w:spacing w:line="460" w:lineRule="exact"/>
        <w:contextualSpacing/>
        <w:jc w:val="left"/>
        <w:outlineLvl w:val="0"/>
        <w:rPr>
          <w:rFonts w:ascii="新宋体" w:hAnsi="新宋体" w:eastAsia="新宋体" w:cs="宋体"/>
          <w:kern w:val="0"/>
          <w:sz w:val="24"/>
          <w:szCs w:val="24"/>
        </w:rPr>
      </w:pPr>
      <w:bookmarkStart w:id="279" w:name="_Toc464824765"/>
      <w:bookmarkEnd w:id="279"/>
      <w:bookmarkStart w:id="280" w:name="_Toc30262"/>
      <w:r>
        <w:rPr>
          <w:rFonts w:hint="eastAsia" w:ascii="新宋体" w:hAnsi="新宋体" w:eastAsia="新宋体" w:cs="宋体"/>
          <w:kern w:val="0"/>
          <w:sz w:val="24"/>
          <w:szCs w:val="24"/>
        </w:rPr>
        <w:t>(六)投标文件附有招标人不能接受的条件；</w:t>
      </w:r>
      <w:bookmarkEnd w:id="280"/>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1" w:name="_Toc7"/>
      <w:bookmarkEnd w:id="281"/>
      <w:bookmarkStart w:id="282" w:name="_Toc464824766"/>
      <w:r>
        <w:rPr>
          <w:rFonts w:hint="eastAsia" w:ascii="新宋体" w:hAnsi="新宋体" w:eastAsia="新宋体" w:cs="宋体"/>
          <w:kern w:val="0"/>
          <w:sz w:val="24"/>
          <w:szCs w:val="24"/>
        </w:rPr>
        <w:t>(七)不符合招标文件中规定的其他实质性要求。</w:t>
      </w:r>
      <w:bookmarkEnd w:id="282"/>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3" w:name="_Toc464824767"/>
      <w:bookmarkEnd w:id="283"/>
      <w:bookmarkStart w:id="284" w:name="_Toc23164"/>
      <w:r>
        <w:rPr>
          <w:rFonts w:hint="eastAsia" w:ascii="新宋体" w:hAnsi="新宋体" w:eastAsia="新宋体" w:cs="宋体"/>
          <w:kern w:val="0"/>
          <w:sz w:val="24"/>
          <w:szCs w:val="24"/>
        </w:rPr>
        <w:t>投标文件有上述情形之一的，为未能对招标文件作出实质性响应，并作否决投标处理。招标文件初审列明的内容均为重大偏差。</w:t>
      </w:r>
      <w:bookmarkEnd w:id="28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5" w:name="_Toc464824768"/>
      <w:bookmarkEnd w:id="285"/>
      <w:bookmarkStart w:id="286" w:name="_Toc16273"/>
      <w:r>
        <w:rPr>
          <w:rFonts w:hint="eastAsia" w:ascii="新宋体" w:hAnsi="新宋体" w:eastAsia="新宋体" w:cs="宋体"/>
          <w:kern w:val="0"/>
          <w:sz w:val="24"/>
          <w:szCs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286"/>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87" w:name="_Toc464824769"/>
      <w:bookmarkEnd w:id="287"/>
      <w:bookmarkStart w:id="288" w:name="_Toc24165"/>
      <w:r>
        <w:rPr>
          <w:rFonts w:hint="eastAsia" w:ascii="新宋体" w:hAnsi="新宋体" w:eastAsia="新宋体" w:cs="宋体"/>
          <w:kern w:val="0"/>
          <w:sz w:val="24"/>
          <w:szCs w:val="24"/>
        </w:rPr>
        <w:t>评标委员会应当书面要求存在细微偏差的投标人在评标结束前予以补正。拒不补正的，在详细评审时可以对细微偏差作不利于该投标人的量化。</w:t>
      </w:r>
      <w:bookmarkEnd w:id="288"/>
    </w:p>
    <w:p>
      <w:pPr>
        <w:spacing w:line="460" w:lineRule="exact"/>
        <w:contextualSpacing/>
        <w:rPr>
          <w:rFonts w:ascii="宋体" w:hAnsi="宋体"/>
          <w:b/>
          <w:bCs/>
          <w:color w:val="000000"/>
          <w:sz w:val="24"/>
          <w:szCs w:val="24"/>
        </w:rPr>
      </w:pPr>
      <w:r>
        <w:rPr>
          <w:rFonts w:hint="eastAsia" w:ascii="宋体" w:hAnsi="宋体"/>
          <w:b/>
          <w:bCs/>
          <w:color w:val="000000"/>
          <w:sz w:val="24"/>
          <w:szCs w:val="24"/>
        </w:rPr>
        <w:t>十三、评标报告</w:t>
      </w:r>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r>
        <w:rPr>
          <w:rFonts w:hint="eastAsia" w:ascii="新宋体" w:hAnsi="新宋体" w:eastAsia="新宋体" w:cs="宋体"/>
          <w:kern w:val="0"/>
          <w:sz w:val="24"/>
          <w:szCs w:val="24"/>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60" w:lineRule="exact"/>
        <w:ind w:firstLine="480" w:firstLineChars="200"/>
        <w:contextualSpacing/>
        <w:rPr>
          <w:rFonts w:ascii="新宋体" w:hAnsi="新宋体" w:eastAsia="新宋体"/>
          <w:color w:val="000000"/>
          <w:sz w:val="24"/>
          <w:szCs w:val="24"/>
        </w:rPr>
      </w:pPr>
      <w:r>
        <w:rPr>
          <w:rFonts w:hint="eastAsia" w:ascii="新宋体" w:hAnsi="新宋体" w:eastAsia="新宋体"/>
          <w:color w:val="000000"/>
          <w:sz w:val="24"/>
          <w:szCs w:val="24"/>
        </w:rPr>
        <w:t>评标委员会根据投标人须知前附表7.1条的规定向招标人提交评标报告。评标报告应当由全体评标委员会成员签字，并于评标结束时抄送有关行政监督部门。</w:t>
      </w:r>
    </w:p>
    <w:p>
      <w:pPr>
        <w:spacing w:line="460" w:lineRule="exact"/>
        <w:ind w:firstLine="480" w:firstLineChars="200"/>
        <w:contextualSpacing/>
        <w:rPr>
          <w:sz w:val="24"/>
          <w:szCs w:val="24"/>
        </w:rPr>
      </w:pPr>
      <w:bookmarkStart w:id="289" w:name="_Toc295572537"/>
      <w:bookmarkEnd w:id="289"/>
      <w:bookmarkStart w:id="290" w:name="_Toc270931536"/>
      <w:bookmarkEnd w:id="290"/>
      <w:bookmarkStart w:id="291" w:name="_Toc273546400"/>
      <w:bookmarkEnd w:id="291"/>
      <w:bookmarkStart w:id="292" w:name="_Toc272833455"/>
      <w:r>
        <w:rPr>
          <w:rFonts w:hint="eastAsia" w:ascii="宋体" w:hAnsi="宋体"/>
          <w:sz w:val="24"/>
          <w:szCs w:val="24"/>
        </w:rPr>
        <w:t>招标人应当自确定中标人之日起</w:t>
      </w:r>
      <w:r>
        <w:rPr>
          <w:rFonts w:hint="eastAsia"/>
          <w:sz w:val="24"/>
          <w:szCs w:val="24"/>
        </w:rPr>
        <w:t>15</w:t>
      </w:r>
      <w:r>
        <w:rPr>
          <w:rFonts w:hint="eastAsia" w:ascii="宋体" w:hAnsi="宋体"/>
          <w:sz w:val="24"/>
          <w:szCs w:val="24"/>
        </w:rPr>
        <w:t>日内，向有关行政监督部门提交招标投标情况的书面报告。书面报告应当包括以下内容：</w:t>
      </w:r>
      <w:bookmarkEnd w:id="292"/>
    </w:p>
    <w:p>
      <w:pPr>
        <w:spacing w:line="460" w:lineRule="exact"/>
        <w:contextualSpacing/>
        <w:rPr>
          <w:rFonts w:ascii="宋体" w:hAnsi="宋体"/>
          <w:kern w:val="0"/>
          <w:sz w:val="24"/>
          <w:szCs w:val="24"/>
        </w:rPr>
      </w:pPr>
      <w:r>
        <w:rPr>
          <w:rFonts w:hint="eastAsia" w:ascii="宋体" w:hAnsi="宋体"/>
          <w:kern w:val="0"/>
          <w:sz w:val="24"/>
          <w:szCs w:val="24"/>
        </w:rPr>
        <w:t>（1）基本情况和数据表；</w:t>
      </w:r>
    </w:p>
    <w:p>
      <w:pPr>
        <w:spacing w:line="460" w:lineRule="exact"/>
        <w:contextualSpacing/>
        <w:rPr>
          <w:rFonts w:ascii="宋体" w:hAnsi="宋体"/>
          <w:kern w:val="0"/>
          <w:sz w:val="24"/>
          <w:szCs w:val="24"/>
        </w:rPr>
      </w:pPr>
      <w:r>
        <w:rPr>
          <w:rFonts w:hint="eastAsia" w:ascii="宋体" w:hAnsi="宋体"/>
          <w:kern w:val="0"/>
          <w:sz w:val="24"/>
          <w:szCs w:val="24"/>
        </w:rPr>
        <w:t>（2）评标委员会成员名单，负责人姓名；</w:t>
      </w:r>
    </w:p>
    <w:p>
      <w:pPr>
        <w:spacing w:line="460" w:lineRule="exact"/>
        <w:contextualSpacing/>
        <w:rPr>
          <w:rFonts w:ascii="宋体" w:hAnsi="宋体"/>
          <w:kern w:val="0"/>
          <w:sz w:val="24"/>
          <w:szCs w:val="24"/>
        </w:rPr>
      </w:pPr>
      <w:r>
        <w:rPr>
          <w:rFonts w:hint="eastAsia" w:ascii="宋体" w:hAnsi="宋体"/>
          <w:kern w:val="0"/>
          <w:sz w:val="24"/>
          <w:szCs w:val="24"/>
        </w:rPr>
        <w:t>（3）开标记录；</w:t>
      </w:r>
    </w:p>
    <w:p>
      <w:pPr>
        <w:spacing w:line="460" w:lineRule="exact"/>
        <w:contextualSpacing/>
        <w:rPr>
          <w:rFonts w:ascii="宋体" w:hAnsi="宋体"/>
          <w:kern w:val="0"/>
          <w:sz w:val="24"/>
          <w:szCs w:val="24"/>
        </w:rPr>
      </w:pPr>
      <w:r>
        <w:rPr>
          <w:rFonts w:hint="eastAsia" w:ascii="宋体" w:hAnsi="宋体"/>
          <w:kern w:val="0"/>
          <w:sz w:val="24"/>
          <w:szCs w:val="24"/>
        </w:rPr>
        <w:t>（4）符合要求的投标一览表；</w:t>
      </w:r>
    </w:p>
    <w:p>
      <w:pPr>
        <w:spacing w:line="460" w:lineRule="exact"/>
        <w:contextualSpacing/>
        <w:rPr>
          <w:rFonts w:ascii="宋体" w:hAnsi="宋体"/>
          <w:kern w:val="0"/>
          <w:sz w:val="24"/>
          <w:szCs w:val="24"/>
        </w:rPr>
      </w:pPr>
      <w:r>
        <w:rPr>
          <w:rFonts w:hint="eastAsia" w:ascii="宋体" w:hAnsi="宋体"/>
          <w:kern w:val="0"/>
          <w:sz w:val="24"/>
          <w:szCs w:val="24"/>
        </w:rPr>
        <w:t>（5）否决投标情况说明；</w:t>
      </w:r>
    </w:p>
    <w:p>
      <w:pPr>
        <w:spacing w:line="460" w:lineRule="exact"/>
        <w:contextualSpacing/>
        <w:rPr>
          <w:rFonts w:ascii="宋体" w:hAnsi="宋体"/>
          <w:kern w:val="0"/>
          <w:sz w:val="24"/>
          <w:szCs w:val="24"/>
        </w:rPr>
      </w:pPr>
      <w:r>
        <w:rPr>
          <w:rFonts w:hint="eastAsia" w:ascii="宋体" w:hAnsi="宋体"/>
          <w:kern w:val="0"/>
          <w:sz w:val="24"/>
          <w:szCs w:val="24"/>
        </w:rPr>
        <w:t>（6）评标标准、评标办法或者评标因素一览表；</w:t>
      </w:r>
    </w:p>
    <w:p>
      <w:pPr>
        <w:spacing w:line="460" w:lineRule="exact"/>
        <w:contextualSpacing/>
        <w:rPr>
          <w:rFonts w:ascii="宋体" w:hAnsi="宋体"/>
          <w:kern w:val="0"/>
          <w:sz w:val="24"/>
          <w:szCs w:val="24"/>
        </w:rPr>
      </w:pPr>
      <w:r>
        <w:rPr>
          <w:rFonts w:hint="eastAsia" w:ascii="宋体" w:hAnsi="宋体"/>
          <w:kern w:val="0"/>
          <w:sz w:val="24"/>
          <w:szCs w:val="24"/>
        </w:rPr>
        <w:t>（7）经评审的评标表格（包括评标委员会在评标过程中所形成的所有记载评标结果、结论的表格、说明、记录等文件）</w:t>
      </w:r>
    </w:p>
    <w:p>
      <w:pPr>
        <w:spacing w:line="460" w:lineRule="exact"/>
        <w:contextualSpacing/>
        <w:rPr>
          <w:rFonts w:ascii="宋体" w:hAnsi="宋体"/>
          <w:kern w:val="0"/>
          <w:sz w:val="24"/>
          <w:szCs w:val="24"/>
        </w:rPr>
      </w:pPr>
      <w:r>
        <w:rPr>
          <w:rFonts w:hint="eastAsia" w:ascii="宋体" w:hAnsi="宋体"/>
          <w:kern w:val="0"/>
          <w:sz w:val="24"/>
          <w:szCs w:val="24"/>
        </w:rPr>
        <w:t>（8）经评审的投标人排序；</w:t>
      </w:r>
    </w:p>
    <w:p>
      <w:pPr>
        <w:spacing w:line="460" w:lineRule="exact"/>
        <w:contextualSpacing/>
        <w:rPr>
          <w:rFonts w:ascii="宋体" w:hAnsi="宋体"/>
          <w:kern w:val="0"/>
          <w:sz w:val="24"/>
          <w:szCs w:val="24"/>
        </w:rPr>
      </w:pPr>
      <w:r>
        <w:rPr>
          <w:rFonts w:hint="eastAsia" w:ascii="宋体" w:hAnsi="宋体"/>
          <w:kern w:val="0"/>
          <w:sz w:val="24"/>
          <w:szCs w:val="24"/>
        </w:rPr>
        <w:t>（9）推荐的中标候选人名单与签订合同前要处理的事宜；</w:t>
      </w:r>
    </w:p>
    <w:p>
      <w:pPr>
        <w:spacing w:line="460" w:lineRule="exact"/>
        <w:contextualSpacing/>
        <w:rPr>
          <w:rFonts w:ascii="宋体" w:hAnsi="宋体"/>
          <w:kern w:val="0"/>
          <w:sz w:val="24"/>
          <w:szCs w:val="24"/>
        </w:rPr>
      </w:pPr>
      <w:r>
        <w:rPr>
          <w:rFonts w:hint="eastAsia" w:ascii="宋体" w:hAnsi="宋体"/>
          <w:kern w:val="0"/>
          <w:sz w:val="24"/>
          <w:szCs w:val="24"/>
        </w:rPr>
        <w:t>（10）澄清、说明、补正事项纪要。</w:t>
      </w:r>
    </w:p>
    <w:p>
      <w:pPr>
        <w:autoSpaceDE w:val="0"/>
        <w:autoSpaceDN w:val="0"/>
        <w:spacing w:line="460" w:lineRule="exact"/>
        <w:contextualSpacing/>
        <w:jc w:val="left"/>
        <w:outlineLvl w:val="0"/>
        <w:rPr>
          <w:rFonts w:ascii="新宋体" w:hAnsi="新宋体" w:eastAsia="新宋体" w:cs="宋体"/>
          <w:b/>
          <w:bCs/>
          <w:kern w:val="0"/>
          <w:sz w:val="24"/>
          <w:szCs w:val="24"/>
        </w:rPr>
      </w:pPr>
      <w:bookmarkStart w:id="293" w:name="_Toc464824770"/>
      <w:bookmarkEnd w:id="293"/>
      <w:bookmarkStart w:id="294" w:name="_Toc21854"/>
      <w:r>
        <w:rPr>
          <w:rFonts w:hint="eastAsia" w:ascii="新宋体" w:hAnsi="新宋体" w:eastAsia="新宋体" w:cs="宋体"/>
          <w:b/>
          <w:bCs/>
          <w:kern w:val="0"/>
          <w:sz w:val="24"/>
          <w:szCs w:val="24"/>
        </w:rPr>
        <w:t>十四、中标人的确立</w:t>
      </w:r>
      <w:bookmarkEnd w:id="294"/>
    </w:p>
    <w:p>
      <w:pPr>
        <w:autoSpaceDE w:val="0"/>
        <w:autoSpaceDN w:val="0"/>
        <w:spacing w:line="460" w:lineRule="exact"/>
        <w:ind w:firstLine="480" w:firstLineChars="200"/>
        <w:contextualSpacing/>
        <w:jc w:val="left"/>
        <w:outlineLvl w:val="0"/>
        <w:rPr>
          <w:rFonts w:ascii="新宋体" w:hAnsi="新宋体" w:eastAsia="新宋体" w:cs="宋体"/>
          <w:kern w:val="0"/>
          <w:sz w:val="24"/>
          <w:szCs w:val="24"/>
        </w:rPr>
      </w:pPr>
      <w:bookmarkStart w:id="295" w:name="_Toc32004"/>
      <w:bookmarkEnd w:id="295"/>
      <w:bookmarkStart w:id="296" w:name="_Toc464824771"/>
      <w:r>
        <w:rPr>
          <w:rFonts w:hint="eastAsia" w:ascii="新宋体" w:hAnsi="新宋体" w:eastAsia="新宋体" w:cs="宋体"/>
          <w:kern w:val="0"/>
          <w:sz w:val="24"/>
          <w:szCs w:val="24"/>
        </w:rPr>
        <w:t>国有资金占控股或者主导地位的依法必须进行招标的项目，招标人应当确定排名第一的中标候选人为中标人。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296"/>
    </w:p>
    <w:p>
      <w:pPr>
        <w:spacing w:line="460" w:lineRule="exact"/>
        <w:contextualSpacing/>
        <w:rPr>
          <w:rFonts w:ascii="新宋体" w:hAnsi="新宋体" w:eastAsia="新宋体"/>
          <w:color w:val="000000"/>
          <w:spacing w:val="-3"/>
          <w:sz w:val="24"/>
          <w:szCs w:val="24"/>
        </w:rPr>
      </w:pPr>
      <w:r>
        <w:rPr>
          <w:rFonts w:hint="eastAsia" w:ascii="宋体" w:hAnsi="宋体"/>
          <w:b/>
          <w:bCs/>
          <w:sz w:val="24"/>
          <w:szCs w:val="24"/>
        </w:rPr>
        <w:t>十五、公示</w:t>
      </w:r>
    </w:p>
    <w:p>
      <w:pPr>
        <w:spacing w:line="460" w:lineRule="exact"/>
        <w:ind w:firstLine="352" w:firstLineChars="147"/>
        <w:contextualSpacing/>
        <w:outlineLvl w:val="0"/>
        <w:rPr>
          <w:rFonts w:ascii="新宋体" w:hAnsi="新宋体" w:eastAsia="新宋体"/>
          <w:color w:val="000000"/>
          <w:sz w:val="24"/>
          <w:szCs w:val="24"/>
        </w:rPr>
      </w:pPr>
      <w:bookmarkStart w:id="297" w:name="_Toc414"/>
      <w:bookmarkEnd w:id="297"/>
      <w:bookmarkStart w:id="298" w:name="_Toc464824774"/>
      <w:bookmarkEnd w:id="298"/>
      <w:bookmarkStart w:id="299" w:name="_Toc2959"/>
      <w:bookmarkEnd w:id="299"/>
      <w:bookmarkStart w:id="300" w:name="_Toc397507724"/>
      <w:bookmarkEnd w:id="300"/>
      <w:bookmarkStart w:id="301" w:name="_Toc397606006"/>
      <w:bookmarkEnd w:id="301"/>
      <w:bookmarkStart w:id="302" w:name="_Toc397508137"/>
      <w:bookmarkEnd w:id="302"/>
      <w:bookmarkStart w:id="303" w:name="_Toc464824772"/>
      <w:r>
        <w:rPr>
          <w:rFonts w:hint="eastAsia" w:ascii="新宋体" w:hAnsi="新宋体" w:eastAsia="新宋体"/>
          <w:color w:val="000000"/>
          <w:sz w:val="24"/>
          <w:szCs w:val="24"/>
        </w:rPr>
        <w:t>中标人确定后，应当在招标公告发布的同一媒介上进行公示，</w:t>
      </w:r>
      <w:bookmarkEnd w:id="303"/>
      <w:r>
        <w:rPr>
          <w:rFonts w:hint="eastAsia" w:ascii="新宋体" w:hAnsi="新宋体" w:eastAsia="新宋体"/>
          <w:color w:val="000000"/>
          <w:sz w:val="24"/>
          <w:szCs w:val="24"/>
        </w:rPr>
        <w:t>公示期不得少于3日。公示期满后，招标人应当将招标投标情况书面报告提交行政主管部门备案，向中标人发出中标通知书，并向所有合格投标人告知中标结果。</w:t>
      </w:r>
    </w:p>
    <w:p>
      <w:pPr>
        <w:spacing w:line="460" w:lineRule="exact"/>
        <w:ind w:firstLine="352" w:firstLineChars="147"/>
        <w:contextualSpacing/>
        <w:outlineLvl w:val="0"/>
        <w:rPr>
          <w:rFonts w:ascii="新宋体" w:hAnsi="新宋体" w:eastAsia="新宋体"/>
          <w:color w:val="000000"/>
          <w:sz w:val="24"/>
          <w:szCs w:val="24"/>
        </w:rPr>
      </w:pPr>
      <w:bookmarkStart w:id="304" w:name="_Toc464824773"/>
      <w:bookmarkEnd w:id="304"/>
      <w:bookmarkStart w:id="305" w:name="_Toc3561"/>
      <w:r>
        <w:rPr>
          <w:rFonts w:hint="eastAsia" w:ascii="新宋体" w:hAnsi="新宋体" w:eastAsia="新宋体"/>
          <w:color w:val="000000"/>
          <w:sz w:val="24"/>
          <w:szCs w:val="24"/>
        </w:rPr>
        <w:t>依法必须进行招标的项目，中标候选人公示时，应当同时公示以下信息：项目概况、开标时间、开标记录、评审情况、中标候选人排名、公示期、联系方式、评标委员会成员对中标候选人的综合评估分和各分项评估分、投标文件中填报的项目负责人业绩名称及</w:t>
      </w:r>
      <w:bookmarkEnd w:id="305"/>
      <w:r>
        <w:rPr>
          <w:rFonts w:hint="eastAsia" w:ascii="新宋体" w:hAnsi="新宋体" w:eastAsia="新宋体"/>
          <w:color w:val="000000"/>
          <w:sz w:val="24"/>
          <w:szCs w:val="24"/>
        </w:rPr>
        <w:t>填报的单位项目业绩名称。</w:t>
      </w:r>
    </w:p>
    <w:p>
      <w:pPr>
        <w:spacing w:line="460" w:lineRule="exact"/>
        <w:contextualSpacing/>
        <w:outlineLvl w:val="0"/>
        <w:rPr>
          <w:rFonts w:ascii="新宋体" w:hAnsi="新宋体" w:eastAsia="新宋体"/>
          <w:b/>
          <w:bCs/>
          <w:sz w:val="24"/>
          <w:szCs w:val="24"/>
        </w:rPr>
      </w:pPr>
      <w:r>
        <w:rPr>
          <w:rFonts w:hint="eastAsia" w:ascii="新宋体" w:hAnsi="新宋体" w:eastAsia="新宋体"/>
          <w:b/>
          <w:bCs/>
          <w:sz w:val="24"/>
          <w:szCs w:val="24"/>
        </w:rPr>
        <w:t>十六、特殊情况的处置程序</w:t>
      </w:r>
    </w:p>
    <w:p>
      <w:pPr>
        <w:spacing w:line="460" w:lineRule="exact"/>
        <w:ind w:firstLine="354" w:firstLineChars="147"/>
        <w:contextualSpacing/>
        <w:outlineLvl w:val="0"/>
        <w:rPr>
          <w:rFonts w:ascii="新宋体" w:hAnsi="新宋体" w:eastAsia="新宋体"/>
          <w:b/>
          <w:bCs/>
          <w:sz w:val="24"/>
          <w:szCs w:val="24"/>
        </w:rPr>
      </w:pPr>
      <w:bookmarkStart w:id="306" w:name="_Toc397606007"/>
      <w:bookmarkEnd w:id="306"/>
      <w:bookmarkStart w:id="307" w:name="_Toc464824775"/>
      <w:bookmarkEnd w:id="307"/>
      <w:bookmarkStart w:id="308" w:name="_Toc397508138"/>
      <w:bookmarkEnd w:id="308"/>
      <w:bookmarkStart w:id="309" w:name="_Toc26658"/>
      <w:bookmarkEnd w:id="309"/>
      <w:bookmarkStart w:id="310" w:name="_Toc397507725"/>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.1关于评标活动暂停</w:t>
      </w:r>
      <w:bookmarkEnd w:id="31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1.1评标委员会应当执行连续评标的原则，按评标办法中规定的程序、内容、方法、标准完成全部评标工作。只有发生不可抗力导致评标工作无法继续时，评标活动方可暂停。</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.1.2发生评标暂停情况时，评标委员会应当封存全部投标文件和评标记录，待不可抗力的影响结束且具备继续评标的条件时，由原评标委员会继续评标。</w:t>
      </w:r>
    </w:p>
    <w:p>
      <w:pPr>
        <w:spacing w:line="460" w:lineRule="exact"/>
        <w:ind w:firstLine="354" w:firstLineChars="147"/>
        <w:contextualSpacing/>
        <w:outlineLvl w:val="0"/>
        <w:rPr>
          <w:rFonts w:ascii="新宋体" w:hAnsi="新宋体" w:eastAsia="新宋体"/>
          <w:b/>
          <w:bCs/>
          <w:sz w:val="24"/>
          <w:szCs w:val="24"/>
        </w:rPr>
      </w:pPr>
      <w:bookmarkStart w:id="311" w:name="_Toc464824776"/>
      <w:bookmarkEnd w:id="311"/>
      <w:bookmarkStart w:id="312" w:name="_Toc397508139"/>
      <w:bookmarkEnd w:id="312"/>
      <w:bookmarkStart w:id="313" w:name="_Toc397606008"/>
      <w:bookmarkEnd w:id="313"/>
      <w:bookmarkStart w:id="314" w:name="_Toc6616"/>
      <w:bookmarkEnd w:id="314"/>
      <w:bookmarkStart w:id="315" w:name="_Toc397507726"/>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.2关于评标中途更换评标委员会成员</w:t>
      </w:r>
      <w:bookmarkEnd w:id="315"/>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w:t>
      </w:r>
      <w:r>
        <w:rPr>
          <w:rFonts w:ascii="新宋体" w:hAnsi="新宋体" w:eastAsia="新宋体"/>
          <w:sz w:val="24"/>
          <w:szCs w:val="24"/>
        </w:rPr>
        <w:t>6</w:t>
      </w:r>
      <w:r>
        <w:rPr>
          <w:rFonts w:hint="eastAsia" w:ascii="新宋体" w:hAnsi="新宋体" w:eastAsia="新宋体"/>
          <w:sz w:val="24"/>
          <w:szCs w:val="24"/>
        </w:rPr>
        <w:t>.2.1  除非发生下列情况之一，评标委员会成员不得在评标中途更换：</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（1）因不可抗拒的客观原因，不能到场或需在评标中途退出评标活动。</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（2）根据法律法规规定，某个或某几个评标委员会成员需要回避。</w:t>
      </w:r>
    </w:p>
    <w:p>
      <w:pPr>
        <w:spacing w:line="460" w:lineRule="exact"/>
        <w:ind w:firstLine="480" w:firstLineChars="200"/>
        <w:contextualSpacing/>
        <w:rPr>
          <w:rFonts w:ascii="新宋体" w:hAnsi="新宋体" w:eastAsia="新宋体"/>
          <w:sz w:val="24"/>
          <w:szCs w:val="24"/>
        </w:rPr>
      </w:pPr>
      <w:r>
        <w:rPr>
          <w:rFonts w:ascii="新宋体" w:hAnsi="新宋体" w:eastAsia="新宋体"/>
          <w:sz w:val="24"/>
          <w:szCs w:val="24"/>
        </w:rPr>
        <w:t>16</w:t>
      </w:r>
      <w:r>
        <w:rPr>
          <w:rFonts w:hint="eastAsia" w:ascii="新宋体" w:hAnsi="新宋体" w:eastAsia="新宋体"/>
          <w:sz w:val="24"/>
          <w:szCs w:val="24"/>
        </w:rPr>
        <w:t>.2.2  退出评标的评标委员会成员，其已完成的评标行为无效。由招标人根据本招标文件规定的评标委员会成员产生方式另行确定替代者进行评标。</w:t>
      </w:r>
    </w:p>
    <w:p>
      <w:pPr>
        <w:spacing w:line="460" w:lineRule="exact"/>
        <w:ind w:firstLine="354" w:firstLineChars="147"/>
        <w:contextualSpacing/>
        <w:outlineLvl w:val="0"/>
        <w:rPr>
          <w:rFonts w:ascii="新宋体" w:hAnsi="新宋体" w:eastAsia="新宋体"/>
          <w:b/>
          <w:bCs/>
          <w:sz w:val="24"/>
          <w:szCs w:val="24"/>
        </w:rPr>
      </w:pPr>
      <w:bookmarkStart w:id="316" w:name="_Toc464824777"/>
      <w:bookmarkEnd w:id="316"/>
      <w:bookmarkStart w:id="317" w:name="_Toc397507727"/>
      <w:bookmarkEnd w:id="317"/>
      <w:bookmarkStart w:id="318" w:name="_Toc5729"/>
      <w:bookmarkEnd w:id="318"/>
      <w:bookmarkStart w:id="319" w:name="_Toc397508140"/>
      <w:bookmarkEnd w:id="319"/>
      <w:bookmarkStart w:id="320" w:name="_Toc397606009"/>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.3记名投票</w:t>
      </w:r>
      <w:bookmarkEnd w:id="320"/>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在任何评标环节中，需评标委员会就某项定性的评审结论做出表决的，由评标委员会全体成员按照少数服从多数的原则，以记名投票方式表决。</w:t>
      </w:r>
    </w:p>
    <w:p>
      <w:pPr>
        <w:spacing w:line="460" w:lineRule="exact"/>
        <w:ind w:firstLine="482" w:firstLineChars="200"/>
        <w:contextualSpacing/>
        <w:rPr>
          <w:rFonts w:ascii="新宋体" w:hAnsi="新宋体" w:eastAsia="新宋体"/>
          <w:b/>
          <w:bCs/>
          <w:sz w:val="24"/>
          <w:szCs w:val="24"/>
        </w:rPr>
      </w:pPr>
      <w:r>
        <w:rPr>
          <w:rFonts w:hint="eastAsia" w:ascii="新宋体" w:hAnsi="新宋体" w:eastAsia="新宋体"/>
          <w:b/>
          <w:bCs/>
          <w:sz w:val="24"/>
          <w:szCs w:val="24"/>
        </w:rPr>
        <w:t>1</w:t>
      </w:r>
      <w:r>
        <w:rPr>
          <w:rFonts w:ascii="新宋体" w:hAnsi="新宋体" w:eastAsia="新宋体"/>
          <w:b/>
          <w:bCs/>
          <w:sz w:val="24"/>
          <w:szCs w:val="24"/>
        </w:rPr>
        <w:t>6</w:t>
      </w:r>
      <w:r>
        <w:rPr>
          <w:rFonts w:hint="eastAsia" w:ascii="新宋体" w:hAnsi="新宋体" w:eastAsia="新宋体"/>
          <w:b/>
          <w:bCs/>
          <w:sz w:val="24"/>
          <w:szCs w:val="24"/>
        </w:rPr>
        <w:t>.4评标委员会成员对评标结论持有异议的</w:t>
      </w:r>
    </w:p>
    <w:p>
      <w:pPr>
        <w:spacing w:line="460" w:lineRule="exact"/>
        <w:ind w:firstLine="480" w:firstLineChars="200"/>
        <w:contextualSpacing/>
        <w:rPr>
          <w:rFonts w:ascii="新宋体" w:hAnsi="新宋体" w:eastAsia="新宋体"/>
          <w:sz w:val="24"/>
          <w:szCs w:val="24"/>
        </w:rPr>
      </w:pPr>
      <w:r>
        <w:rPr>
          <w:rFonts w:hint="eastAsia" w:ascii="新宋体" w:hAnsi="新宋体" w:eastAsia="新宋体"/>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rPr>
          <w:rFonts w:ascii="宋体" w:hAnsi="宋体"/>
          <w:b/>
          <w:bCs/>
          <w:sz w:val="32"/>
          <w:szCs w:val="32"/>
        </w:rPr>
      </w:pPr>
      <w:r>
        <w:br w:type="page"/>
      </w:r>
      <w:r>
        <w:rPr>
          <w:rFonts w:hint="eastAsia" w:ascii="宋体" w:hAnsi="宋体"/>
          <w:b/>
          <w:bCs/>
          <w:sz w:val="32"/>
          <w:szCs w:val="32"/>
        </w:rPr>
        <w:t>附件1</w:t>
      </w:r>
    </w:p>
    <w:p>
      <w:pPr>
        <w:jc w:val="center"/>
        <w:rPr>
          <w:rFonts w:ascii="宋体" w:hAnsi="宋体"/>
          <w:b/>
          <w:bCs/>
          <w:sz w:val="32"/>
          <w:szCs w:val="32"/>
        </w:rPr>
      </w:pPr>
      <w:r>
        <w:rPr>
          <w:rFonts w:hint="eastAsia" w:ascii="宋体" w:hAnsi="宋体"/>
          <w:b/>
          <w:bCs/>
          <w:sz w:val="32"/>
          <w:szCs w:val="32"/>
        </w:rPr>
        <w:t>投标企业良好信用信息采集项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591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Pr>
          <w:p>
            <w:pPr>
              <w:spacing w:line="460" w:lineRule="exact"/>
              <w:jc w:val="center"/>
              <w:rPr>
                <w:rFonts w:ascii="宋体" w:hAnsi="宋体"/>
                <w:sz w:val="24"/>
                <w:szCs w:val="24"/>
              </w:rPr>
            </w:pPr>
            <w:r>
              <w:rPr>
                <w:rFonts w:hint="eastAsia" w:ascii="宋体" w:hAnsi="宋体"/>
                <w:sz w:val="24"/>
                <w:szCs w:val="24"/>
              </w:rPr>
              <w:t>信用类别</w:t>
            </w:r>
          </w:p>
        </w:tc>
        <w:tc>
          <w:tcPr>
            <w:tcW w:w="5910" w:type="dxa"/>
          </w:tcPr>
          <w:p>
            <w:pPr>
              <w:spacing w:line="460" w:lineRule="exact"/>
              <w:jc w:val="center"/>
              <w:rPr>
                <w:rFonts w:ascii="宋体" w:hAnsi="宋体"/>
                <w:sz w:val="24"/>
                <w:szCs w:val="24"/>
              </w:rPr>
            </w:pPr>
            <w:r>
              <w:rPr>
                <w:rFonts w:hint="eastAsia" w:ascii="宋体" w:hAnsi="宋体"/>
                <w:sz w:val="24"/>
                <w:szCs w:val="24"/>
              </w:rPr>
              <w:t>良好信用</w:t>
            </w:r>
          </w:p>
        </w:tc>
        <w:tc>
          <w:tcPr>
            <w:tcW w:w="1253" w:type="dxa"/>
          </w:tcPr>
          <w:p>
            <w:pPr>
              <w:spacing w:line="460" w:lineRule="exact"/>
              <w:jc w:val="center"/>
              <w:rPr>
                <w:rFonts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工程质量获奖</w:t>
            </w:r>
          </w:p>
        </w:tc>
        <w:tc>
          <w:tcPr>
            <w:tcW w:w="5910" w:type="dxa"/>
          </w:tcPr>
          <w:p>
            <w:pPr>
              <w:spacing w:line="460" w:lineRule="exact"/>
              <w:jc w:val="left"/>
              <w:rPr>
                <w:rFonts w:ascii="宋体" w:hAnsi="宋体"/>
                <w:sz w:val="24"/>
                <w:szCs w:val="24"/>
              </w:rPr>
            </w:pPr>
            <w:r>
              <w:rPr>
                <w:rFonts w:hint="eastAsia" w:ascii="宋体" w:hAnsi="宋体"/>
                <w:sz w:val="24"/>
                <w:szCs w:val="24"/>
              </w:rPr>
              <w:t>中国建设工程鲁班奖(国家优质工程)、中国钢结构金奖、中国土木工程詹天佑奖</w:t>
            </w:r>
          </w:p>
        </w:tc>
        <w:tc>
          <w:tcPr>
            <w:tcW w:w="1253" w:type="dxa"/>
            <w:vAlign w:val="center"/>
          </w:tcPr>
          <w:p>
            <w:pPr>
              <w:spacing w:line="460" w:lineRule="exact"/>
              <w:jc w:val="center"/>
              <w:rPr>
                <w:rFonts w:ascii="宋体" w:hAnsi="宋体"/>
                <w:sz w:val="24"/>
                <w:szCs w:val="24"/>
              </w:rP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中国建筑工程装饰奖(公共建筑装饰、建筑幕墙、公共建获奖筑装饰设计)</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省长质量奖</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省级建设主管部门颁发的工程质量奖项</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一般性通报表彰</w:t>
            </w:r>
          </w:p>
        </w:tc>
        <w:tc>
          <w:tcPr>
            <w:tcW w:w="5910" w:type="dxa"/>
          </w:tcPr>
          <w:p>
            <w:pPr>
              <w:spacing w:line="460" w:lineRule="exact"/>
              <w:jc w:val="left"/>
              <w:rPr>
                <w:rFonts w:ascii="宋体" w:hAnsi="宋体"/>
                <w:sz w:val="24"/>
                <w:szCs w:val="24"/>
              </w:rPr>
            </w:pPr>
            <w:r>
              <w:rPr>
                <w:rFonts w:hint="eastAsia" w:ascii="宋体" w:hAnsi="宋体"/>
                <w:sz w:val="24"/>
                <w:szCs w:val="24"/>
              </w:rPr>
              <w:t>住房城乡建设部、省人民政府的表彰</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县级以上人民政府或住房城乡建设主管部门的表彰</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restart"/>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ascii="宋体" w:hAnsi="宋体"/>
                <w:sz w:val="24"/>
                <w:szCs w:val="24"/>
              </w:rPr>
            </w:pPr>
            <w:r>
              <w:rPr>
                <w:rFonts w:hint="eastAsia" w:ascii="宋体" w:hAnsi="宋体"/>
                <w:sz w:val="24"/>
                <w:szCs w:val="24"/>
              </w:rPr>
              <w:t>（建筑类）</w:t>
            </w:r>
          </w:p>
        </w:tc>
        <w:tc>
          <w:tcPr>
            <w:tcW w:w="5910" w:type="dxa"/>
          </w:tcPr>
          <w:p>
            <w:pPr>
              <w:spacing w:line="460" w:lineRule="exact"/>
              <w:jc w:val="left"/>
              <w:rPr>
                <w:rFonts w:ascii="宋体" w:hAnsi="宋体"/>
                <w:sz w:val="24"/>
                <w:szCs w:val="24"/>
              </w:rPr>
            </w:pPr>
            <w:r>
              <w:rPr>
                <w:rFonts w:hint="eastAsia" w:ascii="宋体" w:hAnsi="宋体"/>
                <w:sz w:val="24"/>
                <w:szCs w:val="24"/>
              </w:rPr>
              <w:t>企业参与标准、定额、工法编制：(1)国家级；(2)省级。</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科技示范工程:(1)住房城乡建设部；(2)省级。</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企业专利:(1)发明专利；(2)实用新型专利。</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企业科技开发或科技进步奖：(1)国家级；(2)省级科</w:t>
            </w:r>
          </w:p>
          <w:p>
            <w:pPr>
              <w:spacing w:line="460" w:lineRule="exact"/>
              <w:jc w:val="left"/>
              <w:rPr>
                <w:rFonts w:ascii="宋体" w:hAnsi="宋体"/>
                <w:sz w:val="24"/>
                <w:szCs w:val="24"/>
              </w:rPr>
            </w:pPr>
            <w:r>
              <w:rPr>
                <w:rFonts w:hint="eastAsia" w:ascii="宋体" w:hAnsi="宋体"/>
                <w:sz w:val="24"/>
                <w:szCs w:val="24"/>
              </w:rPr>
              <w:t>技成果或科技进步奖。</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jc w:val="left"/>
              <w:rPr>
                <w:rFonts w:ascii="宋体" w:hAnsi="宋体"/>
                <w:sz w:val="24"/>
                <w:szCs w:val="24"/>
              </w:rPr>
            </w:pPr>
            <w:r>
              <w:rPr>
                <w:rFonts w:hint="eastAsia" w:ascii="宋体" w:hAnsi="宋体"/>
                <w:sz w:val="24"/>
                <w:szCs w:val="24"/>
              </w:rPr>
              <w:t>企业科技项目：(1)国家级；(2)省级。</w:t>
            </w:r>
          </w:p>
        </w:tc>
        <w:tc>
          <w:tcPr>
            <w:tcW w:w="1253" w:type="dxa"/>
            <w:vAlign w:val="center"/>
          </w:tcPr>
          <w:p>
            <w:pPr>
              <w:jc w:val="center"/>
            </w:pPr>
            <w:r>
              <w:rPr>
                <w:rFonts w:hint="eastAsia" w:ascii="宋体" w:hAnsi="宋体"/>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vMerge w:val="continue"/>
          </w:tcPr>
          <w:p>
            <w:pPr>
              <w:spacing w:line="460" w:lineRule="exact"/>
              <w:jc w:val="center"/>
              <w:rPr>
                <w:rFonts w:ascii="宋体" w:hAnsi="宋体"/>
                <w:sz w:val="24"/>
                <w:szCs w:val="24"/>
              </w:rPr>
            </w:pPr>
          </w:p>
        </w:tc>
        <w:tc>
          <w:tcPr>
            <w:tcW w:w="5910" w:type="dxa"/>
          </w:tcPr>
          <w:p>
            <w:pPr>
              <w:spacing w:line="460" w:lineRule="exact"/>
              <w:rPr>
                <w:rFonts w:ascii="宋体" w:hAnsi="宋体"/>
                <w:sz w:val="24"/>
                <w:szCs w:val="24"/>
              </w:rPr>
            </w:pPr>
            <w:r>
              <w:rPr>
                <w:rFonts w:hint="eastAsia" w:ascii="宋体" w:hAnsi="宋体"/>
                <w:sz w:val="24"/>
                <w:szCs w:val="24"/>
              </w:rPr>
              <w:t>科研平台或企业技术中心：(1)国家级；(2)省级。</w:t>
            </w:r>
          </w:p>
        </w:tc>
        <w:tc>
          <w:tcPr>
            <w:tcW w:w="1253" w:type="dxa"/>
            <w:vAlign w:val="center"/>
          </w:tcPr>
          <w:p>
            <w:pPr>
              <w:jc w:val="center"/>
            </w:pPr>
            <w:r>
              <w:rPr>
                <w:rFonts w:ascii="宋体" w:hAnsi="宋体"/>
                <w:sz w:val="24"/>
                <w:szCs w:val="24"/>
              </w:rPr>
              <w:t>1</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7" w:type="dxa"/>
          </w:tcPr>
          <w:p>
            <w:pPr>
              <w:spacing w:line="460" w:lineRule="exact"/>
              <w:jc w:val="center"/>
              <w:rPr>
                <w:rFonts w:ascii="宋体" w:hAnsi="宋体"/>
                <w:sz w:val="24"/>
                <w:szCs w:val="24"/>
              </w:rPr>
            </w:pPr>
            <w:r>
              <w:rPr>
                <w:rFonts w:hint="eastAsia" w:ascii="宋体" w:hAnsi="宋体"/>
                <w:sz w:val="24"/>
                <w:szCs w:val="24"/>
              </w:rPr>
              <w:t>安全文明工地</w:t>
            </w:r>
          </w:p>
        </w:tc>
        <w:tc>
          <w:tcPr>
            <w:tcW w:w="5910" w:type="dxa"/>
          </w:tcPr>
          <w:p>
            <w:pPr>
              <w:spacing w:line="460" w:lineRule="exact"/>
              <w:jc w:val="left"/>
              <w:rPr>
                <w:rFonts w:ascii="宋体" w:hAnsi="宋体"/>
                <w:sz w:val="24"/>
                <w:szCs w:val="24"/>
              </w:rPr>
            </w:pPr>
            <w:r>
              <w:rPr>
                <w:rFonts w:hint="eastAsia" w:ascii="宋体" w:hAnsi="宋体"/>
                <w:sz w:val="24"/>
                <w:szCs w:val="24"/>
              </w:rPr>
              <w:t>(1)国家AAA级安全文明标准化工地；(2)省级安全文明工地；(3)市级安全文明工地</w:t>
            </w:r>
          </w:p>
        </w:tc>
        <w:tc>
          <w:tcPr>
            <w:tcW w:w="1253" w:type="dxa"/>
            <w:vAlign w:val="center"/>
          </w:tcPr>
          <w:p>
            <w:pPr>
              <w:jc w:val="center"/>
            </w:pPr>
            <w:r>
              <w:rPr>
                <w:rFonts w:hint="eastAsia" w:ascii="宋体" w:hAnsi="宋体"/>
                <w:sz w:val="24"/>
                <w:szCs w:val="24"/>
              </w:rPr>
              <w:t>3年</w:t>
            </w:r>
          </w:p>
        </w:tc>
      </w:tr>
    </w:tbl>
    <w:p/>
    <w:p>
      <w:pPr>
        <w:rPr>
          <w:b/>
          <w:bCs/>
          <w:sz w:val="32"/>
          <w:szCs w:val="32"/>
        </w:rPr>
      </w:pPr>
      <w:r>
        <w:br w:type="page"/>
      </w:r>
      <w:r>
        <w:rPr>
          <w:rFonts w:hint="eastAsia"/>
          <w:b/>
          <w:bCs/>
          <w:sz w:val="32"/>
          <w:szCs w:val="32"/>
        </w:rPr>
        <w:t>附件2</w:t>
      </w:r>
    </w:p>
    <w:p>
      <w:pPr>
        <w:jc w:val="center"/>
        <w:rPr>
          <w:b/>
          <w:bCs/>
          <w:sz w:val="32"/>
          <w:szCs w:val="32"/>
        </w:rPr>
      </w:pPr>
      <w:r>
        <w:rPr>
          <w:rFonts w:hint="eastAsia"/>
          <w:b/>
          <w:bCs/>
          <w:sz w:val="32"/>
          <w:szCs w:val="32"/>
        </w:rPr>
        <w:t>项目经理良好信用信息采集项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3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09" w:type="dxa"/>
            <w:vAlign w:val="center"/>
          </w:tcPr>
          <w:p>
            <w:pPr>
              <w:spacing w:line="460" w:lineRule="exact"/>
              <w:jc w:val="center"/>
              <w:rPr>
                <w:rFonts w:ascii="宋体" w:hAnsi="宋体"/>
                <w:sz w:val="24"/>
                <w:szCs w:val="24"/>
              </w:rPr>
            </w:pPr>
            <w:r>
              <w:rPr>
                <w:rFonts w:hint="eastAsia" w:ascii="宋体" w:hAnsi="宋体"/>
                <w:sz w:val="24"/>
                <w:szCs w:val="24"/>
              </w:rPr>
              <w:t>信用类别</w:t>
            </w:r>
          </w:p>
        </w:tc>
        <w:tc>
          <w:tcPr>
            <w:tcW w:w="6379" w:type="dxa"/>
            <w:vAlign w:val="center"/>
          </w:tcPr>
          <w:p>
            <w:pPr>
              <w:spacing w:line="460" w:lineRule="exact"/>
              <w:jc w:val="center"/>
              <w:rPr>
                <w:rFonts w:ascii="宋体" w:hAnsi="宋体"/>
                <w:sz w:val="24"/>
                <w:szCs w:val="24"/>
              </w:rPr>
            </w:pPr>
            <w:r>
              <w:rPr>
                <w:rFonts w:hint="eastAsia" w:ascii="宋体" w:hAnsi="宋体"/>
                <w:sz w:val="24"/>
                <w:szCs w:val="24"/>
              </w:rPr>
              <w:t>良好信用</w:t>
            </w:r>
          </w:p>
        </w:tc>
        <w:tc>
          <w:tcPr>
            <w:tcW w:w="1134" w:type="dxa"/>
            <w:vAlign w:val="center"/>
          </w:tcPr>
          <w:p>
            <w:pPr>
              <w:spacing w:line="460" w:lineRule="exact"/>
              <w:jc w:val="center"/>
              <w:rPr>
                <w:rFonts w:ascii="宋体" w:hAnsi="宋体"/>
                <w:sz w:val="24"/>
                <w:szCs w:val="24"/>
              </w:rPr>
            </w:pPr>
            <w:r>
              <w:rPr>
                <w:rFonts w:hint="eastAsia" w:ascii="宋体" w:hAnsi="宋体"/>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vAlign w:val="center"/>
          </w:tcPr>
          <w:p>
            <w:pPr>
              <w:spacing w:line="460" w:lineRule="exact"/>
              <w:jc w:val="center"/>
              <w:rPr>
                <w:rFonts w:ascii="宋体" w:hAnsi="宋体"/>
                <w:sz w:val="24"/>
                <w:szCs w:val="24"/>
              </w:rPr>
            </w:pPr>
            <w:r>
              <w:rPr>
                <w:rFonts w:hint="eastAsia" w:ascii="宋体" w:hAnsi="宋体"/>
                <w:sz w:val="24"/>
                <w:szCs w:val="24"/>
              </w:rPr>
              <w:t>奖励荣誉</w:t>
            </w:r>
          </w:p>
        </w:tc>
        <w:tc>
          <w:tcPr>
            <w:tcW w:w="6379" w:type="dxa"/>
          </w:tcPr>
          <w:p>
            <w:pPr>
              <w:widowControl/>
              <w:spacing w:line="420" w:lineRule="exact"/>
              <w:jc w:val="left"/>
              <w:rPr>
                <w:rFonts w:ascii="宋体" w:hAnsi="宋体" w:cs="宋体"/>
                <w:kern w:val="0"/>
                <w:sz w:val="24"/>
                <w:szCs w:val="24"/>
              </w:rPr>
            </w:pPr>
            <w:r>
              <w:rPr>
                <w:rFonts w:ascii="宋体" w:hAnsi="宋体" w:cs="宋体"/>
                <w:kern w:val="0"/>
                <w:sz w:val="24"/>
                <w:szCs w:val="24"/>
              </w:rPr>
              <w:t>国家级奖项</w:t>
            </w:r>
            <w:r>
              <w:rPr>
                <w:rFonts w:hint="eastAsia" w:ascii="宋体" w:hAnsi="宋体" w:cs="宋体"/>
                <w:kern w:val="0"/>
                <w:sz w:val="24"/>
                <w:szCs w:val="24"/>
              </w:rPr>
              <w:t>/</w:t>
            </w:r>
            <w:r>
              <w:rPr>
                <w:rFonts w:ascii="宋体" w:hAnsi="宋体" w:cs="宋体"/>
                <w:kern w:val="0"/>
                <w:sz w:val="24"/>
                <w:szCs w:val="24"/>
              </w:rPr>
              <w:t>荣誉(包括鲁班奖、詹天佑奖、梁思成奖、华夏建设科学技术奖、绿色建筑创新奖、全国建筑工程装饰奖、中国建筑工程“钢结构金奖”、工程项目管理优秀奖、工程总承包奖等)、国家AAA级安全文明工地奖</w:t>
            </w:r>
            <w:r>
              <w:rPr>
                <w:rFonts w:hint="eastAsia" w:ascii="宋体" w:hAnsi="宋体" w:cs="宋体"/>
                <w:kern w:val="0"/>
                <w:sz w:val="24"/>
                <w:szCs w:val="24"/>
              </w:rPr>
              <w:t>。</w:t>
            </w:r>
          </w:p>
        </w:tc>
        <w:tc>
          <w:tcPr>
            <w:tcW w:w="1134" w:type="dxa"/>
          </w:tcPr>
          <w:p>
            <w:pPr>
              <w:spacing w:line="460" w:lineRule="exact"/>
              <w:jc w:val="center"/>
              <w:rPr>
                <w:rFonts w:ascii="宋体" w:hAnsi="宋体"/>
                <w:sz w:val="24"/>
                <w:szCs w:val="24"/>
              </w:rP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省部级奖项/荣誉(中州杯等)、省安全文明标准化工地奖。</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vAlign w:val="center"/>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市级奖项/荣誉(商鼎杯等)、安全文明标准化工地奖。</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restart"/>
            <w:vAlign w:val="center"/>
          </w:tcPr>
          <w:p>
            <w:pPr>
              <w:spacing w:line="460" w:lineRule="exact"/>
              <w:jc w:val="center"/>
              <w:rPr>
                <w:rFonts w:ascii="宋体" w:hAnsi="宋体"/>
                <w:sz w:val="24"/>
                <w:szCs w:val="24"/>
              </w:rPr>
            </w:pPr>
            <w:r>
              <w:rPr>
                <w:rFonts w:hint="eastAsia" w:ascii="宋体" w:hAnsi="宋体"/>
                <w:sz w:val="24"/>
                <w:szCs w:val="24"/>
              </w:rPr>
              <w:t>科技创新</w:t>
            </w:r>
          </w:p>
          <w:p>
            <w:pPr>
              <w:spacing w:line="460" w:lineRule="exact"/>
              <w:jc w:val="center"/>
              <w:rPr>
                <w:rFonts w:ascii="宋体" w:hAnsi="宋体"/>
                <w:sz w:val="24"/>
                <w:szCs w:val="24"/>
              </w:rPr>
            </w:pPr>
            <w:r>
              <w:rPr>
                <w:rFonts w:hint="eastAsia" w:ascii="宋体" w:hAnsi="宋体"/>
                <w:sz w:val="24"/>
                <w:szCs w:val="24"/>
              </w:rPr>
              <w:t>（建筑类）</w:t>
            </w:r>
          </w:p>
        </w:tc>
        <w:tc>
          <w:tcPr>
            <w:tcW w:w="6379" w:type="dxa"/>
          </w:tcPr>
          <w:p>
            <w:pPr>
              <w:spacing w:line="460" w:lineRule="exact"/>
              <w:jc w:val="left"/>
              <w:rPr>
                <w:rFonts w:ascii="宋体" w:hAnsi="宋体"/>
                <w:sz w:val="24"/>
                <w:szCs w:val="24"/>
              </w:rPr>
            </w:pPr>
            <w:r>
              <w:rPr>
                <w:rFonts w:hint="eastAsia" w:ascii="宋体" w:hAnsi="宋体"/>
                <w:sz w:val="24"/>
                <w:szCs w:val="24"/>
              </w:rPr>
              <w:t>发明专利，包括发明型专利、实用新型专利。</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460" w:lineRule="exact"/>
              <w:jc w:val="center"/>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参与工法编制，包括国家级和省部级。</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460" w:lineRule="exact"/>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参与工程建设标准、定额制定，包括国家或行业标准、定额地方(省级)标准、定额。</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Merge w:val="continue"/>
          </w:tcPr>
          <w:p>
            <w:pPr>
              <w:spacing w:line="460" w:lineRule="exact"/>
              <w:rPr>
                <w:rFonts w:ascii="宋体" w:hAnsi="宋体"/>
                <w:sz w:val="24"/>
                <w:szCs w:val="24"/>
              </w:rPr>
            </w:pPr>
          </w:p>
        </w:tc>
        <w:tc>
          <w:tcPr>
            <w:tcW w:w="6379" w:type="dxa"/>
          </w:tcPr>
          <w:p>
            <w:pPr>
              <w:spacing w:line="460" w:lineRule="exact"/>
              <w:jc w:val="left"/>
              <w:rPr>
                <w:rFonts w:ascii="宋体" w:hAnsi="宋体"/>
                <w:sz w:val="24"/>
                <w:szCs w:val="24"/>
              </w:rPr>
            </w:pPr>
            <w:r>
              <w:rPr>
                <w:rFonts w:hint="eastAsia" w:ascii="宋体" w:hAnsi="宋体"/>
                <w:sz w:val="24"/>
                <w:szCs w:val="24"/>
              </w:rPr>
              <w:t>个人获得科技进步奖，包括国家级科技进步奖一等奖、二等奖，省级科技进步奖一等奖、二等奖、厅级科技进步奖等。</w:t>
            </w:r>
          </w:p>
        </w:tc>
        <w:tc>
          <w:tcPr>
            <w:tcW w:w="1134" w:type="dxa"/>
            <w:vAlign w:val="center"/>
          </w:tcPr>
          <w:p>
            <w:pPr>
              <w:jc w:val="center"/>
            </w:pPr>
            <w:r>
              <w:rPr>
                <w:rFonts w:ascii="宋体" w:hAnsi="宋体"/>
                <w:sz w:val="24"/>
                <w:szCs w:val="24"/>
              </w:rPr>
              <w:t>3</w:t>
            </w:r>
            <w:r>
              <w:rPr>
                <w:rFonts w:hint="eastAsia" w:ascii="宋体" w:hAnsi="宋体"/>
                <w:sz w:val="24"/>
                <w:szCs w:val="24"/>
              </w:rPr>
              <w:t>年</w:t>
            </w:r>
          </w:p>
        </w:tc>
      </w:tr>
    </w:tbl>
    <w:p/>
    <w:p>
      <w:pPr>
        <w:spacing w:line="460" w:lineRule="exact"/>
        <w:ind w:firstLine="482" w:firstLineChars="200"/>
        <w:contextualSpacing/>
        <w:jc w:val="center"/>
        <w:rPr>
          <w:b/>
          <w:bCs/>
          <w:kern w:val="0"/>
          <w:sz w:val="36"/>
          <w:szCs w:val="36"/>
        </w:rPr>
      </w:pPr>
      <w:bookmarkStart w:id="321" w:name="_Toc26486"/>
      <w:bookmarkEnd w:id="321"/>
      <w:r>
        <w:rPr>
          <w:rFonts w:hint="eastAsia"/>
          <w:b/>
          <w:bCs/>
          <w:kern w:val="0"/>
          <w:sz w:val="24"/>
          <w:szCs w:val="24"/>
        </w:rPr>
        <w:br w:type="page"/>
      </w:r>
      <w:r>
        <w:rPr>
          <w:rFonts w:hint="eastAsia" w:ascii="宋体" w:hAnsi="宋体"/>
          <w:b/>
          <w:bCs/>
          <w:kern w:val="0"/>
          <w:sz w:val="36"/>
          <w:szCs w:val="36"/>
        </w:rPr>
        <w:t>第四章合同条款及格式</w:t>
      </w:r>
    </w:p>
    <w:p>
      <w:pPr>
        <w:jc w:val="right"/>
        <w:rPr>
          <w:rFonts w:ascii="宋体" w:hAnsi="宋体"/>
          <w:color w:val="000000"/>
          <w:sz w:val="32"/>
          <w:szCs w:val="32"/>
        </w:rPr>
      </w:pPr>
      <w:r>
        <w:rPr>
          <w:rFonts w:hint="eastAsia" w:ascii="宋体" w:hAnsi="宋体"/>
          <w:color w:val="000000"/>
          <w:sz w:val="32"/>
          <w:szCs w:val="32"/>
        </w:rPr>
        <w:t>（GF—2017—0201）</w:t>
      </w:r>
    </w:p>
    <w:p>
      <w:pPr>
        <w:rPr>
          <w:rFonts w:ascii="宋体" w:hAnsi="宋体"/>
          <w:b/>
          <w:bCs/>
          <w:color w:val="000000"/>
        </w:rPr>
      </w:pPr>
    </w:p>
    <w:p>
      <w:pPr>
        <w:jc w:val="center"/>
        <w:rPr>
          <w:rFonts w:eastAsia="华文中宋"/>
          <w:b/>
          <w:bCs/>
          <w:color w:val="000000"/>
          <w:sz w:val="52"/>
          <w:szCs w:val="52"/>
        </w:rPr>
      </w:pPr>
    </w:p>
    <w:p>
      <w:pPr>
        <w:jc w:val="center"/>
        <w:rPr>
          <w:rFonts w:eastAsia="华文中宋"/>
          <w:b/>
          <w:bCs/>
          <w:color w:val="000000"/>
          <w:sz w:val="52"/>
          <w:szCs w:val="52"/>
        </w:rPr>
      </w:pPr>
      <w:r>
        <w:rPr>
          <w:rFonts w:ascii="华文中宋" w:hAnsi="华文中宋" w:eastAsia="华文中宋"/>
          <w:b/>
          <w:bCs/>
          <w:color w:val="000000"/>
          <w:sz w:val="72"/>
          <w:szCs w:val="72"/>
        </w:rPr>
        <w:t>建设工程施工合同</w:t>
      </w:r>
      <w:r>
        <w:rPr>
          <w:rFonts w:eastAsia="华文中宋"/>
          <w:b/>
          <w:bCs/>
          <w:color w:val="000000"/>
          <w:sz w:val="52"/>
          <w:szCs w:val="52"/>
        </w:rPr>
        <w:br w:type="textWrapping"/>
      </w:r>
      <w:r>
        <w:rPr>
          <w:rFonts w:ascii="华文中宋" w:hAnsi="华文中宋" w:eastAsia="华文中宋"/>
          <w:b/>
          <w:bCs/>
          <w:color w:val="000000"/>
          <w:sz w:val="52"/>
          <w:szCs w:val="52"/>
        </w:rPr>
        <w:t>（示范文本）</w:t>
      </w:r>
    </w:p>
    <w:p>
      <w:pPr>
        <w:jc w:val="center"/>
        <w:rPr>
          <w:rFonts w:eastAsia="华文中宋"/>
          <w:b/>
          <w:bCs/>
          <w:color w:val="000000"/>
          <w:sz w:val="52"/>
          <w:szCs w:val="52"/>
        </w:rPr>
      </w:pPr>
    </w:p>
    <w:p>
      <w:pPr>
        <w:jc w:val="center"/>
        <w:rPr>
          <w:rFonts w:eastAsia="黑体"/>
          <w:b/>
          <w:bCs/>
          <w:color w:val="000000"/>
          <w:sz w:val="72"/>
          <w:szCs w:val="72"/>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ind w:right="2719" w:rightChars="1295"/>
        <w:jc w:val="center"/>
        <w:rPr>
          <w:b/>
          <w:bCs/>
          <w:color w:val="000000"/>
          <w:sz w:val="32"/>
          <w:szCs w:val="32"/>
        </w:rPr>
      </w:pPr>
      <w:r>
        <w:drawing>
          <wp:anchor distT="0" distB="0" distL="114300" distR="114300" simplePos="0" relativeHeight="251659264" behindDoc="0" locked="0" layoutInCell="1" allowOverlap="1">
            <wp:simplePos x="0" y="0"/>
            <wp:positionH relativeFrom="column">
              <wp:posOffset>3857625</wp:posOffset>
            </wp:positionH>
            <wp:positionV relativeFrom="paragraph">
              <wp:posOffset>96520</wp:posOffset>
            </wp:positionV>
            <wp:extent cx="733425" cy="466725"/>
            <wp:effectExtent l="0" t="0" r="9525" b="9525"/>
            <wp:wrapSquare wrapText="bothSides"/>
            <wp:docPr id="2" name="图片 1" descr="wpsCC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CC8A"/>
                    <pic:cNvPicPr>
                      <a:picLocks noChangeAspect="1"/>
                    </pic:cNvPicPr>
                  </pic:nvPicPr>
                  <pic:blipFill>
                    <a:blip r:embed="rId6"/>
                    <a:stretch>
                      <a:fillRect/>
                    </a:stretch>
                  </pic:blipFill>
                  <pic:spPr>
                    <a:xfrm>
                      <a:off x="0" y="0"/>
                      <a:ext cx="733425" cy="466725"/>
                    </a:xfrm>
                    <a:prstGeom prst="rect">
                      <a:avLst/>
                    </a:prstGeom>
                    <a:noFill/>
                    <a:ln>
                      <a:noFill/>
                    </a:ln>
                  </pic:spPr>
                </pic:pic>
              </a:graphicData>
            </a:graphic>
          </wp:anchor>
        </w:drawing>
      </w:r>
      <w:r>
        <w:rPr>
          <w:rFonts w:ascii="宋体" w:hAnsi="宋体"/>
          <w:b/>
          <w:bCs/>
          <w:color w:val="000000"/>
          <w:sz w:val="32"/>
          <w:szCs w:val="32"/>
        </w:rPr>
        <w:t>住房城乡建设部</w:t>
      </w:r>
    </w:p>
    <w:p>
      <w:pPr>
        <w:ind w:right="2719" w:rightChars="1295"/>
        <w:jc w:val="center"/>
        <w:rPr>
          <w:b/>
          <w:bCs/>
          <w:color w:val="000000"/>
          <w:sz w:val="32"/>
          <w:szCs w:val="32"/>
        </w:rPr>
      </w:pPr>
      <w:r>
        <w:rPr>
          <w:rFonts w:ascii="宋体" w:hAnsi="宋体"/>
          <w:b/>
          <w:bCs/>
          <w:color w:val="000000"/>
          <w:sz w:val="32"/>
          <w:szCs w:val="32"/>
        </w:rPr>
        <w:t>国家工商行政管理总局</w:t>
      </w:r>
    </w:p>
    <w:p>
      <w:pPr>
        <w:autoSpaceDE w:val="0"/>
        <w:autoSpaceDN w:val="0"/>
        <w:adjustRightInd w:val="0"/>
        <w:spacing w:after="156" w:afterLines="50"/>
        <w:jc w:val="center"/>
        <w:outlineLvl w:val="0"/>
        <w:rPr>
          <w:b/>
          <w:bCs/>
          <w:kern w:val="0"/>
          <w:sz w:val="36"/>
          <w:szCs w:val="36"/>
        </w:rPr>
      </w:pPr>
      <w:bookmarkStart w:id="322" w:name="_Toc464824784"/>
      <w:bookmarkEnd w:id="322"/>
      <w:bookmarkStart w:id="323" w:name="_Toc397606011"/>
      <w:bookmarkEnd w:id="323"/>
      <w:bookmarkStart w:id="324" w:name="_Toc397507815"/>
      <w:r>
        <w:rPr>
          <w:b/>
          <w:bCs/>
          <w:kern w:val="0"/>
          <w:sz w:val="36"/>
          <w:szCs w:val="36"/>
        </w:rPr>
        <w:br w:type="page"/>
      </w:r>
      <w:bookmarkEnd w:id="324"/>
      <w:bookmarkStart w:id="325" w:name="_Toc8159"/>
      <w:bookmarkEnd w:id="325"/>
      <w:r>
        <w:rPr>
          <w:rFonts w:hint="eastAsia" w:ascii="宋体" w:hAnsi="宋体"/>
          <w:b/>
          <w:bCs/>
          <w:kern w:val="0"/>
          <w:sz w:val="36"/>
          <w:szCs w:val="36"/>
        </w:rPr>
        <w:t>第五章工程量清单</w:t>
      </w:r>
      <w:bookmarkStart w:id="326" w:name="_Toc213230750"/>
      <w:bookmarkEnd w:id="326"/>
    </w:p>
    <w:p>
      <w:pPr>
        <w:autoSpaceDE w:val="0"/>
        <w:autoSpaceDN w:val="0"/>
        <w:adjustRightInd w:val="0"/>
        <w:spacing w:line="460" w:lineRule="exact"/>
        <w:jc w:val="left"/>
        <w:outlineLvl w:val="0"/>
        <w:rPr>
          <w:rFonts w:ascii="宋体" w:hAnsi="宋体" w:cs="TimesNewRomanPSMT"/>
          <w:b/>
          <w:bCs/>
          <w:kern w:val="0"/>
          <w:sz w:val="24"/>
          <w:szCs w:val="24"/>
        </w:rPr>
      </w:pPr>
      <w:bookmarkStart w:id="327" w:name="_Toc464824785"/>
      <w:bookmarkEnd w:id="327"/>
      <w:bookmarkStart w:id="328" w:name="_Toc397606012"/>
      <w:bookmarkEnd w:id="328"/>
      <w:bookmarkStart w:id="329" w:name="_Toc397508143"/>
      <w:bookmarkEnd w:id="329"/>
      <w:bookmarkStart w:id="330" w:name="_Toc344934500"/>
      <w:bookmarkEnd w:id="330"/>
      <w:bookmarkStart w:id="331" w:name="_Toc215282225"/>
      <w:bookmarkEnd w:id="331"/>
      <w:bookmarkStart w:id="332" w:name="_Toc397507816"/>
      <w:bookmarkEnd w:id="332"/>
      <w:bookmarkStart w:id="333" w:name="_Toc1952"/>
      <w:r>
        <w:rPr>
          <w:rFonts w:hint="eastAsia" w:ascii="宋体" w:hAnsi="宋体" w:cs="TimesNewRomanPSMT"/>
          <w:b/>
          <w:bCs/>
          <w:kern w:val="0"/>
          <w:sz w:val="24"/>
          <w:szCs w:val="24"/>
        </w:rPr>
        <w:t xml:space="preserve">1. </w:t>
      </w:r>
      <w:bookmarkEnd w:id="333"/>
      <w:r>
        <w:rPr>
          <w:rFonts w:hint="eastAsia" w:ascii="宋体" w:hAnsi="宋体" w:cs="TimesNewRomanPSMT"/>
          <w:b/>
          <w:bCs/>
          <w:kern w:val="0"/>
          <w:sz w:val="24"/>
          <w:szCs w:val="24"/>
        </w:rPr>
        <w:t>工程量清单说明</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1.1 </w:t>
      </w:r>
      <w:r>
        <w:rPr>
          <w:rFonts w:hint="eastAsia" w:ascii="宋体" w:hAnsi="宋体" w:cs="仿宋_GB2312"/>
          <w:kern w:val="0"/>
          <w:sz w:val="24"/>
          <w:szCs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1.2 </w:t>
      </w:r>
      <w:r>
        <w:rPr>
          <w:rFonts w:hint="eastAsia" w:ascii="宋体" w:hAnsi="宋体" w:cs="仿宋_GB2312"/>
          <w:kern w:val="0"/>
          <w:sz w:val="24"/>
          <w:szCs w:val="24"/>
        </w:rPr>
        <w:t>本工程量清单应与招标文件中的投标人须知、通用合同条款、专用合同条款、技术标准和要求及图纸等一起阅读和理解。</w:t>
      </w:r>
    </w:p>
    <w:p>
      <w:pPr>
        <w:autoSpaceDE w:val="0"/>
        <w:autoSpaceDN w:val="0"/>
        <w:adjustRightInd w:val="0"/>
        <w:spacing w:line="460" w:lineRule="exact"/>
        <w:ind w:firstLine="410" w:firstLineChars="171"/>
        <w:jc w:val="left"/>
        <w:rPr>
          <w:rFonts w:ascii="宋体" w:hAnsi="宋体" w:cs="仿宋_GB2312"/>
          <w:kern w:val="0"/>
          <w:sz w:val="24"/>
          <w:szCs w:val="24"/>
        </w:rPr>
      </w:pPr>
      <w:r>
        <w:rPr>
          <w:rFonts w:hint="eastAsia" w:ascii="宋体" w:hAnsi="宋体" w:cs="TimesNewRomanPSMT"/>
          <w:kern w:val="0"/>
          <w:sz w:val="24"/>
          <w:szCs w:val="24"/>
        </w:rPr>
        <w:t xml:space="preserve">1.3 </w:t>
      </w:r>
      <w:r>
        <w:rPr>
          <w:rFonts w:hint="eastAsia" w:ascii="宋体" w:hAnsi="宋体" w:cs="仿宋_GB2312"/>
          <w:kern w:val="0"/>
          <w:sz w:val="24"/>
          <w:szCs w:val="24"/>
        </w:rPr>
        <w:t>本工程量清单仅是投标报价的共同基础，实际工程计量和工程价款的支付应遵循合同条款的约定和第六章“技术标准和要求”的有关规定。</w:t>
      </w:r>
    </w:p>
    <w:p>
      <w:pPr>
        <w:autoSpaceDE w:val="0"/>
        <w:autoSpaceDN w:val="0"/>
        <w:adjustRightInd w:val="0"/>
        <w:spacing w:line="460" w:lineRule="exact"/>
        <w:jc w:val="left"/>
        <w:outlineLvl w:val="0"/>
        <w:rPr>
          <w:rFonts w:ascii="宋体" w:hAnsi="宋体"/>
          <w:sz w:val="24"/>
          <w:szCs w:val="24"/>
        </w:rPr>
      </w:pPr>
      <w:r>
        <w:rPr>
          <w:rFonts w:ascii="宋体" w:hAnsi="宋体" w:cs="TimesNewRomanPSMT"/>
          <w:b/>
          <w:bCs/>
          <w:kern w:val="0"/>
          <w:sz w:val="24"/>
          <w:szCs w:val="24"/>
        </w:rPr>
        <w:t>2</w:t>
      </w:r>
      <w:r>
        <w:rPr>
          <w:rFonts w:hint="eastAsia" w:ascii="宋体" w:hAnsi="宋体" w:cs="TimesNewRomanPSMT"/>
          <w:b/>
          <w:bCs/>
          <w:kern w:val="0"/>
          <w:sz w:val="24"/>
          <w:szCs w:val="24"/>
        </w:rPr>
        <w:t>.投标报价依据说明</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1依据建设单位提供的施工图纸；</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2清单依据《建设工程工程量清单计价规范》（2013）；</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3定额依据《河南省市政工程预算定额》（H</w:t>
      </w:r>
      <w:r>
        <w:rPr>
          <w:rFonts w:ascii="宋体" w:hAnsi="宋体"/>
          <w:sz w:val="24"/>
          <w:szCs w:val="24"/>
        </w:rPr>
        <w:t>A</w:t>
      </w:r>
      <w:r>
        <w:rPr>
          <w:rFonts w:hint="eastAsia" w:ascii="宋体" w:hAnsi="宋体"/>
          <w:sz w:val="24"/>
          <w:szCs w:val="24"/>
        </w:rPr>
        <w:t xml:space="preserve"> A1-</w:t>
      </w:r>
      <w:r>
        <w:rPr>
          <w:rFonts w:ascii="宋体" w:hAnsi="宋体"/>
          <w:sz w:val="24"/>
          <w:szCs w:val="24"/>
        </w:rPr>
        <w:t>31-2016</w:t>
      </w:r>
      <w:r>
        <w:rPr>
          <w:rFonts w:hint="eastAsia" w:ascii="宋体" w:hAnsi="宋体"/>
          <w:sz w:val="24"/>
          <w:szCs w:val="24"/>
        </w:rPr>
        <w:t>）及配套的相关文件的规定；</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4材料价格依据2020年第二期《许昌工程造价信息》,未包含的材料价格参考市场价；</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5税金根据建办标函【2019】193号文件，按</w:t>
      </w:r>
      <w:r>
        <w:rPr>
          <w:rFonts w:ascii="宋体" w:hAnsi="宋体"/>
          <w:sz w:val="24"/>
          <w:szCs w:val="24"/>
        </w:rPr>
        <w:t>9</w:t>
      </w:r>
      <w:r>
        <w:rPr>
          <w:rFonts w:hint="eastAsia" w:ascii="宋体" w:hAnsi="宋体"/>
          <w:sz w:val="24"/>
          <w:szCs w:val="24"/>
        </w:rPr>
        <w:t>%计入；</w:t>
      </w:r>
    </w:p>
    <w:p>
      <w:pPr>
        <w:spacing w:line="4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6人工费依据按豫建安标定【201</w:t>
      </w:r>
      <w:r>
        <w:rPr>
          <w:rFonts w:ascii="宋体" w:hAnsi="宋体"/>
          <w:sz w:val="24"/>
          <w:szCs w:val="24"/>
        </w:rPr>
        <w:t>9</w:t>
      </w:r>
      <w:r>
        <w:rPr>
          <w:rFonts w:hint="eastAsia" w:ascii="宋体" w:hAnsi="宋体"/>
          <w:sz w:val="24"/>
          <w:szCs w:val="24"/>
        </w:rPr>
        <w:t>】</w:t>
      </w:r>
      <w:r>
        <w:rPr>
          <w:rFonts w:ascii="宋体" w:hAnsi="宋体"/>
          <w:sz w:val="24"/>
          <w:szCs w:val="24"/>
        </w:rPr>
        <w:t>50</w:t>
      </w:r>
      <w:r>
        <w:rPr>
          <w:rFonts w:hint="eastAsia" w:ascii="宋体" w:hAnsi="宋体"/>
          <w:sz w:val="24"/>
          <w:szCs w:val="24"/>
        </w:rPr>
        <w:t>号文发布的人工费指数进行调整。</w:t>
      </w:r>
    </w:p>
    <w:p>
      <w:pPr>
        <w:autoSpaceDE w:val="0"/>
        <w:autoSpaceDN w:val="0"/>
        <w:adjustRightInd w:val="0"/>
        <w:spacing w:line="460" w:lineRule="exact"/>
        <w:jc w:val="left"/>
        <w:outlineLvl w:val="0"/>
        <w:rPr>
          <w:rFonts w:ascii="宋体" w:hAnsi="宋体"/>
          <w:color w:val="000000"/>
          <w:sz w:val="24"/>
          <w:szCs w:val="24"/>
        </w:rPr>
      </w:pPr>
      <w:r>
        <w:rPr>
          <w:rFonts w:ascii="宋体" w:hAnsi="宋体" w:cs="TimesNewRomanPSMT"/>
          <w:b/>
          <w:bCs/>
          <w:color w:val="000000"/>
          <w:kern w:val="0"/>
          <w:sz w:val="24"/>
          <w:szCs w:val="24"/>
        </w:rPr>
        <w:t>3</w:t>
      </w:r>
      <w:r>
        <w:rPr>
          <w:rFonts w:hint="eastAsia" w:ascii="宋体" w:hAnsi="宋体" w:cs="TimesNewRomanPSMT"/>
          <w:b/>
          <w:bCs/>
          <w:color w:val="000000"/>
          <w:kern w:val="0"/>
          <w:sz w:val="24"/>
          <w:szCs w:val="24"/>
        </w:rPr>
        <w:t>.投标人应当根据招标文件提供的商务标招标文件（工程量清单）、招标控制价、招标文件相关要求及有关规定编制投标报价。</w:t>
      </w:r>
    </w:p>
    <w:p>
      <w:pPr>
        <w:autoSpaceDE w:val="0"/>
        <w:autoSpaceDN w:val="0"/>
        <w:adjustRightInd w:val="0"/>
        <w:spacing w:after="156" w:afterLines="50"/>
        <w:jc w:val="center"/>
        <w:outlineLvl w:val="0"/>
        <w:rPr>
          <w:b/>
          <w:bCs/>
          <w:kern w:val="0"/>
          <w:sz w:val="36"/>
          <w:szCs w:val="36"/>
        </w:rPr>
      </w:pPr>
      <w:bookmarkStart w:id="334" w:name="_Toc464824791"/>
      <w:bookmarkEnd w:id="334"/>
      <w:bookmarkStart w:id="335" w:name="_Toc397507820"/>
      <w:bookmarkEnd w:id="335"/>
      <w:bookmarkStart w:id="336" w:name="_Toc397606016"/>
      <w:bookmarkEnd w:id="336"/>
      <w:bookmarkStart w:id="337" w:name="_Toc464824788"/>
      <w:bookmarkEnd w:id="337"/>
      <w:bookmarkStart w:id="338" w:name="_Toc32164"/>
      <w:r>
        <w:rPr>
          <w:rFonts w:hint="eastAsia"/>
          <w:b/>
          <w:bCs/>
          <w:color w:val="FF0000"/>
          <w:kern w:val="0"/>
          <w:sz w:val="36"/>
          <w:szCs w:val="36"/>
        </w:rPr>
        <w:br w:type="page"/>
      </w:r>
      <w:bookmarkEnd w:id="338"/>
      <w:r>
        <w:rPr>
          <w:rFonts w:hint="eastAsia" w:ascii="宋体" w:hAnsi="宋体"/>
          <w:b/>
          <w:bCs/>
          <w:kern w:val="0"/>
          <w:sz w:val="36"/>
          <w:szCs w:val="36"/>
        </w:rPr>
        <w:t>第六章</w:t>
      </w:r>
      <w:bookmarkStart w:id="339" w:name="_Toc278443522"/>
      <w:bookmarkEnd w:id="339"/>
      <w:r>
        <w:rPr>
          <w:rFonts w:hint="eastAsia" w:ascii="宋体" w:hAnsi="宋体"/>
          <w:b/>
          <w:bCs/>
          <w:kern w:val="0"/>
          <w:sz w:val="36"/>
          <w:szCs w:val="36"/>
        </w:rPr>
        <w:t>技术标准和要求</w:t>
      </w:r>
    </w:p>
    <w:p>
      <w:pPr>
        <w:ind w:firstLine="422" w:firstLineChars="200"/>
        <w:jc w:val="left"/>
        <w:rPr>
          <w:rFonts w:ascii="新宋体" w:hAnsi="新宋体" w:eastAsia="新宋体"/>
          <w:b/>
          <w:bCs/>
        </w:rPr>
      </w:pPr>
      <w:bookmarkStart w:id="340" w:name="_Toc278443525"/>
      <w:bookmarkEnd w:id="340"/>
      <w:r>
        <w:rPr>
          <w:rFonts w:hint="eastAsia" w:ascii="新宋体" w:hAnsi="新宋体" w:eastAsia="新宋体"/>
          <w:b/>
          <w:bCs/>
        </w:rPr>
        <w:t>本工程技术标准和要求以本工程施工图纸和适用的国家、行业以及地方规范、标准和规程为准。</w:t>
      </w:r>
    </w:p>
    <w:p>
      <w:pPr>
        <w:ind w:firstLine="413" w:firstLineChars="196"/>
        <w:jc w:val="left"/>
        <w:rPr>
          <w:rFonts w:ascii="新宋体" w:hAnsi="新宋体" w:eastAsia="新宋体"/>
        </w:rPr>
      </w:pPr>
      <w:r>
        <w:rPr>
          <w:rFonts w:hint="eastAsia" w:ascii="新宋体" w:hAnsi="新宋体" w:eastAsia="新宋体"/>
          <w:b/>
          <w:bCs/>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pPr>
        <w:ind w:firstLine="422" w:firstLineChars="200"/>
        <w:jc w:val="left"/>
        <w:rPr>
          <w:rFonts w:ascii="新宋体" w:hAnsi="新宋体" w:eastAsia="新宋体"/>
          <w:b/>
          <w:bCs/>
        </w:rPr>
      </w:pPr>
    </w:p>
    <w:p>
      <w:pPr>
        <w:ind w:firstLine="422" w:firstLineChars="200"/>
        <w:jc w:val="left"/>
        <w:rPr>
          <w:rFonts w:ascii="新宋体" w:hAnsi="新宋体" w:eastAsia="新宋体"/>
          <w:b/>
          <w:bCs/>
        </w:rPr>
      </w:pPr>
    </w:p>
    <w:p>
      <w:pPr>
        <w:ind w:firstLine="422" w:firstLineChars="200"/>
        <w:jc w:val="left"/>
        <w:rPr>
          <w:rFonts w:ascii="新宋体" w:hAnsi="新宋体" w:eastAsia="新宋体"/>
          <w:b/>
          <w:bCs/>
        </w:rPr>
      </w:pPr>
    </w:p>
    <w:p>
      <w:pPr>
        <w:pStyle w:val="2"/>
        <w:spacing w:line="240" w:lineRule="auto"/>
        <w:rPr>
          <w:kern w:val="0"/>
        </w:rPr>
      </w:pPr>
      <w:bookmarkStart w:id="341" w:name="_Toc397507821"/>
      <w:bookmarkEnd w:id="341"/>
      <w:bookmarkStart w:id="342" w:name="_Toc397606017"/>
      <w:bookmarkEnd w:id="342"/>
    </w:p>
    <w:p/>
    <w:p>
      <w:pPr>
        <w:autoSpaceDE w:val="0"/>
        <w:autoSpaceDN w:val="0"/>
        <w:adjustRightInd w:val="0"/>
        <w:spacing w:after="156" w:afterLines="50"/>
        <w:jc w:val="center"/>
        <w:outlineLvl w:val="0"/>
        <w:rPr>
          <w:b/>
          <w:bCs/>
          <w:kern w:val="0"/>
          <w:sz w:val="36"/>
          <w:szCs w:val="36"/>
        </w:rPr>
      </w:pPr>
      <w:r>
        <w:rPr>
          <w:b/>
          <w:bCs/>
          <w:kern w:val="0"/>
          <w:sz w:val="36"/>
          <w:szCs w:val="36"/>
        </w:rPr>
        <w:br w:type="page"/>
      </w:r>
      <w:bookmarkStart w:id="343" w:name="_Toc464824792"/>
      <w:bookmarkEnd w:id="343"/>
      <w:bookmarkStart w:id="344" w:name="_Toc7581"/>
      <w:r>
        <w:rPr>
          <w:rFonts w:hint="eastAsia" w:ascii="宋体" w:hAnsi="宋体"/>
          <w:b/>
          <w:bCs/>
          <w:kern w:val="0"/>
          <w:sz w:val="36"/>
          <w:szCs w:val="36"/>
        </w:rPr>
        <w:t>第七章</w:t>
      </w:r>
      <w:bookmarkEnd w:id="344"/>
      <w:r>
        <w:rPr>
          <w:rFonts w:hint="eastAsia" w:ascii="宋体" w:hAnsi="宋体"/>
          <w:b/>
          <w:bCs/>
          <w:kern w:val="0"/>
          <w:sz w:val="36"/>
          <w:szCs w:val="36"/>
        </w:rPr>
        <w:t>投标文件格式</w:t>
      </w:r>
    </w:p>
    <w:p>
      <w:pPr>
        <w:ind w:left="180"/>
        <w:rPr>
          <w:sz w:val="24"/>
          <w:szCs w:val="24"/>
        </w:rPr>
      </w:pPr>
    </w:p>
    <w:p>
      <w:pPr>
        <w:ind w:right="720" w:firstLine="885" w:firstLineChars="245"/>
        <w:rPr>
          <w:rFonts w:ascii="黑体" w:eastAsia="黑体"/>
          <w:b/>
          <w:bCs/>
          <w:sz w:val="36"/>
          <w:szCs w:val="36"/>
          <w:u w:val="single"/>
        </w:rPr>
      </w:pPr>
      <w:r>
        <w:rPr>
          <w:rFonts w:hint="eastAsia" w:ascii="黑体" w:eastAsia="黑体"/>
          <w:b/>
          <w:bCs/>
          <w:sz w:val="36"/>
          <w:szCs w:val="36"/>
          <w:u w:val="single"/>
        </w:rPr>
        <w:t xml:space="preserve">  (项目名称)                   </w:t>
      </w:r>
    </w:p>
    <w:p>
      <w:pPr>
        <w:rPr>
          <w:sz w:val="24"/>
          <w:szCs w:val="24"/>
        </w:rPr>
      </w:pPr>
    </w:p>
    <w:p>
      <w:pPr>
        <w:ind w:left="180"/>
        <w:rPr>
          <w:sz w:val="24"/>
          <w:szCs w:val="24"/>
        </w:rPr>
      </w:pPr>
    </w:p>
    <w:p>
      <w:pPr>
        <w:ind w:left="180"/>
        <w:jc w:val="center"/>
        <w:rPr>
          <w:rFonts w:ascii="黑体" w:eastAsia="黑体"/>
          <w:b/>
          <w:bCs/>
          <w:sz w:val="52"/>
          <w:szCs w:val="52"/>
        </w:rPr>
      </w:pPr>
      <w:r>
        <w:rPr>
          <w:rFonts w:hint="eastAsia" w:ascii="黑体" w:hAnsi="黑体" w:eastAsia="黑体"/>
          <w:b/>
          <w:bCs/>
          <w:sz w:val="52"/>
          <w:szCs w:val="52"/>
        </w:rPr>
        <w:t>投标文件</w:t>
      </w:r>
    </w:p>
    <w:p>
      <w:pPr>
        <w:jc w:val="center"/>
        <w:rPr>
          <w:rFonts w:ascii="宋体" w:hAnsi="宋体"/>
        </w:rPr>
      </w:pPr>
      <w:r>
        <w:rPr>
          <w:rFonts w:hint="eastAsia" w:ascii="宋体" w:hAnsi="宋体"/>
        </w:rPr>
        <w:t>项目编号：</w:t>
      </w:r>
    </w:p>
    <w:p>
      <w:pPr>
        <w:jc w:val="cente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商</w:t>
      </w:r>
    </w:p>
    <w:p>
      <w:pPr>
        <w:jc w:val="cente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务</w:t>
      </w:r>
    </w:p>
    <w:p>
      <w:pPr>
        <w:jc w:val="cente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标</w:t>
      </w:r>
    </w:p>
    <w:p>
      <w:pPr>
        <w:ind w:left="180"/>
        <w:rPr>
          <w:sz w:val="24"/>
          <w:szCs w:val="24"/>
        </w:rPr>
      </w:pPr>
    </w:p>
    <w:p>
      <w:pPr>
        <w:ind w:left="180"/>
        <w:rPr>
          <w:sz w:val="24"/>
          <w:szCs w:val="24"/>
        </w:rPr>
      </w:pPr>
    </w:p>
    <w:p>
      <w:pPr>
        <w:ind w:left="180"/>
        <w:jc w:val="center"/>
        <w:rPr>
          <w:rFonts w:ascii="黑体" w:eastAsia="黑体"/>
          <w:b/>
          <w:bCs/>
          <w:sz w:val="32"/>
          <w:szCs w:val="32"/>
        </w:rPr>
      </w:pPr>
      <w:r>
        <w:rPr>
          <w:rFonts w:hint="eastAsia" w:ascii="黑体" w:hAnsi="黑体" w:eastAsia="黑体"/>
          <w:b/>
          <w:bCs/>
          <w:sz w:val="32"/>
          <w:szCs w:val="32"/>
        </w:rPr>
        <w:t>投标人</w:t>
      </w:r>
      <w:r>
        <w:rPr>
          <w:rFonts w:hint="eastAsia" w:ascii="黑体" w:eastAsia="黑体"/>
          <w:b/>
          <w:bCs/>
          <w:sz w:val="32"/>
          <w:szCs w:val="32"/>
        </w:rPr>
        <w:t>:(盖单位章)</w:t>
      </w:r>
    </w:p>
    <w:p>
      <w:pPr>
        <w:ind w:left="180"/>
        <w:jc w:val="center"/>
        <w:rPr>
          <w:rFonts w:ascii="黑体" w:eastAsia="黑体"/>
          <w:b/>
          <w:bCs/>
          <w:sz w:val="32"/>
          <w:szCs w:val="32"/>
        </w:rPr>
      </w:pPr>
      <w:r>
        <w:rPr>
          <w:rFonts w:hint="eastAsia" w:ascii="黑体" w:hAnsi="黑体" w:eastAsia="黑体"/>
          <w:b/>
          <w:bCs/>
          <w:sz w:val="32"/>
          <w:szCs w:val="32"/>
        </w:rPr>
        <w:t>法定代表人或其委托代理人</w:t>
      </w:r>
      <w:r>
        <w:rPr>
          <w:rFonts w:hint="eastAsia" w:ascii="黑体" w:eastAsia="黑体"/>
          <w:b/>
          <w:bCs/>
          <w:sz w:val="32"/>
          <w:szCs w:val="32"/>
        </w:rPr>
        <w:t>:</w:t>
      </w:r>
      <w:r>
        <w:rPr>
          <w:rFonts w:hint="eastAsia" w:ascii="黑体" w:eastAsia="黑体"/>
          <w:b/>
          <w:bCs/>
          <w:sz w:val="28"/>
          <w:szCs w:val="28"/>
        </w:rPr>
        <w:t>(</w:t>
      </w:r>
      <w:r>
        <w:rPr>
          <w:rFonts w:hint="eastAsia" w:ascii="黑体" w:hAnsi="黑体" w:eastAsia="黑体"/>
          <w:b/>
          <w:bCs/>
          <w:sz w:val="32"/>
          <w:szCs w:val="32"/>
        </w:rPr>
        <w:t>签字或盖章</w:t>
      </w:r>
      <w:r>
        <w:rPr>
          <w:rFonts w:hint="eastAsia" w:ascii="黑体" w:eastAsia="黑体"/>
          <w:b/>
          <w:bCs/>
          <w:sz w:val="32"/>
          <w:szCs w:val="32"/>
        </w:rPr>
        <w:t>)</w:t>
      </w:r>
    </w:p>
    <w:p>
      <w:pPr>
        <w:ind w:left="180"/>
        <w:jc w:val="center"/>
        <w:rPr>
          <w:rFonts w:ascii="黑体" w:eastAsia="黑体"/>
          <w:b/>
          <w:bCs/>
          <w:sz w:val="32"/>
          <w:szCs w:val="32"/>
        </w:rPr>
      </w:pPr>
      <w:r>
        <w:rPr>
          <w:rFonts w:hint="eastAsia" w:ascii="黑体" w:hAnsi="黑体" w:eastAsia="黑体"/>
          <w:b/>
          <w:bCs/>
          <w:sz w:val="32"/>
          <w:szCs w:val="32"/>
        </w:rPr>
        <w:t>年月日</w:t>
      </w:r>
    </w:p>
    <w:p>
      <w:pPr>
        <w:ind w:left="180"/>
        <w:jc w:val="right"/>
        <w:rPr>
          <w:rFonts w:ascii="宋体"/>
          <w:sz w:val="24"/>
          <w:szCs w:val="24"/>
        </w:rPr>
      </w:pPr>
    </w:p>
    <w:p>
      <w:pPr>
        <w:autoSpaceDE w:val="0"/>
        <w:autoSpaceDN w:val="0"/>
        <w:adjustRightInd w:val="0"/>
        <w:ind w:firstLine="539" w:firstLineChars="257"/>
        <w:jc w:val="left"/>
        <w:rPr>
          <w:rFonts w:ascii="新宋体" w:hAnsi="新宋体" w:eastAsia="新宋体" w:cs="TimesNewRomanPSMT"/>
          <w:kern w:val="0"/>
        </w:rPr>
      </w:pPr>
    </w:p>
    <w:p>
      <w:pPr>
        <w:autoSpaceDE w:val="0"/>
        <w:autoSpaceDN w:val="0"/>
        <w:adjustRightInd w:val="0"/>
        <w:ind w:firstLine="3795" w:firstLineChars="1050"/>
        <w:jc w:val="left"/>
        <w:rPr>
          <w:rFonts w:ascii="宋体" w:hAnsi="宋体" w:cs="TimesNewRomanPSMT"/>
          <w:kern w:val="0"/>
          <w:sz w:val="36"/>
          <w:szCs w:val="36"/>
        </w:rPr>
      </w:pPr>
      <w:r>
        <w:rPr>
          <w:rFonts w:hint="eastAsia" w:ascii="宋体" w:hAnsi="宋体" w:cs="黑体"/>
          <w:b/>
          <w:bCs/>
          <w:kern w:val="0"/>
          <w:sz w:val="36"/>
          <w:szCs w:val="36"/>
        </w:rPr>
        <w:br w:type="page"/>
      </w:r>
      <w:r>
        <w:rPr>
          <w:rFonts w:hint="eastAsia" w:ascii="宋体" w:hAnsi="宋体" w:cs="黑体"/>
          <w:b/>
          <w:bCs/>
          <w:kern w:val="0"/>
          <w:sz w:val="36"/>
          <w:szCs w:val="36"/>
        </w:rPr>
        <w:t>目录</w:t>
      </w:r>
    </w:p>
    <w:p>
      <w:pPr>
        <w:autoSpaceDE w:val="0"/>
        <w:autoSpaceDN w:val="0"/>
        <w:adjustRightInd w:val="0"/>
        <w:jc w:val="center"/>
        <w:rPr>
          <w:rFonts w:ascii="宋体" w:hAnsi="宋体" w:cs="黑体"/>
          <w:kern w:val="0"/>
          <w:sz w:val="28"/>
          <w:szCs w:val="28"/>
        </w:rPr>
      </w:pPr>
    </w:p>
    <w:p>
      <w:pPr>
        <w:autoSpaceDE w:val="0"/>
        <w:autoSpaceDN w:val="0"/>
        <w:adjustRightInd w:val="0"/>
        <w:jc w:val="center"/>
        <w:rPr>
          <w:rFonts w:ascii="宋体" w:hAnsi="宋体" w:cs="黑体"/>
          <w:kern w:val="0"/>
          <w:sz w:val="28"/>
          <w:szCs w:val="28"/>
        </w:rPr>
      </w:pPr>
    </w:p>
    <w:p>
      <w:pPr>
        <w:autoSpaceDE w:val="0"/>
        <w:autoSpaceDN w:val="0"/>
        <w:adjustRightInd w:val="0"/>
        <w:ind w:firstLine="723" w:firstLineChars="300"/>
        <w:jc w:val="left"/>
        <w:rPr>
          <w:rFonts w:ascii="宋体" w:hAnsi="宋体" w:cs="仿宋_GB2312"/>
          <w:b/>
          <w:bCs/>
          <w:kern w:val="0"/>
          <w:sz w:val="24"/>
          <w:szCs w:val="24"/>
        </w:rPr>
      </w:pPr>
      <w:r>
        <w:rPr>
          <w:rFonts w:hint="eastAsia" w:ascii="宋体" w:hAnsi="宋体" w:cs="仿宋_GB2312"/>
          <w:b/>
          <w:bCs/>
          <w:kern w:val="0"/>
          <w:sz w:val="24"/>
          <w:szCs w:val="24"/>
        </w:rPr>
        <w:t>一、投标函</w:t>
      </w:r>
    </w:p>
    <w:p>
      <w:pPr>
        <w:autoSpaceDE w:val="0"/>
        <w:autoSpaceDN w:val="0"/>
        <w:adjustRightInd w:val="0"/>
        <w:ind w:firstLine="723" w:firstLineChars="300"/>
        <w:jc w:val="left"/>
        <w:rPr>
          <w:rFonts w:ascii="宋体" w:hAnsi="宋体" w:cs="仿宋_GB2312"/>
          <w:b/>
          <w:bCs/>
          <w:kern w:val="0"/>
          <w:sz w:val="24"/>
          <w:szCs w:val="24"/>
        </w:rPr>
      </w:pPr>
      <w:r>
        <w:rPr>
          <w:rFonts w:hint="eastAsia" w:ascii="宋体" w:hAnsi="宋体" w:cs="仿宋_GB2312"/>
          <w:b/>
          <w:bCs/>
          <w:kern w:val="0"/>
          <w:sz w:val="24"/>
          <w:szCs w:val="24"/>
        </w:rPr>
        <w:t>二、投标函附录；</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三、法定代表人身份证明或授权委托书；</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四、投标担保；</w:t>
      </w:r>
    </w:p>
    <w:p>
      <w:pPr>
        <w:autoSpaceDE w:val="0"/>
        <w:autoSpaceDN w:val="0"/>
        <w:adjustRightInd w:val="0"/>
        <w:ind w:firstLine="708" w:firstLineChars="294"/>
        <w:rPr>
          <w:rFonts w:ascii="宋体" w:hAnsi="宋体" w:cs="仿宋_GB2312"/>
          <w:b/>
          <w:bCs/>
          <w:kern w:val="0"/>
          <w:sz w:val="24"/>
          <w:szCs w:val="24"/>
        </w:rPr>
      </w:pPr>
      <w:r>
        <w:rPr>
          <w:rFonts w:hint="eastAsia" w:ascii="宋体" w:hAnsi="宋体" w:cs="仿宋_GB2312"/>
          <w:b/>
          <w:bCs/>
          <w:kern w:val="0"/>
          <w:sz w:val="24"/>
          <w:szCs w:val="24"/>
        </w:rPr>
        <w:t>五、已标价的工程量清单。</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投标文件编制过程中应按本章提供的格式填报。</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如有本章未提供的格式，投标人可自行编制。</w:t>
      </w:r>
    </w:p>
    <w:p>
      <w:pPr>
        <w:spacing w:before="312" w:beforeLines="100" w:after="156" w:afterLines="50"/>
        <w:jc w:val="center"/>
        <w:rPr>
          <w:rFonts w:ascii="黑体" w:eastAsia="黑体"/>
          <w:sz w:val="24"/>
          <w:szCs w:val="24"/>
        </w:rPr>
      </w:pPr>
      <w:r>
        <w:rPr>
          <w:rFonts w:hint="eastAsia" w:ascii="宋体" w:hAnsi="宋体"/>
          <w:b/>
          <w:bCs/>
          <w:sz w:val="32"/>
          <w:szCs w:val="32"/>
        </w:rPr>
        <w:br w:type="page"/>
      </w:r>
      <w:r>
        <w:rPr>
          <w:rFonts w:hint="eastAsia" w:ascii="宋体" w:hAnsi="宋体"/>
          <w:b/>
          <w:bCs/>
          <w:sz w:val="32"/>
          <w:szCs w:val="32"/>
        </w:rPr>
        <w:t>一、投标函</w:t>
      </w:r>
    </w:p>
    <w:p>
      <w:pPr>
        <w:adjustRightInd w:val="0"/>
        <w:snapToGrid w:val="0"/>
        <w:spacing w:line="460" w:lineRule="exact"/>
        <w:rPr>
          <w:rFonts w:ascii="新宋体" w:eastAsia="新宋体"/>
          <w:sz w:val="24"/>
        </w:rPr>
      </w:pPr>
      <w:r>
        <w:rPr>
          <w:rFonts w:hint="eastAsia" w:ascii="新宋体" w:hAnsi="新宋体" w:eastAsia="新宋体"/>
          <w:sz w:val="24"/>
        </w:rPr>
        <w:t>致：（招标人名称）</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在考察现场并充分研究（项目名称）（以下简称</w:t>
      </w:r>
      <w:r>
        <w:rPr>
          <w:rFonts w:hint="eastAsia" w:ascii="新宋体" w:eastAsia="新宋体"/>
          <w:sz w:val="24"/>
        </w:rPr>
        <w:t>“本工程”）施工招标文件的全部内容后，我方兹以：</w:t>
      </w:r>
    </w:p>
    <w:p>
      <w:pPr>
        <w:adjustRightInd w:val="0"/>
        <w:snapToGrid w:val="0"/>
        <w:spacing w:line="460" w:lineRule="exact"/>
        <w:ind w:firstLine="943" w:firstLineChars="393"/>
        <w:rPr>
          <w:rFonts w:ascii="新宋体" w:eastAsia="新宋体"/>
          <w:sz w:val="24"/>
        </w:rPr>
      </w:pPr>
      <w:r>
        <w:rPr>
          <w:rFonts w:hint="eastAsia" w:ascii="新宋体" w:hAnsi="新宋体" w:eastAsia="新宋体"/>
          <w:sz w:val="24"/>
        </w:rPr>
        <w:t>人民币（大写）：元</w:t>
      </w:r>
    </w:p>
    <w:p>
      <w:pPr>
        <w:adjustRightInd w:val="0"/>
        <w:snapToGrid w:val="0"/>
        <w:spacing w:line="460" w:lineRule="exact"/>
        <w:ind w:firstLine="943" w:firstLineChars="393"/>
        <w:rPr>
          <w:rFonts w:ascii="新宋体" w:eastAsia="新宋体"/>
          <w:sz w:val="24"/>
        </w:rPr>
      </w:pPr>
      <w:r>
        <w:rPr>
          <w:rFonts w:hint="eastAsia" w:ascii="新宋体" w:eastAsia="新宋体"/>
          <w:sz w:val="24"/>
        </w:rPr>
        <w:t>RMB</w:t>
      </w:r>
      <w:r>
        <w:rPr>
          <w:rFonts w:hint="eastAsia" w:ascii="新宋体" w:hAnsi="新宋体" w:eastAsia="新宋体"/>
          <w:sz w:val="24"/>
        </w:rPr>
        <w:t>￥：元</w:t>
      </w:r>
    </w:p>
    <w:p>
      <w:pPr>
        <w:adjustRightInd w:val="0"/>
        <w:snapToGrid w:val="0"/>
        <w:spacing w:line="460" w:lineRule="exact"/>
        <w:rPr>
          <w:rFonts w:asci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在我方的上述投标总报价中，包括：</w:t>
      </w:r>
    </w:p>
    <w:p>
      <w:pPr>
        <w:adjustRightInd w:val="0"/>
        <w:snapToGrid w:val="0"/>
        <w:spacing w:line="460" w:lineRule="exact"/>
        <w:ind w:firstLine="1048" w:firstLineChars="437"/>
        <w:rPr>
          <w:rFonts w:ascii="新宋体" w:eastAsia="新宋体"/>
          <w:sz w:val="24"/>
        </w:rPr>
      </w:pPr>
      <w:r>
        <w:rPr>
          <w:rFonts w:hint="eastAsia" w:ascii="新宋体" w:hAnsi="新宋体" w:eastAsia="新宋体"/>
          <w:sz w:val="24"/>
        </w:rPr>
        <w:t>规费</w:t>
      </w:r>
      <w:r>
        <w:rPr>
          <w:rFonts w:hint="eastAsia" w:ascii="新宋体" w:eastAsia="新宋体"/>
          <w:sz w:val="24"/>
        </w:rPr>
        <w:t>RMB</w:t>
      </w:r>
      <w:r>
        <w:rPr>
          <w:rFonts w:hint="eastAsia" w:ascii="新宋体" w:hAnsi="新宋体" w:eastAsia="新宋体"/>
          <w:sz w:val="24"/>
        </w:rPr>
        <w:t>￥：元</w:t>
      </w:r>
    </w:p>
    <w:p>
      <w:pPr>
        <w:adjustRightInd w:val="0"/>
        <w:snapToGrid w:val="0"/>
        <w:spacing w:line="460" w:lineRule="exact"/>
        <w:ind w:firstLine="1048" w:firstLineChars="437"/>
        <w:rPr>
          <w:rFonts w:ascii="新宋体" w:eastAsia="新宋体"/>
          <w:sz w:val="24"/>
        </w:rPr>
      </w:pPr>
      <w:r>
        <w:rPr>
          <w:rFonts w:hint="eastAsia" w:ascii="新宋体" w:hAnsi="新宋体" w:eastAsia="新宋体"/>
          <w:sz w:val="24"/>
        </w:rPr>
        <w:t>税金</w:t>
      </w:r>
      <w:r>
        <w:rPr>
          <w:rFonts w:hint="eastAsia" w:ascii="新宋体" w:eastAsia="新宋体"/>
          <w:sz w:val="24"/>
        </w:rPr>
        <w:t>RMB</w:t>
      </w:r>
      <w:r>
        <w:rPr>
          <w:rFonts w:hint="eastAsia" w:ascii="新宋体" w:hAnsi="新宋体" w:eastAsia="新宋体"/>
          <w:sz w:val="24"/>
        </w:rPr>
        <w:t>￥：元</w:t>
      </w:r>
    </w:p>
    <w:p>
      <w:pPr>
        <w:adjustRightInd w:val="0"/>
        <w:snapToGrid w:val="0"/>
        <w:spacing w:line="460" w:lineRule="exact"/>
        <w:ind w:firstLine="1048" w:firstLineChars="437"/>
        <w:rPr>
          <w:rFonts w:ascii="新宋体" w:eastAsia="新宋体"/>
          <w:sz w:val="24"/>
        </w:rPr>
      </w:pPr>
      <w:r>
        <w:rPr>
          <w:rFonts w:hint="eastAsia" w:ascii="新宋体" w:hAnsi="新宋体" w:eastAsia="新宋体"/>
          <w:sz w:val="24"/>
        </w:rPr>
        <w:t>安全文明措施费</w:t>
      </w:r>
      <w:r>
        <w:rPr>
          <w:rFonts w:hint="eastAsia" w:ascii="新宋体" w:eastAsia="新宋体"/>
          <w:sz w:val="24"/>
        </w:rPr>
        <w:t>RMB</w:t>
      </w:r>
      <w:r>
        <w:rPr>
          <w:rFonts w:hint="eastAsia" w:ascii="新宋体" w:hAnsi="新宋体" w:eastAsia="新宋体"/>
          <w:sz w:val="24"/>
        </w:rPr>
        <w:t>￥：元</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若我方中标，我方同意按招标文件规定交纳招标代理费及递交履约担保。</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随本投标函递交的投标函附录是本投标函的组成部分，对我方构成约束力。</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随同本投标函递交投标</w:t>
      </w:r>
      <w:r>
        <w:rPr>
          <w:rFonts w:hint="eastAsia" w:ascii="宋体" w:hAnsi="宋体" w:cs="宋体"/>
          <w:sz w:val="24"/>
          <w:szCs w:val="24"/>
        </w:rPr>
        <w:t>保证金</w:t>
      </w:r>
      <w:r>
        <w:rPr>
          <w:rFonts w:hint="eastAsia" w:ascii="新宋体" w:hAnsi="新宋体" w:eastAsia="新宋体"/>
          <w:sz w:val="24"/>
        </w:rPr>
        <w:t>一份，金额为人民币（大写）：元。</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在签署协议书之前，你方的中标通知书连同本投标函，包括投标函附录，对双方具有约束力。</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我方认可并接受招标文件中的所有内容，并无异议。</w:t>
      </w:r>
    </w:p>
    <w:p>
      <w:pPr>
        <w:adjustRightInd w:val="0"/>
        <w:snapToGrid w:val="0"/>
        <w:spacing w:line="460" w:lineRule="exact"/>
        <w:ind w:firstLine="480" w:firstLineChars="200"/>
        <w:rPr>
          <w:rFonts w:ascii="新宋体" w:hAnsi="新宋体" w:eastAsia="新宋体"/>
          <w:sz w:val="24"/>
        </w:rPr>
      </w:pP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投标人（盖章）：</w:t>
      </w:r>
    </w:p>
    <w:p>
      <w:pPr>
        <w:adjustRightInd w:val="0"/>
        <w:snapToGrid w:val="0"/>
        <w:spacing w:line="460" w:lineRule="exact"/>
        <w:ind w:firstLine="480" w:firstLineChars="200"/>
        <w:rPr>
          <w:rFonts w:ascii="新宋体" w:eastAsia="新宋体"/>
          <w:sz w:val="24"/>
        </w:rPr>
      </w:pPr>
      <w:r>
        <w:rPr>
          <w:rFonts w:hint="eastAsia" w:ascii="新宋体" w:hAnsi="新宋体" w:eastAsia="新宋体"/>
          <w:sz w:val="24"/>
        </w:rPr>
        <w:t>法定代表人或委托代理人（签字）：</w:t>
      </w:r>
    </w:p>
    <w:p>
      <w:pPr>
        <w:adjustRightInd w:val="0"/>
        <w:snapToGrid w:val="0"/>
        <w:spacing w:line="460" w:lineRule="exact"/>
        <w:ind w:firstLine="480" w:firstLineChars="200"/>
        <w:rPr>
          <w:rFonts w:ascii="新宋体" w:hAnsi="新宋体" w:eastAsia="新宋体"/>
          <w:sz w:val="24"/>
        </w:rPr>
      </w:pPr>
      <w:r>
        <w:rPr>
          <w:rFonts w:hint="eastAsia" w:ascii="新宋体" w:hAnsi="新宋体" w:eastAsia="新宋体"/>
          <w:sz w:val="24"/>
        </w:rPr>
        <w:t>日期：年月日</w:t>
      </w:r>
    </w:p>
    <w:p>
      <w:pPr>
        <w:spacing w:line="460" w:lineRule="exact"/>
        <w:rPr>
          <w:rFonts w:ascii="宋体" w:hAnsi="宋体"/>
        </w:rPr>
      </w:pPr>
      <w:r>
        <w:rPr>
          <w:rFonts w:hint="eastAsia" w:ascii="新宋体" w:hAnsi="新宋体" w:eastAsia="新宋体" w:cs="黑体"/>
          <w:b/>
          <w:bCs/>
          <w:kern w:val="0"/>
        </w:rPr>
        <w:br w:type="page"/>
      </w:r>
    </w:p>
    <w:p>
      <w:pPr>
        <w:autoSpaceDE w:val="0"/>
        <w:autoSpaceDN w:val="0"/>
        <w:adjustRightInd w:val="0"/>
        <w:jc w:val="center"/>
        <w:rPr>
          <w:rFonts w:ascii="宋体" w:hAnsi="宋体"/>
          <w:b/>
          <w:bCs/>
          <w:sz w:val="32"/>
          <w:szCs w:val="32"/>
        </w:rPr>
      </w:pPr>
      <w:r>
        <w:rPr>
          <w:rFonts w:hint="eastAsia" w:ascii="宋体" w:hAnsi="宋体"/>
          <w:b/>
          <w:bCs/>
          <w:sz w:val="32"/>
          <w:szCs w:val="32"/>
        </w:rPr>
        <w:t>二、投标函附录</w:t>
      </w:r>
    </w:p>
    <w:p>
      <w:pPr>
        <w:rPr>
          <w:rFonts w:ascii="新宋体" w:eastAsia="新宋体"/>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111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工程名称</w:t>
            </w:r>
          </w:p>
        </w:tc>
        <w:tc>
          <w:tcPr>
            <w:tcW w:w="6014" w:type="dxa"/>
            <w:gridSpan w:val="5"/>
            <w:tcBorders>
              <w:top w:val="single" w:color="auto" w:sz="4" w:space="0"/>
              <w:left w:val="nil"/>
              <w:bottom w:val="single" w:color="auto" w:sz="4" w:space="0"/>
              <w:right w:val="single" w:color="auto" w:sz="4" w:space="0"/>
            </w:tcBorders>
            <w:vAlign w:val="center"/>
          </w:tcPr>
          <w:p>
            <w:pPr>
              <w:jc w:val="right"/>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投标人</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项目负责人</w:t>
            </w:r>
          </w:p>
        </w:tc>
        <w:tc>
          <w:tcPr>
            <w:tcW w:w="1510"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c>
          <w:tcPr>
            <w:tcW w:w="565" w:type="dxa"/>
            <w:tcBorders>
              <w:top w:val="single" w:color="auto" w:sz="4" w:space="0"/>
              <w:left w:val="nil"/>
              <w:bottom w:val="single" w:color="auto" w:sz="4" w:space="0"/>
              <w:right w:val="single" w:color="auto" w:sz="4" w:space="0"/>
            </w:tcBorders>
            <w:vAlign w:val="center"/>
          </w:tcPr>
          <w:p>
            <w:pPr>
              <w:jc w:val="center"/>
              <w:rPr>
                <w:rFonts w:ascii="新宋体" w:eastAsia="新宋体"/>
              </w:rPr>
            </w:pPr>
            <w:r>
              <w:rPr>
                <w:rFonts w:hint="eastAsia" w:ascii="新宋体" w:eastAsia="新宋体"/>
              </w:rPr>
              <w:t>级别</w:t>
            </w:r>
          </w:p>
        </w:tc>
        <w:tc>
          <w:tcPr>
            <w:tcW w:w="1245"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c>
          <w:tcPr>
            <w:tcW w:w="1116" w:type="dxa"/>
            <w:tcBorders>
              <w:top w:val="single" w:color="auto" w:sz="4" w:space="0"/>
              <w:left w:val="nil"/>
              <w:bottom w:val="single" w:color="auto" w:sz="4" w:space="0"/>
              <w:right w:val="single" w:color="auto" w:sz="4" w:space="0"/>
            </w:tcBorders>
            <w:vAlign w:val="center"/>
          </w:tcPr>
          <w:p>
            <w:pPr>
              <w:jc w:val="center"/>
              <w:rPr>
                <w:rFonts w:ascii="新宋体" w:eastAsia="新宋体"/>
              </w:rPr>
            </w:pPr>
            <w:r>
              <w:rPr>
                <w:rFonts w:hint="eastAsia" w:ascii="新宋体" w:eastAsia="新宋体"/>
              </w:rPr>
              <w:t>注册证</w:t>
            </w:r>
          </w:p>
          <w:p>
            <w:pPr>
              <w:jc w:val="center"/>
              <w:rPr>
                <w:rFonts w:ascii="新宋体" w:eastAsia="新宋体"/>
              </w:rPr>
            </w:pPr>
            <w:r>
              <w:rPr>
                <w:rFonts w:hint="eastAsia" w:ascii="新宋体" w:eastAsia="新宋体"/>
              </w:rPr>
              <w:t>书编号</w:t>
            </w:r>
          </w:p>
        </w:tc>
        <w:tc>
          <w:tcPr>
            <w:tcW w:w="1578"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技术负责人</w:t>
            </w:r>
          </w:p>
        </w:tc>
        <w:tc>
          <w:tcPr>
            <w:tcW w:w="1510"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c>
          <w:tcPr>
            <w:tcW w:w="565" w:type="dxa"/>
            <w:tcBorders>
              <w:top w:val="single" w:color="auto" w:sz="4" w:space="0"/>
              <w:left w:val="nil"/>
              <w:bottom w:val="single" w:color="auto" w:sz="4" w:space="0"/>
              <w:right w:val="single" w:color="auto" w:sz="4" w:space="0"/>
            </w:tcBorders>
            <w:vAlign w:val="center"/>
          </w:tcPr>
          <w:p>
            <w:pPr>
              <w:jc w:val="center"/>
              <w:rPr>
                <w:rFonts w:ascii="新宋体" w:eastAsia="新宋体"/>
              </w:rPr>
            </w:pPr>
            <w:r>
              <w:rPr>
                <w:rFonts w:hint="eastAsia" w:ascii="新宋体" w:eastAsia="新宋体"/>
              </w:rPr>
              <w:t>级别</w:t>
            </w:r>
          </w:p>
        </w:tc>
        <w:tc>
          <w:tcPr>
            <w:tcW w:w="1245"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c>
          <w:tcPr>
            <w:tcW w:w="1116" w:type="dxa"/>
            <w:tcBorders>
              <w:top w:val="single" w:color="auto" w:sz="4" w:space="0"/>
              <w:left w:val="nil"/>
              <w:bottom w:val="single" w:color="auto" w:sz="4" w:space="0"/>
              <w:right w:val="single" w:color="auto" w:sz="4" w:space="0"/>
            </w:tcBorders>
            <w:vAlign w:val="center"/>
          </w:tcPr>
          <w:p>
            <w:pPr>
              <w:jc w:val="center"/>
              <w:rPr>
                <w:rFonts w:ascii="新宋体" w:eastAsia="新宋体"/>
              </w:rPr>
            </w:pPr>
            <w:r>
              <w:rPr>
                <w:rFonts w:hint="eastAsia" w:ascii="新宋体" w:eastAsia="新宋体"/>
              </w:rPr>
              <w:t>职称证</w:t>
            </w:r>
          </w:p>
          <w:p>
            <w:pPr>
              <w:jc w:val="center"/>
              <w:rPr>
                <w:rFonts w:ascii="新宋体" w:eastAsia="新宋体"/>
              </w:rPr>
            </w:pPr>
            <w:r>
              <w:rPr>
                <w:rFonts w:hint="eastAsia" w:ascii="新宋体" w:eastAsia="新宋体"/>
              </w:rPr>
              <w:t>书编号</w:t>
            </w:r>
          </w:p>
        </w:tc>
        <w:tc>
          <w:tcPr>
            <w:tcW w:w="1578" w:type="dxa"/>
            <w:tcBorders>
              <w:top w:val="single" w:color="auto" w:sz="4" w:space="0"/>
              <w:left w:val="nil"/>
              <w:bottom w:val="single" w:color="auto" w:sz="4" w:space="0"/>
              <w:right w:val="single" w:color="auto" w:sz="4" w:space="0"/>
            </w:tcBorders>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tcBorders>
              <w:top w:val="nil"/>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投标总报价</w:t>
            </w:r>
          </w:p>
        </w:tc>
        <w:tc>
          <w:tcPr>
            <w:tcW w:w="3320" w:type="dxa"/>
            <w:gridSpan w:val="3"/>
            <w:tcBorders>
              <w:top w:val="single" w:color="auto" w:sz="4" w:space="0"/>
              <w:left w:val="nil"/>
              <w:bottom w:val="single" w:color="auto" w:sz="4" w:space="0"/>
              <w:right w:val="single" w:color="auto" w:sz="4" w:space="0"/>
            </w:tcBorders>
            <w:vAlign w:val="center"/>
          </w:tcPr>
          <w:p>
            <w:pPr>
              <w:rPr>
                <w:rFonts w:ascii="新宋体" w:eastAsia="新宋体"/>
              </w:rPr>
            </w:pPr>
            <w:r>
              <w:rPr>
                <w:rFonts w:hint="eastAsia" w:ascii="新宋体" w:eastAsia="新宋体"/>
              </w:rPr>
              <w:t>（大写）</w:t>
            </w:r>
          </w:p>
        </w:tc>
        <w:tc>
          <w:tcPr>
            <w:tcW w:w="2694" w:type="dxa"/>
            <w:gridSpan w:val="2"/>
            <w:tcBorders>
              <w:top w:val="single" w:color="auto" w:sz="4" w:space="0"/>
              <w:left w:val="nil"/>
              <w:bottom w:val="single" w:color="auto" w:sz="4" w:space="0"/>
              <w:right w:val="single" w:color="auto" w:sz="4" w:space="0"/>
            </w:tcBorders>
            <w:vAlign w:val="center"/>
          </w:tcPr>
          <w:p>
            <w:pPr>
              <w:rPr>
                <w:rFonts w:ascii="新宋体" w:eastAsia="新宋体"/>
              </w:rPr>
            </w:pPr>
            <w:r>
              <w:rPr>
                <w:rFonts w:hint="eastAsia" w:ascii="新宋体" w:eastAsia="新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tcBorders>
              <w:top w:val="nil"/>
              <w:left w:val="single" w:color="auto" w:sz="4" w:space="0"/>
              <w:bottom w:val="single" w:color="auto" w:sz="4" w:space="0"/>
              <w:right w:val="single" w:color="auto" w:sz="4" w:space="0"/>
            </w:tcBorders>
            <w:vAlign w:val="center"/>
          </w:tcPr>
          <w:p>
            <w:pPr>
              <w:widowControl/>
              <w:jc w:val="left"/>
              <w:rPr>
                <w:rFonts w:ascii="新宋体" w:eastAsia="新宋体"/>
              </w:rPr>
            </w:pPr>
          </w:p>
        </w:tc>
        <w:tc>
          <w:tcPr>
            <w:tcW w:w="6014" w:type="dxa"/>
            <w:gridSpan w:val="5"/>
            <w:tcBorders>
              <w:top w:val="single" w:color="auto" w:sz="4" w:space="0"/>
              <w:left w:val="nil"/>
              <w:bottom w:val="single" w:color="auto" w:sz="4" w:space="0"/>
              <w:right w:val="single" w:color="auto" w:sz="4" w:space="0"/>
            </w:tcBorders>
            <w:vAlign w:val="center"/>
          </w:tcPr>
          <w:p>
            <w:pPr>
              <w:rPr>
                <w:rFonts w:ascii="新宋体" w:eastAsia="新宋体"/>
              </w:rPr>
            </w:pPr>
            <w:r>
              <w:rPr>
                <w:rFonts w:hint="eastAsia" w:ascii="新宋体" w:eastAsia="新宋体"/>
              </w:rPr>
              <w:t>其中：</w:t>
            </w:r>
          </w:p>
          <w:p>
            <w:pPr>
              <w:ind w:firstLine="525" w:firstLineChars="250"/>
              <w:rPr>
                <w:rFonts w:ascii="新宋体" w:eastAsia="新宋体"/>
              </w:rPr>
            </w:pPr>
            <w:r>
              <w:rPr>
                <w:rFonts w:hint="eastAsia" w:ascii="新宋体" w:eastAsia="新宋体"/>
              </w:rPr>
              <w:t>规费RMB￥：元</w:t>
            </w:r>
          </w:p>
          <w:p>
            <w:pPr>
              <w:ind w:firstLine="525" w:firstLineChars="250"/>
              <w:rPr>
                <w:rFonts w:ascii="新宋体" w:eastAsia="新宋体"/>
              </w:rPr>
            </w:pPr>
            <w:r>
              <w:rPr>
                <w:rFonts w:hint="eastAsia" w:ascii="新宋体" w:eastAsia="新宋体"/>
              </w:rPr>
              <w:t>税金RMB￥：元</w:t>
            </w:r>
          </w:p>
          <w:p>
            <w:pPr>
              <w:ind w:firstLine="525" w:firstLineChars="250"/>
              <w:rPr>
                <w:rFonts w:ascii="新宋体" w:eastAsia="新宋体"/>
              </w:rPr>
            </w:pPr>
            <w:r>
              <w:rPr>
                <w:rFonts w:hint="eastAsia" w:ascii="新宋体" w:eastAsia="新宋体"/>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投标质量等级</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投标工期</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eastAsia="新宋体"/>
              </w:rPr>
            </w:pPr>
            <w:r>
              <w:rPr>
                <w:rFonts w:hint="eastAsia" w:ascii="新宋体" w:eastAsia="新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jc w:val="center"/>
              <w:rPr>
                <w:rFonts w:ascii="新宋体" w:eastAsia="新宋体"/>
              </w:rPr>
            </w:pPr>
            <w:r>
              <w:rPr>
                <w:rFonts w:hint="eastAsia" w:ascii="新宋体" w:eastAsia="新宋体"/>
              </w:rPr>
              <w:t>投标有效期</w:t>
            </w:r>
          </w:p>
        </w:tc>
        <w:tc>
          <w:tcPr>
            <w:tcW w:w="6014" w:type="dxa"/>
            <w:gridSpan w:val="5"/>
            <w:tcBorders>
              <w:top w:val="single" w:color="auto" w:sz="4" w:space="0"/>
              <w:left w:val="nil"/>
              <w:bottom w:val="single" w:color="auto" w:sz="4" w:space="0"/>
              <w:right w:val="single" w:color="auto" w:sz="4" w:space="0"/>
            </w:tcBorders>
            <w:vAlign w:val="center"/>
          </w:tcPr>
          <w:p>
            <w:pPr>
              <w:jc w:val="center"/>
              <w:rPr>
                <w:rFonts w:asci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Borders>
              <w:top w:val="single" w:color="auto" w:sz="4" w:space="0"/>
              <w:left w:val="single" w:color="auto" w:sz="4" w:space="0"/>
              <w:bottom w:val="single" w:color="auto" w:sz="4" w:space="0"/>
              <w:right w:val="single" w:color="auto" w:sz="4" w:space="0"/>
            </w:tcBorders>
          </w:tcPr>
          <w:p>
            <w:pPr>
              <w:rPr>
                <w:rFonts w:ascii="新宋体" w:eastAsia="新宋体"/>
              </w:rPr>
            </w:pPr>
            <w:r>
              <w:rPr>
                <w:rFonts w:hint="eastAsia" w:ascii="新宋体" w:eastAsia="新宋体"/>
              </w:rPr>
              <w:t> 备注：</w:t>
            </w:r>
          </w:p>
          <w:p>
            <w:pPr>
              <w:rPr>
                <w:rFonts w:ascii="新宋体" w:eastAsia="新宋体"/>
              </w:rPr>
            </w:pPr>
          </w:p>
          <w:p>
            <w:pPr>
              <w:rPr>
                <w:rFonts w:ascii="新宋体" w:eastAsia="新宋体"/>
              </w:rPr>
            </w:pPr>
          </w:p>
          <w:p>
            <w:pPr>
              <w:rPr>
                <w:rFonts w:ascii="新宋体" w:eastAsia="新宋体"/>
              </w:rPr>
            </w:pPr>
          </w:p>
          <w:p>
            <w:pPr>
              <w:rPr>
                <w:rFonts w:ascii="新宋体" w:eastAsia="新宋体"/>
              </w:rPr>
            </w:pPr>
          </w:p>
          <w:p>
            <w:pPr>
              <w:rPr>
                <w:rFonts w:ascii="新宋体" w:eastAsia="新宋体"/>
              </w:rPr>
            </w:pPr>
          </w:p>
        </w:tc>
      </w:tr>
    </w:tbl>
    <w:p>
      <w:pPr>
        <w:ind w:right="475"/>
        <w:rPr>
          <w:sz w:val="24"/>
          <w:szCs w:val="24"/>
        </w:rPr>
      </w:pPr>
    </w:p>
    <w:p>
      <w:pPr>
        <w:ind w:right="475"/>
        <w:jc w:val="right"/>
        <w:rPr>
          <w:rFonts w:ascii="新宋体" w:eastAsia="新宋体"/>
        </w:rPr>
      </w:pPr>
      <w:r>
        <w:rPr>
          <w:rFonts w:hint="eastAsia" w:ascii="新宋体" w:hAnsi="新宋体" w:eastAsia="新宋体"/>
        </w:rPr>
        <w:t>投标单位（盖章）：</w:t>
      </w:r>
    </w:p>
    <w:p>
      <w:pPr>
        <w:ind w:right="315"/>
        <w:jc w:val="right"/>
        <w:rPr>
          <w:rFonts w:ascii="新宋体" w:eastAsia="新宋体"/>
        </w:rPr>
      </w:pPr>
      <w:r>
        <w:rPr>
          <w:rFonts w:hint="eastAsia" w:ascii="新宋体" w:hAnsi="新宋体" w:eastAsia="新宋体"/>
        </w:rPr>
        <w:t>法定代表人或委托代理人（签字）：</w:t>
      </w:r>
    </w:p>
    <w:p>
      <w:pPr>
        <w:autoSpaceDE w:val="0"/>
        <w:autoSpaceDN w:val="0"/>
        <w:adjustRightInd w:val="0"/>
        <w:jc w:val="center"/>
        <w:outlineLvl w:val="0"/>
        <w:rPr>
          <w:rFonts w:ascii="宋体" w:hAnsi="宋体" w:cs="仿宋_GB2312"/>
          <w:b/>
          <w:bCs/>
          <w:kern w:val="0"/>
          <w:sz w:val="28"/>
          <w:szCs w:val="28"/>
        </w:rPr>
      </w:pPr>
      <w:r>
        <w:rPr>
          <w:rFonts w:hint="eastAsia" w:ascii="新宋体" w:hAnsi="新宋体" w:eastAsia="新宋体"/>
        </w:rPr>
        <w:t>年月日</w:t>
      </w:r>
      <w:r>
        <w:rPr>
          <w:rFonts w:hint="eastAsia" w:ascii="宋体" w:hAnsi="宋体"/>
          <w:b/>
          <w:bCs/>
          <w:sz w:val="32"/>
          <w:szCs w:val="32"/>
        </w:rPr>
        <w:br w:type="page"/>
      </w:r>
      <w:bookmarkStart w:id="345" w:name="_Toc271787730"/>
      <w:bookmarkEnd w:id="345"/>
      <w:bookmarkStart w:id="346" w:name="_Toc397606019"/>
      <w:bookmarkEnd w:id="346"/>
      <w:bookmarkStart w:id="347" w:name="_Toc397507823"/>
      <w:bookmarkEnd w:id="347"/>
      <w:bookmarkStart w:id="348" w:name="_Toc464824794"/>
      <w:bookmarkEnd w:id="348"/>
      <w:bookmarkStart w:id="349" w:name="_Toc397508150"/>
      <w:bookmarkEnd w:id="349"/>
      <w:bookmarkStart w:id="350" w:name="_Toc6226"/>
      <w:r>
        <w:rPr>
          <w:rFonts w:hint="eastAsia" w:ascii="宋体" w:hAnsi="宋体"/>
          <w:b/>
          <w:bCs/>
          <w:sz w:val="32"/>
          <w:szCs w:val="32"/>
        </w:rPr>
        <w:t>三、</w:t>
      </w:r>
      <w:r>
        <w:rPr>
          <w:rFonts w:hint="eastAsia" w:ascii="宋体" w:hAnsi="宋体" w:cs="仿宋_GB2312"/>
          <w:b/>
          <w:bCs/>
          <w:kern w:val="0"/>
          <w:sz w:val="28"/>
          <w:szCs w:val="28"/>
        </w:rPr>
        <w:t>法定代表人身份证明或授权委托书</w:t>
      </w:r>
      <w:bookmarkEnd w:id="350"/>
    </w:p>
    <w:p>
      <w:pPr>
        <w:autoSpaceDE w:val="0"/>
        <w:autoSpaceDN w:val="0"/>
        <w:adjustRightInd w:val="0"/>
        <w:jc w:val="center"/>
        <w:outlineLvl w:val="0"/>
        <w:rPr>
          <w:rFonts w:ascii="黑体" w:hAnsi="新宋体" w:eastAsia="黑体"/>
          <w:kern w:val="0"/>
          <w:sz w:val="28"/>
          <w:szCs w:val="28"/>
        </w:rPr>
      </w:pPr>
    </w:p>
    <w:p>
      <w:pPr>
        <w:autoSpaceDE w:val="0"/>
        <w:autoSpaceDN w:val="0"/>
        <w:adjustRightInd w:val="0"/>
        <w:ind w:right="215"/>
        <w:jc w:val="center"/>
        <w:rPr>
          <w:rFonts w:ascii="宋体" w:hAnsi="宋体"/>
          <w:b/>
          <w:bCs/>
          <w:kern w:val="0"/>
          <w:sz w:val="32"/>
          <w:szCs w:val="32"/>
        </w:rPr>
      </w:pPr>
      <w:r>
        <w:rPr>
          <w:rFonts w:hint="eastAsia" w:ascii="宋体" w:hAnsi="宋体"/>
          <w:b/>
          <w:bCs/>
          <w:kern w:val="0"/>
          <w:sz w:val="32"/>
          <w:szCs w:val="32"/>
        </w:rPr>
        <w:br w:type="page"/>
      </w:r>
      <w:r>
        <w:rPr>
          <w:rFonts w:hint="eastAsia" w:ascii="宋体" w:hAnsi="宋体"/>
          <w:b/>
          <w:bCs/>
          <w:kern w:val="0"/>
          <w:sz w:val="32"/>
          <w:szCs w:val="32"/>
        </w:rPr>
        <w:t>四、投标担保</w:t>
      </w:r>
    </w:p>
    <w:p>
      <w:pPr>
        <w:autoSpaceDE w:val="0"/>
        <w:autoSpaceDN w:val="0"/>
        <w:adjustRightInd w:val="0"/>
        <w:jc w:val="left"/>
        <w:rPr>
          <w:rFonts w:ascii="宋体" w:hAnsi="宋体" w:cs="仿宋_GB2312"/>
          <w:kern w:val="0"/>
        </w:rPr>
      </w:pPr>
      <w:r>
        <w:rPr>
          <w:rFonts w:hint="eastAsia" w:ascii="宋体" w:hAnsi="宋体" w:cs="仿宋_GB2312"/>
          <w:kern w:val="0"/>
        </w:rPr>
        <w:t>………………………………………………………………………………………………………………</w:t>
      </w:r>
    </w:p>
    <w:p>
      <w:pPr>
        <w:rPr>
          <w:rFonts w:ascii="宋体" w:hAnsi="宋体" w:cs="仿宋_GB2312"/>
          <w:kern w:val="0"/>
        </w:rPr>
      </w:pPr>
      <w:r>
        <w:rPr>
          <w:rFonts w:hint="eastAsia" w:ascii="宋体" w:hAnsi="宋体" w:cs="仿宋_GB2312"/>
          <w:kern w:val="0"/>
        </w:rPr>
        <w:t>附投标</w:t>
      </w:r>
      <w:r>
        <w:rPr>
          <w:rFonts w:hint="eastAsia" w:ascii="宋体" w:hAnsi="宋体"/>
        </w:rPr>
        <w:t>保证金</w:t>
      </w:r>
      <w:r>
        <w:rPr>
          <w:rFonts w:hint="eastAsia" w:ascii="宋体" w:hAnsi="宋体" w:cs="仿宋_GB2312"/>
          <w:kern w:val="0"/>
        </w:rPr>
        <w:t>有效证明资料：</w:t>
      </w:r>
    </w:p>
    <w:p>
      <w:pPr>
        <w:rPr>
          <w:rFonts w:ascii="宋体" w:hAnsi="宋体"/>
        </w:rPr>
      </w:pPr>
      <w:r>
        <w:rPr>
          <w:rFonts w:hint="eastAsia" w:ascii="宋体" w:hAnsi="宋体"/>
        </w:rPr>
        <w:t>在投标文件中附投标保证金缴纳证明，并加盖公章。</w:t>
      </w:r>
    </w:p>
    <w:p>
      <w:pPr>
        <w:jc w:val="center"/>
        <w:rPr>
          <w:rFonts w:ascii="宋体" w:hAnsi="宋体"/>
          <w:b/>
          <w:bCs/>
          <w:kern w:val="0"/>
          <w:sz w:val="32"/>
          <w:szCs w:val="32"/>
        </w:rPr>
      </w:pPr>
      <w:r>
        <w:rPr>
          <w:rFonts w:hint="eastAsia" w:ascii="宋体" w:hAnsi="宋体"/>
          <w:b/>
          <w:bCs/>
          <w:kern w:val="0"/>
          <w:sz w:val="28"/>
          <w:szCs w:val="28"/>
        </w:rPr>
        <w:br w:type="page"/>
      </w:r>
      <w:bookmarkStart w:id="351" w:name="_Toc464824797"/>
      <w:bookmarkEnd w:id="351"/>
      <w:bookmarkStart w:id="352" w:name="_Toc397606022"/>
      <w:bookmarkEnd w:id="352"/>
      <w:bookmarkStart w:id="353" w:name="_Toc397508153"/>
      <w:bookmarkEnd w:id="353"/>
      <w:bookmarkStart w:id="354" w:name="_Toc397507826"/>
      <w:bookmarkEnd w:id="354"/>
      <w:bookmarkStart w:id="355" w:name="_Toc16329"/>
      <w:r>
        <w:rPr>
          <w:rFonts w:hint="eastAsia" w:ascii="宋体" w:hAnsi="宋体"/>
          <w:b/>
          <w:bCs/>
          <w:kern w:val="0"/>
          <w:sz w:val="32"/>
          <w:szCs w:val="32"/>
        </w:rPr>
        <w:t>五、（已标价工程量清单）</w:t>
      </w:r>
      <w:bookmarkEnd w:id="355"/>
    </w:p>
    <w:p>
      <w:pPr>
        <w:ind w:left="180"/>
        <w:jc w:val="right"/>
        <w:rPr>
          <w:sz w:val="44"/>
          <w:szCs w:val="44"/>
        </w:rPr>
      </w:pPr>
      <w:r>
        <w:rPr>
          <w:rFonts w:hint="eastAsia" w:ascii="黑体" w:hAnsi="宋体" w:eastAsia="黑体"/>
          <w:b/>
          <w:bCs/>
          <w:sz w:val="32"/>
          <w:szCs w:val="32"/>
        </w:rPr>
        <w:br w:type="page"/>
      </w:r>
    </w:p>
    <w:p>
      <w:pPr>
        <w:ind w:left="180"/>
        <w:rPr>
          <w:sz w:val="24"/>
          <w:szCs w:val="24"/>
        </w:rPr>
      </w:pPr>
    </w:p>
    <w:p>
      <w:pPr>
        <w:ind w:right="720" w:firstLine="885" w:firstLineChars="245"/>
        <w:jc w:val="center"/>
        <w:rPr>
          <w:rFonts w:ascii="黑体" w:eastAsia="黑体"/>
          <w:b/>
          <w:bCs/>
          <w:sz w:val="36"/>
          <w:szCs w:val="36"/>
          <w:u w:val="single"/>
        </w:rPr>
      </w:pPr>
      <w:r>
        <w:rPr>
          <w:rFonts w:hint="eastAsia" w:ascii="黑体" w:eastAsia="黑体"/>
          <w:b/>
          <w:bCs/>
          <w:sz w:val="36"/>
          <w:szCs w:val="36"/>
          <w:u w:val="single"/>
        </w:rPr>
        <w:t xml:space="preserve">(项目名称)       </w:t>
      </w:r>
    </w:p>
    <w:p>
      <w:pPr>
        <w:ind w:left="180"/>
        <w:jc w:val="center"/>
        <w:rPr>
          <w:rFonts w:ascii="黑体" w:eastAsia="黑体"/>
          <w:b/>
          <w:bCs/>
          <w:sz w:val="52"/>
          <w:szCs w:val="52"/>
        </w:rPr>
      </w:pPr>
    </w:p>
    <w:p>
      <w:pPr>
        <w:ind w:left="180"/>
        <w:jc w:val="center"/>
        <w:rPr>
          <w:rFonts w:ascii="黑体" w:eastAsia="黑体"/>
          <w:b/>
          <w:bCs/>
          <w:sz w:val="52"/>
          <w:szCs w:val="52"/>
        </w:rPr>
      </w:pPr>
      <w:r>
        <w:rPr>
          <w:rFonts w:hint="eastAsia" w:ascii="黑体" w:hAnsi="黑体" w:eastAsia="黑体"/>
          <w:b/>
          <w:bCs/>
          <w:sz w:val="52"/>
          <w:szCs w:val="52"/>
        </w:rPr>
        <w:t>投标文件</w:t>
      </w:r>
    </w:p>
    <w:p>
      <w:pPr>
        <w:jc w:val="center"/>
        <w:rPr>
          <w:rFonts w:ascii="黑体" w:eastAsia="黑体"/>
        </w:rPr>
      </w:pPr>
    </w:p>
    <w:p>
      <w:pPr>
        <w:jc w:val="center"/>
        <w:rPr>
          <w:rFonts w:ascii="宋体" w:hAnsi="宋体"/>
        </w:rPr>
      </w:pPr>
      <w:r>
        <w:rPr>
          <w:rFonts w:hint="eastAsia" w:ascii="宋体" w:hAnsi="宋体"/>
        </w:rPr>
        <w:t>项目编号：</w:t>
      </w:r>
    </w:p>
    <w:p>
      <w:pPr>
        <w:jc w:val="cente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综</w:t>
      </w:r>
    </w:p>
    <w:p>
      <w:pPr>
        <w:jc w:val="center"/>
        <w:rPr>
          <w:rFonts w:ascii="黑体" w:eastAsia="黑体"/>
          <w:sz w:val="52"/>
          <w:szCs w:val="52"/>
        </w:rPr>
      </w:pPr>
      <w:r>
        <w:rPr>
          <w:rFonts w:hint="eastAsia" w:ascii="黑体" w:hAnsi="黑体" w:eastAsia="黑体"/>
          <w:sz w:val="52"/>
          <w:szCs w:val="52"/>
        </w:rPr>
        <w:t>合</w:t>
      </w:r>
    </w:p>
    <w:p>
      <w:pPr>
        <w:jc w:val="center"/>
        <w:rPr>
          <w:rFonts w:ascii="黑体" w:eastAsia="黑体"/>
          <w:sz w:val="52"/>
          <w:szCs w:val="52"/>
        </w:rPr>
      </w:pPr>
      <w:r>
        <w:rPr>
          <w:rFonts w:hint="eastAsia" w:ascii="黑体" w:hAnsi="黑体" w:eastAsia="黑体"/>
          <w:sz w:val="52"/>
          <w:szCs w:val="52"/>
        </w:rPr>
        <w:t>信</w:t>
      </w:r>
    </w:p>
    <w:p>
      <w:pPr>
        <w:jc w:val="center"/>
        <w:rPr>
          <w:rFonts w:ascii="黑体" w:eastAsia="黑体"/>
          <w:sz w:val="52"/>
          <w:szCs w:val="52"/>
        </w:rPr>
      </w:pPr>
      <w:r>
        <w:rPr>
          <w:rFonts w:hint="eastAsia" w:ascii="黑体" w:hAnsi="黑体" w:eastAsia="黑体"/>
          <w:sz w:val="52"/>
          <w:szCs w:val="52"/>
        </w:rPr>
        <w:t>用</w:t>
      </w:r>
    </w:p>
    <w:p>
      <w:pPr>
        <w:jc w:val="center"/>
        <w:rPr>
          <w:rFonts w:ascii="黑体" w:eastAsia="黑体"/>
          <w:sz w:val="52"/>
          <w:szCs w:val="52"/>
        </w:rPr>
      </w:pPr>
      <w:r>
        <w:rPr>
          <w:rFonts w:hint="eastAsia" w:ascii="黑体" w:hAnsi="黑体" w:eastAsia="黑体"/>
          <w:sz w:val="52"/>
          <w:szCs w:val="52"/>
        </w:rPr>
        <w:t>标</w:t>
      </w:r>
    </w:p>
    <w:p>
      <w:pPr>
        <w:rPr>
          <w:sz w:val="24"/>
          <w:szCs w:val="24"/>
        </w:rPr>
      </w:pPr>
    </w:p>
    <w:p>
      <w:pPr>
        <w:ind w:left="180"/>
        <w:rPr>
          <w:sz w:val="24"/>
          <w:szCs w:val="24"/>
        </w:rPr>
      </w:pPr>
    </w:p>
    <w:p>
      <w:pPr>
        <w:ind w:left="180"/>
        <w:jc w:val="center"/>
        <w:rPr>
          <w:rFonts w:ascii="黑体" w:eastAsia="黑体"/>
          <w:b/>
          <w:bCs/>
          <w:sz w:val="32"/>
          <w:szCs w:val="32"/>
        </w:rPr>
      </w:pPr>
      <w:r>
        <w:rPr>
          <w:rFonts w:hint="eastAsia" w:ascii="黑体" w:hAnsi="黑体" w:eastAsia="黑体"/>
          <w:b/>
          <w:bCs/>
          <w:sz w:val="32"/>
          <w:szCs w:val="32"/>
        </w:rPr>
        <w:t>投标人</w:t>
      </w:r>
      <w:r>
        <w:rPr>
          <w:rFonts w:hint="eastAsia" w:ascii="黑体" w:eastAsia="黑体"/>
          <w:b/>
          <w:bCs/>
          <w:sz w:val="32"/>
          <w:szCs w:val="32"/>
        </w:rPr>
        <w:t>:(盖单位章)</w:t>
      </w:r>
    </w:p>
    <w:p>
      <w:pPr>
        <w:ind w:left="180"/>
        <w:jc w:val="center"/>
        <w:rPr>
          <w:rFonts w:ascii="黑体" w:eastAsia="黑体"/>
          <w:b/>
          <w:bCs/>
          <w:sz w:val="32"/>
          <w:szCs w:val="32"/>
        </w:rPr>
      </w:pPr>
      <w:r>
        <w:rPr>
          <w:rFonts w:hint="eastAsia" w:ascii="黑体" w:hAnsi="黑体" w:eastAsia="黑体"/>
          <w:b/>
          <w:bCs/>
          <w:sz w:val="32"/>
          <w:szCs w:val="32"/>
        </w:rPr>
        <w:t>法定代表人或其委托代理人</w:t>
      </w:r>
      <w:r>
        <w:rPr>
          <w:rFonts w:hint="eastAsia" w:ascii="黑体" w:eastAsia="黑体"/>
          <w:b/>
          <w:bCs/>
          <w:sz w:val="32"/>
          <w:szCs w:val="32"/>
        </w:rPr>
        <w:t>:</w:t>
      </w:r>
      <w:r>
        <w:rPr>
          <w:rFonts w:hint="eastAsia" w:ascii="黑体" w:eastAsia="黑体"/>
          <w:b/>
          <w:bCs/>
          <w:sz w:val="28"/>
          <w:szCs w:val="28"/>
        </w:rPr>
        <w:t>(</w:t>
      </w:r>
      <w:r>
        <w:rPr>
          <w:rFonts w:hint="eastAsia" w:ascii="黑体" w:hAnsi="黑体" w:eastAsia="黑体"/>
          <w:b/>
          <w:bCs/>
          <w:sz w:val="32"/>
          <w:szCs w:val="32"/>
        </w:rPr>
        <w:t>签字或盖章</w:t>
      </w:r>
      <w:r>
        <w:rPr>
          <w:rFonts w:hint="eastAsia" w:ascii="黑体" w:eastAsia="黑体"/>
          <w:b/>
          <w:bCs/>
          <w:sz w:val="32"/>
          <w:szCs w:val="32"/>
        </w:rPr>
        <w:t>)</w:t>
      </w:r>
    </w:p>
    <w:p>
      <w:pPr>
        <w:ind w:left="180"/>
        <w:rPr>
          <w:rFonts w:ascii="黑体" w:eastAsia="黑体"/>
          <w:b/>
          <w:bCs/>
          <w:sz w:val="32"/>
          <w:szCs w:val="32"/>
        </w:rPr>
      </w:pPr>
    </w:p>
    <w:p>
      <w:pPr>
        <w:ind w:left="180"/>
        <w:jc w:val="center"/>
        <w:rPr>
          <w:rFonts w:ascii="黑体" w:eastAsia="黑体"/>
          <w:b/>
          <w:bCs/>
          <w:sz w:val="32"/>
          <w:szCs w:val="32"/>
        </w:rPr>
      </w:pPr>
      <w:r>
        <w:rPr>
          <w:rFonts w:hint="eastAsia" w:ascii="黑体" w:hAnsi="黑体" w:eastAsia="黑体"/>
          <w:b/>
          <w:bCs/>
          <w:sz w:val="32"/>
          <w:szCs w:val="32"/>
        </w:rPr>
        <w:t>年月日</w:t>
      </w:r>
    </w:p>
    <w:p>
      <w:pPr>
        <w:jc w:val="center"/>
        <w:rPr>
          <w:rFonts w:ascii="黑体" w:hAnsi="宋体" w:eastAsia="黑体"/>
          <w:b/>
          <w:bCs/>
          <w:sz w:val="32"/>
          <w:szCs w:val="32"/>
        </w:rPr>
      </w:pPr>
    </w:p>
    <w:p>
      <w:pPr>
        <w:jc w:val="center"/>
        <w:rPr>
          <w:rFonts w:ascii="黑体" w:hAnsi="宋体" w:eastAsia="黑体"/>
          <w:b/>
          <w:bCs/>
          <w:sz w:val="32"/>
          <w:szCs w:val="32"/>
        </w:rPr>
      </w:pPr>
      <w:r>
        <w:rPr>
          <w:rFonts w:hint="eastAsia" w:ascii="黑体" w:hAnsi="宋体" w:eastAsia="黑体"/>
          <w:b/>
          <w:bCs/>
          <w:sz w:val="32"/>
          <w:szCs w:val="32"/>
        </w:rPr>
        <w:br w:type="page"/>
      </w:r>
      <w:r>
        <w:rPr>
          <w:rFonts w:hint="eastAsia" w:ascii="黑体" w:hAnsi="黑体" w:eastAsia="黑体"/>
          <w:b/>
          <w:bCs/>
          <w:sz w:val="32"/>
          <w:szCs w:val="32"/>
        </w:rPr>
        <w:t>目录</w:t>
      </w:r>
    </w:p>
    <w:p>
      <w:pPr>
        <w:jc w:val="center"/>
        <w:rPr>
          <w:rFonts w:ascii="黑体" w:hAnsi="宋体" w:eastAsia="黑体"/>
          <w:b/>
          <w:bCs/>
          <w:sz w:val="32"/>
          <w:szCs w:val="32"/>
        </w:rPr>
      </w:pP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一、项目管理机构配备情况；</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二、投标单位基本信息表；</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三、资格证明文件；</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四、承诺书</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五、其它需要提供的材料</w:t>
      </w:r>
    </w:p>
    <w:p>
      <w:pPr>
        <w:autoSpaceDE w:val="0"/>
        <w:autoSpaceDN w:val="0"/>
        <w:adjustRightInd w:val="0"/>
        <w:ind w:firstLine="708" w:firstLineChars="294"/>
        <w:rPr>
          <w:rFonts w:ascii="宋体" w:hAnsi="宋体" w:cs="仿宋_GB2312"/>
          <w:b/>
          <w:bCs/>
          <w:kern w:val="0"/>
          <w:sz w:val="24"/>
          <w:szCs w:val="24"/>
        </w:rPr>
      </w:pPr>
    </w:p>
    <w:p>
      <w:pPr>
        <w:autoSpaceDE w:val="0"/>
        <w:autoSpaceDN w:val="0"/>
        <w:adjustRightInd w:val="0"/>
        <w:outlineLvl w:val="0"/>
        <w:rPr>
          <w:rFonts w:ascii="宋体" w:hAnsi="宋体" w:cs="黑体"/>
          <w:b/>
          <w:bCs/>
          <w:kern w:val="0"/>
          <w:sz w:val="36"/>
          <w:szCs w:val="36"/>
        </w:rPr>
      </w:pP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投标文件编制过程中应按本章提供的格式填报。</w:t>
      </w:r>
    </w:p>
    <w:p>
      <w:pPr>
        <w:autoSpaceDE w:val="0"/>
        <w:autoSpaceDN w:val="0"/>
        <w:adjustRightInd w:val="0"/>
        <w:ind w:left="718" w:leftChars="342"/>
        <w:jc w:val="left"/>
        <w:rPr>
          <w:rFonts w:ascii="宋体" w:hAnsi="宋体" w:cs="仿宋_GB2312"/>
          <w:b/>
          <w:bCs/>
          <w:kern w:val="0"/>
          <w:sz w:val="24"/>
          <w:szCs w:val="24"/>
        </w:rPr>
      </w:pPr>
      <w:r>
        <w:rPr>
          <w:rFonts w:hint="eastAsia" w:ascii="宋体" w:hAnsi="宋体" w:cs="仿宋_GB2312"/>
          <w:b/>
          <w:bCs/>
          <w:kern w:val="0"/>
          <w:sz w:val="24"/>
          <w:szCs w:val="24"/>
        </w:rPr>
        <w:t>如有本章未提供的格式，投标人可自行编制。</w:t>
      </w: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outlineLvl w:val="0"/>
        <w:rPr>
          <w:rFonts w:ascii="宋体" w:hAnsi="宋体" w:cs="黑体"/>
          <w:b/>
          <w:bCs/>
          <w:kern w:val="0"/>
          <w:sz w:val="36"/>
          <w:szCs w:val="36"/>
        </w:rPr>
      </w:pPr>
    </w:p>
    <w:p>
      <w:pPr>
        <w:autoSpaceDE w:val="0"/>
        <w:autoSpaceDN w:val="0"/>
        <w:adjustRightInd w:val="0"/>
        <w:jc w:val="center"/>
        <w:outlineLvl w:val="0"/>
        <w:rPr>
          <w:rFonts w:ascii="黑体" w:hAnsi="宋体" w:eastAsia="黑体"/>
          <w:kern w:val="0"/>
          <w:sz w:val="32"/>
          <w:szCs w:val="32"/>
        </w:rPr>
      </w:pPr>
      <w:r>
        <w:rPr>
          <w:rFonts w:ascii="黑体" w:hAnsi="黑体" w:eastAsia="黑体"/>
          <w:kern w:val="0"/>
          <w:sz w:val="32"/>
          <w:szCs w:val="32"/>
        </w:rPr>
        <w:br w:type="page"/>
      </w:r>
      <w:r>
        <w:rPr>
          <w:rFonts w:hint="eastAsia" w:ascii="黑体" w:hAnsi="黑体" w:eastAsia="黑体"/>
          <w:kern w:val="0"/>
          <w:sz w:val="32"/>
          <w:szCs w:val="32"/>
        </w:rPr>
        <w:t>项目管理机构配备情况</w:t>
      </w:r>
    </w:p>
    <w:p>
      <w:pPr>
        <w:spacing w:after="312" w:afterLines="100"/>
        <w:rPr>
          <w:rFonts w:ascii="黑体" w:hAnsi="宋体" w:eastAsia="黑体"/>
          <w:sz w:val="24"/>
          <w:szCs w:val="24"/>
        </w:rPr>
      </w:pPr>
      <w:r>
        <w:rPr>
          <w:rFonts w:hint="eastAsia" w:ascii="黑体" w:hAnsi="黑体" w:eastAsia="黑体"/>
          <w:sz w:val="24"/>
          <w:szCs w:val="24"/>
        </w:rPr>
        <w:t>（一）项目管理机构组成表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职务</w:t>
            </w:r>
          </w:p>
        </w:tc>
        <w:tc>
          <w:tcPr>
            <w:tcW w:w="781" w:type="dxa"/>
            <w:vMerge w:val="restart"/>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姓名</w:t>
            </w:r>
          </w:p>
        </w:tc>
        <w:tc>
          <w:tcPr>
            <w:tcW w:w="781" w:type="dxa"/>
            <w:vMerge w:val="restart"/>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职称</w:t>
            </w:r>
          </w:p>
        </w:tc>
        <w:tc>
          <w:tcPr>
            <w:tcW w:w="5200" w:type="dxa"/>
            <w:gridSpan w:val="5"/>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执业或职业资格证明</w:t>
            </w:r>
          </w:p>
        </w:tc>
        <w:tc>
          <w:tcPr>
            <w:tcW w:w="720" w:type="dxa"/>
            <w:vMerge w:val="restart"/>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rPr>
            </w:pPr>
          </w:p>
        </w:tc>
        <w:tc>
          <w:tcPr>
            <w:tcW w:w="78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rPr>
            </w:pPr>
          </w:p>
        </w:tc>
        <w:tc>
          <w:tcPr>
            <w:tcW w:w="78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证书</w:t>
            </w:r>
          </w:p>
          <w:p>
            <w:pPr>
              <w:jc w:val="center"/>
              <w:rPr>
                <w:rFonts w:ascii="宋体" w:hAnsi="宋体"/>
              </w:rPr>
            </w:pPr>
            <w:r>
              <w:rPr>
                <w:rFonts w:hint="eastAsia" w:ascii="宋体" w:hAnsi="宋体"/>
              </w:rPr>
              <w:t>名称</w:t>
            </w: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级别</w:t>
            </w: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证号</w:t>
            </w: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专业</w:t>
            </w: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养老保险</w:t>
            </w:r>
          </w:p>
        </w:tc>
        <w:tc>
          <w:tcPr>
            <w:tcW w:w="7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8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9"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3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8"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bl>
    <w:p>
      <w:pPr>
        <w:rPr>
          <w:rFonts w:ascii="宋体" w:hAnsi="宋体"/>
        </w:rPr>
      </w:pPr>
    </w:p>
    <w:p>
      <w:pPr>
        <w:rPr>
          <w:rFonts w:ascii="黑体" w:hAnsi="宋体" w:eastAsia="黑体"/>
          <w:sz w:val="24"/>
          <w:szCs w:val="24"/>
        </w:rPr>
      </w:pPr>
      <w:r>
        <w:rPr>
          <w:rFonts w:hint="eastAsia" w:ascii="宋体" w:hAnsi="宋体"/>
        </w:rPr>
        <w:br w:type="page"/>
      </w:r>
      <w:r>
        <w:rPr>
          <w:rFonts w:hint="eastAsia" w:ascii="黑体" w:hAnsi="黑体" w:eastAsia="黑体"/>
          <w:sz w:val="24"/>
          <w:szCs w:val="24"/>
        </w:rPr>
        <w:t>（二）主要人员简历表</w:t>
      </w:r>
    </w:p>
    <w:p>
      <w:pPr>
        <w:rPr>
          <w:rFonts w:ascii="黑体" w:hAnsi="宋体" w:eastAsia="黑体"/>
          <w:sz w:val="24"/>
          <w:szCs w:val="24"/>
        </w:rPr>
      </w:pPr>
      <w:r>
        <w:rPr>
          <w:rFonts w:hint="eastAsia" w:ascii="黑体" w:hAnsi="黑体" w:eastAsia="黑体"/>
          <w:sz w:val="24"/>
          <w:szCs w:val="24"/>
        </w:rPr>
        <w:t>附</w:t>
      </w:r>
      <w:r>
        <w:rPr>
          <w:rFonts w:hint="eastAsia" w:ascii="黑体" w:hAnsi="宋体" w:eastAsia="黑体"/>
          <w:sz w:val="24"/>
          <w:szCs w:val="24"/>
        </w:rPr>
        <w:t>1：项目经理简历表</w:t>
      </w:r>
    </w:p>
    <w:p>
      <w:pPr>
        <w:rPr>
          <w:rFonts w:ascii="宋体" w:hAnsi="宋体"/>
        </w:rPr>
      </w:pPr>
      <w:r>
        <w:rPr>
          <w:rFonts w:hint="eastAsia" w:ascii="宋体" w:hAnsi="宋体"/>
        </w:rPr>
        <w:t>项目经理应附建造师证、身份证、职称证、养老保险扫描件，如有管理过的项目业绩须附</w:t>
      </w:r>
      <w:r>
        <w:rPr>
          <w:rFonts w:hint="eastAsia" w:ascii="宋体" w:hAnsi="宋体" w:cs="仿宋_GB2312"/>
          <w:kern w:val="0"/>
        </w:rPr>
        <w:t>施工合同和竣工验收备案表（或施工合同和中标通知书）</w:t>
      </w:r>
      <w:r>
        <w:rPr>
          <w:rFonts w:hint="eastAsia" w:ascii="宋体" w:hAnsi="宋体"/>
        </w:rPr>
        <w:t>扫描件。类似项目限于以项目经理身份参与的项目。</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40"/>
        <w:gridCol w:w="1249"/>
        <w:gridCol w:w="1176"/>
        <w:gridCol w:w="229"/>
        <w:gridCol w:w="1541"/>
        <w:gridCol w:w="6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姓名</w:t>
            </w:r>
          </w:p>
        </w:tc>
        <w:tc>
          <w:tcPr>
            <w:tcW w:w="1140"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年龄</w:t>
            </w:r>
          </w:p>
        </w:tc>
        <w:tc>
          <w:tcPr>
            <w:tcW w:w="117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770"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学历</w:t>
            </w:r>
          </w:p>
        </w:tc>
        <w:tc>
          <w:tcPr>
            <w:tcW w:w="181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职称</w:t>
            </w:r>
          </w:p>
        </w:tc>
        <w:tc>
          <w:tcPr>
            <w:tcW w:w="1140"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职务</w:t>
            </w:r>
          </w:p>
        </w:tc>
        <w:tc>
          <w:tcPr>
            <w:tcW w:w="1176"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770"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拟在本工程任职</w:t>
            </w:r>
          </w:p>
        </w:tc>
        <w:tc>
          <w:tcPr>
            <w:tcW w:w="181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注册建造师执业资格等级</w:t>
            </w:r>
          </w:p>
        </w:tc>
        <w:tc>
          <w:tcPr>
            <w:tcW w:w="117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级</w:t>
            </w:r>
          </w:p>
        </w:tc>
        <w:tc>
          <w:tcPr>
            <w:tcW w:w="1770"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建造师专业</w:t>
            </w:r>
          </w:p>
        </w:tc>
        <w:tc>
          <w:tcPr>
            <w:tcW w:w="181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安全生产考核合格证书</w:t>
            </w:r>
          </w:p>
        </w:tc>
        <w:tc>
          <w:tcPr>
            <w:tcW w:w="4761" w:type="dxa"/>
            <w:gridSpan w:val="5"/>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毕业学校</w:t>
            </w:r>
          </w:p>
        </w:tc>
        <w:tc>
          <w:tcPr>
            <w:tcW w:w="7150" w:type="dxa"/>
            <w:gridSpan w:val="7"/>
            <w:tcBorders>
              <w:top w:val="single" w:color="auto" w:sz="4" w:space="0"/>
              <w:left w:val="nil"/>
              <w:bottom w:val="single" w:color="auto" w:sz="4" w:space="0"/>
              <w:right w:val="single" w:color="auto" w:sz="4" w:space="0"/>
            </w:tcBorders>
            <w:vAlign w:val="center"/>
          </w:tcPr>
          <w:p>
            <w:pPr>
              <w:ind w:firstLine="840" w:firstLineChars="400"/>
              <w:rPr>
                <w:rFonts w:ascii="宋体" w:hAnsi="宋体"/>
              </w:rPr>
            </w:pPr>
            <w:r>
              <w:rPr>
                <w:rFonts w:hint="eastAsia" w:ascii="宋体" w:hAnsi="宋体"/>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时间</w:t>
            </w:r>
          </w:p>
        </w:tc>
        <w:tc>
          <w:tcPr>
            <w:tcW w:w="379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参加过的类似项目名称</w:t>
            </w:r>
          </w:p>
        </w:tc>
        <w:tc>
          <w:tcPr>
            <w:tcW w:w="1601"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工程概况说明</w:t>
            </w:r>
          </w:p>
        </w:tc>
        <w:tc>
          <w:tcPr>
            <w:tcW w:w="1755"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379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601"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755"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379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601"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755"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bl>
    <w:p>
      <w:pPr>
        <w:rPr>
          <w:rFonts w:ascii="黑体" w:hAnsi="宋体" w:eastAsia="黑体"/>
          <w:sz w:val="24"/>
          <w:szCs w:val="24"/>
        </w:rPr>
      </w:pPr>
      <w:r>
        <w:rPr>
          <w:rFonts w:hint="eastAsia" w:ascii="黑体" w:hAnsi="黑体" w:eastAsia="黑体"/>
          <w:sz w:val="24"/>
          <w:szCs w:val="24"/>
        </w:rPr>
        <w:t>附</w:t>
      </w:r>
      <w:r>
        <w:rPr>
          <w:rFonts w:hint="eastAsia" w:ascii="黑体" w:hAnsi="宋体" w:eastAsia="黑体"/>
          <w:sz w:val="24"/>
          <w:szCs w:val="24"/>
        </w:rPr>
        <w:t>2：主要项目管理人员简历表</w:t>
      </w:r>
    </w:p>
    <w:p>
      <w:pPr>
        <w:ind w:firstLine="420" w:firstLineChars="200"/>
        <w:rPr>
          <w:rFonts w:ascii="宋体" w:hAnsi="宋体"/>
        </w:rPr>
      </w:pPr>
      <w:r>
        <w:rPr>
          <w:rFonts w:hint="eastAsia" w:ascii="宋体" w:hAnsi="宋体"/>
        </w:rPr>
        <w:t>主要项目管理人员指技术负责人、合同商务负责人、专职安全生产管理人员等岗位人员。</w:t>
      </w:r>
    </w:p>
    <w:p>
      <w:pPr>
        <w:pStyle w:val="9"/>
        <w:ind w:left="2250" w:hanging="1200"/>
        <w:jc w:val="center"/>
      </w:pPr>
      <w:r>
        <w:br w:type="page"/>
      </w:r>
      <w:bookmarkStart w:id="356" w:name="_Toc464824798"/>
      <w:bookmarkEnd w:id="356"/>
      <w:bookmarkStart w:id="357" w:name="_Toc397507827"/>
      <w:bookmarkEnd w:id="357"/>
      <w:bookmarkStart w:id="358" w:name="_Toc397606023"/>
      <w:bookmarkEnd w:id="358"/>
      <w:bookmarkStart w:id="359" w:name="_Toc397508154"/>
      <w:bookmarkEnd w:id="359"/>
      <w:bookmarkStart w:id="360" w:name="_Toc13801"/>
      <w:r>
        <w:rPr>
          <w:rFonts w:hint="eastAsia" w:ascii="黑体" w:hAnsi="黑体" w:eastAsia="黑体"/>
          <w:sz w:val="32"/>
          <w:szCs w:val="32"/>
        </w:rPr>
        <w:t>投标单位基本信息表</w:t>
      </w:r>
      <w:bookmarkEnd w:id="36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投标人名称</w:t>
            </w:r>
          </w:p>
        </w:tc>
        <w:tc>
          <w:tcPr>
            <w:tcW w:w="7020" w:type="dxa"/>
            <w:gridSpan w:val="9"/>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注册地址</w:t>
            </w:r>
          </w:p>
        </w:tc>
        <w:tc>
          <w:tcPr>
            <w:tcW w:w="3389" w:type="dxa"/>
            <w:gridSpan w:val="5"/>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邮政编码</w:t>
            </w:r>
          </w:p>
        </w:tc>
        <w:tc>
          <w:tcPr>
            <w:tcW w:w="2385"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联系方式</w:t>
            </w:r>
          </w:p>
        </w:tc>
        <w:tc>
          <w:tcPr>
            <w:tcW w:w="897"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联系人</w:t>
            </w:r>
          </w:p>
        </w:tc>
        <w:tc>
          <w:tcPr>
            <w:tcW w:w="2492"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电话</w:t>
            </w:r>
          </w:p>
        </w:tc>
        <w:tc>
          <w:tcPr>
            <w:tcW w:w="2385"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897"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传真</w:t>
            </w:r>
          </w:p>
        </w:tc>
        <w:tc>
          <w:tcPr>
            <w:tcW w:w="2492"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46"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网址</w:t>
            </w:r>
          </w:p>
        </w:tc>
        <w:tc>
          <w:tcPr>
            <w:tcW w:w="2385"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组织结构</w:t>
            </w:r>
          </w:p>
        </w:tc>
        <w:tc>
          <w:tcPr>
            <w:tcW w:w="7020" w:type="dxa"/>
            <w:gridSpan w:val="9"/>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w:t>
            </w:r>
          </w:p>
        </w:tc>
        <w:tc>
          <w:tcPr>
            <w:tcW w:w="897"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姓名</w:t>
            </w:r>
          </w:p>
        </w:tc>
        <w:tc>
          <w:tcPr>
            <w:tcW w:w="102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技术职称</w:t>
            </w:r>
          </w:p>
        </w:tc>
        <w:tc>
          <w:tcPr>
            <w:tcW w:w="1701"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电话</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技术负责人</w:t>
            </w:r>
          </w:p>
        </w:tc>
        <w:tc>
          <w:tcPr>
            <w:tcW w:w="897"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姓名</w:t>
            </w:r>
          </w:p>
        </w:tc>
        <w:tc>
          <w:tcPr>
            <w:tcW w:w="1021"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技术职称</w:t>
            </w:r>
          </w:p>
        </w:tc>
        <w:tc>
          <w:tcPr>
            <w:tcW w:w="1701"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电话</w:t>
            </w: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成立时间</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5102" w:type="dxa"/>
            <w:gridSpan w:val="7"/>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企业资质等级</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3" w:type="dxa"/>
            <w:vMerge w:val="restart"/>
            <w:tcBorders>
              <w:top w:val="nil"/>
              <w:left w:val="nil"/>
              <w:bottom w:val="single" w:color="auto" w:sz="4" w:space="0"/>
              <w:right w:val="single" w:color="auto" w:sz="4" w:space="0"/>
            </w:tcBorders>
            <w:vAlign w:val="center"/>
          </w:tcPr>
          <w:p>
            <w:pPr>
              <w:jc w:val="center"/>
              <w:rPr>
                <w:rFonts w:ascii="宋体" w:hAnsi="宋体"/>
              </w:rPr>
            </w:pPr>
            <w:r>
              <w:rPr>
                <w:rFonts w:hint="eastAsia" w:ascii="宋体" w:hAnsi="宋体"/>
              </w:rPr>
              <w:t>其中</w:t>
            </w:r>
          </w:p>
        </w:tc>
        <w:tc>
          <w:tcPr>
            <w:tcW w:w="198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项目负责人</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营业执照号</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3"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198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高级职称人员</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注册资金</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3"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198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中级职称人员</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开户银行</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3"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198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初级职称人员</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账号</w:t>
            </w:r>
          </w:p>
        </w:tc>
        <w:tc>
          <w:tcPr>
            <w:tcW w:w="191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993"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198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技工</w:t>
            </w:r>
          </w:p>
        </w:tc>
        <w:tc>
          <w:tcPr>
            <w:tcW w:w="2125"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经营范围</w:t>
            </w:r>
          </w:p>
        </w:tc>
        <w:tc>
          <w:tcPr>
            <w:tcW w:w="7020" w:type="dxa"/>
            <w:gridSpan w:val="9"/>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备注</w:t>
            </w:r>
          </w:p>
        </w:tc>
        <w:tc>
          <w:tcPr>
            <w:tcW w:w="7020" w:type="dxa"/>
            <w:gridSpan w:val="9"/>
            <w:tcBorders>
              <w:top w:val="single" w:color="auto" w:sz="4" w:space="0"/>
              <w:left w:val="nil"/>
              <w:bottom w:val="single" w:color="auto" w:sz="4" w:space="0"/>
              <w:right w:val="single" w:color="auto" w:sz="4" w:space="0"/>
            </w:tcBorders>
            <w:vAlign w:val="center"/>
          </w:tcPr>
          <w:p>
            <w:pPr>
              <w:jc w:val="center"/>
              <w:rPr>
                <w:rFonts w:ascii="宋体" w:hAnsi="宋体"/>
              </w:rPr>
            </w:pPr>
          </w:p>
        </w:tc>
      </w:tr>
    </w:tbl>
    <w:p>
      <w:pPr>
        <w:rPr>
          <w:rFonts w:ascii="黑体" w:hAnsi="宋体" w:eastAsia="黑体"/>
          <w:b/>
          <w:bCs/>
          <w:sz w:val="24"/>
          <w:szCs w:val="24"/>
        </w:rPr>
      </w:pPr>
      <w:r>
        <w:rPr>
          <w:rFonts w:hint="eastAsia" w:ascii="宋体" w:hAnsi="宋体"/>
          <w:sz w:val="24"/>
          <w:szCs w:val="24"/>
        </w:rPr>
        <w:br w:type="page"/>
      </w:r>
      <w:r>
        <w:rPr>
          <w:rFonts w:hint="eastAsia" w:ascii="宋体" w:hAnsi="宋体"/>
          <w:sz w:val="24"/>
          <w:szCs w:val="24"/>
        </w:rPr>
        <w:t>近年完成的类似项目情况表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5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项目名称</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项目所在地</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发包人名称</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发包人地址</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发包人联系人及电话</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合同价格</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开工日期</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竣工日期</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承担的工作</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工程质量</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项目经理</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技术负责人</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项目负责人及电话</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项目描述</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3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备注</w:t>
            </w:r>
          </w:p>
        </w:tc>
        <w:tc>
          <w:tcPr>
            <w:tcW w:w="5892" w:type="dxa"/>
            <w:tcBorders>
              <w:top w:val="single" w:color="auto" w:sz="4" w:space="0"/>
              <w:left w:val="nil"/>
              <w:bottom w:val="single" w:color="auto" w:sz="4" w:space="0"/>
              <w:right w:val="single" w:color="auto" w:sz="4" w:space="0"/>
            </w:tcBorders>
            <w:vAlign w:val="center"/>
          </w:tcPr>
          <w:p>
            <w:pPr>
              <w:rPr>
                <w:rFonts w:ascii="宋体" w:hAnsi="宋体"/>
              </w:rPr>
            </w:pPr>
          </w:p>
        </w:tc>
      </w:tr>
    </w:tbl>
    <w:p>
      <w:pPr>
        <w:autoSpaceDE w:val="0"/>
        <w:autoSpaceDN w:val="0"/>
        <w:adjustRightInd w:val="0"/>
        <w:jc w:val="left"/>
        <w:outlineLvl w:val="0"/>
        <w:rPr>
          <w:rFonts w:ascii="宋体" w:hAnsi="宋体"/>
        </w:rPr>
      </w:pPr>
      <w:r>
        <w:rPr>
          <w:rFonts w:hint="eastAsia" w:ascii="黑体" w:hAnsi="黑体" w:eastAsia="黑体"/>
        </w:rPr>
        <w:t>备注：</w:t>
      </w:r>
      <w:r>
        <w:rPr>
          <w:rFonts w:hint="eastAsia" w:ascii="宋体" w:hAnsi="宋体"/>
        </w:rPr>
        <w:t>1、类似项目指：见前附表</w:t>
      </w:r>
    </w:p>
    <w:p>
      <w:pPr>
        <w:autoSpaceDE w:val="0"/>
        <w:autoSpaceDN w:val="0"/>
        <w:adjustRightInd w:val="0"/>
        <w:jc w:val="left"/>
        <w:outlineLvl w:val="0"/>
        <w:rPr>
          <w:rFonts w:ascii="宋体" w:hAnsi="宋体"/>
        </w:rPr>
      </w:pPr>
      <w:r>
        <w:rPr>
          <w:rFonts w:hint="eastAsia" w:ascii="宋体" w:hAnsi="宋体"/>
        </w:rPr>
        <w:t>2、本表后应附</w:t>
      </w:r>
      <w:r>
        <w:rPr>
          <w:rFonts w:hint="eastAsia" w:ascii="新宋体" w:hAnsi="新宋体" w:eastAsia="新宋体" w:cs="宋体"/>
          <w:kern w:val="0"/>
        </w:rPr>
        <w:t>法定媒介中标(成交)公示网页截图、合同、中标通知书(或竣工备案表)</w:t>
      </w:r>
      <w:r>
        <w:rPr>
          <w:rFonts w:hint="eastAsia" w:ascii="宋体" w:hAnsi="宋体"/>
        </w:rPr>
        <w:t>，具体年份要求见投标人须知前附表。每张表格只填写一个项目，并标明序号。</w:t>
      </w:r>
      <w:r>
        <w:rPr>
          <w:rFonts w:hint="eastAsia" w:ascii="宋体" w:hAnsi="宋体"/>
        </w:rPr>
        <w:br w:type="page"/>
      </w:r>
      <w:bookmarkStart w:id="361" w:name="_Toc397507828"/>
      <w:bookmarkEnd w:id="361"/>
      <w:bookmarkStart w:id="362" w:name="_Toc397508155"/>
      <w:bookmarkEnd w:id="362"/>
      <w:bookmarkStart w:id="363" w:name="_Toc397606024"/>
      <w:bookmarkEnd w:id="363"/>
    </w:p>
    <w:p>
      <w:pPr>
        <w:autoSpaceDE w:val="0"/>
        <w:autoSpaceDN w:val="0"/>
        <w:adjustRightInd w:val="0"/>
        <w:jc w:val="center"/>
        <w:outlineLvl w:val="0"/>
        <w:rPr>
          <w:rFonts w:ascii="宋体" w:hAnsi="宋体"/>
          <w:b/>
          <w:bCs/>
          <w:sz w:val="32"/>
          <w:szCs w:val="32"/>
        </w:rPr>
      </w:pPr>
      <w:bookmarkStart w:id="364" w:name="_Toc23612"/>
      <w:bookmarkEnd w:id="364"/>
      <w:bookmarkStart w:id="365" w:name="_Toc464824799"/>
      <w:bookmarkEnd w:id="365"/>
      <w:r>
        <w:rPr>
          <w:rFonts w:hint="eastAsia" w:ascii="宋体" w:hAnsi="宋体"/>
          <w:b/>
          <w:bCs/>
          <w:sz w:val="32"/>
          <w:szCs w:val="32"/>
        </w:rPr>
        <w:t>资格证明文件</w:t>
      </w:r>
    </w:p>
    <w:p>
      <w:pPr>
        <w:autoSpaceDE w:val="0"/>
        <w:autoSpaceDN w:val="0"/>
        <w:adjustRightInd w:val="0"/>
        <w:ind w:right="215" w:firstLine="420"/>
        <w:jc w:val="center"/>
      </w:pPr>
      <w:r>
        <w:rPr>
          <w:rFonts w:hint="eastAsia" w:ascii="宋体" w:hAnsi="宋体"/>
        </w:rPr>
        <w:t>（投标人资格要求及评标办法中涉及的相关资格证明文件及材料）</w:t>
      </w:r>
    </w:p>
    <w:p>
      <w:pPr>
        <w:spacing w:after="312" w:afterLines="100"/>
        <w:rPr>
          <w:rFonts w:ascii="宋体" w:hAnsi="宋体"/>
        </w:rPr>
      </w:pPr>
    </w:p>
    <w:p>
      <w:pPr>
        <w:autoSpaceDE w:val="0"/>
        <w:autoSpaceDN w:val="0"/>
        <w:jc w:val="center"/>
        <w:outlineLvl w:val="0"/>
        <w:rPr>
          <w:rFonts w:ascii="新宋体" w:hAnsi="新宋体" w:eastAsia="新宋体" w:cs="TimesNewRomanPSMT"/>
          <w:b/>
          <w:bCs/>
          <w:kern w:val="0"/>
          <w:sz w:val="32"/>
          <w:szCs w:val="32"/>
        </w:rPr>
      </w:pPr>
      <w:r>
        <w:rPr>
          <w:rFonts w:hint="eastAsia" w:ascii="新宋体" w:hAnsi="新宋体" w:eastAsia="新宋体" w:cs="TimesNewRomanPSMT"/>
          <w:b/>
          <w:bCs/>
          <w:kern w:val="0"/>
          <w:sz w:val="32"/>
          <w:szCs w:val="32"/>
        </w:rPr>
        <w:br w:type="page"/>
      </w:r>
      <w:r>
        <w:rPr>
          <w:rFonts w:hint="eastAsia" w:ascii="新宋体" w:hAnsi="新宋体" w:eastAsia="新宋体" w:cs="TimesNewRomanPSMT"/>
          <w:b/>
          <w:bCs/>
          <w:kern w:val="0"/>
          <w:sz w:val="32"/>
          <w:szCs w:val="32"/>
        </w:rPr>
        <w:t>承诺书</w:t>
      </w:r>
    </w:p>
    <w:p>
      <w:pPr>
        <w:autoSpaceDE w:val="0"/>
        <w:autoSpaceDN w:val="0"/>
        <w:adjustRightInd w:val="0"/>
        <w:jc w:val="center"/>
        <w:rPr>
          <w:rFonts w:ascii="新宋体" w:hAnsi="新宋体" w:eastAsia="新宋体" w:cs="TimesNewRomanPSMT"/>
          <w:b/>
          <w:bCs/>
          <w:kern w:val="0"/>
          <w:sz w:val="40"/>
          <w:szCs w:val="32"/>
        </w:rPr>
      </w:pPr>
      <w:r>
        <w:rPr>
          <w:rFonts w:hint="eastAsia" w:ascii="宋体" w:hAnsi="宋体"/>
          <w:sz w:val="24"/>
        </w:rPr>
        <w:t>（评标办法中涉及的相关承诺书及材料）</w:t>
      </w: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jc w:val="center"/>
        <w:rPr>
          <w:rFonts w:ascii="新宋体" w:hAnsi="新宋体" w:eastAsia="新宋体" w:cs="TimesNewRomanPSMT"/>
          <w:b/>
          <w:bCs/>
          <w:kern w:val="0"/>
          <w:sz w:val="32"/>
          <w:szCs w:val="32"/>
        </w:rPr>
      </w:pPr>
      <w:r>
        <w:rPr>
          <w:rFonts w:hint="eastAsia" w:ascii="新宋体" w:hAnsi="新宋体" w:eastAsia="新宋体" w:cs="TimesNewRomanPSMT"/>
          <w:b/>
          <w:bCs/>
          <w:kern w:val="0"/>
          <w:sz w:val="32"/>
          <w:szCs w:val="32"/>
        </w:rPr>
        <w:br w:type="page"/>
      </w:r>
      <w:r>
        <w:rPr>
          <w:rFonts w:hint="eastAsia" w:ascii="新宋体" w:hAnsi="新宋体" w:eastAsia="新宋体" w:cs="TimesNewRomanPSMT"/>
          <w:b/>
          <w:bCs/>
          <w:kern w:val="0"/>
          <w:sz w:val="32"/>
          <w:szCs w:val="32"/>
        </w:rPr>
        <w:t>其他需要提供的材料（如有）</w:t>
      </w:r>
    </w:p>
    <w:p>
      <w:pPr>
        <w:ind w:left="180"/>
        <w:jc w:val="right"/>
        <w:rPr>
          <w:rFonts w:ascii="宋体"/>
          <w:sz w:val="24"/>
          <w:szCs w:val="24"/>
        </w:rPr>
      </w:pPr>
    </w:p>
    <w:p>
      <w:pPr>
        <w:autoSpaceDE w:val="0"/>
        <w:autoSpaceDN w:val="0"/>
        <w:adjustRightInd w:val="0"/>
        <w:spacing w:line="360" w:lineRule="auto"/>
        <w:ind w:right="215" w:firstLine="420"/>
        <w:jc w:val="center"/>
        <w:rPr>
          <w:sz w:val="24"/>
        </w:rPr>
      </w:pPr>
      <w:r>
        <w:rPr>
          <w:rFonts w:hint="eastAsia" w:ascii="宋体" w:hAnsi="宋体"/>
          <w:sz w:val="24"/>
        </w:rPr>
        <w:t>(可提供招标文件中要求但并未提供格式的材料</w:t>
      </w:r>
      <w:r>
        <w:rPr>
          <w:rFonts w:hint="eastAsia"/>
          <w:sz w:val="24"/>
        </w:rPr>
        <w:t>)</w:t>
      </w:r>
    </w:p>
    <w:p>
      <w:pPr>
        <w:autoSpaceDE w:val="0"/>
        <w:autoSpaceDN w:val="0"/>
        <w:adjustRightInd w:val="0"/>
        <w:spacing w:line="360" w:lineRule="auto"/>
        <w:ind w:right="215" w:firstLine="420"/>
        <w:rPr>
          <w:rFonts w:ascii="宋体" w:hAnsi="宋体"/>
          <w:sz w:val="24"/>
        </w:rPr>
      </w:pPr>
      <w:r>
        <w:rPr>
          <w:rFonts w:hint="eastAsia" w:ascii="宋体" w:hAnsi="宋体"/>
          <w:sz w:val="24"/>
        </w:rPr>
        <w:t>需提供近年来发生的诉讼及仲裁情况：近年来发生过的诉讼和仲裁情况仅限于投标人败诉的，且履行施工承包合同有关的案件，不包括调解结案以及未裁决的仲裁或未终审判决的诉讼。</w:t>
      </w:r>
    </w:p>
    <w:p>
      <w:pPr>
        <w:ind w:left="180"/>
        <w:jc w:val="center"/>
        <w:rPr>
          <w:rFonts w:ascii="宋体"/>
          <w:sz w:val="24"/>
          <w:szCs w:val="24"/>
        </w:rPr>
      </w:pPr>
    </w:p>
    <w:p>
      <w:pPr>
        <w:ind w:left="180"/>
        <w:jc w:val="right"/>
        <w:rPr>
          <w:rFonts w:ascii="宋体"/>
          <w:sz w:val="24"/>
          <w:szCs w:val="24"/>
        </w:rPr>
      </w:pPr>
    </w:p>
    <w:p>
      <w:pPr>
        <w:ind w:left="180"/>
        <w:jc w:val="right"/>
        <w:rPr>
          <w:rFonts w:ascii="宋体"/>
          <w:sz w:val="24"/>
          <w:szCs w:val="24"/>
        </w:rPr>
      </w:pPr>
    </w:p>
    <w:p>
      <w:pPr>
        <w:rPr>
          <w:rFonts w:ascii="宋体"/>
          <w:sz w:val="24"/>
          <w:szCs w:val="24"/>
        </w:rPr>
      </w:pPr>
    </w:p>
    <w:p>
      <w:pPr>
        <w:ind w:left="180"/>
        <w:jc w:val="right"/>
        <w:rPr>
          <w:rFonts w:ascii="宋体"/>
          <w:sz w:val="24"/>
          <w:szCs w:val="24"/>
        </w:rPr>
      </w:pPr>
    </w:p>
    <w:p>
      <w:pPr>
        <w:ind w:left="180"/>
        <w:jc w:val="right"/>
        <w:rPr>
          <w:rFonts w:ascii="宋体"/>
          <w:sz w:val="24"/>
          <w:szCs w:val="24"/>
        </w:rPr>
      </w:pPr>
    </w:p>
    <w:p>
      <w:pPr>
        <w:ind w:left="180"/>
        <w:jc w:val="right"/>
        <w:rPr>
          <w:rFonts w:ascii="宋体"/>
          <w:sz w:val="24"/>
          <w:szCs w:val="24"/>
        </w:rPr>
      </w:pPr>
    </w:p>
    <w:p>
      <w:pPr>
        <w:ind w:left="180"/>
        <w:jc w:val="right"/>
        <w:rPr>
          <w:rFonts w:ascii="宋体"/>
          <w:sz w:val="24"/>
          <w:szCs w:val="24"/>
        </w:rPr>
      </w:pPr>
    </w:p>
    <w:p>
      <w:pPr>
        <w:ind w:left="180"/>
        <w:jc w:val="right"/>
        <w:rPr>
          <w:rFonts w:ascii="宋体"/>
          <w:sz w:val="24"/>
          <w:szCs w:val="24"/>
        </w:rPr>
      </w:pPr>
    </w:p>
    <w:p>
      <w:pPr>
        <w:ind w:left="180"/>
        <w:jc w:val="right"/>
        <w:rPr>
          <w:rFonts w:ascii="宋体"/>
          <w:sz w:val="24"/>
          <w:szCs w:val="24"/>
        </w:rPr>
      </w:pPr>
    </w:p>
    <w:p>
      <w:pPr>
        <w:ind w:left="180"/>
        <w:jc w:val="right"/>
        <w:rPr>
          <w:rFonts w:ascii="宋体"/>
          <w:sz w:val="24"/>
          <w:szCs w:val="24"/>
        </w:rPr>
      </w:pPr>
    </w:p>
    <w:p>
      <w:pPr>
        <w:autoSpaceDE w:val="0"/>
        <w:autoSpaceDN w:val="0"/>
        <w:adjustRightInd w:val="0"/>
        <w:jc w:val="center"/>
        <w:rPr>
          <w:rFonts w:ascii="新宋体" w:hAnsi="新宋体" w:eastAsia="新宋体" w:cs="TimesNewRomanPSMT"/>
          <w:b/>
          <w:bCs/>
          <w:kern w:val="0"/>
          <w:sz w:val="32"/>
          <w:szCs w:val="32"/>
        </w:rPr>
      </w:pPr>
    </w:p>
    <w:p>
      <w:pPr>
        <w:autoSpaceDE w:val="0"/>
        <w:autoSpaceDN w:val="0"/>
        <w:adjustRightInd w:val="0"/>
        <w:outlineLvl w:val="0"/>
        <w:rPr>
          <w:rFonts w:ascii="宋体" w:hAnsi="宋体" w:cs="黑体"/>
          <w:b/>
          <w:bCs/>
          <w:kern w:val="0"/>
          <w:sz w:val="36"/>
          <w:szCs w:val="36"/>
        </w:rPr>
      </w:pPr>
    </w:p>
    <w:p>
      <w:pPr>
        <w:autoSpaceDE w:val="0"/>
        <w:autoSpaceDN w:val="0"/>
        <w:adjustRightInd w:val="0"/>
        <w:jc w:val="center"/>
        <w:rPr>
          <w:rFonts w:ascii="黑体" w:hAnsi="ˎ̥" w:eastAsia="黑体" w:cs="宋体"/>
          <w:b/>
          <w:bCs/>
          <w:kern w:val="0"/>
          <w:sz w:val="32"/>
          <w:szCs w:val="32"/>
        </w:rPr>
      </w:pPr>
      <w:r>
        <w:rPr>
          <w:rFonts w:hint="eastAsia" w:ascii="黑体" w:hAnsi="ˎ̥" w:eastAsia="黑体" w:cs="宋体"/>
          <w:b/>
          <w:bCs/>
          <w:kern w:val="0"/>
          <w:sz w:val="32"/>
          <w:szCs w:val="32"/>
        </w:rPr>
        <w:br w:type="page"/>
      </w:r>
    </w:p>
    <w:p>
      <w:pPr>
        <w:ind w:left="180"/>
        <w:rPr>
          <w:sz w:val="24"/>
          <w:szCs w:val="24"/>
        </w:rPr>
      </w:pPr>
    </w:p>
    <w:p>
      <w:pPr>
        <w:jc w:val="center"/>
        <w:rPr>
          <w:rFonts w:ascii="黑体" w:eastAsia="黑体"/>
          <w:b/>
          <w:bCs/>
          <w:sz w:val="36"/>
          <w:szCs w:val="36"/>
          <w:u w:val="single"/>
        </w:rPr>
      </w:pPr>
      <w:r>
        <w:rPr>
          <w:rFonts w:hint="eastAsia" w:ascii="黑体" w:eastAsia="黑体"/>
          <w:b/>
          <w:bCs/>
          <w:sz w:val="36"/>
          <w:szCs w:val="36"/>
          <w:u w:val="single"/>
        </w:rPr>
        <w:t xml:space="preserve">(项目名称)      </w:t>
      </w:r>
    </w:p>
    <w:p>
      <w:pPr>
        <w:ind w:left="180"/>
        <w:rPr>
          <w:sz w:val="24"/>
          <w:szCs w:val="24"/>
        </w:rPr>
      </w:pPr>
    </w:p>
    <w:p>
      <w:pPr>
        <w:ind w:left="180"/>
        <w:jc w:val="center"/>
        <w:rPr>
          <w:rFonts w:ascii="黑体" w:eastAsia="黑体"/>
          <w:b/>
          <w:bCs/>
          <w:sz w:val="52"/>
          <w:szCs w:val="52"/>
        </w:rPr>
      </w:pPr>
      <w:r>
        <w:rPr>
          <w:rFonts w:hint="eastAsia" w:ascii="黑体" w:hAnsi="黑体" w:eastAsia="黑体"/>
          <w:b/>
          <w:bCs/>
          <w:sz w:val="52"/>
          <w:szCs w:val="52"/>
        </w:rPr>
        <w:t>投标文件</w:t>
      </w:r>
    </w:p>
    <w:p>
      <w:pPr>
        <w:jc w:val="center"/>
        <w:rPr>
          <w:rFonts w:ascii="宋体" w:hAnsi="宋体"/>
        </w:rPr>
      </w:pPr>
      <w:r>
        <w:rPr>
          <w:rFonts w:hint="eastAsia" w:ascii="宋体" w:hAnsi="宋体"/>
        </w:rPr>
        <w:t>项目编号：</w:t>
      </w:r>
    </w:p>
    <w:p>
      <w:pP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技</w:t>
      </w:r>
    </w:p>
    <w:p>
      <w:pPr>
        <w:jc w:val="cente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术</w:t>
      </w:r>
    </w:p>
    <w:p>
      <w:pPr>
        <w:jc w:val="center"/>
        <w:rPr>
          <w:rFonts w:ascii="黑体" w:eastAsia="黑体"/>
          <w:sz w:val="52"/>
          <w:szCs w:val="52"/>
        </w:rPr>
      </w:pPr>
    </w:p>
    <w:p>
      <w:pPr>
        <w:jc w:val="center"/>
        <w:rPr>
          <w:rFonts w:ascii="黑体" w:eastAsia="黑体"/>
          <w:sz w:val="52"/>
          <w:szCs w:val="52"/>
        </w:rPr>
      </w:pPr>
      <w:r>
        <w:rPr>
          <w:rFonts w:hint="eastAsia" w:ascii="黑体" w:hAnsi="黑体" w:eastAsia="黑体"/>
          <w:sz w:val="52"/>
          <w:szCs w:val="52"/>
        </w:rPr>
        <w:t>标</w:t>
      </w:r>
    </w:p>
    <w:p>
      <w:pPr>
        <w:ind w:left="180"/>
        <w:rPr>
          <w:sz w:val="24"/>
          <w:szCs w:val="24"/>
        </w:rPr>
      </w:pPr>
    </w:p>
    <w:p>
      <w:pPr>
        <w:ind w:left="180"/>
        <w:rPr>
          <w:sz w:val="24"/>
          <w:szCs w:val="24"/>
        </w:rPr>
      </w:pPr>
    </w:p>
    <w:p>
      <w:pPr>
        <w:ind w:left="180"/>
        <w:jc w:val="center"/>
        <w:rPr>
          <w:rFonts w:ascii="黑体" w:eastAsia="黑体"/>
          <w:b/>
          <w:bCs/>
          <w:sz w:val="32"/>
          <w:szCs w:val="32"/>
        </w:rPr>
      </w:pPr>
      <w:r>
        <w:rPr>
          <w:rFonts w:hint="eastAsia" w:ascii="黑体" w:hAnsi="黑体" w:eastAsia="黑体"/>
          <w:b/>
          <w:bCs/>
          <w:sz w:val="32"/>
          <w:szCs w:val="32"/>
        </w:rPr>
        <w:t>投标人</w:t>
      </w:r>
      <w:r>
        <w:rPr>
          <w:rFonts w:hint="eastAsia" w:ascii="黑体" w:eastAsia="黑体"/>
          <w:b/>
          <w:bCs/>
          <w:sz w:val="32"/>
          <w:szCs w:val="32"/>
        </w:rPr>
        <w:t>:(盖单位章)</w:t>
      </w:r>
    </w:p>
    <w:p>
      <w:pPr>
        <w:ind w:left="180"/>
        <w:jc w:val="center"/>
        <w:rPr>
          <w:rFonts w:ascii="黑体" w:eastAsia="黑体"/>
          <w:b/>
          <w:bCs/>
          <w:sz w:val="32"/>
          <w:szCs w:val="32"/>
        </w:rPr>
      </w:pPr>
      <w:r>
        <w:rPr>
          <w:rFonts w:hint="eastAsia" w:ascii="黑体" w:hAnsi="黑体" w:eastAsia="黑体"/>
          <w:b/>
          <w:bCs/>
          <w:sz w:val="32"/>
          <w:szCs w:val="32"/>
        </w:rPr>
        <w:t>法定代表人或其委托代理人</w:t>
      </w:r>
      <w:r>
        <w:rPr>
          <w:rFonts w:hint="eastAsia" w:ascii="黑体" w:eastAsia="黑体"/>
          <w:b/>
          <w:bCs/>
          <w:sz w:val="32"/>
          <w:szCs w:val="32"/>
        </w:rPr>
        <w:t>:</w:t>
      </w:r>
      <w:r>
        <w:rPr>
          <w:rFonts w:hint="eastAsia" w:ascii="黑体" w:eastAsia="黑体"/>
          <w:b/>
          <w:bCs/>
          <w:sz w:val="28"/>
          <w:szCs w:val="28"/>
        </w:rPr>
        <w:t>(</w:t>
      </w:r>
      <w:r>
        <w:rPr>
          <w:rFonts w:hint="eastAsia" w:ascii="黑体" w:hAnsi="黑体" w:eastAsia="黑体"/>
          <w:b/>
          <w:bCs/>
          <w:sz w:val="32"/>
          <w:szCs w:val="32"/>
        </w:rPr>
        <w:t>签字或盖章</w:t>
      </w:r>
      <w:r>
        <w:rPr>
          <w:rFonts w:hint="eastAsia" w:ascii="黑体" w:eastAsia="黑体"/>
          <w:b/>
          <w:bCs/>
          <w:sz w:val="32"/>
          <w:szCs w:val="32"/>
        </w:rPr>
        <w:t>)</w:t>
      </w:r>
    </w:p>
    <w:p>
      <w:pPr>
        <w:ind w:left="180"/>
        <w:jc w:val="center"/>
        <w:rPr>
          <w:rFonts w:ascii="黑体" w:eastAsia="黑体"/>
          <w:b/>
          <w:bCs/>
          <w:sz w:val="32"/>
          <w:szCs w:val="32"/>
        </w:rPr>
      </w:pPr>
    </w:p>
    <w:p>
      <w:pPr>
        <w:ind w:left="180"/>
        <w:jc w:val="center"/>
        <w:rPr>
          <w:rFonts w:ascii="黑体" w:eastAsia="黑体"/>
          <w:b/>
          <w:bCs/>
          <w:sz w:val="32"/>
          <w:szCs w:val="32"/>
        </w:rPr>
      </w:pPr>
      <w:r>
        <w:rPr>
          <w:rFonts w:hint="eastAsia" w:ascii="黑体" w:hAnsi="黑体" w:eastAsia="黑体"/>
          <w:b/>
          <w:bCs/>
          <w:sz w:val="32"/>
          <w:szCs w:val="32"/>
        </w:rPr>
        <w:t>年月日</w:t>
      </w:r>
    </w:p>
    <w:p>
      <w:pPr>
        <w:autoSpaceDE w:val="0"/>
        <w:autoSpaceDN w:val="0"/>
        <w:ind w:firstLine="643" w:firstLineChars="200"/>
        <w:jc w:val="center"/>
        <w:rPr>
          <w:rFonts w:ascii="宋体" w:hAnsi="宋体"/>
          <w:b/>
          <w:bCs/>
          <w:kern w:val="0"/>
          <w:sz w:val="32"/>
          <w:szCs w:val="32"/>
        </w:rPr>
      </w:pPr>
      <w:r>
        <w:rPr>
          <w:rFonts w:hint="eastAsia" w:ascii="黑体" w:hAnsi="ˎ̥" w:eastAsia="黑体" w:cs="宋体"/>
          <w:b/>
          <w:bCs/>
          <w:kern w:val="0"/>
          <w:sz w:val="32"/>
          <w:szCs w:val="32"/>
        </w:rPr>
        <w:br w:type="page"/>
      </w:r>
      <w:r>
        <w:rPr>
          <w:rFonts w:hint="eastAsia" w:ascii="宋体" w:hAnsi="宋体"/>
          <w:b/>
          <w:bCs/>
          <w:kern w:val="0"/>
          <w:sz w:val="32"/>
          <w:szCs w:val="32"/>
        </w:rPr>
        <w:t>（一）技术标目录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（1</w:t>
            </w:r>
            <w:r>
              <w:rPr>
                <w:rFonts w:ascii="宋体" w:hAnsi="宋体"/>
              </w:rPr>
              <w:t>）内容完整性；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（2</w:t>
            </w:r>
            <w:r>
              <w:rPr>
                <w:rFonts w:ascii="宋体" w:hAnsi="宋体"/>
              </w:rPr>
              <w:t>）</w:t>
            </w:r>
            <w:r>
              <w:rPr>
                <w:rFonts w:hint="eastAsia" w:ascii="宋体" w:hAnsi="宋体"/>
              </w:rPr>
              <w:t>主要</w:t>
            </w:r>
            <w:r>
              <w:rPr>
                <w:rFonts w:ascii="宋体" w:hAnsi="宋体"/>
              </w:rPr>
              <w:t>施工方案</w:t>
            </w:r>
            <w:r>
              <w:rPr>
                <w:rFonts w:hint="eastAsia" w:ascii="宋体" w:hAnsi="宋体"/>
              </w:rPr>
              <w:t>与</w:t>
            </w:r>
            <w:r>
              <w:rPr>
                <w:rFonts w:ascii="宋体" w:hAnsi="宋体"/>
              </w:rPr>
              <w:t>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（3</w:t>
            </w:r>
            <w:r>
              <w:rPr>
                <w:rFonts w:ascii="宋体" w:hAnsi="宋体"/>
              </w:rPr>
              <w:t>）质量管理体系与措施；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（4</w:t>
            </w:r>
            <w:r>
              <w:rPr>
                <w:rFonts w:ascii="宋体" w:hAnsi="宋体"/>
              </w:rPr>
              <w:t>）安全管理体系与措施；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（5</w:t>
            </w:r>
            <w:r>
              <w:rPr>
                <w:rFonts w:ascii="宋体" w:hAnsi="宋体"/>
              </w:rPr>
              <w:t>）</w:t>
            </w:r>
            <w:r>
              <w:rPr>
                <w:rFonts w:hint="eastAsia" w:ascii="宋体" w:hAnsi="宋体"/>
              </w:rPr>
              <w:t>文明施工、</w:t>
            </w:r>
            <w:r>
              <w:rPr>
                <w:rFonts w:ascii="宋体" w:hAnsi="宋体"/>
              </w:rPr>
              <w:t>环境保护管理体系</w:t>
            </w:r>
            <w:r>
              <w:rPr>
                <w:rFonts w:hint="eastAsia" w:ascii="宋体" w:hAnsi="宋体"/>
              </w:rPr>
              <w:t>及施工现场扬尘治理措施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（6</w:t>
            </w:r>
            <w:r>
              <w:rPr>
                <w:rFonts w:ascii="宋体" w:hAnsi="宋体"/>
              </w:rPr>
              <w:t>）工</w:t>
            </w:r>
            <w:r>
              <w:rPr>
                <w:rFonts w:hint="eastAsia" w:ascii="宋体" w:hAnsi="宋体"/>
              </w:rPr>
              <w:t>期保证措施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（7</w:t>
            </w:r>
            <w:r>
              <w:rPr>
                <w:rFonts w:ascii="宋体" w:hAnsi="宋体"/>
              </w:rPr>
              <w:t>）拟投入资源配备计</w:t>
            </w:r>
            <w:r>
              <w:rPr>
                <w:rFonts w:hint="eastAsia" w:ascii="宋体" w:hAnsi="宋体"/>
              </w:rPr>
              <w:t>划</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（8</w:t>
            </w:r>
            <w:r>
              <w:rPr>
                <w:rFonts w:ascii="宋体" w:hAnsi="宋体"/>
              </w:rPr>
              <w:t>）施工进度表</w:t>
            </w:r>
            <w:r>
              <w:rPr>
                <w:rFonts w:hint="eastAsia" w:ascii="宋体" w:hAnsi="宋体"/>
              </w:rPr>
              <w:t>与</w:t>
            </w:r>
            <w:r>
              <w:rPr>
                <w:rFonts w:ascii="宋体" w:hAnsi="宋体"/>
              </w:rPr>
              <w:t>网络</w:t>
            </w:r>
            <w:r>
              <w:rPr>
                <w:rFonts w:hint="eastAsia" w:ascii="宋体" w:hAnsi="宋体"/>
              </w:rPr>
              <w:t>计划</w:t>
            </w:r>
            <w:r>
              <w:rPr>
                <w:rFonts w:ascii="宋体" w:hAnsi="宋体"/>
              </w:rPr>
              <w:t>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56" w:type="dxa"/>
            <w:tcBorders>
              <w:top w:val="nil"/>
              <w:left w:val="nil"/>
              <w:bottom w:val="nil"/>
              <w:right w:val="nil"/>
            </w:tcBorders>
          </w:tcPr>
          <w:p>
            <w:pPr>
              <w:autoSpaceDE w:val="0"/>
              <w:autoSpaceDN w:val="0"/>
              <w:adjustRightInd w:val="0"/>
              <w:ind w:right="215" w:firstLine="420"/>
              <w:jc w:val="left"/>
            </w:pPr>
            <w:r>
              <w:t>（9</w:t>
            </w:r>
            <w:r>
              <w:rPr>
                <w:rFonts w:ascii="宋体" w:hAnsi="宋体"/>
              </w:rPr>
              <w:t>）施工总平面布置图；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956" w:type="dxa"/>
            <w:tcBorders>
              <w:top w:val="nil"/>
              <w:left w:val="nil"/>
              <w:bottom w:val="nil"/>
              <w:right w:val="nil"/>
            </w:tcBorders>
          </w:tcPr>
          <w:p>
            <w:pPr>
              <w:autoSpaceDE w:val="0"/>
              <w:autoSpaceDN w:val="0"/>
              <w:adjustRightInd w:val="0"/>
              <w:ind w:right="215" w:firstLine="420"/>
              <w:jc w:val="left"/>
            </w:pPr>
            <w:r>
              <w:t>（10</w:t>
            </w:r>
            <w:r>
              <w:rPr>
                <w:rFonts w:ascii="宋体" w:hAnsi="宋体"/>
              </w:rPr>
              <w:t>）</w:t>
            </w:r>
            <w:r>
              <w:rPr>
                <w:rFonts w:hint="eastAsia" w:ascii="宋体" w:hAnsi="宋体"/>
              </w:rPr>
              <w:t>技术创新的应用实施措施；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956" w:type="dxa"/>
            <w:tcBorders>
              <w:top w:val="nil"/>
              <w:left w:val="nil"/>
              <w:bottom w:val="nil"/>
              <w:right w:val="nil"/>
            </w:tcBorders>
          </w:tcPr>
          <w:p>
            <w:pPr>
              <w:autoSpaceDE w:val="0"/>
              <w:autoSpaceDN w:val="0"/>
              <w:adjustRightInd w:val="0"/>
              <w:ind w:right="215" w:firstLine="420"/>
              <w:jc w:val="left"/>
            </w:pPr>
            <w:r>
              <w:t>（11</w:t>
            </w:r>
            <w:r>
              <w:rPr>
                <w:rFonts w:ascii="宋体" w:hAnsi="宋体"/>
              </w:rPr>
              <w:t>）</w:t>
            </w:r>
            <w:r>
              <w:rPr>
                <w:rFonts w:hint="eastAsia" w:ascii="宋体" w:hAnsi="宋体"/>
              </w:rPr>
              <w:t>采用</w:t>
            </w:r>
            <w:r>
              <w:rPr>
                <w:rFonts w:ascii="宋体" w:hAnsi="宋体"/>
              </w:rPr>
              <w:t>新工艺、新技术、新设备、新材料</w:t>
            </w:r>
            <w:r>
              <w:rPr>
                <w:rFonts w:hint="eastAsia" w:ascii="宋体" w:hAnsi="宋体"/>
              </w:rPr>
              <w:t>、B</w:t>
            </w:r>
            <w:r>
              <w:rPr>
                <w:rFonts w:ascii="宋体" w:hAnsi="宋体"/>
              </w:rPr>
              <w:t>IM</w:t>
            </w:r>
            <w:r>
              <w:rPr>
                <w:rFonts w:hint="eastAsia" w:ascii="宋体" w:hAnsi="宋体"/>
              </w:rPr>
              <w:t>等的程度；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56" w:type="dxa"/>
            <w:tcBorders>
              <w:top w:val="nil"/>
              <w:left w:val="nil"/>
              <w:bottom w:val="nil"/>
              <w:right w:val="nil"/>
            </w:tcBorders>
          </w:tcPr>
          <w:p>
            <w:pPr>
              <w:autoSpaceDE w:val="0"/>
              <w:autoSpaceDN w:val="0"/>
              <w:adjustRightInd w:val="0"/>
              <w:ind w:right="215" w:firstLine="420"/>
              <w:jc w:val="left"/>
              <w:rPr>
                <w:rFonts w:ascii="宋体" w:hAnsi="宋体"/>
              </w:rPr>
            </w:pPr>
            <w:r>
              <w:t>（12</w:t>
            </w:r>
            <w:r>
              <w:rPr>
                <w:rFonts w:ascii="宋体" w:hAnsi="宋体"/>
              </w:rPr>
              <w:t>）</w:t>
            </w:r>
            <w:r>
              <w:rPr>
                <w:rFonts w:hint="eastAsia" w:ascii="宋体" w:hAnsi="宋体"/>
              </w:rPr>
              <w:t>施工现场实施信息化监控和数据处理；</w:t>
            </w:r>
          </w:p>
          <w:p>
            <w:pPr>
              <w:autoSpaceDE w:val="0"/>
              <w:autoSpaceDN w:val="0"/>
              <w:adjustRightInd w:val="0"/>
              <w:ind w:right="215" w:firstLine="420"/>
              <w:jc w:val="left"/>
            </w:pPr>
            <w:r>
              <w:t>（13</w:t>
            </w:r>
            <w:r>
              <w:rPr>
                <w:rFonts w:ascii="宋体" w:hAnsi="宋体"/>
              </w:rPr>
              <w:t>）</w:t>
            </w:r>
            <w:r>
              <w:rPr>
                <w:rFonts w:hint="eastAsia" w:ascii="宋体" w:hAnsi="宋体"/>
              </w:rPr>
              <w:t>风险管理措施。</w:t>
            </w:r>
          </w:p>
        </w:tc>
      </w:tr>
    </w:tbl>
    <w:p>
      <w:pPr>
        <w:pStyle w:val="9"/>
        <w:ind w:left="2355" w:hanging="1305"/>
        <w:rPr>
          <w:rFonts w:ascii="宋体" w:hAnsi="宋体"/>
          <w:b/>
          <w:bCs/>
          <w:sz w:val="26"/>
          <w:szCs w:val="26"/>
        </w:rPr>
      </w:pPr>
    </w:p>
    <w:p/>
    <w:p>
      <w:pPr>
        <w:ind w:left="180"/>
        <w:jc w:val="right"/>
      </w:pPr>
    </w:p>
    <w:p/>
    <w:p/>
    <w:p/>
    <w:p/>
    <w:p/>
    <w:p/>
    <w:p/>
    <w:p/>
    <w:p/>
    <w:p/>
    <w:p/>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Segoe UI Emoji">
    <w:altName w:val="Segoe UI"/>
    <w:panose1 w:val="020B0502040204020203"/>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62</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0DF82"/>
    <w:multiLevelType w:val="singleLevel"/>
    <w:tmpl w:val="E210DF8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340F"/>
    <w:rsid w:val="00042FC1"/>
    <w:rsid w:val="00043B13"/>
    <w:rsid w:val="00044C1B"/>
    <w:rsid w:val="000476CA"/>
    <w:rsid w:val="000662F5"/>
    <w:rsid w:val="000B7372"/>
    <w:rsid w:val="000C2328"/>
    <w:rsid w:val="000D20F6"/>
    <w:rsid w:val="0011715A"/>
    <w:rsid w:val="00143F29"/>
    <w:rsid w:val="0016340F"/>
    <w:rsid w:val="00191842"/>
    <w:rsid w:val="001D2863"/>
    <w:rsid w:val="00211F5A"/>
    <w:rsid w:val="002168D3"/>
    <w:rsid w:val="00227810"/>
    <w:rsid w:val="00232989"/>
    <w:rsid w:val="00267B6D"/>
    <w:rsid w:val="00326DC4"/>
    <w:rsid w:val="0035439B"/>
    <w:rsid w:val="00377AE1"/>
    <w:rsid w:val="003916CE"/>
    <w:rsid w:val="003B459A"/>
    <w:rsid w:val="00437A52"/>
    <w:rsid w:val="0047446F"/>
    <w:rsid w:val="00475124"/>
    <w:rsid w:val="00475583"/>
    <w:rsid w:val="00482D3C"/>
    <w:rsid w:val="00491975"/>
    <w:rsid w:val="00493A2E"/>
    <w:rsid w:val="004A05AC"/>
    <w:rsid w:val="004A138B"/>
    <w:rsid w:val="004A6DD3"/>
    <w:rsid w:val="004C16E6"/>
    <w:rsid w:val="004E7606"/>
    <w:rsid w:val="00526C36"/>
    <w:rsid w:val="0058274E"/>
    <w:rsid w:val="005827E4"/>
    <w:rsid w:val="00594F36"/>
    <w:rsid w:val="005B28B8"/>
    <w:rsid w:val="005B3321"/>
    <w:rsid w:val="006014B1"/>
    <w:rsid w:val="0060155C"/>
    <w:rsid w:val="0062462C"/>
    <w:rsid w:val="00631D32"/>
    <w:rsid w:val="00633BB1"/>
    <w:rsid w:val="00653585"/>
    <w:rsid w:val="006637DA"/>
    <w:rsid w:val="00666960"/>
    <w:rsid w:val="00677F45"/>
    <w:rsid w:val="006B087B"/>
    <w:rsid w:val="006D18EA"/>
    <w:rsid w:val="006E1A5A"/>
    <w:rsid w:val="006F3A8C"/>
    <w:rsid w:val="00715802"/>
    <w:rsid w:val="00790064"/>
    <w:rsid w:val="007B78EA"/>
    <w:rsid w:val="007B7A71"/>
    <w:rsid w:val="007C59BD"/>
    <w:rsid w:val="008040F3"/>
    <w:rsid w:val="008319AE"/>
    <w:rsid w:val="008360B6"/>
    <w:rsid w:val="009068D6"/>
    <w:rsid w:val="00927F52"/>
    <w:rsid w:val="00936D75"/>
    <w:rsid w:val="0096332F"/>
    <w:rsid w:val="0098294E"/>
    <w:rsid w:val="009B35FA"/>
    <w:rsid w:val="009C68E3"/>
    <w:rsid w:val="009E6A54"/>
    <w:rsid w:val="00A32723"/>
    <w:rsid w:val="00A34AD5"/>
    <w:rsid w:val="00A61939"/>
    <w:rsid w:val="00A763EC"/>
    <w:rsid w:val="00A90830"/>
    <w:rsid w:val="00B14828"/>
    <w:rsid w:val="00B336DD"/>
    <w:rsid w:val="00B86384"/>
    <w:rsid w:val="00BA1BC3"/>
    <w:rsid w:val="00BA38A5"/>
    <w:rsid w:val="00C25835"/>
    <w:rsid w:val="00C72725"/>
    <w:rsid w:val="00C81C4A"/>
    <w:rsid w:val="00CB1580"/>
    <w:rsid w:val="00CF2311"/>
    <w:rsid w:val="00D034A2"/>
    <w:rsid w:val="00D440F8"/>
    <w:rsid w:val="00D52A64"/>
    <w:rsid w:val="00D70595"/>
    <w:rsid w:val="00D97972"/>
    <w:rsid w:val="00DC0DB7"/>
    <w:rsid w:val="00DC654F"/>
    <w:rsid w:val="00DE1BDC"/>
    <w:rsid w:val="00E03540"/>
    <w:rsid w:val="00E161A5"/>
    <w:rsid w:val="00E3432C"/>
    <w:rsid w:val="00E462A3"/>
    <w:rsid w:val="00E6657E"/>
    <w:rsid w:val="00E971BF"/>
    <w:rsid w:val="00EA26AF"/>
    <w:rsid w:val="00EB191E"/>
    <w:rsid w:val="00ED48D4"/>
    <w:rsid w:val="00F060BB"/>
    <w:rsid w:val="00F258F3"/>
    <w:rsid w:val="00F73F73"/>
    <w:rsid w:val="00FA4E08"/>
    <w:rsid w:val="00FB20E5"/>
    <w:rsid w:val="08AE7D42"/>
    <w:rsid w:val="09151168"/>
    <w:rsid w:val="09494ED7"/>
    <w:rsid w:val="0A5329E0"/>
    <w:rsid w:val="120A7ED3"/>
    <w:rsid w:val="199D6F3D"/>
    <w:rsid w:val="23BE5E60"/>
    <w:rsid w:val="259F60C4"/>
    <w:rsid w:val="2E857E3E"/>
    <w:rsid w:val="311E7173"/>
    <w:rsid w:val="33D00CD7"/>
    <w:rsid w:val="3D190D4F"/>
    <w:rsid w:val="3FE1777D"/>
    <w:rsid w:val="40DB5AA7"/>
    <w:rsid w:val="4A743ABD"/>
    <w:rsid w:val="4E6E74DE"/>
    <w:rsid w:val="50B37CD4"/>
    <w:rsid w:val="60126486"/>
    <w:rsid w:val="616C234B"/>
    <w:rsid w:val="68802E02"/>
    <w:rsid w:val="69103097"/>
    <w:rsid w:val="6B803E07"/>
    <w:rsid w:val="7167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6"/>
    <w:qFormat/>
    <w:uiPriority w:val="99"/>
    <w:pPr>
      <w:keepNext/>
      <w:keepLines/>
      <w:spacing w:before="340" w:after="330" w:line="576" w:lineRule="auto"/>
      <w:outlineLvl w:val="0"/>
    </w:pPr>
    <w:rPr>
      <w:rFonts w:ascii="仿宋_GB2312" w:cs="Times New Roman"/>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link w:val="18"/>
    <w:qFormat/>
    <w:uiPriority w:val="9"/>
    <w:pPr>
      <w:keepNext/>
      <w:keepLines/>
      <w:spacing w:before="260" w:after="260" w:line="416" w:lineRule="auto"/>
      <w:outlineLvl w:val="2"/>
    </w:pPr>
    <w:rPr>
      <w:rFonts w:cs="Times New Roman"/>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link w:val="19"/>
    <w:unhideWhenUsed/>
    <w:qFormat/>
    <w:uiPriority w:val="99"/>
    <w:pPr>
      <w:spacing w:before="100" w:beforeAutospacing="1" w:after="120"/>
    </w:pPr>
    <w:rPr>
      <w:rFonts w:cs="Times New Roman"/>
      <w:kern w:val="0"/>
      <w:sz w:val="20"/>
      <w:szCs w:val="20"/>
    </w:rPr>
  </w:style>
  <w:style w:type="paragraph" w:styleId="6">
    <w:name w:val="Balloon Text"/>
    <w:basedOn w:val="1"/>
    <w:link w:val="20"/>
    <w:qFormat/>
    <w:uiPriority w:val="0"/>
    <w:rPr>
      <w:sz w:val="18"/>
      <w:szCs w:val="18"/>
    </w:rPr>
  </w:style>
  <w:style w:type="paragraph" w:styleId="7">
    <w:name w:val="footer"/>
    <w:basedOn w:val="1"/>
    <w:link w:val="21"/>
    <w:unhideWhenUsed/>
    <w:qFormat/>
    <w:uiPriority w:val="99"/>
    <w:pPr>
      <w:snapToGrid w:val="0"/>
      <w:jc w:val="left"/>
    </w:pPr>
    <w:rPr>
      <w:rFonts w:ascii="仿宋_GB2312" w:hAnsi="等线" w:cs="Times New Roman"/>
      <w:b/>
      <w:bCs/>
      <w:kern w:val="0"/>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1"/>
    <w:link w:val="23"/>
    <w:unhideWhenUsed/>
    <w:qFormat/>
    <w:uiPriority w:val="99"/>
    <w:pPr>
      <w:spacing w:before="100" w:beforeAutospacing="1" w:after="100" w:afterAutospacing="1"/>
      <w:ind w:left="1080" w:leftChars="500" w:hanging="1080" w:hangingChars="500"/>
    </w:pPr>
    <w:rPr>
      <w:rFonts w:ascii="Arial" w:hAnsi="Arial" w:cs="Times New Roman"/>
      <w:kern w:val="0"/>
      <w:sz w:val="24"/>
      <w:szCs w:val="24"/>
    </w:rPr>
  </w:style>
  <w:style w:type="paragraph" w:styleId="10">
    <w:name w:val="Body Text First Indent"/>
    <w:basedOn w:val="5"/>
    <w:link w:val="24"/>
    <w:unhideWhenUsed/>
    <w:qFormat/>
    <w:uiPriority w:val="99"/>
    <w:pPr>
      <w:spacing w:before="0" w:beforeAutospacing="0"/>
      <w:ind w:firstLine="420" w:firstLineChars="100"/>
    </w:pPr>
    <w:rPr>
      <w:kern w:val="2"/>
      <w:sz w:val="21"/>
      <w:szCs w:val="21"/>
    </w:rPr>
  </w:style>
  <w:style w:type="character" w:styleId="13">
    <w:name w:val="FollowedHyperlink"/>
    <w:basedOn w:val="12"/>
    <w:qFormat/>
    <w:uiPriority w:val="0"/>
    <w:rPr>
      <w:color w:val="000000"/>
      <w:u w:val="none"/>
    </w:rPr>
  </w:style>
  <w:style w:type="character" w:styleId="14">
    <w:name w:val="Emphasis"/>
    <w:basedOn w:val="12"/>
    <w:qFormat/>
    <w:uiPriority w:val="0"/>
  </w:style>
  <w:style w:type="character" w:styleId="15">
    <w:name w:val="Hyperlink"/>
    <w:unhideWhenUsed/>
    <w:qFormat/>
    <w:uiPriority w:val="99"/>
    <w:rPr>
      <w:color w:val="0000FF"/>
      <w:u w:val="single"/>
    </w:rPr>
  </w:style>
  <w:style w:type="character" w:customStyle="1" w:styleId="16">
    <w:name w:val="标题 1 字符"/>
    <w:basedOn w:val="12"/>
    <w:link w:val="2"/>
    <w:uiPriority w:val="99"/>
    <w:rPr>
      <w:rFonts w:ascii="仿宋_GB2312" w:hAnsi="Calibri" w:eastAsia="宋体" w:cs="Times New Roman"/>
      <w:b/>
      <w:bCs/>
      <w:kern w:val="44"/>
      <w:sz w:val="44"/>
      <w:szCs w:val="44"/>
    </w:rPr>
  </w:style>
  <w:style w:type="character" w:customStyle="1" w:styleId="17">
    <w:name w:val="标题 2 字符"/>
    <w:basedOn w:val="12"/>
    <w:link w:val="3"/>
    <w:uiPriority w:val="9"/>
    <w:rPr>
      <w:rFonts w:ascii="等线 Light" w:hAnsi="等线 Light" w:eastAsia="等线 Light" w:cs="Times New Roman"/>
      <w:b/>
      <w:bCs/>
      <w:sz w:val="32"/>
      <w:szCs w:val="32"/>
    </w:rPr>
  </w:style>
  <w:style w:type="character" w:customStyle="1" w:styleId="18">
    <w:name w:val="标题 3 字符"/>
    <w:basedOn w:val="12"/>
    <w:link w:val="4"/>
    <w:uiPriority w:val="9"/>
    <w:rPr>
      <w:rFonts w:ascii="Calibri" w:hAnsi="Calibri" w:eastAsia="宋体" w:cs="Times New Roman"/>
      <w:b/>
      <w:bCs/>
      <w:sz w:val="32"/>
      <w:szCs w:val="32"/>
    </w:rPr>
  </w:style>
  <w:style w:type="character" w:customStyle="1" w:styleId="19">
    <w:name w:val="正文文本 字符"/>
    <w:basedOn w:val="12"/>
    <w:link w:val="5"/>
    <w:uiPriority w:val="99"/>
    <w:rPr>
      <w:rFonts w:ascii="Calibri" w:hAnsi="Calibri" w:eastAsia="宋体" w:cs="Times New Roman"/>
      <w:kern w:val="0"/>
      <w:sz w:val="20"/>
      <w:szCs w:val="20"/>
    </w:rPr>
  </w:style>
  <w:style w:type="character" w:customStyle="1" w:styleId="20">
    <w:name w:val="批注框文本 字符"/>
    <w:basedOn w:val="12"/>
    <w:link w:val="6"/>
    <w:qFormat/>
    <w:uiPriority w:val="0"/>
    <w:rPr>
      <w:rFonts w:ascii="Calibri" w:hAnsi="Calibri" w:eastAsia="宋体" w:cs="Calibri"/>
      <w:sz w:val="18"/>
      <w:szCs w:val="18"/>
    </w:rPr>
  </w:style>
  <w:style w:type="character" w:customStyle="1" w:styleId="21">
    <w:name w:val="页脚 字符"/>
    <w:basedOn w:val="12"/>
    <w:link w:val="7"/>
    <w:qFormat/>
    <w:uiPriority w:val="99"/>
    <w:rPr>
      <w:rFonts w:ascii="仿宋_GB2312" w:hAnsi="等线" w:eastAsia="宋体" w:cs="Times New Roman"/>
      <w:b/>
      <w:bCs/>
      <w:kern w:val="0"/>
      <w:sz w:val="18"/>
      <w:szCs w:val="18"/>
    </w:rPr>
  </w:style>
  <w:style w:type="character" w:customStyle="1" w:styleId="22">
    <w:name w:val="页眉 字符"/>
    <w:basedOn w:val="12"/>
    <w:link w:val="8"/>
    <w:qFormat/>
    <w:uiPriority w:val="0"/>
    <w:rPr>
      <w:rFonts w:ascii="Calibri" w:hAnsi="Calibri" w:eastAsia="宋体" w:cs="Calibri"/>
      <w:sz w:val="18"/>
      <w:szCs w:val="18"/>
    </w:rPr>
  </w:style>
  <w:style w:type="character" w:customStyle="1" w:styleId="23">
    <w:name w:val="信息标题 字符"/>
    <w:basedOn w:val="12"/>
    <w:link w:val="9"/>
    <w:qFormat/>
    <w:uiPriority w:val="99"/>
    <w:rPr>
      <w:rFonts w:ascii="Arial" w:hAnsi="Arial" w:eastAsia="宋体" w:cs="Times New Roman"/>
      <w:kern w:val="0"/>
      <w:sz w:val="24"/>
      <w:szCs w:val="24"/>
    </w:rPr>
  </w:style>
  <w:style w:type="character" w:customStyle="1" w:styleId="24">
    <w:name w:val="正文文本首行缩进 字符"/>
    <w:basedOn w:val="19"/>
    <w:link w:val="10"/>
    <w:qFormat/>
    <w:uiPriority w:val="99"/>
    <w:rPr>
      <w:rFonts w:ascii="Calibri" w:hAnsi="Calibri" w:eastAsia="宋体" w:cs="Times New Roman"/>
      <w:kern w:val="0"/>
      <w:sz w:val="20"/>
      <w:szCs w:val="21"/>
    </w:rPr>
  </w:style>
  <w:style w:type="paragraph" w:customStyle="1" w:styleId="25">
    <w:name w:val="_Style 10"/>
    <w:basedOn w:val="5"/>
    <w:next w:val="10"/>
    <w:qFormat/>
    <w:uiPriority w:val="0"/>
    <w:pPr>
      <w:spacing w:after="0"/>
      <w:ind w:firstLine="420" w:firstLineChars="100"/>
    </w:pPr>
  </w:style>
  <w:style w:type="character" w:customStyle="1" w:styleId="26">
    <w:name w:val="right"/>
    <w:basedOn w:val="12"/>
    <w:qFormat/>
    <w:uiPriority w:val="0"/>
    <w:rPr>
      <w:color w:val="999999"/>
      <w:sz w:val="18"/>
      <w:szCs w:val="18"/>
    </w:rPr>
  </w:style>
  <w:style w:type="character" w:customStyle="1" w:styleId="27">
    <w:name w:val="red"/>
    <w:basedOn w:val="12"/>
    <w:qFormat/>
    <w:uiPriority w:val="0"/>
    <w:rPr>
      <w:color w:val="FF0000"/>
      <w:sz w:val="18"/>
      <w:szCs w:val="18"/>
    </w:rPr>
  </w:style>
  <w:style w:type="character" w:customStyle="1" w:styleId="28">
    <w:name w:val="red1"/>
    <w:basedOn w:val="12"/>
    <w:qFormat/>
    <w:uiPriority w:val="0"/>
    <w:rPr>
      <w:color w:val="FF0000"/>
      <w:sz w:val="18"/>
      <w:szCs w:val="18"/>
    </w:rPr>
  </w:style>
  <w:style w:type="character" w:customStyle="1" w:styleId="29">
    <w:name w:val="red2"/>
    <w:basedOn w:val="12"/>
    <w:qFormat/>
    <w:uiPriority w:val="0"/>
    <w:rPr>
      <w:color w:val="CC0000"/>
    </w:rPr>
  </w:style>
  <w:style w:type="character" w:customStyle="1" w:styleId="30">
    <w:name w:val="red3"/>
    <w:basedOn w:val="12"/>
    <w:qFormat/>
    <w:uiPriority w:val="0"/>
    <w:rPr>
      <w:color w:val="FF0000"/>
    </w:rPr>
  </w:style>
  <w:style w:type="character" w:customStyle="1" w:styleId="31">
    <w:name w:val="green"/>
    <w:basedOn w:val="12"/>
    <w:qFormat/>
    <w:uiPriority w:val="0"/>
    <w:rPr>
      <w:color w:val="66AE00"/>
      <w:sz w:val="18"/>
      <w:szCs w:val="18"/>
    </w:rPr>
  </w:style>
  <w:style w:type="character" w:customStyle="1" w:styleId="32">
    <w:name w:val="green1"/>
    <w:basedOn w:val="12"/>
    <w:qFormat/>
    <w:uiPriority w:val="0"/>
    <w:rPr>
      <w:color w:val="66AE00"/>
      <w:sz w:val="18"/>
      <w:szCs w:val="18"/>
    </w:rPr>
  </w:style>
  <w:style w:type="character" w:customStyle="1" w:styleId="33">
    <w:name w:val="hover25"/>
    <w:basedOn w:val="12"/>
    <w:qFormat/>
    <w:uiPriority w:val="0"/>
  </w:style>
  <w:style w:type="character" w:customStyle="1" w:styleId="34">
    <w:name w:val="gb-jt"/>
    <w:basedOn w:val="12"/>
    <w:qFormat/>
    <w:uiPriority w:val="0"/>
  </w:style>
  <w:style w:type="character" w:customStyle="1" w:styleId="35">
    <w:name w:val="blue"/>
    <w:basedOn w:val="12"/>
    <w:qFormat/>
    <w:uiPriority w:val="0"/>
    <w:rPr>
      <w:color w:val="0371C6"/>
      <w:sz w:val="21"/>
      <w:szCs w:val="21"/>
    </w:rPr>
  </w:style>
  <w:style w:type="character" w:customStyle="1" w:styleId="36">
    <w:name w:val="hover"/>
    <w:basedOn w:val="12"/>
    <w:qFormat/>
    <w:uiPriority w:val="0"/>
  </w:style>
  <w:style w:type="paragraph" w:customStyle="1" w:styleId="3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5849</Words>
  <Characters>33341</Characters>
  <Lines>277</Lines>
  <Paragraphs>78</Paragraphs>
  <TotalTime>385</TotalTime>
  <ScaleCrop>false</ScaleCrop>
  <LinksUpToDate>false</LinksUpToDate>
  <CharactersWithSpaces>39112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2020-05-22T02:18:00Z</dcterms:created>
  <dc:creator>Windows 用户</dc:creator>
  <cp:lastModifiedBy>河南省君利工程管理有限公司:段珂</cp:lastModifiedBy>
  <cp:lastPrinted>2020-06-04T07:01:00Z</cp:lastPrinted>
  <dcterms:modified xsi:type="dcterms:W3CDTF">2020-06-15T00:52:22Z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