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禹州市华夏大道西段（颍河大街-画圣路）道路排水工程                </w:t>
      </w:r>
    </w:p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评标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结果公示（不见面开标）</w:t>
      </w:r>
    </w:p>
    <w:p>
      <w:pPr>
        <w:autoSpaceDE w:val="0"/>
        <w:spacing w:line="312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一、基本情况和数据表</w:t>
      </w:r>
    </w:p>
    <w:p>
      <w:pPr>
        <w:autoSpaceDE w:val="0"/>
        <w:spacing w:line="312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项目名称：禹州市华夏大道西段（颍河大街-画圣路）道路排水工程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项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目编号：JSGC-SZ-2020052 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招标控制价：</w:t>
      </w:r>
    </w:p>
    <w:p>
      <w:pPr>
        <w:autoSpaceDE w:val="0"/>
        <w:spacing w:line="312" w:lineRule="auto"/>
        <w:ind w:firstLine="840" w:firstLineChars="4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第1标段施工标段15561550.12元（含规费、税金、安全文明施工措施费），</w:t>
      </w:r>
    </w:p>
    <w:p>
      <w:pPr>
        <w:autoSpaceDE w:val="0"/>
        <w:spacing w:line="312" w:lineRule="auto"/>
        <w:ind w:firstLine="840" w:firstLineChars="4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第2标段监理标段184700.00元;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计划工期：第1标段240日历天，第2标段开工之日起至保修期结束。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评标办法：综合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评标</w:t>
      </w:r>
      <w:r>
        <w:rPr>
          <w:rFonts w:hint="eastAsia" w:ascii="宋体" w:hAnsi="宋体"/>
          <w:color w:val="000000"/>
          <w:sz w:val="21"/>
          <w:szCs w:val="21"/>
        </w:rPr>
        <w:t>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资格审查方式：资格后审</w:t>
      </w:r>
    </w:p>
    <w:p>
      <w:pPr>
        <w:autoSpaceDE w:val="0"/>
        <w:spacing w:line="312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FF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本工程招标采用公开招标方式进行，按照法定公开招标程序和要求，20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2020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日在《全国公共资源交易平台（河南省•许昌市）》、《河南省电子招标投标公共服务平台》上公开发布招标信息，于投标截止时间递交投标文件及投标保证金的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施工</w:t>
      </w:r>
      <w:r>
        <w:rPr>
          <w:rFonts w:hint="eastAsia" w:ascii="宋体" w:hAnsi="宋体"/>
          <w:color w:val="000000"/>
          <w:sz w:val="21"/>
          <w:szCs w:val="21"/>
        </w:rPr>
        <w:t>投标</w:t>
      </w:r>
      <w:r>
        <w:rPr>
          <w:rFonts w:hint="eastAsia" w:ascii="宋体" w:hAnsi="宋体"/>
          <w:color w:val="auto"/>
          <w:sz w:val="21"/>
          <w:szCs w:val="21"/>
        </w:rPr>
        <w:t>单位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4 </w:t>
      </w:r>
      <w:r>
        <w:rPr>
          <w:rFonts w:hint="eastAsia" w:ascii="宋体" w:hAnsi="宋体"/>
          <w:color w:val="auto"/>
          <w:sz w:val="21"/>
          <w:szCs w:val="21"/>
        </w:rPr>
        <w:t>家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，监理投标单位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3 家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（三）项目开标数据表</w:t>
      </w:r>
    </w:p>
    <w:tbl>
      <w:tblPr>
        <w:tblStyle w:val="7"/>
        <w:tblW w:w="85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33"/>
        <w:gridCol w:w="632"/>
        <w:gridCol w:w="3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招标人名称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禹州市住房和城乡建设局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招标代理机构名称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中科高盛咨询集团有限公司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工程名称</w:t>
            </w:r>
          </w:p>
        </w:tc>
        <w:tc>
          <w:tcPr>
            <w:tcW w:w="65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禹州市华夏大道西段（颍河大街-画圣路）道路排水工程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开标时间</w:t>
            </w:r>
          </w:p>
        </w:tc>
        <w:tc>
          <w:tcPr>
            <w:tcW w:w="2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2020年6月11日10：30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开标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3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禹州市公共资源交易中心开标1室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评标时间</w:t>
            </w:r>
          </w:p>
        </w:tc>
        <w:tc>
          <w:tcPr>
            <w:tcW w:w="2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2020年6月11日13:00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评标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3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禹州市公共资源交易中心评标4室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开标记录</w:t>
      </w:r>
    </w:p>
    <w:p>
      <w:pPr>
        <w:pStyle w:val="2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第1标段（施工）开标记录表：</w:t>
      </w:r>
    </w:p>
    <w:tbl>
      <w:tblPr>
        <w:tblStyle w:val="7"/>
        <w:tblW w:w="8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92"/>
        <w:gridCol w:w="710"/>
        <w:gridCol w:w="994"/>
        <w:gridCol w:w="1173"/>
        <w:gridCol w:w="932"/>
        <w:gridCol w:w="782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投标单位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投标报价（元）</w:t>
            </w:r>
          </w:p>
        </w:tc>
        <w:tc>
          <w:tcPr>
            <w:tcW w:w="7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工期（日历天）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质量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要求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项目负责人/经理</w:t>
            </w:r>
          </w:p>
        </w:tc>
        <w:tc>
          <w:tcPr>
            <w:tcW w:w="93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负责人</w:t>
            </w:r>
          </w:p>
        </w:tc>
        <w:tc>
          <w:tcPr>
            <w:tcW w:w="7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密封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许昌通畅建设工程有限公司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15551790.07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合格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潘高峰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王云辉 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许昌隆盛路桥工程有限公司 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15507158.02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王明辉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李志勇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河南鼎畅路桥工程有限公司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15526168.37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艾占锋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汪际海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禹州市市政工程有限公司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15388008.19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杨红菊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姜明俊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招标控制价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15561550.12元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抽取的权重系数K值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目标工期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240日历天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质量要求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投标报价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修正情况</w:t>
            </w:r>
          </w:p>
        </w:tc>
        <w:tc>
          <w:tcPr>
            <w:tcW w:w="702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第2标段（监理）开标记录表：</w:t>
      </w:r>
    </w:p>
    <w:tbl>
      <w:tblPr>
        <w:tblStyle w:val="7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063"/>
        <w:gridCol w:w="1143"/>
        <w:gridCol w:w="1781"/>
        <w:gridCol w:w="503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投标单位</w:t>
            </w:r>
          </w:p>
        </w:tc>
        <w:tc>
          <w:tcPr>
            <w:tcW w:w="2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投标报价（元）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要求</w:t>
            </w:r>
          </w:p>
        </w:tc>
        <w:tc>
          <w:tcPr>
            <w:tcW w:w="1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项目总监</w:t>
            </w:r>
          </w:p>
        </w:tc>
        <w:tc>
          <w:tcPr>
            <w:tcW w:w="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情况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许昌建设工程项目管理有限公司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184200.00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杨根林 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许昌市复兴建设工程监理有限公司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18400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和光辉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河南顺成建设工程管理有限公司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184500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屈振伟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完好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招标控制价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184700.00元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抽取的权重系数K值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目标工期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开工之日起至保修期结束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质量要求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投标报价</w:t>
            </w:r>
          </w:p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修正情况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/</w:t>
            </w:r>
          </w:p>
        </w:tc>
      </w:tr>
    </w:tbl>
    <w:p>
      <w:pPr>
        <w:pStyle w:val="2"/>
        <w:ind w:firstLine="210"/>
        <w:rPr>
          <w:sz w:val="21"/>
          <w:szCs w:val="21"/>
        </w:rPr>
      </w:pPr>
    </w:p>
    <w:p>
      <w:pPr>
        <w:numPr>
          <w:ilvl w:val="0"/>
          <w:numId w:val="0"/>
        </w:num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/>
          <w:sz w:val="21"/>
          <w:szCs w:val="21"/>
        </w:rPr>
        <w:t>评标标准、评标办法或者评标因素一览表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6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61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评标办法</w:t>
            </w:r>
          </w:p>
        </w:tc>
        <w:tc>
          <w:tcPr>
            <w:tcW w:w="6906" w:type="dxa"/>
          </w:tcPr>
          <w:p>
            <w:pPr>
              <w:pStyle w:val="2"/>
              <w:ind w:firstLine="2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第1标段：评标采用综合评标法，是指评标委员会根据招标文件要求，对其技术标、商务标、综合（信用）标三部分进行综合评审。技术标的权重占25%，商务标的权重占50%，综合标的权重占25%，详见招标文件。</w:t>
            </w:r>
          </w:p>
          <w:p>
            <w:pPr>
              <w:pStyle w:val="2"/>
              <w:ind w:firstLine="21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第2标段：评标采用综合评分法，是指评标委员会根据招标文件要求，对其技术部分、商务部分二部分进行综合评审。技术标的权重占20%，商务标的权重占80%，详见招标文件。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四、评审情况</w:t>
      </w:r>
    </w:p>
    <w:p>
      <w:pPr>
        <w:pStyle w:val="2"/>
        <w:ind w:firstLine="2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第1标段（施工）：</w:t>
      </w:r>
    </w:p>
    <w:p>
      <w:pPr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（一）清标</w:t>
      </w:r>
    </w:p>
    <w:tbl>
      <w:tblPr>
        <w:tblStyle w:val="7"/>
        <w:tblpPr w:leftFromText="180" w:rightFromText="180" w:vertAnchor="text" w:horzAnchor="page" w:tblpX="1770" w:tblpY="52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许昌隆盛路桥工程有限公司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河南鼎畅路桥工程有限公司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（二）初步评审</w:t>
      </w:r>
      <w:r>
        <w:rPr>
          <w:rFonts w:hint="eastAsia" w:asciiTheme="minorEastAsia" w:hAnsi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282734"/>
          <w:sz w:val="21"/>
          <w:szCs w:val="21"/>
        </w:rPr>
        <w:t>许昌隆盛路桥工程有限公司</w:t>
      </w:r>
      <w:r>
        <w:rPr>
          <w:rFonts w:hint="eastAsia" w:asciiTheme="minorEastAsia" w:hAnsiTheme="minorEastAsia" w:eastAsiaTheme="minorEastAsia" w:cstheme="minorEastAsia"/>
          <w:color w:val="282734"/>
          <w:sz w:val="21"/>
          <w:szCs w:val="21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282734"/>
          <w:sz w:val="21"/>
          <w:szCs w:val="21"/>
        </w:rPr>
        <w:t>河南鼎畅路桥工程有限公司</w:t>
      </w:r>
      <w:r>
        <w:rPr>
          <w:rFonts w:hint="eastAsia" w:asciiTheme="minorEastAsia" w:hAnsiTheme="minorEastAsia" w:eastAsiaTheme="minorEastAsia" w:cstheme="minorEastAsia"/>
          <w:color w:val="282734"/>
          <w:sz w:val="21"/>
          <w:szCs w:val="21"/>
          <w:lang w:val="en-US" w:eastAsia="zh-CN"/>
        </w:rPr>
        <w:t>的CPU序列号相同，其他均不相同，经评标委员会同意，可继续进行下一步评审。</w:t>
      </w:r>
      <w:r>
        <w:rPr>
          <w:rFonts w:hint="eastAsia" w:asciiTheme="minorEastAsia" w:hAnsiTheme="minorEastAsia" w:eastAsiaTheme="minorEastAsia" w:cstheme="minorEastAsia"/>
          <w:color w:val="282734"/>
          <w:sz w:val="21"/>
          <w:szCs w:val="21"/>
        </w:rPr>
        <w:t xml:space="preserve"> </w:t>
      </w:r>
    </w:p>
    <w:tbl>
      <w:tblPr>
        <w:tblStyle w:val="7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通过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许昌隆盛路桥工程有限公司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1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河南鼎畅路桥工程有限公司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1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（三）详细评审（详见评标委员会成员技术标、商务标、综合标评分表格）</w:t>
      </w:r>
    </w:p>
    <w:p>
      <w:pPr>
        <w:pStyle w:val="2"/>
        <w:ind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第2标段（监理）：</w:t>
      </w:r>
    </w:p>
    <w:p>
      <w:pPr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（一）初步评审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三家投标人</w:t>
      </w:r>
      <w:r>
        <w:rPr>
          <w:rFonts w:hint="eastAsia" w:asciiTheme="minorEastAsia" w:hAnsiTheme="minorEastAsia"/>
          <w:sz w:val="21"/>
          <w:szCs w:val="21"/>
        </w:rPr>
        <w:t>硬件特征码均无雷同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许昌建设工程项目管理有限公司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（二）详细评审（详见评标委员会成员技术部分、商务部分评分表格）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五、根据招标文件的规定，评标委员会将经评审的投标人按综合得分由高到低排序如下：</w:t>
      </w:r>
    </w:p>
    <w:p>
      <w:pPr>
        <w:pStyle w:val="2"/>
        <w:ind w:firstLine="2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第1标段（施工）</w:t>
      </w:r>
      <w:r>
        <w:rPr>
          <w:rFonts w:hint="eastAsia"/>
          <w:sz w:val="21"/>
          <w:szCs w:val="21"/>
        </w:rPr>
        <w:t>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2444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企业名称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禹州市市政工程有限公司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80.07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许昌隆盛路桥工程有限公司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72.94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河南鼎畅路桥工程有限公司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66.31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</w:tr>
    </w:tbl>
    <w:p>
      <w:pPr>
        <w:pStyle w:val="2"/>
        <w:ind w:firstLine="2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第2标段（监理）</w:t>
      </w:r>
      <w:r>
        <w:rPr>
          <w:rFonts w:hint="eastAsia"/>
          <w:sz w:val="21"/>
          <w:szCs w:val="21"/>
        </w:rPr>
        <w:t>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许昌建设工程项目管理有限公司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84.58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许昌市复兴建设工程监理有限公司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59.00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河南顺成建设工程管理有限公司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42.78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</w:tr>
    </w:tbl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六、推荐的中标候选人详细评审得分</w:t>
      </w:r>
    </w:p>
    <w:p>
      <w:pPr>
        <w:pStyle w:val="2"/>
        <w:ind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第1标段（施工）：</w:t>
      </w:r>
    </w:p>
    <w:tbl>
      <w:tblPr>
        <w:tblStyle w:val="7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473"/>
        <w:gridCol w:w="766"/>
        <w:gridCol w:w="822"/>
        <w:gridCol w:w="10"/>
        <w:gridCol w:w="695"/>
        <w:gridCol w:w="10"/>
        <w:gridCol w:w="686"/>
        <w:gridCol w:w="10"/>
        <w:gridCol w:w="828"/>
        <w:gridCol w:w="21"/>
        <w:gridCol w:w="675"/>
        <w:gridCol w:w="1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第一中标候选人</w:t>
            </w:r>
          </w:p>
        </w:tc>
        <w:tc>
          <w:tcPr>
            <w:tcW w:w="5283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禹州市市政工程有限公司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1.内容完整性（0-0.5分）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2.主要施工方案与技术措施（1-3分）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3.质量管理体系与措施（1-2分）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4.安全管理体系与措施（1-2分）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5.文明施工、环境保护管理体系及施工现场扬尘治理措施（1-3分）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6.工期保证措施（1-2分）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7.拟投入资源配备计划（0.5-2分）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8.施工进度表与网络计划图（0.5-2分）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9.施工总平面图布置（0.5-1分）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10.技术创新的应用实施措施（1-2分）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11.采用新工艺、新技术、新设备、新材料、BIM等的程度（1-2分）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12.施工现场实施信息化监控和数据处理（0.5-1.5分）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13.风险管理措施（1-2分）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3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22.1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20.4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17.9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22.5</w:t>
            </w:r>
          </w:p>
        </w:tc>
        <w:tc>
          <w:tcPr>
            <w:tcW w:w="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2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1.总报价分（30分）</w:t>
            </w:r>
          </w:p>
        </w:tc>
        <w:tc>
          <w:tcPr>
            <w:tcW w:w="5283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2.分部分项分（10分）</w:t>
            </w:r>
          </w:p>
        </w:tc>
        <w:tc>
          <w:tcPr>
            <w:tcW w:w="528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3.主要材料分（5分）</w:t>
            </w:r>
          </w:p>
        </w:tc>
        <w:tc>
          <w:tcPr>
            <w:tcW w:w="528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4.措施项目分（5分）</w:t>
            </w:r>
          </w:p>
        </w:tc>
        <w:tc>
          <w:tcPr>
            <w:tcW w:w="5283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商务标得分</w:t>
            </w:r>
          </w:p>
        </w:tc>
        <w:tc>
          <w:tcPr>
            <w:tcW w:w="5283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1.企业业绩（0-4分）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2.项目经理业绩（0-6分）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3.优惠承诺（包含不拖欠农民工工资、扬尘治理承诺、项目经理无在建及中标后到现场工作的承诺等）（1-4分）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4.履职尽责承诺（1-3分）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5.企业信用（含纳税诚信）（-4-4分）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6.项目经理信用（-2-2分）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7.招标人意见（0-2分）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19.6</w:t>
            </w:r>
          </w:p>
        </w:tc>
        <w:tc>
          <w:tcPr>
            <w:tcW w:w="8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18.6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3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综合标平均得分</w:t>
            </w:r>
          </w:p>
        </w:tc>
        <w:tc>
          <w:tcPr>
            <w:tcW w:w="528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2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1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注：技术部分若有缺项，该项为0分。</w:t>
            </w:r>
          </w:p>
        </w:tc>
      </w:tr>
    </w:tbl>
    <w:p>
      <w:pPr>
        <w:rPr>
          <w:rFonts w:asciiTheme="minorEastAsia" w:hAnsiTheme="minorEastAsia"/>
          <w:b/>
          <w:bCs/>
          <w:sz w:val="21"/>
          <w:szCs w:val="21"/>
        </w:rPr>
      </w:pPr>
    </w:p>
    <w:tbl>
      <w:tblPr>
        <w:tblStyle w:val="7"/>
        <w:tblW w:w="8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8"/>
        <w:gridCol w:w="777"/>
        <w:gridCol w:w="834"/>
        <w:gridCol w:w="10"/>
        <w:gridCol w:w="706"/>
        <w:gridCol w:w="10"/>
        <w:gridCol w:w="697"/>
        <w:gridCol w:w="10"/>
        <w:gridCol w:w="840"/>
        <w:gridCol w:w="21"/>
        <w:gridCol w:w="686"/>
        <w:gridCol w:w="10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第二中标候选人</w:t>
            </w:r>
          </w:p>
        </w:tc>
        <w:tc>
          <w:tcPr>
            <w:tcW w:w="5357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许昌隆盛路桥工程有限公司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1.内容完整性（0-0.5分）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2.主要施工方案与技术措施（1-3分）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1.7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3.质量管理体系与措施（1-2分）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4.安全管理体系与措施（1-2分）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5.文明施工、环境保护管理体系及施工现场扬尘治理措施（1-3分）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6.工期保证措施（1-2分）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7.拟投入资源配备计划（0.5-2分）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8.施工进度表与网络计划图（0.5-2分）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9.施工总平面图布置（0.5-1分）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10.技术创新的应用实施措施（1-2分）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11.采用新工艺、新技术、新设备、新材料、BIM等的程度（1-2分）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12.施工现场实施信息化监控和数据处理（0.5-1.5分）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13.风险管理措施（1-2分）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8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21.5</w:t>
            </w: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18.2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17.1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1.总报价分（30分）</w:t>
            </w:r>
          </w:p>
        </w:tc>
        <w:tc>
          <w:tcPr>
            <w:tcW w:w="5357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2.分部分项分（10分）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3.主要材料分（5分）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4.措施项目分（5分）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商务标得分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37.96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1.企业业绩（0-4分）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2.项目经理业绩（0-6分）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3.优惠承诺（包含不拖欠农民工工资、扬尘治理承诺、项目经理无在建及中标后到现场工作的承诺等）（1-4分）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4.履职尽责承诺（1-3分）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5.企业信用（含纳税诚信）（-4-4分）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6.项目经理信用（-2-2分）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7.招标人意见（0-2分）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84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71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82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综合标平均得分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3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注：技术部分若有缺项，该项为0分。</w:t>
            </w:r>
          </w:p>
        </w:tc>
      </w:tr>
    </w:tbl>
    <w:p>
      <w:pPr>
        <w:pStyle w:val="2"/>
        <w:ind w:firstLine="210"/>
        <w:rPr>
          <w:sz w:val="21"/>
          <w:szCs w:val="21"/>
        </w:rPr>
      </w:pPr>
    </w:p>
    <w:tbl>
      <w:tblPr>
        <w:tblStyle w:val="7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8"/>
        <w:gridCol w:w="769"/>
        <w:gridCol w:w="824"/>
        <w:gridCol w:w="10"/>
        <w:gridCol w:w="699"/>
        <w:gridCol w:w="10"/>
        <w:gridCol w:w="690"/>
        <w:gridCol w:w="10"/>
        <w:gridCol w:w="830"/>
        <w:gridCol w:w="21"/>
        <w:gridCol w:w="679"/>
        <w:gridCol w:w="10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第三中标候选人</w:t>
            </w:r>
          </w:p>
        </w:tc>
        <w:tc>
          <w:tcPr>
            <w:tcW w:w="5294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河南鼎畅路桥工程有限公司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155" w:firstLineChars="5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2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1.内容完整性（0-0.5分）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2.主要施工方案与技术措施（1-3分）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1.7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3.质量管理体系与措施（1-2分）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4.安全管理体系与措施（1-2分）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5.文明施工、环境保护管理体系及施工现场扬尘治理措施（1-3分）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6.工期保证措施（1-2分）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7.拟投入资源配备计划（0.5-2分）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8.施工进度表与网络计划图（0.5-2分）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9.施工总平面图布置（0.5-1分）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10.技术创新的应用实施措施（1-2分）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11.采用新工艺、新技术、新设备、新材料、BIM等的程度（1-2分）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12.施工现场实施信息化监控和数据处理（0.5-1.5分）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13.风险管理措施（1-2分）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4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20.6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17.3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1.总报价分（30分）</w:t>
            </w:r>
          </w:p>
        </w:tc>
        <w:tc>
          <w:tcPr>
            <w:tcW w:w="5294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2.分部分项分（10分）</w:t>
            </w:r>
          </w:p>
        </w:tc>
        <w:tc>
          <w:tcPr>
            <w:tcW w:w="529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3.主要材料分（5分）</w:t>
            </w:r>
          </w:p>
        </w:tc>
        <w:tc>
          <w:tcPr>
            <w:tcW w:w="529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4.措施项目分（5分）</w:t>
            </w:r>
          </w:p>
        </w:tc>
        <w:tc>
          <w:tcPr>
            <w:tcW w:w="529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4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商务标得分</w:t>
            </w:r>
          </w:p>
        </w:tc>
        <w:tc>
          <w:tcPr>
            <w:tcW w:w="529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eastAsia="宋体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1.企业业绩（0-4分）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2.项目经理业绩（0-6分）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3.优惠承诺（包含不拖欠农民工工资、扬尘治理承诺、项目经理无在建及中标后到现场工作的承诺等）（1-4分）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4.履职尽责承诺（1-3分）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5.企业信用（含纳税诚信）（-4-4分）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6.项目经理信用（-2-2分）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7.招标人意见（0-2分）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8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70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4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4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综合标平均得分</w:t>
            </w:r>
          </w:p>
        </w:tc>
        <w:tc>
          <w:tcPr>
            <w:tcW w:w="529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9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注：技术部分若有缺项，该项为0分。</w:t>
            </w:r>
          </w:p>
        </w:tc>
      </w:tr>
    </w:tbl>
    <w:p>
      <w:pPr>
        <w:rPr>
          <w:rFonts w:asciiTheme="minorEastAsia" w:hAnsiTheme="minorEastAsia"/>
          <w:b/>
          <w:bCs/>
          <w:sz w:val="21"/>
          <w:szCs w:val="21"/>
        </w:rPr>
      </w:pPr>
    </w:p>
    <w:p>
      <w:pPr>
        <w:rPr>
          <w:rFonts w:asciiTheme="minorEastAsia" w:hAnsiTheme="minorEastAsia"/>
          <w:b/>
          <w:bCs/>
          <w:sz w:val="21"/>
          <w:szCs w:val="21"/>
        </w:rPr>
      </w:pPr>
    </w:p>
    <w:p>
      <w:pPr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第2</w:t>
      </w:r>
      <w:r>
        <w:rPr>
          <w:rFonts w:asciiTheme="minorEastAsia" w:hAnsiTheme="minorEastAsia"/>
          <w:b/>
          <w:bCs/>
          <w:sz w:val="21"/>
          <w:szCs w:val="21"/>
        </w:rPr>
        <w:t>标段</w:t>
      </w:r>
      <w:r>
        <w:rPr>
          <w:rFonts w:hint="eastAsia" w:asciiTheme="minorEastAsia" w:hAnsiTheme="minorEastAsia"/>
          <w:b/>
          <w:bCs/>
          <w:sz w:val="21"/>
          <w:szCs w:val="21"/>
        </w:rPr>
        <w:t>（</w:t>
      </w:r>
      <w:r>
        <w:rPr>
          <w:rFonts w:asciiTheme="minorEastAsia" w:hAnsiTheme="minorEastAsia"/>
          <w:b/>
          <w:bCs/>
          <w:sz w:val="21"/>
          <w:szCs w:val="21"/>
        </w:rPr>
        <w:t>监理</w:t>
      </w:r>
      <w:r>
        <w:rPr>
          <w:rFonts w:hint="eastAsia" w:asciiTheme="minorEastAsia" w:hAnsiTheme="minorEastAsia"/>
          <w:b/>
          <w:bCs/>
          <w:sz w:val="21"/>
          <w:szCs w:val="21"/>
        </w:rPr>
        <w:t>）</w:t>
      </w:r>
      <w:r>
        <w:rPr>
          <w:rFonts w:asciiTheme="minorEastAsia" w:hAnsiTheme="minorEastAsia"/>
          <w:b/>
          <w:bCs/>
          <w:sz w:val="21"/>
          <w:szCs w:val="21"/>
        </w:rPr>
        <w:t>：</w:t>
      </w:r>
    </w:p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8"/>
        <w:gridCol w:w="749"/>
        <w:gridCol w:w="864"/>
        <w:gridCol w:w="718"/>
        <w:gridCol w:w="708"/>
        <w:gridCol w:w="19"/>
        <w:gridCol w:w="765"/>
        <w:gridCol w:w="67"/>
        <w:gridCol w:w="698"/>
        <w:gridCol w:w="11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第一中标候选人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质量控制（0-5分）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进度控制（0-2分）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造价控制（0-3分）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安全控制（0-3分）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旁站监理措施（0-2分）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档案及合同管理（0-2分）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7.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工作制度（0-1分）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组织协调及合理化建议（0-2分）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监理取费（15分）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企业综合实力（30分）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总监理工程师（20分）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项目监理机构人员配备（6分）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5.服务承诺（4分）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6.业主考评（2-5分）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84.58</w:t>
            </w:r>
          </w:p>
        </w:tc>
      </w:tr>
    </w:tbl>
    <w:p>
      <w:pPr>
        <w:pStyle w:val="2"/>
        <w:ind w:firstLine="0" w:firstLineChars="0"/>
        <w:rPr>
          <w:sz w:val="21"/>
          <w:szCs w:val="21"/>
        </w:rPr>
      </w:pPr>
    </w:p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8"/>
        <w:gridCol w:w="749"/>
        <w:gridCol w:w="864"/>
        <w:gridCol w:w="718"/>
        <w:gridCol w:w="708"/>
        <w:gridCol w:w="19"/>
        <w:gridCol w:w="765"/>
        <w:gridCol w:w="67"/>
        <w:gridCol w:w="698"/>
        <w:gridCol w:w="11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第二中标候选人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质量控制（0-5分）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进度控制（0-2分）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造价控制（0-3分）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安全控制（0-3分）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ind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旁站监理措施（0-2分）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tabs>
                <w:tab w:val="center" w:pos="430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center" w:pos="430"/>
              </w:tabs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档案及合同管理（0-2分）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7.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工作制度（0-1分）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组织协调及合理化建议（0-2分）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17.5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监理取费（15分）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企业综合实力（30分）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总监理工程师（20分）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项目监理机构人员配备（6分）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5.服务承诺（4分）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7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6.业主考评（2-5分）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59.00</w:t>
            </w:r>
          </w:p>
        </w:tc>
      </w:tr>
    </w:tbl>
    <w:p>
      <w:pPr>
        <w:pStyle w:val="2"/>
        <w:ind w:firstLine="0" w:firstLineChars="0"/>
        <w:rPr>
          <w:sz w:val="21"/>
          <w:szCs w:val="21"/>
        </w:rPr>
      </w:pPr>
    </w:p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8"/>
        <w:gridCol w:w="749"/>
        <w:gridCol w:w="864"/>
        <w:gridCol w:w="718"/>
        <w:gridCol w:w="708"/>
        <w:gridCol w:w="19"/>
        <w:gridCol w:w="765"/>
        <w:gridCol w:w="67"/>
        <w:gridCol w:w="698"/>
        <w:gridCol w:w="11"/>
        <w:gridCol w:w="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第三中标候选人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365" w:firstLineChars="6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评审内容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评委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评委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质量控制（0-5分）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进度控制（0-2分）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造价控制（0-3分）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安全控制（0-3分）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旁站监理措施（0-2分）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档案及合同管理（0-2分）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7.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工作制度（0-1分）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组织协调及合理化建议（0-2分）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13.2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监理取费（15分）</w:t>
            </w:r>
          </w:p>
        </w:tc>
        <w:tc>
          <w:tcPr>
            <w:tcW w:w="535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企业综合实力（30分）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总监理工程师（20分）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项目监理机构人员配备（6分）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5.服务承诺（4分）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7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6.业主考评（2-5分）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商务标平均得分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8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42.78</w:t>
            </w:r>
          </w:p>
        </w:tc>
      </w:tr>
    </w:tbl>
    <w:p>
      <w:pPr>
        <w:pStyle w:val="2"/>
        <w:ind w:firstLine="0" w:firstLineChars="0"/>
        <w:rPr>
          <w:sz w:val="21"/>
          <w:szCs w:val="21"/>
        </w:rPr>
      </w:pP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（一）推荐的中标候选人名单：</w:t>
      </w:r>
    </w:p>
    <w:p>
      <w:pPr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第1标段（施工）：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第一中标候选人：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禹州市市政工程有限公司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>15388008.19</w:t>
      </w:r>
      <w:r>
        <w:rPr>
          <w:rFonts w:hint="eastAsia" w:asciiTheme="minorEastAsia" w:hAnsiTheme="minorEastAsia"/>
          <w:sz w:val="21"/>
          <w:szCs w:val="21"/>
        </w:rPr>
        <w:t>元        大写：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>壹仟伍佰叁拾捌万捌仟零捌元壹角玖分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工期：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240</w:t>
      </w:r>
      <w:r>
        <w:rPr>
          <w:rFonts w:hint="eastAsia" w:asciiTheme="minorEastAsia" w:hAnsiTheme="minorEastAsia"/>
          <w:sz w:val="21"/>
          <w:szCs w:val="21"/>
        </w:rPr>
        <w:t xml:space="preserve">日历天                质量标准：合格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杨红菊     </w:t>
      </w:r>
      <w:r>
        <w:rPr>
          <w:rFonts w:hint="eastAsia" w:asciiTheme="minorEastAsia" w:hAnsiTheme="minorEastAsia"/>
          <w:sz w:val="21"/>
          <w:szCs w:val="21"/>
        </w:rPr>
        <w:t xml:space="preserve">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1"/>
          <w:szCs w:val="21"/>
        </w:rPr>
        <w:t xml:space="preserve"> 证书名称、编号：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一级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建造师 、豫141060805468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禹州市植物园升级改造工程（植物园院内、南大门工程）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禹州市钧州大街（北关桥—滨河路）道路提升改造工程施工标段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 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禹州市学院路道路工程（学府西路—轩辕大道） ；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2、禹州市学府西路道路工程(学院路—祥云大道)、学院路道路工程 （南北二路—遂良大道）第二标段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第二中标候选人：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 xml:space="preserve">许昌隆盛路桥工程有限公司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 xml:space="preserve">15507158.02 </w:t>
      </w:r>
      <w:r>
        <w:rPr>
          <w:rFonts w:hint="eastAsia" w:asciiTheme="minorEastAsia" w:hAnsiTheme="minorEastAsia"/>
          <w:sz w:val="21"/>
          <w:szCs w:val="21"/>
        </w:rPr>
        <w:t xml:space="preserve">元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>壹仟伍佰伍拾万零柒仟壹佰伍拾捌元贰分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240</w:t>
      </w:r>
      <w:r>
        <w:rPr>
          <w:rFonts w:hint="eastAsia" w:asciiTheme="minorEastAsia" w:hAnsiTheme="minorEastAsia"/>
          <w:sz w:val="21"/>
          <w:szCs w:val="21"/>
        </w:rPr>
        <w:t xml:space="preserve">日历天                质量标准：合格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王明辉    </w:t>
      </w:r>
      <w:r>
        <w:rPr>
          <w:rFonts w:hint="eastAsia" w:asciiTheme="minorEastAsia" w:hAnsi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二级建造师、豫241171717938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鄢陵县 2017 年农村公路建设项目（张桥镇陈庄-后厦村等30条公路）11 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2、尉氏县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2019 年第一批农村公路建设项目（一期）一标段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鄢陵县马坊镇 2018 年通村公路建设项目施工及监理施工标段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 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鄢陵县2018年马坊镇晋南村扶贫开发道路建设项目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鄢陵县南坞镇2018年通村公路建设项目 </w:t>
      </w:r>
    </w:p>
    <w:p>
      <w:pPr>
        <w:pStyle w:val="2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第三中标候选人：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河南鼎畅路桥工程有限公司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>15526168.37</w:t>
      </w:r>
      <w:r>
        <w:rPr>
          <w:rFonts w:hint="eastAsia" w:asciiTheme="minorEastAsia" w:hAnsiTheme="minorEastAsia"/>
          <w:sz w:val="21"/>
          <w:szCs w:val="21"/>
        </w:rPr>
        <w:t xml:space="preserve">元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ascii="新宋体" w:hAnsi="新宋体" w:eastAsia="新宋体" w:cs="新宋体"/>
          <w:color w:val="000000"/>
          <w:kern w:val="0"/>
          <w:sz w:val="21"/>
          <w:szCs w:val="21"/>
          <w:lang w:val="en-US" w:eastAsia="zh-CN" w:bidi="ar"/>
        </w:rPr>
        <w:t>壹仟伍佰伍拾贰万陆仟壹佰陆拾捌元叁角柒分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工期：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240</w:t>
      </w:r>
      <w:r>
        <w:rPr>
          <w:rFonts w:hint="eastAsia" w:asciiTheme="minorEastAsia" w:hAnsiTheme="minorEastAsia"/>
          <w:sz w:val="21"/>
          <w:szCs w:val="21"/>
        </w:rPr>
        <w:t xml:space="preserve">日历天                质量标准：合格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艾占锋    </w:t>
      </w:r>
      <w:r>
        <w:rPr>
          <w:rFonts w:hint="eastAsia" w:asciiTheme="minorEastAsia" w:hAnsi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1"/>
          <w:szCs w:val="21"/>
        </w:rPr>
        <w:t>证书名称、编号：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二级建造师、豫 241181832339</w:t>
      </w:r>
    </w:p>
    <w:p>
      <w:pPr>
        <w:spacing w:line="312" w:lineRule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 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襄城县循环经济产业集聚区开源路及丹霞路提升改造工程一标段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襄城县循环经济产业集聚区开源路及丹霞路提升改造工程二标段</w:t>
      </w:r>
    </w:p>
    <w:p>
      <w:pPr>
        <w:pStyle w:val="2"/>
        <w:ind w:left="0" w:leftChars="0" w:firstLine="0" w:firstLineChars="0"/>
        <w:rPr>
          <w:rFonts w:hint="default" w:eastAsiaTheme="minorEastAsia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第2标段（监理）：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第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b/>
          <w:sz w:val="21"/>
          <w:szCs w:val="21"/>
        </w:rPr>
        <w:t>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许昌建设工程项目管理有限公司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184200.00</w:t>
      </w:r>
      <w:r>
        <w:rPr>
          <w:rFonts w:hint="eastAsia" w:asciiTheme="minorEastAsia" w:hAnsiTheme="minorEastAsia"/>
          <w:sz w:val="21"/>
          <w:szCs w:val="21"/>
        </w:rPr>
        <w:t xml:space="preserve">元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壹拾捌万肆仟贰佰元整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工期：开工之日起至保修期结束     质量标准：合格 </w:t>
      </w:r>
    </w:p>
    <w:p>
      <w:pPr>
        <w:spacing w:line="312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项目负责人：</w:t>
      </w:r>
      <w:r>
        <w:rPr>
          <w:rFonts w:hint="eastAsia"/>
          <w:sz w:val="21"/>
          <w:szCs w:val="21"/>
        </w:rPr>
        <w:t>杨根林</w:t>
      </w:r>
      <w:r>
        <w:rPr>
          <w:rFonts w:hint="eastAsia" w:asciiTheme="minorEastAsia" w:hAnsi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1"/>
          <w:szCs w:val="21"/>
        </w:rPr>
        <w:t>证书名称、编号：注册监理工程师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41001822</w:t>
      </w:r>
      <w:r>
        <w:rPr>
          <w:rFonts w:hint="eastAsia" w:asciiTheme="minorEastAsia" w:hAnsiTheme="minorEastAsia"/>
          <w:sz w:val="21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1、禹州市颍河大街道路提升改造工程第2标段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3、禹州市颍河二坝至吴湾桥两岸生态与景观带工程（1、2、4）块地四标段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1、禹州市许禹快速路配套工程</w:t>
      </w:r>
    </w:p>
    <w:p>
      <w:pPr>
        <w:spacing w:line="312" w:lineRule="auto"/>
        <w:ind w:firstLine="420" w:firstLineChars="200"/>
        <w:rPr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2、禹州市学府西路（学院路--祥云大道）道路、排水工程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3、2016年禹州市市政建设项目（高压走廊南延伸段及吕不韦路）工程</w:t>
      </w:r>
    </w:p>
    <w:p>
      <w:pPr>
        <w:numPr>
          <w:ilvl w:val="0"/>
          <w:numId w:val="3"/>
        </w:num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禹州市产业集聚区明楼路道路、排水工程</w:t>
      </w:r>
    </w:p>
    <w:p>
      <w:pPr>
        <w:pStyle w:val="2"/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第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sz w:val="21"/>
          <w:szCs w:val="21"/>
        </w:rPr>
        <w:t>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许昌市复兴建设工程监理有限公司</w:t>
      </w:r>
    </w:p>
    <w:p>
      <w:pPr>
        <w:spacing w:line="312" w:lineRule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184000</w:t>
      </w:r>
      <w:r>
        <w:rPr>
          <w:rFonts w:hint="eastAsia" w:asciiTheme="minorEastAsia" w:hAnsiTheme="minorEastAsia"/>
          <w:sz w:val="21"/>
          <w:szCs w:val="21"/>
        </w:rPr>
        <w:t xml:space="preserve">元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壹拾捌万肆仟元整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工期：开工之日起至保修期结束     质量标准：合格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项目负责人：和光辉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1"/>
          <w:szCs w:val="21"/>
        </w:rPr>
        <w:t xml:space="preserve">证书名称、编号：注册监理工程师 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</w:rPr>
        <w:t xml:space="preserve">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41010094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1、许昌市老旧小区“四改一增“老街道改造提升项目（一标段）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 ：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1、建安大道西段（文峰路-劳动路）综合提升改造工程 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2、禹州市吕祖路道路、排水工程二标段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第三中标候选人：</w:t>
      </w: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河南顺成建设工程管理有限公司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投标报价：184500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.00</w:t>
      </w:r>
      <w:r>
        <w:rPr>
          <w:rFonts w:hint="eastAsia" w:asciiTheme="minorEastAsia" w:hAnsiTheme="minorEastAsia"/>
          <w:sz w:val="21"/>
          <w:szCs w:val="21"/>
        </w:rPr>
        <w:t xml:space="preserve">元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1"/>
          <w:szCs w:val="21"/>
        </w:rPr>
        <w:t>大写：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壹拾捌万肆仟伍佰元整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工期：开工之日起至保修期结束     质量标准：合格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 xml:space="preserve">项目负责人：屈振伟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1"/>
          <w:szCs w:val="21"/>
        </w:rPr>
        <w:t xml:space="preserve">证书名称、编号：注册监理工程师 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41009649 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投标文件中填报的项目负责人业绩名称：无</w:t>
      </w:r>
    </w:p>
    <w:p>
      <w:pPr>
        <w:spacing w:line="312" w:lineRule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投标文件中填报的单位项目业绩名称 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新郑市新店镇污水处理厂配套管网工程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九、公示期：20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12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 xml:space="preserve">15 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招标人：禹州市住房和城乡建设局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 址：禹州市颍川路与华夏大道交叉口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联系人：赵女士 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联系电话：0374-8113131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招标代理机构：中科高盛咨询集团有限公司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  址：郑东新区商务内环西二街龙湖大厦1709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联系人：李女士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联系电话：0371-53626688（0374-2760789）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监督部门：禹州市建设工程招标投标管理办公室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rPr>
          <w:rFonts w:asciiTheme="minorEastAsia" w:hAnsiTheme="minorEastAsia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AE384"/>
    <w:multiLevelType w:val="singleLevel"/>
    <w:tmpl w:val="E84AE38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EADED2"/>
    <w:multiLevelType w:val="singleLevel"/>
    <w:tmpl w:val="5EEADED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0FF326F1"/>
    <w:rsid w:val="10443851"/>
    <w:rsid w:val="107131DF"/>
    <w:rsid w:val="10E3543C"/>
    <w:rsid w:val="11495459"/>
    <w:rsid w:val="11D63AFF"/>
    <w:rsid w:val="12661890"/>
    <w:rsid w:val="12727C96"/>
    <w:rsid w:val="128532B0"/>
    <w:rsid w:val="128F133D"/>
    <w:rsid w:val="12BA4BEE"/>
    <w:rsid w:val="13EA7F5F"/>
    <w:rsid w:val="14F62D1C"/>
    <w:rsid w:val="155C3D3A"/>
    <w:rsid w:val="15641D2C"/>
    <w:rsid w:val="17DE04D6"/>
    <w:rsid w:val="17FD074D"/>
    <w:rsid w:val="192C431E"/>
    <w:rsid w:val="19481A74"/>
    <w:rsid w:val="19A4348F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11417E7"/>
    <w:rsid w:val="231D0486"/>
    <w:rsid w:val="23CC7167"/>
    <w:rsid w:val="2499589D"/>
    <w:rsid w:val="25002A16"/>
    <w:rsid w:val="25041E4D"/>
    <w:rsid w:val="255E7DC0"/>
    <w:rsid w:val="258B3C42"/>
    <w:rsid w:val="25952BCD"/>
    <w:rsid w:val="26371118"/>
    <w:rsid w:val="28EB2019"/>
    <w:rsid w:val="29611EE6"/>
    <w:rsid w:val="2AB91B05"/>
    <w:rsid w:val="2AC524B2"/>
    <w:rsid w:val="2C0F3C60"/>
    <w:rsid w:val="2C6E63B0"/>
    <w:rsid w:val="2C775A0F"/>
    <w:rsid w:val="2D012435"/>
    <w:rsid w:val="2D7D5B6F"/>
    <w:rsid w:val="2E425DA9"/>
    <w:rsid w:val="320927E8"/>
    <w:rsid w:val="328D4BED"/>
    <w:rsid w:val="32951B45"/>
    <w:rsid w:val="34F269C8"/>
    <w:rsid w:val="37506517"/>
    <w:rsid w:val="384725C4"/>
    <w:rsid w:val="386C6D65"/>
    <w:rsid w:val="390F0EC7"/>
    <w:rsid w:val="3A092EB1"/>
    <w:rsid w:val="3B464C7D"/>
    <w:rsid w:val="3D5F37A3"/>
    <w:rsid w:val="3D990510"/>
    <w:rsid w:val="3E316BB2"/>
    <w:rsid w:val="3F305038"/>
    <w:rsid w:val="40860A3B"/>
    <w:rsid w:val="40CD273C"/>
    <w:rsid w:val="41607504"/>
    <w:rsid w:val="417D50A6"/>
    <w:rsid w:val="42532D04"/>
    <w:rsid w:val="427158FA"/>
    <w:rsid w:val="470A1518"/>
    <w:rsid w:val="478712BA"/>
    <w:rsid w:val="492918EA"/>
    <w:rsid w:val="49BE375B"/>
    <w:rsid w:val="4CCD3150"/>
    <w:rsid w:val="4CF614CF"/>
    <w:rsid w:val="4EFC3A0C"/>
    <w:rsid w:val="50856EF7"/>
    <w:rsid w:val="51864049"/>
    <w:rsid w:val="5276757A"/>
    <w:rsid w:val="560D3068"/>
    <w:rsid w:val="566C0880"/>
    <w:rsid w:val="592616E7"/>
    <w:rsid w:val="5A7A4CF1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C06AE"/>
    <w:rsid w:val="626D1DA5"/>
    <w:rsid w:val="639F7C88"/>
    <w:rsid w:val="63DD3A0C"/>
    <w:rsid w:val="64C3698F"/>
    <w:rsid w:val="67053563"/>
    <w:rsid w:val="67BC09C0"/>
    <w:rsid w:val="6A2565B6"/>
    <w:rsid w:val="6CE45F67"/>
    <w:rsid w:val="6CE531C8"/>
    <w:rsid w:val="6D362AE9"/>
    <w:rsid w:val="6E163593"/>
    <w:rsid w:val="6F30688A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  <w:style w:type="character" w:customStyle="1" w:styleId="21">
    <w:name w:val="focus"/>
    <w:basedOn w:val="9"/>
    <w:qFormat/>
    <w:uiPriority w:val="0"/>
    <w:rPr>
      <w:b/>
      <w:color w:val="000000"/>
    </w:rPr>
  </w:style>
  <w:style w:type="character" w:customStyle="1" w:styleId="22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9"/>
    <w:qFormat/>
    <w:uiPriority w:val="0"/>
  </w:style>
  <w:style w:type="character" w:customStyle="1" w:styleId="25">
    <w:name w:val="swapimg1"/>
    <w:basedOn w:val="9"/>
    <w:qFormat/>
    <w:uiPriority w:val="0"/>
  </w:style>
  <w:style w:type="character" w:customStyle="1" w:styleId="26">
    <w:name w:val="icon_dljg"/>
    <w:basedOn w:val="9"/>
    <w:qFormat/>
    <w:uiPriority w:val="0"/>
  </w:style>
  <w:style w:type="character" w:customStyle="1" w:styleId="27">
    <w:name w:val="icon_cxktbr"/>
    <w:basedOn w:val="9"/>
    <w:qFormat/>
    <w:uiPriority w:val="0"/>
  </w:style>
  <w:style w:type="character" w:customStyle="1" w:styleId="28">
    <w:name w:val="icon_cxkcyry"/>
    <w:basedOn w:val="9"/>
    <w:qFormat/>
    <w:uiPriority w:val="0"/>
  </w:style>
  <w:style w:type="character" w:customStyle="1" w:styleId="29">
    <w:name w:val="icon_gzkj"/>
    <w:basedOn w:val="9"/>
    <w:qFormat/>
    <w:uiPriority w:val="0"/>
  </w:style>
  <w:style w:type="character" w:customStyle="1" w:styleId="30">
    <w:name w:val="close6"/>
    <w:basedOn w:val="9"/>
    <w:qFormat/>
    <w:uiPriority w:val="0"/>
  </w:style>
  <w:style w:type="character" w:customStyle="1" w:styleId="31">
    <w:name w:val="l_8"/>
    <w:basedOn w:val="9"/>
    <w:qFormat/>
    <w:uiPriority w:val="0"/>
  </w:style>
  <w:style w:type="character" w:customStyle="1" w:styleId="32">
    <w:name w:val="l_5"/>
    <w:basedOn w:val="9"/>
    <w:qFormat/>
    <w:uiPriority w:val="0"/>
  </w:style>
  <w:style w:type="character" w:customStyle="1" w:styleId="33">
    <w:name w:val="searchclose"/>
    <w:basedOn w:val="9"/>
    <w:qFormat/>
    <w:uiPriority w:val="0"/>
  </w:style>
  <w:style w:type="character" w:customStyle="1" w:styleId="34">
    <w:name w:val="searchopen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icon_xzry"/>
    <w:basedOn w:val="9"/>
    <w:qFormat/>
    <w:uiPriority w:val="0"/>
  </w:style>
  <w:style w:type="character" w:customStyle="1" w:styleId="37">
    <w:name w:val="icon_lzrz"/>
    <w:basedOn w:val="9"/>
    <w:qFormat/>
    <w:uiPriority w:val="0"/>
  </w:style>
  <w:style w:type="character" w:customStyle="1" w:styleId="38">
    <w:name w:val="m-text"/>
    <w:basedOn w:val="9"/>
    <w:qFormat/>
    <w:uiPriority w:val="0"/>
  </w:style>
  <w:style w:type="character" w:customStyle="1" w:styleId="39">
    <w:name w:val="l_0"/>
    <w:basedOn w:val="9"/>
    <w:qFormat/>
    <w:uiPriority w:val="0"/>
  </w:style>
  <w:style w:type="character" w:customStyle="1" w:styleId="40">
    <w:name w:val="l_01"/>
    <w:basedOn w:val="9"/>
    <w:qFormat/>
    <w:uiPriority w:val="0"/>
  </w:style>
  <w:style w:type="character" w:customStyle="1" w:styleId="41">
    <w:name w:val="l_3"/>
    <w:basedOn w:val="9"/>
    <w:qFormat/>
    <w:uiPriority w:val="0"/>
  </w:style>
  <w:style w:type="character" w:customStyle="1" w:styleId="42">
    <w:name w:val="l_31"/>
    <w:basedOn w:val="9"/>
    <w:qFormat/>
    <w:uiPriority w:val="0"/>
  </w:style>
  <w:style w:type="character" w:customStyle="1" w:styleId="43">
    <w:name w:val="l_1"/>
    <w:basedOn w:val="9"/>
    <w:qFormat/>
    <w:uiPriority w:val="0"/>
  </w:style>
  <w:style w:type="character" w:customStyle="1" w:styleId="44">
    <w:name w:val="l_11"/>
    <w:basedOn w:val="9"/>
    <w:qFormat/>
    <w:uiPriority w:val="0"/>
  </w:style>
  <w:style w:type="character" w:customStyle="1" w:styleId="45">
    <w:name w:val="l_2"/>
    <w:basedOn w:val="9"/>
    <w:qFormat/>
    <w:uiPriority w:val="0"/>
  </w:style>
  <w:style w:type="character" w:customStyle="1" w:styleId="46">
    <w:name w:val="l_21"/>
    <w:basedOn w:val="9"/>
    <w:qFormat/>
    <w:uiPriority w:val="0"/>
  </w:style>
  <w:style w:type="character" w:customStyle="1" w:styleId="47">
    <w:name w:val="l_4"/>
    <w:basedOn w:val="9"/>
    <w:qFormat/>
    <w:uiPriority w:val="0"/>
  </w:style>
  <w:style w:type="character" w:customStyle="1" w:styleId="48">
    <w:name w:val="l_41"/>
    <w:basedOn w:val="9"/>
    <w:qFormat/>
    <w:uiPriority w:val="0"/>
  </w:style>
  <w:style w:type="character" w:customStyle="1" w:styleId="49">
    <w:name w:val="l_6"/>
    <w:basedOn w:val="9"/>
    <w:qFormat/>
    <w:uiPriority w:val="0"/>
  </w:style>
  <w:style w:type="character" w:customStyle="1" w:styleId="50">
    <w:name w:val="l_61"/>
    <w:basedOn w:val="9"/>
    <w:qFormat/>
    <w:uiPriority w:val="0"/>
  </w:style>
  <w:style w:type="character" w:customStyle="1" w:styleId="51">
    <w:name w:val="l_111"/>
    <w:basedOn w:val="9"/>
    <w:qFormat/>
    <w:uiPriority w:val="0"/>
  </w:style>
  <w:style w:type="character" w:customStyle="1" w:styleId="52">
    <w:name w:val="l_112"/>
    <w:basedOn w:val="9"/>
    <w:qFormat/>
    <w:uiPriority w:val="0"/>
  </w:style>
  <w:style w:type="character" w:customStyle="1" w:styleId="53">
    <w:name w:val="l_7"/>
    <w:basedOn w:val="9"/>
    <w:qFormat/>
    <w:uiPriority w:val="0"/>
  </w:style>
  <w:style w:type="character" w:customStyle="1" w:styleId="54">
    <w:name w:val="l_71"/>
    <w:basedOn w:val="9"/>
    <w:qFormat/>
    <w:uiPriority w:val="0"/>
  </w:style>
  <w:style w:type="character" w:customStyle="1" w:styleId="55">
    <w:name w:val="l_10"/>
    <w:basedOn w:val="9"/>
    <w:qFormat/>
    <w:uiPriority w:val="0"/>
  </w:style>
  <w:style w:type="character" w:customStyle="1" w:styleId="56">
    <w:name w:val="l_101"/>
    <w:basedOn w:val="9"/>
    <w:qFormat/>
    <w:uiPriority w:val="0"/>
  </w:style>
  <w:style w:type="character" w:customStyle="1" w:styleId="57">
    <w:name w:val="l_9"/>
    <w:basedOn w:val="9"/>
    <w:qFormat/>
    <w:uiPriority w:val="0"/>
  </w:style>
  <w:style w:type="character" w:customStyle="1" w:styleId="58">
    <w:name w:val="l_91"/>
    <w:basedOn w:val="9"/>
    <w:qFormat/>
    <w:uiPriority w:val="0"/>
  </w:style>
  <w:style w:type="character" w:customStyle="1" w:styleId="59">
    <w:name w:val="l_12"/>
    <w:basedOn w:val="9"/>
    <w:qFormat/>
    <w:uiPriority w:val="0"/>
  </w:style>
  <w:style w:type="character" w:customStyle="1" w:styleId="60">
    <w:name w:val="l_121"/>
    <w:basedOn w:val="9"/>
    <w:qFormat/>
    <w:uiPriority w:val="0"/>
  </w:style>
  <w:style w:type="character" w:customStyle="1" w:styleId="61">
    <w:name w:val="l_13"/>
    <w:basedOn w:val="9"/>
    <w:qFormat/>
    <w:uiPriority w:val="0"/>
  </w:style>
  <w:style w:type="character" w:customStyle="1" w:styleId="62">
    <w:name w:val="l_131"/>
    <w:basedOn w:val="9"/>
    <w:qFormat/>
    <w:uiPriority w:val="0"/>
  </w:style>
  <w:style w:type="character" w:customStyle="1" w:styleId="63">
    <w:name w:val="l_14"/>
    <w:basedOn w:val="9"/>
    <w:qFormat/>
    <w:uiPriority w:val="0"/>
  </w:style>
  <w:style w:type="character" w:customStyle="1" w:styleId="64">
    <w:name w:val="l_141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l_151"/>
    <w:basedOn w:val="9"/>
    <w:qFormat/>
    <w:uiPriority w:val="0"/>
  </w:style>
  <w:style w:type="character" w:customStyle="1" w:styleId="6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9"/>
    <w:qFormat/>
    <w:uiPriority w:val="0"/>
    <w:rPr>
      <w:b/>
      <w:color w:val="000000"/>
    </w:rPr>
  </w:style>
  <w:style w:type="character" w:customStyle="1" w:styleId="6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9"/>
    <w:qFormat/>
    <w:uiPriority w:val="0"/>
  </w:style>
  <w:style w:type="character" w:customStyle="1" w:styleId="72">
    <w:name w:val="swapimg5"/>
    <w:basedOn w:val="9"/>
    <w:qFormat/>
    <w:uiPriority w:val="0"/>
  </w:style>
  <w:style w:type="character" w:customStyle="1" w:styleId="73">
    <w:name w:val="l_51"/>
    <w:basedOn w:val="9"/>
    <w:qFormat/>
    <w:uiPriority w:val="0"/>
  </w:style>
  <w:style w:type="character" w:customStyle="1" w:styleId="74">
    <w:name w:val="l_81"/>
    <w:basedOn w:val="9"/>
    <w:qFormat/>
    <w:uiPriority w:val="0"/>
  </w:style>
  <w:style w:type="character" w:customStyle="1" w:styleId="75">
    <w:name w:val="close"/>
    <w:basedOn w:val="9"/>
    <w:qFormat/>
    <w:uiPriority w:val="0"/>
  </w:style>
  <w:style w:type="character" w:customStyle="1" w:styleId="76">
    <w:name w:val="swapimg3"/>
    <w:basedOn w:val="9"/>
    <w:qFormat/>
    <w:uiPriority w:val="0"/>
  </w:style>
  <w:style w:type="character" w:customStyle="1" w:styleId="77">
    <w:name w:val="l_132"/>
    <w:basedOn w:val="9"/>
    <w:qFormat/>
    <w:uiPriority w:val="0"/>
  </w:style>
  <w:style w:type="character" w:customStyle="1" w:styleId="78">
    <w:name w:val="clos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4</TotalTime>
  <ScaleCrop>false</ScaleCrop>
  <LinksUpToDate>false</LinksUpToDate>
  <CharactersWithSpaces>5163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Administrator</cp:lastModifiedBy>
  <cp:lastPrinted>2019-10-10T06:00:00Z</cp:lastPrinted>
  <dcterms:modified xsi:type="dcterms:W3CDTF">2020-06-12T00:59:54Z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