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Theme="minorEastAsia" w:hAnsiTheme="minorEastAsia" w:eastAsiaTheme="minorEastAsia" w:cstheme="minorEastAsia"/>
          <w:b/>
          <w:color w:val="auto"/>
          <w:sz w:val="48"/>
          <w:highlight w:val="none"/>
        </w:rPr>
      </w:pPr>
      <w:r>
        <w:rPr>
          <w:rFonts w:hint="eastAsia" w:asciiTheme="minorEastAsia" w:hAnsiTheme="minorEastAsia" w:eastAsiaTheme="minorEastAsia" w:cstheme="minorEastAsia"/>
          <w:b/>
          <w:color w:val="auto"/>
          <w:sz w:val="48"/>
          <w:highlight w:val="none"/>
        </w:rPr>
        <w:drawing>
          <wp:inline distT="0" distB="0" distL="114300" distR="114300">
            <wp:extent cx="1737360" cy="1437640"/>
            <wp:effectExtent l="0" t="0" r="0" b="10160"/>
            <wp:docPr id="1" name="图片 1"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成标志"/>
                    <pic:cNvPicPr>
                      <a:picLocks noChangeAspect="1"/>
                    </pic:cNvPicPr>
                  </pic:nvPicPr>
                  <pic:blipFill>
                    <a:blip r:embed="rId8"/>
                    <a:stretch>
                      <a:fillRect/>
                    </a:stretch>
                  </pic:blipFill>
                  <pic:spPr>
                    <a:xfrm>
                      <a:off x="0" y="0"/>
                      <a:ext cx="1737360" cy="1437640"/>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bCs/>
          <w:color w:val="auto"/>
          <w:sz w:val="10"/>
          <w:szCs w:val="10"/>
          <w:highlight w:val="none"/>
        </w:rPr>
      </w:pPr>
    </w:p>
    <w:p>
      <w:pPr>
        <w:pStyle w:val="18"/>
        <w:ind w:firstLine="211"/>
        <w:jc w:val="center"/>
        <w:rPr>
          <w:rFonts w:hint="eastAsia" w:asciiTheme="minorEastAsia" w:hAnsiTheme="minorEastAsia" w:eastAsiaTheme="minorEastAsia" w:cstheme="minorEastAsia"/>
          <w:b/>
          <w:bCs/>
          <w:color w:val="auto"/>
          <w:sz w:val="96"/>
          <w:szCs w:val="96"/>
          <w:highlight w:val="none"/>
        </w:rPr>
      </w:pPr>
      <w:r>
        <w:rPr>
          <w:rFonts w:hint="eastAsia"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sz w:val="96"/>
          <w:szCs w:val="96"/>
          <w:highlight w:val="none"/>
        </w:rPr>
        <w:t>招</w:t>
      </w:r>
      <w:r>
        <w:rPr>
          <w:rFonts w:hint="eastAsia" w:asciiTheme="minorEastAsia" w:hAnsiTheme="minorEastAsia" w:cstheme="minorEastAsia"/>
          <w:b/>
          <w:bCs/>
          <w:color w:val="auto"/>
          <w:sz w:val="96"/>
          <w:szCs w:val="96"/>
          <w:highlight w:val="none"/>
          <w:lang w:val="en-US" w:eastAsia="zh-CN"/>
        </w:rPr>
        <w:t xml:space="preserve"> </w:t>
      </w:r>
      <w:r>
        <w:rPr>
          <w:rFonts w:hint="eastAsia" w:asciiTheme="minorEastAsia" w:hAnsiTheme="minorEastAsia" w:eastAsiaTheme="minorEastAsia" w:cstheme="minorEastAsia"/>
          <w:b/>
          <w:bCs/>
          <w:color w:val="auto"/>
          <w:sz w:val="96"/>
          <w:szCs w:val="96"/>
          <w:highlight w:val="none"/>
        </w:rPr>
        <w:t>标</w:t>
      </w:r>
      <w:r>
        <w:rPr>
          <w:rFonts w:hint="eastAsia" w:asciiTheme="minorEastAsia" w:hAnsiTheme="minorEastAsia" w:cstheme="minorEastAsia"/>
          <w:b/>
          <w:bCs/>
          <w:color w:val="auto"/>
          <w:sz w:val="96"/>
          <w:szCs w:val="96"/>
          <w:highlight w:val="none"/>
          <w:lang w:val="en-US" w:eastAsia="zh-CN"/>
        </w:rPr>
        <w:t xml:space="preserve"> </w:t>
      </w:r>
      <w:r>
        <w:rPr>
          <w:rFonts w:hint="eastAsia" w:asciiTheme="minorEastAsia" w:hAnsiTheme="minorEastAsia" w:eastAsiaTheme="minorEastAsia" w:cstheme="minorEastAsia"/>
          <w:b/>
          <w:bCs/>
          <w:color w:val="auto"/>
          <w:sz w:val="96"/>
          <w:szCs w:val="96"/>
          <w:highlight w:val="none"/>
        </w:rPr>
        <w:t>文</w:t>
      </w:r>
      <w:r>
        <w:rPr>
          <w:rFonts w:hint="eastAsia" w:asciiTheme="minorEastAsia" w:hAnsiTheme="minorEastAsia" w:cstheme="minorEastAsia"/>
          <w:b/>
          <w:bCs/>
          <w:color w:val="auto"/>
          <w:sz w:val="96"/>
          <w:szCs w:val="96"/>
          <w:highlight w:val="none"/>
          <w:lang w:val="en-US" w:eastAsia="zh-CN"/>
        </w:rPr>
        <w:t xml:space="preserve"> </w:t>
      </w:r>
      <w:r>
        <w:rPr>
          <w:rFonts w:hint="eastAsia" w:asciiTheme="minorEastAsia" w:hAnsiTheme="minorEastAsia" w:eastAsiaTheme="minorEastAsia" w:cstheme="minorEastAsia"/>
          <w:b/>
          <w:bCs/>
          <w:color w:val="auto"/>
          <w:sz w:val="96"/>
          <w:szCs w:val="96"/>
          <w:highlight w:val="none"/>
        </w:rPr>
        <w:t>件</w:t>
      </w:r>
    </w:p>
    <w:p>
      <w:pPr>
        <w:autoSpaceDE w:val="0"/>
        <w:autoSpaceDN w:val="0"/>
        <w:adjustRightInd w:val="0"/>
        <w:spacing w:line="360" w:lineRule="auto"/>
        <w:ind w:firstLine="1687" w:firstLineChars="600"/>
        <w:rPr>
          <w:rFonts w:hint="eastAsia" w:asciiTheme="minorEastAsia" w:hAnsiTheme="minorEastAsia" w:cstheme="minorEastAsia"/>
          <w:b/>
          <w:bCs/>
          <w:color w:val="auto"/>
          <w:sz w:val="28"/>
          <w:szCs w:val="28"/>
          <w:highlight w:val="none"/>
          <w:lang w:eastAsia="zh-CN"/>
        </w:rPr>
      </w:pPr>
      <w:r>
        <w:rPr>
          <w:rFonts w:hint="eastAsia" w:asciiTheme="minorEastAsia" w:hAnsiTheme="minorEastAsia" w:cstheme="minorEastAsia"/>
          <w:b/>
          <w:bCs/>
          <w:color w:val="auto"/>
          <w:sz w:val="28"/>
          <w:szCs w:val="28"/>
          <w:highlight w:val="none"/>
          <w:lang w:eastAsia="zh-CN"/>
        </w:rPr>
        <w:t>项目名称：2020年鄢陵县老旧小区改造项目设计</w:t>
      </w:r>
    </w:p>
    <w:p>
      <w:pPr>
        <w:autoSpaceDE w:val="0"/>
        <w:autoSpaceDN w:val="0"/>
        <w:adjustRightInd w:val="0"/>
        <w:spacing w:line="360" w:lineRule="auto"/>
        <w:ind w:firstLine="1687" w:firstLineChars="600"/>
        <w:rPr>
          <w:rFonts w:hint="default" w:asciiTheme="minorEastAsia" w:hAnsi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eastAsia="zh-CN"/>
        </w:rPr>
        <w:t>项目编号：Y2020GZ</w:t>
      </w:r>
      <w:r>
        <w:rPr>
          <w:rFonts w:hint="eastAsia" w:asciiTheme="minorEastAsia" w:hAnsiTheme="minorEastAsia" w:cstheme="minorEastAsia"/>
          <w:b/>
          <w:bCs/>
          <w:color w:val="auto"/>
          <w:sz w:val="28"/>
          <w:szCs w:val="28"/>
          <w:highlight w:val="none"/>
          <w:lang w:val="en-US" w:eastAsia="zh-CN"/>
        </w:rPr>
        <w:t>060</w:t>
      </w:r>
    </w:p>
    <w:p>
      <w:pPr>
        <w:autoSpaceDE w:val="0"/>
        <w:autoSpaceDN w:val="0"/>
        <w:adjustRightInd w:val="0"/>
        <w:spacing w:line="360" w:lineRule="auto"/>
        <w:ind w:firstLine="3614" w:firstLineChars="1000"/>
        <w:jc w:val="both"/>
        <w:rPr>
          <w:rFonts w:hint="eastAsia" w:asciiTheme="minorEastAsia" w:hAnsiTheme="minorEastAsia" w:cstheme="minorEastAsia"/>
          <w:b/>
          <w:bCs/>
          <w:color w:val="auto"/>
          <w:sz w:val="36"/>
          <w:szCs w:val="36"/>
          <w:highlight w:val="none"/>
          <w:lang w:eastAsia="zh-CN"/>
        </w:rPr>
      </w:pPr>
      <w:r>
        <w:rPr>
          <w:rFonts w:hint="eastAsia" w:asciiTheme="minorEastAsia" w:hAnsiTheme="minorEastAsia" w:cstheme="minorEastAsia"/>
          <w:b/>
          <w:bCs/>
          <w:color w:val="auto"/>
          <w:sz w:val="36"/>
          <w:szCs w:val="36"/>
          <w:highlight w:val="none"/>
          <w:lang w:eastAsia="zh-CN"/>
        </w:rPr>
        <w:t>不见面开标</w:t>
      </w:r>
    </w:p>
    <w:p>
      <w:pPr>
        <w:autoSpaceDE w:val="0"/>
        <w:autoSpaceDN w:val="0"/>
        <w:adjustRightInd w:val="0"/>
        <w:spacing w:line="360" w:lineRule="auto"/>
        <w:ind w:firstLine="1687" w:firstLineChars="600"/>
        <w:rPr>
          <w:rFonts w:hint="eastAsia" w:asciiTheme="minorEastAsia" w:hAnsiTheme="minorEastAsia" w:cstheme="minorEastAsia"/>
          <w:b/>
          <w:bCs/>
          <w:color w:val="auto"/>
          <w:sz w:val="28"/>
          <w:szCs w:val="28"/>
          <w:highlight w:val="none"/>
          <w:lang w:eastAsia="zh-CN"/>
        </w:rPr>
      </w:pPr>
      <w:r>
        <w:rPr>
          <w:rFonts w:hint="eastAsia" w:asciiTheme="minorEastAsia" w:hAnsiTheme="minorEastAsia" w:cstheme="minorEastAsia"/>
          <w:b/>
          <w:bCs/>
          <w:color w:val="auto"/>
          <w:sz w:val="28"/>
          <w:szCs w:val="28"/>
          <w:highlight w:val="none"/>
          <w:lang w:eastAsia="zh-CN"/>
        </w:rPr>
        <w:t xml:space="preserve"> </w:t>
      </w:r>
    </w:p>
    <w:p>
      <w:pPr>
        <w:pStyle w:val="19"/>
        <w:ind w:left="0" w:leftChars="0" w:firstLine="0" w:firstLineChars="0"/>
        <w:rPr>
          <w:rFonts w:hint="eastAsia" w:asciiTheme="minorEastAsia" w:hAnsiTheme="minorEastAsia" w:eastAsiaTheme="minorEastAsia" w:cstheme="minorEastAsia"/>
          <w:color w:val="auto"/>
          <w:highlight w:val="none"/>
        </w:rPr>
      </w:pPr>
    </w:p>
    <w:p>
      <w:pPr>
        <w:pStyle w:val="19"/>
        <w:ind w:left="0" w:leftChars="0" w:firstLine="0" w:firstLineChars="0"/>
        <w:rPr>
          <w:rFonts w:hint="eastAsia" w:asciiTheme="minorEastAsia" w:hAnsiTheme="minorEastAsia" w:eastAsiaTheme="minorEastAsia" w:cstheme="minorEastAsia"/>
          <w:color w:val="auto"/>
          <w:highlight w:val="none"/>
        </w:rPr>
      </w:pPr>
    </w:p>
    <w:p>
      <w:pPr>
        <w:pStyle w:val="19"/>
        <w:ind w:left="0" w:leftChars="0" w:firstLine="0" w:firstLineChars="0"/>
        <w:rPr>
          <w:rFonts w:hint="eastAsia" w:asciiTheme="minorEastAsia" w:hAnsiTheme="minorEastAsia" w:eastAsiaTheme="minorEastAsia" w:cstheme="minorEastAsia"/>
          <w:color w:val="auto"/>
          <w:highlight w:val="none"/>
        </w:rPr>
      </w:pPr>
    </w:p>
    <w:p>
      <w:pPr>
        <w:pStyle w:val="19"/>
        <w:ind w:left="0" w:leftChars="0" w:firstLine="0" w:firstLineChars="0"/>
        <w:rPr>
          <w:rFonts w:hint="eastAsia" w:asciiTheme="minorEastAsia" w:hAnsiTheme="minorEastAsia" w:eastAsiaTheme="minorEastAsia" w:cstheme="minorEastAsia"/>
          <w:color w:val="auto"/>
          <w:highlight w:val="none"/>
        </w:rPr>
      </w:pPr>
    </w:p>
    <w:p>
      <w:pPr>
        <w:pStyle w:val="19"/>
        <w:ind w:left="0" w:leftChars="0" w:firstLine="0" w:firstLineChars="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highlight w:val="none"/>
        </w:rPr>
        <w:t xml:space="preserve"> </w:t>
      </w:r>
    </w:p>
    <w:p>
      <w:pPr>
        <w:spacing w:line="480" w:lineRule="auto"/>
        <w:ind w:firstLine="1968" w:firstLineChars="7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b/>
          <w:bCs/>
          <w:color w:val="auto"/>
          <w:sz w:val="28"/>
          <w:szCs w:val="28"/>
          <w:highlight w:val="none"/>
        </w:rPr>
        <w:t>招标单位：</w:t>
      </w:r>
      <w:r>
        <w:rPr>
          <w:rFonts w:hint="eastAsia" w:asciiTheme="minorEastAsia" w:hAnsiTheme="minorEastAsia" w:cstheme="minorEastAsia"/>
          <w:b/>
          <w:bCs/>
          <w:color w:val="auto"/>
          <w:sz w:val="28"/>
          <w:szCs w:val="28"/>
          <w:highlight w:val="none"/>
          <w:lang w:eastAsia="zh-CN"/>
        </w:rPr>
        <w:t>鄢陵县住房和城乡建设局</w:t>
      </w:r>
    </w:p>
    <w:p>
      <w:pPr>
        <w:spacing w:line="480" w:lineRule="auto"/>
        <w:ind w:firstLine="1968" w:firstLineChars="7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代理机构：大成工程咨询有限公司</w:t>
      </w:r>
    </w:p>
    <w:p>
      <w:pPr>
        <w:spacing w:line="480" w:lineRule="auto"/>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28"/>
          <w:szCs w:val="28"/>
          <w:highlight w:val="none"/>
        </w:rPr>
        <w:t>二○二○年</w:t>
      </w:r>
      <w:r>
        <w:rPr>
          <w:rFonts w:hint="eastAsia" w:asciiTheme="minorEastAsia" w:hAnsiTheme="minorEastAsia" w:cstheme="minorEastAsia"/>
          <w:b/>
          <w:bCs/>
          <w:color w:val="auto"/>
          <w:sz w:val="28"/>
          <w:szCs w:val="28"/>
          <w:highlight w:val="none"/>
          <w:lang w:eastAsia="zh-CN"/>
        </w:rPr>
        <w:t>六</w:t>
      </w:r>
      <w:r>
        <w:rPr>
          <w:rFonts w:hint="eastAsia" w:asciiTheme="minorEastAsia" w:hAnsiTheme="minorEastAsia" w:eastAsiaTheme="minorEastAsia" w:cstheme="minorEastAsia"/>
          <w:b/>
          <w:bCs/>
          <w:color w:val="auto"/>
          <w:sz w:val="28"/>
          <w:szCs w:val="28"/>
          <w:highlight w:val="none"/>
        </w:rPr>
        <w:t>月</w:t>
      </w:r>
    </w:p>
    <w:p>
      <w:pPr>
        <w:widowControl/>
        <w:spacing w:afterAutospacing="1" w:line="312" w:lineRule="auto"/>
        <w:jc w:val="left"/>
        <w:rPr>
          <w:rFonts w:hint="eastAsia" w:asciiTheme="minorEastAsia" w:hAnsiTheme="minorEastAsia" w:eastAsiaTheme="minorEastAsia" w:cstheme="minorEastAsia"/>
          <w:b/>
          <w:bCs/>
          <w:color w:val="auto"/>
          <w:sz w:val="44"/>
          <w:szCs w:val="44"/>
          <w:highlight w:val="none"/>
        </w:rPr>
      </w:pPr>
    </w:p>
    <w:sdt>
      <w:sdtPr>
        <w:rPr>
          <w:rFonts w:ascii="宋体" w:hAnsi="宋体" w:eastAsia="宋体" w:cstheme="minorBidi"/>
          <w:color w:val="auto"/>
          <w:kern w:val="2"/>
          <w:sz w:val="36"/>
          <w:szCs w:val="40"/>
          <w:highlight w:val="none"/>
          <w:lang w:val="en-US" w:eastAsia="zh-CN" w:bidi="ar-SA"/>
        </w:rPr>
        <w:id w:val="147468443"/>
        <w15:color w:val="DBDBDB"/>
        <w:docPartObj>
          <w:docPartGallery w:val="Table of Contents"/>
          <w:docPartUnique/>
        </w:docPartObj>
      </w:sdtPr>
      <w:sdtEndPr>
        <w:rPr>
          <w:rFonts w:hint="eastAsia" w:ascii="Arial" w:hAnsi="Arial" w:eastAsia="黑体" w:cs="Arial"/>
          <w:b/>
          <w:bCs/>
          <w:color w:val="auto"/>
          <w:kern w:val="0"/>
          <w:sz w:val="32"/>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olor w:val="auto"/>
              <w:sz w:val="36"/>
              <w:szCs w:val="40"/>
              <w:highlight w:val="none"/>
            </w:rPr>
          </w:pPr>
          <w:r>
            <w:rPr>
              <w:rFonts w:ascii="宋体" w:hAnsi="宋体" w:eastAsia="宋体"/>
              <w:b/>
              <w:bCs/>
              <w:color w:val="auto"/>
              <w:sz w:val="36"/>
              <w:szCs w:val="40"/>
              <w:highlight w:val="none"/>
            </w:rPr>
            <w:t>目</w:t>
          </w:r>
          <w:r>
            <w:rPr>
              <w:rFonts w:hint="eastAsia" w:ascii="宋体" w:hAnsi="宋体" w:eastAsia="宋体"/>
              <w:b/>
              <w:bCs/>
              <w:color w:val="auto"/>
              <w:sz w:val="36"/>
              <w:szCs w:val="40"/>
              <w:highlight w:val="none"/>
              <w:lang w:val="en-US" w:eastAsia="zh-CN"/>
            </w:rPr>
            <w:t xml:space="preserve">  </w:t>
          </w:r>
          <w:r>
            <w:rPr>
              <w:rFonts w:ascii="宋体" w:hAnsi="宋体" w:eastAsia="宋体"/>
              <w:b/>
              <w:bCs/>
              <w:color w:val="auto"/>
              <w:sz w:val="36"/>
              <w:szCs w:val="40"/>
              <w:highlight w:val="none"/>
            </w:rPr>
            <w:t>录</w:t>
          </w:r>
        </w:p>
        <w:p>
          <w:pPr>
            <w:pStyle w:val="19"/>
            <w:rPr>
              <w:color w:val="auto"/>
              <w:highlight w:val="none"/>
            </w:rPr>
          </w:pPr>
        </w:p>
        <w:p>
          <w:pPr>
            <w:pStyle w:val="14"/>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rFonts w:hint="eastAsia"/>
              <w:color w:val="auto"/>
              <w:highlight w:val="none"/>
            </w:rPr>
            <w:fldChar w:fldCharType="begin"/>
          </w:r>
          <w:r>
            <w:rPr>
              <w:rFonts w:hint="eastAsia"/>
              <w:color w:val="auto"/>
              <w:highlight w:val="none"/>
            </w:rPr>
            <w:instrText xml:space="preserve"> HYPERLINK \l _Toc993 </w:instrText>
          </w:r>
          <w:r>
            <w:rPr>
              <w:rFonts w:hint="eastAsia"/>
              <w:color w:val="auto"/>
              <w:highlight w:val="none"/>
            </w:rPr>
            <w:fldChar w:fldCharType="separate"/>
          </w:r>
          <w:r>
            <w:rPr>
              <w:rFonts w:hint="eastAsia" w:asciiTheme="minorEastAsia" w:hAnsiTheme="minorEastAsia" w:eastAsiaTheme="minorEastAsia" w:cstheme="minorEastAsia"/>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_Toc993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rPr>
            <w:fldChar w:fldCharType="end"/>
          </w:r>
        </w:p>
        <w:p>
          <w:pPr>
            <w:pStyle w:val="14"/>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_Toc16962 </w:instrText>
          </w:r>
          <w:r>
            <w:rPr>
              <w:rFonts w:hint="eastAsia"/>
              <w:color w:val="auto"/>
              <w:highlight w:val="none"/>
            </w:rPr>
            <w:fldChar w:fldCharType="separate"/>
          </w:r>
          <w:r>
            <w:rPr>
              <w:rFonts w:hint="eastAsia" w:asciiTheme="minorEastAsia" w:hAnsiTheme="minorEastAsia" w:eastAsiaTheme="minorEastAsia" w:cstheme="minorEastAsia"/>
              <w:color w:val="auto"/>
              <w:szCs w:val="30"/>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_Toc16962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pPr>
            <w:pStyle w:val="14"/>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_Toc5572 </w:instrText>
          </w:r>
          <w:r>
            <w:rPr>
              <w:rFonts w:hint="eastAsia"/>
              <w:color w:val="auto"/>
              <w:highlight w:val="none"/>
            </w:rPr>
            <w:fldChar w:fldCharType="separate"/>
          </w:r>
          <w:r>
            <w:rPr>
              <w:rFonts w:hint="eastAsia" w:asciiTheme="minorEastAsia" w:hAnsiTheme="minorEastAsia" w:eastAsiaTheme="minorEastAsia" w:cstheme="minorEastAsia"/>
              <w:bCs/>
              <w:color w:val="auto"/>
              <w:szCs w:val="30"/>
              <w:highlight w:val="none"/>
            </w:rPr>
            <w:t xml:space="preserve">第三章  </w:t>
          </w:r>
          <w:r>
            <w:rPr>
              <w:rFonts w:hint="eastAsia" w:asciiTheme="minorEastAsia" w:hAnsiTheme="minorEastAsia" w:eastAsiaTheme="minorEastAsia" w:cstheme="minorEastAsia"/>
              <w:color w:val="auto"/>
              <w:szCs w:val="30"/>
              <w:highlight w:val="none"/>
            </w:rPr>
            <w:t>评标办法（综合评标法）</w:t>
          </w:r>
          <w:r>
            <w:rPr>
              <w:color w:val="auto"/>
              <w:highlight w:val="none"/>
            </w:rPr>
            <w:tab/>
          </w:r>
          <w:r>
            <w:rPr>
              <w:color w:val="auto"/>
              <w:highlight w:val="none"/>
            </w:rPr>
            <w:fldChar w:fldCharType="begin"/>
          </w:r>
          <w:r>
            <w:rPr>
              <w:color w:val="auto"/>
              <w:highlight w:val="none"/>
            </w:rPr>
            <w:instrText xml:space="preserve"> PAGEREF _Toc5572 </w:instrText>
          </w:r>
          <w:r>
            <w:rPr>
              <w:color w:val="auto"/>
              <w:highlight w:val="none"/>
            </w:rPr>
            <w:fldChar w:fldCharType="separate"/>
          </w:r>
          <w:r>
            <w:rPr>
              <w:color w:val="auto"/>
              <w:highlight w:val="none"/>
            </w:rPr>
            <w:t>28</w:t>
          </w:r>
          <w:r>
            <w:rPr>
              <w:color w:val="auto"/>
              <w:highlight w:val="none"/>
            </w:rPr>
            <w:fldChar w:fldCharType="end"/>
          </w:r>
          <w:r>
            <w:rPr>
              <w:rFonts w:hint="eastAsia"/>
              <w:color w:val="auto"/>
              <w:highlight w:val="none"/>
            </w:rPr>
            <w:fldChar w:fldCharType="end"/>
          </w:r>
        </w:p>
        <w:p>
          <w:pPr>
            <w:pStyle w:val="14"/>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_Toc31935 </w:instrText>
          </w:r>
          <w:r>
            <w:rPr>
              <w:rFonts w:hint="eastAsia"/>
              <w:color w:val="auto"/>
              <w:highlight w:val="none"/>
            </w:rPr>
            <w:fldChar w:fldCharType="separate"/>
          </w:r>
          <w:r>
            <w:rPr>
              <w:rFonts w:hint="eastAsia" w:asciiTheme="minorEastAsia" w:hAnsiTheme="minorEastAsia" w:eastAsiaTheme="minorEastAsia" w:cstheme="minorEastAsia"/>
              <w:bCs/>
              <w:color w:val="auto"/>
              <w:szCs w:val="32"/>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_Toc31935 </w:instrText>
          </w:r>
          <w:r>
            <w:rPr>
              <w:color w:val="auto"/>
              <w:highlight w:val="none"/>
            </w:rPr>
            <w:fldChar w:fldCharType="separate"/>
          </w:r>
          <w:r>
            <w:rPr>
              <w:color w:val="auto"/>
              <w:highlight w:val="none"/>
            </w:rPr>
            <w:t>33</w:t>
          </w:r>
          <w:r>
            <w:rPr>
              <w:color w:val="auto"/>
              <w:highlight w:val="none"/>
            </w:rPr>
            <w:fldChar w:fldCharType="end"/>
          </w:r>
          <w:r>
            <w:rPr>
              <w:rFonts w:hint="eastAsia"/>
              <w:color w:val="auto"/>
              <w:highlight w:val="none"/>
            </w:rPr>
            <w:fldChar w:fldCharType="end"/>
          </w:r>
        </w:p>
        <w:p>
          <w:pPr>
            <w:pStyle w:val="14"/>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_Toc15095 </w:instrText>
          </w:r>
          <w:r>
            <w:rPr>
              <w:rFonts w:hint="eastAsia"/>
              <w:color w:val="auto"/>
              <w:highlight w:val="none"/>
            </w:rPr>
            <w:fldChar w:fldCharType="separate"/>
          </w:r>
          <w:r>
            <w:rPr>
              <w:rFonts w:hint="eastAsia" w:asciiTheme="minorEastAsia" w:hAnsiTheme="minorEastAsia" w:eastAsiaTheme="minorEastAsia" w:cstheme="minorEastAsia"/>
              <w:bCs/>
              <w:color w:val="auto"/>
              <w:szCs w:val="32"/>
              <w:highlight w:val="none"/>
            </w:rPr>
            <w:t>第五章  设计标准和技术要求</w:t>
          </w:r>
          <w:r>
            <w:rPr>
              <w:color w:val="auto"/>
              <w:highlight w:val="none"/>
            </w:rPr>
            <w:tab/>
          </w:r>
          <w:r>
            <w:rPr>
              <w:color w:val="auto"/>
              <w:highlight w:val="none"/>
            </w:rPr>
            <w:fldChar w:fldCharType="begin"/>
          </w:r>
          <w:r>
            <w:rPr>
              <w:color w:val="auto"/>
              <w:highlight w:val="none"/>
            </w:rPr>
            <w:instrText xml:space="preserve"> PAGEREF _Toc15095 </w:instrText>
          </w:r>
          <w:r>
            <w:rPr>
              <w:color w:val="auto"/>
              <w:highlight w:val="none"/>
            </w:rPr>
            <w:fldChar w:fldCharType="separate"/>
          </w:r>
          <w:r>
            <w:rPr>
              <w:color w:val="auto"/>
              <w:highlight w:val="none"/>
            </w:rPr>
            <w:t>39</w:t>
          </w:r>
          <w:r>
            <w:rPr>
              <w:color w:val="auto"/>
              <w:highlight w:val="none"/>
            </w:rPr>
            <w:fldChar w:fldCharType="end"/>
          </w:r>
          <w:r>
            <w:rPr>
              <w:rFonts w:hint="eastAsia"/>
              <w:color w:val="auto"/>
              <w:highlight w:val="none"/>
            </w:rPr>
            <w:fldChar w:fldCharType="end"/>
          </w:r>
        </w:p>
        <w:p>
          <w:pPr>
            <w:pStyle w:val="14"/>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_Toc8132 </w:instrText>
          </w:r>
          <w:r>
            <w:rPr>
              <w:rFonts w:hint="eastAsia"/>
              <w:color w:val="auto"/>
              <w:highlight w:val="none"/>
            </w:rPr>
            <w:fldChar w:fldCharType="separate"/>
          </w:r>
          <w:r>
            <w:rPr>
              <w:rFonts w:hint="eastAsia" w:asciiTheme="minorEastAsia" w:hAnsiTheme="minorEastAsia" w:eastAsiaTheme="minorEastAsia" w:cstheme="minorEastAsia"/>
              <w:bCs/>
              <w:color w:val="auto"/>
              <w:kern w:val="0"/>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_Toc8132 </w:instrText>
          </w:r>
          <w:r>
            <w:rPr>
              <w:color w:val="auto"/>
              <w:highlight w:val="none"/>
            </w:rPr>
            <w:fldChar w:fldCharType="separate"/>
          </w:r>
          <w:r>
            <w:rPr>
              <w:color w:val="auto"/>
              <w:highlight w:val="none"/>
            </w:rPr>
            <w:t>43</w:t>
          </w:r>
          <w:r>
            <w:rPr>
              <w:color w:val="auto"/>
              <w:highlight w:val="none"/>
            </w:rPr>
            <w:fldChar w:fldCharType="end"/>
          </w:r>
          <w:r>
            <w:rPr>
              <w:rFonts w:hint="eastAsia"/>
              <w:color w:val="auto"/>
              <w:highlight w:val="none"/>
            </w:rPr>
            <w:fldChar w:fldCharType="end"/>
          </w:r>
        </w:p>
        <w:p>
          <w:pPr>
            <w:pStyle w:val="16"/>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_Toc26673 </w:instrText>
          </w:r>
          <w:r>
            <w:rPr>
              <w:rFonts w:hint="eastAsia"/>
              <w:color w:val="auto"/>
              <w:highlight w:val="none"/>
            </w:rPr>
            <w:fldChar w:fldCharType="separate"/>
          </w:r>
          <w:r>
            <w:rPr>
              <w:rFonts w:hint="eastAsia" w:asciiTheme="minorEastAsia" w:hAnsiTheme="minorEastAsia" w:eastAsiaTheme="minorEastAsia" w:cstheme="minorEastAsia"/>
              <w:bCs/>
              <w:color w:val="auto"/>
              <w:szCs w:val="44"/>
              <w:highlight w:val="none"/>
            </w:rPr>
            <w:t>目 录</w:t>
          </w:r>
          <w:r>
            <w:rPr>
              <w:color w:val="auto"/>
              <w:highlight w:val="none"/>
            </w:rPr>
            <w:tab/>
          </w:r>
          <w:r>
            <w:rPr>
              <w:color w:val="auto"/>
              <w:highlight w:val="none"/>
            </w:rPr>
            <w:fldChar w:fldCharType="begin"/>
          </w:r>
          <w:r>
            <w:rPr>
              <w:color w:val="auto"/>
              <w:highlight w:val="none"/>
            </w:rPr>
            <w:instrText xml:space="preserve"> PAGEREF _Toc26673 </w:instrText>
          </w:r>
          <w:r>
            <w:rPr>
              <w:color w:val="auto"/>
              <w:highlight w:val="none"/>
            </w:rPr>
            <w:fldChar w:fldCharType="separate"/>
          </w:r>
          <w:r>
            <w:rPr>
              <w:color w:val="auto"/>
              <w:highlight w:val="none"/>
            </w:rPr>
            <w:t>44</w:t>
          </w:r>
          <w:r>
            <w:rPr>
              <w:color w:val="auto"/>
              <w:highlight w:val="none"/>
            </w:rPr>
            <w:fldChar w:fldCharType="end"/>
          </w:r>
          <w:r>
            <w:rPr>
              <w:rFonts w:hint="eastAsia"/>
              <w:color w:val="auto"/>
              <w:highlight w:val="none"/>
            </w:rPr>
            <w:fldChar w:fldCharType="end"/>
          </w:r>
        </w:p>
        <w:p>
          <w:pPr>
            <w:pStyle w:val="16"/>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_Toc27355 </w:instrText>
          </w:r>
          <w:r>
            <w:rPr>
              <w:rFonts w:hint="eastAsia"/>
              <w:color w:val="auto"/>
              <w:highlight w:val="none"/>
            </w:rPr>
            <w:fldChar w:fldCharType="separate"/>
          </w:r>
          <w:r>
            <w:rPr>
              <w:rFonts w:hint="eastAsia" w:asciiTheme="minorEastAsia" w:hAnsiTheme="minorEastAsia" w:eastAsiaTheme="minorEastAsia" w:cstheme="minorEastAsia"/>
              <w:bCs/>
              <w:color w:val="auto"/>
              <w:szCs w:val="24"/>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_Toc27355 </w:instrText>
          </w:r>
          <w:r>
            <w:rPr>
              <w:color w:val="auto"/>
              <w:highlight w:val="none"/>
            </w:rPr>
            <w:fldChar w:fldCharType="separate"/>
          </w:r>
          <w:r>
            <w:rPr>
              <w:color w:val="auto"/>
              <w:highlight w:val="none"/>
            </w:rPr>
            <w:t>45</w:t>
          </w:r>
          <w:r>
            <w:rPr>
              <w:color w:val="auto"/>
              <w:highlight w:val="none"/>
            </w:rPr>
            <w:fldChar w:fldCharType="end"/>
          </w:r>
          <w:r>
            <w:rPr>
              <w:rFonts w:hint="eastAsia"/>
              <w:color w:val="auto"/>
              <w:highlight w:val="none"/>
            </w:rPr>
            <w:fldChar w:fldCharType="end"/>
          </w:r>
        </w:p>
        <w:p>
          <w:pPr>
            <w:pStyle w:val="16"/>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_Toc19900 </w:instrText>
          </w:r>
          <w:r>
            <w:rPr>
              <w:rFonts w:hint="eastAsia"/>
              <w:color w:val="auto"/>
              <w:highlight w:val="none"/>
            </w:rPr>
            <w:fldChar w:fldCharType="separate"/>
          </w:r>
          <w:r>
            <w:rPr>
              <w:rFonts w:hint="eastAsia" w:asciiTheme="minorEastAsia" w:hAnsiTheme="minorEastAsia" w:eastAsiaTheme="minorEastAsia" w:cstheme="minorEastAsia"/>
              <w:bCs/>
              <w:color w:val="auto"/>
              <w:kern w:val="0"/>
              <w:szCs w:val="24"/>
              <w:highlight w:val="none"/>
            </w:rPr>
            <w:t>二、法定代表人身份证明或附有法定代表人身份证明的授权委托书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_Toc19900 </w:instrText>
          </w:r>
          <w:r>
            <w:rPr>
              <w:color w:val="auto"/>
              <w:highlight w:val="none"/>
            </w:rPr>
            <w:fldChar w:fldCharType="separate"/>
          </w:r>
          <w:r>
            <w:rPr>
              <w:color w:val="auto"/>
              <w:highlight w:val="none"/>
            </w:rPr>
            <w:t>47</w:t>
          </w:r>
          <w:r>
            <w:rPr>
              <w:color w:val="auto"/>
              <w:highlight w:val="none"/>
            </w:rPr>
            <w:fldChar w:fldCharType="end"/>
          </w:r>
          <w:r>
            <w:rPr>
              <w:rFonts w:hint="eastAsia"/>
              <w:color w:val="auto"/>
              <w:highlight w:val="none"/>
            </w:rPr>
            <w:fldChar w:fldCharType="end"/>
          </w:r>
        </w:p>
        <w:p>
          <w:pPr>
            <w:pStyle w:val="16"/>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_Toc10344 </w:instrText>
          </w:r>
          <w:r>
            <w:rPr>
              <w:rFonts w:hint="eastAsia"/>
              <w:color w:val="auto"/>
              <w:highlight w:val="none"/>
            </w:rPr>
            <w:fldChar w:fldCharType="separate"/>
          </w:r>
          <w:r>
            <w:rPr>
              <w:rFonts w:hint="eastAsia" w:asciiTheme="minorEastAsia" w:hAnsiTheme="minorEastAsia" w:eastAsiaTheme="minorEastAsia" w:cstheme="minorEastAsia"/>
              <w:bCs/>
              <w:color w:val="auto"/>
              <w:szCs w:val="24"/>
              <w:highlight w:val="none"/>
            </w:rPr>
            <w:t>三、投标保证金</w:t>
          </w:r>
          <w:r>
            <w:rPr>
              <w:color w:val="auto"/>
              <w:highlight w:val="none"/>
            </w:rPr>
            <w:tab/>
          </w:r>
          <w:r>
            <w:rPr>
              <w:color w:val="auto"/>
              <w:highlight w:val="none"/>
            </w:rPr>
            <w:fldChar w:fldCharType="begin"/>
          </w:r>
          <w:r>
            <w:rPr>
              <w:color w:val="auto"/>
              <w:highlight w:val="none"/>
            </w:rPr>
            <w:instrText xml:space="preserve"> PAGEREF _Toc10344 </w:instrText>
          </w:r>
          <w:r>
            <w:rPr>
              <w:color w:val="auto"/>
              <w:highlight w:val="none"/>
            </w:rPr>
            <w:fldChar w:fldCharType="separate"/>
          </w:r>
          <w:r>
            <w:rPr>
              <w:color w:val="auto"/>
              <w:highlight w:val="none"/>
            </w:rPr>
            <w:t>49</w:t>
          </w:r>
          <w:r>
            <w:rPr>
              <w:color w:val="auto"/>
              <w:highlight w:val="none"/>
            </w:rPr>
            <w:fldChar w:fldCharType="end"/>
          </w:r>
          <w:r>
            <w:rPr>
              <w:rFonts w:hint="eastAsia"/>
              <w:color w:val="auto"/>
              <w:highlight w:val="none"/>
            </w:rPr>
            <w:fldChar w:fldCharType="end"/>
          </w:r>
        </w:p>
        <w:p>
          <w:pPr>
            <w:pStyle w:val="16"/>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_Toc678 </w:instrText>
          </w:r>
          <w:r>
            <w:rPr>
              <w:rFonts w:hint="eastAsia"/>
              <w:color w:val="auto"/>
              <w:highlight w:val="none"/>
            </w:rPr>
            <w:fldChar w:fldCharType="separate"/>
          </w:r>
          <w:r>
            <w:rPr>
              <w:rFonts w:hint="eastAsia" w:asciiTheme="minorEastAsia" w:hAnsiTheme="minorEastAsia" w:eastAsiaTheme="minorEastAsia" w:cstheme="minorEastAsia"/>
              <w:bCs/>
              <w:color w:val="auto"/>
              <w:szCs w:val="24"/>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_Toc678 </w:instrText>
          </w:r>
          <w:r>
            <w:rPr>
              <w:color w:val="auto"/>
              <w:highlight w:val="none"/>
            </w:rPr>
            <w:fldChar w:fldCharType="separate"/>
          </w:r>
          <w:r>
            <w:rPr>
              <w:color w:val="auto"/>
              <w:highlight w:val="none"/>
            </w:rPr>
            <w:t>50</w:t>
          </w:r>
          <w:r>
            <w:rPr>
              <w:color w:val="auto"/>
              <w:highlight w:val="none"/>
            </w:rPr>
            <w:fldChar w:fldCharType="end"/>
          </w:r>
          <w:r>
            <w:rPr>
              <w:rFonts w:hint="eastAsia"/>
              <w:color w:val="auto"/>
              <w:highlight w:val="none"/>
            </w:rPr>
            <w:fldChar w:fldCharType="end"/>
          </w:r>
        </w:p>
        <w:p>
          <w:pPr>
            <w:pStyle w:val="16"/>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_Toc6294 </w:instrText>
          </w:r>
          <w:r>
            <w:rPr>
              <w:rFonts w:hint="eastAsia"/>
              <w:color w:val="auto"/>
              <w:highlight w:val="none"/>
            </w:rPr>
            <w:fldChar w:fldCharType="separate"/>
          </w:r>
          <w:r>
            <w:rPr>
              <w:rFonts w:hint="eastAsia" w:asciiTheme="minorEastAsia" w:hAnsiTheme="minorEastAsia" w:eastAsiaTheme="minorEastAsia" w:cstheme="minorEastAsia"/>
              <w:bCs/>
              <w:color w:val="auto"/>
              <w:szCs w:val="24"/>
              <w:highlight w:val="none"/>
            </w:rPr>
            <w:t>五、近年财务状况</w:t>
          </w:r>
          <w:r>
            <w:rPr>
              <w:color w:val="auto"/>
              <w:highlight w:val="none"/>
            </w:rPr>
            <w:tab/>
          </w:r>
          <w:r>
            <w:rPr>
              <w:color w:val="auto"/>
              <w:highlight w:val="none"/>
            </w:rPr>
            <w:fldChar w:fldCharType="begin"/>
          </w:r>
          <w:r>
            <w:rPr>
              <w:color w:val="auto"/>
              <w:highlight w:val="none"/>
            </w:rPr>
            <w:instrText xml:space="preserve"> PAGEREF _Toc6294 </w:instrText>
          </w:r>
          <w:r>
            <w:rPr>
              <w:color w:val="auto"/>
              <w:highlight w:val="none"/>
            </w:rPr>
            <w:fldChar w:fldCharType="separate"/>
          </w:r>
          <w:r>
            <w:rPr>
              <w:color w:val="auto"/>
              <w:highlight w:val="none"/>
            </w:rPr>
            <w:t>57</w:t>
          </w:r>
          <w:r>
            <w:rPr>
              <w:color w:val="auto"/>
              <w:highlight w:val="none"/>
            </w:rPr>
            <w:fldChar w:fldCharType="end"/>
          </w:r>
          <w:r>
            <w:rPr>
              <w:rFonts w:hint="eastAsia"/>
              <w:color w:val="auto"/>
              <w:highlight w:val="none"/>
            </w:rPr>
            <w:fldChar w:fldCharType="end"/>
          </w:r>
        </w:p>
        <w:p>
          <w:pPr>
            <w:pStyle w:val="16"/>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_Toc32377 </w:instrText>
          </w:r>
          <w:r>
            <w:rPr>
              <w:rFonts w:hint="eastAsia"/>
              <w:color w:val="auto"/>
              <w:highlight w:val="none"/>
            </w:rPr>
            <w:fldChar w:fldCharType="separate"/>
          </w:r>
          <w:r>
            <w:rPr>
              <w:rFonts w:hint="eastAsia" w:asciiTheme="minorEastAsia" w:hAnsiTheme="minorEastAsia" w:eastAsiaTheme="minorEastAsia" w:cstheme="minorEastAsia"/>
              <w:bCs/>
              <w:color w:val="auto"/>
              <w:szCs w:val="24"/>
              <w:highlight w:val="none"/>
            </w:rPr>
            <w:t>六、服务承诺</w:t>
          </w:r>
          <w:r>
            <w:rPr>
              <w:color w:val="auto"/>
              <w:highlight w:val="none"/>
            </w:rPr>
            <w:tab/>
          </w:r>
          <w:r>
            <w:rPr>
              <w:color w:val="auto"/>
              <w:highlight w:val="none"/>
            </w:rPr>
            <w:fldChar w:fldCharType="begin"/>
          </w:r>
          <w:r>
            <w:rPr>
              <w:color w:val="auto"/>
              <w:highlight w:val="none"/>
            </w:rPr>
            <w:instrText xml:space="preserve"> PAGEREF _Toc32377 </w:instrText>
          </w:r>
          <w:r>
            <w:rPr>
              <w:color w:val="auto"/>
              <w:highlight w:val="none"/>
            </w:rPr>
            <w:fldChar w:fldCharType="separate"/>
          </w:r>
          <w:r>
            <w:rPr>
              <w:color w:val="auto"/>
              <w:highlight w:val="none"/>
            </w:rPr>
            <w:t>57</w:t>
          </w:r>
          <w:r>
            <w:rPr>
              <w:color w:val="auto"/>
              <w:highlight w:val="none"/>
            </w:rPr>
            <w:fldChar w:fldCharType="end"/>
          </w:r>
          <w:r>
            <w:rPr>
              <w:rFonts w:hint="eastAsia"/>
              <w:color w:val="auto"/>
              <w:highlight w:val="none"/>
            </w:rPr>
            <w:fldChar w:fldCharType="end"/>
          </w:r>
        </w:p>
        <w:p>
          <w:pPr>
            <w:pStyle w:val="16"/>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_Toc21671 </w:instrText>
          </w:r>
          <w:r>
            <w:rPr>
              <w:rFonts w:hint="eastAsia"/>
              <w:color w:val="auto"/>
              <w:highlight w:val="none"/>
            </w:rPr>
            <w:fldChar w:fldCharType="separate"/>
          </w:r>
          <w:r>
            <w:rPr>
              <w:rFonts w:hint="eastAsia" w:asciiTheme="minorEastAsia" w:hAnsiTheme="minorEastAsia" w:eastAsiaTheme="minorEastAsia" w:cstheme="minorEastAsia"/>
              <w:bCs/>
              <w:color w:val="auto"/>
              <w:szCs w:val="24"/>
              <w:highlight w:val="none"/>
            </w:rPr>
            <w:t>七、设计方案及工作大纲</w:t>
          </w:r>
          <w:r>
            <w:rPr>
              <w:color w:val="auto"/>
              <w:highlight w:val="none"/>
            </w:rPr>
            <w:tab/>
          </w:r>
          <w:r>
            <w:rPr>
              <w:color w:val="auto"/>
              <w:highlight w:val="none"/>
            </w:rPr>
            <w:fldChar w:fldCharType="begin"/>
          </w:r>
          <w:r>
            <w:rPr>
              <w:color w:val="auto"/>
              <w:highlight w:val="none"/>
            </w:rPr>
            <w:instrText xml:space="preserve"> PAGEREF _Toc21671 </w:instrText>
          </w:r>
          <w:r>
            <w:rPr>
              <w:color w:val="auto"/>
              <w:highlight w:val="none"/>
            </w:rPr>
            <w:fldChar w:fldCharType="separate"/>
          </w:r>
          <w:r>
            <w:rPr>
              <w:color w:val="auto"/>
              <w:highlight w:val="none"/>
            </w:rPr>
            <w:t>57</w:t>
          </w:r>
          <w:r>
            <w:rPr>
              <w:color w:val="auto"/>
              <w:highlight w:val="none"/>
            </w:rPr>
            <w:fldChar w:fldCharType="end"/>
          </w:r>
          <w:r>
            <w:rPr>
              <w:rFonts w:hint="eastAsia"/>
              <w:color w:val="auto"/>
              <w:highlight w:val="none"/>
            </w:rPr>
            <w:fldChar w:fldCharType="end"/>
          </w:r>
        </w:p>
        <w:p>
          <w:pPr>
            <w:pStyle w:val="16"/>
            <w:tabs>
              <w:tab w:val="right" w:leader="dot" w:pos="9524"/>
            </w:tabs>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HYPERLINK \l _Toc32201 </w:instrText>
          </w:r>
          <w:r>
            <w:rPr>
              <w:rFonts w:hint="eastAsia"/>
              <w:color w:val="auto"/>
              <w:highlight w:val="none"/>
            </w:rPr>
            <w:fldChar w:fldCharType="separate"/>
          </w:r>
          <w:r>
            <w:rPr>
              <w:rFonts w:hint="eastAsia" w:asciiTheme="minorEastAsia" w:hAnsiTheme="minorEastAsia" w:eastAsiaTheme="minorEastAsia" w:cstheme="minorEastAsia"/>
              <w:bCs/>
              <w:color w:val="auto"/>
              <w:szCs w:val="24"/>
              <w:highlight w:val="none"/>
            </w:rPr>
            <w:t>八、投标人认为有必要提供的其他资料。</w:t>
          </w:r>
          <w:r>
            <w:rPr>
              <w:color w:val="auto"/>
              <w:highlight w:val="none"/>
            </w:rPr>
            <w:tab/>
          </w:r>
          <w:r>
            <w:rPr>
              <w:color w:val="auto"/>
              <w:highlight w:val="none"/>
            </w:rPr>
            <w:fldChar w:fldCharType="begin"/>
          </w:r>
          <w:r>
            <w:rPr>
              <w:color w:val="auto"/>
              <w:highlight w:val="none"/>
            </w:rPr>
            <w:instrText xml:space="preserve"> PAGEREF _Toc32201 </w:instrText>
          </w:r>
          <w:r>
            <w:rPr>
              <w:color w:val="auto"/>
              <w:highlight w:val="none"/>
            </w:rPr>
            <w:fldChar w:fldCharType="separate"/>
          </w:r>
          <w:r>
            <w:rPr>
              <w:color w:val="auto"/>
              <w:highlight w:val="none"/>
            </w:rPr>
            <w:t>57</w:t>
          </w:r>
          <w:r>
            <w:rPr>
              <w:color w:val="auto"/>
              <w:highlight w:val="none"/>
            </w:rPr>
            <w:fldChar w:fldCharType="end"/>
          </w:r>
          <w:r>
            <w:rPr>
              <w:rFonts w:hint="eastAsia"/>
              <w:color w:val="auto"/>
              <w:highlight w:val="none"/>
            </w:rPr>
            <w:fldChar w:fldCharType="end"/>
          </w:r>
        </w:p>
        <w:p>
          <w:pPr>
            <w:pStyle w:val="2"/>
            <w:spacing w:line="360" w:lineRule="auto"/>
            <w:rPr>
              <w:rFonts w:hint="eastAsia"/>
              <w:color w:val="auto"/>
              <w:highlight w:val="none"/>
            </w:rPr>
            <w:sectPr>
              <w:footerReference r:id="rId5" w:type="default"/>
              <w:pgSz w:w="11906" w:h="16838"/>
              <w:pgMar w:top="1247" w:right="1191" w:bottom="1247" w:left="1191" w:header="720" w:footer="720" w:gutter="0"/>
              <w:pgNumType w:fmt="decimal"/>
              <w:cols w:space="720" w:num="1"/>
              <w:docGrid w:type="lines" w:linePitch="312" w:charSpace="0"/>
            </w:sectPr>
          </w:pPr>
          <w:r>
            <w:rPr>
              <w:rFonts w:hint="eastAsia"/>
              <w:color w:val="auto"/>
              <w:highlight w:val="none"/>
            </w:rPr>
            <w:fldChar w:fldCharType="end"/>
          </w:r>
        </w:p>
      </w:sdtContent>
    </w:sdt>
    <w:p>
      <w:pPr>
        <w:jc w:val="center"/>
        <w:outlineLvl w:val="0"/>
        <w:rPr>
          <w:rStyle w:val="44"/>
          <w:rFonts w:hint="eastAsia" w:asciiTheme="minorEastAsia" w:hAnsiTheme="minorEastAsia" w:eastAsiaTheme="minorEastAsia" w:cstheme="minorEastAsia"/>
          <w:b w:val="0"/>
          <w:bCs w:val="0"/>
          <w:color w:val="auto"/>
          <w:sz w:val="36"/>
          <w:szCs w:val="36"/>
          <w:highlight w:val="none"/>
        </w:rPr>
      </w:pPr>
      <w:bookmarkStart w:id="0" w:name="_Toc28221"/>
      <w:bookmarkEnd w:id="0"/>
      <w:bookmarkStart w:id="1" w:name="_Toc405406287"/>
      <w:bookmarkEnd w:id="1"/>
      <w:bookmarkStart w:id="2" w:name="_Toc993"/>
      <w:r>
        <w:rPr>
          <w:rStyle w:val="44"/>
          <w:rFonts w:hint="eastAsia" w:asciiTheme="minorEastAsia" w:hAnsiTheme="minorEastAsia" w:eastAsiaTheme="minorEastAsia" w:cstheme="minorEastAsia"/>
          <w:color w:val="auto"/>
          <w:sz w:val="36"/>
          <w:szCs w:val="36"/>
          <w:highlight w:val="none"/>
        </w:rPr>
        <w:t>第一章  招标公告</w:t>
      </w:r>
      <w:bookmarkEnd w:id="2"/>
    </w:p>
    <w:p>
      <w:pPr>
        <w:keepNext w:val="0"/>
        <w:keepLines w:val="0"/>
        <w:pageBreakBefore w:val="0"/>
        <w:widowControl w:val="0"/>
        <w:kinsoku/>
        <w:wordWrap/>
        <w:overflowPunct/>
        <w:topLinePunct w:val="0"/>
        <w:autoSpaceDE/>
        <w:autoSpaceDN/>
        <w:bidi w:val="0"/>
        <w:adjustRightInd/>
        <w:snapToGrid/>
        <w:spacing w:before="0" w:beforeLines="100" w:line="360" w:lineRule="auto"/>
        <w:ind w:firstLine="562" w:firstLineChars="200"/>
        <w:jc w:val="center"/>
        <w:textAlignment w:val="auto"/>
        <w:rPr>
          <w:rFonts w:hint="eastAsia" w:asciiTheme="minorEastAsia" w:hAnsiTheme="minorEastAsia" w:cstheme="minorEastAsia"/>
          <w:b/>
          <w:bCs/>
          <w:color w:val="auto"/>
          <w:sz w:val="28"/>
          <w:szCs w:val="28"/>
          <w:highlight w:val="none"/>
          <w:lang w:eastAsia="zh-CN"/>
        </w:rPr>
      </w:pPr>
      <w:bookmarkStart w:id="3" w:name="_Toc19466"/>
      <w:bookmarkEnd w:id="3"/>
      <w:bookmarkStart w:id="4" w:name="_Toc15029"/>
      <w:bookmarkEnd w:id="4"/>
      <w:bookmarkStart w:id="5" w:name="_Toc18374"/>
      <w:bookmarkEnd w:id="5"/>
      <w:r>
        <w:rPr>
          <w:rFonts w:hint="eastAsia" w:asciiTheme="minorEastAsia" w:hAnsiTheme="minorEastAsia" w:cstheme="minorEastAsia"/>
          <w:b/>
          <w:bCs/>
          <w:color w:val="auto"/>
          <w:sz w:val="28"/>
          <w:szCs w:val="28"/>
          <w:highlight w:val="none"/>
          <w:lang w:eastAsia="zh-CN"/>
        </w:rPr>
        <w:t>Y2020GZ060</w:t>
      </w:r>
      <w:r>
        <w:rPr>
          <w:rFonts w:hint="eastAsia" w:asciiTheme="minorEastAsia" w:hAnsiTheme="minorEastAsia" w:cstheme="minorEastAsia"/>
          <w:b/>
          <w:bCs/>
          <w:color w:val="auto"/>
          <w:sz w:val="28"/>
          <w:szCs w:val="28"/>
          <w:highlight w:val="none"/>
          <w:lang w:val="en-US" w:eastAsia="zh-CN"/>
        </w:rPr>
        <w:t xml:space="preserve"> </w:t>
      </w:r>
      <w:r>
        <w:rPr>
          <w:rFonts w:hint="eastAsia" w:asciiTheme="minorEastAsia" w:hAnsiTheme="minorEastAsia" w:cstheme="minorEastAsia"/>
          <w:b/>
          <w:bCs/>
          <w:color w:val="auto"/>
          <w:sz w:val="28"/>
          <w:szCs w:val="28"/>
          <w:highlight w:val="none"/>
          <w:lang w:eastAsia="zh-CN"/>
        </w:rPr>
        <w:t>2020年鄢陵县老旧小区改造项目设计（不见面开标）</w:t>
      </w:r>
    </w:p>
    <w:p>
      <w:pPr>
        <w:spacing w:line="360" w:lineRule="auto"/>
        <w:ind w:firstLine="562"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招标公告</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1.招标条件</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2020年鄢陵县老旧小区改造项目</w:t>
      </w:r>
      <w:r>
        <w:rPr>
          <w:rFonts w:hint="eastAsia" w:asciiTheme="minorEastAsia" w:hAnsiTheme="minorEastAsia" w:eastAsiaTheme="minorEastAsia" w:cstheme="minorEastAsia"/>
          <w:color w:val="auto"/>
          <w:sz w:val="21"/>
          <w:szCs w:val="21"/>
          <w:highlight w:val="none"/>
        </w:rPr>
        <w:t>已由豫发改</w:t>
      </w:r>
      <w:r>
        <w:rPr>
          <w:rFonts w:hint="eastAsia" w:asciiTheme="minorEastAsia" w:hAnsiTheme="minorEastAsia" w:cstheme="minorEastAsia"/>
          <w:color w:val="auto"/>
          <w:sz w:val="21"/>
          <w:szCs w:val="21"/>
          <w:highlight w:val="none"/>
          <w:lang w:eastAsia="zh-CN"/>
        </w:rPr>
        <w:t>城市</w:t>
      </w:r>
      <w:r>
        <w:rPr>
          <w:rFonts w:hint="eastAsia" w:asciiTheme="minorEastAsia" w:hAnsiTheme="minorEastAsia" w:eastAsiaTheme="minorEastAsia" w:cstheme="minorEastAsia"/>
          <w:color w:val="auto"/>
          <w:sz w:val="21"/>
          <w:szCs w:val="21"/>
          <w:highlight w:val="none"/>
        </w:rPr>
        <w:t>[201</w:t>
      </w:r>
      <w:r>
        <w:rPr>
          <w:rFonts w:hint="eastAsia" w:asciiTheme="minorEastAsia" w:hAnsi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128</w:t>
      </w:r>
      <w:r>
        <w:rPr>
          <w:rFonts w:hint="eastAsia" w:asciiTheme="minorEastAsia" w:hAnsiTheme="minorEastAsia" w:eastAsiaTheme="minorEastAsia" w:cstheme="minorEastAsia"/>
          <w:color w:val="auto"/>
          <w:sz w:val="21"/>
          <w:szCs w:val="21"/>
          <w:highlight w:val="none"/>
        </w:rPr>
        <w:t>号文批准建设，</w:t>
      </w:r>
      <w:r>
        <w:rPr>
          <w:rFonts w:hint="eastAsia" w:asciiTheme="minorEastAsia" w:hAnsi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资金为</w:t>
      </w:r>
      <w:r>
        <w:rPr>
          <w:rFonts w:hint="eastAsia" w:asciiTheme="minorEastAsia" w:hAnsiTheme="minorEastAsia" w:cstheme="minorEastAsia"/>
          <w:color w:val="auto"/>
          <w:sz w:val="21"/>
          <w:szCs w:val="21"/>
          <w:highlight w:val="none"/>
          <w:lang w:eastAsia="zh-CN"/>
        </w:rPr>
        <w:t>中央预算内资金、地方财政配套资金及自筹资金</w:t>
      </w:r>
      <w:r>
        <w:rPr>
          <w:rFonts w:hint="eastAsia" w:asciiTheme="minorEastAsia" w:hAnsiTheme="minorEastAsia" w:eastAsiaTheme="minorEastAsia" w:cstheme="minorEastAsia"/>
          <w:color w:val="auto"/>
          <w:sz w:val="21"/>
          <w:szCs w:val="21"/>
          <w:highlight w:val="none"/>
        </w:rPr>
        <w:t>，招标人为</w:t>
      </w:r>
      <w:r>
        <w:rPr>
          <w:rFonts w:hint="eastAsia" w:asciiTheme="minorEastAsia" w:hAnsiTheme="minorEastAsia" w:cstheme="minorEastAsia"/>
          <w:color w:val="auto"/>
          <w:sz w:val="21"/>
          <w:szCs w:val="21"/>
          <w:highlight w:val="none"/>
          <w:lang w:eastAsia="zh-CN"/>
        </w:rPr>
        <w:t>鄢陵县住房和城乡建设局</w:t>
      </w:r>
      <w:r>
        <w:rPr>
          <w:rFonts w:hint="eastAsia" w:asciiTheme="minorEastAsia" w:hAnsiTheme="minorEastAsia" w:eastAsiaTheme="minorEastAsia" w:cstheme="minorEastAsia"/>
          <w:color w:val="auto"/>
          <w:sz w:val="21"/>
          <w:szCs w:val="21"/>
          <w:highlight w:val="none"/>
        </w:rPr>
        <w:t>，项目已具备招标条件，现对该项目进行公开招标。</w:t>
      </w:r>
    </w:p>
    <w:p>
      <w:pPr>
        <w:spacing w:line="4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2.工程概况与招标内容</w:t>
      </w:r>
    </w:p>
    <w:p>
      <w:pPr>
        <w:spacing w:line="48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2.1项目编号：Y2020GZ060</w:t>
      </w:r>
    </w:p>
    <w:p>
      <w:pPr>
        <w:spacing w:line="48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2.2项目建设地点：鄢陵县安陵镇、柏梁镇</w:t>
      </w:r>
      <w:r>
        <w:rPr>
          <w:rFonts w:hint="eastAsia" w:asciiTheme="minorEastAsia" w:hAnsiTheme="minorEastAsia" w:eastAsiaTheme="minorEastAsia" w:cstheme="minorEastAsia"/>
          <w:color w:val="auto"/>
          <w:sz w:val="21"/>
          <w:szCs w:val="21"/>
          <w:highlight w:val="none"/>
          <w:lang w:val="en-US" w:eastAsia="zh-CN"/>
        </w:rPr>
        <w:t>；</w:t>
      </w:r>
    </w:p>
    <w:p>
      <w:pPr>
        <w:spacing w:line="48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r>
        <w:rPr>
          <w:rFonts w:hint="eastAsia" w:asciiTheme="minorEastAsia" w:hAnsiTheme="minorEastAsia" w:cstheme="minorEastAsia"/>
          <w:color w:val="auto"/>
          <w:sz w:val="21"/>
          <w:szCs w:val="21"/>
          <w:highlight w:val="none"/>
          <w:lang w:val="en-US" w:eastAsia="zh-CN"/>
        </w:rPr>
        <w:t>项目内容及招标范围</w:t>
      </w:r>
      <w:r>
        <w:rPr>
          <w:rFonts w:hint="eastAsia" w:asciiTheme="minorEastAsia" w:hAnsiTheme="minorEastAsia" w:eastAsiaTheme="minorEastAsia" w:cstheme="minorEastAsia"/>
          <w:color w:val="auto"/>
          <w:sz w:val="21"/>
          <w:szCs w:val="21"/>
          <w:highlight w:val="none"/>
          <w:lang w:val="en-US" w:eastAsia="zh-CN"/>
        </w:rPr>
        <w:t>：本项目拟对鄢陵县 41 个老旧小区进行改造，总涉及建筑面积20.96 万平方米、涉及楼栋 70 栋、涉及户数 1818 户。主要改造内容包括：小区内道路、给排水、天然气、供热管网、公共照明、强弱电线路、大门改造、屋面修整、楼体外墙改造、监控、加装健身器材等。</w:t>
      </w:r>
    </w:p>
    <w:p>
      <w:pPr>
        <w:spacing w:line="48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招标范围：</w:t>
      </w:r>
      <w:r>
        <w:rPr>
          <w:rFonts w:hint="eastAsia" w:asciiTheme="minorEastAsia" w:hAnsiTheme="minorEastAsia" w:eastAsiaTheme="minorEastAsia" w:cstheme="minorEastAsia"/>
          <w:color w:val="auto"/>
          <w:sz w:val="21"/>
          <w:szCs w:val="21"/>
          <w:highlight w:val="none"/>
          <w:lang w:val="en-US" w:eastAsia="zh-CN"/>
        </w:rPr>
        <w:t>施工图设计（含所有专业工程的深化设计及其预算编制）和施工全过程的设计服务</w:t>
      </w:r>
      <w:r>
        <w:rPr>
          <w:rFonts w:hint="eastAsia" w:asciiTheme="minorEastAsia" w:hAnsiTheme="minorEastAsia" w:cstheme="minorEastAsia"/>
          <w:color w:val="auto"/>
          <w:sz w:val="21"/>
          <w:szCs w:val="21"/>
          <w:highlight w:val="none"/>
          <w:lang w:val="en-US" w:eastAsia="zh-CN"/>
        </w:rPr>
        <w:t>。</w:t>
      </w:r>
    </w:p>
    <w:p>
      <w:pPr>
        <w:spacing w:line="48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设计周期：自合同签订之日起</w:t>
      </w:r>
      <w:r>
        <w:rPr>
          <w:rFonts w:hint="eastAsia" w:asciiTheme="minorEastAsia" w:hAnsi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eastAsia="zh-CN"/>
        </w:rPr>
        <w:t>日历天内；</w:t>
      </w:r>
    </w:p>
    <w:p>
      <w:pPr>
        <w:spacing w:line="48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设计要求：符合国家现行有关设计规范、标准和规定；</w:t>
      </w:r>
    </w:p>
    <w:p>
      <w:pPr>
        <w:spacing w:line="48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标段划分：本招标设计项目共一个标段；</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2.7招标控制价：招标控制价为</w:t>
      </w:r>
      <w:r>
        <w:rPr>
          <w:rFonts w:hint="eastAsia" w:asciiTheme="minorEastAsia" w:hAnsiTheme="minorEastAsia" w:cstheme="minorEastAsia"/>
          <w:color w:val="auto"/>
          <w:sz w:val="21"/>
          <w:szCs w:val="21"/>
          <w:highlight w:val="none"/>
          <w:lang w:val="en-US" w:eastAsia="zh-CN"/>
        </w:rPr>
        <w:t>55</w:t>
      </w:r>
      <w:r>
        <w:rPr>
          <w:rFonts w:hint="eastAsia" w:asciiTheme="minorEastAsia" w:hAnsiTheme="minorEastAsia" w:eastAsiaTheme="minorEastAsia" w:cstheme="minorEastAsia"/>
          <w:color w:val="auto"/>
          <w:sz w:val="21"/>
          <w:szCs w:val="21"/>
          <w:highlight w:val="none"/>
          <w:lang w:val="en-US" w:eastAsia="zh-CN"/>
        </w:rPr>
        <w:t>万元。</w:t>
      </w:r>
    </w:p>
    <w:p>
      <w:pPr>
        <w:spacing w:line="4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3.投标人资格要求</w:t>
      </w:r>
    </w:p>
    <w:p>
      <w:pPr>
        <w:spacing w:line="48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3.1投标人须具有独立法人资格，具有有效的营业执照</w:t>
      </w:r>
      <w:r>
        <w:rPr>
          <w:rFonts w:hint="eastAsia" w:asciiTheme="minorEastAsia" w:hAnsiTheme="minorEastAsia" w:cstheme="minorEastAsia"/>
          <w:color w:val="auto"/>
          <w:sz w:val="21"/>
          <w:szCs w:val="21"/>
          <w:highlight w:val="none"/>
          <w:lang w:eastAsia="zh-CN"/>
        </w:rPr>
        <w:t>。</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3.2资质等级要求：投标人须具有建筑工程设计乙级及以上资质。</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3.3设计项目负责人要求：</w:t>
      </w:r>
      <w:r>
        <w:rPr>
          <w:rFonts w:hint="eastAsia" w:asciiTheme="minorEastAsia" w:hAnsiTheme="minorEastAsia" w:cstheme="minorEastAsia"/>
          <w:color w:val="auto"/>
          <w:szCs w:val="21"/>
          <w:highlight w:val="none"/>
        </w:rPr>
        <w:t>具有注册建筑师执业资格并具有中级及以上技术职称，具有有效的劳动合同和2020年1月以来在本单位连续缴纳的社保证明。</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3.4财务状况良好，无不良债务，没有被接管、冻结、破产状态（提供投标人2016、2017、2018年或2017、2018、2019年财务审计报告）</w:t>
      </w:r>
    </w:p>
    <w:p>
      <w:pPr>
        <w:spacing w:line="480" w:lineRule="exact"/>
        <w:ind w:firstLine="420" w:firstLineChars="200"/>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3.5 有依法缴纳税收和社会保障资金的良好记录（提供近3个月完税证明和社保缴纳证明）</w:t>
      </w:r>
    </w:p>
    <w:p>
      <w:pPr>
        <w:spacing w:line="480" w:lineRule="exact"/>
        <w:ind w:firstLine="420" w:firstLineChars="200"/>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3.6未被列入“信用中国”（www.creditchina.gov.cn）网站失信被执行人名单，“国家企业信用信息公示系统” （http://www.gsxt.gov.cn/）经营异常名录或严重失信黑名单。</w:t>
      </w:r>
    </w:p>
    <w:p>
      <w:pPr>
        <w:spacing w:line="480" w:lineRule="exact"/>
        <w:ind w:firstLine="420" w:firstLineChars="200"/>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3.7本次招标不接受联合体投标。</w:t>
      </w:r>
    </w:p>
    <w:p>
      <w:pPr>
        <w:spacing w:line="480" w:lineRule="exact"/>
        <w:ind w:firstLine="420" w:firstLineChars="200"/>
        <w:rPr>
          <w:rFonts w:hint="default"/>
          <w:color w:val="auto"/>
          <w:highlight w:val="none"/>
          <w:lang w:val="en-US" w:eastAsia="zh-CN"/>
        </w:rPr>
      </w:pPr>
      <w:r>
        <w:rPr>
          <w:rFonts w:hint="eastAsia" w:asciiTheme="minorEastAsia" w:hAnsiTheme="minorEastAsia" w:cstheme="minorEastAsia"/>
          <w:color w:val="auto"/>
          <w:sz w:val="21"/>
          <w:szCs w:val="21"/>
          <w:highlight w:val="none"/>
          <w:lang w:val="en-US" w:eastAsia="zh-CN"/>
        </w:rPr>
        <w:t>3.8 本次招标实行资格后审，资格审查的具体要求见招标文件。</w:t>
      </w:r>
    </w:p>
    <w:p>
      <w:pPr>
        <w:spacing w:line="4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4.网上下载招标文件</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4.2、在投标截止时间前登录【全国公共资源交易平台（河南省•许昌市）】“投标人/供应商登录”入口（http://221.14.6.70:8088/ggzy/）自行下载招标文件（详见“常见问题解答-交易系统操作手册”）。</w:t>
      </w:r>
    </w:p>
    <w:p>
      <w:pPr>
        <w:spacing w:line="4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5.招标文件的下载</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5.1、招标文件的获取：投标人于投标文件递交截止时间前均可登录《全国公共资源交易平台(河南省▪许昌市)》（http://ggzy.xuchang.gov.cn/），通过“投标人/供应商登录” 入口自行下载。</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2</w:t>
      </w:r>
      <w:r>
        <w:rPr>
          <w:rFonts w:hint="eastAsia" w:ascii="宋体" w:hAnsi="宋体"/>
          <w:color w:val="auto"/>
          <w:szCs w:val="21"/>
          <w:highlight w:val="none"/>
        </w:rPr>
        <w:t>、招标文件每套售价300元，投标人于开标结束后转账至</w:t>
      </w:r>
      <w:r>
        <w:rPr>
          <w:rFonts w:hint="eastAsia" w:ascii="宋体" w:hAnsi="宋体"/>
          <w:color w:val="auto"/>
          <w:szCs w:val="21"/>
          <w:highlight w:val="none"/>
          <w:lang w:eastAsia="zh-CN"/>
        </w:rPr>
        <w:t>支付宝</w:t>
      </w:r>
      <w:r>
        <w:rPr>
          <w:rFonts w:hint="eastAsia" w:ascii="宋体" w:hAnsi="宋体"/>
          <w:color w:val="auto"/>
          <w:szCs w:val="21"/>
          <w:highlight w:val="none"/>
        </w:rPr>
        <w:t>账户：</w:t>
      </w:r>
      <w:r>
        <w:rPr>
          <w:rFonts w:hint="eastAsia" w:ascii="宋体" w:hAnsi="宋体"/>
          <w:color w:val="auto"/>
          <w:szCs w:val="21"/>
          <w:highlight w:val="none"/>
          <w:lang w:val="en-US" w:eastAsia="zh-CN"/>
        </w:rPr>
        <w:t>13643850217</w:t>
      </w:r>
      <w:r>
        <w:rPr>
          <w:rFonts w:hint="eastAsia" w:ascii="宋体" w:hAnsi="宋体"/>
          <w:color w:val="auto"/>
          <w:szCs w:val="21"/>
          <w:highlight w:val="none"/>
        </w:rPr>
        <w:t>（转账时请备注项目编号、所属标段及公司名称）。</w:t>
      </w:r>
    </w:p>
    <w:p>
      <w:pPr>
        <w:spacing w:line="48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6.投标文件的递交</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6.1、本项目为全流程电子化交易项目，投标人应按规定在投标截止时间（同开标时间）前通过《全国公共资源交易平台(河南省▪许昌市)》公共资源交易系统成功上传本项目加密电子投标文件（成功上传的，系统生成“投标文件提交回执单”），未成功上传的，招标人不予受理。</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6.2、投标截止时间及开标时间：2020年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6</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 xml:space="preserve">时 </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6.3、招标人（代理机构）线上开标地点：鄢陵县公共资源交易中心（S219（鄢陶路）与未来大道交叉口鄢陵创客园院内南楼四楼开标</w:t>
      </w:r>
      <w:r>
        <w:rPr>
          <w:rFonts w:hint="eastAsia" w:ascii="宋体" w:hAnsi="宋体"/>
          <w:color w:val="auto"/>
          <w:szCs w:val="21"/>
          <w:highlight w:val="none"/>
          <w:lang w:eastAsia="zh-CN"/>
        </w:rPr>
        <w:t>一</w:t>
      </w:r>
      <w:r>
        <w:rPr>
          <w:rFonts w:hint="eastAsia" w:ascii="宋体" w:hAnsi="宋体"/>
          <w:color w:val="auto"/>
          <w:szCs w:val="21"/>
          <w:highlight w:val="none"/>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6.4、逾期送达（未成功上传）的或者未按规定解密的电子投标文件，招标人不予受理。</w:t>
      </w:r>
    </w:p>
    <w:p>
      <w:pPr>
        <w:spacing w:line="48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7.发布公告的媒介</w:t>
      </w:r>
    </w:p>
    <w:p>
      <w:pPr>
        <w:keepNext w:val="0"/>
        <w:keepLines w:val="0"/>
        <w:pageBreakBefore w:val="0"/>
        <w:widowControl w:val="0"/>
        <w:kinsoku/>
        <w:wordWrap/>
        <w:overflowPunct/>
        <w:topLinePunct w:val="0"/>
        <w:autoSpaceDE/>
        <w:autoSpaceDN/>
        <w:bidi w:val="0"/>
        <w:adjustRightInd/>
        <w:snapToGrid/>
        <w:spacing w:before="0" w:beforeLines="50"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本公告同时在《河南省电子招标投标公共服务平台》、《【全国公共资源交易平台（河南省•许昌市）】》上发布。</w:t>
      </w:r>
    </w:p>
    <w:p>
      <w:pPr>
        <w:spacing w:line="48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8.联系事项</w:t>
      </w:r>
    </w:p>
    <w:p>
      <w:pPr>
        <w:spacing w:line="48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招标人：</w:t>
      </w:r>
      <w:r>
        <w:rPr>
          <w:rFonts w:hint="eastAsia" w:asciiTheme="minorEastAsia" w:hAnsiTheme="minorEastAsia" w:cstheme="minorEastAsia"/>
          <w:color w:val="auto"/>
          <w:sz w:val="21"/>
          <w:szCs w:val="21"/>
          <w:highlight w:val="none"/>
          <w:lang w:eastAsia="zh-CN"/>
        </w:rPr>
        <w:t>鄢陵县住房和城乡建设局</w:t>
      </w:r>
    </w:p>
    <w:p>
      <w:pPr>
        <w:spacing w:line="48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cstheme="minorEastAsia"/>
          <w:color w:val="auto"/>
          <w:sz w:val="21"/>
          <w:szCs w:val="21"/>
          <w:highlight w:val="none"/>
          <w:lang w:eastAsia="zh-CN"/>
        </w:rPr>
        <w:t>张先生</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联系方式：0374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7165926</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招标代理机构：大成工程咨询有限公司</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宋体" w:hAnsi="宋体"/>
          <w:color w:val="auto"/>
          <w:szCs w:val="21"/>
          <w:highlight w:val="none"/>
        </w:rPr>
        <w:t>郑州市经三路15号广汇国贸A1202</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宋体" w:hAnsi="宋体"/>
          <w:color w:val="auto"/>
          <w:szCs w:val="21"/>
          <w:highlight w:val="none"/>
        </w:rPr>
        <w:t>0371-65585915</w:t>
      </w:r>
    </w:p>
    <w:p>
      <w:pPr>
        <w:spacing w:line="360" w:lineRule="auto"/>
        <w:rPr>
          <w:rFonts w:hint="eastAsia" w:hAnsi="宋体"/>
          <w:b/>
          <w:color w:val="auto"/>
          <w:sz w:val="21"/>
          <w:szCs w:val="21"/>
          <w:highlight w:val="none"/>
        </w:rPr>
      </w:pPr>
    </w:p>
    <w:p>
      <w:pPr>
        <w:spacing w:line="360" w:lineRule="auto"/>
        <w:rPr>
          <w:rFonts w:hAnsi="宋体"/>
          <w:b/>
          <w:color w:val="auto"/>
          <w:sz w:val="21"/>
          <w:szCs w:val="21"/>
          <w:highlight w:val="none"/>
        </w:rPr>
      </w:pPr>
      <w:r>
        <w:rPr>
          <w:rFonts w:hint="eastAsia" w:hAnsi="宋体"/>
          <w:b/>
          <w:color w:val="auto"/>
          <w:sz w:val="21"/>
          <w:szCs w:val="21"/>
          <w:highlight w:val="none"/>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uto"/>
        <w:ind w:left="0" w:right="0" w:firstLine="562"/>
        <w:jc w:val="left"/>
        <w:rPr>
          <w:b w:val="0"/>
          <w:i w:val="0"/>
          <w:sz w:val="21"/>
          <w:szCs w:val="21"/>
        </w:rPr>
      </w:pPr>
      <w:r>
        <w:rPr>
          <w:rFonts w:hint="eastAsia" w:ascii="宋体" w:hAnsi="宋体" w:eastAsia="宋体" w:cs="宋体"/>
          <w:b/>
          <w:i w:val="0"/>
          <w:color w:val="000000"/>
          <w:kern w:val="0"/>
          <w:sz w:val="21"/>
          <w:szCs w:val="21"/>
          <w:u w:val="none"/>
          <w:shd w:val="clear" w:fill="FFFFFF"/>
          <w:lang w:val="en-US" w:eastAsia="zh-CN" w:bidi="ar"/>
        </w:rPr>
        <w:t>本项目为全流程电子化交易项目，请认真阅读招标文件，并注意以下事项。</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1.投标人应按招标文件规定编制、提交、解密电子投标文件。</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2.电子文件下载、制作、提交期间和远程不见面开标（电子投标文件的解密）环节，投标人须使用同一个CA数字证书（证书须在有效期内并可正常使用）。</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3.电子投标文件的制作</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3.1 投标人登录《全国公共资源交易平台(河南省▪许昌市)》公共资源交易系统（</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"http://221.14.6.70:8088/ggzy/"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rPr>
        <w:t>http://221.14.6.70:8088/ggzy/</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）下载“许昌投标文件制作系统SEARUN 最新版本”，按招标文件要求制作电子投标文件。</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电子投标文件的制作，参考《全国公共资源交易平台(河南省▪许昌市)》公共资源交易系统——组件下载——交易系统操作手册（投标人、供应商）。</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 投标人须将招标文件要求的资质、业绩、荣誉及相关人员证明材料等资料原件扫描件（或图片）制作到所提交的电子投标文件中。</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3.3投标人对同一项目多个标段进行投标的，应分别下载所投标段的招标文件，按标段制作电子投标文件，并按招标文件要求在相应位置加盖投标人电子印章和法人电子印章。</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一个标段对应生成一个文件夹（xxxx项目xx标段）,其中后缀名为“.file”的文件用于电子投标使用。</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4.投标保证金的提交</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4.1使用银行转帐方式提交的，投标人通过基本账户将款项一次足额递交、成功绑定，以收款人到账时间为准。</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4.1.1投标人网上下载招标文件并根据每个标段的缴纳说明单在开标截止时间前提交。每个投标人每个项目每个标段只有唯一缴纳账号，切勿重复缴纳或错误缴纳。</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4.1.2提交后再次登录http://221.14.6.70:8088/ggzy系统，依次点击“会员向导”→“参与投标”→“保证金绑定”→“绑定”进行投标保证金绑定，前述系统显示“许昌公共资源交易中心保证金缴纳回执”表示投标保证金提交完成。未绑定标段的投标保证金，视为未按规定提交。</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4.1.3投标人按照所投项目及标段将缴纳凭证“许昌公共资源交易中心保证金缴纳回执”附于投标文件中。</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使用银行保函方式提交的，投标人办理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5.加密电子投标文件的提交</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"http://221.14.6.70:8088/ggzy/"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rPr>
        <w:t>http://221.14.6.70:8088/ggzy/</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投标人应充分考虑并预留技术处理和上传数据所需时间。</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5.2 投标人对同一项目多个标段进行投标的，加密电子投标文件应按标段分别提交。</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5.3 加密电子投标文件成功提交后，《全国公共资源交易平台(河南省▪许昌市)》公共资源交易系统（</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HYPERLINK "http://221.14.6.70:8088/ggzy/"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rPr>
        <w:t>http://221.14.6.70:8088/ggzy/</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）生成“投标文件提交回执单”。</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6.远程不见面开标（电子投标文件的解密）</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6.1 投标人应熟悉《许昌市不见面操作手册》，并提前设置不见面开标浏览器（设置流程详见《许昌市不见面操作手册》）。</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6.2 《许昌市不见面操作手册》下载路径：全国公共资源交易平台（河南省·许昌市）—“资料下载”栏目。</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6.3开标时间前投标人应登录本项目不见面开标大厅，按照招标文件确定的开标时间准时参加网上开标。</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6.4投标人对开标过程和开标记录如有疑义，可在本项目不见面开标大厅“文字互动”对话框或“新增质疑”处在线提出询问。</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6.6项目远程不见面开标活动结束时，投标人应在《开标记录表》上进行电子签章。投标人未签章的，视同认可开标结果。</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7.评标依据</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7.1全流程电子化交易（远程不见面开标）项目，评标委员会以成功上传、解密的电子投标文件为依据评审。</w:t>
      </w:r>
    </w:p>
    <w:p>
      <w:pPr>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7.2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rPr>
          <w:rStyle w:val="44"/>
          <w:rFonts w:hint="eastAsia" w:asciiTheme="minorEastAsia" w:hAnsiTheme="minorEastAsia" w:eastAsiaTheme="minorEastAsia" w:cstheme="minorEastAsia"/>
          <w:color w:val="auto"/>
          <w:sz w:val="30"/>
          <w:szCs w:val="30"/>
          <w:highlight w:val="none"/>
        </w:rPr>
      </w:pPr>
      <w:bookmarkStart w:id="6" w:name="_Toc16962"/>
      <w:r>
        <w:rPr>
          <w:rStyle w:val="44"/>
          <w:rFonts w:hint="eastAsia" w:asciiTheme="minorEastAsia" w:hAnsiTheme="minorEastAsia" w:eastAsiaTheme="minorEastAsia" w:cstheme="minorEastAsia"/>
          <w:color w:val="auto"/>
          <w:sz w:val="30"/>
          <w:szCs w:val="30"/>
          <w:highlight w:val="none"/>
        </w:rPr>
        <w:br w:type="page"/>
      </w:r>
    </w:p>
    <w:p>
      <w:pPr>
        <w:spacing w:line="360" w:lineRule="auto"/>
        <w:jc w:val="center"/>
        <w:outlineLvl w:val="0"/>
        <w:rPr>
          <w:rStyle w:val="44"/>
          <w:rFonts w:hint="eastAsia" w:asciiTheme="minorEastAsia" w:hAnsiTheme="minorEastAsia" w:eastAsiaTheme="minorEastAsia" w:cstheme="minorEastAsia"/>
          <w:b w:val="0"/>
          <w:bCs w:val="0"/>
          <w:color w:val="auto"/>
          <w:sz w:val="30"/>
          <w:szCs w:val="30"/>
          <w:highlight w:val="none"/>
        </w:rPr>
      </w:pPr>
      <w:r>
        <w:rPr>
          <w:rStyle w:val="44"/>
          <w:rFonts w:hint="eastAsia" w:asciiTheme="minorEastAsia" w:hAnsiTheme="minorEastAsia" w:eastAsiaTheme="minorEastAsia" w:cstheme="minorEastAsia"/>
          <w:color w:val="auto"/>
          <w:sz w:val="30"/>
          <w:szCs w:val="30"/>
          <w:highlight w:val="none"/>
        </w:rPr>
        <w:t>第二章  投标人须知</w:t>
      </w:r>
      <w:bookmarkEnd w:id="6"/>
      <w:bookmarkStart w:id="7" w:name="_Toc1802"/>
      <w:bookmarkEnd w:id="7"/>
    </w:p>
    <w:p>
      <w:pPr>
        <w:spacing w:line="360" w:lineRule="auto"/>
        <w:jc w:val="center"/>
        <w:rPr>
          <w:rFonts w:hint="eastAsia" w:asciiTheme="minorEastAsia" w:hAnsiTheme="minorEastAsia" w:eastAsiaTheme="minorEastAsia" w:cstheme="minorEastAsia"/>
          <w:b/>
          <w:bCs/>
          <w:color w:val="auto"/>
          <w:sz w:val="24"/>
          <w:szCs w:val="24"/>
          <w:highlight w:val="none"/>
        </w:rPr>
      </w:pPr>
      <w:bookmarkStart w:id="8" w:name="_Toc18614"/>
      <w:bookmarkEnd w:id="8"/>
      <w:r>
        <w:rPr>
          <w:rFonts w:hint="eastAsia" w:asciiTheme="minorEastAsia" w:hAnsiTheme="minorEastAsia" w:eastAsiaTheme="minorEastAsia" w:cstheme="minorEastAsia"/>
          <w:b/>
          <w:bCs/>
          <w:color w:val="auto"/>
          <w:sz w:val="24"/>
          <w:szCs w:val="24"/>
          <w:highlight w:val="none"/>
        </w:rPr>
        <w:t>投标人须知前附表</w:t>
      </w:r>
    </w:p>
    <w:tbl>
      <w:tblPr>
        <w:tblStyle w:val="20"/>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072"/>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条款号</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条  款  名  称</w:t>
            </w:r>
          </w:p>
        </w:tc>
        <w:tc>
          <w:tcPr>
            <w:tcW w:w="558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招标人：</w:t>
            </w:r>
            <w:r>
              <w:rPr>
                <w:rFonts w:hint="eastAsia" w:asciiTheme="minorEastAsia" w:hAnsiTheme="minorEastAsia" w:cstheme="minorEastAsia"/>
                <w:color w:val="auto"/>
                <w:sz w:val="21"/>
                <w:szCs w:val="21"/>
                <w:highlight w:val="none"/>
                <w:lang w:eastAsia="zh-CN"/>
              </w:rPr>
              <w:t>鄢陵县住房和城乡建设局</w:t>
            </w:r>
          </w:p>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cstheme="minorEastAsia"/>
                <w:color w:val="auto"/>
                <w:sz w:val="21"/>
                <w:szCs w:val="21"/>
                <w:highlight w:val="none"/>
                <w:lang w:eastAsia="zh-CN"/>
              </w:rPr>
              <w:t>张先生</w:t>
            </w:r>
          </w:p>
          <w:p>
            <w:pPr>
              <w:widowControl/>
              <w:spacing w:line="312"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联系方式：0374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7165926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代理机构</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招标代理机构：大成工程咨询有限公司</w:t>
            </w:r>
          </w:p>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cstheme="minorEastAsia"/>
                <w:color w:val="auto"/>
                <w:sz w:val="21"/>
                <w:szCs w:val="21"/>
                <w:highlight w:val="none"/>
                <w:lang w:eastAsia="zh-CN"/>
              </w:rPr>
              <w:t>高女士</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联系电话：0371-65585915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招标</w:t>
            </w:r>
            <w:r>
              <w:rPr>
                <w:rFonts w:hint="eastAsia" w:asciiTheme="minorEastAsia" w:hAnsiTheme="minorEastAsia" w:eastAsiaTheme="minorEastAsia" w:cstheme="minorEastAsia"/>
                <w:color w:val="auto"/>
                <w:sz w:val="21"/>
                <w:szCs w:val="21"/>
                <w:highlight w:val="none"/>
              </w:rPr>
              <w:t>项目名称</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2020年鄢陵县老旧小区改造项目设计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建设地点</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鄢陵县安陵镇、柏梁镇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项目资金来源及金额</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中央预算内资金、地方财政配套资金及自筹资金</w:t>
            </w:r>
            <w:r>
              <w:rPr>
                <w:rFonts w:hint="eastAsia" w:asciiTheme="minorEastAsia" w:hAnsiTheme="minorEastAsia" w:cstheme="minorEastAsia"/>
                <w:color w:val="auto"/>
                <w:sz w:val="21"/>
                <w:szCs w:val="21"/>
                <w:highlight w:val="none"/>
                <w:lang w:eastAsia="zh-CN"/>
              </w:rPr>
              <w:t>；</w:t>
            </w:r>
          </w:p>
          <w:p>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招标控制价为</w:t>
            </w:r>
            <w:r>
              <w:rPr>
                <w:rFonts w:hint="eastAsia" w:asciiTheme="minorEastAsia" w:hAnsiTheme="minorEastAsia" w:cstheme="minorEastAsia"/>
                <w:color w:val="auto"/>
                <w:sz w:val="21"/>
                <w:szCs w:val="21"/>
                <w:highlight w:val="none"/>
                <w:lang w:val="en-US" w:eastAsia="zh-CN"/>
              </w:rPr>
              <w:t>55</w:t>
            </w:r>
            <w:r>
              <w:rPr>
                <w:rFonts w:hint="eastAsia" w:asciiTheme="minorEastAsia" w:hAnsiTheme="minorEastAsia" w:eastAsiaTheme="minorEastAsia" w:cstheme="minorEastAsia"/>
                <w:color w:val="auto"/>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资金落实情况</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标段划分</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本招标设计项目共一个标段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招标范围</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施工图设计（含所有专业工程的深化设计及其预算编制）和施工全过程的设计服务</w:t>
            </w:r>
            <w:r>
              <w:rPr>
                <w:rFonts w:hint="eastAsia" w:asciiTheme="minorEastAsia" w:hAnsi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1.3.3</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设计周期</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自合同签订之日起</w:t>
            </w:r>
            <w:r>
              <w:rPr>
                <w:rFonts w:hint="eastAsia" w:asciiTheme="minorEastAsia" w:hAnsi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1.3.4</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设计要求</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符合国家现行有关设计规范、标准和规定。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投标人资质条件</w:t>
            </w:r>
          </w:p>
        </w:tc>
        <w:tc>
          <w:tcPr>
            <w:tcW w:w="5586" w:type="dxa"/>
            <w:tcBorders>
              <w:top w:val="single" w:color="auto" w:sz="4" w:space="0"/>
              <w:left w:val="nil"/>
              <w:bottom w:val="single" w:color="auto" w:sz="4" w:space="0"/>
              <w:right w:val="single" w:color="auto" w:sz="4" w:space="0"/>
            </w:tcBorders>
            <w:vAlign w:val="center"/>
          </w:tcPr>
          <w:p>
            <w:pPr>
              <w:spacing w:line="4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投标人须具有独立法人资格，具有有效的营业执照</w:t>
            </w:r>
            <w:r>
              <w:rPr>
                <w:rFonts w:hint="eastAsia" w:asciiTheme="minorEastAsia" w:hAnsiTheme="minorEastAsia" w:cstheme="minorEastAsia"/>
                <w:color w:val="auto"/>
                <w:sz w:val="21"/>
                <w:szCs w:val="21"/>
                <w:highlight w:val="none"/>
                <w:lang w:eastAsia="zh-CN"/>
              </w:rPr>
              <w:t>。</w:t>
            </w:r>
          </w:p>
          <w:p>
            <w:pPr>
              <w:spacing w:line="4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资质等级要求：投标人须具有建筑工程设计乙级及以上资质。</w:t>
            </w:r>
          </w:p>
          <w:p>
            <w:pPr>
              <w:spacing w:line="4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设计项目负责人要求：</w:t>
            </w:r>
            <w:r>
              <w:rPr>
                <w:rFonts w:hint="eastAsia" w:asciiTheme="minorEastAsia" w:hAnsiTheme="minorEastAsia" w:cstheme="minorEastAsia"/>
                <w:color w:val="auto"/>
                <w:szCs w:val="21"/>
                <w:highlight w:val="none"/>
              </w:rPr>
              <w:t>具有注册建筑师执业资格并具有中级及以上技术职称，具有有效的劳动合同和2020年1月以来在本单位连续缴纳的社保证明。</w:t>
            </w:r>
          </w:p>
          <w:p>
            <w:pPr>
              <w:spacing w:line="4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财务状况良好，无不良债务，没有被接管、冻结、破产状态（提供投标人2016、2017、2018年或2017、2018、2019年财务审计报告）</w:t>
            </w:r>
          </w:p>
          <w:p>
            <w:pPr>
              <w:spacing w:line="480" w:lineRule="exact"/>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5.有依法缴纳税收和社会保障资金的良好记录（提供近3个月完税证明和社保缴纳证明）</w:t>
            </w:r>
          </w:p>
          <w:p>
            <w:pPr>
              <w:spacing w:line="480" w:lineRule="exact"/>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6.未被列入“信用中国”（www.creditchina.gov.cn）网站失信被执行人名单，“国家企业信用信息公示系统” （http://www.gsxt.gov.cn/）经营异常名录或严重失信黑名单。</w:t>
            </w:r>
          </w:p>
          <w:p>
            <w:pPr>
              <w:spacing w:line="480" w:lineRule="exact"/>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7.本次招标不接受联合体投标。</w:t>
            </w:r>
          </w:p>
          <w:p>
            <w:pPr>
              <w:spacing w:line="360" w:lineRule="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8.本次招标实行资格后审，资格审查的具体要求见招标文件</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备注：招标项目开标结束后、评标开始前，招标人（或招标代理机构）对投标人信用记录进行现场查询，并将查询结果随项目开标资料一并送入评标室，由专家进行评判。</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    信用信息查询记录和证据留存具体方式：经评标委员会确认的查询结果网页截图作为查询记录和证据，与其他文件一并存档。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1.4.2</w:t>
            </w:r>
          </w:p>
        </w:tc>
        <w:tc>
          <w:tcPr>
            <w:tcW w:w="207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是否接受联合体投标</w:t>
            </w:r>
          </w:p>
        </w:tc>
        <w:tc>
          <w:tcPr>
            <w:tcW w:w="558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1.5</w:t>
            </w:r>
          </w:p>
        </w:tc>
        <w:tc>
          <w:tcPr>
            <w:tcW w:w="207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textAlignment w:val="baseline"/>
              <w:rPr>
                <w:rFonts w:hint="eastAsia" w:ascii="宋体" w:hAnsi="宋体" w:cs="Times New Roman" w:eastAsiaTheme="minorEastAsia"/>
                <w:color w:val="auto"/>
                <w:kern w:val="2"/>
                <w:sz w:val="21"/>
                <w:szCs w:val="21"/>
                <w:highlight w:val="none"/>
                <w:lang w:val="en-US" w:eastAsia="zh-CN" w:bidi="ar-SA"/>
              </w:rPr>
            </w:pPr>
            <w:r>
              <w:rPr>
                <w:rFonts w:hint="eastAsia" w:ascii="宋体" w:hAnsi="宋体" w:cs="宋体"/>
                <w:color w:val="auto"/>
                <w:kern w:val="0"/>
                <w:szCs w:val="21"/>
                <w:highlight w:val="none"/>
              </w:rPr>
              <w:t>费用承担和设计成果补偿</w:t>
            </w:r>
          </w:p>
        </w:tc>
        <w:tc>
          <w:tcPr>
            <w:tcW w:w="5586" w:type="dxa"/>
            <w:tcBorders>
              <w:top w:val="single" w:color="auto" w:sz="4" w:space="0"/>
              <w:left w:val="nil"/>
              <w:bottom w:val="single" w:color="auto" w:sz="4" w:space="0"/>
              <w:right w:val="single" w:color="auto" w:sz="4" w:space="0"/>
            </w:tcBorders>
            <w:vAlign w:val="center"/>
          </w:tcPr>
          <w:p>
            <w:pPr>
              <w:pStyle w:val="46"/>
              <w:spacing w:line="360" w:lineRule="auto"/>
              <w:ind w:firstLine="0" w:firstLineChars="0"/>
              <w:rPr>
                <w:rFonts w:ascii="宋体" w:hAnsi="宋体" w:cs="Times New Roman"/>
                <w:bCs/>
                <w:color w:val="auto"/>
                <w:szCs w:val="21"/>
                <w:highlight w:val="none"/>
              </w:rPr>
            </w:pPr>
            <w:r>
              <w:rPr>
                <w:rFonts w:hint="eastAsia" w:ascii="宋体" w:hAnsi="宋体" w:cs="Times New Roman"/>
                <w:bCs/>
                <w:color w:val="auto"/>
                <w:szCs w:val="21"/>
                <w:highlight w:val="none"/>
              </w:rPr>
              <w:t>■不补偿</w:t>
            </w:r>
          </w:p>
          <w:p>
            <w:pPr>
              <w:pStyle w:val="46"/>
              <w:spacing w:line="360" w:lineRule="auto"/>
              <w:ind w:firstLine="0" w:firstLineChars="0"/>
              <w:rPr>
                <w:rFonts w:hint="eastAsia" w:ascii="宋体" w:hAnsi="宋体" w:cs="Times New Roman" w:eastAsiaTheme="minorEastAsia"/>
                <w:bCs/>
                <w:color w:val="auto"/>
                <w:kern w:val="2"/>
                <w:sz w:val="21"/>
                <w:szCs w:val="21"/>
                <w:highlight w:val="none"/>
                <w:lang w:val="en-US" w:eastAsia="zh-CN" w:bidi="ar-SA"/>
              </w:rPr>
            </w:pPr>
            <w:r>
              <w:rPr>
                <w:rFonts w:hint="eastAsia" w:ascii="宋体" w:hAnsi="宋体" w:cs="Times New Roman"/>
                <w:bCs/>
                <w:color w:val="auto"/>
                <w:szCs w:val="21"/>
                <w:highlight w:val="none"/>
              </w:rPr>
              <w:t>□补偿，补偿标准：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w:t>
            </w:r>
          </w:p>
        </w:tc>
        <w:tc>
          <w:tcPr>
            <w:tcW w:w="207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558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1.10.1</w:t>
            </w:r>
          </w:p>
        </w:tc>
        <w:tc>
          <w:tcPr>
            <w:tcW w:w="207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投标预备会</w:t>
            </w:r>
          </w:p>
        </w:tc>
        <w:tc>
          <w:tcPr>
            <w:tcW w:w="558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投标人提出问题的截止时间</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1.10.3</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招标人</w:t>
            </w:r>
            <w:r>
              <w:rPr>
                <w:rFonts w:ascii="宋体" w:hAnsi="宋体" w:cs="宋体"/>
                <w:color w:val="auto"/>
                <w:kern w:val="0"/>
                <w:szCs w:val="21"/>
                <w:highlight w:val="none"/>
              </w:rPr>
              <w:t>书面澄清的时间</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  包</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  离</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招标文件的下载</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招标文件的获取：投标人于投标文件递交截止时间前均可登录【全国公共资源交易平台(河南省▪许昌市)】（http://www.ggzy.xuchang.gov.cn/），通过“投标人/供应商登录”后自行下载。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w:t>
            </w:r>
          </w:p>
        </w:tc>
        <w:tc>
          <w:tcPr>
            <w:tcW w:w="207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构成招标文件的其他材料</w:t>
            </w:r>
          </w:p>
        </w:tc>
        <w:tc>
          <w:tcPr>
            <w:tcW w:w="558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除招标文件外，招标人在招标</w:t>
            </w:r>
            <w:r>
              <w:rPr>
                <w:rFonts w:ascii="宋体" w:hAnsi="宋体" w:cs="宋体"/>
                <w:color w:val="auto"/>
                <w:kern w:val="0"/>
                <w:szCs w:val="21"/>
                <w:highlight w:val="none"/>
              </w:rPr>
              <w:t>期间发出的</w:t>
            </w:r>
            <w:r>
              <w:rPr>
                <w:rFonts w:hint="eastAsia" w:ascii="宋体" w:hAnsi="宋体" w:cs="宋体"/>
                <w:color w:val="auto"/>
                <w:kern w:val="0"/>
                <w:szCs w:val="21"/>
                <w:highlight w:val="none"/>
              </w:rPr>
              <w:t>澄清、修改</w:t>
            </w:r>
            <w:r>
              <w:rPr>
                <w:rFonts w:ascii="宋体" w:hAnsi="宋体" w:cs="宋体"/>
                <w:color w:val="auto"/>
                <w:kern w:val="0"/>
                <w:szCs w:val="21"/>
                <w:highlight w:val="none"/>
              </w:rPr>
              <w:t>、补充</w:t>
            </w:r>
            <w:r>
              <w:rPr>
                <w:rFonts w:hint="eastAsia" w:ascii="宋体" w:hAnsi="宋体" w:cs="宋体"/>
                <w:color w:val="auto"/>
                <w:kern w:val="0"/>
                <w:szCs w:val="21"/>
                <w:highlight w:val="none"/>
              </w:rPr>
              <w:t>、补</w:t>
            </w:r>
            <w:r>
              <w:rPr>
                <w:rFonts w:hint="eastAsia" w:ascii="宋体" w:hAnsi="宋体" w:cs="Times New Roman"/>
                <w:bCs/>
                <w:color w:val="auto"/>
                <w:szCs w:val="21"/>
                <w:highlight w:val="none"/>
              </w:rPr>
              <w:t>遗和</w:t>
            </w:r>
            <w:r>
              <w:rPr>
                <w:rFonts w:hint="eastAsia" w:ascii="宋体" w:hAnsi="宋体" w:cs="宋体"/>
                <w:color w:val="auto"/>
                <w:kern w:val="0"/>
                <w:szCs w:val="21"/>
                <w:highlight w:val="none"/>
              </w:rPr>
              <w:t>其它</w:t>
            </w:r>
            <w:r>
              <w:rPr>
                <w:rFonts w:ascii="宋体" w:hAnsi="宋体" w:cs="宋体"/>
                <w:color w:val="auto"/>
                <w:kern w:val="0"/>
                <w:szCs w:val="21"/>
                <w:highlight w:val="none"/>
              </w:rPr>
              <w:t>有效正式函件等内容</w:t>
            </w:r>
            <w:r>
              <w:rPr>
                <w:rFonts w:hint="eastAsia" w:ascii="宋体" w:hAnsi="宋体" w:cs="宋体"/>
                <w:color w:val="auto"/>
                <w:kern w:val="0"/>
                <w:szCs w:val="21"/>
                <w:highlight w:val="none"/>
              </w:rPr>
              <w:t>均是构成招标文件的组成部分。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207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投标人要求澄清招标文件的截止时间</w:t>
            </w:r>
          </w:p>
        </w:tc>
        <w:tc>
          <w:tcPr>
            <w:tcW w:w="558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投标截止时间</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日9时</w:t>
            </w:r>
            <w:r>
              <w:rPr>
                <w:rFonts w:hint="eastAsia" w:asciiTheme="minorEastAsia" w:hAnsiTheme="minorEastAsia" w:cstheme="minorEastAsia"/>
                <w:color w:val="auto"/>
                <w:sz w:val="21"/>
                <w:szCs w:val="21"/>
                <w:highlight w:val="none"/>
                <w:lang w:val="en-US" w:eastAsia="zh-CN"/>
              </w:rPr>
              <w:t>00</w:t>
            </w:r>
            <w:bookmarkStart w:id="144" w:name="_GoBack"/>
            <w:bookmarkEnd w:id="144"/>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投标人确认收到招标文件澄清的时间</w:t>
            </w:r>
          </w:p>
        </w:tc>
        <w:tc>
          <w:tcPr>
            <w:tcW w:w="558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投标人确认收到招标文件修改的时间</w:t>
            </w:r>
          </w:p>
        </w:tc>
        <w:tc>
          <w:tcPr>
            <w:tcW w:w="558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构成投标文件的其他材料</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投标人认为</w:t>
            </w:r>
            <w:r>
              <w:rPr>
                <w:rFonts w:ascii="宋体" w:hAnsi="宋体" w:cs="宋体"/>
                <w:color w:val="auto"/>
                <w:kern w:val="0"/>
                <w:szCs w:val="21"/>
                <w:highlight w:val="none"/>
              </w:rPr>
              <w:t>需要提交的其他证明资料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投标报价</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不超过本项目招标控制价（否则予以废标处理）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投标保证金须知</w:t>
            </w:r>
          </w:p>
        </w:tc>
        <w:tc>
          <w:tcPr>
            <w:tcW w:w="5586"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1、因投标人的原因无法及时退还投标（竞买）保证金、滞留三年以上的，投标（竞买）保证金上缴财政。</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2、自文件发布之日起，投标人需进行基本户备案，已备案的基本户开户银行、账户发生变化的，须重新办理备案手续。备案后方可提交投标（竞买）保证金。</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4、特殊情况处理</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投标人投标过程中因账户开户银行、银行账号发生变化，不能按照来款途径原路返还投标保证金的，投标人须提供原账户开户银行相关证明及新开账户开户许可证（鄢陵县公共资源交易管理中心三楼综合股，联系电话：0374—7608880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p>
        </w:tc>
        <w:tc>
          <w:tcPr>
            <w:tcW w:w="5586" w:type="dxa"/>
            <w:tcBorders>
              <w:top w:val="single" w:color="auto" w:sz="4" w:space="0"/>
              <w:left w:val="nil"/>
              <w:bottom w:val="single" w:color="auto" w:sz="4" w:space="0"/>
              <w:right w:val="single" w:color="auto" w:sz="4" w:space="0"/>
            </w:tcBorders>
          </w:tcPr>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投标保证金递交截止时间：（同投标截止时间）。</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金额：大写</w:t>
            </w:r>
            <w:r>
              <w:rPr>
                <w:rFonts w:hint="eastAsia" w:ascii="宋体" w:hAnsi="宋体" w:cs="Times New Roman"/>
                <w:color w:val="auto"/>
                <w:szCs w:val="21"/>
                <w:highlight w:val="none"/>
                <w:lang w:eastAsia="zh-CN"/>
              </w:rPr>
              <w:t>：壹万</w:t>
            </w:r>
            <w:r>
              <w:rPr>
                <w:rFonts w:hint="eastAsia" w:ascii="宋体" w:hAnsi="宋体" w:cs="Times New Roman"/>
                <w:color w:val="auto"/>
                <w:szCs w:val="21"/>
                <w:highlight w:val="none"/>
              </w:rPr>
              <w:t>元整（￥</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00</w:t>
            </w:r>
            <w:r>
              <w:rPr>
                <w:rFonts w:hint="eastAsia" w:ascii="宋体" w:hAnsi="宋体" w:cs="Times New Roman"/>
                <w:color w:val="auto"/>
                <w:szCs w:val="21"/>
                <w:highlight w:val="none"/>
                <w:lang w:val="en-US" w:eastAsia="zh-CN"/>
              </w:rPr>
              <w:t>0</w:t>
            </w:r>
            <w:r>
              <w:rPr>
                <w:rFonts w:hint="eastAsia" w:ascii="宋体" w:hAnsi="宋体" w:cs="Times New Roman"/>
                <w:color w:val="auto"/>
                <w:szCs w:val="21"/>
                <w:highlight w:val="none"/>
              </w:rPr>
              <w:t>0.00整）</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1、投标保证金的递交方式：银行转账、银行电汇、银行保函，不接受以现金方式缴纳的投标保证金。凡以现金方式缴纳投标保证金而影响其投标结果的，由投标人自行负责。</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使用银行转帐、银行电汇方式的，于截止时间前通过投标人基本账户将款项一次足额递交、成功绑定，以收款人到账时间为准，在途资金无效。同时投标人应承担节假日银行系统不能支付的风险。</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2、投标保证金缴纳方式：</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2.1投标人网上下载招标文件后，登录http://221.14.6.70:8088/ggzy系统，依次点击“会员向导”→“参与投标”→“费用缴纳说明”→“保证金缴纳说明单”，获取缴费说明单，根据每个标段的缴纳说明单在缴纳截止时间前缴纳；</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2.2成功缴纳后再次登录前述系统，依次点击“会员向导”→“参与投标”→“保证金绑定”→“绑定”进行投标保证金绑定。未绑定标段的投标保证金，视为未按规定提交。</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2.3投标人成功绑定投标保证金，将缴纳凭证即本项目投保保证金“许昌公共资源交易中心保证金缴纳回执”附于投标文件中，否则视为未按规定提交。</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2.4每个投标人每个项目每个标段只有唯一缴纳账号，切勿重复缴纳或错误缴纳。</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3、未按上述规定操作引起的无效投标，由投标人自行负责。</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4、汇款凭证无须备注项目编号和项目名称。</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5、出现以下情形造成的投标保证金无效，由投标人自行负责。</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(1)投标保证金未从投标人的基本账户转出；</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(2)投标保证金未按照招标文件划分的标段转账。</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6、《保证金缴纳绑定操作指南》获取方法：</w:t>
            </w:r>
          </w:p>
          <w:p>
            <w:pPr>
              <w:spacing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登录许昌公共资源交易系统-组件下载-《保证金缴纳绑定操作指南》。</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Times New Roman"/>
                <w:color w:val="auto"/>
                <w:szCs w:val="21"/>
                <w:highlight w:val="none"/>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近年财务状况的年份要求</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ascii="宋体" w:hAnsi="宋体" w:cs="Times New Roman"/>
                <w:color w:val="auto"/>
                <w:szCs w:val="21"/>
                <w:highlight w:val="none"/>
              </w:rPr>
            </w:pPr>
            <w:r>
              <w:rPr>
                <w:rFonts w:hint="eastAsia" w:ascii="宋体" w:hAnsi="宋体" w:cs="Times New Roman"/>
                <w:color w:val="auto"/>
                <w:szCs w:val="21"/>
                <w:highlight w:val="none"/>
              </w:rPr>
              <w:t>证明</w:t>
            </w:r>
            <w:r>
              <w:rPr>
                <w:rFonts w:ascii="宋体" w:hAnsi="宋体" w:cs="Times New Roman"/>
                <w:color w:val="auto"/>
                <w:szCs w:val="21"/>
                <w:highlight w:val="none"/>
              </w:rPr>
              <w:t>资料：附经会计师事务所或审计机构</w:t>
            </w:r>
            <w:r>
              <w:rPr>
                <w:rFonts w:hint="eastAsia" w:ascii="宋体" w:hAnsi="宋体" w:cs="Times New Roman"/>
                <w:color w:val="auto"/>
                <w:szCs w:val="21"/>
                <w:highlight w:val="none"/>
              </w:rPr>
              <w:t>出具</w:t>
            </w:r>
            <w:r>
              <w:rPr>
                <w:rFonts w:ascii="宋体" w:hAnsi="宋体" w:cs="Times New Roman"/>
                <w:color w:val="auto"/>
                <w:szCs w:val="21"/>
                <w:highlight w:val="none"/>
              </w:rPr>
              <w:t>的审计报告，包括资产负债表、现金流量表、利润表和财务情况说明书的复印件</w:t>
            </w:r>
            <w:r>
              <w:rPr>
                <w:rFonts w:hint="eastAsia" w:ascii="宋体" w:hAnsi="宋体" w:cs="Times New Roman"/>
                <w:color w:val="auto"/>
                <w:szCs w:val="21"/>
                <w:highlight w:val="none"/>
              </w:rPr>
              <w:t>。</w:t>
            </w:r>
          </w:p>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宋体" w:hAnsi="宋体" w:cs="Times New Roman"/>
                <w:color w:val="auto"/>
                <w:szCs w:val="21"/>
                <w:highlight w:val="none"/>
              </w:rPr>
              <w:t>年份</w:t>
            </w:r>
            <w:r>
              <w:rPr>
                <w:rFonts w:ascii="宋体" w:hAnsi="宋体" w:cs="Times New Roman"/>
                <w:color w:val="auto"/>
                <w:szCs w:val="21"/>
                <w:highlight w:val="none"/>
              </w:rPr>
              <w:t>要求：</w:t>
            </w:r>
            <w:r>
              <w:rPr>
                <w:rFonts w:ascii="宋体" w:hAnsi="宋体" w:cs="宋体"/>
                <w:color w:val="auto"/>
                <w:kern w:val="0"/>
                <w:szCs w:val="21"/>
                <w:highlight w:val="none"/>
              </w:rPr>
              <w:t>201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年、2</w:t>
            </w:r>
            <w:r>
              <w:rPr>
                <w:rFonts w:ascii="宋体" w:hAnsi="宋体" w:cs="宋体"/>
                <w:color w:val="auto"/>
                <w:kern w:val="0"/>
                <w:szCs w:val="21"/>
                <w:highlight w:val="none"/>
              </w:rPr>
              <w:t>01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年</w:t>
            </w:r>
            <w:r>
              <w:rPr>
                <w:rFonts w:ascii="宋体" w:hAnsi="宋体" w:cs="宋体"/>
                <w:color w:val="auto"/>
                <w:kern w:val="0"/>
                <w:szCs w:val="21"/>
                <w:highlight w:val="none"/>
              </w:rPr>
              <w:t>、201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eastAsia="zh-CN"/>
              </w:rPr>
              <w:t>或</w:t>
            </w:r>
            <w:r>
              <w:rPr>
                <w:rFonts w:hint="eastAsia" w:ascii="宋体" w:hAnsi="宋体" w:cs="宋体"/>
                <w:color w:val="auto"/>
                <w:kern w:val="0"/>
                <w:szCs w:val="21"/>
                <w:highlight w:val="none"/>
              </w:rPr>
              <w:t>2</w:t>
            </w:r>
            <w:r>
              <w:rPr>
                <w:rFonts w:ascii="宋体" w:hAnsi="宋体" w:cs="宋体"/>
                <w:color w:val="auto"/>
                <w:kern w:val="0"/>
                <w:szCs w:val="21"/>
                <w:highlight w:val="none"/>
              </w:rPr>
              <w:t>01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年</w:t>
            </w:r>
            <w:r>
              <w:rPr>
                <w:rFonts w:ascii="宋体" w:hAnsi="宋体" w:cs="宋体"/>
                <w:color w:val="auto"/>
                <w:kern w:val="0"/>
                <w:szCs w:val="21"/>
                <w:highlight w:val="none"/>
              </w:rPr>
              <w:t>、201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3.5.3</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近年完成的类似项目的年份要求</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ascii="宋体" w:hAnsi="宋体" w:cs="Times New Roman"/>
                <w:color w:val="auto"/>
                <w:szCs w:val="21"/>
                <w:highlight w:val="none"/>
              </w:rPr>
            </w:pPr>
            <w:r>
              <w:rPr>
                <w:rFonts w:hint="eastAsia" w:ascii="宋体" w:hAnsi="宋体" w:cs="Times New Roman"/>
                <w:color w:val="auto"/>
                <w:szCs w:val="21"/>
                <w:highlight w:val="none"/>
              </w:rPr>
              <w:t>证明</w:t>
            </w:r>
            <w:r>
              <w:rPr>
                <w:rFonts w:ascii="宋体" w:hAnsi="宋体" w:cs="Times New Roman"/>
                <w:color w:val="auto"/>
                <w:szCs w:val="21"/>
                <w:highlight w:val="none"/>
              </w:rPr>
              <w:t>资料：附</w:t>
            </w:r>
            <w:r>
              <w:rPr>
                <w:rFonts w:hint="eastAsia" w:ascii="宋体" w:hAnsi="宋体" w:cs="Times New Roman"/>
                <w:color w:val="auto"/>
                <w:szCs w:val="21"/>
                <w:highlight w:val="none"/>
              </w:rPr>
              <w:t>合同协议书</w:t>
            </w:r>
            <w:r>
              <w:rPr>
                <w:rFonts w:hint="eastAsia" w:ascii="宋体" w:hAnsi="宋体" w:cs="Times New Roman"/>
                <w:color w:val="auto"/>
                <w:szCs w:val="21"/>
                <w:highlight w:val="none"/>
                <w:lang w:eastAsia="zh-CN"/>
              </w:rPr>
              <w:t>和中标通知书</w:t>
            </w:r>
            <w:r>
              <w:rPr>
                <w:rFonts w:hint="eastAsia" w:ascii="宋体" w:hAnsi="宋体" w:cs="Times New Roman"/>
                <w:color w:val="auto"/>
                <w:szCs w:val="21"/>
                <w:highlight w:val="none"/>
              </w:rPr>
              <w:t>复印件。</w:t>
            </w:r>
          </w:p>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宋体" w:hAnsi="宋体" w:cs="Times New Roman"/>
                <w:color w:val="auto"/>
                <w:szCs w:val="21"/>
                <w:highlight w:val="none"/>
              </w:rPr>
              <w:t>年份</w:t>
            </w:r>
            <w:r>
              <w:rPr>
                <w:rFonts w:ascii="宋体" w:hAnsi="宋体" w:cs="Times New Roman"/>
                <w:color w:val="auto"/>
                <w:szCs w:val="21"/>
                <w:highlight w:val="none"/>
              </w:rPr>
              <w:t>要求：</w:t>
            </w:r>
            <w:r>
              <w:rPr>
                <w:rFonts w:ascii="宋体" w:hAnsi="宋体" w:cs="宋体"/>
                <w:color w:val="auto"/>
                <w:kern w:val="0"/>
                <w:szCs w:val="21"/>
                <w:highlight w:val="none"/>
              </w:rPr>
              <w:t>201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年1月1日</w:t>
            </w:r>
            <w:r>
              <w:rPr>
                <w:rFonts w:ascii="宋体" w:hAnsi="宋体" w:cs="宋体"/>
                <w:color w:val="auto"/>
                <w:kern w:val="0"/>
                <w:szCs w:val="21"/>
                <w:highlight w:val="none"/>
              </w:rPr>
              <w:t>起至投标截止时间止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3.5.5</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近年发生的诉讼及仲裁情况的年份要求</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ascii="宋体" w:hAnsi="宋体" w:cs="Times New Roman"/>
                <w:color w:val="auto"/>
                <w:szCs w:val="21"/>
                <w:highlight w:val="none"/>
              </w:rPr>
            </w:pPr>
            <w:r>
              <w:rPr>
                <w:rFonts w:hint="eastAsia" w:ascii="宋体" w:hAnsi="宋体" w:cs="Times New Roman"/>
                <w:color w:val="auto"/>
                <w:szCs w:val="21"/>
                <w:highlight w:val="none"/>
              </w:rPr>
              <w:t>证明</w:t>
            </w:r>
            <w:r>
              <w:rPr>
                <w:rFonts w:ascii="宋体" w:hAnsi="宋体" w:cs="Times New Roman"/>
                <w:color w:val="auto"/>
                <w:szCs w:val="21"/>
                <w:highlight w:val="none"/>
              </w:rPr>
              <w:t>资料：</w:t>
            </w:r>
            <w:r>
              <w:rPr>
                <w:rFonts w:hint="eastAsia" w:ascii="宋体" w:hAnsi="宋体" w:cs="Times New Roman"/>
                <w:color w:val="auto"/>
                <w:szCs w:val="21"/>
                <w:highlight w:val="none"/>
              </w:rPr>
              <w:t>相关情况说明，并附法院或仲裁机构作出的判决、裁决等有关法律文书复印件。</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Times New Roman"/>
                <w:color w:val="auto"/>
                <w:szCs w:val="21"/>
                <w:highlight w:val="none"/>
              </w:rPr>
              <w:t>年份</w:t>
            </w:r>
            <w:r>
              <w:rPr>
                <w:rFonts w:ascii="宋体" w:hAnsi="宋体" w:cs="Times New Roman"/>
                <w:color w:val="auto"/>
                <w:szCs w:val="21"/>
                <w:highlight w:val="none"/>
              </w:rPr>
              <w:t>要求：</w:t>
            </w:r>
            <w:r>
              <w:rPr>
                <w:rFonts w:ascii="宋体" w:hAnsi="宋体" w:cs="宋体"/>
                <w:color w:val="auto"/>
                <w:kern w:val="0"/>
                <w:szCs w:val="21"/>
                <w:highlight w:val="none"/>
              </w:rPr>
              <w:t>201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年1月1日</w:t>
            </w:r>
            <w:r>
              <w:rPr>
                <w:rFonts w:ascii="宋体" w:hAnsi="宋体" w:cs="宋体"/>
                <w:color w:val="auto"/>
                <w:kern w:val="0"/>
                <w:szCs w:val="21"/>
                <w:highlight w:val="none"/>
              </w:rPr>
              <w:t>起至投标截止时间止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是否允许递交备选投标方案</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3.7.3</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签字和（或）盖章要求</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3.7.4</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投标文件份数</w:t>
            </w:r>
          </w:p>
        </w:tc>
        <w:tc>
          <w:tcPr>
            <w:tcW w:w="5586" w:type="dxa"/>
            <w:tcBorders>
              <w:top w:val="single" w:color="auto" w:sz="4" w:space="0"/>
              <w:left w:val="nil"/>
              <w:bottom w:val="single" w:color="auto" w:sz="4" w:space="0"/>
              <w:right w:val="single" w:color="auto" w:sz="4" w:space="0"/>
            </w:tcBorders>
            <w:vAlign w:val="center"/>
          </w:tcPr>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rPr>
              <w:t>1、电子投标文件</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rPr>
              <w:t>（1）成功上传至【全国公共资源交易平台（河南省•许昌市）】公共资源交易系统电子投标文件1份（文件格式为：XX公司XXX项目编号.file）。</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Times New Roman"/>
                <w:bCs/>
                <w:color w:val="auto"/>
                <w:szCs w:val="21"/>
                <w:highlight w:val="none"/>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3.7.5</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本项目是否采用不见面开标</w:t>
            </w:r>
          </w:p>
        </w:tc>
        <w:tc>
          <w:tcPr>
            <w:tcW w:w="5586" w:type="dxa"/>
            <w:tcBorders>
              <w:top w:val="single" w:color="auto" w:sz="4" w:space="0"/>
              <w:left w:val="nil"/>
              <w:bottom w:val="single" w:color="auto" w:sz="4" w:space="0"/>
              <w:right w:val="single" w:color="auto" w:sz="4" w:space="0"/>
            </w:tcBorders>
            <w:vAlign w:val="center"/>
          </w:tcPr>
          <w:p>
            <w:pPr>
              <w:pStyle w:val="46"/>
              <w:spacing w:line="36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递交投标文件地点</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鄢陵县公共资源交易中心（S219（鄢陶路）与未来大道交叉口鄢陵创客园院内南楼四楼开标</w:t>
            </w:r>
            <w:r>
              <w:rPr>
                <w:rFonts w:hint="eastAsia" w:asciiTheme="minorEastAsia" w:hAnsi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是否退还投标文件</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开标时间和地点</w:t>
            </w:r>
          </w:p>
        </w:tc>
        <w:tc>
          <w:tcPr>
            <w:tcW w:w="558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开标时间：同投标截止时间</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开标地点：同投标截止地点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开标程序</w:t>
            </w:r>
          </w:p>
        </w:tc>
        <w:tc>
          <w:tcPr>
            <w:tcW w:w="5586" w:type="dxa"/>
            <w:tcBorders>
              <w:top w:val="single" w:color="auto" w:sz="4" w:space="0"/>
              <w:left w:val="nil"/>
              <w:bottom w:val="single" w:color="auto" w:sz="4" w:space="0"/>
              <w:right w:val="single" w:color="auto" w:sz="4" w:space="0"/>
            </w:tcBorders>
            <w:vAlign w:val="center"/>
          </w:tcPr>
          <w:p>
            <w:pPr>
              <w:pStyle w:val="46"/>
              <w:numPr>
                <w:ilvl w:val="0"/>
                <w:numId w:val="0"/>
              </w:numPr>
              <w:spacing w:line="360" w:lineRule="auto"/>
              <w:ind w:leftChars="0"/>
              <w:rPr>
                <w:rFonts w:hint="eastAsia" w:ascii="宋体" w:hAnsi="宋体" w:cs="Times New Roman"/>
                <w:color w:val="auto"/>
                <w:szCs w:val="21"/>
                <w:highlight w:val="none"/>
              </w:rPr>
            </w:pPr>
            <w:r>
              <w:rPr>
                <w:rFonts w:hint="eastAsia" w:ascii="宋体" w:hAnsi="宋体" w:cs="Times New Roman"/>
                <w:color w:val="auto"/>
                <w:szCs w:val="21"/>
                <w:highlight w:val="none"/>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pStyle w:val="46"/>
              <w:numPr>
                <w:ilvl w:val="0"/>
                <w:numId w:val="0"/>
              </w:numPr>
              <w:spacing w:line="360" w:lineRule="auto"/>
              <w:ind w:leftChars="0"/>
              <w:rPr>
                <w:rFonts w:hint="eastAsia" w:ascii="宋体" w:hAnsi="宋体" w:cs="Times New Roman"/>
                <w:color w:val="auto"/>
                <w:szCs w:val="21"/>
                <w:highlight w:val="none"/>
              </w:rPr>
            </w:pPr>
            <w:r>
              <w:rPr>
                <w:rFonts w:hint="eastAsia" w:ascii="宋体" w:hAnsi="宋体" w:cs="Times New Roman"/>
                <w:color w:val="auto"/>
                <w:szCs w:val="21"/>
                <w:highlight w:val="none"/>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pStyle w:val="46"/>
              <w:numPr>
                <w:ilvl w:val="0"/>
                <w:numId w:val="0"/>
              </w:numPr>
              <w:spacing w:line="360" w:lineRule="auto"/>
              <w:ind w:leftChars="0"/>
              <w:rPr>
                <w:rFonts w:hint="eastAsia" w:ascii="宋体" w:hAnsi="宋体" w:cs="Times New Roman"/>
                <w:color w:val="auto"/>
                <w:szCs w:val="21"/>
                <w:highlight w:val="none"/>
              </w:rPr>
            </w:pPr>
            <w:r>
              <w:rPr>
                <w:rFonts w:hint="eastAsia" w:ascii="宋体" w:hAnsi="宋体" w:cs="Times New Roman"/>
                <w:color w:val="auto"/>
                <w:szCs w:val="21"/>
                <w:highlight w:val="none"/>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pStyle w:val="46"/>
              <w:numPr>
                <w:ilvl w:val="0"/>
                <w:numId w:val="0"/>
              </w:numPr>
              <w:spacing w:line="360" w:lineRule="auto"/>
              <w:ind w:leftChars="0"/>
              <w:rPr>
                <w:rFonts w:hint="eastAsia" w:ascii="宋体" w:hAnsi="宋体" w:cs="Times New Roman"/>
                <w:color w:val="auto"/>
                <w:szCs w:val="21"/>
                <w:highlight w:val="none"/>
              </w:rPr>
            </w:pPr>
            <w:r>
              <w:rPr>
                <w:rFonts w:hint="eastAsia" w:ascii="宋体" w:hAnsi="宋体" w:cs="Times New Roman"/>
                <w:color w:val="auto"/>
                <w:szCs w:val="21"/>
                <w:highlight w:val="none"/>
              </w:rPr>
              <w:t>（4）如无投标人提出异议，招标代理机构通过“文字互动”对话框通知各投标人进行电子签章。投标人应在《开标记录表》上进行电子签章，未进行电子签章的视为对开标结果无异议。</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Times New Roman"/>
                <w:color w:val="auto"/>
                <w:szCs w:val="21"/>
                <w:highlight w:val="none"/>
              </w:rPr>
              <w:t>（5）招标人（代理机构）签章并上传《开标记录表》，不见面开标活动结束。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评标委员会的组建</w:t>
            </w:r>
          </w:p>
        </w:tc>
        <w:tc>
          <w:tcPr>
            <w:tcW w:w="558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评标委员会构成：共5人，由招标人代表和经济、技术类专家组成，其中招标人代表1人，经济、技术类专家4人。</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评标专家确定方式：在开标前从河南省综合评标专家库中随机抽取，评标委员会主任通过现场随机抽取方式确定。与投标人有利害关系的人不得进入评标委员会。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是否授权评标委员会确定中标人</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履约担保</w:t>
            </w:r>
          </w:p>
        </w:tc>
        <w:tc>
          <w:tcPr>
            <w:tcW w:w="5586"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缴纳形式：基本户转账或履约保函的形式。</w:t>
            </w:r>
          </w:p>
          <w:p>
            <w:pPr>
              <w:widowControl/>
              <w:adjustRightInd w:val="0"/>
              <w:snapToGri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履约担保金额：中标合同金额的5%（百元取整）</w:t>
            </w:r>
          </w:p>
          <w:p>
            <w:pPr>
              <w:widowControl/>
              <w:adjustRightInd w:val="0"/>
              <w:snapToGri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投标人采用基本户转账方式缴纳履约担保的，在中标通知书领取后与</w:t>
            </w:r>
            <w:r>
              <w:rPr>
                <w:rFonts w:hint="eastAsia" w:ascii="宋体" w:hAnsi="宋体" w:cs="宋体"/>
                <w:color w:val="auto"/>
                <w:kern w:val="0"/>
                <w:szCs w:val="21"/>
                <w:highlight w:val="none"/>
                <w:lang w:eastAsia="zh-CN"/>
              </w:rPr>
              <w:t>招</w:t>
            </w:r>
            <w:r>
              <w:rPr>
                <w:rFonts w:hint="eastAsia" w:ascii="宋体" w:hAnsi="宋体" w:cs="宋体"/>
                <w:color w:val="auto"/>
                <w:kern w:val="0"/>
                <w:szCs w:val="21"/>
                <w:highlight w:val="none"/>
              </w:rPr>
              <w:t>标人签订合同前办理，应缴纳至以下账户（履约担保缴纳时需备注项目名称、编号、标段）：</w:t>
            </w:r>
          </w:p>
          <w:p>
            <w:pPr>
              <w:widowControl/>
              <w:adjustRightInd w:val="0"/>
              <w:snapToGri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开户行：中原银行鄢陵支行 </w:t>
            </w:r>
          </w:p>
          <w:p>
            <w:pPr>
              <w:widowControl/>
              <w:adjustRightInd w:val="0"/>
              <w:snapToGri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户  名：鄢陵县公共资源交易中心</w:t>
            </w:r>
          </w:p>
          <w:p>
            <w:pPr>
              <w:widowControl/>
              <w:adjustRightInd w:val="0"/>
              <w:snapToGri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账  号：411025010190014701</w:t>
            </w:r>
          </w:p>
          <w:p>
            <w:pPr>
              <w:widowControl/>
              <w:adjustRightInd w:val="0"/>
              <w:snapToGri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注意事项:</w:t>
            </w:r>
          </w:p>
          <w:p>
            <w:pPr>
              <w:widowControl/>
              <w:adjustRightInd w:val="0"/>
              <w:snapToGri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有下列情形之一的履约担保不予退还:</w:t>
            </w:r>
          </w:p>
          <w:p>
            <w:pPr>
              <w:widowControl/>
              <w:adjustRightInd w:val="0"/>
              <w:snapToGri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1、中标人向他人转让中标项目或将中标项目肢解后分别向他人转让；</w:t>
            </w:r>
          </w:p>
          <w:p>
            <w:pPr>
              <w:widowControl/>
              <w:adjustRightInd w:val="0"/>
              <w:snapToGrid w:val="0"/>
              <w:spacing w:line="360" w:lineRule="auto"/>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2、法律法规、规章规定的其它不予退还的情形。</w:t>
            </w:r>
          </w:p>
          <w:p>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Cs w:val="21"/>
                <w:highlight w:val="none"/>
              </w:rPr>
              <w:t>投标人采用联合体投标的，由联合体牵头人负责履约担保或者履约保函的缴纳或提交。投标人因账户开户银行、银行账号发生变化，不能按照来款途径原路返还履约担保的，投标人须提供原账户开户银行相关证明及新开账户开户许可证（鄢陵县公共资源交易管理中心三楼综合股，联系电话：0374—7608880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类似项目</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指2017年1月1日以来的类似</w:t>
            </w:r>
            <w:r>
              <w:rPr>
                <w:rFonts w:hint="eastAsia" w:asciiTheme="minorEastAsia" w:hAnsiTheme="minorEastAsia" w:cstheme="minorEastAsia"/>
                <w:color w:val="auto"/>
                <w:sz w:val="21"/>
                <w:szCs w:val="21"/>
                <w:highlight w:val="none"/>
                <w:lang w:eastAsia="zh-CN"/>
              </w:rPr>
              <w:t>新建或</w:t>
            </w:r>
            <w:r>
              <w:rPr>
                <w:rFonts w:hint="eastAsia" w:asciiTheme="minorEastAsia" w:hAnsiTheme="minorEastAsia" w:eastAsiaTheme="minorEastAsia" w:cstheme="minorEastAsia"/>
                <w:color w:val="auto"/>
                <w:sz w:val="21"/>
                <w:szCs w:val="21"/>
                <w:highlight w:val="none"/>
              </w:rPr>
              <w:t xml:space="preserve">改扩建工程设计项目。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w:t>
            </w:r>
          </w:p>
        </w:tc>
        <w:tc>
          <w:tcPr>
            <w:tcW w:w="765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招标控制价</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本项目设招标控制价：</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招标控制价：大写：</w:t>
            </w:r>
            <w:r>
              <w:rPr>
                <w:rFonts w:hint="eastAsia" w:asciiTheme="minorEastAsia" w:hAnsiTheme="minorEastAsia" w:cstheme="minorEastAsia"/>
                <w:b/>
                <w:bCs/>
                <w:color w:val="auto"/>
                <w:sz w:val="21"/>
                <w:szCs w:val="21"/>
                <w:highlight w:val="none"/>
                <w:lang w:val="en-US" w:eastAsia="zh-CN"/>
              </w:rPr>
              <w:t>伍拾伍万元整</w:t>
            </w:r>
            <w:r>
              <w:rPr>
                <w:rFonts w:hint="eastAsia" w:asciiTheme="minorEastAsia" w:hAnsiTheme="minorEastAsia" w:eastAsiaTheme="minorEastAsia" w:cstheme="minorEastAsia"/>
                <w:b/>
                <w:bCs/>
                <w:color w:val="auto"/>
                <w:sz w:val="21"/>
                <w:szCs w:val="21"/>
                <w:highlight w:val="none"/>
              </w:rPr>
              <w:t>；</w:t>
            </w:r>
          </w:p>
          <w:p>
            <w:pPr>
              <w:spacing w:line="360" w:lineRule="auto"/>
              <w:ind w:firstLine="1265" w:firstLineChars="6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小写：</w:t>
            </w:r>
            <w:r>
              <w:rPr>
                <w:rFonts w:hint="eastAsia" w:asciiTheme="minorEastAsia" w:hAnsiTheme="minorEastAsia" w:cstheme="minorEastAsia"/>
                <w:b/>
                <w:bCs/>
                <w:color w:val="auto"/>
                <w:sz w:val="21"/>
                <w:szCs w:val="21"/>
                <w:highlight w:val="none"/>
                <w:lang w:val="en-US" w:eastAsia="zh-CN"/>
              </w:rPr>
              <w:t>550000</w:t>
            </w:r>
            <w:r>
              <w:rPr>
                <w:rFonts w:hint="eastAsia" w:asciiTheme="minorEastAsia" w:hAnsiTheme="minorEastAsia" w:eastAsiaTheme="minorEastAsia" w:cstheme="minorEastAsia"/>
                <w:b/>
                <w:bCs/>
                <w:color w:val="auto"/>
                <w:sz w:val="21"/>
                <w:szCs w:val="21"/>
                <w:highlight w:val="none"/>
              </w:rPr>
              <w:t>元。</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cstheme="minorEastAsia"/>
                <w:color w:val="auto"/>
                <w:sz w:val="21"/>
                <w:szCs w:val="21"/>
                <w:highlight w:val="none"/>
                <w:lang w:val="en-US" w:eastAsia="zh-CN"/>
              </w:rPr>
              <w:t>3</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投标人代表出席开标会</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cstheme="minorEastAsia"/>
                <w:color w:val="auto"/>
                <w:sz w:val="21"/>
                <w:szCs w:val="21"/>
                <w:highlight w:val="none"/>
                <w:lang w:val="en-US" w:eastAsia="zh-CN"/>
              </w:rPr>
              <w:t>4</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中标公示</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Times New Roman"/>
                <w:bCs/>
                <w:color w:val="auto"/>
                <w:szCs w:val="21"/>
                <w:highlight w:val="none"/>
              </w:rPr>
              <w:t>1、在中标通知书发出前，招标人将中标候选人的情况在《全国公共资源交易平台(河南省▪许昌市)》、《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cstheme="minorEastAsia"/>
                <w:color w:val="auto"/>
                <w:sz w:val="21"/>
                <w:szCs w:val="21"/>
                <w:highlight w:val="none"/>
                <w:lang w:val="en-US" w:eastAsia="zh-CN"/>
              </w:rPr>
              <w:t>5</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知识产权</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cstheme="minorEastAsia"/>
                <w:color w:val="auto"/>
                <w:sz w:val="21"/>
                <w:szCs w:val="21"/>
                <w:highlight w:val="none"/>
                <w:lang w:val="en-US" w:eastAsia="zh-CN"/>
              </w:rPr>
              <w:t>6</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重新招标的其他情形</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cstheme="minorEastAsia"/>
                <w:color w:val="auto"/>
                <w:sz w:val="21"/>
                <w:szCs w:val="21"/>
                <w:highlight w:val="none"/>
                <w:lang w:val="en-US" w:eastAsia="zh-CN"/>
              </w:rPr>
              <w:t>7</w:t>
            </w:r>
          </w:p>
          <w:p>
            <w:pPr>
              <w:spacing w:line="360" w:lineRule="auto"/>
              <w:jc w:val="center"/>
              <w:rPr>
                <w:rFonts w:hint="eastAsia" w:asciiTheme="minorEastAsia" w:hAnsiTheme="minorEastAsia" w:eastAsiaTheme="minorEastAsia" w:cstheme="minorEastAsia"/>
                <w:color w:val="auto"/>
                <w:sz w:val="21"/>
                <w:szCs w:val="21"/>
                <w:highlight w:val="none"/>
              </w:rPr>
            </w:pP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同义词语</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构成招标文件组成部分的“通用合同条款”、“专用合同条款”、和“技术标准和要求”等章节中出现的措辞“发包人”和“承包人”，在招标投标阶段应当分别按“招标人”和“投标人”进行理解。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cstheme="minorEastAsia"/>
                <w:color w:val="auto"/>
                <w:sz w:val="21"/>
                <w:szCs w:val="21"/>
                <w:highlight w:val="none"/>
                <w:lang w:val="en-US" w:eastAsia="zh-CN"/>
              </w:rPr>
              <w:t>8</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  督</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cstheme="minorEastAsia"/>
                <w:color w:val="auto"/>
                <w:sz w:val="21"/>
                <w:szCs w:val="21"/>
                <w:highlight w:val="none"/>
                <w:lang w:val="en-US" w:eastAsia="zh-CN"/>
              </w:rPr>
              <w:t>.9</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解释权</w:t>
            </w:r>
          </w:p>
        </w:tc>
        <w:tc>
          <w:tcPr>
            <w:tcW w:w="5586"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构成本招标文件的各个组成文件应互为解释，互为说明；</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如有不明确或不一致，构成合同文件组成内容，以合同文件约定内容为准，且以专用合同条款约定的合同文件优先顺序解释；</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除招标文件中有特别规定外，仅适用于招标投标阶段的规定，按招标公告（投标邀请书）、投标人须知、评标办法、投标文件格式的先后顺序解释；</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同一组成文件中就同一事项的规定或约定不一致的，以编排顺序在后者为准；</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cstheme="minorEastAsia"/>
                <w:color w:val="auto"/>
                <w:sz w:val="21"/>
                <w:szCs w:val="21"/>
                <w:highlight w:val="none"/>
                <w:lang w:val="en-US" w:eastAsia="zh-CN"/>
              </w:rPr>
              <w:t>10</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的拒收</w:t>
            </w:r>
          </w:p>
        </w:tc>
        <w:tc>
          <w:tcPr>
            <w:tcW w:w="5586" w:type="dxa"/>
            <w:tcBorders>
              <w:top w:val="single" w:color="auto" w:sz="4" w:space="0"/>
              <w:left w:val="nil"/>
              <w:bottom w:val="single" w:color="auto" w:sz="4" w:space="0"/>
              <w:right w:val="single" w:color="auto" w:sz="4" w:space="0"/>
            </w:tcBorders>
            <w:vAlign w:val="center"/>
          </w:tcPr>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rPr>
              <w:t>1、未成功上传的投标文件；</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Times New Roman"/>
                <w:bCs/>
                <w:color w:val="auto"/>
                <w:szCs w:val="21"/>
                <w:highlight w:val="none"/>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10.1</w:t>
            </w:r>
            <w:r>
              <w:rPr>
                <w:rFonts w:hint="eastAsia" w:asciiTheme="minorEastAsia" w:hAnsiTheme="minorEastAsia" w:cstheme="minorEastAsia"/>
                <w:color w:val="auto"/>
                <w:sz w:val="21"/>
                <w:szCs w:val="21"/>
                <w:highlight w:val="none"/>
                <w:lang w:val="en-US" w:eastAsia="zh-CN"/>
              </w:rPr>
              <w:t>1</w:t>
            </w:r>
          </w:p>
        </w:tc>
        <w:tc>
          <w:tcPr>
            <w:tcW w:w="20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特别提示</w:t>
            </w:r>
          </w:p>
        </w:tc>
        <w:tc>
          <w:tcPr>
            <w:tcW w:w="5586" w:type="dxa"/>
            <w:tcBorders>
              <w:top w:val="single" w:color="auto" w:sz="4" w:space="0"/>
              <w:left w:val="nil"/>
              <w:bottom w:val="single" w:color="auto" w:sz="4" w:space="0"/>
              <w:right w:val="single" w:color="auto" w:sz="4" w:space="0"/>
            </w:tcBorders>
            <w:vAlign w:val="center"/>
          </w:tcPr>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、潜在投标人如对招标文件有异议，请在规定时间内在《全国公共资源交易平台（河南省·许昌市）》公共资源交易系统中提出，以其他方式递交的异议不予接受。</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rPr>
              <w:t>、投标人在投标截止时间前应随时关注《全国公共资源交易平台（河南省·许昌市）》公共资源交易系统发出的有关本项目的答疑、修改等相关内容。</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rPr>
              <w:t>、投标文件依据最终的招标文件进行编制。如果招标文件发生变更，投标人应以招标人最终发出的电子招标文件为准，编制投标文件，务请投标人随时关注项目变更信息。</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4</w:t>
            </w:r>
            <w:r>
              <w:rPr>
                <w:rFonts w:hint="eastAsia" w:ascii="宋体" w:hAnsi="宋体" w:cs="Times New Roman"/>
                <w:bCs/>
                <w:color w:val="auto"/>
                <w:szCs w:val="21"/>
                <w:highlight w:val="none"/>
              </w:rPr>
              <w:t>、招标人及其代理机构需留存项目电子档案时，可在质疑期满后使用CA锁从交易平台自行下载。</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5</w:t>
            </w:r>
            <w:r>
              <w:rPr>
                <w:rFonts w:hint="eastAsia" w:ascii="宋体" w:hAnsi="宋体" w:cs="Times New Roman"/>
                <w:bCs/>
                <w:color w:val="auto"/>
                <w:szCs w:val="21"/>
                <w:highlight w:val="none"/>
              </w:rPr>
              <w:t>、商务标投标文件制作注意事项：</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5</w:t>
            </w:r>
            <w:r>
              <w:rPr>
                <w:rFonts w:hint="eastAsia" w:ascii="宋体" w:hAnsi="宋体" w:cs="Times New Roman"/>
                <w:bCs/>
                <w:color w:val="auto"/>
                <w:szCs w:val="21"/>
                <w:highlight w:val="none"/>
              </w:rPr>
              <w:t>.1 投标人登录《全国公共资源交易平台（河南省·许昌市）》公共资源交易系统下载“许昌投标文件制作系统SEARUN V1.1” 和操作手册（工程项目），按招标文件要求制作商务标投标文件。</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5</w:t>
            </w:r>
            <w:r>
              <w:rPr>
                <w:rFonts w:hint="eastAsia" w:ascii="宋体" w:hAnsi="宋体" w:cs="Times New Roman"/>
                <w:bCs/>
                <w:color w:val="auto"/>
                <w:szCs w:val="21"/>
                <w:highlight w:val="none"/>
              </w:rPr>
              <w:t>.2 商务标投标文件制作技术咨询：0374-2961598。</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5</w:t>
            </w:r>
            <w:r>
              <w:rPr>
                <w:rFonts w:hint="eastAsia" w:ascii="宋体" w:hAnsi="宋体" w:cs="Times New Roman"/>
                <w:bCs/>
                <w:color w:val="auto"/>
                <w:szCs w:val="21"/>
                <w:highlight w:val="none"/>
              </w:rPr>
              <w:t>.3投标人应在投标文件递交的截止时间之前通过【全国公共资源交易平台（河南省·许昌市）】公共资源交易系统（http://ggzy.xuchang.gov.cn/）递交电子投标文件；</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5</w:t>
            </w:r>
            <w:r>
              <w:rPr>
                <w:rFonts w:hint="eastAsia" w:ascii="宋体" w:hAnsi="宋体" w:cs="Times New Roman"/>
                <w:bCs/>
                <w:color w:val="auto"/>
                <w:szCs w:val="21"/>
                <w:highlight w:val="none"/>
              </w:rPr>
              <w:t>.4请投标人在上传电子投标文件时认真检查上传投标文件是否完整、正确。</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5</w:t>
            </w:r>
            <w:r>
              <w:rPr>
                <w:rFonts w:hint="eastAsia" w:ascii="宋体" w:hAnsi="宋体" w:cs="Times New Roman"/>
                <w:bCs/>
                <w:color w:val="auto"/>
                <w:szCs w:val="21"/>
                <w:highlight w:val="none"/>
              </w:rPr>
              <w:t>.5加密电子投标文件逾期上传的，招标人不予受理。</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5</w:t>
            </w:r>
            <w:r>
              <w:rPr>
                <w:rFonts w:hint="eastAsia" w:ascii="宋体" w:hAnsi="宋体" w:cs="Times New Roman"/>
                <w:bCs/>
                <w:color w:val="auto"/>
                <w:szCs w:val="21"/>
                <w:highlight w:val="none"/>
              </w:rPr>
              <w:t>.6投标人采用银行转账方式提交投标保证金的，应在投标文件递交的截止时间之前按程序完成投标保证金绑定。</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6</w:t>
            </w:r>
            <w:r>
              <w:rPr>
                <w:rFonts w:hint="eastAsia" w:ascii="宋体" w:hAnsi="宋体" w:cs="Times New Roman"/>
                <w:bCs/>
                <w:color w:val="auto"/>
                <w:szCs w:val="21"/>
                <w:highlight w:val="none"/>
              </w:rPr>
              <w:t>、投标人需提前熟悉招标文件相关事项及《许昌市不见面开标操作手册》，并设置不见面开标浏览器（设置流程详见《许昌市不见面开标操作手册》）。</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7</w:t>
            </w:r>
            <w:r>
              <w:rPr>
                <w:rFonts w:hint="eastAsia" w:ascii="宋体" w:hAnsi="宋体" w:cs="Times New Roman"/>
                <w:bCs/>
                <w:color w:val="auto"/>
                <w:szCs w:val="21"/>
                <w:highlight w:val="none"/>
              </w:rPr>
              <w:t>、投标人上传、解密投标文件需使用同一个CA数字证书，需确保用于解密的CA数字证书在有效期内、可正常使用，并在规定时间内完成电子投标文件解密。评标时仅以成功上传、解密的投标文件为准。</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8</w:t>
            </w:r>
            <w:r>
              <w:rPr>
                <w:rFonts w:hint="eastAsia" w:ascii="宋体" w:hAnsi="宋体" w:cs="Times New Roman"/>
                <w:bCs/>
                <w:color w:val="auto"/>
                <w:szCs w:val="21"/>
                <w:highlight w:val="none"/>
              </w:rPr>
              <w:t>、对开标过程有关内容有异议（质疑）的，投标人可在本项目的不见面开标大厅通过“文字互动”功能或“新增质疑”处提出异议（质疑），招标人（代理机构）及时进行线上答复。</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rPr>
              <w:t>不见面开标活动结束时，投标人应在《开标记录表》上进行电子签章，未进行电子签章的视为对开标结果无异议。</w:t>
            </w:r>
          </w:p>
          <w:p>
            <w:pPr>
              <w:pStyle w:val="46"/>
              <w:spacing w:line="360" w:lineRule="auto"/>
              <w:ind w:firstLine="0" w:firstLineChars="0"/>
              <w:rPr>
                <w:rFonts w:hint="eastAsia" w:ascii="宋体" w:hAnsi="宋体" w:cs="Times New Roman"/>
                <w:bCs/>
                <w:color w:val="auto"/>
                <w:szCs w:val="21"/>
                <w:highlight w:val="none"/>
              </w:rPr>
            </w:pPr>
            <w:r>
              <w:rPr>
                <w:rFonts w:hint="eastAsia" w:ascii="宋体" w:hAnsi="宋体" w:cs="Times New Roman"/>
                <w:bCs/>
                <w:color w:val="auto"/>
                <w:szCs w:val="21"/>
                <w:highlight w:val="none"/>
                <w:lang w:val="en-US" w:eastAsia="zh-CN"/>
              </w:rPr>
              <w:t>9</w:t>
            </w:r>
            <w:r>
              <w:rPr>
                <w:rFonts w:hint="eastAsia" w:ascii="宋体" w:hAnsi="宋体" w:cs="Times New Roman"/>
                <w:bCs/>
                <w:color w:val="auto"/>
                <w:szCs w:val="21"/>
                <w:highlight w:val="none"/>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Times New Roman"/>
                <w:b/>
                <w:bCs w:val="0"/>
                <w:color w:val="auto"/>
                <w:szCs w:val="21"/>
                <w:highlight w:val="none"/>
              </w:rPr>
              <w:t>1</w:t>
            </w:r>
            <w:r>
              <w:rPr>
                <w:rFonts w:hint="eastAsia" w:ascii="宋体" w:hAnsi="宋体" w:cs="Times New Roman"/>
                <w:b/>
                <w:bCs w:val="0"/>
                <w:color w:val="auto"/>
                <w:szCs w:val="21"/>
                <w:highlight w:val="none"/>
                <w:lang w:val="en-US" w:eastAsia="zh-CN"/>
              </w:rPr>
              <w:t>0</w:t>
            </w:r>
            <w:r>
              <w:rPr>
                <w:rFonts w:hint="eastAsia" w:ascii="宋体" w:hAnsi="宋体" w:cs="Times New Roman"/>
                <w:b/>
                <w:bCs w:val="0"/>
                <w:color w:val="auto"/>
                <w:szCs w:val="21"/>
                <w:highlight w:val="none"/>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bidi w:val="0"/>
        <w:spacing w:line="360" w:lineRule="auto"/>
        <w:rPr>
          <w:rFonts w:hint="eastAsia" w:asciiTheme="minorEastAsia" w:hAnsiTheme="minorEastAsia" w:eastAsiaTheme="minorEastAsia" w:cstheme="minorEastAsia"/>
          <w:b/>
          <w:bCs/>
          <w:color w:val="auto"/>
          <w:sz w:val="21"/>
          <w:szCs w:val="21"/>
          <w:highlight w:val="none"/>
        </w:rPr>
      </w:pPr>
      <w:bookmarkStart w:id="9" w:name="_Toc215282127"/>
      <w:bookmarkEnd w:id="9"/>
      <w:bookmarkStart w:id="10" w:name="_Toc215282133"/>
      <w:r>
        <w:rPr>
          <w:rFonts w:hint="eastAsia" w:asciiTheme="minorEastAsia" w:hAnsiTheme="minorEastAsia" w:eastAsiaTheme="minorEastAsia" w:cstheme="minorEastAsia"/>
          <w:b/>
          <w:bCs/>
          <w:color w:val="auto"/>
          <w:highlight w:val="none"/>
        </w:rPr>
        <w:br w:type="page"/>
      </w:r>
      <w:bookmarkEnd w:id="10"/>
      <w:bookmarkStart w:id="11" w:name="_Toc6823"/>
      <w:bookmarkEnd w:id="11"/>
      <w:bookmarkStart w:id="12" w:name="_Toc11686"/>
      <w:r>
        <w:rPr>
          <w:rFonts w:hint="eastAsia" w:asciiTheme="minorEastAsia" w:hAnsiTheme="minorEastAsia" w:eastAsiaTheme="minorEastAsia" w:cstheme="minorEastAsia"/>
          <w:b/>
          <w:bCs/>
          <w:color w:val="auto"/>
          <w:sz w:val="21"/>
          <w:szCs w:val="21"/>
          <w:highlight w:val="none"/>
        </w:rPr>
        <w:t>1. 总则</w:t>
      </w:r>
      <w:bookmarkEnd w:id="12"/>
      <w:bookmarkStart w:id="13" w:name="_Toc152042306"/>
      <w:bookmarkEnd w:id="13"/>
      <w:bookmarkStart w:id="14" w:name="_Toc152045530"/>
      <w:bookmarkEnd w:id="14"/>
      <w:bookmarkStart w:id="15" w:name="_Toc179632547"/>
      <w:bookmarkEnd w:id="15"/>
      <w:bookmarkStart w:id="16" w:name="_Toc144974498"/>
      <w:bookmarkEnd w:id="16"/>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 项目概况</w:t>
      </w:r>
      <w:r>
        <w:rPr>
          <w:rFonts w:hint="eastAsia" w:asciiTheme="minorEastAsia" w:hAnsiTheme="minorEastAsia" w:eastAsiaTheme="minorEastAsia" w:cstheme="minorEastAsia"/>
          <w:color w:val="auto"/>
          <w:sz w:val="21"/>
          <w:szCs w:val="21"/>
          <w:highlight w:val="none"/>
        </w:rPr>
        <w:tab/>
      </w:r>
    </w:p>
    <w:p>
      <w:pPr>
        <w:pStyle w:val="37"/>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1.1.1根据《中华人民共和国招标投标法》等有关法律、法规和规章的规定，本招标项目已具备招标条件，现对该设计项目进行公开招标。</w:t>
      </w:r>
    </w:p>
    <w:p>
      <w:pPr>
        <w:pStyle w:val="37"/>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 本招标项目招标人：见投标人须知前附表。</w:t>
      </w:r>
    </w:p>
    <w:p>
      <w:pPr>
        <w:pStyle w:val="37"/>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 本招标项目建设地点：见投标人须知前附表。</w:t>
      </w:r>
    </w:p>
    <w:p>
      <w:pPr>
        <w:spacing w:line="360" w:lineRule="auto"/>
        <w:rPr>
          <w:rFonts w:hint="eastAsia" w:asciiTheme="minorEastAsia" w:hAnsiTheme="minorEastAsia" w:eastAsiaTheme="minorEastAsia" w:cstheme="minorEastAsia"/>
          <w:color w:val="auto"/>
          <w:sz w:val="21"/>
          <w:szCs w:val="21"/>
          <w:highlight w:val="none"/>
        </w:rPr>
      </w:pPr>
      <w:bookmarkStart w:id="17" w:name="_Toc152045531"/>
      <w:bookmarkEnd w:id="17"/>
      <w:bookmarkStart w:id="18" w:name="_Toc144974499"/>
      <w:bookmarkEnd w:id="18"/>
      <w:bookmarkStart w:id="19" w:name="_Toc179632548"/>
      <w:bookmarkEnd w:id="19"/>
      <w:bookmarkStart w:id="20" w:name="_Toc152042307"/>
      <w:r>
        <w:rPr>
          <w:rFonts w:hint="eastAsia" w:asciiTheme="minorEastAsia" w:hAnsiTheme="minorEastAsia" w:eastAsiaTheme="minorEastAsia" w:cstheme="minorEastAsia"/>
          <w:color w:val="auto"/>
          <w:sz w:val="21"/>
          <w:szCs w:val="21"/>
          <w:highlight w:val="none"/>
        </w:rPr>
        <w:t>1.2 资金来源和落实情况</w:t>
      </w:r>
      <w:bookmarkEnd w:id="20"/>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 本招标项目的资金来源情况：见投标人须知前附表。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1.2.2本招标项目的资金落实情况：见投标人须知前附表。</w:t>
      </w:r>
    </w:p>
    <w:p>
      <w:pPr>
        <w:spacing w:line="360" w:lineRule="auto"/>
        <w:rPr>
          <w:rFonts w:hint="eastAsia" w:asciiTheme="minorEastAsia" w:hAnsiTheme="minorEastAsia" w:eastAsiaTheme="minorEastAsia" w:cstheme="minorEastAsia"/>
          <w:color w:val="auto"/>
          <w:sz w:val="21"/>
          <w:szCs w:val="21"/>
          <w:highlight w:val="none"/>
        </w:rPr>
      </w:pPr>
      <w:bookmarkStart w:id="21" w:name="_Toc179632549"/>
      <w:bookmarkEnd w:id="21"/>
      <w:bookmarkStart w:id="22" w:name="_Toc144974500"/>
      <w:bookmarkEnd w:id="22"/>
      <w:bookmarkStart w:id="23" w:name="_Toc152042308"/>
      <w:bookmarkEnd w:id="23"/>
      <w:bookmarkStart w:id="24" w:name="_Toc152045532"/>
      <w:r>
        <w:rPr>
          <w:rFonts w:hint="eastAsia" w:asciiTheme="minorEastAsia" w:hAnsiTheme="minorEastAsia" w:eastAsiaTheme="minorEastAsia" w:cstheme="minorEastAsia"/>
          <w:color w:val="auto"/>
          <w:sz w:val="21"/>
          <w:szCs w:val="21"/>
          <w:highlight w:val="none"/>
        </w:rPr>
        <w:t>1.3 标段划分、招标范围、设计周期及设计要求</w:t>
      </w:r>
      <w:bookmarkEnd w:id="24"/>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 标段划分：见投标人须知前附表。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 本招标项目的招标范围：见投标人须知前附表。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1.3.3 本招标项目的设计周期要求：见投标人须知前附表。</w:t>
      </w:r>
    </w:p>
    <w:p>
      <w:pPr>
        <w:spacing w:line="360" w:lineRule="auto"/>
        <w:ind w:firstLine="420" w:firstLineChars="200"/>
        <w:rPr>
          <w:rFonts w:hint="eastAsia"/>
          <w:color w:val="auto"/>
          <w:highlight w:val="none"/>
        </w:rPr>
      </w:pPr>
      <w:r>
        <w:rPr>
          <w:rFonts w:hint="eastAsia" w:asciiTheme="minorEastAsia" w:hAnsiTheme="minorEastAsia" w:eastAsiaTheme="minorEastAsia" w:cstheme="minorEastAsia"/>
          <w:color w:val="auto"/>
          <w:sz w:val="21"/>
          <w:szCs w:val="21"/>
          <w:highlight w:val="none"/>
        </w:rPr>
        <w:t>1.3.4设计要求：见投标人须知前附表。</w:t>
      </w:r>
    </w:p>
    <w:p>
      <w:pPr>
        <w:spacing w:line="360" w:lineRule="auto"/>
        <w:rPr>
          <w:rFonts w:hint="eastAsia" w:asciiTheme="minorEastAsia" w:hAnsiTheme="minorEastAsia" w:eastAsiaTheme="minorEastAsia" w:cstheme="minorEastAsia"/>
          <w:color w:val="auto"/>
          <w:sz w:val="21"/>
          <w:szCs w:val="21"/>
          <w:highlight w:val="none"/>
        </w:rPr>
      </w:pPr>
      <w:bookmarkStart w:id="25" w:name="_Toc179632550"/>
      <w:bookmarkEnd w:id="25"/>
      <w:bookmarkStart w:id="26" w:name="_Toc144974501"/>
      <w:bookmarkEnd w:id="26"/>
      <w:bookmarkStart w:id="27" w:name="_Toc152045533"/>
      <w:bookmarkEnd w:id="27"/>
      <w:bookmarkStart w:id="28" w:name="_Toc152042309"/>
      <w:r>
        <w:rPr>
          <w:rFonts w:hint="eastAsia" w:asciiTheme="minorEastAsia" w:hAnsiTheme="minorEastAsia" w:eastAsiaTheme="minorEastAsia" w:cstheme="minorEastAsia"/>
          <w:color w:val="auto"/>
          <w:sz w:val="21"/>
          <w:szCs w:val="21"/>
          <w:highlight w:val="none"/>
        </w:rPr>
        <w:t>1.4 投标人及项目负责人资格要求</w:t>
      </w:r>
      <w:bookmarkEnd w:id="28"/>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1.4.1投标人资质条件：见投标人须知前附表。</w:t>
      </w:r>
      <w:bookmarkStart w:id="29" w:name="_Toc152045534"/>
      <w:bookmarkEnd w:id="29"/>
      <w:bookmarkStart w:id="30" w:name="_Toc152042310"/>
      <w:bookmarkEnd w:id="30"/>
      <w:bookmarkStart w:id="31" w:name="_Toc270513360"/>
      <w:bookmarkEnd w:id="31"/>
      <w:bookmarkStart w:id="32" w:name="_Toc144974502"/>
      <w:bookmarkEnd w:id="32"/>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投标人不得存在下列情形之一：</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（1）为招标人不具有独立法人资格的附属机构（单位）；</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（2）与招标人存在利害关系且可能影响招标公正性；</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（3）与本招标项目的其他投标人为同一个单位负责人；</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（4）与本招标项目的其他投标人存在控股、管理关系；</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（5）为本招标项目的代建人；</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（6）为本招标项目的招标代理机构；</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（7）与本招标项目的代建人或招标代理机构同为一个法定代表人；</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（8）与本招标项目的代建人或招标代理机构存在控股或参股关系；</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（9）被依法暂停或者取消投标资格；</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（10）被责令停产停业、暂扣或者吊销许可证、暂扣或者吊销执照；</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（11）进入清算程序，或被宣告破产，或其他丧失履约能力的情形；</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（12）在最近三年内发生重大设计质量问题（以相关行业主管部门的行政处罚决定或司法 机关出具的有关法律文书为准）；</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（13）被工商行政管理机关在全国企业信用信息公示系统中列入严重违法失信企业名单；</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（14）被最高人民法院在“信用中国”网站（</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"http://www.creditchina.gov.cn/"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www.creditchina.gov.cn</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）或各级信用信息共享平台中列入失信被执行人名单；</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（15）法律法规或投标人须知前附表规定的其他情形。</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1.5 费用承担</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投标人准备和参加投标活动发生的费用自理。</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1"/>
          <w:szCs w:val="21"/>
          <w:highlight w:val="none"/>
        </w:rPr>
      </w:pPr>
      <w:bookmarkStart w:id="33" w:name="_Toc215282134"/>
      <w:bookmarkEnd w:id="33"/>
      <w:r>
        <w:rPr>
          <w:rFonts w:hint="eastAsia" w:asciiTheme="minorEastAsia" w:hAnsiTheme="minorEastAsia" w:eastAsiaTheme="minorEastAsia" w:cstheme="minorEastAsia"/>
          <w:b/>
          <w:bCs/>
          <w:color w:val="auto"/>
          <w:sz w:val="21"/>
          <w:szCs w:val="21"/>
          <w:highlight w:val="none"/>
        </w:rPr>
        <w:t>1.6 保密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参与招标投标活动的各方应对招标文件和投标文件中的商业和技术等秘密保密，违者应对由此造成的后果承担法律责任。</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1"/>
          <w:szCs w:val="21"/>
          <w:highlight w:val="none"/>
        </w:rPr>
      </w:pPr>
      <w:bookmarkStart w:id="34" w:name="_Toc215282135"/>
      <w:bookmarkEnd w:id="34"/>
      <w:r>
        <w:rPr>
          <w:rFonts w:hint="eastAsia" w:asciiTheme="minorEastAsia" w:hAnsiTheme="minorEastAsia" w:eastAsiaTheme="minorEastAsia" w:cstheme="minorEastAsia"/>
          <w:b/>
          <w:bCs/>
          <w:color w:val="auto"/>
          <w:sz w:val="21"/>
          <w:szCs w:val="21"/>
          <w:highlight w:val="none"/>
        </w:rPr>
        <w:t>1.7 语言文字</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除专用术语外，与招标投标有关的语言均使用中文。必要时专用术语应附有中文注释。</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1"/>
          <w:szCs w:val="21"/>
          <w:highlight w:val="none"/>
        </w:rPr>
      </w:pPr>
      <w:bookmarkStart w:id="35" w:name="_Toc215282136"/>
      <w:bookmarkEnd w:id="35"/>
      <w:r>
        <w:rPr>
          <w:rFonts w:hint="eastAsia" w:asciiTheme="minorEastAsia" w:hAnsiTheme="minorEastAsia" w:eastAsiaTheme="minorEastAsia" w:cstheme="minorEastAsia"/>
          <w:b/>
          <w:bCs/>
          <w:color w:val="auto"/>
          <w:sz w:val="21"/>
          <w:szCs w:val="21"/>
          <w:highlight w:val="none"/>
        </w:rPr>
        <w:t>1.8 计量单位</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所有计量均采用中华人民共和国法定计量单位。</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1"/>
          <w:szCs w:val="21"/>
          <w:highlight w:val="none"/>
        </w:rPr>
      </w:pPr>
      <w:bookmarkStart w:id="36" w:name="_Toc215282137"/>
      <w:bookmarkEnd w:id="36"/>
      <w:r>
        <w:rPr>
          <w:rFonts w:hint="eastAsia" w:asciiTheme="minorEastAsia" w:hAnsiTheme="minorEastAsia" w:eastAsiaTheme="minorEastAsia" w:cstheme="minorEastAsia"/>
          <w:b/>
          <w:bCs/>
          <w:color w:val="auto"/>
          <w:sz w:val="21"/>
          <w:szCs w:val="21"/>
          <w:highlight w:val="none"/>
        </w:rPr>
        <w:t>1.9 踏勘现场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1.9.1招标人不组织踏勘现场，投标人可自行踏勘现场。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 投标人踏勘现场发生的费用自理。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1.9.3 除招标人的原因外，投标人自行负责在踏勘现场中所发生的人员伤亡和财产损失。</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1"/>
          <w:szCs w:val="21"/>
          <w:highlight w:val="none"/>
        </w:rPr>
      </w:pPr>
      <w:bookmarkStart w:id="37" w:name="_Toc215282138"/>
      <w:bookmarkEnd w:id="37"/>
      <w:r>
        <w:rPr>
          <w:rFonts w:hint="eastAsia" w:asciiTheme="minorEastAsia" w:hAnsiTheme="minorEastAsia" w:eastAsiaTheme="minorEastAsia" w:cstheme="minorEastAsia"/>
          <w:b/>
          <w:bCs/>
          <w:color w:val="auto"/>
          <w:sz w:val="21"/>
          <w:szCs w:val="21"/>
          <w:highlight w:val="none"/>
        </w:rPr>
        <w:t>1.10 投标预备会（无）</w:t>
      </w:r>
      <w:bookmarkStart w:id="38" w:name="_Toc215282139"/>
      <w:bookmarkEnd w:id="38"/>
    </w:p>
    <w:p>
      <w:pPr>
        <w:autoSpaceDE w:val="0"/>
        <w:autoSpaceDN w:val="0"/>
        <w:adjustRightInd w:val="0"/>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1.11 分包</w:t>
      </w:r>
      <w:bookmarkStart w:id="39" w:name="_Toc215282140"/>
      <w:bookmarkEnd w:id="39"/>
      <w:r>
        <w:rPr>
          <w:rFonts w:hint="eastAsia" w:asciiTheme="minorEastAsia" w:hAnsiTheme="minorEastAsia" w:eastAsiaTheme="minorEastAsia" w:cstheme="minorEastAsia"/>
          <w:b/>
          <w:bCs/>
          <w:color w:val="auto"/>
          <w:sz w:val="21"/>
          <w:szCs w:val="21"/>
          <w:highlight w:val="none"/>
        </w:rPr>
        <w:t>（不允许）</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1.12 偏离（不允许）</w:t>
      </w:r>
      <w:bookmarkStart w:id="40" w:name="_Toc215282141"/>
      <w:bookmarkEnd w:id="40"/>
    </w:p>
    <w:p>
      <w:pPr>
        <w:autoSpaceDE w:val="0"/>
        <w:autoSpaceDN w:val="0"/>
        <w:adjustRightInd w:val="0"/>
        <w:spacing w:line="360" w:lineRule="auto"/>
        <w:jc w:val="left"/>
        <w:rPr>
          <w:rFonts w:hint="eastAsia" w:asciiTheme="minorEastAsia" w:hAnsiTheme="minorEastAsia" w:eastAsiaTheme="minorEastAsia" w:cstheme="minorEastAsia"/>
          <w:b/>
          <w:bCs/>
          <w:color w:val="auto"/>
          <w:kern w:val="0"/>
          <w:sz w:val="21"/>
          <w:szCs w:val="21"/>
          <w:highlight w:val="none"/>
        </w:rPr>
      </w:pPr>
      <w:bookmarkStart w:id="41" w:name="_Toc28279"/>
      <w:bookmarkEnd w:id="41"/>
      <w:r>
        <w:rPr>
          <w:rFonts w:hint="eastAsia" w:asciiTheme="minorEastAsia" w:hAnsiTheme="minorEastAsia" w:eastAsiaTheme="minorEastAsia" w:cstheme="minorEastAsia"/>
          <w:b/>
          <w:bCs/>
          <w:color w:val="auto"/>
          <w:kern w:val="0"/>
          <w:sz w:val="21"/>
          <w:szCs w:val="21"/>
          <w:highlight w:val="none"/>
        </w:rPr>
        <w:t>2. 招标文件</w:t>
      </w:r>
    </w:p>
    <w:p>
      <w:pPr>
        <w:spacing w:line="360" w:lineRule="auto"/>
        <w:rPr>
          <w:rFonts w:hint="eastAsia" w:asciiTheme="minorEastAsia" w:hAnsiTheme="minorEastAsia" w:eastAsiaTheme="minorEastAsia" w:cstheme="minorEastAsia"/>
          <w:color w:val="auto"/>
          <w:sz w:val="21"/>
          <w:szCs w:val="21"/>
          <w:highlight w:val="none"/>
        </w:rPr>
      </w:pPr>
      <w:bookmarkStart w:id="42" w:name="_Toc215282142"/>
      <w:bookmarkEnd w:id="42"/>
      <w:r>
        <w:rPr>
          <w:rFonts w:hint="eastAsia" w:asciiTheme="minorEastAsia" w:hAnsiTheme="minorEastAsia" w:eastAsiaTheme="minorEastAsia" w:cstheme="minorEastAsia"/>
          <w:color w:val="auto"/>
          <w:sz w:val="21"/>
          <w:szCs w:val="21"/>
          <w:highlight w:val="none"/>
        </w:rPr>
        <w:t>2.1 招标文件的组成</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本招标文件包括：</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（1）招标公告；</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（2）投标人须知；</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（3）评标办法；</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（4）合同条款及格式；</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（5）设计标准和技术要求；</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（6）投标文件格式；</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根据本章第2.2款和第2.3款对招标文件所作的澄清、修改，构成招标文件的组成部分。</w:t>
      </w:r>
    </w:p>
    <w:p>
      <w:pPr>
        <w:spacing w:line="360" w:lineRule="auto"/>
        <w:rPr>
          <w:rFonts w:hint="eastAsia" w:asciiTheme="minorEastAsia" w:hAnsiTheme="minorEastAsia" w:eastAsiaTheme="minorEastAsia" w:cstheme="minorEastAsia"/>
          <w:color w:val="auto"/>
          <w:sz w:val="21"/>
          <w:szCs w:val="21"/>
          <w:highlight w:val="none"/>
        </w:rPr>
      </w:pPr>
      <w:bookmarkStart w:id="43" w:name="_Toc215282143"/>
      <w:bookmarkEnd w:id="43"/>
      <w:r>
        <w:rPr>
          <w:rFonts w:hint="eastAsia" w:asciiTheme="minorEastAsia" w:hAnsiTheme="minorEastAsia" w:eastAsiaTheme="minorEastAsia" w:cstheme="minorEastAsia"/>
          <w:color w:val="auto"/>
          <w:sz w:val="21"/>
          <w:szCs w:val="21"/>
          <w:highlight w:val="none"/>
        </w:rPr>
        <w:t>2.2 招标文件的澄清</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 所有澄清、答疑全部以【全国公共资源交易平台（河南省·许昌市）】公共资源交易系统发出的为准，不再接受书面形式的递交。</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招标文件的修改</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44" w:name="_Toc152045546"/>
      <w:bookmarkEnd w:id="44"/>
      <w:bookmarkStart w:id="45" w:name="_Toc152042322"/>
      <w:bookmarkEnd w:id="45"/>
      <w:bookmarkStart w:id="46" w:name="_Toc144974514"/>
      <w:bookmarkEnd w:id="46"/>
      <w:bookmarkStart w:id="47" w:name="_Toc215282145"/>
      <w:bookmarkEnd w:id="47"/>
      <w:bookmarkStart w:id="48" w:name="_Toc179632564"/>
      <w:bookmarkEnd w:id="48"/>
      <w:bookmarkStart w:id="49" w:name="_Toc500965674"/>
      <w:r>
        <w:rPr>
          <w:rFonts w:hint="eastAsia" w:asciiTheme="minorEastAsia" w:hAnsiTheme="minorEastAsia" w:eastAsiaTheme="minorEastAsia" w:cstheme="minorEastAsia"/>
          <w:color w:val="auto"/>
          <w:sz w:val="21"/>
          <w:szCs w:val="21"/>
          <w:highlight w:val="none"/>
          <w:lang w:val="en-US" w:eastAsia="zh-CN"/>
        </w:rPr>
        <w:t>2.3.1</w:t>
      </w:r>
      <w:r>
        <w:rPr>
          <w:rFonts w:hint="eastAsia" w:asciiTheme="minorEastAsia" w:hAnsiTheme="minorEastAsia" w:eastAsiaTheme="minorEastAsia" w:cstheme="minorEastAsia"/>
          <w:color w:val="auto"/>
          <w:sz w:val="21"/>
          <w:szCs w:val="21"/>
          <w:highlight w:val="none"/>
        </w:rPr>
        <w:t>在投标截止时间15天前，招标人可以通过公共资源交易系统电子平台修改招标</w:t>
      </w:r>
    </w:p>
    <w:p>
      <w:pPr>
        <w:autoSpaceDE w:val="0"/>
        <w:autoSpaceDN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文件，如果修改招标文件的时间距投标截止时间不足15天，相应延长投标截止时间。</w:t>
      </w:r>
    </w:p>
    <w:p>
      <w:pPr>
        <w:autoSpaceDE w:val="0"/>
        <w:autoSpaceDN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2.3.2</w:t>
      </w:r>
      <w:r>
        <w:rPr>
          <w:rFonts w:hint="eastAsia" w:asciiTheme="minorEastAsia" w:hAnsiTheme="minorEastAsia" w:eastAsiaTheme="minorEastAsia" w:cstheme="minorEastAsia"/>
          <w:color w:val="auto"/>
          <w:sz w:val="21"/>
          <w:szCs w:val="21"/>
          <w:highlight w:val="none"/>
        </w:rPr>
        <w:t>当招标文件、补充通知、答疑纪要，内容相互矛盾时，以最后发出的通知或纪要</w:t>
      </w:r>
    </w:p>
    <w:p>
      <w:pPr>
        <w:autoSpaceDE w:val="0"/>
        <w:autoSpaceDN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为准。</w:t>
      </w:r>
      <w:bookmarkEnd w:id="49"/>
    </w:p>
    <w:p>
      <w:pPr>
        <w:autoSpaceDE w:val="0"/>
        <w:autoSpaceDN w:val="0"/>
        <w:adjustRightInd w:val="0"/>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3. 投标文件</w:t>
      </w:r>
    </w:p>
    <w:p>
      <w:pPr>
        <w:spacing w:line="360" w:lineRule="auto"/>
        <w:rPr>
          <w:rFonts w:hint="eastAsia" w:asciiTheme="minorEastAsia" w:hAnsiTheme="minorEastAsia" w:eastAsiaTheme="minorEastAsia" w:cstheme="minorEastAsia"/>
          <w:color w:val="auto"/>
          <w:sz w:val="21"/>
          <w:szCs w:val="21"/>
          <w:highlight w:val="none"/>
        </w:rPr>
      </w:pPr>
      <w:bookmarkStart w:id="50" w:name="_Toc215282146"/>
      <w:bookmarkEnd w:id="50"/>
      <w:r>
        <w:rPr>
          <w:rFonts w:hint="eastAsia" w:asciiTheme="minorEastAsia" w:hAnsiTheme="minorEastAsia" w:eastAsiaTheme="minorEastAsia" w:cstheme="minorEastAsia"/>
          <w:color w:val="auto"/>
          <w:sz w:val="21"/>
          <w:szCs w:val="21"/>
          <w:highlight w:val="none"/>
        </w:rPr>
        <w:t>3.1 投标文件的组成</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1" w:name="_Toc215282147"/>
      <w:bookmarkEnd w:id="51"/>
      <w:r>
        <w:rPr>
          <w:rFonts w:hint="eastAsia" w:asciiTheme="minorEastAsia" w:hAnsiTheme="minorEastAsia" w:eastAsiaTheme="minorEastAsia" w:cstheme="minorEastAsia"/>
          <w:color w:val="auto"/>
          <w:sz w:val="21"/>
          <w:szCs w:val="21"/>
          <w:highlight w:val="none"/>
        </w:rPr>
        <w:t>投标文件包括但不限于以下内容：</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投标文件应包括下列内容：</w:t>
      </w:r>
    </w:p>
    <w:p>
      <w:pPr>
        <w:numPr>
          <w:ilvl w:val="0"/>
          <w:numId w:val="1"/>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投标函及投标函附录</w:t>
      </w:r>
    </w:p>
    <w:p>
      <w:pPr>
        <w:numPr>
          <w:ilvl w:val="0"/>
          <w:numId w:val="1"/>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法定代表人身份证明或附有法定代表人身份证明的授权委托书；</w:t>
      </w:r>
    </w:p>
    <w:p>
      <w:pPr>
        <w:numPr>
          <w:ilvl w:val="0"/>
          <w:numId w:val="1"/>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p>
    <w:p>
      <w:pPr>
        <w:numPr>
          <w:ilvl w:val="0"/>
          <w:numId w:val="1"/>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资格审查资料：</w:t>
      </w:r>
    </w:p>
    <w:p>
      <w:pPr>
        <w:numPr>
          <w:ilvl w:val="0"/>
          <w:numId w:val="2"/>
        </w:numPr>
        <w:spacing w:line="360" w:lineRule="auto"/>
        <w:ind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投标申请人基本情况表（可加部分说明）；</w:t>
      </w:r>
    </w:p>
    <w:p>
      <w:pPr>
        <w:spacing w:line="360" w:lineRule="auto"/>
        <w:ind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（b）企业法人营业执照</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企业资质证件、项目负责人职称证书；     </w:t>
      </w:r>
    </w:p>
    <w:p>
      <w:pPr>
        <w:spacing w:line="360" w:lineRule="auto"/>
        <w:ind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（c）近三年类似项目的设计业绩及有关证明材料；</w:t>
      </w:r>
    </w:p>
    <w:p>
      <w:pPr>
        <w:spacing w:line="360" w:lineRule="auto"/>
        <w:ind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（d）目前正在设计的项目一览表；</w:t>
      </w:r>
    </w:p>
    <w:p>
      <w:pPr>
        <w:spacing w:line="360" w:lineRule="auto"/>
        <w:ind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（e）项目设计组配备情况表</w:t>
      </w:r>
    </w:p>
    <w:p>
      <w:pPr>
        <w:spacing w:line="360" w:lineRule="auto"/>
        <w:ind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（f）主要设计人员简历表；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（5）近年财务状况</w:t>
      </w:r>
    </w:p>
    <w:p>
      <w:pPr>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(6)服务承诺书</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(7)设计方案及工作大纲</w:t>
      </w:r>
      <w:r>
        <w:rPr>
          <w:rFonts w:hint="eastAsia" w:asciiTheme="minorEastAsia" w:hAnsiTheme="minorEastAsia" w:eastAsiaTheme="minorEastAsia" w:cstheme="minorEastAsia"/>
          <w:color w:val="auto"/>
          <w:spacing w:val="-20"/>
          <w:sz w:val="21"/>
          <w:szCs w:val="21"/>
          <w:highlight w:val="none"/>
        </w:rPr>
        <w:t>（</w:t>
      </w:r>
      <w:r>
        <w:rPr>
          <w:rFonts w:hint="eastAsia" w:asciiTheme="minorEastAsia" w:hAnsiTheme="minorEastAsia" w:eastAsiaTheme="minorEastAsia" w:cstheme="minorEastAsia"/>
          <w:color w:val="auto"/>
          <w:sz w:val="21"/>
          <w:szCs w:val="21"/>
          <w:highlight w:val="none"/>
        </w:rPr>
        <w:t>本项目特点、设计重点的分析，保障设计周期、保障设计质量的主要措施等）</w:t>
      </w:r>
      <w:r>
        <w:rPr>
          <w:rFonts w:hint="eastAsia" w:asciiTheme="minorEastAsia" w:hAnsiTheme="minorEastAsia" w:eastAsiaTheme="minorEastAsia" w:cstheme="minorEastAsia"/>
          <w:color w:val="auto"/>
          <w:spacing w:val="-20"/>
          <w:sz w:val="21"/>
          <w:szCs w:val="21"/>
          <w:highlight w:val="none"/>
        </w:rPr>
        <w:t>；</w:t>
      </w:r>
    </w:p>
    <w:p>
      <w:pPr>
        <w:spacing w:line="360" w:lineRule="auto"/>
        <w:ind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（8）投标人认为有必要提供的其他资料。</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投标报价</w:t>
      </w:r>
    </w:p>
    <w:p>
      <w:pPr>
        <w:spacing w:line="360" w:lineRule="auto"/>
        <w:ind w:firstLine="495"/>
        <w:rPr>
          <w:rFonts w:hint="eastAsia" w:asciiTheme="minorEastAsia" w:hAnsiTheme="minorEastAsia" w:eastAsiaTheme="minorEastAsia" w:cstheme="minorEastAsia"/>
          <w:color w:val="auto"/>
          <w:sz w:val="21"/>
          <w:szCs w:val="21"/>
          <w:highlight w:val="none"/>
        </w:rPr>
      </w:pPr>
      <w:bookmarkStart w:id="52" w:name="_Toc215282148"/>
      <w:bookmarkEnd w:id="52"/>
      <w:r>
        <w:rPr>
          <w:rFonts w:hint="eastAsia" w:asciiTheme="minorEastAsia" w:hAnsiTheme="minorEastAsia" w:eastAsiaTheme="minorEastAsia" w:cstheme="minorEastAsia"/>
          <w:color w:val="auto"/>
          <w:sz w:val="21"/>
          <w:szCs w:val="21"/>
          <w:highlight w:val="none"/>
        </w:rPr>
        <w:t xml:space="preserve">3.2.1  </w:t>
      </w:r>
      <w:r>
        <w:rPr>
          <w:rFonts w:hint="eastAsia" w:asciiTheme="minorEastAsia" w:hAnsiTheme="minorEastAsia" w:eastAsiaTheme="minorEastAsia" w:cstheme="minorEastAsia"/>
          <w:color w:val="auto"/>
          <w:kern w:val="0"/>
          <w:sz w:val="21"/>
          <w:szCs w:val="21"/>
          <w:highlight w:val="none"/>
        </w:rPr>
        <w:t>参考（原）国家发展计划委员会和建设部联合颁布的《工程勘察设计收费标准》（计价格［2002］10号）及相关工程设计收费规定，根据市场行情自主报价。</w:t>
      </w:r>
    </w:p>
    <w:p>
      <w:pPr>
        <w:spacing w:line="360" w:lineRule="auto"/>
        <w:ind w:firstLine="49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3.2.2  投标报价包含设计的所有费用，对施工过程中的技术配合及局部修改、变更而发生的费用也应考虑在内。</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3.2.3  </w:t>
      </w:r>
      <w:r>
        <w:rPr>
          <w:rFonts w:hint="eastAsia" w:asciiTheme="minorEastAsia" w:hAnsiTheme="minorEastAsia" w:eastAsiaTheme="minorEastAsia" w:cstheme="minorEastAsia"/>
          <w:color w:val="auto"/>
          <w:kern w:val="0"/>
          <w:sz w:val="21"/>
          <w:szCs w:val="21"/>
          <w:highlight w:val="none"/>
        </w:rPr>
        <w:t>投标的价格还应包含下列内容：</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投标报价包含履行合同所有相关服务所需的费用；投标报价均应包含所有的税费。</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3.2.4 不能在投标报价之外还有其他费用出现。</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3.2.5 投标人不得低于企业自身成本竞投</w:t>
      </w:r>
      <w:bookmarkStart w:id="53" w:name="_Hlt107977408"/>
      <w:bookmarkEnd w:id="53"/>
      <w:r>
        <w:rPr>
          <w:rFonts w:hint="eastAsia" w:asciiTheme="minorEastAsia" w:hAnsiTheme="minorEastAsia" w:eastAsiaTheme="minorEastAsia" w:cstheme="minorEastAsia"/>
          <w:color w:val="auto"/>
          <w:kern w:val="0"/>
          <w:sz w:val="21"/>
          <w:szCs w:val="21"/>
          <w:highlight w:val="none"/>
        </w:rPr>
        <w:t>标。</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 投标有效期</w:t>
      </w:r>
    </w:p>
    <w:p>
      <w:pPr>
        <w:tabs>
          <w:tab w:val="left" w:pos="1260"/>
        </w:tabs>
        <w:autoSpaceDE w:val="0"/>
        <w:autoSpaceDN w:val="0"/>
        <w:adjustRightInd w:val="0"/>
        <w:spacing w:line="360" w:lineRule="auto"/>
        <w:ind w:firstLine="420" w:firstLineChars="200"/>
        <w:jc w:val="left"/>
        <w:rPr>
          <w:rFonts w:hAnsi="宋体" w:cs="宋体"/>
          <w:color w:val="auto"/>
          <w:sz w:val="21"/>
          <w:szCs w:val="21"/>
          <w:highlight w:val="none"/>
        </w:rPr>
      </w:pPr>
      <w:bookmarkStart w:id="54" w:name="_Toc215282149"/>
      <w:bookmarkEnd w:id="54"/>
      <w:r>
        <w:rPr>
          <w:rFonts w:hint="eastAsia" w:hAnsi="宋体" w:cs="宋体"/>
          <w:color w:val="auto"/>
          <w:sz w:val="21"/>
          <w:szCs w:val="21"/>
          <w:highlight w:val="none"/>
        </w:rPr>
        <w:t xml:space="preserve">3.4.1 </w:t>
      </w:r>
      <w:r>
        <w:rPr>
          <w:rFonts w:hint="eastAsia" w:ascii="新宋体" w:hAnsi="新宋体" w:eastAsia="新宋体" w:cs="仿宋_GB2312"/>
          <w:color w:val="auto"/>
          <w:sz w:val="21"/>
          <w:szCs w:val="21"/>
          <w:highlight w:val="none"/>
        </w:rPr>
        <w:t>投标保证金的基本户备案：按《投标人须知前附表》</w:t>
      </w:r>
      <w:r>
        <w:rPr>
          <w:rFonts w:hint="eastAsia" w:ascii="新宋体" w:hAnsi="新宋体" w:eastAsia="新宋体" w:cs="仿宋_GB2312"/>
          <w:color w:val="auto"/>
          <w:sz w:val="21"/>
          <w:szCs w:val="21"/>
          <w:highlight w:val="none"/>
          <w:lang w:eastAsia="zh-CN"/>
        </w:rPr>
        <w:t>相关</w:t>
      </w:r>
      <w:r>
        <w:rPr>
          <w:rFonts w:hint="eastAsia" w:ascii="新宋体" w:hAnsi="新宋体" w:eastAsia="新宋体" w:cs="仿宋_GB2312"/>
          <w:color w:val="auto"/>
          <w:sz w:val="21"/>
          <w:szCs w:val="21"/>
          <w:highlight w:val="none"/>
        </w:rPr>
        <w:t>规定。</w:t>
      </w:r>
    </w:p>
    <w:p>
      <w:pPr>
        <w:tabs>
          <w:tab w:val="left" w:pos="1260"/>
        </w:tabs>
        <w:autoSpaceDE w:val="0"/>
        <w:autoSpaceDN w:val="0"/>
        <w:adjustRightInd w:val="0"/>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 xml:space="preserve"> 3.4.1.1</w:t>
      </w:r>
      <w:r>
        <w:rPr>
          <w:rFonts w:hint="eastAsia" w:ascii="新宋体" w:hAnsi="新宋体" w:eastAsia="新宋体" w:cs="仿宋_GB2312"/>
          <w:color w:val="auto"/>
          <w:sz w:val="21"/>
          <w:szCs w:val="21"/>
          <w:highlight w:val="none"/>
        </w:rPr>
        <w:t>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rPr>
      </w:pPr>
      <w:r>
        <w:rPr>
          <w:rFonts w:hint="eastAsia" w:ascii="新宋体" w:hAnsi="新宋体" w:eastAsia="新宋体" w:cs="仿宋_GB2312"/>
          <w:color w:val="auto"/>
          <w:sz w:val="21"/>
          <w:szCs w:val="21"/>
          <w:highlight w:val="none"/>
        </w:rPr>
        <w:t xml:space="preserve">3.4.1.2基本户备案流程： </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rPr>
      </w:pPr>
      <w:r>
        <w:rPr>
          <w:rFonts w:hint="eastAsia" w:ascii="新宋体" w:hAnsi="新宋体" w:eastAsia="新宋体" w:cs="仿宋_GB2312"/>
          <w:color w:val="auto"/>
          <w:sz w:val="21"/>
          <w:szCs w:val="21"/>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rPr>
      </w:pPr>
      <w:r>
        <w:rPr>
          <w:rFonts w:hint="eastAsia" w:ascii="新宋体" w:hAnsi="新宋体" w:eastAsia="新宋体" w:cs="仿宋_GB2312"/>
          <w:color w:val="auto"/>
          <w:sz w:val="21"/>
          <w:szCs w:val="21"/>
          <w:highlight w:val="none"/>
          <w:lang w:val="zh-CN"/>
        </w:rPr>
        <w:t>3.4.2 投标保证金提交：按《投标人须知前附表》3.4.2条规定。</w:t>
      </w:r>
    </w:p>
    <w:p>
      <w:pPr>
        <w:autoSpaceDE w:val="0"/>
        <w:autoSpaceDN w:val="0"/>
        <w:spacing w:line="420" w:lineRule="exact"/>
        <w:jc w:val="left"/>
        <w:outlineLvl w:val="0"/>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 xml:space="preserve">    </w:t>
      </w:r>
      <w:bookmarkStart w:id="55" w:name="_Toc20195"/>
      <w:r>
        <w:rPr>
          <w:rFonts w:hint="eastAsia" w:ascii="新宋体" w:hAnsi="新宋体" w:eastAsia="新宋体" w:cs="仿宋_GB2312"/>
          <w:color w:val="auto"/>
          <w:sz w:val="21"/>
          <w:szCs w:val="21"/>
          <w:highlight w:val="none"/>
          <w:lang w:val="zh-CN"/>
        </w:rPr>
        <w:t>3.4.2.1 投标保证金的提交方式：</w:t>
      </w:r>
      <w:bookmarkEnd w:id="55"/>
      <w:r>
        <w:rPr>
          <w:rFonts w:hint="eastAsia" w:ascii="新宋体" w:hAnsi="新宋体" w:eastAsia="新宋体" w:cs="仿宋_GB2312"/>
          <w:color w:val="auto"/>
          <w:sz w:val="21"/>
          <w:szCs w:val="21"/>
          <w:highlight w:val="none"/>
          <w:lang w:val="zh-CN"/>
        </w:rPr>
        <w:t xml:space="preserve"> </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投标保证金的提交方式：银行转账、银行电汇、银行保函，不接受以现金方式缴纳的投标保证金。凡以现金方式缴纳投标保证金而影响其投标结果的，由投标人自行负责。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针对银行保函，投标时扫描件不再退还；其追偿按照有关规定执行。</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 xml:space="preserve"> 3.4.2.2 投标保证金缴纳方式：</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投标人网上下载招标文件后，登录</w:t>
      </w:r>
      <w:r>
        <w:rPr>
          <w:color w:val="auto"/>
          <w:sz w:val="21"/>
          <w:szCs w:val="21"/>
          <w:highlight w:val="none"/>
        </w:rPr>
        <w:fldChar w:fldCharType="begin"/>
      </w:r>
      <w:r>
        <w:rPr>
          <w:color w:val="auto"/>
          <w:sz w:val="21"/>
          <w:szCs w:val="21"/>
          <w:highlight w:val="none"/>
        </w:rPr>
        <w:instrText xml:space="preserve"> HYPERLINK "http://221.14.6.70:8088/ggzy" </w:instrText>
      </w:r>
      <w:r>
        <w:rPr>
          <w:color w:val="auto"/>
          <w:sz w:val="21"/>
          <w:szCs w:val="21"/>
          <w:highlight w:val="none"/>
        </w:rPr>
        <w:fldChar w:fldCharType="separate"/>
      </w:r>
      <w:r>
        <w:rPr>
          <w:rFonts w:hint="eastAsia" w:ascii="新宋体" w:hAnsi="新宋体" w:eastAsia="新宋体" w:cs="仿宋_GB2312"/>
          <w:color w:val="auto"/>
          <w:sz w:val="21"/>
          <w:szCs w:val="21"/>
          <w:highlight w:val="none"/>
          <w:lang w:val="zh-CN"/>
        </w:rPr>
        <w:t>http://221.14.6.70:8088/ggzy</w:t>
      </w:r>
      <w:r>
        <w:rPr>
          <w:rFonts w:hint="eastAsia" w:ascii="新宋体" w:hAnsi="新宋体" w:eastAsia="新宋体" w:cs="仿宋_GB2312"/>
          <w:color w:val="auto"/>
          <w:sz w:val="21"/>
          <w:szCs w:val="21"/>
          <w:highlight w:val="none"/>
          <w:lang w:val="zh-CN"/>
        </w:rPr>
        <w:fldChar w:fldCharType="end"/>
      </w:r>
      <w:r>
        <w:rPr>
          <w:rFonts w:hint="eastAsia" w:ascii="新宋体" w:hAnsi="新宋体" w:eastAsia="新宋体" w:cs="仿宋_GB2312"/>
          <w:color w:val="auto"/>
          <w:sz w:val="21"/>
          <w:szCs w:val="21"/>
          <w:highlight w:val="none"/>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成功缴纳后再次登录前述系统，依次点击“会员向导”→“参与投标”→“保证金绑定”→“绑定”进行投标保证金绑定。</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 xml:space="preserve">投标人成功绑定投标保证金，将缴纳凭证“许昌公共资源交易中心保证金缴纳回执”附于投标文件中；未绑定标段的投标保证金，视为未按规定交纳。 </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3. 4.2.3 每个投标人每个项目每个标段只有唯一缴纳账号，</w:t>
      </w:r>
      <w:r>
        <w:rPr>
          <w:rFonts w:hint="eastAsia" w:ascii="新宋体" w:hAnsi="新宋体" w:eastAsia="新宋体" w:cs="仿宋_GB2312"/>
          <w:color w:val="auto"/>
          <w:sz w:val="21"/>
          <w:szCs w:val="21"/>
          <w:highlight w:val="none"/>
        </w:rPr>
        <w:t>切勿重复缴纳或错误缴纳。</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rPr>
      </w:pPr>
      <w:r>
        <w:rPr>
          <w:rFonts w:hint="eastAsia" w:ascii="新宋体" w:hAnsi="新宋体" w:eastAsia="新宋体" w:cs="仿宋_GB2312"/>
          <w:color w:val="auto"/>
          <w:sz w:val="21"/>
          <w:szCs w:val="21"/>
          <w:highlight w:val="none"/>
          <w:lang w:val="zh-CN"/>
        </w:rPr>
        <w:t xml:space="preserve"> 3.4.2.4</w:t>
      </w:r>
      <w:r>
        <w:rPr>
          <w:rFonts w:hint="eastAsia" w:ascii="新宋体" w:hAnsi="新宋体" w:eastAsia="新宋体" w:cs="仿宋_GB2312"/>
          <w:color w:val="auto"/>
          <w:sz w:val="21"/>
          <w:szCs w:val="21"/>
          <w:highlight w:val="none"/>
        </w:rPr>
        <w:t>未按上述规定操作引起的无效投标，由投标人自行负责。</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 xml:space="preserve"> 3.4.2.5汇款凭证无须备注项目编号和项目名称。</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rPr>
      </w:pPr>
      <w:r>
        <w:rPr>
          <w:rFonts w:hint="eastAsia" w:ascii="新宋体" w:hAnsi="新宋体" w:eastAsia="新宋体" w:cs="仿宋_GB2312"/>
          <w:color w:val="auto"/>
          <w:sz w:val="21"/>
          <w:szCs w:val="21"/>
          <w:highlight w:val="none"/>
          <w:lang w:val="zh-CN"/>
        </w:rPr>
        <w:t xml:space="preserve"> 3.4.2.6 </w:t>
      </w:r>
      <w:r>
        <w:rPr>
          <w:rFonts w:hint="eastAsia" w:ascii="新宋体" w:hAnsi="新宋体" w:eastAsia="新宋体" w:cs="仿宋_GB2312"/>
          <w:color w:val="auto"/>
          <w:sz w:val="21"/>
          <w:szCs w:val="21"/>
          <w:highlight w:val="none"/>
        </w:rPr>
        <w:t>出现以下情形造成的投标保证金无效，由投标人自行负责。</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rPr>
      </w:pPr>
      <w:r>
        <w:rPr>
          <w:rFonts w:hint="eastAsia" w:ascii="新宋体" w:hAnsi="新宋体" w:eastAsia="新宋体" w:cs="仿宋_GB2312"/>
          <w:color w:val="auto"/>
          <w:sz w:val="21"/>
          <w:szCs w:val="21"/>
          <w:highlight w:val="none"/>
        </w:rPr>
        <w:t>(1)投标保证金未从投标人的基本账户转出；</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rPr>
      </w:pPr>
      <w:r>
        <w:rPr>
          <w:rFonts w:hint="eastAsia" w:ascii="新宋体" w:hAnsi="新宋体" w:eastAsia="新宋体" w:cs="仿宋_GB2312"/>
          <w:color w:val="auto"/>
          <w:sz w:val="21"/>
          <w:szCs w:val="21"/>
          <w:highlight w:val="none"/>
        </w:rPr>
        <w:t>(2)投标保证金未按照招标文件划分的标段依次转账。</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 xml:space="preserve"> 3.4.2.7 《保证金缴纳绑定操作指南》获取方法：</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rPr>
      </w:pPr>
      <w:r>
        <w:rPr>
          <w:rFonts w:hint="eastAsia" w:ascii="新宋体" w:hAnsi="新宋体" w:eastAsia="新宋体" w:cs="仿宋_GB2312"/>
          <w:color w:val="auto"/>
          <w:sz w:val="21"/>
          <w:szCs w:val="21"/>
          <w:highlight w:val="none"/>
        </w:rPr>
        <w:t xml:space="preserve"> 3.4.3 投标人不按本章第 4.2项要求提交投标保证金的，拒收其投标文件。</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rPr>
      </w:pPr>
      <w:r>
        <w:rPr>
          <w:rFonts w:hint="eastAsia" w:ascii="新宋体" w:hAnsi="新宋体" w:eastAsia="新宋体" w:cs="仿宋_GB2312"/>
          <w:color w:val="auto"/>
          <w:sz w:val="21"/>
          <w:szCs w:val="21"/>
          <w:highlight w:val="none"/>
        </w:rPr>
        <w:t xml:space="preserve"> 3.4.4投标保证金的退还：</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rPr>
      </w:pPr>
      <w:r>
        <w:rPr>
          <w:rFonts w:hint="eastAsia" w:ascii="新宋体" w:hAnsi="新宋体" w:eastAsia="新宋体" w:cs="仿宋_GB2312"/>
          <w:color w:val="auto"/>
          <w:sz w:val="21"/>
          <w:szCs w:val="21"/>
          <w:highlight w:val="none"/>
        </w:rPr>
        <w:t>（1）</w:t>
      </w:r>
      <w:r>
        <w:rPr>
          <w:rFonts w:hint="eastAsia" w:ascii="新宋体" w:hAnsi="新宋体" w:eastAsia="新宋体" w:cs="仿宋_GB2312"/>
          <w:color w:val="auto"/>
          <w:sz w:val="21"/>
          <w:szCs w:val="21"/>
          <w:highlight w:val="none"/>
          <w:lang w:val="zh-CN"/>
        </w:rPr>
        <w:t>中标候选人公示期满后没有质疑或投诉的，退还非中标候选人投标保证金及银行同期存款利息；在书面合同签订后5日内</w:t>
      </w:r>
      <w:r>
        <w:rPr>
          <w:rFonts w:hint="eastAsia" w:ascii="新宋体" w:hAnsi="新宋体" w:eastAsia="新宋体" w:cs="仿宋_GB2312"/>
          <w:color w:val="auto"/>
          <w:sz w:val="21"/>
          <w:szCs w:val="21"/>
          <w:highlight w:val="none"/>
        </w:rPr>
        <w:t>（向鄢陵县公共资源交易管理中心三楼综合股提交合同原件及中标通知书备案，联系电话：0374—7608880）</w:t>
      </w:r>
      <w:r>
        <w:rPr>
          <w:rFonts w:hint="eastAsia" w:ascii="新宋体" w:hAnsi="新宋体" w:eastAsia="新宋体" w:cs="仿宋_GB2312"/>
          <w:color w:val="auto"/>
          <w:sz w:val="21"/>
          <w:szCs w:val="21"/>
          <w:highlight w:val="none"/>
          <w:lang w:val="zh-CN"/>
        </w:rPr>
        <w:t>向中标人和其他中标候选人退还投标保证金及银行同期存款利息。</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（3）项目废标或招标人终止招标的，在此后5个工作日内退还投标保证金及银行同期活期存利息。</w:t>
      </w:r>
      <w:r>
        <w:rPr>
          <w:rFonts w:hint="eastAsia" w:ascii="新宋体" w:hAnsi="新宋体" w:eastAsia="新宋体" w:cs="仿宋_GB2312"/>
          <w:color w:val="auto"/>
          <w:sz w:val="21"/>
          <w:szCs w:val="21"/>
          <w:highlight w:val="none"/>
          <w:lang w:val="zh-CN"/>
        </w:rPr>
        <w:br w:type="textWrapping"/>
      </w:r>
      <w:r>
        <w:rPr>
          <w:rFonts w:hint="eastAsia" w:ascii="新宋体" w:hAnsi="新宋体" w:eastAsia="新宋体" w:cs="仿宋_GB2312"/>
          <w:color w:val="auto"/>
          <w:sz w:val="21"/>
          <w:szCs w:val="21"/>
          <w:highlight w:val="none"/>
          <w:lang w:val="zh-CN"/>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（7）退还投标保证金，除另有规定外，一般以转账方式一次性退还至投标保证金的原提交账户。</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（8）特殊情况处理</w:t>
      </w:r>
    </w:p>
    <w:p>
      <w:pPr>
        <w:tabs>
          <w:tab w:val="left" w:pos="1260"/>
        </w:tabs>
        <w:autoSpaceDE w:val="0"/>
        <w:autoSpaceDN w:val="0"/>
        <w:adjustRightInd w:val="0"/>
        <w:spacing w:line="360" w:lineRule="auto"/>
        <w:ind w:firstLine="420" w:firstLineChars="200"/>
        <w:jc w:val="left"/>
        <w:rPr>
          <w:rFonts w:ascii="新宋体" w:hAnsi="新宋体" w:eastAsia="新宋体" w:cs="仿宋_GB2312"/>
          <w:color w:val="auto"/>
          <w:sz w:val="21"/>
          <w:szCs w:val="21"/>
          <w:highlight w:val="none"/>
          <w:lang w:val="zh-CN"/>
        </w:rPr>
      </w:pPr>
      <w:r>
        <w:rPr>
          <w:rFonts w:hint="eastAsia" w:ascii="新宋体" w:hAnsi="新宋体" w:eastAsia="新宋体" w:cs="仿宋_GB2312"/>
          <w:color w:val="auto"/>
          <w:sz w:val="21"/>
          <w:szCs w:val="21"/>
          <w:highlight w:val="none"/>
          <w:lang w:val="zh-CN"/>
        </w:rPr>
        <w:t>投标人投标过程中因账户开户银行、银行账号发生变化，不能按照来款途径原路返还投标保证金的，投标人须提供原账户开户银行相关证明及新开账户开户许可证，到（向鄢陵县公共资源交易管理中心</w:t>
      </w:r>
      <w:r>
        <w:rPr>
          <w:rFonts w:hint="eastAsia" w:ascii="新宋体" w:hAnsi="新宋体" w:eastAsia="新宋体" w:cs="仿宋_GB2312"/>
          <w:color w:val="auto"/>
          <w:sz w:val="21"/>
          <w:szCs w:val="21"/>
          <w:highlight w:val="none"/>
        </w:rPr>
        <w:t>三楼综合股，联系电话：0374—7608880）</w:t>
      </w:r>
      <w:r>
        <w:rPr>
          <w:rFonts w:hint="eastAsia" w:ascii="新宋体" w:hAnsi="新宋体" w:eastAsia="新宋体" w:cs="仿宋_GB2312"/>
          <w:color w:val="auto"/>
          <w:sz w:val="21"/>
          <w:szCs w:val="21"/>
          <w:highlight w:val="none"/>
          <w:lang w:val="zh-CN"/>
        </w:rPr>
        <w:t>。</w:t>
      </w:r>
    </w:p>
    <w:p>
      <w:pPr>
        <w:pStyle w:val="46"/>
        <w:widowControl/>
        <w:numPr>
          <w:ilvl w:val="0"/>
          <w:numId w:val="3"/>
        </w:numPr>
        <w:adjustRightInd w:val="0"/>
        <w:snapToGrid w:val="0"/>
        <w:spacing w:line="360" w:lineRule="auto"/>
        <w:ind w:left="0" w:firstLine="42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有下列</w:t>
      </w:r>
      <w:r>
        <w:rPr>
          <w:rFonts w:ascii="宋体" w:hAnsi="宋体" w:cs="宋体"/>
          <w:color w:val="auto"/>
          <w:kern w:val="0"/>
          <w:szCs w:val="21"/>
          <w:highlight w:val="none"/>
        </w:rPr>
        <w:t>情形之一的，投标保证金将不予退还：</w:t>
      </w:r>
    </w:p>
    <w:p>
      <w:pPr>
        <w:pStyle w:val="46"/>
        <w:widowControl/>
        <w:numPr>
          <w:ilvl w:val="0"/>
          <w:numId w:val="4"/>
        </w:numPr>
        <w:adjustRightInd w:val="0"/>
        <w:snapToGrid w:val="0"/>
        <w:spacing w:line="360" w:lineRule="auto"/>
        <w:ind w:left="0" w:firstLine="42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ascii="宋体" w:hAnsi="宋体" w:cs="宋体"/>
          <w:color w:val="auto"/>
          <w:kern w:val="0"/>
          <w:szCs w:val="21"/>
          <w:highlight w:val="none"/>
        </w:rPr>
        <w:t>在规定的投标有效期内撤销或修改其投标文件；</w:t>
      </w:r>
    </w:p>
    <w:p>
      <w:pPr>
        <w:pStyle w:val="46"/>
        <w:widowControl/>
        <w:numPr>
          <w:ilvl w:val="0"/>
          <w:numId w:val="4"/>
        </w:numPr>
        <w:adjustRightInd w:val="0"/>
        <w:snapToGrid w:val="0"/>
        <w:spacing w:line="360" w:lineRule="auto"/>
        <w:ind w:left="0" w:firstLine="42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中标人</w:t>
      </w:r>
      <w:r>
        <w:rPr>
          <w:rFonts w:ascii="宋体" w:hAnsi="宋体" w:cs="宋体"/>
          <w:color w:val="auto"/>
          <w:kern w:val="0"/>
          <w:szCs w:val="21"/>
          <w:highlight w:val="none"/>
        </w:rPr>
        <w:t>在收到中标通知书后，无正当理由拒签合同协议书或未按招标文件规定提交履约担保。</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 资格审查资料</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56" w:name="_Toc215282150"/>
      <w:bookmarkEnd w:id="56"/>
      <w:r>
        <w:rPr>
          <w:rFonts w:hint="eastAsia" w:asciiTheme="minorEastAsia" w:hAnsiTheme="minorEastAsia" w:eastAsiaTheme="minorEastAsia" w:cstheme="minorEastAsia"/>
          <w:color w:val="auto"/>
          <w:sz w:val="21"/>
          <w:szCs w:val="21"/>
          <w:highlight w:val="none"/>
        </w:rPr>
        <w:t>3.5.1 “投标人基本情况表”应附投标人营业执照副本、资质证书副本等材料的原件扫描件。</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 “近年财务状况表”应附经会计师事务所或审计机构审计的财务会计报表，具体年份要求见投标人须知前附表。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3.5.3 “近年完成的类似项目情况表”应附合同协议书或中标通知书的原件扫描件，具体年份要求见投标人须知前附表。每张表格只填写一个项目，并标明序号。</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3.5.4 “正在进行的项目情况表”应附合同协议书或中标通知书原件扫描件。每张表格只填写一个项目，并标明序号。</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3.5.5 “近年发生的诉讼及仲裁情况”应说明相关情况，并附法院或仲裁机构作出的判决、裁决等有关法律文书原件扫描件，具体年份要求见投标人须知前附表。</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3.6备选投标方案</w:t>
      </w:r>
    </w:p>
    <w:p>
      <w:pPr>
        <w:spacing w:line="360" w:lineRule="auto"/>
        <w:ind w:firstLine="50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投标人不得递交备选的投标方案</w:t>
      </w:r>
    </w:p>
    <w:p>
      <w:pPr>
        <w:spacing w:line="360" w:lineRule="auto"/>
        <w:rPr>
          <w:rFonts w:hint="eastAsia" w:asciiTheme="minorEastAsia" w:hAnsiTheme="minorEastAsia" w:eastAsiaTheme="minorEastAsia" w:cstheme="minorEastAsia"/>
          <w:color w:val="auto"/>
          <w:sz w:val="21"/>
          <w:szCs w:val="21"/>
          <w:highlight w:val="none"/>
        </w:rPr>
      </w:pPr>
      <w:bookmarkStart w:id="57" w:name="_Toc215282152"/>
      <w:bookmarkEnd w:id="57"/>
      <w:r>
        <w:rPr>
          <w:rFonts w:hint="eastAsia" w:asciiTheme="minorEastAsia" w:hAnsiTheme="minorEastAsia" w:eastAsiaTheme="minorEastAsia" w:cstheme="minorEastAsia"/>
          <w:color w:val="auto"/>
          <w:sz w:val="21"/>
          <w:szCs w:val="21"/>
          <w:highlight w:val="none"/>
        </w:rPr>
        <w:t>3.7 投标文件的编制</w:t>
      </w:r>
    </w:p>
    <w:p>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21"/>
          <w:highlight w:val="none"/>
        </w:rPr>
      </w:pPr>
      <w:bookmarkStart w:id="58" w:name="_Toc215282153"/>
      <w:bookmarkEnd w:id="58"/>
      <w:bookmarkStart w:id="59" w:name="_Toc23651"/>
      <w:bookmarkEnd w:id="59"/>
      <w:bookmarkStart w:id="60" w:name="_Toc215282154"/>
      <w:r>
        <w:rPr>
          <w:rFonts w:hint="eastAsia" w:asciiTheme="minorEastAsia" w:hAnsiTheme="minorEastAsia" w:eastAsiaTheme="minorEastAsia" w:cstheme="minorEastAsia"/>
          <w:color w:val="auto"/>
          <w:sz w:val="21"/>
          <w:szCs w:val="21"/>
          <w:highlight w:val="none"/>
        </w:rPr>
        <w:t>3.7.1 投标文件应按招标文件进行编写，如有必要，可以增加附页，作为投标文件的组成部分。其中，投标人的“服务承诺书”在满足招标文件实质性要求的基础上，可以提出比招标文件要求更利于招标人的承诺。</w:t>
      </w:r>
      <w:bookmarkEnd w:id="60"/>
    </w:p>
    <w:p>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3.7.2 投标文件应当对招标文件设计周期、投标有效期、招标范围内容作出响应。</w:t>
      </w:r>
    </w:p>
    <w:p>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3.7.3 投标人登录许昌公共资源交易系统下载“许昌投标文件制作系统SEARUN V1.1”，按招标文件要求制作电子投标文件。</w:t>
      </w:r>
    </w:p>
    <w:p>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3.7.4 使用电子介质存储的备份文件1份。</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投标</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 xml:space="preserve"> 投标文件的递交</w:t>
      </w:r>
    </w:p>
    <w:p>
      <w:pPr>
        <w:pStyle w:val="46"/>
        <w:widowControl/>
        <w:numPr>
          <w:ilvl w:val="0"/>
          <w:numId w:val="5"/>
        </w:numPr>
        <w:adjustRightInd w:val="0"/>
        <w:snapToGrid w:val="0"/>
        <w:spacing w:line="360" w:lineRule="auto"/>
        <w:ind w:left="0" w:firstLine="420"/>
        <w:jc w:val="left"/>
        <w:textAlignment w:val="baseline"/>
        <w:rPr>
          <w:rFonts w:hint="eastAsia" w:asciiTheme="minorEastAsia" w:hAnsiTheme="minorEastAsia" w:eastAsiaTheme="minorEastAsia" w:cstheme="minorEastAsia"/>
          <w:color w:val="auto"/>
          <w:kern w:val="2"/>
          <w:sz w:val="21"/>
          <w:szCs w:val="21"/>
          <w:highlight w:val="none"/>
          <w:lang w:val="en-US" w:eastAsia="zh-CN" w:bidi="ar-SA"/>
        </w:rPr>
      </w:pPr>
      <w:bookmarkStart w:id="61" w:name="_Toc215282156"/>
      <w:bookmarkEnd w:id="61"/>
      <w:r>
        <w:rPr>
          <w:rFonts w:hint="eastAsia" w:asciiTheme="minorEastAsia" w:hAnsiTheme="minorEastAsia" w:eastAsiaTheme="minorEastAsia" w:cstheme="minorEastAsia"/>
          <w:color w:val="auto"/>
          <w:kern w:val="2"/>
          <w:sz w:val="21"/>
          <w:szCs w:val="21"/>
          <w:highlight w:val="none"/>
          <w:lang w:val="en-US" w:eastAsia="zh-CN" w:bidi="ar-SA"/>
        </w:rPr>
        <w:t>投标人应在投标人须知前附表中规定的投标截止时间前成功上传电子投标文件。</w:t>
      </w:r>
    </w:p>
    <w:p>
      <w:pPr>
        <w:pStyle w:val="46"/>
        <w:widowControl/>
        <w:numPr>
          <w:ilvl w:val="0"/>
          <w:numId w:val="5"/>
        </w:numPr>
        <w:adjustRightInd w:val="0"/>
        <w:snapToGrid w:val="0"/>
        <w:spacing w:line="360" w:lineRule="auto"/>
        <w:ind w:left="0" w:firstLine="420"/>
        <w:jc w:val="left"/>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除投标人须知前附表另有规定外，投标人所提交的电子投标文件不予退还</w:t>
      </w:r>
    </w:p>
    <w:p>
      <w:pPr>
        <w:pStyle w:val="46"/>
        <w:widowControl/>
        <w:numPr>
          <w:ilvl w:val="0"/>
          <w:numId w:val="5"/>
        </w:numPr>
        <w:adjustRightInd w:val="0"/>
        <w:snapToGrid w:val="0"/>
        <w:spacing w:line="360" w:lineRule="auto"/>
        <w:ind w:left="0" w:firstLine="420"/>
        <w:jc w:val="left"/>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逾期未成功上传的电子投标文件，招标人不予受理。</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 xml:space="preserve"> 投标文件的修改与撤回</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2" w:name="_Toc215282157"/>
      <w:bookmarkEnd w:id="62"/>
      <w:r>
        <w:rPr>
          <w:rFonts w:hint="eastAsia" w:asciiTheme="minorEastAsia" w:hAnsiTheme="minorEastAsia" w:eastAsiaTheme="minorEastAsia" w:cstheme="minorEastAsia"/>
          <w:color w:val="auto"/>
          <w:sz w:val="21"/>
          <w:szCs w:val="21"/>
          <w:highlight w:val="none"/>
          <w:lang w:val="en-US" w:eastAsia="zh-CN"/>
        </w:rPr>
        <w:t>4.2.1</w:t>
      </w:r>
      <w:r>
        <w:rPr>
          <w:rFonts w:hint="eastAsia" w:asciiTheme="minorEastAsia" w:hAnsiTheme="minorEastAsia" w:eastAsiaTheme="minorEastAsia" w:cstheme="minorEastAsia"/>
          <w:color w:val="auto"/>
          <w:sz w:val="21"/>
          <w:szCs w:val="21"/>
          <w:highlight w:val="none"/>
        </w:rPr>
        <w:t>在本章第4.2.1项规定的</w:t>
      </w:r>
      <w:r>
        <w:rPr>
          <w:rFonts w:hint="eastAsia" w:asciiTheme="minorEastAsia" w:hAnsiTheme="minorEastAsia" w:eastAsiaTheme="minorEastAsia" w:cstheme="minorEastAsia"/>
          <w:color w:val="auto"/>
          <w:sz w:val="21"/>
          <w:szCs w:val="21"/>
          <w:highlight w:val="none"/>
          <w:lang w:eastAsia="zh-CN"/>
        </w:rPr>
        <w:t>电子</w:t>
      </w:r>
      <w:r>
        <w:rPr>
          <w:rFonts w:hint="eastAsia" w:asciiTheme="minorEastAsia" w:hAnsiTheme="minorEastAsia" w:eastAsiaTheme="minorEastAsia" w:cstheme="minorEastAsia"/>
          <w:color w:val="auto"/>
          <w:sz w:val="21"/>
          <w:szCs w:val="21"/>
          <w:highlight w:val="none"/>
        </w:rPr>
        <w:t>投标文件递交时间前，投标人可以修改或撤回已递</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交的</w:t>
      </w:r>
      <w:r>
        <w:rPr>
          <w:rFonts w:hint="eastAsia" w:asciiTheme="minorEastAsia" w:hAnsiTheme="minorEastAsia" w:eastAsiaTheme="minorEastAsia" w:cstheme="minorEastAsia"/>
          <w:color w:val="auto"/>
          <w:sz w:val="21"/>
          <w:szCs w:val="21"/>
          <w:highlight w:val="none"/>
          <w:lang w:eastAsia="zh-CN"/>
        </w:rPr>
        <w:t>电子</w:t>
      </w:r>
      <w:r>
        <w:rPr>
          <w:rFonts w:hint="eastAsia" w:asciiTheme="minorEastAsia" w:hAnsiTheme="minorEastAsia" w:eastAsiaTheme="minorEastAsia" w:cstheme="minorEastAsia"/>
          <w:color w:val="auto"/>
          <w:sz w:val="21"/>
          <w:szCs w:val="21"/>
          <w:highlight w:val="none"/>
        </w:rPr>
        <w:t>投标文件，但应以书面形式通知招标人。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4.2.2</w:t>
      </w:r>
      <w:r>
        <w:rPr>
          <w:rFonts w:hint="eastAsia" w:asciiTheme="minorEastAsia" w:hAnsiTheme="minorEastAsia" w:eastAsiaTheme="minorEastAsia" w:cstheme="minorEastAsia"/>
          <w:color w:val="auto"/>
          <w:sz w:val="21"/>
          <w:szCs w:val="21"/>
          <w:highlight w:val="none"/>
        </w:rPr>
        <w:t>投标人修改或撤回已提交电子投标文件的书面通知应按照</w:t>
      </w:r>
      <w:r>
        <w:rPr>
          <w:rFonts w:hint="eastAsia" w:asciiTheme="minorEastAsia" w:hAnsiTheme="minorEastAsia" w:eastAsiaTheme="minorEastAsia" w:cstheme="minorEastAsia"/>
          <w:color w:val="auto"/>
          <w:sz w:val="21"/>
          <w:szCs w:val="21"/>
          <w:highlight w:val="none"/>
          <w:lang w:eastAsia="zh-CN"/>
        </w:rPr>
        <w:t>相关</w:t>
      </w:r>
      <w:r>
        <w:rPr>
          <w:rFonts w:hint="eastAsia" w:asciiTheme="minorEastAsia" w:hAnsiTheme="minorEastAsia" w:eastAsiaTheme="minorEastAsia" w:cstheme="minorEastAsia"/>
          <w:color w:val="auto"/>
          <w:sz w:val="21"/>
          <w:szCs w:val="21"/>
          <w:highlight w:val="none"/>
        </w:rPr>
        <w:t>要求签字或盖章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招标人收到书面通知后，向投标人出具签收凭证。</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4.2.3</w:t>
      </w:r>
      <w:r>
        <w:rPr>
          <w:rFonts w:hint="eastAsia" w:asciiTheme="minorEastAsia" w:hAnsiTheme="minorEastAsia" w:eastAsiaTheme="minorEastAsia" w:cstheme="minorEastAsia"/>
          <w:color w:val="auto"/>
          <w:sz w:val="21"/>
          <w:szCs w:val="21"/>
          <w:highlight w:val="none"/>
        </w:rPr>
        <w:t>修改的内容为投标文件的组成部分。修改的电子投标文件应按照本章第3条、第4条规定进行编制、密封、标记和提交，并标明“修改”字样。</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4.2.4</w:t>
      </w:r>
      <w:r>
        <w:rPr>
          <w:rFonts w:hint="eastAsia" w:asciiTheme="minorEastAsia" w:hAnsiTheme="minorEastAsia" w:eastAsiaTheme="minorEastAsia" w:cstheme="minorEastAsia"/>
          <w:color w:val="auto"/>
          <w:sz w:val="21"/>
          <w:szCs w:val="21"/>
          <w:highlight w:val="none"/>
        </w:rPr>
        <w:t>投标人应当在投标截止时间前完成电子投标文件的提交，可以补充、修改或撤回。投标截止时间前未完成电子投标文件提交、取得“投标文件提交回执单”的，视为撤回投标文件。</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开标</w:t>
      </w:r>
    </w:p>
    <w:p>
      <w:pPr>
        <w:spacing w:line="360" w:lineRule="auto"/>
        <w:rPr>
          <w:rFonts w:hint="eastAsia" w:asciiTheme="minorEastAsia" w:hAnsiTheme="minorEastAsia" w:eastAsiaTheme="minorEastAsia" w:cstheme="minorEastAsia"/>
          <w:color w:val="auto"/>
          <w:sz w:val="21"/>
          <w:szCs w:val="21"/>
          <w:highlight w:val="none"/>
        </w:rPr>
      </w:pPr>
      <w:bookmarkStart w:id="63" w:name="_Toc215282158"/>
      <w:bookmarkEnd w:id="63"/>
      <w:r>
        <w:rPr>
          <w:rFonts w:hint="eastAsia" w:asciiTheme="minorEastAsia" w:hAnsiTheme="minorEastAsia" w:eastAsiaTheme="minorEastAsia" w:cstheme="minorEastAsia"/>
          <w:color w:val="auto"/>
          <w:sz w:val="21"/>
          <w:szCs w:val="21"/>
          <w:highlight w:val="none"/>
        </w:rPr>
        <w:t>5.1 开标时间和地点</w:t>
      </w:r>
    </w:p>
    <w:p>
      <w:pPr>
        <w:numPr>
          <w:ilvl w:val="0"/>
          <w:numId w:val="0"/>
        </w:numPr>
        <w:bidi w:val="0"/>
        <w:spacing w:line="360" w:lineRule="auto"/>
        <w:ind w:leftChars="0" w:firstLine="420" w:firstLineChars="200"/>
        <w:rPr>
          <w:color w:val="auto"/>
          <w:highlight w:val="none"/>
        </w:rPr>
      </w:pPr>
      <w:bookmarkStart w:id="64" w:name="_Toc215282159"/>
      <w:bookmarkEnd w:id="64"/>
      <w:r>
        <w:rPr>
          <w:rFonts w:hint="eastAsia"/>
          <w:color w:val="auto"/>
          <w:highlight w:val="none"/>
        </w:rPr>
        <w:t>招标人或代理机构、监督人员应在开标前提前到达交易中心，在约定开标地点开通远程不见面开标大厅及开启“文字互动”等功能，组织投标人（供应商）准时在网上参加投标、开标活动。</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5.2开标程序</w:t>
      </w:r>
    </w:p>
    <w:p>
      <w:pPr>
        <w:numPr>
          <w:ilvl w:val="0"/>
          <w:numId w:val="0"/>
        </w:numPr>
        <w:bidi w:val="0"/>
        <w:spacing w:line="360" w:lineRule="auto"/>
        <w:ind w:leftChars="0" w:firstLine="420" w:firstLineChars="200"/>
        <w:rPr>
          <w:rFonts w:hint="eastAsia"/>
          <w:color w:val="auto"/>
          <w:highlight w:val="none"/>
        </w:rPr>
      </w:pPr>
      <w:bookmarkStart w:id="65" w:name="_Toc16253"/>
      <w:bookmarkEnd w:id="65"/>
      <w:bookmarkStart w:id="66" w:name="_Toc17540"/>
      <w:r>
        <w:rPr>
          <w:rFonts w:hint="eastAsia"/>
          <w:color w:val="auto"/>
          <w:highlight w:val="none"/>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numPr>
          <w:ilvl w:val="0"/>
          <w:numId w:val="0"/>
        </w:numPr>
        <w:bidi w:val="0"/>
        <w:spacing w:line="360" w:lineRule="auto"/>
        <w:ind w:leftChars="0" w:firstLine="420" w:firstLineChars="200"/>
        <w:rPr>
          <w:rFonts w:hint="eastAsia"/>
          <w:color w:val="auto"/>
          <w:highlight w:val="none"/>
        </w:rPr>
      </w:pPr>
      <w:r>
        <w:rPr>
          <w:rFonts w:hint="eastAsia"/>
          <w:color w:val="auto"/>
          <w:highlight w:val="none"/>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numPr>
          <w:ilvl w:val="0"/>
          <w:numId w:val="0"/>
        </w:numPr>
        <w:bidi w:val="0"/>
        <w:spacing w:line="360" w:lineRule="auto"/>
        <w:ind w:leftChars="0" w:firstLine="420" w:firstLineChars="200"/>
        <w:rPr>
          <w:rFonts w:hint="eastAsia"/>
          <w:color w:val="auto"/>
          <w:highlight w:val="none"/>
        </w:rPr>
      </w:pPr>
      <w:r>
        <w:rPr>
          <w:rFonts w:hint="eastAsia"/>
          <w:color w:val="auto"/>
          <w:highlight w:val="none"/>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numPr>
          <w:ilvl w:val="0"/>
          <w:numId w:val="0"/>
        </w:numPr>
        <w:bidi w:val="0"/>
        <w:spacing w:line="360" w:lineRule="auto"/>
        <w:ind w:leftChars="0" w:firstLine="420" w:firstLineChars="200"/>
        <w:rPr>
          <w:rFonts w:hint="eastAsia"/>
          <w:color w:val="auto"/>
          <w:highlight w:val="none"/>
        </w:rPr>
      </w:pPr>
      <w:r>
        <w:rPr>
          <w:rFonts w:hint="eastAsia"/>
          <w:color w:val="auto"/>
          <w:highlight w:val="none"/>
        </w:rPr>
        <w:t xml:space="preserve"> (4)如无投标人提出异议，招标代理机构通过“文字互动”对话框通知各投标人进行电子签章。投标人应在《开标记录表》上进行电子签章，未进行电子签章的视为对开标结果无异议。</w:t>
      </w:r>
    </w:p>
    <w:p>
      <w:pPr>
        <w:numPr>
          <w:ilvl w:val="0"/>
          <w:numId w:val="0"/>
        </w:numPr>
        <w:bidi w:val="0"/>
        <w:spacing w:line="360" w:lineRule="auto"/>
        <w:ind w:leftChars="0" w:firstLine="420" w:firstLineChars="200"/>
        <w:rPr>
          <w:rFonts w:hint="eastAsia"/>
          <w:color w:val="auto"/>
          <w:highlight w:val="none"/>
        </w:rPr>
      </w:pPr>
      <w:r>
        <w:rPr>
          <w:rFonts w:hint="eastAsia"/>
          <w:color w:val="auto"/>
          <w:highlight w:val="none"/>
        </w:rPr>
        <w:t>（5）招标人（代理机构）签章并上传《开标记录表》，不见面开标活动结束。开标异议</w:t>
      </w:r>
      <w:bookmarkEnd w:id="66"/>
    </w:p>
    <w:p>
      <w:pPr>
        <w:spacing w:line="360" w:lineRule="auto"/>
        <w:rPr>
          <w:rFonts w:hint="eastAsia"/>
          <w:color w:val="auto"/>
          <w:highlight w:val="none"/>
        </w:rPr>
      </w:pPr>
      <w:r>
        <w:rPr>
          <w:rFonts w:hint="eastAsia"/>
          <w:color w:val="auto"/>
          <w:highlight w:val="none"/>
        </w:rPr>
        <w:t>投标人对开标有异议的，应当在开标现场提出，招标人当场作出答复，并制作记录。</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 评标</w:t>
      </w:r>
      <w:bookmarkStart w:id="67" w:name="_Toc215282161"/>
      <w:bookmarkEnd w:id="67"/>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 评标委员会</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6.1.1 评标由招标人依法组建的评标委员会负责。评标委员成员人数的确定方式见投标人须知前附表。</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6.1.2 评标委员会成员有下列情形之一的，应当回避：</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（1）招标人或投标人的主要负责人的近亲属；</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（2）项目主管部门或者行政监督部门的人员；</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（3）与投标人有经济利益关系，可能影响对投标公正评审的；</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（4）曾因在招标、评标以及其他与招标投标有关活动中从事违法行为而受过行政处罚或刑事处罚的。</w:t>
      </w:r>
    </w:p>
    <w:p>
      <w:pPr>
        <w:spacing w:line="360" w:lineRule="auto"/>
        <w:rPr>
          <w:rFonts w:hint="eastAsia" w:asciiTheme="minorEastAsia" w:hAnsiTheme="minorEastAsia" w:eastAsiaTheme="minorEastAsia" w:cstheme="minorEastAsia"/>
          <w:color w:val="auto"/>
          <w:kern w:val="0"/>
          <w:sz w:val="21"/>
          <w:szCs w:val="21"/>
          <w:highlight w:val="none"/>
        </w:rPr>
      </w:pPr>
      <w:bookmarkStart w:id="68" w:name="_Toc215282162"/>
      <w:bookmarkEnd w:id="68"/>
      <w:r>
        <w:rPr>
          <w:rFonts w:hint="eastAsia" w:asciiTheme="minorEastAsia" w:hAnsiTheme="minorEastAsia" w:eastAsiaTheme="minorEastAsia" w:cstheme="minorEastAsia"/>
          <w:color w:val="auto"/>
          <w:sz w:val="21"/>
          <w:szCs w:val="21"/>
          <w:highlight w:val="none"/>
        </w:rPr>
        <w:t>6.2 评标原则</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评标活动遵循公平、公正、科学和择优的原则。</w:t>
      </w:r>
    </w:p>
    <w:p>
      <w:pPr>
        <w:spacing w:line="360" w:lineRule="auto"/>
        <w:rPr>
          <w:rFonts w:hint="eastAsia" w:asciiTheme="minorEastAsia" w:hAnsiTheme="minorEastAsia" w:eastAsiaTheme="minorEastAsia" w:cstheme="minorEastAsia"/>
          <w:color w:val="auto"/>
          <w:sz w:val="21"/>
          <w:szCs w:val="21"/>
          <w:highlight w:val="none"/>
        </w:rPr>
      </w:pPr>
      <w:bookmarkStart w:id="69" w:name="_Toc215282163"/>
      <w:bookmarkEnd w:id="69"/>
      <w:r>
        <w:rPr>
          <w:rFonts w:hint="eastAsia" w:asciiTheme="minorEastAsia" w:hAnsiTheme="minorEastAsia" w:eastAsiaTheme="minorEastAsia" w:cstheme="minorEastAsia"/>
          <w:color w:val="auto"/>
          <w:sz w:val="21"/>
          <w:szCs w:val="21"/>
          <w:highlight w:val="none"/>
        </w:rPr>
        <w:t>6.3 评标</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评标委员会按照第三章“评标办法”规定的方法、评审因素、标准和程序对投标文件进行评审。第三章“评标办法”没有规定的方法、评审因素和标准，不作为评标依据。</w:t>
      </w:r>
    </w:p>
    <w:p>
      <w:pPr>
        <w:spacing w:line="360" w:lineRule="auto"/>
        <w:rPr>
          <w:rFonts w:hint="eastAsia" w:asciiTheme="minorEastAsia" w:hAnsiTheme="minorEastAsia" w:eastAsiaTheme="minorEastAsia" w:cstheme="minorEastAsia"/>
          <w:color w:val="auto"/>
          <w:sz w:val="21"/>
          <w:szCs w:val="21"/>
          <w:highlight w:val="none"/>
        </w:rPr>
      </w:pPr>
      <w:bookmarkStart w:id="70" w:name="_Toc215282164"/>
      <w:bookmarkEnd w:id="70"/>
      <w:bookmarkStart w:id="71" w:name="_Toc25912"/>
      <w:r>
        <w:rPr>
          <w:rFonts w:hint="eastAsia" w:asciiTheme="minorEastAsia" w:hAnsiTheme="minorEastAsia" w:eastAsiaTheme="minorEastAsia" w:cstheme="minorEastAsia"/>
          <w:color w:val="auto"/>
          <w:sz w:val="21"/>
          <w:szCs w:val="21"/>
          <w:highlight w:val="none"/>
        </w:rPr>
        <w:t>7. 合同授予</w:t>
      </w:r>
      <w:bookmarkEnd w:id="71"/>
    </w:p>
    <w:p>
      <w:pPr>
        <w:spacing w:line="360" w:lineRule="auto"/>
        <w:rPr>
          <w:rFonts w:hint="eastAsia" w:asciiTheme="minorEastAsia" w:hAnsiTheme="minorEastAsia" w:eastAsiaTheme="minorEastAsia" w:cstheme="minorEastAsia"/>
          <w:color w:val="auto"/>
          <w:sz w:val="21"/>
          <w:szCs w:val="21"/>
          <w:highlight w:val="none"/>
        </w:rPr>
      </w:pPr>
      <w:bookmarkStart w:id="72" w:name="_Toc215282165"/>
      <w:bookmarkEnd w:id="72"/>
      <w:r>
        <w:rPr>
          <w:rFonts w:hint="eastAsia" w:asciiTheme="minorEastAsia" w:hAnsiTheme="minorEastAsia" w:eastAsiaTheme="minorEastAsia" w:cstheme="minorEastAsia"/>
          <w:color w:val="auto"/>
          <w:sz w:val="21"/>
          <w:szCs w:val="21"/>
          <w:highlight w:val="none"/>
        </w:rPr>
        <w:t>7.1 定标方式</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73" w:name="_Toc215282166"/>
      <w:bookmarkEnd w:id="73"/>
      <w:r>
        <w:rPr>
          <w:rFonts w:hint="eastAsia" w:asciiTheme="minorEastAsia" w:hAnsiTheme="minorEastAsia" w:eastAsiaTheme="minorEastAsia" w:cstheme="minorEastAsia"/>
          <w:color w:val="auto"/>
          <w:sz w:val="21"/>
          <w:szCs w:val="21"/>
          <w:highlight w:val="none"/>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 中标通知</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在本章第3.3 款规定的投标有效期内，招标人以书面形式向中标人发出中标通知书，同时将中标结果通知未中标的投标人。</w:t>
      </w:r>
    </w:p>
    <w:p>
      <w:pPr>
        <w:spacing w:line="360" w:lineRule="auto"/>
        <w:rPr>
          <w:rFonts w:hint="eastAsia" w:asciiTheme="minorEastAsia" w:hAnsiTheme="minorEastAsia" w:eastAsiaTheme="minorEastAsia" w:cstheme="minorEastAsia"/>
          <w:color w:val="auto"/>
          <w:sz w:val="21"/>
          <w:szCs w:val="21"/>
          <w:highlight w:val="none"/>
        </w:rPr>
      </w:pPr>
      <w:bookmarkStart w:id="74" w:name="_Toc152045570"/>
      <w:bookmarkEnd w:id="74"/>
      <w:bookmarkStart w:id="75" w:name="_Toc144974538"/>
      <w:bookmarkEnd w:id="75"/>
      <w:bookmarkStart w:id="76" w:name="_Toc152042346"/>
      <w:bookmarkEnd w:id="76"/>
      <w:bookmarkStart w:id="77" w:name="_Toc179632588"/>
      <w:bookmarkEnd w:id="77"/>
      <w:bookmarkStart w:id="78" w:name="_Toc215282169"/>
      <w:r>
        <w:rPr>
          <w:rFonts w:hint="eastAsia" w:asciiTheme="minorEastAsia" w:hAnsiTheme="minorEastAsia" w:eastAsiaTheme="minorEastAsia" w:cstheme="minorEastAsia"/>
          <w:color w:val="auto"/>
          <w:sz w:val="21"/>
          <w:szCs w:val="21"/>
          <w:highlight w:val="none"/>
        </w:rPr>
        <w:t>7</w:t>
      </w:r>
      <w:bookmarkEnd w:id="78"/>
      <w:r>
        <w:rPr>
          <w:rFonts w:hint="eastAsia" w:asciiTheme="minorEastAsia" w:hAnsiTheme="minorEastAsia" w:eastAsiaTheme="minorEastAsia" w:cstheme="minorEastAsia"/>
          <w:color w:val="auto"/>
          <w:sz w:val="21"/>
          <w:szCs w:val="21"/>
          <w:highlight w:val="none"/>
        </w:rPr>
        <w:t>.3 签订合同</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79" w:name="_Toc221950219"/>
      <w:bookmarkEnd w:id="79"/>
      <w:r>
        <w:rPr>
          <w:rFonts w:hint="eastAsia" w:asciiTheme="minorEastAsia" w:hAnsiTheme="minorEastAsia" w:eastAsiaTheme="minorEastAsia" w:cstheme="minorEastAsia"/>
          <w:color w:val="auto"/>
          <w:sz w:val="21"/>
          <w:szCs w:val="21"/>
          <w:highlight w:val="none"/>
        </w:rPr>
        <w:t>7.3.2 发出中标通知书后，招标人无正当理由拒签合同的，招标人向中标人退还投标保证金。</w:t>
      </w:r>
      <w:bookmarkStart w:id="80" w:name="_Toc24051"/>
      <w:bookmarkEnd w:id="80"/>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 重新招标和不再招标</w:t>
      </w:r>
    </w:p>
    <w:p>
      <w:pPr>
        <w:spacing w:line="360" w:lineRule="auto"/>
        <w:rPr>
          <w:rFonts w:hint="eastAsia" w:asciiTheme="minorEastAsia" w:hAnsiTheme="minorEastAsia" w:eastAsiaTheme="minorEastAsia" w:cstheme="minorEastAsia"/>
          <w:color w:val="auto"/>
          <w:sz w:val="21"/>
          <w:szCs w:val="21"/>
          <w:highlight w:val="none"/>
        </w:rPr>
      </w:pPr>
      <w:bookmarkStart w:id="81" w:name="_Toc215282170"/>
      <w:bookmarkEnd w:id="81"/>
      <w:r>
        <w:rPr>
          <w:rFonts w:hint="eastAsia" w:asciiTheme="minorEastAsia" w:hAnsiTheme="minorEastAsia" w:eastAsiaTheme="minorEastAsia" w:cstheme="minorEastAsia"/>
          <w:color w:val="auto"/>
          <w:sz w:val="21"/>
          <w:szCs w:val="21"/>
          <w:highlight w:val="none"/>
        </w:rPr>
        <w:t>8.1 重新招标</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有下列情形之一的，招标人将重新招标：</w:t>
      </w:r>
    </w:p>
    <w:p>
      <w:pPr>
        <w:numPr>
          <w:ilvl w:val="0"/>
          <w:numId w:val="6"/>
        </w:num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投标截止时间止，投标人少于3个的；</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（2）经评标委员会评审后否决所有投标的。</w:t>
      </w:r>
    </w:p>
    <w:p>
      <w:pPr>
        <w:spacing w:line="360" w:lineRule="auto"/>
        <w:rPr>
          <w:rFonts w:hint="eastAsia" w:asciiTheme="minorEastAsia" w:hAnsiTheme="minorEastAsia" w:eastAsiaTheme="minorEastAsia" w:cstheme="minorEastAsia"/>
          <w:color w:val="auto"/>
          <w:sz w:val="21"/>
          <w:szCs w:val="21"/>
          <w:highlight w:val="none"/>
        </w:rPr>
      </w:pPr>
      <w:bookmarkStart w:id="82" w:name="_Toc215282171"/>
      <w:bookmarkEnd w:id="82"/>
      <w:r>
        <w:rPr>
          <w:rFonts w:hint="eastAsia" w:asciiTheme="minorEastAsia" w:hAnsiTheme="minorEastAsia" w:eastAsiaTheme="minorEastAsia" w:cstheme="minorEastAsia"/>
          <w:color w:val="auto"/>
          <w:sz w:val="21"/>
          <w:szCs w:val="21"/>
          <w:highlight w:val="none"/>
        </w:rPr>
        <w:t>8.2 不再招标</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重新招标后投标人仍少于3个或者所有投标被否决的，属于必须审批或核准的工程建设项目，经原审批或核准部门批准后不再进行招标。</w:t>
      </w:r>
    </w:p>
    <w:p>
      <w:pPr>
        <w:spacing w:line="360" w:lineRule="auto"/>
        <w:rPr>
          <w:rFonts w:hint="eastAsia" w:asciiTheme="minorEastAsia" w:hAnsiTheme="minorEastAsia" w:eastAsiaTheme="minorEastAsia" w:cstheme="minorEastAsia"/>
          <w:color w:val="auto"/>
          <w:sz w:val="21"/>
          <w:szCs w:val="21"/>
          <w:highlight w:val="none"/>
        </w:rPr>
      </w:pPr>
      <w:bookmarkStart w:id="83" w:name="_Toc215282172"/>
      <w:bookmarkEnd w:id="83"/>
      <w:bookmarkStart w:id="84" w:name="_Toc14763"/>
      <w:r>
        <w:rPr>
          <w:rFonts w:hint="eastAsia" w:asciiTheme="minorEastAsia" w:hAnsiTheme="minorEastAsia" w:eastAsiaTheme="minorEastAsia" w:cstheme="minorEastAsia"/>
          <w:color w:val="auto"/>
          <w:sz w:val="21"/>
          <w:szCs w:val="21"/>
          <w:highlight w:val="none"/>
        </w:rPr>
        <w:t>9. 纪律和监督</w:t>
      </w:r>
      <w:bookmarkEnd w:id="84"/>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9.1  对招标人的纪律要求</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招标人不得泄露招标投标活动中应当保密的情况和资料，不得与投标人串通损害国家利益、社会公共利益或者他人合法权益。</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9.2  对投标人的纪律要求</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9.3  对评标委员会成员的纪律要求</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9.4  对与评标活动有关的工作人员的纪律要求</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9.5  投诉</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投标人和其他利害关系人认为本次招标活动违反法律、法规和规章规定的，有权向有关行政监督部门投诉。</w:t>
      </w:r>
    </w:p>
    <w:p>
      <w:pPr>
        <w:spacing w:line="360" w:lineRule="auto"/>
        <w:rPr>
          <w:rFonts w:hint="eastAsia" w:asciiTheme="minorEastAsia" w:hAnsiTheme="minorEastAsia" w:eastAsiaTheme="minorEastAsia" w:cstheme="minorEastAsia"/>
          <w:color w:val="auto"/>
          <w:sz w:val="21"/>
          <w:szCs w:val="21"/>
          <w:highlight w:val="none"/>
        </w:rPr>
      </w:pPr>
      <w:bookmarkStart w:id="85" w:name="_Toc2491"/>
      <w:bookmarkEnd w:id="85"/>
      <w:r>
        <w:rPr>
          <w:rFonts w:hint="eastAsia" w:asciiTheme="minorEastAsia" w:hAnsiTheme="minorEastAsia" w:eastAsiaTheme="minorEastAsia" w:cstheme="minorEastAsia"/>
          <w:color w:val="auto"/>
          <w:sz w:val="21"/>
          <w:szCs w:val="21"/>
          <w:highlight w:val="none"/>
        </w:rPr>
        <w:t>10.需要补充的其他内容</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需要补充的其他内容：详见投标人须知前附表。</w:t>
      </w:r>
    </w:p>
    <w:p>
      <w:pPr>
        <w:spacing w:line="360" w:lineRule="auto"/>
        <w:jc w:val="left"/>
        <w:rPr>
          <w:rFonts w:hint="eastAsia" w:asciiTheme="minorEastAsia" w:hAnsiTheme="minorEastAsia" w:eastAsiaTheme="minorEastAsia" w:cstheme="minorEastAsia"/>
          <w:color w:val="auto"/>
          <w:sz w:val="21"/>
          <w:szCs w:val="21"/>
          <w:highlight w:val="none"/>
        </w:rPr>
      </w:pPr>
      <w:bookmarkStart w:id="86" w:name="_Toc5248"/>
      <w:bookmarkEnd w:id="86"/>
      <w:bookmarkStart w:id="87" w:name="_Toc22712"/>
      <w:bookmarkEnd w:id="87"/>
      <w:bookmarkStart w:id="88" w:name="_Toc26838"/>
      <w:bookmarkEnd w:id="88"/>
      <w:bookmarkStart w:id="89" w:name="_Toc20265"/>
      <w:r>
        <w:rPr>
          <w:rFonts w:hint="eastAsia" w:asciiTheme="minorEastAsia" w:hAnsiTheme="minorEastAsia" w:eastAsiaTheme="minorEastAsia" w:cstheme="minorEastAsia"/>
          <w:b/>
          <w:bCs/>
          <w:color w:val="auto"/>
          <w:sz w:val="21"/>
          <w:szCs w:val="21"/>
          <w:highlight w:val="none"/>
        </w:rPr>
        <w:br w:type="page"/>
      </w:r>
      <w:bookmarkEnd w:id="89"/>
    </w:p>
    <w:p>
      <w:pPr>
        <w:spacing w:line="312" w:lineRule="auto"/>
        <w:rPr>
          <w:rFonts w:hint="eastAsia" w:asciiTheme="minorEastAsia" w:hAnsiTheme="minorEastAsia" w:eastAsiaTheme="minorEastAsia" w:cstheme="minorEastAsia"/>
          <w:b/>
          <w:bCs/>
          <w:color w:val="auto"/>
          <w:sz w:val="24"/>
          <w:szCs w:val="24"/>
          <w:highlight w:val="none"/>
        </w:rPr>
      </w:pPr>
      <w:bookmarkStart w:id="90" w:name="_Toc32640"/>
      <w:bookmarkEnd w:id="90"/>
      <w:r>
        <w:rPr>
          <w:rFonts w:hint="eastAsia" w:asciiTheme="minorEastAsia" w:hAnsiTheme="minorEastAsia" w:eastAsiaTheme="minorEastAsia" w:cstheme="minorEastAsia"/>
          <w:b/>
          <w:bCs/>
          <w:color w:val="auto"/>
          <w:sz w:val="24"/>
          <w:szCs w:val="24"/>
          <w:highlight w:val="none"/>
        </w:rPr>
        <w:t>附表一：问题澄清通知</w:t>
      </w:r>
    </w:p>
    <w:p>
      <w:pPr>
        <w:spacing w:beforeLines="100" w:afterLines="100"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问题澄清通知</w:t>
      </w:r>
    </w:p>
    <w:p>
      <w:pPr>
        <w:spacing w:line="360" w:lineRule="auto"/>
        <w:ind w:firstLine="5355" w:firstLineChars="25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编号：</w:t>
      </w:r>
      <w:r>
        <w:rPr>
          <w:rFonts w:hint="eastAsia" w:asciiTheme="minorEastAsia" w:hAnsiTheme="minorEastAsia" w:eastAsiaTheme="minorEastAsia" w:cstheme="minorEastAsia"/>
          <w:color w:val="auto"/>
          <w:sz w:val="21"/>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（项目名称/标段）招标的评标委员会，对你方的投标文件进行了仔细的审查，现需你方对本通知所附质疑问卷中的问题以书面形式予以澄清、说明或者补正。</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附件：质疑问卷</w:t>
      </w:r>
    </w:p>
    <w:p>
      <w:pPr>
        <w:spacing w:line="360" w:lineRule="auto"/>
        <w:ind w:left="3360" w:leftChars="1600" w:firstLine="315" w:firstLineChars="150"/>
        <w:rPr>
          <w:rFonts w:hint="eastAsia" w:asciiTheme="minorEastAsia" w:hAnsiTheme="minorEastAsia" w:eastAsiaTheme="minorEastAsia" w:cstheme="minorEastAsia"/>
          <w:color w:val="auto"/>
          <w:sz w:val="21"/>
          <w:szCs w:val="21"/>
          <w:highlight w:val="none"/>
          <w:u w:val="single"/>
        </w:rPr>
      </w:pPr>
      <w:bookmarkStart w:id="91" w:name="_Toc22729"/>
      <w:bookmarkEnd w:id="91"/>
      <w:bookmarkStart w:id="92" w:name="_Toc18603"/>
      <w:bookmarkEnd w:id="92"/>
      <w:bookmarkStart w:id="93" w:name="_Toc13289"/>
      <w:bookmarkEnd w:id="93"/>
      <w:bookmarkStart w:id="94" w:name="_Toc30339"/>
      <w:bookmarkEnd w:id="94"/>
      <w:bookmarkStart w:id="95" w:name="_Toc425"/>
      <w:r>
        <w:rPr>
          <w:rFonts w:hint="eastAsia" w:asciiTheme="minorEastAsia" w:hAnsiTheme="minorEastAsia" w:eastAsiaTheme="minorEastAsia" w:cstheme="minorEastAsia"/>
          <w:color w:val="auto"/>
          <w:sz w:val="21"/>
          <w:szCs w:val="21"/>
          <w:highlight w:val="none"/>
          <w:u w:val="single"/>
        </w:rPr>
        <w:t xml:space="preserve"> </w:t>
      </w:r>
      <w:bookmarkEnd w:id="95"/>
    </w:p>
    <w:p>
      <w:pPr>
        <w:spacing w:line="360" w:lineRule="auto"/>
        <w:ind w:left="3360" w:leftChars="1600"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（项目名称）招标评标委员会（经评标委员会授权的招标人代表签字或招标人加盖单位章）</w:t>
      </w:r>
    </w:p>
    <w:p>
      <w:pPr>
        <w:spacing w:line="360" w:lineRule="auto"/>
        <w:ind w:firstLine="4620" w:firstLineChars="2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bookmarkStart w:id="96" w:name="_Toc25361"/>
      <w:bookmarkEnd w:id="96"/>
    </w:p>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1"/>
          <w:szCs w:val="21"/>
          <w:highlight w:val="none"/>
        </w:rPr>
        <w:br w:type="page"/>
      </w:r>
    </w:p>
    <w:p>
      <w:pPr>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附表二：问题的澄清</w:t>
      </w:r>
    </w:p>
    <w:p>
      <w:pPr>
        <w:spacing w:beforeLines="100" w:afterLines="100"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问题的澄清、说明或补正</w:t>
      </w:r>
    </w:p>
    <w:p>
      <w:pPr>
        <w:spacing w:line="360" w:lineRule="auto"/>
        <w:ind w:firstLine="5355" w:firstLineChars="25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编号：</w:t>
      </w:r>
      <w:r>
        <w:rPr>
          <w:rFonts w:hint="eastAsia" w:asciiTheme="minorEastAsia" w:hAnsiTheme="minorEastAsia" w:eastAsiaTheme="minorEastAsia" w:cstheme="minorEastAsia"/>
          <w:color w:val="auto"/>
          <w:sz w:val="21"/>
          <w:szCs w:val="21"/>
          <w:highlight w:val="none"/>
          <w:u w:val="single"/>
        </w:rPr>
        <w:t xml:space="preserve">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（项目名称/标段）招标评标委员会：</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问题澄清通知（编号：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）已收悉，现澄清、说明或者补正如下：</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wordWrap w:val="0"/>
        <w:spacing w:line="360" w:lineRule="auto"/>
        <w:ind w:firstLine="420" w:firstLineChars="2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投标人：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（盖单位章） </w:t>
      </w:r>
    </w:p>
    <w:p>
      <w:pPr>
        <w:wordWrap w:val="0"/>
        <w:spacing w:beforeLines="50" w:afterLines="50" w:line="360" w:lineRule="auto"/>
        <w:jc w:val="center"/>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（签章） </w:t>
      </w:r>
    </w:p>
    <w:p>
      <w:pPr>
        <w:spacing w:line="360" w:lineRule="auto"/>
        <w:ind w:firstLine="3349" w:firstLineChars="159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pPr>
        <w:spacing w:line="360" w:lineRule="auto"/>
        <w:ind w:firstLine="5040" w:firstLineChars="24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line="312"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97" w:name="_Toc16968"/>
      <w:bookmarkEnd w:id="97"/>
      <w:bookmarkStart w:id="98" w:name="_Toc14547"/>
      <w:bookmarkEnd w:id="98"/>
      <w:bookmarkStart w:id="99" w:name="_Toc29777"/>
      <w:bookmarkEnd w:id="99"/>
      <w:bookmarkStart w:id="100" w:name="_Toc4374"/>
      <w:bookmarkStart w:id="101" w:name="_Toc5572"/>
      <w:r>
        <w:rPr>
          <w:rFonts w:hint="eastAsia" w:asciiTheme="minorEastAsia" w:hAnsiTheme="minorEastAsia" w:eastAsiaTheme="minorEastAsia" w:cstheme="minorEastAsia"/>
          <w:b/>
          <w:bCs/>
          <w:color w:val="auto"/>
          <w:sz w:val="30"/>
          <w:szCs w:val="30"/>
          <w:highlight w:val="none"/>
        </w:rPr>
        <w:t>第三章</w:t>
      </w:r>
      <w:bookmarkEnd w:id="100"/>
      <w:r>
        <w:rPr>
          <w:rFonts w:hint="eastAsia" w:asciiTheme="minorEastAsia" w:hAnsiTheme="minorEastAsia" w:eastAsiaTheme="minorEastAsia" w:cstheme="minorEastAsia"/>
          <w:b/>
          <w:bCs/>
          <w:color w:val="auto"/>
          <w:sz w:val="30"/>
          <w:szCs w:val="30"/>
          <w:highlight w:val="none"/>
        </w:rPr>
        <w:t xml:space="preserve">  </w:t>
      </w:r>
      <w:r>
        <w:rPr>
          <w:rStyle w:val="44"/>
          <w:rFonts w:hint="eastAsia" w:asciiTheme="minorEastAsia" w:hAnsiTheme="minorEastAsia" w:eastAsiaTheme="minorEastAsia" w:cstheme="minorEastAsia"/>
          <w:color w:val="auto"/>
          <w:sz w:val="30"/>
          <w:szCs w:val="30"/>
          <w:highlight w:val="none"/>
        </w:rPr>
        <w:t>评标办法</w:t>
      </w:r>
      <w:bookmarkStart w:id="102" w:name="_Toc280271283"/>
      <w:bookmarkEnd w:id="102"/>
      <w:bookmarkStart w:id="103" w:name="_Toc280275114"/>
      <w:bookmarkEnd w:id="103"/>
      <w:bookmarkStart w:id="104" w:name="_Toc280271136"/>
      <w:bookmarkEnd w:id="104"/>
      <w:r>
        <w:rPr>
          <w:rStyle w:val="44"/>
          <w:rFonts w:hint="eastAsia" w:asciiTheme="minorEastAsia" w:hAnsiTheme="minorEastAsia" w:eastAsiaTheme="minorEastAsia" w:cstheme="minorEastAsia"/>
          <w:color w:val="auto"/>
          <w:sz w:val="30"/>
          <w:szCs w:val="30"/>
          <w:highlight w:val="none"/>
        </w:rPr>
        <w:t>（综合评标法）</w:t>
      </w:r>
      <w:bookmarkEnd w:id="101"/>
      <w:bookmarkStart w:id="105" w:name="_Toc399834329"/>
      <w:bookmarkEnd w:id="105"/>
      <w:bookmarkStart w:id="106" w:name="_Toc382164569"/>
      <w:bookmarkEnd w:id="106"/>
    </w:p>
    <w:tbl>
      <w:tblPr>
        <w:tblStyle w:val="20"/>
        <w:tblpPr w:leftFromText="180" w:rightFromText="180" w:vertAnchor="text" w:horzAnchor="page" w:tblpX="918" w:tblpY="506"/>
        <w:tblOverlap w:val="never"/>
        <w:tblW w:w="9319" w:type="dxa"/>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346"/>
        <w:gridCol w:w="2352"/>
        <w:gridCol w:w="4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2071" w:type="dxa"/>
            <w:gridSpan w:val="2"/>
            <w:noWrap w:val="0"/>
            <w:vAlign w:val="top"/>
          </w:tcPr>
          <w:p>
            <w:pPr>
              <w:bidi w:val="0"/>
              <w:spacing w:line="360" w:lineRule="auto"/>
              <w:jc w:val="center"/>
              <w:rPr>
                <w:rFonts w:hint="eastAsia"/>
                <w:b/>
                <w:bCs/>
                <w:color w:val="auto"/>
                <w:highlight w:val="none"/>
              </w:rPr>
            </w:pPr>
            <w:bookmarkStart w:id="107" w:name="_Toc23649"/>
            <w:r>
              <w:rPr>
                <w:rFonts w:hint="eastAsia"/>
                <w:b/>
                <w:bCs/>
                <w:color w:val="auto"/>
                <w:highlight w:val="none"/>
              </w:rPr>
              <w:t>条款号</w:t>
            </w:r>
          </w:p>
        </w:tc>
        <w:tc>
          <w:tcPr>
            <w:tcW w:w="2352" w:type="dxa"/>
            <w:noWrap w:val="0"/>
            <w:vAlign w:val="top"/>
          </w:tcPr>
          <w:p>
            <w:pPr>
              <w:bidi w:val="0"/>
              <w:spacing w:line="360" w:lineRule="auto"/>
              <w:jc w:val="center"/>
              <w:rPr>
                <w:rFonts w:hint="eastAsia"/>
                <w:b/>
                <w:bCs/>
                <w:color w:val="auto"/>
                <w:highlight w:val="none"/>
              </w:rPr>
            </w:pPr>
            <w:r>
              <w:rPr>
                <w:rFonts w:hint="eastAsia"/>
                <w:b/>
                <w:bCs/>
                <w:color w:val="auto"/>
                <w:highlight w:val="none"/>
              </w:rPr>
              <w:t>评审因素</w:t>
            </w:r>
          </w:p>
        </w:tc>
        <w:tc>
          <w:tcPr>
            <w:tcW w:w="4896" w:type="dxa"/>
            <w:noWrap w:val="0"/>
            <w:vAlign w:val="top"/>
          </w:tcPr>
          <w:p>
            <w:pPr>
              <w:bidi w:val="0"/>
              <w:spacing w:line="360" w:lineRule="auto"/>
              <w:jc w:val="center"/>
              <w:rPr>
                <w:rFonts w:hint="eastAsia"/>
                <w:b/>
                <w:bCs/>
                <w:color w:val="auto"/>
                <w:highlight w:val="none"/>
              </w:rPr>
            </w:pPr>
            <w:r>
              <w:rPr>
                <w:rFonts w:hint="eastAsia"/>
                <w:b/>
                <w:bCs/>
                <w:color w:val="auto"/>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25" w:type="dxa"/>
            <w:vMerge w:val="restart"/>
            <w:noWrap w:val="0"/>
            <w:vAlign w:val="center"/>
          </w:tcPr>
          <w:p>
            <w:pPr>
              <w:bidi w:val="0"/>
              <w:spacing w:line="360" w:lineRule="auto"/>
              <w:jc w:val="center"/>
              <w:rPr>
                <w:rFonts w:hint="eastAsia"/>
                <w:color w:val="auto"/>
                <w:highlight w:val="none"/>
              </w:rPr>
            </w:pPr>
            <w:r>
              <w:rPr>
                <w:rFonts w:hint="eastAsia"/>
                <w:color w:val="auto"/>
                <w:highlight w:val="none"/>
              </w:rPr>
              <w:t>2.1.1</w:t>
            </w:r>
          </w:p>
        </w:tc>
        <w:tc>
          <w:tcPr>
            <w:tcW w:w="1346" w:type="dxa"/>
            <w:vMerge w:val="restart"/>
            <w:noWrap w:val="0"/>
            <w:vAlign w:val="center"/>
          </w:tcPr>
          <w:p>
            <w:pPr>
              <w:bidi w:val="0"/>
              <w:spacing w:line="360" w:lineRule="auto"/>
              <w:jc w:val="center"/>
              <w:rPr>
                <w:rFonts w:hint="eastAsia"/>
                <w:color w:val="auto"/>
                <w:highlight w:val="none"/>
              </w:rPr>
            </w:pPr>
            <w:r>
              <w:rPr>
                <w:rFonts w:hint="eastAsia"/>
                <w:color w:val="auto"/>
                <w:highlight w:val="none"/>
              </w:rPr>
              <w:t>形式评审标准</w:t>
            </w:r>
          </w:p>
        </w:tc>
        <w:tc>
          <w:tcPr>
            <w:tcW w:w="2352" w:type="dxa"/>
            <w:noWrap w:val="0"/>
            <w:vAlign w:val="center"/>
          </w:tcPr>
          <w:p>
            <w:pPr>
              <w:bidi w:val="0"/>
              <w:spacing w:line="360" w:lineRule="auto"/>
              <w:jc w:val="center"/>
              <w:rPr>
                <w:rFonts w:hint="eastAsia"/>
                <w:color w:val="auto"/>
                <w:highlight w:val="none"/>
              </w:rPr>
            </w:pPr>
            <w:r>
              <w:rPr>
                <w:rFonts w:hint="eastAsia"/>
                <w:color w:val="auto"/>
                <w:highlight w:val="none"/>
              </w:rPr>
              <w:t>投标人名称</w:t>
            </w:r>
          </w:p>
        </w:tc>
        <w:tc>
          <w:tcPr>
            <w:tcW w:w="4896" w:type="dxa"/>
            <w:noWrap w:val="0"/>
            <w:vAlign w:val="center"/>
          </w:tcPr>
          <w:p>
            <w:pPr>
              <w:bidi w:val="0"/>
              <w:spacing w:line="360" w:lineRule="auto"/>
              <w:jc w:val="center"/>
              <w:rPr>
                <w:rFonts w:hint="eastAsia"/>
                <w:color w:val="auto"/>
                <w:highlight w:val="none"/>
                <w:lang w:eastAsia="zh-CN"/>
              </w:rPr>
            </w:pPr>
            <w:r>
              <w:rPr>
                <w:rFonts w:hint="eastAsia"/>
                <w:color w:val="auto"/>
                <w:highlight w:val="none"/>
                <w:lang w:eastAsia="zh-CN"/>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25" w:type="dxa"/>
            <w:vMerge w:val="continue"/>
            <w:noWrap w:val="0"/>
            <w:vAlign w:val="center"/>
          </w:tcPr>
          <w:p>
            <w:pPr>
              <w:bidi w:val="0"/>
              <w:spacing w:line="360" w:lineRule="auto"/>
              <w:jc w:val="center"/>
              <w:rPr>
                <w:rFonts w:hint="eastAsia"/>
                <w:color w:val="auto"/>
                <w:highlight w:val="none"/>
                <w:lang w:eastAsia="zh-CN"/>
              </w:rPr>
            </w:pPr>
          </w:p>
        </w:tc>
        <w:tc>
          <w:tcPr>
            <w:tcW w:w="1346" w:type="dxa"/>
            <w:vMerge w:val="continue"/>
            <w:noWrap w:val="0"/>
            <w:vAlign w:val="center"/>
          </w:tcPr>
          <w:p>
            <w:pPr>
              <w:bidi w:val="0"/>
              <w:spacing w:line="360" w:lineRule="auto"/>
              <w:jc w:val="center"/>
              <w:rPr>
                <w:rFonts w:hint="eastAsia"/>
                <w:color w:val="auto"/>
                <w:highlight w:val="none"/>
                <w:lang w:eastAsia="zh-CN"/>
              </w:rPr>
            </w:pPr>
          </w:p>
        </w:tc>
        <w:tc>
          <w:tcPr>
            <w:tcW w:w="2352" w:type="dxa"/>
            <w:noWrap w:val="0"/>
            <w:vAlign w:val="center"/>
          </w:tcPr>
          <w:p>
            <w:pPr>
              <w:bidi w:val="0"/>
              <w:spacing w:line="360" w:lineRule="auto"/>
              <w:jc w:val="center"/>
              <w:rPr>
                <w:rFonts w:hint="eastAsia"/>
                <w:color w:val="auto"/>
                <w:highlight w:val="none"/>
                <w:lang w:eastAsia="zh-CN"/>
              </w:rPr>
            </w:pPr>
            <w:r>
              <w:rPr>
                <w:rFonts w:hint="eastAsia"/>
                <w:color w:val="auto"/>
                <w:highlight w:val="none"/>
                <w:lang w:eastAsia="zh-CN"/>
              </w:rPr>
              <w:t>投标函及投标函附录签字盖章</w:t>
            </w:r>
          </w:p>
        </w:tc>
        <w:tc>
          <w:tcPr>
            <w:tcW w:w="4896" w:type="dxa"/>
            <w:noWrap w:val="0"/>
            <w:vAlign w:val="center"/>
          </w:tcPr>
          <w:p>
            <w:pPr>
              <w:bidi w:val="0"/>
              <w:spacing w:line="360" w:lineRule="auto"/>
              <w:jc w:val="center"/>
              <w:rPr>
                <w:rFonts w:hint="eastAsia"/>
                <w:color w:val="auto"/>
                <w:highlight w:val="none"/>
              </w:rPr>
            </w:pPr>
            <w:r>
              <w:rPr>
                <w:rFonts w:hint="eastAsia" w:ascii="宋体" w:hAnsi="宋体" w:cs="宋体"/>
                <w:color w:val="auto"/>
                <w:kern w:val="0"/>
                <w:szCs w:val="21"/>
                <w:highlight w:val="none"/>
              </w:rPr>
              <w:t>有法定代表人或其委托代理人签字并加盖单位公章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25" w:type="dxa"/>
            <w:vMerge w:val="continue"/>
            <w:noWrap w:val="0"/>
            <w:vAlign w:val="center"/>
          </w:tcPr>
          <w:p>
            <w:pPr>
              <w:bidi w:val="0"/>
              <w:spacing w:line="360" w:lineRule="auto"/>
              <w:jc w:val="center"/>
              <w:rPr>
                <w:rFonts w:hint="eastAsia"/>
                <w:color w:val="auto"/>
                <w:highlight w:val="none"/>
              </w:rPr>
            </w:pPr>
          </w:p>
        </w:tc>
        <w:tc>
          <w:tcPr>
            <w:tcW w:w="1346" w:type="dxa"/>
            <w:vMerge w:val="continue"/>
            <w:noWrap w:val="0"/>
            <w:vAlign w:val="center"/>
          </w:tcPr>
          <w:p>
            <w:pPr>
              <w:bidi w:val="0"/>
              <w:spacing w:line="360" w:lineRule="auto"/>
              <w:jc w:val="center"/>
              <w:rPr>
                <w:rFonts w:hint="eastAsia"/>
                <w:color w:val="auto"/>
                <w:highlight w:val="none"/>
              </w:rPr>
            </w:pPr>
          </w:p>
        </w:tc>
        <w:tc>
          <w:tcPr>
            <w:tcW w:w="2352" w:type="dxa"/>
            <w:noWrap w:val="0"/>
            <w:vAlign w:val="center"/>
          </w:tcPr>
          <w:p>
            <w:pPr>
              <w:bidi w:val="0"/>
              <w:spacing w:line="360" w:lineRule="auto"/>
              <w:jc w:val="center"/>
              <w:rPr>
                <w:rFonts w:hint="eastAsia"/>
                <w:color w:val="auto"/>
                <w:highlight w:val="none"/>
              </w:rPr>
            </w:pPr>
            <w:r>
              <w:rPr>
                <w:rFonts w:hint="eastAsia"/>
                <w:color w:val="auto"/>
                <w:highlight w:val="none"/>
              </w:rPr>
              <w:t>投标文件格式</w:t>
            </w:r>
          </w:p>
        </w:tc>
        <w:tc>
          <w:tcPr>
            <w:tcW w:w="4896" w:type="dxa"/>
            <w:noWrap w:val="0"/>
            <w:vAlign w:val="center"/>
          </w:tcPr>
          <w:p>
            <w:pPr>
              <w:bidi w:val="0"/>
              <w:spacing w:line="360" w:lineRule="auto"/>
              <w:jc w:val="center"/>
              <w:rPr>
                <w:rFonts w:hint="eastAsia"/>
                <w:color w:val="auto"/>
                <w:highlight w:val="none"/>
                <w:lang w:eastAsia="zh-CN"/>
              </w:rPr>
            </w:pPr>
            <w:r>
              <w:rPr>
                <w:rFonts w:hint="eastAsia"/>
                <w:color w:val="auto"/>
                <w:highlight w:val="none"/>
                <w:lang w:eastAsia="zh-CN"/>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25" w:type="dxa"/>
            <w:vMerge w:val="restart"/>
            <w:noWrap w:val="0"/>
            <w:vAlign w:val="center"/>
          </w:tcPr>
          <w:p>
            <w:pPr>
              <w:bidi w:val="0"/>
              <w:spacing w:line="360" w:lineRule="auto"/>
              <w:jc w:val="center"/>
              <w:rPr>
                <w:rFonts w:hint="eastAsia"/>
                <w:color w:val="auto"/>
                <w:highlight w:val="none"/>
              </w:rPr>
            </w:pPr>
            <w:r>
              <w:rPr>
                <w:rFonts w:hint="eastAsia"/>
                <w:color w:val="auto"/>
                <w:highlight w:val="none"/>
              </w:rPr>
              <w:t>2.1.2</w:t>
            </w:r>
          </w:p>
        </w:tc>
        <w:tc>
          <w:tcPr>
            <w:tcW w:w="1346" w:type="dxa"/>
            <w:vMerge w:val="restart"/>
            <w:noWrap w:val="0"/>
            <w:vAlign w:val="center"/>
          </w:tcPr>
          <w:p>
            <w:pPr>
              <w:bidi w:val="0"/>
              <w:spacing w:line="360" w:lineRule="auto"/>
              <w:jc w:val="center"/>
              <w:rPr>
                <w:rFonts w:hint="eastAsia"/>
                <w:color w:val="auto"/>
                <w:highlight w:val="none"/>
              </w:rPr>
            </w:pPr>
            <w:r>
              <w:rPr>
                <w:rFonts w:hint="eastAsia"/>
                <w:color w:val="auto"/>
                <w:highlight w:val="none"/>
              </w:rPr>
              <w:t>资格评审标准</w:t>
            </w:r>
          </w:p>
        </w:tc>
        <w:tc>
          <w:tcPr>
            <w:tcW w:w="2352" w:type="dxa"/>
            <w:noWrap w:val="0"/>
            <w:vAlign w:val="center"/>
          </w:tcPr>
          <w:p>
            <w:pPr>
              <w:bidi w:val="0"/>
              <w:spacing w:line="360" w:lineRule="auto"/>
              <w:jc w:val="center"/>
              <w:rPr>
                <w:rFonts w:hint="eastAsia"/>
                <w:color w:val="auto"/>
                <w:highlight w:val="none"/>
                <w:lang w:eastAsia="zh-CN"/>
              </w:rPr>
            </w:pPr>
            <w:r>
              <w:rPr>
                <w:rFonts w:hint="eastAsia"/>
                <w:color w:val="auto"/>
                <w:highlight w:val="none"/>
                <w:lang w:eastAsia="zh-CN"/>
              </w:rPr>
              <w:t>营业执照</w:t>
            </w:r>
          </w:p>
        </w:tc>
        <w:tc>
          <w:tcPr>
            <w:tcW w:w="4896"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符合第二章“投标人须知前附表”第 1.4.1项规定，具备有效的营业执照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25" w:type="dxa"/>
            <w:vMerge w:val="continue"/>
            <w:noWrap w:val="0"/>
            <w:vAlign w:val="top"/>
          </w:tcPr>
          <w:p>
            <w:pPr>
              <w:bidi w:val="0"/>
              <w:spacing w:line="360" w:lineRule="auto"/>
              <w:jc w:val="center"/>
              <w:rPr>
                <w:rFonts w:hint="eastAsia"/>
                <w:color w:val="auto"/>
                <w:highlight w:val="none"/>
                <w:lang w:eastAsia="zh-CN"/>
              </w:rPr>
            </w:pPr>
          </w:p>
        </w:tc>
        <w:tc>
          <w:tcPr>
            <w:tcW w:w="1346" w:type="dxa"/>
            <w:vMerge w:val="continue"/>
            <w:noWrap w:val="0"/>
            <w:vAlign w:val="top"/>
          </w:tcPr>
          <w:p>
            <w:pPr>
              <w:bidi w:val="0"/>
              <w:spacing w:line="360" w:lineRule="auto"/>
              <w:jc w:val="center"/>
              <w:rPr>
                <w:rFonts w:hint="eastAsia"/>
                <w:color w:val="auto"/>
                <w:highlight w:val="none"/>
                <w:lang w:eastAsia="zh-CN"/>
              </w:rPr>
            </w:pPr>
          </w:p>
        </w:tc>
        <w:tc>
          <w:tcPr>
            <w:tcW w:w="2352" w:type="dxa"/>
            <w:noWrap w:val="0"/>
            <w:vAlign w:val="center"/>
          </w:tcPr>
          <w:p>
            <w:pPr>
              <w:bidi w:val="0"/>
              <w:spacing w:line="360" w:lineRule="auto"/>
              <w:jc w:val="center"/>
              <w:rPr>
                <w:rFonts w:hint="eastAsia"/>
                <w:color w:val="auto"/>
                <w:highlight w:val="none"/>
              </w:rPr>
            </w:pPr>
            <w:r>
              <w:rPr>
                <w:rFonts w:hint="eastAsia"/>
                <w:color w:val="auto"/>
                <w:highlight w:val="none"/>
              </w:rPr>
              <w:t>资质要求</w:t>
            </w:r>
          </w:p>
        </w:tc>
        <w:tc>
          <w:tcPr>
            <w:tcW w:w="4896"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符合第二章“投标人须知前附表”第 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25" w:type="dxa"/>
            <w:vMerge w:val="continue"/>
            <w:noWrap w:val="0"/>
            <w:vAlign w:val="top"/>
          </w:tcPr>
          <w:p>
            <w:pPr>
              <w:bidi w:val="0"/>
              <w:spacing w:line="360" w:lineRule="auto"/>
              <w:jc w:val="center"/>
              <w:rPr>
                <w:rFonts w:hint="eastAsia"/>
                <w:color w:val="auto"/>
                <w:highlight w:val="none"/>
                <w:lang w:eastAsia="zh-CN"/>
              </w:rPr>
            </w:pPr>
          </w:p>
        </w:tc>
        <w:tc>
          <w:tcPr>
            <w:tcW w:w="1346" w:type="dxa"/>
            <w:vMerge w:val="continue"/>
            <w:noWrap w:val="0"/>
            <w:vAlign w:val="top"/>
          </w:tcPr>
          <w:p>
            <w:pPr>
              <w:bidi w:val="0"/>
              <w:spacing w:line="360" w:lineRule="auto"/>
              <w:jc w:val="center"/>
              <w:rPr>
                <w:rFonts w:hint="eastAsia"/>
                <w:color w:val="auto"/>
                <w:highlight w:val="none"/>
                <w:lang w:eastAsia="zh-CN"/>
              </w:rPr>
            </w:pPr>
          </w:p>
        </w:tc>
        <w:tc>
          <w:tcPr>
            <w:tcW w:w="2352" w:type="dxa"/>
            <w:noWrap w:val="0"/>
            <w:vAlign w:val="top"/>
          </w:tcPr>
          <w:p>
            <w:pPr>
              <w:bidi w:val="0"/>
              <w:spacing w:line="360" w:lineRule="auto"/>
              <w:jc w:val="center"/>
              <w:rPr>
                <w:rFonts w:hint="eastAsia"/>
                <w:color w:val="auto"/>
                <w:highlight w:val="none"/>
              </w:rPr>
            </w:pPr>
            <w:r>
              <w:rPr>
                <w:rFonts w:hint="eastAsia"/>
                <w:color w:val="auto"/>
                <w:highlight w:val="none"/>
              </w:rPr>
              <w:t>信誉要求</w:t>
            </w:r>
          </w:p>
        </w:tc>
        <w:tc>
          <w:tcPr>
            <w:tcW w:w="4896"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符合第二章“投标人须知前附表”第 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25" w:type="dxa"/>
            <w:vMerge w:val="continue"/>
            <w:noWrap w:val="0"/>
            <w:vAlign w:val="top"/>
          </w:tcPr>
          <w:p>
            <w:pPr>
              <w:bidi w:val="0"/>
              <w:spacing w:line="360" w:lineRule="auto"/>
              <w:jc w:val="center"/>
              <w:rPr>
                <w:rFonts w:hint="eastAsia"/>
                <w:color w:val="auto"/>
                <w:highlight w:val="none"/>
                <w:lang w:eastAsia="zh-CN"/>
              </w:rPr>
            </w:pPr>
          </w:p>
        </w:tc>
        <w:tc>
          <w:tcPr>
            <w:tcW w:w="1346" w:type="dxa"/>
            <w:vMerge w:val="continue"/>
            <w:noWrap w:val="0"/>
            <w:vAlign w:val="top"/>
          </w:tcPr>
          <w:p>
            <w:pPr>
              <w:bidi w:val="0"/>
              <w:spacing w:line="360" w:lineRule="auto"/>
              <w:jc w:val="center"/>
              <w:rPr>
                <w:rFonts w:hint="eastAsia"/>
                <w:color w:val="auto"/>
                <w:highlight w:val="none"/>
                <w:lang w:eastAsia="zh-CN"/>
              </w:rPr>
            </w:pPr>
          </w:p>
        </w:tc>
        <w:tc>
          <w:tcPr>
            <w:tcW w:w="2352" w:type="dxa"/>
            <w:noWrap w:val="0"/>
            <w:vAlign w:val="top"/>
          </w:tcPr>
          <w:p>
            <w:pPr>
              <w:bidi w:val="0"/>
              <w:spacing w:line="360" w:lineRule="auto"/>
              <w:jc w:val="center"/>
              <w:rPr>
                <w:rFonts w:hint="eastAsia"/>
                <w:color w:val="auto"/>
                <w:highlight w:val="none"/>
              </w:rPr>
            </w:pPr>
            <w:r>
              <w:rPr>
                <w:rFonts w:hint="eastAsia"/>
                <w:color w:val="auto"/>
                <w:highlight w:val="none"/>
              </w:rPr>
              <w:t>项目负责人</w:t>
            </w:r>
          </w:p>
        </w:tc>
        <w:tc>
          <w:tcPr>
            <w:tcW w:w="4896"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符合第二章“投标人须知前附表”第 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25" w:type="dxa"/>
            <w:vMerge w:val="restart"/>
            <w:noWrap w:val="0"/>
            <w:vAlign w:val="center"/>
          </w:tcPr>
          <w:p>
            <w:pPr>
              <w:bidi w:val="0"/>
              <w:spacing w:line="360" w:lineRule="auto"/>
              <w:jc w:val="center"/>
              <w:rPr>
                <w:rFonts w:hint="eastAsia"/>
                <w:color w:val="auto"/>
                <w:highlight w:val="none"/>
                <w:lang w:eastAsia="zh-CN"/>
              </w:rPr>
            </w:pPr>
            <w:r>
              <w:rPr>
                <w:rFonts w:hint="eastAsia"/>
                <w:color w:val="auto"/>
                <w:highlight w:val="none"/>
              </w:rPr>
              <w:t>2.1.3</w:t>
            </w:r>
          </w:p>
        </w:tc>
        <w:tc>
          <w:tcPr>
            <w:tcW w:w="1346" w:type="dxa"/>
            <w:vMerge w:val="restart"/>
            <w:noWrap w:val="0"/>
            <w:vAlign w:val="center"/>
          </w:tcPr>
          <w:p>
            <w:pPr>
              <w:bidi w:val="0"/>
              <w:spacing w:line="360" w:lineRule="auto"/>
              <w:jc w:val="center"/>
              <w:rPr>
                <w:rFonts w:hint="eastAsia"/>
                <w:color w:val="auto"/>
                <w:highlight w:val="none"/>
                <w:lang w:eastAsia="zh-CN"/>
              </w:rPr>
            </w:pPr>
            <w:r>
              <w:rPr>
                <w:rFonts w:hint="eastAsia"/>
                <w:color w:val="auto"/>
                <w:highlight w:val="none"/>
              </w:rPr>
              <w:t>响应性评 审标准</w:t>
            </w:r>
          </w:p>
        </w:tc>
        <w:tc>
          <w:tcPr>
            <w:tcW w:w="2352" w:type="dxa"/>
            <w:noWrap w:val="0"/>
            <w:vAlign w:val="top"/>
          </w:tcPr>
          <w:p>
            <w:pPr>
              <w:bidi w:val="0"/>
              <w:spacing w:line="360" w:lineRule="auto"/>
              <w:jc w:val="center"/>
              <w:rPr>
                <w:rFonts w:hint="eastAsia"/>
                <w:color w:val="auto"/>
                <w:highlight w:val="none"/>
              </w:rPr>
            </w:pPr>
            <w:r>
              <w:rPr>
                <w:rFonts w:hint="eastAsia"/>
                <w:color w:val="auto"/>
                <w:highlight w:val="none"/>
              </w:rPr>
              <w:t>投标报价</w:t>
            </w:r>
          </w:p>
        </w:tc>
        <w:tc>
          <w:tcPr>
            <w:tcW w:w="4896"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符合第二章“投标人须知”第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25" w:type="dxa"/>
            <w:vMerge w:val="continue"/>
            <w:noWrap w:val="0"/>
            <w:vAlign w:val="top"/>
          </w:tcPr>
          <w:p>
            <w:pPr>
              <w:bidi w:val="0"/>
              <w:spacing w:line="360" w:lineRule="auto"/>
              <w:rPr>
                <w:rFonts w:hint="eastAsia"/>
                <w:color w:val="auto"/>
                <w:highlight w:val="none"/>
                <w:lang w:eastAsia="zh-CN"/>
              </w:rPr>
            </w:pPr>
          </w:p>
        </w:tc>
        <w:tc>
          <w:tcPr>
            <w:tcW w:w="1346" w:type="dxa"/>
            <w:vMerge w:val="continue"/>
            <w:noWrap w:val="0"/>
            <w:vAlign w:val="top"/>
          </w:tcPr>
          <w:p>
            <w:pPr>
              <w:bidi w:val="0"/>
              <w:spacing w:line="360" w:lineRule="auto"/>
              <w:rPr>
                <w:rFonts w:hint="eastAsia"/>
                <w:color w:val="auto"/>
                <w:highlight w:val="none"/>
                <w:lang w:eastAsia="zh-CN"/>
              </w:rPr>
            </w:pPr>
          </w:p>
        </w:tc>
        <w:tc>
          <w:tcPr>
            <w:tcW w:w="2352" w:type="dxa"/>
            <w:noWrap w:val="0"/>
            <w:vAlign w:val="top"/>
          </w:tcPr>
          <w:p>
            <w:pPr>
              <w:bidi w:val="0"/>
              <w:spacing w:line="360" w:lineRule="auto"/>
              <w:jc w:val="center"/>
              <w:rPr>
                <w:rFonts w:hint="eastAsia"/>
                <w:color w:val="auto"/>
                <w:highlight w:val="none"/>
              </w:rPr>
            </w:pPr>
            <w:r>
              <w:rPr>
                <w:rFonts w:hint="eastAsia"/>
                <w:color w:val="auto"/>
                <w:highlight w:val="none"/>
              </w:rPr>
              <w:t>投标内容</w:t>
            </w:r>
          </w:p>
        </w:tc>
        <w:tc>
          <w:tcPr>
            <w:tcW w:w="4896"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符合第二章“投标人须知前附表”第 1.3.</w:t>
            </w:r>
            <w:r>
              <w:rPr>
                <w:rFonts w:hint="eastAsia"/>
                <w:color w:val="auto"/>
                <w:highlight w:val="none"/>
                <w:lang w:val="en-US" w:eastAsia="zh-CN"/>
              </w:rPr>
              <w:t>2</w:t>
            </w:r>
            <w:r>
              <w:rPr>
                <w:rFonts w:hint="eastAsia"/>
                <w:color w:val="auto"/>
                <w:highlight w:val="none"/>
                <w:lang w:eastAsia="zh-CN"/>
              </w:rPr>
              <w:t xml:space="preserve">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25" w:type="dxa"/>
            <w:vMerge w:val="continue"/>
            <w:noWrap w:val="0"/>
            <w:vAlign w:val="top"/>
          </w:tcPr>
          <w:p>
            <w:pPr>
              <w:bidi w:val="0"/>
              <w:spacing w:line="360" w:lineRule="auto"/>
              <w:rPr>
                <w:rFonts w:hint="eastAsia"/>
                <w:color w:val="auto"/>
                <w:highlight w:val="none"/>
                <w:lang w:eastAsia="zh-CN"/>
              </w:rPr>
            </w:pPr>
          </w:p>
        </w:tc>
        <w:tc>
          <w:tcPr>
            <w:tcW w:w="1346" w:type="dxa"/>
            <w:vMerge w:val="continue"/>
            <w:noWrap w:val="0"/>
            <w:vAlign w:val="top"/>
          </w:tcPr>
          <w:p>
            <w:pPr>
              <w:bidi w:val="0"/>
              <w:spacing w:line="360" w:lineRule="auto"/>
              <w:rPr>
                <w:rFonts w:hint="eastAsia"/>
                <w:color w:val="auto"/>
                <w:highlight w:val="none"/>
                <w:lang w:eastAsia="zh-CN"/>
              </w:rPr>
            </w:pPr>
          </w:p>
        </w:tc>
        <w:tc>
          <w:tcPr>
            <w:tcW w:w="2352"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设计工期</w:t>
            </w:r>
          </w:p>
        </w:tc>
        <w:tc>
          <w:tcPr>
            <w:tcW w:w="4896"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符合第二章“投标人须知前附表”第 1.3.</w:t>
            </w:r>
            <w:r>
              <w:rPr>
                <w:rFonts w:hint="eastAsia"/>
                <w:color w:val="auto"/>
                <w:highlight w:val="none"/>
                <w:lang w:val="en-US" w:eastAsia="zh-CN"/>
              </w:rPr>
              <w:t>3</w:t>
            </w:r>
            <w:r>
              <w:rPr>
                <w:rFonts w:hint="eastAsia"/>
                <w:color w:val="auto"/>
                <w:highlight w:val="none"/>
                <w:lang w:eastAsia="zh-CN"/>
              </w:rPr>
              <w:t xml:space="preserve">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25" w:type="dxa"/>
            <w:vMerge w:val="continue"/>
            <w:noWrap w:val="0"/>
            <w:vAlign w:val="top"/>
          </w:tcPr>
          <w:p>
            <w:pPr>
              <w:bidi w:val="0"/>
              <w:spacing w:line="360" w:lineRule="auto"/>
              <w:rPr>
                <w:rFonts w:hint="eastAsia"/>
                <w:color w:val="auto"/>
                <w:highlight w:val="none"/>
                <w:lang w:eastAsia="zh-CN"/>
              </w:rPr>
            </w:pPr>
          </w:p>
        </w:tc>
        <w:tc>
          <w:tcPr>
            <w:tcW w:w="1346" w:type="dxa"/>
            <w:vMerge w:val="continue"/>
            <w:noWrap w:val="0"/>
            <w:vAlign w:val="top"/>
          </w:tcPr>
          <w:p>
            <w:pPr>
              <w:bidi w:val="0"/>
              <w:spacing w:line="360" w:lineRule="auto"/>
              <w:rPr>
                <w:rFonts w:hint="eastAsia"/>
                <w:color w:val="auto"/>
                <w:highlight w:val="none"/>
                <w:lang w:eastAsia="zh-CN"/>
              </w:rPr>
            </w:pPr>
          </w:p>
        </w:tc>
        <w:tc>
          <w:tcPr>
            <w:tcW w:w="2352"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设计标准</w:t>
            </w:r>
          </w:p>
        </w:tc>
        <w:tc>
          <w:tcPr>
            <w:tcW w:w="4896"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符合第二章“投标人须知前附表”第 1.3.</w:t>
            </w:r>
            <w:r>
              <w:rPr>
                <w:rFonts w:hint="eastAsia"/>
                <w:color w:val="auto"/>
                <w:highlight w:val="none"/>
                <w:lang w:val="en-US" w:eastAsia="zh-CN"/>
              </w:rPr>
              <w:t>4</w:t>
            </w:r>
            <w:r>
              <w:rPr>
                <w:rFonts w:hint="eastAsia"/>
                <w:color w:val="auto"/>
                <w:highlight w:val="none"/>
                <w:lang w:eastAsia="zh-CN"/>
              </w:rPr>
              <w:t xml:space="preserve">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25" w:type="dxa"/>
            <w:vMerge w:val="continue"/>
            <w:noWrap w:val="0"/>
            <w:vAlign w:val="top"/>
          </w:tcPr>
          <w:p>
            <w:pPr>
              <w:bidi w:val="0"/>
              <w:spacing w:line="360" w:lineRule="auto"/>
              <w:rPr>
                <w:rFonts w:hint="eastAsia"/>
                <w:color w:val="auto"/>
                <w:highlight w:val="none"/>
                <w:lang w:eastAsia="zh-CN"/>
              </w:rPr>
            </w:pPr>
          </w:p>
        </w:tc>
        <w:tc>
          <w:tcPr>
            <w:tcW w:w="1346" w:type="dxa"/>
            <w:vMerge w:val="continue"/>
            <w:noWrap w:val="0"/>
            <w:vAlign w:val="top"/>
          </w:tcPr>
          <w:p>
            <w:pPr>
              <w:bidi w:val="0"/>
              <w:spacing w:line="360" w:lineRule="auto"/>
              <w:rPr>
                <w:rFonts w:hint="eastAsia"/>
                <w:color w:val="auto"/>
                <w:highlight w:val="none"/>
                <w:lang w:eastAsia="zh-CN"/>
              </w:rPr>
            </w:pPr>
          </w:p>
        </w:tc>
        <w:tc>
          <w:tcPr>
            <w:tcW w:w="2352" w:type="dxa"/>
            <w:noWrap w:val="0"/>
            <w:vAlign w:val="top"/>
          </w:tcPr>
          <w:p>
            <w:pPr>
              <w:bidi w:val="0"/>
              <w:spacing w:line="360" w:lineRule="auto"/>
              <w:jc w:val="center"/>
              <w:rPr>
                <w:rFonts w:hint="eastAsia"/>
                <w:color w:val="auto"/>
                <w:highlight w:val="none"/>
              </w:rPr>
            </w:pPr>
            <w:r>
              <w:rPr>
                <w:rFonts w:hint="eastAsia"/>
                <w:color w:val="auto"/>
                <w:highlight w:val="none"/>
              </w:rPr>
              <w:t>投标有效期</w:t>
            </w:r>
          </w:p>
        </w:tc>
        <w:tc>
          <w:tcPr>
            <w:tcW w:w="4896"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符合第二章“投标人须知前附表”第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25" w:type="dxa"/>
            <w:vMerge w:val="continue"/>
            <w:noWrap w:val="0"/>
            <w:vAlign w:val="top"/>
          </w:tcPr>
          <w:p>
            <w:pPr>
              <w:bidi w:val="0"/>
              <w:spacing w:line="360" w:lineRule="auto"/>
              <w:rPr>
                <w:rFonts w:hint="eastAsia"/>
                <w:color w:val="auto"/>
                <w:highlight w:val="none"/>
                <w:lang w:eastAsia="zh-CN"/>
              </w:rPr>
            </w:pPr>
          </w:p>
        </w:tc>
        <w:tc>
          <w:tcPr>
            <w:tcW w:w="1346" w:type="dxa"/>
            <w:vMerge w:val="continue"/>
            <w:noWrap w:val="0"/>
            <w:vAlign w:val="top"/>
          </w:tcPr>
          <w:p>
            <w:pPr>
              <w:bidi w:val="0"/>
              <w:spacing w:line="360" w:lineRule="auto"/>
              <w:rPr>
                <w:rFonts w:hint="eastAsia"/>
                <w:color w:val="auto"/>
                <w:highlight w:val="none"/>
                <w:lang w:eastAsia="zh-CN"/>
              </w:rPr>
            </w:pPr>
          </w:p>
        </w:tc>
        <w:tc>
          <w:tcPr>
            <w:tcW w:w="2352" w:type="dxa"/>
            <w:noWrap w:val="0"/>
            <w:vAlign w:val="top"/>
          </w:tcPr>
          <w:p>
            <w:pPr>
              <w:bidi w:val="0"/>
              <w:spacing w:line="360" w:lineRule="auto"/>
              <w:jc w:val="center"/>
              <w:rPr>
                <w:rFonts w:hint="eastAsia"/>
                <w:color w:val="auto"/>
                <w:highlight w:val="none"/>
              </w:rPr>
            </w:pPr>
            <w:r>
              <w:rPr>
                <w:rFonts w:hint="eastAsia"/>
                <w:color w:val="auto"/>
                <w:highlight w:val="none"/>
              </w:rPr>
              <w:t>投标保证金</w:t>
            </w:r>
          </w:p>
        </w:tc>
        <w:tc>
          <w:tcPr>
            <w:tcW w:w="4896" w:type="dxa"/>
            <w:noWrap w:val="0"/>
            <w:vAlign w:val="top"/>
          </w:tcPr>
          <w:p>
            <w:pPr>
              <w:bidi w:val="0"/>
              <w:spacing w:line="360" w:lineRule="auto"/>
              <w:jc w:val="center"/>
              <w:rPr>
                <w:rFonts w:hint="eastAsia"/>
                <w:color w:val="auto"/>
                <w:highlight w:val="none"/>
                <w:lang w:eastAsia="zh-CN"/>
              </w:rPr>
            </w:pPr>
            <w:r>
              <w:rPr>
                <w:rFonts w:hint="eastAsia"/>
                <w:color w:val="auto"/>
                <w:highlight w:val="none"/>
                <w:lang w:eastAsia="zh-CN"/>
              </w:rPr>
              <w:t>符合第二章“投标人须知前附表”第 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5" w:type="dxa"/>
            <w:tcBorders>
              <w:top w:val="single" w:color="auto" w:sz="4" w:space="0"/>
              <w:left w:val="single" w:color="auto" w:sz="4" w:space="0"/>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rPr>
              <w:t>序号</w:t>
            </w:r>
          </w:p>
        </w:tc>
        <w:tc>
          <w:tcPr>
            <w:tcW w:w="1346"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rPr>
              <w:t>评分项目</w:t>
            </w:r>
          </w:p>
        </w:tc>
        <w:tc>
          <w:tcPr>
            <w:tcW w:w="2352"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rPr>
              <w:t>分值（100分）</w:t>
            </w:r>
          </w:p>
        </w:tc>
        <w:tc>
          <w:tcPr>
            <w:tcW w:w="4896"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72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2.2.1</w:t>
            </w:r>
          </w:p>
        </w:tc>
        <w:tc>
          <w:tcPr>
            <w:tcW w:w="1346" w:type="dxa"/>
            <w:tcBorders>
              <w:top w:val="single" w:color="auto" w:sz="4" w:space="0"/>
              <w:left w:val="nil"/>
              <w:bottom w:val="single" w:color="auto" w:sz="4" w:space="0"/>
              <w:right w:val="single" w:color="auto" w:sz="4" w:space="0"/>
            </w:tcBorders>
            <w:vAlign w:val="center"/>
          </w:tcPr>
          <w:p>
            <w:pPr>
              <w:bidi w:val="0"/>
              <w:spacing w:line="360" w:lineRule="auto"/>
              <w:rPr>
                <w:rFonts w:hint="eastAsia" w:asciiTheme="minorEastAsia" w:hAnsiTheme="minorEastAsia" w:eastAsiaTheme="minorEastAsia" w:cstheme="minorEastAsia"/>
                <w:color w:val="auto"/>
                <w:sz w:val="21"/>
                <w:szCs w:val="21"/>
                <w:highlight w:val="none"/>
              </w:rPr>
            </w:pPr>
            <w:r>
              <w:rPr>
                <w:rFonts w:hint="eastAsia"/>
                <w:color w:val="auto"/>
                <w:sz w:val="21"/>
                <w:szCs w:val="21"/>
                <w:highlight w:val="none"/>
              </w:rPr>
              <w:t>评标</w:t>
            </w:r>
            <w:r>
              <w:rPr>
                <w:rFonts w:hint="eastAsia" w:asciiTheme="minorEastAsia" w:hAnsiTheme="minorEastAsia" w:eastAsiaTheme="minorEastAsia" w:cstheme="minorEastAsia"/>
                <w:color w:val="auto"/>
                <w:sz w:val="21"/>
                <w:szCs w:val="21"/>
                <w:highlight w:val="none"/>
              </w:rPr>
              <w:t>基准价</w:t>
            </w:r>
          </w:p>
        </w:tc>
        <w:tc>
          <w:tcPr>
            <w:tcW w:w="23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评标基准价</w:t>
            </w:r>
          </w:p>
        </w:tc>
        <w:tc>
          <w:tcPr>
            <w:tcW w:w="489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left="63" w:leftChars="30" w:right="4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评标基准价：D＝E*50%+F*50%</w:t>
            </w:r>
          </w:p>
          <w:p>
            <w:pPr>
              <w:autoSpaceDE w:val="0"/>
              <w:autoSpaceDN w:val="0"/>
              <w:adjustRightInd w:val="0"/>
              <w:spacing w:line="360" w:lineRule="auto"/>
              <w:ind w:left="63" w:leftChars="30" w:right="4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式中：E--招标人的招标控制价；</w:t>
            </w:r>
          </w:p>
          <w:p>
            <w:pPr>
              <w:numPr>
                <w:ilvl w:val="0"/>
                <w:numId w:val="7"/>
              </w:numPr>
              <w:snapToGrid w:val="0"/>
              <w:spacing w:line="360" w:lineRule="auto"/>
              <w:ind w:firstLine="48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投标报价不高于E值的有效的投标报价算术平均值。其计算方法为：当有效投标人不超过五家时（含五家），取所有有效投标报价的算术平均值作为F值；当有效投标人超过五家时，去掉一个最高值和一个最低值后的算术平均值作为F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2.2.2</w:t>
            </w:r>
          </w:p>
        </w:tc>
        <w:tc>
          <w:tcPr>
            <w:tcW w:w="3698" w:type="dxa"/>
            <w:gridSpan w:val="2"/>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rPr>
              <w:t>投标报价的偏差率计算公式</w:t>
            </w:r>
          </w:p>
        </w:tc>
        <w:tc>
          <w:tcPr>
            <w:tcW w:w="4896" w:type="dxa"/>
            <w:tcBorders>
              <w:top w:val="single" w:color="auto" w:sz="4" w:space="0"/>
              <w:left w:val="nil"/>
              <w:bottom w:val="single" w:color="auto" w:sz="4" w:space="0"/>
              <w:right w:val="single" w:color="auto" w:sz="4" w:space="0"/>
            </w:tcBorders>
            <w:vAlign w:val="center"/>
          </w:tcPr>
          <w:p>
            <w:pPr>
              <w:bidi w:val="0"/>
              <w:spacing w:line="360" w:lineRule="auto"/>
              <w:rPr>
                <w:rFonts w:hint="eastAsia"/>
                <w:color w:val="auto"/>
                <w:sz w:val="21"/>
                <w:szCs w:val="21"/>
                <w:highlight w:val="none"/>
              </w:rPr>
            </w:pPr>
            <w:r>
              <w:rPr>
                <w:rFonts w:hint="eastAsia"/>
                <w:color w:val="auto"/>
                <w:sz w:val="21"/>
                <w:szCs w:val="21"/>
                <w:highlight w:val="none"/>
              </w:rPr>
              <w:t>偏差率=100%×（投标人报价－评标基准价）/评标基准价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2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2.2.3</w:t>
            </w:r>
          </w:p>
        </w:tc>
        <w:tc>
          <w:tcPr>
            <w:tcW w:w="1346"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rPr>
              <w:t>投标报价</w:t>
            </w:r>
          </w:p>
        </w:tc>
        <w:tc>
          <w:tcPr>
            <w:tcW w:w="2352"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lang w:val="en-US" w:eastAsia="zh-CN"/>
              </w:rPr>
              <w:t>15</w:t>
            </w:r>
            <w:r>
              <w:rPr>
                <w:rFonts w:hint="eastAsia"/>
                <w:color w:val="auto"/>
                <w:sz w:val="21"/>
                <w:szCs w:val="21"/>
                <w:highlight w:val="none"/>
              </w:rPr>
              <w:t>分</w:t>
            </w:r>
          </w:p>
        </w:tc>
        <w:tc>
          <w:tcPr>
            <w:tcW w:w="4896" w:type="dxa"/>
            <w:tcBorders>
              <w:top w:val="single" w:color="auto" w:sz="4" w:space="0"/>
              <w:left w:val="nil"/>
              <w:bottom w:val="single" w:color="auto" w:sz="4" w:space="0"/>
              <w:right w:val="single" w:color="auto" w:sz="4" w:space="0"/>
            </w:tcBorders>
            <w:vAlign w:val="center"/>
          </w:tcPr>
          <w:p>
            <w:pPr>
              <w:bidi w:val="0"/>
              <w:spacing w:line="360" w:lineRule="auto"/>
              <w:rPr>
                <w:rFonts w:hint="eastAsia"/>
                <w:color w:val="auto"/>
                <w:sz w:val="21"/>
                <w:szCs w:val="21"/>
                <w:highlight w:val="none"/>
              </w:rPr>
            </w:pPr>
            <w:r>
              <w:rPr>
                <w:rFonts w:hint="eastAsia"/>
                <w:color w:val="auto"/>
                <w:sz w:val="21"/>
                <w:szCs w:val="21"/>
                <w:highlight w:val="none"/>
              </w:rPr>
              <w:t>以评标基准值为基准，投标人的投标报价与评标基准值相等者得基本分</w:t>
            </w:r>
            <w:r>
              <w:rPr>
                <w:rFonts w:hint="eastAsia"/>
                <w:color w:val="auto"/>
                <w:sz w:val="21"/>
                <w:szCs w:val="21"/>
                <w:highlight w:val="none"/>
                <w:lang w:val="en-US" w:eastAsia="zh-CN"/>
              </w:rPr>
              <w:t>10</w:t>
            </w:r>
            <w:r>
              <w:rPr>
                <w:rFonts w:hint="eastAsia"/>
                <w:color w:val="auto"/>
                <w:sz w:val="21"/>
                <w:szCs w:val="21"/>
                <w:highlight w:val="none"/>
              </w:rPr>
              <w:t>分；投标报价高于评标基准值的，每高于评标基准值1%在</w:t>
            </w:r>
            <w:r>
              <w:rPr>
                <w:rFonts w:hint="eastAsia"/>
                <w:color w:val="auto"/>
                <w:sz w:val="21"/>
                <w:szCs w:val="21"/>
                <w:highlight w:val="none"/>
                <w:lang w:val="en-US" w:eastAsia="zh-CN"/>
              </w:rPr>
              <w:t>10</w:t>
            </w:r>
            <w:r>
              <w:rPr>
                <w:rFonts w:hint="eastAsia"/>
                <w:color w:val="auto"/>
                <w:sz w:val="21"/>
                <w:szCs w:val="21"/>
                <w:highlight w:val="none"/>
              </w:rPr>
              <w:t>分的基础上扣</w:t>
            </w:r>
            <w:r>
              <w:rPr>
                <w:rFonts w:hint="eastAsia"/>
                <w:color w:val="auto"/>
                <w:sz w:val="21"/>
                <w:szCs w:val="21"/>
                <w:highlight w:val="none"/>
                <w:lang w:val="en-US" w:eastAsia="zh-CN"/>
              </w:rPr>
              <w:t>1</w:t>
            </w:r>
            <w:r>
              <w:rPr>
                <w:rFonts w:hint="eastAsia"/>
                <w:color w:val="auto"/>
                <w:sz w:val="21"/>
                <w:szCs w:val="21"/>
                <w:highlight w:val="none"/>
              </w:rPr>
              <w:t>分，扣完为止；投标报价低于评标基准值的，每低于评标基准值1%在</w:t>
            </w:r>
            <w:r>
              <w:rPr>
                <w:rFonts w:hint="eastAsia"/>
                <w:color w:val="auto"/>
                <w:sz w:val="21"/>
                <w:szCs w:val="21"/>
                <w:highlight w:val="none"/>
                <w:lang w:val="en-US" w:eastAsia="zh-CN"/>
              </w:rPr>
              <w:t>10</w:t>
            </w:r>
            <w:r>
              <w:rPr>
                <w:rFonts w:hint="eastAsia"/>
                <w:color w:val="auto"/>
                <w:sz w:val="21"/>
                <w:szCs w:val="21"/>
                <w:highlight w:val="none"/>
              </w:rPr>
              <w:t>分的基础上加1分，最高加5分；投标报价低于评标基准值的95%(不含95%)的，低于的部分，每</w:t>
            </w:r>
            <w:r>
              <w:rPr>
                <w:rFonts w:hint="eastAsia"/>
                <w:color w:val="auto"/>
                <w:sz w:val="21"/>
                <w:szCs w:val="21"/>
                <w:highlight w:val="none"/>
                <w:lang w:eastAsia="zh-CN"/>
              </w:rPr>
              <w:t>再</w:t>
            </w:r>
            <w:r>
              <w:rPr>
                <w:rFonts w:hint="eastAsia"/>
                <w:color w:val="auto"/>
                <w:sz w:val="21"/>
                <w:szCs w:val="21"/>
                <w:highlight w:val="none"/>
              </w:rPr>
              <w:t>低于评标基准值1%从满分</w:t>
            </w:r>
            <w:r>
              <w:rPr>
                <w:rFonts w:hint="eastAsia"/>
                <w:color w:val="auto"/>
                <w:sz w:val="21"/>
                <w:szCs w:val="21"/>
                <w:highlight w:val="none"/>
                <w:lang w:val="en-US" w:eastAsia="zh-CN"/>
              </w:rPr>
              <w:t>15</w:t>
            </w:r>
            <w:r>
              <w:rPr>
                <w:rFonts w:hint="eastAsia"/>
                <w:color w:val="auto"/>
                <w:sz w:val="21"/>
                <w:szCs w:val="21"/>
                <w:highlight w:val="none"/>
              </w:rPr>
              <w:t>分的基础上中扣</w:t>
            </w:r>
            <w:r>
              <w:rPr>
                <w:rFonts w:hint="eastAsia"/>
                <w:color w:val="auto"/>
                <w:sz w:val="21"/>
                <w:szCs w:val="21"/>
                <w:highlight w:val="none"/>
                <w:lang w:val="en-US" w:eastAsia="zh-CN"/>
              </w:rPr>
              <w:t>1</w:t>
            </w:r>
            <w:r>
              <w:rPr>
                <w:rFonts w:hint="eastAsia"/>
                <w:color w:val="auto"/>
                <w:sz w:val="21"/>
                <w:szCs w:val="21"/>
                <w:highlight w:val="none"/>
              </w:rPr>
              <w:t>分，扣完为止。（不足1%按插入法计算，保留两位小数）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72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2.2.4</w:t>
            </w:r>
          </w:p>
        </w:tc>
        <w:tc>
          <w:tcPr>
            <w:tcW w:w="1346"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rPr>
              <w:t>企业实力</w:t>
            </w:r>
          </w:p>
        </w:tc>
        <w:tc>
          <w:tcPr>
            <w:tcW w:w="2352"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lang w:val="en-US" w:eastAsia="zh-CN"/>
              </w:rPr>
              <w:t>20</w:t>
            </w:r>
            <w:r>
              <w:rPr>
                <w:rFonts w:hint="eastAsia"/>
                <w:color w:val="auto"/>
                <w:sz w:val="21"/>
                <w:szCs w:val="21"/>
                <w:highlight w:val="none"/>
              </w:rPr>
              <w:t>分</w:t>
            </w:r>
          </w:p>
        </w:tc>
        <w:tc>
          <w:tcPr>
            <w:tcW w:w="4896" w:type="dxa"/>
            <w:tcBorders>
              <w:top w:val="single" w:color="auto" w:sz="4" w:space="0"/>
              <w:left w:val="nil"/>
              <w:bottom w:val="single" w:color="auto" w:sz="4" w:space="0"/>
              <w:right w:val="single" w:color="auto" w:sz="4" w:space="0"/>
            </w:tcBorders>
            <w:vAlign w:val="center"/>
          </w:tcPr>
          <w:p>
            <w:pPr>
              <w:bidi w:val="0"/>
              <w:spacing w:line="360" w:lineRule="auto"/>
              <w:rPr>
                <w:rFonts w:hint="eastAsia"/>
                <w:color w:val="auto"/>
                <w:highlight w:val="none"/>
              </w:rPr>
            </w:pPr>
            <w:r>
              <w:rPr>
                <w:rFonts w:hint="eastAsia"/>
                <w:color w:val="auto"/>
                <w:highlight w:val="none"/>
                <w:lang w:val="en-US" w:eastAsia="zh-CN"/>
              </w:rPr>
              <w:t>1、</w:t>
            </w:r>
            <w:r>
              <w:rPr>
                <w:rFonts w:hint="eastAsia"/>
                <w:color w:val="auto"/>
                <w:highlight w:val="none"/>
              </w:rPr>
              <w:t>投标人201</w:t>
            </w:r>
            <w:r>
              <w:rPr>
                <w:rFonts w:hint="eastAsia"/>
                <w:color w:val="auto"/>
                <w:highlight w:val="none"/>
                <w:lang w:val="en-US" w:eastAsia="zh-CN"/>
              </w:rPr>
              <w:t>7</w:t>
            </w:r>
            <w:r>
              <w:rPr>
                <w:rFonts w:hint="eastAsia"/>
                <w:color w:val="auto"/>
                <w:highlight w:val="none"/>
              </w:rPr>
              <w:t>年1月1日以来承接过类似项目的，每项</w:t>
            </w:r>
            <w:r>
              <w:rPr>
                <w:rFonts w:hint="eastAsia"/>
                <w:color w:val="auto"/>
                <w:highlight w:val="none"/>
                <w:lang w:val="en-US" w:eastAsia="zh-CN"/>
              </w:rPr>
              <w:t>3</w:t>
            </w:r>
            <w:r>
              <w:rPr>
                <w:rFonts w:hint="eastAsia"/>
                <w:color w:val="auto"/>
                <w:highlight w:val="none"/>
              </w:rPr>
              <w:t>分，最多得</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（以中标通知书和签订的合同为准，同时具备）</w:t>
            </w:r>
            <w:r>
              <w:rPr>
                <w:rFonts w:hint="eastAsia"/>
                <w:color w:val="auto"/>
                <w:highlight w:val="none"/>
              </w:rPr>
              <w:t>。</w:t>
            </w:r>
          </w:p>
          <w:p>
            <w:pPr>
              <w:bidi w:val="0"/>
              <w:spacing w:line="360" w:lineRule="auto"/>
              <w:rPr>
                <w:rFonts w:hint="eastAsia"/>
                <w:color w:val="auto"/>
                <w:highlight w:val="none"/>
              </w:rPr>
            </w:pPr>
            <w:r>
              <w:rPr>
                <w:rFonts w:hint="eastAsia"/>
                <w:color w:val="auto"/>
                <w:highlight w:val="none"/>
                <w:lang w:val="en-US" w:eastAsia="zh-CN"/>
              </w:rPr>
              <w:t>2、</w:t>
            </w:r>
            <w:r>
              <w:rPr>
                <w:rFonts w:hint="eastAsia"/>
                <w:color w:val="auto"/>
                <w:highlight w:val="none"/>
              </w:rPr>
              <w:t>201</w:t>
            </w:r>
            <w:r>
              <w:rPr>
                <w:rFonts w:hint="eastAsia"/>
                <w:color w:val="auto"/>
                <w:highlight w:val="none"/>
                <w:lang w:val="en-US" w:eastAsia="zh-CN"/>
              </w:rPr>
              <w:t>7</w:t>
            </w:r>
            <w:r>
              <w:rPr>
                <w:rFonts w:hint="eastAsia"/>
                <w:color w:val="auto"/>
                <w:highlight w:val="none"/>
              </w:rPr>
              <w:t>年 1 月 1 日以来，投标人获得</w:t>
            </w:r>
            <w:r>
              <w:rPr>
                <w:rFonts w:hint="eastAsia"/>
                <w:color w:val="auto"/>
                <w:highlight w:val="none"/>
                <w:lang w:eastAsia="zh-CN"/>
              </w:rPr>
              <w:t>国家级</w:t>
            </w:r>
            <w:r>
              <w:rPr>
                <w:rFonts w:hint="eastAsia"/>
                <w:color w:val="auto"/>
                <w:highlight w:val="none"/>
              </w:rPr>
              <w:t>优秀工程设计</w:t>
            </w:r>
            <w:r>
              <w:rPr>
                <w:rFonts w:hint="eastAsia"/>
                <w:color w:val="auto"/>
                <w:highlight w:val="none"/>
                <w:lang w:eastAsia="zh-CN"/>
              </w:rPr>
              <w:t>奖项的得</w:t>
            </w:r>
            <w:r>
              <w:rPr>
                <w:rFonts w:hint="eastAsia"/>
                <w:color w:val="auto"/>
                <w:highlight w:val="none"/>
                <w:lang w:val="en-US" w:eastAsia="zh-CN"/>
              </w:rPr>
              <w:t>3分，</w:t>
            </w:r>
            <w:r>
              <w:rPr>
                <w:rFonts w:hint="eastAsia"/>
                <w:color w:val="auto"/>
                <w:highlight w:val="none"/>
              </w:rPr>
              <w:t>获得省级优秀工程设计</w:t>
            </w:r>
            <w:r>
              <w:rPr>
                <w:rFonts w:hint="eastAsia"/>
                <w:color w:val="auto"/>
                <w:highlight w:val="none"/>
                <w:lang w:eastAsia="zh-CN"/>
              </w:rPr>
              <w:t>奖项的</w:t>
            </w:r>
            <w:r>
              <w:rPr>
                <w:rFonts w:hint="eastAsia"/>
                <w:color w:val="auto"/>
                <w:highlight w:val="none"/>
              </w:rPr>
              <w:t>每个得</w:t>
            </w:r>
            <w:r>
              <w:rPr>
                <w:rFonts w:hint="eastAsia"/>
                <w:color w:val="auto"/>
                <w:highlight w:val="none"/>
                <w:lang w:val="en-US" w:eastAsia="zh-CN"/>
              </w:rPr>
              <w:t>2</w:t>
            </w:r>
            <w:r>
              <w:rPr>
                <w:rFonts w:hint="eastAsia"/>
                <w:color w:val="auto"/>
                <w:highlight w:val="none"/>
              </w:rPr>
              <w:t>分，获得</w:t>
            </w:r>
            <w:r>
              <w:rPr>
                <w:rFonts w:hint="eastAsia"/>
                <w:color w:val="auto"/>
                <w:highlight w:val="none"/>
                <w:lang w:eastAsia="zh-CN"/>
              </w:rPr>
              <w:t>市</w:t>
            </w:r>
            <w:r>
              <w:rPr>
                <w:rFonts w:hint="eastAsia"/>
                <w:color w:val="auto"/>
                <w:highlight w:val="none"/>
              </w:rPr>
              <w:t>级优秀工程设计</w:t>
            </w:r>
            <w:r>
              <w:rPr>
                <w:rFonts w:hint="eastAsia"/>
                <w:color w:val="auto"/>
                <w:highlight w:val="none"/>
                <w:lang w:eastAsia="zh-CN"/>
              </w:rPr>
              <w:t>奖项的</w:t>
            </w:r>
            <w:r>
              <w:rPr>
                <w:rFonts w:hint="eastAsia"/>
                <w:color w:val="auto"/>
                <w:highlight w:val="none"/>
              </w:rPr>
              <w:t>每个得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，可累加，本项</w:t>
            </w:r>
            <w:r>
              <w:rPr>
                <w:rFonts w:hint="eastAsia"/>
                <w:color w:val="auto"/>
                <w:highlight w:val="none"/>
              </w:rPr>
              <w:t>最多</w:t>
            </w:r>
            <w:r>
              <w:rPr>
                <w:rFonts w:hint="eastAsia"/>
                <w:color w:val="auto"/>
                <w:highlight w:val="none"/>
                <w:lang w:val="en-US" w:eastAsia="zh-CN"/>
              </w:rPr>
              <w:t>6</w:t>
            </w:r>
            <w:r>
              <w:rPr>
                <w:rFonts w:hint="eastAsia"/>
                <w:color w:val="auto"/>
                <w:highlight w:val="none"/>
              </w:rPr>
              <w:t>分。</w:t>
            </w:r>
          </w:p>
          <w:p>
            <w:pPr>
              <w:numPr>
                <w:ilvl w:val="0"/>
                <w:numId w:val="8"/>
              </w:numPr>
              <w:bidi w:val="0"/>
              <w:spacing w:line="360" w:lineRule="auto"/>
              <w:rPr>
                <w:rFonts w:hint="eastAsia"/>
                <w:color w:val="auto"/>
                <w:highlight w:val="none"/>
              </w:rPr>
            </w:pPr>
            <w:r>
              <w:rPr>
                <w:rFonts w:hint="eastAsia"/>
                <w:color w:val="auto"/>
                <w:highlight w:val="none"/>
              </w:rPr>
              <w:t>投标人具有国家认可的认证机构颁发的有效期内的 ISO9001 质量管理体系认证、环境管理体系认证、职业健康与安全管理体系认证证书的，每个得1分，最高得3分。</w:t>
            </w:r>
          </w:p>
          <w:p>
            <w:pPr>
              <w:numPr>
                <w:ilvl w:val="0"/>
                <w:numId w:val="8"/>
              </w:numPr>
              <w:bidi w:val="0"/>
              <w:spacing w:line="360" w:lineRule="auto"/>
              <w:rPr>
                <w:rFonts w:hint="eastAsia"/>
                <w:color w:val="auto"/>
                <w:highlight w:val="none"/>
              </w:rPr>
            </w:pPr>
            <w:r>
              <w:rPr>
                <w:rFonts w:hint="eastAsia"/>
                <w:color w:val="auto"/>
                <w:highlight w:val="none"/>
              </w:rPr>
              <w:t>投标人获得投标企业诚实守信单位得3分</w:t>
            </w:r>
            <w:r>
              <w:rPr>
                <w:rFonts w:hint="eastAsia"/>
                <w:color w:val="auto"/>
                <w:highlight w:val="none"/>
                <w:lang w:eastAsia="zh-CN"/>
              </w:rPr>
              <w:t>。</w:t>
            </w:r>
          </w:p>
          <w:p>
            <w:pPr>
              <w:numPr>
                <w:ilvl w:val="0"/>
                <w:numId w:val="8"/>
              </w:numPr>
              <w:bidi w:val="0"/>
              <w:spacing w:line="360" w:lineRule="auto"/>
              <w:rPr>
                <w:rFonts w:hint="eastAsia"/>
                <w:color w:val="auto"/>
                <w:highlight w:val="none"/>
              </w:rPr>
            </w:pPr>
            <w:r>
              <w:rPr>
                <w:rFonts w:hint="eastAsia"/>
                <w:color w:val="auto"/>
                <w:highlight w:val="none"/>
              </w:rPr>
              <w:t>投标人获得高新技术企业证书得2分</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2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2.2.5</w:t>
            </w:r>
          </w:p>
        </w:tc>
        <w:tc>
          <w:tcPr>
            <w:tcW w:w="1346"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lang w:eastAsia="zh-CN"/>
              </w:rPr>
            </w:pPr>
            <w:r>
              <w:rPr>
                <w:rFonts w:hint="eastAsia"/>
                <w:color w:val="auto"/>
                <w:sz w:val="21"/>
                <w:szCs w:val="21"/>
                <w:highlight w:val="none"/>
              </w:rPr>
              <w:t>项目</w:t>
            </w:r>
            <w:r>
              <w:rPr>
                <w:rFonts w:hint="eastAsia"/>
                <w:color w:val="auto"/>
                <w:sz w:val="21"/>
                <w:szCs w:val="21"/>
                <w:highlight w:val="none"/>
                <w:lang w:eastAsia="zh-CN"/>
              </w:rPr>
              <w:t>组成人员</w:t>
            </w:r>
          </w:p>
        </w:tc>
        <w:tc>
          <w:tcPr>
            <w:tcW w:w="2352"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rPr>
              <w:t>10分</w:t>
            </w:r>
          </w:p>
        </w:tc>
        <w:tc>
          <w:tcPr>
            <w:tcW w:w="4896" w:type="dxa"/>
            <w:tcBorders>
              <w:top w:val="single" w:color="auto" w:sz="4" w:space="0"/>
              <w:left w:val="nil"/>
              <w:bottom w:val="single" w:color="auto" w:sz="4" w:space="0"/>
              <w:right w:val="single" w:color="auto" w:sz="4" w:space="0"/>
            </w:tcBorders>
          </w:tcPr>
          <w:p>
            <w:pPr>
              <w:bidi w:val="0"/>
              <w:spacing w:line="360" w:lineRule="auto"/>
              <w:rPr>
                <w:rFonts w:hint="default"/>
                <w:color w:val="auto"/>
                <w:sz w:val="21"/>
                <w:szCs w:val="21"/>
                <w:highlight w:val="none"/>
                <w:lang w:val="en-US" w:eastAsia="zh-CN"/>
              </w:rPr>
            </w:pPr>
            <w:r>
              <w:rPr>
                <w:rFonts w:hint="eastAsia"/>
                <w:color w:val="auto"/>
                <w:sz w:val="21"/>
                <w:szCs w:val="21"/>
                <w:highlight w:val="none"/>
                <w:lang w:eastAsia="zh-CN"/>
              </w:rPr>
              <w:t>1、专业配备（</w:t>
            </w:r>
            <w:r>
              <w:rPr>
                <w:rFonts w:hint="eastAsia"/>
                <w:color w:val="auto"/>
                <w:sz w:val="21"/>
                <w:szCs w:val="21"/>
                <w:highlight w:val="none"/>
                <w:lang w:val="en-US" w:eastAsia="zh-CN"/>
              </w:rPr>
              <w:t>5分</w:t>
            </w:r>
            <w:r>
              <w:rPr>
                <w:rFonts w:hint="eastAsia"/>
                <w:color w:val="auto"/>
                <w:sz w:val="21"/>
                <w:szCs w:val="21"/>
                <w:highlight w:val="none"/>
                <w:lang w:eastAsia="zh-CN"/>
              </w:rPr>
              <w:t>）：项目组成人员中除项目负责人外，每配备一名注册一级建筑师且具有相关中级及以上技术职称的得</w:t>
            </w:r>
            <w:r>
              <w:rPr>
                <w:rFonts w:hint="eastAsia"/>
                <w:color w:val="auto"/>
                <w:sz w:val="21"/>
                <w:szCs w:val="21"/>
                <w:highlight w:val="none"/>
                <w:lang w:val="en-US" w:eastAsia="zh-CN"/>
              </w:rPr>
              <w:t>1分</w:t>
            </w:r>
            <w:r>
              <w:rPr>
                <w:rFonts w:hint="eastAsia"/>
                <w:color w:val="auto"/>
                <w:sz w:val="21"/>
                <w:szCs w:val="21"/>
                <w:highlight w:val="none"/>
                <w:lang w:eastAsia="zh-CN"/>
              </w:rPr>
              <w:t>、配备一名注册一级结构师且具有相关中级及以上技术职称的得</w:t>
            </w:r>
            <w:r>
              <w:rPr>
                <w:rFonts w:hint="eastAsia"/>
                <w:color w:val="auto"/>
                <w:sz w:val="21"/>
                <w:szCs w:val="21"/>
                <w:highlight w:val="none"/>
                <w:lang w:val="en-US" w:eastAsia="zh-CN"/>
              </w:rPr>
              <w:t>1分</w:t>
            </w:r>
            <w:r>
              <w:rPr>
                <w:rFonts w:hint="eastAsia"/>
                <w:color w:val="auto"/>
                <w:sz w:val="21"/>
                <w:szCs w:val="21"/>
                <w:highlight w:val="none"/>
                <w:lang w:eastAsia="zh-CN"/>
              </w:rPr>
              <w:t>、配备一名注册设备师且具有相关中级及以上技术职称的得</w:t>
            </w:r>
            <w:r>
              <w:rPr>
                <w:rFonts w:hint="eastAsia"/>
                <w:color w:val="auto"/>
                <w:sz w:val="21"/>
                <w:szCs w:val="21"/>
                <w:highlight w:val="none"/>
                <w:lang w:val="en-US" w:eastAsia="zh-CN"/>
              </w:rPr>
              <w:t>1分</w:t>
            </w:r>
            <w:r>
              <w:rPr>
                <w:rFonts w:hint="eastAsia"/>
                <w:color w:val="auto"/>
                <w:sz w:val="21"/>
                <w:szCs w:val="21"/>
                <w:highlight w:val="none"/>
                <w:lang w:eastAsia="zh-CN"/>
              </w:rPr>
              <w:t>，配备一名注册电气师且具有相关中级及以上技术职称的得</w:t>
            </w:r>
            <w:r>
              <w:rPr>
                <w:rFonts w:hint="eastAsia"/>
                <w:color w:val="auto"/>
                <w:sz w:val="21"/>
                <w:szCs w:val="21"/>
                <w:highlight w:val="none"/>
                <w:lang w:val="en-US" w:eastAsia="zh-CN"/>
              </w:rPr>
              <w:t>1分</w:t>
            </w:r>
            <w:r>
              <w:rPr>
                <w:rFonts w:hint="eastAsia"/>
                <w:color w:val="auto"/>
                <w:sz w:val="21"/>
                <w:szCs w:val="21"/>
                <w:highlight w:val="none"/>
                <w:lang w:eastAsia="zh-CN"/>
              </w:rPr>
              <w:t>、配备一名注册造价师且具有相关中级及以上技术职称的得</w:t>
            </w:r>
            <w:r>
              <w:rPr>
                <w:rFonts w:hint="eastAsia"/>
                <w:color w:val="auto"/>
                <w:sz w:val="21"/>
                <w:szCs w:val="21"/>
                <w:highlight w:val="none"/>
                <w:lang w:val="en-US" w:eastAsia="zh-CN"/>
              </w:rPr>
              <w:t>1分，无相关配备人员的不得分。</w:t>
            </w:r>
            <w:r>
              <w:rPr>
                <w:rFonts w:hint="eastAsia"/>
                <w:color w:val="auto"/>
                <w:sz w:val="21"/>
                <w:szCs w:val="21"/>
                <w:highlight w:val="none"/>
                <w:lang w:eastAsia="zh-CN"/>
              </w:rPr>
              <w:t>（需提供养老保险证明）</w:t>
            </w:r>
            <w:r>
              <w:rPr>
                <w:rFonts w:hint="eastAsia"/>
                <w:color w:val="auto"/>
                <w:sz w:val="21"/>
                <w:szCs w:val="21"/>
                <w:highlight w:val="none"/>
                <w:lang w:val="en-US" w:eastAsia="zh-CN"/>
              </w:rPr>
              <w:t>.</w:t>
            </w:r>
          </w:p>
          <w:p>
            <w:pPr>
              <w:bidi w:val="0"/>
              <w:spacing w:line="360" w:lineRule="auto"/>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项目负责人201</w:t>
            </w:r>
            <w:r>
              <w:rPr>
                <w:rFonts w:hint="eastAsia"/>
                <w:color w:val="auto"/>
                <w:sz w:val="21"/>
                <w:szCs w:val="21"/>
                <w:highlight w:val="none"/>
                <w:lang w:val="en-US" w:eastAsia="zh-CN"/>
              </w:rPr>
              <w:t>7</w:t>
            </w:r>
            <w:r>
              <w:rPr>
                <w:rFonts w:hint="eastAsia"/>
                <w:color w:val="auto"/>
                <w:sz w:val="21"/>
                <w:szCs w:val="21"/>
                <w:highlight w:val="none"/>
              </w:rPr>
              <w:t>年1月1日以来有完成类似设计项目的，每项得2</w:t>
            </w:r>
            <w:r>
              <w:rPr>
                <w:rFonts w:hint="eastAsia"/>
                <w:color w:val="auto"/>
                <w:sz w:val="21"/>
                <w:szCs w:val="21"/>
                <w:highlight w:val="none"/>
                <w:lang w:val="en-US" w:eastAsia="zh-CN"/>
              </w:rPr>
              <w:t>.5</w:t>
            </w:r>
            <w:r>
              <w:rPr>
                <w:rFonts w:hint="eastAsia"/>
                <w:color w:val="auto"/>
                <w:sz w:val="21"/>
                <w:szCs w:val="21"/>
                <w:highlight w:val="none"/>
              </w:rPr>
              <w:t>分，本项最高得</w:t>
            </w:r>
            <w:r>
              <w:rPr>
                <w:rFonts w:hint="eastAsia"/>
                <w:color w:val="auto"/>
                <w:sz w:val="21"/>
                <w:szCs w:val="21"/>
                <w:highlight w:val="none"/>
                <w:lang w:val="en-US" w:eastAsia="zh-CN"/>
              </w:rPr>
              <w:t>5</w:t>
            </w:r>
            <w:r>
              <w:rPr>
                <w:rFonts w:hint="eastAsia"/>
                <w:color w:val="auto"/>
                <w:sz w:val="21"/>
                <w:szCs w:val="21"/>
                <w:highlight w:val="none"/>
              </w:rPr>
              <w:t>分。（以中标通知书和签订的合同为准</w:t>
            </w:r>
            <w:r>
              <w:rPr>
                <w:rFonts w:hint="eastAsia"/>
                <w:color w:val="auto"/>
                <w:sz w:val="21"/>
                <w:szCs w:val="21"/>
                <w:highlight w:val="none"/>
                <w:lang w:eastAsia="zh-CN"/>
              </w:rPr>
              <w:t>，需显示项目负责人姓名</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72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2.2.6</w:t>
            </w:r>
          </w:p>
        </w:tc>
        <w:tc>
          <w:tcPr>
            <w:tcW w:w="1346"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rPr>
              <w:t>设计方案</w:t>
            </w:r>
          </w:p>
        </w:tc>
        <w:tc>
          <w:tcPr>
            <w:tcW w:w="2352"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rPr>
            </w:pPr>
            <w:r>
              <w:rPr>
                <w:rFonts w:hint="eastAsia"/>
                <w:color w:val="auto"/>
                <w:sz w:val="21"/>
                <w:szCs w:val="21"/>
                <w:highlight w:val="none"/>
                <w:lang w:val="en-US" w:eastAsia="zh-CN"/>
              </w:rPr>
              <w:t>50</w:t>
            </w:r>
            <w:r>
              <w:rPr>
                <w:rFonts w:hint="eastAsia"/>
                <w:color w:val="auto"/>
                <w:sz w:val="21"/>
                <w:szCs w:val="21"/>
                <w:highlight w:val="none"/>
              </w:rPr>
              <w:t>分</w:t>
            </w:r>
          </w:p>
        </w:tc>
        <w:tc>
          <w:tcPr>
            <w:tcW w:w="4896" w:type="dxa"/>
            <w:tcBorders>
              <w:top w:val="single" w:color="auto" w:sz="4" w:space="0"/>
              <w:left w:val="nil"/>
              <w:bottom w:val="single" w:color="auto" w:sz="4" w:space="0"/>
              <w:right w:val="single" w:color="auto" w:sz="4" w:space="0"/>
            </w:tcBorders>
            <w:vAlign w:val="center"/>
          </w:tcPr>
          <w:p>
            <w:pPr>
              <w:bidi w:val="0"/>
              <w:spacing w:line="360" w:lineRule="auto"/>
              <w:rPr>
                <w:color w:val="auto"/>
                <w:highlight w:val="none"/>
              </w:rPr>
            </w:pPr>
            <w:r>
              <w:rPr>
                <w:rFonts w:hint="eastAsia"/>
                <w:color w:val="auto"/>
                <w:highlight w:val="none"/>
                <w:lang w:val="en-US" w:eastAsia="zh-CN"/>
              </w:rPr>
              <w:t>1、</w:t>
            </w:r>
            <w:r>
              <w:rPr>
                <w:rFonts w:hint="eastAsia"/>
                <w:color w:val="auto"/>
                <w:highlight w:val="none"/>
              </w:rPr>
              <w:t>方案</w:t>
            </w:r>
            <w:r>
              <w:rPr>
                <w:color w:val="auto"/>
                <w:highlight w:val="none"/>
              </w:rPr>
              <w:t>说明</w:t>
            </w:r>
            <w:r>
              <w:rPr>
                <w:rFonts w:hint="eastAsia"/>
                <w:color w:val="auto"/>
                <w:highlight w:val="none"/>
              </w:rPr>
              <w:t>及</w:t>
            </w:r>
            <w:r>
              <w:rPr>
                <w:color w:val="auto"/>
                <w:highlight w:val="none"/>
              </w:rPr>
              <w:t>理念</w:t>
            </w:r>
            <w:r>
              <w:rPr>
                <w:rFonts w:hint="eastAsia"/>
                <w:color w:val="auto"/>
                <w:highlight w:val="none"/>
              </w:rPr>
              <w:t>：方案</w:t>
            </w:r>
            <w:r>
              <w:rPr>
                <w:color w:val="auto"/>
                <w:highlight w:val="none"/>
              </w:rPr>
              <w:t>说明</w:t>
            </w:r>
            <w:r>
              <w:rPr>
                <w:rFonts w:hint="eastAsia"/>
                <w:color w:val="auto"/>
                <w:highlight w:val="none"/>
              </w:rPr>
              <w:t>清晰，</w:t>
            </w:r>
            <w:r>
              <w:rPr>
                <w:color w:val="auto"/>
                <w:highlight w:val="none"/>
              </w:rPr>
              <w:t>具有可</w:t>
            </w:r>
            <w:r>
              <w:rPr>
                <w:rFonts w:hint="eastAsia"/>
                <w:color w:val="auto"/>
                <w:highlight w:val="none"/>
              </w:rPr>
              <w:t>操作性；</w:t>
            </w:r>
            <w:r>
              <w:rPr>
                <w:color w:val="auto"/>
                <w:highlight w:val="none"/>
              </w:rPr>
              <w:t>设计理念</w:t>
            </w:r>
            <w:r>
              <w:rPr>
                <w:rFonts w:hint="eastAsia"/>
                <w:color w:val="auto"/>
                <w:highlight w:val="none"/>
              </w:rPr>
              <w:t>符合规划设计</w:t>
            </w:r>
            <w:r>
              <w:rPr>
                <w:color w:val="auto"/>
                <w:highlight w:val="none"/>
              </w:rPr>
              <w:t>要求</w:t>
            </w:r>
            <w:r>
              <w:rPr>
                <w:rFonts w:hint="eastAsia"/>
                <w:color w:val="auto"/>
                <w:highlight w:val="none"/>
              </w:rPr>
              <w:t>，</w:t>
            </w:r>
            <w:r>
              <w:rPr>
                <w:color w:val="auto"/>
                <w:highlight w:val="none"/>
              </w:rPr>
              <w:t>具有</w:t>
            </w:r>
            <w:r>
              <w:rPr>
                <w:rFonts w:hint="eastAsia"/>
                <w:color w:val="auto"/>
                <w:highlight w:val="none"/>
              </w:rPr>
              <w:t>前瞻性</w:t>
            </w:r>
            <w:r>
              <w:rPr>
                <w:color w:val="auto"/>
                <w:highlight w:val="none"/>
              </w:rPr>
              <w:t xml:space="preserve">和实用性。       </w:t>
            </w:r>
            <w:r>
              <w:rPr>
                <w:rFonts w:hint="eastAsia"/>
                <w:color w:val="auto"/>
                <w:highlight w:val="none"/>
              </w:rPr>
              <w:t>0-</w:t>
            </w:r>
            <w:r>
              <w:rPr>
                <w:rFonts w:hint="eastAsia"/>
                <w:color w:val="auto"/>
                <w:highlight w:val="none"/>
                <w:lang w:val="en-US" w:eastAsia="zh-CN"/>
              </w:rPr>
              <w:t>5</w:t>
            </w:r>
            <w:r>
              <w:rPr>
                <w:rFonts w:hint="eastAsia"/>
                <w:color w:val="auto"/>
                <w:highlight w:val="none"/>
              </w:rPr>
              <w:t>分</w:t>
            </w:r>
          </w:p>
          <w:p>
            <w:pPr>
              <w:bidi w:val="0"/>
              <w:spacing w:line="360" w:lineRule="auto"/>
              <w:rPr>
                <w:color w:val="auto"/>
                <w:highlight w:val="none"/>
              </w:rPr>
            </w:pPr>
            <w:r>
              <w:rPr>
                <w:rFonts w:hint="eastAsia"/>
                <w:color w:val="auto"/>
                <w:highlight w:val="none"/>
                <w:lang w:val="en-US" w:eastAsia="zh-CN"/>
              </w:rPr>
              <w:t>2、</w:t>
            </w:r>
            <w:r>
              <w:rPr>
                <w:rFonts w:hint="eastAsia"/>
                <w:color w:val="auto"/>
                <w:highlight w:val="none"/>
              </w:rPr>
              <w:t xml:space="preserve">规划：规划结构清晰；设计环境与空间造型和谐统一，充分协调好周边建筑的关系；功能区域布置合理，各具特色又有机联系，主次分明、功能明确；注重城市空间形象。 </w:t>
            </w:r>
            <w:r>
              <w:rPr>
                <w:color w:val="auto"/>
                <w:highlight w:val="none"/>
              </w:rPr>
              <w:t>0-</w:t>
            </w:r>
            <w:r>
              <w:rPr>
                <w:rFonts w:hint="eastAsia"/>
                <w:color w:val="auto"/>
                <w:highlight w:val="none"/>
                <w:lang w:val="en-US" w:eastAsia="zh-CN"/>
              </w:rPr>
              <w:t>5</w:t>
            </w:r>
            <w:r>
              <w:rPr>
                <w:rFonts w:hint="eastAsia"/>
                <w:color w:val="auto"/>
                <w:highlight w:val="none"/>
              </w:rPr>
              <w:t>分</w:t>
            </w:r>
          </w:p>
          <w:p>
            <w:pPr>
              <w:bidi w:val="0"/>
              <w:spacing w:line="360" w:lineRule="auto"/>
              <w:rPr>
                <w:color w:val="auto"/>
                <w:highlight w:val="none"/>
              </w:rPr>
            </w:pPr>
            <w:r>
              <w:rPr>
                <w:rFonts w:hint="eastAsia"/>
                <w:color w:val="auto"/>
                <w:highlight w:val="none"/>
              </w:rPr>
              <w:t>动线</w:t>
            </w:r>
            <w:r>
              <w:rPr>
                <w:color w:val="auto"/>
                <w:highlight w:val="none"/>
              </w:rPr>
              <w:t>：</w:t>
            </w:r>
            <w:r>
              <w:rPr>
                <w:rFonts w:hint="eastAsia"/>
                <w:color w:val="auto"/>
                <w:highlight w:val="none"/>
              </w:rPr>
              <w:t>是否合理考虑人行及车行流线，人车分流，合理设置出入口。</w:t>
            </w:r>
            <w:r>
              <w:rPr>
                <w:color w:val="auto"/>
                <w:highlight w:val="none"/>
              </w:rPr>
              <w:t xml:space="preserve">    0-</w:t>
            </w:r>
            <w:r>
              <w:rPr>
                <w:rFonts w:hint="eastAsia"/>
                <w:color w:val="auto"/>
                <w:highlight w:val="none"/>
                <w:lang w:val="en-US" w:eastAsia="zh-CN"/>
              </w:rPr>
              <w:t>4</w:t>
            </w:r>
            <w:r>
              <w:rPr>
                <w:rFonts w:hint="eastAsia"/>
                <w:color w:val="auto"/>
                <w:highlight w:val="none"/>
              </w:rPr>
              <w:t>分</w:t>
            </w:r>
          </w:p>
          <w:p>
            <w:pPr>
              <w:bidi w:val="0"/>
              <w:spacing w:line="360" w:lineRule="auto"/>
              <w:rPr>
                <w:color w:val="auto"/>
                <w:highlight w:val="none"/>
              </w:rPr>
            </w:pPr>
            <w:r>
              <w:rPr>
                <w:rFonts w:hint="eastAsia"/>
                <w:color w:val="auto"/>
                <w:highlight w:val="none"/>
                <w:lang w:val="en-US" w:eastAsia="zh-CN"/>
              </w:rPr>
              <w:t>3、</w:t>
            </w:r>
            <w:r>
              <w:rPr>
                <w:rFonts w:hint="eastAsia"/>
                <w:color w:val="auto"/>
                <w:highlight w:val="none"/>
              </w:rPr>
              <w:t xml:space="preserve">地形地貌的利用等设计合理。 </w:t>
            </w:r>
            <w:r>
              <w:rPr>
                <w:color w:val="auto"/>
                <w:highlight w:val="none"/>
              </w:rPr>
              <w:t xml:space="preserve"> 0-</w:t>
            </w:r>
            <w:r>
              <w:rPr>
                <w:rFonts w:hint="eastAsia"/>
                <w:color w:val="auto"/>
                <w:highlight w:val="none"/>
                <w:lang w:val="en-US" w:eastAsia="zh-CN"/>
              </w:rPr>
              <w:t>4</w:t>
            </w:r>
            <w:r>
              <w:rPr>
                <w:rFonts w:hint="eastAsia"/>
                <w:color w:val="auto"/>
                <w:highlight w:val="none"/>
              </w:rPr>
              <w:t>分</w:t>
            </w:r>
          </w:p>
          <w:p>
            <w:pPr>
              <w:bidi w:val="0"/>
              <w:spacing w:line="360" w:lineRule="auto"/>
              <w:rPr>
                <w:color w:val="auto"/>
                <w:highlight w:val="none"/>
              </w:rPr>
            </w:pPr>
            <w:r>
              <w:rPr>
                <w:rFonts w:hint="eastAsia"/>
                <w:color w:val="auto"/>
                <w:highlight w:val="none"/>
                <w:lang w:val="en-US" w:eastAsia="zh-CN"/>
              </w:rPr>
              <w:t>4、</w:t>
            </w:r>
            <w:r>
              <w:rPr>
                <w:rFonts w:hint="eastAsia"/>
                <w:color w:val="auto"/>
                <w:highlight w:val="none"/>
              </w:rPr>
              <w:t>外观、造型整体效果舒适合理，立意</w:t>
            </w:r>
            <w:r>
              <w:rPr>
                <w:color w:val="auto"/>
                <w:highlight w:val="none"/>
              </w:rPr>
              <w:t>新颖、独特，能够有较强的前瞻性</w:t>
            </w:r>
            <w:r>
              <w:rPr>
                <w:rFonts w:hint="eastAsia"/>
                <w:color w:val="auto"/>
                <w:highlight w:val="none"/>
              </w:rPr>
              <w:t>、时代性、</w:t>
            </w:r>
            <w:r>
              <w:rPr>
                <w:color w:val="auto"/>
                <w:highlight w:val="none"/>
              </w:rPr>
              <w:t>且实用性强</w:t>
            </w:r>
            <w:r>
              <w:rPr>
                <w:rFonts w:hint="eastAsia"/>
                <w:color w:val="auto"/>
                <w:highlight w:val="none"/>
              </w:rPr>
              <w:t>。</w:t>
            </w:r>
            <w:r>
              <w:rPr>
                <w:color w:val="auto"/>
                <w:highlight w:val="none"/>
              </w:rPr>
              <w:t>0-</w:t>
            </w:r>
            <w:r>
              <w:rPr>
                <w:rFonts w:hint="eastAsia"/>
                <w:color w:val="auto"/>
                <w:highlight w:val="none"/>
                <w:lang w:val="en-US" w:eastAsia="zh-CN"/>
              </w:rPr>
              <w:t>5</w:t>
            </w:r>
            <w:r>
              <w:rPr>
                <w:rFonts w:hint="eastAsia"/>
                <w:color w:val="auto"/>
                <w:highlight w:val="none"/>
              </w:rPr>
              <w:t>分</w:t>
            </w:r>
          </w:p>
          <w:p>
            <w:pPr>
              <w:bidi w:val="0"/>
              <w:spacing w:line="360" w:lineRule="auto"/>
              <w:rPr>
                <w:color w:val="auto"/>
                <w:highlight w:val="none"/>
              </w:rPr>
            </w:pPr>
            <w:r>
              <w:rPr>
                <w:rFonts w:hint="eastAsia"/>
                <w:color w:val="auto"/>
                <w:highlight w:val="none"/>
                <w:lang w:val="en-US" w:eastAsia="zh-CN"/>
              </w:rPr>
              <w:t>5、</w:t>
            </w:r>
            <w:r>
              <w:rPr>
                <w:rFonts w:hint="eastAsia"/>
                <w:color w:val="auto"/>
                <w:highlight w:val="none"/>
              </w:rPr>
              <w:t>各功能</w:t>
            </w:r>
            <w:r>
              <w:rPr>
                <w:color w:val="auto"/>
                <w:highlight w:val="none"/>
              </w:rPr>
              <w:t>区域</w:t>
            </w:r>
            <w:r>
              <w:rPr>
                <w:rFonts w:hint="eastAsia"/>
                <w:color w:val="auto"/>
                <w:highlight w:val="none"/>
              </w:rPr>
              <w:t>设计方案效果表达完整、有深度。共</w:t>
            </w:r>
            <w:r>
              <w:rPr>
                <w:color w:val="auto"/>
                <w:highlight w:val="none"/>
              </w:rPr>
              <w:t>0-</w:t>
            </w:r>
            <w:r>
              <w:rPr>
                <w:rFonts w:hint="eastAsia"/>
                <w:color w:val="auto"/>
                <w:highlight w:val="none"/>
                <w:lang w:val="en-US" w:eastAsia="zh-CN"/>
              </w:rPr>
              <w:t>4</w:t>
            </w:r>
            <w:r>
              <w:rPr>
                <w:rFonts w:hint="eastAsia"/>
                <w:color w:val="auto"/>
                <w:highlight w:val="none"/>
              </w:rPr>
              <w:t>分</w:t>
            </w:r>
          </w:p>
          <w:p>
            <w:pPr>
              <w:bidi w:val="0"/>
              <w:spacing w:line="360" w:lineRule="auto"/>
              <w:rPr>
                <w:color w:val="auto"/>
                <w:highlight w:val="none"/>
              </w:rPr>
            </w:pPr>
            <w:r>
              <w:rPr>
                <w:rFonts w:hint="eastAsia"/>
                <w:color w:val="auto"/>
                <w:highlight w:val="none"/>
                <w:lang w:val="en-US" w:eastAsia="zh-CN"/>
              </w:rPr>
              <w:t>6、</w:t>
            </w:r>
            <w:r>
              <w:rPr>
                <w:rFonts w:hint="eastAsia"/>
                <w:color w:val="auto"/>
                <w:highlight w:val="none"/>
              </w:rPr>
              <w:t xml:space="preserve">是否符合现行设计标准、规范。 </w:t>
            </w:r>
            <w:r>
              <w:rPr>
                <w:color w:val="auto"/>
                <w:highlight w:val="none"/>
              </w:rPr>
              <w:t>0-</w:t>
            </w:r>
            <w:r>
              <w:rPr>
                <w:rFonts w:hint="eastAsia"/>
                <w:color w:val="auto"/>
                <w:highlight w:val="none"/>
                <w:lang w:val="en-US" w:eastAsia="zh-CN"/>
              </w:rPr>
              <w:t>5</w:t>
            </w:r>
            <w:r>
              <w:rPr>
                <w:rFonts w:hint="eastAsia"/>
                <w:color w:val="auto"/>
                <w:highlight w:val="none"/>
              </w:rPr>
              <w:t>分</w:t>
            </w:r>
          </w:p>
          <w:p>
            <w:pPr>
              <w:bidi w:val="0"/>
              <w:spacing w:line="360" w:lineRule="auto"/>
              <w:rPr>
                <w:color w:val="auto"/>
                <w:highlight w:val="none"/>
              </w:rPr>
            </w:pPr>
            <w:r>
              <w:rPr>
                <w:rFonts w:hint="eastAsia"/>
                <w:color w:val="auto"/>
                <w:highlight w:val="none"/>
                <w:lang w:val="en-US" w:eastAsia="zh-CN"/>
              </w:rPr>
              <w:t>7、</w:t>
            </w:r>
            <w:r>
              <w:rPr>
                <w:rFonts w:hint="eastAsia"/>
                <w:color w:val="auto"/>
                <w:highlight w:val="none"/>
              </w:rPr>
              <w:t xml:space="preserve">本工程设计服务的难点、要点阐述明确且恰当。 </w:t>
            </w:r>
            <w:r>
              <w:rPr>
                <w:color w:val="auto"/>
                <w:highlight w:val="none"/>
              </w:rPr>
              <w:t xml:space="preserve"> </w:t>
            </w:r>
            <w:r>
              <w:rPr>
                <w:rFonts w:hint="eastAsia"/>
                <w:color w:val="auto"/>
                <w:highlight w:val="none"/>
              </w:rPr>
              <w:t>0-</w:t>
            </w:r>
            <w:r>
              <w:rPr>
                <w:rFonts w:hint="eastAsia"/>
                <w:color w:val="auto"/>
                <w:highlight w:val="none"/>
                <w:lang w:val="en-US" w:eastAsia="zh-CN"/>
              </w:rPr>
              <w:t>4</w:t>
            </w:r>
            <w:r>
              <w:rPr>
                <w:rFonts w:hint="eastAsia"/>
                <w:color w:val="auto"/>
                <w:highlight w:val="none"/>
              </w:rPr>
              <w:t>分</w:t>
            </w:r>
          </w:p>
          <w:p>
            <w:pPr>
              <w:bidi w:val="0"/>
              <w:spacing w:line="360" w:lineRule="auto"/>
              <w:rPr>
                <w:rFonts w:hint="eastAsia"/>
                <w:color w:val="auto"/>
                <w:highlight w:val="none"/>
              </w:rPr>
            </w:pPr>
            <w:r>
              <w:rPr>
                <w:rFonts w:hint="eastAsia"/>
                <w:color w:val="auto"/>
                <w:highlight w:val="none"/>
                <w:lang w:val="en-US" w:eastAsia="zh-CN"/>
              </w:rPr>
              <w:t>8、</w:t>
            </w:r>
            <w:r>
              <w:rPr>
                <w:rFonts w:hint="eastAsia"/>
                <w:color w:val="auto"/>
                <w:highlight w:val="none"/>
              </w:rPr>
              <w:t>按时完成设计服务的保证措施。</w:t>
            </w:r>
            <w:r>
              <w:rPr>
                <w:rFonts w:hint="eastAsia"/>
                <w:color w:val="auto"/>
                <w:highlight w:val="none"/>
                <w:lang w:val="en-US" w:eastAsia="zh-CN"/>
              </w:rPr>
              <w:t xml:space="preserve"> </w:t>
            </w:r>
            <w:r>
              <w:rPr>
                <w:rFonts w:hint="eastAsia"/>
                <w:color w:val="auto"/>
                <w:highlight w:val="none"/>
              </w:rPr>
              <w:t>0-</w:t>
            </w:r>
            <w:r>
              <w:rPr>
                <w:rFonts w:hint="eastAsia"/>
                <w:color w:val="auto"/>
                <w:highlight w:val="none"/>
                <w:lang w:val="en-US" w:eastAsia="zh-CN"/>
              </w:rPr>
              <w:t>4</w:t>
            </w:r>
            <w:r>
              <w:rPr>
                <w:rFonts w:hint="eastAsia"/>
                <w:color w:val="auto"/>
                <w:highlight w:val="none"/>
              </w:rPr>
              <w:t>分</w:t>
            </w:r>
          </w:p>
          <w:p>
            <w:pPr>
              <w:bidi w:val="0"/>
              <w:spacing w:line="360" w:lineRule="auto"/>
              <w:rPr>
                <w:rFonts w:hint="eastAsia"/>
                <w:color w:val="auto"/>
                <w:highlight w:val="none"/>
              </w:rPr>
            </w:pPr>
            <w:r>
              <w:rPr>
                <w:rFonts w:hint="eastAsia"/>
                <w:color w:val="auto"/>
                <w:highlight w:val="none"/>
                <w:lang w:val="en-US" w:eastAsia="zh-CN"/>
              </w:rPr>
              <w:t>9、</w:t>
            </w:r>
            <w:r>
              <w:rPr>
                <w:rFonts w:hint="eastAsia"/>
                <w:color w:val="auto"/>
                <w:highlight w:val="none"/>
              </w:rPr>
              <w:t>注重城市空间形象，是否考虑打造富有变化的城市理念（0-</w:t>
            </w:r>
            <w:r>
              <w:rPr>
                <w:rFonts w:hint="eastAsia"/>
                <w:color w:val="auto"/>
                <w:highlight w:val="none"/>
                <w:lang w:val="en-US" w:eastAsia="zh-CN"/>
              </w:rPr>
              <w:t>5</w:t>
            </w:r>
            <w:r>
              <w:rPr>
                <w:rFonts w:hint="eastAsia"/>
                <w:color w:val="auto"/>
                <w:highlight w:val="none"/>
              </w:rPr>
              <w:t>分）</w:t>
            </w:r>
          </w:p>
          <w:p>
            <w:pPr>
              <w:pStyle w:val="2"/>
              <w:rPr>
                <w:rFonts w:hint="default" w:eastAsia="黑体"/>
                <w:color w:val="auto"/>
                <w:highlight w:val="none"/>
                <w:lang w:val="en-US" w:eastAsia="zh-CN"/>
              </w:rPr>
            </w:pPr>
            <w:r>
              <w:rPr>
                <w:rFonts w:hint="eastAsia"/>
                <w:color w:val="auto"/>
                <w:sz w:val="21"/>
                <w:szCs w:val="21"/>
                <w:highlight w:val="none"/>
                <w:lang w:val="en-US" w:eastAsia="zh-CN"/>
              </w:rPr>
              <w:t>10、</w:t>
            </w:r>
            <w:r>
              <w:rPr>
                <w:rFonts w:hint="eastAsia" w:asciiTheme="minorHAnsi" w:hAnsiTheme="minorHAnsi" w:eastAsiaTheme="minorEastAsia" w:cstheme="minorBidi"/>
                <w:b w:val="0"/>
                <w:bCs w:val="0"/>
                <w:color w:val="auto"/>
                <w:kern w:val="2"/>
                <w:sz w:val="21"/>
                <w:szCs w:val="22"/>
                <w:highlight w:val="none"/>
                <w:lang w:val="en-US" w:eastAsia="zh-CN" w:bidi="ar-SA"/>
              </w:rPr>
              <w:t>提供建筑设计方案且方案内容合理、具有可操作性（0-5分）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72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2.2.7</w:t>
            </w:r>
          </w:p>
        </w:tc>
        <w:tc>
          <w:tcPr>
            <w:tcW w:w="1346"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服务承诺</w:t>
            </w:r>
          </w:p>
        </w:tc>
        <w:tc>
          <w:tcPr>
            <w:tcW w:w="2352" w:type="dxa"/>
            <w:tcBorders>
              <w:top w:val="single" w:color="auto" w:sz="4" w:space="0"/>
              <w:left w:val="nil"/>
              <w:bottom w:val="single" w:color="auto" w:sz="4" w:space="0"/>
              <w:right w:val="single" w:color="auto" w:sz="4" w:space="0"/>
            </w:tcBorders>
            <w:vAlign w:val="center"/>
          </w:tcPr>
          <w:p>
            <w:pPr>
              <w:bidi w:val="0"/>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5分</w:t>
            </w:r>
          </w:p>
        </w:tc>
        <w:tc>
          <w:tcPr>
            <w:tcW w:w="4896" w:type="dxa"/>
            <w:tcBorders>
              <w:top w:val="single" w:color="auto" w:sz="4" w:space="0"/>
              <w:left w:val="nil"/>
              <w:bottom w:val="single" w:color="auto" w:sz="4" w:space="0"/>
              <w:right w:val="single" w:color="auto" w:sz="4" w:space="0"/>
            </w:tcBorders>
            <w:vAlign w:val="center"/>
          </w:tcPr>
          <w:p>
            <w:pPr>
              <w:bidi w:val="0"/>
              <w:spacing w:line="360" w:lineRule="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协调周边关系，资金、技术、机械设备投入等方面的服务承诺；1-2分</w:t>
            </w:r>
          </w:p>
          <w:p>
            <w:pPr>
              <w:bidi w:val="0"/>
              <w:spacing w:line="360" w:lineRule="auto"/>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在工程施工招标时能提供技术支持1-2分</w:t>
            </w:r>
          </w:p>
          <w:p>
            <w:pPr>
              <w:bidi w:val="0"/>
              <w:spacing w:line="360" w:lineRule="auto"/>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设计质量、服务承诺</w:t>
            </w:r>
            <w:r>
              <w:rPr>
                <w:rFonts w:hint="eastAsia"/>
                <w:color w:val="auto"/>
                <w:sz w:val="21"/>
                <w:szCs w:val="21"/>
                <w:highlight w:val="none"/>
                <w:lang w:val="en-US" w:eastAsia="zh-CN"/>
              </w:rPr>
              <w:t>0-1</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2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eastAsia"/>
                <w:color w:val="auto"/>
                <w:sz w:val="21"/>
                <w:szCs w:val="21"/>
                <w:highlight w:val="none"/>
              </w:rPr>
            </w:pPr>
            <w:r>
              <w:rPr>
                <w:rFonts w:hint="eastAsia"/>
                <w:color w:val="auto"/>
                <w:sz w:val="21"/>
                <w:szCs w:val="21"/>
                <w:highlight w:val="none"/>
              </w:rPr>
              <w:t>定标</w:t>
            </w:r>
          </w:p>
        </w:tc>
        <w:tc>
          <w:tcPr>
            <w:tcW w:w="8594" w:type="dxa"/>
            <w:gridSpan w:val="3"/>
            <w:tcBorders>
              <w:top w:val="single" w:color="auto" w:sz="4" w:space="0"/>
              <w:left w:val="nil"/>
              <w:bottom w:val="single" w:color="auto" w:sz="4" w:space="0"/>
              <w:right w:val="single" w:color="auto" w:sz="4" w:space="0"/>
            </w:tcBorders>
            <w:vAlign w:val="center"/>
          </w:tcPr>
          <w:p>
            <w:pPr>
              <w:bidi w:val="0"/>
              <w:spacing w:line="360" w:lineRule="auto"/>
              <w:rPr>
                <w:rFonts w:hint="eastAsia"/>
                <w:color w:val="auto"/>
                <w:sz w:val="21"/>
                <w:szCs w:val="21"/>
                <w:highlight w:val="none"/>
              </w:rPr>
            </w:pPr>
            <w:r>
              <w:rPr>
                <w:rFonts w:hint="eastAsia"/>
                <w:color w:val="auto"/>
                <w:sz w:val="21"/>
                <w:szCs w:val="21"/>
                <w:highlight w:val="none"/>
              </w:rPr>
              <w:t>1、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bidi w:val="0"/>
              <w:spacing w:line="360" w:lineRule="auto"/>
              <w:rPr>
                <w:rFonts w:hint="eastAsia"/>
                <w:color w:val="auto"/>
                <w:sz w:val="21"/>
                <w:szCs w:val="21"/>
                <w:highlight w:val="none"/>
              </w:rPr>
            </w:pPr>
            <w:r>
              <w:rPr>
                <w:rFonts w:hint="eastAsia"/>
                <w:color w:val="auto"/>
                <w:sz w:val="21"/>
                <w:szCs w:val="21"/>
                <w:highlight w:val="none"/>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bookmarkEnd w:id="107"/>
    </w:tbl>
    <w:p>
      <w:pPr>
        <w:numPr>
          <w:ilvl w:val="0"/>
          <w:numId w:val="0"/>
        </w:numPr>
        <w:bidi w:val="0"/>
        <w:ind w:leftChars="0"/>
        <w:rPr>
          <w:rFonts w:hint="eastAsia"/>
          <w:color w:val="auto"/>
          <w:highlight w:val="none"/>
          <w:lang w:val="en-US" w:eastAsia="zh-CN"/>
        </w:rPr>
      </w:pPr>
      <w:bookmarkStart w:id="108" w:name="_Toc272833453"/>
      <w:bookmarkEnd w:id="108"/>
      <w:bookmarkStart w:id="109" w:name="_Toc270931534"/>
      <w:bookmarkEnd w:id="109"/>
      <w:bookmarkStart w:id="110" w:name="_Toc273546398"/>
      <w:bookmarkEnd w:id="110"/>
      <w:bookmarkStart w:id="111" w:name="_Toc11197"/>
      <w:bookmarkStart w:id="112" w:name="_Toc295572535"/>
    </w:p>
    <w:p>
      <w:pPr>
        <w:numPr>
          <w:ilvl w:val="0"/>
          <w:numId w:val="0"/>
        </w:numPr>
        <w:bidi w:val="0"/>
        <w:ind w:leftChars="0"/>
        <w:rPr>
          <w:rFonts w:hint="eastAsia"/>
          <w:b/>
          <w:bCs/>
          <w:color w:val="auto"/>
          <w:highlight w:val="none"/>
        </w:rPr>
      </w:pPr>
      <w:r>
        <w:rPr>
          <w:rFonts w:hint="eastAsia"/>
          <w:b/>
          <w:bCs/>
          <w:color w:val="auto"/>
          <w:highlight w:val="none"/>
          <w:lang w:val="en-US" w:eastAsia="zh-CN"/>
        </w:rPr>
        <w:t>1、</w:t>
      </w:r>
      <w:r>
        <w:rPr>
          <w:rFonts w:hint="eastAsia"/>
          <w:b/>
          <w:bCs/>
          <w:color w:val="auto"/>
          <w:highlight w:val="none"/>
        </w:rPr>
        <w:t>评标办法</w:t>
      </w:r>
      <w:bookmarkEnd w:id="111"/>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11" w:firstLineChars="19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评标应遵循公正、公平、科学择优的原则严格按照招标文件进行。</w:t>
      </w:r>
    </w:p>
    <w:p>
      <w:pPr>
        <w:adjustRightInd w:val="0"/>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r>
        <w:rPr>
          <w:rFonts w:hint="eastAsia" w:asciiTheme="minorEastAsia" w:hAnsiTheme="minorEastAsia" w:eastAsiaTheme="minorEastAsia" w:cstheme="minorEastAsia"/>
          <w:color w:val="auto"/>
          <w:sz w:val="21"/>
          <w:szCs w:val="21"/>
          <w:highlight w:val="none"/>
        </w:rPr>
        <w:t>、评标由招标人依法组建的评标委员会负责，评标委员会为</w:t>
      </w:r>
      <w:r>
        <w:rPr>
          <w:rFonts w:hint="eastAsia" w:asciiTheme="minorEastAsia" w:hAnsiTheme="minorEastAsia" w:eastAsiaTheme="minorEastAsia" w:cstheme="minorEastAsia"/>
          <w:color w:val="auto"/>
          <w:kern w:val="0"/>
          <w:sz w:val="21"/>
          <w:szCs w:val="21"/>
          <w:highlight w:val="none"/>
        </w:rPr>
        <w:t>从河南省综合评标专家库中随机抽取4人和招标人代表1人组成。</w:t>
      </w:r>
      <w:r>
        <w:rPr>
          <w:rFonts w:hint="eastAsia" w:asciiTheme="minorEastAsia" w:hAnsiTheme="minorEastAsia" w:eastAsiaTheme="minorEastAsia" w:cstheme="minorEastAsia"/>
          <w:color w:val="auto"/>
          <w:sz w:val="21"/>
          <w:szCs w:val="21"/>
          <w:highlight w:val="none"/>
        </w:rPr>
        <w:t>与投标人有利害关系的人不得进入评标委员会。</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评标采用综合评标法，是指评标委员会根据招标文件中的标准、办法对投标文件进行评标，任何其他的外部证据均不得作为评标的依据。评标委员会根据投标人综合得分由高到低排序，向招标人推荐1-3名中标候选人。</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四</w:t>
      </w:r>
      <w:r>
        <w:rPr>
          <w:rFonts w:hint="eastAsia" w:asciiTheme="minorEastAsia" w:hAnsiTheme="minorEastAsia" w:eastAsiaTheme="minorEastAsia" w:cstheme="minorEastAsia"/>
          <w:color w:val="auto"/>
          <w:sz w:val="21"/>
          <w:szCs w:val="21"/>
          <w:highlight w:val="none"/>
        </w:rPr>
        <w:t>、评标程序为：</w:t>
      </w:r>
    </w:p>
    <w:p>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（一）初步评审</w:t>
      </w:r>
      <w:r>
        <w:rPr>
          <w:rFonts w:hint="eastAsia" w:asciiTheme="minorEastAsia" w:hAnsiTheme="minorEastAsia" w:eastAsiaTheme="minorEastAsia" w:cstheme="minorEastAsia"/>
          <w:color w:val="auto"/>
          <w:sz w:val="21"/>
          <w:szCs w:val="21"/>
          <w:highlight w:val="none"/>
          <w:lang w:eastAsia="zh-CN"/>
        </w:rPr>
        <w:t>（形式评审、资格评审、响应性评审）</w:t>
      </w:r>
    </w:p>
    <w:p>
      <w:pPr>
        <w:adjustRightInd w:val="0"/>
        <w:snapToGrid w:val="0"/>
        <w:spacing w:line="360" w:lineRule="auto"/>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（二）详细评审；</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（三）各投标人得分汇总；</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（四）按得分高低进行排序；</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 xml:space="preserve">（五）推荐中标候选人； </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（六）评标现场宣布中标候选人确定结果或在指定媒体上进行公示。</w:t>
      </w:r>
    </w:p>
    <w:p>
      <w:pPr>
        <w:adjustRightInd w:val="0"/>
        <w:snapToGrid w:val="0"/>
        <w:spacing w:line="360" w:lineRule="auto"/>
        <w:ind w:left="1" w:firstLine="411" w:firstLineChars="19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五</w:t>
      </w:r>
      <w:r>
        <w:rPr>
          <w:rFonts w:hint="eastAsia" w:asciiTheme="minorEastAsia" w:hAnsiTheme="minorEastAsia" w:eastAsiaTheme="minorEastAsia" w:cstheme="minorEastAsia"/>
          <w:color w:val="auto"/>
          <w:sz w:val="21"/>
          <w:szCs w:val="21"/>
          <w:highlight w:val="none"/>
        </w:rPr>
        <w:t>、有效投标报价指投标人通过初步评审、投标文件不被评标委员会认定为废标的投标报价。</w:t>
      </w:r>
    </w:p>
    <w:p>
      <w:pPr>
        <w:snapToGrid w:val="0"/>
        <w:spacing w:line="360" w:lineRule="auto"/>
        <w:ind w:firstLine="527" w:firstLineChars="250"/>
        <w:rPr>
          <w:rFonts w:hint="eastAsia" w:asciiTheme="minorEastAsia" w:hAnsiTheme="minorEastAsia" w:eastAsiaTheme="minorEastAsia" w:cstheme="minorEastAsia"/>
          <w:b/>
          <w:bCs/>
          <w:color w:val="auto"/>
          <w:spacing w:val="-3"/>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注：</w:t>
      </w:r>
      <w:r>
        <w:rPr>
          <w:rFonts w:hint="eastAsia" w:asciiTheme="minorEastAsia" w:hAnsiTheme="minorEastAsia" w:eastAsiaTheme="minorEastAsia" w:cstheme="minorEastAsia"/>
          <w:b/>
          <w:bCs/>
          <w:color w:val="auto"/>
          <w:sz w:val="21"/>
          <w:szCs w:val="21"/>
          <w:highlight w:val="none"/>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bidi w:val="0"/>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lang w:eastAsia="zh-CN"/>
        </w:rPr>
        <w:t>六</w:t>
      </w:r>
      <w:r>
        <w:rPr>
          <w:rFonts w:hint="eastAsia" w:asciiTheme="minorEastAsia" w:hAnsiTheme="minorEastAsia" w:eastAsiaTheme="minorEastAsia" w:cstheme="minorEastAsia"/>
          <w:b w:val="0"/>
          <w:bCs w:val="0"/>
          <w:color w:val="auto"/>
          <w:spacing w:val="-3"/>
          <w:sz w:val="21"/>
          <w:szCs w:val="21"/>
          <w:highlight w:val="none"/>
        </w:rPr>
        <w:t>、</w:t>
      </w:r>
      <w:bookmarkEnd w:id="112"/>
      <w:r>
        <w:rPr>
          <w:rFonts w:hint="eastAsia" w:asciiTheme="minorEastAsia" w:hAnsiTheme="minorEastAsia" w:eastAsiaTheme="minorEastAsia" w:cstheme="minorEastAsia"/>
          <w:b w:val="0"/>
          <w:bCs w:val="0"/>
          <w:color w:val="auto"/>
          <w:sz w:val="21"/>
          <w:szCs w:val="21"/>
          <w:highlight w:val="none"/>
        </w:rPr>
        <w:t>评标注意事项</w:t>
      </w:r>
    </w:p>
    <w:p>
      <w:pPr>
        <w:spacing w:line="360" w:lineRule="auto"/>
        <w:ind w:firstLine="408" w:firstLineChars="200"/>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评标委员会应按下列原则进行评分汇总统计：</w:t>
      </w:r>
    </w:p>
    <w:p>
      <w:pPr>
        <w:numPr>
          <w:ilvl w:val="0"/>
          <w:numId w:val="0"/>
        </w:numPr>
        <w:spacing w:line="360" w:lineRule="auto"/>
        <w:ind w:left="408" w:leftChars="0"/>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分数计算过程中，保留两位小数，小数点后第三位四舍五入。</w:t>
      </w:r>
    </w:p>
    <w:p>
      <w:pPr>
        <w:numPr>
          <w:ilvl w:val="0"/>
          <w:numId w:val="0"/>
        </w:numPr>
        <w:spacing w:line="360" w:lineRule="auto"/>
        <w:ind w:left="408" w:leftChars="0"/>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cstheme="minorEastAsia"/>
          <w:color w:val="auto"/>
          <w:spacing w:val="-3"/>
          <w:sz w:val="21"/>
          <w:szCs w:val="21"/>
          <w:highlight w:val="none"/>
          <w:lang w:eastAsia="zh-CN"/>
        </w:rPr>
        <w:t>投标单位最终得分：</w:t>
      </w:r>
      <w:r>
        <w:rPr>
          <w:rFonts w:hint="eastAsia" w:asciiTheme="minorEastAsia" w:hAnsiTheme="minorEastAsia" w:eastAsiaTheme="minorEastAsia" w:cstheme="minorEastAsia"/>
          <w:color w:val="auto"/>
          <w:spacing w:val="-3"/>
          <w:sz w:val="21"/>
          <w:szCs w:val="21"/>
          <w:highlight w:val="none"/>
        </w:rPr>
        <w:t>评标委员会人数在5人时，取所有评委评分的平均值。</w:t>
      </w:r>
    </w:p>
    <w:p>
      <w:pPr>
        <w:bidi w:val="0"/>
        <w:spacing w:line="360" w:lineRule="auto"/>
        <w:rPr>
          <w:rFonts w:hint="eastAsia"/>
          <w:color w:val="auto"/>
          <w:sz w:val="21"/>
          <w:szCs w:val="21"/>
          <w:highlight w:val="none"/>
        </w:rPr>
      </w:pPr>
      <w:bookmarkStart w:id="113" w:name="_Toc273546399"/>
      <w:bookmarkEnd w:id="113"/>
      <w:bookmarkStart w:id="114" w:name="_Toc272833454"/>
      <w:bookmarkEnd w:id="114"/>
      <w:bookmarkStart w:id="115" w:name="_Toc295572536"/>
      <w:bookmarkEnd w:id="115"/>
      <w:bookmarkStart w:id="116" w:name="_Toc270931535"/>
      <w:r>
        <w:rPr>
          <w:rFonts w:hint="eastAsia"/>
          <w:color w:val="auto"/>
          <w:sz w:val="21"/>
          <w:szCs w:val="21"/>
          <w:highlight w:val="none"/>
          <w:lang w:eastAsia="zh-CN"/>
        </w:rPr>
        <w:t>七</w:t>
      </w:r>
      <w:r>
        <w:rPr>
          <w:rFonts w:hint="eastAsia"/>
          <w:color w:val="auto"/>
          <w:sz w:val="21"/>
          <w:szCs w:val="21"/>
          <w:highlight w:val="none"/>
        </w:rPr>
        <w:t>、评标报告</w:t>
      </w:r>
      <w:bookmarkEnd w:id="116"/>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评标委员会根据投标人须知前附表7.1条的规定向招标人提交评标报告。评标报告应当由全体评标委员会成员签字，并于评标结束时抄送有关行政监督部门。</w:t>
      </w:r>
    </w:p>
    <w:p>
      <w:pPr>
        <w:spacing w:line="360" w:lineRule="auto"/>
        <w:ind w:firstLine="408" w:firstLineChars="200"/>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bidi w:val="0"/>
        <w:spacing w:line="360" w:lineRule="auto"/>
        <w:rPr>
          <w:rFonts w:hint="eastAsia"/>
          <w:color w:val="auto"/>
          <w:sz w:val="21"/>
          <w:szCs w:val="21"/>
          <w:highlight w:val="none"/>
        </w:rPr>
      </w:pPr>
      <w:bookmarkStart w:id="117" w:name="_Toc295572537"/>
      <w:bookmarkEnd w:id="117"/>
      <w:bookmarkStart w:id="118" w:name="_Toc273546400"/>
      <w:bookmarkEnd w:id="118"/>
      <w:bookmarkStart w:id="119" w:name="_Toc272833455"/>
      <w:bookmarkEnd w:id="119"/>
      <w:bookmarkStart w:id="120" w:name="_Toc270931536"/>
      <w:r>
        <w:rPr>
          <w:rFonts w:hint="eastAsia"/>
          <w:color w:val="auto"/>
          <w:sz w:val="21"/>
          <w:szCs w:val="21"/>
          <w:highlight w:val="none"/>
          <w:lang w:eastAsia="zh-CN"/>
        </w:rPr>
        <w:t>八</w:t>
      </w:r>
      <w:r>
        <w:rPr>
          <w:rFonts w:hint="eastAsia"/>
          <w:color w:val="auto"/>
          <w:sz w:val="21"/>
          <w:szCs w:val="21"/>
          <w:highlight w:val="none"/>
        </w:rPr>
        <w:t>、公示</w:t>
      </w:r>
      <w:bookmarkEnd w:id="120"/>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候选人确定后，招标人应当在《全国公共资源交易平台(河南省▪许昌市)》、《河南省电子招标投标公共服务平台》上进行公示，公示时间不少于3日（不含法定节假日）。公示期满后，招标人应当将招标投标情况书面报告提交招标投标管理部门备案，向中标人发出中标通知书，并向所有合格投标人告知中标结果。</w:t>
      </w:r>
    </w:p>
    <w:p>
      <w:pPr>
        <w:bidi w:val="0"/>
        <w:spacing w:line="360" w:lineRule="auto"/>
        <w:rPr>
          <w:rFonts w:hint="eastAsia"/>
          <w:color w:val="auto"/>
          <w:sz w:val="21"/>
          <w:szCs w:val="21"/>
          <w:highlight w:val="none"/>
        </w:rPr>
      </w:pPr>
      <w:r>
        <w:rPr>
          <w:rFonts w:hint="eastAsia"/>
          <w:color w:val="auto"/>
          <w:sz w:val="21"/>
          <w:szCs w:val="21"/>
          <w:highlight w:val="none"/>
          <w:lang w:eastAsia="zh-CN"/>
        </w:rPr>
        <w:t>九</w:t>
      </w:r>
      <w:r>
        <w:rPr>
          <w:rFonts w:hint="eastAsia"/>
          <w:color w:val="auto"/>
          <w:sz w:val="21"/>
          <w:szCs w:val="21"/>
          <w:highlight w:val="none"/>
        </w:rPr>
        <w:t>、 特殊情况的处置程序</w:t>
      </w:r>
    </w:p>
    <w:p>
      <w:pPr>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.1关于澄清、说明或补正</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pPr>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.2关于评标活动暂停</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2发生评标暂停情况时，评标委员会应当封存全部投标文件和评标记录，待不可抗力的影响结束且具备继续评标的条件时，由原评标委员会继续评标。</w:t>
      </w:r>
    </w:p>
    <w:p>
      <w:pPr>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.3关于评标中途更换评标委员会成员</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1除非发生下列情况之一，评标委员会成员不得在评标中途更换：</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（1）因不可抗拒的客观原因，不能到场或需在评标中途退出评标活动。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（2）根据法律法规规定，某个或某几个评标委员会成员需要回避。</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2退出评标的评标委员会成员，其已完成的评标行为无效。由招标人根据本招标文件规定的评标委员会成员产生方式另行确定替代者进行评标。</w:t>
      </w:r>
    </w:p>
    <w:p>
      <w:pPr>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.4记名投票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在任何评标环节中，需评标委员会就某项定性的评审结论做出表决的，由评标委员会全体成员按照少数服从多数的原则，以记名投票方式表决。</w:t>
      </w:r>
    </w:p>
    <w:p>
      <w:pPr>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.5评标委员会对评标结果有异议的</w:t>
      </w:r>
    </w:p>
    <w:p>
      <w:pPr>
        <w:spacing w:line="360" w:lineRule="auto"/>
        <w:ind w:firstLine="408"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jc w:val="center"/>
        <w:outlineLvl w:val="0"/>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24"/>
          <w:szCs w:val="24"/>
          <w:highlight w:val="none"/>
        </w:rPr>
        <w:br w:type="page"/>
      </w:r>
      <w:bookmarkStart w:id="121" w:name="_Toc31935"/>
      <w:r>
        <w:rPr>
          <w:rFonts w:hint="eastAsia" w:asciiTheme="minorEastAsia" w:hAnsiTheme="minorEastAsia" w:eastAsiaTheme="minorEastAsia" w:cstheme="minorEastAsia"/>
          <w:b/>
          <w:bCs/>
          <w:color w:val="auto"/>
          <w:sz w:val="32"/>
          <w:szCs w:val="32"/>
          <w:highlight w:val="none"/>
        </w:rPr>
        <w:t>第四章  合同条款及格式</w:t>
      </w:r>
      <w:bookmarkEnd w:id="121"/>
    </w:p>
    <w:p>
      <w:pPr>
        <w:rPr>
          <w:color w:val="auto"/>
          <w:highlight w:val="none"/>
        </w:rPr>
      </w:pPr>
      <w:bookmarkStart w:id="122" w:name="_履约担保"/>
      <w:bookmarkEnd w:id="122"/>
      <w:r>
        <w:rPr>
          <w:rFonts w:hint="eastAsia" w:asciiTheme="minorEastAsia" w:hAnsiTheme="minorEastAsia" w:eastAsiaTheme="minorEastAsia" w:cstheme="minorEastAsia"/>
          <w:color w:val="auto"/>
          <w:sz w:val="24"/>
          <w:szCs w:val="24"/>
          <w:highlight w:val="none"/>
        </w:rPr>
        <w:t xml:space="preserve"> </w:t>
      </w: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jc w:val="center"/>
        <w:rPr>
          <w:b/>
          <w:bCs/>
          <w:color w:val="auto"/>
          <w:sz w:val="48"/>
          <w:szCs w:val="180"/>
          <w:highlight w:val="none"/>
        </w:rPr>
      </w:pPr>
      <w:r>
        <w:rPr>
          <w:b/>
          <w:bCs/>
          <w:color w:val="auto"/>
          <w:sz w:val="48"/>
          <w:szCs w:val="52"/>
          <w:highlight w:val="none"/>
        </w:rPr>
        <w:t>建设工</w:t>
      </w:r>
      <w:r>
        <w:rPr>
          <w:b/>
          <w:bCs/>
          <w:color w:val="auto"/>
          <w:sz w:val="48"/>
          <w:szCs w:val="200"/>
          <w:highlight w:val="none"/>
        </w:rPr>
        <w:t>程设计合同</w:t>
      </w:r>
    </w:p>
    <w:p>
      <w:pPr>
        <w:pStyle w:val="6"/>
        <w:rPr>
          <w:b/>
          <w:color w:val="auto"/>
          <w:sz w:val="36"/>
          <w:highlight w:val="none"/>
        </w:rPr>
      </w:pPr>
    </w:p>
    <w:p>
      <w:pPr>
        <w:pStyle w:val="6"/>
        <w:rPr>
          <w:b/>
          <w:color w:val="auto"/>
          <w:sz w:val="36"/>
          <w:highlight w:val="none"/>
        </w:rPr>
      </w:pPr>
    </w:p>
    <w:p>
      <w:pPr>
        <w:pStyle w:val="6"/>
        <w:rPr>
          <w:b/>
          <w:color w:val="auto"/>
          <w:sz w:val="36"/>
          <w:highlight w:val="none"/>
        </w:rPr>
      </w:pPr>
    </w:p>
    <w:p>
      <w:pPr>
        <w:pStyle w:val="6"/>
        <w:spacing w:before="9"/>
        <w:rPr>
          <w:b/>
          <w:color w:val="auto"/>
          <w:sz w:val="31"/>
          <w:highlight w:val="none"/>
        </w:rPr>
      </w:pPr>
    </w:p>
    <w:p>
      <w:pPr>
        <w:pStyle w:val="6"/>
        <w:spacing w:before="9"/>
        <w:rPr>
          <w:b/>
          <w:color w:val="auto"/>
          <w:sz w:val="31"/>
          <w:highlight w:val="none"/>
        </w:rPr>
      </w:pPr>
    </w:p>
    <w:p>
      <w:pPr>
        <w:pStyle w:val="6"/>
        <w:spacing w:before="9"/>
        <w:rPr>
          <w:b/>
          <w:color w:val="auto"/>
          <w:sz w:val="31"/>
          <w:highlight w:val="none"/>
        </w:rPr>
      </w:pPr>
    </w:p>
    <w:p>
      <w:pPr>
        <w:pStyle w:val="4"/>
        <w:keepNext w:val="0"/>
        <w:keepLines w:val="0"/>
        <w:pageBreakBefore w:val="0"/>
        <w:widowControl w:val="0"/>
        <w:tabs>
          <w:tab w:val="left" w:pos="1639"/>
          <w:tab w:val="left" w:pos="2199"/>
          <w:tab w:val="left" w:pos="2760"/>
          <w:tab w:val="left" w:pos="7591"/>
        </w:tabs>
        <w:kinsoku/>
        <w:wordWrap/>
        <w:overflowPunct/>
        <w:topLinePunct w:val="0"/>
        <w:autoSpaceDE w:val="0"/>
        <w:autoSpaceDN w:val="0"/>
        <w:bidi w:val="0"/>
        <w:adjustRightInd/>
        <w:snapToGrid/>
        <w:spacing w:before="0" w:line="360" w:lineRule="auto"/>
        <w:ind w:firstLine="2249" w:firstLineChars="800"/>
        <w:textAlignment w:val="auto"/>
        <w:rPr>
          <w:rFonts w:ascii="Times New Roman"/>
          <w:b/>
          <w:color w:val="auto"/>
          <w:sz w:val="20"/>
          <w:highlight w:val="none"/>
        </w:rPr>
      </w:pPr>
      <w:r>
        <w:rPr>
          <w:rFonts w:asciiTheme="minorHAnsi" w:hAnsiTheme="minorHAnsi" w:eastAsiaTheme="minorEastAsia" w:cstheme="minorBidi"/>
          <w:b/>
          <w:bCs w:val="0"/>
          <w:color w:val="auto"/>
          <w:kern w:val="2"/>
          <w:sz w:val="28"/>
          <w:szCs w:val="22"/>
          <w:highlight w:val="none"/>
          <w:lang w:val="en-US" w:eastAsia="zh-CN" w:bidi="ar-SA"/>
        </w:rPr>
        <w:t>工程名称：</w:t>
      </w:r>
      <w:r>
        <w:rPr>
          <w:rFonts w:hint="eastAsia" w:ascii="Times New Roman" w:hAnsiTheme="minorHAnsi" w:eastAsiaTheme="minorEastAsia" w:cstheme="minorBidi"/>
          <w:b w:val="0"/>
          <w:bCs w:val="0"/>
          <w:color w:val="auto"/>
          <w:w w:val="100"/>
          <w:kern w:val="2"/>
          <w:sz w:val="21"/>
          <w:szCs w:val="22"/>
          <w:highlight w:val="none"/>
          <w:u w:val="single"/>
          <w:lang w:val="en-US" w:eastAsia="zh-CN" w:bidi="ar-SA"/>
        </w:rPr>
        <w:t xml:space="preserve">                                        </w:t>
      </w:r>
    </w:p>
    <w:p>
      <w:pPr>
        <w:keepNext w:val="0"/>
        <w:keepLines w:val="0"/>
        <w:pageBreakBefore w:val="0"/>
        <w:widowControl w:val="0"/>
        <w:tabs>
          <w:tab w:val="left" w:pos="1639"/>
          <w:tab w:val="left" w:pos="2199"/>
          <w:tab w:val="left" w:pos="2760"/>
          <w:tab w:val="left" w:pos="7591"/>
        </w:tabs>
        <w:kinsoku/>
        <w:wordWrap/>
        <w:overflowPunct/>
        <w:topLinePunct w:val="0"/>
        <w:autoSpaceDE w:val="0"/>
        <w:autoSpaceDN w:val="0"/>
        <w:bidi w:val="0"/>
        <w:adjustRightInd/>
        <w:snapToGrid/>
        <w:spacing w:before="200" w:line="360" w:lineRule="auto"/>
        <w:ind w:left="1078" w:right="0" w:firstLine="1124" w:firstLineChars="400"/>
        <w:jc w:val="left"/>
        <w:textAlignment w:val="auto"/>
        <w:rPr>
          <w:rFonts w:hint="eastAsia" w:ascii="Times New Roman"/>
          <w:color w:val="auto"/>
          <w:w w:val="100"/>
          <w:highlight w:val="none"/>
          <w:u w:val="single"/>
          <w:lang w:val="en-US" w:eastAsia="zh-CN"/>
        </w:rPr>
      </w:pPr>
      <w:r>
        <w:rPr>
          <w:b/>
          <w:color w:val="auto"/>
          <w:sz w:val="28"/>
          <w:highlight w:val="none"/>
        </w:rPr>
        <w:t>工程地</w:t>
      </w:r>
      <w:r>
        <w:rPr>
          <w:b/>
          <w:color w:val="auto"/>
          <w:spacing w:val="-1"/>
          <w:w w:val="95"/>
          <w:sz w:val="28"/>
          <w:highlight w:val="none"/>
        </w:rPr>
        <w:t>点：</w:t>
      </w:r>
      <w:r>
        <w:rPr>
          <w:rFonts w:ascii="Times New Roman" w:eastAsia="Times New Roman"/>
          <w:color w:val="auto"/>
          <w:w w:val="100"/>
          <w:highlight w:val="none"/>
          <w:u w:val="single"/>
        </w:rPr>
        <w:t xml:space="preserve"> </w:t>
      </w:r>
      <w:r>
        <w:rPr>
          <w:rFonts w:hint="eastAsia" w:ascii="Times New Roman"/>
          <w:color w:val="auto"/>
          <w:w w:val="100"/>
          <w:highlight w:val="none"/>
          <w:u w:val="single"/>
          <w:lang w:val="en-US" w:eastAsia="zh-CN"/>
        </w:rPr>
        <w:t xml:space="preserve">                                        </w:t>
      </w:r>
    </w:p>
    <w:p>
      <w:pPr>
        <w:keepNext w:val="0"/>
        <w:keepLines w:val="0"/>
        <w:pageBreakBefore w:val="0"/>
        <w:widowControl w:val="0"/>
        <w:tabs>
          <w:tab w:val="left" w:pos="1639"/>
          <w:tab w:val="left" w:pos="2199"/>
          <w:tab w:val="left" w:pos="2760"/>
          <w:tab w:val="left" w:pos="7591"/>
        </w:tabs>
        <w:kinsoku/>
        <w:wordWrap/>
        <w:overflowPunct/>
        <w:topLinePunct w:val="0"/>
        <w:autoSpaceDE w:val="0"/>
        <w:autoSpaceDN w:val="0"/>
        <w:bidi w:val="0"/>
        <w:adjustRightInd/>
        <w:snapToGrid/>
        <w:spacing w:before="200" w:line="360" w:lineRule="auto"/>
        <w:ind w:left="1078" w:right="0" w:firstLine="1124" w:firstLineChars="400"/>
        <w:jc w:val="left"/>
        <w:textAlignment w:val="auto"/>
        <w:rPr>
          <w:rFonts w:ascii="Times New Roman"/>
          <w:b/>
          <w:color w:val="auto"/>
          <w:sz w:val="25"/>
          <w:highlight w:val="none"/>
        </w:rPr>
      </w:pPr>
      <w:r>
        <w:rPr>
          <w:b/>
          <w:color w:val="auto"/>
          <w:sz w:val="28"/>
          <w:highlight w:val="none"/>
        </w:rPr>
        <w:t>合同编</w:t>
      </w:r>
      <w:r>
        <w:rPr>
          <w:b/>
          <w:color w:val="auto"/>
          <w:spacing w:val="-1"/>
          <w:w w:val="95"/>
          <w:sz w:val="28"/>
          <w:highlight w:val="none"/>
        </w:rPr>
        <w:t>号：</w:t>
      </w:r>
      <w:r>
        <w:rPr>
          <w:rFonts w:ascii="Times New Roman" w:eastAsia="Times New Roman"/>
          <w:color w:val="auto"/>
          <w:w w:val="100"/>
          <w:highlight w:val="none"/>
          <w:u w:val="single"/>
        </w:rPr>
        <w:t xml:space="preserve"> </w:t>
      </w:r>
      <w:r>
        <w:rPr>
          <w:rFonts w:hint="eastAsia" w:ascii="Times New Roman"/>
          <w:color w:val="auto"/>
          <w:w w:val="100"/>
          <w:highlight w:val="none"/>
          <w:u w:val="single"/>
          <w:lang w:val="en-US" w:eastAsia="zh-CN"/>
        </w:rPr>
        <w:t xml:space="preserve">                                        </w:t>
      </w:r>
    </w:p>
    <w:p>
      <w:pPr>
        <w:keepNext w:val="0"/>
        <w:keepLines w:val="0"/>
        <w:pageBreakBefore w:val="0"/>
        <w:widowControl w:val="0"/>
        <w:tabs>
          <w:tab w:val="left" w:pos="4167"/>
          <w:tab w:val="left" w:pos="7598"/>
        </w:tabs>
        <w:kinsoku/>
        <w:wordWrap/>
        <w:overflowPunct/>
        <w:topLinePunct w:val="0"/>
        <w:autoSpaceDE w:val="0"/>
        <w:autoSpaceDN w:val="0"/>
        <w:bidi w:val="0"/>
        <w:adjustRightInd/>
        <w:snapToGrid/>
        <w:spacing w:before="71" w:line="360" w:lineRule="auto"/>
        <w:ind w:left="1078" w:right="0" w:firstLine="1124" w:firstLineChars="400"/>
        <w:jc w:val="left"/>
        <w:textAlignment w:val="auto"/>
        <w:rPr>
          <w:color w:val="auto"/>
          <w:highlight w:val="none"/>
        </w:rPr>
      </w:pPr>
      <w:r>
        <w:rPr>
          <w:b/>
          <w:color w:val="auto"/>
          <w:sz w:val="28"/>
          <w:highlight w:val="none"/>
        </w:rPr>
        <w:t>设计证书等级：</w:t>
      </w:r>
      <w:r>
        <w:rPr>
          <w:rFonts w:ascii="Times New Roman" w:eastAsia="Times New Roman"/>
          <w:color w:val="auto"/>
          <w:w w:val="100"/>
          <w:highlight w:val="none"/>
          <w:u w:val="single"/>
        </w:rPr>
        <w:t xml:space="preserve"> </w:t>
      </w:r>
      <w:r>
        <w:rPr>
          <w:rFonts w:hint="eastAsia" w:ascii="Times New Roman"/>
          <w:color w:val="auto"/>
          <w:w w:val="100"/>
          <w:highlight w:val="none"/>
          <w:u w:val="single"/>
          <w:lang w:val="en-US" w:eastAsia="zh-CN"/>
        </w:rPr>
        <w:t xml:space="preserve">                                   </w:t>
      </w:r>
    </w:p>
    <w:p>
      <w:pPr>
        <w:keepNext w:val="0"/>
        <w:keepLines w:val="0"/>
        <w:pageBreakBefore w:val="0"/>
        <w:widowControl w:val="0"/>
        <w:tabs>
          <w:tab w:val="left" w:pos="1918"/>
          <w:tab w:val="left" w:pos="2760"/>
          <w:tab w:val="left" w:pos="7591"/>
        </w:tabs>
        <w:kinsoku/>
        <w:wordWrap/>
        <w:overflowPunct/>
        <w:topLinePunct w:val="0"/>
        <w:autoSpaceDE w:val="0"/>
        <w:autoSpaceDN w:val="0"/>
        <w:bidi w:val="0"/>
        <w:adjustRightInd/>
        <w:snapToGrid/>
        <w:spacing w:before="199" w:line="360" w:lineRule="auto"/>
        <w:ind w:left="1078" w:right="0" w:firstLine="1124" w:firstLineChars="400"/>
        <w:jc w:val="left"/>
        <w:textAlignment w:val="auto"/>
        <w:rPr>
          <w:rFonts w:ascii="Times New Roman"/>
          <w:b/>
          <w:color w:val="auto"/>
          <w:sz w:val="20"/>
          <w:highlight w:val="none"/>
        </w:rPr>
      </w:pPr>
      <w:r>
        <w:rPr>
          <w:b/>
          <w:color w:val="auto"/>
          <w:sz w:val="28"/>
          <w:highlight w:val="none"/>
        </w:rPr>
        <w:t>发包</w:t>
      </w:r>
      <w:r>
        <w:rPr>
          <w:b/>
          <w:color w:val="auto"/>
          <w:spacing w:val="-1"/>
          <w:w w:val="95"/>
          <w:sz w:val="28"/>
          <w:highlight w:val="none"/>
        </w:rPr>
        <w:t>人：</w:t>
      </w:r>
      <w:r>
        <w:rPr>
          <w:rFonts w:hint="eastAsia" w:ascii="Times New Roman"/>
          <w:color w:val="auto"/>
          <w:w w:val="100"/>
          <w:highlight w:val="none"/>
          <w:u w:val="single"/>
          <w:lang w:val="en-US" w:eastAsia="zh-CN"/>
        </w:rPr>
        <w:t xml:space="preserve">                                             </w:t>
      </w:r>
    </w:p>
    <w:p>
      <w:pPr>
        <w:keepNext w:val="0"/>
        <w:keepLines w:val="0"/>
        <w:pageBreakBefore w:val="0"/>
        <w:widowControl w:val="0"/>
        <w:tabs>
          <w:tab w:val="left" w:pos="1918"/>
          <w:tab w:val="left" w:pos="2760"/>
          <w:tab w:val="left" w:pos="7591"/>
        </w:tabs>
        <w:kinsoku/>
        <w:wordWrap/>
        <w:overflowPunct/>
        <w:topLinePunct w:val="0"/>
        <w:autoSpaceDE w:val="0"/>
        <w:autoSpaceDN w:val="0"/>
        <w:bidi w:val="0"/>
        <w:adjustRightInd/>
        <w:snapToGrid/>
        <w:spacing w:before="199" w:line="360" w:lineRule="auto"/>
        <w:ind w:left="1078" w:right="0" w:firstLine="1124" w:firstLineChars="400"/>
        <w:jc w:val="left"/>
        <w:textAlignment w:val="auto"/>
        <w:rPr>
          <w:rFonts w:ascii="Times New Roman"/>
          <w:b/>
          <w:color w:val="auto"/>
          <w:sz w:val="20"/>
          <w:highlight w:val="none"/>
        </w:rPr>
      </w:pPr>
      <w:r>
        <w:rPr>
          <w:b/>
          <w:color w:val="auto"/>
          <w:sz w:val="28"/>
          <w:highlight w:val="none"/>
        </w:rPr>
        <w:t>承包</w:t>
      </w:r>
      <w:r>
        <w:rPr>
          <w:b/>
          <w:color w:val="auto"/>
          <w:spacing w:val="-1"/>
          <w:w w:val="95"/>
          <w:sz w:val="28"/>
          <w:highlight w:val="none"/>
        </w:rPr>
        <w:t>人：</w:t>
      </w:r>
      <w:r>
        <w:rPr>
          <w:rFonts w:ascii="Times New Roman" w:eastAsia="Times New Roman"/>
          <w:color w:val="auto"/>
          <w:w w:val="100"/>
          <w:highlight w:val="none"/>
          <w:u w:val="single"/>
        </w:rPr>
        <w:t xml:space="preserve"> </w:t>
      </w:r>
      <w:r>
        <w:rPr>
          <w:rFonts w:hint="eastAsia" w:ascii="Times New Roman"/>
          <w:color w:val="auto"/>
          <w:w w:val="100"/>
          <w:highlight w:val="none"/>
          <w:u w:val="single"/>
          <w:lang w:val="en-US" w:eastAsia="zh-CN"/>
        </w:rPr>
        <w:t xml:space="preserve">                                            </w:t>
      </w:r>
    </w:p>
    <w:p>
      <w:pPr>
        <w:keepNext w:val="0"/>
        <w:keepLines w:val="0"/>
        <w:pageBreakBefore w:val="0"/>
        <w:widowControl w:val="0"/>
        <w:tabs>
          <w:tab w:val="left" w:pos="1639"/>
          <w:tab w:val="left" w:pos="2199"/>
          <w:tab w:val="left" w:pos="2760"/>
          <w:tab w:val="left" w:pos="7452"/>
        </w:tabs>
        <w:kinsoku/>
        <w:wordWrap/>
        <w:overflowPunct/>
        <w:topLinePunct w:val="0"/>
        <w:autoSpaceDE w:val="0"/>
        <w:autoSpaceDN w:val="0"/>
        <w:bidi w:val="0"/>
        <w:adjustRightInd/>
        <w:snapToGrid/>
        <w:spacing w:before="199" w:line="360" w:lineRule="auto"/>
        <w:ind w:left="1078" w:right="0" w:firstLine="1124" w:firstLineChars="400"/>
        <w:jc w:val="left"/>
        <w:textAlignment w:val="auto"/>
        <w:rPr>
          <w:rFonts w:ascii="Times New Roman" w:eastAsia="Times New Roman"/>
          <w:b/>
          <w:color w:val="auto"/>
          <w:sz w:val="28"/>
          <w:highlight w:val="none"/>
        </w:rPr>
      </w:pPr>
      <w:r>
        <w:rPr>
          <w:b/>
          <w:color w:val="auto"/>
          <w:sz w:val="28"/>
          <w:highlight w:val="none"/>
        </w:rPr>
        <w:t>签订日</w:t>
      </w:r>
      <w:r>
        <w:rPr>
          <w:b/>
          <w:color w:val="auto"/>
          <w:spacing w:val="-1"/>
          <w:w w:val="95"/>
          <w:sz w:val="28"/>
          <w:highlight w:val="none"/>
        </w:rPr>
        <w:t>期：</w:t>
      </w:r>
      <w:r>
        <w:rPr>
          <w:rFonts w:ascii="Times New Roman" w:eastAsia="Times New Roman"/>
          <w:color w:val="auto"/>
          <w:w w:val="100"/>
          <w:highlight w:val="none"/>
          <w:u w:val="single"/>
        </w:rPr>
        <w:t xml:space="preserve"> </w:t>
      </w:r>
      <w:r>
        <w:rPr>
          <w:rFonts w:hint="eastAsia" w:ascii="Times New Roman"/>
          <w:color w:val="auto"/>
          <w:w w:val="100"/>
          <w:highlight w:val="none"/>
          <w:u w:val="single"/>
          <w:lang w:val="en-US" w:eastAsia="zh-CN"/>
        </w:rPr>
        <w:t xml:space="preserve">                                         </w:t>
      </w:r>
    </w:p>
    <w:p>
      <w:pPr>
        <w:tabs>
          <w:tab w:val="left" w:pos="5990"/>
        </w:tabs>
        <w:spacing w:before="55"/>
        <w:ind w:left="1198" w:right="0" w:firstLine="0"/>
        <w:jc w:val="left"/>
        <w:rPr>
          <w:color w:val="auto"/>
          <w:spacing w:val="-1"/>
          <w:sz w:val="22"/>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tabs>
          <w:tab w:val="left" w:pos="5990"/>
        </w:tabs>
        <w:spacing w:before="55"/>
        <w:ind w:left="1198" w:right="0" w:firstLine="0"/>
        <w:jc w:val="left"/>
        <w:rPr>
          <w:color w:val="auto"/>
          <w:spacing w:val="-1"/>
          <w:sz w:val="22"/>
          <w:highlight w:val="none"/>
        </w:rPr>
      </w:pPr>
    </w:p>
    <w:p>
      <w:pPr>
        <w:tabs>
          <w:tab w:val="left" w:pos="5990"/>
        </w:tabs>
        <w:spacing w:before="55"/>
        <w:ind w:left="1198" w:right="0" w:firstLine="0"/>
        <w:jc w:val="left"/>
        <w:rPr>
          <w:color w:val="auto"/>
          <w:spacing w:val="-1"/>
          <w:sz w:val="22"/>
          <w:highlight w:val="none"/>
        </w:rPr>
      </w:pPr>
    </w:p>
    <w:p>
      <w:pPr>
        <w:tabs>
          <w:tab w:val="left" w:pos="5990"/>
        </w:tabs>
        <w:spacing w:before="55" w:line="360" w:lineRule="auto"/>
        <w:ind w:left="1198" w:right="0" w:firstLine="0"/>
        <w:jc w:val="left"/>
        <w:rPr>
          <w:rFonts w:ascii="Times New Roman" w:eastAsia="Times New Roman"/>
          <w:color w:val="auto"/>
          <w:sz w:val="22"/>
          <w:highlight w:val="none"/>
        </w:rPr>
      </w:pPr>
      <w:r>
        <w:rPr>
          <w:color w:val="auto"/>
          <w:spacing w:val="-1"/>
          <w:sz w:val="22"/>
          <w:highlight w:val="none"/>
        </w:rPr>
        <w:t>发</w:t>
      </w:r>
      <w:r>
        <w:rPr>
          <w:color w:val="auto"/>
          <w:spacing w:val="-3"/>
          <w:sz w:val="22"/>
          <w:highlight w:val="none"/>
        </w:rPr>
        <w:t>包</w:t>
      </w:r>
      <w:r>
        <w:rPr>
          <w:color w:val="auto"/>
          <w:spacing w:val="-1"/>
          <w:sz w:val="22"/>
          <w:highlight w:val="none"/>
        </w:rPr>
        <w:t>人</w:t>
      </w:r>
      <w:r>
        <w:rPr>
          <w:color w:val="auto"/>
          <w:spacing w:val="-4"/>
          <w:sz w:val="22"/>
          <w:highlight w:val="none"/>
        </w:rPr>
        <w:t>：</w:t>
      </w:r>
      <w:r>
        <w:rPr>
          <w:rFonts w:ascii="Times New Roman" w:eastAsia="Times New Roman"/>
          <w:color w:val="auto"/>
          <w:sz w:val="22"/>
          <w:highlight w:val="none"/>
          <w:u w:val="single"/>
        </w:rPr>
        <w:t xml:space="preserve"> </w:t>
      </w:r>
      <w:r>
        <w:rPr>
          <w:rFonts w:ascii="Times New Roman" w:eastAsia="Times New Roman"/>
          <w:color w:val="auto"/>
          <w:sz w:val="22"/>
          <w:highlight w:val="none"/>
          <w:u w:val="single"/>
        </w:rPr>
        <w:tab/>
      </w:r>
    </w:p>
    <w:p>
      <w:pPr>
        <w:tabs>
          <w:tab w:val="left" w:pos="5130"/>
        </w:tabs>
        <w:spacing w:before="77" w:line="360" w:lineRule="auto"/>
        <w:ind w:left="1217" w:right="0" w:firstLine="0"/>
        <w:jc w:val="left"/>
        <w:rPr>
          <w:rFonts w:ascii="Times New Roman" w:eastAsia="Times New Roman"/>
          <w:color w:val="auto"/>
          <w:sz w:val="22"/>
          <w:highlight w:val="none"/>
        </w:rPr>
      </w:pPr>
      <w:r>
        <w:rPr>
          <w:color w:val="auto"/>
          <w:spacing w:val="-1"/>
          <w:sz w:val="22"/>
          <w:highlight w:val="none"/>
        </w:rPr>
        <w:t>承</w:t>
      </w:r>
      <w:r>
        <w:rPr>
          <w:color w:val="auto"/>
          <w:spacing w:val="-3"/>
          <w:sz w:val="22"/>
          <w:highlight w:val="none"/>
        </w:rPr>
        <w:t>包</w:t>
      </w:r>
      <w:r>
        <w:rPr>
          <w:color w:val="auto"/>
          <w:spacing w:val="-1"/>
          <w:sz w:val="22"/>
          <w:highlight w:val="none"/>
        </w:rPr>
        <w:t>人：</w:t>
      </w:r>
      <w:r>
        <w:rPr>
          <w:rFonts w:ascii="Times New Roman" w:eastAsia="Times New Roman"/>
          <w:color w:val="auto"/>
          <w:sz w:val="22"/>
          <w:highlight w:val="none"/>
          <w:u w:val="single"/>
        </w:rPr>
        <w:t xml:space="preserve"> </w:t>
      </w:r>
      <w:r>
        <w:rPr>
          <w:rFonts w:ascii="Times New Roman" w:eastAsia="Times New Roman"/>
          <w:color w:val="auto"/>
          <w:sz w:val="22"/>
          <w:highlight w:val="none"/>
          <w:u w:val="single"/>
        </w:rPr>
        <w:tab/>
      </w:r>
    </w:p>
    <w:p>
      <w:pPr>
        <w:tabs>
          <w:tab w:val="left" w:pos="5184"/>
          <w:tab w:val="left" w:pos="9327"/>
        </w:tabs>
        <w:spacing w:before="77" w:line="360" w:lineRule="auto"/>
        <w:ind w:left="658" w:right="655" w:firstLine="559"/>
        <w:jc w:val="left"/>
        <w:rPr>
          <w:color w:val="auto"/>
          <w:sz w:val="22"/>
          <w:highlight w:val="none"/>
        </w:rPr>
      </w:pPr>
      <w:r>
        <w:rPr>
          <w:color w:val="auto"/>
          <w:sz w:val="22"/>
          <w:highlight w:val="none"/>
        </w:rPr>
        <w:t>发</w:t>
      </w:r>
      <w:r>
        <w:rPr>
          <w:color w:val="auto"/>
          <w:spacing w:val="-3"/>
          <w:sz w:val="22"/>
          <w:highlight w:val="none"/>
        </w:rPr>
        <w:t>包</w:t>
      </w:r>
      <w:r>
        <w:rPr>
          <w:color w:val="auto"/>
          <w:sz w:val="22"/>
          <w:highlight w:val="none"/>
        </w:rPr>
        <w:t>人委</w:t>
      </w:r>
      <w:r>
        <w:rPr>
          <w:color w:val="auto"/>
          <w:spacing w:val="-3"/>
          <w:sz w:val="22"/>
          <w:highlight w:val="none"/>
        </w:rPr>
        <w:t>托</w:t>
      </w:r>
      <w:r>
        <w:rPr>
          <w:color w:val="auto"/>
          <w:sz w:val="22"/>
          <w:highlight w:val="none"/>
        </w:rPr>
        <w:t>承包</w:t>
      </w:r>
      <w:r>
        <w:rPr>
          <w:color w:val="auto"/>
          <w:spacing w:val="-3"/>
          <w:sz w:val="22"/>
          <w:highlight w:val="none"/>
        </w:rPr>
        <w:t>人</w:t>
      </w:r>
      <w:r>
        <w:rPr>
          <w:color w:val="auto"/>
          <w:sz w:val="22"/>
          <w:highlight w:val="none"/>
        </w:rPr>
        <w:t>承担</w:t>
      </w:r>
      <w:r>
        <w:rPr>
          <w:color w:val="auto"/>
          <w:sz w:val="22"/>
          <w:highlight w:val="none"/>
          <w:u w:val="single"/>
        </w:rPr>
        <w:t xml:space="preserve"> </w:t>
      </w:r>
      <w:r>
        <w:rPr>
          <w:color w:val="auto"/>
          <w:sz w:val="22"/>
          <w:highlight w:val="none"/>
          <w:u w:val="single"/>
        </w:rPr>
        <w:tab/>
      </w:r>
      <w:r>
        <w:rPr>
          <w:color w:val="auto"/>
          <w:sz w:val="22"/>
          <w:highlight w:val="none"/>
        </w:rPr>
        <w:t>工</w:t>
      </w:r>
      <w:r>
        <w:rPr>
          <w:color w:val="auto"/>
          <w:spacing w:val="-3"/>
          <w:sz w:val="22"/>
          <w:highlight w:val="none"/>
        </w:rPr>
        <w:t>程设</w:t>
      </w:r>
      <w:r>
        <w:rPr>
          <w:color w:val="auto"/>
          <w:sz w:val="22"/>
          <w:highlight w:val="none"/>
        </w:rPr>
        <w:t>计工</w:t>
      </w:r>
      <w:r>
        <w:rPr>
          <w:color w:val="auto"/>
          <w:spacing w:val="-3"/>
          <w:sz w:val="22"/>
          <w:highlight w:val="none"/>
        </w:rPr>
        <w:t>作</w:t>
      </w:r>
      <w:r>
        <w:rPr>
          <w:color w:val="auto"/>
          <w:spacing w:val="-41"/>
          <w:sz w:val="22"/>
          <w:highlight w:val="none"/>
        </w:rPr>
        <w:t>，</w:t>
      </w:r>
      <w:r>
        <w:rPr>
          <w:color w:val="auto"/>
          <w:sz w:val="22"/>
          <w:highlight w:val="none"/>
        </w:rPr>
        <w:t>工</w:t>
      </w:r>
      <w:r>
        <w:rPr>
          <w:color w:val="auto"/>
          <w:spacing w:val="-3"/>
          <w:sz w:val="22"/>
          <w:highlight w:val="none"/>
        </w:rPr>
        <w:t>程</w:t>
      </w:r>
      <w:r>
        <w:rPr>
          <w:color w:val="auto"/>
          <w:sz w:val="22"/>
          <w:highlight w:val="none"/>
        </w:rPr>
        <w:t>地点</w:t>
      </w:r>
      <w:r>
        <w:rPr>
          <w:color w:val="auto"/>
          <w:spacing w:val="-3"/>
          <w:sz w:val="22"/>
          <w:highlight w:val="none"/>
        </w:rPr>
        <w:t>为</w:t>
      </w:r>
      <w:r>
        <w:rPr>
          <w:color w:val="auto"/>
          <w:spacing w:val="-3"/>
          <w:sz w:val="22"/>
          <w:highlight w:val="none"/>
          <w:u w:val="single"/>
        </w:rPr>
        <w:t xml:space="preserve"> </w:t>
      </w:r>
      <w:r>
        <w:rPr>
          <w:rFonts w:hint="eastAsia"/>
          <w:color w:val="auto"/>
          <w:spacing w:val="-3"/>
          <w:sz w:val="22"/>
          <w:highlight w:val="none"/>
          <w:u w:val="single"/>
          <w:lang w:val="en-US" w:eastAsia="zh-CN"/>
        </w:rPr>
        <w:t xml:space="preserve">      </w:t>
      </w:r>
      <w:r>
        <w:rPr>
          <w:color w:val="auto"/>
          <w:spacing w:val="-41"/>
          <w:sz w:val="22"/>
          <w:highlight w:val="none"/>
        </w:rPr>
        <w:t>，</w:t>
      </w:r>
      <w:r>
        <w:rPr>
          <w:color w:val="auto"/>
          <w:spacing w:val="-17"/>
          <w:sz w:val="22"/>
          <w:highlight w:val="none"/>
        </w:rPr>
        <w:t>经</w:t>
      </w:r>
      <w:r>
        <w:rPr>
          <w:color w:val="auto"/>
          <w:sz w:val="22"/>
          <w:highlight w:val="none"/>
        </w:rPr>
        <w:t>双</w:t>
      </w:r>
      <w:r>
        <w:rPr>
          <w:color w:val="auto"/>
          <w:spacing w:val="-3"/>
          <w:sz w:val="22"/>
          <w:highlight w:val="none"/>
        </w:rPr>
        <w:t>方</w:t>
      </w:r>
      <w:r>
        <w:rPr>
          <w:color w:val="auto"/>
          <w:sz w:val="22"/>
          <w:highlight w:val="none"/>
        </w:rPr>
        <w:t>协商</w:t>
      </w:r>
      <w:r>
        <w:rPr>
          <w:color w:val="auto"/>
          <w:spacing w:val="-3"/>
          <w:sz w:val="22"/>
          <w:highlight w:val="none"/>
        </w:rPr>
        <w:t>一</w:t>
      </w:r>
      <w:r>
        <w:rPr>
          <w:color w:val="auto"/>
          <w:sz w:val="22"/>
          <w:highlight w:val="none"/>
        </w:rPr>
        <w:t>致，</w:t>
      </w:r>
      <w:r>
        <w:rPr>
          <w:color w:val="auto"/>
          <w:spacing w:val="-3"/>
          <w:sz w:val="22"/>
          <w:highlight w:val="none"/>
        </w:rPr>
        <w:t>签</w:t>
      </w:r>
      <w:r>
        <w:rPr>
          <w:color w:val="auto"/>
          <w:sz w:val="22"/>
          <w:highlight w:val="none"/>
        </w:rPr>
        <w:t>订本</w:t>
      </w:r>
      <w:r>
        <w:rPr>
          <w:color w:val="auto"/>
          <w:spacing w:val="-3"/>
          <w:sz w:val="22"/>
          <w:highlight w:val="none"/>
        </w:rPr>
        <w:t>合</w:t>
      </w:r>
      <w:r>
        <w:rPr>
          <w:color w:val="auto"/>
          <w:sz w:val="22"/>
          <w:highlight w:val="none"/>
        </w:rPr>
        <w:t>同，</w:t>
      </w:r>
      <w:r>
        <w:rPr>
          <w:color w:val="auto"/>
          <w:spacing w:val="-3"/>
          <w:sz w:val="22"/>
          <w:highlight w:val="none"/>
        </w:rPr>
        <w:t>共</w:t>
      </w:r>
      <w:r>
        <w:rPr>
          <w:color w:val="auto"/>
          <w:sz w:val="22"/>
          <w:highlight w:val="none"/>
        </w:rPr>
        <w:t>同执</w:t>
      </w:r>
      <w:r>
        <w:rPr>
          <w:color w:val="auto"/>
          <w:spacing w:val="-3"/>
          <w:sz w:val="22"/>
          <w:highlight w:val="none"/>
        </w:rPr>
        <w:t>行</w:t>
      </w:r>
      <w:r>
        <w:rPr>
          <w:color w:val="auto"/>
          <w:sz w:val="22"/>
          <w:highlight w:val="none"/>
        </w:rPr>
        <w:t>。</w:t>
      </w:r>
    </w:p>
    <w:p>
      <w:pPr>
        <w:pStyle w:val="5"/>
        <w:keepNext w:val="0"/>
        <w:keepLines w:val="0"/>
        <w:pageBreakBefore w:val="0"/>
        <w:widowControl w:val="0"/>
        <w:kinsoku/>
        <w:wordWrap/>
        <w:overflowPunct/>
        <w:topLinePunct w:val="0"/>
        <w:autoSpaceDE w:val="0"/>
        <w:autoSpaceDN w:val="0"/>
        <w:bidi w:val="0"/>
        <w:adjustRightInd/>
        <w:snapToGrid/>
        <w:ind w:left="567"/>
        <w:jc w:val="left"/>
        <w:textAlignment w:val="auto"/>
        <w:rPr>
          <w:b/>
          <w:color w:val="auto"/>
          <w:sz w:val="22"/>
          <w:highlight w:val="none"/>
        </w:rPr>
      </w:pPr>
      <w:r>
        <w:rPr>
          <w:b/>
          <w:color w:val="auto"/>
          <w:sz w:val="22"/>
          <w:highlight w:val="none"/>
        </w:rPr>
        <w:t>第一条</w:t>
      </w:r>
      <w:r>
        <w:rPr>
          <w:b/>
          <w:color w:val="auto"/>
          <w:sz w:val="22"/>
          <w:highlight w:val="none"/>
        </w:rPr>
        <w:tab/>
      </w:r>
      <w:r>
        <w:rPr>
          <w:b/>
          <w:color w:val="auto"/>
          <w:sz w:val="22"/>
          <w:highlight w:val="none"/>
        </w:rPr>
        <w:t>本合同签订依据</w:t>
      </w:r>
    </w:p>
    <w:p>
      <w:pPr>
        <w:pStyle w:val="47"/>
        <w:numPr>
          <w:ilvl w:val="1"/>
          <w:numId w:val="9"/>
        </w:numPr>
        <w:tabs>
          <w:tab w:val="left" w:pos="1411"/>
        </w:tabs>
        <w:spacing w:before="186" w:after="0" w:line="240" w:lineRule="auto"/>
        <w:ind w:left="1078" w:right="653" w:firstLine="0"/>
        <w:jc w:val="left"/>
        <w:rPr>
          <w:color w:val="auto"/>
          <w:sz w:val="22"/>
          <w:highlight w:val="none"/>
        </w:rPr>
      </w:pPr>
      <w:r>
        <w:rPr>
          <w:color w:val="auto"/>
          <w:spacing w:val="-7"/>
          <w:sz w:val="22"/>
          <w:highlight w:val="none"/>
        </w:rPr>
        <w:t>《中华人民共和国合同法》、《中华人民共和国建筑法》和《建设工程勘察设计市场管</w:t>
      </w:r>
      <w:r>
        <w:rPr>
          <w:color w:val="auto"/>
          <w:spacing w:val="-3"/>
          <w:sz w:val="22"/>
          <w:highlight w:val="none"/>
        </w:rPr>
        <w:t>理</w:t>
      </w:r>
    </w:p>
    <w:p>
      <w:pPr>
        <w:pStyle w:val="47"/>
        <w:numPr>
          <w:ilvl w:val="0"/>
          <w:numId w:val="0"/>
        </w:numPr>
        <w:tabs>
          <w:tab w:val="left" w:pos="1411"/>
        </w:tabs>
        <w:spacing w:before="186" w:after="0" w:line="240" w:lineRule="auto"/>
        <w:ind w:right="653" w:rightChars="0" w:firstLine="428" w:firstLineChars="200"/>
        <w:jc w:val="left"/>
        <w:rPr>
          <w:color w:val="auto"/>
          <w:sz w:val="22"/>
          <w:highlight w:val="none"/>
        </w:rPr>
      </w:pPr>
      <w:r>
        <w:rPr>
          <w:color w:val="auto"/>
          <w:spacing w:val="-3"/>
          <w:sz w:val="22"/>
          <w:highlight w:val="none"/>
        </w:rPr>
        <w:t>规定》。</w:t>
      </w:r>
    </w:p>
    <w:p>
      <w:pPr>
        <w:pStyle w:val="47"/>
        <w:numPr>
          <w:ilvl w:val="1"/>
          <w:numId w:val="9"/>
        </w:numPr>
        <w:tabs>
          <w:tab w:val="left" w:pos="1463"/>
        </w:tabs>
        <w:spacing w:before="0" w:after="0" w:line="240" w:lineRule="auto"/>
        <w:ind w:left="1462" w:right="0" w:hanging="385"/>
        <w:jc w:val="left"/>
        <w:rPr>
          <w:color w:val="auto"/>
          <w:sz w:val="22"/>
          <w:highlight w:val="none"/>
        </w:rPr>
      </w:pPr>
      <w:r>
        <w:rPr>
          <w:color w:val="auto"/>
          <w:spacing w:val="-3"/>
          <w:sz w:val="22"/>
          <w:highlight w:val="none"/>
        </w:rPr>
        <w:t>国家及地方有关部门建设工程设计管理法规和规章。</w:t>
      </w:r>
    </w:p>
    <w:p>
      <w:pPr>
        <w:pStyle w:val="47"/>
        <w:numPr>
          <w:ilvl w:val="1"/>
          <w:numId w:val="9"/>
        </w:numPr>
        <w:tabs>
          <w:tab w:val="left" w:pos="1463"/>
        </w:tabs>
        <w:spacing w:before="187" w:after="0" w:line="360" w:lineRule="auto"/>
        <w:ind w:left="1462" w:right="0" w:hanging="385"/>
        <w:jc w:val="left"/>
        <w:rPr>
          <w:color w:val="auto"/>
          <w:sz w:val="22"/>
          <w:highlight w:val="none"/>
        </w:rPr>
      </w:pPr>
      <w:r>
        <w:rPr>
          <w:color w:val="auto"/>
          <w:spacing w:val="-3"/>
          <w:sz w:val="22"/>
          <w:highlight w:val="none"/>
        </w:rPr>
        <w:t>建设工程批准文件。</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b/>
          <w:color w:val="auto"/>
          <w:sz w:val="22"/>
          <w:highlight w:val="none"/>
        </w:rPr>
      </w:pPr>
      <w:r>
        <w:rPr>
          <w:b/>
          <w:color w:val="auto"/>
          <w:sz w:val="22"/>
          <w:highlight w:val="none"/>
        </w:rPr>
        <w:t>第二条</w:t>
      </w:r>
      <w:r>
        <w:rPr>
          <w:rFonts w:hint="eastAsia"/>
          <w:b/>
          <w:color w:val="auto"/>
          <w:sz w:val="22"/>
          <w:highlight w:val="none"/>
          <w:lang w:val="en-US" w:eastAsia="zh-CN"/>
        </w:rPr>
        <w:t xml:space="preserve"> </w:t>
      </w:r>
      <w:r>
        <w:rPr>
          <w:b/>
          <w:color w:val="auto"/>
          <w:sz w:val="22"/>
          <w:highlight w:val="none"/>
        </w:rPr>
        <w:t>设计依据依据及技术标准</w:t>
      </w:r>
    </w:p>
    <w:p>
      <w:pPr>
        <w:pStyle w:val="47"/>
        <w:numPr>
          <w:ilvl w:val="0"/>
          <w:numId w:val="0"/>
        </w:numPr>
        <w:tabs>
          <w:tab w:val="left" w:pos="1301"/>
        </w:tabs>
        <w:spacing w:before="0" w:after="0" w:line="360" w:lineRule="auto"/>
        <w:ind w:left="1077" w:leftChars="0" w:right="0" w:rightChars="0"/>
        <w:jc w:val="left"/>
        <w:rPr>
          <w:color w:val="auto"/>
          <w:highlight w:val="none"/>
        </w:rPr>
      </w:pPr>
      <w:r>
        <w:rPr>
          <w:rFonts w:hint="eastAsia"/>
          <w:color w:val="auto"/>
          <w:sz w:val="22"/>
          <w:highlight w:val="none"/>
          <w:lang w:val="en-US" w:eastAsia="zh-CN"/>
        </w:rPr>
        <w:t>2.1</w:t>
      </w:r>
      <w:r>
        <w:rPr>
          <w:color w:val="auto"/>
          <w:spacing w:val="-3"/>
          <w:sz w:val="22"/>
          <w:highlight w:val="none"/>
        </w:rPr>
        <w:t>设计依据</w:t>
      </w:r>
      <w:r>
        <w:rPr>
          <w:rFonts w:hint="eastAsia"/>
          <w:color w:val="auto"/>
          <w:spacing w:val="-3"/>
          <w:sz w:val="22"/>
          <w:highlight w:val="none"/>
          <w:lang w:eastAsia="zh-CN"/>
        </w:rPr>
        <w:t>：</w:t>
      </w:r>
    </w:p>
    <w:p>
      <w:pPr>
        <w:pStyle w:val="47"/>
        <w:numPr>
          <w:ilvl w:val="0"/>
          <w:numId w:val="0"/>
        </w:numPr>
        <w:tabs>
          <w:tab w:val="left" w:pos="1301"/>
        </w:tabs>
        <w:spacing w:before="0" w:after="0" w:line="360" w:lineRule="auto"/>
        <w:ind w:left="745" w:leftChars="0" w:right="0" w:rightChars="0" w:firstLine="420" w:firstLineChars="200"/>
        <w:jc w:val="left"/>
        <w:rPr>
          <w:color w:val="auto"/>
          <w:highlight w:val="none"/>
        </w:rPr>
      </w:pPr>
      <w:r>
        <w:rPr>
          <w:rFonts w:hint="eastAsia"/>
          <w:color w:val="auto"/>
          <w:highlight w:val="none"/>
          <w:lang w:val="en-US" w:eastAsia="zh-CN"/>
        </w:rPr>
        <w:t xml:space="preserve">2.1.1 </w:t>
      </w:r>
      <w:r>
        <w:rPr>
          <w:color w:val="auto"/>
          <w:highlight w:val="none"/>
        </w:rPr>
        <w:t>本设计</w:t>
      </w:r>
      <w:r>
        <w:rPr>
          <w:rFonts w:hint="eastAsia"/>
          <w:color w:val="auto"/>
          <w:spacing w:val="-3"/>
          <w:sz w:val="22"/>
          <w:highlight w:val="none"/>
          <w:lang w:eastAsia="zh-CN"/>
        </w:rPr>
        <w:t>合</w:t>
      </w:r>
      <w:r>
        <w:rPr>
          <w:color w:val="auto"/>
          <w:spacing w:val="-3"/>
          <w:sz w:val="22"/>
          <w:highlight w:val="none"/>
        </w:rPr>
        <w:t>同</w:t>
      </w:r>
      <w:r>
        <w:rPr>
          <w:color w:val="auto"/>
          <w:highlight w:val="none"/>
        </w:rPr>
        <w:t>。</w:t>
      </w:r>
    </w:p>
    <w:p>
      <w:pPr>
        <w:pStyle w:val="47"/>
        <w:numPr>
          <w:ilvl w:val="0"/>
          <w:numId w:val="0"/>
        </w:numPr>
        <w:tabs>
          <w:tab w:val="left" w:pos="1301"/>
        </w:tabs>
        <w:spacing w:before="0" w:after="0" w:line="360" w:lineRule="auto"/>
        <w:ind w:left="745" w:leftChars="0" w:right="0" w:rightChars="0" w:firstLine="428" w:firstLineChars="200"/>
        <w:jc w:val="left"/>
        <w:rPr>
          <w:color w:val="auto"/>
          <w:sz w:val="22"/>
          <w:highlight w:val="none"/>
        </w:rPr>
      </w:pPr>
      <w:r>
        <w:rPr>
          <w:rFonts w:hint="eastAsia"/>
          <w:color w:val="auto"/>
          <w:spacing w:val="-3"/>
          <w:sz w:val="22"/>
          <w:highlight w:val="none"/>
          <w:lang w:val="en-US" w:eastAsia="zh-CN"/>
        </w:rPr>
        <w:t xml:space="preserve">2.1.2 </w:t>
      </w:r>
      <w:r>
        <w:rPr>
          <w:color w:val="auto"/>
          <w:spacing w:val="-3"/>
          <w:sz w:val="22"/>
          <w:highlight w:val="none"/>
        </w:rPr>
        <w:t>发包人提交的基础资料及相关文件。</w:t>
      </w:r>
    </w:p>
    <w:p>
      <w:pPr>
        <w:pStyle w:val="47"/>
        <w:numPr>
          <w:ilvl w:val="0"/>
          <w:numId w:val="0"/>
        </w:numPr>
        <w:tabs>
          <w:tab w:val="left" w:pos="1301"/>
        </w:tabs>
        <w:spacing w:before="0" w:after="0" w:line="360" w:lineRule="auto"/>
        <w:ind w:left="745" w:leftChars="0" w:right="0" w:rightChars="0" w:firstLine="428" w:firstLineChars="200"/>
        <w:jc w:val="left"/>
        <w:rPr>
          <w:color w:val="auto"/>
          <w:sz w:val="22"/>
          <w:highlight w:val="none"/>
        </w:rPr>
      </w:pPr>
      <w:r>
        <w:rPr>
          <w:rFonts w:hint="eastAsia"/>
          <w:color w:val="auto"/>
          <w:spacing w:val="-3"/>
          <w:sz w:val="22"/>
          <w:highlight w:val="none"/>
          <w:lang w:val="en-US" w:eastAsia="zh-CN"/>
        </w:rPr>
        <w:t xml:space="preserve">2.1.3 </w:t>
      </w:r>
      <w:r>
        <w:rPr>
          <w:color w:val="auto"/>
          <w:spacing w:val="-3"/>
          <w:sz w:val="22"/>
          <w:highlight w:val="none"/>
        </w:rPr>
        <w:t>发包方委托书或设计中标文件。</w:t>
      </w:r>
    </w:p>
    <w:p>
      <w:pPr>
        <w:pStyle w:val="47"/>
        <w:numPr>
          <w:ilvl w:val="0"/>
          <w:numId w:val="0"/>
        </w:numPr>
        <w:tabs>
          <w:tab w:val="left" w:pos="1301"/>
        </w:tabs>
        <w:spacing w:before="0" w:after="0" w:line="360" w:lineRule="auto"/>
        <w:ind w:left="745" w:leftChars="0" w:right="0" w:rightChars="0" w:firstLine="436" w:firstLineChars="200"/>
        <w:jc w:val="left"/>
        <w:rPr>
          <w:rFonts w:ascii="Times New Roman"/>
          <w:color w:val="auto"/>
          <w:sz w:val="10"/>
          <w:highlight w:val="none"/>
        </w:rPr>
      </w:pPr>
      <w:r>
        <w:rPr>
          <w:rFonts w:hint="eastAsia"/>
          <w:color w:val="auto"/>
          <w:spacing w:val="-1"/>
          <w:sz w:val="22"/>
          <w:highlight w:val="none"/>
          <w:lang w:val="en-US" w:eastAsia="zh-CN"/>
        </w:rPr>
        <w:t xml:space="preserve">2.1.4 </w:t>
      </w:r>
      <w:r>
        <w:rPr>
          <w:color w:val="auto"/>
          <w:spacing w:val="-3"/>
          <w:sz w:val="22"/>
          <w:highlight w:val="none"/>
        </w:rPr>
        <w:t xml:space="preserve">其他 </w:t>
      </w:r>
      <w:r>
        <w:rPr>
          <w:rFonts w:ascii="Times New Roman" w:eastAsia="Times New Roman"/>
          <w:color w:val="auto"/>
          <w:w w:val="100"/>
          <w:sz w:val="22"/>
          <w:highlight w:val="none"/>
          <w:u w:val="single"/>
        </w:rPr>
        <w:t xml:space="preserve"> </w:t>
      </w:r>
      <w:r>
        <w:rPr>
          <w:rFonts w:ascii="Times New Roman" w:eastAsia="Times New Roman"/>
          <w:color w:val="auto"/>
          <w:sz w:val="22"/>
          <w:highlight w:val="none"/>
          <w:u w:val="single"/>
        </w:rPr>
        <w:tab/>
      </w:r>
      <w:r>
        <w:rPr>
          <w:rFonts w:hint="eastAsia" w:ascii="Times New Roman"/>
          <w:color w:val="auto"/>
          <w:sz w:val="22"/>
          <w:highlight w:val="none"/>
          <w:u w:val="single"/>
          <w:lang w:val="en-US" w:eastAsia="zh-CN"/>
        </w:rPr>
        <w:t xml:space="preserve">                               </w:t>
      </w:r>
    </w:p>
    <w:p>
      <w:pPr>
        <w:pStyle w:val="47"/>
        <w:numPr>
          <w:ilvl w:val="0"/>
          <w:numId w:val="0"/>
        </w:numPr>
        <w:tabs>
          <w:tab w:val="left" w:pos="1301"/>
        </w:tabs>
        <w:spacing w:before="0" w:after="0" w:line="360" w:lineRule="auto"/>
        <w:ind w:right="0" w:rightChars="0" w:firstLine="840" w:firstLineChars="400"/>
        <w:jc w:val="left"/>
        <w:rPr>
          <w:rFonts w:hint="eastAsia"/>
          <w:color w:val="auto"/>
          <w:highlight w:val="none"/>
          <w:lang w:val="en-US" w:eastAsia="zh-CN"/>
        </w:rPr>
      </w:pPr>
      <w:r>
        <w:rPr>
          <w:rFonts w:hint="eastAsia"/>
          <w:color w:val="auto"/>
          <w:highlight w:val="none"/>
          <w:lang w:val="en-US" w:eastAsia="zh-CN"/>
        </w:rPr>
        <w:t>2.2 承包人采用的主要技术标准及要求</w:t>
      </w:r>
    </w:p>
    <w:p>
      <w:pPr>
        <w:pStyle w:val="47"/>
        <w:numPr>
          <w:ilvl w:val="0"/>
          <w:numId w:val="0"/>
        </w:numPr>
        <w:tabs>
          <w:tab w:val="left" w:pos="1301"/>
        </w:tabs>
        <w:spacing w:before="0" w:after="0" w:line="360" w:lineRule="auto"/>
        <w:ind w:left="745" w:leftChars="0" w:right="0" w:rightChars="0" w:firstLine="420" w:firstLineChars="200"/>
        <w:jc w:val="left"/>
        <w:rPr>
          <w:rFonts w:hint="eastAsia"/>
          <w:color w:val="auto"/>
          <w:highlight w:val="none"/>
          <w:lang w:val="en-US" w:eastAsia="zh-CN"/>
        </w:rPr>
      </w:pPr>
      <w:r>
        <w:rPr>
          <w:rFonts w:hint="eastAsia"/>
          <w:color w:val="auto"/>
          <w:highlight w:val="none"/>
          <w:lang w:val="en-US" w:eastAsia="zh-CN"/>
        </w:rPr>
        <w:t>2.2.1国家、行业和地方现行的有关规范及技术标准。</w:t>
      </w:r>
    </w:p>
    <w:p>
      <w:pPr>
        <w:pStyle w:val="47"/>
        <w:numPr>
          <w:ilvl w:val="0"/>
          <w:numId w:val="0"/>
        </w:numPr>
        <w:tabs>
          <w:tab w:val="left" w:pos="1301"/>
        </w:tabs>
        <w:spacing w:before="0" w:after="0" w:line="360" w:lineRule="auto"/>
        <w:ind w:left="745" w:leftChars="0" w:right="0" w:rightChars="0" w:firstLine="420" w:firstLineChars="200"/>
        <w:jc w:val="left"/>
        <w:rPr>
          <w:rFonts w:hint="eastAsia"/>
          <w:color w:val="auto"/>
          <w:highlight w:val="none"/>
          <w:lang w:val="en-US" w:eastAsia="zh-CN"/>
        </w:rPr>
      </w:pPr>
      <w:r>
        <w:rPr>
          <w:rFonts w:hint="eastAsia"/>
          <w:color w:val="auto"/>
          <w:highlight w:val="none"/>
          <w:lang w:val="en-US" w:eastAsia="zh-CN"/>
        </w:rPr>
        <w:t>2.2.2发包方提出的设计的有关技术要求。</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67" w:firstLine="657" w:firstLineChars="300"/>
        <w:jc w:val="left"/>
        <w:textAlignment w:val="auto"/>
        <w:rPr>
          <w:color w:val="auto"/>
          <w:sz w:val="22"/>
          <w:highlight w:val="none"/>
        </w:rPr>
      </w:pPr>
      <w:r>
        <w:rPr>
          <w:rFonts w:hint="eastAsia"/>
          <w:color w:val="auto"/>
          <w:spacing w:val="-1"/>
          <w:sz w:val="22"/>
          <w:highlight w:val="none"/>
          <w:lang w:val="en-US" w:eastAsia="zh-CN"/>
        </w:rPr>
        <w:t xml:space="preserve">2.2.3 </w:t>
      </w:r>
      <w:r>
        <w:rPr>
          <w:color w:val="auto"/>
          <w:spacing w:val="-1"/>
          <w:sz w:val="22"/>
          <w:highlight w:val="none"/>
        </w:rPr>
        <w:t>经</w:t>
      </w:r>
      <w:r>
        <w:rPr>
          <w:color w:val="auto"/>
          <w:spacing w:val="-3"/>
          <w:sz w:val="22"/>
          <w:highlight w:val="none"/>
        </w:rPr>
        <w:t>发</w:t>
      </w:r>
      <w:r>
        <w:rPr>
          <w:color w:val="auto"/>
          <w:spacing w:val="-1"/>
          <w:sz w:val="22"/>
          <w:highlight w:val="none"/>
        </w:rPr>
        <w:t>包人</w:t>
      </w:r>
      <w:r>
        <w:rPr>
          <w:color w:val="auto"/>
          <w:spacing w:val="-3"/>
          <w:sz w:val="22"/>
          <w:highlight w:val="none"/>
        </w:rPr>
        <w:t>审</w:t>
      </w:r>
      <w:r>
        <w:rPr>
          <w:color w:val="auto"/>
          <w:spacing w:val="-1"/>
          <w:sz w:val="22"/>
          <w:highlight w:val="none"/>
        </w:rPr>
        <w:t>查</w:t>
      </w:r>
      <w:r>
        <w:rPr>
          <w:color w:val="auto"/>
          <w:sz w:val="22"/>
          <w:highlight w:val="none"/>
        </w:rPr>
        <w:t>同</w:t>
      </w:r>
      <w:r>
        <w:rPr>
          <w:color w:val="auto"/>
          <w:spacing w:val="-3"/>
          <w:sz w:val="22"/>
          <w:highlight w:val="none"/>
        </w:rPr>
        <w:t>意</w:t>
      </w:r>
      <w:r>
        <w:rPr>
          <w:color w:val="auto"/>
          <w:sz w:val="22"/>
          <w:highlight w:val="none"/>
        </w:rPr>
        <w:t>或投</w:t>
      </w:r>
      <w:r>
        <w:rPr>
          <w:color w:val="auto"/>
          <w:spacing w:val="-3"/>
          <w:sz w:val="22"/>
          <w:highlight w:val="none"/>
        </w:rPr>
        <w:t>标</w:t>
      </w:r>
      <w:r>
        <w:rPr>
          <w:color w:val="auto"/>
          <w:sz w:val="22"/>
          <w:highlight w:val="none"/>
        </w:rPr>
        <w:t>文件</w:t>
      </w:r>
      <w:r>
        <w:rPr>
          <w:color w:val="auto"/>
          <w:spacing w:val="-3"/>
          <w:sz w:val="22"/>
          <w:highlight w:val="none"/>
        </w:rPr>
        <w:t>中</w:t>
      </w:r>
      <w:r>
        <w:rPr>
          <w:color w:val="auto"/>
          <w:sz w:val="22"/>
          <w:highlight w:val="none"/>
        </w:rPr>
        <w:t>的工</w:t>
      </w:r>
      <w:r>
        <w:rPr>
          <w:color w:val="auto"/>
          <w:spacing w:val="-3"/>
          <w:sz w:val="22"/>
          <w:highlight w:val="none"/>
        </w:rPr>
        <w:t>程</w:t>
      </w:r>
      <w:r>
        <w:rPr>
          <w:color w:val="auto"/>
          <w:sz w:val="22"/>
          <w:highlight w:val="none"/>
        </w:rPr>
        <w:t>设</w:t>
      </w:r>
      <w:r>
        <w:rPr>
          <w:color w:val="auto"/>
          <w:spacing w:val="-3"/>
          <w:sz w:val="22"/>
          <w:highlight w:val="none"/>
        </w:rPr>
        <w:t>计</w:t>
      </w:r>
      <w:r>
        <w:rPr>
          <w:color w:val="auto"/>
          <w:sz w:val="22"/>
          <w:highlight w:val="none"/>
        </w:rPr>
        <w:t>大纲</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b/>
          <w:color w:val="auto"/>
          <w:sz w:val="22"/>
          <w:highlight w:val="none"/>
        </w:rPr>
      </w:pPr>
      <w:r>
        <w:rPr>
          <w:b/>
          <w:color w:val="auto"/>
          <w:sz w:val="22"/>
          <w:highlight w:val="none"/>
        </w:rPr>
        <w:t>第三条</w:t>
      </w:r>
      <w:r>
        <w:rPr>
          <w:b/>
          <w:color w:val="auto"/>
          <w:sz w:val="22"/>
          <w:highlight w:val="none"/>
        </w:rPr>
        <w:tab/>
      </w:r>
      <w:r>
        <w:rPr>
          <w:b/>
          <w:color w:val="auto"/>
          <w:sz w:val="22"/>
          <w:highlight w:val="none"/>
        </w:rPr>
        <w:t>合同文件的优先次序</w:t>
      </w:r>
    </w:p>
    <w:p>
      <w:pPr>
        <w:spacing w:before="0" w:line="360" w:lineRule="auto"/>
        <w:ind w:left="658" w:right="706" w:firstLine="439"/>
        <w:jc w:val="left"/>
        <w:rPr>
          <w:color w:val="auto"/>
          <w:sz w:val="22"/>
          <w:highlight w:val="none"/>
        </w:rPr>
      </w:pPr>
      <w:r>
        <w:rPr>
          <w:color w:val="auto"/>
          <w:sz w:val="22"/>
          <w:highlight w:val="none"/>
        </w:rPr>
        <w:t>构成本合同的文件可视为是能互相说明的，如果合同文件存在歧义或不一致，则根据如下优先次序来判断：</w:t>
      </w:r>
    </w:p>
    <w:p>
      <w:pPr>
        <w:pStyle w:val="47"/>
        <w:numPr>
          <w:ilvl w:val="0"/>
          <w:numId w:val="0"/>
        </w:numPr>
        <w:tabs>
          <w:tab w:val="left" w:pos="1771"/>
          <w:tab w:val="left" w:pos="1772"/>
        </w:tabs>
        <w:spacing w:before="0" w:after="0" w:line="240" w:lineRule="auto"/>
        <w:ind w:left="1222" w:leftChars="0" w:right="0" w:rightChars="0"/>
        <w:jc w:val="left"/>
        <w:rPr>
          <w:color w:val="auto"/>
          <w:sz w:val="22"/>
          <w:highlight w:val="none"/>
        </w:rPr>
      </w:pPr>
      <w:r>
        <w:rPr>
          <w:rFonts w:hint="eastAsia"/>
          <w:color w:val="auto"/>
          <w:spacing w:val="-3"/>
          <w:sz w:val="22"/>
          <w:highlight w:val="none"/>
          <w:lang w:val="en-US" w:eastAsia="zh-CN"/>
        </w:rPr>
        <w:t xml:space="preserve">3.1 </w:t>
      </w:r>
      <w:r>
        <w:rPr>
          <w:color w:val="auto"/>
          <w:spacing w:val="-3"/>
          <w:sz w:val="22"/>
          <w:highlight w:val="none"/>
        </w:rPr>
        <w:t>合同书及补充协议</w:t>
      </w:r>
    </w:p>
    <w:p>
      <w:pPr>
        <w:pStyle w:val="47"/>
        <w:numPr>
          <w:ilvl w:val="0"/>
          <w:numId w:val="0"/>
        </w:numPr>
        <w:tabs>
          <w:tab w:val="left" w:pos="1771"/>
          <w:tab w:val="left" w:pos="1772"/>
        </w:tabs>
        <w:spacing w:before="186" w:after="0" w:line="240" w:lineRule="auto"/>
        <w:ind w:left="1222" w:leftChars="0" w:right="0" w:rightChars="0"/>
        <w:jc w:val="left"/>
        <w:rPr>
          <w:color w:val="auto"/>
          <w:sz w:val="22"/>
          <w:highlight w:val="none"/>
        </w:rPr>
      </w:pPr>
      <w:r>
        <w:rPr>
          <w:rFonts w:hint="eastAsia"/>
          <w:color w:val="auto"/>
          <w:spacing w:val="-2"/>
          <w:sz w:val="22"/>
          <w:highlight w:val="none"/>
          <w:lang w:val="en-US" w:eastAsia="zh-CN"/>
        </w:rPr>
        <w:t xml:space="preserve">3.2 </w:t>
      </w:r>
      <w:r>
        <w:rPr>
          <w:color w:val="auto"/>
          <w:spacing w:val="-2"/>
          <w:sz w:val="22"/>
          <w:highlight w:val="none"/>
        </w:rPr>
        <w:t>中标函</w:t>
      </w:r>
      <w:r>
        <w:rPr>
          <w:color w:val="auto"/>
          <w:sz w:val="22"/>
          <w:highlight w:val="none"/>
        </w:rPr>
        <w:t>（</w:t>
      </w:r>
      <w:r>
        <w:rPr>
          <w:color w:val="auto"/>
          <w:spacing w:val="-2"/>
          <w:sz w:val="22"/>
          <w:highlight w:val="none"/>
        </w:rPr>
        <w:t>文件</w:t>
      </w:r>
      <w:r>
        <w:rPr>
          <w:color w:val="auto"/>
          <w:sz w:val="22"/>
          <w:highlight w:val="none"/>
        </w:rPr>
        <w:t>）</w:t>
      </w:r>
    </w:p>
    <w:p>
      <w:pPr>
        <w:pStyle w:val="47"/>
        <w:numPr>
          <w:ilvl w:val="0"/>
          <w:numId w:val="0"/>
        </w:numPr>
        <w:tabs>
          <w:tab w:val="left" w:pos="1771"/>
          <w:tab w:val="left" w:pos="1772"/>
        </w:tabs>
        <w:spacing w:before="186" w:after="0" w:line="240" w:lineRule="auto"/>
        <w:ind w:left="1222" w:leftChars="0" w:right="0" w:rightChars="0"/>
        <w:jc w:val="left"/>
        <w:rPr>
          <w:color w:val="auto"/>
          <w:sz w:val="22"/>
          <w:highlight w:val="none"/>
        </w:rPr>
      </w:pPr>
      <w:r>
        <w:rPr>
          <w:rFonts w:hint="eastAsia"/>
          <w:color w:val="auto"/>
          <w:spacing w:val="-2"/>
          <w:sz w:val="22"/>
          <w:highlight w:val="none"/>
          <w:lang w:val="en-US" w:eastAsia="zh-CN"/>
        </w:rPr>
        <w:t xml:space="preserve">3.3 </w:t>
      </w:r>
      <w:r>
        <w:rPr>
          <w:color w:val="auto"/>
          <w:spacing w:val="-2"/>
          <w:sz w:val="22"/>
          <w:highlight w:val="none"/>
        </w:rPr>
        <w:t>招标文件</w:t>
      </w:r>
    </w:p>
    <w:p>
      <w:pPr>
        <w:pStyle w:val="47"/>
        <w:numPr>
          <w:ilvl w:val="0"/>
          <w:numId w:val="0"/>
        </w:numPr>
        <w:tabs>
          <w:tab w:val="left" w:pos="1771"/>
          <w:tab w:val="left" w:pos="1772"/>
        </w:tabs>
        <w:spacing w:before="186" w:after="0" w:line="240" w:lineRule="auto"/>
        <w:ind w:left="1222" w:leftChars="0" w:right="0" w:rightChars="0"/>
        <w:jc w:val="left"/>
        <w:rPr>
          <w:color w:val="auto"/>
          <w:sz w:val="22"/>
          <w:highlight w:val="none"/>
        </w:rPr>
      </w:pPr>
      <w:r>
        <w:rPr>
          <w:rFonts w:hint="eastAsia"/>
          <w:color w:val="auto"/>
          <w:spacing w:val="-3"/>
          <w:sz w:val="22"/>
          <w:highlight w:val="none"/>
          <w:lang w:val="en-US" w:eastAsia="zh-CN"/>
        </w:rPr>
        <w:t xml:space="preserve">3.4 </w:t>
      </w:r>
      <w:r>
        <w:rPr>
          <w:color w:val="auto"/>
          <w:spacing w:val="-3"/>
          <w:sz w:val="22"/>
          <w:highlight w:val="none"/>
        </w:rPr>
        <w:t>发包方要求及委托书</w:t>
      </w:r>
    </w:p>
    <w:p>
      <w:pPr>
        <w:pStyle w:val="47"/>
        <w:numPr>
          <w:ilvl w:val="0"/>
          <w:numId w:val="0"/>
        </w:numPr>
        <w:tabs>
          <w:tab w:val="left" w:pos="1771"/>
          <w:tab w:val="left" w:pos="1772"/>
        </w:tabs>
        <w:spacing w:before="187" w:after="0" w:line="240" w:lineRule="auto"/>
        <w:ind w:left="1222" w:leftChars="0" w:right="0" w:rightChars="0"/>
        <w:jc w:val="left"/>
        <w:rPr>
          <w:color w:val="auto"/>
          <w:sz w:val="22"/>
          <w:highlight w:val="none"/>
        </w:rPr>
      </w:pPr>
      <w:r>
        <w:rPr>
          <w:rFonts w:hint="eastAsia"/>
          <w:color w:val="auto"/>
          <w:spacing w:val="-2"/>
          <w:sz w:val="22"/>
          <w:highlight w:val="none"/>
          <w:lang w:val="en-US" w:eastAsia="zh-CN"/>
        </w:rPr>
        <w:t xml:space="preserve">3.5 </w:t>
      </w:r>
      <w:r>
        <w:rPr>
          <w:color w:val="auto"/>
          <w:spacing w:val="-2"/>
          <w:sz w:val="22"/>
          <w:highlight w:val="none"/>
        </w:rPr>
        <w:t>报价函</w:t>
      </w:r>
    </w:p>
    <w:p>
      <w:pPr>
        <w:pStyle w:val="47"/>
        <w:numPr>
          <w:ilvl w:val="0"/>
          <w:numId w:val="0"/>
        </w:numPr>
        <w:tabs>
          <w:tab w:val="left" w:pos="1771"/>
          <w:tab w:val="left" w:pos="1772"/>
        </w:tabs>
        <w:spacing w:before="186" w:after="0" w:line="240" w:lineRule="auto"/>
        <w:ind w:left="1222" w:leftChars="0" w:right="0" w:rightChars="0"/>
        <w:jc w:val="left"/>
        <w:rPr>
          <w:color w:val="auto"/>
          <w:sz w:val="22"/>
          <w:highlight w:val="none"/>
        </w:rPr>
      </w:pPr>
      <w:r>
        <w:rPr>
          <w:rFonts w:hint="eastAsia"/>
          <w:color w:val="auto"/>
          <w:spacing w:val="-2"/>
          <w:sz w:val="22"/>
          <w:highlight w:val="none"/>
          <w:lang w:val="en-US" w:eastAsia="zh-CN"/>
        </w:rPr>
        <w:t xml:space="preserve">3.6 </w:t>
      </w:r>
      <w:r>
        <w:rPr>
          <w:color w:val="auto"/>
          <w:spacing w:val="-2"/>
          <w:sz w:val="22"/>
          <w:highlight w:val="none"/>
        </w:rPr>
        <w:t>投标文件</w:t>
      </w:r>
    </w:p>
    <w:p>
      <w:pPr>
        <w:pStyle w:val="47"/>
        <w:numPr>
          <w:ilvl w:val="0"/>
          <w:numId w:val="0"/>
        </w:numPr>
        <w:tabs>
          <w:tab w:val="left" w:pos="1771"/>
          <w:tab w:val="left" w:pos="1772"/>
          <w:tab w:val="left" w:pos="5346"/>
        </w:tabs>
        <w:spacing w:before="186" w:after="0" w:line="360" w:lineRule="auto"/>
        <w:ind w:left="1222" w:leftChars="0" w:right="0" w:rightChars="0"/>
        <w:jc w:val="left"/>
        <w:rPr>
          <w:rFonts w:ascii="Times New Roman"/>
          <w:color w:val="auto"/>
          <w:sz w:val="10"/>
          <w:highlight w:val="none"/>
        </w:rPr>
      </w:pPr>
      <w:r>
        <w:rPr>
          <w:rFonts w:hint="eastAsia"/>
          <w:color w:val="auto"/>
          <w:spacing w:val="-3"/>
          <w:sz w:val="22"/>
          <w:highlight w:val="none"/>
          <w:lang w:val="en-US" w:eastAsia="zh-CN"/>
        </w:rPr>
        <w:t xml:space="preserve">3.7 </w:t>
      </w:r>
      <w:r>
        <w:rPr>
          <w:color w:val="auto"/>
          <w:spacing w:val="-3"/>
          <w:sz w:val="22"/>
          <w:highlight w:val="none"/>
        </w:rPr>
        <w:t>设</w:t>
      </w:r>
      <w:r>
        <w:rPr>
          <w:color w:val="auto"/>
          <w:spacing w:val="-1"/>
          <w:sz w:val="22"/>
          <w:highlight w:val="none"/>
        </w:rPr>
        <w:t>计工</w:t>
      </w:r>
      <w:r>
        <w:rPr>
          <w:color w:val="auto"/>
          <w:spacing w:val="-3"/>
          <w:sz w:val="22"/>
          <w:highlight w:val="none"/>
        </w:rPr>
        <w:t>作</w:t>
      </w:r>
      <w:r>
        <w:rPr>
          <w:color w:val="auto"/>
          <w:spacing w:val="-1"/>
          <w:sz w:val="22"/>
          <w:highlight w:val="none"/>
        </w:rPr>
        <w:t>大纲</w:t>
      </w:r>
      <w:r>
        <w:rPr>
          <w:rFonts w:ascii="Times New Roman" w:eastAsia="Times New Roman"/>
          <w:color w:val="auto"/>
          <w:sz w:val="22"/>
          <w:highlight w:val="none"/>
          <w:u w:val="single"/>
        </w:rPr>
        <w:t xml:space="preserve"> </w:t>
      </w:r>
      <w:r>
        <w:rPr>
          <w:rFonts w:ascii="Times New Roman" w:eastAsia="Times New Roman"/>
          <w:color w:val="auto"/>
          <w:sz w:val="22"/>
          <w:highlight w:val="none"/>
          <w:u w:val="single"/>
        </w:rPr>
        <w:tab/>
      </w:r>
    </w:p>
    <w:p>
      <w:pPr>
        <w:pStyle w:val="5"/>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567"/>
        <w:jc w:val="left"/>
        <w:textAlignment w:val="auto"/>
        <w:rPr>
          <w:color w:val="auto"/>
          <w:sz w:val="22"/>
          <w:highlight w:val="none"/>
        </w:rPr>
      </w:pPr>
      <w:r>
        <w:rPr>
          <w:color w:val="auto"/>
          <w:sz w:val="22"/>
          <w:highlight w:val="none"/>
        </w:rPr>
        <w:t>本</w:t>
      </w:r>
      <w:r>
        <w:rPr>
          <w:color w:val="auto"/>
          <w:spacing w:val="-3"/>
          <w:sz w:val="22"/>
          <w:highlight w:val="none"/>
        </w:rPr>
        <w:t>合</w:t>
      </w:r>
      <w:r>
        <w:rPr>
          <w:color w:val="auto"/>
          <w:sz w:val="22"/>
          <w:highlight w:val="none"/>
        </w:rPr>
        <w:t>同项</w:t>
      </w:r>
      <w:r>
        <w:rPr>
          <w:color w:val="auto"/>
          <w:spacing w:val="-3"/>
          <w:sz w:val="22"/>
          <w:highlight w:val="none"/>
        </w:rPr>
        <w:t>目</w:t>
      </w:r>
      <w:r>
        <w:rPr>
          <w:color w:val="auto"/>
          <w:sz w:val="22"/>
          <w:highlight w:val="none"/>
        </w:rPr>
        <w:t>的名</w:t>
      </w:r>
      <w:r>
        <w:rPr>
          <w:color w:val="auto"/>
          <w:spacing w:val="-3"/>
          <w:sz w:val="22"/>
          <w:highlight w:val="none"/>
        </w:rPr>
        <w:t>称</w:t>
      </w:r>
      <w:r>
        <w:rPr>
          <w:color w:val="auto"/>
          <w:sz w:val="22"/>
          <w:highlight w:val="none"/>
        </w:rPr>
        <w:t>、规</w:t>
      </w:r>
      <w:r>
        <w:rPr>
          <w:color w:val="auto"/>
          <w:spacing w:val="-3"/>
          <w:sz w:val="22"/>
          <w:highlight w:val="none"/>
        </w:rPr>
        <w:t>模</w:t>
      </w:r>
      <w:r>
        <w:rPr>
          <w:color w:val="auto"/>
          <w:sz w:val="22"/>
          <w:highlight w:val="none"/>
        </w:rPr>
        <w:t>、阶</w:t>
      </w:r>
      <w:r>
        <w:rPr>
          <w:color w:val="auto"/>
          <w:spacing w:val="-3"/>
          <w:sz w:val="22"/>
          <w:highlight w:val="none"/>
        </w:rPr>
        <w:t>段</w:t>
      </w:r>
      <w:r>
        <w:rPr>
          <w:color w:val="auto"/>
          <w:sz w:val="22"/>
          <w:highlight w:val="none"/>
        </w:rPr>
        <w:t>、投</w:t>
      </w:r>
      <w:r>
        <w:rPr>
          <w:color w:val="auto"/>
          <w:spacing w:val="-3"/>
          <w:sz w:val="22"/>
          <w:highlight w:val="none"/>
        </w:rPr>
        <w:t>资</w:t>
      </w:r>
      <w:r>
        <w:rPr>
          <w:color w:val="auto"/>
          <w:sz w:val="22"/>
          <w:highlight w:val="none"/>
        </w:rPr>
        <w:t>及设</w:t>
      </w:r>
      <w:r>
        <w:rPr>
          <w:color w:val="auto"/>
          <w:spacing w:val="-3"/>
          <w:sz w:val="22"/>
          <w:highlight w:val="none"/>
        </w:rPr>
        <w:t>计</w:t>
      </w:r>
      <w:r>
        <w:rPr>
          <w:color w:val="auto"/>
          <w:sz w:val="22"/>
          <w:highlight w:val="none"/>
        </w:rPr>
        <w:t>内容</w:t>
      </w:r>
      <w:r>
        <w:rPr>
          <w:color w:val="auto"/>
          <w:spacing w:val="-3"/>
          <w:sz w:val="22"/>
          <w:highlight w:val="none"/>
        </w:rPr>
        <w:t>（</w:t>
      </w:r>
      <w:r>
        <w:rPr>
          <w:color w:val="auto"/>
          <w:sz w:val="22"/>
          <w:highlight w:val="none"/>
        </w:rPr>
        <w:t>根据</w:t>
      </w:r>
      <w:r>
        <w:rPr>
          <w:color w:val="auto"/>
          <w:spacing w:val="-3"/>
          <w:sz w:val="22"/>
          <w:highlight w:val="none"/>
        </w:rPr>
        <w:t>行</w:t>
      </w:r>
      <w:r>
        <w:rPr>
          <w:color w:val="auto"/>
          <w:sz w:val="22"/>
          <w:highlight w:val="none"/>
        </w:rPr>
        <w:t>业特</w:t>
      </w:r>
      <w:r>
        <w:rPr>
          <w:color w:val="auto"/>
          <w:spacing w:val="-3"/>
          <w:sz w:val="22"/>
          <w:highlight w:val="none"/>
        </w:rPr>
        <w:t>点</w:t>
      </w:r>
      <w:r>
        <w:rPr>
          <w:color w:val="auto"/>
          <w:sz w:val="22"/>
          <w:highlight w:val="none"/>
        </w:rPr>
        <w:t>填写）</w:t>
      </w:r>
    </w:p>
    <w:p>
      <w:pPr>
        <w:pStyle w:val="47"/>
        <w:numPr>
          <w:ilvl w:val="1"/>
          <w:numId w:val="11"/>
        </w:numPr>
        <w:tabs>
          <w:tab w:val="left" w:pos="1537"/>
          <w:tab w:val="left" w:pos="6487"/>
        </w:tabs>
        <w:spacing w:before="145" w:after="0" w:line="240" w:lineRule="auto"/>
        <w:ind w:left="1536" w:right="0" w:hanging="440"/>
        <w:jc w:val="left"/>
        <w:rPr>
          <w:rFonts w:hint="default"/>
          <w:color w:val="auto"/>
          <w:sz w:val="22"/>
          <w:highlight w:val="none"/>
          <w:lang w:val="en-US"/>
        </w:rPr>
      </w:pPr>
      <w:r>
        <w:rPr>
          <w:color w:val="auto"/>
          <w:sz w:val="22"/>
          <w:highlight w:val="none"/>
        </w:rPr>
        <w:t>项</w:t>
      </w:r>
      <w:r>
        <w:rPr>
          <w:color w:val="auto"/>
          <w:spacing w:val="-3"/>
          <w:sz w:val="22"/>
          <w:highlight w:val="none"/>
        </w:rPr>
        <w:t>目</w:t>
      </w:r>
      <w:r>
        <w:rPr>
          <w:color w:val="auto"/>
          <w:sz w:val="22"/>
          <w:highlight w:val="none"/>
        </w:rPr>
        <w:t>名称：</w:t>
      </w:r>
      <w:r>
        <w:rPr>
          <w:color w:val="auto"/>
          <w:sz w:val="22"/>
          <w:highlight w:val="none"/>
          <w:u w:val="single"/>
        </w:rPr>
        <w:t xml:space="preserve"> </w:t>
      </w:r>
      <w:r>
        <w:rPr>
          <w:rFonts w:hint="eastAsia"/>
          <w:color w:val="auto"/>
          <w:sz w:val="22"/>
          <w:highlight w:val="none"/>
          <w:u w:val="single"/>
          <w:lang w:val="en-US" w:eastAsia="zh-CN"/>
        </w:rPr>
        <w:t xml:space="preserve">                                  </w:t>
      </w:r>
      <w:r>
        <w:rPr>
          <w:rFonts w:hint="eastAsia"/>
          <w:color w:val="auto"/>
          <w:sz w:val="22"/>
          <w:highlight w:val="none"/>
          <w:u w:val="none"/>
          <w:lang w:val="en-US" w:eastAsia="zh-CN"/>
        </w:rPr>
        <w:t>；</w:t>
      </w:r>
    </w:p>
    <w:p>
      <w:pPr>
        <w:pStyle w:val="47"/>
        <w:numPr>
          <w:ilvl w:val="1"/>
          <w:numId w:val="11"/>
        </w:numPr>
        <w:tabs>
          <w:tab w:val="left" w:pos="1537"/>
          <w:tab w:val="left" w:pos="6487"/>
        </w:tabs>
        <w:spacing w:before="145" w:after="0" w:line="240" w:lineRule="auto"/>
        <w:ind w:left="1536" w:right="0" w:hanging="440"/>
        <w:jc w:val="left"/>
        <w:rPr>
          <w:color w:val="auto"/>
          <w:sz w:val="22"/>
          <w:highlight w:val="none"/>
        </w:rPr>
      </w:pPr>
      <w:r>
        <w:rPr>
          <w:color w:val="auto"/>
          <w:sz w:val="22"/>
          <w:highlight w:val="none"/>
        </w:rPr>
        <w:t>项</w:t>
      </w:r>
      <w:r>
        <w:rPr>
          <w:color w:val="auto"/>
          <w:spacing w:val="-3"/>
          <w:sz w:val="22"/>
          <w:highlight w:val="none"/>
        </w:rPr>
        <w:t>目</w:t>
      </w:r>
      <w:r>
        <w:rPr>
          <w:color w:val="auto"/>
          <w:sz w:val="22"/>
          <w:highlight w:val="none"/>
        </w:rPr>
        <w:t>地点：</w:t>
      </w:r>
      <w:r>
        <w:rPr>
          <w:color w:val="auto"/>
          <w:sz w:val="22"/>
          <w:highlight w:val="none"/>
          <w:u w:val="single"/>
        </w:rPr>
        <w:t xml:space="preserve"> </w:t>
      </w:r>
      <w:r>
        <w:rPr>
          <w:color w:val="auto"/>
          <w:sz w:val="22"/>
          <w:highlight w:val="none"/>
          <w:u w:val="single"/>
        </w:rPr>
        <w:tab/>
      </w:r>
      <w:r>
        <w:rPr>
          <w:color w:val="auto"/>
          <w:sz w:val="22"/>
          <w:highlight w:val="none"/>
        </w:rPr>
        <w:t>；</w:t>
      </w:r>
    </w:p>
    <w:p>
      <w:pPr>
        <w:pStyle w:val="47"/>
        <w:numPr>
          <w:ilvl w:val="1"/>
          <w:numId w:val="11"/>
        </w:numPr>
        <w:tabs>
          <w:tab w:val="left" w:pos="1537"/>
          <w:tab w:val="left" w:pos="5938"/>
        </w:tabs>
        <w:spacing w:before="145" w:after="0" w:line="240" w:lineRule="auto"/>
        <w:ind w:left="1536" w:right="0" w:hanging="440"/>
        <w:jc w:val="left"/>
        <w:rPr>
          <w:color w:val="auto"/>
          <w:sz w:val="22"/>
          <w:highlight w:val="none"/>
        </w:rPr>
      </w:pPr>
      <w:r>
        <w:rPr>
          <w:color w:val="auto"/>
          <w:sz w:val="22"/>
          <w:highlight w:val="none"/>
        </w:rPr>
        <w:t>项</w:t>
      </w:r>
      <w:r>
        <w:rPr>
          <w:color w:val="auto"/>
          <w:spacing w:val="-3"/>
          <w:sz w:val="22"/>
          <w:highlight w:val="none"/>
        </w:rPr>
        <w:t>目</w:t>
      </w:r>
      <w:r>
        <w:rPr>
          <w:color w:val="auto"/>
          <w:sz w:val="22"/>
          <w:highlight w:val="none"/>
        </w:rPr>
        <w:t>规模</w:t>
      </w:r>
      <w:r>
        <w:rPr>
          <w:color w:val="auto"/>
          <w:spacing w:val="-3"/>
          <w:sz w:val="22"/>
          <w:highlight w:val="none"/>
        </w:rPr>
        <w:t>及</w:t>
      </w:r>
      <w:r>
        <w:rPr>
          <w:color w:val="auto"/>
          <w:sz w:val="22"/>
          <w:highlight w:val="none"/>
        </w:rPr>
        <w:t>特性：</w:t>
      </w:r>
      <w:r>
        <w:rPr>
          <w:color w:val="auto"/>
          <w:sz w:val="22"/>
          <w:highlight w:val="none"/>
          <w:u w:val="single"/>
        </w:rPr>
        <w:t xml:space="preserve"> </w:t>
      </w:r>
      <w:r>
        <w:rPr>
          <w:color w:val="auto"/>
          <w:sz w:val="22"/>
          <w:highlight w:val="none"/>
          <w:u w:val="single"/>
        </w:rPr>
        <w:tab/>
      </w:r>
      <w:r>
        <w:rPr>
          <w:color w:val="auto"/>
          <w:sz w:val="22"/>
          <w:highlight w:val="none"/>
        </w:rPr>
        <w:t>；</w:t>
      </w:r>
    </w:p>
    <w:p>
      <w:pPr>
        <w:tabs>
          <w:tab w:val="left" w:pos="5938"/>
        </w:tabs>
        <w:spacing w:before="148"/>
        <w:ind w:left="1097" w:right="0" w:firstLine="0"/>
        <w:jc w:val="left"/>
        <w:rPr>
          <w:color w:val="auto"/>
          <w:sz w:val="22"/>
          <w:highlight w:val="none"/>
        </w:rPr>
      </w:pPr>
      <w:r>
        <w:rPr>
          <w:color w:val="auto"/>
          <w:sz w:val="22"/>
          <w:highlight w:val="none"/>
        </w:rPr>
        <w:t>4.4</w:t>
      </w:r>
      <w:r>
        <w:rPr>
          <w:color w:val="auto"/>
          <w:spacing w:val="-3"/>
          <w:sz w:val="22"/>
          <w:highlight w:val="none"/>
        </w:rPr>
        <w:t xml:space="preserve"> </w:t>
      </w:r>
      <w:r>
        <w:rPr>
          <w:color w:val="auto"/>
          <w:sz w:val="22"/>
          <w:highlight w:val="none"/>
        </w:rPr>
        <w:t>阶</w:t>
      </w:r>
      <w:r>
        <w:rPr>
          <w:color w:val="auto"/>
          <w:spacing w:val="-3"/>
          <w:sz w:val="22"/>
          <w:highlight w:val="none"/>
        </w:rPr>
        <w:t>段</w:t>
      </w:r>
      <w:r>
        <w:rPr>
          <w:color w:val="auto"/>
          <w:sz w:val="22"/>
          <w:highlight w:val="none"/>
        </w:rPr>
        <w:t>：</w:t>
      </w:r>
      <w:r>
        <w:rPr>
          <w:color w:val="auto"/>
          <w:sz w:val="22"/>
          <w:highlight w:val="none"/>
          <w:u w:val="single"/>
        </w:rPr>
        <w:t xml:space="preserve"> </w:t>
      </w:r>
      <w:r>
        <w:rPr>
          <w:color w:val="auto"/>
          <w:sz w:val="22"/>
          <w:highlight w:val="none"/>
          <w:u w:val="single"/>
        </w:rPr>
        <w:tab/>
      </w:r>
      <w:r>
        <w:rPr>
          <w:color w:val="auto"/>
          <w:sz w:val="22"/>
          <w:highlight w:val="none"/>
        </w:rPr>
        <w:t>；</w:t>
      </w:r>
    </w:p>
    <w:p>
      <w:pPr>
        <w:pStyle w:val="47"/>
        <w:numPr>
          <w:ilvl w:val="1"/>
          <w:numId w:val="12"/>
        </w:numPr>
        <w:tabs>
          <w:tab w:val="left" w:pos="1537"/>
          <w:tab w:val="left" w:pos="5717"/>
        </w:tabs>
        <w:spacing w:before="145" w:after="0" w:line="240" w:lineRule="auto"/>
        <w:ind w:left="1536" w:right="0" w:hanging="440"/>
        <w:jc w:val="left"/>
        <w:rPr>
          <w:color w:val="auto"/>
          <w:sz w:val="18"/>
          <w:highlight w:val="none"/>
        </w:rPr>
      </w:pPr>
      <w:r>
        <w:rPr>
          <w:color w:val="auto"/>
          <w:sz w:val="22"/>
          <w:highlight w:val="none"/>
        </w:rPr>
        <w:t>项</w:t>
      </w:r>
      <w:r>
        <w:rPr>
          <w:color w:val="auto"/>
          <w:spacing w:val="-3"/>
          <w:sz w:val="22"/>
          <w:highlight w:val="none"/>
        </w:rPr>
        <w:t>目</w:t>
      </w:r>
      <w:r>
        <w:rPr>
          <w:color w:val="auto"/>
          <w:sz w:val="22"/>
          <w:highlight w:val="none"/>
        </w:rPr>
        <w:t>估算</w:t>
      </w:r>
      <w:r>
        <w:rPr>
          <w:color w:val="auto"/>
          <w:spacing w:val="-3"/>
          <w:sz w:val="22"/>
          <w:highlight w:val="none"/>
        </w:rPr>
        <w:t>总</w:t>
      </w:r>
      <w:r>
        <w:rPr>
          <w:color w:val="auto"/>
          <w:sz w:val="22"/>
          <w:highlight w:val="none"/>
        </w:rPr>
        <w:t>投资：</w:t>
      </w:r>
      <w:r>
        <w:rPr>
          <w:color w:val="auto"/>
          <w:sz w:val="22"/>
          <w:highlight w:val="none"/>
          <w:u w:val="single"/>
        </w:rPr>
        <w:t xml:space="preserve"> </w:t>
      </w:r>
      <w:r>
        <w:rPr>
          <w:color w:val="auto"/>
          <w:sz w:val="22"/>
          <w:highlight w:val="none"/>
          <w:u w:val="single"/>
        </w:rPr>
        <w:tab/>
      </w:r>
      <w:r>
        <w:rPr>
          <w:color w:val="auto"/>
          <w:sz w:val="22"/>
          <w:highlight w:val="none"/>
        </w:rPr>
        <w:t>；</w:t>
      </w:r>
    </w:p>
    <w:p>
      <w:pPr>
        <w:pStyle w:val="47"/>
        <w:numPr>
          <w:ilvl w:val="1"/>
          <w:numId w:val="12"/>
        </w:numPr>
        <w:tabs>
          <w:tab w:val="left" w:pos="1537"/>
          <w:tab w:val="left" w:pos="5717"/>
        </w:tabs>
        <w:spacing w:before="145" w:after="0" w:line="360" w:lineRule="auto"/>
        <w:ind w:left="1536" w:right="0" w:hanging="440"/>
        <w:jc w:val="left"/>
        <w:rPr>
          <w:rFonts w:ascii="Times New Roman" w:eastAsia="Times New Roman"/>
          <w:color w:val="auto"/>
          <w:sz w:val="22"/>
          <w:highlight w:val="none"/>
        </w:rPr>
      </w:pPr>
      <w:r>
        <w:rPr>
          <w:color w:val="auto"/>
          <w:spacing w:val="-1"/>
          <w:sz w:val="22"/>
          <w:highlight w:val="none"/>
        </w:rPr>
        <w:t>设计</w:t>
      </w:r>
      <w:r>
        <w:rPr>
          <w:color w:val="auto"/>
          <w:spacing w:val="-3"/>
          <w:sz w:val="22"/>
          <w:highlight w:val="none"/>
        </w:rPr>
        <w:t>主</w:t>
      </w:r>
      <w:r>
        <w:rPr>
          <w:color w:val="auto"/>
          <w:spacing w:val="-1"/>
          <w:sz w:val="22"/>
          <w:highlight w:val="none"/>
        </w:rPr>
        <w:t>要工</w:t>
      </w:r>
      <w:r>
        <w:rPr>
          <w:color w:val="auto"/>
          <w:spacing w:val="-3"/>
          <w:sz w:val="22"/>
          <w:highlight w:val="none"/>
        </w:rPr>
        <w:t>作</w:t>
      </w:r>
      <w:r>
        <w:rPr>
          <w:color w:val="auto"/>
          <w:spacing w:val="-1"/>
          <w:sz w:val="22"/>
          <w:highlight w:val="none"/>
        </w:rPr>
        <w:t>内容：</w:t>
      </w:r>
      <w:r>
        <w:rPr>
          <w:rFonts w:ascii="Times New Roman" w:eastAsia="Times New Roman"/>
          <w:color w:val="auto"/>
          <w:sz w:val="22"/>
          <w:highlight w:val="none"/>
          <w:u w:val="single"/>
        </w:rPr>
        <w:t xml:space="preserve"> </w:t>
      </w:r>
      <w:r>
        <w:rPr>
          <w:rFonts w:ascii="Times New Roman" w:eastAsia="Times New Roman"/>
          <w:color w:val="auto"/>
          <w:sz w:val="22"/>
          <w:highlight w:val="none"/>
          <w:u w:val="single"/>
        </w:rPr>
        <w:tab/>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1104" w:firstLineChars="500"/>
        <w:jc w:val="left"/>
        <w:textAlignment w:val="auto"/>
        <w:rPr>
          <w:rFonts w:ascii="Times New Roman"/>
          <w:color w:val="auto"/>
          <w:sz w:val="9"/>
          <w:highlight w:val="none"/>
        </w:rPr>
      </w:pPr>
      <w:r>
        <w:rPr>
          <w:b/>
          <w:color w:val="auto"/>
          <w:sz w:val="22"/>
          <w:highlight w:val="none"/>
        </w:rPr>
        <w:t>第五</w:t>
      </w:r>
      <w:r>
        <w:rPr>
          <w:color w:val="auto"/>
          <w:sz w:val="22"/>
          <w:highlight w:val="none"/>
        </w:rPr>
        <w:t>条 发包人向</w:t>
      </w:r>
      <w:r>
        <w:rPr>
          <w:color w:val="auto"/>
          <w:spacing w:val="-3"/>
          <w:sz w:val="22"/>
          <w:highlight w:val="none"/>
        </w:rPr>
        <w:t>承</w:t>
      </w:r>
      <w:r>
        <w:rPr>
          <w:color w:val="auto"/>
          <w:sz w:val="22"/>
          <w:highlight w:val="none"/>
        </w:rPr>
        <w:t>包人</w:t>
      </w:r>
      <w:r>
        <w:rPr>
          <w:color w:val="auto"/>
          <w:spacing w:val="-3"/>
          <w:sz w:val="22"/>
          <w:highlight w:val="none"/>
        </w:rPr>
        <w:t>提</w:t>
      </w:r>
      <w:r>
        <w:rPr>
          <w:color w:val="auto"/>
          <w:sz w:val="22"/>
          <w:highlight w:val="none"/>
        </w:rPr>
        <w:t>交的</w:t>
      </w:r>
      <w:r>
        <w:rPr>
          <w:color w:val="auto"/>
          <w:spacing w:val="-3"/>
          <w:sz w:val="22"/>
          <w:highlight w:val="none"/>
        </w:rPr>
        <w:t>有</w:t>
      </w:r>
      <w:r>
        <w:rPr>
          <w:color w:val="auto"/>
          <w:sz w:val="22"/>
          <w:highlight w:val="none"/>
        </w:rPr>
        <w:t>关资</w:t>
      </w:r>
      <w:r>
        <w:rPr>
          <w:color w:val="auto"/>
          <w:spacing w:val="-3"/>
          <w:sz w:val="22"/>
          <w:highlight w:val="none"/>
        </w:rPr>
        <w:t>料</w:t>
      </w:r>
      <w:r>
        <w:rPr>
          <w:color w:val="auto"/>
          <w:sz w:val="22"/>
          <w:highlight w:val="none"/>
        </w:rPr>
        <w:t>、文</w:t>
      </w:r>
      <w:r>
        <w:rPr>
          <w:color w:val="auto"/>
          <w:spacing w:val="-3"/>
          <w:sz w:val="22"/>
          <w:highlight w:val="none"/>
        </w:rPr>
        <w:t>件</w:t>
      </w:r>
      <w:r>
        <w:rPr>
          <w:color w:val="auto"/>
          <w:sz w:val="22"/>
          <w:highlight w:val="none"/>
        </w:rPr>
        <w:t>及时</w:t>
      </w:r>
      <w:r>
        <w:rPr>
          <w:color w:val="auto"/>
          <w:spacing w:val="-3"/>
          <w:sz w:val="22"/>
          <w:highlight w:val="none"/>
        </w:rPr>
        <w:t>间</w:t>
      </w:r>
      <w:r>
        <w:rPr>
          <w:color w:val="auto"/>
          <w:sz w:val="22"/>
          <w:highlight w:val="none"/>
        </w:rPr>
        <w:t>：</w:t>
      </w:r>
      <w:r>
        <w:rPr>
          <w:rFonts w:ascii="Times New Roman" w:eastAsia="Times New Roman"/>
          <w:color w:val="auto"/>
          <w:sz w:val="22"/>
          <w:highlight w:val="none"/>
          <w:u w:val="single"/>
        </w:rPr>
        <w:t xml:space="preserve"> </w:t>
      </w:r>
      <w:r>
        <w:rPr>
          <w:rFonts w:ascii="Times New Roman" w:eastAsia="Times New Roman"/>
          <w:color w:val="auto"/>
          <w:sz w:val="22"/>
          <w:highlight w:val="none"/>
          <w:u w:val="single"/>
        </w:rPr>
        <w:tab/>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firstLine="1104" w:firstLineChars="500"/>
        <w:jc w:val="left"/>
        <w:textAlignment w:val="auto"/>
        <w:rPr>
          <w:rFonts w:ascii="Times New Roman"/>
          <w:color w:val="auto"/>
          <w:sz w:val="10"/>
          <w:highlight w:val="none"/>
        </w:rPr>
      </w:pPr>
      <w:r>
        <w:rPr>
          <w:b/>
          <w:color w:val="auto"/>
          <w:sz w:val="22"/>
          <w:highlight w:val="none"/>
        </w:rPr>
        <w:t>第六条</w:t>
      </w:r>
      <w:r>
        <w:rPr>
          <w:rFonts w:hint="eastAsia"/>
          <w:b/>
          <w:color w:val="auto"/>
          <w:sz w:val="22"/>
          <w:highlight w:val="none"/>
          <w:lang w:val="en-US" w:eastAsia="zh-CN"/>
        </w:rPr>
        <w:t xml:space="preserve"> </w:t>
      </w:r>
      <w:r>
        <w:rPr>
          <w:color w:val="auto"/>
          <w:spacing w:val="-1"/>
          <w:sz w:val="22"/>
          <w:highlight w:val="none"/>
        </w:rPr>
        <w:t>承</w:t>
      </w:r>
      <w:r>
        <w:rPr>
          <w:color w:val="auto"/>
          <w:spacing w:val="-3"/>
          <w:sz w:val="22"/>
          <w:highlight w:val="none"/>
        </w:rPr>
        <w:t>包</w:t>
      </w:r>
      <w:r>
        <w:rPr>
          <w:color w:val="auto"/>
          <w:spacing w:val="-1"/>
          <w:sz w:val="22"/>
          <w:highlight w:val="none"/>
        </w:rPr>
        <w:t>人向</w:t>
      </w:r>
      <w:r>
        <w:rPr>
          <w:color w:val="auto"/>
          <w:spacing w:val="-3"/>
          <w:sz w:val="22"/>
          <w:highlight w:val="none"/>
        </w:rPr>
        <w:t>发</w:t>
      </w:r>
      <w:r>
        <w:rPr>
          <w:color w:val="auto"/>
          <w:spacing w:val="-1"/>
          <w:sz w:val="22"/>
          <w:highlight w:val="none"/>
        </w:rPr>
        <w:t>包人</w:t>
      </w:r>
      <w:r>
        <w:rPr>
          <w:color w:val="auto"/>
          <w:spacing w:val="-3"/>
          <w:sz w:val="22"/>
          <w:highlight w:val="none"/>
        </w:rPr>
        <w:t>交</w:t>
      </w:r>
      <w:r>
        <w:rPr>
          <w:color w:val="auto"/>
          <w:spacing w:val="-1"/>
          <w:sz w:val="22"/>
          <w:highlight w:val="none"/>
        </w:rPr>
        <w:t>付的</w:t>
      </w:r>
      <w:r>
        <w:rPr>
          <w:color w:val="auto"/>
          <w:spacing w:val="-3"/>
          <w:sz w:val="22"/>
          <w:highlight w:val="none"/>
        </w:rPr>
        <w:t>设</w:t>
      </w:r>
      <w:r>
        <w:rPr>
          <w:color w:val="auto"/>
          <w:spacing w:val="-1"/>
          <w:sz w:val="22"/>
          <w:highlight w:val="none"/>
        </w:rPr>
        <w:t>计文</w:t>
      </w:r>
      <w:r>
        <w:rPr>
          <w:color w:val="auto"/>
          <w:spacing w:val="-3"/>
          <w:sz w:val="22"/>
          <w:highlight w:val="none"/>
        </w:rPr>
        <w:t>件</w:t>
      </w:r>
      <w:r>
        <w:rPr>
          <w:color w:val="auto"/>
          <w:spacing w:val="-1"/>
          <w:sz w:val="22"/>
          <w:highlight w:val="none"/>
        </w:rPr>
        <w:t>、份</w:t>
      </w:r>
      <w:r>
        <w:rPr>
          <w:color w:val="auto"/>
          <w:spacing w:val="-3"/>
          <w:sz w:val="22"/>
          <w:highlight w:val="none"/>
        </w:rPr>
        <w:t>数</w:t>
      </w:r>
      <w:r>
        <w:rPr>
          <w:color w:val="auto"/>
          <w:spacing w:val="-1"/>
          <w:sz w:val="22"/>
          <w:highlight w:val="none"/>
        </w:rPr>
        <w:t>、质</w:t>
      </w:r>
      <w:r>
        <w:rPr>
          <w:color w:val="auto"/>
          <w:spacing w:val="-3"/>
          <w:sz w:val="22"/>
          <w:highlight w:val="none"/>
        </w:rPr>
        <w:t>量</w:t>
      </w:r>
      <w:r>
        <w:rPr>
          <w:color w:val="auto"/>
          <w:spacing w:val="-1"/>
          <w:sz w:val="22"/>
          <w:highlight w:val="none"/>
        </w:rPr>
        <w:t>要求</w:t>
      </w:r>
      <w:r>
        <w:rPr>
          <w:color w:val="auto"/>
          <w:spacing w:val="-3"/>
          <w:sz w:val="22"/>
          <w:highlight w:val="none"/>
        </w:rPr>
        <w:t>及</w:t>
      </w:r>
      <w:r>
        <w:rPr>
          <w:color w:val="auto"/>
          <w:spacing w:val="-1"/>
          <w:sz w:val="22"/>
          <w:highlight w:val="none"/>
        </w:rPr>
        <w:t>时间：</w:t>
      </w:r>
      <w:r>
        <w:rPr>
          <w:rFonts w:ascii="Times New Roman" w:eastAsia="Times New Roman"/>
          <w:color w:val="auto"/>
          <w:sz w:val="22"/>
          <w:highlight w:val="none"/>
          <w:u w:val="single"/>
        </w:rPr>
        <w:t xml:space="preserve"> </w:t>
      </w:r>
      <w:r>
        <w:rPr>
          <w:rFonts w:ascii="Times New Roman" w:eastAsia="Times New Roman"/>
          <w:color w:val="auto"/>
          <w:sz w:val="22"/>
          <w:highlight w:val="none"/>
          <w:u w:val="single"/>
        </w:rPr>
        <w:tab/>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1104" w:firstLineChars="500"/>
        <w:jc w:val="left"/>
        <w:textAlignment w:val="auto"/>
        <w:rPr>
          <w:b/>
          <w:color w:val="auto"/>
          <w:sz w:val="22"/>
          <w:highlight w:val="none"/>
        </w:rPr>
      </w:pPr>
      <w:r>
        <w:rPr>
          <w:b/>
          <w:color w:val="auto"/>
          <w:sz w:val="22"/>
          <w:highlight w:val="none"/>
        </w:rPr>
        <w:t>第七条 费用</w:t>
      </w:r>
    </w:p>
    <w:p>
      <w:pPr>
        <w:pStyle w:val="47"/>
        <w:keepNext w:val="0"/>
        <w:keepLines w:val="0"/>
        <w:pageBreakBefore w:val="0"/>
        <w:widowControl w:val="0"/>
        <w:numPr>
          <w:ilvl w:val="1"/>
          <w:numId w:val="13"/>
        </w:numPr>
        <w:tabs>
          <w:tab w:val="left" w:pos="1484"/>
          <w:tab w:val="left" w:pos="5662"/>
        </w:tabs>
        <w:kinsoku/>
        <w:wordWrap/>
        <w:overflowPunct/>
        <w:topLinePunct w:val="0"/>
        <w:autoSpaceDE w:val="0"/>
        <w:autoSpaceDN w:val="0"/>
        <w:bidi w:val="0"/>
        <w:adjustRightInd/>
        <w:snapToGrid/>
        <w:spacing w:before="0" w:after="0" w:line="399" w:lineRule="auto"/>
        <w:ind w:left="658" w:right="760" w:firstLine="437"/>
        <w:jc w:val="both"/>
        <w:textAlignment w:val="auto"/>
        <w:rPr>
          <w:color w:val="auto"/>
          <w:sz w:val="22"/>
          <w:highlight w:val="none"/>
        </w:rPr>
      </w:pPr>
      <w:r>
        <w:rPr>
          <w:color w:val="auto"/>
          <w:sz w:val="22"/>
          <w:highlight w:val="none"/>
        </w:rPr>
        <w:t>双</w:t>
      </w:r>
      <w:r>
        <w:rPr>
          <w:color w:val="auto"/>
          <w:spacing w:val="-3"/>
          <w:sz w:val="22"/>
          <w:highlight w:val="none"/>
        </w:rPr>
        <w:t>方</w:t>
      </w:r>
      <w:r>
        <w:rPr>
          <w:color w:val="auto"/>
          <w:sz w:val="22"/>
          <w:highlight w:val="none"/>
        </w:rPr>
        <w:t>商定</w:t>
      </w:r>
      <w:r>
        <w:rPr>
          <w:color w:val="auto"/>
          <w:spacing w:val="-3"/>
          <w:sz w:val="22"/>
          <w:highlight w:val="none"/>
        </w:rPr>
        <w:t>，</w:t>
      </w:r>
      <w:r>
        <w:rPr>
          <w:color w:val="auto"/>
          <w:sz w:val="22"/>
          <w:highlight w:val="none"/>
        </w:rPr>
        <w:t>本合</w:t>
      </w:r>
      <w:r>
        <w:rPr>
          <w:color w:val="auto"/>
          <w:spacing w:val="-3"/>
          <w:sz w:val="22"/>
          <w:highlight w:val="none"/>
        </w:rPr>
        <w:t>同</w:t>
      </w:r>
      <w:r>
        <w:rPr>
          <w:color w:val="auto"/>
          <w:sz w:val="22"/>
          <w:highlight w:val="none"/>
        </w:rPr>
        <w:t>的设</w:t>
      </w:r>
      <w:r>
        <w:rPr>
          <w:color w:val="auto"/>
          <w:spacing w:val="-3"/>
          <w:sz w:val="22"/>
          <w:highlight w:val="none"/>
        </w:rPr>
        <w:t>计</w:t>
      </w:r>
      <w:r>
        <w:rPr>
          <w:color w:val="auto"/>
          <w:sz w:val="22"/>
          <w:highlight w:val="none"/>
        </w:rPr>
        <w:t>费</w:t>
      </w:r>
      <w:r>
        <w:rPr>
          <w:color w:val="auto"/>
          <w:spacing w:val="-3"/>
          <w:sz w:val="22"/>
          <w:highlight w:val="none"/>
        </w:rPr>
        <w:t>为</w:t>
      </w:r>
      <w:r>
        <w:rPr>
          <w:color w:val="auto"/>
          <w:spacing w:val="-3"/>
          <w:sz w:val="22"/>
          <w:highlight w:val="none"/>
          <w:u w:val="single"/>
        </w:rPr>
        <w:t xml:space="preserve"> </w:t>
      </w:r>
      <w:r>
        <w:rPr>
          <w:color w:val="auto"/>
          <w:spacing w:val="-3"/>
          <w:sz w:val="22"/>
          <w:highlight w:val="none"/>
          <w:u w:val="single"/>
        </w:rPr>
        <w:tab/>
      </w:r>
      <w:r>
        <w:rPr>
          <w:color w:val="auto"/>
          <w:sz w:val="22"/>
          <w:highlight w:val="none"/>
        </w:rPr>
        <w:t>元</w:t>
      </w:r>
      <w:r>
        <w:rPr>
          <w:color w:val="auto"/>
          <w:spacing w:val="-3"/>
          <w:sz w:val="22"/>
          <w:highlight w:val="none"/>
        </w:rPr>
        <w:t>。</w:t>
      </w:r>
      <w:r>
        <w:rPr>
          <w:color w:val="auto"/>
          <w:sz w:val="22"/>
          <w:highlight w:val="none"/>
        </w:rPr>
        <w:t>收费</w:t>
      </w:r>
      <w:r>
        <w:rPr>
          <w:color w:val="auto"/>
          <w:spacing w:val="-3"/>
          <w:sz w:val="22"/>
          <w:highlight w:val="none"/>
        </w:rPr>
        <w:t>依</w:t>
      </w:r>
      <w:r>
        <w:rPr>
          <w:color w:val="auto"/>
          <w:sz w:val="22"/>
          <w:highlight w:val="none"/>
        </w:rPr>
        <w:t>据和</w:t>
      </w:r>
      <w:r>
        <w:rPr>
          <w:color w:val="auto"/>
          <w:spacing w:val="-3"/>
          <w:sz w:val="22"/>
          <w:highlight w:val="none"/>
        </w:rPr>
        <w:t>计</w:t>
      </w:r>
      <w:r>
        <w:rPr>
          <w:color w:val="auto"/>
          <w:sz w:val="22"/>
          <w:highlight w:val="none"/>
        </w:rPr>
        <w:t>算方</w:t>
      </w:r>
      <w:r>
        <w:rPr>
          <w:color w:val="auto"/>
          <w:spacing w:val="-3"/>
          <w:sz w:val="22"/>
          <w:highlight w:val="none"/>
        </w:rPr>
        <w:t>法</w:t>
      </w:r>
      <w:r>
        <w:rPr>
          <w:color w:val="auto"/>
          <w:sz w:val="22"/>
          <w:highlight w:val="none"/>
        </w:rPr>
        <w:t>按国</w:t>
      </w:r>
      <w:r>
        <w:rPr>
          <w:color w:val="auto"/>
          <w:spacing w:val="-3"/>
          <w:sz w:val="22"/>
          <w:highlight w:val="none"/>
        </w:rPr>
        <w:t>家</w:t>
      </w:r>
      <w:r>
        <w:rPr>
          <w:color w:val="auto"/>
          <w:sz w:val="22"/>
          <w:highlight w:val="none"/>
        </w:rPr>
        <w:t>和地</w:t>
      </w:r>
      <w:r>
        <w:rPr>
          <w:color w:val="auto"/>
          <w:spacing w:val="-3"/>
          <w:sz w:val="22"/>
          <w:highlight w:val="none"/>
        </w:rPr>
        <w:t>方</w:t>
      </w:r>
      <w:r>
        <w:rPr>
          <w:color w:val="auto"/>
          <w:sz w:val="22"/>
          <w:highlight w:val="none"/>
        </w:rPr>
        <w:t>有关</w:t>
      </w:r>
      <w:r>
        <w:rPr>
          <w:color w:val="auto"/>
          <w:spacing w:val="-3"/>
          <w:sz w:val="22"/>
          <w:highlight w:val="none"/>
        </w:rPr>
        <w:t>规</w:t>
      </w:r>
      <w:r>
        <w:rPr>
          <w:color w:val="auto"/>
          <w:sz w:val="22"/>
          <w:highlight w:val="none"/>
        </w:rPr>
        <w:t>定执</w:t>
      </w:r>
      <w:r>
        <w:rPr>
          <w:color w:val="auto"/>
          <w:spacing w:val="-3"/>
          <w:sz w:val="22"/>
          <w:highlight w:val="none"/>
        </w:rPr>
        <w:t>行</w:t>
      </w:r>
      <w:r>
        <w:rPr>
          <w:color w:val="auto"/>
          <w:sz w:val="22"/>
          <w:highlight w:val="none"/>
        </w:rPr>
        <w:t>，国</w:t>
      </w:r>
      <w:r>
        <w:rPr>
          <w:color w:val="auto"/>
          <w:spacing w:val="-3"/>
          <w:sz w:val="22"/>
          <w:highlight w:val="none"/>
        </w:rPr>
        <w:t>家</w:t>
      </w:r>
      <w:r>
        <w:rPr>
          <w:color w:val="auto"/>
          <w:sz w:val="22"/>
          <w:highlight w:val="none"/>
        </w:rPr>
        <w:t>和地</w:t>
      </w:r>
      <w:r>
        <w:rPr>
          <w:color w:val="auto"/>
          <w:spacing w:val="-3"/>
          <w:sz w:val="22"/>
          <w:highlight w:val="none"/>
        </w:rPr>
        <w:t>方</w:t>
      </w:r>
      <w:r>
        <w:rPr>
          <w:color w:val="auto"/>
          <w:sz w:val="22"/>
          <w:highlight w:val="none"/>
        </w:rPr>
        <w:t>没有</w:t>
      </w:r>
      <w:r>
        <w:rPr>
          <w:color w:val="auto"/>
          <w:spacing w:val="-3"/>
          <w:sz w:val="22"/>
          <w:highlight w:val="none"/>
        </w:rPr>
        <w:t>规</w:t>
      </w:r>
      <w:r>
        <w:rPr>
          <w:color w:val="auto"/>
          <w:sz w:val="22"/>
          <w:highlight w:val="none"/>
        </w:rPr>
        <w:t>定的</w:t>
      </w:r>
      <w:r>
        <w:rPr>
          <w:color w:val="auto"/>
          <w:spacing w:val="-3"/>
          <w:sz w:val="22"/>
          <w:highlight w:val="none"/>
        </w:rPr>
        <w:t>，</w:t>
      </w:r>
      <w:r>
        <w:rPr>
          <w:color w:val="auto"/>
          <w:sz w:val="22"/>
          <w:highlight w:val="none"/>
        </w:rPr>
        <w:t>由双</w:t>
      </w:r>
      <w:r>
        <w:rPr>
          <w:color w:val="auto"/>
          <w:spacing w:val="-3"/>
          <w:sz w:val="22"/>
          <w:highlight w:val="none"/>
        </w:rPr>
        <w:t>方</w:t>
      </w:r>
      <w:r>
        <w:rPr>
          <w:color w:val="auto"/>
          <w:sz w:val="22"/>
          <w:highlight w:val="none"/>
        </w:rPr>
        <w:t>商定。</w:t>
      </w:r>
    </w:p>
    <w:p>
      <w:pPr>
        <w:pStyle w:val="47"/>
        <w:keepNext w:val="0"/>
        <w:keepLines w:val="0"/>
        <w:pageBreakBefore w:val="0"/>
        <w:widowControl w:val="0"/>
        <w:numPr>
          <w:ilvl w:val="1"/>
          <w:numId w:val="13"/>
        </w:numPr>
        <w:tabs>
          <w:tab w:val="left" w:pos="1484"/>
          <w:tab w:val="left" w:pos="5662"/>
        </w:tabs>
        <w:kinsoku/>
        <w:wordWrap/>
        <w:overflowPunct/>
        <w:topLinePunct w:val="0"/>
        <w:autoSpaceDE w:val="0"/>
        <w:autoSpaceDN w:val="0"/>
        <w:bidi w:val="0"/>
        <w:adjustRightInd/>
        <w:snapToGrid/>
        <w:spacing w:before="0" w:after="0" w:line="399" w:lineRule="auto"/>
        <w:ind w:left="658" w:right="760" w:firstLine="437"/>
        <w:jc w:val="both"/>
        <w:textAlignment w:val="auto"/>
        <w:rPr>
          <w:color w:val="auto"/>
          <w:sz w:val="22"/>
          <w:highlight w:val="none"/>
        </w:rPr>
      </w:pPr>
      <w:r>
        <w:rPr>
          <w:color w:val="auto"/>
          <w:spacing w:val="-3"/>
          <w:sz w:val="22"/>
          <w:highlight w:val="none"/>
        </w:rPr>
        <w:t>如果上述费用为估算设计费，则双方在初步设计审批后，按批准的初步设计概算核算</w:t>
      </w:r>
      <w:r>
        <w:rPr>
          <w:color w:val="auto"/>
          <w:sz w:val="22"/>
          <w:highlight w:val="none"/>
        </w:rPr>
        <w:t>设计费</w:t>
      </w:r>
      <w:r>
        <w:rPr>
          <w:rFonts w:hint="eastAsia"/>
          <w:color w:val="auto"/>
          <w:sz w:val="22"/>
          <w:highlight w:val="none"/>
          <w:lang w:eastAsia="zh-CN"/>
        </w:rPr>
        <w:t>，</w:t>
      </w:r>
      <w:r>
        <w:rPr>
          <w:color w:val="auto"/>
          <w:sz w:val="22"/>
          <w:highlight w:val="none"/>
        </w:rPr>
        <w:t>工程建设期间如遇概算调整，则设计费也应做相应调整。</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1104" w:firstLineChars="500"/>
        <w:jc w:val="left"/>
        <w:textAlignment w:val="auto"/>
        <w:rPr>
          <w:b/>
          <w:color w:val="auto"/>
          <w:spacing w:val="10"/>
          <w:sz w:val="22"/>
          <w:highlight w:val="none"/>
        </w:rPr>
      </w:pPr>
      <w:r>
        <w:rPr>
          <w:b/>
          <w:color w:val="auto"/>
          <w:sz w:val="22"/>
          <w:highlight w:val="none"/>
        </w:rPr>
        <w:t>第八条 支付方式</w:t>
      </w:r>
      <w:r>
        <w:rPr>
          <w:color w:val="auto"/>
          <w:sz w:val="22"/>
          <w:highlight w:val="none"/>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1104" w:firstLineChars="500"/>
        <w:jc w:val="left"/>
        <w:textAlignment w:val="auto"/>
        <w:rPr>
          <w:b/>
          <w:color w:val="auto"/>
          <w:sz w:val="22"/>
          <w:highlight w:val="none"/>
        </w:rPr>
      </w:pPr>
      <w:r>
        <w:rPr>
          <w:b/>
          <w:color w:val="auto"/>
          <w:sz w:val="22"/>
          <w:highlight w:val="none"/>
        </w:rPr>
        <w:t>第九条 双方责任</w:t>
      </w:r>
    </w:p>
    <w:p>
      <w:pPr>
        <w:pStyle w:val="47"/>
        <w:keepNext w:val="0"/>
        <w:keepLines w:val="0"/>
        <w:pageBreakBefore w:val="0"/>
        <w:widowControl w:val="0"/>
        <w:numPr>
          <w:ilvl w:val="1"/>
          <w:numId w:val="14"/>
        </w:numPr>
        <w:tabs>
          <w:tab w:val="left" w:pos="1767"/>
          <w:tab w:val="left" w:pos="1768"/>
        </w:tabs>
        <w:kinsoku/>
        <w:wordWrap/>
        <w:overflowPunct/>
        <w:topLinePunct w:val="0"/>
        <w:autoSpaceDE w:val="0"/>
        <w:autoSpaceDN w:val="0"/>
        <w:bidi w:val="0"/>
        <w:adjustRightInd/>
        <w:snapToGrid/>
        <w:spacing w:before="0" w:beforeLines="50" w:after="0" w:line="231" w:lineRule="exact"/>
        <w:ind w:left="1763" w:right="0" w:hanging="550"/>
        <w:jc w:val="left"/>
        <w:textAlignment w:val="auto"/>
        <w:rPr>
          <w:color w:val="auto"/>
          <w:sz w:val="22"/>
          <w:highlight w:val="none"/>
        </w:rPr>
      </w:pPr>
      <w:r>
        <w:rPr>
          <w:color w:val="auto"/>
          <w:spacing w:val="-2"/>
          <w:sz w:val="22"/>
          <w:highlight w:val="none"/>
        </w:rPr>
        <w:t>发包人责任</w:t>
      </w:r>
    </w:p>
    <w:p>
      <w:pPr>
        <w:pStyle w:val="47"/>
        <w:numPr>
          <w:ilvl w:val="2"/>
          <w:numId w:val="14"/>
        </w:numPr>
        <w:tabs>
          <w:tab w:val="left" w:pos="1988"/>
        </w:tabs>
        <w:spacing w:before="183" w:after="0" w:line="398" w:lineRule="auto"/>
        <w:ind w:left="658" w:right="694" w:firstLine="559"/>
        <w:jc w:val="both"/>
        <w:rPr>
          <w:color w:val="auto"/>
          <w:sz w:val="22"/>
          <w:highlight w:val="none"/>
        </w:rPr>
      </w:pPr>
      <w:r>
        <w:rPr>
          <w:color w:val="auto"/>
          <w:spacing w:val="-3"/>
          <w:sz w:val="22"/>
          <w:highlight w:val="none"/>
        </w:rPr>
        <w:t>发包人按本合同第五条规定的内容，在规定的时间内向承包人提交基础资料及文</w:t>
      </w:r>
      <w:r>
        <w:rPr>
          <w:color w:val="auto"/>
          <w:spacing w:val="-5"/>
          <w:sz w:val="22"/>
          <w:highlight w:val="none"/>
        </w:rPr>
        <w:t xml:space="preserve">件，并对其完整性、正确性及时限负责。发包人不得要求承包人违返本合同 </w:t>
      </w:r>
      <w:r>
        <w:rPr>
          <w:color w:val="auto"/>
          <w:sz w:val="22"/>
          <w:highlight w:val="none"/>
        </w:rPr>
        <w:t>2.2</w:t>
      </w:r>
      <w:r>
        <w:rPr>
          <w:color w:val="auto"/>
          <w:spacing w:val="-10"/>
          <w:sz w:val="22"/>
          <w:highlight w:val="none"/>
        </w:rPr>
        <w:t xml:space="preserve"> 中有关标准进</w:t>
      </w:r>
      <w:r>
        <w:rPr>
          <w:color w:val="auto"/>
          <w:spacing w:val="-4"/>
          <w:sz w:val="22"/>
          <w:highlight w:val="none"/>
        </w:rPr>
        <w:t>行设计。</w:t>
      </w:r>
    </w:p>
    <w:p>
      <w:pPr>
        <w:spacing w:before="0"/>
        <w:ind w:left="1328" w:right="0" w:firstLine="0"/>
        <w:jc w:val="both"/>
        <w:rPr>
          <w:color w:val="auto"/>
          <w:sz w:val="22"/>
          <w:highlight w:val="none"/>
        </w:rPr>
      </w:pPr>
      <w:r>
        <w:rPr>
          <w:color w:val="auto"/>
          <w:sz w:val="22"/>
          <w:highlight w:val="none"/>
        </w:rPr>
        <w:t>发包人提交上述资料及文件超过规定期限 15 天以内，承包人按本合同第六条规定的交付</w:t>
      </w:r>
    </w:p>
    <w:p>
      <w:pPr>
        <w:spacing w:before="186" w:line="398" w:lineRule="auto"/>
        <w:ind w:left="658" w:right="653" w:firstLine="0"/>
        <w:jc w:val="both"/>
        <w:rPr>
          <w:color w:val="auto"/>
          <w:spacing w:val="-3"/>
          <w:sz w:val="22"/>
          <w:highlight w:val="none"/>
        </w:rPr>
      </w:pPr>
      <w:r>
        <w:rPr>
          <w:color w:val="auto"/>
          <w:spacing w:val="-9"/>
          <w:sz w:val="22"/>
          <w:highlight w:val="none"/>
        </w:rPr>
        <w:t xml:space="preserve">设计文件时间顺延；发包人交付上述资料及文件超过规定期限 </w:t>
      </w:r>
      <w:r>
        <w:rPr>
          <w:color w:val="auto"/>
          <w:sz w:val="22"/>
          <w:highlight w:val="none"/>
        </w:rPr>
        <w:t>15</w:t>
      </w:r>
      <w:r>
        <w:rPr>
          <w:color w:val="auto"/>
          <w:spacing w:val="-9"/>
          <w:sz w:val="22"/>
          <w:highlight w:val="none"/>
        </w:rPr>
        <w:t xml:space="preserve"> 天以上时，承包人有权重新确</w:t>
      </w:r>
      <w:r>
        <w:rPr>
          <w:color w:val="auto"/>
          <w:spacing w:val="-3"/>
          <w:sz w:val="22"/>
          <w:highlight w:val="none"/>
        </w:rPr>
        <w:t>定提交设计文件的时间。</w:t>
      </w:r>
    </w:p>
    <w:p>
      <w:pPr>
        <w:pStyle w:val="47"/>
        <w:keepNext w:val="0"/>
        <w:keepLines w:val="0"/>
        <w:pageBreakBefore w:val="0"/>
        <w:widowControl w:val="0"/>
        <w:numPr>
          <w:ilvl w:val="2"/>
          <w:numId w:val="14"/>
        </w:numPr>
        <w:tabs>
          <w:tab w:val="left" w:pos="1988"/>
        </w:tabs>
        <w:kinsoku/>
        <w:wordWrap/>
        <w:overflowPunct/>
        <w:topLinePunct w:val="0"/>
        <w:autoSpaceDE w:val="0"/>
        <w:autoSpaceDN w:val="0"/>
        <w:bidi w:val="0"/>
        <w:adjustRightInd/>
        <w:snapToGrid/>
        <w:spacing w:before="0" w:after="0" w:line="399" w:lineRule="auto"/>
        <w:ind w:left="658" w:right="692" w:firstLine="561"/>
        <w:jc w:val="both"/>
        <w:textAlignment w:val="auto"/>
        <w:rPr>
          <w:color w:val="auto"/>
          <w:sz w:val="22"/>
          <w:highlight w:val="none"/>
        </w:rPr>
      </w:pPr>
      <w:r>
        <w:rPr>
          <w:color w:val="auto"/>
          <w:spacing w:val="-9"/>
          <w:sz w:val="22"/>
          <w:highlight w:val="none"/>
        </w:rPr>
        <w:t>发包人变更委托设计项目、规模、条件或因提交的资料错误，或所提交资料作较大修</w:t>
      </w:r>
      <w:r>
        <w:rPr>
          <w:color w:val="auto"/>
          <w:spacing w:val="-3"/>
          <w:sz w:val="22"/>
          <w:highlight w:val="none"/>
        </w:rPr>
        <w:t>改，以致造成承包人设计返工时，双方除另行协商签订补充协议（</w:t>
      </w:r>
      <w:r>
        <w:rPr>
          <w:color w:val="auto"/>
          <w:spacing w:val="-1"/>
          <w:sz w:val="22"/>
          <w:highlight w:val="none"/>
        </w:rPr>
        <w:t>或另订合同</w:t>
      </w:r>
      <w:r>
        <w:rPr>
          <w:color w:val="auto"/>
          <w:spacing w:val="-3"/>
          <w:sz w:val="22"/>
          <w:highlight w:val="none"/>
        </w:rPr>
        <w:t>）</w:t>
      </w:r>
      <w:r>
        <w:rPr>
          <w:color w:val="auto"/>
          <w:spacing w:val="-1"/>
          <w:sz w:val="22"/>
          <w:highlight w:val="none"/>
        </w:rPr>
        <w:t>、重新明确有</w:t>
      </w:r>
      <w:r>
        <w:rPr>
          <w:color w:val="auto"/>
          <w:spacing w:val="-3"/>
          <w:sz w:val="22"/>
          <w:highlight w:val="none"/>
        </w:rPr>
        <w:t>关条款、顺眼工期外，发包人应按承包人所耗工作量向承包人支付返工费。</w:t>
      </w:r>
    </w:p>
    <w:p>
      <w:pPr>
        <w:spacing w:before="0" w:line="398" w:lineRule="auto"/>
        <w:ind w:left="658" w:right="694" w:firstLine="669"/>
        <w:jc w:val="left"/>
        <w:rPr>
          <w:color w:val="auto"/>
          <w:sz w:val="22"/>
          <w:highlight w:val="none"/>
        </w:rPr>
      </w:pPr>
      <w:r>
        <w:rPr>
          <w:color w:val="auto"/>
          <w:sz w:val="22"/>
          <w:highlight w:val="none"/>
        </w:rPr>
        <w:t>在未签订合同前受发包人委托，承包人为发包人所做的各项设计工作，发包人应支付相应设计费。</w:t>
      </w:r>
    </w:p>
    <w:p>
      <w:pPr>
        <w:pStyle w:val="47"/>
        <w:numPr>
          <w:ilvl w:val="2"/>
          <w:numId w:val="14"/>
        </w:numPr>
        <w:tabs>
          <w:tab w:val="left" w:pos="1878"/>
        </w:tabs>
        <w:spacing w:before="0" w:after="0" w:line="398" w:lineRule="auto"/>
        <w:ind w:left="658" w:right="653" w:firstLine="559"/>
        <w:jc w:val="both"/>
        <w:rPr>
          <w:color w:val="auto"/>
          <w:sz w:val="22"/>
          <w:highlight w:val="none"/>
        </w:rPr>
      </w:pPr>
      <w:r>
        <w:rPr>
          <w:color w:val="auto"/>
          <w:spacing w:val="-7"/>
          <w:sz w:val="22"/>
          <w:highlight w:val="none"/>
        </w:rPr>
        <w:t>发包人应按本合同规定的金额和日期向承包人支付设计费，逾期支付，承包人提交</w:t>
      </w:r>
      <w:r>
        <w:rPr>
          <w:color w:val="auto"/>
          <w:spacing w:val="-3"/>
          <w:sz w:val="22"/>
          <w:highlight w:val="none"/>
        </w:rPr>
        <w:t>设计文件的时间顺延。非承包人原因造成发包人的上级或其他有关审批部门对设计文件不审批或本合同项目停、缓建，发包人应及时书面通知承包人，并应按承包人实际工作量支付费用。</w:t>
      </w:r>
    </w:p>
    <w:p>
      <w:pPr>
        <w:pStyle w:val="47"/>
        <w:numPr>
          <w:ilvl w:val="2"/>
          <w:numId w:val="14"/>
        </w:numPr>
        <w:tabs>
          <w:tab w:val="left" w:pos="1878"/>
        </w:tabs>
        <w:spacing w:before="0" w:after="0" w:line="398" w:lineRule="auto"/>
        <w:ind w:left="658" w:right="653" w:firstLine="559"/>
        <w:jc w:val="both"/>
        <w:rPr>
          <w:color w:val="auto"/>
          <w:sz w:val="22"/>
          <w:highlight w:val="none"/>
        </w:rPr>
      </w:pPr>
      <w:r>
        <w:rPr>
          <w:color w:val="auto"/>
          <w:spacing w:val="-6"/>
          <w:sz w:val="22"/>
          <w:highlight w:val="none"/>
        </w:rPr>
        <w:t>发包人要求承包人比合同规定时间提前交付设计文件时，须征得承包人同意，不得</w:t>
      </w:r>
      <w:r>
        <w:rPr>
          <w:color w:val="auto"/>
          <w:spacing w:val="-3"/>
          <w:sz w:val="22"/>
          <w:highlight w:val="none"/>
        </w:rPr>
        <w:t>严重背离合理设计周期，且发包人应支付赶工费。</w:t>
      </w:r>
    </w:p>
    <w:p>
      <w:pPr>
        <w:pStyle w:val="47"/>
        <w:numPr>
          <w:ilvl w:val="2"/>
          <w:numId w:val="14"/>
        </w:numPr>
        <w:tabs>
          <w:tab w:val="left" w:pos="1988"/>
        </w:tabs>
        <w:spacing w:before="1" w:after="0" w:line="398" w:lineRule="auto"/>
        <w:ind w:left="658" w:right="694" w:firstLine="559"/>
        <w:jc w:val="both"/>
        <w:rPr>
          <w:color w:val="auto"/>
          <w:sz w:val="22"/>
          <w:highlight w:val="none"/>
        </w:rPr>
      </w:pPr>
      <w:r>
        <w:rPr>
          <w:color w:val="auto"/>
          <w:spacing w:val="-3"/>
          <w:sz w:val="22"/>
          <w:highlight w:val="none"/>
        </w:rPr>
        <w:t>发包方应向承包人提供现场地下已知埋藏物（</w:t>
      </w:r>
      <w:r>
        <w:rPr>
          <w:color w:val="auto"/>
          <w:spacing w:val="-2"/>
          <w:sz w:val="22"/>
          <w:highlight w:val="none"/>
        </w:rPr>
        <w:t>如电力、电讯光</w:t>
      </w:r>
      <w:r>
        <w:rPr>
          <w:color w:val="auto"/>
          <w:sz w:val="22"/>
          <w:highlight w:val="none"/>
        </w:rPr>
        <w:t>（</w:t>
      </w:r>
      <w:r>
        <w:rPr>
          <w:color w:val="auto"/>
          <w:spacing w:val="-3"/>
          <w:sz w:val="22"/>
          <w:highlight w:val="none"/>
        </w:rPr>
        <w:t>电</w:t>
      </w:r>
      <w:r>
        <w:rPr>
          <w:color w:val="auto"/>
          <w:sz w:val="22"/>
          <w:highlight w:val="none"/>
        </w:rPr>
        <w:t>）</w:t>
      </w:r>
      <w:r>
        <w:rPr>
          <w:color w:val="auto"/>
          <w:spacing w:val="-2"/>
          <w:sz w:val="22"/>
          <w:highlight w:val="none"/>
        </w:rPr>
        <w:t>缆、各种管</w:t>
      </w:r>
      <w:r>
        <w:rPr>
          <w:color w:val="auto"/>
          <w:spacing w:val="-3"/>
          <w:sz w:val="22"/>
          <w:highlight w:val="none"/>
        </w:rPr>
        <w:t>道、人防设施等）的资料及具体位置。若因提供上述资料不清致使承包人在现场工作中发生人身伤害或造成经济损失时，由发包人承担有关民事责任。</w:t>
      </w:r>
    </w:p>
    <w:p>
      <w:pPr>
        <w:pStyle w:val="47"/>
        <w:numPr>
          <w:ilvl w:val="2"/>
          <w:numId w:val="14"/>
        </w:numPr>
        <w:tabs>
          <w:tab w:val="left" w:pos="1988"/>
        </w:tabs>
        <w:spacing w:before="0" w:after="0" w:line="240" w:lineRule="auto"/>
        <w:ind w:left="1988" w:right="0" w:hanging="771"/>
        <w:jc w:val="both"/>
        <w:rPr>
          <w:color w:val="auto"/>
          <w:sz w:val="22"/>
          <w:highlight w:val="none"/>
        </w:rPr>
      </w:pPr>
      <w:r>
        <w:rPr>
          <w:color w:val="auto"/>
          <w:spacing w:val="-3"/>
          <w:sz w:val="22"/>
          <w:highlight w:val="none"/>
        </w:rPr>
        <w:t>发包人负责设计成果咨询、评估、审查上报的组织工作。</w:t>
      </w:r>
    </w:p>
    <w:p>
      <w:pPr>
        <w:pStyle w:val="47"/>
        <w:numPr>
          <w:ilvl w:val="2"/>
          <w:numId w:val="14"/>
        </w:numPr>
        <w:tabs>
          <w:tab w:val="left" w:pos="1988"/>
        </w:tabs>
        <w:spacing w:before="186" w:after="0" w:line="398" w:lineRule="auto"/>
        <w:ind w:left="658" w:right="694" w:firstLine="559"/>
        <w:jc w:val="both"/>
        <w:rPr>
          <w:color w:val="auto"/>
          <w:sz w:val="22"/>
          <w:highlight w:val="none"/>
        </w:rPr>
      </w:pPr>
      <w:r>
        <w:rPr>
          <w:color w:val="auto"/>
          <w:spacing w:val="-3"/>
          <w:sz w:val="22"/>
          <w:highlight w:val="none"/>
        </w:rPr>
        <w:t>发包人应为承包人派驻现场的工作人员提供工作、生活及交通等方面的便利条件及必要的劳动保护装备。</w:t>
      </w:r>
    </w:p>
    <w:p>
      <w:pPr>
        <w:pStyle w:val="47"/>
        <w:numPr>
          <w:ilvl w:val="1"/>
          <w:numId w:val="14"/>
        </w:numPr>
        <w:tabs>
          <w:tab w:val="left" w:pos="1768"/>
        </w:tabs>
        <w:spacing w:before="0" w:after="0" w:line="240" w:lineRule="auto"/>
        <w:ind w:left="1767" w:right="0" w:hanging="551"/>
        <w:jc w:val="both"/>
        <w:rPr>
          <w:color w:val="auto"/>
          <w:sz w:val="22"/>
          <w:highlight w:val="none"/>
        </w:rPr>
      </w:pPr>
      <w:r>
        <w:rPr>
          <w:color w:val="auto"/>
          <w:spacing w:val="-2"/>
          <w:sz w:val="22"/>
          <w:highlight w:val="none"/>
        </w:rPr>
        <w:t>承包人责任</w:t>
      </w:r>
    </w:p>
    <w:p>
      <w:pPr>
        <w:pStyle w:val="47"/>
        <w:numPr>
          <w:ilvl w:val="2"/>
          <w:numId w:val="14"/>
        </w:numPr>
        <w:tabs>
          <w:tab w:val="left" w:pos="1878"/>
        </w:tabs>
        <w:spacing w:before="186" w:after="0" w:line="398" w:lineRule="auto"/>
        <w:ind w:left="658" w:right="655" w:firstLine="559"/>
        <w:jc w:val="both"/>
        <w:rPr>
          <w:color w:val="auto"/>
          <w:sz w:val="22"/>
          <w:highlight w:val="none"/>
        </w:rPr>
      </w:pPr>
      <w:r>
        <w:rPr>
          <w:color w:val="auto"/>
          <w:spacing w:val="-7"/>
          <w:sz w:val="22"/>
          <w:highlight w:val="none"/>
        </w:rPr>
        <w:t>承包人应按国家规定和合同约定的技术规范、标准进行设计，按本合同第六条规定的内容、时间及份数向发包人交付设计文件</w:t>
      </w:r>
      <w:r>
        <w:rPr>
          <w:color w:val="auto"/>
          <w:sz w:val="22"/>
          <w:highlight w:val="none"/>
        </w:rPr>
        <w:t>（</w:t>
      </w:r>
      <w:r>
        <w:rPr>
          <w:color w:val="auto"/>
          <w:spacing w:val="-19"/>
          <w:sz w:val="22"/>
          <w:highlight w:val="none"/>
        </w:rPr>
        <w:t xml:space="preserve">出现 </w:t>
      </w:r>
      <w:r>
        <w:rPr>
          <w:color w:val="auto"/>
          <w:sz w:val="22"/>
          <w:highlight w:val="none"/>
        </w:rPr>
        <w:t>9.1.1</w:t>
      </w:r>
      <w:r>
        <w:rPr>
          <w:color w:val="auto"/>
          <w:spacing w:val="-15"/>
          <w:sz w:val="22"/>
          <w:highlight w:val="none"/>
        </w:rPr>
        <w:t>、</w:t>
      </w:r>
      <w:r>
        <w:rPr>
          <w:color w:val="auto"/>
          <w:sz w:val="22"/>
          <w:highlight w:val="none"/>
        </w:rPr>
        <w:t>9.1.2</w:t>
      </w:r>
      <w:r>
        <w:rPr>
          <w:color w:val="auto"/>
          <w:spacing w:val="-13"/>
          <w:sz w:val="22"/>
          <w:highlight w:val="none"/>
        </w:rPr>
        <w:t>、</w:t>
      </w:r>
      <w:r>
        <w:rPr>
          <w:color w:val="auto"/>
          <w:sz w:val="22"/>
          <w:highlight w:val="none"/>
        </w:rPr>
        <w:t>11.1</w:t>
      </w:r>
      <w:r>
        <w:rPr>
          <w:color w:val="auto"/>
          <w:spacing w:val="-13"/>
          <w:sz w:val="22"/>
          <w:highlight w:val="none"/>
        </w:rPr>
        <w:t>、</w:t>
      </w:r>
      <w:r>
        <w:rPr>
          <w:color w:val="auto"/>
          <w:sz w:val="22"/>
          <w:highlight w:val="none"/>
        </w:rPr>
        <w:t>11.3</w:t>
      </w:r>
      <w:r>
        <w:rPr>
          <w:color w:val="auto"/>
          <w:spacing w:val="-10"/>
          <w:sz w:val="22"/>
          <w:highlight w:val="none"/>
        </w:rPr>
        <w:t xml:space="preserve"> 规定有关交付设</w:t>
      </w:r>
      <w:r>
        <w:rPr>
          <w:color w:val="auto"/>
          <w:spacing w:val="-4"/>
          <w:sz w:val="22"/>
          <w:highlight w:val="none"/>
        </w:rPr>
        <w:t>计文件顺延的情况除外</w:t>
      </w:r>
      <w:r>
        <w:rPr>
          <w:color w:val="auto"/>
          <w:spacing w:val="-3"/>
          <w:sz w:val="22"/>
          <w:highlight w:val="none"/>
        </w:rPr>
        <w:t>）。并对提交的设计文件的质量负责。</w:t>
      </w:r>
    </w:p>
    <w:p>
      <w:pPr>
        <w:pStyle w:val="47"/>
        <w:numPr>
          <w:ilvl w:val="2"/>
          <w:numId w:val="14"/>
        </w:numPr>
        <w:tabs>
          <w:tab w:val="left" w:pos="1878"/>
        </w:tabs>
        <w:spacing w:before="1" w:after="0" w:line="398" w:lineRule="auto"/>
        <w:ind w:left="658" w:right="545" w:firstLine="559"/>
        <w:jc w:val="both"/>
        <w:rPr>
          <w:color w:val="auto"/>
          <w:sz w:val="22"/>
          <w:highlight w:val="none"/>
        </w:rPr>
      </w:pPr>
      <w:r>
        <w:rPr>
          <w:color w:val="auto"/>
          <w:spacing w:val="-6"/>
          <w:sz w:val="22"/>
          <w:highlight w:val="none"/>
        </w:rPr>
        <w:t>承包人对设计文件出现的遗漏或错误采取修改和补充等有关补救措施。由于承包人设计错误造成工程质量事故损失，承包人除负责采取补救措施外，应免收受损失部分的设计费。</w:t>
      </w:r>
    </w:p>
    <w:p>
      <w:pPr>
        <w:pStyle w:val="47"/>
        <w:numPr>
          <w:ilvl w:val="2"/>
          <w:numId w:val="14"/>
        </w:numPr>
        <w:tabs>
          <w:tab w:val="left" w:pos="1988"/>
        </w:tabs>
        <w:spacing w:before="0" w:after="0" w:line="398" w:lineRule="auto"/>
        <w:ind w:left="658" w:right="694" w:firstLine="559"/>
        <w:jc w:val="both"/>
        <w:rPr>
          <w:color w:val="auto"/>
          <w:sz w:val="22"/>
          <w:highlight w:val="none"/>
        </w:rPr>
      </w:pPr>
      <w:r>
        <w:rPr>
          <w:color w:val="auto"/>
          <w:spacing w:val="-3"/>
          <w:sz w:val="22"/>
          <w:highlight w:val="none"/>
        </w:rPr>
        <w:t>在设计阶段，为满足工程需要，承包人应安排有关专业人员在工程现场处理有关地质和设计问题，开展技术服务、采购服务等工作。根据采购进度和发包人要求，承包人应派相关专业人员参与采购的技术交流、提供技术服务等。发包人要求承包人参加外出技术交流、咨询、采购服务等，所发生费用由发包人负责。</w:t>
      </w:r>
    </w:p>
    <w:p>
      <w:pPr>
        <w:pStyle w:val="47"/>
        <w:numPr>
          <w:ilvl w:val="2"/>
          <w:numId w:val="14"/>
        </w:numPr>
        <w:tabs>
          <w:tab w:val="left" w:pos="1987"/>
          <w:tab w:val="left" w:pos="1988"/>
        </w:tabs>
        <w:spacing w:before="0" w:after="0" w:line="398" w:lineRule="auto"/>
        <w:ind w:left="658" w:right="545" w:firstLine="559"/>
        <w:jc w:val="left"/>
        <w:rPr>
          <w:color w:val="auto"/>
          <w:sz w:val="22"/>
          <w:highlight w:val="none"/>
        </w:rPr>
      </w:pPr>
      <w:r>
        <w:rPr>
          <w:color w:val="auto"/>
          <w:spacing w:val="-10"/>
          <w:sz w:val="22"/>
          <w:highlight w:val="none"/>
        </w:rPr>
        <w:t xml:space="preserve">承包人交付设计文件后，按规定配合发包人参加有关上级的设计审查和评审工作， </w:t>
      </w:r>
      <w:r>
        <w:rPr>
          <w:color w:val="auto"/>
          <w:spacing w:val="-4"/>
          <w:sz w:val="22"/>
          <w:highlight w:val="none"/>
        </w:rPr>
        <w:t>并根据审查结论负责不超出原定范围的内容做必要调整补充。承包人负责向发包人及施工单位</w:t>
      </w:r>
      <w:r>
        <w:rPr>
          <w:color w:val="auto"/>
          <w:spacing w:val="-3"/>
          <w:sz w:val="22"/>
          <w:highlight w:val="none"/>
        </w:rPr>
        <w:t>进行设计交底、处理有关</w:t>
      </w:r>
      <w:r>
        <w:rPr>
          <w:color w:val="auto"/>
          <w:sz w:val="22"/>
          <w:highlight w:val="none"/>
        </w:rPr>
        <w:t>（</w:t>
      </w:r>
      <w:r>
        <w:rPr>
          <w:color w:val="auto"/>
          <w:spacing w:val="-2"/>
          <w:sz w:val="22"/>
          <w:highlight w:val="none"/>
        </w:rPr>
        <w:t>地质</w:t>
      </w:r>
      <w:r>
        <w:rPr>
          <w:color w:val="auto"/>
          <w:sz w:val="22"/>
          <w:highlight w:val="none"/>
        </w:rPr>
        <w:t>）</w:t>
      </w:r>
      <w:r>
        <w:rPr>
          <w:color w:val="auto"/>
          <w:spacing w:val="-3"/>
          <w:sz w:val="22"/>
          <w:highlight w:val="none"/>
        </w:rPr>
        <w:t>设计问题和技术指导，根据施工现场情况对设计文件进行合理修改、变更和优化设计，参加竣工验收并按上级主管部门和发包人的要求编写相关设计</w:t>
      </w:r>
      <w:r>
        <w:rPr>
          <w:color w:val="auto"/>
          <w:sz w:val="22"/>
          <w:highlight w:val="none"/>
        </w:rPr>
        <w:t>验收文件。若合同施工工期延长，承包人仍负责上述工作，可按所需工作量向发包人适当收取咨询服务费，收费额由双方商定。</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1054" w:firstLineChars="500"/>
        <w:jc w:val="left"/>
        <w:textAlignment w:val="auto"/>
        <w:rPr>
          <w:color w:val="auto"/>
          <w:highlight w:val="none"/>
        </w:rPr>
      </w:pPr>
      <w:r>
        <w:rPr>
          <w:color w:val="auto"/>
          <w:highlight w:val="none"/>
        </w:rPr>
        <w:t>第十</w:t>
      </w:r>
      <w:r>
        <w:rPr>
          <w:b/>
          <w:color w:val="auto"/>
          <w:sz w:val="22"/>
          <w:highlight w:val="none"/>
        </w:rPr>
        <w:t>条 保密</w:t>
      </w:r>
    </w:p>
    <w:p>
      <w:pPr>
        <w:spacing w:before="186" w:line="398" w:lineRule="auto"/>
        <w:ind w:left="658" w:right="705" w:firstLine="420"/>
        <w:jc w:val="both"/>
        <w:rPr>
          <w:color w:val="auto"/>
          <w:sz w:val="22"/>
          <w:highlight w:val="none"/>
        </w:rPr>
      </w:pPr>
      <w:r>
        <w:rPr>
          <w:color w:val="auto"/>
          <w:sz w:val="22"/>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1054" w:firstLineChars="500"/>
        <w:jc w:val="left"/>
        <w:textAlignment w:val="auto"/>
        <w:rPr>
          <w:color w:val="auto"/>
          <w:highlight w:val="none"/>
        </w:rPr>
      </w:pPr>
      <w:r>
        <w:rPr>
          <w:color w:val="auto"/>
          <w:highlight w:val="none"/>
        </w:rPr>
        <w:t>第十一</w:t>
      </w:r>
      <w:r>
        <w:rPr>
          <w:b/>
          <w:color w:val="auto"/>
          <w:sz w:val="22"/>
          <w:highlight w:val="none"/>
        </w:rPr>
        <w:t>条 违约</w:t>
      </w:r>
      <w:r>
        <w:rPr>
          <w:color w:val="auto"/>
          <w:highlight w:val="none"/>
        </w:rPr>
        <w:t>责任</w:t>
      </w:r>
    </w:p>
    <w:p>
      <w:pPr>
        <w:pStyle w:val="47"/>
        <w:numPr>
          <w:ilvl w:val="1"/>
          <w:numId w:val="15"/>
        </w:numPr>
        <w:tabs>
          <w:tab w:val="left" w:pos="1739"/>
        </w:tabs>
        <w:spacing w:before="186" w:after="0" w:line="398" w:lineRule="auto"/>
        <w:ind w:left="658" w:right="725" w:firstLine="420"/>
        <w:jc w:val="both"/>
        <w:rPr>
          <w:color w:val="auto"/>
          <w:sz w:val="22"/>
          <w:highlight w:val="none"/>
        </w:rPr>
      </w:pPr>
      <w:r>
        <w:rPr>
          <w:color w:val="auto"/>
          <w:spacing w:val="-3"/>
          <w:sz w:val="22"/>
          <w:highlight w:val="none"/>
        </w:rPr>
        <w:t>发包人必须按合同规定提前支付相应的设计费。未收到设计费，承包人有权推迟设计工作的开工时间，且交付成果文件的时间顺延。</w:t>
      </w:r>
    </w:p>
    <w:p>
      <w:pPr>
        <w:pStyle w:val="47"/>
        <w:numPr>
          <w:ilvl w:val="1"/>
          <w:numId w:val="15"/>
        </w:numPr>
        <w:tabs>
          <w:tab w:val="left" w:pos="1739"/>
        </w:tabs>
        <w:spacing w:before="1" w:after="0" w:line="398" w:lineRule="auto"/>
        <w:ind w:left="658" w:right="725" w:firstLine="420"/>
        <w:jc w:val="both"/>
        <w:rPr>
          <w:color w:val="auto"/>
          <w:sz w:val="22"/>
          <w:highlight w:val="none"/>
        </w:rPr>
      </w:pPr>
      <w:r>
        <w:rPr>
          <w:color w:val="auto"/>
          <w:spacing w:val="-3"/>
          <w:sz w:val="22"/>
          <w:highlight w:val="none"/>
        </w:rPr>
        <w:t>承包人收到设计费后应按照合同约定的时间开展工作，设计方无故延迟开工导致合同无法履行的，发包方有权要求承包人双倍返还已支付的费用，并赔偿相应损失。</w:t>
      </w:r>
    </w:p>
    <w:p>
      <w:pPr>
        <w:pStyle w:val="47"/>
        <w:numPr>
          <w:ilvl w:val="1"/>
          <w:numId w:val="15"/>
        </w:numPr>
        <w:tabs>
          <w:tab w:val="left" w:pos="1739"/>
        </w:tabs>
        <w:spacing w:before="0" w:after="0" w:line="398" w:lineRule="auto"/>
        <w:ind w:left="658" w:right="705" w:firstLine="420"/>
        <w:jc w:val="both"/>
        <w:rPr>
          <w:color w:val="auto"/>
          <w:sz w:val="22"/>
          <w:highlight w:val="none"/>
        </w:rPr>
      </w:pPr>
      <w:r>
        <w:rPr>
          <w:color w:val="auto"/>
          <w:spacing w:val="-3"/>
          <w:sz w:val="22"/>
          <w:highlight w:val="none"/>
        </w:rPr>
        <w:t>由于发包方提供的资料、文件错误、不准确，造成工期延误或返工时，除顺延工期外，发包方应向承包人支付停工或返工费；造成质量、安全事故时，由发包方承担法律和经济</w:t>
      </w:r>
      <w:r>
        <w:rPr>
          <w:color w:val="auto"/>
          <w:spacing w:val="-2"/>
          <w:sz w:val="22"/>
          <w:highlight w:val="none"/>
        </w:rPr>
        <w:t>责任。</w:t>
      </w:r>
    </w:p>
    <w:p>
      <w:pPr>
        <w:pStyle w:val="47"/>
        <w:numPr>
          <w:ilvl w:val="1"/>
          <w:numId w:val="15"/>
        </w:numPr>
        <w:tabs>
          <w:tab w:val="left" w:pos="1739"/>
        </w:tabs>
        <w:spacing w:before="0" w:after="0" w:line="398" w:lineRule="auto"/>
        <w:ind w:left="658" w:right="705" w:firstLine="420"/>
        <w:jc w:val="both"/>
        <w:rPr>
          <w:color w:val="auto"/>
          <w:sz w:val="22"/>
          <w:highlight w:val="none"/>
        </w:rPr>
      </w:pPr>
      <w:r>
        <w:rPr>
          <w:color w:val="auto"/>
          <w:spacing w:val="-3"/>
          <w:sz w:val="22"/>
          <w:highlight w:val="none"/>
        </w:rPr>
        <w:t>在合同履行期间，发包人要求终止或解除合同，承包人未开始设计工作的，不退还发包人已支付的设计费；已开始设计工作的，发包人应根据承包人已进行的实际工作量， 不足一半时，按该阶段设计费的一半支付；超过一半时，按该阶段设计费的全部支付。</w:t>
      </w:r>
    </w:p>
    <w:p>
      <w:pPr>
        <w:pStyle w:val="47"/>
        <w:numPr>
          <w:ilvl w:val="1"/>
          <w:numId w:val="15"/>
        </w:numPr>
        <w:tabs>
          <w:tab w:val="left" w:pos="1739"/>
        </w:tabs>
        <w:spacing w:before="0" w:after="0" w:line="398" w:lineRule="auto"/>
        <w:ind w:left="658" w:right="725" w:firstLine="420"/>
        <w:jc w:val="both"/>
        <w:rPr>
          <w:color w:val="auto"/>
          <w:sz w:val="22"/>
          <w:highlight w:val="none"/>
        </w:rPr>
      </w:pPr>
      <w:r>
        <w:rPr>
          <w:color w:val="auto"/>
          <w:spacing w:val="-3"/>
          <w:sz w:val="22"/>
          <w:highlight w:val="none"/>
        </w:rPr>
        <w:t>合同生效后，承包人要求终止或解除合同的，承包人双倍退还发包方提前支付的设计费，并承担发包方因此造成的一切直接经济损失。</w:t>
      </w:r>
    </w:p>
    <w:p>
      <w:pPr>
        <w:pStyle w:val="47"/>
        <w:numPr>
          <w:ilvl w:val="1"/>
          <w:numId w:val="15"/>
        </w:numPr>
        <w:tabs>
          <w:tab w:val="left" w:pos="1739"/>
        </w:tabs>
        <w:spacing w:before="0" w:after="0" w:line="398" w:lineRule="auto"/>
        <w:ind w:left="658" w:right="705" w:firstLine="420"/>
        <w:jc w:val="both"/>
        <w:rPr>
          <w:color w:val="auto"/>
          <w:sz w:val="22"/>
          <w:highlight w:val="none"/>
        </w:rPr>
      </w:pPr>
      <w:r>
        <w:rPr>
          <w:color w:val="auto"/>
          <w:spacing w:val="-3"/>
          <w:sz w:val="22"/>
          <w:highlight w:val="none"/>
        </w:rPr>
        <w:t>承包人提交的阶段成果不符合发包人要求或使发包人项目产生重大设计变更的，发包人有权推迟返还承包人履约保证金</w:t>
      </w:r>
      <w:r>
        <w:rPr>
          <w:rFonts w:hint="eastAsia"/>
          <w:color w:val="auto"/>
          <w:spacing w:val="-3"/>
          <w:sz w:val="22"/>
          <w:highlight w:val="none"/>
          <w:lang w:eastAsia="zh-CN"/>
        </w:rPr>
        <w:t>（若有）</w:t>
      </w:r>
      <w:r>
        <w:rPr>
          <w:color w:val="auto"/>
          <w:spacing w:val="-3"/>
          <w:sz w:val="22"/>
          <w:highlight w:val="none"/>
        </w:rPr>
        <w:t>，直至承包人整改合格。承包人拒不整改、无法整改或已造成实际损失的，发包人有权没收履约保证金并要求承包人赔偿损失；情节严重的发包方还可以解除合同，且不承担任何违约责任。</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1054" w:firstLineChars="500"/>
        <w:jc w:val="left"/>
        <w:textAlignment w:val="auto"/>
        <w:rPr>
          <w:color w:val="auto"/>
          <w:highlight w:val="none"/>
        </w:rPr>
      </w:pPr>
      <w:r>
        <w:rPr>
          <w:color w:val="auto"/>
          <w:highlight w:val="none"/>
        </w:rPr>
        <w:t>第十二</w:t>
      </w:r>
      <w:r>
        <w:rPr>
          <w:b/>
          <w:color w:val="auto"/>
          <w:sz w:val="22"/>
          <w:highlight w:val="none"/>
        </w:rPr>
        <w:t>条 争议</w:t>
      </w:r>
      <w:r>
        <w:rPr>
          <w:color w:val="auto"/>
          <w:highlight w:val="none"/>
        </w:rPr>
        <w:t>解决</w:t>
      </w:r>
    </w:p>
    <w:p>
      <w:pPr>
        <w:keepNext w:val="0"/>
        <w:keepLines w:val="0"/>
        <w:pageBreakBefore w:val="0"/>
        <w:widowControl w:val="0"/>
        <w:kinsoku/>
        <w:wordWrap/>
        <w:overflowPunct/>
        <w:topLinePunct w:val="0"/>
        <w:autoSpaceDE w:val="0"/>
        <w:autoSpaceDN w:val="0"/>
        <w:bidi w:val="0"/>
        <w:adjustRightInd/>
        <w:snapToGrid/>
        <w:spacing w:line="360" w:lineRule="auto"/>
        <w:ind w:left="658" w:right="726" w:firstLine="420"/>
        <w:jc w:val="left"/>
        <w:textAlignment w:val="auto"/>
        <w:rPr>
          <w:color w:val="auto"/>
          <w:sz w:val="22"/>
          <w:highlight w:val="none"/>
        </w:rPr>
      </w:pPr>
      <w:r>
        <w:rPr>
          <w:color w:val="auto"/>
          <w:sz w:val="22"/>
          <w:highlight w:val="none"/>
        </w:rPr>
        <w:t>本工程设计合同发生争议，发包人与承包人应及时协商解决，也可由上级水行政主管部门进行调节，协商或调解不成时，甲乙双方同意：</w:t>
      </w:r>
    </w:p>
    <w:p>
      <w:pPr>
        <w:keepNext w:val="0"/>
        <w:keepLines w:val="0"/>
        <w:pageBreakBefore w:val="0"/>
        <w:widowControl w:val="0"/>
        <w:kinsoku/>
        <w:wordWrap/>
        <w:overflowPunct/>
        <w:topLinePunct w:val="0"/>
        <w:autoSpaceDE w:val="0"/>
        <w:autoSpaceDN w:val="0"/>
        <w:bidi w:val="0"/>
        <w:adjustRightInd/>
        <w:snapToGrid/>
        <w:spacing w:before="20" w:line="360" w:lineRule="auto"/>
        <w:ind w:left="658" w:right="726" w:firstLine="420"/>
        <w:jc w:val="left"/>
        <w:textAlignment w:val="auto"/>
        <w:rPr>
          <w:color w:val="auto"/>
          <w:sz w:val="22"/>
          <w:highlight w:val="none"/>
        </w:rPr>
      </w:pPr>
      <w:r>
        <w:rPr>
          <w:rFonts w:hint="eastAsia"/>
          <w:color w:val="auto"/>
          <w:sz w:val="22"/>
          <w:highlight w:val="none"/>
          <w:lang w:val="en-US" w:eastAsia="zh-CN"/>
        </w:rPr>
        <w:t>1、</w:t>
      </w:r>
      <w:r>
        <w:rPr>
          <w:color w:val="auto"/>
          <w:sz w:val="22"/>
          <w:highlight w:val="none"/>
        </w:rPr>
        <w:t>向仲裁委员会提出仲裁</w:t>
      </w:r>
    </w:p>
    <w:p>
      <w:pPr>
        <w:keepNext w:val="0"/>
        <w:keepLines w:val="0"/>
        <w:pageBreakBefore w:val="0"/>
        <w:widowControl w:val="0"/>
        <w:kinsoku/>
        <w:wordWrap/>
        <w:overflowPunct/>
        <w:topLinePunct w:val="0"/>
        <w:autoSpaceDE w:val="0"/>
        <w:autoSpaceDN w:val="0"/>
        <w:bidi w:val="0"/>
        <w:adjustRightInd/>
        <w:snapToGrid/>
        <w:spacing w:before="20" w:line="360" w:lineRule="auto"/>
        <w:ind w:left="658" w:right="726" w:firstLine="420"/>
        <w:jc w:val="left"/>
        <w:textAlignment w:val="auto"/>
        <w:rPr>
          <w:color w:val="auto"/>
          <w:sz w:val="22"/>
          <w:highlight w:val="none"/>
        </w:rPr>
      </w:pPr>
      <w:r>
        <w:rPr>
          <w:rFonts w:hint="eastAsia"/>
          <w:color w:val="auto"/>
          <w:sz w:val="22"/>
          <w:highlight w:val="none"/>
          <w:lang w:val="en-US" w:eastAsia="zh-CN"/>
        </w:rPr>
        <w:t>2、</w:t>
      </w:r>
      <w:r>
        <w:rPr>
          <w:color w:val="auto"/>
          <w:sz w:val="22"/>
          <w:highlight w:val="none"/>
        </w:rPr>
        <w:t>向人民法院提出诉讼</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1054" w:firstLineChars="500"/>
        <w:jc w:val="left"/>
        <w:textAlignment w:val="auto"/>
        <w:rPr>
          <w:color w:val="auto"/>
          <w:highlight w:val="none"/>
        </w:rPr>
      </w:pPr>
      <w:r>
        <w:rPr>
          <w:color w:val="auto"/>
          <w:highlight w:val="none"/>
        </w:rPr>
        <w:t>第十三</w:t>
      </w:r>
      <w:r>
        <w:rPr>
          <w:b/>
          <w:color w:val="auto"/>
          <w:sz w:val="22"/>
          <w:highlight w:val="none"/>
        </w:rPr>
        <w:t>条 合同</w:t>
      </w:r>
      <w:r>
        <w:rPr>
          <w:color w:val="auto"/>
          <w:highlight w:val="none"/>
        </w:rPr>
        <w:t>生效及其他</w:t>
      </w:r>
    </w:p>
    <w:p>
      <w:pPr>
        <w:pStyle w:val="47"/>
        <w:keepNext w:val="0"/>
        <w:keepLines w:val="0"/>
        <w:pageBreakBefore w:val="0"/>
        <w:widowControl w:val="0"/>
        <w:numPr>
          <w:ilvl w:val="1"/>
          <w:numId w:val="16"/>
        </w:numPr>
        <w:tabs>
          <w:tab w:val="left" w:pos="1738"/>
          <w:tab w:val="left" w:pos="1739"/>
        </w:tabs>
        <w:kinsoku/>
        <w:wordWrap/>
        <w:overflowPunct/>
        <w:topLinePunct w:val="0"/>
        <w:autoSpaceDE w:val="0"/>
        <w:autoSpaceDN w:val="0"/>
        <w:bidi w:val="0"/>
        <w:adjustRightInd/>
        <w:snapToGrid/>
        <w:spacing w:before="0" w:after="0" w:line="399" w:lineRule="auto"/>
        <w:ind w:left="658" w:right="726" w:firstLine="420"/>
        <w:jc w:val="left"/>
        <w:textAlignment w:val="auto"/>
        <w:rPr>
          <w:color w:val="auto"/>
          <w:sz w:val="22"/>
          <w:highlight w:val="none"/>
        </w:rPr>
      </w:pPr>
      <w:r>
        <w:rPr>
          <w:color w:val="auto"/>
          <w:spacing w:val="-3"/>
          <w:sz w:val="22"/>
          <w:highlight w:val="none"/>
        </w:rPr>
        <w:t>承包人为本合同项目的服务至施工结束为止。</w:t>
      </w:r>
      <w:bookmarkStart w:id="123" w:name="第五章 设计内容及技术要求"/>
      <w:bookmarkEnd w:id="123"/>
      <w:bookmarkStart w:id="124" w:name="第五章 设计内容及技术要求"/>
      <w:bookmarkEnd w:id="124"/>
    </w:p>
    <w:p>
      <w:pPr>
        <w:pStyle w:val="47"/>
        <w:numPr>
          <w:ilvl w:val="1"/>
          <w:numId w:val="16"/>
        </w:numPr>
        <w:tabs>
          <w:tab w:val="left" w:pos="1738"/>
          <w:tab w:val="left" w:pos="1739"/>
        </w:tabs>
        <w:spacing w:before="55" w:after="0" w:line="398" w:lineRule="auto"/>
        <w:ind w:left="658" w:right="725" w:firstLine="420"/>
        <w:jc w:val="left"/>
        <w:rPr>
          <w:color w:val="auto"/>
          <w:sz w:val="22"/>
          <w:highlight w:val="none"/>
        </w:rPr>
      </w:pPr>
      <w:r>
        <w:rPr>
          <w:color w:val="auto"/>
          <w:spacing w:val="-3"/>
          <w:sz w:val="22"/>
          <w:highlight w:val="none"/>
        </w:rPr>
        <w:t>本工程项目中，承包人不得指定建筑材料、设备的生产厂或供货商。发包人需要承包人配合建筑材料、设备的加工订货时，所需费用由发包人承担。</w:t>
      </w:r>
    </w:p>
    <w:p>
      <w:pPr>
        <w:pStyle w:val="47"/>
        <w:numPr>
          <w:ilvl w:val="1"/>
          <w:numId w:val="16"/>
        </w:numPr>
        <w:tabs>
          <w:tab w:val="left" w:pos="1738"/>
          <w:tab w:val="left" w:pos="1739"/>
        </w:tabs>
        <w:spacing w:before="0" w:after="0" w:line="240" w:lineRule="auto"/>
        <w:ind w:left="1738" w:right="0" w:hanging="661"/>
        <w:jc w:val="left"/>
        <w:rPr>
          <w:color w:val="auto"/>
          <w:sz w:val="22"/>
          <w:highlight w:val="none"/>
        </w:rPr>
      </w:pPr>
      <w:r>
        <w:rPr>
          <w:color w:val="auto"/>
          <w:spacing w:val="-3"/>
          <w:sz w:val="22"/>
          <w:highlight w:val="none"/>
        </w:rPr>
        <w:t>发包人委托承包人承担本合同内容以外的工作服务，另行签订协议并支付费用。</w:t>
      </w:r>
    </w:p>
    <w:p>
      <w:pPr>
        <w:pStyle w:val="47"/>
        <w:numPr>
          <w:ilvl w:val="1"/>
          <w:numId w:val="16"/>
        </w:numPr>
        <w:tabs>
          <w:tab w:val="left" w:pos="1738"/>
          <w:tab w:val="left" w:pos="1739"/>
        </w:tabs>
        <w:spacing w:before="186" w:after="0" w:line="240" w:lineRule="auto"/>
        <w:ind w:left="1738" w:right="0" w:hanging="661"/>
        <w:jc w:val="left"/>
        <w:rPr>
          <w:color w:val="auto"/>
          <w:sz w:val="22"/>
          <w:highlight w:val="none"/>
        </w:rPr>
      </w:pPr>
      <w:r>
        <w:rPr>
          <w:color w:val="auto"/>
          <w:spacing w:val="-3"/>
          <w:sz w:val="22"/>
          <w:highlight w:val="none"/>
        </w:rPr>
        <w:t>由于不可抗力因素致使合同无法履行时，双方应及时协商解决。</w:t>
      </w:r>
    </w:p>
    <w:p>
      <w:pPr>
        <w:pStyle w:val="47"/>
        <w:numPr>
          <w:ilvl w:val="1"/>
          <w:numId w:val="16"/>
        </w:numPr>
        <w:tabs>
          <w:tab w:val="left" w:pos="1738"/>
          <w:tab w:val="left" w:pos="1739"/>
        </w:tabs>
        <w:spacing w:before="186" w:after="0" w:line="398" w:lineRule="auto"/>
        <w:ind w:left="658" w:right="725" w:firstLine="420"/>
        <w:jc w:val="left"/>
        <w:rPr>
          <w:color w:val="auto"/>
          <w:sz w:val="22"/>
          <w:highlight w:val="none"/>
        </w:rPr>
      </w:pPr>
      <w:r>
        <w:rPr>
          <w:color w:val="auto"/>
          <w:spacing w:val="-3"/>
          <w:sz w:val="22"/>
          <w:highlight w:val="none"/>
        </w:rPr>
        <w:t>本合同双方签字盖章即生效，正本两份，双方各执一份；副本六份双方各执三份； 正副本具有同等法律效力。</w:t>
      </w:r>
    </w:p>
    <w:p>
      <w:pPr>
        <w:pStyle w:val="47"/>
        <w:numPr>
          <w:ilvl w:val="1"/>
          <w:numId w:val="16"/>
        </w:numPr>
        <w:tabs>
          <w:tab w:val="left" w:pos="1738"/>
          <w:tab w:val="left" w:pos="1739"/>
        </w:tabs>
        <w:spacing w:before="0" w:after="0" w:line="398" w:lineRule="auto"/>
        <w:ind w:left="658" w:right="545" w:firstLine="420"/>
        <w:jc w:val="left"/>
        <w:rPr>
          <w:color w:val="auto"/>
          <w:sz w:val="22"/>
          <w:highlight w:val="none"/>
        </w:rPr>
      </w:pPr>
      <w:r>
        <w:rPr>
          <w:color w:val="auto"/>
          <w:spacing w:val="-8"/>
          <w:sz w:val="22"/>
          <w:highlight w:val="none"/>
        </w:rPr>
        <w:t>本合同生效后，按规定应到项目所在地省级建设行政主管部门规定的审查部门备案， 双方认为必要时，到工商行政管理部门签证。双方履行完合同规定的义务后，本合同即行终止。</w:t>
      </w:r>
    </w:p>
    <w:p>
      <w:pPr>
        <w:pStyle w:val="47"/>
        <w:numPr>
          <w:ilvl w:val="1"/>
          <w:numId w:val="16"/>
        </w:numPr>
        <w:tabs>
          <w:tab w:val="left" w:pos="1647"/>
          <w:tab w:val="left" w:pos="1648"/>
        </w:tabs>
        <w:spacing w:before="0" w:after="0" w:line="398" w:lineRule="auto"/>
        <w:ind w:left="658" w:right="653" w:firstLine="328"/>
        <w:jc w:val="left"/>
        <w:rPr>
          <w:color w:val="auto"/>
          <w:sz w:val="22"/>
          <w:highlight w:val="none"/>
        </w:rPr>
      </w:pPr>
      <w:r>
        <w:rPr>
          <w:color w:val="auto"/>
          <w:spacing w:val="-8"/>
          <w:sz w:val="22"/>
          <w:highlight w:val="none"/>
        </w:rPr>
        <w:t>双方认可的来往传真、电报、会议纪要等，均为合同的组成部分，与本合同具有同等</w:t>
      </w:r>
      <w:r>
        <w:rPr>
          <w:color w:val="auto"/>
          <w:spacing w:val="-3"/>
          <w:sz w:val="22"/>
          <w:highlight w:val="none"/>
        </w:rPr>
        <w:t>法律效力。</w:t>
      </w:r>
    </w:p>
    <w:p>
      <w:pPr>
        <w:pStyle w:val="47"/>
        <w:numPr>
          <w:ilvl w:val="1"/>
          <w:numId w:val="16"/>
        </w:numPr>
        <w:tabs>
          <w:tab w:val="left" w:pos="1647"/>
          <w:tab w:val="left" w:pos="1648"/>
        </w:tabs>
        <w:spacing w:before="1" w:after="0" w:line="240" w:lineRule="auto"/>
        <w:ind w:left="1647" w:right="0" w:hanging="661"/>
        <w:jc w:val="left"/>
        <w:rPr>
          <w:color w:val="auto"/>
          <w:sz w:val="22"/>
          <w:highlight w:val="none"/>
        </w:rPr>
      </w:pPr>
      <w:r>
        <w:rPr>
          <w:color w:val="auto"/>
          <w:spacing w:val="-3"/>
          <w:sz w:val="22"/>
          <w:highlight w:val="none"/>
        </w:rPr>
        <w:t>未尽事宜，经双方协商一致，签订补充协议，补充协议与本合同具有同等效力。</w:t>
      </w:r>
    </w:p>
    <w:p>
      <w:pPr>
        <w:pStyle w:val="6"/>
        <w:rPr>
          <w:color w:val="auto"/>
          <w:sz w:val="22"/>
          <w:highlight w:val="none"/>
        </w:rPr>
      </w:pPr>
    </w:p>
    <w:p>
      <w:pPr>
        <w:pStyle w:val="6"/>
        <w:rPr>
          <w:color w:val="auto"/>
          <w:sz w:val="22"/>
          <w:highlight w:val="none"/>
        </w:rPr>
      </w:pPr>
    </w:p>
    <w:p>
      <w:pPr>
        <w:tabs>
          <w:tab w:val="left" w:pos="5367"/>
        </w:tabs>
        <w:spacing w:before="0"/>
        <w:ind w:left="1078" w:right="0" w:firstLine="0"/>
        <w:jc w:val="left"/>
        <w:rPr>
          <w:color w:val="auto"/>
          <w:sz w:val="22"/>
          <w:highlight w:val="none"/>
        </w:rPr>
      </w:pPr>
      <w:r>
        <w:rPr>
          <w:color w:val="auto"/>
          <w:sz w:val="22"/>
          <w:highlight w:val="none"/>
        </w:rPr>
        <w:t>发</w:t>
      </w:r>
      <w:r>
        <w:rPr>
          <w:color w:val="auto"/>
          <w:spacing w:val="-3"/>
          <w:sz w:val="22"/>
          <w:highlight w:val="none"/>
        </w:rPr>
        <w:t>包</w:t>
      </w:r>
      <w:r>
        <w:rPr>
          <w:color w:val="auto"/>
          <w:sz w:val="22"/>
          <w:highlight w:val="none"/>
        </w:rPr>
        <w:t>人名</w:t>
      </w:r>
      <w:r>
        <w:rPr>
          <w:color w:val="auto"/>
          <w:spacing w:val="-3"/>
          <w:sz w:val="22"/>
          <w:highlight w:val="none"/>
        </w:rPr>
        <w:t>称</w:t>
      </w:r>
      <w:r>
        <w:rPr>
          <w:color w:val="auto"/>
          <w:sz w:val="22"/>
          <w:highlight w:val="none"/>
        </w:rPr>
        <w:t>：</w:t>
      </w:r>
      <w:r>
        <w:rPr>
          <w:color w:val="auto"/>
          <w:sz w:val="22"/>
          <w:highlight w:val="none"/>
        </w:rPr>
        <w:tab/>
      </w:r>
      <w:r>
        <w:rPr>
          <w:color w:val="auto"/>
          <w:sz w:val="22"/>
          <w:highlight w:val="none"/>
        </w:rPr>
        <w:t>承</w:t>
      </w:r>
      <w:r>
        <w:rPr>
          <w:color w:val="auto"/>
          <w:spacing w:val="-3"/>
          <w:sz w:val="22"/>
          <w:highlight w:val="none"/>
        </w:rPr>
        <w:t>包</w:t>
      </w:r>
      <w:r>
        <w:rPr>
          <w:color w:val="auto"/>
          <w:sz w:val="22"/>
          <w:highlight w:val="none"/>
        </w:rPr>
        <w:t>人名</w:t>
      </w:r>
      <w:r>
        <w:rPr>
          <w:color w:val="auto"/>
          <w:spacing w:val="-3"/>
          <w:sz w:val="22"/>
          <w:highlight w:val="none"/>
        </w:rPr>
        <w:t>称</w:t>
      </w:r>
      <w:r>
        <w:rPr>
          <w:color w:val="auto"/>
          <w:sz w:val="22"/>
          <w:highlight w:val="none"/>
        </w:rPr>
        <w:t>：</w:t>
      </w:r>
    </w:p>
    <w:p>
      <w:pPr>
        <w:pStyle w:val="6"/>
        <w:rPr>
          <w:color w:val="auto"/>
          <w:sz w:val="22"/>
          <w:highlight w:val="none"/>
        </w:rPr>
      </w:pPr>
    </w:p>
    <w:p>
      <w:pPr>
        <w:pStyle w:val="6"/>
        <w:spacing w:before="1"/>
        <w:rPr>
          <w:color w:val="auto"/>
          <w:sz w:val="29"/>
          <w:highlight w:val="none"/>
        </w:rPr>
      </w:pPr>
    </w:p>
    <w:p>
      <w:pPr>
        <w:tabs>
          <w:tab w:val="left" w:pos="5278"/>
        </w:tabs>
        <w:spacing w:before="0"/>
        <w:ind w:left="1097" w:right="0" w:firstLine="0"/>
        <w:jc w:val="left"/>
        <w:rPr>
          <w:color w:val="auto"/>
          <w:sz w:val="22"/>
          <w:highlight w:val="none"/>
        </w:rPr>
      </w:pPr>
      <w:r>
        <w:rPr>
          <w:color w:val="auto"/>
          <w:sz w:val="22"/>
          <w:highlight w:val="none"/>
        </w:rPr>
        <w:t>（</w:t>
      </w:r>
      <w:r>
        <w:rPr>
          <w:color w:val="auto"/>
          <w:spacing w:val="-3"/>
          <w:sz w:val="22"/>
          <w:highlight w:val="none"/>
        </w:rPr>
        <w:t>盖</w:t>
      </w:r>
      <w:r>
        <w:rPr>
          <w:color w:val="auto"/>
          <w:sz w:val="22"/>
          <w:highlight w:val="none"/>
        </w:rPr>
        <w:t>章）</w:t>
      </w:r>
      <w:r>
        <w:rPr>
          <w:color w:val="auto"/>
          <w:sz w:val="22"/>
          <w:highlight w:val="none"/>
        </w:rPr>
        <w:tab/>
      </w:r>
      <w:r>
        <w:rPr>
          <w:color w:val="auto"/>
          <w:sz w:val="22"/>
          <w:highlight w:val="none"/>
        </w:rPr>
        <w:t>（</w:t>
      </w:r>
      <w:r>
        <w:rPr>
          <w:color w:val="auto"/>
          <w:spacing w:val="-3"/>
          <w:sz w:val="22"/>
          <w:highlight w:val="none"/>
        </w:rPr>
        <w:t>盖</w:t>
      </w:r>
      <w:r>
        <w:rPr>
          <w:color w:val="auto"/>
          <w:sz w:val="22"/>
          <w:highlight w:val="none"/>
        </w:rPr>
        <w:t>章）</w:t>
      </w:r>
    </w:p>
    <w:p>
      <w:pPr>
        <w:pStyle w:val="6"/>
        <w:rPr>
          <w:color w:val="auto"/>
          <w:sz w:val="22"/>
          <w:highlight w:val="none"/>
        </w:rPr>
      </w:pPr>
    </w:p>
    <w:p>
      <w:pPr>
        <w:pStyle w:val="6"/>
        <w:spacing w:before="1"/>
        <w:rPr>
          <w:color w:val="auto"/>
          <w:sz w:val="29"/>
          <w:highlight w:val="none"/>
        </w:rPr>
      </w:pPr>
    </w:p>
    <w:p>
      <w:pPr>
        <w:tabs>
          <w:tab w:val="left" w:pos="5587"/>
        </w:tabs>
        <w:spacing w:before="0"/>
        <w:ind w:left="1078" w:right="0" w:firstLine="0"/>
        <w:jc w:val="left"/>
        <w:rPr>
          <w:color w:val="auto"/>
          <w:sz w:val="22"/>
          <w:highlight w:val="none"/>
        </w:rPr>
      </w:pPr>
      <w:r>
        <w:rPr>
          <w:color w:val="auto"/>
          <w:sz w:val="22"/>
          <w:highlight w:val="none"/>
        </w:rPr>
        <w:t>法</w:t>
      </w:r>
      <w:r>
        <w:rPr>
          <w:color w:val="auto"/>
          <w:spacing w:val="-3"/>
          <w:sz w:val="22"/>
          <w:highlight w:val="none"/>
        </w:rPr>
        <w:t>人</w:t>
      </w:r>
      <w:r>
        <w:rPr>
          <w:color w:val="auto"/>
          <w:sz w:val="22"/>
          <w:highlight w:val="none"/>
        </w:rPr>
        <w:t>（或</w:t>
      </w:r>
      <w:r>
        <w:rPr>
          <w:color w:val="auto"/>
          <w:spacing w:val="-3"/>
          <w:sz w:val="22"/>
          <w:highlight w:val="none"/>
        </w:rPr>
        <w:t>委</w:t>
      </w:r>
      <w:r>
        <w:rPr>
          <w:color w:val="auto"/>
          <w:sz w:val="22"/>
          <w:highlight w:val="none"/>
        </w:rPr>
        <w:t>托人）：（</w:t>
      </w:r>
      <w:r>
        <w:rPr>
          <w:color w:val="auto"/>
          <w:spacing w:val="-3"/>
          <w:sz w:val="22"/>
          <w:highlight w:val="none"/>
        </w:rPr>
        <w:t>签</w:t>
      </w:r>
      <w:r>
        <w:rPr>
          <w:color w:val="auto"/>
          <w:sz w:val="22"/>
          <w:highlight w:val="none"/>
        </w:rPr>
        <w:t>字）</w:t>
      </w:r>
      <w:r>
        <w:rPr>
          <w:color w:val="auto"/>
          <w:sz w:val="22"/>
          <w:highlight w:val="none"/>
        </w:rPr>
        <w:tab/>
      </w:r>
      <w:r>
        <w:rPr>
          <w:color w:val="auto"/>
          <w:sz w:val="22"/>
          <w:highlight w:val="none"/>
        </w:rPr>
        <w:t>法</w:t>
      </w:r>
      <w:r>
        <w:rPr>
          <w:color w:val="auto"/>
          <w:spacing w:val="-3"/>
          <w:sz w:val="22"/>
          <w:highlight w:val="none"/>
        </w:rPr>
        <w:t>人</w:t>
      </w:r>
      <w:r>
        <w:rPr>
          <w:color w:val="auto"/>
          <w:sz w:val="22"/>
          <w:highlight w:val="none"/>
        </w:rPr>
        <w:t>（或</w:t>
      </w:r>
      <w:r>
        <w:rPr>
          <w:color w:val="auto"/>
          <w:spacing w:val="-3"/>
          <w:sz w:val="22"/>
          <w:highlight w:val="none"/>
        </w:rPr>
        <w:t>委</w:t>
      </w:r>
      <w:r>
        <w:rPr>
          <w:color w:val="auto"/>
          <w:sz w:val="22"/>
          <w:highlight w:val="none"/>
        </w:rPr>
        <w:t>托人）：（</w:t>
      </w:r>
      <w:r>
        <w:rPr>
          <w:color w:val="auto"/>
          <w:spacing w:val="-3"/>
          <w:sz w:val="22"/>
          <w:highlight w:val="none"/>
        </w:rPr>
        <w:t>签</w:t>
      </w:r>
      <w:r>
        <w:rPr>
          <w:color w:val="auto"/>
          <w:sz w:val="22"/>
          <w:highlight w:val="none"/>
        </w:rPr>
        <w:t>字）</w:t>
      </w:r>
    </w:p>
    <w:p>
      <w:pPr>
        <w:pStyle w:val="6"/>
        <w:rPr>
          <w:color w:val="auto"/>
          <w:sz w:val="22"/>
          <w:highlight w:val="none"/>
        </w:rPr>
      </w:pPr>
    </w:p>
    <w:p>
      <w:pPr>
        <w:pStyle w:val="6"/>
        <w:rPr>
          <w:color w:val="auto"/>
          <w:sz w:val="22"/>
          <w:highlight w:val="none"/>
        </w:rPr>
      </w:pPr>
    </w:p>
    <w:p>
      <w:pPr>
        <w:pStyle w:val="6"/>
        <w:rPr>
          <w:color w:val="auto"/>
          <w:sz w:val="22"/>
          <w:highlight w:val="none"/>
        </w:rPr>
      </w:pPr>
    </w:p>
    <w:p>
      <w:pPr>
        <w:tabs>
          <w:tab w:val="left" w:pos="1757"/>
          <w:tab w:val="left" w:pos="5388"/>
          <w:tab w:val="left" w:pos="6048"/>
        </w:tabs>
        <w:spacing w:before="180"/>
        <w:ind w:left="1097" w:right="0" w:firstLine="0"/>
        <w:jc w:val="left"/>
        <w:rPr>
          <w:color w:val="auto"/>
          <w:sz w:val="22"/>
          <w:highlight w:val="none"/>
        </w:rPr>
      </w:pPr>
      <w:r>
        <w:rPr>
          <w:color w:val="auto"/>
          <w:sz w:val="22"/>
          <w:highlight w:val="none"/>
        </w:rPr>
        <w:t>住</w:t>
      </w:r>
      <w:r>
        <w:rPr>
          <w:color w:val="auto"/>
          <w:sz w:val="22"/>
          <w:highlight w:val="none"/>
        </w:rPr>
        <w:tab/>
      </w:r>
      <w:r>
        <w:rPr>
          <w:color w:val="auto"/>
          <w:sz w:val="22"/>
          <w:highlight w:val="none"/>
        </w:rPr>
        <w:t>所：</w:t>
      </w:r>
      <w:r>
        <w:rPr>
          <w:color w:val="auto"/>
          <w:sz w:val="22"/>
          <w:highlight w:val="none"/>
        </w:rPr>
        <w:tab/>
      </w:r>
      <w:r>
        <w:rPr>
          <w:color w:val="auto"/>
          <w:sz w:val="22"/>
          <w:highlight w:val="none"/>
        </w:rPr>
        <w:t>住</w:t>
      </w:r>
      <w:r>
        <w:rPr>
          <w:color w:val="auto"/>
          <w:sz w:val="22"/>
          <w:highlight w:val="none"/>
        </w:rPr>
        <w:tab/>
      </w:r>
      <w:r>
        <w:rPr>
          <w:color w:val="auto"/>
          <w:spacing w:val="-1"/>
          <w:sz w:val="22"/>
          <w:highlight w:val="none"/>
        </w:rPr>
        <w:t>所</w:t>
      </w:r>
      <w:r>
        <w:rPr>
          <w:color w:val="auto"/>
          <w:sz w:val="22"/>
          <w:highlight w:val="none"/>
        </w:rPr>
        <w:t>：</w:t>
      </w:r>
    </w:p>
    <w:p>
      <w:pPr>
        <w:tabs>
          <w:tab w:val="left" w:pos="5367"/>
        </w:tabs>
        <w:spacing w:before="187"/>
        <w:ind w:left="1078" w:right="0" w:firstLine="0"/>
        <w:jc w:val="left"/>
        <w:rPr>
          <w:color w:val="auto"/>
          <w:sz w:val="22"/>
          <w:highlight w:val="none"/>
        </w:rPr>
      </w:pPr>
      <w:r>
        <w:rPr>
          <w:color w:val="auto"/>
          <w:sz w:val="22"/>
          <w:highlight w:val="none"/>
        </w:rPr>
        <w:t>邮</w:t>
      </w:r>
      <w:r>
        <w:rPr>
          <w:color w:val="auto"/>
          <w:spacing w:val="-3"/>
          <w:sz w:val="22"/>
          <w:highlight w:val="none"/>
        </w:rPr>
        <w:t>政</w:t>
      </w:r>
      <w:r>
        <w:rPr>
          <w:color w:val="auto"/>
          <w:sz w:val="22"/>
          <w:highlight w:val="none"/>
        </w:rPr>
        <w:t>编码：</w:t>
      </w:r>
      <w:r>
        <w:rPr>
          <w:color w:val="auto"/>
          <w:sz w:val="22"/>
          <w:highlight w:val="none"/>
        </w:rPr>
        <w:tab/>
      </w:r>
      <w:r>
        <w:rPr>
          <w:color w:val="auto"/>
          <w:spacing w:val="-1"/>
          <w:sz w:val="22"/>
          <w:highlight w:val="none"/>
        </w:rPr>
        <w:t>邮</w:t>
      </w:r>
      <w:r>
        <w:rPr>
          <w:color w:val="auto"/>
          <w:spacing w:val="-3"/>
          <w:sz w:val="22"/>
          <w:highlight w:val="none"/>
        </w:rPr>
        <w:t>政</w:t>
      </w:r>
      <w:r>
        <w:rPr>
          <w:color w:val="auto"/>
          <w:spacing w:val="-1"/>
          <w:sz w:val="22"/>
          <w:highlight w:val="none"/>
        </w:rPr>
        <w:t>编码</w:t>
      </w:r>
      <w:r>
        <w:rPr>
          <w:color w:val="auto"/>
          <w:sz w:val="22"/>
          <w:highlight w:val="none"/>
        </w:rPr>
        <w:t>：</w:t>
      </w:r>
    </w:p>
    <w:p>
      <w:pPr>
        <w:tabs>
          <w:tab w:val="left" w:pos="1738"/>
          <w:tab w:val="left" w:pos="5367"/>
          <w:tab w:val="left" w:pos="6027"/>
        </w:tabs>
        <w:spacing w:before="186"/>
        <w:ind w:left="1078" w:right="0" w:firstLine="0"/>
        <w:jc w:val="left"/>
        <w:rPr>
          <w:color w:val="auto"/>
          <w:sz w:val="22"/>
          <w:highlight w:val="none"/>
        </w:rPr>
      </w:pPr>
      <w:r>
        <w:rPr>
          <w:color w:val="auto"/>
          <w:sz w:val="22"/>
          <w:highlight w:val="none"/>
        </w:rPr>
        <w:t>电</w:t>
      </w:r>
      <w:r>
        <w:rPr>
          <w:color w:val="auto"/>
          <w:sz w:val="22"/>
          <w:highlight w:val="none"/>
        </w:rPr>
        <w:tab/>
      </w:r>
      <w:r>
        <w:rPr>
          <w:color w:val="auto"/>
          <w:sz w:val="22"/>
          <w:highlight w:val="none"/>
        </w:rPr>
        <w:t>话：</w:t>
      </w:r>
      <w:r>
        <w:rPr>
          <w:color w:val="auto"/>
          <w:sz w:val="22"/>
          <w:highlight w:val="none"/>
        </w:rPr>
        <w:tab/>
      </w:r>
      <w:r>
        <w:rPr>
          <w:color w:val="auto"/>
          <w:sz w:val="22"/>
          <w:highlight w:val="none"/>
        </w:rPr>
        <w:t>电</w:t>
      </w:r>
      <w:r>
        <w:rPr>
          <w:color w:val="auto"/>
          <w:sz w:val="22"/>
          <w:highlight w:val="none"/>
        </w:rPr>
        <w:tab/>
      </w:r>
      <w:r>
        <w:rPr>
          <w:color w:val="auto"/>
          <w:spacing w:val="-1"/>
          <w:sz w:val="22"/>
          <w:highlight w:val="none"/>
        </w:rPr>
        <w:t>话</w:t>
      </w:r>
      <w:r>
        <w:rPr>
          <w:color w:val="auto"/>
          <w:sz w:val="22"/>
          <w:highlight w:val="none"/>
        </w:rPr>
        <w:t>：</w:t>
      </w:r>
    </w:p>
    <w:p>
      <w:pPr>
        <w:tabs>
          <w:tab w:val="left" w:pos="1738"/>
          <w:tab w:val="left" w:pos="5367"/>
          <w:tab w:val="left" w:pos="6027"/>
        </w:tabs>
        <w:spacing w:before="186"/>
        <w:ind w:left="1078" w:right="0" w:firstLine="0"/>
        <w:jc w:val="left"/>
        <w:rPr>
          <w:color w:val="auto"/>
          <w:sz w:val="22"/>
          <w:highlight w:val="none"/>
        </w:rPr>
      </w:pPr>
      <w:r>
        <w:rPr>
          <w:color w:val="auto"/>
          <w:sz w:val="22"/>
          <w:highlight w:val="none"/>
        </w:rPr>
        <w:t>传</w:t>
      </w:r>
      <w:r>
        <w:rPr>
          <w:color w:val="auto"/>
          <w:sz w:val="22"/>
          <w:highlight w:val="none"/>
        </w:rPr>
        <w:tab/>
      </w:r>
      <w:r>
        <w:rPr>
          <w:color w:val="auto"/>
          <w:sz w:val="22"/>
          <w:highlight w:val="none"/>
        </w:rPr>
        <w:t>真：</w:t>
      </w:r>
      <w:r>
        <w:rPr>
          <w:color w:val="auto"/>
          <w:sz w:val="22"/>
          <w:highlight w:val="none"/>
        </w:rPr>
        <w:tab/>
      </w:r>
      <w:r>
        <w:rPr>
          <w:color w:val="auto"/>
          <w:sz w:val="22"/>
          <w:highlight w:val="none"/>
        </w:rPr>
        <w:t>传</w:t>
      </w:r>
      <w:r>
        <w:rPr>
          <w:color w:val="auto"/>
          <w:sz w:val="22"/>
          <w:highlight w:val="none"/>
        </w:rPr>
        <w:tab/>
      </w:r>
      <w:r>
        <w:rPr>
          <w:color w:val="auto"/>
          <w:spacing w:val="-1"/>
          <w:sz w:val="22"/>
          <w:highlight w:val="none"/>
        </w:rPr>
        <w:t>真</w:t>
      </w:r>
      <w:r>
        <w:rPr>
          <w:color w:val="auto"/>
          <w:sz w:val="22"/>
          <w:highlight w:val="none"/>
        </w:rPr>
        <w:t>：</w:t>
      </w:r>
    </w:p>
    <w:p>
      <w:pPr>
        <w:tabs>
          <w:tab w:val="left" w:pos="5367"/>
        </w:tabs>
        <w:spacing w:before="186"/>
        <w:ind w:left="1078" w:right="0" w:firstLine="0"/>
        <w:jc w:val="left"/>
        <w:rPr>
          <w:color w:val="auto"/>
          <w:sz w:val="22"/>
          <w:highlight w:val="none"/>
        </w:rPr>
      </w:pPr>
      <w:r>
        <w:rPr>
          <w:color w:val="auto"/>
          <w:sz w:val="22"/>
          <w:highlight w:val="none"/>
        </w:rPr>
        <w:t>开</w:t>
      </w:r>
      <w:r>
        <w:rPr>
          <w:color w:val="auto"/>
          <w:spacing w:val="-3"/>
          <w:sz w:val="22"/>
          <w:highlight w:val="none"/>
        </w:rPr>
        <w:t>户</w:t>
      </w:r>
      <w:r>
        <w:rPr>
          <w:color w:val="auto"/>
          <w:sz w:val="22"/>
          <w:highlight w:val="none"/>
        </w:rPr>
        <w:t>银行：</w:t>
      </w:r>
      <w:r>
        <w:rPr>
          <w:color w:val="auto"/>
          <w:sz w:val="22"/>
          <w:highlight w:val="none"/>
        </w:rPr>
        <w:tab/>
      </w:r>
      <w:r>
        <w:rPr>
          <w:color w:val="auto"/>
          <w:spacing w:val="-1"/>
          <w:sz w:val="22"/>
          <w:highlight w:val="none"/>
        </w:rPr>
        <w:t>开</w:t>
      </w:r>
      <w:r>
        <w:rPr>
          <w:color w:val="auto"/>
          <w:spacing w:val="-3"/>
          <w:sz w:val="22"/>
          <w:highlight w:val="none"/>
        </w:rPr>
        <w:t>户</w:t>
      </w:r>
      <w:r>
        <w:rPr>
          <w:color w:val="auto"/>
          <w:spacing w:val="-1"/>
          <w:sz w:val="22"/>
          <w:highlight w:val="none"/>
        </w:rPr>
        <w:t>银行</w:t>
      </w:r>
      <w:r>
        <w:rPr>
          <w:color w:val="auto"/>
          <w:sz w:val="22"/>
          <w:highlight w:val="none"/>
        </w:rPr>
        <w:t>：</w:t>
      </w:r>
    </w:p>
    <w:p>
      <w:pPr>
        <w:tabs>
          <w:tab w:val="left" w:pos="5367"/>
        </w:tabs>
        <w:spacing w:before="186"/>
        <w:ind w:left="1078" w:right="0" w:firstLine="0"/>
        <w:jc w:val="left"/>
        <w:rPr>
          <w:color w:val="auto"/>
          <w:sz w:val="22"/>
          <w:highlight w:val="none"/>
        </w:rPr>
      </w:pPr>
      <w:r>
        <w:rPr>
          <w:color w:val="auto"/>
          <w:sz w:val="22"/>
          <w:highlight w:val="none"/>
        </w:rPr>
        <w:t>银</w:t>
      </w:r>
      <w:r>
        <w:rPr>
          <w:color w:val="auto"/>
          <w:spacing w:val="-3"/>
          <w:sz w:val="22"/>
          <w:highlight w:val="none"/>
        </w:rPr>
        <w:t>行</w:t>
      </w:r>
      <w:r>
        <w:rPr>
          <w:color w:val="auto"/>
          <w:sz w:val="22"/>
          <w:highlight w:val="none"/>
        </w:rPr>
        <w:t>帐号：</w:t>
      </w:r>
      <w:r>
        <w:rPr>
          <w:color w:val="auto"/>
          <w:sz w:val="22"/>
          <w:highlight w:val="none"/>
        </w:rPr>
        <w:tab/>
      </w:r>
      <w:r>
        <w:rPr>
          <w:color w:val="auto"/>
          <w:spacing w:val="-1"/>
          <w:sz w:val="22"/>
          <w:highlight w:val="none"/>
        </w:rPr>
        <w:t>银</w:t>
      </w:r>
      <w:r>
        <w:rPr>
          <w:color w:val="auto"/>
          <w:spacing w:val="-3"/>
          <w:sz w:val="22"/>
          <w:highlight w:val="none"/>
        </w:rPr>
        <w:t>行</w:t>
      </w:r>
      <w:r>
        <w:rPr>
          <w:color w:val="auto"/>
          <w:spacing w:val="-1"/>
          <w:sz w:val="22"/>
          <w:highlight w:val="none"/>
        </w:rPr>
        <w:t>帐号</w:t>
      </w:r>
      <w:r>
        <w:rPr>
          <w:color w:val="auto"/>
          <w:sz w:val="22"/>
          <w:highlight w:val="none"/>
        </w:rPr>
        <w:t>：</w:t>
      </w:r>
    </w:p>
    <w:p>
      <w:pPr>
        <w:bidi w:val="0"/>
        <w:rPr>
          <w:color w:val="auto"/>
          <w:highlight w:val="none"/>
        </w:rPr>
      </w:pPr>
    </w:p>
    <w:p>
      <w:pPr>
        <w:rPr>
          <w:color w:val="auto"/>
          <w:sz w:val="22"/>
          <w:highlight w:val="none"/>
        </w:rPr>
      </w:pPr>
    </w:p>
    <w:p>
      <w:pPr>
        <w:pStyle w:val="2"/>
        <w:rPr>
          <w:color w:val="auto"/>
          <w:highlight w:val="none"/>
        </w:rPr>
        <w:sectPr>
          <w:footerReference r:id="rId6" w:type="default"/>
          <w:pgSz w:w="11910" w:h="16840"/>
          <w:pgMar w:top="1460" w:right="1134" w:bottom="1160" w:left="1134" w:header="0" w:footer="975" w:gutter="0"/>
        </w:sectPr>
      </w:pPr>
    </w:p>
    <w:p>
      <w:pPr>
        <w:pStyle w:val="10"/>
        <w:ind w:firstLine="1606" w:firstLineChars="500"/>
        <w:jc w:val="left"/>
        <w:outlineLvl w:val="0"/>
        <w:rPr>
          <w:rFonts w:hint="eastAsia" w:asciiTheme="minorEastAsia" w:hAnsiTheme="minorEastAsia" w:eastAsiaTheme="minorEastAsia" w:cstheme="minorEastAsia"/>
          <w:color w:val="auto"/>
          <w:highlight w:val="none"/>
        </w:rPr>
      </w:pPr>
      <w:bookmarkStart w:id="125" w:name="_Toc15095"/>
      <w:r>
        <w:rPr>
          <w:rFonts w:hint="eastAsia" w:asciiTheme="minorEastAsia" w:hAnsiTheme="minorEastAsia" w:eastAsiaTheme="minorEastAsia" w:cstheme="minorEastAsia"/>
          <w:b/>
          <w:bCs/>
          <w:color w:val="auto"/>
          <w:sz w:val="32"/>
          <w:szCs w:val="32"/>
          <w:highlight w:val="none"/>
        </w:rPr>
        <w:t>第五章  设计标准和技术要求</w:t>
      </w:r>
      <w:bookmarkEnd w:id="125"/>
      <w:r>
        <w:rPr>
          <w:rFonts w:hint="eastAsia" w:asciiTheme="minorEastAsia" w:hAnsiTheme="minorEastAsia" w:eastAsiaTheme="minorEastAsia" w:cstheme="minorEastAsia"/>
          <w:color w:val="auto"/>
          <w:highlight w:val="none"/>
        </w:rPr>
        <w:t xml:space="preserve"> </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一、设计要求</w:t>
      </w:r>
    </w:p>
    <w:p>
      <w:pPr>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本项目拟对鄢陵县 41 个老旧小区进行改造，总涉及建筑面积20.96 万平方米、涉及楼栋 70 栋、涉及户数 1818 户。主要改造内容包括：小区内道路、给排水、天然气、供热管网、公共照明、强弱电线路、大门改造、屋面修整、楼体外墙改造、监控、加装健身器材等。</w:t>
      </w:r>
    </w:p>
    <w:tbl>
      <w:tblPr>
        <w:tblStyle w:val="20"/>
        <w:tblpPr w:leftFromText="180" w:rightFromText="180" w:vertAnchor="text" w:horzAnchor="page" w:tblpX="1093" w:tblpY="626"/>
        <w:tblOverlap w:val="never"/>
        <w:tblW w:w="9685" w:type="dxa"/>
        <w:tblInd w:w="0" w:type="dxa"/>
        <w:shd w:val="clear" w:color="auto" w:fill="auto"/>
        <w:tblLayout w:type="fixed"/>
        <w:tblCellMar>
          <w:top w:w="0" w:type="dxa"/>
          <w:left w:w="0" w:type="dxa"/>
          <w:bottom w:w="0" w:type="dxa"/>
          <w:right w:w="0" w:type="dxa"/>
        </w:tblCellMar>
      </w:tblPr>
      <w:tblGrid>
        <w:gridCol w:w="671"/>
        <w:gridCol w:w="1007"/>
        <w:gridCol w:w="1020"/>
        <w:gridCol w:w="1056"/>
        <w:gridCol w:w="1486"/>
        <w:gridCol w:w="674"/>
        <w:gridCol w:w="900"/>
        <w:gridCol w:w="900"/>
        <w:gridCol w:w="876"/>
        <w:gridCol w:w="1095"/>
      </w:tblGrid>
      <w:tr>
        <w:tblPrEx>
          <w:shd w:val="clear" w:color="auto" w:fill="auto"/>
          <w:tblCellMar>
            <w:top w:w="0" w:type="dxa"/>
            <w:left w:w="0" w:type="dxa"/>
            <w:bottom w:w="0" w:type="dxa"/>
            <w:right w:w="0" w:type="dxa"/>
          </w:tblCellMar>
        </w:tblPrEx>
        <w:trPr>
          <w:trHeight w:val="600" w:hRule="atLeast"/>
        </w:trPr>
        <w:tc>
          <w:tcPr>
            <w:tcW w:w="9685"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2020年拟改造老旧小区清单</w:t>
            </w:r>
          </w:p>
        </w:tc>
      </w:tr>
      <w:tr>
        <w:tblPrEx>
          <w:tblCellMar>
            <w:top w:w="0" w:type="dxa"/>
            <w:left w:w="0" w:type="dxa"/>
            <w:bottom w:w="0" w:type="dxa"/>
            <w:right w:w="0" w:type="dxa"/>
          </w:tblCellMar>
        </w:tblPrEx>
        <w:trPr>
          <w:trHeight w:val="1220" w:hRule="atLeast"/>
        </w:trPr>
        <w:tc>
          <w:tcPr>
            <w:tcW w:w="67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0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所在城市</w:t>
            </w:r>
          </w:p>
        </w:tc>
        <w:tc>
          <w:tcPr>
            <w:tcW w:w="102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所在城区</w:t>
            </w:r>
          </w:p>
        </w:tc>
        <w:tc>
          <w:tcPr>
            <w:tcW w:w="105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所在街道及社区</w:t>
            </w:r>
          </w:p>
        </w:tc>
        <w:tc>
          <w:tcPr>
            <w:tcW w:w="148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小区名称</w:t>
            </w:r>
          </w:p>
        </w:tc>
        <w:tc>
          <w:tcPr>
            <w:tcW w:w="67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涉及户数（户）</w:t>
            </w:r>
          </w:p>
        </w:tc>
        <w:tc>
          <w:tcPr>
            <w:tcW w:w="9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小区内楼栋数（栋）</w:t>
            </w:r>
          </w:p>
        </w:tc>
        <w:tc>
          <w:tcPr>
            <w:tcW w:w="9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总建筑面积（万平方米）</w:t>
            </w:r>
          </w:p>
        </w:tc>
        <w:tc>
          <w:tcPr>
            <w:tcW w:w="87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建成时间（年）</w:t>
            </w:r>
          </w:p>
        </w:tc>
        <w:tc>
          <w:tcPr>
            <w:tcW w:w="109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房屋性质</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西街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造纸厂家属院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西街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黄金公寓</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南街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盐业公司家属楼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南街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烟草公司家属院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南街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老商业局家属院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南街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劳动局家属院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南街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保险公司家属院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南街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建行家属院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南街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老财政局家属院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朱元庄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水泥厂家属院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东街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保健所家属院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东街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县初中家属楼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东街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县委科技楼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东街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老检查院家属楼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东街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工商银行家属楼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东街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青华苑小区</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东街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老县委家属楼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苏岗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公疗医院家属楼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苏岗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农行家属楼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苏岗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老宾馆家属楼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苏岗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卫生局家属楼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苏岗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防疫站家属院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苏岗</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老政府家属楼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烟草局家属楼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审计局家属楼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安陵镇新庄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中行家属楼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信用社家属院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纪检委家属院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开发区管委会家属楼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邮政局家属楼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农行家属院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农商行家属院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农发行家属楼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安陵镇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新庄</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公安局家属楼</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柏梁镇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六湾</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农行家属院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柏梁镇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岗底</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信用社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柏梁镇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岗底</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国税局家属院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柏梁镇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岗底</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岗底社区小区</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柏梁镇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岗底</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信用社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柏梁镇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岗底</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建安公司家属院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r>
        <w:tblPrEx>
          <w:tblCellMar>
            <w:top w:w="0" w:type="dxa"/>
            <w:left w:w="0" w:type="dxa"/>
            <w:bottom w:w="0" w:type="dxa"/>
            <w:right w:w="0" w:type="dxa"/>
          </w:tblCellMar>
        </w:tblPrEx>
        <w:trPr>
          <w:trHeight w:val="6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鄢陵县</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柏梁镇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岗底</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同州纱厂家属院</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已房改公房小区</w:t>
            </w:r>
          </w:p>
        </w:tc>
      </w:tr>
    </w:tbl>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投标单位中标后，所提供的施工图设计须达相关要求且通过图纸审查部门的审查。</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二、项目设计资料</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除非另有说明，本设计项目适用所有现行有效的相关国家、行业以及地方规范、规程和标准。上述规范、规程和标准均指它们各自的最新版本。</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三、成果文件要求</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设计成果的计量单位均应采用国际标准计量单位，文字一律采用中文。中标人最终提供完整的电子设计资料交予招标人。</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四、其他要求</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投标人应充分考虑现场周围情况，结合区域规划，并尽量做到节能、环保、节约，体现以人为本的思想。</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投标人应充分考虑项目实用功能，达到响应设计深度。</w:t>
      </w:r>
    </w:p>
    <w:p>
      <w:pPr>
        <w:jc w:val="center"/>
        <w:rPr>
          <w:rFonts w:hint="eastAsia" w:asciiTheme="minorEastAsia" w:hAnsiTheme="minorEastAsia" w:eastAsiaTheme="minorEastAsia" w:cstheme="minorEastAsia"/>
          <w:b/>
          <w:bCs/>
          <w:color w:val="auto"/>
          <w:kern w:val="0"/>
          <w:sz w:val="44"/>
          <w:szCs w:val="44"/>
          <w:highlight w:val="none"/>
        </w:rPr>
      </w:pPr>
      <w:r>
        <w:rPr>
          <w:rFonts w:hint="eastAsia" w:asciiTheme="minorEastAsia" w:hAnsiTheme="minorEastAsia" w:eastAsiaTheme="minorEastAsia" w:cstheme="minorEastAsia"/>
          <w:b/>
          <w:bCs/>
          <w:color w:val="auto"/>
          <w:kern w:val="0"/>
          <w:sz w:val="44"/>
          <w:szCs w:val="44"/>
          <w:highlight w:val="none"/>
        </w:rPr>
        <w:br w:type="page"/>
      </w:r>
    </w:p>
    <w:p>
      <w:pPr>
        <w:jc w:val="center"/>
        <w:outlineLvl w:val="0"/>
        <w:rPr>
          <w:rFonts w:hint="eastAsia" w:asciiTheme="minorEastAsia" w:hAnsiTheme="minorEastAsia" w:eastAsiaTheme="minorEastAsia" w:cstheme="minorEastAsia"/>
          <w:color w:val="auto"/>
          <w:sz w:val="44"/>
          <w:szCs w:val="44"/>
          <w:highlight w:val="none"/>
        </w:rPr>
      </w:pPr>
      <w:bookmarkStart w:id="126" w:name="_Toc8132"/>
      <w:r>
        <w:rPr>
          <w:rFonts w:hint="eastAsia" w:asciiTheme="minorEastAsia" w:hAnsiTheme="minorEastAsia" w:eastAsiaTheme="minorEastAsia" w:cstheme="minorEastAsia"/>
          <w:b/>
          <w:bCs/>
          <w:color w:val="auto"/>
          <w:kern w:val="0"/>
          <w:sz w:val="32"/>
          <w:szCs w:val="32"/>
          <w:highlight w:val="none"/>
        </w:rPr>
        <w:t>第六章  投标文件格式</w:t>
      </w:r>
      <w:bookmarkEnd w:id="126"/>
    </w:p>
    <w:p>
      <w:pPr>
        <w:autoSpaceDE w:val="0"/>
        <w:autoSpaceDN w:val="0"/>
        <w:adjustRightInd w:val="0"/>
        <w:ind w:right="560"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wordWrap w:val="0"/>
        <w:autoSpaceDE w:val="0"/>
        <w:autoSpaceDN w:val="0"/>
        <w:adjustRightInd w:val="0"/>
        <w:ind w:right="560"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autoSpaceDE w:val="0"/>
        <w:autoSpaceDN w:val="0"/>
        <w:adjustRightInd w:val="0"/>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autoSpaceDE w:val="0"/>
        <w:autoSpaceDN w:val="0"/>
        <w:adjustRightInd w:val="0"/>
        <w:ind w:firstLine="1600" w:firstLineChars="5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rPr>
        <w:t>（项目名称）</w:t>
      </w:r>
    </w:p>
    <w:p>
      <w:pPr>
        <w:autoSpaceDE w:val="0"/>
        <w:autoSpaceDN w:val="0"/>
        <w:adjustRightInd w:val="0"/>
        <w:ind w:firstLine="1680" w:firstLineChars="7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ind w:firstLine="2160" w:firstLineChars="9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ind w:firstLine="2160" w:firstLineChars="9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ind w:firstLine="2160" w:firstLineChars="9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jc w:val="center"/>
        <w:rPr>
          <w:rFonts w:hint="eastAsia" w:asciiTheme="minorEastAsia" w:hAnsiTheme="minorEastAsia" w:eastAsiaTheme="minorEastAsia" w:cstheme="minorEastAsia"/>
          <w:b/>
          <w:bCs/>
          <w:color w:val="auto"/>
          <w:spacing w:val="60"/>
          <w:kern w:val="0"/>
          <w:sz w:val="52"/>
          <w:szCs w:val="52"/>
          <w:highlight w:val="none"/>
        </w:rPr>
      </w:pPr>
      <w:r>
        <w:rPr>
          <w:rFonts w:hint="eastAsia" w:asciiTheme="minorEastAsia" w:hAnsiTheme="minorEastAsia" w:eastAsiaTheme="minorEastAsia" w:cstheme="minorEastAsia"/>
          <w:b/>
          <w:bCs/>
          <w:color w:val="auto"/>
          <w:spacing w:val="60"/>
          <w:kern w:val="0"/>
          <w:sz w:val="52"/>
          <w:szCs w:val="52"/>
          <w:highlight w:val="none"/>
        </w:rPr>
        <w:t>投 标 文 件</w:t>
      </w:r>
    </w:p>
    <w:p>
      <w:pPr>
        <w:autoSpaceDE w:val="0"/>
        <w:autoSpaceDN w:val="0"/>
        <w:adjustRightInd w:val="0"/>
        <w:spacing w:line="42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8"/>
          <w:szCs w:val="28"/>
          <w:highlight w:val="none"/>
        </w:rPr>
        <w:t>项目编号：</w:t>
      </w:r>
      <w:r>
        <w:rPr>
          <w:rFonts w:hint="eastAsia" w:asciiTheme="minorEastAsia" w:hAnsiTheme="minorEastAsia" w:eastAsiaTheme="minorEastAsia" w:cstheme="minorEastAsia"/>
          <w:color w:val="auto"/>
          <w:kern w:val="0"/>
          <w:sz w:val="28"/>
          <w:szCs w:val="28"/>
          <w:highlight w:val="none"/>
          <w:u w:val="single"/>
        </w:rPr>
        <w:t xml:space="preserve">          </w:t>
      </w:r>
    </w:p>
    <w:p>
      <w:pPr>
        <w:autoSpaceDE w:val="0"/>
        <w:autoSpaceDN w:val="0"/>
        <w:adjustRightInd w:val="0"/>
        <w:spacing w:line="4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jc w:val="center"/>
        <w:rPr>
          <w:rFonts w:hint="eastAsia" w:asciiTheme="minorEastAsia" w:hAnsiTheme="minorEastAsia" w:eastAsiaTheme="minorEastAsia" w:cstheme="minorEastAsia"/>
          <w:color w:val="auto"/>
          <w:kern w:val="0"/>
          <w:sz w:val="24"/>
          <w:szCs w:val="24"/>
          <w:highlight w:val="none"/>
        </w:rPr>
      </w:pPr>
    </w:p>
    <w:p>
      <w:pPr>
        <w:autoSpaceDE w:val="0"/>
        <w:autoSpaceDN w:val="0"/>
        <w:adjustRightInd w:val="0"/>
        <w:spacing w:line="420" w:lineRule="exact"/>
        <w:jc w:val="center"/>
        <w:rPr>
          <w:rFonts w:hint="eastAsia" w:asciiTheme="minorEastAsia" w:hAnsiTheme="minorEastAsia" w:eastAsiaTheme="minorEastAsia" w:cstheme="minorEastAsia"/>
          <w:color w:val="auto"/>
          <w:kern w:val="0"/>
          <w:sz w:val="24"/>
          <w:szCs w:val="24"/>
          <w:highlight w:val="none"/>
        </w:rPr>
      </w:pPr>
    </w:p>
    <w:p>
      <w:pPr>
        <w:autoSpaceDE w:val="0"/>
        <w:autoSpaceDN w:val="0"/>
        <w:adjustRightInd w:val="0"/>
        <w:spacing w:line="4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pStyle w:val="38"/>
        <w:jc w:val="center"/>
        <w:rPr>
          <w:rFonts w:hint="eastAsia" w:asciiTheme="minorEastAsia" w:hAnsiTheme="minorEastAsia" w:eastAsiaTheme="minorEastAsia" w:cstheme="minorEastAsia"/>
          <w:color w:val="auto"/>
          <w:highlight w:val="none"/>
          <w:u w:val="single"/>
        </w:rPr>
      </w:pPr>
    </w:p>
    <w:p>
      <w:pPr>
        <w:pStyle w:val="38"/>
        <w:spacing w:line="40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投标人：</w:t>
      </w:r>
      <w:r>
        <w:rPr>
          <w:rFonts w:hint="eastAsia" w:asciiTheme="minorEastAsia" w:hAnsiTheme="minorEastAsia" w:eastAsiaTheme="minorEastAsia" w:cstheme="minorEastAsia"/>
          <w:color w:val="auto"/>
          <w:sz w:val="30"/>
          <w:szCs w:val="30"/>
          <w:highlight w:val="none"/>
          <w:u w:val="single"/>
        </w:rPr>
        <w:t>_______                       ____</w:t>
      </w:r>
      <w:r>
        <w:rPr>
          <w:rFonts w:hint="eastAsia" w:asciiTheme="minorEastAsia" w:hAnsiTheme="minorEastAsia" w:eastAsiaTheme="minorEastAsia" w:cstheme="minorEastAsia"/>
          <w:color w:val="auto"/>
          <w:sz w:val="30"/>
          <w:szCs w:val="30"/>
          <w:highlight w:val="none"/>
        </w:rPr>
        <w:t>（盖章）</w:t>
      </w:r>
    </w:p>
    <w:p>
      <w:pPr>
        <w:pStyle w:val="38"/>
        <w:spacing w:line="400" w:lineRule="exact"/>
        <w:rPr>
          <w:rFonts w:hint="eastAsia" w:asciiTheme="minorEastAsia" w:hAnsiTheme="minorEastAsia" w:eastAsiaTheme="minorEastAsia" w:cstheme="minorEastAsia"/>
          <w:color w:val="auto"/>
          <w:sz w:val="30"/>
          <w:szCs w:val="30"/>
          <w:highlight w:val="none"/>
        </w:rPr>
      </w:pPr>
    </w:p>
    <w:p>
      <w:pPr>
        <w:pStyle w:val="38"/>
        <w:spacing w:line="400" w:lineRule="exact"/>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法定代表人或其委托代理人：</w:t>
      </w:r>
      <w:r>
        <w:rPr>
          <w:rFonts w:hint="eastAsia" w:asciiTheme="minorEastAsia" w:hAnsiTheme="minorEastAsia" w:eastAsiaTheme="minorEastAsia" w:cstheme="minorEastAsia"/>
          <w:color w:val="auto"/>
          <w:sz w:val="30"/>
          <w:szCs w:val="30"/>
          <w:highlight w:val="none"/>
          <w:u w:val="single"/>
        </w:rPr>
        <w:t xml:space="preserve">_______ __      </w:t>
      </w:r>
      <w:r>
        <w:rPr>
          <w:rFonts w:hint="eastAsia" w:asciiTheme="minorEastAsia" w:hAnsiTheme="minorEastAsia" w:eastAsiaTheme="minorEastAsia" w:cstheme="minorEastAsia"/>
          <w:color w:val="auto"/>
          <w:sz w:val="30"/>
          <w:szCs w:val="30"/>
          <w:highlight w:val="none"/>
        </w:rPr>
        <w:t>（</w:t>
      </w:r>
      <w:r>
        <w:rPr>
          <w:rFonts w:hint="eastAsia" w:asciiTheme="minorEastAsia" w:hAnsiTheme="minorEastAsia" w:eastAsiaTheme="minorEastAsia" w:cstheme="minorEastAsia"/>
          <w:color w:val="auto"/>
          <w:sz w:val="30"/>
          <w:szCs w:val="30"/>
          <w:highlight w:val="none"/>
          <w:lang w:eastAsia="zh-CN"/>
        </w:rPr>
        <w:t>签章</w:t>
      </w:r>
      <w:r>
        <w:rPr>
          <w:rFonts w:hint="eastAsia" w:asciiTheme="minorEastAsia" w:hAnsiTheme="minorEastAsia" w:eastAsiaTheme="minorEastAsia" w:cstheme="minorEastAsia"/>
          <w:color w:val="auto"/>
          <w:sz w:val="30"/>
          <w:szCs w:val="30"/>
          <w:highlight w:val="none"/>
        </w:rPr>
        <w:t>）</w:t>
      </w:r>
    </w:p>
    <w:p>
      <w:pPr>
        <w:pStyle w:val="38"/>
        <w:spacing w:line="400" w:lineRule="exact"/>
        <w:rPr>
          <w:rFonts w:hint="eastAsia" w:asciiTheme="minorEastAsia" w:hAnsiTheme="minorEastAsia" w:eastAsiaTheme="minorEastAsia" w:cstheme="minorEastAsia"/>
          <w:color w:val="auto"/>
          <w:sz w:val="30"/>
          <w:szCs w:val="30"/>
          <w:highlight w:val="none"/>
          <w:u w:val="single"/>
        </w:rPr>
      </w:pPr>
    </w:p>
    <w:p>
      <w:pPr>
        <w:pStyle w:val="38"/>
        <w:spacing w:line="400" w:lineRule="exact"/>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color w:val="auto"/>
          <w:sz w:val="30"/>
          <w:szCs w:val="30"/>
          <w:highlight w:val="none"/>
          <w:u w:val="single"/>
        </w:rPr>
        <w:t>__________</w:t>
      </w:r>
      <w:r>
        <w:rPr>
          <w:rFonts w:hint="eastAsia" w:asciiTheme="minorEastAsia" w:hAnsiTheme="minorEastAsia" w:eastAsiaTheme="minorEastAsia" w:cstheme="minorEastAsia"/>
          <w:color w:val="auto"/>
          <w:sz w:val="30"/>
          <w:szCs w:val="30"/>
          <w:highlight w:val="none"/>
        </w:rPr>
        <w:t>_年</w:t>
      </w:r>
      <w:r>
        <w:rPr>
          <w:rFonts w:hint="eastAsia" w:asciiTheme="minorEastAsia" w:hAnsiTheme="minorEastAsia" w:eastAsiaTheme="minorEastAsia" w:cstheme="minorEastAsia"/>
          <w:color w:val="auto"/>
          <w:sz w:val="30"/>
          <w:szCs w:val="30"/>
          <w:highlight w:val="none"/>
          <w:u w:val="single"/>
        </w:rPr>
        <w:t>___________</w:t>
      </w:r>
      <w:r>
        <w:rPr>
          <w:rFonts w:hint="eastAsia" w:asciiTheme="minorEastAsia" w:hAnsiTheme="minorEastAsia" w:eastAsiaTheme="minorEastAsia" w:cstheme="minorEastAsia"/>
          <w:color w:val="auto"/>
          <w:sz w:val="30"/>
          <w:szCs w:val="30"/>
          <w:highlight w:val="none"/>
        </w:rPr>
        <w:t>月</w:t>
      </w:r>
      <w:r>
        <w:rPr>
          <w:rFonts w:hint="eastAsia" w:asciiTheme="minorEastAsia" w:hAnsiTheme="minorEastAsia" w:eastAsiaTheme="minorEastAsia" w:cstheme="minorEastAsia"/>
          <w:color w:val="auto"/>
          <w:sz w:val="30"/>
          <w:szCs w:val="30"/>
          <w:highlight w:val="none"/>
          <w:u w:val="single"/>
        </w:rPr>
        <w:t xml:space="preserve">___________ </w:t>
      </w:r>
      <w:r>
        <w:rPr>
          <w:rFonts w:hint="eastAsia" w:asciiTheme="minorEastAsia" w:hAnsiTheme="minorEastAsia" w:eastAsiaTheme="minorEastAsia" w:cstheme="minorEastAsia"/>
          <w:color w:val="auto"/>
          <w:sz w:val="30"/>
          <w:szCs w:val="30"/>
          <w:highlight w:val="none"/>
        </w:rPr>
        <w:t>日</w:t>
      </w:r>
    </w:p>
    <w:p>
      <w:pPr>
        <w:pStyle w:val="10"/>
        <w:ind w:left="0" w:leftChars="0"/>
        <w:rPr>
          <w:rFonts w:hint="eastAsia" w:asciiTheme="minorEastAsia" w:hAnsiTheme="minorEastAsia" w:eastAsiaTheme="minorEastAsia" w:cstheme="minorEastAsia"/>
          <w:b/>
          <w:bCs/>
          <w:color w:val="auto"/>
          <w:sz w:val="44"/>
          <w:szCs w:val="44"/>
          <w:highlight w:val="none"/>
        </w:rPr>
      </w:pPr>
    </w:p>
    <w:p>
      <w:pPr>
        <w:pStyle w:val="10"/>
        <w:jc w:val="center"/>
        <w:rPr>
          <w:rFonts w:hint="eastAsia" w:asciiTheme="minorEastAsia" w:hAnsiTheme="minorEastAsia" w:eastAsiaTheme="minorEastAsia" w:cstheme="minorEastAsia"/>
          <w:b/>
          <w:bCs/>
          <w:color w:val="auto"/>
          <w:sz w:val="44"/>
          <w:szCs w:val="44"/>
          <w:highlight w:val="none"/>
        </w:rPr>
      </w:pPr>
    </w:p>
    <w:p>
      <w:pPr>
        <w:pStyle w:val="10"/>
        <w:jc w:val="center"/>
        <w:outlineLvl w:val="1"/>
        <w:rPr>
          <w:rFonts w:hint="eastAsia" w:asciiTheme="minorEastAsia" w:hAnsiTheme="minorEastAsia" w:eastAsiaTheme="minorEastAsia" w:cstheme="minorEastAsia"/>
          <w:b/>
          <w:bCs/>
          <w:color w:val="auto"/>
          <w:sz w:val="44"/>
          <w:szCs w:val="44"/>
          <w:highlight w:val="none"/>
        </w:rPr>
      </w:pPr>
      <w:bookmarkStart w:id="127" w:name="_Toc26673"/>
      <w:r>
        <w:rPr>
          <w:rFonts w:hint="eastAsia" w:asciiTheme="minorEastAsia" w:hAnsiTheme="minorEastAsia" w:eastAsiaTheme="minorEastAsia" w:cstheme="minorEastAsia"/>
          <w:b/>
          <w:bCs/>
          <w:color w:val="auto"/>
          <w:sz w:val="44"/>
          <w:szCs w:val="44"/>
          <w:highlight w:val="none"/>
        </w:rPr>
        <w:t>目 录</w:t>
      </w:r>
      <w:bookmarkEnd w:id="127"/>
    </w:p>
    <w:p>
      <w:pPr>
        <w:pStyle w:val="10"/>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p>
    <w:p>
      <w:pPr>
        <w:spacing w:line="360" w:lineRule="auto"/>
        <w:rPr>
          <w:rFonts w:hint="eastAsia" w:asciiTheme="minorEastAsia" w:hAnsiTheme="minorEastAsia" w:eastAsiaTheme="minorEastAsia" w:cstheme="minorEastAsia"/>
          <w:color w:val="auto"/>
          <w:sz w:val="24"/>
          <w:szCs w:val="24"/>
          <w:highlight w:val="none"/>
        </w:rPr>
      </w:pPr>
      <w:bookmarkStart w:id="128" w:name="_Toc60537391"/>
      <w:bookmarkEnd w:id="128"/>
      <w:r>
        <w:rPr>
          <w:rFonts w:hint="eastAsia" w:asciiTheme="minorEastAsia" w:hAnsiTheme="minorEastAsia" w:eastAsiaTheme="minorEastAsia" w:cstheme="minorEastAsia"/>
          <w:color w:val="auto"/>
          <w:sz w:val="24"/>
          <w:szCs w:val="24"/>
          <w:highlight w:val="none"/>
        </w:rPr>
        <w:t>一、投标函及投标函附录</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kern w:val="0"/>
          <w:sz w:val="24"/>
          <w:szCs w:val="24"/>
          <w:highlight w:val="none"/>
        </w:rPr>
        <w:t>法定代表人身份证明或附有法定代表人身份证明的授权委托书；</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三、投标保证金</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四、资格审查资料：</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（a）投标申请人基本情况表（可加部分说明）；</w:t>
      </w:r>
    </w:p>
    <w:p>
      <w:pPr>
        <w:spacing w:line="360" w:lineRule="auto"/>
        <w:ind w:left="1020" w:leftChars="257" w:hanging="480" w:hanging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（b）企业法人营业执照、企业资质证件、项目负责人职称证书；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（c）近三年类似项目的设计业绩及有关证明材料；</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（d）目前正在设计的项目一览表；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（e）项目设计组配备情况表；</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（f）主要设计人员简历表；</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五、近年财务状况</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六、服务承诺书</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七、设计方案及工作大纲</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z w:val="24"/>
          <w:szCs w:val="24"/>
          <w:highlight w:val="none"/>
        </w:rPr>
        <w:t>本项目特点、设计重点的分析，保障设计周期、保障设计质量的主要措施等）；</w:t>
      </w:r>
    </w:p>
    <w:p>
      <w:pPr>
        <w:spacing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八、投标人认为有必要提供的其他资料。</w:t>
      </w:r>
    </w:p>
    <w:p>
      <w:pPr>
        <w:spacing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pStyle w:val="10"/>
        <w:jc w:val="center"/>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 xml:space="preserve"> </w:t>
      </w:r>
    </w:p>
    <w:p>
      <w:pPr>
        <w:spacing w:line="600" w:lineRule="exact"/>
        <w:ind w:left="850" w:leftChars="405"/>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投标文件编制过程中应按本章提供的格式填报。</w:t>
      </w:r>
    </w:p>
    <w:p>
      <w:pPr>
        <w:spacing w:line="600" w:lineRule="exact"/>
        <w:ind w:left="850" w:leftChars="405"/>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如有本章未提供的格式，投标人可自行编制。</w:t>
      </w:r>
    </w:p>
    <w:p>
      <w:pPr>
        <w:pStyle w:val="10"/>
        <w:jc w:val="center"/>
        <w:rPr>
          <w:rFonts w:hint="eastAsia" w:asciiTheme="minorEastAsia" w:hAnsiTheme="minorEastAsia" w:eastAsiaTheme="minorEastAsia" w:cstheme="minorEastAsia"/>
          <w:b/>
          <w:bCs/>
          <w:color w:val="auto"/>
          <w:kern w:val="0"/>
          <w:highlight w:val="none"/>
        </w:rPr>
      </w:pPr>
    </w:p>
    <w:p>
      <w:pPr>
        <w:pStyle w:val="10"/>
        <w:jc w:val="center"/>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 xml:space="preserve"> </w:t>
      </w:r>
    </w:p>
    <w:p>
      <w:pPr>
        <w:pStyle w:val="10"/>
        <w:jc w:val="center"/>
        <w:rPr>
          <w:rFonts w:hint="eastAsia" w:asciiTheme="minorEastAsia" w:hAnsiTheme="minorEastAsia" w:eastAsiaTheme="minorEastAsia" w:cstheme="minorEastAsia"/>
          <w:b/>
          <w:bCs/>
          <w:color w:val="auto"/>
          <w:kern w:val="0"/>
          <w:highlight w:val="none"/>
        </w:rPr>
      </w:pPr>
    </w:p>
    <w:p>
      <w:pPr>
        <w:pStyle w:val="1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highlight w:val="none"/>
        </w:rPr>
        <w:t xml:space="preserve"> </w:t>
      </w:r>
      <w:bookmarkStart w:id="129" w:name="_Toc27355"/>
      <w:r>
        <w:rPr>
          <w:rFonts w:hint="eastAsia" w:asciiTheme="minorEastAsia" w:hAnsiTheme="minorEastAsia" w:eastAsiaTheme="minorEastAsia" w:cstheme="minorEastAsia"/>
          <w:b/>
          <w:bCs/>
          <w:color w:val="auto"/>
          <w:sz w:val="24"/>
          <w:szCs w:val="24"/>
          <w:highlight w:val="none"/>
        </w:rPr>
        <w:t>一、投标函及投标函附录</w:t>
      </w:r>
      <w:bookmarkEnd w:id="129"/>
    </w:p>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(一)投 标 函</w:t>
      </w:r>
    </w:p>
    <w:p>
      <w:pPr>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（招标人名称）         </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根据贵方</w:t>
      </w:r>
      <w:r>
        <w:rPr>
          <w:rFonts w:hint="eastAsia" w:asciiTheme="minorEastAsia" w:hAnsiTheme="minorEastAsia" w:eastAsiaTheme="minorEastAsia" w:cstheme="minorEastAsia"/>
          <w:color w:val="auto"/>
          <w:sz w:val="21"/>
          <w:szCs w:val="21"/>
          <w:highlight w:val="none"/>
          <w:u w:val="single"/>
        </w:rPr>
        <w:t xml:space="preserve">   （项目名称）     </w:t>
      </w:r>
      <w:r>
        <w:rPr>
          <w:rFonts w:hint="eastAsia" w:asciiTheme="minorEastAsia" w:hAnsiTheme="minorEastAsia" w:cstheme="minorEastAsia"/>
          <w:color w:val="auto"/>
          <w:sz w:val="21"/>
          <w:szCs w:val="21"/>
          <w:highlight w:val="none"/>
          <w:u w:val="single"/>
          <w:lang w:eastAsia="zh-CN"/>
        </w:rPr>
        <w:t>项目设计招标的</w:t>
      </w:r>
      <w:r>
        <w:rPr>
          <w:rFonts w:hint="eastAsia" w:asciiTheme="minorEastAsia" w:hAnsiTheme="minorEastAsia" w:eastAsiaTheme="minorEastAsia" w:cstheme="minorEastAsia"/>
          <w:color w:val="auto"/>
          <w:sz w:val="21"/>
          <w:szCs w:val="21"/>
          <w:highlight w:val="none"/>
        </w:rPr>
        <w:t>招标文件，我方针对该项目的投标报价为：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single"/>
          <w:lang w:eastAsia="zh-CN"/>
        </w:rPr>
        <w:t>元（小写）</w:t>
      </w:r>
      <w:r>
        <w:rPr>
          <w:rFonts w:hint="eastAsia" w:asciiTheme="minorEastAsia" w:hAnsi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single"/>
        </w:rPr>
        <w:t xml:space="preserve">（大写）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eastAsia="zh-CN"/>
        </w:rPr>
        <w:t>项目负责人</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rPr>
        <w:t>并正式授权的下述签字人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姓名）代表投标人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（投标人名称），提交招标文件要求的全套投标文件。</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0"/>
          <w:sz w:val="21"/>
          <w:szCs w:val="21"/>
          <w:highlight w:val="none"/>
        </w:rPr>
        <w:t>据此函，签字人兹宣布同意如下：</w:t>
      </w:r>
    </w:p>
    <w:p>
      <w:pPr>
        <w:spacing w:line="360" w:lineRule="auto"/>
        <w:ind w:firstLine="472" w:firstLineChars="225"/>
        <w:rPr>
          <w:rFonts w:hint="eastAsia" w:asciiTheme="minorEastAsia" w:hAnsiTheme="minorEastAsia" w:eastAsiaTheme="minorEastAsia" w:cstheme="minorEastAsia"/>
          <w:color w:val="auto"/>
          <w:kern w:val="20"/>
          <w:sz w:val="21"/>
          <w:szCs w:val="21"/>
          <w:highlight w:val="none"/>
        </w:rPr>
      </w:pPr>
      <w:r>
        <w:rPr>
          <w:rFonts w:hint="eastAsia" w:asciiTheme="minorEastAsia" w:hAnsiTheme="minorEastAsia" w:eastAsiaTheme="minorEastAsia" w:cstheme="minorEastAsia"/>
          <w:color w:val="auto"/>
          <w:kern w:val="20"/>
          <w:sz w:val="21"/>
          <w:szCs w:val="21"/>
          <w:highlight w:val="none"/>
        </w:rPr>
        <w:t>1、我方已详细审核并确认全部招标文件，包括修改文件（如有时）及有关附件。</w:t>
      </w:r>
    </w:p>
    <w:p>
      <w:pPr>
        <w:spacing w:line="360" w:lineRule="auto"/>
        <w:ind w:firstLine="420" w:firstLineChars="200"/>
        <w:rPr>
          <w:rFonts w:hint="eastAsia" w:asciiTheme="minorEastAsia" w:hAnsiTheme="minorEastAsia" w:eastAsiaTheme="minorEastAsia" w:cstheme="minorEastAsia"/>
          <w:color w:val="auto"/>
          <w:kern w:val="20"/>
          <w:sz w:val="21"/>
          <w:szCs w:val="21"/>
          <w:highlight w:val="none"/>
        </w:rPr>
      </w:pPr>
      <w:r>
        <w:rPr>
          <w:rFonts w:hint="eastAsia" w:asciiTheme="minorEastAsia" w:hAnsiTheme="minorEastAsia" w:eastAsiaTheme="minorEastAsia" w:cstheme="minorEastAsia"/>
          <w:color w:val="auto"/>
          <w:kern w:val="20"/>
          <w:sz w:val="21"/>
          <w:szCs w:val="21"/>
          <w:highlight w:val="none"/>
        </w:rPr>
        <w:t>2、一旦我方中标，我方将组建项目设计组，保证按合同协议书中规定的</w:t>
      </w:r>
      <w:r>
        <w:rPr>
          <w:rFonts w:hint="eastAsia" w:asciiTheme="minorEastAsia" w:hAnsiTheme="minorEastAsia" w:eastAsiaTheme="minorEastAsia" w:cstheme="minorEastAsia"/>
          <w:color w:val="auto"/>
          <w:kern w:val="20"/>
          <w:sz w:val="21"/>
          <w:szCs w:val="21"/>
          <w:highlight w:val="none"/>
          <w:u w:val="single"/>
        </w:rPr>
        <w:t xml:space="preserve">（设计周期）  </w:t>
      </w:r>
      <w:r>
        <w:rPr>
          <w:rFonts w:hint="eastAsia" w:asciiTheme="minorEastAsia" w:hAnsiTheme="minorEastAsia" w:eastAsiaTheme="minorEastAsia" w:cstheme="minorEastAsia"/>
          <w:color w:val="auto"/>
          <w:kern w:val="20"/>
          <w:sz w:val="21"/>
          <w:szCs w:val="21"/>
          <w:highlight w:val="none"/>
        </w:rPr>
        <w:t>日历天内完成设计并提供相应的设计服务。</w:t>
      </w:r>
    </w:p>
    <w:p>
      <w:pPr>
        <w:spacing w:line="360" w:lineRule="auto"/>
        <w:ind w:firstLine="420" w:firstLineChars="200"/>
        <w:rPr>
          <w:rFonts w:hint="eastAsia" w:asciiTheme="minorEastAsia" w:hAnsiTheme="minorEastAsia" w:eastAsiaTheme="minorEastAsia" w:cstheme="minorEastAsia"/>
          <w:color w:val="auto"/>
          <w:kern w:val="20"/>
          <w:sz w:val="21"/>
          <w:szCs w:val="21"/>
          <w:highlight w:val="none"/>
        </w:rPr>
      </w:pPr>
      <w:r>
        <w:rPr>
          <w:rFonts w:hint="eastAsia" w:asciiTheme="minorEastAsia" w:hAnsiTheme="minorEastAsia" w:eastAsiaTheme="minorEastAsia" w:cstheme="minorEastAsia"/>
          <w:color w:val="auto"/>
          <w:kern w:val="20"/>
          <w:sz w:val="21"/>
          <w:szCs w:val="21"/>
          <w:highlight w:val="none"/>
        </w:rPr>
        <w:t>3、我方同意所提交的投标文件在招标文件的投标须知中第3.3.1条规定的投标有效期内有效，在此期间内如果中标，我方将受此约束；</w:t>
      </w:r>
    </w:p>
    <w:p>
      <w:pPr>
        <w:spacing w:line="360" w:lineRule="auto"/>
        <w:ind w:firstLine="420" w:firstLineChars="200"/>
        <w:rPr>
          <w:rFonts w:hint="eastAsia" w:asciiTheme="minorEastAsia" w:hAnsiTheme="minorEastAsia" w:eastAsiaTheme="minorEastAsia" w:cstheme="minorEastAsia"/>
          <w:color w:val="auto"/>
          <w:kern w:val="20"/>
          <w:sz w:val="21"/>
          <w:szCs w:val="21"/>
          <w:highlight w:val="none"/>
        </w:rPr>
      </w:pPr>
      <w:r>
        <w:rPr>
          <w:rFonts w:hint="eastAsia" w:asciiTheme="minorEastAsia" w:hAnsiTheme="minorEastAsia" w:eastAsiaTheme="minorEastAsia" w:cstheme="minorEastAsia"/>
          <w:color w:val="auto"/>
          <w:sz w:val="21"/>
          <w:szCs w:val="21"/>
          <w:highlight w:val="none"/>
        </w:rPr>
        <w:t>4、随同本投标函递交投标保证金一份，金额为人民币（大写）：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spacing w:line="360" w:lineRule="auto"/>
        <w:ind w:firstLine="420" w:firstLineChars="200"/>
        <w:rPr>
          <w:rFonts w:hint="eastAsia" w:asciiTheme="minorEastAsia" w:hAnsiTheme="minorEastAsia" w:eastAsiaTheme="minorEastAsia" w:cstheme="minorEastAsia"/>
          <w:color w:val="auto"/>
          <w:kern w:val="20"/>
          <w:sz w:val="21"/>
          <w:szCs w:val="21"/>
          <w:highlight w:val="none"/>
        </w:rPr>
      </w:pPr>
      <w:r>
        <w:rPr>
          <w:rFonts w:hint="eastAsia" w:asciiTheme="minorEastAsia" w:hAnsiTheme="minorEastAsia" w:eastAsiaTheme="minorEastAsia" w:cstheme="minorEastAsia"/>
          <w:color w:val="auto"/>
          <w:kern w:val="20"/>
          <w:sz w:val="21"/>
          <w:szCs w:val="21"/>
          <w:highlight w:val="none"/>
        </w:rPr>
        <w:t>5、除非另外达成协议并生效，你方的中标通知书和本投标文件将成为约束双方的合同文件的组成部分。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0"/>
          <w:sz w:val="21"/>
          <w:szCs w:val="21"/>
          <w:highlight w:val="none"/>
        </w:rPr>
        <w:t>与本投标有关的一切正式往来通讯请寄</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邮编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cstheme="minorEastAsia"/>
          <w:color w:val="auto"/>
          <w:sz w:val="21"/>
          <w:szCs w:val="21"/>
          <w:highlight w:val="none"/>
          <w:u w:val="none"/>
          <w:lang w:eastAsia="zh-CN"/>
        </w:rPr>
        <w:t>（签章</w:t>
      </w: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rPr>
        <w:t>投标人代表：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cstheme="minorEastAsia"/>
          <w:color w:val="auto"/>
          <w:sz w:val="21"/>
          <w:szCs w:val="21"/>
          <w:highlight w:val="none"/>
          <w:u w:val="none"/>
          <w:lang w:eastAsia="zh-CN"/>
        </w:rPr>
        <w:t>签章</w:t>
      </w:r>
      <w:r>
        <w:rPr>
          <w:rFonts w:hint="eastAsia" w:asciiTheme="minorEastAsia" w:hAnsiTheme="minorEastAsia" w:eastAsiaTheme="minorEastAsia" w:cstheme="minorEastAsia"/>
          <w:color w:val="auto"/>
          <w:sz w:val="21"/>
          <w:szCs w:val="21"/>
          <w:highlight w:val="none"/>
          <w:u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p>
    <w:p>
      <w:pPr>
        <w:spacing w:beforeLines="5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beforeLines="5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Style w:val="2"/>
        <w:rPr>
          <w:rFonts w:hint="eastAsia"/>
        </w:rPr>
      </w:pPr>
    </w:p>
    <w:p>
      <w:pPr>
        <w:bidi w:val="0"/>
        <w:rPr>
          <w:rFonts w:hint="eastAsia"/>
        </w:rPr>
      </w:pPr>
    </w:p>
    <w:p>
      <w:pPr>
        <w:rPr>
          <w:rFonts w:hint="eastAsia"/>
        </w:rPr>
      </w:pPr>
    </w:p>
    <w:p>
      <w:pPr>
        <w:spacing w:beforeLines="50" w:afterLines="50"/>
        <w:jc w:val="center"/>
        <w:rPr>
          <w:rFonts w:hint="eastAsia" w:asciiTheme="minorEastAsia" w:hAnsiTheme="minorEastAsia" w:eastAsiaTheme="minorEastAsia" w:cstheme="minorEastAsia"/>
          <w:color w:val="auto"/>
          <w:sz w:val="24"/>
          <w:szCs w:val="24"/>
          <w:highlight w:val="none"/>
        </w:rPr>
      </w:pPr>
      <w:bookmarkStart w:id="130" w:name="_Toc60537392"/>
      <w:bookmarkEnd w:id="130"/>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kern w:val="0"/>
          <w:sz w:val="24"/>
          <w:szCs w:val="24"/>
          <w:highlight w:val="none"/>
        </w:rPr>
        <w:t>投标</w:t>
      </w:r>
      <w:r>
        <w:rPr>
          <w:rFonts w:hint="eastAsia" w:asciiTheme="minorEastAsia" w:hAnsiTheme="minorEastAsia" w:eastAsiaTheme="minorEastAsia" w:cstheme="minorEastAsia"/>
          <w:color w:val="auto"/>
          <w:sz w:val="24"/>
          <w:szCs w:val="24"/>
          <w:highlight w:val="none"/>
        </w:rPr>
        <w:t>函附表</w:t>
      </w:r>
    </w:p>
    <w:tbl>
      <w:tblPr>
        <w:tblStyle w:val="20"/>
        <w:tblpPr w:leftFromText="180" w:rightFromText="180" w:vertAnchor="text" w:horzAnchor="page" w:tblpX="1403" w:tblpY="357"/>
        <w:tblOverlap w:val="never"/>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75"/>
        <w:gridCol w:w="6"/>
        <w:gridCol w:w="1836"/>
        <w:gridCol w:w="5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3181" w:type="dxa"/>
            <w:gridSpan w:val="2"/>
            <w:tcBorders>
              <w:top w:val="single" w:color="auto" w:sz="4" w:space="0"/>
              <w:left w:val="nil"/>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color w:val="auto"/>
                <w:sz w:val="24"/>
                <w:szCs w:val="24"/>
                <w:highlight w:val="none"/>
              </w:rPr>
            </w:pPr>
          </w:p>
        </w:tc>
        <w:tc>
          <w:tcPr>
            <w:tcW w:w="1895" w:type="dxa"/>
            <w:gridSpan w:val="2"/>
            <w:tcBorders>
              <w:top w:val="single" w:color="auto" w:sz="4" w:space="0"/>
              <w:left w:val="nil"/>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tc>
        <w:tc>
          <w:tcPr>
            <w:tcW w:w="2340" w:type="dxa"/>
            <w:tcBorders>
              <w:top w:val="single" w:color="auto" w:sz="4" w:space="0"/>
              <w:left w:val="nil"/>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p>
        </w:tc>
        <w:tc>
          <w:tcPr>
            <w:tcW w:w="7416" w:type="dxa"/>
            <w:gridSpan w:val="5"/>
            <w:tcBorders>
              <w:top w:val="single" w:color="auto" w:sz="4" w:space="0"/>
              <w:left w:val="nil"/>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tc>
        <w:tc>
          <w:tcPr>
            <w:tcW w:w="7416" w:type="dxa"/>
            <w:gridSpan w:val="5"/>
            <w:tcBorders>
              <w:top w:val="single" w:color="auto" w:sz="4" w:space="0"/>
              <w:left w:val="nil"/>
              <w:bottom w:val="single" w:color="auto" w:sz="4" w:space="0"/>
              <w:right w:val="single" w:color="auto" w:sz="4" w:space="0"/>
            </w:tcBorders>
            <w:vAlign w:val="center"/>
          </w:tcPr>
          <w:p>
            <w:pPr>
              <w:spacing w:line="40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pPr>
              <w:spacing w:line="40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设计周期</w:t>
            </w:r>
          </w:p>
        </w:tc>
        <w:tc>
          <w:tcPr>
            <w:tcW w:w="7416" w:type="dxa"/>
            <w:gridSpan w:val="5"/>
            <w:tcBorders>
              <w:top w:val="single" w:color="auto" w:sz="4" w:space="0"/>
              <w:left w:val="nil"/>
              <w:bottom w:val="single" w:color="auto" w:sz="4" w:space="0"/>
              <w:right w:val="single" w:color="auto" w:sz="4" w:space="0"/>
            </w:tcBorders>
            <w:vAlign w:val="center"/>
          </w:tcPr>
          <w:p>
            <w:pPr>
              <w:spacing w:line="40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投标范围</w:t>
            </w:r>
          </w:p>
        </w:tc>
        <w:tc>
          <w:tcPr>
            <w:tcW w:w="7416" w:type="dxa"/>
            <w:gridSpan w:val="5"/>
            <w:tcBorders>
              <w:top w:val="single" w:color="auto" w:sz="4" w:space="0"/>
              <w:left w:val="nil"/>
              <w:bottom w:val="single" w:color="auto" w:sz="4" w:space="0"/>
              <w:right w:val="single" w:color="auto" w:sz="4" w:space="0"/>
            </w:tcBorders>
            <w:vAlign w:val="center"/>
          </w:tcPr>
          <w:p>
            <w:pPr>
              <w:spacing w:line="400" w:lineRule="atLeast"/>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tc>
        <w:tc>
          <w:tcPr>
            <w:tcW w:w="3175" w:type="dxa"/>
            <w:tcBorders>
              <w:top w:val="single" w:color="auto" w:sz="4" w:space="0"/>
              <w:left w:val="nil"/>
              <w:bottom w:val="single" w:color="auto" w:sz="4" w:space="0"/>
              <w:right w:val="single" w:color="auto" w:sz="4" w:space="0"/>
            </w:tcBorders>
            <w:vAlign w:val="center"/>
          </w:tcPr>
          <w:p>
            <w:pPr>
              <w:spacing w:line="400" w:lineRule="atLeast"/>
              <w:rPr>
                <w:rFonts w:hint="eastAsia" w:asciiTheme="minorEastAsia" w:hAnsiTheme="minorEastAsia" w:eastAsiaTheme="minorEastAsia" w:cstheme="minorEastAsia"/>
                <w:color w:val="auto"/>
                <w:sz w:val="24"/>
                <w:szCs w:val="24"/>
                <w:highlight w:val="none"/>
              </w:rPr>
            </w:pPr>
          </w:p>
        </w:tc>
        <w:tc>
          <w:tcPr>
            <w:tcW w:w="184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证书编号</w:t>
            </w:r>
          </w:p>
        </w:tc>
        <w:tc>
          <w:tcPr>
            <w:tcW w:w="2399" w:type="dxa"/>
            <w:gridSpan w:val="2"/>
            <w:tcBorders>
              <w:top w:val="single" w:color="auto" w:sz="4" w:space="0"/>
              <w:left w:val="nil"/>
              <w:bottom w:val="single" w:color="auto" w:sz="4" w:space="0"/>
              <w:right w:val="single" w:color="auto" w:sz="4" w:space="0"/>
            </w:tcBorders>
            <w:vAlign w:val="center"/>
          </w:tcPr>
          <w:p>
            <w:pPr>
              <w:spacing w:line="400" w:lineRule="atLeast"/>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89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7416" w:type="dxa"/>
            <w:gridSpan w:val="5"/>
            <w:tcBorders>
              <w:top w:val="single" w:color="auto" w:sz="4" w:space="0"/>
              <w:left w:val="nil"/>
              <w:bottom w:val="single" w:color="auto" w:sz="4" w:space="0"/>
              <w:right w:val="single" w:color="auto" w:sz="4" w:space="0"/>
            </w:tcBorders>
          </w:tcPr>
          <w:p>
            <w:pPr>
              <w:spacing w:line="400" w:lineRule="atLeast"/>
              <w:jc w:val="center"/>
              <w:rPr>
                <w:rFonts w:hint="eastAsia" w:asciiTheme="minorEastAsia" w:hAnsiTheme="minorEastAsia" w:eastAsiaTheme="minorEastAsia" w:cstheme="minorEastAsia"/>
                <w:color w:val="auto"/>
                <w:sz w:val="24"/>
                <w:szCs w:val="24"/>
                <w:highlight w:val="none"/>
              </w:rPr>
            </w:pPr>
          </w:p>
        </w:tc>
      </w:tr>
    </w:tbl>
    <w:p>
      <w:pPr>
        <w:spacing w:line="400" w:lineRule="atLeas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p>
    <w:p>
      <w:pPr>
        <w:spacing w:line="400" w:lineRule="atLeast"/>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cstheme="minorEastAsia"/>
          <w:color w:val="auto"/>
          <w:sz w:val="21"/>
          <w:szCs w:val="21"/>
          <w:highlight w:val="none"/>
          <w:u w:val="none"/>
          <w:lang w:eastAsia="zh-CN"/>
        </w:rPr>
        <w:t>（签章</w:t>
      </w:r>
      <w:r>
        <w:rPr>
          <w:rFonts w:hint="eastAsia" w:asciiTheme="minorEastAsia" w:hAnsiTheme="minorEastAsia" w:eastAsiaTheme="minorEastAsia" w:cstheme="minorEastAsia"/>
          <w:color w:val="auto"/>
          <w:sz w:val="21"/>
          <w:szCs w:val="21"/>
          <w:highlight w:val="none"/>
          <w:u w:val="none"/>
        </w:rPr>
        <w:t xml:space="preserve">)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1"/>
          <w:highlight w:val="none"/>
        </w:rPr>
        <w:t>投标人代表：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cstheme="minorEastAsia"/>
          <w:color w:val="auto"/>
          <w:sz w:val="21"/>
          <w:szCs w:val="21"/>
          <w:highlight w:val="none"/>
          <w:u w:val="none"/>
          <w:lang w:eastAsia="zh-CN"/>
        </w:rPr>
        <w:t>签章</w:t>
      </w:r>
      <w:r>
        <w:rPr>
          <w:rFonts w:hint="eastAsia" w:asciiTheme="minorEastAsia" w:hAnsiTheme="minorEastAsia" w:eastAsiaTheme="minorEastAsia" w:cstheme="minorEastAsia"/>
          <w:color w:val="auto"/>
          <w:sz w:val="21"/>
          <w:szCs w:val="21"/>
          <w:highlight w:val="none"/>
          <w:u w:val="none"/>
        </w:rPr>
        <w:t>)</w:t>
      </w:r>
    </w:p>
    <w:p>
      <w:pPr>
        <w:spacing w:line="40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rPr>
          <w:rFonts w:hint="eastAsia" w:asciiTheme="minorEastAsia" w:hAnsiTheme="minorEastAsia" w:eastAsiaTheme="minorEastAsia" w:cstheme="minorEastAsia"/>
          <w:color w:val="auto"/>
          <w:sz w:val="24"/>
          <w:szCs w:val="24"/>
          <w:highlight w:val="none"/>
        </w:rPr>
      </w:pPr>
      <w:bookmarkStart w:id="131" w:name="_Toc60537399"/>
      <w:bookmarkEnd w:id="131"/>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autoSpaceDE w:val="0"/>
        <w:autoSpaceDN w:val="0"/>
        <w:adjustRightInd w:val="0"/>
        <w:spacing w:line="420" w:lineRule="exact"/>
        <w:jc w:val="center"/>
        <w:outlineLvl w:val="1"/>
        <w:rPr>
          <w:rFonts w:hint="eastAsia" w:asciiTheme="minorEastAsia" w:hAnsiTheme="minorEastAsia" w:eastAsiaTheme="minorEastAsia" w:cstheme="minorEastAsia"/>
          <w:b/>
          <w:bCs/>
          <w:color w:val="auto"/>
          <w:kern w:val="0"/>
          <w:sz w:val="24"/>
          <w:szCs w:val="24"/>
          <w:highlight w:val="none"/>
        </w:rPr>
      </w:pPr>
      <w:bookmarkStart w:id="132" w:name="_Toc19900"/>
      <w:r>
        <w:rPr>
          <w:rFonts w:hint="eastAsia" w:asciiTheme="minorEastAsia" w:hAnsiTheme="minorEastAsia" w:eastAsiaTheme="minorEastAsia" w:cstheme="minorEastAsia"/>
          <w:b/>
          <w:bCs/>
          <w:color w:val="auto"/>
          <w:kern w:val="0"/>
          <w:sz w:val="24"/>
          <w:szCs w:val="24"/>
          <w:highlight w:val="none"/>
        </w:rPr>
        <w:t>二、法定代表人身份证明或附有法定代表人身份证明的授权委托书</w:t>
      </w:r>
      <w:bookmarkEnd w:id="132"/>
    </w:p>
    <w:p>
      <w:pPr>
        <w:spacing w:beforeLines="50" w:afterLines="50" w:line="420" w:lineRule="exact"/>
        <w:jc w:val="center"/>
        <w:rPr>
          <w:rFonts w:hint="eastAsia" w:asciiTheme="minorEastAsia" w:hAnsiTheme="minorEastAsia" w:eastAsiaTheme="minorEastAsia" w:cstheme="minorEastAsia"/>
          <w:color w:val="auto"/>
          <w:sz w:val="24"/>
          <w:szCs w:val="24"/>
          <w:highlight w:val="none"/>
        </w:rPr>
      </w:pPr>
      <w:bookmarkStart w:id="133" w:name="_Toc271787731"/>
      <w:bookmarkEnd w:id="133"/>
      <w:r>
        <w:rPr>
          <w:rFonts w:hint="eastAsia" w:asciiTheme="minorEastAsia" w:hAnsiTheme="minorEastAsia" w:eastAsiaTheme="minorEastAsia" w:cstheme="minorEastAsia"/>
          <w:color w:val="auto"/>
          <w:sz w:val="24"/>
          <w:szCs w:val="24"/>
          <w:highlight w:val="none"/>
        </w:rPr>
        <w:t>（一）法定代表人身份证明</w:t>
      </w:r>
    </w:p>
    <w:p>
      <w:pPr>
        <w:autoSpaceDE w:val="0"/>
        <w:autoSpaceDN w:val="0"/>
        <w:adjustRightInd w:val="0"/>
        <w:spacing w:line="4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autoSpaceDE w:val="0"/>
        <w:autoSpaceDN w:val="0"/>
        <w:adjustRightInd w:val="0"/>
        <w:spacing w:line="42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投标人名称：</w:t>
      </w:r>
      <w:r>
        <w:rPr>
          <w:rFonts w:hint="eastAsia" w:asciiTheme="minorEastAsia" w:hAnsiTheme="minorEastAsia" w:eastAsiaTheme="minorEastAsia" w:cstheme="minorEastAsia"/>
          <w:color w:val="auto"/>
          <w:kern w:val="0"/>
          <w:sz w:val="21"/>
          <w:szCs w:val="21"/>
          <w:highlight w:val="none"/>
          <w:u w:val="single"/>
        </w:rPr>
        <w:t xml:space="preserve">__                     </w:t>
      </w:r>
      <w:r>
        <w:rPr>
          <w:rFonts w:hint="eastAsia" w:asciiTheme="minorEastAsia" w:hAnsiTheme="minorEastAsia" w:eastAsiaTheme="minorEastAsia" w:cstheme="minorEastAsia"/>
          <w:color w:val="auto"/>
          <w:kern w:val="0"/>
          <w:sz w:val="21"/>
          <w:szCs w:val="21"/>
          <w:highlight w:val="none"/>
        </w:rPr>
        <w:t>___</w:t>
      </w:r>
    </w:p>
    <w:p>
      <w:pPr>
        <w:autoSpaceDE w:val="0"/>
        <w:autoSpaceDN w:val="0"/>
        <w:adjustRightInd w:val="0"/>
        <w:spacing w:line="42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单位性质：</w:t>
      </w:r>
      <w:r>
        <w:rPr>
          <w:rFonts w:hint="eastAsia" w:asciiTheme="minorEastAsia" w:hAnsiTheme="minorEastAsia" w:eastAsiaTheme="minorEastAsia" w:cstheme="minorEastAsia"/>
          <w:color w:val="auto"/>
          <w:kern w:val="0"/>
          <w:sz w:val="21"/>
          <w:szCs w:val="21"/>
          <w:highlight w:val="none"/>
          <w:u w:val="single"/>
        </w:rPr>
        <w:t>___       _                _</w:t>
      </w:r>
    </w:p>
    <w:p>
      <w:pPr>
        <w:autoSpaceDE w:val="0"/>
        <w:autoSpaceDN w:val="0"/>
        <w:adjustRightInd w:val="0"/>
        <w:spacing w:line="42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地址：</w:t>
      </w:r>
      <w:r>
        <w:rPr>
          <w:rFonts w:hint="eastAsia" w:asciiTheme="minorEastAsia" w:hAnsiTheme="minorEastAsia" w:eastAsiaTheme="minorEastAsia" w:cstheme="minorEastAsia"/>
          <w:color w:val="auto"/>
          <w:kern w:val="0"/>
          <w:sz w:val="21"/>
          <w:szCs w:val="21"/>
          <w:highlight w:val="none"/>
          <w:u w:val="single"/>
        </w:rPr>
        <w:t xml:space="preserve">__                           </w:t>
      </w:r>
      <w:r>
        <w:rPr>
          <w:rFonts w:hint="eastAsia" w:asciiTheme="minorEastAsia" w:hAnsiTheme="minorEastAsia" w:eastAsiaTheme="minorEastAsia" w:cstheme="minorEastAsia"/>
          <w:color w:val="auto"/>
          <w:kern w:val="0"/>
          <w:sz w:val="21"/>
          <w:szCs w:val="21"/>
          <w:highlight w:val="none"/>
        </w:rPr>
        <w:t>___</w:t>
      </w:r>
    </w:p>
    <w:p>
      <w:pPr>
        <w:autoSpaceDE w:val="0"/>
        <w:autoSpaceDN w:val="0"/>
        <w:adjustRightInd w:val="0"/>
        <w:spacing w:line="42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成立时间：</w:t>
      </w:r>
      <w:r>
        <w:rPr>
          <w:rFonts w:hint="eastAsia" w:asciiTheme="minorEastAsia" w:hAnsiTheme="minorEastAsia" w:eastAsiaTheme="minorEastAsia" w:cstheme="minorEastAsia"/>
          <w:color w:val="auto"/>
          <w:kern w:val="0"/>
          <w:sz w:val="21"/>
          <w:szCs w:val="21"/>
          <w:highlight w:val="none"/>
          <w:u w:val="single"/>
        </w:rPr>
        <w:t>__</w:t>
      </w:r>
      <w:r>
        <w:rPr>
          <w:rFonts w:hint="eastAsia" w:asciiTheme="minorEastAsia" w:hAnsiTheme="minorEastAsia" w:eastAsiaTheme="minorEastAsia" w:cstheme="minorEastAsia"/>
          <w:color w:val="auto"/>
          <w:kern w:val="0"/>
          <w:sz w:val="21"/>
          <w:szCs w:val="21"/>
          <w:highlight w:val="none"/>
        </w:rPr>
        <w:t>___年</w:t>
      </w:r>
      <w:r>
        <w:rPr>
          <w:rFonts w:hint="eastAsia" w:asciiTheme="minorEastAsia" w:hAnsiTheme="minorEastAsia" w:eastAsiaTheme="minorEastAsia" w:cstheme="minorEastAsia"/>
          <w:color w:val="auto"/>
          <w:kern w:val="0"/>
          <w:sz w:val="21"/>
          <w:szCs w:val="21"/>
          <w:highlight w:val="none"/>
          <w:u w:val="single"/>
        </w:rPr>
        <w:t>__</w:t>
      </w:r>
      <w:r>
        <w:rPr>
          <w:rFonts w:hint="eastAsia" w:asciiTheme="minorEastAsia" w:hAnsiTheme="minorEastAsia" w:eastAsiaTheme="minorEastAsia" w:cstheme="minorEastAsia"/>
          <w:color w:val="auto"/>
          <w:kern w:val="0"/>
          <w:sz w:val="21"/>
          <w:szCs w:val="21"/>
          <w:highlight w:val="none"/>
        </w:rPr>
        <w:t>___ 月</w:t>
      </w:r>
      <w:r>
        <w:rPr>
          <w:rFonts w:hint="eastAsia" w:asciiTheme="minorEastAsia" w:hAnsiTheme="minorEastAsia" w:eastAsiaTheme="minorEastAsia" w:cstheme="minorEastAsia"/>
          <w:color w:val="auto"/>
          <w:kern w:val="0"/>
          <w:sz w:val="21"/>
          <w:szCs w:val="21"/>
          <w:highlight w:val="none"/>
          <w:u w:val="single"/>
        </w:rPr>
        <w:t>__</w:t>
      </w:r>
      <w:r>
        <w:rPr>
          <w:rFonts w:hint="eastAsia" w:asciiTheme="minorEastAsia" w:hAnsiTheme="minorEastAsia" w:eastAsiaTheme="minorEastAsia" w:cstheme="minorEastAsia"/>
          <w:color w:val="auto"/>
          <w:kern w:val="0"/>
          <w:sz w:val="21"/>
          <w:szCs w:val="21"/>
          <w:highlight w:val="none"/>
        </w:rPr>
        <w:t>___日</w:t>
      </w:r>
    </w:p>
    <w:p>
      <w:pPr>
        <w:autoSpaceDE w:val="0"/>
        <w:autoSpaceDN w:val="0"/>
        <w:adjustRightInd w:val="0"/>
        <w:spacing w:line="42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经营期限：</w:t>
      </w:r>
      <w:r>
        <w:rPr>
          <w:rFonts w:hint="eastAsia" w:asciiTheme="minorEastAsia" w:hAnsiTheme="minorEastAsia" w:eastAsiaTheme="minorEastAsia" w:cstheme="minorEastAsia"/>
          <w:color w:val="auto"/>
          <w:kern w:val="0"/>
          <w:sz w:val="21"/>
          <w:szCs w:val="21"/>
          <w:highlight w:val="none"/>
          <w:u w:val="single"/>
        </w:rPr>
        <w:t>___                      _</w:t>
      </w:r>
      <w:r>
        <w:rPr>
          <w:rFonts w:hint="eastAsia" w:asciiTheme="minorEastAsia" w:hAnsiTheme="minorEastAsia" w:eastAsiaTheme="minorEastAsia" w:cstheme="minorEastAsia"/>
          <w:color w:val="auto"/>
          <w:kern w:val="0"/>
          <w:sz w:val="21"/>
          <w:szCs w:val="21"/>
          <w:highlight w:val="none"/>
        </w:rPr>
        <w:t>_</w:t>
      </w:r>
    </w:p>
    <w:p>
      <w:pPr>
        <w:autoSpaceDE w:val="0"/>
        <w:autoSpaceDN w:val="0"/>
        <w:adjustRightInd w:val="0"/>
        <w:spacing w:line="42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姓名：</w:t>
      </w:r>
      <w:r>
        <w:rPr>
          <w:rFonts w:hint="eastAsia" w:asciiTheme="minorEastAsia" w:hAnsiTheme="minorEastAsia" w:eastAsiaTheme="minorEastAsia" w:cstheme="minorEastAsia"/>
          <w:color w:val="auto"/>
          <w:kern w:val="0"/>
          <w:sz w:val="21"/>
          <w:szCs w:val="21"/>
          <w:highlight w:val="none"/>
          <w:u w:val="single"/>
        </w:rPr>
        <w:t>__</w:t>
      </w:r>
      <w:r>
        <w:rPr>
          <w:rFonts w:hint="eastAsia" w:asciiTheme="minorEastAsia" w:hAnsiTheme="minorEastAsia" w:eastAsiaTheme="minorEastAsia" w:cstheme="minorEastAsia"/>
          <w:color w:val="auto"/>
          <w:kern w:val="0"/>
          <w:sz w:val="21"/>
          <w:szCs w:val="21"/>
          <w:highlight w:val="none"/>
        </w:rPr>
        <w:t>___性别：</w:t>
      </w:r>
      <w:r>
        <w:rPr>
          <w:rFonts w:hint="eastAsia" w:asciiTheme="minorEastAsia" w:hAnsiTheme="minorEastAsia" w:eastAsiaTheme="minorEastAsia" w:cstheme="minorEastAsia"/>
          <w:color w:val="auto"/>
          <w:kern w:val="0"/>
          <w:sz w:val="21"/>
          <w:szCs w:val="21"/>
          <w:highlight w:val="none"/>
          <w:u w:val="single"/>
        </w:rPr>
        <w:t>__</w:t>
      </w:r>
      <w:r>
        <w:rPr>
          <w:rFonts w:hint="eastAsia" w:asciiTheme="minorEastAsia" w:hAnsiTheme="minorEastAsia" w:eastAsiaTheme="minorEastAsia" w:cstheme="minorEastAsia"/>
          <w:color w:val="auto"/>
          <w:kern w:val="0"/>
          <w:sz w:val="21"/>
          <w:szCs w:val="21"/>
          <w:highlight w:val="none"/>
        </w:rPr>
        <w:t>___年龄：</w:t>
      </w:r>
      <w:r>
        <w:rPr>
          <w:rFonts w:hint="eastAsia" w:asciiTheme="minorEastAsia" w:hAnsiTheme="minorEastAsia" w:eastAsiaTheme="minorEastAsia" w:cstheme="minorEastAsia"/>
          <w:color w:val="auto"/>
          <w:kern w:val="0"/>
          <w:sz w:val="21"/>
          <w:szCs w:val="21"/>
          <w:highlight w:val="none"/>
          <w:u w:val="single"/>
        </w:rPr>
        <w:t>__</w:t>
      </w:r>
      <w:r>
        <w:rPr>
          <w:rFonts w:hint="eastAsia" w:asciiTheme="minorEastAsia" w:hAnsiTheme="minorEastAsia" w:eastAsiaTheme="minorEastAsia" w:cstheme="minorEastAsia"/>
          <w:color w:val="auto"/>
          <w:kern w:val="0"/>
          <w:sz w:val="21"/>
          <w:szCs w:val="21"/>
          <w:highlight w:val="none"/>
        </w:rPr>
        <w:t>___职务：</w:t>
      </w:r>
      <w:r>
        <w:rPr>
          <w:rFonts w:hint="eastAsia" w:asciiTheme="minorEastAsia" w:hAnsiTheme="minorEastAsia" w:eastAsiaTheme="minorEastAsia" w:cstheme="minorEastAsia"/>
          <w:color w:val="auto"/>
          <w:kern w:val="0"/>
          <w:sz w:val="21"/>
          <w:szCs w:val="21"/>
          <w:highlight w:val="none"/>
          <w:u w:val="single"/>
        </w:rPr>
        <w:t>__</w:t>
      </w:r>
      <w:r>
        <w:rPr>
          <w:rFonts w:hint="eastAsia" w:asciiTheme="minorEastAsia" w:hAnsiTheme="minorEastAsia" w:eastAsiaTheme="minorEastAsia" w:cstheme="minorEastAsia"/>
          <w:color w:val="auto"/>
          <w:kern w:val="0"/>
          <w:sz w:val="21"/>
          <w:szCs w:val="21"/>
          <w:highlight w:val="none"/>
        </w:rPr>
        <w:t>___</w:t>
      </w:r>
    </w:p>
    <w:p>
      <w:pPr>
        <w:autoSpaceDE w:val="0"/>
        <w:autoSpaceDN w:val="0"/>
        <w:adjustRightInd w:val="0"/>
        <w:spacing w:line="42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系</w:t>
      </w:r>
      <w:r>
        <w:rPr>
          <w:rFonts w:hint="eastAsia" w:asciiTheme="minorEastAsia" w:hAnsiTheme="minorEastAsia" w:eastAsiaTheme="minorEastAsia" w:cstheme="minorEastAsia"/>
          <w:color w:val="auto"/>
          <w:kern w:val="0"/>
          <w:sz w:val="21"/>
          <w:szCs w:val="21"/>
          <w:highlight w:val="none"/>
          <w:u w:val="single"/>
        </w:rPr>
        <w:t xml:space="preserve">                          _</w:t>
      </w:r>
      <w:r>
        <w:rPr>
          <w:rFonts w:hint="eastAsia" w:asciiTheme="minorEastAsia" w:hAnsiTheme="minorEastAsia" w:eastAsiaTheme="minorEastAsia" w:cstheme="minorEastAsia"/>
          <w:color w:val="auto"/>
          <w:kern w:val="0"/>
          <w:sz w:val="21"/>
          <w:szCs w:val="21"/>
          <w:highlight w:val="none"/>
        </w:rPr>
        <w:t>___ （投标人名称）的法定代表人。</w:t>
      </w:r>
    </w:p>
    <w:p>
      <w:pPr>
        <w:autoSpaceDE w:val="0"/>
        <w:autoSpaceDN w:val="0"/>
        <w:adjustRightInd w:val="0"/>
        <w:spacing w:line="42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pPr>
        <w:autoSpaceDE w:val="0"/>
        <w:autoSpaceDN w:val="0"/>
        <w:adjustRightInd w:val="0"/>
        <w:spacing w:line="42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特此证明。</w:t>
      </w:r>
    </w:p>
    <w:p>
      <w:pPr>
        <w:autoSpaceDE w:val="0"/>
        <w:autoSpaceDN w:val="0"/>
        <w:adjustRightInd w:val="0"/>
        <w:spacing w:line="420" w:lineRule="exact"/>
        <w:ind w:firstLine="480" w:firstLineChars="200"/>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1"/>
          <w:szCs w:val="21"/>
          <w:highlight w:val="none"/>
        </w:rPr>
        <w:t>签章</w:t>
      </w:r>
      <w:r>
        <w:rPr>
          <w:rFonts w:hint="eastAsia" w:asciiTheme="minorEastAsia" w:hAnsiTheme="minorEastAsia" w:eastAsiaTheme="minorEastAsia" w:cstheme="minorEastAsia"/>
          <w:color w:val="auto"/>
          <w:kern w:val="0"/>
          <w:sz w:val="24"/>
          <w:szCs w:val="24"/>
          <w:highlight w:val="none"/>
        </w:rPr>
        <w:t>）</w:t>
      </w:r>
    </w:p>
    <w:p>
      <w:pPr>
        <w:autoSpaceDE w:val="0"/>
        <w:autoSpaceDN w:val="0"/>
        <w:adjustRightInd w:val="0"/>
        <w:spacing w:line="420" w:lineRule="exact"/>
        <w:ind w:firstLine="480" w:firstLineChars="200"/>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__年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p>
    <w:p>
      <w:pPr>
        <w:autoSpaceDE w:val="0"/>
        <w:autoSpaceDN w:val="0"/>
        <w:adjustRightInd w:val="0"/>
        <w:spacing w:line="420" w:lineRule="exac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spacing w:beforeLines="50" w:afterLines="50" w:line="420" w:lineRule="exact"/>
        <w:jc w:val="center"/>
        <w:rPr>
          <w:rFonts w:hint="eastAsia" w:asciiTheme="minorEastAsia" w:hAnsiTheme="minorEastAsia" w:eastAsiaTheme="minorEastAsia" w:cstheme="minorEastAsia"/>
          <w:color w:val="auto"/>
          <w:sz w:val="24"/>
          <w:szCs w:val="24"/>
          <w:highlight w:val="none"/>
        </w:rPr>
      </w:pPr>
      <w:bookmarkStart w:id="134" w:name="_Toc271787732"/>
      <w:bookmarkEnd w:id="134"/>
      <w:r>
        <w:rPr>
          <w:rFonts w:hint="eastAsia" w:asciiTheme="minorEastAsia" w:hAnsiTheme="minorEastAsia" w:eastAsiaTheme="minorEastAsia" w:cstheme="minorEastAsia"/>
          <w:color w:val="auto"/>
          <w:sz w:val="24"/>
          <w:szCs w:val="24"/>
          <w:highlight w:val="none"/>
        </w:rPr>
        <w:t>（二）授权委托书</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autoSpaceDE w:val="0"/>
        <w:autoSpaceDN w:val="0"/>
        <w:adjustRightInd w:val="0"/>
        <w:spacing w:line="44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本人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（姓名）系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（投标人名称）的法定代表人，现委托</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 xml:space="preserve"> （项目名称/标段）投标文件、签订合同和处理有关事宜，其法律后果由我方承担。</w:t>
      </w:r>
    </w:p>
    <w:p>
      <w:pPr>
        <w:autoSpaceDE w:val="0"/>
        <w:autoSpaceDN w:val="0"/>
        <w:adjustRightInd w:val="0"/>
        <w:spacing w:line="44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委托期限：</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autoSpaceDE w:val="0"/>
        <w:autoSpaceDN w:val="0"/>
        <w:adjustRightInd w:val="0"/>
        <w:spacing w:line="44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代理人无转委托权。</w:t>
      </w:r>
    </w:p>
    <w:p>
      <w:pPr>
        <w:autoSpaceDE w:val="0"/>
        <w:autoSpaceDN w:val="0"/>
        <w:adjustRightInd w:val="0"/>
        <w:spacing w:line="44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附：法定代表人身份证明</w:t>
      </w:r>
    </w:p>
    <w:p>
      <w:pPr>
        <w:autoSpaceDE w:val="0"/>
        <w:autoSpaceDN w:val="0"/>
        <w:adjustRightInd w:val="0"/>
        <w:spacing w:line="440" w:lineRule="exact"/>
        <w:ind w:firstLine="3238" w:firstLineChars="1542"/>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（签章）</w:t>
      </w:r>
    </w:p>
    <w:p>
      <w:pPr>
        <w:autoSpaceDE w:val="0"/>
        <w:autoSpaceDN w:val="0"/>
        <w:adjustRightInd w:val="0"/>
        <w:spacing w:line="440" w:lineRule="exact"/>
        <w:ind w:firstLine="3238" w:firstLineChars="1542"/>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法定代表人：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（签章）</w:t>
      </w:r>
    </w:p>
    <w:p>
      <w:pPr>
        <w:autoSpaceDE w:val="0"/>
        <w:autoSpaceDN w:val="0"/>
        <w:adjustRightInd w:val="0"/>
        <w:spacing w:line="440" w:lineRule="exact"/>
        <w:ind w:firstLine="3238" w:firstLineChars="1542"/>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身份证号码：</w:t>
      </w:r>
      <w:r>
        <w:rPr>
          <w:rFonts w:hint="eastAsia" w:asciiTheme="minorEastAsia" w:hAnsiTheme="minorEastAsia" w:eastAsiaTheme="minorEastAsia" w:cstheme="minorEastAsia"/>
          <w:color w:val="auto"/>
          <w:kern w:val="0"/>
          <w:sz w:val="21"/>
          <w:szCs w:val="21"/>
          <w:highlight w:val="none"/>
          <w:u w:val="single"/>
        </w:rPr>
        <w:t xml:space="preserve">                                  </w:t>
      </w:r>
    </w:p>
    <w:p>
      <w:pPr>
        <w:autoSpaceDE w:val="0"/>
        <w:autoSpaceDN w:val="0"/>
        <w:adjustRightInd w:val="0"/>
        <w:spacing w:line="440" w:lineRule="exact"/>
        <w:ind w:firstLine="3238" w:firstLineChars="1542"/>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委托代理人：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 xml:space="preserve"> （签字）</w:t>
      </w:r>
    </w:p>
    <w:p>
      <w:pPr>
        <w:autoSpaceDE w:val="0"/>
        <w:autoSpaceDN w:val="0"/>
        <w:adjustRightInd w:val="0"/>
        <w:spacing w:line="440" w:lineRule="exact"/>
        <w:ind w:firstLine="3238" w:firstLineChars="1542"/>
        <w:jc w:val="left"/>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身份证号码：</w:t>
      </w:r>
      <w:r>
        <w:rPr>
          <w:rFonts w:hint="eastAsia" w:asciiTheme="minorEastAsia" w:hAnsiTheme="minorEastAsia" w:eastAsiaTheme="minorEastAsia" w:cstheme="minorEastAsia"/>
          <w:color w:val="auto"/>
          <w:kern w:val="0"/>
          <w:sz w:val="21"/>
          <w:szCs w:val="21"/>
          <w:highlight w:val="none"/>
          <w:u w:val="single"/>
        </w:rPr>
        <w:t xml:space="preserve">                                    </w:t>
      </w:r>
    </w:p>
    <w:p>
      <w:pPr>
        <w:spacing w:line="400" w:lineRule="atLeast"/>
        <w:ind w:right="840"/>
        <w:jc w:val="righ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 xml:space="preserve"> 日</w:t>
      </w:r>
      <w:bookmarkStart w:id="135" w:name="_Toc60537395"/>
      <w:bookmarkEnd w:id="135"/>
    </w:p>
    <w:p>
      <w:pPr>
        <w:spacing w:line="360" w:lineRule="auto"/>
        <w:rPr>
          <w:rFonts w:hint="eastAsia" w:asciiTheme="minorEastAsia" w:hAnsiTheme="minorEastAsia" w:eastAsiaTheme="minorEastAsia" w:cstheme="minorEastAsia"/>
          <w:color w:val="auto"/>
          <w:kern w:val="0"/>
          <w:sz w:val="24"/>
          <w:szCs w:val="24"/>
          <w:highlight w:val="none"/>
        </w:rPr>
      </w:pPr>
    </w:p>
    <w:p>
      <w:pPr>
        <w:spacing w:line="360" w:lineRule="auto"/>
        <w:rPr>
          <w:rFonts w:hint="eastAsia" w:asciiTheme="minorEastAsia" w:hAnsiTheme="minorEastAsia" w:eastAsiaTheme="minorEastAsia" w:cstheme="minorEastAsia"/>
          <w:color w:val="auto"/>
          <w:kern w:val="0"/>
          <w:sz w:val="24"/>
          <w:szCs w:val="24"/>
          <w:highlight w:val="none"/>
        </w:rPr>
      </w:pPr>
    </w:p>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（三）法人承诺书</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（招标人名称）：</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（姓名）系我公司的法人，现承诺愿意承担因我方就此弄虚作假所引起的一切法律后果。</w:t>
      </w:r>
    </w:p>
    <w:p>
      <w:pPr>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特此承诺  </w:t>
      </w:r>
    </w:p>
    <w:p>
      <w:pPr>
        <w:spacing w:line="360" w:lineRule="auto"/>
        <w:ind w:firstLine="480"/>
        <w:rPr>
          <w:rFonts w:hint="eastAsia" w:asciiTheme="minorEastAsia" w:hAnsiTheme="minorEastAsia" w:eastAsiaTheme="minorEastAsia" w:cstheme="minorEastAsia"/>
          <w:color w:val="auto"/>
          <w:sz w:val="21"/>
          <w:szCs w:val="21"/>
          <w:highlight w:val="none"/>
        </w:rPr>
      </w:pPr>
    </w:p>
    <w:p>
      <w:pPr>
        <w:pStyle w:val="19"/>
        <w:rPr>
          <w:rFonts w:hint="eastAsia"/>
          <w:color w:val="auto"/>
          <w:highlight w:val="none"/>
        </w:rPr>
      </w:pPr>
    </w:p>
    <w:p>
      <w:pPr>
        <w:spacing w:line="360" w:lineRule="auto"/>
        <w:ind w:firstLine="48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  标  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kern w:val="0"/>
          <w:sz w:val="21"/>
          <w:szCs w:val="21"/>
          <w:highlight w:val="none"/>
        </w:rPr>
        <w:t>签章</w:t>
      </w:r>
      <w:r>
        <w:rPr>
          <w:rFonts w:hint="eastAsia" w:asciiTheme="minorEastAsia" w:hAnsiTheme="minorEastAsia" w:eastAsiaTheme="minorEastAsia" w:cstheme="minorEastAsia"/>
          <w:color w:val="auto"/>
          <w:sz w:val="21"/>
          <w:szCs w:val="21"/>
          <w:highlight w:val="none"/>
        </w:rPr>
        <w:t>）</w:t>
      </w:r>
    </w:p>
    <w:p>
      <w:pPr>
        <w:spacing w:line="360" w:lineRule="auto"/>
        <w:ind w:firstLine="48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      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（签章）</w:t>
      </w:r>
    </w:p>
    <w:p>
      <w:pPr>
        <w:spacing w:line="360" w:lineRule="auto"/>
        <w:ind w:firstLine="482"/>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pacing w:val="30"/>
          <w:sz w:val="21"/>
          <w:szCs w:val="21"/>
          <w:highlight w:val="none"/>
        </w:rPr>
        <w:t>身份证号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pPr>
        <w:spacing w:line="360" w:lineRule="auto"/>
        <w:ind w:firstLine="48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pPr>
        <w:pStyle w:val="19"/>
        <w:rPr>
          <w:rFonts w:hint="eastAsia"/>
          <w:color w:val="auto"/>
          <w:highlight w:val="none"/>
        </w:rPr>
      </w:pPr>
    </w:p>
    <w:p>
      <w:pPr>
        <w:jc w:val="center"/>
        <w:outlineLvl w:val="1"/>
        <w:rPr>
          <w:rFonts w:hint="eastAsia" w:asciiTheme="minorEastAsia" w:hAnsiTheme="minorEastAsia" w:eastAsiaTheme="minorEastAsia" w:cstheme="minorEastAsia"/>
          <w:b/>
          <w:bCs/>
          <w:color w:val="auto"/>
          <w:sz w:val="24"/>
          <w:szCs w:val="24"/>
          <w:highlight w:val="none"/>
        </w:rPr>
      </w:pPr>
      <w:bookmarkStart w:id="136" w:name="_Toc10344"/>
    </w:p>
    <w:p>
      <w:pPr>
        <w:jc w:val="center"/>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三、投标保证金</w:t>
      </w:r>
      <w:bookmarkEnd w:id="136"/>
    </w:p>
    <w:p>
      <w:pPr>
        <w:spacing w:line="400" w:lineRule="atLeast"/>
        <w:rPr>
          <w:rFonts w:hint="eastAsia" w:asciiTheme="minorEastAsia" w:hAnsiTheme="minorEastAsia" w:eastAsiaTheme="minorEastAsia" w:cstheme="minorEastAsia"/>
          <w:b/>
          <w:bCs/>
          <w:color w:val="auto"/>
          <w:sz w:val="24"/>
          <w:szCs w:val="24"/>
          <w:highlight w:val="none"/>
          <w:u w:val="dotted"/>
        </w:rPr>
      </w:pPr>
    </w:p>
    <w:p>
      <w:pPr>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附提交凭证：</w:t>
      </w:r>
    </w:p>
    <w:p>
      <w:pPr>
        <w:spacing w:line="500" w:lineRule="exact"/>
        <w:jc w:val="left"/>
        <w:rPr>
          <w:rFonts w:hint="eastAsia" w:ascii="宋体" w:hAnsi="宋体"/>
          <w:color w:val="auto"/>
          <w:szCs w:val="21"/>
          <w:highlight w:val="none"/>
        </w:rPr>
      </w:pPr>
      <w:r>
        <w:rPr>
          <w:rFonts w:hint="eastAsia" w:ascii="宋体" w:hAnsi="宋体"/>
          <w:color w:val="auto"/>
          <w:szCs w:val="21"/>
          <w:highlight w:val="none"/>
        </w:rPr>
        <w:t>1、银行转帐、银行电汇方式的，于截止时间前通过投标人基本账户将款项一次足额递交、成功绑定，以收款人到账时间为准，在途资金无效。附本项目本标段“公共资源交易中心保证金缴纳回执”。</w:t>
      </w:r>
    </w:p>
    <w:p>
      <w:pPr>
        <w:spacing w:line="500" w:lineRule="exact"/>
        <w:jc w:val="left"/>
        <w:rPr>
          <w:rFonts w:ascii="宋体" w:hAnsi="宋体"/>
          <w:color w:val="auto"/>
          <w:szCs w:val="21"/>
          <w:highlight w:val="none"/>
        </w:rPr>
      </w:pPr>
      <w:r>
        <w:rPr>
          <w:rFonts w:hint="eastAsia" w:ascii="宋体" w:hAnsi="宋体"/>
          <w:color w:val="auto"/>
          <w:szCs w:val="21"/>
          <w:highlight w:val="none"/>
        </w:rPr>
        <w:t>2、使用银行保函方式的，银行保函应明确项目名称、项目编号及标段、受益人（招标人）、有效期（不低于本项目投标有效期），银行保函担保金额（不低于本项目本标段投标保证金数额）。附真实合法的银行保函原件扫描件，否则视为未按规定提交。</w:t>
      </w:r>
    </w:p>
    <w:p>
      <w:pPr>
        <w:spacing w:line="400" w:lineRule="atLeast"/>
        <w:rPr>
          <w:rFonts w:hint="eastAsia" w:asciiTheme="minorEastAsia" w:hAnsiTheme="minorEastAsia" w:eastAsiaTheme="minorEastAsia" w:cstheme="minorEastAsia"/>
          <w:b/>
          <w:bCs/>
          <w:color w:val="auto"/>
          <w:sz w:val="24"/>
          <w:szCs w:val="24"/>
          <w:highlight w:val="none"/>
          <w:u w:val="dotted"/>
        </w:rPr>
      </w:pPr>
    </w:p>
    <w:p>
      <w:pPr>
        <w:spacing w:line="400" w:lineRule="atLeast"/>
        <w:rPr>
          <w:rFonts w:hint="eastAsia" w:asciiTheme="minorEastAsia" w:hAnsiTheme="minorEastAsia" w:eastAsiaTheme="minorEastAsia" w:cstheme="minorEastAsia"/>
          <w:b/>
          <w:bCs/>
          <w:color w:val="auto"/>
          <w:sz w:val="24"/>
          <w:szCs w:val="24"/>
          <w:highlight w:val="none"/>
          <w:u w:val="dotted"/>
        </w:rPr>
      </w:pPr>
    </w:p>
    <w:p>
      <w:pPr>
        <w:rPr>
          <w:rFonts w:hint="eastAsia" w:asciiTheme="minorEastAsia" w:hAnsiTheme="minorEastAsia" w:eastAsiaTheme="minorEastAsia" w:cstheme="minorEastAsia"/>
          <w:color w:val="auto"/>
          <w:sz w:val="24"/>
          <w:szCs w:val="24"/>
          <w:highlight w:val="none"/>
        </w:rPr>
      </w:pPr>
      <w:bookmarkStart w:id="137" w:name="_Toc60537401"/>
      <w:bookmarkEnd w:id="137"/>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outlineLvl w:val="1"/>
        <w:rPr>
          <w:rFonts w:hint="eastAsia" w:asciiTheme="minorEastAsia" w:hAnsiTheme="minorEastAsia" w:eastAsiaTheme="minorEastAsia" w:cstheme="minorEastAsia"/>
          <w:b/>
          <w:bCs/>
          <w:color w:val="auto"/>
          <w:sz w:val="24"/>
          <w:szCs w:val="24"/>
          <w:highlight w:val="none"/>
        </w:rPr>
      </w:pPr>
      <w:bookmarkStart w:id="138" w:name="_Toc678"/>
      <w:r>
        <w:rPr>
          <w:rFonts w:hint="eastAsia" w:asciiTheme="minorEastAsia" w:hAnsiTheme="minorEastAsia" w:eastAsiaTheme="minorEastAsia" w:cstheme="minorEastAsia"/>
          <w:b/>
          <w:bCs/>
          <w:color w:val="auto"/>
          <w:sz w:val="24"/>
          <w:szCs w:val="24"/>
          <w:highlight w:val="none"/>
        </w:rPr>
        <w:t>四、资格审查资料</w:t>
      </w:r>
      <w:bookmarkEnd w:id="138"/>
    </w:p>
    <w:p>
      <w:pPr>
        <w:spacing w:line="360" w:lineRule="auto"/>
        <w:jc w:val="left"/>
        <w:rPr>
          <w:rFonts w:hint="eastAsia" w:asciiTheme="minorEastAsia" w:hAnsiTheme="minorEastAsia" w:eastAsiaTheme="minorEastAsia" w:cstheme="minorEastAsia"/>
          <w:color w:val="auto"/>
          <w:sz w:val="24"/>
          <w:szCs w:val="24"/>
          <w:highlight w:val="none"/>
        </w:rPr>
      </w:pP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（a）投标申请人基本情况表（可加部分说明）；</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（b）企业法人营业执照</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企业资质证件、项目负责人职称证书；       </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（c）近三年类似项目的设计业绩及有关证明材料；</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（d）目前正在设计的项目一览表；</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（e）项目设计组配备情况表</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（f）主要设计人员简历表；</w:t>
      </w:r>
    </w:p>
    <w:p>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 </w:t>
      </w:r>
    </w:p>
    <w:p>
      <w:pPr>
        <w:ind w:firstLine="2563"/>
        <w:rPr>
          <w:rFonts w:hint="eastAsia" w:asciiTheme="minorEastAsia" w:hAnsiTheme="minorEastAsia" w:eastAsiaTheme="minorEastAsia" w:cstheme="minorEastAsia"/>
          <w:b/>
          <w:bCs/>
          <w:color w:val="auto"/>
          <w:sz w:val="24"/>
          <w:szCs w:val="24"/>
          <w:highlight w:val="none"/>
        </w:rPr>
      </w:pPr>
      <w:bookmarkStart w:id="139" w:name="_Toc234748656"/>
      <w:bookmarkEnd w:id="139"/>
      <w:r>
        <w:rPr>
          <w:rFonts w:hint="eastAsia" w:asciiTheme="minorEastAsia" w:hAnsiTheme="minorEastAsia" w:eastAsiaTheme="minorEastAsia" w:cstheme="minorEastAsia"/>
          <w:b/>
          <w:bCs/>
          <w:color w:val="auto"/>
          <w:sz w:val="24"/>
          <w:szCs w:val="24"/>
          <w:highlight w:val="none"/>
        </w:rPr>
        <w:t xml:space="preserve"> </w:t>
      </w:r>
    </w:p>
    <w:p>
      <w:pPr>
        <w:ind w:firstLine="256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pPr>
        <w:ind w:firstLine="2563"/>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（a）投标申请人基本情况表</w:t>
      </w:r>
      <w:r>
        <w:rPr>
          <w:rFonts w:hint="eastAsia" w:asciiTheme="minorEastAsia" w:hAnsiTheme="minorEastAsia" w:eastAsiaTheme="minorEastAsia" w:cstheme="minorEastAsia"/>
          <w:b/>
          <w:bCs/>
          <w:color w:val="auto"/>
          <w:sz w:val="24"/>
          <w:szCs w:val="24"/>
          <w:highlight w:val="none"/>
        </w:rPr>
        <w:t xml:space="preserve"> </w:t>
      </w:r>
    </w:p>
    <w:tbl>
      <w:tblPr>
        <w:tblStyle w:val="20"/>
        <w:tblpPr w:leftFromText="180" w:rightFromText="180" w:vertAnchor="text" w:horzAnchor="page" w:tblpX="1388" w:tblpY="2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投标申请人全称</w:t>
            </w:r>
          </w:p>
        </w:tc>
        <w:tc>
          <w:tcPr>
            <w:tcW w:w="7083" w:type="dxa"/>
            <w:gridSpan w:val="3"/>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主要业务范围</w:t>
            </w:r>
          </w:p>
        </w:tc>
        <w:tc>
          <w:tcPr>
            <w:tcW w:w="7083" w:type="dxa"/>
            <w:gridSpan w:val="3"/>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法定代表人姓名</w:t>
            </w:r>
          </w:p>
        </w:tc>
        <w:tc>
          <w:tcPr>
            <w:tcW w:w="374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1"/>
                <w:szCs w:val="21"/>
                <w:highlight w:val="none"/>
              </w:rPr>
            </w:pPr>
          </w:p>
        </w:tc>
        <w:tc>
          <w:tcPr>
            <w:tcW w:w="126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   务</w:t>
            </w:r>
          </w:p>
        </w:tc>
        <w:tc>
          <w:tcPr>
            <w:tcW w:w="2081"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投标申请人地址</w:t>
            </w:r>
          </w:p>
        </w:tc>
        <w:tc>
          <w:tcPr>
            <w:tcW w:w="374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1"/>
                <w:szCs w:val="21"/>
                <w:highlight w:val="none"/>
              </w:rPr>
            </w:pPr>
          </w:p>
        </w:tc>
        <w:tc>
          <w:tcPr>
            <w:tcW w:w="126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c>
          <w:tcPr>
            <w:tcW w:w="2081"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          话</w:t>
            </w:r>
          </w:p>
        </w:tc>
        <w:tc>
          <w:tcPr>
            <w:tcW w:w="374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1"/>
                <w:szCs w:val="21"/>
                <w:highlight w:val="none"/>
              </w:rPr>
            </w:pPr>
          </w:p>
        </w:tc>
        <w:tc>
          <w:tcPr>
            <w:tcW w:w="126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   真</w:t>
            </w:r>
          </w:p>
        </w:tc>
        <w:tc>
          <w:tcPr>
            <w:tcW w:w="2081"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  立  日  期</w:t>
            </w:r>
          </w:p>
        </w:tc>
        <w:tc>
          <w:tcPr>
            <w:tcW w:w="374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1"/>
                <w:szCs w:val="21"/>
                <w:highlight w:val="none"/>
              </w:rPr>
            </w:pPr>
          </w:p>
        </w:tc>
        <w:tc>
          <w:tcPr>
            <w:tcW w:w="126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现有 职</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工人 数</w:t>
            </w:r>
          </w:p>
        </w:tc>
        <w:tc>
          <w:tcPr>
            <w:tcW w:w="2081"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422"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资质等级证书</w:t>
            </w:r>
          </w:p>
          <w:p>
            <w:pPr>
              <w:pStyle w:val="11"/>
              <w:rPr>
                <w:rFonts w:hint="eastAsia" w:asciiTheme="minorEastAsia" w:hAnsiTheme="minorEastAsia" w:eastAsiaTheme="minorEastAsia" w:cstheme="minorEastAsia"/>
                <w:color w:val="auto"/>
                <w:sz w:val="21"/>
                <w:szCs w:val="21"/>
                <w:highlight w:val="none"/>
              </w:rPr>
            </w:pPr>
          </w:p>
        </w:tc>
        <w:tc>
          <w:tcPr>
            <w:tcW w:w="7083" w:type="dxa"/>
            <w:gridSpan w:val="3"/>
            <w:tcBorders>
              <w:top w:val="single" w:color="auto" w:sz="4" w:space="0"/>
              <w:left w:val="nil"/>
              <w:bottom w:val="single" w:color="auto" w:sz="4" w:space="0"/>
              <w:right w:val="single" w:color="auto" w:sz="4" w:space="0"/>
            </w:tcBorders>
          </w:tcPr>
          <w:p>
            <w:pPr>
              <w:rPr>
                <w:rFonts w:hint="eastAsia" w:asciiTheme="minorEastAsia" w:hAnsiTheme="minorEastAsia" w:eastAsiaTheme="minorEastAsia" w:cstheme="minorEastAsia"/>
                <w:b/>
                <w:bCs/>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22"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质量管理体系证书</w:t>
            </w:r>
          </w:p>
          <w:p>
            <w:pPr>
              <w:rPr>
                <w:rFonts w:hint="eastAsia" w:asciiTheme="minorEastAsia" w:hAnsiTheme="minorEastAsia" w:eastAsiaTheme="minorEastAsia" w:cstheme="minorEastAsia"/>
                <w:color w:val="auto"/>
                <w:sz w:val="21"/>
                <w:szCs w:val="21"/>
                <w:highlight w:val="none"/>
              </w:rPr>
            </w:pPr>
          </w:p>
        </w:tc>
        <w:tc>
          <w:tcPr>
            <w:tcW w:w="7083" w:type="dxa"/>
            <w:gridSpan w:val="3"/>
            <w:tcBorders>
              <w:top w:val="single" w:color="auto" w:sz="4" w:space="0"/>
              <w:left w:val="nil"/>
              <w:bottom w:val="single" w:color="auto" w:sz="4" w:space="0"/>
              <w:right w:val="single" w:color="auto" w:sz="4" w:space="0"/>
            </w:tcBorders>
          </w:tcPr>
          <w:p>
            <w:pPr>
              <w:rPr>
                <w:rFonts w:hint="eastAsia" w:asciiTheme="minorEastAsia" w:hAnsiTheme="minorEastAsia" w:eastAsiaTheme="minorEastAsia" w:cstheme="minorEastAsia"/>
                <w:b/>
                <w:bCs/>
                <w:color w:val="auto"/>
                <w:sz w:val="21"/>
                <w:szCs w:val="21"/>
                <w:highlight w:val="none"/>
              </w:rPr>
            </w:pPr>
          </w:p>
          <w:p>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505" w:type="dxa"/>
            <w:gridSpan w:val="4"/>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设计单位组织机构简介：</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（部室划分、各部室人数、中高级职称等人员数）</w:t>
            </w:r>
          </w:p>
          <w:p>
            <w:pPr>
              <w:ind w:firstLine="28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组织机构框图附后</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技术人员总数：                人</w:t>
            </w:r>
          </w:p>
          <w:p>
            <w:pPr>
              <w:rPr>
                <w:rFonts w:hint="eastAsia" w:asciiTheme="minorEastAsia" w:hAnsiTheme="minorEastAsia" w:eastAsiaTheme="minorEastAsia" w:cstheme="minorEastAsia"/>
                <w:color w:val="auto"/>
                <w:sz w:val="21"/>
                <w:szCs w:val="21"/>
                <w:highlight w:val="none"/>
              </w:rPr>
            </w:pPr>
          </w:p>
          <w:p>
            <w:pPr>
              <w:pStyle w:val="18"/>
              <w:ind w:firstLine="240"/>
              <w:rPr>
                <w:rFonts w:hint="eastAsia" w:asciiTheme="minorEastAsia" w:hAnsiTheme="minorEastAsia" w:eastAsiaTheme="minorEastAsia" w:cstheme="minorEastAsia"/>
                <w:color w:val="auto"/>
                <w:sz w:val="21"/>
                <w:szCs w:val="21"/>
                <w:highlight w:val="none"/>
              </w:rPr>
            </w:pPr>
          </w:p>
          <w:p>
            <w:pPr>
              <w:pStyle w:val="18"/>
              <w:ind w:firstLine="240"/>
              <w:rPr>
                <w:rFonts w:hint="eastAsia" w:asciiTheme="minorEastAsia" w:hAnsiTheme="minorEastAsia" w:eastAsiaTheme="minorEastAsia" w:cstheme="minorEastAsia"/>
                <w:color w:val="auto"/>
                <w:sz w:val="21"/>
                <w:szCs w:val="21"/>
                <w:highlight w:val="none"/>
              </w:rPr>
            </w:pPr>
          </w:p>
        </w:tc>
      </w:tr>
    </w:tbl>
    <w:p>
      <w:pPr>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spacing w:line="360" w:lineRule="auto"/>
        <w:ind w:firstLine="48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  标  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（签章）</w:t>
      </w:r>
    </w:p>
    <w:p>
      <w:pPr>
        <w:spacing w:line="360" w:lineRule="auto"/>
        <w:ind w:firstLine="48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      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（签章）</w:t>
      </w:r>
    </w:p>
    <w:p>
      <w:pPr>
        <w:ind w:firstLine="3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autoSpaceDE w:val="0"/>
        <w:autoSpaceDN w:val="0"/>
        <w:adjustRightInd w:val="0"/>
        <w:spacing w:line="420" w:lineRule="exact"/>
        <w:ind w:firstLine="240" w:firstLineChars="100"/>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420" w:lineRule="exact"/>
        <w:ind w:firstLine="240" w:firstLineChars="100"/>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420" w:lineRule="exact"/>
        <w:ind w:firstLine="240" w:firstLineChars="100"/>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420" w:lineRule="exact"/>
        <w:ind w:firstLine="240" w:firstLineChars="100"/>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42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（b）企业法人营业执照、企业资质证件、项目负责人职称证书；</w:t>
      </w:r>
    </w:p>
    <w:p>
      <w:pPr>
        <w:autoSpaceDE w:val="0"/>
        <w:autoSpaceDN w:val="0"/>
        <w:adjustRightInd w:val="0"/>
        <w:spacing w:line="42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 </w:t>
      </w: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(c)近三年类似项目的设计业绩及有关证明材料</w:t>
      </w:r>
    </w:p>
    <w:tbl>
      <w:tblPr>
        <w:tblStyle w:val="20"/>
        <w:tblpPr w:leftFromText="180" w:rightFromText="180" w:vertAnchor="text" w:horzAnchor="page" w:tblpX="1358" w:tblpY="225"/>
        <w:tblOverlap w:val="never"/>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197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 设 单 位</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（业主）</w:t>
            </w: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 程 名 称</w:t>
            </w: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建设规模</w:t>
            </w: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完成日期</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（年/月/日）</w:t>
            </w: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2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主要设计人员情况</w:t>
            </w: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268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sz w:val="21"/>
                <w:szCs w:val="21"/>
                <w:highlight w:val="none"/>
              </w:rPr>
            </w:pP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c>
          <w:tcPr>
            <w:tcW w:w="1970" w:type="dxa"/>
            <w:tcBorders>
              <w:top w:val="single" w:color="auto" w:sz="4" w:space="0"/>
              <w:left w:val="nil"/>
              <w:bottom w:val="single" w:color="auto" w:sz="4" w:space="0"/>
              <w:right w:val="single" w:color="auto" w:sz="4" w:space="0"/>
            </w:tcBorders>
          </w:tcPr>
          <w:p>
            <w:pPr>
              <w:jc w:val="center"/>
              <w:rPr>
                <w:rFonts w:hint="eastAsia" w:asciiTheme="minorEastAsia" w:hAnsiTheme="minorEastAsia" w:eastAsiaTheme="minorEastAsia" w:cstheme="minorEastAsia"/>
                <w:color w:val="auto"/>
                <w:sz w:val="21"/>
                <w:szCs w:val="21"/>
                <w:highlight w:val="none"/>
              </w:rPr>
            </w:pPr>
          </w:p>
        </w:tc>
      </w:tr>
    </w:tbl>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ind w:left="1032" w:hanging="1032"/>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  标  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（签章）</w:t>
      </w:r>
    </w:p>
    <w:p>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      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（签章）</w:t>
      </w:r>
    </w:p>
    <w:p>
      <w:pPr>
        <w:ind w:firstLine="3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ind w:firstLine="37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 xml:space="preserve"> </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注：1、投标申请人应随此表附上相关的业绩证明（如中标通知书、合同等的原件扫描件）；</w:t>
      </w:r>
    </w:p>
    <w:p>
      <w:pPr>
        <w:spacing w:line="360" w:lineRule="auto"/>
        <w:ind w:left="1614" w:hanging="1194"/>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2、如有多个类似项目，可按此表格扩展。</w:t>
      </w:r>
    </w:p>
    <w:p>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 </w:t>
      </w:r>
    </w:p>
    <w:p>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 </w:t>
      </w:r>
    </w:p>
    <w:p>
      <w:pPr>
        <w:pStyle w:val="19"/>
        <w:rPr>
          <w:rFonts w:hint="eastAsia" w:asciiTheme="minorEastAsia" w:hAnsiTheme="minorEastAsia" w:eastAsiaTheme="minorEastAsia" w:cstheme="minorEastAsia"/>
          <w:b/>
          <w:bCs/>
          <w:color w:val="auto"/>
          <w:kern w:val="0"/>
          <w:sz w:val="24"/>
          <w:szCs w:val="24"/>
          <w:highlight w:val="none"/>
        </w:rPr>
      </w:pPr>
    </w:p>
    <w:p>
      <w:pPr>
        <w:rPr>
          <w:rFonts w:hint="eastAsia"/>
          <w:color w:val="auto"/>
          <w:highlight w:val="none"/>
        </w:rPr>
      </w:pPr>
    </w:p>
    <w:p>
      <w:pPr>
        <w:rPr>
          <w:rFonts w:hint="eastAsia"/>
          <w:color w:val="auto"/>
          <w:highlight w:val="none"/>
        </w:rPr>
      </w:pPr>
    </w:p>
    <w:p>
      <w:pPr>
        <w:rPr>
          <w:rFonts w:hint="eastAsia" w:asciiTheme="minorEastAsia" w:hAnsiTheme="minorEastAsia" w:eastAsiaTheme="minorEastAsia" w:cstheme="minorEastAsia"/>
          <w:b/>
          <w:bCs/>
          <w:color w:val="auto"/>
          <w:kern w:val="0"/>
          <w:sz w:val="24"/>
          <w:szCs w:val="24"/>
          <w:highlight w:val="none"/>
        </w:rPr>
      </w:pPr>
    </w:p>
    <w:p>
      <w:pPr>
        <w:pStyle w:val="19"/>
        <w:rPr>
          <w:rFonts w:hint="eastAsia"/>
          <w:color w:val="auto"/>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(d)目前正在设计的项目一览表</w:t>
      </w:r>
    </w:p>
    <w:tbl>
      <w:tblPr>
        <w:tblStyle w:val="20"/>
        <w:tblpPr w:leftFromText="180" w:rightFromText="180" w:vertAnchor="text" w:horzAnchor="page" w:tblpX="1538" w:tblpY="275"/>
        <w:tblOverlap w:val="never"/>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1708"/>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3182" w:type="dxa"/>
            <w:tcBorders>
              <w:top w:val="single" w:color="auto" w:sz="4" w:space="0"/>
              <w:left w:val="single" w:color="auto" w:sz="4" w:space="0"/>
              <w:bottom w:val="single" w:color="auto" w:sz="4" w:space="0"/>
              <w:right w:val="single" w:color="auto" w:sz="4" w:space="0"/>
            </w:tcBorders>
            <w:vAlign w:val="center"/>
          </w:tcPr>
          <w:p>
            <w:pPr>
              <w:ind w:left="905" w:hanging="103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建设单位</w:t>
            </w:r>
          </w:p>
          <w:p>
            <w:pPr>
              <w:pStyle w:val="17"/>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（业主）</w:t>
            </w:r>
          </w:p>
        </w:tc>
        <w:tc>
          <w:tcPr>
            <w:tcW w:w="170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vAlign w:val="center"/>
          </w:tcPr>
          <w:p>
            <w:pPr>
              <w:ind w:left="905" w:hanging="1032"/>
              <w:jc w:val="center"/>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vAlign w:val="center"/>
          </w:tcPr>
          <w:p>
            <w:pPr>
              <w:ind w:left="905" w:hanging="1032"/>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31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工程名称</w:t>
            </w:r>
          </w:p>
        </w:tc>
        <w:tc>
          <w:tcPr>
            <w:tcW w:w="1708"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建设规模</w:t>
            </w:r>
          </w:p>
        </w:tc>
        <w:tc>
          <w:tcPr>
            <w:tcW w:w="1708"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主要设计人员情况</w:t>
            </w:r>
          </w:p>
        </w:tc>
        <w:tc>
          <w:tcPr>
            <w:tcW w:w="1708"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tcBorders>
              <w:top w:val="single" w:color="auto" w:sz="4" w:space="0"/>
              <w:left w:val="single" w:color="auto" w:sz="4" w:space="0"/>
              <w:bottom w:val="single" w:color="auto" w:sz="4" w:space="0"/>
              <w:right w:val="single" w:color="auto" w:sz="4" w:space="0"/>
            </w:tcBorders>
            <w:vAlign w:val="center"/>
          </w:tcPr>
          <w:p>
            <w:pPr>
              <w:ind w:left="-92" w:hanging="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投入高/中级职称技术人员（人）</w:t>
            </w:r>
          </w:p>
        </w:tc>
        <w:tc>
          <w:tcPr>
            <w:tcW w:w="1708"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tcBorders>
              <w:top w:val="single" w:color="auto" w:sz="4" w:space="0"/>
              <w:left w:val="single" w:color="auto" w:sz="4" w:space="0"/>
              <w:bottom w:val="single" w:color="auto" w:sz="4" w:space="0"/>
              <w:right w:val="single" w:color="auto" w:sz="4" w:space="0"/>
            </w:tcBorders>
            <w:vAlign w:val="center"/>
          </w:tcPr>
          <w:p>
            <w:pPr>
              <w:ind w:left="905" w:hanging="103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工作周期</w:t>
            </w:r>
          </w:p>
          <w:p>
            <w:pPr>
              <w:ind w:left="905" w:hanging="103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（年/月/日</w:t>
            </w:r>
          </w:p>
          <w:p>
            <w:pPr>
              <w:ind w:left="905" w:hanging="103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年/月/日）</w:t>
            </w:r>
          </w:p>
        </w:tc>
        <w:tc>
          <w:tcPr>
            <w:tcW w:w="1708"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3182"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sz w:val="21"/>
                <w:szCs w:val="21"/>
                <w:highlight w:val="none"/>
              </w:rPr>
            </w:pPr>
          </w:p>
          <w:p>
            <w:pPr>
              <w:ind w:left="905" w:hanging="10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c>
          <w:tcPr>
            <w:tcW w:w="1708"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c>
          <w:tcPr>
            <w:tcW w:w="2059" w:type="dxa"/>
            <w:tcBorders>
              <w:top w:val="single" w:color="auto" w:sz="4" w:space="0"/>
              <w:left w:val="nil"/>
              <w:bottom w:val="single" w:color="auto" w:sz="4" w:space="0"/>
              <w:right w:val="single" w:color="auto" w:sz="4" w:space="0"/>
            </w:tcBorders>
          </w:tcPr>
          <w:p>
            <w:pPr>
              <w:ind w:left="905" w:hanging="1032"/>
              <w:rPr>
                <w:rFonts w:hint="eastAsia" w:asciiTheme="minorEastAsia" w:hAnsiTheme="minorEastAsia" w:eastAsiaTheme="minorEastAsia" w:cstheme="minorEastAsia"/>
                <w:color w:val="auto"/>
                <w:sz w:val="21"/>
                <w:szCs w:val="21"/>
                <w:highlight w:val="none"/>
              </w:rPr>
            </w:pPr>
          </w:p>
        </w:tc>
      </w:tr>
    </w:tbl>
    <w:p>
      <w:pPr>
        <w:ind w:left="1032" w:hanging="1032"/>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p>
    <w:p>
      <w:pPr>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ind w:firstLine="4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ind w:firstLine="2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ind w:firstLine="42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投标申请人：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rPr>
        <w:t>签章</w:t>
      </w:r>
      <w:r>
        <w:rPr>
          <w:rFonts w:hint="eastAsia" w:asciiTheme="minorEastAsia" w:hAnsiTheme="minorEastAsia" w:eastAsiaTheme="minorEastAsia" w:cstheme="minorEastAsia"/>
          <w:color w:val="auto"/>
          <w:sz w:val="21"/>
          <w:szCs w:val="21"/>
          <w:highlight w:val="none"/>
          <w:u w:val="none"/>
        </w:rPr>
        <w:t xml:space="preserve">) </w:t>
      </w:r>
    </w:p>
    <w:p>
      <w:pPr>
        <w:ind w:firstLine="420"/>
        <w:rPr>
          <w:rFonts w:hint="eastAsia" w:asciiTheme="minorEastAsia" w:hAnsiTheme="minorEastAsia" w:eastAsiaTheme="minorEastAsia" w:cstheme="minorEastAsia"/>
          <w:color w:val="auto"/>
          <w:sz w:val="21"/>
          <w:szCs w:val="21"/>
          <w:highlight w:val="none"/>
          <w:u w:val="single"/>
        </w:rPr>
      </w:pPr>
    </w:p>
    <w:p>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cstheme="minorEastAsia"/>
          <w:color w:val="auto"/>
          <w:sz w:val="21"/>
          <w:szCs w:val="21"/>
          <w:highlight w:val="none"/>
          <w:u w:val="none"/>
          <w:lang w:eastAsia="zh-CN"/>
        </w:rPr>
        <w:t>签章</w:t>
      </w:r>
      <w:r>
        <w:rPr>
          <w:rFonts w:hint="eastAsia" w:asciiTheme="minorEastAsia" w:hAnsiTheme="minorEastAsia" w:eastAsiaTheme="minorEastAsia" w:cstheme="minorEastAsia"/>
          <w:color w:val="auto"/>
          <w:sz w:val="21"/>
          <w:szCs w:val="21"/>
          <w:highlight w:val="none"/>
          <w:u w:val="none"/>
        </w:rPr>
        <w:t xml:space="preserve">)             </w:t>
      </w:r>
    </w:p>
    <w:p>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    </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ind w:left="1260" w:hanging="8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注：1、投标申请人应随此表附上相关的业绩证明（如中标通知书、合同等的原件扫描件）；</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2、如有多个正在进行设计项目，可按此表格扩展。</w:t>
      </w:r>
    </w:p>
    <w:p>
      <w:pPr>
        <w:spacing w:line="360" w:lineRule="auto"/>
        <w:ind w:firstLine="6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p>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p>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(e)项目设计组配备情况表</w:t>
      </w:r>
    </w:p>
    <w:p>
      <w:pPr>
        <w:spacing w:line="360" w:lineRule="auto"/>
        <w:ind w:firstLine="6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tbl>
      <w:tblPr>
        <w:tblStyle w:val="2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493" w:type="dxa"/>
            <w:tcBorders>
              <w:top w:val="single" w:color="auto" w:sz="4" w:space="0"/>
              <w:left w:val="nil"/>
              <w:bottom w:val="single" w:color="auto" w:sz="4" w:space="0"/>
              <w:right w:val="single" w:color="auto" w:sz="4" w:space="0"/>
            </w:tcBorders>
          </w:tcPr>
          <w:p>
            <w:pPr>
              <w:spacing w:line="360" w:lineRule="auto"/>
              <w:ind w:firstLine="2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747" w:type="dxa"/>
            <w:tcBorders>
              <w:top w:val="single" w:color="auto" w:sz="4" w:space="0"/>
              <w:left w:val="nil"/>
              <w:bottom w:val="single" w:color="auto" w:sz="4" w:space="0"/>
              <w:right w:val="single" w:color="auto" w:sz="4" w:space="0"/>
            </w:tcBorders>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年龄</w:t>
            </w:r>
          </w:p>
        </w:tc>
        <w:tc>
          <w:tcPr>
            <w:tcW w:w="846" w:type="dxa"/>
            <w:tcBorders>
              <w:top w:val="single" w:color="auto" w:sz="4" w:space="0"/>
              <w:left w:val="nil"/>
              <w:bottom w:val="single" w:color="auto" w:sz="4" w:space="0"/>
              <w:right w:val="single" w:color="auto" w:sz="4" w:space="0"/>
            </w:tcBorders>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1020" w:type="dxa"/>
            <w:tcBorders>
              <w:top w:val="single" w:color="auto" w:sz="4" w:space="0"/>
              <w:left w:val="nil"/>
              <w:bottom w:val="single" w:color="auto" w:sz="4" w:space="0"/>
              <w:right w:val="single" w:color="auto" w:sz="4" w:space="0"/>
            </w:tcBorders>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 历</w:t>
            </w:r>
          </w:p>
        </w:tc>
        <w:tc>
          <w:tcPr>
            <w:tcW w:w="846" w:type="dxa"/>
            <w:tcBorders>
              <w:top w:val="single" w:color="auto" w:sz="4" w:space="0"/>
              <w:left w:val="nil"/>
              <w:bottom w:val="single" w:color="auto" w:sz="4" w:space="0"/>
              <w:right w:val="single" w:color="auto" w:sz="4" w:space="0"/>
            </w:tcBorders>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915" w:type="dxa"/>
            <w:tcBorders>
              <w:top w:val="single" w:color="auto" w:sz="4" w:space="0"/>
              <w:left w:val="nil"/>
              <w:bottom w:val="single" w:color="auto" w:sz="4" w:space="0"/>
              <w:right w:val="single" w:color="auto" w:sz="4" w:space="0"/>
            </w:tcBorders>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2359" w:type="dxa"/>
            <w:tcBorders>
              <w:top w:val="single" w:color="auto" w:sz="4" w:space="0"/>
              <w:left w:val="nil"/>
              <w:bottom w:val="single" w:color="auto" w:sz="4" w:space="0"/>
              <w:right w:val="single" w:color="auto" w:sz="4" w:space="0"/>
            </w:tcBorders>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493"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747"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20"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846"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915"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2359" w:type="dxa"/>
            <w:tcBorders>
              <w:top w:val="single" w:color="auto" w:sz="4" w:space="0"/>
              <w:left w:val="nil"/>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color w:val="auto"/>
                <w:sz w:val="24"/>
                <w:szCs w:val="24"/>
                <w:highlight w:val="none"/>
              </w:rPr>
            </w:pPr>
          </w:p>
        </w:tc>
      </w:tr>
    </w:tbl>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ind w:firstLine="42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投标申请人：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rPr>
        <w:t>签章</w:t>
      </w:r>
      <w:r>
        <w:rPr>
          <w:rFonts w:hint="eastAsia" w:asciiTheme="minorEastAsia" w:hAnsiTheme="minorEastAsia" w:eastAsiaTheme="minorEastAsia" w:cstheme="minorEastAsia"/>
          <w:color w:val="auto"/>
          <w:sz w:val="21"/>
          <w:szCs w:val="21"/>
          <w:highlight w:val="none"/>
          <w:u w:val="none"/>
        </w:rPr>
        <w:t xml:space="preserve">) </w:t>
      </w:r>
    </w:p>
    <w:p>
      <w:pPr>
        <w:ind w:firstLine="420"/>
        <w:rPr>
          <w:rFonts w:hint="eastAsia" w:asciiTheme="minorEastAsia" w:hAnsiTheme="minorEastAsia" w:eastAsiaTheme="minorEastAsia" w:cstheme="minorEastAsia"/>
          <w:color w:val="auto"/>
          <w:sz w:val="21"/>
          <w:szCs w:val="21"/>
          <w:highlight w:val="none"/>
          <w:u w:val="single"/>
        </w:rPr>
      </w:pPr>
    </w:p>
    <w:p>
      <w:pPr>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cstheme="minorEastAsia"/>
          <w:color w:val="auto"/>
          <w:sz w:val="21"/>
          <w:szCs w:val="21"/>
          <w:highlight w:val="none"/>
          <w:u w:val="none"/>
          <w:lang w:eastAsia="zh-CN"/>
        </w:rPr>
        <w:t>签章</w:t>
      </w: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eastAsiaTheme="minorEastAsia" w:cstheme="minorEastAsia"/>
          <w:color w:val="auto"/>
          <w:sz w:val="24"/>
          <w:szCs w:val="24"/>
          <w:highlight w:val="none"/>
          <w:u w:val="none"/>
        </w:rPr>
        <w:t xml:space="preserve">  </w:t>
      </w:r>
    </w:p>
    <w:p>
      <w:pP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p>
    <w:p>
      <w:pPr>
        <w:pStyle w:val="19"/>
        <w:rPr>
          <w:rFonts w:hint="eastAsia"/>
          <w:color w:val="auto"/>
          <w:highlight w:val="none"/>
        </w:rPr>
      </w:pPr>
    </w:p>
    <w:p>
      <w:pPr>
        <w:jc w:val="both"/>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(f)主要设计人员简历表</w:t>
      </w:r>
    </w:p>
    <w:tbl>
      <w:tblPr>
        <w:tblStyle w:val="20"/>
        <w:tblpPr w:leftFromText="180" w:rightFromText="180" w:vertAnchor="text" w:horzAnchor="page" w:tblpX="1328" w:tblpY="224"/>
        <w:tblOverlap w:val="never"/>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1851" w:type="dxa"/>
            <w:gridSpan w:val="2"/>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041" w:type="dxa"/>
            <w:gridSpan w:val="2"/>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 别</w:t>
            </w:r>
          </w:p>
        </w:tc>
        <w:tc>
          <w:tcPr>
            <w:tcW w:w="1041"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p>
        </w:tc>
        <w:tc>
          <w:tcPr>
            <w:tcW w:w="1041" w:type="dxa"/>
            <w:gridSpan w:val="2"/>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出生 日  期</w:t>
            </w:r>
          </w:p>
        </w:tc>
        <w:tc>
          <w:tcPr>
            <w:tcW w:w="2876" w:type="dxa"/>
            <w:gridSpan w:val="2"/>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2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毕业院校及专业</w:t>
            </w:r>
          </w:p>
        </w:tc>
        <w:tc>
          <w:tcPr>
            <w:tcW w:w="3933" w:type="dxa"/>
            <w:gridSpan w:val="5"/>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p>
        </w:tc>
        <w:tc>
          <w:tcPr>
            <w:tcW w:w="1041" w:type="dxa"/>
            <w:gridSpan w:val="2"/>
            <w:tcBorders>
              <w:top w:val="single" w:color="auto" w:sz="4" w:space="0"/>
              <w:left w:val="nil"/>
              <w:bottom w:val="single" w:color="auto" w:sz="4" w:space="0"/>
              <w:right w:val="single" w:color="auto" w:sz="4" w:space="0"/>
            </w:tcBorders>
            <w:vAlign w:val="center"/>
          </w:tcPr>
          <w:p>
            <w:pPr>
              <w:ind w:left="-1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毕业 时  间</w:t>
            </w:r>
          </w:p>
        </w:tc>
        <w:tc>
          <w:tcPr>
            <w:tcW w:w="2876" w:type="dxa"/>
            <w:gridSpan w:val="2"/>
            <w:tcBorders>
              <w:top w:val="single" w:color="auto" w:sz="4" w:space="0"/>
              <w:left w:val="nil"/>
              <w:bottom w:val="single" w:color="auto" w:sz="4" w:space="0"/>
              <w:right w:val="single" w:color="auto" w:sz="4" w:space="0"/>
            </w:tcBorders>
            <w:vAlign w:val="center"/>
          </w:tcPr>
          <w:p>
            <w:pPr>
              <w:ind w:left="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从事本专业时间</w:t>
            </w:r>
          </w:p>
        </w:tc>
        <w:tc>
          <w:tcPr>
            <w:tcW w:w="1851" w:type="dxa"/>
            <w:gridSpan w:val="2"/>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p>
        </w:tc>
        <w:tc>
          <w:tcPr>
            <w:tcW w:w="2429" w:type="dxa"/>
            <w:gridSpan w:val="3"/>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为投标人服务时间</w:t>
            </w:r>
          </w:p>
        </w:tc>
        <w:tc>
          <w:tcPr>
            <w:tcW w:w="2892"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执 业 注 册</w:t>
            </w:r>
          </w:p>
        </w:tc>
        <w:tc>
          <w:tcPr>
            <w:tcW w:w="1851" w:type="dxa"/>
            <w:gridSpan w:val="2"/>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p>
        </w:tc>
        <w:tc>
          <w:tcPr>
            <w:tcW w:w="2429" w:type="dxa"/>
            <w:gridSpan w:val="3"/>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称</w:t>
            </w:r>
          </w:p>
        </w:tc>
        <w:tc>
          <w:tcPr>
            <w:tcW w:w="2892" w:type="dxa"/>
            <w:gridSpan w:val="3"/>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70" w:type="dxa"/>
            <w:gridSpan w:val="10"/>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   间</w:t>
            </w:r>
          </w:p>
        </w:tc>
        <w:tc>
          <w:tcPr>
            <w:tcW w:w="4396" w:type="dxa"/>
            <w:gridSpan w:val="7"/>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参加过的工程设计项目名称及规模</w:t>
            </w:r>
          </w:p>
        </w:tc>
        <w:tc>
          <w:tcPr>
            <w:tcW w:w="277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2198" w:type="dxa"/>
            <w:gridSpan w:val="2"/>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sz w:val="24"/>
                <w:szCs w:val="24"/>
                <w:highlight w:val="none"/>
              </w:rPr>
            </w:pPr>
          </w:p>
        </w:tc>
        <w:tc>
          <w:tcPr>
            <w:tcW w:w="4396" w:type="dxa"/>
            <w:gridSpan w:val="7"/>
            <w:tcBorders>
              <w:top w:val="single" w:color="auto" w:sz="4" w:space="0"/>
              <w:left w:val="nil"/>
              <w:bottom w:val="single" w:color="auto" w:sz="4" w:space="0"/>
              <w:right w:val="single" w:color="auto" w:sz="4" w:space="0"/>
            </w:tcBorders>
          </w:tcPr>
          <w:p>
            <w:pPr>
              <w:rPr>
                <w:rFonts w:hint="eastAsia" w:asciiTheme="minorEastAsia" w:hAnsiTheme="minorEastAsia" w:eastAsiaTheme="minorEastAsia" w:cstheme="minorEastAsia"/>
                <w:color w:val="auto"/>
                <w:sz w:val="24"/>
                <w:szCs w:val="24"/>
                <w:highlight w:val="none"/>
              </w:rPr>
            </w:pPr>
          </w:p>
        </w:tc>
        <w:tc>
          <w:tcPr>
            <w:tcW w:w="2776" w:type="dxa"/>
            <w:tcBorders>
              <w:top w:val="single" w:color="auto" w:sz="4" w:space="0"/>
              <w:left w:val="nil"/>
              <w:bottom w:val="single" w:color="auto" w:sz="4" w:space="0"/>
              <w:right w:val="single" w:color="auto" w:sz="4" w:space="0"/>
            </w:tcBorders>
          </w:tcPr>
          <w:p>
            <w:pPr>
              <w:rPr>
                <w:rFonts w:hint="eastAsia" w:asciiTheme="minorEastAsia" w:hAnsiTheme="minorEastAsia" w:eastAsiaTheme="minorEastAsia" w:cstheme="minorEastAsia"/>
                <w:color w:val="auto"/>
                <w:sz w:val="24"/>
                <w:szCs w:val="24"/>
                <w:highlight w:val="none"/>
              </w:rPr>
            </w:pPr>
          </w:p>
        </w:tc>
      </w:tr>
    </w:tbl>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ind w:firstLine="420"/>
        <w:rPr>
          <w:rFonts w:hint="eastAsia" w:asciiTheme="minorEastAsia" w:hAnsiTheme="minorEastAsia" w:eastAsiaTheme="minorEastAsia" w:cstheme="minorEastAsia"/>
          <w:color w:val="auto"/>
          <w:sz w:val="24"/>
          <w:szCs w:val="24"/>
          <w:highlight w:val="none"/>
          <w:u w:val="single"/>
        </w:rPr>
      </w:pPr>
    </w:p>
    <w:p>
      <w:pPr>
        <w:ind w:firstLine="42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投标申请人：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rPr>
        <w:t>签章</w:t>
      </w:r>
      <w:r>
        <w:rPr>
          <w:rFonts w:hint="eastAsia" w:asciiTheme="minorEastAsia" w:hAnsiTheme="minorEastAsia" w:eastAsiaTheme="minorEastAsia" w:cstheme="minorEastAsia"/>
          <w:color w:val="auto"/>
          <w:sz w:val="21"/>
          <w:szCs w:val="21"/>
          <w:highlight w:val="none"/>
          <w:u w:val="none"/>
        </w:rPr>
        <w:t xml:space="preserve">) </w:t>
      </w:r>
    </w:p>
    <w:p>
      <w:pPr>
        <w:ind w:firstLine="420"/>
        <w:rPr>
          <w:rFonts w:hint="eastAsia" w:asciiTheme="minorEastAsia" w:hAnsiTheme="minorEastAsia" w:eastAsiaTheme="minorEastAsia" w:cstheme="minorEastAsia"/>
          <w:color w:val="auto"/>
          <w:sz w:val="21"/>
          <w:szCs w:val="21"/>
          <w:highlight w:val="none"/>
          <w:u w:val="single"/>
        </w:rPr>
      </w:pPr>
    </w:p>
    <w:p>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cstheme="minorEastAsia"/>
          <w:color w:val="auto"/>
          <w:sz w:val="21"/>
          <w:szCs w:val="21"/>
          <w:highlight w:val="none"/>
          <w:u w:val="none"/>
          <w:lang w:eastAsia="zh-CN"/>
        </w:rPr>
        <w:t>签章</w:t>
      </w:r>
      <w:r>
        <w:rPr>
          <w:rFonts w:hint="eastAsia" w:asciiTheme="minorEastAsia" w:hAnsiTheme="minorEastAsia" w:eastAsiaTheme="minorEastAsia" w:cstheme="minorEastAsia"/>
          <w:color w:val="auto"/>
          <w:sz w:val="21"/>
          <w:szCs w:val="21"/>
          <w:highlight w:val="none"/>
          <w:u w:val="none"/>
        </w:rPr>
        <w:t xml:space="preserve">)             </w:t>
      </w:r>
    </w:p>
    <w:p>
      <w:pP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p>
    <w:p>
      <w:pPr>
        <w:ind w:left="945" w:hanging="5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jc w:val="center"/>
        <w:rPr>
          <w:rFonts w:hint="eastAsia" w:asciiTheme="minorEastAsia" w:hAnsiTheme="minorEastAsia" w:eastAsiaTheme="minorEastAsia" w:cstheme="minorEastAsia"/>
          <w:color w:val="auto"/>
          <w:sz w:val="24"/>
          <w:szCs w:val="24"/>
          <w:highlight w:val="none"/>
        </w:rPr>
      </w:pPr>
    </w:p>
    <w:p>
      <w:pPr>
        <w:jc w:val="center"/>
        <w:rPr>
          <w:rFonts w:hint="eastAsia" w:asciiTheme="minorEastAsia" w:hAnsiTheme="minorEastAsia" w:eastAsiaTheme="minorEastAsia" w:cstheme="minorEastAsia"/>
          <w:color w:val="auto"/>
          <w:sz w:val="24"/>
          <w:szCs w:val="24"/>
          <w:highlight w:val="none"/>
        </w:rPr>
      </w:pPr>
    </w:p>
    <w:p>
      <w:pPr>
        <w:pStyle w:val="19"/>
        <w:rPr>
          <w:rFonts w:hint="eastAsia"/>
          <w:color w:val="auto"/>
          <w:highlight w:val="none"/>
        </w:rPr>
      </w:pPr>
    </w:p>
    <w:p>
      <w:pPr>
        <w:jc w:val="center"/>
        <w:outlineLvl w:val="1"/>
        <w:rPr>
          <w:rFonts w:hint="eastAsia" w:asciiTheme="minorEastAsia" w:hAnsiTheme="minorEastAsia" w:eastAsiaTheme="minorEastAsia" w:cstheme="minorEastAsia"/>
          <w:color w:val="auto"/>
          <w:sz w:val="24"/>
          <w:szCs w:val="24"/>
          <w:highlight w:val="none"/>
        </w:rPr>
      </w:pPr>
      <w:bookmarkStart w:id="140" w:name="_Toc6294"/>
      <w:r>
        <w:rPr>
          <w:rFonts w:hint="eastAsia" w:asciiTheme="minorEastAsia" w:hAnsiTheme="minorEastAsia" w:eastAsiaTheme="minorEastAsia" w:cstheme="minorEastAsia"/>
          <w:b/>
          <w:bCs/>
          <w:color w:val="auto"/>
          <w:sz w:val="24"/>
          <w:szCs w:val="24"/>
          <w:highlight w:val="none"/>
        </w:rPr>
        <w:t>五、近年财务状况</w:t>
      </w:r>
      <w:bookmarkEnd w:id="140"/>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jc w:val="center"/>
        <w:outlineLvl w:val="1"/>
        <w:rPr>
          <w:rFonts w:hint="eastAsia" w:asciiTheme="minorEastAsia" w:hAnsiTheme="minorEastAsia" w:eastAsiaTheme="minorEastAsia" w:cstheme="minorEastAsia"/>
          <w:color w:val="auto"/>
          <w:sz w:val="24"/>
          <w:szCs w:val="24"/>
          <w:highlight w:val="none"/>
        </w:rPr>
      </w:pPr>
      <w:bookmarkStart w:id="141" w:name="_Toc32377"/>
      <w:r>
        <w:rPr>
          <w:rFonts w:hint="eastAsia" w:asciiTheme="minorEastAsia" w:hAnsiTheme="minorEastAsia" w:eastAsiaTheme="minorEastAsia" w:cstheme="minorEastAsia"/>
          <w:b/>
          <w:bCs/>
          <w:color w:val="auto"/>
          <w:sz w:val="24"/>
          <w:szCs w:val="24"/>
          <w:highlight w:val="none"/>
        </w:rPr>
        <w:t>六、服务承诺</w:t>
      </w:r>
      <w:bookmarkEnd w:id="141"/>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pStyle w:val="19"/>
        <w:rPr>
          <w:rFonts w:hint="eastAsia"/>
          <w:color w:val="auto"/>
          <w:highlight w:val="none"/>
        </w:rPr>
      </w:pP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jc w:val="center"/>
        <w:outlineLvl w:val="1"/>
        <w:rPr>
          <w:rFonts w:hint="eastAsia" w:asciiTheme="minorEastAsia" w:hAnsiTheme="minorEastAsia" w:eastAsiaTheme="minorEastAsia" w:cstheme="minorEastAsia"/>
          <w:b/>
          <w:bCs/>
          <w:color w:val="auto"/>
          <w:sz w:val="24"/>
          <w:szCs w:val="24"/>
          <w:highlight w:val="none"/>
        </w:rPr>
      </w:pPr>
      <w:bookmarkStart w:id="142" w:name="_Toc21671"/>
      <w:r>
        <w:rPr>
          <w:rFonts w:hint="eastAsia" w:asciiTheme="minorEastAsia" w:hAnsiTheme="minorEastAsia" w:eastAsiaTheme="minorEastAsia" w:cstheme="minorEastAsia"/>
          <w:b/>
          <w:bCs/>
          <w:color w:val="auto"/>
          <w:sz w:val="24"/>
          <w:szCs w:val="24"/>
          <w:highlight w:val="none"/>
        </w:rPr>
        <w:t>七、设计方案及工作大纲</w:t>
      </w:r>
      <w:bookmarkEnd w:id="142"/>
    </w:p>
    <w:p>
      <w:pPr>
        <w:jc w:val="center"/>
        <w:rPr>
          <w:rFonts w:hint="eastAsia" w:asciiTheme="minorEastAsia" w:hAnsiTheme="minorEastAsia" w:eastAsiaTheme="minorEastAsia" w:cstheme="minorEastAsia"/>
          <w:color w:val="auto"/>
          <w:spacing w:val="-20"/>
          <w:sz w:val="24"/>
          <w:szCs w:val="24"/>
          <w:highlight w:val="none"/>
        </w:rPr>
      </w:pP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z w:val="24"/>
          <w:szCs w:val="24"/>
          <w:highlight w:val="none"/>
        </w:rPr>
        <w:t>对本项目特点、设计重点的分析，保障设计周期、保障设计质量的主要措施等）</w:t>
      </w:r>
    </w:p>
    <w:p>
      <w:pPr>
        <w:pStyle w:val="19"/>
        <w:rPr>
          <w:rFonts w:hint="eastAsia" w:asciiTheme="minorEastAsia" w:hAnsiTheme="minorEastAsia" w:eastAsiaTheme="minorEastAsia" w:cstheme="minorEastAsia"/>
          <w:color w:val="auto"/>
          <w:sz w:val="24"/>
          <w:szCs w:val="24"/>
          <w:highlight w:val="none"/>
        </w:rPr>
      </w:pPr>
    </w:p>
    <w:p>
      <w:pPr>
        <w:rPr>
          <w:rFonts w:hint="eastAsia"/>
          <w:color w:val="auto"/>
          <w:highlight w:val="none"/>
        </w:rPr>
      </w:pP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jc w:val="center"/>
        <w:outlineLvl w:val="1"/>
        <w:rPr>
          <w:rFonts w:hint="eastAsia" w:asciiTheme="minorEastAsia" w:hAnsiTheme="minorEastAsia" w:eastAsiaTheme="minorEastAsia" w:cstheme="minorEastAsia"/>
          <w:color w:val="auto"/>
          <w:sz w:val="36"/>
          <w:szCs w:val="36"/>
          <w:highlight w:val="none"/>
        </w:rPr>
      </w:pPr>
      <w:bookmarkStart w:id="143" w:name="_Toc32201"/>
      <w:r>
        <w:rPr>
          <w:rFonts w:hint="eastAsia" w:asciiTheme="minorEastAsia" w:hAnsiTheme="minorEastAsia" w:eastAsiaTheme="minorEastAsia" w:cstheme="minorEastAsia"/>
          <w:b/>
          <w:bCs/>
          <w:color w:val="auto"/>
          <w:sz w:val="24"/>
          <w:szCs w:val="24"/>
          <w:highlight w:val="none"/>
        </w:rPr>
        <w:t>八、投标人认为有必要提供的其他资料。</w:t>
      </w:r>
      <w:bookmarkEnd w:id="143"/>
    </w:p>
    <w:p>
      <w:pP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 xml:space="preserve"> </w:t>
      </w:r>
    </w:p>
    <w:p>
      <w:pPr>
        <w:rPr>
          <w:rFonts w:hint="eastAsia" w:asciiTheme="minorEastAsia" w:hAnsiTheme="minorEastAsia" w:eastAsiaTheme="minorEastAsia" w:cstheme="minorEastAsia"/>
          <w:color w:val="auto"/>
          <w:highlight w:val="none"/>
        </w:rPr>
      </w:pPr>
      <w:r>
        <w:rPr>
          <w:rStyle w:val="25"/>
          <w:rFonts w:hint="eastAsia" w:asciiTheme="minorEastAsia" w:hAnsiTheme="minorEastAsia" w:eastAsiaTheme="minorEastAsia" w:cstheme="minorEastAsia"/>
          <w:color w:val="auto"/>
          <w:highlight w:val="none"/>
        </w:rPr>
        <w:footnoteReference w:id="0"/>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098" o:spid="_x0000_s4098" o:spt="202" type="#_x0000_t202" style="position:absolute;left:0pt;margin-left:291pt;margin-top:782.1pt;height:11pt;width:13.15pt;mso-position-horizontal-relative:page;mso-position-vertical-relative:page;z-index:-25466368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15"/>
      </w:pPr>
      <w:r>
        <w:rPr>
          <w:rStyle w:val="25"/>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B8478"/>
    <w:multiLevelType w:val="singleLevel"/>
    <w:tmpl w:val="81FB8478"/>
    <w:lvl w:ilvl="0" w:tentative="0">
      <w:start w:val="6"/>
      <w:numFmt w:val="upperLetter"/>
      <w:suff w:val="nothing"/>
      <w:lvlText w:val="%1-"/>
      <w:lvlJc w:val="left"/>
    </w:lvl>
  </w:abstractNum>
  <w:abstractNum w:abstractNumId="1">
    <w:nsid w:val="8461FADE"/>
    <w:multiLevelType w:val="multilevel"/>
    <w:tmpl w:val="8461FADE"/>
    <w:lvl w:ilvl="0" w:tentative="0">
      <w:start w:val="4"/>
      <w:numFmt w:val="decimal"/>
      <w:lvlText w:val="%1"/>
      <w:lvlJc w:val="left"/>
      <w:pPr>
        <w:ind w:left="1536" w:hanging="440"/>
        <w:jc w:val="left"/>
      </w:pPr>
      <w:rPr>
        <w:rFonts w:hint="default"/>
        <w:lang w:val="zh-CN" w:eastAsia="zh-CN" w:bidi="zh-CN"/>
      </w:rPr>
    </w:lvl>
    <w:lvl w:ilvl="1" w:tentative="0">
      <w:start w:val="1"/>
      <w:numFmt w:val="decimal"/>
      <w:lvlText w:val="%1.%2"/>
      <w:lvlJc w:val="left"/>
      <w:pPr>
        <w:ind w:left="1536" w:hanging="440"/>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3309" w:hanging="440"/>
      </w:pPr>
      <w:rPr>
        <w:rFonts w:hint="default"/>
        <w:lang w:val="zh-CN" w:eastAsia="zh-CN" w:bidi="zh-CN"/>
      </w:rPr>
    </w:lvl>
    <w:lvl w:ilvl="3" w:tentative="0">
      <w:start w:val="0"/>
      <w:numFmt w:val="bullet"/>
      <w:lvlText w:val="•"/>
      <w:lvlJc w:val="left"/>
      <w:pPr>
        <w:ind w:left="4193" w:hanging="440"/>
      </w:pPr>
      <w:rPr>
        <w:rFonts w:hint="default"/>
        <w:lang w:val="zh-CN" w:eastAsia="zh-CN" w:bidi="zh-CN"/>
      </w:rPr>
    </w:lvl>
    <w:lvl w:ilvl="4" w:tentative="0">
      <w:start w:val="0"/>
      <w:numFmt w:val="bullet"/>
      <w:lvlText w:val="•"/>
      <w:lvlJc w:val="left"/>
      <w:pPr>
        <w:ind w:left="5078" w:hanging="440"/>
      </w:pPr>
      <w:rPr>
        <w:rFonts w:hint="default"/>
        <w:lang w:val="zh-CN" w:eastAsia="zh-CN" w:bidi="zh-CN"/>
      </w:rPr>
    </w:lvl>
    <w:lvl w:ilvl="5" w:tentative="0">
      <w:start w:val="0"/>
      <w:numFmt w:val="bullet"/>
      <w:lvlText w:val="•"/>
      <w:lvlJc w:val="left"/>
      <w:pPr>
        <w:ind w:left="5963" w:hanging="440"/>
      </w:pPr>
      <w:rPr>
        <w:rFonts w:hint="default"/>
        <w:lang w:val="zh-CN" w:eastAsia="zh-CN" w:bidi="zh-CN"/>
      </w:rPr>
    </w:lvl>
    <w:lvl w:ilvl="6" w:tentative="0">
      <w:start w:val="0"/>
      <w:numFmt w:val="bullet"/>
      <w:lvlText w:val="•"/>
      <w:lvlJc w:val="left"/>
      <w:pPr>
        <w:ind w:left="6847" w:hanging="440"/>
      </w:pPr>
      <w:rPr>
        <w:rFonts w:hint="default"/>
        <w:lang w:val="zh-CN" w:eastAsia="zh-CN" w:bidi="zh-CN"/>
      </w:rPr>
    </w:lvl>
    <w:lvl w:ilvl="7" w:tentative="0">
      <w:start w:val="0"/>
      <w:numFmt w:val="bullet"/>
      <w:lvlText w:val="•"/>
      <w:lvlJc w:val="left"/>
      <w:pPr>
        <w:ind w:left="7732" w:hanging="440"/>
      </w:pPr>
      <w:rPr>
        <w:rFonts w:hint="default"/>
        <w:lang w:val="zh-CN" w:eastAsia="zh-CN" w:bidi="zh-CN"/>
      </w:rPr>
    </w:lvl>
    <w:lvl w:ilvl="8" w:tentative="0">
      <w:start w:val="0"/>
      <w:numFmt w:val="bullet"/>
      <w:lvlText w:val="•"/>
      <w:lvlJc w:val="left"/>
      <w:pPr>
        <w:ind w:left="8616" w:hanging="440"/>
      </w:pPr>
      <w:rPr>
        <w:rFonts w:hint="default"/>
        <w:lang w:val="zh-CN" w:eastAsia="zh-CN" w:bidi="zh-CN"/>
      </w:rPr>
    </w:lvl>
  </w:abstractNum>
  <w:abstractNum w:abstractNumId="2">
    <w:nsid w:val="8A6866CA"/>
    <w:multiLevelType w:val="singleLevel"/>
    <w:tmpl w:val="8A6866CA"/>
    <w:lvl w:ilvl="0" w:tentative="0">
      <w:start w:val="3"/>
      <w:numFmt w:val="decimal"/>
      <w:suff w:val="nothing"/>
      <w:lvlText w:val="%1、"/>
      <w:lvlJc w:val="left"/>
    </w:lvl>
  </w:abstractNum>
  <w:abstractNum w:abstractNumId="3">
    <w:nsid w:val="BE923771"/>
    <w:multiLevelType w:val="multilevel"/>
    <w:tmpl w:val="BE923771"/>
    <w:lvl w:ilvl="0" w:tentative="0">
      <w:start w:val="1"/>
      <w:numFmt w:val="decimal"/>
      <w:lvlText w:val="%1"/>
      <w:lvlJc w:val="left"/>
      <w:pPr>
        <w:ind w:left="1078" w:hanging="333"/>
        <w:jc w:val="left"/>
      </w:pPr>
      <w:rPr>
        <w:rFonts w:hint="default"/>
        <w:lang w:val="zh-CN" w:eastAsia="zh-CN" w:bidi="zh-CN"/>
      </w:rPr>
    </w:lvl>
    <w:lvl w:ilvl="1" w:tentative="0">
      <w:start w:val="1"/>
      <w:numFmt w:val="decimal"/>
      <w:lvlText w:val="%1.%2"/>
      <w:lvlJc w:val="left"/>
      <w:pPr>
        <w:ind w:left="1078" w:hanging="333"/>
        <w:jc w:val="left"/>
      </w:pPr>
      <w:rPr>
        <w:rFonts w:hint="default" w:ascii="宋体" w:hAnsi="宋体" w:eastAsia="宋体" w:cs="宋体"/>
        <w:spacing w:val="-8"/>
        <w:w w:val="100"/>
        <w:sz w:val="20"/>
        <w:szCs w:val="20"/>
        <w:lang w:val="zh-CN" w:eastAsia="zh-CN" w:bidi="zh-CN"/>
      </w:rPr>
    </w:lvl>
    <w:lvl w:ilvl="2" w:tentative="0">
      <w:start w:val="0"/>
      <w:numFmt w:val="bullet"/>
      <w:lvlText w:val="•"/>
      <w:lvlJc w:val="left"/>
      <w:pPr>
        <w:ind w:left="2941" w:hanging="333"/>
      </w:pPr>
      <w:rPr>
        <w:rFonts w:hint="default"/>
        <w:lang w:val="zh-CN" w:eastAsia="zh-CN" w:bidi="zh-CN"/>
      </w:rPr>
    </w:lvl>
    <w:lvl w:ilvl="3" w:tentative="0">
      <w:start w:val="0"/>
      <w:numFmt w:val="bullet"/>
      <w:lvlText w:val="•"/>
      <w:lvlJc w:val="left"/>
      <w:pPr>
        <w:ind w:left="3871" w:hanging="333"/>
      </w:pPr>
      <w:rPr>
        <w:rFonts w:hint="default"/>
        <w:lang w:val="zh-CN" w:eastAsia="zh-CN" w:bidi="zh-CN"/>
      </w:rPr>
    </w:lvl>
    <w:lvl w:ilvl="4" w:tentative="0">
      <w:start w:val="0"/>
      <w:numFmt w:val="bullet"/>
      <w:lvlText w:val="•"/>
      <w:lvlJc w:val="left"/>
      <w:pPr>
        <w:ind w:left="4802" w:hanging="333"/>
      </w:pPr>
      <w:rPr>
        <w:rFonts w:hint="default"/>
        <w:lang w:val="zh-CN" w:eastAsia="zh-CN" w:bidi="zh-CN"/>
      </w:rPr>
    </w:lvl>
    <w:lvl w:ilvl="5" w:tentative="0">
      <w:start w:val="0"/>
      <w:numFmt w:val="bullet"/>
      <w:lvlText w:val="•"/>
      <w:lvlJc w:val="left"/>
      <w:pPr>
        <w:ind w:left="5733" w:hanging="333"/>
      </w:pPr>
      <w:rPr>
        <w:rFonts w:hint="default"/>
        <w:lang w:val="zh-CN" w:eastAsia="zh-CN" w:bidi="zh-CN"/>
      </w:rPr>
    </w:lvl>
    <w:lvl w:ilvl="6" w:tentative="0">
      <w:start w:val="0"/>
      <w:numFmt w:val="bullet"/>
      <w:lvlText w:val="•"/>
      <w:lvlJc w:val="left"/>
      <w:pPr>
        <w:ind w:left="6663" w:hanging="333"/>
      </w:pPr>
      <w:rPr>
        <w:rFonts w:hint="default"/>
        <w:lang w:val="zh-CN" w:eastAsia="zh-CN" w:bidi="zh-CN"/>
      </w:rPr>
    </w:lvl>
    <w:lvl w:ilvl="7" w:tentative="0">
      <w:start w:val="0"/>
      <w:numFmt w:val="bullet"/>
      <w:lvlText w:val="•"/>
      <w:lvlJc w:val="left"/>
      <w:pPr>
        <w:ind w:left="7594" w:hanging="333"/>
      </w:pPr>
      <w:rPr>
        <w:rFonts w:hint="default"/>
        <w:lang w:val="zh-CN" w:eastAsia="zh-CN" w:bidi="zh-CN"/>
      </w:rPr>
    </w:lvl>
    <w:lvl w:ilvl="8" w:tentative="0">
      <w:start w:val="0"/>
      <w:numFmt w:val="bullet"/>
      <w:lvlText w:val="•"/>
      <w:lvlJc w:val="left"/>
      <w:pPr>
        <w:ind w:left="8524" w:hanging="333"/>
      </w:pPr>
      <w:rPr>
        <w:rFonts w:hint="default"/>
        <w:lang w:val="zh-CN" w:eastAsia="zh-CN" w:bidi="zh-CN"/>
      </w:rPr>
    </w:lvl>
  </w:abstractNum>
  <w:abstractNum w:abstractNumId="4">
    <w:nsid w:val="E093A4B0"/>
    <w:multiLevelType w:val="multilevel"/>
    <w:tmpl w:val="E093A4B0"/>
    <w:lvl w:ilvl="0" w:tentative="0">
      <w:start w:val="13"/>
      <w:numFmt w:val="decimal"/>
      <w:lvlText w:val="%1"/>
      <w:lvlJc w:val="left"/>
      <w:pPr>
        <w:ind w:left="1738" w:hanging="660"/>
        <w:jc w:val="left"/>
      </w:pPr>
      <w:rPr>
        <w:rFonts w:hint="default"/>
        <w:lang w:val="zh-CN" w:eastAsia="zh-CN" w:bidi="zh-CN"/>
      </w:rPr>
    </w:lvl>
    <w:lvl w:ilvl="1" w:tentative="0">
      <w:start w:val="1"/>
      <w:numFmt w:val="decimal"/>
      <w:lvlText w:val="%1.%2"/>
      <w:lvlJc w:val="left"/>
      <w:pPr>
        <w:ind w:left="1738" w:hanging="660"/>
        <w:jc w:val="righ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3469" w:hanging="660"/>
      </w:pPr>
      <w:rPr>
        <w:rFonts w:hint="default"/>
        <w:lang w:val="zh-CN" w:eastAsia="zh-CN" w:bidi="zh-CN"/>
      </w:rPr>
    </w:lvl>
    <w:lvl w:ilvl="3" w:tentative="0">
      <w:start w:val="0"/>
      <w:numFmt w:val="bullet"/>
      <w:lvlText w:val="•"/>
      <w:lvlJc w:val="left"/>
      <w:pPr>
        <w:ind w:left="4333" w:hanging="660"/>
      </w:pPr>
      <w:rPr>
        <w:rFonts w:hint="default"/>
        <w:lang w:val="zh-CN" w:eastAsia="zh-CN" w:bidi="zh-CN"/>
      </w:rPr>
    </w:lvl>
    <w:lvl w:ilvl="4" w:tentative="0">
      <w:start w:val="0"/>
      <w:numFmt w:val="bullet"/>
      <w:lvlText w:val="•"/>
      <w:lvlJc w:val="left"/>
      <w:pPr>
        <w:ind w:left="5198" w:hanging="660"/>
      </w:pPr>
      <w:rPr>
        <w:rFonts w:hint="default"/>
        <w:lang w:val="zh-CN" w:eastAsia="zh-CN" w:bidi="zh-CN"/>
      </w:rPr>
    </w:lvl>
    <w:lvl w:ilvl="5" w:tentative="0">
      <w:start w:val="0"/>
      <w:numFmt w:val="bullet"/>
      <w:lvlText w:val="•"/>
      <w:lvlJc w:val="left"/>
      <w:pPr>
        <w:ind w:left="6063" w:hanging="660"/>
      </w:pPr>
      <w:rPr>
        <w:rFonts w:hint="default"/>
        <w:lang w:val="zh-CN" w:eastAsia="zh-CN" w:bidi="zh-CN"/>
      </w:rPr>
    </w:lvl>
    <w:lvl w:ilvl="6" w:tentative="0">
      <w:start w:val="0"/>
      <w:numFmt w:val="bullet"/>
      <w:lvlText w:val="•"/>
      <w:lvlJc w:val="left"/>
      <w:pPr>
        <w:ind w:left="6927" w:hanging="660"/>
      </w:pPr>
      <w:rPr>
        <w:rFonts w:hint="default"/>
        <w:lang w:val="zh-CN" w:eastAsia="zh-CN" w:bidi="zh-CN"/>
      </w:rPr>
    </w:lvl>
    <w:lvl w:ilvl="7" w:tentative="0">
      <w:start w:val="0"/>
      <w:numFmt w:val="bullet"/>
      <w:lvlText w:val="•"/>
      <w:lvlJc w:val="left"/>
      <w:pPr>
        <w:ind w:left="7792" w:hanging="660"/>
      </w:pPr>
      <w:rPr>
        <w:rFonts w:hint="default"/>
        <w:lang w:val="zh-CN" w:eastAsia="zh-CN" w:bidi="zh-CN"/>
      </w:rPr>
    </w:lvl>
    <w:lvl w:ilvl="8" w:tentative="0">
      <w:start w:val="0"/>
      <w:numFmt w:val="bullet"/>
      <w:lvlText w:val="•"/>
      <w:lvlJc w:val="left"/>
      <w:pPr>
        <w:ind w:left="8656" w:hanging="660"/>
      </w:pPr>
      <w:rPr>
        <w:rFonts w:hint="default"/>
        <w:lang w:val="zh-CN" w:eastAsia="zh-CN" w:bidi="zh-CN"/>
      </w:rPr>
    </w:lvl>
  </w:abstractNum>
  <w:abstractNum w:abstractNumId="5">
    <w:nsid w:val="040C5F4D"/>
    <w:multiLevelType w:val="multilevel"/>
    <w:tmpl w:val="040C5F4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9CE335D"/>
    <w:multiLevelType w:val="multilevel"/>
    <w:tmpl w:val="19CE335D"/>
    <w:lvl w:ilvl="0" w:tentative="0">
      <w:start w:val="1"/>
      <w:numFmt w:val="decimal"/>
      <w:suff w:val="space"/>
      <w:lvlText w:val="4.1.%1"/>
      <w:lvlJc w:val="left"/>
      <w:pPr>
        <w:ind w:left="420" w:hanging="420"/>
      </w:pPr>
      <w:rPr>
        <w:rFonts w:hint="eastAsia"/>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43FCF68"/>
    <w:multiLevelType w:val="multilevel"/>
    <w:tmpl w:val="243FCF68"/>
    <w:lvl w:ilvl="0" w:tentative="0">
      <w:start w:val="9"/>
      <w:numFmt w:val="decimal"/>
      <w:lvlText w:val="%1"/>
      <w:lvlJc w:val="left"/>
      <w:pPr>
        <w:ind w:left="1767" w:hanging="550"/>
        <w:jc w:val="left"/>
      </w:pPr>
      <w:rPr>
        <w:rFonts w:hint="default"/>
        <w:lang w:val="zh-CN" w:eastAsia="zh-CN" w:bidi="zh-CN"/>
      </w:rPr>
    </w:lvl>
    <w:lvl w:ilvl="1" w:tentative="0">
      <w:start w:val="1"/>
      <w:numFmt w:val="decimal"/>
      <w:lvlText w:val="%1.%2"/>
      <w:lvlJc w:val="left"/>
      <w:pPr>
        <w:ind w:left="1767" w:hanging="550"/>
        <w:jc w:val="left"/>
      </w:pPr>
      <w:rPr>
        <w:rFonts w:hint="default" w:ascii="宋体" w:hAnsi="宋体" w:eastAsia="宋体" w:cs="宋体"/>
        <w:spacing w:val="-1"/>
        <w:w w:val="100"/>
        <w:sz w:val="22"/>
        <w:szCs w:val="22"/>
        <w:lang w:val="zh-CN" w:eastAsia="zh-CN" w:bidi="zh-CN"/>
      </w:rPr>
    </w:lvl>
    <w:lvl w:ilvl="2" w:tentative="0">
      <w:start w:val="1"/>
      <w:numFmt w:val="decimal"/>
      <w:lvlText w:val="%1.%2.%3"/>
      <w:lvlJc w:val="left"/>
      <w:pPr>
        <w:ind w:left="658" w:hanging="771"/>
        <w:jc w:val="right"/>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3676" w:hanging="771"/>
      </w:pPr>
      <w:rPr>
        <w:rFonts w:hint="default"/>
        <w:lang w:val="zh-CN" w:eastAsia="zh-CN" w:bidi="zh-CN"/>
      </w:rPr>
    </w:lvl>
    <w:lvl w:ilvl="4" w:tentative="0">
      <w:start w:val="0"/>
      <w:numFmt w:val="bullet"/>
      <w:lvlText w:val="•"/>
      <w:lvlJc w:val="left"/>
      <w:pPr>
        <w:ind w:left="4635" w:hanging="771"/>
      </w:pPr>
      <w:rPr>
        <w:rFonts w:hint="default"/>
        <w:lang w:val="zh-CN" w:eastAsia="zh-CN" w:bidi="zh-CN"/>
      </w:rPr>
    </w:lvl>
    <w:lvl w:ilvl="5" w:tentative="0">
      <w:start w:val="0"/>
      <w:numFmt w:val="bullet"/>
      <w:lvlText w:val="•"/>
      <w:lvlJc w:val="left"/>
      <w:pPr>
        <w:ind w:left="5593" w:hanging="771"/>
      </w:pPr>
      <w:rPr>
        <w:rFonts w:hint="default"/>
        <w:lang w:val="zh-CN" w:eastAsia="zh-CN" w:bidi="zh-CN"/>
      </w:rPr>
    </w:lvl>
    <w:lvl w:ilvl="6" w:tentative="0">
      <w:start w:val="0"/>
      <w:numFmt w:val="bullet"/>
      <w:lvlText w:val="•"/>
      <w:lvlJc w:val="left"/>
      <w:pPr>
        <w:ind w:left="6552" w:hanging="771"/>
      </w:pPr>
      <w:rPr>
        <w:rFonts w:hint="default"/>
        <w:lang w:val="zh-CN" w:eastAsia="zh-CN" w:bidi="zh-CN"/>
      </w:rPr>
    </w:lvl>
    <w:lvl w:ilvl="7" w:tentative="0">
      <w:start w:val="0"/>
      <w:numFmt w:val="bullet"/>
      <w:lvlText w:val="•"/>
      <w:lvlJc w:val="left"/>
      <w:pPr>
        <w:ind w:left="7510" w:hanging="771"/>
      </w:pPr>
      <w:rPr>
        <w:rFonts w:hint="default"/>
        <w:lang w:val="zh-CN" w:eastAsia="zh-CN" w:bidi="zh-CN"/>
      </w:rPr>
    </w:lvl>
    <w:lvl w:ilvl="8" w:tentative="0">
      <w:start w:val="0"/>
      <w:numFmt w:val="bullet"/>
      <w:lvlText w:val="•"/>
      <w:lvlJc w:val="left"/>
      <w:pPr>
        <w:ind w:left="8469" w:hanging="771"/>
      </w:pPr>
      <w:rPr>
        <w:rFonts w:hint="default"/>
        <w:lang w:val="zh-CN" w:eastAsia="zh-CN" w:bidi="zh-CN"/>
      </w:rPr>
    </w:lvl>
  </w:abstractNum>
  <w:abstractNum w:abstractNumId="8">
    <w:nsid w:val="307E102E"/>
    <w:multiLevelType w:val="multilevel"/>
    <w:tmpl w:val="307E102E"/>
    <w:lvl w:ilvl="0" w:tentative="0">
      <w:start w:val="1"/>
      <w:numFmt w:val="decimal"/>
      <w:suff w:val="nothing"/>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D94DA66"/>
    <w:multiLevelType w:val="multilevel"/>
    <w:tmpl w:val="4D94DA66"/>
    <w:lvl w:ilvl="0" w:tentative="0">
      <w:start w:val="11"/>
      <w:numFmt w:val="decimal"/>
      <w:lvlText w:val="%1"/>
      <w:lvlJc w:val="left"/>
      <w:pPr>
        <w:ind w:left="658" w:hanging="660"/>
        <w:jc w:val="left"/>
      </w:pPr>
      <w:rPr>
        <w:rFonts w:hint="default"/>
        <w:lang w:val="zh-CN" w:eastAsia="zh-CN" w:bidi="zh-CN"/>
      </w:rPr>
    </w:lvl>
    <w:lvl w:ilvl="1" w:tentative="0">
      <w:start w:val="1"/>
      <w:numFmt w:val="decimal"/>
      <w:lvlText w:val="%1.%2"/>
      <w:lvlJc w:val="left"/>
      <w:pPr>
        <w:ind w:left="658" w:hanging="660"/>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605" w:hanging="660"/>
      </w:pPr>
      <w:rPr>
        <w:rFonts w:hint="default"/>
        <w:lang w:val="zh-CN" w:eastAsia="zh-CN" w:bidi="zh-CN"/>
      </w:rPr>
    </w:lvl>
    <w:lvl w:ilvl="3" w:tentative="0">
      <w:start w:val="0"/>
      <w:numFmt w:val="bullet"/>
      <w:lvlText w:val="•"/>
      <w:lvlJc w:val="left"/>
      <w:pPr>
        <w:ind w:left="3577" w:hanging="660"/>
      </w:pPr>
      <w:rPr>
        <w:rFonts w:hint="default"/>
        <w:lang w:val="zh-CN" w:eastAsia="zh-CN" w:bidi="zh-CN"/>
      </w:rPr>
    </w:lvl>
    <w:lvl w:ilvl="4" w:tentative="0">
      <w:start w:val="0"/>
      <w:numFmt w:val="bullet"/>
      <w:lvlText w:val="•"/>
      <w:lvlJc w:val="left"/>
      <w:pPr>
        <w:ind w:left="4550" w:hanging="660"/>
      </w:pPr>
      <w:rPr>
        <w:rFonts w:hint="default"/>
        <w:lang w:val="zh-CN" w:eastAsia="zh-CN" w:bidi="zh-CN"/>
      </w:rPr>
    </w:lvl>
    <w:lvl w:ilvl="5" w:tentative="0">
      <w:start w:val="0"/>
      <w:numFmt w:val="bullet"/>
      <w:lvlText w:val="•"/>
      <w:lvlJc w:val="left"/>
      <w:pPr>
        <w:ind w:left="5523" w:hanging="660"/>
      </w:pPr>
      <w:rPr>
        <w:rFonts w:hint="default"/>
        <w:lang w:val="zh-CN" w:eastAsia="zh-CN" w:bidi="zh-CN"/>
      </w:rPr>
    </w:lvl>
    <w:lvl w:ilvl="6" w:tentative="0">
      <w:start w:val="0"/>
      <w:numFmt w:val="bullet"/>
      <w:lvlText w:val="•"/>
      <w:lvlJc w:val="left"/>
      <w:pPr>
        <w:ind w:left="6495" w:hanging="660"/>
      </w:pPr>
      <w:rPr>
        <w:rFonts w:hint="default"/>
        <w:lang w:val="zh-CN" w:eastAsia="zh-CN" w:bidi="zh-CN"/>
      </w:rPr>
    </w:lvl>
    <w:lvl w:ilvl="7" w:tentative="0">
      <w:start w:val="0"/>
      <w:numFmt w:val="bullet"/>
      <w:lvlText w:val="•"/>
      <w:lvlJc w:val="left"/>
      <w:pPr>
        <w:ind w:left="7468" w:hanging="660"/>
      </w:pPr>
      <w:rPr>
        <w:rFonts w:hint="default"/>
        <w:lang w:val="zh-CN" w:eastAsia="zh-CN" w:bidi="zh-CN"/>
      </w:rPr>
    </w:lvl>
    <w:lvl w:ilvl="8" w:tentative="0">
      <w:start w:val="0"/>
      <w:numFmt w:val="bullet"/>
      <w:lvlText w:val="•"/>
      <w:lvlJc w:val="left"/>
      <w:pPr>
        <w:ind w:left="8440" w:hanging="660"/>
      </w:pPr>
      <w:rPr>
        <w:rFonts w:hint="default"/>
        <w:lang w:val="zh-CN" w:eastAsia="zh-CN" w:bidi="zh-CN"/>
      </w:rPr>
    </w:lvl>
  </w:abstractNum>
  <w:abstractNum w:abstractNumId="10">
    <w:nsid w:val="58765686"/>
    <w:multiLevelType w:val="multilevel"/>
    <w:tmpl w:val="58765686"/>
    <w:lvl w:ilvl="0" w:tentative="0">
      <w:start w:val="4"/>
      <w:numFmt w:val="decimal"/>
      <w:lvlText w:val="%1"/>
      <w:lvlJc w:val="left"/>
      <w:pPr>
        <w:ind w:left="1536" w:hanging="440"/>
        <w:jc w:val="left"/>
      </w:pPr>
      <w:rPr>
        <w:rFonts w:hint="default"/>
        <w:lang w:val="zh-CN" w:eastAsia="zh-CN" w:bidi="zh-CN"/>
      </w:rPr>
    </w:lvl>
    <w:lvl w:ilvl="1" w:tentative="0">
      <w:start w:val="5"/>
      <w:numFmt w:val="decimal"/>
      <w:lvlText w:val="%1.%2"/>
      <w:lvlJc w:val="left"/>
      <w:pPr>
        <w:ind w:left="1536" w:hanging="440"/>
        <w:jc w:val="righ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3309" w:hanging="440"/>
      </w:pPr>
      <w:rPr>
        <w:rFonts w:hint="default"/>
        <w:lang w:val="zh-CN" w:eastAsia="zh-CN" w:bidi="zh-CN"/>
      </w:rPr>
    </w:lvl>
    <w:lvl w:ilvl="3" w:tentative="0">
      <w:start w:val="0"/>
      <w:numFmt w:val="bullet"/>
      <w:lvlText w:val="•"/>
      <w:lvlJc w:val="left"/>
      <w:pPr>
        <w:ind w:left="4193" w:hanging="440"/>
      </w:pPr>
      <w:rPr>
        <w:rFonts w:hint="default"/>
        <w:lang w:val="zh-CN" w:eastAsia="zh-CN" w:bidi="zh-CN"/>
      </w:rPr>
    </w:lvl>
    <w:lvl w:ilvl="4" w:tentative="0">
      <w:start w:val="0"/>
      <w:numFmt w:val="bullet"/>
      <w:lvlText w:val="•"/>
      <w:lvlJc w:val="left"/>
      <w:pPr>
        <w:ind w:left="5078" w:hanging="440"/>
      </w:pPr>
      <w:rPr>
        <w:rFonts w:hint="default"/>
        <w:lang w:val="zh-CN" w:eastAsia="zh-CN" w:bidi="zh-CN"/>
      </w:rPr>
    </w:lvl>
    <w:lvl w:ilvl="5" w:tentative="0">
      <w:start w:val="0"/>
      <w:numFmt w:val="bullet"/>
      <w:lvlText w:val="•"/>
      <w:lvlJc w:val="left"/>
      <w:pPr>
        <w:ind w:left="5963" w:hanging="440"/>
      </w:pPr>
      <w:rPr>
        <w:rFonts w:hint="default"/>
        <w:lang w:val="zh-CN" w:eastAsia="zh-CN" w:bidi="zh-CN"/>
      </w:rPr>
    </w:lvl>
    <w:lvl w:ilvl="6" w:tentative="0">
      <w:start w:val="0"/>
      <w:numFmt w:val="bullet"/>
      <w:lvlText w:val="•"/>
      <w:lvlJc w:val="left"/>
      <w:pPr>
        <w:ind w:left="6847" w:hanging="440"/>
      </w:pPr>
      <w:rPr>
        <w:rFonts w:hint="default"/>
        <w:lang w:val="zh-CN" w:eastAsia="zh-CN" w:bidi="zh-CN"/>
      </w:rPr>
    </w:lvl>
    <w:lvl w:ilvl="7" w:tentative="0">
      <w:start w:val="0"/>
      <w:numFmt w:val="bullet"/>
      <w:lvlText w:val="•"/>
      <w:lvlJc w:val="left"/>
      <w:pPr>
        <w:ind w:left="7732" w:hanging="440"/>
      </w:pPr>
      <w:rPr>
        <w:rFonts w:hint="default"/>
        <w:lang w:val="zh-CN" w:eastAsia="zh-CN" w:bidi="zh-CN"/>
      </w:rPr>
    </w:lvl>
    <w:lvl w:ilvl="8" w:tentative="0">
      <w:start w:val="0"/>
      <w:numFmt w:val="bullet"/>
      <w:lvlText w:val="•"/>
      <w:lvlJc w:val="left"/>
      <w:pPr>
        <w:ind w:left="8616" w:hanging="440"/>
      </w:pPr>
      <w:rPr>
        <w:rFonts w:hint="default"/>
        <w:lang w:val="zh-CN" w:eastAsia="zh-CN" w:bidi="zh-CN"/>
      </w:rPr>
    </w:lvl>
  </w:abstractNum>
  <w:abstractNum w:abstractNumId="11">
    <w:nsid w:val="63B857F2"/>
    <w:multiLevelType w:val="multilevel"/>
    <w:tmpl w:val="63B857F2"/>
    <w:lvl w:ilvl="0" w:tentative="0">
      <w:start w:val="1"/>
      <w:numFmt w:val="decimal"/>
      <w:suff w:val="space"/>
      <w:lvlText w:val="3.4.%1"/>
      <w:lvlJc w:val="left"/>
      <w:pPr>
        <w:ind w:left="420" w:hanging="420"/>
      </w:pPr>
      <w:rPr>
        <w:rFonts w:hint="eastAsia"/>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76F3166E"/>
    <w:multiLevelType w:val="multilevel"/>
    <w:tmpl w:val="76F3166E"/>
    <w:lvl w:ilvl="0" w:tentative="0">
      <w:start w:val="1"/>
      <w:numFmt w:val="low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C82572C"/>
    <w:multiLevelType w:val="multilevel"/>
    <w:tmpl w:val="7C82572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DEC2089"/>
    <w:multiLevelType w:val="multilevel"/>
    <w:tmpl w:val="7DEC2089"/>
    <w:lvl w:ilvl="0" w:tentative="0">
      <w:start w:val="7"/>
      <w:numFmt w:val="decimal"/>
      <w:lvlText w:val="%1"/>
      <w:lvlJc w:val="left"/>
      <w:pPr>
        <w:ind w:left="658" w:hanging="387"/>
        <w:jc w:val="left"/>
      </w:pPr>
      <w:rPr>
        <w:rFonts w:hint="default"/>
        <w:lang w:val="zh-CN" w:eastAsia="zh-CN" w:bidi="zh-CN"/>
      </w:rPr>
    </w:lvl>
    <w:lvl w:ilvl="1" w:tentative="0">
      <w:start w:val="1"/>
      <w:numFmt w:val="decimal"/>
      <w:lvlText w:val="%1.%2"/>
      <w:lvlJc w:val="left"/>
      <w:pPr>
        <w:ind w:left="658" w:hanging="387"/>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605" w:hanging="387"/>
      </w:pPr>
      <w:rPr>
        <w:rFonts w:hint="default"/>
        <w:lang w:val="zh-CN" w:eastAsia="zh-CN" w:bidi="zh-CN"/>
      </w:rPr>
    </w:lvl>
    <w:lvl w:ilvl="3" w:tentative="0">
      <w:start w:val="0"/>
      <w:numFmt w:val="bullet"/>
      <w:lvlText w:val="•"/>
      <w:lvlJc w:val="left"/>
      <w:pPr>
        <w:ind w:left="3577" w:hanging="387"/>
      </w:pPr>
      <w:rPr>
        <w:rFonts w:hint="default"/>
        <w:lang w:val="zh-CN" w:eastAsia="zh-CN" w:bidi="zh-CN"/>
      </w:rPr>
    </w:lvl>
    <w:lvl w:ilvl="4" w:tentative="0">
      <w:start w:val="0"/>
      <w:numFmt w:val="bullet"/>
      <w:lvlText w:val="•"/>
      <w:lvlJc w:val="left"/>
      <w:pPr>
        <w:ind w:left="4550" w:hanging="387"/>
      </w:pPr>
      <w:rPr>
        <w:rFonts w:hint="default"/>
        <w:lang w:val="zh-CN" w:eastAsia="zh-CN" w:bidi="zh-CN"/>
      </w:rPr>
    </w:lvl>
    <w:lvl w:ilvl="5" w:tentative="0">
      <w:start w:val="0"/>
      <w:numFmt w:val="bullet"/>
      <w:lvlText w:val="•"/>
      <w:lvlJc w:val="left"/>
      <w:pPr>
        <w:ind w:left="5523" w:hanging="387"/>
      </w:pPr>
      <w:rPr>
        <w:rFonts w:hint="default"/>
        <w:lang w:val="zh-CN" w:eastAsia="zh-CN" w:bidi="zh-CN"/>
      </w:rPr>
    </w:lvl>
    <w:lvl w:ilvl="6" w:tentative="0">
      <w:start w:val="0"/>
      <w:numFmt w:val="bullet"/>
      <w:lvlText w:val="•"/>
      <w:lvlJc w:val="left"/>
      <w:pPr>
        <w:ind w:left="6495" w:hanging="387"/>
      </w:pPr>
      <w:rPr>
        <w:rFonts w:hint="default"/>
        <w:lang w:val="zh-CN" w:eastAsia="zh-CN" w:bidi="zh-CN"/>
      </w:rPr>
    </w:lvl>
    <w:lvl w:ilvl="7" w:tentative="0">
      <w:start w:val="0"/>
      <w:numFmt w:val="bullet"/>
      <w:lvlText w:val="•"/>
      <w:lvlJc w:val="left"/>
      <w:pPr>
        <w:ind w:left="7468" w:hanging="387"/>
      </w:pPr>
      <w:rPr>
        <w:rFonts w:hint="default"/>
        <w:lang w:val="zh-CN" w:eastAsia="zh-CN" w:bidi="zh-CN"/>
      </w:rPr>
    </w:lvl>
    <w:lvl w:ilvl="8" w:tentative="0">
      <w:start w:val="0"/>
      <w:numFmt w:val="bullet"/>
      <w:lvlText w:val="•"/>
      <w:lvlJc w:val="left"/>
      <w:pPr>
        <w:ind w:left="8440" w:hanging="387"/>
      </w:pPr>
      <w:rPr>
        <w:rFonts w:hint="default"/>
        <w:lang w:val="zh-CN" w:eastAsia="zh-CN" w:bidi="zh-CN"/>
      </w:rPr>
    </w:lvl>
  </w:abstractNum>
  <w:abstractNum w:abstractNumId="15">
    <w:nsid w:val="7ECCFFCC"/>
    <w:multiLevelType w:val="singleLevel"/>
    <w:tmpl w:val="7ECCFFCC"/>
    <w:lvl w:ilvl="0" w:tentative="0">
      <w:start w:val="4"/>
      <w:numFmt w:val="chineseCounting"/>
      <w:lvlText w:val="第%1条"/>
      <w:lvlJc w:val="left"/>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3"/>
  </w:num>
  <w:num w:numId="10">
    <w:abstractNumId w:val="15"/>
  </w:num>
  <w:num w:numId="11">
    <w:abstractNumId w:val="1"/>
  </w:num>
  <w:num w:numId="12">
    <w:abstractNumId w:val="10"/>
  </w:num>
  <w:num w:numId="13">
    <w:abstractNumId w:val="14"/>
  </w:num>
  <w:num w:numId="14">
    <w:abstractNumId w:val="7"/>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A026E"/>
    <w:rsid w:val="0000309E"/>
    <w:rsid w:val="000661B6"/>
    <w:rsid w:val="001551EF"/>
    <w:rsid w:val="001869FB"/>
    <w:rsid w:val="001B6EC1"/>
    <w:rsid w:val="001D4723"/>
    <w:rsid w:val="001E5C96"/>
    <w:rsid w:val="002A7879"/>
    <w:rsid w:val="002B66F8"/>
    <w:rsid w:val="00321D78"/>
    <w:rsid w:val="00372C64"/>
    <w:rsid w:val="00373F42"/>
    <w:rsid w:val="004379AE"/>
    <w:rsid w:val="004C7206"/>
    <w:rsid w:val="005A026E"/>
    <w:rsid w:val="005A11D9"/>
    <w:rsid w:val="005E0502"/>
    <w:rsid w:val="00695644"/>
    <w:rsid w:val="006A05AC"/>
    <w:rsid w:val="006A6842"/>
    <w:rsid w:val="00703319"/>
    <w:rsid w:val="00786725"/>
    <w:rsid w:val="007B2327"/>
    <w:rsid w:val="007E4EAF"/>
    <w:rsid w:val="00816F3A"/>
    <w:rsid w:val="00897BF4"/>
    <w:rsid w:val="008B44DC"/>
    <w:rsid w:val="008F6670"/>
    <w:rsid w:val="008F7AF1"/>
    <w:rsid w:val="00940302"/>
    <w:rsid w:val="00A05B9D"/>
    <w:rsid w:val="00A17DCB"/>
    <w:rsid w:val="00A97CDE"/>
    <w:rsid w:val="00AF73BE"/>
    <w:rsid w:val="00B81D7F"/>
    <w:rsid w:val="00C94F61"/>
    <w:rsid w:val="00CB0150"/>
    <w:rsid w:val="00D318A5"/>
    <w:rsid w:val="00D82D75"/>
    <w:rsid w:val="00D9113F"/>
    <w:rsid w:val="00DA1ED9"/>
    <w:rsid w:val="00EB0F9E"/>
    <w:rsid w:val="00EE792F"/>
    <w:rsid w:val="00F4274A"/>
    <w:rsid w:val="00FE12C3"/>
    <w:rsid w:val="00FF15A1"/>
    <w:rsid w:val="01073C3A"/>
    <w:rsid w:val="012D2F6B"/>
    <w:rsid w:val="01306669"/>
    <w:rsid w:val="015C6AC4"/>
    <w:rsid w:val="017433DD"/>
    <w:rsid w:val="01860B7C"/>
    <w:rsid w:val="01890C5A"/>
    <w:rsid w:val="01B21330"/>
    <w:rsid w:val="01B34AF2"/>
    <w:rsid w:val="01BB391A"/>
    <w:rsid w:val="02263CEF"/>
    <w:rsid w:val="022B019F"/>
    <w:rsid w:val="02316391"/>
    <w:rsid w:val="023E4C6C"/>
    <w:rsid w:val="02413CA3"/>
    <w:rsid w:val="02AC7A92"/>
    <w:rsid w:val="02C9240E"/>
    <w:rsid w:val="02E44CC4"/>
    <w:rsid w:val="02EB3D4D"/>
    <w:rsid w:val="03102C60"/>
    <w:rsid w:val="0319029E"/>
    <w:rsid w:val="032B51E0"/>
    <w:rsid w:val="03394459"/>
    <w:rsid w:val="036C6577"/>
    <w:rsid w:val="03977468"/>
    <w:rsid w:val="03AC1C49"/>
    <w:rsid w:val="03C2508B"/>
    <w:rsid w:val="03EB3F27"/>
    <w:rsid w:val="03FD18E5"/>
    <w:rsid w:val="03FE2E20"/>
    <w:rsid w:val="0428744A"/>
    <w:rsid w:val="042D4AAA"/>
    <w:rsid w:val="045B5C62"/>
    <w:rsid w:val="049C1329"/>
    <w:rsid w:val="04A56C7E"/>
    <w:rsid w:val="04A911C1"/>
    <w:rsid w:val="04CE75D7"/>
    <w:rsid w:val="052976AC"/>
    <w:rsid w:val="052B54E6"/>
    <w:rsid w:val="05773B16"/>
    <w:rsid w:val="057A57C2"/>
    <w:rsid w:val="05A00699"/>
    <w:rsid w:val="05AE7243"/>
    <w:rsid w:val="05E3038B"/>
    <w:rsid w:val="063C4D18"/>
    <w:rsid w:val="06480CE6"/>
    <w:rsid w:val="066B15D4"/>
    <w:rsid w:val="06852C4B"/>
    <w:rsid w:val="069A6F9F"/>
    <w:rsid w:val="06C434A5"/>
    <w:rsid w:val="06F9172E"/>
    <w:rsid w:val="071937BF"/>
    <w:rsid w:val="07264C68"/>
    <w:rsid w:val="072C0095"/>
    <w:rsid w:val="07373B71"/>
    <w:rsid w:val="074216E9"/>
    <w:rsid w:val="077143C1"/>
    <w:rsid w:val="07C2711B"/>
    <w:rsid w:val="07DE1DEE"/>
    <w:rsid w:val="08081E35"/>
    <w:rsid w:val="082702E6"/>
    <w:rsid w:val="083B3D06"/>
    <w:rsid w:val="084F6131"/>
    <w:rsid w:val="089153DE"/>
    <w:rsid w:val="08A91C68"/>
    <w:rsid w:val="08D641D9"/>
    <w:rsid w:val="08E13BEA"/>
    <w:rsid w:val="08E713B0"/>
    <w:rsid w:val="08F6002A"/>
    <w:rsid w:val="090062FD"/>
    <w:rsid w:val="0923406E"/>
    <w:rsid w:val="09355F49"/>
    <w:rsid w:val="09684A4E"/>
    <w:rsid w:val="09782EA9"/>
    <w:rsid w:val="09797949"/>
    <w:rsid w:val="098C7F92"/>
    <w:rsid w:val="09A06FD9"/>
    <w:rsid w:val="09D654E2"/>
    <w:rsid w:val="09E52265"/>
    <w:rsid w:val="0A131D8C"/>
    <w:rsid w:val="0A1F31F9"/>
    <w:rsid w:val="0A49452F"/>
    <w:rsid w:val="0A9B350B"/>
    <w:rsid w:val="0AB61110"/>
    <w:rsid w:val="0AC11B47"/>
    <w:rsid w:val="0ACB128D"/>
    <w:rsid w:val="0B1119CA"/>
    <w:rsid w:val="0B2C1074"/>
    <w:rsid w:val="0B5F725E"/>
    <w:rsid w:val="0B6737A8"/>
    <w:rsid w:val="0B744A13"/>
    <w:rsid w:val="0B947C64"/>
    <w:rsid w:val="0B9C26F9"/>
    <w:rsid w:val="0BB42256"/>
    <w:rsid w:val="0BB64A38"/>
    <w:rsid w:val="0BBA3CE9"/>
    <w:rsid w:val="0BD852CB"/>
    <w:rsid w:val="0BDC6169"/>
    <w:rsid w:val="0BE501D2"/>
    <w:rsid w:val="0C0272A6"/>
    <w:rsid w:val="0C075BB1"/>
    <w:rsid w:val="0C0A70F8"/>
    <w:rsid w:val="0C0C7812"/>
    <w:rsid w:val="0C5B358E"/>
    <w:rsid w:val="0C6249B1"/>
    <w:rsid w:val="0C861405"/>
    <w:rsid w:val="0C8B6ADB"/>
    <w:rsid w:val="0C8F399E"/>
    <w:rsid w:val="0C952F30"/>
    <w:rsid w:val="0C970321"/>
    <w:rsid w:val="0CB10926"/>
    <w:rsid w:val="0CC95111"/>
    <w:rsid w:val="0CDB1F6D"/>
    <w:rsid w:val="0CFD78BC"/>
    <w:rsid w:val="0CFE5049"/>
    <w:rsid w:val="0D0E359B"/>
    <w:rsid w:val="0D467562"/>
    <w:rsid w:val="0D74220E"/>
    <w:rsid w:val="0D7C7972"/>
    <w:rsid w:val="0DB92713"/>
    <w:rsid w:val="0DCB63F4"/>
    <w:rsid w:val="0DD80131"/>
    <w:rsid w:val="0DE75D3C"/>
    <w:rsid w:val="0E00223C"/>
    <w:rsid w:val="0E143AD7"/>
    <w:rsid w:val="0E226125"/>
    <w:rsid w:val="0E2928FC"/>
    <w:rsid w:val="0E407415"/>
    <w:rsid w:val="0E4357F2"/>
    <w:rsid w:val="0E4E3EAB"/>
    <w:rsid w:val="0E864361"/>
    <w:rsid w:val="0E8A3D1B"/>
    <w:rsid w:val="0E9331BC"/>
    <w:rsid w:val="0EE82AAC"/>
    <w:rsid w:val="0EEA5928"/>
    <w:rsid w:val="0EFF0E93"/>
    <w:rsid w:val="0F126144"/>
    <w:rsid w:val="0FCF0988"/>
    <w:rsid w:val="0FDA6867"/>
    <w:rsid w:val="0FDC1D51"/>
    <w:rsid w:val="0FE03DB0"/>
    <w:rsid w:val="104D32AC"/>
    <w:rsid w:val="104F02B0"/>
    <w:rsid w:val="1057218A"/>
    <w:rsid w:val="10663B39"/>
    <w:rsid w:val="10A06C01"/>
    <w:rsid w:val="10A506D2"/>
    <w:rsid w:val="10CC4AAA"/>
    <w:rsid w:val="1120291A"/>
    <w:rsid w:val="1133567D"/>
    <w:rsid w:val="115B0BF2"/>
    <w:rsid w:val="118A63FE"/>
    <w:rsid w:val="118D06B7"/>
    <w:rsid w:val="119B75F5"/>
    <w:rsid w:val="11CE4837"/>
    <w:rsid w:val="11E61694"/>
    <w:rsid w:val="11E854B3"/>
    <w:rsid w:val="120A21E3"/>
    <w:rsid w:val="121E7B2A"/>
    <w:rsid w:val="122018C8"/>
    <w:rsid w:val="12395F46"/>
    <w:rsid w:val="12693FCF"/>
    <w:rsid w:val="127A3C16"/>
    <w:rsid w:val="12D55132"/>
    <w:rsid w:val="12D87F5A"/>
    <w:rsid w:val="12F20857"/>
    <w:rsid w:val="12F90B5C"/>
    <w:rsid w:val="12FF3B44"/>
    <w:rsid w:val="13186FE9"/>
    <w:rsid w:val="13365D2F"/>
    <w:rsid w:val="133C450A"/>
    <w:rsid w:val="134E3AC8"/>
    <w:rsid w:val="13745828"/>
    <w:rsid w:val="1378799D"/>
    <w:rsid w:val="139555F3"/>
    <w:rsid w:val="13A64603"/>
    <w:rsid w:val="13AF0325"/>
    <w:rsid w:val="13C735EC"/>
    <w:rsid w:val="13D24FC8"/>
    <w:rsid w:val="13EB7BF6"/>
    <w:rsid w:val="13FD35D4"/>
    <w:rsid w:val="141D42A9"/>
    <w:rsid w:val="14284E0B"/>
    <w:rsid w:val="143C145E"/>
    <w:rsid w:val="143C64D9"/>
    <w:rsid w:val="145A16CD"/>
    <w:rsid w:val="14A67DB2"/>
    <w:rsid w:val="14CD22DE"/>
    <w:rsid w:val="14FB0FED"/>
    <w:rsid w:val="1500712C"/>
    <w:rsid w:val="150B632B"/>
    <w:rsid w:val="152127EB"/>
    <w:rsid w:val="154D2B50"/>
    <w:rsid w:val="155B187C"/>
    <w:rsid w:val="156E548D"/>
    <w:rsid w:val="15B95747"/>
    <w:rsid w:val="15D70C81"/>
    <w:rsid w:val="160614E5"/>
    <w:rsid w:val="16386190"/>
    <w:rsid w:val="16556467"/>
    <w:rsid w:val="165F3C4E"/>
    <w:rsid w:val="167E210F"/>
    <w:rsid w:val="169303F3"/>
    <w:rsid w:val="16931C27"/>
    <w:rsid w:val="16A76644"/>
    <w:rsid w:val="16CA1D9B"/>
    <w:rsid w:val="16D500F8"/>
    <w:rsid w:val="16D718A6"/>
    <w:rsid w:val="16E6350F"/>
    <w:rsid w:val="16E73F76"/>
    <w:rsid w:val="16E834FB"/>
    <w:rsid w:val="16E83A7B"/>
    <w:rsid w:val="170B0D40"/>
    <w:rsid w:val="170E286B"/>
    <w:rsid w:val="170E4271"/>
    <w:rsid w:val="17100492"/>
    <w:rsid w:val="1776612E"/>
    <w:rsid w:val="177E7AB9"/>
    <w:rsid w:val="17835FD3"/>
    <w:rsid w:val="17B261DF"/>
    <w:rsid w:val="17B92555"/>
    <w:rsid w:val="18265BF6"/>
    <w:rsid w:val="18276E9F"/>
    <w:rsid w:val="182D0055"/>
    <w:rsid w:val="182F5342"/>
    <w:rsid w:val="18350EDC"/>
    <w:rsid w:val="1888393F"/>
    <w:rsid w:val="188E386F"/>
    <w:rsid w:val="18BD4678"/>
    <w:rsid w:val="18BE113B"/>
    <w:rsid w:val="18CD3571"/>
    <w:rsid w:val="18D54B93"/>
    <w:rsid w:val="196C1681"/>
    <w:rsid w:val="198B0225"/>
    <w:rsid w:val="19AB36F2"/>
    <w:rsid w:val="19E40C5A"/>
    <w:rsid w:val="1A1A02DB"/>
    <w:rsid w:val="1A2612C4"/>
    <w:rsid w:val="1A2F41D6"/>
    <w:rsid w:val="1A5F2091"/>
    <w:rsid w:val="1A5F5ECA"/>
    <w:rsid w:val="1A6515F8"/>
    <w:rsid w:val="1A7016B5"/>
    <w:rsid w:val="1A761C2F"/>
    <w:rsid w:val="1A8B2AC3"/>
    <w:rsid w:val="1B013696"/>
    <w:rsid w:val="1B114FD8"/>
    <w:rsid w:val="1B3B44C0"/>
    <w:rsid w:val="1B4D7A25"/>
    <w:rsid w:val="1B711F1E"/>
    <w:rsid w:val="1B7E79A4"/>
    <w:rsid w:val="1BA36EB3"/>
    <w:rsid w:val="1BB75E02"/>
    <w:rsid w:val="1C6F4718"/>
    <w:rsid w:val="1C8F19B8"/>
    <w:rsid w:val="1CB9573F"/>
    <w:rsid w:val="1CCC421F"/>
    <w:rsid w:val="1CD04126"/>
    <w:rsid w:val="1CF0532A"/>
    <w:rsid w:val="1CF41E2A"/>
    <w:rsid w:val="1CFD0313"/>
    <w:rsid w:val="1D2C5592"/>
    <w:rsid w:val="1D362FBE"/>
    <w:rsid w:val="1D3E241D"/>
    <w:rsid w:val="1D3F0744"/>
    <w:rsid w:val="1D4C592A"/>
    <w:rsid w:val="1D6843FD"/>
    <w:rsid w:val="1D7C1CCA"/>
    <w:rsid w:val="1D9A1552"/>
    <w:rsid w:val="1DD6621F"/>
    <w:rsid w:val="1DEB409F"/>
    <w:rsid w:val="1DF608DD"/>
    <w:rsid w:val="1E17769B"/>
    <w:rsid w:val="1E1E503A"/>
    <w:rsid w:val="1E2B1965"/>
    <w:rsid w:val="1E307538"/>
    <w:rsid w:val="1E315568"/>
    <w:rsid w:val="1E453ADB"/>
    <w:rsid w:val="1E5258CC"/>
    <w:rsid w:val="1E555AA8"/>
    <w:rsid w:val="1E73254C"/>
    <w:rsid w:val="1E992372"/>
    <w:rsid w:val="1EA44015"/>
    <w:rsid w:val="1EA756F7"/>
    <w:rsid w:val="1ECC639F"/>
    <w:rsid w:val="1ECC7399"/>
    <w:rsid w:val="1EDC0BA6"/>
    <w:rsid w:val="1EE12B88"/>
    <w:rsid w:val="1EEB23B0"/>
    <w:rsid w:val="1EED4781"/>
    <w:rsid w:val="1EF518FF"/>
    <w:rsid w:val="1F0E6B2C"/>
    <w:rsid w:val="1F4376DD"/>
    <w:rsid w:val="1F584D22"/>
    <w:rsid w:val="1F60253B"/>
    <w:rsid w:val="1FCC692D"/>
    <w:rsid w:val="1FF66158"/>
    <w:rsid w:val="20167CBC"/>
    <w:rsid w:val="20174BE4"/>
    <w:rsid w:val="2061051C"/>
    <w:rsid w:val="20704D28"/>
    <w:rsid w:val="207C6589"/>
    <w:rsid w:val="20973136"/>
    <w:rsid w:val="20DC2CBE"/>
    <w:rsid w:val="20F84405"/>
    <w:rsid w:val="21545360"/>
    <w:rsid w:val="21642B90"/>
    <w:rsid w:val="219143F2"/>
    <w:rsid w:val="21C34CCE"/>
    <w:rsid w:val="21C6493D"/>
    <w:rsid w:val="21C932C4"/>
    <w:rsid w:val="21CB5DF4"/>
    <w:rsid w:val="21F35FF1"/>
    <w:rsid w:val="21F926F6"/>
    <w:rsid w:val="220D604E"/>
    <w:rsid w:val="22244C4F"/>
    <w:rsid w:val="2237488F"/>
    <w:rsid w:val="223A7CA1"/>
    <w:rsid w:val="22466A95"/>
    <w:rsid w:val="224E7D57"/>
    <w:rsid w:val="2276119D"/>
    <w:rsid w:val="227E34B5"/>
    <w:rsid w:val="22882DD5"/>
    <w:rsid w:val="22B876E5"/>
    <w:rsid w:val="22D76622"/>
    <w:rsid w:val="22DF6CD7"/>
    <w:rsid w:val="22FB74C8"/>
    <w:rsid w:val="22FF5A67"/>
    <w:rsid w:val="23054B47"/>
    <w:rsid w:val="23161BA9"/>
    <w:rsid w:val="23177B35"/>
    <w:rsid w:val="23747335"/>
    <w:rsid w:val="23A666B2"/>
    <w:rsid w:val="23AC016A"/>
    <w:rsid w:val="23ED46A6"/>
    <w:rsid w:val="240910E3"/>
    <w:rsid w:val="24477E82"/>
    <w:rsid w:val="245E0DFC"/>
    <w:rsid w:val="246D6144"/>
    <w:rsid w:val="247277AF"/>
    <w:rsid w:val="24797C21"/>
    <w:rsid w:val="24D7466C"/>
    <w:rsid w:val="24E92F6D"/>
    <w:rsid w:val="24F2015A"/>
    <w:rsid w:val="24F56F26"/>
    <w:rsid w:val="24F7479F"/>
    <w:rsid w:val="25066640"/>
    <w:rsid w:val="25223325"/>
    <w:rsid w:val="2524285B"/>
    <w:rsid w:val="254C6A8E"/>
    <w:rsid w:val="256731D8"/>
    <w:rsid w:val="257112AC"/>
    <w:rsid w:val="257150E0"/>
    <w:rsid w:val="259C21CC"/>
    <w:rsid w:val="25E30173"/>
    <w:rsid w:val="25EE4491"/>
    <w:rsid w:val="260A1982"/>
    <w:rsid w:val="26133B4C"/>
    <w:rsid w:val="26284276"/>
    <w:rsid w:val="2645789C"/>
    <w:rsid w:val="26553B00"/>
    <w:rsid w:val="26587652"/>
    <w:rsid w:val="267505A6"/>
    <w:rsid w:val="269E66ED"/>
    <w:rsid w:val="26A07CE7"/>
    <w:rsid w:val="26AB324E"/>
    <w:rsid w:val="26C007FB"/>
    <w:rsid w:val="26F051EF"/>
    <w:rsid w:val="26F9134A"/>
    <w:rsid w:val="26FE4EE3"/>
    <w:rsid w:val="270837ED"/>
    <w:rsid w:val="27084CE1"/>
    <w:rsid w:val="27145CB7"/>
    <w:rsid w:val="272C3F6F"/>
    <w:rsid w:val="27525643"/>
    <w:rsid w:val="27616939"/>
    <w:rsid w:val="2762523E"/>
    <w:rsid w:val="277B15F1"/>
    <w:rsid w:val="277E3A23"/>
    <w:rsid w:val="27855500"/>
    <w:rsid w:val="27963825"/>
    <w:rsid w:val="27970E1F"/>
    <w:rsid w:val="279C6FD7"/>
    <w:rsid w:val="27AD4256"/>
    <w:rsid w:val="27F37083"/>
    <w:rsid w:val="27FB2466"/>
    <w:rsid w:val="28015E54"/>
    <w:rsid w:val="28020797"/>
    <w:rsid w:val="2849491A"/>
    <w:rsid w:val="2862394E"/>
    <w:rsid w:val="28714356"/>
    <w:rsid w:val="2872340B"/>
    <w:rsid w:val="28A805B8"/>
    <w:rsid w:val="28CC17BF"/>
    <w:rsid w:val="28CD21DF"/>
    <w:rsid w:val="28F47B2B"/>
    <w:rsid w:val="28F47BC1"/>
    <w:rsid w:val="29141B5A"/>
    <w:rsid w:val="295807D8"/>
    <w:rsid w:val="2971090D"/>
    <w:rsid w:val="29BE03AE"/>
    <w:rsid w:val="29D73197"/>
    <w:rsid w:val="29ED5199"/>
    <w:rsid w:val="29F47E11"/>
    <w:rsid w:val="29F63E49"/>
    <w:rsid w:val="2A076DBE"/>
    <w:rsid w:val="2A1038E9"/>
    <w:rsid w:val="2A1B2B61"/>
    <w:rsid w:val="2A443803"/>
    <w:rsid w:val="2A754103"/>
    <w:rsid w:val="2A7D1D08"/>
    <w:rsid w:val="2A8F5494"/>
    <w:rsid w:val="2A9852A9"/>
    <w:rsid w:val="2AAC1134"/>
    <w:rsid w:val="2AC65F1A"/>
    <w:rsid w:val="2AE21E47"/>
    <w:rsid w:val="2AEB4D3C"/>
    <w:rsid w:val="2AFE1DBA"/>
    <w:rsid w:val="2B09135E"/>
    <w:rsid w:val="2B202221"/>
    <w:rsid w:val="2B2F7285"/>
    <w:rsid w:val="2B6E7C94"/>
    <w:rsid w:val="2B865EC1"/>
    <w:rsid w:val="2B981859"/>
    <w:rsid w:val="2B995745"/>
    <w:rsid w:val="2BC217C2"/>
    <w:rsid w:val="2BDA34DC"/>
    <w:rsid w:val="2C0F3B29"/>
    <w:rsid w:val="2C54592C"/>
    <w:rsid w:val="2C680545"/>
    <w:rsid w:val="2C9368C8"/>
    <w:rsid w:val="2C98415A"/>
    <w:rsid w:val="2CC575BF"/>
    <w:rsid w:val="2CE26E30"/>
    <w:rsid w:val="2D2F56DB"/>
    <w:rsid w:val="2D3563B8"/>
    <w:rsid w:val="2DA51301"/>
    <w:rsid w:val="2DBC0F0E"/>
    <w:rsid w:val="2DD918B3"/>
    <w:rsid w:val="2DF102B5"/>
    <w:rsid w:val="2E2356E6"/>
    <w:rsid w:val="2E2C2936"/>
    <w:rsid w:val="2E426B1B"/>
    <w:rsid w:val="2E607C09"/>
    <w:rsid w:val="2E691454"/>
    <w:rsid w:val="2E777AAB"/>
    <w:rsid w:val="2E822E72"/>
    <w:rsid w:val="2EAB19EB"/>
    <w:rsid w:val="2EB1291E"/>
    <w:rsid w:val="2EC10BFC"/>
    <w:rsid w:val="2EDD4768"/>
    <w:rsid w:val="2F027912"/>
    <w:rsid w:val="2F0E002A"/>
    <w:rsid w:val="2F441F3E"/>
    <w:rsid w:val="2F4B7BB4"/>
    <w:rsid w:val="2F5A3E1F"/>
    <w:rsid w:val="2F6C70A5"/>
    <w:rsid w:val="2F7A50A8"/>
    <w:rsid w:val="2F7E0C1C"/>
    <w:rsid w:val="2FA32FCF"/>
    <w:rsid w:val="2FCE2EDF"/>
    <w:rsid w:val="2FDD0830"/>
    <w:rsid w:val="30413A09"/>
    <w:rsid w:val="30570AFE"/>
    <w:rsid w:val="30595088"/>
    <w:rsid w:val="30B36D0B"/>
    <w:rsid w:val="30CF09A0"/>
    <w:rsid w:val="31603145"/>
    <w:rsid w:val="317638FE"/>
    <w:rsid w:val="31C659C2"/>
    <w:rsid w:val="31FE3D26"/>
    <w:rsid w:val="320526A8"/>
    <w:rsid w:val="3207775C"/>
    <w:rsid w:val="320E5C11"/>
    <w:rsid w:val="321248C5"/>
    <w:rsid w:val="324A1372"/>
    <w:rsid w:val="32751192"/>
    <w:rsid w:val="32823D8E"/>
    <w:rsid w:val="329D49C6"/>
    <w:rsid w:val="32B25461"/>
    <w:rsid w:val="332E768D"/>
    <w:rsid w:val="33366D8B"/>
    <w:rsid w:val="337E521C"/>
    <w:rsid w:val="33A3158F"/>
    <w:rsid w:val="33B80C8E"/>
    <w:rsid w:val="33B8489E"/>
    <w:rsid w:val="33C02C1A"/>
    <w:rsid w:val="33CD6CB3"/>
    <w:rsid w:val="33D83643"/>
    <w:rsid w:val="33E1052A"/>
    <w:rsid w:val="341E346C"/>
    <w:rsid w:val="34B814E4"/>
    <w:rsid w:val="34C45E43"/>
    <w:rsid w:val="34F00EFA"/>
    <w:rsid w:val="350D66BF"/>
    <w:rsid w:val="35547874"/>
    <w:rsid w:val="35612131"/>
    <w:rsid w:val="35A7142A"/>
    <w:rsid w:val="35E63230"/>
    <w:rsid w:val="36005446"/>
    <w:rsid w:val="360D7BE1"/>
    <w:rsid w:val="36170BC0"/>
    <w:rsid w:val="361F0CF4"/>
    <w:rsid w:val="3622120F"/>
    <w:rsid w:val="36571A46"/>
    <w:rsid w:val="365F7B79"/>
    <w:rsid w:val="366A4A11"/>
    <w:rsid w:val="367609BA"/>
    <w:rsid w:val="368F75B0"/>
    <w:rsid w:val="36943849"/>
    <w:rsid w:val="36C50557"/>
    <w:rsid w:val="36D700BC"/>
    <w:rsid w:val="37074405"/>
    <w:rsid w:val="370F727A"/>
    <w:rsid w:val="371C2ED8"/>
    <w:rsid w:val="371D6363"/>
    <w:rsid w:val="37345A04"/>
    <w:rsid w:val="3754099F"/>
    <w:rsid w:val="37622120"/>
    <w:rsid w:val="37713387"/>
    <w:rsid w:val="37A07125"/>
    <w:rsid w:val="3800630E"/>
    <w:rsid w:val="38071AD6"/>
    <w:rsid w:val="3822597C"/>
    <w:rsid w:val="384B70BF"/>
    <w:rsid w:val="386B6FB4"/>
    <w:rsid w:val="387E1536"/>
    <w:rsid w:val="3880290D"/>
    <w:rsid w:val="3882065E"/>
    <w:rsid w:val="38B36755"/>
    <w:rsid w:val="39002BE6"/>
    <w:rsid w:val="3907464F"/>
    <w:rsid w:val="39315CAC"/>
    <w:rsid w:val="39445D85"/>
    <w:rsid w:val="396E5272"/>
    <w:rsid w:val="39A956C4"/>
    <w:rsid w:val="39B55529"/>
    <w:rsid w:val="39C44227"/>
    <w:rsid w:val="39FE2B10"/>
    <w:rsid w:val="3A044AB8"/>
    <w:rsid w:val="3A235DD4"/>
    <w:rsid w:val="3A3174E5"/>
    <w:rsid w:val="3A334877"/>
    <w:rsid w:val="3A467A37"/>
    <w:rsid w:val="3A4D0C92"/>
    <w:rsid w:val="3A4D31F9"/>
    <w:rsid w:val="3A53769B"/>
    <w:rsid w:val="3A627F28"/>
    <w:rsid w:val="3A6F3767"/>
    <w:rsid w:val="3A731250"/>
    <w:rsid w:val="3A8E175A"/>
    <w:rsid w:val="3A9D1642"/>
    <w:rsid w:val="3AD07210"/>
    <w:rsid w:val="3ADF729B"/>
    <w:rsid w:val="3AF300CA"/>
    <w:rsid w:val="3AFF3A3A"/>
    <w:rsid w:val="3AFF7FE7"/>
    <w:rsid w:val="3B3A54BC"/>
    <w:rsid w:val="3B4D7CE2"/>
    <w:rsid w:val="3B642FB0"/>
    <w:rsid w:val="3B9D3717"/>
    <w:rsid w:val="3BA55B53"/>
    <w:rsid w:val="3BA80008"/>
    <w:rsid w:val="3BE6222A"/>
    <w:rsid w:val="3BE77834"/>
    <w:rsid w:val="3BFB5D67"/>
    <w:rsid w:val="3BFD623E"/>
    <w:rsid w:val="3C205939"/>
    <w:rsid w:val="3C21023E"/>
    <w:rsid w:val="3C243479"/>
    <w:rsid w:val="3C2476AD"/>
    <w:rsid w:val="3C4B4A01"/>
    <w:rsid w:val="3C880BFF"/>
    <w:rsid w:val="3C967D36"/>
    <w:rsid w:val="3CBB0AF1"/>
    <w:rsid w:val="3CBD3BC7"/>
    <w:rsid w:val="3CC47328"/>
    <w:rsid w:val="3CF415DF"/>
    <w:rsid w:val="3CF77381"/>
    <w:rsid w:val="3D1A4216"/>
    <w:rsid w:val="3D2D6F1B"/>
    <w:rsid w:val="3D415AB1"/>
    <w:rsid w:val="3D530F84"/>
    <w:rsid w:val="3D820492"/>
    <w:rsid w:val="3D912267"/>
    <w:rsid w:val="3DA0590F"/>
    <w:rsid w:val="3E1017B2"/>
    <w:rsid w:val="3E1F4D6F"/>
    <w:rsid w:val="3E27557B"/>
    <w:rsid w:val="3E345FA8"/>
    <w:rsid w:val="3E38111A"/>
    <w:rsid w:val="3E610C78"/>
    <w:rsid w:val="3E671796"/>
    <w:rsid w:val="3E724FFA"/>
    <w:rsid w:val="3EB109F9"/>
    <w:rsid w:val="3EBE2204"/>
    <w:rsid w:val="3EFA39B1"/>
    <w:rsid w:val="3F0E0BD5"/>
    <w:rsid w:val="3F137E95"/>
    <w:rsid w:val="3F7D38A1"/>
    <w:rsid w:val="3FE0249B"/>
    <w:rsid w:val="3FED1632"/>
    <w:rsid w:val="4004528F"/>
    <w:rsid w:val="40270FF7"/>
    <w:rsid w:val="403663EE"/>
    <w:rsid w:val="408A51D3"/>
    <w:rsid w:val="40A0058C"/>
    <w:rsid w:val="40AA4BF4"/>
    <w:rsid w:val="40B22CA8"/>
    <w:rsid w:val="40BD247D"/>
    <w:rsid w:val="410D2934"/>
    <w:rsid w:val="41286D17"/>
    <w:rsid w:val="41351C7D"/>
    <w:rsid w:val="41697693"/>
    <w:rsid w:val="418D371A"/>
    <w:rsid w:val="419174F8"/>
    <w:rsid w:val="41A2387C"/>
    <w:rsid w:val="41F33ED0"/>
    <w:rsid w:val="420B40FF"/>
    <w:rsid w:val="420D7347"/>
    <w:rsid w:val="42314613"/>
    <w:rsid w:val="423436C2"/>
    <w:rsid w:val="424330F7"/>
    <w:rsid w:val="424A109F"/>
    <w:rsid w:val="424B7988"/>
    <w:rsid w:val="426C45CD"/>
    <w:rsid w:val="426E5A08"/>
    <w:rsid w:val="427B4585"/>
    <w:rsid w:val="428224A9"/>
    <w:rsid w:val="429C5461"/>
    <w:rsid w:val="42A95D9C"/>
    <w:rsid w:val="42CB561F"/>
    <w:rsid w:val="42ED0CDB"/>
    <w:rsid w:val="43105AAB"/>
    <w:rsid w:val="43274E4A"/>
    <w:rsid w:val="43347110"/>
    <w:rsid w:val="433D39FE"/>
    <w:rsid w:val="433F3AF1"/>
    <w:rsid w:val="43486402"/>
    <w:rsid w:val="435466B3"/>
    <w:rsid w:val="43701C21"/>
    <w:rsid w:val="438715E2"/>
    <w:rsid w:val="43987977"/>
    <w:rsid w:val="4399786F"/>
    <w:rsid w:val="43A87049"/>
    <w:rsid w:val="43B16B74"/>
    <w:rsid w:val="44003E07"/>
    <w:rsid w:val="44061DD6"/>
    <w:rsid w:val="441F737E"/>
    <w:rsid w:val="4442122B"/>
    <w:rsid w:val="44562ABD"/>
    <w:rsid w:val="44680C09"/>
    <w:rsid w:val="44E740E8"/>
    <w:rsid w:val="450D0B7D"/>
    <w:rsid w:val="454B67C9"/>
    <w:rsid w:val="4579434C"/>
    <w:rsid w:val="457D2E55"/>
    <w:rsid w:val="45822467"/>
    <w:rsid w:val="458400F0"/>
    <w:rsid w:val="45861957"/>
    <w:rsid w:val="45950650"/>
    <w:rsid w:val="45A16310"/>
    <w:rsid w:val="45AE15AA"/>
    <w:rsid w:val="45D75AF5"/>
    <w:rsid w:val="461B51A2"/>
    <w:rsid w:val="461C1DA0"/>
    <w:rsid w:val="46210152"/>
    <w:rsid w:val="463103EB"/>
    <w:rsid w:val="465F3650"/>
    <w:rsid w:val="466864CB"/>
    <w:rsid w:val="46690DE0"/>
    <w:rsid w:val="46C24310"/>
    <w:rsid w:val="46C32081"/>
    <w:rsid w:val="46F91AA5"/>
    <w:rsid w:val="471B6F3D"/>
    <w:rsid w:val="472451D8"/>
    <w:rsid w:val="475241C9"/>
    <w:rsid w:val="4763254E"/>
    <w:rsid w:val="476961A4"/>
    <w:rsid w:val="478A06E9"/>
    <w:rsid w:val="479425CE"/>
    <w:rsid w:val="47D2375A"/>
    <w:rsid w:val="47D9749D"/>
    <w:rsid w:val="480C6636"/>
    <w:rsid w:val="482D142D"/>
    <w:rsid w:val="484240AF"/>
    <w:rsid w:val="48454D9B"/>
    <w:rsid w:val="485E1B8A"/>
    <w:rsid w:val="487F17F2"/>
    <w:rsid w:val="48A1468D"/>
    <w:rsid w:val="48AC29F4"/>
    <w:rsid w:val="48B4540B"/>
    <w:rsid w:val="48BB37E4"/>
    <w:rsid w:val="48F527A7"/>
    <w:rsid w:val="491F1F6E"/>
    <w:rsid w:val="492823AC"/>
    <w:rsid w:val="493A5A17"/>
    <w:rsid w:val="49592770"/>
    <w:rsid w:val="49740758"/>
    <w:rsid w:val="497F200F"/>
    <w:rsid w:val="49990189"/>
    <w:rsid w:val="49A65FCD"/>
    <w:rsid w:val="49A71862"/>
    <w:rsid w:val="49C07B14"/>
    <w:rsid w:val="49C10435"/>
    <w:rsid w:val="49CC2211"/>
    <w:rsid w:val="49D373C5"/>
    <w:rsid w:val="49D40271"/>
    <w:rsid w:val="49FA42A3"/>
    <w:rsid w:val="49FF3ED6"/>
    <w:rsid w:val="4A2E5526"/>
    <w:rsid w:val="4A394071"/>
    <w:rsid w:val="4A66588C"/>
    <w:rsid w:val="4A9B58AD"/>
    <w:rsid w:val="4AC22BAA"/>
    <w:rsid w:val="4AC76C3D"/>
    <w:rsid w:val="4AF45310"/>
    <w:rsid w:val="4B060C7F"/>
    <w:rsid w:val="4B206110"/>
    <w:rsid w:val="4B2D25B1"/>
    <w:rsid w:val="4B3F20F3"/>
    <w:rsid w:val="4B5C25F4"/>
    <w:rsid w:val="4B616AF5"/>
    <w:rsid w:val="4B635C49"/>
    <w:rsid w:val="4B9F5290"/>
    <w:rsid w:val="4BC91043"/>
    <w:rsid w:val="4BD31414"/>
    <w:rsid w:val="4BDE70B9"/>
    <w:rsid w:val="4C215D01"/>
    <w:rsid w:val="4C711E0E"/>
    <w:rsid w:val="4C9B506C"/>
    <w:rsid w:val="4CBE46F8"/>
    <w:rsid w:val="4CEC39AA"/>
    <w:rsid w:val="4CF5692E"/>
    <w:rsid w:val="4CF80D6D"/>
    <w:rsid w:val="4D172297"/>
    <w:rsid w:val="4D286761"/>
    <w:rsid w:val="4D4244FE"/>
    <w:rsid w:val="4D5F3AE2"/>
    <w:rsid w:val="4D6C3715"/>
    <w:rsid w:val="4D706979"/>
    <w:rsid w:val="4DCA713F"/>
    <w:rsid w:val="4DE56046"/>
    <w:rsid w:val="4E1462B1"/>
    <w:rsid w:val="4E234394"/>
    <w:rsid w:val="4E3D2051"/>
    <w:rsid w:val="4E5452CA"/>
    <w:rsid w:val="4E7411F1"/>
    <w:rsid w:val="4E8B117A"/>
    <w:rsid w:val="4E900C51"/>
    <w:rsid w:val="4EA36FFB"/>
    <w:rsid w:val="4EAC7F80"/>
    <w:rsid w:val="4EE86EEF"/>
    <w:rsid w:val="4EFE07BF"/>
    <w:rsid w:val="4F025EDB"/>
    <w:rsid w:val="4F086112"/>
    <w:rsid w:val="4F143831"/>
    <w:rsid w:val="4F1A3CCF"/>
    <w:rsid w:val="4F1E00E3"/>
    <w:rsid w:val="4F345B25"/>
    <w:rsid w:val="4F37060F"/>
    <w:rsid w:val="4F637015"/>
    <w:rsid w:val="4F9748B9"/>
    <w:rsid w:val="4FB04C42"/>
    <w:rsid w:val="4FC1302B"/>
    <w:rsid w:val="4FCA5E94"/>
    <w:rsid w:val="4FF87510"/>
    <w:rsid w:val="502B5DA2"/>
    <w:rsid w:val="50311381"/>
    <w:rsid w:val="50362644"/>
    <w:rsid w:val="50364816"/>
    <w:rsid w:val="50394686"/>
    <w:rsid w:val="50612B3C"/>
    <w:rsid w:val="50666231"/>
    <w:rsid w:val="50767933"/>
    <w:rsid w:val="508B7155"/>
    <w:rsid w:val="50C3776A"/>
    <w:rsid w:val="50D66644"/>
    <w:rsid w:val="50E91644"/>
    <w:rsid w:val="511D27BD"/>
    <w:rsid w:val="51413094"/>
    <w:rsid w:val="5147221E"/>
    <w:rsid w:val="5149335B"/>
    <w:rsid w:val="51E25DB0"/>
    <w:rsid w:val="51E841AE"/>
    <w:rsid w:val="51F900A9"/>
    <w:rsid w:val="51FB21B1"/>
    <w:rsid w:val="52357A4A"/>
    <w:rsid w:val="523A3A81"/>
    <w:rsid w:val="523A460B"/>
    <w:rsid w:val="523E0DFF"/>
    <w:rsid w:val="52527683"/>
    <w:rsid w:val="525E16BA"/>
    <w:rsid w:val="529B431B"/>
    <w:rsid w:val="529B7829"/>
    <w:rsid w:val="52B318C8"/>
    <w:rsid w:val="52BF7BAC"/>
    <w:rsid w:val="5302397D"/>
    <w:rsid w:val="53321B19"/>
    <w:rsid w:val="534C16B2"/>
    <w:rsid w:val="53533B24"/>
    <w:rsid w:val="53756EBD"/>
    <w:rsid w:val="53922D7A"/>
    <w:rsid w:val="53975EF0"/>
    <w:rsid w:val="539A41DD"/>
    <w:rsid w:val="53A32AC0"/>
    <w:rsid w:val="53BA3A63"/>
    <w:rsid w:val="53BA3F3C"/>
    <w:rsid w:val="53BC6518"/>
    <w:rsid w:val="540C397E"/>
    <w:rsid w:val="54123AD7"/>
    <w:rsid w:val="54131BC7"/>
    <w:rsid w:val="549745E2"/>
    <w:rsid w:val="54BA3B0E"/>
    <w:rsid w:val="54C86219"/>
    <w:rsid w:val="54CD409B"/>
    <w:rsid w:val="54D97BE9"/>
    <w:rsid w:val="54ED1319"/>
    <w:rsid w:val="54F76390"/>
    <w:rsid w:val="555E32E5"/>
    <w:rsid w:val="557E5522"/>
    <w:rsid w:val="55834BC8"/>
    <w:rsid w:val="558C5DFF"/>
    <w:rsid w:val="558D5DC2"/>
    <w:rsid w:val="55B65AD8"/>
    <w:rsid w:val="55BB0DB6"/>
    <w:rsid w:val="55BB780A"/>
    <w:rsid w:val="55BD1398"/>
    <w:rsid w:val="55E05723"/>
    <w:rsid w:val="561949AB"/>
    <w:rsid w:val="56210E66"/>
    <w:rsid w:val="563B5407"/>
    <w:rsid w:val="563C4ED9"/>
    <w:rsid w:val="56846207"/>
    <w:rsid w:val="56891285"/>
    <w:rsid w:val="569C5752"/>
    <w:rsid w:val="56B00B5F"/>
    <w:rsid w:val="56CC252B"/>
    <w:rsid w:val="56E20969"/>
    <w:rsid w:val="56EC29F7"/>
    <w:rsid w:val="56F81313"/>
    <w:rsid w:val="57134ABB"/>
    <w:rsid w:val="57151789"/>
    <w:rsid w:val="577C26B4"/>
    <w:rsid w:val="57B04E22"/>
    <w:rsid w:val="57CE37CF"/>
    <w:rsid w:val="581B6C00"/>
    <w:rsid w:val="58296ADB"/>
    <w:rsid w:val="58601E22"/>
    <w:rsid w:val="58867F42"/>
    <w:rsid w:val="588B24F3"/>
    <w:rsid w:val="588C0152"/>
    <w:rsid w:val="58975780"/>
    <w:rsid w:val="58A10C50"/>
    <w:rsid w:val="58A65CFC"/>
    <w:rsid w:val="58C60736"/>
    <w:rsid w:val="58CA114B"/>
    <w:rsid w:val="58D17891"/>
    <w:rsid w:val="58D963D8"/>
    <w:rsid w:val="58DC1BF9"/>
    <w:rsid w:val="58EC3706"/>
    <w:rsid w:val="58ED320D"/>
    <w:rsid w:val="58F47A3C"/>
    <w:rsid w:val="59136913"/>
    <w:rsid w:val="593E05A7"/>
    <w:rsid w:val="595A488E"/>
    <w:rsid w:val="595A550B"/>
    <w:rsid w:val="596832DC"/>
    <w:rsid w:val="59922E54"/>
    <w:rsid w:val="59950EE2"/>
    <w:rsid w:val="59C86826"/>
    <w:rsid w:val="59CA4FCE"/>
    <w:rsid w:val="59CD7368"/>
    <w:rsid w:val="59D352DE"/>
    <w:rsid w:val="59D5323E"/>
    <w:rsid w:val="59E32C00"/>
    <w:rsid w:val="59FC5201"/>
    <w:rsid w:val="5A077505"/>
    <w:rsid w:val="5A2F613B"/>
    <w:rsid w:val="5A8205AF"/>
    <w:rsid w:val="5AB5142F"/>
    <w:rsid w:val="5ACE4577"/>
    <w:rsid w:val="5B2B44A8"/>
    <w:rsid w:val="5B481A90"/>
    <w:rsid w:val="5B5B4C29"/>
    <w:rsid w:val="5B7F6015"/>
    <w:rsid w:val="5BCB6FF5"/>
    <w:rsid w:val="5C0D0CB4"/>
    <w:rsid w:val="5C173607"/>
    <w:rsid w:val="5C293DB4"/>
    <w:rsid w:val="5C2B516C"/>
    <w:rsid w:val="5C335971"/>
    <w:rsid w:val="5C36035B"/>
    <w:rsid w:val="5C3C0992"/>
    <w:rsid w:val="5C4D49E5"/>
    <w:rsid w:val="5C5A4334"/>
    <w:rsid w:val="5C7840EF"/>
    <w:rsid w:val="5C794BD5"/>
    <w:rsid w:val="5CCC1283"/>
    <w:rsid w:val="5CCC4A35"/>
    <w:rsid w:val="5CF824B6"/>
    <w:rsid w:val="5D066F09"/>
    <w:rsid w:val="5D171E13"/>
    <w:rsid w:val="5D236B56"/>
    <w:rsid w:val="5D2A5B91"/>
    <w:rsid w:val="5D57014C"/>
    <w:rsid w:val="5D6150F4"/>
    <w:rsid w:val="5D706CDC"/>
    <w:rsid w:val="5D8B4816"/>
    <w:rsid w:val="5D8D2F22"/>
    <w:rsid w:val="5D9D4973"/>
    <w:rsid w:val="5DBD6F37"/>
    <w:rsid w:val="5DC7130B"/>
    <w:rsid w:val="5DDC1BF6"/>
    <w:rsid w:val="5DEB0AEA"/>
    <w:rsid w:val="5DEF07DA"/>
    <w:rsid w:val="5E0409D2"/>
    <w:rsid w:val="5E162403"/>
    <w:rsid w:val="5E3C346E"/>
    <w:rsid w:val="5E51499D"/>
    <w:rsid w:val="5E576A77"/>
    <w:rsid w:val="5E750054"/>
    <w:rsid w:val="5E7913E8"/>
    <w:rsid w:val="5E8A2E79"/>
    <w:rsid w:val="5E8B357F"/>
    <w:rsid w:val="5EA11FE3"/>
    <w:rsid w:val="5F3E5453"/>
    <w:rsid w:val="5F4F6B6E"/>
    <w:rsid w:val="5F7617DC"/>
    <w:rsid w:val="5F7E5DD1"/>
    <w:rsid w:val="5FC1564D"/>
    <w:rsid w:val="5FEC3855"/>
    <w:rsid w:val="5FFB099A"/>
    <w:rsid w:val="600225F3"/>
    <w:rsid w:val="6007143A"/>
    <w:rsid w:val="60185826"/>
    <w:rsid w:val="60361BF3"/>
    <w:rsid w:val="60607EF9"/>
    <w:rsid w:val="60821C27"/>
    <w:rsid w:val="60880446"/>
    <w:rsid w:val="60A12492"/>
    <w:rsid w:val="60AE016E"/>
    <w:rsid w:val="60B40738"/>
    <w:rsid w:val="60DA5C74"/>
    <w:rsid w:val="60EB6BE9"/>
    <w:rsid w:val="60F7328C"/>
    <w:rsid w:val="61016350"/>
    <w:rsid w:val="6119449E"/>
    <w:rsid w:val="612A37D3"/>
    <w:rsid w:val="612C7B51"/>
    <w:rsid w:val="615876E3"/>
    <w:rsid w:val="619D5AB2"/>
    <w:rsid w:val="61AC5209"/>
    <w:rsid w:val="61D54A21"/>
    <w:rsid w:val="61E63359"/>
    <w:rsid w:val="61EE23BF"/>
    <w:rsid w:val="61F309BE"/>
    <w:rsid w:val="61F650CE"/>
    <w:rsid w:val="620159E8"/>
    <w:rsid w:val="62064D5F"/>
    <w:rsid w:val="62115703"/>
    <w:rsid w:val="62564C9E"/>
    <w:rsid w:val="626B3882"/>
    <w:rsid w:val="6279348B"/>
    <w:rsid w:val="627A0BA6"/>
    <w:rsid w:val="627F79C4"/>
    <w:rsid w:val="62BA06D9"/>
    <w:rsid w:val="62BE4D56"/>
    <w:rsid w:val="62DE6002"/>
    <w:rsid w:val="62E56C3D"/>
    <w:rsid w:val="62EE4917"/>
    <w:rsid w:val="633F5BCD"/>
    <w:rsid w:val="63597795"/>
    <w:rsid w:val="635A1D8A"/>
    <w:rsid w:val="635A32D7"/>
    <w:rsid w:val="636A16E6"/>
    <w:rsid w:val="63795AB0"/>
    <w:rsid w:val="63A30486"/>
    <w:rsid w:val="63F650F5"/>
    <w:rsid w:val="641A67EC"/>
    <w:rsid w:val="647D4AF5"/>
    <w:rsid w:val="64806DCE"/>
    <w:rsid w:val="649859BC"/>
    <w:rsid w:val="649903D2"/>
    <w:rsid w:val="649D625C"/>
    <w:rsid w:val="64AE0838"/>
    <w:rsid w:val="64EA5409"/>
    <w:rsid w:val="650B7464"/>
    <w:rsid w:val="650F3C36"/>
    <w:rsid w:val="652041A0"/>
    <w:rsid w:val="656456C3"/>
    <w:rsid w:val="65665E48"/>
    <w:rsid w:val="65DA7A15"/>
    <w:rsid w:val="661D2357"/>
    <w:rsid w:val="665B2BC0"/>
    <w:rsid w:val="6660189F"/>
    <w:rsid w:val="666D47C3"/>
    <w:rsid w:val="669275A3"/>
    <w:rsid w:val="66B01A95"/>
    <w:rsid w:val="66B21FAC"/>
    <w:rsid w:val="66B75C59"/>
    <w:rsid w:val="66F51876"/>
    <w:rsid w:val="66FD1721"/>
    <w:rsid w:val="67015F9E"/>
    <w:rsid w:val="673D6533"/>
    <w:rsid w:val="67754D19"/>
    <w:rsid w:val="678E7391"/>
    <w:rsid w:val="67991C32"/>
    <w:rsid w:val="67A65C62"/>
    <w:rsid w:val="67AE7CD3"/>
    <w:rsid w:val="67CD6ACD"/>
    <w:rsid w:val="67DA7653"/>
    <w:rsid w:val="67FD5F57"/>
    <w:rsid w:val="681A5594"/>
    <w:rsid w:val="682E451C"/>
    <w:rsid w:val="68465A41"/>
    <w:rsid w:val="684C5AD2"/>
    <w:rsid w:val="687B6173"/>
    <w:rsid w:val="688D78A5"/>
    <w:rsid w:val="688E77EE"/>
    <w:rsid w:val="689A23C4"/>
    <w:rsid w:val="68D90D82"/>
    <w:rsid w:val="68FA2544"/>
    <w:rsid w:val="69191CB7"/>
    <w:rsid w:val="6936596A"/>
    <w:rsid w:val="698B7C6E"/>
    <w:rsid w:val="69AB2933"/>
    <w:rsid w:val="69CC0BE5"/>
    <w:rsid w:val="69F04794"/>
    <w:rsid w:val="6A1A041E"/>
    <w:rsid w:val="6A472F99"/>
    <w:rsid w:val="6A5E679E"/>
    <w:rsid w:val="6A6828F3"/>
    <w:rsid w:val="6A700986"/>
    <w:rsid w:val="6A9B57B1"/>
    <w:rsid w:val="6AA76956"/>
    <w:rsid w:val="6AC52933"/>
    <w:rsid w:val="6B2324C1"/>
    <w:rsid w:val="6B331869"/>
    <w:rsid w:val="6B3B1917"/>
    <w:rsid w:val="6B3F426D"/>
    <w:rsid w:val="6B673144"/>
    <w:rsid w:val="6B6C71EF"/>
    <w:rsid w:val="6B6F7A67"/>
    <w:rsid w:val="6B9324EB"/>
    <w:rsid w:val="6BD41B47"/>
    <w:rsid w:val="6BDB5B59"/>
    <w:rsid w:val="6BED03FE"/>
    <w:rsid w:val="6C094BA3"/>
    <w:rsid w:val="6C104913"/>
    <w:rsid w:val="6C1613D3"/>
    <w:rsid w:val="6C322CA7"/>
    <w:rsid w:val="6C66201D"/>
    <w:rsid w:val="6C7124C2"/>
    <w:rsid w:val="6C836AF4"/>
    <w:rsid w:val="6C861A66"/>
    <w:rsid w:val="6C874713"/>
    <w:rsid w:val="6C976C56"/>
    <w:rsid w:val="6CCF0E26"/>
    <w:rsid w:val="6CEF08BF"/>
    <w:rsid w:val="6D2354B7"/>
    <w:rsid w:val="6D376C8B"/>
    <w:rsid w:val="6D585038"/>
    <w:rsid w:val="6D625FDA"/>
    <w:rsid w:val="6D6A53BC"/>
    <w:rsid w:val="6D6B121D"/>
    <w:rsid w:val="6D6F4E94"/>
    <w:rsid w:val="6D8475A1"/>
    <w:rsid w:val="6D8F5F3B"/>
    <w:rsid w:val="6D911ED0"/>
    <w:rsid w:val="6DE55492"/>
    <w:rsid w:val="6E362C3A"/>
    <w:rsid w:val="6E492A6C"/>
    <w:rsid w:val="6E4E5332"/>
    <w:rsid w:val="6E546B68"/>
    <w:rsid w:val="6E6C293A"/>
    <w:rsid w:val="6E8E5F23"/>
    <w:rsid w:val="6EA939F0"/>
    <w:rsid w:val="6EB039A9"/>
    <w:rsid w:val="6EC67549"/>
    <w:rsid w:val="6EDB545F"/>
    <w:rsid w:val="6EE302EF"/>
    <w:rsid w:val="6EED0178"/>
    <w:rsid w:val="6EF06956"/>
    <w:rsid w:val="6F2737BB"/>
    <w:rsid w:val="6F2A7CAE"/>
    <w:rsid w:val="6F2F3335"/>
    <w:rsid w:val="6F3A6BE8"/>
    <w:rsid w:val="6F450301"/>
    <w:rsid w:val="6F572A3F"/>
    <w:rsid w:val="6F5D3B11"/>
    <w:rsid w:val="6F7307C0"/>
    <w:rsid w:val="6F732595"/>
    <w:rsid w:val="6F87471B"/>
    <w:rsid w:val="6FAE32EE"/>
    <w:rsid w:val="6FB45B7D"/>
    <w:rsid w:val="6FDB6A4E"/>
    <w:rsid w:val="6FE631D8"/>
    <w:rsid w:val="6FED3D02"/>
    <w:rsid w:val="6FFB0F11"/>
    <w:rsid w:val="70284544"/>
    <w:rsid w:val="702D7977"/>
    <w:rsid w:val="70456740"/>
    <w:rsid w:val="70E612D0"/>
    <w:rsid w:val="70E96746"/>
    <w:rsid w:val="716A3C98"/>
    <w:rsid w:val="71704D18"/>
    <w:rsid w:val="71710F5C"/>
    <w:rsid w:val="71A72B66"/>
    <w:rsid w:val="71A94675"/>
    <w:rsid w:val="71B374B9"/>
    <w:rsid w:val="71B457E3"/>
    <w:rsid w:val="71B9588A"/>
    <w:rsid w:val="71CC7D8A"/>
    <w:rsid w:val="71CD04FD"/>
    <w:rsid w:val="71CD2B12"/>
    <w:rsid w:val="71EF7388"/>
    <w:rsid w:val="720C147F"/>
    <w:rsid w:val="72506EEF"/>
    <w:rsid w:val="725B1CFE"/>
    <w:rsid w:val="72603DA3"/>
    <w:rsid w:val="72704461"/>
    <w:rsid w:val="727B375C"/>
    <w:rsid w:val="727F3CB5"/>
    <w:rsid w:val="72807C1A"/>
    <w:rsid w:val="72887B3A"/>
    <w:rsid w:val="728E6C98"/>
    <w:rsid w:val="728F47DA"/>
    <w:rsid w:val="72913D19"/>
    <w:rsid w:val="72AB1EE1"/>
    <w:rsid w:val="72DD6BD7"/>
    <w:rsid w:val="72F24325"/>
    <w:rsid w:val="72F97DE1"/>
    <w:rsid w:val="73232927"/>
    <w:rsid w:val="734C1DF9"/>
    <w:rsid w:val="73612D9A"/>
    <w:rsid w:val="73694EBD"/>
    <w:rsid w:val="736E476A"/>
    <w:rsid w:val="73B515F0"/>
    <w:rsid w:val="73BC23CA"/>
    <w:rsid w:val="73C03B3F"/>
    <w:rsid w:val="740A0441"/>
    <w:rsid w:val="741B1831"/>
    <w:rsid w:val="7458464B"/>
    <w:rsid w:val="748F79EF"/>
    <w:rsid w:val="74945E00"/>
    <w:rsid w:val="74D777D8"/>
    <w:rsid w:val="74DF6CBB"/>
    <w:rsid w:val="74E81225"/>
    <w:rsid w:val="751D60B3"/>
    <w:rsid w:val="752631CA"/>
    <w:rsid w:val="758F1BA5"/>
    <w:rsid w:val="75987D57"/>
    <w:rsid w:val="75A34E15"/>
    <w:rsid w:val="75B757E6"/>
    <w:rsid w:val="75E81413"/>
    <w:rsid w:val="75EA7AD0"/>
    <w:rsid w:val="75F60A78"/>
    <w:rsid w:val="75FA03F8"/>
    <w:rsid w:val="75FA0A50"/>
    <w:rsid w:val="76034CCA"/>
    <w:rsid w:val="760903B4"/>
    <w:rsid w:val="760A1439"/>
    <w:rsid w:val="760B545B"/>
    <w:rsid w:val="761C4F60"/>
    <w:rsid w:val="76613E8F"/>
    <w:rsid w:val="76640163"/>
    <w:rsid w:val="767C1492"/>
    <w:rsid w:val="76BF7DAA"/>
    <w:rsid w:val="771B07A6"/>
    <w:rsid w:val="77477157"/>
    <w:rsid w:val="775746F5"/>
    <w:rsid w:val="77813857"/>
    <w:rsid w:val="77A105CD"/>
    <w:rsid w:val="77CA6481"/>
    <w:rsid w:val="77DF6AF7"/>
    <w:rsid w:val="77F65601"/>
    <w:rsid w:val="780E2FD4"/>
    <w:rsid w:val="78374A8F"/>
    <w:rsid w:val="78397DB7"/>
    <w:rsid w:val="785B37F0"/>
    <w:rsid w:val="78B5182A"/>
    <w:rsid w:val="78D50A9E"/>
    <w:rsid w:val="79402B09"/>
    <w:rsid w:val="79634668"/>
    <w:rsid w:val="79B2119B"/>
    <w:rsid w:val="79B21CD9"/>
    <w:rsid w:val="79C02A87"/>
    <w:rsid w:val="79D23074"/>
    <w:rsid w:val="79DD54D3"/>
    <w:rsid w:val="7A0B0A3E"/>
    <w:rsid w:val="7A133896"/>
    <w:rsid w:val="7A52393C"/>
    <w:rsid w:val="7A634A96"/>
    <w:rsid w:val="7A684AA0"/>
    <w:rsid w:val="7A7B2661"/>
    <w:rsid w:val="7A917B1D"/>
    <w:rsid w:val="7A9D0F01"/>
    <w:rsid w:val="7AE42651"/>
    <w:rsid w:val="7AF25BC5"/>
    <w:rsid w:val="7B0B1B98"/>
    <w:rsid w:val="7B2356B6"/>
    <w:rsid w:val="7B313438"/>
    <w:rsid w:val="7B377108"/>
    <w:rsid w:val="7B3842CB"/>
    <w:rsid w:val="7B43368F"/>
    <w:rsid w:val="7B5A09F3"/>
    <w:rsid w:val="7B645747"/>
    <w:rsid w:val="7B712FCF"/>
    <w:rsid w:val="7B782C58"/>
    <w:rsid w:val="7B800AE5"/>
    <w:rsid w:val="7B9B4703"/>
    <w:rsid w:val="7BD9602F"/>
    <w:rsid w:val="7C1664F7"/>
    <w:rsid w:val="7C333086"/>
    <w:rsid w:val="7C494A26"/>
    <w:rsid w:val="7C71219A"/>
    <w:rsid w:val="7C8A5C4F"/>
    <w:rsid w:val="7C9E683D"/>
    <w:rsid w:val="7CA22C1A"/>
    <w:rsid w:val="7CAC01DA"/>
    <w:rsid w:val="7CC37181"/>
    <w:rsid w:val="7CDE341B"/>
    <w:rsid w:val="7CED551C"/>
    <w:rsid w:val="7D0059AE"/>
    <w:rsid w:val="7D24503D"/>
    <w:rsid w:val="7D270C72"/>
    <w:rsid w:val="7D7826DA"/>
    <w:rsid w:val="7D9A25B6"/>
    <w:rsid w:val="7DB00346"/>
    <w:rsid w:val="7DB83178"/>
    <w:rsid w:val="7DC50971"/>
    <w:rsid w:val="7DE93EF0"/>
    <w:rsid w:val="7E1107A4"/>
    <w:rsid w:val="7E4050B3"/>
    <w:rsid w:val="7E51054E"/>
    <w:rsid w:val="7E6F6B0E"/>
    <w:rsid w:val="7E82019C"/>
    <w:rsid w:val="7EA74697"/>
    <w:rsid w:val="7EDD535B"/>
    <w:rsid w:val="7EDE684F"/>
    <w:rsid w:val="7F0E1A20"/>
    <w:rsid w:val="7F154739"/>
    <w:rsid w:val="7F1E3C7F"/>
    <w:rsid w:val="7F415879"/>
    <w:rsid w:val="7F8E0A24"/>
    <w:rsid w:val="7FA720DC"/>
    <w:rsid w:val="7FAA4D5C"/>
    <w:rsid w:val="7FB76155"/>
    <w:rsid w:val="7FF73F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9"/>
    <w:pPr>
      <w:keepNext/>
      <w:keepLines/>
      <w:spacing w:line="576" w:lineRule="auto"/>
      <w:outlineLvl w:val="0"/>
    </w:pPr>
    <w:rPr>
      <w:rFonts w:ascii="Times New Roman" w:hAnsi="Times New Roman" w:eastAsia="宋体" w:cs="Times New Roman"/>
      <w:b/>
      <w:bCs/>
      <w:kern w:val="44"/>
      <w:sz w:val="44"/>
      <w:szCs w:val="44"/>
    </w:rPr>
  </w:style>
  <w:style w:type="paragraph" w:styleId="2">
    <w:name w:val="heading 2"/>
    <w:basedOn w:val="1"/>
    <w:next w:val="1"/>
    <w:link w:val="27"/>
    <w:qFormat/>
    <w:uiPriority w:val="99"/>
    <w:pPr>
      <w:keepNext/>
      <w:keepLines/>
      <w:spacing w:line="412" w:lineRule="auto"/>
      <w:outlineLvl w:val="1"/>
    </w:pPr>
    <w:rPr>
      <w:rFonts w:ascii="Arial" w:hAnsi="Arial" w:eastAsia="黑体" w:cs="Arial"/>
      <w:b/>
      <w:bCs/>
      <w:kern w:val="0"/>
      <w:sz w:val="32"/>
      <w:szCs w:val="32"/>
    </w:rPr>
  </w:style>
  <w:style w:type="paragraph" w:styleId="4">
    <w:name w:val="heading 3"/>
    <w:basedOn w:val="1"/>
    <w:next w:val="1"/>
    <w:link w:val="28"/>
    <w:qFormat/>
    <w:uiPriority w:val="99"/>
    <w:pPr>
      <w:keepNext/>
      <w:keepLines/>
      <w:spacing w:line="412" w:lineRule="auto"/>
      <w:outlineLvl w:val="2"/>
    </w:pPr>
    <w:rPr>
      <w:rFonts w:ascii="Times New Roman" w:hAnsi="Times New Roman" w:eastAsia="宋体" w:cs="Times New Roman"/>
      <w:b/>
      <w:bCs/>
      <w:kern w:val="0"/>
      <w:sz w:val="32"/>
      <w:szCs w:val="32"/>
    </w:rPr>
  </w:style>
  <w:style w:type="paragraph" w:styleId="5">
    <w:name w:val="heading 4"/>
    <w:basedOn w:val="1"/>
    <w:next w:val="1"/>
    <w:link w:val="29"/>
    <w:qFormat/>
    <w:uiPriority w:val="99"/>
    <w:pPr>
      <w:keepNext/>
      <w:keepLines/>
      <w:spacing w:line="360" w:lineRule="auto"/>
      <w:outlineLvl w:val="3"/>
    </w:pPr>
    <w:rPr>
      <w:rFonts w:ascii="Arial" w:hAnsi="Arial" w:eastAsia="宋体" w:cs="Arial"/>
      <w:b/>
      <w:bCs/>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link w:val="30"/>
    <w:unhideWhenUsed/>
    <w:qFormat/>
    <w:uiPriority w:val="99"/>
    <w:pPr>
      <w:spacing w:before="100" w:beforeAutospacing="1" w:after="120"/>
    </w:pPr>
    <w:rPr>
      <w:rFonts w:ascii="Times New Roman" w:hAnsi="Times New Roman" w:eastAsia="宋体" w:cs="Times New Roman"/>
      <w:szCs w:val="21"/>
    </w:rPr>
  </w:style>
  <w:style w:type="paragraph" w:styleId="7">
    <w:name w:val="Body Text 2"/>
    <w:basedOn w:val="1"/>
    <w:qFormat/>
    <w:uiPriority w:val="0"/>
    <w:pPr>
      <w:spacing w:line="480" w:lineRule="auto"/>
    </w:pPr>
    <w:rPr>
      <w:rFonts w:ascii="Times New Roman" w:hAnsi="Times New Roman" w:eastAsia="宋体" w:cs="Times New Roman"/>
    </w:rPr>
  </w:style>
  <w:style w:type="paragraph" w:styleId="8">
    <w:name w:val="Body Text Indent"/>
    <w:basedOn w:val="1"/>
    <w:link w:val="32"/>
    <w:unhideWhenUsed/>
    <w:qFormat/>
    <w:uiPriority w:val="99"/>
    <w:pPr>
      <w:spacing w:before="100" w:beforeAutospacing="1"/>
      <w:ind w:left="420" w:leftChars="200"/>
    </w:pPr>
    <w:rPr>
      <w:rFonts w:ascii="Times New Roman" w:hAnsi="Times New Roman" w:eastAsia="宋体" w:cs="Times New Roman"/>
      <w:szCs w:val="21"/>
    </w:rPr>
  </w:style>
  <w:style w:type="paragraph" w:styleId="9">
    <w:name w:val="toc 3"/>
    <w:basedOn w:val="1"/>
    <w:next w:val="1"/>
    <w:semiHidden/>
    <w:unhideWhenUsed/>
    <w:qFormat/>
    <w:uiPriority w:val="39"/>
    <w:pPr>
      <w:ind w:left="840" w:leftChars="400"/>
    </w:pPr>
  </w:style>
  <w:style w:type="paragraph" w:styleId="10">
    <w:name w:val="Body Text Indent 2"/>
    <w:basedOn w:val="1"/>
    <w:link w:val="33"/>
    <w:unhideWhenUsed/>
    <w:qFormat/>
    <w:uiPriority w:val="99"/>
    <w:pPr>
      <w:spacing w:before="100" w:beforeAutospacing="1" w:line="480" w:lineRule="auto"/>
      <w:ind w:left="420" w:leftChars="200"/>
    </w:pPr>
    <w:rPr>
      <w:rFonts w:ascii="Times New Roman" w:hAnsi="Times New Roman" w:eastAsia="宋体" w:cs="Times New Roman"/>
      <w:szCs w:val="21"/>
    </w:rPr>
  </w:style>
  <w:style w:type="paragraph" w:styleId="11">
    <w:name w:val="Balloon Text"/>
    <w:basedOn w:val="1"/>
    <w:link w:val="36"/>
    <w:unhideWhenUsed/>
    <w:qFormat/>
    <w:uiPriority w:val="99"/>
    <w:rPr>
      <w:rFonts w:ascii="Times New Roman" w:hAnsi="Times New Roman" w:eastAsia="宋体" w:cs="Times New Roman"/>
      <w:sz w:val="18"/>
      <w:szCs w:val="18"/>
    </w:rPr>
  </w:style>
  <w:style w:type="paragraph" w:styleId="12">
    <w:name w:val="footer"/>
    <w:basedOn w:val="1"/>
    <w:link w:val="34"/>
    <w:unhideWhenUsed/>
    <w:qFormat/>
    <w:uiPriority w:val="99"/>
    <w:pPr>
      <w:snapToGrid w:val="0"/>
      <w:jc w:val="left"/>
    </w:pPr>
    <w:rPr>
      <w:rFonts w:ascii="Times New Roman" w:hAnsi="Times New Roman" w:eastAsia="宋体" w:cs="Times New Roman"/>
      <w:sz w:val="18"/>
      <w:szCs w:val="18"/>
    </w:rPr>
  </w:style>
  <w:style w:type="paragraph" w:styleId="13">
    <w:name w:val="header"/>
    <w:basedOn w:val="1"/>
    <w:link w:val="40"/>
    <w:unhideWhenUsed/>
    <w:qFormat/>
    <w:uiPriority w:val="99"/>
    <w:pPr>
      <w:pBdr>
        <w:bottom w:val="single" w:color="auto" w:sz="6" w:space="1"/>
      </w:pBdr>
      <w:snapToGrid w:val="0"/>
      <w:jc w:val="center"/>
    </w:pPr>
    <w:rPr>
      <w:rFonts w:ascii="Times New Roman" w:hAnsi="Times New Roman" w:eastAsia="宋体" w:cs="Times New Roman"/>
      <w:sz w:val="18"/>
      <w:szCs w:val="18"/>
    </w:rPr>
  </w:style>
  <w:style w:type="paragraph" w:styleId="14">
    <w:name w:val="toc 1"/>
    <w:basedOn w:val="1"/>
    <w:next w:val="1"/>
    <w:semiHidden/>
    <w:unhideWhenUsed/>
    <w:qFormat/>
    <w:uiPriority w:val="39"/>
  </w:style>
  <w:style w:type="paragraph" w:styleId="15">
    <w:name w:val="footnote text"/>
    <w:basedOn w:val="1"/>
    <w:semiHidden/>
    <w:unhideWhenUsed/>
    <w:qFormat/>
    <w:uiPriority w:val="99"/>
    <w:pPr>
      <w:snapToGrid w:val="0"/>
      <w:jc w:val="left"/>
    </w:pPr>
    <w:rPr>
      <w:sz w:val="18"/>
    </w:rPr>
  </w:style>
  <w:style w:type="paragraph" w:styleId="16">
    <w:name w:val="toc 2"/>
    <w:basedOn w:val="1"/>
    <w:next w:val="1"/>
    <w:semiHidden/>
    <w:unhideWhenUsed/>
    <w:qFormat/>
    <w:uiPriority w:val="39"/>
    <w:pPr>
      <w:ind w:left="420" w:leftChars="200"/>
    </w:pPr>
  </w:style>
  <w:style w:type="paragraph" w:styleId="17">
    <w:name w:val="Normal (Web)"/>
    <w:basedOn w:val="1"/>
    <w:unhideWhenUsed/>
    <w:qFormat/>
    <w:uiPriority w:val="99"/>
    <w:pPr>
      <w:jc w:val="left"/>
    </w:pPr>
    <w:rPr>
      <w:rFonts w:ascii="Times New Roman" w:hAnsi="Times New Roman" w:eastAsia="宋体" w:cs="Times New Roman"/>
      <w:kern w:val="0"/>
      <w:sz w:val="24"/>
      <w:szCs w:val="24"/>
    </w:rPr>
  </w:style>
  <w:style w:type="paragraph" w:styleId="18">
    <w:name w:val="Body Text First Indent"/>
    <w:basedOn w:val="6"/>
    <w:next w:val="19"/>
    <w:link w:val="31"/>
    <w:unhideWhenUsed/>
    <w:qFormat/>
    <w:uiPriority w:val="99"/>
    <w:pPr>
      <w:ind w:firstLine="420" w:firstLineChars="100"/>
    </w:pPr>
  </w:style>
  <w:style w:type="paragraph" w:styleId="19">
    <w:name w:val="Body Text First Indent 2"/>
    <w:basedOn w:val="8"/>
    <w:next w:val="1"/>
    <w:link w:val="35"/>
    <w:unhideWhenUsed/>
    <w:qFormat/>
    <w:uiPriority w:val="99"/>
    <w:pPr>
      <w:ind w:firstLine="420" w:firstLineChars="200"/>
    </w:pPr>
  </w:style>
  <w:style w:type="character" w:styleId="22">
    <w:name w:val="FollowedHyperlink"/>
    <w:basedOn w:val="21"/>
    <w:unhideWhenUsed/>
    <w:qFormat/>
    <w:uiPriority w:val="99"/>
    <w:rPr>
      <w:color w:val="000000"/>
      <w:u w:val="none"/>
    </w:rPr>
  </w:style>
  <w:style w:type="character" w:styleId="23">
    <w:name w:val="Emphasis"/>
    <w:basedOn w:val="21"/>
    <w:qFormat/>
    <w:uiPriority w:val="20"/>
  </w:style>
  <w:style w:type="character" w:styleId="24">
    <w:name w:val="Hyperlink"/>
    <w:basedOn w:val="21"/>
    <w:unhideWhenUsed/>
    <w:qFormat/>
    <w:uiPriority w:val="99"/>
    <w:rPr>
      <w:color w:val="000000"/>
      <w:u w:val="none"/>
    </w:rPr>
  </w:style>
  <w:style w:type="character" w:styleId="25">
    <w:name w:val="footnote reference"/>
    <w:basedOn w:val="21"/>
    <w:semiHidden/>
    <w:unhideWhenUsed/>
    <w:qFormat/>
    <w:uiPriority w:val="99"/>
    <w:rPr>
      <w:vertAlign w:val="superscript"/>
    </w:rPr>
  </w:style>
  <w:style w:type="character" w:customStyle="1" w:styleId="26">
    <w:name w:val="标题 1 Char"/>
    <w:basedOn w:val="21"/>
    <w:link w:val="3"/>
    <w:qFormat/>
    <w:uiPriority w:val="99"/>
    <w:rPr>
      <w:rFonts w:ascii="Times New Roman" w:hAnsi="Times New Roman" w:eastAsia="宋体" w:cs="Times New Roman"/>
      <w:b/>
      <w:bCs/>
      <w:kern w:val="44"/>
      <w:sz w:val="44"/>
      <w:szCs w:val="44"/>
    </w:rPr>
  </w:style>
  <w:style w:type="character" w:customStyle="1" w:styleId="27">
    <w:name w:val="标题 2 Char"/>
    <w:basedOn w:val="21"/>
    <w:link w:val="2"/>
    <w:qFormat/>
    <w:uiPriority w:val="99"/>
    <w:rPr>
      <w:rFonts w:ascii="Arial" w:hAnsi="Arial" w:eastAsia="黑体" w:cs="Arial"/>
      <w:b/>
      <w:bCs/>
      <w:kern w:val="0"/>
      <w:sz w:val="32"/>
      <w:szCs w:val="32"/>
    </w:rPr>
  </w:style>
  <w:style w:type="character" w:customStyle="1" w:styleId="28">
    <w:name w:val="标题 3 Char"/>
    <w:basedOn w:val="21"/>
    <w:link w:val="4"/>
    <w:qFormat/>
    <w:uiPriority w:val="99"/>
    <w:rPr>
      <w:rFonts w:ascii="Times New Roman" w:hAnsi="Times New Roman" w:eastAsia="宋体" w:cs="Times New Roman"/>
      <w:b/>
      <w:bCs/>
      <w:kern w:val="0"/>
      <w:sz w:val="32"/>
      <w:szCs w:val="32"/>
    </w:rPr>
  </w:style>
  <w:style w:type="character" w:customStyle="1" w:styleId="29">
    <w:name w:val="标题 4 Char"/>
    <w:basedOn w:val="21"/>
    <w:link w:val="5"/>
    <w:qFormat/>
    <w:uiPriority w:val="99"/>
    <w:rPr>
      <w:rFonts w:ascii="Arial" w:hAnsi="Arial" w:eastAsia="宋体" w:cs="Arial"/>
      <w:b/>
      <w:bCs/>
      <w:szCs w:val="21"/>
    </w:rPr>
  </w:style>
  <w:style w:type="character" w:customStyle="1" w:styleId="30">
    <w:name w:val="正文文本 Char"/>
    <w:basedOn w:val="21"/>
    <w:link w:val="6"/>
    <w:qFormat/>
    <w:uiPriority w:val="99"/>
    <w:rPr>
      <w:rFonts w:ascii="Times New Roman" w:hAnsi="Times New Roman" w:eastAsia="宋体" w:cs="Times New Roman"/>
      <w:szCs w:val="21"/>
    </w:rPr>
  </w:style>
  <w:style w:type="character" w:customStyle="1" w:styleId="31">
    <w:name w:val="正文首行缩进 Char"/>
    <w:basedOn w:val="30"/>
    <w:link w:val="18"/>
    <w:qFormat/>
    <w:uiPriority w:val="99"/>
  </w:style>
  <w:style w:type="character" w:customStyle="1" w:styleId="32">
    <w:name w:val="正文文本缩进 Char"/>
    <w:basedOn w:val="21"/>
    <w:link w:val="8"/>
    <w:qFormat/>
    <w:uiPriority w:val="99"/>
    <w:rPr>
      <w:rFonts w:ascii="Times New Roman" w:hAnsi="Times New Roman" w:eastAsia="宋体" w:cs="Times New Roman"/>
      <w:szCs w:val="21"/>
    </w:rPr>
  </w:style>
  <w:style w:type="character" w:customStyle="1" w:styleId="33">
    <w:name w:val="正文文本缩进 2 Char"/>
    <w:basedOn w:val="21"/>
    <w:link w:val="10"/>
    <w:qFormat/>
    <w:uiPriority w:val="99"/>
    <w:rPr>
      <w:rFonts w:ascii="Times New Roman" w:hAnsi="Times New Roman" w:eastAsia="宋体" w:cs="Times New Roman"/>
      <w:szCs w:val="21"/>
    </w:rPr>
  </w:style>
  <w:style w:type="character" w:customStyle="1" w:styleId="34">
    <w:name w:val="页脚 Char"/>
    <w:basedOn w:val="21"/>
    <w:link w:val="12"/>
    <w:qFormat/>
    <w:uiPriority w:val="99"/>
    <w:rPr>
      <w:rFonts w:ascii="Times New Roman" w:hAnsi="Times New Roman" w:eastAsia="宋体" w:cs="Times New Roman"/>
      <w:sz w:val="18"/>
      <w:szCs w:val="18"/>
    </w:rPr>
  </w:style>
  <w:style w:type="character" w:customStyle="1" w:styleId="35">
    <w:name w:val="正文首行缩进 2 Char"/>
    <w:basedOn w:val="32"/>
    <w:link w:val="19"/>
    <w:qFormat/>
    <w:uiPriority w:val="99"/>
  </w:style>
  <w:style w:type="character" w:customStyle="1" w:styleId="36">
    <w:name w:val="批注框文本 Char"/>
    <w:basedOn w:val="21"/>
    <w:link w:val="11"/>
    <w:qFormat/>
    <w:uiPriority w:val="99"/>
    <w:rPr>
      <w:rFonts w:ascii="Times New Roman" w:hAnsi="Times New Roman" w:eastAsia="宋体" w:cs="Times New Roman"/>
      <w:sz w:val="18"/>
      <w:szCs w:val="18"/>
    </w:rPr>
  </w:style>
  <w:style w:type="paragraph" w:customStyle="1" w:styleId="37">
    <w:name w:val="p0"/>
    <w:basedOn w:val="1"/>
    <w:qFormat/>
    <w:uiPriority w:val="0"/>
    <w:pPr>
      <w:widowControl/>
      <w:jc w:val="left"/>
    </w:pPr>
    <w:rPr>
      <w:rFonts w:ascii="Times New Roman" w:hAnsi="Times New Roman" w:eastAsia="宋体" w:cs="Times New Roman"/>
      <w:kern w:val="0"/>
      <w:szCs w:val="21"/>
    </w:rPr>
  </w:style>
  <w:style w:type="paragraph" w:customStyle="1" w:styleId="38">
    <w:name w:val="Default"/>
    <w:basedOn w:val="1"/>
    <w:qFormat/>
    <w:uiPriority w:val="0"/>
    <w:pPr>
      <w:autoSpaceDE w:val="0"/>
      <w:autoSpaceDN w:val="0"/>
      <w:adjustRightInd w:val="0"/>
      <w:jc w:val="left"/>
    </w:pPr>
    <w:rPr>
      <w:rFonts w:ascii="宋体" w:hAnsi="宋体" w:eastAsia="宋体" w:cs="宋体"/>
      <w:color w:val="000000"/>
      <w:kern w:val="0"/>
      <w:sz w:val="24"/>
      <w:szCs w:val="24"/>
    </w:rPr>
  </w:style>
  <w:style w:type="paragraph" w:customStyle="1" w:styleId="39">
    <w:name w:val="样式 标题 3 + (中文) 黑体 小四 非加粗 段前: 7.8 磅 段后: 0 磅 行距: 固定值 20 磅"/>
    <w:basedOn w:val="4"/>
    <w:qFormat/>
    <w:uiPriority w:val="0"/>
    <w:pPr>
      <w:spacing w:line="400" w:lineRule="exact"/>
    </w:pPr>
    <w:rPr>
      <w:rFonts w:eastAsia="黑体" w:cs="宋体"/>
      <w:b w:val="0"/>
      <w:bCs w:val="0"/>
      <w:sz w:val="24"/>
      <w:szCs w:val="24"/>
    </w:rPr>
  </w:style>
  <w:style w:type="character" w:customStyle="1" w:styleId="40">
    <w:name w:val="页眉 Char"/>
    <w:basedOn w:val="21"/>
    <w:link w:val="13"/>
    <w:qFormat/>
    <w:uiPriority w:val="99"/>
    <w:rPr>
      <w:rFonts w:ascii="Times New Roman" w:hAnsi="Times New Roman" w:eastAsia="宋体" w:cs="Times New Roman"/>
      <w:sz w:val="18"/>
      <w:szCs w:val="18"/>
    </w:rPr>
  </w:style>
  <w:style w:type="character" w:customStyle="1" w:styleId="41">
    <w:name w:val="10"/>
    <w:basedOn w:val="21"/>
    <w:qFormat/>
    <w:uiPriority w:val="0"/>
    <w:rPr>
      <w:rFonts w:hint="default" w:ascii="Times New Roman" w:hAnsi="Times New Roman" w:cs="Times New Roman"/>
    </w:rPr>
  </w:style>
  <w:style w:type="character" w:customStyle="1" w:styleId="42">
    <w:name w:val="15"/>
    <w:basedOn w:val="21"/>
    <w:qFormat/>
    <w:uiPriority w:val="0"/>
    <w:rPr>
      <w:rFonts w:hint="default" w:ascii="Times New Roman" w:hAnsi="Times New Roman" w:cs="Times New Roman"/>
    </w:rPr>
  </w:style>
  <w:style w:type="character" w:customStyle="1" w:styleId="43">
    <w:name w:val="16"/>
    <w:basedOn w:val="21"/>
    <w:qFormat/>
    <w:uiPriority w:val="0"/>
    <w:rPr>
      <w:rFonts w:hint="default" w:ascii="Times New Roman" w:hAnsi="Times New Roman" w:cs="Times New Roman"/>
      <w:color w:val="000000"/>
    </w:rPr>
  </w:style>
  <w:style w:type="character" w:customStyle="1" w:styleId="44">
    <w:name w:val="17"/>
    <w:basedOn w:val="21"/>
    <w:qFormat/>
    <w:uiPriority w:val="0"/>
    <w:rPr>
      <w:rFonts w:hint="default" w:ascii="Arial" w:hAnsi="Arial" w:eastAsia="黑体" w:cs="Arial"/>
      <w:b/>
      <w:bCs/>
      <w:sz w:val="32"/>
      <w:szCs w:val="32"/>
    </w:rPr>
  </w:style>
  <w:style w:type="paragraph" w:customStyle="1" w:styleId="45">
    <w:name w:val="Table Paragraph"/>
    <w:basedOn w:val="1"/>
    <w:qFormat/>
    <w:uiPriority w:val="1"/>
  </w:style>
  <w:style w:type="paragraph" w:customStyle="1" w:styleId="46">
    <w:name w:val="列出段落1"/>
    <w:basedOn w:val="1"/>
    <w:qFormat/>
    <w:uiPriority w:val="0"/>
    <w:pPr>
      <w:ind w:firstLine="420" w:firstLineChars="200"/>
    </w:pPr>
  </w:style>
  <w:style w:type="paragraph" w:styleId="47">
    <w:name w:val="List Paragraph"/>
    <w:basedOn w:val="1"/>
    <w:qFormat/>
    <w:uiPriority w:val="1"/>
    <w:pPr>
      <w:spacing w:before="160"/>
      <w:ind w:left="658" w:hanging="602"/>
    </w:pPr>
    <w:rPr>
      <w:rFonts w:ascii="宋体" w:hAnsi="宋体" w:eastAsia="宋体" w:cs="宋体"/>
      <w:lang w:val="zh-CN" w:eastAsia="zh-CN" w:bidi="zh-CN"/>
    </w:rPr>
  </w:style>
  <w:style w:type="character" w:customStyle="1" w:styleId="48">
    <w:name w:val="green"/>
    <w:basedOn w:val="21"/>
    <w:qFormat/>
    <w:uiPriority w:val="0"/>
    <w:rPr>
      <w:color w:val="66AE00"/>
      <w:sz w:val="14"/>
      <w:szCs w:val="14"/>
    </w:rPr>
  </w:style>
  <w:style w:type="character" w:customStyle="1" w:styleId="49">
    <w:name w:val="green1"/>
    <w:basedOn w:val="21"/>
    <w:qFormat/>
    <w:uiPriority w:val="0"/>
    <w:rPr>
      <w:color w:val="66AE00"/>
      <w:sz w:val="14"/>
      <w:szCs w:val="14"/>
    </w:rPr>
  </w:style>
  <w:style w:type="character" w:customStyle="1" w:styleId="50">
    <w:name w:val="red"/>
    <w:basedOn w:val="21"/>
    <w:qFormat/>
    <w:uiPriority w:val="0"/>
    <w:rPr>
      <w:color w:val="FF0000"/>
      <w:sz w:val="14"/>
      <w:szCs w:val="14"/>
    </w:rPr>
  </w:style>
  <w:style w:type="character" w:customStyle="1" w:styleId="51">
    <w:name w:val="red1"/>
    <w:basedOn w:val="21"/>
    <w:qFormat/>
    <w:uiPriority w:val="0"/>
    <w:rPr>
      <w:color w:val="FF0000"/>
      <w:sz w:val="14"/>
      <w:szCs w:val="14"/>
    </w:rPr>
  </w:style>
  <w:style w:type="character" w:customStyle="1" w:styleId="52">
    <w:name w:val="red2"/>
    <w:basedOn w:val="21"/>
    <w:qFormat/>
    <w:uiPriority w:val="0"/>
    <w:rPr>
      <w:color w:val="FF0000"/>
    </w:rPr>
  </w:style>
  <w:style w:type="character" w:customStyle="1" w:styleId="53">
    <w:name w:val="red3"/>
    <w:basedOn w:val="21"/>
    <w:qFormat/>
    <w:uiPriority w:val="0"/>
    <w:rPr>
      <w:color w:val="CC0000"/>
    </w:rPr>
  </w:style>
  <w:style w:type="character" w:customStyle="1" w:styleId="54">
    <w:name w:val="hover25"/>
    <w:basedOn w:val="21"/>
    <w:qFormat/>
    <w:uiPriority w:val="0"/>
  </w:style>
  <w:style w:type="character" w:customStyle="1" w:styleId="55">
    <w:name w:val="gb-jt"/>
    <w:basedOn w:val="21"/>
    <w:qFormat/>
    <w:uiPriority w:val="0"/>
  </w:style>
  <w:style w:type="character" w:customStyle="1" w:styleId="56">
    <w:name w:val="blue"/>
    <w:basedOn w:val="21"/>
    <w:qFormat/>
    <w:uiPriority w:val="0"/>
    <w:rPr>
      <w:color w:val="0371C6"/>
      <w:sz w:val="16"/>
      <w:szCs w:val="16"/>
    </w:rPr>
  </w:style>
  <w:style w:type="character" w:customStyle="1" w:styleId="57">
    <w:name w:val="right"/>
    <w:basedOn w:val="21"/>
    <w:qFormat/>
    <w:uiPriority w:val="0"/>
    <w:rPr>
      <w:color w:val="999999"/>
      <w:sz w:val="14"/>
      <w:szCs w:val="1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3717</Words>
  <Characters>21192</Characters>
  <Lines>176</Lines>
  <Paragraphs>49</Paragraphs>
  <TotalTime>72</TotalTime>
  <ScaleCrop>false</ScaleCrop>
  <LinksUpToDate>false</LinksUpToDate>
  <CharactersWithSpaces>24860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2019-07-28T06:36:00Z</dcterms:created>
  <dc:creator>陕西瑞珂工程咨询有限责任公司:胡志超</dc:creator>
  <cp:lastModifiedBy>大成工程咨询有限公司:王永召</cp:lastModifiedBy>
  <cp:lastPrinted>2019-08-02T00:08:00Z</cp:lastPrinted>
  <dcterms:modified xsi:type="dcterms:W3CDTF">2020-06-10T07:28:19Z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