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asciiTheme="majorEastAsia" w:hAnsiTheme="majorEastAsia" w:eastAsiaTheme="majorEastAsia" w:cstheme="majorEastAsia"/>
          <w:b/>
          <w:bCs/>
          <w:sz w:val="44"/>
          <w:szCs w:val="44"/>
        </w:rPr>
      </w:pPr>
    </w:p>
    <w:p>
      <w:pPr>
        <w:rPr>
          <w:rFonts w:ascii="黑体" w:hAnsi="黑体" w:eastAsia="黑体" w:cs="黑体"/>
          <w:sz w:val="44"/>
          <w:szCs w:val="44"/>
        </w:rPr>
      </w:pPr>
    </w:p>
    <w:p>
      <w:pPr>
        <w:jc w:val="center"/>
        <w:rPr>
          <w:rFonts w:hint="eastAsia" w:ascii="黑体" w:hAnsi="黑体" w:eastAsia="黑体" w:cs="黑体"/>
          <w:sz w:val="44"/>
          <w:szCs w:val="44"/>
          <w:lang w:eastAsia="zh-CN"/>
        </w:rPr>
      </w:pPr>
      <w:r>
        <w:rPr>
          <w:rFonts w:hint="eastAsia" w:ascii="黑体" w:hAnsi="黑体" w:eastAsia="黑体" w:cs="黑体"/>
          <w:sz w:val="44"/>
          <w:szCs w:val="44"/>
        </w:rPr>
        <w:t>禹州市教育体育局幼儿园教学设备采购项目</w:t>
      </w:r>
      <w:r>
        <w:rPr>
          <w:rFonts w:hint="eastAsia" w:ascii="黑体" w:hAnsi="黑体" w:eastAsia="黑体" w:cs="黑体"/>
          <w:sz w:val="44"/>
          <w:szCs w:val="44"/>
          <w:lang w:eastAsia="zh-CN"/>
        </w:rPr>
        <w:t>（不见面开标）</w:t>
      </w:r>
    </w:p>
    <w:p>
      <w:pPr>
        <w:rPr>
          <w:rFonts w:ascii="微软简隶书" w:eastAsia="微软简隶书"/>
        </w:rPr>
      </w:pPr>
    </w:p>
    <w:p>
      <w:pPr>
        <w:rPr>
          <w:rFonts w:ascii="华文隶书" w:eastAsia="华文隶书"/>
          <w:bCs/>
          <w:w w:val="90"/>
          <w:sz w:val="96"/>
        </w:rPr>
      </w:pPr>
    </w:p>
    <w:p>
      <w:pPr>
        <w:jc w:val="center"/>
        <w:rPr>
          <w:rFonts w:ascii="黑体" w:hAnsi="黑体" w:eastAsia="黑体" w:cs="黑体"/>
          <w:bCs/>
          <w:w w:val="90"/>
          <w:sz w:val="72"/>
          <w:szCs w:val="72"/>
        </w:rPr>
      </w:pPr>
      <w:r>
        <w:rPr>
          <w:rFonts w:hint="eastAsia" w:ascii="黑体" w:hAnsi="黑体" w:eastAsia="黑体" w:cs="黑体"/>
          <w:bCs/>
          <w:w w:val="90"/>
          <w:sz w:val="72"/>
          <w:szCs w:val="72"/>
        </w:rPr>
        <w:t>竞争性谈判文件</w:t>
      </w:r>
    </w:p>
    <w:p>
      <w:pPr>
        <w:rPr>
          <w:rFonts w:ascii="微软简隶书" w:eastAsia="微软简隶书"/>
        </w:rPr>
      </w:pPr>
    </w:p>
    <w:p>
      <w:pPr>
        <w:rPr>
          <w:rFonts w:ascii="微软简隶书" w:eastAsia="微软简隶书"/>
        </w:rPr>
      </w:pPr>
    </w:p>
    <w:p>
      <w:pPr>
        <w:pStyle w:val="10"/>
      </w:pPr>
    </w:p>
    <w:p>
      <w:pPr>
        <w:rPr>
          <w:rFonts w:ascii="微软简隶书" w:eastAsia="微软简隶书"/>
        </w:rPr>
      </w:pPr>
    </w:p>
    <w:p>
      <w:pPr>
        <w:rPr>
          <w:rFonts w:ascii="微软简隶书" w:eastAsia="微软简隶书"/>
        </w:rPr>
      </w:pPr>
    </w:p>
    <w:p>
      <w:pPr>
        <w:rPr>
          <w:rFonts w:ascii="微软简隶书" w:eastAsia="微软简隶书"/>
        </w:rPr>
      </w:pPr>
    </w:p>
    <w:p>
      <w:pPr>
        <w:ind w:firstLine="1066" w:firstLineChars="295"/>
        <w:rPr>
          <w:rFonts w:hint="default"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rPr>
        <w:t>采购编号：YZCG-T20200</w:t>
      </w:r>
      <w:r>
        <w:rPr>
          <w:rFonts w:hint="eastAsia" w:asciiTheme="majorEastAsia" w:hAnsiTheme="majorEastAsia" w:eastAsiaTheme="majorEastAsia" w:cstheme="majorEastAsia"/>
          <w:b/>
          <w:bCs/>
          <w:sz w:val="36"/>
          <w:szCs w:val="36"/>
          <w:lang w:val="en-US" w:eastAsia="zh-CN"/>
        </w:rPr>
        <w:t>95</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采购单位：禹州市教育体育局</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代理机构：禹州市政府采购中心</w:t>
      </w:r>
    </w:p>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二〇二〇年</w:t>
      </w:r>
      <w:r>
        <w:rPr>
          <w:rFonts w:hint="eastAsia" w:asciiTheme="majorEastAsia" w:hAnsiTheme="majorEastAsia" w:eastAsiaTheme="majorEastAsia" w:cstheme="majorEastAsia"/>
          <w:b/>
          <w:bCs/>
          <w:sz w:val="36"/>
          <w:szCs w:val="36"/>
          <w:lang w:val="en-US" w:eastAsia="zh-CN"/>
        </w:rPr>
        <w:t>六</w:t>
      </w:r>
      <w:r>
        <w:rPr>
          <w:rFonts w:hint="eastAsia" w:asciiTheme="majorEastAsia" w:hAnsiTheme="majorEastAsia" w:eastAsiaTheme="majorEastAsia" w:cstheme="majorEastAsia"/>
          <w:b/>
          <w:bCs/>
          <w:sz w:val="36"/>
          <w:szCs w:val="36"/>
        </w:rPr>
        <w:t>月</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五、谈判和评审</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对响应文件审查与评审</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numPr>
          <w:ilvl w:val="0"/>
          <w:numId w:val="4"/>
        </w:num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谈判邀请</w:t>
      </w:r>
    </w:p>
    <w:p>
      <w:pPr>
        <w:pStyle w:val="2"/>
        <w:ind w:firstLine="0" w:firstLineChars="0"/>
      </w:pP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禹州市政府采购中心受禹州市教育体育局的委托，就“禹州市教育体育局幼儿园教学设备采购项目（不见面开标）”进行竞争性谈判，欢迎合格的投标人前来投标。</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一、项目基本情况</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1、采购人：禹州市教育体育局</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2、项目名称：禹州市教育体育局幼儿园教学设备采购项目（不见面开标）</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3、采购编号：YZCG-T20200</w:t>
      </w:r>
      <w:r>
        <w:rPr>
          <w:rFonts w:hint="eastAsia" w:asciiTheme="majorEastAsia" w:hAnsiTheme="majorEastAsia" w:eastAsiaTheme="majorEastAsia" w:cstheme="majorEastAsia"/>
          <w:szCs w:val="21"/>
          <w:lang w:val="en-US" w:eastAsia="zh-CN"/>
        </w:rPr>
        <w:t>9</w:t>
      </w:r>
      <w:r>
        <w:rPr>
          <w:rFonts w:hint="eastAsia" w:asciiTheme="majorEastAsia" w:hAnsiTheme="majorEastAsia" w:eastAsiaTheme="majorEastAsia" w:cstheme="majorEastAsia"/>
          <w:szCs w:val="21"/>
        </w:rPr>
        <w:t>5</w:t>
      </w:r>
      <w:r>
        <w:rPr>
          <w:rFonts w:hint="eastAsia" w:asciiTheme="majorEastAsia" w:hAnsiTheme="majorEastAsia" w:eastAsiaTheme="majorEastAsia" w:cstheme="majorEastAsia"/>
          <w:szCs w:val="21"/>
        </w:rPr>
        <w:tab/>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4、项目需求：幼儿园教学设备采购（详见谈判文件）</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5、采购预算：137.5万元</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二、需要落实的政府采购政策</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本项目落实节约能源、保护环境、扶持不发达地区和少数民族地区、促进中小企业、监狱企业发展等政府采购政策。</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三、供应商资格要求</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1、符合《政府采购法》第二十二条之规定，具有独立法人资格及相应的经营范围（以营业执照为准）；</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2、被委托人须是本单位职工，须提供公司为本人缴纳社会保险证明；</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3、本项目不接受联合体投标。</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四、获取谈判文件的方式</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1、持CA数字认证证书，登录《全国公共资源交易平台（河南省·许昌市）》“系统用户注册”入口</w:t>
      </w:r>
      <w:r>
        <w:fldChar w:fldCharType="begin"/>
      </w:r>
      <w:r>
        <w:instrText xml:space="preserve"> HYPERLINK "（一）持CA数字认证证书，登录《全国公共资源交易平台（河南省·许昌市）》" </w:instrText>
      </w:r>
      <w:r>
        <w:fldChar w:fldCharType="separate"/>
      </w:r>
      <w:r>
        <w:rPr>
          <w:rFonts w:hint="eastAsia" w:asciiTheme="majorEastAsia" w:hAnsiTheme="majorEastAsia" w:eastAsiaTheme="majorEastAsia" w:cstheme="majorEastAsia"/>
          <w:szCs w:val="21"/>
        </w:rPr>
        <w:t>http://ggzy.xuchang.gov.cn:8088/ggzy/eps/public/RegistAllJcxx.html）</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t>进行免费注册登记（详见“常见问题解答-诚信库网上注册相关资料下载”）；</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2、在谈判响应截止时间前均可登录《全国公共资源交易平台（河南省·许昌市）》“投标人/供应商登录”入口</w:t>
      </w:r>
      <w:r>
        <w:fldChar w:fldCharType="begin"/>
      </w:r>
      <w:r>
        <w:instrText xml:space="preserve"> HYPERLINK "（一）持CA数字认证证书，登录《全国公共资源交易平台（河南省·许昌市）》" </w:instrText>
      </w:r>
      <w:r>
        <w:fldChar w:fldCharType="separate"/>
      </w:r>
      <w:r>
        <w:rPr>
          <w:rFonts w:hint="eastAsia" w:asciiTheme="majorEastAsia" w:hAnsiTheme="majorEastAsia" w:eastAsiaTheme="majorEastAsia" w:cstheme="majorEastAsia"/>
          <w:szCs w:val="21"/>
        </w:rPr>
        <w:t>（http://ggzy.xuchang.gov.cn:8088/ggzy/）</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t>自行免费下载竞争性谈判文件（详见“常见问题解答-交易系统操作手册”）。</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3、谈判文件每份售价人民币300元，售后不退。</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五、响应文件提交截止时间及谈判响应截止时间、谈判时间</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1、响应文件提交截止时间及谈判响应截止时间、谈判时间：2020年 </w:t>
      </w:r>
      <w:r>
        <w:rPr>
          <w:rFonts w:hint="eastAsia" w:asciiTheme="majorEastAsia" w:hAnsiTheme="majorEastAsia" w:eastAsiaTheme="majorEastAsia" w:cstheme="majorEastAsia"/>
          <w:szCs w:val="21"/>
          <w:lang w:val="en-US" w:eastAsia="zh-CN"/>
        </w:rPr>
        <w:t>6</w:t>
      </w:r>
      <w:r>
        <w:rPr>
          <w:rFonts w:hint="eastAsia" w:asciiTheme="majorEastAsia" w:hAnsiTheme="majorEastAsia" w:eastAsiaTheme="majorEastAsia" w:cstheme="majorEastAsia"/>
          <w:szCs w:val="21"/>
        </w:rPr>
        <w:t xml:space="preserve">月 </w:t>
      </w:r>
      <w:r>
        <w:rPr>
          <w:rFonts w:hint="eastAsia" w:asciiTheme="majorEastAsia" w:hAnsiTheme="majorEastAsia" w:eastAsiaTheme="majorEastAsia" w:cstheme="majorEastAsia"/>
          <w:szCs w:val="21"/>
          <w:lang w:val="en-US" w:eastAsia="zh-CN"/>
        </w:rPr>
        <w:t>15</w:t>
      </w:r>
      <w:r>
        <w:rPr>
          <w:rFonts w:hint="eastAsia" w:asciiTheme="majorEastAsia" w:hAnsiTheme="majorEastAsia" w:eastAsiaTheme="majorEastAsia" w:cstheme="majorEastAsia"/>
          <w:szCs w:val="21"/>
        </w:rPr>
        <w:t>日9:00 （北京时间），逾期送达或不符合规定的响应文件恕不接受。</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2、响应文件开启时间：同响应文件提交截止时间。</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六、谈判响应文件开启</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（一）谈判响应文件开启地点：禹州市公共资源交易中心九楼第二开标室。（</w:t>
      </w:r>
      <w:r>
        <w:rPr>
          <w:rFonts w:hint="eastAsia" w:asciiTheme="majorEastAsia" w:hAnsiTheme="majorEastAsia" w:eastAsiaTheme="majorEastAsia" w:cstheme="majorEastAsia"/>
          <w:b/>
          <w:bCs/>
          <w:color w:val="FF0000"/>
          <w:szCs w:val="21"/>
        </w:rPr>
        <w:t>本项目采用远程不见面谈判，供应商无须到达现场</w:t>
      </w:r>
      <w:r>
        <w:rPr>
          <w:rFonts w:hint="eastAsia" w:asciiTheme="majorEastAsia" w:hAnsiTheme="majorEastAsia" w:eastAsiaTheme="majorEastAsia" w:cstheme="majorEastAsia"/>
          <w:szCs w:val="21"/>
        </w:rPr>
        <w:t>）。</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（二） 本项目为全流程电子化交易项目，供应商须提交电子响应文件。</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1、加密电子响应文件（.file格式）须在响应文件提交截止时间（谈判响应截止时间）前通过《全国公共资源交易平台(河南省▪许昌市)》公共资源交易系统成功上传。</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谈判响应截止时间前，供应商应登录不见面开标大厅，按照谈判响应截止时间准时参加线上响应文件开启，在系统规定时间内对电子响应文件进行远程解密，未在规定时间内解密或因供应商原因解密失败的，其响应文件将被拒绝。</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3、不见面开标大厅登录：供应商使用CA数字证书登录全国公共资源交易平台（河南省·许昌市）——进入公共资源交易系统</w:t>
      </w:r>
      <w:r>
        <w:fldChar w:fldCharType="begin"/>
      </w:r>
      <w:r>
        <w:instrText xml:space="preserve"> HYPERLINK "（一）持CA数字认证证书，登录《全国公共资源交易平台（河南省·许昌市）》" </w:instrText>
      </w:r>
      <w:r>
        <w:fldChar w:fldCharType="separate"/>
      </w:r>
      <w:r>
        <w:rPr>
          <w:rFonts w:hint="eastAsia" w:asciiTheme="majorEastAsia" w:hAnsiTheme="majorEastAsia" w:eastAsiaTheme="majorEastAsia" w:cstheme="majorEastAsia"/>
          <w:szCs w:val="21"/>
        </w:rPr>
        <w:t>（http://ggzy.xuchang.gov.cn:8088/ggzy/）</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t>——点击“项目信息——项目名称”——在系统操作导航栏点击“开标——不见面开标大厅”。</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七、本次谈判公告同时在《中国政府采购网》、《河南省政府采购网》、《全国公共资源交易平台（河南省·许昌市）》发布等。</w:t>
      </w:r>
    </w:p>
    <w:p>
      <w:pPr>
        <w:spacing w:line="440" w:lineRule="exact"/>
        <w:ind w:firstLine="422" w:firstLineChars="200"/>
        <w:jc w:val="left"/>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八、代理机构及采购单位地址、联系人、联系电话</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（一）代理机构：禹州市政府采购中心</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地址：禹州市行政服务中心楼917房间</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联系人：</w:t>
      </w:r>
      <w:r>
        <w:rPr>
          <w:rFonts w:hint="eastAsia" w:asciiTheme="majorEastAsia" w:hAnsiTheme="majorEastAsia" w:eastAsiaTheme="majorEastAsia" w:cstheme="majorEastAsia"/>
          <w:szCs w:val="21"/>
          <w:lang w:val="en-US" w:eastAsia="zh-CN"/>
        </w:rPr>
        <w:t>李</w:t>
      </w:r>
      <w:r>
        <w:rPr>
          <w:rFonts w:hint="eastAsia" w:asciiTheme="majorEastAsia" w:hAnsiTheme="majorEastAsia" w:eastAsiaTheme="majorEastAsia" w:cstheme="majorEastAsia"/>
          <w:szCs w:val="21"/>
        </w:rPr>
        <w:t>女士    联系电话：0374-2077111</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（二）采购单位：禹州市教育体育局</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地址：禹州市禹王大道东段111号</w:t>
      </w:r>
    </w:p>
    <w:p>
      <w:pPr>
        <w:spacing w:line="440" w:lineRule="exact"/>
        <w:ind w:firstLine="420" w:firstLineChars="20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联系人：周先生  联系电话：15939959399</w:t>
      </w:r>
    </w:p>
    <w:p>
      <w:pPr>
        <w:widowControl/>
        <w:shd w:val="clear" w:color="auto" w:fill="FFFFFF"/>
        <w:spacing w:line="440" w:lineRule="exact"/>
        <w:ind w:firstLine="850" w:firstLineChars="405"/>
        <w:jc w:val="left"/>
        <w:rPr>
          <w:rFonts w:asciiTheme="majorEastAsia" w:hAnsiTheme="majorEastAsia" w:eastAsiaTheme="majorEastAsia" w:cstheme="majorEastAsia"/>
          <w:color w:val="000000"/>
          <w:kern w:val="0"/>
          <w:szCs w:val="21"/>
        </w:rPr>
      </w:pPr>
    </w:p>
    <w:p>
      <w:pPr>
        <w:spacing w:line="440" w:lineRule="exact"/>
        <w:ind w:firstLine="3570" w:firstLineChars="1700"/>
        <w:rPr>
          <w:rFonts w:asciiTheme="majorEastAsia" w:hAnsiTheme="majorEastAsia" w:eastAsiaTheme="majorEastAsia" w:cstheme="majorEastAsia"/>
          <w:szCs w:val="21"/>
        </w:rPr>
      </w:pPr>
    </w:p>
    <w:p>
      <w:pPr>
        <w:adjustRightInd w:val="0"/>
        <w:snapToGrid w:val="0"/>
        <w:spacing w:line="360" w:lineRule="auto"/>
        <w:ind w:firstLine="840" w:firstLineChars="400"/>
        <w:jc w:val="left"/>
        <w:rPr>
          <w:rFonts w:asciiTheme="majorEastAsia" w:hAnsiTheme="majorEastAsia" w:eastAsiaTheme="majorEastAsia" w:cstheme="majorEastAsia"/>
          <w:szCs w:val="21"/>
        </w:rPr>
      </w:pPr>
    </w:p>
    <w:p>
      <w:pPr>
        <w:adjustRightInd w:val="0"/>
        <w:snapToGrid w:val="0"/>
        <w:spacing w:line="360" w:lineRule="auto"/>
        <w:ind w:firstLine="840" w:firstLineChars="400"/>
        <w:jc w:val="left"/>
        <w:rPr>
          <w:rFonts w:ascii="宋体" w:hAnsi="宋体"/>
          <w:szCs w:val="21"/>
        </w:rPr>
      </w:pPr>
    </w:p>
    <w:p>
      <w:pPr>
        <w:spacing w:line="360" w:lineRule="auto"/>
        <w:rPr>
          <w:rFonts w:hAnsi="宋体"/>
          <w:b/>
          <w:sz w:val="28"/>
          <w:szCs w:val="28"/>
        </w:rPr>
      </w:pPr>
    </w:p>
    <w:p>
      <w:pPr>
        <w:spacing w:line="360" w:lineRule="auto"/>
        <w:rPr>
          <w:rFonts w:hAnsi="宋体"/>
          <w:b/>
          <w:sz w:val="28"/>
          <w:szCs w:val="28"/>
        </w:rPr>
      </w:pPr>
    </w:p>
    <w:p>
      <w:pPr>
        <w:spacing w:line="360" w:lineRule="auto"/>
        <w:rPr>
          <w:rFonts w:hAnsi="宋体"/>
          <w:b/>
          <w:sz w:val="28"/>
          <w:szCs w:val="28"/>
        </w:rPr>
      </w:pPr>
      <w:r>
        <w:rPr>
          <w:rFonts w:hint="eastAsia" w:hAnsi="宋体"/>
          <w:b/>
          <w:sz w:val="28"/>
          <w:szCs w:val="28"/>
        </w:rPr>
        <w:t>温馨提示：</w:t>
      </w:r>
    </w:p>
    <w:p>
      <w:pPr>
        <w:tabs>
          <w:tab w:val="left" w:pos="7095"/>
        </w:tabs>
        <w:spacing w:line="360" w:lineRule="auto"/>
        <w:ind w:firstLine="422" w:firstLineChars="200"/>
        <w:contextualSpacing/>
        <w:rPr>
          <w:rFonts w:hAnsi="宋体"/>
          <w:b/>
          <w:color w:val="000000"/>
          <w:szCs w:val="21"/>
        </w:rPr>
      </w:pPr>
      <w:r>
        <w:rPr>
          <w:rFonts w:hint="eastAsia" w:hAnsi="宋体"/>
          <w:b/>
          <w:color w:val="000000"/>
          <w:szCs w:val="21"/>
        </w:rPr>
        <w:t>本项目为全流程电子化交易项目，请认真阅读谈判文件，并注意以下事项。</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供应商应按谈判文件规定编制、提交、解密电子响应文件。</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电子文件下载、制作、提交期间和远程不见面谈判（</w:t>
      </w:r>
      <w:r>
        <w:rPr>
          <w:rFonts w:hint="eastAsia" w:hAnsi="宋体"/>
          <w:szCs w:val="21"/>
        </w:rPr>
        <w:t>电子响应文件的解密</w:t>
      </w:r>
      <w:r>
        <w:rPr>
          <w:rFonts w:hint="eastAsia" w:hAnsi="宋体"/>
          <w:b/>
          <w:color w:val="000000"/>
          <w:szCs w:val="21"/>
        </w:rPr>
        <w:t>）环节，供应商须使用同一个</w:t>
      </w:r>
      <w:r>
        <w:rPr>
          <w:rFonts w:hAnsi="宋体"/>
          <w:b/>
          <w:color w:val="000000"/>
          <w:szCs w:val="21"/>
        </w:rPr>
        <w:t>CA数字证书</w:t>
      </w:r>
      <w:r>
        <w:rPr>
          <w:rFonts w:hint="eastAsia" w:hAnsi="宋体"/>
          <w:b/>
          <w:color w:val="000000"/>
          <w:szCs w:val="21"/>
        </w:rPr>
        <w:t>（证书须在有效期内并可正常使用）</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电子响应文件的制作</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.1</w:t>
      </w:r>
      <w:r>
        <w:rPr>
          <w:rFonts w:hint="eastAsia" w:hAnsi="宋体"/>
          <w:color w:val="000000"/>
          <w:szCs w:val="21"/>
        </w:rPr>
        <w:t xml:space="preserve"> 供应商登录《全国公共资源交易平台</w:t>
      </w:r>
      <w:r>
        <w:rPr>
          <w:rFonts w:hint="eastAsia" w:asciiTheme="majorEastAsia" w:hAnsiTheme="majorEastAsia" w:eastAsiaTheme="maj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30"/>
          <w:rFonts w:hAnsi="宋体"/>
          <w:szCs w:val="21"/>
        </w:rPr>
        <w:t>http://221.14.6.70:8088/ggzy/</w:t>
      </w:r>
      <w:r>
        <w:rPr>
          <w:rStyle w:val="30"/>
          <w:rFonts w:hAnsi="宋体"/>
          <w:szCs w:val="21"/>
        </w:rPr>
        <w:fldChar w:fldCharType="end"/>
      </w:r>
      <w:r>
        <w:rPr>
          <w:rFonts w:hint="eastAsia" w:hAnsi="宋体"/>
          <w:color w:val="000000"/>
          <w:szCs w:val="21"/>
        </w:rPr>
        <w:t>）下载“许昌投标文件制作系统SEARUN 最新版本”，按谈判文件要求制作电子响应文件。</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电子响应文件的制作，参考《全国公共资源交易平台</w:t>
      </w:r>
      <w:r>
        <w:rPr>
          <w:rFonts w:hint="eastAsia" w:asciiTheme="minorEastAsia" w:hAnsiTheme="min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》公共资源交易系统——组件下载——交易系统操作手册（投标人、供应商）。</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w:t>
      </w:r>
      <w:r>
        <w:rPr>
          <w:rFonts w:asciiTheme="minorEastAsia" w:hAnsiTheme="minorEastAsia"/>
          <w:color w:val="000000"/>
          <w:szCs w:val="21"/>
        </w:rPr>
        <w:t>2</w:t>
      </w:r>
      <w:r>
        <w:rPr>
          <w:rFonts w:hint="eastAsia" w:hAnsi="宋体"/>
          <w:color w:val="000000"/>
          <w:szCs w:val="21"/>
        </w:rPr>
        <w:t xml:space="preserve"> 供应商须将谈判文件要求的资质、业绩、荣誉及相关人员证明材料等资料原件扫描件（或图片）制作到所提交的电子响应文件中。</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3.3</w:t>
      </w:r>
      <w:r>
        <w:rPr>
          <w:rFonts w:hint="eastAsia" w:hAnsi="宋体"/>
          <w:color w:val="000000"/>
          <w:szCs w:val="21"/>
        </w:rPr>
        <w:t>供应商对同一项目多个标段进行响应的，应分别下载所投标段的谈判文件，按标段制作电子响应文件，并</w:t>
      </w:r>
      <w:r>
        <w:rPr>
          <w:rFonts w:hAnsi="宋体"/>
          <w:color w:val="000000"/>
          <w:szCs w:val="21"/>
        </w:rPr>
        <w:t>按</w:t>
      </w:r>
      <w:r>
        <w:rPr>
          <w:rFonts w:hint="eastAsia" w:hAnsi="宋体"/>
          <w:color w:val="000000"/>
          <w:szCs w:val="21"/>
        </w:rPr>
        <w:t>谈判</w:t>
      </w:r>
      <w:r>
        <w:rPr>
          <w:rFonts w:hAnsi="宋体"/>
          <w:color w:val="000000"/>
          <w:szCs w:val="21"/>
        </w:rPr>
        <w:t>文件要求在相应位置加盖</w:t>
      </w:r>
      <w:r>
        <w:rPr>
          <w:rFonts w:hint="eastAsia" w:hAnsi="宋体"/>
          <w:color w:val="000000"/>
          <w:szCs w:val="21"/>
        </w:rPr>
        <w:t>供应商</w:t>
      </w:r>
      <w:r>
        <w:rPr>
          <w:rFonts w:hAnsi="宋体"/>
          <w:color w:val="000000"/>
          <w:szCs w:val="21"/>
        </w:rPr>
        <w:t>电子印章</w:t>
      </w:r>
      <w:r>
        <w:rPr>
          <w:rFonts w:hint="eastAsia" w:hAnsi="宋体"/>
          <w:color w:val="000000"/>
          <w:szCs w:val="21"/>
        </w:rPr>
        <w:t>和法人电子印章。</w:t>
      </w:r>
    </w:p>
    <w:p>
      <w:pPr>
        <w:tabs>
          <w:tab w:val="left" w:pos="7095"/>
        </w:tabs>
        <w:spacing w:line="360" w:lineRule="auto"/>
        <w:ind w:left="105" w:leftChars="50" w:firstLine="315" w:firstLineChars="150"/>
        <w:contextualSpacing/>
        <w:rPr>
          <w:rFonts w:hAnsi="宋体"/>
          <w:color w:val="000000"/>
          <w:szCs w:val="21"/>
        </w:rPr>
      </w:pPr>
      <w:r>
        <w:rPr>
          <w:rFonts w:hint="eastAsia" w:hAnsi="宋体"/>
          <w:color w:val="000000"/>
          <w:szCs w:val="21"/>
        </w:rPr>
        <w:t>一个标段对应生成一个文件夹（xxxx项目xx标段）,其中后缀名为“</w:t>
      </w:r>
      <w:r>
        <w:rPr>
          <w:rFonts w:hAnsi="宋体"/>
          <w:color w:val="000000"/>
          <w:szCs w:val="21"/>
        </w:rPr>
        <w:t>.file</w:t>
      </w:r>
      <w:r>
        <w:rPr>
          <w:rFonts w:hint="eastAsia" w:hAnsi="宋体"/>
          <w:color w:val="000000"/>
          <w:szCs w:val="21"/>
        </w:rPr>
        <w:t>”的文件用于电子投标使用。</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4</w:t>
      </w:r>
      <w:r>
        <w:rPr>
          <w:rFonts w:hint="eastAsia" w:asciiTheme="minorEastAsia" w:hAnsiTheme="minorEastAsia"/>
          <w:b/>
          <w:color w:val="000000"/>
          <w:szCs w:val="21"/>
        </w:rPr>
        <w:t>.加密</w:t>
      </w:r>
      <w:r>
        <w:rPr>
          <w:rFonts w:hint="eastAsia" w:hAnsi="宋体"/>
          <w:b/>
          <w:color w:val="000000"/>
          <w:szCs w:val="21"/>
        </w:rPr>
        <w:t>电子响应文件的提交</w:t>
      </w:r>
    </w:p>
    <w:p>
      <w:pPr>
        <w:tabs>
          <w:tab w:val="left" w:pos="7095"/>
        </w:tabs>
        <w:spacing w:line="360" w:lineRule="auto"/>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.1加密</w:t>
      </w:r>
      <w:r>
        <w:rPr>
          <w:rFonts w:hint="eastAsia" w:hAnsi="宋体"/>
          <w:color w:val="000000"/>
          <w:szCs w:val="21"/>
        </w:rPr>
        <w:t>电子响应文件应按规定在谈判响应截止时间（谈判时间）之前成功提交至《全国公共资源交易平台(河南省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30"/>
          <w:rFonts w:hAnsi="宋体"/>
          <w:szCs w:val="21"/>
        </w:rPr>
        <w:t>http://221.14.6.70:8088/ggzy/</w:t>
      </w:r>
      <w:r>
        <w:rPr>
          <w:rStyle w:val="30"/>
          <w:rFonts w:hAnsi="宋体"/>
          <w:szCs w:val="21"/>
        </w:rPr>
        <w:fldChar w:fldCharType="end"/>
      </w:r>
      <w:r>
        <w:rPr>
          <w:rFonts w:hint="eastAsia" w:hAnsi="宋体"/>
          <w:color w:val="000000"/>
          <w:szCs w:val="21"/>
        </w:rPr>
        <w:t>）。</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供应商应充分考虑并预留技术处理和上传数据所需时间。</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 xml:space="preserve">2 </w:t>
      </w:r>
      <w:r>
        <w:rPr>
          <w:rFonts w:hint="eastAsia" w:hAnsi="宋体"/>
          <w:color w:val="000000"/>
          <w:szCs w:val="21"/>
        </w:rPr>
        <w:t>供应商对同一项目多个标段进行响应的，加密电子响应文件应按标段分别提交。</w:t>
      </w:r>
    </w:p>
    <w:p>
      <w:pPr>
        <w:tabs>
          <w:tab w:val="left" w:pos="7095"/>
        </w:tabs>
        <w:spacing w:line="360" w:lineRule="auto"/>
        <w:ind w:firstLine="420" w:firstLineChars="200"/>
        <w:contextualSpacing/>
        <w:rPr>
          <w:rFonts w:hAnsi="宋体"/>
          <w:color w:val="00B0F0"/>
          <w:szCs w:val="21"/>
        </w:rPr>
      </w:pPr>
      <w:r>
        <w:rPr>
          <w:rFonts w:asciiTheme="minorEastAsia" w:hAnsiTheme="minorEastAsia"/>
          <w:color w:val="000000"/>
          <w:szCs w:val="21"/>
        </w:rPr>
        <w:t>4</w:t>
      </w:r>
      <w:r>
        <w:rPr>
          <w:rFonts w:hint="eastAsia" w:asciiTheme="minorEastAsia" w:hAnsiTheme="minorEastAsia"/>
          <w:color w:val="000000"/>
          <w:szCs w:val="21"/>
        </w:rPr>
        <w:t>.</w:t>
      </w:r>
      <w:r>
        <w:rPr>
          <w:rFonts w:asciiTheme="minorEastAsia" w:hAnsiTheme="minorEastAsia"/>
          <w:color w:val="000000"/>
          <w:szCs w:val="21"/>
        </w:rPr>
        <w:t>3</w:t>
      </w:r>
      <w:r>
        <w:rPr>
          <w:rFonts w:hint="eastAsia" w:asciiTheme="minorEastAsia" w:hAnsiTheme="minorEastAsia"/>
          <w:color w:val="000000"/>
          <w:szCs w:val="21"/>
        </w:rPr>
        <w:t xml:space="preserve"> 加密</w:t>
      </w:r>
      <w:r>
        <w:rPr>
          <w:rFonts w:hint="eastAsia" w:hAnsi="宋体"/>
          <w:color w:val="000000"/>
          <w:szCs w:val="21"/>
        </w:rPr>
        <w:t>电子响应文件成功提交后，《全国公共资源交易平台(河南省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30"/>
          <w:rFonts w:hAnsi="宋体"/>
          <w:szCs w:val="21"/>
        </w:rPr>
        <w:t>http://221.14.6.70:8088/ggzy/</w:t>
      </w:r>
      <w:r>
        <w:rPr>
          <w:rStyle w:val="30"/>
          <w:rFonts w:hAnsi="宋体"/>
          <w:szCs w:val="21"/>
        </w:rPr>
        <w:fldChar w:fldCharType="end"/>
      </w:r>
      <w:r>
        <w:rPr>
          <w:rFonts w:hint="eastAsia" w:hAnsi="宋体"/>
          <w:color w:val="000000"/>
          <w:szCs w:val="21"/>
        </w:rPr>
        <w:t>）</w:t>
      </w:r>
      <w:r>
        <w:rPr>
          <w:rFonts w:hint="eastAsia" w:cs="仿宋_GB2312" w:asciiTheme="minorEastAsia" w:hAnsiTheme="minorEastAsia"/>
          <w:color w:val="000000"/>
          <w:szCs w:val="21"/>
        </w:rPr>
        <w:t>生成“投标文件提交回执单”。</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5.远程不见面谈判（</w:t>
      </w:r>
      <w:r>
        <w:rPr>
          <w:rFonts w:hint="eastAsia" w:hAnsi="宋体"/>
          <w:b/>
          <w:color w:val="000000"/>
          <w:szCs w:val="21"/>
        </w:rPr>
        <w:t>电子响应文件的解密</w:t>
      </w:r>
      <w:r>
        <w:rPr>
          <w:rFonts w:hint="eastAsia" w:asciiTheme="minorEastAsia" w:hAnsiTheme="minorEastAsia"/>
          <w:b/>
          <w:color w:val="000000"/>
          <w:szCs w:val="21"/>
        </w:rPr>
        <w:t>）</w:t>
      </w:r>
    </w:p>
    <w:p>
      <w:pPr>
        <w:tabs>
          <w:tab w:val="left" w:pos="7095"/>
        </w:tabs>
        <w:spacing w:line="360" w:lineRule="auto"/>
        <w:ind w:firstLine="420"/>
        <w:contextualSpacing/>
        <w:rPr>
          <w:rFonts w:hAnsi="宋体"/>
          <w:color w:val="000000"/>
          <w:szCs w:val="21"/>
        </w:rPr>
      </w:pPr>
      <w:r>
        <w:rPr>
          <w:rFonts w:hint="eastAsia" w:asciiTheme="minorEastAsia" w:hAnsiTheme="minorEastAsia"/>
          <w:color w:val="000000"/>
          <w:szCs w:val="21"/>
        </w:rPr>
        <w:t>5</w:t>
      </w:r>
      <w:r>
        <w:rPr>
          <w:rFonts w:asciiTheme="minorEastAsia" w:hAnsiTheme="minorEastAsia"/>
          <w:color w:val="000000"/>
          <w:szCs w:val="21"/>
        </w:rPr>
        <w:t>.</w:t>
      </w:r>
      <w:r>
        <w:rPr>
          <w:rFonts w:hint="eastAsia" w:asciiTheme="minorEastAsia" w:hAnsiTheme="minorEastAsia"/>
          <w:color w:val="000000"/>
          <w:szCs w:val="21"/>
        </w:rPr>
        <w:t>1</w:t>
      </w:r>
      <w:r>
        <w:rPr>
          <w:rFonts w:hint="eastAsia" w:hAnsi="宋体"/>
          <w:color w:val="000000"/>
          <w:szCs w:val="21"/>
        </w:rPr>
        <w:t>供应商应熟悉《许昌市不见面操作手册》，并提前设置不见面开标浏览器（设置流程详见《许昌市不见面操作手册》）。</w:t>
      </w:r>
    </w:p>
    <w:p>
      <w:pPr>
        <w:tabs>
          <w:tab w:val="left" w:pos="7095"/>
        </w:tabs>
        <w:spacing w:line="360" w:lineRule="auto"/>
        <w:ind w:firstLine="420"/>
        <w:contextualSpacing/>
        <w:rPr>
          <w:rFonts w:hAnsi="宋体"/>
          <w:color w:val="000000"/>
          <w:szCs w:val="21"/>
        </w:rPr>
      </w:pPr>
      <w:r>
        <w:rPr>
          <w:rFonts w:hint="eastAsia" w:asciiTheme="minorEastAsia" w:hAnsiTheme="minorEastAsia"/>
          <w:color w:val="000000"/>
          <w:szCs w:val="21"/>
        </w:rPr>
        <w:t xml:space="preserve">5.2 </w:t>
      </w:r>
      <w:r>
        <w:rPr>
          <w:rFonts w:hint="eastAsia" w:hAnsi="宋体"/>
          <w:color w:val="000000"/>
          <w:szCs w:val="21"/>
        </w:rPr>
        <w:t>《许昌市不见面操作手册》下载路径：全国公共资源交易平台（河南省·许昌市）—“资料下载”栏目。</w:t>
      </w:r>
    </w:p>
    <w:p>
      <w:pPr>
        <w:tabs>
          <w:tab w:val="left" w:pos="7095"/>
        </w:tabs>
        <w:spacing w:line="360" w:lineRule="auto"/>
        <w:ind w:firstLine="420"/>
        <w:contextualSpacing/>
        <w:rPr>
          <w:rFonts w:hAnsi="宋体"/>
          <w:color w:val="000000"/>
          <w:szCs w:val="21"/>
        </w:rPr>
      </w:pPr>
      <w:r>
        <w:rPr>
          <w:rFonts w:hint="eastAsia" w:asciiTheme="minorEastAsia" w:hAnsiTheme="minorEastAsia"/>
          <w:color w:val="000000"/>
          <w:szCs w:val="21"/>
        </w:rPr>
        <w:t>5.</w:t>
      </w:r>
      <w:r>
        <w:rPr>
          <w:rFonts w:asciiTheme="minorEastAsia" w:hAnsiTheme="minorEastAsia"/>
          <w:color w:val="000000"/>
          <w:szCs w:val="21"/>
        </w:rPr>
        <w:t>3</w:t>
      </w:r>
      <w:r>
        <w:rPr>
          <w:rFonts w:hint="eastAsia" w:cs="仿宋_GB2312" w:asciiTheme="minorEastAsia" w:hAnsiTheme="minorEastAsia"/>
          <w:color w:val="000000"/>
          <w:szCs w:val="21"/>
        </w:rPr>
        <w:t>谈判响应截止时间前供应商应登录本项目不见面开标大厅，按照谈判文件规定的时间准时参加线上响应文件开启。</w:t>
      </w:r>
    </w:p>
    <w:p>
      <w:pPr>
        <w:tabs>
          <w:tab w:val="left" w:pos="7095"/>
        </w:tabs>
        <w:spacing w:line="360" w:lineRule="auto"/>
        <w:ind w:firstLine="420" w:firstLineChars="200"/>
        <w:contextualSpacing/>
        <w:rPr>
          <w:rFonts w:hAnsi="宋体"/>
          <w:color w:val="000000"/>
          <w:szCs w:val="21"/>
        </w:rPr>
      </w:pPr>
      <w:r>
        <w:rPr>
          <w:rFonts w:hint="eastAsia" w:asciiTheme="minorEastAsia" w:hAnsiTheme="minorEastAsia"/>
          <w:color w:val="000000"/>
          <w:szCs w:val="21"/>
        </w:rPr>
        <w:t>5.4</w:t>
      </w:r>
      <w:r>
        <w:rPr>
          <w:rFonts w:hint="eastAsia" w:hAnsi="宋体"/>
          <w:color w:val="000000"/>
          <w:szCs w:val="21"/>
        </w:rPr>
        <w:t>供应商对线上响应文件开启过程和开标记录如有疑义，可在本项目不见面开标大厅“文字互动”对话框或“新增质疑”处在线提出询问。</w:t>
      </w:r>
    </w:p>
    <w:p>
      <w:pPr>
        <w:tabs>
          <w:tab w:val="left" w:pos="7095"/>
        </w:tabs>
        <w:spacing w:line="360" w:lineRule="auto"/>
        <w:ind w:firstLine="420" w:firstLineChars="200"/>
        <w:contextualSpacing/>
        <w:rPr>
          <w:rFonts w:asciiTheme="minorEastAsia" w:hAnsiTheme="minorEastAsia"/>
          <w:color w:val="000000"/>
          <w:szCs w:val="21"/>
        </w:rPr>
      </w:pPr>
      <w:r>
        <w:rPr>
          <w:rFonts w:hint="eastAsia" w:asciiTheme="minorEastAsia" w:hAnsiTheme="minorEastAsia"/>
          <w:color w:val="000000"/>
          <w:szCs w:val="21"/>
        </w:rPr>
        <w:t>5.5根据采购代理机构在“文字互动”对话框的通知，供应商选择功能栏“解密环节”按钮进行电子响应文件解密（供应商解密应自采购代理机构点击“开标”按钮后60分钟内完成）。供应商未在规定时间内解密或</w:t>
      </w:r>
      <w:r>
        <w:rPr>
          <w:rFonts w:hint="eastAsia" w:cs="宋体" w:asciiTheme="minorEastAsia" w:hAnsiTheme="minorEastAsia"/>
          <w:kern w:val="0"/>
          <w:szCs w:val="21"/>
        </w:rPr>
        <w:t>因供应商原因解密失败的，其响应文件将被拒绝。</w:t>
      </w:r>
    </w:p>
    <w:p>
      <w:pPr>
        <w:tabs>
          <w:tab w:val="left" w:pos="7095"/>
        </w:tabs>
        <w:spacing w:line="360" w:lineRule="auto"/>
        <w:ind w:firstLine="420" w:firstLineChars="200"/>
        <w:contextualSpacing/>
        <w:rPr>
          <w:rFonts w:hAnsi="宋体"/>
          <w:color w:val="000000"/>
          <w:szCs w:val="21"/>
        </w:rPr>
      </w:pPr>
      <w:r>
        <w:rPr>
          <w:rFonts w:hint="eastAsia" w:asciiTheme="minorEastAsia" w:hAnsiTheme="minorEastAsia"/>
          <w:color w:val="000000"/>
          <w:szCs w:val="21"/>
        </w:rPr>
        <w:t>5.6项目远程</w:t>
      </w:r>
      <w:r>
        <w:rPr>
          <w:rFonts w:hint="eastAsia" w:hAnsi="宋体"/>
          <w:color w:val="000000"/>
          <w:szCs w:val="21"/>
        </w:rPr>
        <w:t>不见面响应文件开启活动结束时，供应商应在《开标记录表》上进行电子签章。供应商未签章的，视同认可线上响应文件开启结果。</w:t>
      </w:r>
    </w:p>
    <w:p>
      <w:pPr>
        <w:tabs>
          <w:tab w:val="left" w:pos="7095"/>
        </w:tabs>
        <w:spacing w:line="360" w:lineRule="auto"/>
        <w:ind w:firstLine="420"/>
        <w:contextualSpacing/>
        <w:rPr>
          <w:rFonts w:asciiTheme="minorEastAsia" w:hAnsiTheme="minorEastAsia"/>
          <w:b/>
          <w:color w:val="000000"/>
          <w:szCs w:val="21"/>
        </w:rPr>
      </w:pPr>
      <w:r>
        <w:rPr>
          <w:rFonts w:hint="eastAsia" w:asciiTheme="minorEastAsia" w:hAnsiTheme="minorEastAsia"/>
          <w:b/>
          <w:color w:val="000000"/>
          <w:szCs w:val="21"/>
        </w:rPr>
        <w:t>6.评审依据</w:t>
      </w:r>
    </w:p>
    <w:p>
      <w:pPr>
        <w:tabs>
          <w:tab w:val="left" w:pos="7095"/>
        </w:tabs>
        <w:spacing w:line="360" w:lineRule="auto"/>
        <w:ind w:firstLine="420"/>
        <w:contextualSpacing/>
        <w:rPr>
          <w:rFonts w:asciiTheme="minorEastAsia" w:hAnsiTheme="minorEastAsia"/>
          <w:color w:val="000000"/>
          <w:szCs w:val="21"/>
        </w:rPr>
      </w:pPr>
      <w:r>
        <w:rPr>
          <w:rFonts w:hint="eastAsia" w:asciiTheme="minorEastAsia" w:hAnsiTheme="minorEastAsia"/>
          <w:color w:val="000000"/>
          <w:szCs w:val="21"/>
        </w:rPr>
        <w:t>6.1全流程电子化交易（不见面谈判）项目，谈判小组以成功上传、解密的电子响应文件为依据评审。</w:t>
      </w:r>
    </w:p>
    <w:p>
      <w:pPr>
        <w:tabs>
          <w:tab w:val="left" w:pos="7095"/>
        </w:tabs>
        <w:spacing w:line="360" w:lineRule="auto"/>
        <w:ind w:firstLine="420"/>
        <w:contextualSpacing/>
        <w:rPr>
          <w:rFonts w:asciiTheme="minorEastAsia" w:hAnsiTheme="minorEastAsia"/>
          <w:color w:val="000000"/>
          <w:szCs w:val="21"/>
        </w:rPr>
      </w:pPr>
      <w:r>
        <w:rPr>
          <w:rFonts w:hint="eastAsia" w:asciiTheme="minorEastAsia" w:hAnsiTheme="minorEastAsia"/>
          <w:color w:val="000000"/>
          <w:szCs w:val="21"/>
        </w:rPr>
        <w:t>6.2 评审期间，供应商应保持通讯手机畅通，并根据谈判小组要求在规定时间内提供：</w:t>
      </w:r>
    </w:p>
    <w:p>
      <w:pPr>
        <w:tabs>
          <w:tab w:val="left" w:pos="7095"/>
        </w:tabs>
        <w:spacing w:line="360" w:lineRule="auto"/>
        <w:ind w:firstLine="420"/>
        <w:contextualSpacing/>
        <w:rPr>
          <w:rFonts w:asciiTheme="minorEastAsia" w:hAnsiTheme="minorEastAsia"/>
          <w:color w:val="000000"/>
          <w:szCs w:val="21"/>
        </w:rPr>
      </w:pPr>
      <w:r>
        <w:rPr>
          <w:rFonts w:hint="eastAsia" w:asciiTheme="minorEastAsia" w:hAnsiTheme="minorEastAsia"/>
          <w:color w:val="000000"/>
          <w:szCs w:val="21"/>
        </w:rPr>
        <w:t>（1）最后报价（加盖公章，或者由法定代表人或其授权的代表签字）；</w:t>
      </w:r>
    </w:p>
    <w:p>
      <w:pPr>
        <w:autoSpaceDE w:val="0"/>
        <w:autoSpaceDN w:val="0"/>
        <w:spacing w:line="360" w:lineRule="auto"/>
        <w:ind w:firstLine="420" w:firstLineChars="200"/>
        <w:contextualSpacing/>
        <w:rPr>
          <w:rFonts w:ascii="ˎ̥" w:hAnsi="ˎ̥"/>
        </w:rPr>
      </w:pPr>
      <w:r>
        <w:rPr>
          <w:rFonts w:hint="eastAsia" w:ascii="ˎ̥" w:hAnsi="ˎ̥"/>
        </w:rPr>
        <w:t>提交方式：供应商须使用</w:t>
      </w:r>
      <w:r>
        <w:rPr>
          <w:rFonts w:ascii="ˎ̥" w:hAnsi="ˎ̥"/>
        </w:rPr>
        <w:t>CA数字证书</w:t>
      </w:r>
      <w:r>
        <w:rPr>
          <w:rFonts w:hint="eastAsia" w:ascii="ˎ̥" w:hAnsi="ˎ̥"/>
        </w:rPr>
        <w:t>登录</w:t>
      </w:r>
      <w:r>
        <w:rPr>
          <w:rFonts w:hint="eastAsia" w:hAnsi="宋体"/>
          <w:color w:val="000000"/>
          <w:szCs w:val="21"/>
        </w:rPr>
        <w:t>《全国公共资源交易平台(河南省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t>http://ggzy.xuchang.gov.cn:8088/ggzy/</w:t>
      </w:r>
      <w:r>
        <w:rPr>
          <w:rFonts w:hint="eastAsia" w:hAnsi="宋体"/>
          <w:color w:val="000000"/>
          <w:szCs w:val="21"/>
        </w:rPr>
        <w:t>）进行最后报价，</w:t>
      </w:r>
      <w:r>
        <w:rPr>
          <w:rFonts w:hint="eastAsia" w:ascii="ˎ̥" w:hAnsi="ˎ̥"/>
        </w:rPr>
        <w:t>最后报价应包括：</w:t>
      </w:r>
      <w:r>
        <w:rPr>
          <w:rFonts w:hint="eastAsia" w:asciiTheme="minorEastAsia" w:hAnsiTheme="minorEastAsia"/>
        </w:rPr>
        <w:t>①总报价</w:t>
      </w:r>
      <w:r>
        <w:rPr>
          <w:rFonts w:hint="eastAsia" w:ascii="宋体" w:hAnsi="宋体" w:eastAsia="宋体"/>
        </w:rPr>
        <w:t>②</w:t>
      </w:r>
      <w:r>
        <w:rPr>
          <w:rFonts w:hint="eastAsia" w:ascii="ˎ̥" w:hAnsi="ˎ̥"/>
        </w:rPr>
        <w:t>分项报价。</w:t>
      </w:r>
    </w:p>
    <w:p>
      <w:pPr>
        <w:autoSpaceDE w:val="0"/>
        <w:autoSpaceDN w:val="0"/>
        <w:spacing w:line="360" w:lineRule="auto"/>
        <w:ind w:right="-11"/>
        <w:contextualSpacing/>
        <w:rPr>
          <w:rFonts w:ascii="楷体" w:hAnsi="楷体" w:eastAsia="楷体" w:cs="仿宋_GB2312"/>
          <w:sz w:val="24"/>
          <w:szCs w:val="24"/>
          <w:lang w:val="zh-CN"/>
        </w:rPr>
      </w:pPr>
      <w:r>
        <w:rPr>
          <w:rFonts w:hint="eastAsia" w:ascii="楷体" w:hAnsi="楷体" w:eastAsia="楷体" w:cs="仿宋_GB2312"/>
          <w:sz w:val="24"/>
          <w:szCs w:val="24"/>
          <w:lang w:val="zh-CN"/>
        </w:rPr>
        <w:t>注：</w:t>
      </w:r>
      <w:r>
        <w:rPr>
          <w:rFonts w:hint="eastAsia" w:ascii="楷体" w:hAnsi="楷体" w:eastAsia="楷体"/>
          <w:color w:val="000000"/>
          <w:sz w:val="24"/>
          <w:szCs w:val="24"/>
        </w:rPr>
        <w:t>①谈判小组要求供应商提交最后报价时，</w:t>
      </w:r>
      <w:r>
        <w:rPr>
          <w:rFonts w:hint="eastAsia" w:ascii="楷体" w:hAnsi="楷体" w:eastAsia="楷体" w:cs="仿宋_GB2312"/>
          <w:sz w:val="24"/>
          <w:szCs w:val="24"/>
          <w:lang w:val="zh-CN"/>
        </w:rPr>
        <w:t>在谈判小组规定时间内，供应商未提交最后报价则以其初次提交响应文件报价为最后报价。</w:t>
      </w:r>
    </w:p>
    <w:p>
      <w:pPr>
        <w:autoSpaceDE w:val="0"/>
        <w:autoSpaceDN w:val="0"/>
        <w:spacing w:line="360" w:lineRule="auto"/>
        <w:ind w:right="-11" w:firstLine="480" w:firstLineChars="200"/>
        <w:contextualSpacing/>
        <w:rPr>
          <w:rFonts w:ascii="楷体" w:hAnsi="楷体" w:eastAsia="楷体"/>
          <w:color w:val="000000"/>
          <w:sz w:val="24"/>
          <w:szCs w:val="24"/>
        </w:rPr>
      </w:pPr>
      <w:r>
        <w:rPr>
          <w:rFonts w:hint="eastAsia" w:ascii="楷体" w:hAnsi="楷体" w:eastAsia="楷体"/>
          <w:color w:val="000000"/>
          <w:sz w:val="24"/>
          <w:szCs w:val="24"/>
        </w:rPr>
        <w:t>②谈判文件第二章“采购需求”中“采购清单”以工程量清单提供的，供应商应以工程量清单方式提交最后报价。</w:t>
      </w:r>
    </w:p>
    <w:p>
      <w:pPr>
        <w:tabs>
          <w:tab w:val="left" w:pos="7095"/>
        </w:tabs>
        <w:spacing w:line="360" w:lineRule="auto"/>
        <w:ind w:firstLine="480" w:firstLineChars="200"/>
        <w:contextualSpacing/>
        <w:rPr>
          <w:rFonts w:asciiTheme="minorEastAsia" w:hAnsiTheme="minorEastAsia"/>
          <w:color w:val="000000"/>
          <w:szCs w:val="21"/>
        </w:rPr>
      </w:pPr>
      <w:r>
        <w:rPr>
          <w:rFonts w:hint="eastAsia" w:ascii="楷体" w:hAnsi="楷体" w:eastAsia="楷体"/>
          <w:color w:val="000000"/>
          <w:sz w:val="24"/>
          <w:szCs w:val="24"/>
        </w:rPr>
        <w:t>③请供应商根据项目情况，可提前准备分项报价。</w:t>
      </w:r>
    </w:p>
    <w:p>
      <w:pPr>
        <w:tabs>
          <w:tab w:val="left" w:pos="7095"/>
        </w:tabs>
        <w:spacing w:line="360" w:lineRule="auto"/>
        <w:ind w:firstLine="420" w:firstLineChars="200"/>
        <w:contextualSpacing/>
        <w:rPr>
          <w:rFonts w:asciiTheme="minorEastAsia" w:hAnsiTheme="minorEastAsia"/>
          <w:color w:val="000000"/>
          <w:szCs w:val="21"/>
        </w:rPr>
      </w:pPr>
      <w:r>
        <w:rPr>
          <w:rFonts w:hint="eastAsia" w:asciiTheme="minorEastAsia" w:hAnsiTheme="minorEastAsia"/>
          <w:color w:val="000000"/>
          <w:szCs w:val="21"/>
        </w:rPr>
        <w:t>（2）谈判小组如要求供应商提供“澄清、说明或者更正”；“按照谈判文件的变动情况和谈判小组的要求重新提交响应文件”；“</w:t>
      </w:r>
      <w:r>
        <w:rPr>
          <w:rFonts w:asciiTheme="minorEastAsia" w:hAnsiTheme="minorEastAsia"/>
          <w:color w:val="000000"/>
          <w:szCs w:val="21"/>
        </w:rPr>
        <w:t>最终设计方案或解决方案</w:t>
      </w:r>
      <w:r>
        <w:rPr>
          <w:rFonts w:hint="eastAsia" w:asciiTheme="minorEastAsia" w:hAnsiTheme="minorEastAsia"/>
          <w:color w:val="000000"/>
          <w:szCs w:val="21"/>
        </w:rPr>
        <w:t>”的，供应商提供的书面材料应加盖公章，或者由法定代表人或其授权的代表签字后通过电子邮件形式提供。</w:t>
      </w:r>
    </w:p>
    <w:p>
      <w:pPr>
        <w:tabs>
          <w:tab w:val="left" w:pos="7095"/>
        </w:tabs>
        <w:spacing w:line="360" w:lineRule="auto"/>
        <w:ind w:firstLine="420" w:firstLineChars="200"/>
        <w:contextualSpacing/>
        <w:rPr>
          <w:rFonts w:asciiTheme="minorEastAsia" w:hAnsiTheme="minorEastAsia"/>
          <w:color w:val="000000"/>
          <w:szCs w:val="21"/>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pStyle w:val="2"/>
        <w:ind w:firstLine="0" w:firstLineChars="0"/>
        <w:rPr>
          <w:rFonts w:cs="仿宋_GB2312" w:asciiTheme="minorEastAsia" w:hAnsiTheme="minorEastAsia"/>
          <w:color w:val="000000"/>
          <w:sz w:val="24"/>
          <w:szCs w:val="24"/>
        </w:rPr>
      </w:pPr>
    </w:p>
    <w:p>
      <w:pPr>
        <w:pStyle w:val="2"/>
        <w:ind w:firstLine="480"/>
        <w:rPr>
          <w:rFonts w:cs="仿宋_GB2312" w:asciiTheme="minorEastAsia" w:hAnsiTheme="minorEastAsia"/>
          <w:color w:val="000000"/>
          <w:sz w:val="24"/>
          <w:szCs w:val="24"/>
        </w:r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pPr>
        <w:widowControl/>
        <w:shd w:val="clear" w:color="auto" w:fill="FFFFFF"/>
        <w:spacing w:line="360" w:lineRule="auto"/>
        <w:ind w:firstLine="482" w:firstLineChars="200"/>
        <w:contextualSpacing/>
        <w:jc w:val="left"/>
        <w:rPr>
          <w:rFonts w:cs="黑体" w:asciiTheme="minorEastAsia" w:hAnsiTheme="minorEastAsia"/>
          <w:b/>
          <w:bCs/>
          <w:color w:val="000000"/>
          <w:sz w:val="24"/>
          <w:szCs w:val="24"/>
          <w:shd w:val="clear" w:color="auto" w:fill="FFFFFF"/>
        </w:rPr>
      </w:pPr>
      <w:r>
        <w:rPr>
          <w:rFonts w:hint="eastAsia" w:cs="黑体" w:asciiTheme="minorEastAsia" w:hAnsiTheme="minorEastAsia"/>
          <w:b/>
          <w:bCs/>
          <w:color w:val="000000"/>
          <w:sz w:val="24"/>
          <w:szCs w:val="24"/>
          <w:shd w:val="clear" w:color="auto" w:fill="FFFFFF"/>
        </w:rPr>
        <w:t>一、本项目需实现的功能或者目标：</w:t>
      </w:r>
    </w:p>
    <w:p>
      <w:pPr>
        <w:widowControl/>
        <w:shd w:val="clear" w:color="auto" w:fill="FFFFFF"/>
        <w:spacing w:line="360" w:lineRule="auto"/>
        <w:ind w:firstLine="240" w:firstLineChars="100"/>
        <w:contextualSpacing/>
        <w:jc w:val="left"/>
        <w:rPr>
          <w:rFonts w:cs="黑体" w:asciiTheme="minorEastAsia" w:hAnsiTheme="minorEastAsia"/>
          <w:color w:val="000000"/>
          <w:sz w:val="24"/>
          <w:szCs w:val="24"/>
          <w:shd w:val="clear" w:color="auto" w:fill="FFFFFF"/>
        </w:rPr>
      </w:pPr>
      <w:r>
        <w:rPr>
          <w:rFonts w:hint="eastAsia" w:cs="黑体" w:asciiTheme="minorEastAsia" w:hAnsiTheme="minorEastAsia"/>
          <w:color w:val="000000"/>
          <w:sz w:val="24"/>
          <w:szCs w:val="24"/>
          <w:shd w:val="clear" w:color="auto" w:fill="FFFFFF"/>
        </w:rPr>
        <w:t>满足幼儿园</w:t>
      </w:r>
      <w:r>
        <w:rPr>
          <w:rFonts w:hint="eastAsia" w:cs="黑体" w:asciiTheme="minorEastAsia" w:hAnsiTheme="minorEastAsia"/>
          <w:color w:val="000000"/>
          <w:sz w:val="24"/>
          <w:szCs w:val="24"/>
          <w:shd w:val="clear" w:color="auto" w:fill="FFFFFF"/>
          <w:lang w:eastAsia="zh-CN"/>
        </w:rPr>
        <w:t>多元化</w:t>
      </w:r>
      <w:r>
        <w:rPr>
          <w:rFonts w:hint="eastAsia" w:cs="黑体" w:asciiTheme="minorEastAsia" w:hAnsiTheme="minorEastAsia"/>
          <w:color w:val="000000"/>
          <w:sz w:val="24"/>
          <w:szCs w:val="24"/>
          <w:shd w:val="clear" w:color="auto" w:fill="FFFFFF"/>
        </w:rPr>
        <w:t>教学和办公需求。</w:t>
      </w:r>
    </w:p>
    <w:p>
      <w:pPr>
        <w:widowControl/>
        <w:numPr>
          <w:ilvl w:val="0"/>
          <w:numId w:val="5"/>
        </w:numPr>
        <w:shd w:val="clear" w:color="auto" w:fill="FFFFFF"/>
        <w:spacing w:line="360" w:lineRule="auto"/>
        <w:ind w:firstLine="482" w:firstLineChars="200"/>
        <w:contextualSpacing/>
        <w:jc w:val="left"/>
        <w:rPr>
          <w:rFonts w:cs="黑体" w:asciiTheme="minorEastAsia" w:hAnsiTheme="minorEastAsia"/>
          <w:b/>
          <w:bCs/>
          <w:color w:val="000000"/>
          <w:sz w:val="24"/>
          <w:szCs w:val="24"/>
          <w:shd w:val="clear" w:color="auto" w:fill="FFFFFF"/>
        </w:rPr>
      </w:pPr>
      <w:r>
        <w:rPr>
          <w:rFonts w:hint="eastAsia" w:cs="黑体" w:asciiTheme="minorEastAsia" w:hAnsiTheme="minorEastAsia"/>
          <w:b/>
          <w:bCs/>
          <w:color w:val="000000"/>
          <w:sz w:val="24"/>
          <w:szCs w:val="24"/>
          <w:shd w:val="clear" w:color="auto" w:fill="FFFFFF"/>
        </w:rPr>
        <w:t>采购清单：</w:t>
      </w:r>
    </w:p>
    <w:tbl>
      <w:tblPr>
        <w:tblStyle w:val="26"/>
        <w:tblW w:w="10140" w:type="dxa"/>
        <w:tblInd w:w="0" w:type="dxa"/>
        <w:shd w:val="clear" w:color="auto" w:fill="auto"/>
        <w:tblLayout w:type="autofit"/>
        <w:tblCellMar>
          <w:top w:w="0" w:type="dxa"/>
          <w:left w:w="0" w:type="dxa"/>
          <w:bottom w:w="0" w:type="dxa"/>
          <w:right w:w="0" w:type="dxa"/>
        </w:tblCellMar>
      </w:tblPr>
      <w:tblGrid>
        <w:gridCol w:w="663"/>
        <w:gridCol w:w="812"/>
        <w:gridCol w:w="4754"/>
        <w:gridCol w:w="551"/>
        <w:gridCol w:w="766"/>
        <w:gridCol w:w="2594"/>
      </w:tblGrid>
      <w:tr>
        <w:tblPrEx>
          <w:shd w:val="clear" w:color="auto" w:fill="auto"/>
          <w:tblCellMar>
            <w:top w:w="0" w:type="dxa"/>
            <w:left w:w="0" w:type="dxa"/>
            <w:bottom w:w="0" w:type="dxa"/>
            <w:right w:w="0" w:type="dxa"/>
          </w:tblCellMar>
        </w:tblPrEx>
        <w:trPr>
          <w:trHeight w:val="40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lang w:val="zh-CN"/>
              </w:rPr>
            </w:pPr>
            <w:r>
              <w:rPr>
                <w:rFonts w:hint="default"/>
                <w:lang w:val="zh-CN" w:eastAsia="zh-CN"/>
              </w:rPr>
              <w:t>序号</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名称</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规格及内容</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单位</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总数量</w:t>
            </w:r>
          </w:p>
        </w:tc>
        <w:tc>
          <w:tcPr>
            <w:tcW w:w="2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t>参考图片</w:t>
            </w:r>
          </w:p>
        </w:tc>
      </w:tr>
      <w:tr>
        <w:tblPrEx>
          <w:shd w:val="clear" w:color="auto" w:fill="auto"/>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w:t>
            </w:r>
          </w:p>
        </w:tc>
        <w:tc>
          <w:tcPr>
            <w:tcW w:w="82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办公桌</w:t>
            </w:r>
          </w:p>
        </w:tc>
        <w:tc>
          <w:tcPr>
            <w:tcW w:w="488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1400×700×760mm；胡桃色；主材采用：为全部贴木皮，抽屉侧板为贴木皮，中密度板实木封边，含水率低于8%。木皮采用：胡桃木木皮贴面，厚度达到0.6MM及以上。五金采用，优质标准五金配件连接。胶采用：防震防松。油漆采用：无苯木器专用环保聚酯漆，硬度达3H，漆膜理化，性能达1级，经过“五底三面”饱和漆处理，产品甲醇释放量低，符合环保要求。</w:t>
            </w:r>
          </w:p>
        </w:tc>
        <w:tc>
          <w:tcPr>
            <w:tcW w:w="56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eastAsia"/>
                <w:lang w:val="zh-CN"/>
              </w:rPr>
            </w:pPr>
            <w:r>
              <w:rPr>
                <w:rFonts w:hint="eastAsia"/>
                <w:lang w:val="zh-CN" w:eastAsia="zh-CN"/>
              </w:rPr>
              <w:drawing>
                <wp:anchor distT="0" distB="0" distL="114300" distR="114300" simplePos="0" relativeHeight="251658240" behindDoc="0" locked="0" layoutInCell="1" allowOverlap="1">
                  <wp:simplePos x="0" y="0"/>
                  <wp:positionH relativeFrom="column">
                    <wp:posOffset>407035</wp:posOffset>
                  </wp:positionH>
                  <wp:positionV relativeFrom="paragraph">
                    <wp:posOffset>165735</wp:posOffset>
                  </wp:positionV>
                  <wp:extent cx="1118235" cy="915670"/>
                  <wp:effectExtent l="0" t="0" r="5715" b="17780"/>
                  <wp:wrapNone/>
                  <wp:docPr id="221" name="图片_30"/>
                  <wp:cNvGraphicFramePr/>
                  <a:graphic xmlns:a="http://schemas.openxmlformats.org/drawingml/2006/main">
                    <a:graphicData uri="http://schemas.openxmlformats.org/drawingml/2006/picture">
                      <pic:pic xmlns:pic="http://schemas.openxmlformats.org/drawingml/2006/picture">
                        <pic:nvPicPr>
                          <pic:cNvPr id="221" name="图片_30"/>
                          <pic:cNvPicPr/>
                        </pic:nvPicPr>
                        <pic:blipFill>
                          <a:blip r:embed="rId5"/>
                          <a:stretch>
                            <a:fillRect/>
                          </a:stretch>
                        </pic:blipFill>
                        <pic:spPr>
                          <a:xfrm>
                            <a:off x="0" y="0"/>
                            <a:ext cx="1118235" cy="91567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2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办公椅子</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规格：常规；胡桃色；椅架全拆装，皮面采用:优质环保皮.撕裂.断裂.颜色摩擦牢度</w:t>
            </w:r>
            <w:r>
              <w:rPr>
                <w:rFonts w:hint="eastAsia"/>
                <w:lang w:val="zh-CN" w:eastAsia="zh-CN"/>
              </w:rPr>
              <w:t>达</w:t>
            </w:r>
            <w:r>
              <w:rPr>
                <w:rFonts w:hint="default"/>
                <w:lang w:val="zh-CN" w:eastAsia="zh-CN"/>
              </w:rPr>
              <w:t>到国家标准。皮面光泽度好.透气性强.厚度适中</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把</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656590</wp:posOffset>
                  </wp:positionH>
                  <wp:positionV relativeFrom="paragraph">
                    <wp:posOffset>149860</wp:posOffset>
                  </wp:positionV>
                  <wp:extent cx="563245" cy="1114425"/>
                  <wp:effectExtent l="0" t="0" r="8255" b="9525"/>
                  <wp:wrapNone/>
                  <wp:docPr id="262" name="图片_32"/>
                  <wp:cNvGraphicFramePr/>
                  <a:graphic xmlns:a="http://schemas.openxmlformats.org/drawingml/2006/main">
                    <a:graphicData uri="http://schemas.openxmlformats.org/drawingml/2006/picture">
                      <pic:pic xmlns:pic="http://schemas.openxmlformats.org/drawingml/2006/picture">
                        <pic:nvPicPr>
                          <pic:cNvPr id="262" name="图片_32"/>
                          <pic:cNvPicPr/>
                        </pic:nvPicPr>
                        <pic:blipFill>
                          <a:blip r:embed="rId6"/>
                          <a:stretch>
                            <a:fillRect/>
                          </a:stretch>
                        </pic:blipFill>
                        <pic:spPr>
                          <a:xfrm>
                            <a:off x="0" y="0"/>
                            <a:ext cx="563245" cy="11144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2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文件柜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规格：1800*850*390mm冷轧钢板，上下各两层，层高隔板可调节，静电喷涂工艺</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eastAsia"/>
                <w:lang w:val="zh-CN"/>
              </w:rPr>
            </w:pPr>
            <w:r>
              <w:rPr>
                <w:rFonts w:hint="eastAsia"/>
                <w:lang w:val="zh-CN" w:eastAsia="zh-CN"/>
              </w:rPr>
              <w:drawing>
                <wp:anchor distT="0" distB="0" distL="114300" distR="114300" simplePos="0" relativeHeight="251658240" behindDoc="0" locked="0" layoutInCell="1" allowOverlap="1">
                  <wp:simplePos x="0" y="0"/>
                  <wp:positionH relativeFrom="column">
                    <wp:posOffset>505460</wp:posOffset>
                  </wp:positionH>
                  <wp:positionV relativeFrom="paragraph">
                    <wp:posOffset>87630</wp:posOffset>
                  </wp:positionV>
                  <wp:extent cx="789940" cy="1192530"/>
                  <wp:effectExtent l="0" t="0" r="10160" b="7620"/>
                  <wp:wrapNone/>
                  <wp:docPr id="224" name="图片_33"/>
                  <wp:cNvGraphicFramePr/>
                  <a:graphic xmlns:a="http://schemas.openxmlformats.org/drawingml/2006/main">
                    <a:graphicData uri="http://schemas.openxmlformats.org/drawingml/2006/picture">
                      <pic:pic xmlns:pic="http://schemas.openxmlformats.org/drawingml/2006/picture">
                        <pic:nvPicPr>
                          <pic:cNvPr id="224" name="图片_33"/>
                          <pic:cNvPicPr/>
                        </pic:nvPicPr>
                        <pic:blipFill>
                          <a:blip r:embed="rId7"/>
                          <a:stretch>
                            <a:fillRect/>
                          </a:stretch>
                        </pic:blipFill>
                        <pic:spPr>
                          <a:xfrm>
                            <a:off x="0" y="0"/>
                            <a:ext cx="789940" cy="11925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条形会议桌</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3.5M*1.6M、含20把椅子；红色实木，所有板材采用三聚氰胺板材。椅子；面料：优质西皮、光泽度好，透气性强；海绵：合资高压一体成型海绵，软硬适中，回弹性好；椅子框架采用橡木制作工艺，根据人体工程学原理设计，坐感舒适。木材经防腐防虫处理。</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491490</wp:posOffset>
                  </wp:positionH>
                  <wp:positionV relativeFrom="paragraph">
                    <wp:posOffset>10160</wp:posOffset>
                  </wp:positionV>
                  <wp:extent cx="1474470" cy="1269365"/>
                  <wp:effectExtent l="0" t="0" r="11430" b="6985"/>
                  <wp:wrapNone/>
                  <wp:docPr id="227" name="图片_1"/>
                  <wp:cNvGraphicFramePr/>
                  <a:graphic xmlns:a="http://schemas.openxmlformats.org/drawingml/2006/main">
                    <a:graphicData uri="http://schemas.openxmlformats.org/drawingml/2006/picture">
                      <pic:pic xmlns:pic="http://schemas.openxmlformats.org/drawingml/2006/picture">
                        <pic:nvPicPr>
                          <pic:cNvPr id="227" name="图片_1"/>
                          <pic:cNvPicPr/>
                        </pic:nvPicPr>
                        <pic:blipFill>
                          <a:blip r:embed="rId8"/>
                          <a:stretch>
                            <a:fillRect/>
                          </a:stretch>
                        </pic:blipFill>
                        <pic:spPr>
                          <a:xfrm>
                            <a:off x="0" y="0"/>
                            <a:ext cx="1474470" cy="1269365"/>
                          </a:xfrm>
                          <a:prstGeom prst="rect">
                            <a:avLst/>
                          </a:prstGeom>
                          <a:noFill/>
                          <a:ln>
                            <a:noFill/>
                          </a:ln>
                        </pic:spPr>
                      </pic:pic>
                    </a:graphicData>
                  </a:graphic>
                </wp:anchor>
              </w:drawing>
            </w: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p>
        </w:tc>
      </w:tr>
      <w:tr>
        <w:tblPrEx>
          <w:shd w:val="clear" w:color="auto" w:fill="auto"/>
          <w:tblCellMar>
            <w:top w:w="0" w:type="dxa"/>
            <w:left w:w="0" w:type="dxa"/>
            <w:bottom w:w="0" w:type="dxa"/>
            <w:right w:w="0"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教师单人床</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规格：1.2M*2M，实木</w:t>
            </w:r>
            <w:r>
              <w:rPr>
                <w:rFonts w:hint="eastAsia"/>
                <w:lang w:val="zh-CN" w:eastAsia="zh-CN"/>
              </w:rPr>
              <w:t>，环保，</w:t>
            </w:r>
            <w:r>
              <w:rPr>
                <w:rFonts w:hint="default"/>
                <w:lang w:val="zh-CN" w:eastAsia="zh-CN"/>
              </w:rPr>
              <w:t>带棕垫</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401320</wp:posOffset>
                  </wp:positionH>
                  <wp:positionV relativeFrom="paragraph">
                    <wp:posOffset>227330</wp:posOffset>
                  </wp:positionV>
                  <wp:extent cx="1101090" cy="864235"/>
                  <wp:effectExtent l="0" t="0" r="3810" b="12065"/>
                  <wp:wrapNone/>
                  <wp:docPr id="237" name="图片_54"/>
                  <wp:cNvGraphicFramePr/>
                  <a:graphic xmlns:a="http://schemas.openxmlformats.org/drawingml/2006/main">
                    <a:graphicData uri="http://schemas.openxmlformats.org/drawingml/2006/picture">
                      <pic:pic xmlns:pic="http://schemas.openxmlformats.org/drawingml/2006/picture">
                        <pic:nvPicPr>
                          <pic:cNvPr id="237" name="图片_54"/>
                          <pic:cNvPicPr/>
                        </pic:nvPicPr>
                        <pic:blipFill>
                          <a:blip r:embed="rId9"/>
                          <a:stretch>
                            <a:fillRect/>
                          </a:stretch>
                        </pic:blipFill>
                        <pic:spPr>
                          <a:xfrm>
                            <a:off x="0" y="0"/>
                            <a:ext cx="1101090" cy="8642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幼儿床</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规格：138*58*20cm                                                                  材质：优质松木，床边厚度不低于1.6厘米，床体外露边需铣圆处理，床板厚度不低于1.0厘米，材质为优质松木。床板需四面刨光圆角处理。工艺：铺板松木、缝不大于1厘米左右；油漆工艺要求：透明底漆，表面光滑无颗粒；油漆材质要求：优质环保油漆，无毒无味</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208280</wp:posOffset>
                  </wp:positionV>
                  <wp:extent cx="1279525" cy="922020"/>
                  <wp:effectExtent l="0" t="0" r="15875" b="11430"/>
                  <wp:wrapNone/>
                  <wp:docPr id="263" name="图片_4"/>
                  <wp:cNvGraphicFramePr/>
                  <a:graphic xmlns:a="http://schemas.openxmlformats.org/drawingml/2006/main">
                    <a:graphicData uri="http://schemas.openxmlformats.org/drawingml/2006/picture">
                      <pic:pic xmlns:pic="http://schemas.openxmlformats.org/drawingml/2006/picture">
                        <pic:nvPicPr>
                          <pic:cNvPr id="263" name="图片_4"/>
                          <pic:cNvPicPr/>
                        </pic:nvPicPr>
                        <pic:blipFill>
                          <a:blip r:embed="rId10"/>
                          <a:stretch>
                            <a:fillRect/>
                          </a:stretch>
                        </pic:blipFill>
                        <pic:spPr>
                          <a:xfrm>
                            <a:off x="0" y="0"/>
                            <a:ext cx="1279525" cy="92202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7</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塑料幼儿椅子</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规格：椅背高53cm*宽35cm*坐面高28cm</w:t>
            </w:r>
            <w:r>
              <w:rPr>
                <w:rFonts w:hint="default"/>
                <w:lang w:val="zh-CN" w:eastAsia="zh-CN"/>
              </w:rPr>
              <w:br w:type="textWrapping"/>
            </w:r>
            <w:r>
              <w:rPr>
                <w:rFonts w:hint="default"/>
                <w:lang w:val="zh-CN" w:eastAsia="zh-CN"/>
              </w:rPr>
              <w:t>材质：采用工程塑料，一次性成型，靠背表面必须带卡通图案，表面无棱角，安全无毒，耐磨，耐高温，环保材质。</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把</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484505</wp:posOffset>
                  </wp:positionH>
                  <wp:positionV relativeFrom="paragraph">
                    <wp:posOffset>17145</wp:posOffset>
                  </wp:positionV>
                  <wp:extent cx="955675" cy="1101090"/>
                  <wp:effectExtent l="0" t="0" r="15875" b="3810"/>
                  <wp:wrapNone/>
                  <wp:docPr id="218" name="图片_6"/>
                  <wp:cNvGraphicFramePr/>
                  <a:graphic xmlns:a="http://schemas.openxmlformats.org/drawingml/2006/main">
                    <a:graphicData uri="http://schemas.openxmlformats.org/drawingml/2006/picture">
                      <pic:pic xmlns:pic="http://schemas.openxmlformats.org/drawingml/2006/picture">
                        <pic:nvPicPr>
                          <pic:cNvPr id="218" name="图片_6"/>
                          <pic:cNvPicPr/>
                        </pic:nvPicPr>
                        <pic:blipFill>
                          <a:blip r:embed="rId11"/>
                          <a:stretch>
                            <a:fillRect/>
                          </a:stretch>
                        </pic:blipFill>
                        <pic:spPr>
                          <a:xfrm>
                            <a:off x="0" y="0"/>
                            <a:ext cx="955675" cy="110109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塑料幼儿桌子</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规格：120cm*宽60cm*高50cm</w:t>
            </w:r>
            <w:r>
              <w:rPr>
                <w:rFonts w:hint="default"/>
                <w:lang w:val="zh-CN" w:eastAsia="zh-CN"/>
              </w:rPr>
              <w:br w:type="textWrapping"/>
            </w:r>
            <w:r>
              <w:rPr>
                <w:rFonts w:hint="default"/>
                <w:lang w:val="zh-CN" w:eastAsia="zh-CN"/>
              </w:rPr>
              <w:t>桌面材质采用工程塑料原料，吹塑一次性成型，壁厚大于等于39mm，桌脚直径大于等于60mm*1.5mm钢管静电吹塑，桌面下面为钢管框架结构，桌面与腿部连接处为三角形，双横档，三面电焊表面塑粉喷涂，喷末粉料高温固化，表面光滑，抗紫外线，色彩鲜艳，不易脱落。桌脚可根据儿童身高相适应，高度可调节，橡胶桌垫，防止滑动和刮伤地板。颜色稳定，抗老化，抗油污，防渗，耐脏易清洗，耐高温，安全无毒环保材质。</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198755</wp:posOffset>
                  </wp:positionH>
                  <wp:positionV relativeFrom="paragraph">
                    <wp:posOffset>388620</wp:posOffset>
                  </wp:positionV>
                  <wp:extent cx="1376680" cy="1022985"/>
                  <wp:effectExtent l="0" t="0" r="13970" b="5715"/>
                  <wp:wrapNone/>
                  <wp:docPr id="217" name="图片_5"/>
                  <wp:cNvGraphicFramePr/>
                  <a:graphic xmlns:a="http://schemas.openxmlformats.org/drawingml/2006/main">
                    <a:graphicData uri="http://schemas.openxmlformats.org/drawingml/2006/picture">
                      <pic:pic xmlns:pic="http://schemas.openxmlformats.org/drawingml/2006/picture">
                        <pic:nvPicPr>
                          <pic:cNvPr id="217" name="图片_5"/>
                          <pic:cNvPicPr/>
                        </pic:nvPicPr>
                        <pic:blipFill>
                          <a:blip r:embed="rId12"/>
                          <a:stretch>
                            <a:fillRect/>
                          </a:stretch>
                        </pic:blipFill>
                        <pic:spPr>
                          <a:xfrm>
                            <a:off x="0" y="0"/>
                            <a:ext cx="1376680" cy="10229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9</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木质幼儿桌子</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规格：120×60×50cm</w:t>
            </w:r>
            <w:r>
              <w:rPr>
                <w:rFonts w:hint="default"/>
                <w:lang w:val="zh-CN" w:eastAsia="zh-CN"/>
              </w:rPr>
              <w:br w:type="textWrapping"/>
            </w:r>
            <w:r>
              <w:rPr>
                <w:rFonts w:hint="default"/>
                <w:lang w:val="zh-CN" w:eastAsia="zh-CN"/>
              </w:rPr>
              <w:t>材料：全部采用橡木原木材，纯手工制作，所有连接点采用开铆连接。表面处理：先用砂布手工打磨，然后喷第一遍清漆，然后二次打磨至无毛刺、手感光滑，最后喷聚氨酯清漆二遍。</w:t>
            </w:r>
            <w:r>
              <w:rPr>
                <w:rFonts w:hint="default"/>
                <w:lang w:val="zh-CN" w:eastAsia="zh-CN"/>
              </w:rPr>
              <w:br w:type="textWrapping"/>
            </w:r>
            <w:r>
              <w:rPr>
                <w:rFonts w:hint="default"/>
                <w:lang w:val="zh-CN" w:eastAsia="zh-CN"/>
              </w:rPr>
              <w:t>1.投标人须提供2015年以来国家玩具质量监督检验中心出具的检测报告（复印件加盖公章，原件备查）；</w:t>
            </w:r>
            <w:r>
              <w:rPr>
                <w:rFonts w:hint="default"/>
                <w:lang w:val="zh-CN" w:eastAsia="zh-CN"/>
              </w:rPr>
              <w:br w:type="textWrapping"/>
            </w:r>
            <w:r>
              <w:rPr>
                <w:rFonts w:hint="default"/>
                <w:lang w:val="zh-CN" w:eastAsia="zh-CN"/>
              </w:rPr>
              <w:t>2.非生产厂家须提供生产厂家针对本项目的授权书原件。</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张</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132715</wp:posOffset>
                  </wp:positionH>
                  <wp:positionV relativeFrom="paragraph">
                    <wp:posOffset>274955</wp:posOffset>
                  </wp:positionV>
                  <wp:extent cx="1381125" cy="865505"/>
                  <wp:effectExtent l="0" t="0" r="9525" b="10795"/>
                  <wp:wrapNone/>
                  <wp:docPr id="226" name="图片_7"/>
                  <wp:cNvGraphicFramePr/>
                  <a:graphic xmlns:a="http://schemas.openxmlformats.org/drawingml/2006/main">
                    <a:graphicData uri="http://schemas.openxmlformats.org/drawingml/2006/picture">
                      <pic:pic xmlns:pic="http://schemas.openxmlformats.org/drawingml/2006/picture">
                        <pic:nvPicPr>
                          <pic:cNvPr id="226" name="图片_7"/>
                          <pic:cNvPicPr/>
                        </pic:nvPicPr>
                        <pic:blipFill>
                          <a:blip r:embed="rId13"/>
                          <a:stretch>
                            <a:fillRect/>
                          </a:stretch>
                        </pic:blipFill>
                        <pic:spPr>
                          <a:xfrm>
                            <a:off x="0" y="0"/>
                            <a:ext cx="1381125" cy="8655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10</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木质幼儿椅子</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中班高28cm</w:t>
            </w:r>
            <w:r>
              <w:rPr>
                <w:rFonts w:hint="default"/>
                <w:lang w:val="zh-CN" w:eastAsia="zh-CN"/>
              </w:rPr>
              <w:br w:type="textWrapping"/>
            </w:r>
            <w:r>
              <w:rPr>
                <w:rFonts w:hint="default"/>
                <w:lang w:val="zh-CN" w:eastAsia="zh-CN"/>
              </w:rPr>
              <w:t xml:space="preserve"> 材料：全部采用橡木原木材，纯手工制作，所有连接点采用开铆连接。表面处理：先用砂布手工打磨，然后喷第一遍清漆，然后二次打磨至无毛刺、手感光滑，最后喷聚氨酯清漆二遍</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把</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628015</wp:posOffset>
                  </wp:positionH>
                  <wp:positionV relativeFrom="paragraph">
                    <wp:posOffset>96520</wp:posOffset>
                  </wp:positionV>
                  <wp:extent cx="732790" cy="1069340"/>
                  <wp:effectExtent l="0" t="0" r="10160" b="16510"/>
                  <wp:wrapNone/>
                  <wp:docPr id="233" name="图片_9"/>
                  <wp:cNvGraphicFramePr/>
                  <a:graphic xmlns:a="http://schemas.openxmlformats.org/drawingml/2006/main">
                    <a:graphicData uri="http://schemas.openxmlformats.org/drawingml/2006/picture">
                      <pic:pic xmlns:pic="http://schemas.openxmlformats.org/drawingml/2006/picture">
                        <pic:nvPicPr>
                          <pic:cNvPr id="233" name="图片_9"/>
                          <pic:cNvPicPr/>
                        </pic:nvPicPr>
                        <pic:blipFill>
                          <a:blip r:embed="rId14"/>
                          <a:stretch>
                            <a:fillRect/>
                          </a:stretch>
                        </pic:blipFill>
                        <pic:spPr>
                          <a:xfrm>
                            <a:off x="0" y="0"/>
                            <a:ext cx="732790" cy="10693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11</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儿童书架</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规格：80*40*80（cm)</w:t>
            </w:r>
            <w:r>
              <w:rPr>
                <w:rFonts w:hint="default"/>
                <w:lang w:val="zh-CN" w:eastAsia="zh-CN"/>
              </w:rPr>
              <w:br w:type="textWrapping"/>
            </w:r>
            <w:r>
              <w:rPr>
                <w:rFonts w:hint="default"/>
                <w:lang w:val="zh-CN" w:eastAsia="zh-CN"/>
              </w:rPr>
              <w:t>材质：环保塑料</w:t>
            </w:r>
            <w:r>
              <w:rPr>
                <w:rFonts w:hint="default"/>
                <w:lang w:val="zh-CN" w:eastAsia="zh-CN"/>
              </w:rPr>
              <w:br w:type="textWrapping"/>
            </w:r>
            <w:r>
              <w:rPr>
                <w:rFonts w:hint="default"/>
                <w:lang w:val="zh-CN" w:eastAsia="zh-CN"/>
              </w:rPr>
              <w:t>特点：书架每层可以平着摆放三本书，旁边的格位还有竖立摆放的位置,对于培养宝宝好的习惯是很有帮助的.造型生动，色彩鲜艳，格局多样，以高级塑料为原料制造而成，全塑料吹塑一次成型，表面磨砂，设计独特，不受任何气候影响，不怕潮湿或水，清洗方便，色彩环保无毒，经久耐用</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448310</wp:posOffset>
                  </wp:positionH>
                  <wp:positionV relativeFrom="paragraph">
                    <wp:posOffset>257810</wp:posOffset>
                  </wp:positionV>
                  <wp:extent cx="951230" cy="894080"/>
                  <wp:effectExtent l="0" t="0" r="1270" b="1270"/>
                  <wp:wrapNone/>
                  <wp:docPr id="236" name="图片_10"/>
                  <wp:cNvGraphicFramePr/>
                  <a:graphic xmlns:a="http://schemas.openxmlformats.org/drawingml/2006/main">
                    <a:graphicData uri="http://schemas.openxmlformats.org/drawingml/2006/picture">
                      <pic:pic xmlns:pic="http://schemas.openxmlformats.org/drawingml/2006/picture">
                        <pic:nvPicPr>
                          <pic:cNvPr id="236" name="图片_10"/>
                          <pic:cNvPicPr/>
                        </pic:nvPicPr>
                        <pic:blipFill>
                          <a:blip r:embed="rId15"/>
                          <a:stretch>
                            <a:fillRect/>
                          </a:stretch>
                        </pic:blipFill>
                        <pic:spPr>
                          <a:xfrm>
                            <a:off x="0" y="0"/>
                            <a:ext cx="951230" cy="8940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12</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玩具柜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规格：120*30*80cm </w:t>
            </w:r>
            <w:r>
              <w:rPr>
                <w:rFonts w:hint="default"/>
                <w:lang w:val="zh-CN" w:eastAsia="zh-CN"/>
              </w:rPr>
              <w:br w:type="textWrapping"/>
            </w:r>
            <w:r>
              <w:rPr>
                <w:rFonts w:hint="default"/>
                <w:lang w:val="zh-CN" w:eastAsia="zh-CN"/>
              </w:rPr>
              <w:t>材质为优质全橡木。板材厚度1.5CM</w:t>
            </w:r>
            <w:r>
              <w:rPr>
                <w:rFonts w:hint="default"/>
                <w:lang w:val="zh-CN" w:eastAsia="zh-CN"/>
              </w:rPr>
              <w:br w:type="textWrapping"/>
            </w:r>
            <w:r>
              <w:rPr>
                <w:rFonts w:hint="default"/>
                <w:lang w:val="zh-CN" w:eastAsia="zh-CN"/>
              </w:rPr>
              <w:t>工艺：边缘抛圆处理，外表面和内表面以及儿童手指可触及的隐蔽处，均不得有锐利的棱角、毛刺以及小五金部件露出的锐利尖锐。</w:t>
            </w:r>
            <w:r>
              <w:rPr>
                <w:rFonts w:hint="default"/>
                <w:lang w:val="zh-CN" w:eastAsia="zh-CN"/>
              </w:rPr>
              <w:br w:type="textWrapping"/>
            </w:r>
            <w:r>
              <w:rPr>
                <w:rFonts w:hint="default"/>
                <w:lang w:val="zh-CN" w:eastAsia="zh-CN"/>
              </w:rPr>
              <w:t>油漆：环保型全哑光硝基清面漆</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401955</wp:posOffset>
                  </wp:positionH>
                  <wp:positionV relativeFrom="paragraph">
                    <wp:posOffset>144780</wp:posOffset>
                  </wp:positionV>
                  <wp:extent cx="1231265" cy="843280"/>
                  <wp:effectExtent l="0" t="0" r="6985" b="13970"/>
                  <wp:wrapNone/>
                  <wp:docPr id="225" name="图片_49"/>
                  <wp:cNvGraphicFramePr/>
                  <a:graphic xmlns:a="http://schemas.openxmlformats.org/drawingml/2006/main">
                    <a:graphicData uri="http://schemas.openxmlformats.org/drawingml/2006/picture">
                      <pic:pic xmlns:pic="http://schemas.openxmlformats.org/drawingml/2006/picture">
                        <pic:nvPicPr>
                          <pic:cNvPr id="225" name="图片_49"/>
                          <pic:cNvPicPr/>
                        </pic:nvPicPr>
                        <pic:blipFill>
                          <a:blip r:embed="rId16"/>
                          <a:stretch>
                            <a:fillRect/>
                          </a:stretch>
                        </pic:blipFill>
                        <pic:spPr>
                          <a:xfrm>
                            <a:off x="0" y="0"/>
                            <a:ext cx="1231265" cy="8432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13</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毛巾架</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动物塑料毛巾架                                                                                    规格：100×45×105cm</w:t>
            </w:r>
            <w:r>
              <w:rPr>
                <w:rFonts w:hint="default"/>
                <w:lang w:val="zh-CN" w:eastAsia="zh-CN"/>
              </w:rPr>
              <w:br w:type="textWrapping"/>
            </w:r>
            <w:r>
              <w:rPr>
                <w:rFonts w:hint="default"/>
                <w:lang w:val="zh-CN" w:eastAsia="zh-CN"/>
              </w:rPr>
              <w:t>材质：塑料粒子为</w:t>
            </w:r>
            <w:r>
              <w:rPr>
                <w:rFonts w:hint="eastAsia"/>
                <w:lang w:val="zh-CN" w:eastAsia="zh-CN"/>
              </w:rPr>
              <w:t>环保、无毒、无害</w:t>
            </w:r>
            <w:r>
              <w:rPr>
                <w:rFonts w:hint="default"/>
                <w:lang w:val="zh-CN" w:eastAsia="zh-CN"/>
              </w:rPr>
              <w:t>塑料，</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599440</wp:posOffset>
                  </wp:positionH>
                  <wp:positionV relativeFrom="paragraph">
                    <wp:posOffset>57785</wp:posOffset>
                  </wp:positionV>
                  <wp:extent cx="781685" cy="912495"/>
                  <wp:effectExtent l="0" t="0" r="18415" b="1905"/>
                  <wp:wrapNone/>
                  <wp:docPr id="234" name="图片_4_SpCnt_1"/>
                  <wp:cNvGraphicFramePr/>
                  <a:graphic xmlns:a="http://schemas.openxmlformats.org/drawingml/2006/main">
                    <a:graphicData uri="http://schemas.openxmlformats.org/drawingml/2006/picture">
                      <pic:pic xmlns:pic="http://schemas.openxmlformats.org/drawingml/2006/picture">
                        <pic:nvPicPr>
                          <pic:cNvPr id="234" name="图片_4_SpCnt_1"/>
                          <pic:cNvPicPr/>
                        </pic:nvPicPr>
                        <pic:blipFill>
                          <a:blip r:embed="rId17"/>
                          <a:stretch>
                            <a:fillRect/>
                          </a:stretch>
                        </pic:blipFill>
                        <pic:spPr>
                          <a:xfrm>
                            <a:off x="0" y="0"/>
                            <a:ext cx="781685" cy="91249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14</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口杯柜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规格：60*60*80cm</w:t>
            </w:r>
            <w:r>
              <w:rPr>
                <w:rFonts w:hint="default"/>
                <w:lang w:val="zh-CN" w:eastAsia="zh-CN"/>
              </w:rPr>
              <w:br w:type="textWrapping"/>
            </w:r>
            <w:r>
              <w:rPr>
                <w:rFonts w:hint="default"/>
                <w:lang w:val="zh-CN" w:eastAsia="zh-CN"/>
              </w:rPr>
              <w:t>材质：优质橡木，板材厚度不低于1.6cm，经过防潮、防虫、防腐处理，表面高级环保清漆喷涂而成，；棱角倒圆弧，外表和内表以及儿童手指可触及的隐藏处均没有锐利的棱角，无毛刺，安全、无毒无味，手感光滑</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372745</wp:posOffset>
                  </wp:positionH>
                  <wp:positionV relativeFrom="paragraph">
                    <wp:posOffset>182880</wp:posOffset>
                  </wp:positionV>
                  <wp:extent cx="951230" cy="810260"/>
                  <wp:effectExtent l="0" t="0" r="1270" b="8890"/>
                  <wp:wrapNone/>
                  <wp:docPr id="239" name="图片_7_SpCnt_1"/>
                  <wp:cNvGraphicFramePr/>
                  <a:graphic xmlns:a="http://schemas.openxmlformats.org/drawingml/2006/main">
                    <a:graphicData uri="http://schemas.openxmlformats.org/drawingml/2006/picture">
                      <pic:pic xmlns:pic="http://schemas.openxmlformats.org/drawingml/2006/picture">
                        <pic:nvPicPr>
                          <pic:cNvPr id="239" name="图片_7_SpCnt_1"/>
                          <pic:cNvPicPr/>
                        </pic:nvPicPr>
                        <pic:blipFill>
                          <a:blip r:embed="rId18"/>
                          <a:stretch>
                            <a:fillRect/>
                          </a:stretch>
                        </pic:blipFill>
                        <pic:spPr>
                          <a:xfrm>
                            <a:off x="0" y="0"/>
                            <a:ext cx="951230" cy="81026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15</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移动小黑板</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规格：120*80CM                                                                         移动磁性黑板采用金属镀锌板制作，板面为墨绿色，可双面使用。板面硬度高，书写流利，容易抹擦，不生锈，不脱层，不变形，外用铝合金包边坚固耐用。可使用磁钉挂图和磁性教具</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361950</wp:posOffset>
                  </wp:positionH>
                  <wp:positionV relativeFrom="paragraph">
                    <wp:posOffset>93345</wp:posOffset>
                  </wp:positionV>
                  <wp:extent cx="1058545" cy="798830"/>
                  <wp:effectExtent l="0" t="0" r="8255" b="1270"/>
                  <wp:wrapNone/>
                  <wp:docPr id="241" name="图片_14"/>
                  <wp:cNvGraphicFramePr/>
                  <a:graphic xmlns:a="http://schemas.openxmlformats.org/drawingml/2006/main">
                    <a:graphicData uri="http://schemas.openxmlformats.org/drawingml/2006/picture">
                      <pic:pic xmlns:pic="http://schemas.openxmlformats.org/drawingml/2006/picture">
                        <pic:nvPicPr>
                          <pic:cNvPr id="241" name="图片_14"/>
                          <pic:cNvPicPr/>
                        </pic:nvPicPr>
                        <pic:blipFill>
                          <a:blip r:embed="rId19"/>
                          <a:stretch>
                            <a:fillRect/>
                          </a:stretch>
                        </pic:blipFill>
                        <pic:spPr>
                          <a:xfrm>
                            <a:off x="0" y="0"/>
                            <a:ext cx="1058545" cy="7988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4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桌面小型玩具</w:t>
            </w:r>
          </w:p>
        </w:tc>
        <w:tc>
          <w:tcPr>
            <w:tcW w:w="488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包括接插连接玩具、螺旋连接玩具、穿编玩具各一箱</w:t>
            </w:r>
            <w:r>
              <w:rPr>
                <w:rFonts w:hint="default"/>
                <w:lang w:val="zh-CN" w:eastAsia="zh-CN"/>
              </w:rPr>
              <w:br w:type="textWrapping"/>
            </w:r>
            <w:r>
              <w:rPr>
                <w:rFonts w:hint="default"/>
                <w:lang w:val="zh-CN" w:eastAsia="zh-CN"/>
              </w:rPr>
              <w:t>1、规格：288件/箱,材质：食品级环保工程塑料注塑成型，色彩鲜艳，安全环保、无毒无味，表面光滑无毛刺，符合国家儿童玩具安全标准；功能：适合幼儿园等幼教机构教学使用，由孩子自由发挥，任意拼搭堆积成各种造型，充分培养孩子的想象力，创造力，耐心和手眼协调能力，让孩子在游戏中成长，在成长中游戏。</w:t>
            </w:r>
            <w:r>
              <w:rPr>
                <w:rFonts w:hint="default"/>
                <w:lang w:val="zh-CN" w:eastAsia="zh-CN"/>
              </w:rPr>
              <w:br w:type="textWrapping"/>
            </w:r>
            <w:r>
              <w:rPr>
                <w:rFonts w:hint="default"/>
                <w:lang w:val="zh-CN" w:eastAsia="zh-CN"/>
              </w:rPr>
              <w:t>2、规格：728件/箱；材质：食品级环保工程塑料注塑成型，色彩鲜艳，安全环保、无毒无味，表面光滑无毛刺，符合国家儿童玩具安全标准</w:t>
            </w:r>
            <w:r>
              <w:rPr>
                <w:rFonts w:hint="default"/>
                <w:lang w:val="zh-CN" w:eastAsia="zh-CN"/>
              </w:rPr>
              <w:br w:type="textWrapping"/>
            </w:r>
            <w:r>
              <w:rPr>
                <w:rFonts w:hint="default"/>
                <w:lang w:val="zh-CN" w:eastAsia="zh-CN"/>
              </w:rPr>
              <w:t>3、规格：280件/箱，5个/组；其中正方体3.2cm、椭圆形4.3*3.5cm；材质：食品级环保工程塑料注塑成型，色彩鲜艳，安全环保、无毒无味，表面光滑无毛刺，符合国家儿童玩具安全标准。</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423545</wp:posOffset>
                  </wp:positionH>
                  <wp:positionV relativeFrom="paragraph">
                    <wp:posOffset>167005</wp:posOffset>
                  </wp:positionV>
                  <wp:extent cx="722630" cy="584200"/>
                  <wp:effectExtent l="0" t="0" r="1270" b="6350"/>
                  <wp:wrapNone/>
                  <wp:docPr id="243" name="Picture_11"/>
                  <wp:cNvGraphicFramePr/>
                  <a:graphic xmlns:a="http://schemas.openxmlformats.org/drawingml/2006/main">
                    <a:graphicData uri="http://schemas.openxmlformats.org/drawingml/2006/picture">
                      <pic:pic xmlns:pic="http://schemas.openxmlformats.org/drawingml/2006/picture">
                        <pic:nvPicPr>
                          <pic:cNvPr id="243" name="Picture_11"/>
                          <pic:cNvPicPr/>
                        </pic:nvPicPr>
                        <pic:blipFill>
                          <a:blip r:embed="rId20"/>
                          <a:stretch>
                            <a:fillRect/>
                          </a:stretch>
                        </pic:blipFill>
                        <pic:spPr>
                          <a:xfrm>
                            <a:off x="0" y="0"/>
                            <a:ext cx="722630" cy="584200"/>
                          </a:xfrm>
                          <a:prstGeom prst="rect">
                            <a:avLst/>
                          </a:prstGeom>
                          <a:noFill/>
                          <a:ln>
                            <a:noFill/>
                          </a:ln>
                        </pic:spPr>
                      </pic:pic>
                    </a:graphicData>
                  </a:graphic>
                </wp:anchor>
              </w:drawing>
            </w:r>
            <w:r>
              <w:rPr>
                <w:rFonts w:hint="default"/>
                <w:lang w:val="zh-CN" w:eastAsia="zh-CN"/>
              </w:rPr>
              <w:drawing>
                <wp:anchor distT="0" distB="0" distL="114300" distR="114300" simplePos="0" relativeHeight="251658240" behindDoc="0" locked="0" layoutInCell="1" allowOverlap="1">
                  <wp:simplePos x="0" y="0"/>
                  <wp:positionH relativeFrom="column">
                    <wp:posOffset>452120</wp:posOffset>
                  </wp:positionH>
                  <wp:positionV relativeFrom="paragraph">
                    <wp:posOffset>1134110</wp:posOffset>
                  </wp:positionV>
                  <wp:extent cx="492125" cy="592455"/>
                  <wp:effectExtent l="0" t="0" r="3175" b="17145"/>
                  <wp:wrapNone/>
                  <wp:docPr id="253" name="Picture_8"/>
                  <wp:cNvGraphicFramePr/>
                  <a:graphic xmlns:a="http://schemas.openxmlformats.org/drawingml/2006/main">
                    <a:graphicData uri="http://schemas.openxmlformats.org/drawingml/2006/picture">
                      <pic:pic xmlns:pic="http://schemas.openxmlformats.org/drawingml/2006/picture">
                        <pic:nvPicPr>
                          <pic:cNvPr id="253" name="Picture_8"/>
                          <pic:cNvPicPr/>
                        </pic:nvPicPr>
                        <pic:blipFill>
                          <a:blip r:embed="rId21"/>
                          <a:stretch>
                            <a:fillRect/>
                          </a:stretch>
                        </pic:blipFill>
                        <pic:spPr>
                          <a:xfrm>
                            <a:off x="0" y="0"/>
                            <a:ext cx="492125" cy="592455"/>
                          </a:xfrm>
                          <a:prstGeom prst="rect">
                            <a:avLst/>
                          </a:prstGeom>
                          <a:noFill/>
                          <a:ln>
                            <a:noFill/>
                          </a:ln>
                        </pic:spPr>
                      </pic:pic>
                    </a:graphicData>
                  </a:graphic>
                </wp:anchor>
              </w:drawing>
            </w:r>
            <w:r>
              <w:rPr>
                <w:rFonts w:hint="default"/>
                <w:lang w:val="zh-CN" w:eastAsia="zh-CN"/>
              </w:rPr>
              <w:drawing>
                <wp:anchor distT="0" distB="0" distL="114300" distR="114300" simplePos="0" relativeHeight="251658240" behindDoc="0" locked="0" layoutInCell="1" allowOverlap="1">
                  <wp:simplePos x="0" y="0"/>
                  <wp:positionH relativeFrom="column">
                    <wp:posOffset>464185</wp:posOffset>
                  </wp:positionH>
                  <wp:positionV relativeFrom="paragraph">
                    <wp:posOffset>1911985</wp:posOffset>
                  </wp:positionV>
                  <wp:extent cx="741045" cy="554355"/>
                  <wp:effectExtent l="0" t="0" r="1905" b="17145"/>
                  <wp:wrapNone/>
                  <wp:docPr id="238" name="Picture_14"/>
                  <wp:cNvGraphicFramePr/>
                  <a:graphic xmlns:a="http://schemas.openxmlformats.org/drawingml/2006/main">
                    <a:graphicData uri="http://schemas.openxmlformats.org/drawingml/2006/picture">
                      <pic:pic xmlns:pic="http://schemas.openxmlformats.org/drawingml/2006/picture">
                        <pic:nvPicPr>
                          <pic:cNvPr id="238" name="Picture_14"/>
                          <pic:cNvPicPr/>
                        </pic:nvPicPr>
                        <pic:blipFill>
                          <a:blip r:embed="rId22"/>
                          <a:stretch>
                            <a:fillRect/>
                          </a:stretch>
                        </pic:blipFill>
                        <pic:spPr>
                          <a:xfrm>
                            <a:off x="0" y="0"/>
                            <a:ext cx="741045" cy="5543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17</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打击乐器</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打击乐器19件套</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321945</wp:posOffset>
                  </wp:positionH>
                  <wp:positionV relativeFrom="paragraph">
                    <wp:posOffset>73660</wp:posOffset>
                  </wp:positionV>
                  <wp:extent cx="1266825" cy="1047750"/>
                  <wp:effectExtent l="0" t="0" r="9525" b="0"/>
                  <wp:wrapNone/>
                  <wp:docPr id="219" name="图片_42"/>
                  <wp:cNvGraphicFramePr/>
                  <a:graphic xmlns:a="http://schemas.openxmlformats.org/drawingml/2006/main">
                    <a:graphicData uri="http://schemas.openxmlformats.org/drawingml/2006/picture">
                      <pic:pic xmlns:pic="http://schemas.openxmlformats.org/drawingml/2006/picture">
                        <pic:nvPicPr>
                          <pic:cNvPr id="219" name="图片_42"/>
                          <pic:cNvPicPr/>
                        </pic:nvPicPr>
                        <pic:blipFill>
                          <a:blip r:embed="rId23"/>
                          <a:stretch>
                            <a:fillRect/>
                          </a:stretch>
                        </pic:blipFill>
                        <pic:spPr>
                          <a:xfrm>
                            <a:off x="0" y="0"/>
                            <a:ext cx="1266825" cy="10477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64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eastAsia"/>
                <w:lang w:val="zh-CN" w:eastAsia="zh-CN"/>
              </w:rPr>
              <w:t>18</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滑梯（中型）</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规格：8.3*4*3.8米                                                  </w:t>
            </w:r>
            <w:r>
              <w:rPr>
                <w:rFonts w:hint="default"/>
                <w:lang w:val="zh-CN" w:eastAsia="zh-CN"/>
              </w:rPr>
              <w:br w:type="textWrapping"/>
            </w:r>
            <w:r>
              <w:rPr>
                <w:rFonts w:hint="default"/>
                <w:lang w:val="zh-CN" w:eastAsia="zh-CN"/>
              </w:rPr>
              <w:t xml:space="preserve"> 1、立柱：立柱采用Ø114mm，壁厚为2.0mm镀锌钢管，焊接采用氩弧焊，整体加工成型后经专业技术人员进行除油、磷化、抛砂处理后，表面再经过静电粉末喷涂流水线高温固化，表面光滑，抗紫外线能力强，色彩鲜艳，不易脱落，耐腐蚀。喷涂设备采用计算机控制的静电粉末流水线喷涂装置，可保证户外十年不退色。</w:t>
            </w:r>
            <w:r>
              <w:rPr>
                <w:rFonts w:hint="default"/>
                <w:lang w:val="zh-CN" w:eastAsia="zh-CN"/>
              </w:rPr>
              <w:br w:type="textWrapping"/>
            </w:r>
            <w:r>
              <w:rPr>
                <w:rFonts w:hint="default"/>
                <w:lang w:val="zh-CN" w:eastAsia="zh-CN"/>
              </w:rPr>
              <w:t>2、 平台：采用厚度为2.0mm冷轧钢板冲孔成形，冲孔直径为9mm，焊接采用氩弧焊，平台承载能力强。整体加工成型后经专业技术人员进行除油、磷化、抛砂处理后，表面喷涂户外环保聚酯粉末，高温固化，表面光滑，抗紫外光能力强，色彩鲜艳，不易脱落，耐腐蚀；喷涂设备采用计算机控制的静电粉末喷涂装置，粉末回收采用小旋风滤心，高效率，无污染。</w:t>
            </w:r>
            <w:r>
              <w:rPr>
                <w:rFonts w:hint="default"/>
                <w:lang w:val="zh-CN" w:eastAsia="zh-CN"/>
              </w:rPr>
              <w:br w:type="textWrapping"/>
            </w:r>
            <w:r>
              <w:rPr>
                <w:rFonts w:hint="default"/>
                <w:lang w:val="zh-CN" w:eastAsia="zh-CN"/>
              </w:rPr>
              <w:t>3、 塑胶件：采用滚塑专用料经滚塑成形，塑料壁厚6mm以上，色彩艳丽，抗紫外光（UV）能力达到8级，，抗静电能力强，安全环保，耐候性好，强度高。</w:t>
            </w:r>
            <w:r>
              <w:rPr>
                <w:rFonts w:hint="default"/>
                <w:lang w:val="zh-CN" w:eastAsia="zh-CN"/>
              </w:rPr>
              <w:br w:type="textWrapping"/>
            </w:r>
            <w:r>
              <w:rPr>
                <w:rFonts w:hint="default"/>
                <w:lang w:val="zh-CN" w:eastAsia="zh-CN"/>
              </w:rPr>
              <w:t>4、配件：扣件采用高强度铝合金一次性铸造成形，边角圆滑，进行抛砂处理后，表面喷涂户外环保聚酯粉末，高温固化，表面光滑，抗紫外光能强，色彩鲜艳。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90805</wp:posOffset>
                  </wp:positionH>
                  <wp:positionV relativeFrom="paragraph">
                    <wp:posOffset>1097280</wp:posOffset>
                  </wp:positionV>
                  <wp:extent cx="1343660" cy="890905"/>
                  <wp:effectExtent l="0" t="0" r="8890" b="4445"/>
                  <wp:wrapNone/>
                  <wp:docPr id="222" name="图片_52"/>
                  <wp:cNvGraphicFramePr/>
                  <a:graphic xmlns:a="http://schemas.openxmlformats.org/drawingml/2006/main">
                    <a:graphicData uri="http://schemas.openxmlformats.org/drawingml/2006/picture">
                      <pic:pic xmlns:pic="http://schemas.openxmlformats.org/drawingml/2006/picture">
                        <pic:nvPicPr>
                          <pic:cNvPr id="222" name="图片_52"/>
                          <pic:cNvPicPr/>
                        </pic:nvPicPr>
                        <pic:blipFill>
                          <a:blip r:embed="rId24"/>
                          <a:stretch>
                            <a:fillRect/>
                          </a:stretch>
                        </pic:blipFill>
                        <pic:spPr>
                          <a:xfrm>
                            <a:off x="0" y="0"/>
                            <a:ext cx="1343660" cy="8909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6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19</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滑梯（大型）</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eastAsia"/>
                <w:lang w:val="zh-CN"/>
              </w:rPr>
            </w:pPr>
            <w:r>
              <w:rPr>
                <w:rFonts w:hint="eastAsia"/>
                <w:lang w:val="zh-CN" w:eastAsia="zh-CN"/>
              </w:rPr>
              <w:t>规格：10.5*5.3*3.8米                                                 1、立柱：立柱采用Ø114mm，壁厚为2.0mm镀锌钢管，焊接采用氩弧焊，整体加工成型后经专业技术人员进行除油、磷化、抛砂处理后，表面再经过静电粉末喷涂流水线高温固化（塑粉采用户外环保聚酯粉末），表面光滑，抗紫外线能力强，色彩鲜艳，不易脱落，耐腐蚀。喷涂设备采用计算机控制的静电粉末流水线喷涂装置，可保证户外十年不退色。</w:t>
            </w:r>
            <w:r>
              <w:rPr>
                <w:rFonts w:hint="eastAsia"/>
                <w:lang w:val="zh-CN" w:eastAsia="zh-CN"/>
              </w:rPr>
              <w:br w:type="textWrapping"/>
            </w:r>
            <w:r>
              <w:rPr>
                <w:rFonts w:hint="eastAsia"/>
                <w:lang w:val="zh-CN" w:eastAsia="zh-CN"/>
              </w:rPr>
              <w:t>2、 平台：采用厚度为2.0mm冷轧钢板冲孔成形，冲孔直径为9mm，焊接采用氩弧焊，平台承载能力强。整体加工成型后经专业技术人员进行除油、磷化、抛砂处理后，表面喷涂户外环保聚酯粉末，高温固化，表面光滑，抗紫外光能力强，色彩鲜艳，不易脱落，耐腐蚀；喷涂设备采用计算机控制的静电粉末喷涂装置，粉末回收采用小旋风和滤心，高效率，无污染。</w:t>
            </w:r>
            <w:r>
              <w:rPr>
                <w:rFonts w:hint="eastAsia"/>
                <w:lang w:val="zh-CN" w:eastAsia="zh-CN"/>
              </w:rPr>
              <w:br w:type="textWrapping"/>
            </w:r>
            <w:r>
              <w:rPr>
                <w:rFonts w:hint="eastAsia"/>
                <w:lang w:val="zh-CN" w:eastAsia="zh-CN"/>
              </w:rPr>
              <w:t>3、 塑胶件：采用滚塑专用料经滚塑成形，塑料壁厚6mm以上，色彩艳丽，抗紫外光（UV）能力达到8级，，抗静电能力强，安全环保，耐候性好，强度高。</w:t>
            </w:r>
            <w:r>
              <w:rPr>
                <w:rFonts w:hint="eastAsia"/>
                <w:lang w:val="zh-CN" w:eastAsia="zh-CN"/>
              </w:rPr>
              <w:br w:type="textWrapping"/>
            </w:r>
            <w:r>
              <w:rPr>
                <w:rFonts w:hint="eastAsia"/>
                <w:lang w:val="zh-CN" w:eastAsia="zh-CN"/>
              </w:rPr>
              <w:t>4、配件：扣件采用高强度铝合金一次性铸造成形，边角圆滑，进行抛砂处理后，表面喷涂户外环保聚酯粉末，高温固化，表面光滑，抗紫外光能强，色彩鲜艳。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80645</wp:posOffset>
                  </wp:positionH>
                  <wp:positionV relativeFrom="paragraph">
                    <wp:posOffset>416560</wp:posOffset>
                  </wp:positionV>
                  <wp:extent cx="1448435" cy="918210"/>
                  <wp:effectExtent l="0" t="0" r="18415" b="15240"/>
                  <wp:wrapNone/>
                  <wp:docPr id="256" name="图片_51"/>
                  <wp:cNvGraphicFramePr/>
                  <a:graphic xmlns:a="http://schemas.openxmlformats.org/drawingml/2006/main">
                    <a:graphicData uri="http://schemas.openxmlformats.org/drawingml/2006/picture">
                      <pic:pic xmlns:pic="http://schemas.openxmlformats.org/drawingml/2006/picture">
                        <pic:nvPicPr>
                          <pic:cNvPr id="256" name="图片_51"/>
                          <pic:cNvPicPr/>
                        </pic:nvPicPr>
                        <pic:blipFill>
                          <a:blip r:embed="rId25"/>
                          <a:stretch>
                            <a:fillRect/>
                          </a:stretch>
                        </pic:blipFill>
                        <pic:spPr>
                          <a:xfrm>
                            <a:off x="0" y="0"/>
                            <a:ext cx="1448435" cy="91821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小神童俱乐部</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规格：308*170*175cm                                                            材质：环保工程塑料吹塑成型，造型美观，色彩艳丽，渗入抗紫外线、防静电及防脱色元素，安全环保、无毒无味。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257810</wp:posOffset>
                  </wp:positionH>
                  <wp:positionV relativeFrom="paragraph">
                    <wp:posOffset>125095</wp:posOffset>
                  </wp:positionV>
                  <wp:extent cx="1228090" cy="883920"/>
                  <wp:effectExtent l="0" t="0" r="10160" b="11430"/>
                  <wp:wrapNone/>
                  <wp:docPr id="230" name="图片_41"/>
                  <wp:cNvGraphicFramePr/>
                  <a:graphic xmlns:a="http://schemas.openxmlformats.org/drawingml/2006/main">
                    <a:graphicData uri="http://schemas.openxmlformats.org/drawingml/2006/picture">
                      <pic:pic xmlns:pic="http://schemas.openxmlformats.org/drawingml/2006/picture">
                        <pic:nvPicPr>
                          <pic:cNvPr id="230" name="图片_41"/>
                          <pic:cNvPicPr/>
                        </pic:nvPicPr>
                        <pic:blipFill>
                          <a:blip r:embed="rId26"/>
                          <a:stretch>
                            <a:fillRect/>
                          </a:stretch>
                        </pic:blipFill>
                        <pic:spPr>
                          <a:xfrm>
                            <a:off x="0" y="0"/>
                            <a:ext cx="1228090" cy="88392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动物蘑菇小屋</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规格：126*120*150cm                                                                        材质：环保工程塑料吹塑成型，造型美观，色彩艳丽，渗入抗紫外线、防静电及防脱色元素，安全环保、无毒无味。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333375</wp:posOffset>
                  </wp:positionH>
                  <wp:positionV relativeFrom="paragraph">
                    <wp:posOffset>59055</wp:posOffset>
                  </wp:positionV>
                  <wp:extent cx="1115695" cy="1007745"/>
                  <wp:effectExtent l="0" t="0" r="8255" b="1905"/>
                  <wp:wrapNone/>
                  <wp:docPr id="259" name="图片_43"/>
                  <wp:cNvGraphicFramePr/>
                  <a:graphic xmlns:a="http://schemas.openxmlformats.org/drawingml/2006/main">
                    <a:graphicData uri="http://schemas.openxmlformats.org/drawingml/2006/picture">
                      <pic:pic xmlns:pic="http://schemas.openxmlformats.org/drawingml/2006/picture">
                        <pic:nvPicPr>
                          <pic:cNvPr id="259" name="图片_43"/>
                          <pic:cNvPicPr/>
                        </pic:nvPicPr>
                        <pic:blipFill>
                          <a:blip r:embed="rId27"/>
                          <a:stretch>
                            <a:fillRect/>
                          </a:stretch>
                        </pic:blipFill>
                        <pic:spPr>
                          <a:xfrm>
                            <a:off x="0" y="0"/>
                            <a:ext cx="1115695" cy="10077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平衡台组合</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规格：395*30*18cm，三桥四墩，材质：环保工程塑料滚塑成型，，色彩艳丽，渗入抗紫外线、防静电及防脱色元素，安全环保、无毒无味。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343535</wp:posOffset>
                  </wp:positionH>
                  <wp:positionV relativeFrom="paragraph">
                    <wp:posOffset>150495</wp:posOffset>
                  </wp:positionV>
                  <wp:extent cx="1199515" cy="954405"/>
                  <wp:effectExtent l="0" t="0" r="635" b="17145"/>
                  <wp:wrapNone/>
                  <wp:docPr id="264" name="Picture_19"/>
                  <wp:cNvGraphicFramePr/>
                  <a:graphic xmlns:a="http://schemas.openxmlformats.org/drawingml/2006/main">
                    <a:graphicData uri="http://schemas.openxmlformats.org/drawingml/2006/picture">
                      <pic:pic xmlns:pic="http://schemas.openxmlformats.org/drawingml/2006/picture">
                        <pic:nvPicPr>
                          <pic:cNvPr id="264" name="Picture_19"/>
                          <pic:cNvPicPr/>
                        </pic:nvPicPr>
                        <pic:blipFill>
                          <a:blip r:embed="rId28"/>
                          <a:stretch>
                            <a:fillRect/>
                          </a:stretch>
                        </pic:blipFill>
                        <pic:spPr>
                          <a:xfrm>
                            <a:off x="0" y="0"/>
                            <a:ext cx="1199515" cy="9544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太空舱攀爬</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规格：直径260*高125cm，3片/套                                            材质：采用环保工程塑料滚塑成型，无毒无味，渗入抗紫外线，光稳定剂及抗静电剂，高级颜料粉，防脱色、韧性好、高强度（壁厚≥6mm）、两面光滑、不褪色、磨砂表面滚塑成型。</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266065</wp:posOffset>
                  </wp:positionH>
                  <wp:positionV relativeFrom="paragraph">
                    <wp:posOffset>170815</wp:posOffset>
                  </wp:positionV>
                  <wp:extent cx="1191260" cy="934085"/>
                  <wp:effectExtent l="0" t="0" r="8890" b="18415"/>
                  <wp:wrapNone/>
                  <wp:docPr id="266" name="图片_19"/>
                  <wp:cNvGraphicFramePr/>
                  <a:graphic xmlns:a="http://schemas.openxmlformats.org/drawingml/2006/main">
                    <a:graphicData uri="http://schemas.openxmlformats.org/drawingml/2006/picture">
                      <pic:pic xmlns:pic="http://schemas.openxmlformats.org/drawingml/2006/picture">
                        <pic:nvPicPr>
                          <pic:cNvPr id="266" name="图片_19"/>
                          <pic:cNvPicPr/>
                        </pic:nvPicPr>
                        <pic:blipFill>
                          <a:blip r:embed="rId29"/>
                          <a:stretch>
                            <a:fillRect/>
                          </a:stretch>
                        </pic:blipFill>
                        <pic:spPr>
                          <a:xfrm>
                            <a:off x="0" y="0"/>
                            <a:ext cx="1191260" cy="9340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巧克力小屋</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规格：125*135*144cm                                                                        材质：环保工程塑料吹塑成型，造型美观，色彩艳丽，渗入抗紫外线、防静电及防脱色元素，安全环保、无毒无味。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294640</wp:posOffset>
                  </wp:positionH>
                  <wp:positionV relativeFrom="paragraph">
                    <wp:posOffset>96520</wp:posOffset>
                  </wp:positionV>
                  <wp:extent cx="1209675" cy="1178560"/>
                  <wp:effectExtent l="0" t="0" r="9525" b="2540"/>
                  <wp:wrapNone/>
                  <wp:docPr id="268" name="图片_21"/>
                  <wp:cNvGraphicFramePr/>
                  <a:graphic xmlns:a="http://schemas.openxmlformats.org/drawingml/2006/main">
                    <a:graphicData uri="http://schemas.openxmlformats.org/drawingml/2006/picture">
                      <pic:pic xmlns:pic="http://schemas.openxmlformats.org/drawingml/2006/picture">
                        <pic:nvPicPr>
                          <pic:cNvPr id="268" name="图片_21"/>
                          <pic:cNvPicPr/>
                        </pic:nvPicPr>
                        <pic:blipFill>
                          <a:blip r:embed="rId30"/>
                          <a:stretch>
                            <a:fillRect/>
                          </a:stretch>
                        </pic:blipFill>
                        <pic:spPr>
                          <a:xfrm>
                            <a:off x="0" y="0"/>
                            <a:ext cx="1209675" cy="117856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7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立体钻山洞</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规格：78*20*80cm</w:t>
            </w:r>
            <w:r>
              <w:rPr>
                <w:rFonts w:hint="default"/>
                <w:lang w:val="zh-CN" w:eastAsia="zh-CN"/>
              </w:rPr>
              <w:br w:type="textWrapping"/>
            </w:r>
            <w:r>
              <w:rPr>
                <w:rFonts w:hint="default"/>
                <w:lang w:val="zh-CN" w:eastAsia="zh-CN"/>
              </w:rPr>
              <w:t>8件/套，采用食品级塑料一次吹塑成型主要颜色红、黄、蓝、绿色彩鲜艳、不褪色、高强度、防静电、耐磨、耐晒、耐老化、防裂。设计、生产和材质符合国家标准，可以钻、爬等</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180340</wp:posOffset>
                  </wp:positionH>
                  <wp:positionV relativeFrom="paragraph">
                    <wp:posOffset>132715</wp:posOffset>
                  </wp:positionV>
                  <wp:extent cx="1466850" cy="876935"/>
                  <wp:effectExtent l="0" t="0" r="0" b="18415"/>
                  <wp:wrapNone/>
                  <wp:docPr id="229" name="图片_5_SpCnt_1"/>
                  <wp:cNvGraphicFramePr/>
                  <a:graphic xmlns:a="http://schemas.openxmlformats.org/drawingml/2006/main">
                    <a:graphicData uri="http://schemas.openxmlformats.org/drawingml/2006/picture">
                      <pic:pic xmlns:pic="http://schemas.openxmlformats.org/drawingml/2006/picture">
                        <pic:nvPicPr>
                          <pic:cNvPr id="229" name="图片_5_SpCnt_1"/>
                          <pic:cNvPicPr/>
                        </pic:nvPicPr>
                        <pic:blipFill>
                          <a:blip r:embed="rId31"/>
                          <a:stretch>
                            <a:fillRect/>
                          </a:stretch>
                        </pic:blipFill>
                        <pic:spPr>
                          <a:xfrm>
                            <a:off x="0" y="0"/>
                            <a:ext cx="1466850" cy="8769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6</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跷跷板</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规格：125*37*55cm，公鸡、小马、鲸鱼、小鹿等</w:t>
            </w:r>
            <w:r>
              <w:rPr>
                <w:rFonts w:hint="default"/>
                <w:lang w:val="zh-CN" w:eastAsia="zh-CN"/>
              </w:rPr>
              <w:br w:type="textWrapping"/>
            </w:r>
            <w:r>
              <w:rPr>
                <w:rFonts w:hint="default"/>
                <w:lang w:val="zh-CN" w:eastAsia="zh-CN"/>
              </w:rPr>
              <w:t>全套玩具造型逼真、生动、活泼、色彩鲜艳。原生工程塑料，不添加废旧回收料，大型设备一次成型，后期修边打磨处理。产品无毛刺、无锐利尖角、无易折下的毛边及凸起。产品强度大、韧性好、耐折弯、不易变形。使用国家安全标准8级色母，产品色彩柔和、明亮、不易褪色，符合幼儿视觉习惯。</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237490</wp:posOffset>
                  </wp:positionH>
                  <wp:positionV relativeFrom="paragraph">
                    <wp:posOffset>181610</wp:posOffset>
                  </wp:positionV>
                  <wp:extent cx="1305560" cy="790575"/>
                  <wp:effectExtent l="0" t="0" r="8890" b="9525"/>
                  <wp:wrapNone/>
                  <wp:docPr id="267" name="Picture_198"/>
                  <wp:cNvGraphicFramePr/>
                  <a:graphic xmlns:a="http://schemas.openxmlformats.org/drawingml/2006/main">
                    <a:graphicData uri="http://schemas.openxmlformats.org/drawingml/2006/picture">
                      <pic:pic xmlns:pic="http://schemas.openxmlformats.org/drawingml/2006/picture">
                        <pic:nvPicPr>
                          <pic:cNvPr id="267" name="Picture_198"/>
                          <pic:cNvPicPr/>
                        </pic:nvPicPr>
                        <pic:blipFill>
                          <a:blip r:embed="rId32"/>
                          <a:stretch>
                            <a:fillRect/>
                          </a:stretch>
                        </pic:blipFill>
                        <pic:spPr>
                          <a:xfrm>
                            <a:off x="0" y="0"/>
                            <a:ext cx="1305560" cy="79057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r>
              <w:rPr>
                <w:rFonts w:hint="eastAsia"/>
                <w:lang w:val="zh-CN" w:eastAsia="zh-CN"/>
              </w:rPr>
              <w:t>7</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摇摇马货鲸鱼</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规格：100*40*45CM</w:t>
            </w:r>
            <w:r>
              <w:rPr>
                <w:rFonts w:hint="default"/>
                <w:lang w:val="zh-CN" w:eastAsia="zh-CN"/>
              </w:rPr>
              <w:br w:type="textWrapping"/>
            </w:r>
            <w:r>
              <w:rPr>
                <w:rFonts w:hint="default"/>
                <w:lang w:val="zh-CN" w:eastAsia="zh-CN"/>
              </w:rPr>
              <w:t>材质：环保工程塑料吹塑一次成型，，色彩艳丽，渗入抗紫外线、防静电及防脱色元素，安全环保、无毒无味。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57150</wp:posOffset>
                  </wp:positionH>
                  <wp:positionV relativeFrom="paragraph">
                    <wp:posOffset>247650</wp:posOffset>
                  </wp:positionV>
                  <wp:extent cx="1467485" cy="628650"/>
                  <wp:effectExtent l="0" t="0" r="18415" b="0"/>
                  <wp:wrapNone/>
                  <wp:docPr id="223" name="图片_63"/>
                  <wp:cNvGraphicFramePr/>
                  <a:graphic xmlns:a="http://schemas.openxmlformats.org/drawingml/2006/main">
                    <a:graphicData uri="http://schemas.openxmlformats.org/drawingml/2006/picture">
                      <pic:pic xmlns:pic="http://schemas.openxmlformats.org/drawingml/2006/picture">
                        <pic:nvPicPr>
                          <pic:cNvPr id="223" name="图片_63"/>
                          <pic:cNvPicPr/>
                        </pic:nvPicPr>
                        <pic:blipFill>
                          <a:blip r:embed="rId33"/>
                          <a:stretch>
                            <a:fillRect/>
                          </a:stretch>
                        </pic:blipFill>
                        <pic:spPr>
                          <a:xfrm>
                            <a:off x="0" y="0"/>
                            <a:ext cx="1467485" cy="6286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28</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大滚球</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规格：50CM                                                                                   材质：工程塑料  滚塑一次成型 耐用牢固 加厚防爆</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124460</wp:posOffset>
                  </wp:positionV>
                  <wp:extent cx="1191260" cy="922655"/>
                  <wp:effectExtent l="0" t="0" r="8890" b="10795"/>
                  <wp:wrapNone/>
                  <wp:docPr id="244" name="图片_60"/>
                  <wp:cNvGraphicFramePr/>
                  <a:graphic xmlns:a="http://schemas.openxmlformats.org/drawingml/2006/main">
                    <a:graphicData uri="http://schemas.openxmlformats.org/drawingml/2006/picture">
                      <pic:pic xmlns:pic="http://schemas.openxmlformats.org/drawingml/2006/picture">
                        <pic:nvPicPr>
                          <pic:cNvPr id="244" name="图片_60"/>
                          <pic:cNvPicPr/>
                        </pic:nvPicPr>
                        <pic:blipFill>
                          <a:blip r:embed="rId34"/>
                          <a:stretch>
                            <a:fillRect/>
                          </a:stretch>
                        </pic:blipFill>
                        <pic:spPr>
                          <a:xfrm>
                            <a:off x="0" y="0"/>
                            <a:ext cx="1191260" cy="9226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29</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果壳箱</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塑料动物造型  </w:t>
            </w:r>
            <w:r>
              <w:rPr>
                <w:rFonts w:hint="default"/>
                <w:lang w:val="zh-CN" w:eastAsia="zh-CN"/>
              </w:rPr>
              <w:br w:type="textWrapping"/>
            </w:r>
            <w:r>
              <w:rPr>
                <w:rFonts w:hint="default"/>
                <w:lang w:val="zh-CN" w:eastAsia="zh-CN"/>
              </w:rPr>
              <w:t>规格：35*35*70CM                                                                  材质：工程塑料，色彩鲜艳、不褪色、高强度、防静电、耐磨、耐晒、耐老化、防裂。</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398780</wp:posOffset>
                  </wp:positionH>
                  <wp:positionV relativeFrom="paragraph">
                    <wp:posOffset>97790</wp:posOffset>
                  </wp:positionV>
                  <wp:extent cx="771525" cy="1200785"/>
                  <wp:effectExtent l="0" t="0" r="9525" b="18415"/>
                  <wp:wrapNone/>
                  <wp:docPr id="269" name="图片_59"/>
                  <wp:cNvGraphicFramePr/>
                  <a:graphic xmlns:a="http://schemas.openxmlformats.org/drawingml/2006/main">
                    <a:graphicData uri="http://schemas.openxmlformats.org/drawingml/2006/picture">
                      <pic:pic xmlns:pic="http://schemas.openxmlformats.org/drawingml/2006/picture">
                        <pic:nvPicPr>
                          <pic:cNvPr id="269" name="图片_59"/>
                          <pic:cNvPicPr/>
                        </pic:nvPicPr>
                        <pic:blipFill>
                          <a:blip r:embed="rId35"/>
                          <a:stretch>
                            <a:fillRect/>
                          </a:stretch>
                        </pic:blipFill>
                        <pic:spPr>
                          <a:xfrm>
                            <a:off x="0" y="0"/>
                            <a:ext cx="771525" cy="12007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小推车</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规格：90*35*40cm；                                                                     材质：环保工程塑料吹塑成型，颜色鲜艳，简单耐用，锻炼儿童在玩乐时车子不会前后翻倒，可以加强平衡感锻炼。</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个</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172085</wp:posOffset>
                  </wp:positionH>
                  <wp:positionV relativeFrom="paragraph">
                    <wp:posOffset>95885</wp:posOffset>
                  </wp:positionV>
                  <wp:extent cx="1438275" cy="922655"/>
                  <wp:effectExtent l="0" t="0" r="9525" b="10795"/>
                  <wp:wrapNone/>
                  <wp:docPr id="260" name="图片_18"/>
                  <wp:cNvGraphicFramePr/>
                  <a:graphic xmlns:a="http://schemas.openxmlformats.org/drawingml/2006/main">
                    <a:graphicData uri="http://schemas.openxmlformats.org/drawingml/2006/picture">
                      <pic:pic xmlns:pic="http://schemas.openxmlformats.org/drawingml/2006/picture">
                        <pic:nvPicPr>
                          <pic:cNvPr id="260" name="图片_18"/>
                          <pic:cNvPicPr/>
                        </pic:nvPicPr>
                        <pic:blipFill>
                          <a:blip r:embed="rId36"/>
                          <a:stretch>
                            <a:fillRect/>
                          </a:stretch>
                        </pic:blipFill>
                        <pic:spPr>
                          <a:xfrm>
                            <a:off x="0" y="0"/>
                            <a:ext cx="1438275" cy="9226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9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四分之一圆</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规格：4片/套                                                                            功能：提供孩子挑战度较高的动作游戏，锻炼平衡攀爬能力. 背 面 侧面都可以进行游戏</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237490</wp:posOffset>
                  </wp:positionH>
                  <wp:positionV relativeFrom="paragraph">
                    <wp:posOffset>170180</wp:posOffset>
                  </wp:positionV>
                  <wp:extent cx="1219835" cy="925830"/>
                  <wp:effectExtent l="0" t="0" r="18415" b="7620"/>
                  <wp:wrapNone/>
                  <wp:docPr id="258" name="图片_24"/>
                  <wp:cNvGraphicFramePr/>
                  <a:graphic xmlns:a="http://schemas.openxmlformats.org/drawingml/2006/main">
                    <a:graphicData uri="http://schemas.openxmlformats.org/drawingml/2006/picture">
                      <pic:pic xmlns:pic="http://schemas.openxmlformats.org/drawingml/2006/picture">
                        <pic:nvPicPr>
                          <pic:cNvPr id="258" name="图片_24"/>
                          <pic:cNvPicPr/>
                        </pic:nvPicPr>
                        <pic:blipFill>
                          <a:blip r:embed="rId37"/>
                          <a:stretch>
                            <a:fillRect/>
                          </a:stretch>
                        </pic:blipFill>
                        <pic:spPr>
                          <a:xfrm>
                            <a:off x="0" y="0"/>
                            <a:ext cx="1219835" cy="9258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体能训练组合</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规格：17件   材质：H桥墩60*30*45CM   钻洞桥墩120*30*60CM   三角连接台64*64*45CM   拱形钻洞80*60*60CM  跷跷板桥墩150*30*45CM  滑道梯75*30*45CM   平衡桥120*30*15CM  拱桥40*30*30CM  摇摆桥120*30*25CM  圆圈钻洞  直径70CM  触觉梯40*30*30CM</w:t>
            </w:r>
            <w:r>
              <w:rPr>
                <w:rFonts w:hint="eastAsia"/>
                <w:lang w:val="zh-CN" w:eastAsia="zh-CN"/>
              </w:rPr>
              <w:t>安全、无毒害材质。</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125095</wp:posOffset>
                  </wp:positionH>
                  <wp:positionV relativeFrom="paragraph">
                    <wp:posOffset>217805</wp:posOffset>
                  </wp:positionV>
                  <wp:extent cx="1438275" cy="809625"/>
                  <wp:effectExtent l="0" t="0" r="9525" b="9525"/>
                  <wp:wrapNone/>
                  <wp:docPr id="228" name="图片_23"/>
                  <wp:cNvGraphicFramePr/>
                  <a:graphic xmlns:a="http://schemas.openxmlformats.org/drawingml/2006/main">
                    <a:graphicData uri="http://schemas.openxmlformats.org/drawingml/2006/picture">
                      <pic:pic xmlns:pic="http://schemas.openxmlformats.org/drawingml/2006/picture">
                        <pic:nvPicPr>
                          <pic:cNvPr id="228" name="图片_23"/>
                          <pic:cNvPicPr/>
                        </pic:nvPicPr>
                        <pic:blipFill>
                          <a:blip r:embed="rId38"/>
                          <a:stretch>
                            <a:fillRect/>
                          </a:stretch>
                        </pic:blipFill>
                        <pic:spPr>
                          <a:xfrm>
                            <a:off x="0" y="0"/>
                            <a:ext cx="1438275" cy="8096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攀登架</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规格：4.9×1.5×2.0m                                                              材质：采用全实木，木材拥有自然条纹，无死节、无开裂等优点；油漆采用净味环保清水漆，经二底三面喷漆，颜色为清水本色，并作防腐处理。五金配件：不锈钢螺丝，外露螺丝均采用半圆头、无棱角处理，具有预防任意调整功能，以维护使用者设施结构的安全</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124460</wp:posOffset>
                  </wp:positionH>
                  <wp:positionV relativeFrom="paragraph">
                    <wp:posOffset>112395</wp:posOffset>
                  </wp:positionV>
                  <wp:extent cx="1517650" cy="889000"/>
                  <wp:effectExtent l="0" t="0" r="6350" b="6350"/>
                  <wp:wrapNone/>
                  <wp:docPr id="265" name="图片_25"/>
                  <wp:cNvGraphicFramePr/>
                  <a:graphic xmlns:a="http://schemas.openxmlformats.org/drawingml/2006/main">
                    <a:graphicData uri="http://schemas.openxmlformats.org/drawingml/2006/picture">
                      <pic:pic xmlns:pic="http://schemas.openxmlformats.org/drawingml/2006/picture">
                        <pic:nvPicPr>
                          <pic:cNvPr id="265" name="图片_25"/>
                          <pic:cNvPicPr/>
                        </pic:nvPicPr>
                        <pic:blipFill>
                          <a:blip r:embed="rId39"/>
                          <a:stretch>
                            <a:fillRect/>
                          </a:stretch>
                        </pic:blipFill>
                        <pic:spPr>
                          <a:xfrm>
                            <a:off x="0" y="0"/>
                            <a:ext cx="1517650" cy="88900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彩色轮胎</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 材质：采用原材料（环保塑料），每根管子用铆钉通过塑料连接件连接起来，共计10个格子，可放10个轮胎，无异味不褪色。轮胎塑料吹塑成型。</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266700</wp:posOffset>
                  </wp:positionH>
                  <wp:positionV relativeFrom="paragraph">
                    <wp:posOffset>95250</wp:posOffset>
                  </wp:positionV>
                  <wp:extent cx="1123950" cy="781050"/>
                  <wp:effectExtent l="0" t="0" r="0" b="0"/>
                  <wp:wrapNone/>
                  <wp:docPr id="232" name="图片_2"/>
                  <wp:cNvGraphicFramePr/>
                  <a:graphic xmlns:a="http://schemas.openxmlformats.org/drawingml/2006/main">
                    <a:graphicData uri="http://schemas.openxmlformats.org/drawingml/2006/picture">
                      <pic:pic xmlns:pic="http://schemas.openxmlformats.org/drawingml/2006/picture">
                        <pic:nvPicPr>
                          <pic:cNvPr id="232" name="图片_2"/>
                          <pic:cNvPicPr/>
                        </pic:nvPicPr>
                        <pic:blipFill>
                          <a:blip r:embed="rId40"/>
                          <a:stretch>
                            <a:fillRect/>
                          </a:stretch>
                        </pic:blipFill>
                        <pic:spPr>
                          <a:xfrm>
                            <a:off x="0" y="0"/>
                            <a:ext cx="1123950" cy="7810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8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校园垃圾车</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一、箱体规格及材质：</w:t>
            </w:r>
            <w:r>
              <w:rPr>
                <w:rFonts w:hint="default"/>
                <w:lang w:val="zh-CN" w:eastAsia="zh-CN"/>
              </w:rPr>
              <w:br w:type="textWrapping"/>
            </w:r>
            <w:r>
              <w:rPr>
                <w:rFonts w:hint="default"/>
                <w:lang w:val="zh-CN" w:eastAsia="zh-CN"/>
              </w:rPr>
              <w:t>1、规格：长900*宽760*高550mm,</w:t>
            </w:r>
            <w:r>
              <w:rPr>
                <w:rFonts w:hint="default"/>
                <w:lang w:val="zh-CN" w:eastAsia="zh-CN"/>
              </w:rPr>
              <w:br w:type="textWrapping"/>
            </w:r>
            <w:r>
              <w:rPr>
                <w:rFonts w:hint="default"/>
                <w:lang w:val="zh-CN" w:eastAsia="zh-CN"/>
              </w:rPr>
              <w:t xml:space="preserve">2、箱体材质：采用不锈钢板，厚度1.0 mm； </w:t>
            </w:r>
            <w:r>
              <w:rPr>
                <w:rFonts w:hint="default"/>
                <w:lang w:val="zh-CN" w:eastAsia="zh-CN"/>
              </w:rPr>
              <w:br w:type="textWrapping"/>
            </w:r>
            <w:r>
              <w:rPr>
                <w:rFonts w:hint="default"/>
                <w:lang w:val="zh-CN" w:eastAsia="zh-CN"/>
              </w:rPr>
              <w:t>3、箱体顶设置垃圾投入口，合页采用不锈钢加强型铰链；把手采用不锈钢把手；后门搭扣采用可调节不锈钢搭扣；</w:t>
            </w:r>
            <w:r>
              <w:rPr>
                <w:rFonts w:hint="default"/>
                <w:lang w:val="zh-CN" w:eastAsia="zh-CN"/>
              </w:rPr>
              <w:br w:type="textWrapping"/>
            </w:r>
            <w:r>
              <w:rPr>
                <w:rFonts w:hint="default"/>
                <w:lang w:val="zh-CN" w:eastAsia="zh-CN"/>
              </w:rPr>
              <w:t>4、箱体整体焊接，氩弧焊的焊接质量好，无虚焊和漏焊；无划伤手的锐边、尖角等隐患；</w:t>
            </w:r>
            <w:r>
              <w:rPr>
                <w:rFonts w:hint="default"/>
                <w:lang w:val="zh-CN" w:eastAsia="zh-CN"/>
              </w:rPr>
              <w:br w:type="textWrapping"/>
            </w:r>
            <w:r>
              <w:rPr>
                <w:rFonts w:hint="default"/>
                <w:lang w:val="zh-CN" w:eastAsia="zh-CN"/>
              </w:rPr>
              <w:t>5、箱体卸料方式及链接：人力倾翻式卸料方式，倾翻角度通过链条定位；</w:t>
            </w:r>
            <w:r>
              <w:rPr>
                <w:rFonts w:hint="default"/>
                <w:lang w:val="zh-CN" w:eastAsia="zh-CN"/>
              </w:rPr>
              <w:br w:type="textWrapping"/>
            </w:r>
            <w:r>
              <w:rPr>
                <w:rFonts w:hint="default"/>
                <w:lang w:val="zh-CN" w:eastAsia="zh-CN"/>
              </w:rPr>
              <w:t>6、两侧及后门贴有反光条，红白相间；两侧标语采用专业丝网印刷技术；</w:t>
            </w:r>
            <w:r>
              <w:rPr>
                <w:rFonts w:hint="default"/>
                <w:lang w:val="zh-CN" w:eastAsia="zh-CN"/>
              </w:rPr>
              <w:br w:type="textWrapping"/>
            </w:r>
            <w:r>
              <w:rPr>
                <w:rFonts w:hint="default"/>
                <w:lang w:val="zh-CN" w:eastAsia="zh-CN"/>
              </w:rPr>
              <w:t>二、车架：</w:t>
            </w:r>
            <w:r>
              <w:rPr>
                <w:rFonts w:hint="default"/>
                <w:lang w:val="zh-CN" w:eastAsia="zh-CN"/>
              </w:rPr>
              <w:br w:type="textWrapping"/>
            </w:r>
            <w:r>
              <w:rPr>
                <w:rFonts w:hint="default"/>
                <w:lang w:val="zh-CN" w:eastAsia="zh-CN"/>
              </w:rPr>
              <w:t>1、三轮车底盘技术参数：车座伸缩管Φ38mm，采用镀锌椭圆形管40*75mm,经模具一次压制成形(壁厚度2.5mm)，后架采用25*50mm矩型管（壁厚2.5mm以上）；</w:t>
            </w:r>
            <w:r>
              <w:rPr>
                <w:rFonts w:hint="default"/>
                <w:lang w:val="zh-CN" w:eastAsia="zh-CN"/>
              </w:rPr>
              <w:br w:type="textWrapping"/>
            </w:r>
            <w:r>
              <w:rPr>
                <w:rFonts w:hint="default"/>
                <w:lang w:val="zh-CN" w:eastAsia="zh-CN"/>
              </w:rPr>
              <w:t>2、车架表面处理方式：除锈后采用防紫外线塑粉进行静电喷塑；</w:t>
            </w:r>
            <w:r>
              <w:rPr>
                <w:rFonts w:hint="default"/>
                <w:lang w:val="zh-CN" w:eastAsia="zh-CN"/>
              </w:rPr>
              <w:br w:type="textWrapping"/>
            </w:r>
            <w:r>
              <w:rPr>
                <w:rFonts w:hint="default"/>
                <w:lang w:val="zh-CN" w:eastAsia="zh-CN"/>
              </w:rPr>
              <w:t>三、轮胎及钢圈：</w:t>
            </w:r>
            <w:r>
              <w:rPr>
                <w:rFonts w:hint="default"/>
                <w:lang w:val="zh-CN" w:eastAsia="zh-CN"/>
              </w:rPr>
              <w:br w:type="textWrapping"/>
            </w:r>
            <w:r>
              <w:rPr>
                <w:rFonts w:hint="default"/>
                <w:lang w:val="zh-CN" w:eastAsia="zh-CN"/>
              </w:rPr>
              <w:t>1.轮胎：采用1.75×22#国内知名品牌内外胎；</w:t>
            </w:r>
            <w:r>
              <w:rPr>
                <w:rFonts w:hint="default"/>
                <w:lang w:val="zh-CN" w:eastAsia="zh-CN"/>
              </w:rPr>
              <w:br w:type="textWrapping"/>
            </w:r>
            <w:r>
              <w:rPr>
                <w:rFonts w:hint="default"/>
                <w:lang w:val="zh-CN" w:eastAsia="zh-CN"/>
              </w:rPr>
              <w:t>2.钢圈：前轮采用36根钢丝22#铝合金材质钢圈，后轮采用36根钢丝22#加重型铁质钢圈，后轮为300kg加重车圈；</w:t>
            </w:r>
            <w:r>
              <w:rPr>
                <w:rFonts w:hint="default"/>
                <w:lang w:val="zh-CN" w:eastAsia="zh-CN"/>
              </w:rPr>
              <w:br w:type="textWrapping"/>
            </w:r>
            <w:r>
              <w:rPr>
                <w:rFonts w:hint="default"/>
                <w:lang w:val="zh-CN" w:eastAsia="zh-CN"/>
              </w:rPr>
              <w:t>四、其它特殊要求：</w:t>
            </w:r>
            <w:r>
              <w:rPr>
                <w:rFonts w:hint="default"/>
                <w:lang w:val="zh-CN" w:eastAsia="zh-CN"/>
              </w:rPr>
              <w:br w:type="textWrapping"/>
            </w:r>
            <w:r>
              <w:rPr>
                <w:rFonts w:hint="default"/>
                <w:lang w:val="zh-CN" w:eastAsia="zh-CN"/>
              </w:rPr>
              <w:t>1、前轮采用手刹制动，后轮制动采用内涨鼓刹，改变原始带条刹车易坏的状况；链条加装链条自动调节，能长期保持链条的正常使用，不需要人工调整。</w:t>
            </w:r>
            <w:r>
              <w:rPr>
                <w:rFonts w:hint="default"/>
                <w:lang w:val="zh-CN" w:eastAsia="zh-CN"/>
              </w:rPr>
              <w:br w:type="textWrapping"/>
            </w:r>
            <w:r>
              <w:rPr>
                <w:rFonts w:hint="default"/>
                <w:lang w:val="zh-CN" w:eastAsia="zh-CN"/>
              </w:rPr>
              <w:t>2、链条拉断力≥8010N；</w:t>
            </w:r>
            <w:r>
              <w:rPr>
                <w:rFonts w:hint="default"/>
                <w:lang w:val="zh-CN" w:eastAsia="zh-CN"/>
              </w:rPr>
              <w:br w:type="textWrapping"/>
            </w:r>
            <w:r>
              <w:rPr>
                <w:rFonts w:hint="default"/>
                <w:lang w:val="zh-CN" w:eastAsia="zh-CN"/>
              </w:rPr>
              <w:t>3、后轮连接件采用轴承，前轮连接件采用一体化轴承；前叉为减震型；轴承座为铝合金材质，长期使用不腐蚀；</w:t>
            </w:r>
            <w:r>
              <w:rPr>
                <w:rFonts w:hint="default"/>
                <w:lang w:val="zh-CN" w:eastAsia="zh-CN"/>
              </w:rPr>
              <w:br w:type="textWrapping"/>
            </w:r>
            <w:r>
              <w:rPr>
                <w:rFonts w:hint="default"/>
                <w:lang w:val="zh-CN" w:eastAsia="zh-CN"/>
              </w:rPr>
              <w:t>4、钢圈、钢丝、内外胎、车架、前叉、车把（龙头）符合载重量和安全要求，车头前加一个加厚坚固车篓；</w:t>
            </w:r>
            <w:r>
              <w:rPr>
                <w:rFonts w:hint="default"/>
                <w:lang w:val="zh-CN" w:eastAsia="zh-CN"/>
              </w:rPr>
              <w:br w:type="textWrapping"/>
            </w:r>
            <w:r>
              <w:rPr>
                <w:rFonts w:hint="default"/>
                <w:lang w:val="zh-CN" w:eastAsia="zh-CN"/>
              </w:rPr>
              <w:t>5、外形美观，轻便宜操作，设计人性化，经久耐用，便于现代环卫工人收集、栽物运输</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辆</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eastAsia"/>
                <w:lang w:val="zh-CN"/>
              </w:rPr>
            </w:pPr>
            <w:r>
              <w:rPr>
                <w:rFonts w:hint="eastAsia"/>
                <w:lang w:val="zh-CN" w:eastAsia="zh-CN"/>
              </w:rPr>
              <w:drawing>
                <wp:anchor distT="0" distB="0" distL="114300" distR="114300" simplePos="0" relativeHeight="251658240" behindDoc="0" locked="0" layoutInCell="1" allowOverlap="1">
                  <wp:simplePos x="0" y="0"/>
                  <wp:positionH relativeFrom="column">
                    <wp:posOffset>95885</wp:posOffset>
                  </wp:positionH>
                  <wp:positionV relativeFrom="paragraph">
                    <wp:posOffset>1990725</wp:posOffset>
                  </wp:positionV>
                  <wp:extent cx="1543050" cy="975360"/>
                  <wp:effectExtent l="0" t="0" r="0" b="15240"/>
                  <wp:wrapNone/>
                  <wp:docPr id="246" name="图片_73"/>
                  <wp:cNvGraphicFramePr/>
                  <a:graphic xmlns:a="http://schemas.openxmlformats.org/drawingml/2006/main">
                    <a:graphicData uri="http://schemas.openxmlformats.org/drawingml/2006/picture">
                      <pic:pic xmlns:pic="http://schemas.openxmlformats.org/drawingml/2006/picture">
                        <pic:nvPicPr>
                          <pic:cNvPr id="246" name="图片_73"/>
                          <pic:cNvPicPr/>
                        </pic:nvPicPr>
                        <pic:blipFill>
                          <a:blip r:embed="rId41"/>
                          <a:stretch>
                            <a:fillRect/>
                          </a:stretch>
                        </pic:blipFill>
                        <pic:spPr>
                          <a:xfrm>
                            <a:off x="0" y="0"/>
                            <a:ext cx="1543050" cy="9753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6</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非洲鼓</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规格：鼓面：17-19CM  鼓身：约40CM   材质：鼓身PVC 防摔 防潮 质量过硬</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742950</wp:posOffset>
                  </wp:positionH>
                  <wp:positionV relativeFrom="paragraph">
                    <wp:posOffset>77470</wp:posOffset>
                  </wp:positionV>
                  <wp:extent cx="771525" cy="1174115"/>
                  <wp:effectExtent l="0" t="0" r="9525" b="6985"/>
                  <wp:wrapNone/>
                  <wp:docPr id="231" name="图片_77"/>
                  <wp:cNvGraphicFramePr/>
                  <a:graphic xmlns:a="http://schemas.openxmlformats.org/drawingml/2006/main">
                    <a:graphicData uri="http://schemas.openxmlformats.org/drawingml/2006/picture">
                      <pic:pic xmlns:pic="http://schemas.openxmlformats.org/drawingml/2006/picture">
                        <pic:nvPicPr>
                          <pic:cNvPr id="231" name="图片_77"/>
                          <pic:cNvPicPr/>
                        </pic:nvPicPr>
                        <pic:blipFill>
                          <a:blip r:embed="rId42"/>
                          <a:stretch>
                            <a:fillRect/>
                          </a:stretch>
                        </pic:blipFill>
                        <pic:spPr>
                          <a:xfrm>
                            <a:off x="0" y="0"/>
                            <a:ext cx="771525" cy="11741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3</w:t>
            </w:r>
            <w:r>
              <w:rPr>
                <w:rFonts w:hint="eastAsia"/>
                <w:lang w:val="zh-CN" w:eastAsia="zh-CN"/>
              </w:rPr>
              <w:t>7</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响板</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default"/>
                <w:lang w:val="zh-CN"/>
              </w:rPr>
            </w:pPr>
            <w:r>
              <w:rPr>
                <w:rFonts w:hint="default"/>
                <w:lang w:val="zh-CN" w:eastAsia="zh-CN"/>
              </w:rPr>
              <w:t>规格：6*6CM     材质：原木色</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对</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294640</wp:posOffset>
                  </wp:positionH>
                  <wp:positionV relativeFrom="paragraph">
                    <wp:posOffset>161290</wp:posOffset>
                  </wp:positionV>
                  <wp:extent cx="1047750" cy="848995"/>
                  <wp:effectExtent l="0" t="0" r="0" b="8255"/>
                  <wp:wrapNone/>
                  <wp:docPr id="235" name="图片_72"/>
                  <wp:cNvGraphicFramePr/>
                  <a:graphic xmlns:a="http://schemas.openxmlformats.org/drawingml/2006/main">
                    <a:graphicData uri="http://schemas.openxmlformats.org/drawingml/2006/picture">
                      <pic:pic xmlns:pic="http://schemas.openxmlformats.org/drawingml/2006/picture">
                        <pic:nvPicPr>
                          <pic:cNvPr id="235" name="图片_72"/>
                          <pic:cNvPicPr/>
                        </pic:nvPicPr>
                        <pic:blipFill>
                          <a:blip r:embed="rId43"/>
                          <a:stretch>
                            <a:fillRect/>
                          </a:stretch>
                        </pic:blipFill>
                        <pic:spPr>
                          <a:xfrm>
                            <a:off x="0" y="0"/>
                            <a:ext cx="1047750" cy="84899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38</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衣帽柜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规格：120*40*120CM                                                                        材质：采用优质橡木板材加工而成，不开裂、不易变形；采用优质净味清水漆利用现代化自动喷涂工艺喷涂而成，安全环保、无毒无味，凸显木材纹理，三底两面喷漆工艺。符合《国家玩具安全技术规范》的规定：其家具成品的甲醛释放量应符合《木家具中有害物质限量》的规定。</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294640</wp:posOffset>
                  </wp:positionH>
                  <wp:positionV relativeFrom="paragraph">
                    <wp:posOffset>172720</wp:posOffset>
                  </wp:positionV>
                  <wp:extent cx="1162685" cy="1078865"/>
                  <wp:effectExtent l="0" t="0" r="18415" b="6985"/>
                  <wp:wrapNone/>
                  <wp:docPr id="240" name="图片_71"/>
                  <wp:cNvGraphicFramePr/>
                  <a:graphic xmlns:a="http://schemas.openxmlformats.org/drawingml/2006/main">
                    <a:graphicData uri="http://schemas.openxmlformats.org/drawingml/2006/picture">
                      <pic:pic xmlns:pic="http://schemas.openxmlformats.org/drawingml/2006/picture">
                        <pic:nvPicPr>
                          <pic:cNvPr id="240" name="图片_71"/>
                          <pic:cNvPicPr/>
                        </pic:nvPicPr>
                        <pic:blipFill>
                          <a:blip r:embed="rId44"/>
                          <a:stretch>
                            <a:fillRect/>
                          </a:stretch>
                        </pic:blipFill>
                        <pic:spPr>
                          <a:xfrm>
                            <a:off x="0" y="0"/>
                            <a:ext cx="1162685" cy="107886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39</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幼儿鞋柜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规格：122*22*35cm </w:t>
            </w:r>
            <w:r>
              <w:rPr>
                <w:rFonts w:hint="default"/>
                <w:lang w:val="zh-CN" w:eastAsia="zh-CN"/>
              </w:rPr>
              <w:br w:type="textWrapping"/>
            </w:r>
            <w:r>
              <w:rPr>
                <w:rFonts w:hint="default"/>
                <w:lang w:val="zh-CN" w:eastAsia="zh-CN"/>
              </w:rPr>
              <w:t>材质：优质橡木，板材厚度1.5CM</w:t>
            </w:r>
            <w:r>
              <w:rPr>
                <w:rFonts w:hint="default"/>
                <w:lang w:val="zh-CN" w:eastAsia="zh-CN"/>
              </w:rPr>
              <w:br w:type="textWrapping"/>
            </w:r>
            <w:r>
              <w:rPr>
                <w:rFonts w:hint="default"/>
                <w:lang w:val="zh-CN" w:eastAsia="zh-CN"/>
              </w:rPr>
              <w:t>工艺：边缘抛圆处理，外表面和内表面以及儿童手指可触及的隐蔽处，均不得有锐利的棱角、毛刺以及小五金部件露出的锐利尖锐。</w:t>
            </w:r>
            <w:r>
              <w:rPr>
                <w:rFonts w:hint="default"/>
                <w:lang w:val="zh-CN" w:eastAsia="zh-CN"/>
              </w:rPr>
              <w:br w:type="textWrapping"/>
            </w:r>
            <w:r>
              <w:rPr>
                <w:rFonts w:hint="default"/>
                <w:lang w:val="zh-CN" w:eastAsia="zh-CN"/>
              </w:rPr>
              <w:t>油漆：环保型全哑光硝基清面漆</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104140</wp:posOffset>
                  </wp:positionH>
                  <wp:positionV relativeFrom="paragraph">
                    <wp:posOffset>154305</wp:posOffset>
                  </wp:positionV>
                  <wp:extent cx="1370965" cy="817245"/>
                  <wp:effectExtent l="0" t="0" r="635" b="1905"/>
                  <wp:wrapNone/>
                  <wp:docPr id="257" name="图片_70"/>
                  <wp:cNvGraphicFramePr/>
                  <a:graphic xmlns:a="http://schemas.openxmlformats.org/drawingml/2006/main">
                    <a:graphicData uri="http://schemas.openxmlformats.org/drawingml/2006/picture">
                      <pic:pic xmlns:pic="http://schemas.openxmlformats.org/drawingml/2006/picture">
                        <pic:nvPicPr>
                          <pic:cNvPr id="257" name="图片_70"/>
                          <pic:cNvPicPr/>
                        </pic:nvPicPr>
                        <pic:blipFill>
                          <a:blip r:embed="rId45"/>
                          <a:stretch>
                            <a:fillRect/>
                          </a:stretch>
                        </pic:blipFill>
                        <pic:spPr>
                          <a:xfrm>
                            <a:off x="0" y="0"/>
                            <a:ext cx="1370965" cy="8172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自然角柜</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规格：120*30*115cm </w:t>
            </w:r>
            <w:r>
              <w:rPr>
                <w:rFonts w:hint="default"/>
                <w:lang w:val="zh-CN" w:eastAsia="zh-CN"/>
              </w:rPr>
              <w:br w:type="textWrapping"/>
            </w:r>
            <w:r>
              <w:rPr>
                <w:rFonts w:hint="default"/>
                <w:lang w:val="zh-CN" w:eastAsia="zh-CN"/>
              </w:rPr>
              <w:t>材质为樟子松木。</w:t>
            </w:r>
            <w:r>
              <w:rPr>
                <w:rFonts w:hint="default"/>
                <w:lang w:val="zh-CN" w:eastAsia="zh-CN"/>
              </w:rPr>
              <w:br w:type="textWrapping"/>
            </w:r>
            <w:r>
              <w:rPr>
                <w:rFonts w:hint="default"/>
                <w:lang w:val="zh-CN" w:eastAsia="zh-CN"/>
              </w:rPr>
              <w:t>工艺：边缘抛圆处理，外表面和内表面以及儿童手指可触及的隐蔽处，均不得有锐利的棱角、毛刺以及小五金部件露出的锐利尖锐。</w:t>
            </w:r>
            <w:r>
              <w:rPr>
                <w:rFonts w:hint="default"/>
                <w:lang w:val="zh-CN" w:eastAsia="zh-CN"/>
              </w:rPr>
              <w:br w:type="textWrapping"/>
            </w:r>
            <w:r>
              <w:rPr>
                <w:rFonts w:hint="default"/>
                <w:lang w:val="zh-CN" w:eastAsia="zh-CN"/>
              </w:rPr>
              <w:t>油漆：环保型全哑光硝基清面漆</w:t>
            </w:r>
            <w:r>
              <w:rPr>
                <w:rFonts w:hint="eastAsia"/>
                <w:lang w:val="zh-CN"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509905</wp:posOffset>
                  </wp:positionH>
                  <wp:positionV relativeFrom="paragraph">
                    <wp:posOffset>64770</wp:posOffset>
                  </wp:positionV>
                  <wp:extent cx="907415" cy="902970"/>
                  <wp:effectExtent l="0" t="0" r="6985" b="11430"/>
                  <wp:wrapNone/>
                  <wp:docPr id="254" name="图片_50"/>
                  <wp:cNvGraphicFramePr/>
                  <a:graphic xmlns:a="http://schemas.openxmlformats.org/drawingml/2006/main">
                    <a:graphicData uri="http://schemas.openxmlformats.org/drawingml/2006/picture">
                      <pic:pic xmlns:pic="http://schemas.openxmlformats.org/drawingml/2006/picture">
                        <pic:nvPicPr>
                          <pic:cNvPr id="254" name="图片_50"/>
                          <pic:cNvPicPr/>
                        </pic:nvPicPr>
                        <pic:blipFill>
                          <a:blip r:embed="rId46"/>
                          <a:stretch>
                            <a:fillRect/>
                          </a:stretch>
                        </pic:blipFill>
                        <pic:spPr>
                          <a:xfrm>
                            <a:off x="0" y="0"/>
                            <a:ext cx="907415" cy="90297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双人脚踏车</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规格：110*55*65cm                                                                      材质：优质钢管、高级塑胶PP、铁等，汽车级烤漆，不掉色、不生锈，在双人共乘中，增进孩子动作协调与发展，让腿部肌肉更加结实。</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辆</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323215</wp:posOffset>
                  </wp:positionH>
                  <wp:positionV relativeFrom="paragraph">
                    <wp:posOffset>144145</wp:posOffset>
                  </wp:positionV>
                  <wp:extent cx="1104900" cy="913765"/>
                  <wp:effectExtent l="0" t="0" r="0" b="635"/>
                  <wp:wrapNone/>
                  <wp:docPr id="252" name="Picture_8_SpCnt_1"/>
                  <wp:cNvGraphicFramePr/>
                  <a:graphic xmlns:a="http://schemas.openxmlformats.org/drawingml/2006/main">
                    <a:graphicData uri="http://schemas.openxmlformats.org/drawingml/2006/picture">
                      <pic:pic xmlns:pic="http://schemas.openxmlformats.org/drawingml/2006/picture">
                        <pic:nvPicPr>
                          <pic:cNvPr id="252" name="Picture_8_SpCnt_1"/>
                          <pic:cNvPicPr/>
                        </pic:nvPicPr>
                        <pic:blipFill>
                          <a:blip r:embed="rId47"/>
                          <a:stretch>
                            <a:fillRect/>
                          </a:stretch>
                        </pic:blipFill>
                        <pic:spPr>
                          <a:xfrm>
                            <a:off x="0" y="0"/>
                            <a:ext cx="1104900" cy="91376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旋转六人脚踏车</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规格：直径120cm                                                                  材质：优质钢管、高级塑胶PP、铁等，汽车级烤漆，不掉色、不生锈，在多人共乘中，增进孩子动作协调与发展，让腿部肌肉更加结实。</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372745</wp:posOffset>
                  </wp:positionH>
                  <wp:positionV relativeFrom="paragraph">
                    <wp:posOffset>105410</wp:posOffset>
                  </wp:positionV>
                  <wp:extent cx="961390" cy="828040"/>
                  <wp:effectExtent l="0" t="0" r="10160" b="10160"/>
                  <wp:wrapNone/>
                  <wp:docPr id="242" name="图片_29"/>
                  <wp:cNvGraphicFramePr/>
                  <a:graphic xmlns:a="http://schemas.openxmlformats.org/drawingml/2006/main">
                    <a:graphicData uri="http://schemas.openxmlformats.org/drawingml/2006/picture">
                      <pic:pic xmlns:pic="http://schemas.openxmlformats.org/drawingml/2006/picture">
                        <pic:nvPicPr>
                          <pic:cNvPr id="242" name="图片_29"/>
                          <pic:cNvPicPr/>
                        </pic:nvPicPr>
                        <pic:blipFill>
                          <a:blip r:embed="rId48"/>
                          <a:stretch>
                            <a:fillRect/>
                          </a:stretch>
                        </pic:blipFill>
                        <pic:spPr>
                          <a:xfrm>
                            <a:off x="0" y="0"/>
                            <a:ext cx="961390" cy="828040"/>
                          </a:xfrm>
                          <a:prstGeom prst="rect">
                            <a:avLst/>
                          </a:prstGeom>
                          <a:noFill/>
                          <a:ln>
                            <a:noFill/>
                          </a:ln>
                        </pic:spPr>
                      </pic:pic>
                    </a:graphicData>
                  </a:graphic>
                </wp:anchor>
              </w:drawing>
            </w:r>
            <w:r>
              <w:rPr>
                <w:rFonts w:hint="default"/>
                <w:lang w:val="zh-CN" w:eastAsia="zh-CN"/>
              </w:rPr>
              <w:drawing>
                <wp:anchor distT="0" distB="0" distL="114300" distR="114300" simplePos="0" relativeHeight="251658240" behindDoc="0" locked="0" layoutInCell="1" allowOverlap="1">
                  <wp:simplePos x="0" y="0"/>
                  <wp:positionH relativeFrom="column">
                    <wp:posOffset>427990</wp:posOffset>
                  </wp:positionH>
                  <wp:positionV relativeFrom="paragraph">
                    <wp:posOffset>67310</wp:posOffset>
                  </wp:positionV>
                  <wp:extent cx="961390" cy="828040"/>
                  <wp:effectExtent l="0" t="0" r="10160" b="10160"/>
                  <wp:wrapNone/>
                  <wp:docPr id="247" name="图片_28"/>
                  <wp:cNvGraphicFramePr/>
                  <a:graphic xmlns:a="http://schemas.openxmlformats.org/drawingml/2006/main">
                    <a:graphicData uri="http://schemas.openxmlformats.org/drawingml/2006/picture">
                      <pic:pic xmlns:pic="http://schemas.openxmlformats.org/drawingml/2006/picture">
                        <pic:nvPicPr>
                          <pic:cNvPr id="247" name="图片_28"/>
                          <pic:cNvPicPr/>
                        </pic:nvPicPr>
                        <pic:blipFill>
                          <a:blip r:embed="rId48"/>
                          <a:stretch>
                            <a:fillRect/>
                          </a:stretch>
                        </pic:blipFill>
                        <pic:spPr>
                          <a:xfrm>
                            <a:off x="0" y="0"/>
                            <a:ext cx="961390" cy="8280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2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儿童滚铁环</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规格：直径38CM  杆长 60CM 直径约0.6CM  材质：铁质</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286385</wp:posOffset>
                  </wp:positionH>
                  <wp:positionV relativeFrom="paragraph">
                    <wp:posOffset>114935</wp:posOffset>
                  </wp:positionV>
                  <wp:extent cx="1086485" cy="1088390"/>
                  <wp:effectExtent l="0" t="0" r="18415" b="16510"/>
                  <wp:wrapNone/>
                  <wp:docPr id="245" name="图片_46"/>
                  <wp:cNvGraphicFramePr/>
                  <a:graphic xmlns:a="http://schemas.openxmlformats.org/drawingml/2006/main">
                    <a:graphicData uri="http://schemas.openxmlformats.org/drawingml/2006/picture">
                      <pic:pic xmlns:pic="http://schemas.openxmlformats.org/drawingml/2006/picture">
                        <pic:nvPicPr>
                          <pic:cNvPr id="245" name="图片_46"/>
                          <pic:cNvPicPr/>
                        </pic:nvPicPr>
                        <pic:blipFill>
                          <a:blip r:embed="rId49"/>
                          <a:stretch>
                            <a:fillRect/>
                          </a:stretch>
                        </pic:blipFill>
                        <pic:spPr>
                          <a:xfrm>
                            <a:off x="0" y="0"/>
                            <a:ext cx="1086485" cy="108839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9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蘑菇钉</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规格：3盒/套                                                                            材质：食品级环保工程塑料注塑成型，色彩鲜艳，安全环保、无毒无味，表面光滑无毛刺，符合国家儿童玩具安全标准</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247650</wp:posOffset>
                  </wp:positionH>
                  <wp:positionV relativeFrom="paragraph">
                    <wp:posOffset>87630</wp:posOffset>
                  </wp:positionV>
                  <wp:extent cx="1162050" cy="1067435"/>
                  <wp:effectExtent l="0" t="0" r="0" b="18415"/>
                  <wp:wrapNone/>
                  <wp:docPr id="255" name="图片_49_SpCnt_1"/>
                  <wp:cNvGraphicFramePr/>
                  <a:graphic xmlns:a="http://schemas.openxmlformats.org/drawingml/2006/main">
                    <a:graphicData uri="http://schemas.openxmlformats.org/drawingml/2006/picture">
                      <pic:pic xmlns:pic="http://schemas.openxmlformats.org/drawingml/2006/picture">
                        <pic:nvPicPr>
                          <pic:cNvPr id="255" name="图片_49_SpCnt_1"/>
                          <pic:cNvPicPr/>
                        </pic:nvPicPr>
                        <pic:blipFill>
                          <a:blip r:embed="rId50"/>
                          <a:stretch>
                            <a:fillRect/>
                          </a:stretch>
                        </pic:blipFill>
                        <pic:spPr>
                          <a:xfrm>
                            <a:off x="0" y="0"/>
                            <a:ext cx="1162050" cy="10674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建构积木</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规格：398件                                                                                   材质：优质樟子松采用净味环保清水漆加工而成，安全环保、无毒无味，表面光滑无毛刺。</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314960</wp:posOffset>
                  </wp:positionH>
                  <wp:positionV relativeFrom="paragraph">
                    <wp:posOffset>141605</wp:posOffset>
                  </wp:positionV>
                  <wp:extent cx="1115695" cy="858520"/>
                  <wp:effectExtent l="0" t="0" r="8255" b="17780"/>
                  <wp:wrapNone/>
                  <wp:docPr id="248" name="Picture_1"/>
                  <wp:cNvGraphicFramePr/>
                  <a:graphic xmlns:a="http://schemas.openxmlformats.org/drawingml/2006/main">
                    <a:graphicData uri="http://schemas.openxmlformats.org/drawingml/2006/picture">
                      <pic:pic xmlns:pic="http://schemas.openxmlformats.org/drawingml/2006/picture">
                        <pic:nvPicPr>
                          <pic:cNvPr id="248" name="Picture_1"/>
                          <pic:cNvPicPr/>
                        </pic:nvPicPr>
                        <pic:blipFill>
                          <a:blip r:embed="rId51"/>
                          <a:stretch>
                            <a:fillRect/>
                          </a:stretch>
                        </pic:blipFill>
                        <pic:spPr>
                          <a:xfrm>
                            <a:off x="0" y="0"/>
                            <a:ext cx="1115695" cy="85852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6</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区角医院玩教具</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规格：120*130*140CM </w:t>
            </w:r>
            <w:r>
              <w:rPr>
                <w:rFonts w:hint="default"/>
                <w:lang w:val="zh-CN" w:eastAsia="zh-CN"/>
              </w:rPr>
              <w:br w:type="textWrapping"/>
            </w:r>
            <w:r>
              <w:rPr>
                <w:rFonts w:hint="default"/>
                <w:lang w:val="zh-CN" w:eastAsia="zh-CN"/>
              </w:rPr>
              <w:t>材质：全新食品级工程塑料生产，上面字体雕刻在塑料模板上，永不褪色， 窗户和墙体之间可以调节变化颜色 ，门和窗子好转动， 吹塑工艺，抗紫外线，防静电，配小圆凳，可以培养孩子乐趣，发展孩子的想象力。</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323215</wp:posOffset>
                  </wp:positionH>
                  <wp:positionV relativeFrom="paragraph">
                    <wp:posOffset>133985</wp:posOffset>
                  </wp:positionV>
                  <wp:extent cx="1019175" cy="1019175"/>
                  <wp:effectExtent l="0" t="0" r="9525" b="9525"/>
                  <wp:wrapNone/>
                  <wp:docPr id="251" name="图片_51_SpCnt_1"/>
                  <wp:cNvGraphicFramePr/>
                  <a:graphic xmlns:a="http://schemas.openxmlformats.org/drawingml/2006/main">
                    <a:graphicData uri="http://schemas.openxmlformats.org/drawingml/2006/picture">
                      <pic:pic xmlns:pic="http://schemas.openxmlformats.org/drawingml/2006/picture">
                        <pic:nvPicPr>
                          <pic:cNvPr id="251" name="图片_51_SpCnt_1"/>
                          <pic:cNvPicPr/>
                        </pic:nvPicPr>
                        <pic:blipFill>
                          <a:blip r:embed="rId52"/>
                          <a:stretch>
                            <a:fillRect/>
                          </a:stretch>
                        </pic:blipFill>
                        <pic:spPr>
                          <a:xfrm>
                            <a:off x="0" y="0"/>
                            <a:ext cx="1019175" cy="101917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4</w:t>
            </w:r>
            <w:r>
              <w:rPr>
                <w:rFonts w:hint="eastAsia"/>
                <w:lang w:val="zh-CN" w:eastAsia="zh-CN"/>
              </w:rPr>
              <w:t>7</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区角超市玩教具</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规格：120*130*140CM </w:t>
            </w:r>
            <w:r>
              <w:rPr>
                <w:rFonts w:hint="default"/>
                <w:lang w:val="zh-CN" w:eastAsia="zh-CN"/>
              </w:rPr>
              <w:br w:type="textWrapping"/>
            </w:r>
            <w:r>
              <w:rPr>
                <w:rFonts w:hint="default"/>
                <w:lang w:val="zh-CN" w:eastAsia="zh-CN"/>
              </w:rPr>
              <w:t>材质：全新食品级工程塑料生产，上面字体雕刻在塑料模板上，永不褪色， 窗户和墙体之间可以调节变化颜色 ，门和窗子好转动， 吹塑工艺，抗紫外线，防静电，配小圆凳，可以培养孩子乐趣，发展孩子的想象力。</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161290</wp:posOffset>
                  </wp:positionV>
                  <wp:extent cx="1076325" cy="1083945"/>
                  <wp:effectExtent l="0" t="0" r="9525" b="1905"/>
                  <wp:wrapNone/>
                  <wp:docPr id="270" name="图片_50_SpCnt_1"/>
                  <wp:cNvGraphicFramePr/>
                  <a:graphic xmlns:a="http://schemas.openxmlformats.org/drawingml/2006/main">
                    <a:graphicData uri="http://schemas.openxmlformats.org/drawingml/2006/picture">
                      <pic:pic xmlns:pic="http://schemas.openxmlformats.org/drawingml/2006/picture">
                        <pic:nvPicPr>
                          <pic:cNvPr id="270" name="图片_50_SpCnt_1"/>
                          <pic:cNvPicPr/>
                        </pic:nvPicPr>
                        <pic:blipFill>
                          <a:blip r:embed="rId53"/>
                          <a:stretch>
                            <a:fillRect/>
                          </a:stretch>
                        </pic:blipFill>
                        <pic:spPr>
                          <a:xfrm>
                            <a:off x="0" y="0"/>
                            <a:ext cx="1076325" cy="10839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48</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区角厨房玩教具</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 xml:space="preserve">规格：120*130*140CM </w:t>
            </w:r>
            <w:r>
              <w:rPr>
                <w:rFonts w:hint="default"/>
                <w:lang w:val="zh-CN" w:eastAsia="zh-CN"/>
              </w:rPr>
              <w:br w:type="textWrapping"/>
            </w:r>
            <w:r>
              <w:rPr>
                <w:rFonts w:hint="default"/>
                <w:lang w:val="zh-CN" w:eastAsia="zh-CN"/>
              </w:rPr>
              <w:t>材质：全新食品级工程塑料生产，上面字体雕刻在塑料模板上，永不褪色， 窗户和墙体之间可以调节变化颜色 ，门和窗子好转动， 吹塑工艺，抗紫外线，防静电，配小圆凳，可以培养孩子乐趣，发展孩子的想象力。</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套</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343535</wp:posOffset>
                  </wp:positionH>
                  <wp:positionV relativeFrom="paragraph">
                    <wp:posOffset>123825</wp:posOffset>
                  </wp:positionV>
                  <wp:extent cx="1076960" cy="1096645"/>
                  <wp:effectExtent l="0" t="0" r="8890" b="8255"/>
                  <wp:wrapNone/>
                  <wp:docPr id="261" name="图片_52_SpCnt_1"/>
                  <wp:cNvGraphicFramePr/>
                  <a:graphic xmlns:a="http://schemas.openxmlformats.org/drawingml/2006/main">
                    <a:graphicData uri="http://schemas.openxmlformats.org/drawingml/2006/picture">
                      <pic:pic xmlns:pic="http://schemas.openxmlformats.org/drawingml/2006/picture">
                        <pic:nvPicPr>
                          <pic:cNvPr id="261" name="图片_52_SpCnt_1"/>
                          <pic:cNvPicPr/>
                        </pic:nvPicPr>
                        <pic:blipFill>
                          <a:blip r:embed="rId54"/>
                          <a:stretch>
                            <a:fillRect/>
                          </a:stretch>
                        </pic:blipFill>
                        <pic:spPr>
                          <a:xfrm>
                            <a:off x="0" y="0"/>
                            <a:ext cx="1076960" cy="10966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6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ind w:left="0" w:leftChars="0" w:firstLine="0" w:firstLineChars="0"/>
              <w:rPr>
                <w:rFonts w:hint="default"/>
                <w:lang w:val="zh-CN" w:eastAsia="zh-CN"/>
              </w:rPr>
            </w:pPr>
            <w:r>
              <w:rPr>
                <w:rFonts w:hint="eastAsia"/>
                <w:lang w:val="zh-CN" w:eastAsia="zh-CN"/>
              </w:rPr>
              <w:t>49</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电钢琴</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键    盘：88键力度触感标准键盘</w:t>
            </w:r>
            <w:r>
              <w:rPr>
                <w:rFonts w:hint="default"/>
                <w:lang w:val="zh-CN" w:eastAsia="zh-CN"/>
              </w:rPr>
              <w:br w:type="textWrapping"/>
            </w:r>
            <w:r>
              <w:rPr>
                <w:rFonts w:hint="default"/>
                <w:lang w:val="zh-CN" w:eastAsia="zh-CN"/>
              </w:rPr>
              <w:t>显    示：多功能LED数码显示</w:t>
            </w:r>
            <w:r>
              <w:rPr>
                <w:rFonts w:hint="default"/>
                <w:lang w:val="zh-CN" w:eastAsia="zh-CN"/>
              </w:rPr>
              <w:br w:type="textWrapping"/>
            </w:r>
            <w:r>
              <w:rPr>
                <w:rFonts w:hint="default"/>
                <w:lang w:val="zh-CN" w:eastAsia="zh-CN"/>
              </w:rPr>
              <w:t>数 字 键：0-9，+/-，等12个通用选择钮</w:t>
            </w:r>
            <w:r>
              <w:rPr>
                <w:rFonts w:hint="default"/>
                <w:lang w:val="zh-CN" w:eastAsia="zh-CN"/>
              </w:rPr>
              <w:br w:type="textWrapping"/>
            </w:r>
            <w:r>
              <w:rPr>
                <w:rFonts w:hint="default"/>
                <w:lang w:val="zh-CN" w:eastAsia="zh-CN"/>
              </w:rPr>
              <w:t>复 音 数：32</w:t>
            </w:r>
            <w:r>
              <w:rPr>
                <w:rFonts w:hint="default"/>
                <w:lang w:val="zh-CN" w:eastAsia="zh-CN"/>
              </w:rPr>
              <w:br w:type="textWrapping"/>
            </w:r>
            <w:r>
              <w:rPr>
                <w:rFonts w:hint="default"/>
                <w:lang w:val="zh-CN" w:eastAsia="zh-CN"/>
              </w:rPr>
              <w:t>音    色：479种音色，包括128种GM标准PCM音色、19种民族音色、</w:t>
            </w:r>
            <w:r>
              <w:rPr>
                <w:rFonts w:hint="default"/>
                <w:lang w:val="zh-CN" w:eastAsia="zh-CN"/>
              </w:rPr>
              <w:br w:type="textWrapping"/>
            </w:r>
            <w:r>
              <w:rPr>
                <w:rFonts w:hint="default"/>
                <w:lang w:val="zh-CN" w:eastAsia="zh-CN"/>
              </w:rPr>
              <w:t>12组键盘打击乐音色（包括1组民族打击乐和1组效果音色）</w:t>
            </w:r>
            <w:r>
              <w:rPr>
                <w:rFonts w:hint="default"/>
                <w:lang w:val="zh-CN" w:eastAsia="zh-CN"/>
              </w:rPr>
              <w:br w:type="textWrapping"/>
            </w:r>
            <w:r>
              <w:rPr>
                <w:rFonts w:hint="default"/>
                <w:lang w:val="zh-CN" w:eastAsia="zh-CN"/>
              </w:rPr>
              <w:t>音色控制：延音，微调，力度</w:t>
            </w:r>
            <w:r>
              <w:rPr>
                <w:rFonts w:hint="default"/>
                <w:lang w:val="zh-CN" w:eastAsia="zh-CN"/>
              </w:rPr>
              <w:br w:type="textWrapping"/>
            </w:r>
            <w:r>
              <w:rPr>
                <w:rFonts w:hint="eastAsia"/>
                <w:lang w:val="zh-CN" w:eastAsia="zh-CN"/>
              </w:rPr>
              <w:t>★</w:t>
            </w:r>
            <w:r>
              <w:rPr>
                <w:rFonts w:hint="default"/>
                <w:lang w:val="zh-CN" w:eastAsia="zh-CN"/>
              </w:rPr>
              <w:t>效    果：8种混响类型，混响深度调节，混响开关；</w:t>
            </w:r>
            <w:r>
              <w:rPr>
                <w:rFonts w:hint="default"/>
                <w:lang w:val="zh-CN" w:eastAsia="zh-CN"/>
              </w:rPr>
              <w:br w:type="textWrapping"/>
            </w:r>
            <w:r>
              <w:rPr>
                <w:rFonts w:hint="default"/>
                <w:lang w:val="zh-CN" w:eastAsia="zh-CN"/>
              </w:rPr>
              <w:t xml:space="preserve">          8种合唱类型，合唱深度调节，合唱开关</w:t>
            </w:r>
            <w:r>
              <w:rPr>
                <w:rFonts w:hint="default"/>
                <w:lang w:val="zh-CN" w:eastAsia="zh-CN"/>
              </w:rPr>
              <w:br w:type="textWrapping"/>
            </w:r>
            <w:r>
              <w:rPr>
                <w:rFonts w:hint="default"/>
                <w:lang w:val="zh-CN" w:eastAsia="zh-CN"/>
              </w:rPr>
              <w:t>节    奏：203种节奏风格，包括11种民族节奏</w:t>
            </w:r>
            <w:r>
              <w:rPr>
                <w:rFonts w:hint="default"/>
                <w:lang w:val="zh-CN" w:eastAsia="zh-CN"/>
              </w:rPr>
              <w:br w:type="textWrapping"/>
            </w:r>
            <w:r>
              <w:rPr>
                <w:rFonts w:hint="default"/>
                <w:lang w:val="zh-CN" w:eastAsia="zh-CN"/>
              </w:rPr>
              <w:t>伴奏控制：同步，启动/停止，前奏/尾奏，间奏，伴奏音量，伴奏速度</w:t>
            </w:r>
            <w:r>
              <w:rPr>
                <w:rFonts w:hint="default"/>
                <w:lang w:val="zh-CN" w:eastAsia="zh-CN"/>
              </w:rPr>
              <w:br w:type="textWrapping"/>
            </w:r>
            <w:r>
              <w:rPr>
                <w:rFonts w:hint="default"/>
                <w:lang w:val="zh-CN" w:eastAsia="zh-CN"/>
              </w:rPr>
              <w:t>键盘控制：正常，单指和弦，多指和弦，键盘分离</w:t>
            </w:r>
            <w:r>
              <w:rPr>
                <w:rFonts w:hint="default"/>
                <w:lang w:val="zh-CN" w:eastAsia="zh-CN"/>
              </w:rPr>
              <w:br w:type="textWrapping"/>
            </w:r>
            <w:r>
              <w:rPr>
                <w:rFonts w:hint="eastAsia"/>
                <w:lang w:val="zh-CN" w:eastAsia="zh-CN"/>
              </w:rPr>
              <w:t>★</w:t>
            </w:r>
            <w:r>
              <w:rPr>
                <w:rFonts w:hint="default"/>
                <w:lang w:val="zh-CN" w:eastAsia="zh-CN"/>
              </w:rPr>
              <w:t>示 范 曲：85首(含80首中、小学音乐教育学习歌曲)</w:t>
            </w:r>
            <w:r>
              <w:rPr>
                <w:rFonts w:hint="default"/>
                <w:lang w:val="zh-CN" w:eastAsia="zh-CN"/>
              </w:rPr>
              <w:br w:type="textWrapping"/>
            </w:r>
            <w:r>
              <w:rPr>
                <w:rFonts w:hint="default"/>
                <w:lang w:val="zh-CN" w:eastAsia="zh-CN"/>
              </w:rPr>
              <w:t>播放学习歌曲时可选择隐去旋律部分或伴奏部分进行演奏练习</w:t>
            </w:r>
            <w:r>
              <w:rPr>
                <w:rFonts w:hint="default"/>
                <w:lang w:val="zh-CN" w:eastAsia="zh-CN"/>
              </w:rPr>
              <w:br w:type="textWrapping"/>
            </w:r>
            <w:r>
              <w:rPr>
                <w:rFonts w:hint="eastAsia"/>
                <w:lang w:val="zh-CN" w:eastAsia="zh-CN"/>
              </w:rPr>
              <w:t>★</w:t>
            </w:r>
            <w:r>
              <w:rPr>
                <w:rFonts w:hint="default"/>
                <w:lang w:val="zh-CN" w:eastAsia="zh-CN"/>
              </w:rPr>
              <w:t>录音功能：录音、放音、断电保存</w:t>
            </w:r>
            <w:r>
              <w:rPr>
                <w:rFonts w:hint="default"/>
                <w:lang w:val="zh-CN" w:eastAsia="zh-CN"/>
              </w:rPr>
              <w:br w:type="textWrapping"/>
            </w:r>
            <w:r>
              <w:rPr>
                <w:rFonts w:hint="default"/>
                <w:lang w:val="zh-CN" w:eastAsia="zh-CN"/>
              </w:rPr>
              <w:t>记忆存储：4x4组面板设置存储</w:t>
            </w:r>
            <w:r>
              <w:rPr>
                <w:rFonts w:hint="default"/>
                <w:lang w:val="zh-CN" w:eastAsia="zh-CN"/>
              </w:rPr>
              <w:br w:type="textWrapping"/>
            </w:r>
            <w:r>
              <w:rPr>
                <w:rFonts w:hint="default"/>
                <w:lang w:val="zh-CN" w:eastAsia="zh-CN"/>
              </w:rPr>
              <w:t>接    口：电源，耳机，踏板，线路输出，MIDI输出</w:t>
            </w:r>
            <w:r>
              <w:rPr>
                <w:rFonts w:hint="default"/>
                <w:lang w:val="zh-CN" w:eastAsia="zh-CN"/>
              </w:rPr>
              <w:br w:type="textWrapping"/>
            </w:r>
            <w:r>
              <w:rPr>
                <w:rFonts w:hint="default"/>
                <w:lang w:val="zh-CN" w:eastAsia="zh-CN"/>
              </w:rPr>
              <w:t>喇    叭：YD120- 15： 10W *4Ω*2</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台</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323215</wp:posOffset>
                  </wp:positionH>
                  <wp:positionV relativeFrom="paragraph">
                    <wp:posOffset>850900</wp:posOffset>
                  </wp:positionV>
                  <wp:extent cx="1224280" cy="916305"/>
                  <wp:effectExtent l="0" t="0" r="13970" b="17145"/>
                  <wp:wrapNone/>
                  <wp:docPr id="220" name="图片_5_SpCnt_2"/>
                  <wp:cNvGraphicFramePr/>
                  <a:graphic xmlns:a="http://schemas.openxmlformats.org/drawingml/2006/main">
                    <a:graphicData uri="http://schemas.openxmlformats.org/drawingml/2006/picture">
                      <pic:pic xmlns:pic="http://schemas.openxmlformats.org/drawingml/2006/picture">
                        <pic:nvPicPr>
                          <pic:cNvPr id="220" name="图片_5_SpCnt_2"/>
                          <pic:cNvPicPr/>
                        </pic:nvPicPr>
                        <pic:blipFill>
                          <a:blip r:embed="rId55"/>
                          <a:stretch>
                            <a:fillRect/>
                          </a:stretch>
                        </pic:blipFill>
                        <pic:spPr>
                          <a:xfrm>
                            <a:off x="0" y="0"/>
                            <a:ext cx="1224280" cy="9163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t>5</w:t>
            </w:r>
            <w:r>
              <w:rPr>
                <w:rFonts w:hint="eastAsia"/>
                <w:lang w:val="zh-CN" w:eastAsia="zh-CN"/>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体育器材柜（室外）</w:t>
            </w:r>
          </w:p>
        </w:tc>
        <w:tc>
          <w:tcPr>
            <w:tcW w:w="4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规格：645*85*105cm                                                                 材质：环保工程塑料百变管道拼接而成，安全环保、无毒无味.</w:t>
            </w:r>
          </w:p>
        </w:tc>
        <w:tc>
          <w:tcPr>
            <w:tcW w:w="5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组</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2"/>
              <w:ind w:left="0" w:leftChars="0" w:firstLine="0" w:firstLineChars="0"/>
              <w:rPr>
                <w:rFonts w:hint="default"/>
                <w:lang w:val="zh-CN"/>
              </w:rPr>
            </w:pPr>
            <w:r>
              <w:rPr>
                <w:rFonts w:hint="default"/>
                <w:lang w:val="zh-CN"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rPr>
                <w:rFonts w:hint="default"/>
                <w:lang w:val="zh-CN"/>
              </w:rPr>
            </w:pPr>
            <w:r>
              <w:rPr>
                <w:rFonts w:hint="default"/>
                <w:lang w:val="zh-CN" w:eastAsia="zh-CN"/>
              </w:rPr>
              <w:drawing>
                <wp:anchor distT="0" distB="0" distL="114300" distR="114300" simplePos="0" relativeHeight="251658240" behindDoc="0" locked="0" layoutInCell="1" allowOverlap="1">
                  <wp:simplePos x="0" y="0"/>
                  <wp:positionH relativeFrom="column">
                    <wp:posOffset>132715</wp:posOffset>
                  </wp:positionH>
                  <wp:positionV relativeFrom="paragraph">
                    <wp:posOffset>42545</wp:posOffset>
                  </wp:positionV>
                  <wp:extent cx="1454785" cy="1153795"/>
                  <wp:effectExtent l="0" t="0" r="12065" b="8255"/>
                  <wp:wrapNone/>
                  <wp:docPr id="249" name="Picture_7"/>
                  <wp:cNvGraphicFramePr/>
                  <a:graphic xmlns:a="http://schemas.openxmlformats.org/drawingml/2006/main">
                    <a:graphicData uri="http://schemas.openxmlformats.org/drawingml/2006/picture">
                      <pic:pic xmlns:pic="http://schemas.openxmlformats.org/drawingml/2006/picture">
                        <pic:nvPicPr>
                          <pic:cNvPr id="249" name="Picture_7"/>
                          <pic:cNvPicPr/>
                        </pic:nvPicPr>
                        <pic:blipFill>
                          <a:blip r:embed="rId56"/>
                          <a:stretch>
                            <a:fillRect/>
                          </a:stretch>
                        </pic:blipFill>
                        <pic:spPr>
                          <a:xfrm>
                            <a:off x="0" y="0"/>
                            <a:ext cx="1454785" cy="1153795"/>
                          </a:xfrm>
                          <a:prstGeom prst="rect">
                            <a:avLst/>
                          </a:prstGeom>
                          <a:noFill/>
                          <a:ln>
                            <a:noFill/>
                          </a:ln>
                        </pic:spPr>
                      </pic:pic>
                    </a:graphicData>
                  </a:graphic>
                </wp:anchor>
              </w:drawing>
            </w:r>
          </w:p>
        </w:tc>
      </w:tr>
    </w:tbl>
    <w:p>
      <w:pPr>
        <w:pStyle w:val="2"/>
        <w:rPr>
          <w:lang w:val="zh-CN"/>
        </w:rPr>
      </w:pPr>
    </w:p>
    <w:p>
      <w:pPr>
        <w:spacing w:line="360" w:lineRule="auto"/>
        <w:contextualSpacing/>
        <w:rPr>
          <w:rFonts w:cs="微软雅黑" w:asciiTheme="minorEastAsia" w:hAnsiTheme="minorEastAsia"/>
          <w:b/>
          <w:color w:val="FF0000"/>
          <w:sz w:val="24"/>
          <w:szCs w:val="24"/>
        </w:rPr>
      </w:pPr>
      <w:r>
        <w:rPr>
          <w:rFonts w:hint="eastAsia" w:cs="微软雅黑" w:asciiTheme="minorEastAsia" w:hAnsiTheme="minorEastAsia"/>
          <w:b/>
          <w:color w:val="FF0000"/>
          <w:sz w:val="24"/>
          <w:szCs w:val="24"/>
        </w:rPr>
        <w:t>本采购清单中所列技术规格或主要参数为最低要求，不允许负偏离，否则为无效响应。</w:t>
      </w:r>
    </w:p>
    <w:p>
      <w:pPr>
        <w:spacing w:line="360" w:lineRule="auto"/>
        <w:ind w:firstLine="482" w:firstLineChars="200"/>
        <w:contextualSpacing/>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三、采购标的执行标准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1、国家标准：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cs="仿宋_GB2312" w:asciiTheme="minorEastAsia" w:hAnsiTheme="minorEastAsia"/>
          <w:sz w:val="24"/>
          <w:szCs w:val="24"/>
          <w:lang w:val="zh-CN"/>
        </w:rPr>
        <w:t>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并在有效期内的产品，应在响应文件中提供“所投产品符合国家强制性要求承诺函”并加盖供应商公章，否则将承担其响应被视为非实质性响应的风险。</w:t>
      </w:r>
    </w:p>
    <w:p>
      <w:pPr>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cs="宋体" w:asciiTheme="minorEastAsia" w:hAnsiTheme="minorEastAsia"/>
          <w:kern w:val="0"/>
          <w:sz w:val="24"/>
          <w:szCs w:val="24"/>
        </w:rPr>
        <w:t>信息安全产品强制性</w:t>
      </w:r>
      <w:r>
        <w:rPr>
          <w:rFonts w:hint="eastAsia" w:cs="宋体" w:asciiTheme="minorEastAsia" w:hAnsiTheme="minorEastAsia"/>
          <w:kern w:val="0"/>
          <w:sz w:val="24"/>
          <w:szCs w:val="24"/>
        </w:rPr>
        <w:t>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w:t>
      </w:r>
      <w:r>
        <w:rPr>
          <w:rFonts w:hint="eastAsia" w:cs="宋体" w:asciiTheme="minorEastAsia" w:hAnsiTheme="minorEastAsia"/>
          <w:kern w:val="0"/>
          <w:sz w:val="24"/>
          <w:szCs w:val="24"/>
        </w:rPr>
        <w:t>属于</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并须在响应文件中提供：</w:t>
      </w:r>
    </w:p>
    <w:p>
      <w:pPr>
        <w:wordWrap w:val="0"/>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①</w:t>
      </w:r>
      <w:r>
        <w:rPr>
          <w:rFonts w:hint="eastAsia" w:cs="仿宋_GB2312" w:asciiTheme="minorEastAsia" w:hAnsiTheme="minorEastAsia"/>
          <w:sz w:val="24"/>
          <w:szCs w:val="24"/>
          <w:lang w:val="zh-CN"/>
        </w:rPr>
        <w:t>中国信息安全认证中心官网</w:t>
      </w:r>
      <w:r>
        <w:rPr>
          <w:rFonts w:hint="eastAsia" w:cs="仿宋_GB2312" w:asciiTheme="minorEastAsia" w:hAnsiTheme="minorEastAsia"/>
          <w:sz w:val="24"/>
          <w:szCs w:val="24"/>
        </w:rPr>
        <w:t>（</w:t>
      </w:r>
      <w:r>
        <w:rPr>
          <w:rFonts w:cs="仿宋_GB2312" w:asciiTheme="minorEastAsia" w:hAnsiTheme="minorEastAsia"/>
          <w:sz w:val="24"/>
          <w:szCs w:val="24"/>
        </w:rPr>
        <w:t>http://www.isccc.gov.cn/index.shtml</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产品查询结果截图并加盖供应商公章</w:t>
      </w:r>
      <w:r>
        <w:rPr>
          <w:rFonts w:hint="eastAsia" w:cs="仿宋_GB2312" w:asciiTheme="minorEastAsia" w:hAnsiTheme="minorEastAsia"/>
          <w:sz w:val="24"/>
          <w:szCs w:val="24"/>
        </w:rPr>
        <w:t>；</w:t>
      </w:r>
    </w:p>
    <w:p>
      <w:pPr>
        <w:wordWrap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②中国信息安全认证中心颁发的</w:t>
      </w:r>
      <w:r>
        <w:rPr>
          <w:rFonts w:cs="仿宋_GB2312" w:asciiTheme="minorEastAsia" w:hAnsiTheme="minorEastAsia"/>
          <w:sz w:val="24"/>
          <w:szCs w:val="24"/>
          <w:lang w:val="zh-CN"/>
        </w:rPr>
        <w:t>《</w:t>
      </w:r>
      <w:r>
        <w:fldChar w:fldCharType="begin"/>
      </w:r>
      <w:r>
        <w:instrText xml:space="preserve"> HYPERLINK "http://www.cnca.gov.cn/cnca/zwxx/ggxx/images/2010/07/19/A6C32D2A507AC2A38326896013A67542.doc" \t "_blank" </w:instrText>
      </w:r>
      <w:r>
        <w:fldChar w:fldCharType="separate"/>
      </w:r>
      <w:r>
        <w:rPr>
          <w:rFonts w:hint="eastAsia" w:cs="仿宋_GB2312" w:asciiTheme="minorEastAsia" w:hAnsiTheme="minorEastAsia"/>
          <w:sz w:val="24"/>
          <w:szCs w:val="24"/>
          <w:lang w:val="zh-CN"/>
        </w:rPr>
        <w:t>中国国家信息安全产品认证证书</w:t>
      </w:r>
      <w:r>
        <w:rPr>
          <w:rFonts w:hint="eastAsia" w:cs="仿宋_GB2312" w:asciiTheme="minorEastAsia" w:hAnsiTheme="minorEastAsia"/>
          <w:sz w:val="24"/>
          <w:szCs w:val="24"/>
          <w:lang w:val="zh-CN"/>
        </w:rPr>
        <w:fldChar w:fldCharType="end"/>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的原件扫描件（或图片）并加盖供应商公章。</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spacing w:line="360" w:lineRule="auto"/>
        <w:ind w:left="420" w:leftChars="200"/>
        <w:contextualSpacing/>
        <w:rPr>
          <w:rFonts w:cs="宋体" w:asciiTheme="minorEastAsia" w:hAnsiTheme="minorEastAsia"/>
          <w:b/>
          <w:color w:val="000000"/>
          <w:kern w:val="0"/>
          <w:sz w:val="24"/>
          <w:szCs w:val="24"/>
          <w:lang w:val="zh-CN"/>
        </w:rPr>
      </w:pPr>
      <w:r>
        <w:rPr>
          <w:rFonts w:hint="eastAsia" w:cs="宋体" w:asciiTheme="minorEastAsia" w:hAnsiTheme="minorEastAsia"/>
          <w:b/>
          <w:color w:val="000000"/>
          <w:kern w:val="0"/>
          <w:sz w:val="24"/>
          <w:szCs w:val="24"/>
          <w:lang w:val="zh-CN"/>
        </w:rPr>
        <w:t>四、服务标准、期限、效率等要求：</w:t>
      </w:r>
    </w:p>
    <w:p>
      <w:pPr>
        <w:spacing w:line="360" w:lineRule="auto"/>
        <w:ind w:left="420" w:left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1、质保期要求：本项目的质量保证期不低于行业标准（自验收合格之日起算）。</w:t>
      </w:r>
    </w:p>
    <w:p>
      <w:pPr>
        <w:spacing w:line="360" w:lineRule="auto"/>
        <w:ind w:left="420" w:left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2、服务要求：质保期内，所有货物保维修服务方式均为投标人上门服务，</w:t>
      </w:r>
      <w:r>
        <w:rPr>
          <w:rFonts w:hint="eastAsia" w:cs="仿宋_GB2312" w:asciiTheme="minorEastAsia" w:hAnsiTheme="minorEastAsia"/>
          <w:sz w:val="24"/>
          <w:szCs w:val="24"/>
          <w:lang w:val="zh-CN" w:eastAsia="zh-CN"/>
        </w:rPr>
        <w:t>质保期内出现故障或质量问题，供货方在接到通知后1小时进行响应，4小时到达，24小时内处理问题，</w:t>
      </w:r>
      <w:r>
        <w:rPr>
          <w:rFonts w:hint="eastAsia" w:cs="仿宋_GB2312" w:asciiTheme="minorEastAsia" w:hAnsiTheme="minorEastAsia"/>
          <w:sz w:val="24"/>
          <w:szCs w:val="24"/>
          <w:lang w:val="zh-CN"/>
        </w:rPr>
        <w:t>由此产生的一切费用均由</w:t>
      </w:r>
      <w:r>
        <w:rPr>
          <w:rFonts w:hint="eastAsia" w:cs="仿宋_GB2312" w:asciiTheme="minorEastAsia" w:hAnsiTheme="minorEastAsia"/>
          <w:sz w:val="24"/>
          <w:szCs w:val="24"/>
          <w:lang w:val="zh-CN" w:eastAsia="zh-CN"/>
        </w:rPr>
        <w:t>供货方</w:t>
      </w:r>
      <w:r>
        <w:rPr>
          <w:rFonts w:hint="eastAsia" w:cs="仿宋_GB2312" w:asciiTheme="minorEastAsia" w:hAnsiTheme="minorEastAsia"/>
          <w:sz w:val="24"/>
          <w:szCs w:val="24"/>
          <w:lang w:val="zh-CN"/>
        </w:rPr>
        <w:t>承担。在质保期结束后，投标人应提供终身维修服务，发生的相关费用由采购人承担。</w:t>
      </w:r>
    </w:p>
    <w:p>
      <w:pPr>
        <w:spacing w:line="360" w:lineRule="auto"/>
        <w:ind w:left="420" w:leftChars="200"/>
        <w:contextualSpacing/>
        <w:rPr>
          <w:rFonts w:hint="eastAsia" w:cs="仿宋_GB2312" w:asciiTheme="minorEastAsia" w:hAnsiTheme="minorEastAsia"/>
          <w:sz w:val="24"/>
          <w:szCs w:val="24"/>
          <w:lang w:val="zh-CN" w:eastAsia="zh-CN"/>
        </w:rPr>
      </w:pPr>
      <w:r>
        <w:rPr>
          <w:rFonts w:hint="eastAsia" w:cs="仿宋_GB2312" w:asciiTheme="minorEastAsia" w:hAnsiTheme="minorEastAsia"/>
          <w:sz w:val="24"/>
          <w:szCs w:val="24"/>
          <w:lang w:val="zh-CN" w:eastAsia="zh-CN"/>
        </w:rPr>
        <w:t>3、投标商所投产品须符合国家环保要求。</w:t>
      </w:r>
    </w:p>
    <w:p>
      <w:pPr>
        <w:spacing w:line="360" w:lineRule="auto"/>
        <w:ind w:left="420" w:leftChars="200"/>
        <w:contextualSpacing/>
        <w:rPr>
          <w:rFonts w:hint="eastAsia" w:cs="仿宋_GB2312" w:asciiTheme="minorEastAsia" w:hAnsiTheme="minorEastAsia"/>
          <w:sz w:val="24"/>
          <w:szCs w:val="24"/>
          <w:lang w:val="zh-CN" w:eastAsia="zh-CN"/>
        </w:rPr>
      </w:pPr>
      <w:r>
        <w:rPr>
          <w:rFonts w:hint="eastAsia" w:cs="仿宋_GB2312" w:asciiTheme="minorEastAsia" w:hAnsiTheme="minorEastAsia"/>
          <w:sz w:val="24"/>
          <w:szCs w:val="24"/>
          <w:lang w:val="zh-CN" w:eastAsia="zh-CN"/>
        </w:rPr>
        <w:t>4、</w:t>
      </w:r>
      <w:r>
        <w:rPr>
          <w:rFonts w:hint="eastAsia" w:cs="仿宋_GB2312" w:asciiTheme="minorEastAsia" w:hAnsiTheme="minorEastAsia"/>
          <w:sz w:val="24"/>
          <w:szCs w:val="24"/>
          <w:lang w:val="zh-CN"/>
        </w:rPr>
        <w:t>中标企业于中标后第三日上午09:00向禹州市教育体育局提供谈判文件中所有资质原件，不符合或不能提供的，取消其中标资格</w:t>
      </w:r>
      <w:r>
        <w:rPr>
          <w:rFonts w:hint="eastAsia" w:cs="仿宋_GB2312" w:asciiTheme="minorEastAsia" w:hAnsiTheme="minorEastAsia"/>
          <w:sz w:val="24"/>
          <w:szCs w:val="24"/>
          <w:lang w:val="zh-CN" w:eastAsia="zh-CN"/>
        </w:rPr>
        <w:t>。</w:t>
      </w:r>
    </w:p>
    <w:p>
      <w:pPr>
        <w:spacing w:line="360" w:lineRule="auto"/>
        <w:ind w:left="420" w:left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en-US" w:eastAsia="zh-CN"/>
        </w:rPr>
        <w:t>5</w:t>
      </w:r>
      <w:r>
        <w:rPr>
          <w:rFonts w:hint="eastAsia" w:cs="仿宋_GB2312" w:asciiTheme="minorEastAsia" w:hAnsiTheme="minorEastAsia"/>
          <w:sz w:val="24"/>
          <w:szCs w:val="24"/>
          <w:lang w:val="zh-CN"/>
        </w:rPr>
        <w:t>、本项目所购货物供应商应安装到招标单位指定单位；</w:t>
      </w:r>
    </w:p>
    <w:p>
      <w:pPr>
        <w:spacing w:line="360" w:lineRule="auto"/>
        <w:ind w:left="420" w:left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en-US" w:eastAsia="zh-CN"/>
        </w:rPr>
        <w:t>6</w:t>
      </w:r>
      <w:r>
        <w:rPr>
          <w:rFonts w:hint="eastAsia" w:cs="仿宋_GB2312" w:asciiTheme="minorEastAsia" w:hAnsiTheme="minorEastAsia"/>
          <w:sz w:val="24"/>
          <w:szCs w:val="24"/>
          <w:lang w:val="zh-CN"/>
        </w:rPr>
        <w:t>、本项目要求供应商在</w:t>
      </w:r>
      <w:r>
        <w:rPr>
          <w:rFonts w:hint="eastAsia" w:cs="仿宋_GB2312" w:asciiTheme="minorEastAsia" w:hAnsiTheme="minorEastAsia"/>
          <w:sz w:val="24"/>
          <w:szCs w:val="24"/>
          <w:lang w:val="zh-CN" w:eastAsia="zh-CN"/>
        </w:rPr>
        <w:t>合同签订</w:t>
      </w:r>
      <w:r>
        <w:rPr>
          <w:rFonts w:hint="eastAsia" w:cs="仿宋_GB2312" w:asciiTheme="minorEastAsia" w:hAnsiTheme="minorEastAsia"/>
          <w:sz w:val="24"/>
          <w:szCs w:val="24"/>
          <w:lang w:val="zh-CN"/>
        </w:rPr>
        <w:t>后</w:t>
      </w:r>
      <w:r>
        <w:rPr>
          <w:rFonts w:hint="eastAsia" w:cs="仿宋_GB2312" w:asciiTheme="minorEastAsia" w:hAnsiTheme="minorEastAsia"/>
          <w:sz w:val="24"/>
          <w:szCs w:val="24"/>
          <w:lang w:val="zh-CN" w:eastAsia="zh-CN"/>
        </w:rPr>
        <w:t>7</w:t>
      </w:r>
      <w:r>
        <w:rPr>
          <w:rFonts w:hint="eastAsia" w:cs="仿宋_GB2312" w:asciiTheme="minorEastAsia" w:hAnsiTheme="minorEastAsia"/>
          <w:sz w:val="24"/>
          <w:szCs w:val="24"/>
          <w:lang w:val="zh-CN"/>
        </w:rPr>
        <w:t>日内供货安装完毕；</w:t>
      </w:r>
    </w:p>
    <w:p>
      <w:pPr>
        <w:pStyle w:val="2"/>
        <w:rPr>
          <w:lang w:val="zh-CN"/>
        </w:rPr>
      </w:pPr>
    </w:p>
    <w:p>
      <w:pPr>
        <w:widowControl/>
        <w:shd w:val="clear" w:color="auto" w:fill="FFFFFF"/>
        <w:spacing w:line="360" w:lineRule="auto"/>
        <w:ind w:firstLine="482" w:firstLineChars="200"/>
        <w:contextualSpacing/>
        <w:jc w:val="left"/>
        <w:rPr>
          <w:rFonts w:hint="eastAsia" w:cs="宋体" w:asciiTheme="minorEastAsia" w:hAnsiTheme="minorEastAsia"/>
          <w:b/>
          <w:color w:val="000000"/>
          <w:kern w:val="0"/>
          <w:sz w:val="24"/>
          <w:szCs w:val="24"/>
          <w:lang w:val="zh-CN"/>
        </w:rPr>
      </w:pPr>
      <w:r>
        <w:rPr>
          <w:rFonts w:hint="eastAsia" w:cs="宋体" w:asciiTheme="minorEastAsia" w:hAnsiTheme="minorEastAsia"/>
          <w:b/>
          <w:color w:val="000000"/>
          <w:kern w:val="0"/>
          <w:sz w:val="24"/>
          <w:szCs w:val="24"/>
          <w:lang w:val="zh-CN"/>
        </w:rPr>
        <w:t>五、采购标的的其他技术、服务等要求</w:t>
      </w:r>
    </w:p>
    <w:p>
      <w:pPr>
        <w:topLinePunct/>
        <w:spacing w:line="360" w:lineRule="auto"/>
        <w:ind w:firstLine="480" w:firstLineChars="200"/>
        <w:contextualSpacing/>
        <w:rPr>
          <w:rFonts w:ascii="宋体" w:cs="宋体"/>
          <w:sz w:val="24"/>
          <w:lang w:val="zh-CN"/>
        </w:rPr>
      </w:pPr>
      <w:bookmarkStart w:id="2" w:name="_GoBack"/>
      <w:bookmarkEnd w:id="2"/>
      <w:r>
        <w:rPr>
          <w:rFonts w:hint="eastAsia" w:ascii="宋体" w:cs="宋体"/>
          <w:sz w:val="24"/>
          <w:lang w:val="zh-CN"/>
        </w:rPr>
        <w:t>1、供应商须明确响应产品的厂家、品牌、型号、详细参数，</w:t>
      </w:r>
      <w:r>
        <w:rPr>
          <w:rFonts w:hint="eastAsia" w:ascii="宋体" w:cs="宋体"/>
          <w:b/>
          <w:sz w:val="24"/>
          <w:lang w:val="zh-CN"/>
        </w:rPr>
        <w:t>否则为无效响应文件。</w:t>
      </w:r>
    </w:p>
    <w:p>
      <w:pPr>
        <w:topLinePunct/>
        <w:autoSpaceDE w:val="0"/>
        <w:autoSpaceDN w:val="0"/>
        <w:adjustRightInd w:val="0"/>
        <w:spacing w:line="360" w:lineRule="auto"/>
        <w:ind w:firstLine="482"/>
        <w:contextualSpacing/>
        <w:rPr>
          <w:rFonts w:ascii="宋体" w:cs="宋体"/>
          <w:b/>
          <w:sz w:val="24"/>
          <w:lang w:val="zh-CN"/>
        </w:rPr>
      </w:pPr>
      <w:r>
        <w:rPr>
          <w:rFonts w:hint="eastAsia" w:ascii="宋体" w:cs="宋体"/>
          <w:sz w:val="24"/>
          <w:lang w:val="zh-CN"/>
        </w:rPr>
        <w:t>2、供应商应就本项目完整响应，</w:t>
      </w:r>
      <w:r>
        <w:rPr>
          <w:rFonts w:hint="eastAsia" w:ascii="宋体" w:cs="宋体"/>
          <w:b/>
          <w:sz w:val="24"/>
          <w:lang w:val="zh-CN"/>
        </w:rPr>
        <w:t>否则为无效响应。</w:t>
      </w:r>
    </w:p>
    <w:p>
      <w:pPr>
        <w:topLinePunct/>
        <w:spacing w:line="360" w:lineRule="auto"/>
        <w:ind w:firstLine="480" w:firstLineChars="200"/>
        <w:contextualSpacing/>
        <w:rPr>
          <w:rFonts w:ascii="宋体" w:cs="宋体"/>
          <w:sz w:val="24"/>
          <w:lang w:val="zh-CN"/>
        </w:rPr>
      </w:pPr>
      <w:r>
        <w:rPr>
          <w:rFonts w:hint="eastAsia" w:ascii="宋体" w:cs="宋体"/>
          <w:sz w:val="24"/>
          <w:lang w:val="zh-CN"/>
        </w:rPr>
        <w:t>3、所响应产品必须符合国家质量检测标准和本竞争性谈判文件规定标准的全新正品现货。</w:t>
      </w:r>
    </w:p>
    <w:p>
      <w:pPr>
        <w:topLinePunct/>
        <w:spacing w:line="360" w:lineRule="auto"/>
        <w:ind w:firstLine="480" w:firstLineChars="200"/>
        <w:contextualSpacing/>
        <w:rPr>
          <w:rFonts w:hint="eastAsia" w:ascii="宋体" w:cs="宋体"/>
          <w:b/>
          <w:bCs/>
          <w:color w:val="000000" w:themeColor="text1"/>
          <w:sz w:val="24"/>
          <w:lang w:val="zh-CN"/>
        </w:rPr>
      </w:pPr>
      <w:r>
        <w:rPr>
          <w:rFonts w:hint="eastAsia" w:ascii="宋体" w:cs="宋体"/>
          <w:sz w:val="24"/>
        </w:rPr>
        <w:t>4</w:t>
      </w:r>
      <w:r>
        <w:rPr>
          <w:rFonts w:hint="eastAsia" w:ascii="宋体" w:cs="宋体"/>
          <w:sz w:val="24"/>
          <w:lang w:val="zh-CN"/>
        </w:rPr>
        <w:t>、</w:t>
      </w:r>
      <w:r>
        <w:rPr>
          <w:rFonts w:hint="eastAsia" w:ascii="宋体" w:cs="宋体"/>
          <w:bCs/>
          <w:color w:val="000000" w:themeColor="text1"/>
          <w:sz w:val="24"/>
          <w:lang w:val="zh-CN"/>
        </w:rPr>
        <w:t>投标文件中须有详细的实施（技术）方案</w:t>
      </w:r>
      <w:r>
        <w:rPr>
          <w:rFonts w:hint="eastAsia" w:ascii="宋体" w:cs="宋体"/>
          <w:b/>
          <w:bCs/>
          <w:color w:val="000000" w:themeColor="text1"/>
          <w:sz w:val="24"/>
          <w:lang w:val="zh-CN"/>
        </w:rPr>
        <w:t>，否则为无效投标。</w:t>
      </w:r>
    </w:p>
    <w:p>
      <w:pPr>
        <w:topLinePunct/>
        <w:spacing w:line="360" w:lineRule="auto"/>
        <w:ind w:firstLine="480" w:firstLineChars="200"/>
        <w:contextualSpacing/>
        <w:rPr>
          <w:rFonts w:hint="eastAsia" w:ascii="宋体" w:cs="宋体"/>
          <w:bCs/>
          <w:color w:val="000000" w:themeColor="text1"/>
          <w:sz w:val="24"/>
          <w:lang w:val="zh-CN"/>
        </w:rPr>
      </w:pPr>
      <w:r>
        <w:rPr>
          <w:rFonts w:hint="eastAsia" w:ascii="宋体" w:cs="宋体"/>
          <w:bCs/>
          <w:color w:val="000000" w:themeColor="text1"/>
          <w:sz w:val="24"/>
          <w:lang w:val="en-US" w:eastAsia="zh-CN"/>
        </w:rPr>
        <w:t>5</w:t>
      </w:r>
      <w:r>
        <w:rPr>
          <w:rFonts w:hint="eastAsia" w:ascii="宋体" w:cs="宋体"/>
          <w:bCs/>
          <w:color w:val="000000" w:themeColor="text1"/>
          <w:sz w:val="24"/>
          <w:lang w:val="zh-CN"/>
        </w:rPr>
        <w:t>、投标人须明确免费包修期，在免费包修期内，同一质量问题连续两次维修仍无法正常使用，投标人必须予以更换同品牌、同型号的全新产品。</w:t>
      </w:r>
    </w:p>
    <w:p>
      <w:pPr>
        <w:topLinePunct/>
        <w:spacing w:line="360" w:lineRule="auto"/>
        <w:ind w:firstLine="480" w:firstLineChars="200"/>
        <w:contextualSpacing/>
        <w:rPr>
          <w:rFonts w:hint="eastAsia" w:ascii="宋体" w:cs="宋体"/>
          <w:bCs/>
          <w:color w:val="000000" w:themeColor="text1"/>
          <w:sz w:val="24"/>
          <w:lang w:val="zh-CN"/>
        </w:rPr>
      </w:pPr>
      <w:r>
        <w:rPr>
          <w:rFonts w:hint="eastAsia" w:ascii="宋体" w:cs="宋体"/>
          <w:bCs/>
          <w:color w:val="000000" w:themeColor="text1"/>
          <w:sz w:val="24"/>
          <w:lang w:val="en-US" w:eastAsia="zh-CN"/>
        </w:rPr>
        <w:t>6</w:t>
      </w:r>
      <w:r>
        <w:rPr>
          <w:rFonts w:hint="eastAsia" w:ascii="宋体" w:cs="宋体"/>
          <w:bCs/>
          <w:color w:val="000000" w:themeColor="text1"/>
          <w:sz w:val="24"/>
          <w:lang w:val="zh-CN"/>
        </w:rPr>
        <w:t>、投标人须明确维修点地址、负责人、联系人和联系电话。</w:t>
      </w:r>
    </w:p>
    <w:p>
      <w:pPr>
        <w:topLinePunct/>
        <w:spacing w:line="360" w:lineRule="auto"/>
        <w:ind w:firstLine="480" w:firstLineChars="200"/>
        <w:contextualSpacing/>
        <w:rPr>
          <w:rFonts w:hint="eastAsia" w:ascii="宋体" w:cs="宋体"/>
          <w:bCs/>
          <w:color w:val="000000" w:themeColor="text1"/>
          <w:sz w:val="24"/>
          <w:lang w:val="zh-CN"/>
        </w:rPr>
      </w:pPr>
      <w:r>
        <w:rPr>
          <w:rFonts w:hint="eastAsia" w:ascii="宋体" w:cs="宋体"/>
          <w:bCs/>
          <w:color w:val="000000" w:themeColor="text1"/>
          <w:sz w:val="24"/>
          <w:lang w:val="en-US" w:eastAsia="zh-CN"/>
        </w:rPr>
        <w:t>7</w:t>
      </w:r>
      <w:r>
        <w:rPr>
          <w:rFonts w:hint="eastAsia" w:ascii="宋体" w:cs="宋体"/>
          <w:bCs/>
          <w:color w:val="000000" w:themeColor="text1"/>
          <w:sz w:val="24"/>
          <w:lang w:val="zh-CN"/>
        </w:rPr>
        <w:t>、本项目为交钥匙工程（包括运输、安装调试、专业培训等一切费用）。</w:t>
      </w:r>
    </w:p>
    <w:p>
      <w:pPr>
        <w:widowControl/>
        <w:shd w:val="clear" w:color="auto" w:fill="FFFFFF"/>
        <w:spacing w:line="360" w:lineRule="auto"/>
        <w:ind w:firstLine="482" w:firstLineChars="200"/>
        <w:contextualSpacing/>
        <w:jc w:val="left"/>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六、验收标准</w:t>
      </w:r>
    </w:p>
    <w:p>
      <w:pPr>
        <w:pStyle w:val="23"/>
        <w:widowControl/>
        <w:shd w:val="clear" w:color="auto" w:fill="FFFFFF"/>
        <w:spacing w:line="360" w:lineRule="auto"/>
        <w:ind w:firstLine="420"/>
        <w:contextualSpacing/>
        <w:jc w:val="left"/>
        <w:rPr>
          <w:rFonts w:cs="宋体" w:asciiTheme="minorEastAsia" w:hAnsiTheme="minorEastAsia"/>
          <w:color w:val="000000"/>
          <w:kern w:val="0"/>
          <w:lang w:val="zh-CN"/>
        </w:rPr>
      </w:pPr>
      <w:r>
        <w:rPr>
          <w:rFonts w:hint="eastAsia" w:cs="宋体" w:asciiTheme="minorEastAsia" w:hAnsiTheme="minorEastAsia"/>
          <w:color w:val="000000"/>
          <w:kern w:val="0"/>
          <w:lang w:val="zh-CN"/>
        </w:rPr>
        <w:t>由采购人成立验收小组,按照采购合同的约定对中标人履约情况进行验收。验收时,按照采购合同的约定对每一项技术、服务、安全标准的履约情况进行确认。验收结束后由验收小组出具验收报告,列明各项标准的验收情况及项目总体评价,由验收双方共同签署。</w:t>
      </w:r>
    </w:p>
    <w:p>
      <w:pPr>
        <w:pStyle w:val="23"/>
        <w:widowControl/>
        <w:shd w:val="clear" w:color="auto" w:fill="FFFFFF"/>
        <w:spacing w:line="360" w:lineRule="auto"/>
        <w:ind w:firstLine="420"/>
        <w:contextualSpacing/>
        <w:jc w:val="left"/>
        <w:rPr>
          <w:rFonts w:cs="宋体" w:asciiTheme="minorEastAsia" w:hAnsiTheme="minorEastAsia"/>
          <w:color w:val="000000"/>
          <w:kern w:val="0"/>
          <w:lang w:val="zh-CN"/>
        </w:rPr>
      </w:pPr>
      <w:r>
        <w:rPr>
          <w:rFonts w:hint="eastAsia" w:cs="宋体" w:asciiTheme="minorEastAsia" w:hAnsiTheme="minorEastAsia"/>
          <w:color w:val="000000"/>
          <w:kern w:val="0"/>
          <w:lang w:val="zh-CN"/>
        </w:rPr>
        <w:t>1、按照国家相关标准、行业标准、地方标准或其他标准、规范验收。</w:t>
      </w:r>
    </w:p>
    <w:p>
      <w:pPr>
        <w:pStyle w:val="23"/>
        <w:widowControl/>
        <w:shd w:val="clear" w:color="auto" w:fill="FFFFFF"/>
        <w:spacing w:line="360" w:lineRule="auto"/>
        <w:ind w:firstLine="420"/>
        <w:contextualSpacing/>
        <w:jc w:val="left"/>
        <w:rPr>
          <w:rFonts w:cs="宋体" w:asciiTheme="minorEastAsia" w:hAnsiTheme="minorEastAsia"/>
          <w:color w:val="000000"/>
          <w:kern w:val="0"/>
          <w:lang w:val="zh-CN"/>
        </w:rPr>
      </w:pPr>
      <w:r>
        <w:rPr>
          <w:rFonts w:hint="eastAsia" w:cs="宋体" w:asciiTheme="minorEastAsia" w:hAnsiTheme="minorEastAsia"/>
          <w:color w:val="000000"/>
          <w:kern w:val="0"/>
          <w:lang w:val="zh-CN"/>
        </w:rPr>
        <w:t>2、按照招标文件要求、投标文件响应和承诺验收。</w:t>
      </w:r>
    </w:p>
    <w:p>
      <w:pPr>
        <w:widowControl/>
        <w:shd w:val="clear" w:color="auto" w:fill="FFFFFF"/>
        <w:spacing w:line="360" w:lineRule="auto"/>
        <w:ind w:firstLine="482" w:firstLineChars="200"/>
        <w:contextualSpacing/>
        <w:jc w:val="left"/>
        <w:rPr>
          <w:rFonts w:cs="宋体" w:asciiTheme="minorEastAsia" w:hAnsiTheme="minorEastAsia"/>
          <w:b/>
          <w:color w:val="000000"/>
          <w:kern w:val="0"/>
          <w:sz w:val="24"/>
          <w:szCs w:val="24"/>
          <w:lang w:val="zh-CN"/>
        </w:rPr>
      </w:pPr>
      <w:r>
        <w:rPr>
          <w:rFonts w:hint="eastAsia" w:cs="宋体" w:asciiTheme="minorEastAsia" w:hAnsiTheme="minorEastAsia"/>
          <w:b/>
          <w:color w:val="000000"/>
          <w:kern w:val="0"/>
          <w:sz w:val="24"/>
          <w:szCs w:val="24"/>
          <w:lang w:val="zh-CN"/>
        </w:rPr>
        <w:t>七、资金支付</w:t>
      </w:r>
    </w:p>
    <w:p>
      <w:pPr>
        <w:widowControl/>
        <w:shd w:val="clear" w:color="auto" w:fill="FFFFFF"/>
        <w:spacing w:line="360" w:lineRule="auto"/>
        <w:ind w:firstLine="480" w:firstLineChars="200"/>
        <w:contextualSpacing/>
        <w:jc w:val="left"/>
        <w:rPr>
          <w:rFonts w:cs="宋体" w:asciiTheme="minorEastAsia" w:hAnsiTheme="minorEastAsia"/>
          <w:color w:val="000000"/>
          <w:kern w:val="0"/>
          <w:sz w:val="24"/>
          <w:szCs w:val="24"/>
          <w:lang w:val="zh-CN"/>
        </w:rPr>
      </w:pPr>
      <w:r>
        <w:rPr>
          <w:rFonts w:hint="eastAsia" w:cs="宋体" w:asciiTheme="minorEastAsia" w:hAnsiTheme="minorEastAsia"/>
          <w:color w:val="000000"/>
          <w:kern w:val="0"/>
          <w:sz w:val="24"/>
          <w:szCs w:val="24"/>
          <w:lang w:val="zh-CN"/>
        </w:rPr>
        <w:t>1、支付方式：</w:t>
      </w:r>
      <w:r>
        <w:rPr>
          <w:rFonts w:hint="eastAsia" w:cs="宋体" w:asciiTheme="minorEastAsia" w:hAnsiTheme="minorEastAsia"/>
          <w:color w:val="000000"/>
          <w:kern w:val="0"/>
          <w:sz w:val="24"/>
          <w:szCs w:val="24"/>
          <w:lang w:val="zh-CN" w:eastAsia="zh-CN"/>
        </w:rPr>
        <w:t>按合同规定经验收合格后申请</w:t>
      </w:r>
      <w:r>
        <w:rPr>
          <w:rFonts w:hint="eastAsia" w:cs="宋体" w:asciiTheme="minorEastAsia" w:hAnsiTheme="minorEastAsia"/>
          <w:color w:val="000000"/>
          <w:kern w:val="0"/>
          <w:sz w:val="24"/>
          <w:szCs w:val="24"/>
          <w:lang w:val="zh-CN"/>
        </w:rPr>
        <w:t>财政支付。</w:t>
      </w:r>
    </w:p>
    <w:p>
      <w:pPr>
        <w:widowControl/>
        <w:shd w:val="clear" w:color="auto" w:fill="FFFFFF"/>
        <w:spacing w:line="600" w:lineRule="exact"/>
        <w:ind w:firstLine="480" w:firstLineChars="200"/>
        <w:jc w:val="left"/>
        <w:rPr>
          <w:rFonts w:hint="eastAsia" w:cs="宋体" w:asciiTheme="minorEastAsia" w:hAnsiTheme="minorEastAsia" w:eastAsiaTheme="minorEastAsia"/>
          <w:color w:val="000000"/>
          <w:kern w:val="0"/>
          <w:sz w:val="24"/>
          <w:szCs w:val="24"/>
          <w:lang w:val="en-US" w:eastAsia="zh-CN"/>
        </w:rPr>
        <w:sectPr>
          <w:footerReference r:id="rId3" w:type="default"/>
          <w:pgSz w:w="11906" w:h="16838"/>
          <w:pgMar w:top="2098" w:right="1474" w:bottom="1928" w:left="1588" w:header="851" w:footer="992" w:gutter="0"/>
          <w:cols w:space="425" w:num="1"/>
          <w:docGrid w:type="lines" w:linePitch="312" w:charSpace="0"/>
        </w:sectPr>
      </w:pPr>
      <w:r>
        <w:rPr>
          <w:rFonts w:hint="eastAsia" w:cs="宋体" w:asciiTheme="minorEastAsia" w:hAnsiTheme="minorEastAsia"/>
          <w:color w:val="000000"/>
          <w:kern w:val="0"/>
          <w:sz w:val="24"/>
          <w:szCs w:val="24"/>
          <w:lang w:val="zh-CN"/>
        </w:rPr>
        <w:t>2、支付时间及条件：以签订合同为</w:t>
      </w:r>
      <w:r>
        <w:rPr>
          <w:rFonts w:hint="eastAsia" w:cs="宋体" w:asciiTheme="minorEastAsia" w:hAnsiTheme="minorEastAsia"/>
          <w:color w:val="000000"/>
          <w:kern w:val="0"/>
          <w:sz w:val="24"/>
          <w:szCs w:val="24"/>
          <w:lang w:val="en-US" w:eastAsia="zh-CN"/>
        </w:rPr>
        <w:t>准。</w:t>
      </w:r>
    </w:p>
    <w:p>
      <w:pPr>
        <w:pStyle w:val="2"/>
        <w:ind w:left="0" w:leftChars="0" w:firstLine="0" w:firstLineChars="0"/>
        <w:rPr>
          <w:rFonts w:hint="eastAsia" w:cs="宋体" w:asciiTheme="minorEastAsia" w:hAnsiTheme="minorEastAsia"/>
          <w:color w:val="000000"/>
          <w:kern w:val="0"/>
          <w:sz w:val="24"/>
          <w:szCs w:val="24"/>
          <w:lang w:val="zh-CN"/>
        </w:rPr>
      </w:pPr>
    </w:p>
    <w:p>
      <w:pPr>
        <w:autoSpaceDE w:val="0"/>
        <w:autoSpaceDN w:val="0"/>
        <w:adjustRightInd w:val="0"/>
        <w:ind w:firstLine="2891" w:firstLineChars="90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color w:val="FF0000"/>
          <w:szCs w:val="21"/>
        </w:rPr>
        <w:t>谈判文件中凡标有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条款均为实质性要求条款，响应文件须完全响应，未实质响应的，按照无效响应处理。</w:t>
      </w:r>
    </w:p>
    <w:tbl>
      <w:tblPr>
        <w:tblStyle w:val="26"/>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spacing w:line="440" w:lineRule="exact"/>
              <w:jc w:val="left"/>
              <w:rPr>
                <w:rFonts w:cs="仿宋_GB2312" w:asciiTheme="minorEastAsia" w:hAnsiTheme="minorEastAsia"/>
                <w:szCs w:val="21"/>
              </w:rPr>
            </w:pPr>
            <w:r>
              <w:rPr>
                <w:rFonts w:hint="eastAsia" w:cs="仿宋_GB2312" w:asciiTheme="minorEastAsia" w:hAnsiTheme="minorEastAsia"/>
                <w:szCs w:val="21"/>
              </w:rPr>
              <w:t>项目名称：禹州市教育体育局幼儿园教学设备采购项目（不见面开标）</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采购编号：YZCG-T20200</w:t>
            </w:r>
            <w:r>
              <w:rPr>
                <w:rFonts w:hint="eastAsia" w:cs="仿宋_GB2312" w:asciiTheme="minorEastAsia" w:hAnsiTheme="minorEastAsia"/>
                <w:szCs w:val="21"/>
                <w:lang w:val="en-US" w:eastAsia="zh-CN"/>
              </w:rPr>
              <w:t>95</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交付（服务、完工）时间：合同签订后</w:t>
            </w:r>
            <w:r>
              <w:rPr>
                <w:rFonts w:hint="eastAsia" w:cs="仿宋_GB2312" w:asciiTheme="minorEastAsia" w:hAnsiTheme="minorEastAsia"/>
                <w:szCs w:val="21"/>
                <w:lang w:val="en-US" w:eastAsia="zh-CN"/>
              </w:rPr>
              <w:t>7日供货完毕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名称：禹州市教育体育局</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地址：禹州市禹王大道东段111号</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联系人：周先生              电话：15939959399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采购机构</w:t>
            </w:r>
          </w:p>
        </w:tc>
        <w:tc>
          <w:tcPr>
            <w:tcW w:w="6813" w:type="dxa"/>
            <w:vAlign w:val="center"/>
          </w:tcPr>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名称：禹州市政府采购中心</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地址：禹州市行政服务中心楼9楼</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联系人：</w:t>
            </w:r>
            <w:r>
              <w:rPr>
                <w:rFonts w:hint="eastAsia" w:cs="仿宋_GB2312" w:asciiTheme="minorEastAsia" w:hAnsiTheme="minorEastAsia"/>
                <w:szCs w:val="21"/>
                <w:lang w:val="en-US" w:eastAsia="zh-CN"/>
              </w:rPr>
              <w:t>李</w:t>
            </w:r>
            <w:r>
              <w:rPr>
                <w:rFonts w:hint="eastAsia" w:cs="仿宋_GB2312" w:asciiTheme="minorEastAsia" w:hAnsiTheme="minorEastAsia"/>
                <w:szCs w:val="21"/>
              </w:rPr>
              <w:t>女士               电话：0374-2077111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供应商资格</w:t>
            </w:r>
          </w:p>
        </w:tc>
        <w:tc>
          <w:tcPr>
            <w:tcW w:w="6813" w:type="dxa"/>
            <w:vAlign w:val="center"/>
          </w:tcPr>
          <w:p>
            <w:pPr>
              <w:autoSpaceDE w:val="0"/>
              <w:autoSpaceDN w:val="0"/>
              <w:adjustRightInd w:val="0"/>
              <w:spacing w:line="360" w:lineRule="auto"/>
              <w:ind w:right="-11"/>
              <w:rPr>
                <w:lang w:val="zh-CN"/>
              </w:rPr>
            </w:pPr>
            <w:r>
              <w:rPr>
                <w:rFonts w:hint="eastAsia"/>
                <w:lang w:val="zh-CN"/>
              </w:rPr>
              <w:t>一、</w:t>
            </w:r>
            <w:r>
              <w:rPr>
                <w:lang w:val="zh-CN"/>
              </w:rPr>
              <w:t>法人或者其他组织的营业执照等证明文件，自然人的身份证明</w:t>
            </w:r>
          </w:p>
          <w:p>
            <w:pPr>
              <w:autoSpaceDE w:val="0"/>
              <w:autoSpaceDN w:val="0"/>
              <w:adjustRightInd w:val="0"/>
              <w:spacing w:line="360" w:lineRule="auto"/>
              <w:ind w:right="-11"/>
              <w:rPr>
                <w:lang w:val="zh-CN"/>
              </w:rPr>
            </w:pPr>
            <w:r>
              <w:rPr>
                <w:rFonts w:hint="eastAsia"/>
                <w:lang w:val="zh-CN"/>
              </w:rPr>
              <w:t>1、企业法人营业执照或营业执照。（企业提供）</w:t>
            </w:r>
          </w:p>
          <w:p>
            <w:pPr>
              <w:autoSpaceDE w:val="0"/>
              <w:autoSpaceDN w:val="0"/>
              <w:adjustRightInd w:val="0"/>
              <w:spacing w:line="360" w:lineRule="auto"/>
              <w:ind w:right="-11"/>
              <w:rPr>
                <w:lang w:val="zh-CN"/>
              </w:rPr>
            </w:pPr>
            <w:r>
              <w:rPr>
                <w:rFonts w:hint="eastAsia"/>
                <w:lang w:val="zh-CN"/>
              </w:rPr>
              <w:t>2、事业单位法人证书。（事业单位提供）</w:t>
            </w:r>
          </w:p>
          <w:p>
            <w:pPr>
              <w:autoSpaceDE w:val="0"/>
              <w:autoSpaceDN w:val="0"/>
              <w:adjustRightInd w:val="0"/>
              <w:spacing w:line="360" w:lineRule="auto"/>
              <w:ind w:right="-11"/>
              <w:rPr>
                <w:lang w:val="zh-CN"/>
              </w:rPr>
            </w:pPr>
            <w:r>
              <w:rPr>
                <w:rFonts w:hint="eastAsia"/>
                <w:lang w:val="zh-CN"/>
              </w:rPr>
              <w:t>3、执业许可证。（非企业专业服务机构提供）</w:t>
            </w:r>
          </w:p>
          <w:p>
            <w:pPr>
              <w:autoSpaceDE w:val="0"/>
              <w:autoSpaceDN w:val="0"/>
              <w:adjustRightInd w:val="0"/>
              <w:spacing w:line="360" w:lineRule="auto"/>
              <w:ind w:right="-11"/>
              <w:rPr>
                <w:lang w:val="zh-CN"/>
              </w:rPr>
            </w:pPr>
            <w:r>
              <w:rPr>
                <w:rFonts w:hint="eastAsia"/>
                <w:lang w:val="zh-CN"/>
              </w:rPr>
              <w:t>4、个体工商户营业执照。（个体工商户提供）</w:t>
            </w:r>
          </w:p>
          <w:p>
            <w:pPr>
              <w:autoSpaceDE w:val="0"/>
              <w:autoSpaceDN w:val="0"/>
              <w:adjustRightInd w:val="0"/>
              <w:spacing w:line="360" w:lineRule="auto"/>
              <w:jc w:val="left"/>
              <w:rPr>
                <w:lang w:val="zh-CN"/>
              </w:rPr>
            </w:pPr>
            <w:r>
              <w:rPr>
                <w:rFonts w:hint="eastAsia"/>
                <w:lang w:val="zh-CN"/>
              </w:rPr>
              <w:t>5、自然人身份证明。（自然人提供）</w:t>
            </w:r>
          </w:p>
          <w:p>
            <w:pPr>
              <w:autoSpaceDE w:val="0"/>
              <w:autoSpaceDN w:val="0"/>
              <w:adjustRightInd w:val="0"/>
              <w:spacing w:line="360" w:lineRule="auto"/>
              <w:jc w:val="left"/>
              <w:rPr>
                <w:lang w:val="zh-CN"/>
              </w:rPr>
            </w:pPr>
            <w:r>
              <w:rPr>
                <w:rFonts w:hint="eastAsia"/>
                <w:lang w:val="zh-CN"/>
              </w:rPr>
              <w:t>6、民办非企业单位登记证书。（民办非企业单位提供）</w:t>
            </w:r>
          </w:p>
          <w:p>
            <w:pPr>
              <w:autoSpaceDE w:val="0"/>
              <w:autoSpaceDN w:val="0"/>
              <w:adjustRightInd w:val="0"/>
              <w:spacing w:line="360" w:lineRule="auto"/>
              <w:jc w:val="left"/>
            </w:pPr>
            <w:r>
              <w:rPr>
                <w:rFonts w:hint="eastAsia"/>
              </w:rPr>
              <w:t>二、财务状况报告相关材料</w:t>
            </w:r>
          </w:p>
          <w:p>
            <w:pPr>
              <w:spacing w:line="360" w:lineRule="auto"/>
            </w:pPr>
            <w:r>
              <w:rPr>
                <w:rFonts w:hint="eastAsia"/>
              </w:rPr>
              <w:t>（1）供应商是法人（法人包括企业法人、机关法人、事业单位法人和社会团体法人），提供本单位：</w:t>
            </w:r>
          </w:p>
          <w:p>
            <w:pPr>
              <w:spacing w:line="360" w:lineRule="auto"/>
            </w:pPr>
            <w:r>
              <w:rPr>
                <w:rFonts w:hint="eastAsia"/>
              </w:rPr>
              <w:t>①2018年度或者2019年度经审计的财务报告，包括资产负债表、利润表、现金流量表、所有者权益变动表及其附注；</w:t>
            </w:r>
          </w:p>
          <w:p>
            <w:pPr>
              <w:spacing w:line="360" w:lineRule="auto"/>
            </w:pPr>
            <w:r>
              <w:rPr>
                <w:rFonts w:hint="eastAsia"/>
              </w:rPr>
              <w:t>②基本开户银行出具的资信证明；</w:t>
            </w:r>
          </w:p>
          <w:p>
            <w:pPr>
              <w:spacing w:line="360" w:lineRule="auto"/>
            </w:pPr>
            <w:r>
              <w:rPr>
                <w:rFonts w:hint="eastAsia"/>
              </w:rPr>
              <w:t>③财政部门认可的政府采购专业担保机构的证明文件和担保机构出具的投标担保函。</w:t>
            </w:r>
          </w:p>
          <w:p>
            <w:pPr>
              <w:spacing w:line="360" w:lineRule="auto"/>
            </w:pPr>
            <w:r>
              <w:rPr>
                <w:rFonts w:hint="eastAsia"/>
                <w:lang w:val="zh-CN"/>
              </w:rPr>
              <w:t>注：仅需提供序号</w:t>
            </w:r>
            <w:r>
              <w:rPr>
                <w:rFonts w:hint="eastAsia"/>
              </w:rPr>
              <w:t>①～③其中之一即可。</w:t>
            </w:r>
          </w:p>
          <w:p>
            <w:pPr>
              <w:spacing w:line="360" w:lineRule="auto"/>
            </w:pPr>
            <w:r>
              <w:rPr>
                <w:rFonts w:hint="eastAsia"/>
              </w:rPr>
              <w:t>（2）供应商（其他组织和自然人）提供本单位：</w:t>
            </w:r>
          </w:p>
          <w:p>
            <w:pPr>
              <w:spacing w:line="360" w:lineRule="auto"/>
            </w:pPr>
            <w:r>
              <w:rPr>
                <w:rFonts w:hint="eastAsia"/>
              </w:rPr>
              <w:t>①2018年度或者2019年度经审计的财务报告，包括资产负债表、利润表、现金流量表、所有者权益变动表及其附注；</w:t>
            </w:r>
          </w:p>
          <w:p>
            <w:pPr>
              <w:spacing w:line="360" w:lineRule="auto"/>
            </w:pPr>
            <w:r>
              <w:rPr>
                <w:rFonts w:hint="eastAsia"/>
              </w:rPr>
              <w:t>②银行出具的资信证明；</w:t>
            </w:r>
          </w:p>
          <w:p>
            <w:pPr>
              <w:spacing w:line="360" w:lineRule="auto"/>
            </w:pPr>
            <w:r>
              <w:rPr>
                <w:rFonts w:hint="eastAsia"/>
              </w:rPr>
              <w:t>③财政部门认可的政府采购专业担保机构的证明文件和担保机构出具的投标担保函。</w:t>
            </w:r>
          </w:p>
          <w:p>
            <w:pPr>
              <w:autoSpaceDE w:val="0"/>
              <w:autoSpaceDN w:val="0"/>
              <w:adjustRightInd w:val="0"/>
              <w:spacing w:line="360" w:lineRule="auto"/>
              <w:ind w:right="-11"/>
              <w:rPr>
                <w:lang w:val="zh-CN"/>
              </w:rPr>
            </w:pPr>
            <w:r>
              <w:rPr>
                <w:rFonts w:hint="eastAsia"/>
                <w:lang w:val="zh-CN"/>
              </w:rPr>
              <w:t>注：仅需提供序号</w:t>
            </w:r>
            <w:r>
              <w:rPr>
                <w:rFonts w:hint="eastAsia"/>
              </w:rPr>
              <w:t>①～③其中之一即可。</w:t>
            </w:r>
          </w:p>
          <w:p>
            <w:pPr>
              <w:autoSpaceDE w:val="0"/>
              <w:autoSpaceDN w:val="0"/>
              <w:adjustRightInd w:val="0"/>
              <w:spacing w:line="360" w:lineRule="auto"/>
              <w:ind w:right="-11"/>
              <w:rPr>
                <w:lang w:val="zh-CN"/>
              </w:rPr>
            </w:pPr>
            <w:r>
              <w:rPr>
                <w:rFonts w:hint="eastAsia"/>
              </w:rPr>
              <w:t>三、依法缴纳税收相关材料</w:t>
            </w:r>
          </w:p>
          <w:p>
            <w:pPr>
              <w:autoSpaceDE w:val="0"/>
              <w:autoSpaceDN w:val="0"/>
              <w:adjustRightInd w:val="0"/>
              <w:spacing w:line="360" w:lineRule="auto"/>
              <w:ind w:right="-11"/>
              <w:rPr>
                <w:lang w:val="zh-CN"/>
              </w:rPr>
            </w:pPr>
            <w:r>
              <w:rPr>
                <w:rFonts w:hint="eastAsia"/>
                <w:lang w:val="zh-CN"/>
              </w:rPr>
              <w:t>参加本次政府采购项目谈判响应截止时间前六个月内任意一个月缴纳税收凭据。（依法免税的供应商，应提供相应文件证明依法免税）</w:t>
            </w:r>
          </w:p>
          <w:p>
            <w:pPr>
              <w:autoSpaceDE w:val="0"/>
              <w:autoSpaceDN w:val="0"/>
              <w:adjustRightInd w:val="0"/>
              <w:spacing w:line="360" w:lineRule="auto"/>
              <w:ind w:right="-11"/>
              <w:rPr>
                <w:lang w:val="zh-CN"/>
              </w:rPr>
            </w:pPr>
            <w:r>
              <w:rPr>
                <w:rFonts w:hint="eastAsia"/>
                <w:lang w:val="zh-CN"/>
              </w:rPr>
              <w:t>四、依法缴纳社会保障资金的证明材料</w:t>
            </w:r>
          </w:p>
          <w:p>
            <w:pPr>
              <w:autoSpaceDE w:val="0"/>
              <w:autoSpaceDN w:val="0"/>
              <w:adjustRightInd w:val="0"/>
              <w:spacing w:line="360" w:lineRule="auto"/>
              <w:ind w:right="-11"/>
              <w:rPr>
                <w:lang w:val="zh-CN"/>
              </w:rPr>
            </w:pPr>
            <w:r>
              <w:rPr>
                <w:rFonts w:hint="eastAsia"/>
                <w:lang w:val="zh-CN"/>
              </w:rPr>
              <w:t>参加本次政府采购项目谈判响应截止时间前六个月内任意一个月缴纳社会保险凭据。（依法不需要缴纳社会保障资金的供应商，应提供相应文件证明依法不需要缴纳社会保障资金）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lang w:val="zh-CN"/>
              </w:rPr>
            </w:pPr>
            <w:r>
              <w:rPr>
                <w:rFonts w:hint="eastAsia"/>
                <w:lang w:val="zh-CN"/>
              </w:rPr>
              <w:t>五、履行合同所必须的设备和专业技术能力的证明材料</w:t>
            </w:r>
          </w:p>
          <w:p>
            <w:pPr>
              <w:autoSpaceDE w:val="0"/>
              <w:autoSpaceDN w:val="0"/>
              <w:adjustRightInd w:val="0"/>
              <w:spacing w:line="360" w:lineRule="auto"/>
              <w:jc w:val="left"/>
              <w:rPr>
                <w:lang w:val="zh-CN"/>
              </w:rPr>
            </w:pPr>
            <w:r>
              <w:rPr>
                <w:rFonts w:hint="eastAsia"/>
                <w:lang w:val="zh-CN"/>
              </w:rPr>
              <w:t>①相关设备的购置发票、专业技术人员职称证书、用工合同等；</w:t>
            </w:r>
          </w:p>
          <w:p>
            <w:pPr>
              <w:spacing w:line="360" w:lineRule="auto"/>
            </w:pPr>
            <w:r>
              <w:rPr>
                <w:rFonts w:hint="eastAsia"/>
              </w:rPr>
              <w:t>②供应商具备履行合同所必须的设备和专业技术能力承诺函或声明（承诺函或声明格式自拟）。</w:t>
            </w:r>
          </w:p>
          <w:p>
            <w:pPr>
              <w:autoSpaceDE w:val="0"/>
              <w:autoSpaceDN w:val="0"/>
              <w:adjustRightInd w:val="0"/>
              <w:spacing w:line="360" w:lineRule="auto"/>
              <w:ind w:right="-11"/>
            </w:pPr>
            <w:r>
              <w:rPr>
                <w:rFonts w:hint="eastAsia"/>
                <w:lang w:val="zh-CN"/>
              </w:rPr>
              <w:t>注：仅需提供序号</w:t>
            </w:r>
            <w:r>
              <w:rPr>
                <w:rFonts w:hint="eastAsia"/>
              </w:rPr>
              <w:t>①～②其中之一即可。</w:t>
            </w:r>
          </w:p>
          <w:p>
            <w:pPr>
              <w:autoSpaceDE w:val="0"/>
              <w:autoSpaceDN w:val="0"/>
              <w:adjustRightInd w:val="0"/>
              <w:spacing w:line="360" w:lineRule="auto"/>
              <w:ind w:right="-11"/>
              <w:rPr>
                <w:lang w:val="zh-CN"/>
              </w:rPr>
            </w:pPr>
            <w:r>
              <w:rPr>
                <w:rFonts w:hint="eastAsia"/>
              </w:rPr>
              <w:t>六、</w:t>
            </w:r>
            <w:r>
              <w:rPr>
                <w:lang w:val="zh-CN"/>
              </w:rPr>
              <w:t>参加政府采购活动前3年内在经营活动中没有重大违法记录的声明</w:t>
            </w:r>
          </w:p>
          <w:p>
            <w:pPr>
              <w:autoSpaceDE w:val="0"/>
              <w:autoSpaceDN w:val="0"/>
              <w:spacing w:line="360" w:lineRule="auto"/>
              <w:contextualSpacing/>
              <w:jc w:val="left"/>
              <w:rPr>
                <w:lang w:val="zh-CN"/>
              </w:rPr>
            </w:pPr>
            <w:r>
              <w:rPr>
                <w:rFonts w:hint="eastAsia"/>
                <w:lang w:val="zh-CN"/>
              </w:rPr>
              <w:t>供应商“</w:t>
            </w:r>
            <w:r>
              <w:rPr>
                <w:lang w:val="zh-CN"/>
              </w:rPr>
              <w:t>参加政府采购活动前3年内在经营活动中没有重大违法记录的书面声明</w:t>
            </w:r>
            <w:r>
              <w:rPr>
                <w:rFonts w:hint="eastAsia"/>
                <w:lang w:val="zh-CN"/>
              </w:rPr>
              <w:t>”。 重大违法记录，是指供应商因违法经营受到刑事处罚或者责令停产停业、吊销许可证或者执照、较大数额罚款等行政处罚。</w:t>
            </w:r>
          </w:p>
          <w:p>
            <w:pPr>
              <w:wordWrap w:val="0"/>
              <w:autoSpaceDE w:val="0"/>
              <w:autoSpaceDN w:val="0"/>
              <w:spacing w:line="360" w:lineRule="auto"/>
              <w:contextualSpacing/>
              <w:jc w:val="left"/>
            </w:pPr>
            <w:r>
              <w:rPr>
                <w:rFonts w:hint="eastAsia"/>
                <w:lang w:val="zh-CN"/>
              </w:rPr>
              <w:t>七、</w:t>
            </w:r>
            <w:r>
              <w:t>未被列入“信用中国”网站(www.creditchina.gov.cn)失信被执行人、重大税收违法案件当事人名单的</w:t>
            </w:r>
            <w:r>
              <w:rPr>
                <w:rFonts w:hint="eastAsia"/>
              </w:rPr>
              <w:t>供应商</w:t>
            </w:r>
            <w:r>
              <w:t>；</w:t>
            </w:r>
            <w:r>
              <w:rPr>
                <w:rFonts w:hint="eastAsia"/>
              </w:rPr>
              <w:t>“</w:t>
            </w:r>
            <w:r>
              <w:t>中国政府采购网</w:t>
            </w:r>
            <w:r>
              <w:rPr>
                <w:rFonts w:hint="eastAsia"/>
              </w:rPr>
              <w:t>”</w:t>
            </w:r>
            <w:r>
              <w:t xml:space="preserve"> (www.ccgp.gov.cn)政府采购严重违法失信行为记录名单的</w:t>
            </w:r>
            <w:r>
              <w:rPr>
                <w:rFonts w:hint="eastAsia"/>
              </w:rPr>
              <w:t>供应商</w:t>
            </w:r>
            <w:r>
              <w:rPr>
                <w:rFonts w:hint="eastAsia"/>
                <w:lang w:val="zh-CN"/>
              </w:rPr>
              <w:t>；</w:t>
            </w:r>
            <w:r>
              <w:rPr>
                <w:rFonts w:hint="eastAsia"/>
              </w:rPr>
              <w:t xml:space="preserve"> “中国社会组织公共服务平台”网站（</w:t>
            </w:r>
            <w:r>
              <w:t>www.chinanpo.gov.cn</w:t>
            </w:r>
            <w:r>
              <w:rPr>
                <w:rFonts w:hint="eastAsia"/>
              </w:rPr>
              <w:t>）严重违法失信社会组织名单的供应商（联合体形式投标的，联合体成员存在不良信用记录，视同联合体存在不良信用记录）。</w:t>
            </w:r>
          </w:p>
          <w:p>
            <w:pPr>
              <w:spacing w:line="360" w:lineRule="auto"/>
            </w:pPr>
            <w:r>
              <w:rPr>
                <w:rFonts w:hint="eastAsia"/>
              </w:rPr>
              <w:t>1、查询渠道：</w:t>
            </w:r>
          </w:p>
          <w:p>
            <w:pPr>
              <w:spacing w:line="360" w:lineRule="auto"/>
            </w:pPr>
            <w:r>
              <w:rPr>
                <w:rFonts w:hint="eastAsia"/>
              </w:rPr>
              <w:t>①“信用中国”网站（</w:t>
            </w:r>
            <w:r>
              <w:fldChar w:fldCharType="begin"/>
            </w:r>
            <w:r>
              <w:instrText xml:space="preserve"> HYPERLINK "http://www.creditchina.gov.cn" </w:instrText>
            </w:r>
            <w:r>
              <w:fldChar w:fldCharType="separate"/>
            </w:r>
            <w:r>
              <w:rPr>
                <w:rFonts w:hint="eastAsia"/>
              </w:rPr>
              <w:t>www.creditchina.gov.cn</w:t>
            </w:r>
            <w:r>
              <w:rPr>
                <w:rFonts w:hint="eastAsia"/>
              </w:rPr>
              <w:fldChar w:fldCharType="end"/>
            </w:r>
            <w:r>
              <w:rPr>
                <w:rFonts w:hint="eastAsia"/>
              </w:rPr>
              <w:t>）</w:t>
            </w:r>
          </w:p>
          <w:p>
            <w:pPr>
              <w:spacing w:line="360" w:lineRule="auto"/>
            </w:pPr>
            <w:r>
              <w:rPr>
                <w:rFonts w:hint="eastAsia"/>
              </w:rPr>
              <w:t>②“中国政府采购网”（www.ccgp.gov.cn）</w:t>
            </w:r>
          </w:p>
          <w:p>
            <w:pPr>
              <w:spacing w:line="360" w:lineRule="auto"/>
            </w:pPr>
            <w:r>
              <w:rPr>
                <w:rFonts w:hint="eastAsia"/>
              </w:rPr>
              <w:t>③“中国社会组织公共服务平台”网站（</w:t>
            </w:r>
            <w:r>
              <w:t>www.chinanpo.gov.cn</w:t>
            </w:r>
            <w:r>
              <w:rPr>
                <w:rFonts w:hint="eastAsia"/>
              </w:rPr>
              <w:t>）（仅查询社会组织）；</w:t>
            </w:r>
          </w:p>
          <w:p>
            <w:pPr>
              <w:autoSpaceDE w:val="0"/>
              <w:autoSpaceDN w:val="0"/>
              <w:spacing w:line="360" w:lineRule="auto"/>
              <w:contextualSpacing/>
            </w:pPr>
            <w:r>
              <w:rPr>
                <w:rFonts w:hint="eastAsia"/>
              </w:rPr>
              <w:t>2、截止时间：同投标截止时间；</w:t>
            </w:r>
          </w:p>
          <w:p>
            <w:pPr>
              <w:autoSpaceDE w:val="0"/>
              <w:autoSpaceDN w:val="0"/>
              <w:spacing w:line="360" w:lineRule="auto"/>
              <w:contextualSpacing/>
            </w:pPr>
            <w:r>
              <w:rPr>
                <w:rFonts w:hint="eastAsia"/>
              </w:rPr>
              <w:t>3、信用信息查询记录和证据留存具体方式：经谈判小组确认的查询结果网页截图作为查询记录和证据，与其他采购文件一并保存；</w:t>
            </w:r>
          </w:p>
          <w:p>
            <w:pPr>
              <w:autoSpaceDE w:val="0"/>
              <w:autoSpaceDN w:val="0"/>
              <w:spacing w:line="360" w:lineRule="auto"/>
              <w:contextualSpacing/>
            </w:pPr>
            <w:r>
              <w:rPr>
                <w:rFonts w:hint="eastAsia"/>
              </w:rPr>
              <w:t>4、信用信息的使用原则：经谈判小组认定的被列入失信被执行人、重大税收违法案件当事人名单、</w:t>
            </w:r>
            <w:r>
              <w:t>政府采购严重违法失信行为记录名单</w:t>
            </w:r>
            <w:r>
              <w:rPr>
                <w:rFonts w:hint="eastAsia"/>
              </w:rPr>
              <w:t>、严重违法失信社会组织名单的供应商，将拒绝其参与本次政府采购活动。</w:t>
            </w:r>
          </w:p>
          <w:p>
            <w:pPr>
              <w:autoSpaceDE w:val="0"/>
              <w:autoSpaceDN w:val="0"/>
              <w:spacing w:line="360" w:lineRule="auto"/>
              <w:contextualSpacing/>
            </w:pPr>
            <w:r>
              <w:rPr>
                <w:rFonts w:hint="eastAsia"/>
              </w:rPr>
              <w:t>5、供应商无须提供信用记录查询结果网页截屏。供应商不良信用记录以谈判小组查询结果为准，谈判小组查询之后，网站信息发生的任何变更不再作为评审依据，供应商自行提供的与网站信息不一致的其他证明材料亦不作为评审依据。</w:t>
            </w:r>
          </w:p>
          <w:p>
            <w:pPr>
              <w:pStyle w:val="10"/>
            </w:pPr>
            <w:r>
              <w:rPr>
                <w:rFonts w:hint="eastAsia"/>
              </w:rPr>
              <w:t>6、被委托人须是本单位职工，须提供公司为本人缴纳社会保险证明。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联合体响应</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预算金额</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
                <w:color w:val="FF0000"/>
                <w:szCs w:val="21"/>
                <w:lang w:val="en-US" w:eastAsia="zh-CN"/>
              </w:rPr>
              <w:t>137.5</w:t>
            </w:r>
            <w:r>
              <w:rPr>
                <w:rFonts w:hint="eastAsia" w:cs="宋体" w:asciiTheme="minorEastAsia" w:hAnsiTheme="minorEastAsia"/>
                <w:bCs/>
                <w:szCs w:val="21"/>
              </w:rPr>
              <w:t>万</w:t>
            </w:r>
            <w:r>
              <w:rPr>
                <w:rFonts w:hint="eastAsia" w:cs="宋体" w:asciiTheme="minorEastAsia" w:hAnsiTheme="minorEastAsia"/>
                <w:bCs/>
                <w:szCs w:val="21"/>
                <w:lang w:val="zh-CN"/>
              </w:rPr>
              <w:t>元，超出预算金额的响应无效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w:t>
            </w:r>
            <w:r>
              <w:rPr>
                <w:rFonts w:cs="宋体" w:asciiTheme="minorEastAsia" w:hAnsiTheme="minorEastAsia"/>
                <w:bCs/>
                <w:szCs w:val="21"/>
                <w:lang w:val="zh-CN"/>
              </w:rPr>
              <w:t>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谈判有效期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90天（自</w:t>
            </w:r>
            <w:r>
              <w:rPr>
                <w:rFonts w:hint="eastAsia" w:cs="宋体" w:asciiTheme="minorEastAsia" w:hAnsiTheme="minorEastAsia"/>
                <w:kern w:val="0"/>
                <w:szCs w:val="21"/>
              </w:rPr>
              <w:t>提交谈判响应文件的截止之日起算</w:t>
            </w:r>
            <w:r>
              <w:rPr>
                <w:rFonts w:hint="eastAsia" w:cs="仿宋_GB2312" w:asciiTheme="minorEastAsia" w:hAnsiTheme="minorEastAsia"/>
                <w:szCs w:val="21"/>
              </w:rPr>
              <w:t>）</w:t>
            </w:r>
          </w:p>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zh-CN"/>
              </w:rPr>
              <w:t>成交供应商谈判</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成交供应商全部合同义务履行完毕为止。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color w:val="000000"/>
                <w:szCs w:val="21"/>
                <w:shd w:val="clear" w:color="auto" w:fill="FFFFFF"/>
              </w:rPr>
              <w:t>响应文件提交截止、</w:t>
            </w:r>
            <w:r>
              <w:rPr>
                <w:rFonts w:hint="eastAsia" w:cs="宋体" w:asciiTheme="minorEastAsia" w:hAnsiTheme="minorEastAsia"/>
                <w:bCs/>
                <w:szCs w:val="21"/>
                <w:lang w:val="zh-CN"/>
              </w:rPr>
              <w:t>谈判响应截止及谈判时间</w:t>
            </w:r>
          </w:p>
        </w:tc>
        <w:tc>
          <w:tcPr>
            <w:tcW w:w="6813" w:type="dxa"/>
            <w:vAlign w:val="center"/>
          </w:tcPr>
          <w:p>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szCs w:val="21"/>
              </w:rPr>
              <w:t>2020</w:t>
            </w:r>
            <w:r>
              <w:rPr>
                <w:rFonts w:hint="eastAsia" w:cs="宋体" w:asciiTheme="minorEastAsia" w:hAnsiTheme="minorEastAsia"/>
                <w:bCs/>
                <w:szCs w:val="21"/>
                <w:lang w:val="zh-CN"/>
              </w:rPr>
              <w:t xml:space="preserve">年 </w:t>
            </w:r>
            <w:r>
              <w:rPr>
                <w:rFonts w:hint="eastAsia" w:cs="宋体" w:asciiTheme="minorEastAsia" w:hAnsiTheme="minorEastAsia"/>
                <w:bCs/>
                <w:szCs w:val="21"/>
                <w:lang w:val="en-US" w:eastAsia="zh-CN"/>
              </w:rPr>
              <w:t>6</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15</w:t>
            </w:r>
            <w:r>
              <w:rPr>
                <w:rFonts w:hint="eastAsia" w:cs="宋体" w:asciiTheme="minorEastAsia" w:hAnsiTheme="minorEastAsia"/>
                <w:bCs/>
                <w:szCs w:val="21"/>
                <w:lang w:val="zh-CN"/>
              </w:rPr>
              <w:t xml:space="preserve"> 日</w:t>
            </w:r>
            <w:r>
              <w:rPr>
                <w:rFonts w:hint="eastAsia" w:cs="宋体" w:asciiTheme="minorEastAsia" w:hAnsiTheme="minorEastAsia"/>
                <w:bCs/>
                <w:szCs w:val="21"/>
              </w:rPr>
              <w:t>9</w:t>
            </w:r>
            <w:r>
              <w:rPr>
                <w:rFonts w:hint="eastAsia" w:cs="宋体" w:asciiTheme="minorEastAsia" w:hAnsiTheme="minorEastAsia"/>
                <w:bCs/>
                <w:szCs w:val="21"/>
                <w:lang w:val="zh-CN"/>
              </w:rPr>
              <w:t>：</w:t>
            </w:r>
            <w:r>
              <w:rPr>
                <w:rFonts w:hint="eastAsia" w:cs="宋体" w:asciiTheme="minorEastAsia" w:hAnsiTheme="minorEastAsia"/>
                <w:bCs/>
                <w:szCs w:val="21"/>
              </w:rPr>
              <w:t>00</w:t>
            </w:r>
            <w:r>
              <w:rPr>
                <w:rFonts w:hint="eastAsia" w:cs="宋体" w:asciiTheme="minorEastAsia" w:hAnsiTheme="minorEastAsia"/>
                <w:bCs/>
                <w:szCs w:val="21"/>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开启地点</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color w:val="000000"/>
                <w:szCs w:val="21"/>
              </w:rPr>
              <w:t>禹州市公共资源交易中心开标二室（地址：禹州市行政服务中心楼九楼）（</w:t>
            </w:r>
            <w:r>
              <w:rPr>
                <w:rFonts w:hint="eastAsia" w:cs="Arial" w:asciiTheme="minorEastAsia" w:hAnsiTheme="minorEastAsia"/>
                <w:b/>
                <w:color w:val="FF0000"/>
                <w:szCs w:val="21"/>
              </w:rPr>
              <w:t>本项目采用远程不见面谈判，供应商无须到达现场</w:t>
            </w:r>
            <w:r>
              <w:rPr>
                <w:rFonts w:hint="eastAsia" w:cs="Arial" w:asciiTheme="minorEastAsia" w:hAnsiTheme="minor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谈判保证金</w:t>
            </w:r>
          </w:p>
        </w:tc>
        <w:tc>
          <w:tcPr>
            <w:tcW w:w="6813" w:type="dxa"/>
            <w:vAlign w:val="center"/>
          </w:tcPr>
          <w:p>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本项目不收取。</w:t>
            </w:r>
          </w:p>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供应商应提供谈判承诺函。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谈判文件费用</w:t>
            </w:r>
          </w:p>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缴纳方式</w:t>
            </w:r>
          </w:p>
        </w:tc>
        <w:tc>
          <w:tcPr>
            <w:tcW w:w="6813" w:type="dxa"/>
            <w:tcBorders>
              <w:top w:val="single" w:color="auto" w:sz="4" w:space="0"/>
            </w:tcBorders>
            <w:vAlign w:val="center"/>
          </w:tcPr>
          <w:p>
            <w:pPr>
              <w:autoSpaceDE w:val="0"/>
              <w:autoSpaceDN w:val="0"/>
              <w:adjustRightInd w:val="0"/>
              <w:spacing w:line="360" w:lineRule="auto"/>
            </w:pPr>
            <w:r>
              <w:rPr>
                <w:rFonts w:hint="eastAsia"/>
              </w:rPr>
              <w:t>户名：禹州市非税收入管理办公室</w:t>
            </w:r>
          </w:p>
          <w:p>
            <w:pPr>
              <w:pStyle w:val="10"/>
            </w:pPr>
            <w:r>
              <w:rPr>
                <w:rFonts w:hint="eastAsia"/>
              </w:rPr>
              <w:t>开户行及帐号：中原银行禹州支行 0184 0101 8730 0010 0170 001</w:t>
            </w:r>
          </w:p>
          <w:p>
            <w:pPr>
              <w:pStyle w:val="10"/>
            </w:pPr>
            <w:r>
              <w:rPr>
                <w:rFonts w:hint="eastAsia"/>
              </w:rPr>
              <w:t>（投标人须从本公司基本帐户转入且须注明项目名称或采购编号，缴纳回执单复印件附谈判响应文件。）</w:t>
            </w:r>
          </w:p>
          <w:p>
            <w:pPr>
              <w:pStyle w:val="10"/>
            </w:pPr>
            <w:r>
              <w:rPr>
                <w:rFonts w:hint="eastAsia"/>
              </w:rPr>
              <w:t xml:space="preserve">温馨提示： 发票开具联系人  孙女士  15893741177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谈判公告、成交公告、变更（更正）公告、现场勘察答复等相关信息同时在以下网站发布：《中国政府采购网》、《河南省政府采购网》、《许昌市政府采购网》、《全国公共资源交易平台（河南省·许昌市）》、《</w:t>
            </w:r>
            <w:r>
              <w:fldChar w:fldCharType="begin"/>
            </w:r>
            <w:r>
              <w:instrText xml:space="preserve"> HYPERLINK "https://www.baidu.com/link?url=8rmedzOhlAuXDcXgh4Ih79cf3oX63OtO_HyxHSCPnTT6Bb4nFcbI-6b-kaJFEjJrZKGkaq6fZ0YCvibRAKulsXONz3kZBFBKcnun2fra-tu&amp;wd=&amp;eqid=f166cd3a00044721000000025acd62c1" \t "_blank" </w:instrText>
            </w:r>
            <w:r>
              <w:fldChar w:fldCharType="separate"/>
            </w:r>
            <w:r>
              <w:rPr>
                <w:rFonts w:cs="宋体" w:asciiTheme="minorEastAsia" w:hAnsiTheme="minorEastAsia"/>
                <w:color w:val="000000"/>
                <w:szCs w:val="21"/>
              </w:rPr>
              <w:t>中国·许昌许昌市政府网</w:t>
            </w:r>
            <w:r>
              <w:rPr>
                <w:rFonts w:cs="宋体" w:asciiTheme="minorEastAsia" w:hAnsiTheme="minorEastAsia"/>
                <w:color w:val="000000"/>
                <w:szCs w:val="21"/>
              </w:rPr>
              <w:fldChar w:fldCharType="end"/>
            </w:r>
            <w:r>
              <w:rPr>
                <w:rFonts w:hint="eastAsia" w:cs="宋体" w:asciiTheme="minorEastAsia" w:hAnsiTheme="minor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谈判文件时间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谈判响应截止时间3个工作日前（</w:t>
            </w:r>
            <w:r>
              <w:rPr>
                <w:rFonts w:hint="eastAsia" w:cs="仿宋_GB2312" w:asciiTheme="minorEastAsia" w:hAnsiTheme="minorEastAsia"/>
                <w:szCs w:val="21"/>
                <w:lang w:val="zh-CN"/>
              </w:rPr>
              <w:t>澄清内容可能影响谈判响应文件编制的）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 XXX公司XXX项目编号.file）。</w:t>
            </w:r>
          </w:p>
          <w:p>
            <w:pPr>
              <w:autoSpaceDE w:val="0"/>
              <w:autoSpaceDN w:val="0"/>
              <w:adjustRightInd w:val="0"/>
              <w:spacing w:line="360" w:lineRule="auto"/>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电子响应文件和纸质响应文件的内容、格式、水印码、签章应一致。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电子响应文件：按谈判文件要求加盖供应商电子印章和法人电子印章。</w:t>
            </w:r>
          </w:p>
          <w:p>
            <w:pPr>
              <w:autoSpaceDE w:val="0"/>
              <w:autoSpaceDN w:val="0"/>
              <w:adjustRightInd w:val="0"/>
              <w:spacing w:line="420" w:lineRule="exact"/>
              <w:rPr>
                <w:rFonts w:cs="仿宋_GB2312" w:asciiTheme="minorEastAsia" w:hAnsiTheme="minorEastAsia"/>
                <w:szCs w:val="21"/>
                <w:highlight w:val="lightGray"/>
              </w:rPr>
            </w:pPr>
            <w:r>
              <w:rPr>
                <w:rFonts w:hint="eastAsia" w:cs="宋体" w:asciiTheme="minorEastAsia" w:hAnsiTheme="minorEastAsia"/>
                <w:b/>
                <w:bCs/>
                <w:szCs w:val="21"/>
                <w:lang w:val="zh-CN"/>
              </w:rPr>
              <w:t>□</w:t>
            </w:r>
            <w:r>
              <w:rPr>
                <w:rFonts w:hint="eastAsia" w:ascii="新宋体" w:hAnsi="新宋体" w:eastAsia="新宋体"/>
                <w:szCs w:val="21"/>
              </w:rPr>
              <w:t>纸质响应文件：响应文件封面加盖供应商公章（响应文件是指供应商电子响应文件制作完成后生成的后缀名为</w:t>
            </w:r>
            <w:r>
              <w:rPr>
                <w:rFonts w:hint="eastAsia" w:hAnsi="宋体"/>
                <w:color w:val="000000"/>
                <w:szCs w:val="21"/>
              </w:rPr>
              <w:t>“.PDF”的文件</w:t>
            </w:r>
            <w:r>
              <w:rPr>
                <w:rFonts w:hint="eastAsia" w:ascii="新宋体" w:hAnsi="新宋体" w:eastAsia="新宋体"/>
                <w:szCs w:val="21"/>
              </w:rPr>
              <w:t>打印的纸质响应文件）。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谈判小组组建</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由采购人代表和评审专家组成，其中评审专家的人数不少于谈判小组成员总数的三分之二。评审专家从政府采购评审专家库中随机抽取。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pPr>
              <w:autoSpaceDE w:val="0"/>
              <w:autoSpaceDN w:val="0"/>
              <w:adjustRightInd w:val="0"/>
              <w:spacing w:line="360" w:lineRule="auto"/>
              <w:rPr>
                <w:rFonts w:ascii="新宋体" w:hAnsi="新宋体" w:eastAsia="新宋体"/>
                <w:szCs w:val="21"/>
              </w:rPr>
            </w:pPr>
            <w:r>
              <w:rPr>
                <w:rFonts w:hint="eastAsia"/>
                <w:color w:val="000000"/>
              </w:rPr>
              <w:t>质量和服务均能满足谈判文件实质性响应要求且最后报价最低的原则确定成交供应商</w:t>
            </w:r>
            <w:r>
              <w:rPr>
                <w:rFonts w:hint="eastAsia" w:ascii="新宋体" w:hAnsi="新宋体" w:eastAsia="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谈判小组的，须向集中采购机构出具授权函。除授权代表外，采购单位委派纪检监察人员对谈判过程实施监督的须进入禹州市公共资源交易中心九楼电子监督室，并向集中采购代理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无要求</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color w:val="333333"/>
                <w:szCs w:val="21"/>
              </w:rPr>
              <w:t>要求提交。履约保证金的数额为合同金额</w:t>
            </w:r>
            <w:r>
              <w:rPr>
                <w:rFonts w:hint="eastAsia" w:ascii="新宋体" w:hAnsi="新宋体" w:eastAsia="新宋体"/>
                <w:szCs w:val="21"/>
              </w:rPr>
              <w:t>的%</w:t>
            </w:r>
            <w:r>
              <w:rPr>
                <w:rFonts w:hint="eastAsia" w:cs="宋体" w:asciiTheme="minorEastAsia" w:hAnsiTheme="minorEastAsia"/>
                <w:color w:val="333333"/>
                <w:szCs w:val="21"/>
              </w:rPr>
              <w:t>。成交供应商以支票、汇票、本票或者金融机构、担保机构出具的保函等非现金形式向采购人提交。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成交供应商需提交</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333333"/>
                <w:szCs w:val="21"/>
                <w:lang w:val="zh-CN"/>
              </w:rPr>
              <w:t>中标人在接到中标通知时，须向代理机构发送投标报价及分项报价一览表（包含主要中标标的的名称、规格型号、数量、单价、服务要求等）电子文档，并同时通知交易见证部，联系电话：0374-</w:t>
            </w:r>
            <w:r>
              <w:rPr>
                <w:rFonts w:hint="eastAsia" w:cs="宋体" w:asciiTheme="minorEastAsia" w:hAnsiTheme="minorEastAsia"/>
                <w:color w:val="333333"/>
                <w:szCs w:val="21"/>
              </w:rPr>
              <w:t>2077772</w:t>
            </w:r>
            <w:r>
              <w:rPr>
                <w:rFonts w:hint="eastAsia" w:cs="宋体" w:asciiTheme="minorEastAsia" w:hAnsiTheme="minorEastAsia"/>
                <w:color w:val="333333"/>
                <w:szCs w:val="21"/>
                <w:lang w:val="zh-CN"/>
              </w:rPr>
              <w:t>，邮箱：</w:t>
            </w:r>
            <w:r>
              <w:rPr>
                <w:rFonts w:hint="eastAsia" w:cs="宋体" w:asciiTheme="minorEastAsia" w:hAnsiTheme="minorEastAsia"/>
                <w:color w:val="333333"/>
                <w:szCs w:val="21"/>
              </w:rPr>
              <w:t>YZGGZY2076770</w:t>
            </w:r>
            <w:r>
              <w:rPr>
                <w:rFonts w:hint="eastAsia" w:cs="宋体" w:asciiTheme="minorEastAsia" w:hAnsiTheme="minorEastAsia"/>
                <w:color w:val="333333"/>
                <w:szCs w:val="21"/>
                <w:lang w:val="zh-CN"/>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供应商响应时须成功上传、加密电子响应文件。供应商资质、业绩、荣誉及相关人员证明材料等资料原件谈判现场不再提供（本谈判文件第六章另有要求提供原件的除外）。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□否。供应商响应时须提供纸质响应文件。供应商资质、业绩、荣誉及相关人员证明材料等资料原件根据谈判文件要求提供。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28</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最后报价</w:t>
            </w:r>
          </w:p>
        </w:tc>
        <w:tc>
          <w:tcPr>
            <w:tcW w:w="6813" w:type="dxa"/>
            <w:vAlign w:val="center"/>
          </w:tcPr>
          <w:p>
            <w:pPr>
              <w:wordWrap w:val="0"/>
              <w:autoSpaceDE w:val="0"/>
              <w:autoSpaceDN w:val="0"/>
              <w:adjustRightInd w:val="0"/>
              <w:spacing w:line="360" w:lineRule="auto"/>
              <w:contextualSpacing/>
              <w:rPr>
                <w:rFonts w:ascii="ˎ̥" w:hAnsi="ˎ̥"/>
              </w:rPr>
            </w:pPr>
            <w:r>
              <w:rPr>
                <w:rFonts w:hint="eastAsia" w:ascii="ˎ̥" w:hAnsi="ˎ̥"/>
              </w:rPr>
              <w:t>根据谈判小组要求，供应商须使用</w:t>
            </w:r>
            <w:r>
              <w:rPr>
                <w:rFonts w:ascii="ˎ̥" w:hAnsi="ˎ̥"/>
              </w:rPr>
              <w:t>CA数字证书</w:t>
            </w:r>
            <w:r>
              <w:rPr>
                <w:rFonts w:hint="eastAsia" w:ascii="ˎ̥" w:hAnsi="ˎ̥"/>
              </w:rPr>
              <w:t>登录</w:t>
            </w:r>
            <w:r>
              <w:rPr>
                <w:rFonts w:hint="eastAsia" w:hAnsi="宋体"/>
                <w:color w:val="000000"/>
                <w:szCs w:val="21"/>
              </w:rPr>
              <w:t>《全国公共资源交易平台(河南省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t>http://ggzy.xuchang.gov.cn:8088/ggzy/</w:t>
            </w:r>
            <w:r>
              <w:rPr>
                <w:rFonts w:hint="eastAsia" w:hAnsi="宋体"/>
                <w:color w:val="000000"/>
                <w:szCs w:val="21"/>
              </w:rPr>
              <w:t>）进行最后报价，</w:t>
            </w:r>
            <w:r>
              <w:rPr>
                <w:rFonts w:hint="eastAsia" w:ascii="ˎ̥" w:hAnsi="ˎ̥"/>
              </w:rPr>
              <w:t>最后报价应包括：</w:t>
            </w:r>
            <w:r>
              <w:rPr>
                <w:rFonts w:hint="eastAsia" w:asciiTheme="minorEastAsia" w:hAnsiTheme="minorEastAsia"/>
              </w:rPr>
              <w:t>①总报价</w:t>
            </w:r>
            <w:r>
              <w:rPr>
                <w:rFonts w:hint="eastAsia" w:ascii="宋体" w:hAnsi="宋体" w:eastAsia="宋体"/>
              </w:rPr>
              <w:t>②</w:t>
            </w:r>
            <w:r>
              <w:rPr>
                <w:rFonts w:hint="eastAsia" w:ascii="ˎ̥" w:hAnsi="ˎ̥"/>
              </w:rPr>
              <w:t>分项报价。</w:t>
            </w:r>
          </w:p>
          <w:p>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注：</w:t>
            </w:r>
          </w:p>
          <w:p>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olor w:val="000000"/>
                <w:sz w:val="24"/>
                <w:szCs w:val="24"/>
              </w:rPr>
              <w:t>①谈判小组要求供应商提交最后报价时，</w:t>
            </w:r>
            <w:r>
              <w:rPr>
                <w:rFonts w:hint="eastAsia" w:ascii="楷体" w:hAnsi="楷体" w:eastAsia="楷体" w:cs="仿宋_GB2312"/>
                <w:sz w:val="24"/>
                <w:szCs w:val="24"/>
                <w:lang w:val="zh-CN"/>
              </w:rPr>
              <w:t>在谈判小组规定时间内，供应商未提交最后报价则以其初次提交响应文件报价为最后报价。</w:t>
            </w:r>
          </w:p>
          <w:p>
            <w:pPr>
              <w:autoSpaceDE w:val="0"/>
              <w:autoSpaceDN w:val="0"/>
              <w:adjustRightInd w:val="0"/>
              <w:spacing w:line="360" w:lineRule="auto"/>
              <w:ind w:right="-11"/>
              <w:rPr>
                <w:rFonts w:ascii="楷体" w:hAnsi="楷体" w:eastAsia="楷体"/>
                <w:color w:val="000000"/>
                <w:sz w:val="24"/>
                <w:szCs w:val="24"/>
              </w:rPr>
            </w:pPr>
            <w:r>
              <w:rPr>
                <w:rFonts w:hint="eastAsia" w:ascii="楷体" w:hAnsi="楷体" w:eastAsia="楷体"/>
                <w:color w:val="000000"/>
                <w:sz w:val="24"/>
                <w:szCs w:val="24"/>
              </w:rPr>
              <w:t>②采购文件第二章“采购需求”中“采购清单”以工程量清单提供的，供应商应以工程量清单方式提交最后报价。</w:t>
            </w:r>
          </w:p>
          <w:p>
            <w:pPr>
              <w:autoSpaceDE w:val="0"/>
              <w:autoSpaceDN w:val="0"/>
              <w:adjustRightInd w:val="0"/>
              <w:spacing w:line="360" w:lineRule="auto"/>
              <w:ind w:right="-11"/>
              <w:rPr>
                <w:rFonts w:ascii="ˎ̥" w:hAnsi="ˎ̥"/>
              </w:rPr>
            </w:pPr>
            <w:r>
              <w:rPr>
                <w:rFonts w:hint="eastAsia" w:ascii="楷体" w:hAnsi="楷体" w:eastAsia="楷体"/>
                <w:color w:val="000000"/>
                <w:sz w:val="24"/>
                <w:szCs w:val="24"/>
              </w:rPr>
              <w:t>③请供应商根据项目情况，可提前准备分项报价。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29</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813" w:type="dxa"/>
            <w:vAlign w:val="center"/>
          </w:tcPr>
          <w:p>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pPr>
              <w:autoSpaceDE w:val="0"/>
              <w:autoSpaceDN w:val="0"/>
              <w:adjustRightInd w:val="0"/>
              <w:spacing w:line="360" w:lineRule="auto"/>
              <w:contextualSpacing/>
              <w:rPr>
                <w:rFonts w:ascii="ˎ̥" w:hAnsi="ˎ̥"/>
              </w:rPr>
            </w:pPr>
            <w:r>
              <w:rPr>
                <w:rFonts w:hint="eastAsia" w:ascii="ˎ̥" w:hAnsi="ˎ̥"/>
              </w:rPr>
              <w:t>不同供应商电子投标文件制作硬件特征码（网卡MAC地址、CPU序号、硬盘序列号）均一致时，视为‘</w:t>
            </w:r>
            <w:r>
              <w:rPr>
                <w:rFonts w:ascii="ˎ̥" w:hAnsi="ˎ̥"/>
              </w:rPr>
              <w:t>不同</w:t>
            </w:r>
            <w:r>
              <w:rPr>
                <w:rFonts w:hint="eastAsia" w:ascii="ˎ̥" w:hAnsi="ˎ̥"/>
              </w:rPr>
              <w:t>投标人的投标</w:t>
            </w:r>
            <w:r>
              <w:rPr>
                <w:rFonts w:ascii="ˎ̥" w:hAnsi="ˎ̥"/>
              </w:rPr>
              <w:t>文件由同一单位或者个人编制</w:t>
            </w:r>
            <w:r>
              <w:rPr>
                <w:rFonts w:hint="eastAsia" w:ascii="ˎ̥" w:hAnsi="ˎ̥"/>
              </w:rPr>
              <w:t>’或‘</w:t>
            </w:r>
            <w:r>
              <w:rPr>
                <w:rFonts w:ascii="ˎ̥" w:hAnsi="ˎ̥"/>
              </w:rPr>
              <w:t>不同</w:t>
            </w:r>
            <w:r>
              <w:rPr>
                <w:rFonts w:hint="eastAsia" w:ascii="ˎ̥" w:hAnsi="ˎ̥"/>
              </w:rPr>
              <w:t>投标人</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pPr>
              <w:autoSpaceDE w:val="0"/>
              <w:autoSpaceDN w:val="0"/>
              <w:adjustRightInd w:val="0"/>
              <w:spacing w:line="360" w:lineRule="auto"/>
              <w:contextualSpacing/>
              <w:rPr>
                <w:rFonts w:hAnsi="宋体" w:cs="宋体"/>
                <w:szCs w:val="21"/>
                <w:lang w:val="zh-CN"/>
              </w:rPr>
            </w:pPr>
            <w:r>
              <w:rPr>
                <w:rFonts w:hint="eastAsia" w:ascii="ˎ̥" w:hAnsi="ˎ̥"/>
              </w:rPr>
              <w:t>评审专家应严格按照要求查看“硬件特征码” 相关信息并进行评审，在评审报告中显示“不同投标人电子投标文件制作硬件特征码”是否雷同的分析及判定结果。</w:t>
            </w:r>
          </w:p>
        </w:tc>
      </w:tr>
    </w:tbl>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50"/>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50"/>
        <w:numPr>
          <w:ilvl w:val="0"/>
          <w:numId w:val="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本谈判文件仅适用于本次“采购邀请”</w:t>
      </w:r>
      <w:r>
        <w:rPr>
          <w:rFonts w:hint="eastAsia" w:ascii="宋体" w:hAnsi="宋体"/>
          <w:szCs w:val="21"/>
        </w:rPr>
        <w:t xml:space="preserve"> 和“供应商须知前附表”中所述采购项目的采购。</w:t>
      </w:r>
    </w:p>
    <w:p>
      <w:pPr>
        <w:pStyle w:val="50"/>
        <w:numPr>
          <w:ilvl w:val="0"/>
          <w:numId w:val="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pPr>
        <w:pStyle w:val="50"/>
        <w:autoSpaceDE w:val="0"/>
        <w:autoSpaceDN w:val="0"/>
        <w:spacing w:line="360" w:lineRule="auto"/>
        <w:ind w:left="780" w:firstLine="0" w:firstLineChars="0"/>
        <w:contextualSpacing/>
        <w:rPr>
          <w:rFonts w:cs="宋体" w:asciiTheme="minorEastAsia" w:hAnsiTheme="minorEastAsia"/>
          <w:kern w:val="0"/>
          <w:szCs w:val="21"/>
        </w:rPr>
      </w:pPr>
    </w:p>
    <w:p>
      <w:pPr>
        <w:pStyle w:val="50"/>
        <w:autoSpaceDE w:val="0"/>
        <w:autoSpaceDN w:val="0"/>
        <w:spacing w:line="360" w:lineRule="auto"/>
        <w:ind w:left="-424" w:leftChars="-202" w:firstLine="424" w:firstLineChars="201"/>
        <w:contextualSpacing/>
        <w:rPr>
          <w:rFonts w:cs="宋体" w:asciiTheme="minorEastAsia" w:hAnsiTheme="minorEastAsia"/>
          <w:b/>
          <w:kern w:val="0"/>
          <w:szCs w:val="21"/>
        </w:rPr>
      </w:pPr>
      <w:r>
        <w:rPr>
          <w:rFonts w:hint="eastAsia" w:cs="宋体" w:asciiTheme="minorEastAsia" w:hAnsiTheme="minorEastAsia"/>
          <w:b/>
          <w:kern w:val="0"/>
          <w:szCs w:val="21"/>
        </w:rPr>
        <w:t>2.定义</w:t>
      </w:r>
    </w:p>
    <w:p>
      <w:pPr>
        <w:pStyle w:val="50"/>
        <w:numPr>
          <w:ilvl w:val="0"/>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“供应商”系指从采购人、集中采购机构处按规定获取谈判文件，并按照谈判文件向采购人、集中采购机构提交响应文件的供应商。</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“成交供应商”系指成交的供应商。</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color w:val="000000"/>
          <w:szCs w:val="21"/>
        </w:rPr>
        <w:t>“甲方”系指采购人。</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“服务”系指谈判文件规定的供应商为完成采购项目所需承担的全部义务。</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2.8.1        谈判</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pPr>
        <w:pStyle w:val="50"/>
        <w:numPr>
          <w:ilvl w:val="1"/>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谈判文件中凡标有“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autoSpaceDE w:val="0"/>
        <w:autoSpaceDN w:val="0"/>
        <w:spacing w:line="360" w:lineRule="auto"/>
        <w:ind w:firstLine="0" w:firstLineChars="0"/>
        <w:contextualSpacing/>
        <w:rPr>
          <w:rFonts w:cs="宋体" w:asciiTheme="minorEastAsia" w:hAnsiTheme="minorEastAsia"/>
          <w:b/>
          <w:kern w:val="0"/>
          <w:szCs w:val="21"/>
        </w:rPr>
      </w:pPr>
      <w:r>
        <w:rPr>
          <w:rFonts w:hint="eastAsia" w:cs="宋体" w:asciiTheme="minorEastAsia" w:hAnsiTheme="minorEastAsia"/>
          <w:b/>
          <w:kern w:val="0"/>
          <w:szCs w:val="21"/>
        </w:rPr>
        <w:t>3.合格的供应商</w:t>
      </w:r>
    </w:p>
    <w:p>
      <w:pPr>
        <w:pStyle w:val="50"/>
        <w:numPr>
          <w:ilvl w:val="0"/>
          <w:numId w:val="1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在中华人民共和国境内注册，具有本项目生产、制造、供应或实施能力，符合、承认并承诺履行本谈判文件各项规定的法人、其他组织或者自然人。</w:t>
      </w:r>
    </w:p>
    <w:p>
      <w:pPr>
        <w:pStyle w:val="50"/>
        <w:numPr>
          <w:ilvl w:val="1"/>
          <w:numId w:val="1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符合本项目“投标邀请”和“供应商须知前附表”中规定的合格供应商所必须具备的条件。</w:t>
      </w:r>
    </w:p>
    <w:p>
      <w:pPr>
        <w:pStyle w:val="50"/>
        <w:numPr>
          <w:ilvl w:val="1"/>
          <w:numId w:val="11"/>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按照财政部《</w:t>
      </w:r>
      <w:r>
        <w:rPr>
          <w:rFonts w:hint="eastAsia" w:ascii="宋体" w:hAnsi="宋体" w:cs="微软雅黑"/>
          <w:bCs/>
          <w:szCs w:val="21"/>
        </w:rPr>
        <w:t>关于在政府采购活动中查询及使用信用记录有关问题的通知</w:t>
      </w:r>
      <w:r>
        <w:rPr>
          <w:rFonts w:hint="eastAsia" w:ascii="宋体" w:hAnsi="宋体"/>
          <w:szCs w:val="21"/>
        </w:rPr>
        <w:t>》（财库</w:t>
      </w:r>
      <w:r>
        <w:rPr>
          <w:rFonts w:hint="eastAsia" w:ascii="宋体" w:hAnsi="宋体" w:cs="微软雅黑"/>
          <w:bCs/>
          <w:szCs w:val="21"/>
        </w:rPr>
        <w:t>〔2016〕</w:t>
      </w:r>
      <w:r>
        <w:rPr>
          <w:rFonts w:hint="eastAsia" w:ascii="宋体" w:hAnsi="宋体"/>
          <w:szCs w:val="21"/>
        </w:rPr>
        <w:t>125号）要求，</w:t>
      </w:r>
      <w:r>
        <w:rPr>
          <w:rFonts w:hint="eastAsia" w:cs="宋体" w:asciiTheme="minorEastAsia" w:hAnsiTheme="minorEastAsia"/>
          <w:kern w:val="0"/>
          <w:szCs w:val="21"/>
        </w:rPr>
        <w:t>政府采购活动中查询及使用供应商信用记录的具体要求为：供应商未被列入失信被执行人、重大税收违法案件当事人名单、</w:t>
      </w:r>
      <w:r>
        <w:rPr>
          <w:rFonts w:cs="仿宋_GB2312" w:asciiTheme="minorEastAsia" w:hAnsiTheme="minorEastAsia"/>
          <w:color w:val="000000"/>
          <w:szCs w:val="21"/>
          <w:shd w:val="clear" w:color="auto" w:fill="FFFFFF"/>
        </w:rPr>
        <w:t>政府采购严重违法失信行为记录名单</w:t>
      </w:r>
      <w:r>
        <w:rPr>
          <w:rFonts w:hint="eastAsia" w:cs="仿宋_GB2312" w:asciiTheme="minorEastAsia" w:hAnsiTheme="minorEastAsia"/>
          <w:color w:val="000000"/>
          <w:szCs w:val="21"/>
          <w:shd w:val="clear" w:color="auto" w:fill="FFFFFF"/>
        </w:rPr>
        <w:t>、</w:t>
      </w:r>
      <w:r>
        <w:rPr>
          <w:rFonts w:hint="eastAsia" w:cs="宋体" w:asciiTheme="minorEastAsia" w:hAnsiTheme="minorEastAsia"/>
          <w:kern w:val="0"/>
          <w:szCs w:val="21"/>
        </w:rPr>
        <w:t>严重违法失信社会组织名单（联合体形式投标的，联合体成员存在不良信用记录，视同联合体存在不良信用记录）。</w:t>
      </w:r>
    </w:p>
    <w:p>
      <w:pPr>
        <w:pStyle w:val="50"/>
        <w:numPr>
          <w:ilvl w:val="0"/>
          <w:numId w:val="12"/>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）、“中国社会组织公共服务平台”网站（</w:t>
      </w:r>
      <w:r>
        <w:fldChar w:fldCharType="begin"/>
      </w:r>
      <w:r>
        <w:instrText xml:space="preserve"> HYPERLINK "http://www.chinanpo.gov.cn" </w:instrText>
      </w:r>
      <w:r>
        <w:fldChar w:fldCharType="separate"/>
      </w:r>
      <w:r>
        <w:rPr>
          <w:rStyle w:val="30"/>
          <w:rFonts w:cs="宋体" w:asciiTheme="minorEastAsia" w:hAnsiTheme="minorEastAsia"/>
          <w:kern w:val="0"/>
          <w:szCs w:val="21"/>
        </w:rPr>
        <w:t>www.chinanpo.gov.cn</w:t>
      </w:r>
      <w:r>
        <w:rPr>
          <w:rStyle w:val="30"/>
          <w:rFonts w:cs="宋体" w:asciiTheme="minorEastAsia" w:hAnsiTheme="minorEastAsia"/>
          <w:kern w:val="0"/>
          <w:szCs w:val="21"/>
        </w:rPr>
        <w:fldChar w:fldCharType="end"/>
      </w:r>
      <w:r>
        <w:rPr>
          <w:rFonts w:hint="eastAsia" w:cs="宋体" w:asciiTheme="minorEastAsia" w:hAnsiTheme="minorEastAsia"/>
          <w:kern w:val="0"/>
          <w:szCs w:val="21"/>
        </w:rPr>
        <w:t>）；</w:t>
      </w:r>
    </w:p>
    <w:p>
      <w:pPr>
        <w:pStyle w:val="50"/>
        <w:numPr>
          <w:ilvl w:val="0"/>
          <w:numId w:val="12"/>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截止时间：同谈判响应截止时间；</w:t>
      </w:r>
    </w:p>
    <w:p>
      <w:pPr>
        <w:pStyle w:val="50"/>
        <w:numPr>
          <w:ilvl w:val="0"/>
          <w:numId w:val="12"/>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信用信息查询记录和证据留存具体方式：经谈判小组确认的查询结果网页截图作为查询记录和证据，与其他采购文件一并保存；</w:t>
      </w:r>
    </w:p>
    <w:p>
      <w:pPr>
        <w:pStyle w:val="50"/>
        <w:numPr>
          <w:ilvl w:val="0"/>
          <w:numId w:val="12"/>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信用信息的使用原则：经谈判小组认定的被列入失信被执行人、重大税收违法案件当事人名单、</w:t>
      </w:r>
      <w:r>
        <w:rPr>
          <w:rFonts w:cs="仿宋_GB2312" w:asciiTheme="minorEastAsia" w:hAnsiTheme="minorEastAsia"/>
          <w:color w:val="000000"/>
          <w:szCs w:val="21"/>
          <w:shd w:val="clear" w:color="auto" w:fill="FFFFFF"/>
        </w:rPr>
        <w:t>政府采购严重违法失信行为记录名单</w:t>
      </w:r>
      <w:r>
        <w:rPr>
          <w:rFonts w:hint="eastAsia" w:cs="仿宋_GB2312" w:asciiTheme="minorEastAsia" w:hAnsiTheme="minorEastAsia"/>
          <w:color w:val="000000"/>
          <w:szCs w:val="21"/>
          <w:shd w:val="clear" w:color="auto" w:fill="FFFFFF"/>
        </w:rPr>
        <w:t>、</w:t>
      </w:r>
      <w:r>
        <w:rPr>
          <w:rFonts w:hint="eastAsia" w:cs="宋体" w:asciiTheme="minorEastAsia" w:hAnsiTheme="minorEastAsia"/>
          <w:kern w:val="0"/>
          <w:szCs w:val="21"/>
        </w:rPr>
        <w:t>严重违法失信社会组织名单的供应商，将拒绝其参与本次政府采购活动。</w:t>
      </w:r>
    </w:p>
    <w:p>
      <w:pPr>
        <w:pStyle w:val="50"/>
        <w:numPr>
          <w:ilvl w:val="0"/>
          <w:numId w:val="12"/>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供应商无须提供</w:t>
      </w:r>
      <w:r>
        <w:rPr>
          <w:rFonts w:hint="eastAsia" w:ascii="宋体" w:hAnsi="宋体" w:cs="微软雅黑"/>
          <w:bCs/>
          <w:szCs w:val="21"/>
        </w:rPr>
        <w:t>信用记录查询结果网页截屏。</w:t>
      </w:r>
      <w:r>
        <w:rPr>
          <w:rFonts w:hint="eastAsia" w:cs="宋体" w:asciiTheme="minorEastAsia" w:hAnsiTheme="minorEastAsia"/>
          <w:kern w:val="0"/>
          <w:szCs w:val="21"/>
        </w:rPr>
        <w:t>供应商不良信用记录以谈判小组查询结果为准，谈判小组查询之后，网站信息发生的任何变更不再作为评审依据，供应商自行提供的与网站信息不一致的其他证明材料亦不作为评审依据。</w:t>
      </w:r>
    </w:p>
    <w:p>
      <w:pPr>
        <w:pStyle w:val="50"/>
        <w:numPr>
          <w:ilvl w:val="0"/>
          <w:numId w:val="13"/>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单位负责人为同一人或者存在直接控股、管理关系的不同供应商，不得同时参加本项目响应。违反规定的，相关响应均无效。</w:t>
      </w:r>
    </w:p>
    <w:p>
      <w:pPr>
        <w:pStyle w:val="50"/>
        <w:numPr>
          <w:ilvl w:val="0"/>
          <w:numId w:val="13"/>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pPr>
        <w:pStyle w:val="50"/>
        <w:numPr>
          <w:ilvl w:val="0"/>
          <w:numId w:val="13"/>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“投标邀请”和“供应商须知前附表”规定接受联合体投标的，除应符合本章第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pPr>
        <w:pStyle w:val="50"/>
        <w:numPr>
          <w:ilvl w:val="0"/>
          <w:numId w:val="14"/>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在响应文件中向采购人提交联合体协议书，明确联合体各方承担的工作和义务；</w:t>
      </w:r>
    </w:p>
    <w:p>
      <w:pPr>
        <w:pStyle w:val="50"/>
        <w:numPr>
          <w:ilvl w:val="0"/>
          <w:numId w:val="14"/>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联合体中有同类资质的供应商按联合体分工承担相同工作的，应当按照资质等级较低的供应商确定资质等级；</w:t>
      </w:r>
    </w:p>
    <w:p>
      <w:pPr>
        <w:pStyle w:val="50"/>
        <w:numPr>
          <w:ilvl w:val="0"/>
          <w:numId w:val="14"/>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招标人根据采购项目的特殊要求规定供应商特定条件的，联合体各方中至少应当有一方符合采购规定的特定条件；</w:t>
      </w:r>
    </w:p>
    <w:p>
      <w:pPr>
        <w:pStyle w:val="50"/>
        <w:numPr>
          <w:ilvl w:val="0"/>
          <w:numId w:val="14"/>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联合体各方不得再单独参加或者与其他供应商另外组成联合体参加同一合同项下的政府采购活动；</w:t>
      </w:r>
    </w:p>
    <w:p>
      <w:pPr>
        <w:pStyle w:val="50"/>
        <w:numPr>
          <w:ilvl w:val="0"/>
          <w:numId w:val="14"/>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hint="eastAsia"/>
        </w:rPr>
        <w:t>。</w:t>
      </w:r>
    </w:p>
    <w:p>
      <w:pPr>
        <w:pStyle w:val="50"/>
        <w:numPr>
          <w:ilvl w:val="0"/>
          <w:numId w:val="15"/>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50"/>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应当符合谈判文件的要求，并且其质量完全符合国家标准、行业标准或地方标准，均有标准的以高（严格）者为准。没有国家标准、行业标准和企业标准的，按照通常标准或者符合采购目的的特定标准确定。</w:t>
      </w:r>
    </w:p>
    <w:p>
      <w:pPr>
        <w:pStyle w:val="50"/>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pPr>
        <w:pStyle w:val="50"/>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pPr>
        <w:pStyle w:val="50"/>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olor w:val="333333"/>
          <w:szCs w:val="21"/>
          <w:shd w:val="clear" w:color="auto" w:fill="FFFFFF"/>
        </w:rPr>
        <w:t>根据《强制性产品认证管理规定》（质检总局第117号令）要求，</w:t>
      </w:r>
      <w:r>
        <w:rPr>
          <w:rFonts w:hint="eastAsia" w:cs="宋体" w:asciiTheme="minorEastAsia" w:hAnsiTheme="minorEastAsia"/>
          <w:kern w:val="0"/>
          <w:szCs w:val="21"/>
        </w:rPr>
        <w:t>如供应商所投产品被列入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50"/>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根据财政部、工业和信息化部、国家质检总局、国家认监委联合发布</w:t>
      </w:r>
      <w:bookmarkStart w:id="0" w:name="baidusnap0"/>
      <w:bookmarkEnd w:id="0"/>
      <w:r>
        <w:rPr>
          <w:rFonts w:hint="eastAsia" w:cs="宋体" w:asciiTheme="minorEastAsia" w:hAnsiTheme="minorEastAsia"/>
          <w:kern w:val="0"/>
          <w:szCs w:val="21"/>
        </w:rPr>
        <w:t>《关于信息安全产品实施政府采购的通知》（财库[2010]48号）要求，供应商所投产品如被列入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不论采购的结果如何，供应商均应自行承担所有与谈判有关的全部费用，采购人、集中采购机构在任何情况下均无义务和责任承担这些费用。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pPr>
        <w:pStyle w:val="50"/>
        <w:autoSpaceDE w:val="0"/>
        <w:autoSpaceDN w:val="0"/>
        <w:spacing w:line="360" w:lineRule="auto"/>
        <w:ind w:left="964" w:firstLine="0" w:firstLineChars="0"/>
        <w:contextualSpacing/>
        <w:rPr>
          <w:rFonts w:cs="宋体" w:asciiTheme="minorEastAsia" w:hAnsiTheme="minorEastAsia"/>
          <w:kern w:val="0"/>
          <w:szCs w:val="21"/>
        </w:rPr>
      </w:pPr>
      <w:r>
        <w:rPr>
          <w:rFonts w:hint="eastAsia" w:cs="微软雅黑"/>
          <w:color w:val="000000"/>
        </w:rPr>
        <w:t>除标书费用外，不收取费用</w:t>
      </w:r>
      <w:r>
        <w:rPr>
          <w:rFonts w:hint="eastAsia" w:cs="宋体" w:asciiTheme="minorEastAsia" w:hAnsiTheme="minorEastAsia"/>
          <w:kern w:val="0"/>
          <w:szCs w:val="21"/>
        </w:rPr>
        <w:t>。</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本“供应商须知”的条款如与“采购邀请”、“采购需求”、“供应商须知前附表”和“对响应文件审查与评审”就同一内容的表述不一致的，以“采购邀请”、“ 采购需求”、“供应商须知前附表”和“对响应文件审查与评审”中规定的内容为准。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二、谈判文件说明</w:t>
      </w: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谈判文件构成</w:t>
      </w:r>
    </w:p>
    <w:p>
      <w:pPr>
        <w:pStyle w:val="50"/>
        <w:numPr>
          <w:ilvl w:val="0"/>
          <w:numId w:val="1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谈判文件由以下部分组成：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（1）采购邀请（竞争性谈判公告）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（6）对响应文件审查与评审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（7）合同书格式及合同条款</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（9）本项目谈判文件的澄清、答复、修改、补充内容（如有的话）</w:t>
      </w:r>
    </w:p>
    <w:p>
      <w:pPr>
        <w:pStyle w:val="50"/>
        <w:numPr>
          <w:ilvl w:val="0"/>
          <w:numId w:val="1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pPr>
        <w:pStyle w:val="50"/>
        <w:numPr>
          <w:ilvl w:val="0"/>
          <w:numId w:val="1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谈判文件的澄清或修改</w:t>
      </w:r>
    </w:p>
    <w:p>
      <w:pPr>
        <w:pStyle w:val="50"/>
        <w:numPr>
          <w:ilvl w:val="0"/>
          <w:numId w:val="1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在谈判响应截止期前，无论出于何种原因，采购人可主动地或在解答供应商提出的澄清问题时对谈判文件进行修改。</w:t>
      </w:r>
    </w:p>
    <w:p>
      <w:pPr>
        <w:pStyle w:val="50"/>
        <w:numPr>
          <w:ilvl w:val="0"/>
          <w:numId w:val="1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pPr>
        <w:pStyle w:val="50"/>
        <w:numPr>
          <w:ilvl w:val="0"/>
          <w:numId w:val="1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澄清或修改公告的内容为谈判文件的组成部分，并对供应商具有约束力。当谈判文件与澄清或修改公告就同一内容的表述不一致时，以最后发出的文件内容为准。</w:t>
      </w:r>
    </w:p>
    <w:p>
      <w:pPr>
        <w:pStyle w:val="50"/>
        <w:numPr>
          <w:ilvl w:val="0"/>
          <w:numId w:val="1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如果澄清或者修改发出的时间距规定的谈判响应截止时间不足3个工作日的，采购人、集中采购机构将顺延提交响应文件的截止时间。</w:t>
      </w:r>
    </w:p>
    <w:p>
      <w:pPr>
        <w:autoSpaceDE w:val="0"/>
        <w:autoSpaceDN w:val="0"/>
        <w:spacing w:line="360" w:lineRule="auto"/>
        <w:contextualSpacing/>
        <w:rPr>
          <w:rFonts w:cs="宋体" w:asciiTheme="minorEastAsia" w:hAnsiTheme="minorEastAsia"/>
          <w:kern w:val="0"/>
          <w:szCs w:val="21"/>
        </w:rPr>
      </w:pP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pPr>
        <w:pStyle w:val="50"/>
        <w:numPr>
          <w:ilvl w:val="0"/>
          <w:numId w:val="1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pPr>
        <w:pStyle w:val="50"/>
        <w:numPr>
          <w:ilvl w:val="0"/>
          <w:numId w:val="1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响应文件计量单位，谈判文件已有明确规定的，使用谈判文件规定的计量单位；谈判文件没有规定的，一律采用中华人民共和国法定计量单位。</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本次谈判项目的报价均以人民币为计算单位。</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经通知参加谈判的供应商，在谈判结束后还有一次最终报价的机会。</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pPr>
        <w:pStyle w:val="50"/>
        <w:numPr>
          <w:ilvl w:val="0"/>
          <w:numId w:val="2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最低报价不能做为成交的保证。</w:t>
      </w:r>
    </w:p>
    <w:p>
      <w:pPr>
        <w:autoSpaceDE w:val="0"/>
        <w:autoSpaceDN w:val="0"/>
        <w:spacing w:line="360" w:lineRule="auto"/>
        <w:ind w:left="42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pPr>
        <w:pStyle w:val="50"/>
        <w:numPr>
          <w:ilvl w:val="0"/>
          <w:numId w:val="2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pPr>
        <w:pStyle w:val="50"/>
        <w:numPr>
          <w:ilvl w:val="0"/>
          <w:numId w:val="2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采购人可根据实际情况，在原报价有效期截止之前，征询供应商是否同意延长响应文件的有效期，供应商同意延长的须作出书面答复。在延长的报价有效期内，供应商将不会被要求和允许修正其报价。</w:t>
      </w:r>
    </w:p>
    <w:p>
      <w:pPr>
        <w:pStyle w:val="50"/>
        <w:numPr>
          <w:ilvl w:val="0"/>
          <w:numId w:val="2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pPr>
        <w:pStyle w:val="50"/>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响应文件的构成应符合法律法规及谈判文件的要求。</w:t>
      </w:r>
    </w:p>
    <w:p>
      <w:pPr>
        <w:pStyle w:val="50"/>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供应商应当按照谈判文件的要求编制响应文件。响应文件应当对谈判文件提出的要求和条件作出明确响应。</w:t>
      </w:r>
    </w:p>
    <w:p>
      <w:pPr>
        <w:pStyle w:val="50"/>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响应文件由资格证明材料、符合性证明材料、其它材料等组成。</w:t>
      </w:r>
    </w:p>
    <w:p>
      <w:pPr>
        <w:pStyle w:val="50"/>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pPr>
        <w:pStyle w:val="50"/>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供应商登录许昌公共资源交易系统下载“许昌投标文件制作系统SEARUN 最新版本”，按谈判文件要求根据所响应标段制作电子响应文件。 一个标段对应生成一个文件夹（xxxx项目xx标段）,后缀名为“</w:t>
      </w:r>
      <w:r>
        <w:rPr>
          <w:rFonts w:cs="宋体" w:asciiTheme="minorEastAsia" w:hAnsiTheme="minorEastAsia"/>
          <w:kern w:val="0"/>
          <w:szCs w:val="21"/>
        </w:rPr>
        <w:t>.file</w:t>
      </w:r>
      <w:r>
        <w:rPr>
          <w:rFonts w:hint="eastAsia" w:cs="宋体" w:asciiTheme="minorEastAsia" w:hAnsiTheme="minorEastAsia"/>
          <w:kern w:val="0"/>
          <w:szCs w:val="21"/>
        </w:rPr>
        <w:t>”的文件用于电子响应使用。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pPr>
        <w:pStyle w:val="50"/>
        <w:numPr>
          <w:ilvl w:val="0"/>
          <w:numId w:val="2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应参照谈判文件第七部分（响应文件有关格式）的内容要求、编排顺序和格式要求，供应商应按照以上要求将响应文件以A4幅面编上唯一的连贯页码，并在响应文件封面上注明：所投项目名称、项目编号、供应商名称、日期等字样。</w:t>
      </w:r>
    </w:p>
    <w:p>
      <w:pPr>
        <w:pStyle w:val="50"/>
        <w:numPr>
          <w:ilvl w:val="0"/>
          <w:numId w:val="2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供应商应按谈判文件提供的格式编写响应文件。谈判文件未提供标准格式的供应商可自行拟定。</w:t>
      </w:r>
    </w:p>
    <w:p>
      <w:pPr>
        <w:autoSpaceDE w:val="0"/>
        <w:autoSpaceDN w:val="0"/>
        <w:spacing w:line="360" w:lineRule="auto"/>
        <w:ind w:left="42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谈判保证金</w:t>
      </w:r>
    </w:p>
    <w:p>
      <w:pPr>
        <w:pStyle w:val="50"/>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本项目不收取谈判保证金。</w:t>
      </w:r>
    </w:p>
    <w:p>
      <w:pPr>
        <w:pStyle w:val="50"/>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供应商应提供谈判承诺函。</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谈判文件的数量和签署盖章</w:t>
      </w:r>
    </w:p>
    <w:p>
      <w:pPr>
        <w:pStyle w:val="50"/>
        <w:numPr>
          <w:ilvl w:val="0"/>
          <w:numId w:val="2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pPr>
        <w:pStyle w:val="50"/>
        <w:numPr>
          <w:ilvl w:val="0"/>
          <w:numId w:val="2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在谈判文件中已明示需盖章及签名之处，电子响应文件应按谈判文件要求加盖供应商电子印章和法人电子印章或授权代表电子印章。</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四、响应文件的提交</w:t>
      </w: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谈判响应截止时间</w:t>
      </w:r>
    </w:p>
    <w:p>
      <w:pPr>
        <w:pStyle w:val="50"/>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供应商必须在“采购邀请”和“供应商须知前附表”中规定的响应截止时间前，将</w:t>
      </w:r>
      <w:r>
        <w:rPr>
          <w:rFonts w:hint="eastAsia" w:cs="仿宋_GB2312" w:asciiTheme="minorEastAsia" w:hAnsiTheme="minorEastAsia"/>
          <w:color w:val="000000"/>
          <w:szCs w:val="21"/>
        </w:rPr>
        <w:t>加密电子响应文件</w:t>
      </w:r>
      <w:r>
        <w:rPr>
          <w:rFonts w:hint="eastAsia" w:cs="宋体" w:asciiTheme="minorEastAsia" w:hAnsiTheme="minorEastAsia"/>
          <w:color w:val="000000"/>
          <w:szCs w:val="21"/>
        </w:rPr>
        <w:t>（</w:t>
      </w:r>
      <w:r>
        <w:rPr>
          <w:rFonts w:asciiTheme="minorEastAsia" w:hAnsiTheme="minorEastAsia"/>
          <w:color w:val="000000"/>
          <w:szCs w:val="21"/>
        </w:rPr>
        <w:t>.file</w:t>
      </w:r>
      <w:r>
        <w:rPr>
          <w:rFonts w:hint="eastAsia" w:cs="宋体" w:asciiTheme="minorEastAsia" w:hAnsiTheme="minorEastAsia"/>
          <w:color w:val="000000"/>
          <w:szCs w:val="21"/>
        </w:rPr>
        <w:t>格式）</w:t>
      </w:r>
      <w:r>
        <w:rPr>
          <w:rFonts w:hint="eastAsia" w:cs="仿宋_GB2312" w:asciiTheme="minorEastAsia" w:hAnsiTheme="minorEastAsia"/>
          <w:color w:val="000000"/>
          <w:szCs w:val="21"/>
        </w:rPr>
        <w:t>通过《全国公共资源交易平台(河南省</w:t>
      </w:r>
      <w:r>
        <w:rPr>
          <w:rFonts w:hint="eastAsia" w:ascii="MS Mincho" w:hAnsi="MS Mincho" w:eastAsia="MS Mincho" w:cs="MS Mincho"/>
          <w:color w:val="000000"/>
          <w:szCs w:val="21"/>
        </w:rPr>
        <w:t>▪</w:t>
      </w:r>
      <w:r>
        <w:rPr>
          <w:rFonts w:hint="eastAsia" w:ascii="宋体" w:hAnsi="宋体" w:cs="宋体"/>
          <w:color w:val="000000"/>
          <w:szCs w:val="21"/>
        </w:rPr>
        <w:t>许昌市</w:t>
      </w:r>
      <w:r>
        <w:rPr>
          <w:rFonts w:hint="eastAsia" w:cs="仿宋_GB2312" w:asciiTheme="minorEastAsia" w:hAnsiTheme="minorEastAsia"/>
          <w:color w:val="000000"/>
          <w:szCs w:val="21"/>
        </w:rPr>
        <w:t>)》公共资源交易系统成功上传</w:t>
      </w:r>
      <w:r>
        <w:rPr>
          <w:rFonts w:hint="eastAsia" w:cs="宋体" w:asciiTheme="minorEastAsia" w:hAnsiTheme="minorEastAsia"/>
          <w:kern w:val="0"/>
          <w:szCs w:val="21"/>
        </w:rPr>
        <w:t>。</w:t>
      </w:r>
      <w:r>
        <w:rPr>
          <w:rFonts w:hint="eastAsia" w:cs="微软雅黑"/>
          <w:color w:val="000000"/>
        </w:rPr>
        <w:t>在提交截止时间以后上传的响应文件，</w:t>
      </w:r>
      <w:r>
        <w:rPr>
          <w:rFonts w:hint="eastAsia" w:cs="宋体" w:asciiTheme="minorEastAsia" w:hAnsiTheme="minorEastAsia"/>
          <w:kern w:val="0"/>
          <w:szCs w:val="21"/>
        </w:rPr>
        <w:t>采购人、集中采购机构</w:t>
      </w:r>
      <w:r>
        <w:rPr>
          <w:rFonts w:hint="eastAsia" w:cs="微软雅黑"/>
          <w:color w:val="000000"/>
        </w:rPr>
        <w:t>将予以拒绝。</w:t>
      </w:r>
    </w:p>
    <w:p>
      <w:pPr>
        <w:pStyle w:val="50"/>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谈判响应文件截止时间之后上传的响应文件，采购人、集中采购机构将将拒绝接收。</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pPr>
        <w:pStyle w:val="50"/>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供应商在谈判响应截止时间前，对所提交的响应文件进行补充、修改或者撤回的，须书面通知采购人和集中采购机构。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供应商应当在谈判响应截止时间前完成电子响应文件的提交，可以补充、修改或撤回。谈判响应截止时间前未完成电子响应文件提交的，视为撤回响应文件。</w:t>
      </w:r>
    </w:p>
    <w:p>
      <w:pPr>
        <w:pStyle w:val="50"/>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供应商补充、修改的内容并作为响应文件的组成部分。补充或修改应当按谈判文件要求签署、盖章、提交，并应注明“修改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50"/>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供应商不得在响应有效期内撤销响应文件，否则供应商将承担违背响应承诺函的责任追究。</w:t>
      </w:r>
    </w:p>
    <w:p>
      <w:pPr>
        <w:autoSpaceDE w:val="0"/>
        <w:autoSpaceDN w:val="0"/>
        <w:spacing w:line="360" w:lineRule="auto"/>
        <w:ind w:left="420"/>
        <w:contextualSpacing/>
        <w:rPr>
          <w:rFonts w:cs="宋体" w:asciiTheme="minorEastAsia" w:hAnsiTheme="minorEastAsia"/>
          <w:kern w:val="0"/>
          <w:szCs w:val="21"/>
        </w:rPr>
      </w:pPr>
    </w:p>
    <w:p>
      <w:pPr>
        <w:pStyle w:val="50"/>
        <w:numPr>
          <w:ilvl w:val="0"/>
          <w:numId w:val="11"/>
        </w:numPr>
        <w:autoSpaceDE w:val="0"/>
        <w:autoSpaceDN w:val="0"/>
        <w:spacing w:line="360" w:lineRule="auto"/>
        <w:ind w:left="993" w:hanging="993"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五、谈判和评审</w:t>
      </w:r>
    </w:p>
    <w:p>
      <w:pPr>
        <w:pStyle w:val="50"/>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响应文件解密</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采购人将按谈判文件规定的</w:t>
      </w:r>
      <w:r>
        <w:rPr>
          <w:rFonts w:hint="eastAsia" w:cs="仿宋_GB2312" w:asciiTheme="minorEastAsia" w:hAnsiTheme="minorEastAsia"/>
          <w:color w:val="000000"/>
          <w:szCs w:val="21"/>
        </w:rPr>
        <w:t>谈判响应截止时间</w:t>
      </w:r>
      <w:r>
        <w:rPr>
          <w:rFonts w:hint="eastAsia" w:cs="宋体" w:asciiTheme="minorEastAsia" w:hAnsiTheme="minorEastAsia"/>
          <w:kern w:val="0"/>
          <w:szCs w:val="21"/>
        </w:rPr>
        <w:t>和地点解密电子响应文件。由代理机构主持，供应商无须到现场。</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仿宋_GB2312" w:asciiTheme="minorEastAsia" w:hAnsiTheme="minorEastAsia"/>
          <w:color w:val="000000"/>
          <w:szCs w:val="21"/>
        </w:rPr>
        <w:t>谈判响应截止时间</w:t>
      </w:r>
      <w:r>
        <w:rPr>
          <w:rFonts w:hint="eastAsia" w:cs="宋体" w:asciiTheme="minorEastAsia" w:hAnsiTheme="minorEastAsia"/>
          <w:kern w:val="0"/>
          <w:szCs w:val="21"/>
        </w:rPr>
        <w:t>，由代理机构开通远程不见面开标大厅及开启“文字互动”等功能；供应商、代理机构进行电子响应文件的解密。解密后</w:t>
      </w:r>
      <w:r>
        <w:rPr>
          <w:rFonts w:hint="eastAsia" w:asciiTheme="minorEastAsia" w:hAnsiTheme="minorEastAsia"/>
          <w:color w:val="000000"/>
          <w:szCs w:val="21"/>
        </w:rPr>
        <w:t>供应商选择功能栏“开标记录”按钮可查看</w:t>
      </w:r>
      <w:r>
        <w:rPr>
          <w:rFonts w:hint="eastAsia" w:cs="宋体" w:asciiTheme="minorEastAsia" w:hAnsiTheme="minorEastAsia"/>
          <w:kern w:val="0"/>
          <w:szCs w:val="21"/>
        </w:rPr>
        <w:t>供应商名称、修改和撤回投标的通知（如有的话）和谈判文件规定的需要宣布的其他内容。</w:t>
      </w:r>
    </w:p>
    <w:p>
      <w:pPr>
        <w:pStyle w:val="50"/>
        <w:numPr>
          <w:ilvl w:val="0"/>
          <w:numId w:val="29"/>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电子响应文件的解密：全流程电子化交易项目电子响应文件采用双重加密。解密需分标段进行两次解密。</w:t>
      </w:r>
    </w:p>
    <w:p>
      <w:pPr>
        <w:pStyle w:val="50"/>
        <w:numPr>
          <w:ilvl w:val="0"/>
          <w:numId w:val="30"/>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供应商解密：供应商使用本单位CA数字证书进行远程解密。</w:t>
      </w:r>
    </w:p>
    <w:p>
      <w:pPr>
        <w:pStyle w:val="50"/>
        <w:numPr>
          <w:ilvl w:val="0"/>
          <w:numId w:val="30"/>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pStyle w:val="50"/>
        <w:numPr>
          <w:ilvl w:val="0"/>
          <w:numId w:val="30"/>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asciiTheme="minorEastAsia" w:hAnsiTheme="minorEastAsia"/>
          <w:color w:val="000000"/>
          <w:szCs w:val="21"/>
        </w:rPr>
        <w:t>供应商未在规定时间内解密或</w:t>
      </w:r>
      <w:r>
        <w:rPr>
          <w:rFonts w:hint="eastAsia" w:cs="宋体" w:asciiTheme="minorEastAsia" w:hAnsiTheme="minorEastAsia"/>
          <w:kern w:val="0"/>
          <w:szCs w:val="21"/>
        </w:rPr>
        <w:t>因供应商原因解密失败的，其响应文件将被拒绝。</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供应商不足3家的，本项目谈判活动终止。（如符合《《政府采购非招标采购方式管理办法》》（财政部令第74号）第二十七条第二款中的</w:t>
      </w:r>
      <w:r>
        <w:rPr>
          <w:rFonts w:hint="eastAsia" w:ascii="Arial" w:hAnsi="Arial" w:cs="Arial"/>
          <w:color w:val="333333"/>
          <w:szCs w:val="21"/>
          <w:shd w:val="clear" w:color="auto" w:fill="FFFFFF"/>
        </w:rPr>
        <w:t>情形的，</w:t>
      </w:r>
      <w:r>
        <w:rPr>
          <w:rFonts w:hint="eastAsia" w:cs="宋体" w:asciiTheme="minorEastAsia" w:hAnsiTheme="minorEastAsia"/>
          <w:kern w:val="0"/>
          <w:szCs w:val="21"/>
        </w:rPr>
        <w:t>供应商最低数量可以为两家）</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响应文件解密过程由集中采购机构负责记录。</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供应商对解密过程和记录有疑义，以及认为采购人、集中采购机构相关工作人员有需要回避的情形的，应当场提出询问或者回避申请。采购人、采购代理机构对供应商提出的询问或者回避申请应当及时处理。</w:t>
      </w:r>
    </w:p>
    <w:p>
      <w:pPr>
        <w:pStyle w:val="50"/>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asciiTheme="minorEastAsia" w:hAnsiTheme="minorEastAsia"/>
          <w:color w:val="000000"/>
          <w:szCs w:val="21"/>
        </w:rPr>
        <w:t>响应文件</w:t>
      </w:r>
      <w:r>
        <w:rPr>
          <w:rFonts w:hint="eastAsia" w:hAnsi="宋体"/>
          <w:color w:val="000000"/>
          <w:szCs w:val="21"/>
        </w:rPr>
        <w:t>解密活动结束时，供应商应在《开标记录表》上进行电子签章。供应商未签章的，视同认可解密结果。</w:t>
      </w:r>
    </w:p>
    <w:p>
      <w:pPr>
        <w:pStyle w:val="50"/>
        <w:autoSpaceDE w:val="0"/>
        <w:autoSpaceDN w:val="0"/>
        <w:spacing w:line="360" w:lineRule="auto"/>
        <w:ind w:left="420" w:firstLine="0" w:firstLineChars="0"/>
        <w:contextualSpacing/>
        <w:rPr>
          <w:rFonts w:cs="宋体" w:asciiTheme="minorEastAsia" w:hAnsiTheme="minorEastAsia"/>
          <w:kern w:val="0"/>
          <w:szCs w:val="21"/>
        </w:rPr>
      </w:pP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3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谈判小组组成</w:t>
      </w: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w:t>
      </w:r>
      <w:r>
        <w:rPr>
          <w:rFonts w:ascii="ˎ̥" w:hAnsi="ˎ̥"/>
        </w:rPr>
        <w:t>由采购人代表和评审专家共3人以上单数组成，其中评审专家人数不得少于竞争性谈判小组成员总数</w:t>
      </w:r>
      <w:r>
        <w:rPr>
          <w:rFonts w:hint="eastAsia" w:cs="宋体" w:asciiTheme="minorEastAsia" w:hAnsiTheme="minorEastAsia"/>
          <w:kern w:val="0"/>
          <w:szCs w:val="21"/>
        </w:rPr>
        <w:t>的三分之二。评审专家依法从政府采购评审专家库中随机抽取。</w:t>
      </w:r>
    </w:p>
    <w:p>
      <w:pPr>
        <w:pStyle w:val="50"/>
        <w:numPr>
          <w:ilvl w:val="0"/>
          <w:numId w:val="33"/>
        </w:numPr>
        <w:autoSpaceDE w:val="0"/>
        <w:autoSpaceDN w:val="0"/>
        <w:spacing w:line="360" w:lineRule="auto"/>
        <w:ind w:hanging="1369"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pPr>
        <w:pStyle w:val="50"/>
        <w:numPr>
          <w:ilvl w:val="0"/>
          <w:numId w:val="33"/>
        </w:numPr>
        <w:autoSpaceDE w:val="0"/>
        <w:autoSpaceDN w:val="0"/>
        <w:spacing w:line="360" w:lineRule="auto"/>
        <w:ind w:hanging="1369" w:firstLineChars="0"/>
        <w:contextualSpacing/>
        <w:rPr>
          <w:rFonts w:cs="宋体" w:asciiTheme="minorEastAsia" w:hAnsiTheme="minorEastAsia"/>
          <w:kern w:val="0"/>
          <w:szCs w:val="21"/>
        </w:rPr>
      </w:pPr>
      <w:r>
        <w:rPr>
          <w:rFonts w:ascii="ˎ̥" w:hAnsi="ˎ̥"/>
        </w:rPr>
        <w:t>达到公开招标数额标准的货物或者服务采购项目，或者达到招标规模标准的政府采购工程，竞争性谈判小组应当由5人以上单数组成</w:t>
      </w:r>
      <w:r>
        <w:rPr>
          <w:rFonts w:hint="eastAsia" w:ascii="ˎ̥" w:hAnsi="ˎ̥"/>
        </w:rPr>
        <w:t>。</w:t>
      </w:r>
    </w:p>
    <w:p>
      <w:pPr>
        <w:pStyle w:val="50"/>
        <w:numPr>
          <w:ilvl w:val="1"/>
          <w:numId w:val="31"/>
        </w:numPr>
        <w:autoSpaceDE w:val="0"/>
        <w:autoSpaceDN w:val="0"/>
        <w:spacing w:line="360" w:lineRule="auto"/>
        <w:ind w:firstLineChars="0"/>
        <w:contextualSpacing/>
        <w:rPr>
          <w:rFonts w:ascii="ˎ̥" w:hAnsi="ˎ̥"/>
          <w:vanish/>
        </w:rPr>
      </w:pP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谈判小组成员与供应商存在下列利害关系之一的,应当回避：</w:t>
      </w:r>
    </w:p>
    <w:p>
      <w:pPr>
        <w:pStyle w:val="50"/>
        <w:numPr>
          <w:ilvl w:val="0"/>
          <w:numId w:val="34"/>
        </w:numPr>
        <w:autoSpaceDE w:val="0"/>
        <w:autoSpaceDN w:val="0"/>
        <w:spacing w:line="360" w:lineRule="auto"/>
        <w:ind w:hanging="1369" w:firstLineChars="0"/>
        <w:contextualSpacing/>
        <w:rPr>
          <w:rFonts w:ascii="ˎ̥" w:hAnsi="ˎ̥"/>
        </w:rPr>
      </w:pPr>
      <w:r>
        <w:rPr>
          <w:rFonts w:hint="eastAsia" w:ascii="ˎ̥" w:hAnsi="ˎ̥"/>
        </w:rPr>
        <w:t>参加采购活动前三年内,与供应商存在劳动关系,或者担任过供应商的董事、监事,或者是供应商的控股股东或实际控制人；</w:t>
      </w:r>
    </w:p>
    <w:p>
      <w:pPr>
        <w:pStyle w:val="50"/>
        <w:numPr>
          <w:ilvl w:val="0"/>
          <w:numId w:val="34"/>
        </w:numPr>
        <w:autoSpaceDE w:val="0"/>
        <w:autoSpaceDN w:val="0"/>
        <w:spacing w:line="360" w:lineRule="auto"/>
        <w:ind w:hanging="1369" w:firstLineChars="0"/>
        <w:contextualSpacing/>
        <w:rPr>
          <w:rFonts w:ascii="ˎ̥" w:hAnsi="ˎ̥"/>
        </w:rPr>
      </w:pPr>
      <w:r>
        <w:rPr>
          <w:rFonts w:hint="eastAsia" w:ascii="ˎ̥" w:hAnsi="ˎ̥"/>
        </w:rPr>
        <w:t>与供应商的法定代表人或者负责人有夫妻、直系血亲、三代以内旁系血亲或者近姻亲关系；</w:t>
      </w:r>
    </w:p>
    <w:p>
      <w:pPr>
        <w:pStyle w:val="50"/>
        <w:numPr>
          <w:ilvl w:val="0"/>
          <w:numId w:val="34"/>
        </w:numPr>
        <w:autoSpaceDE w:val="0"/>
        <w:autoSpaceDN w:val="0"/>
        <w:spacing w:line="360" w:lineRule="auto"/>
        <w:ind w:hanging="1369" w:firstLineChars="0"/>
        <w:contextualSpacing/>
        <w:rPr>
          <w:rFonts w:ascii="ˎ̥" w:hAnsi="ˎ̥"/>
        </w:rPr>
      </w:pPr>
      <w:r>
        <w:rPr>
          <w:rFonts w:hint="eastAsia" w:ascii="ˎ̥" w:hAnsi="ˎ̥"/>
        </w:rPr>
        <w:t>与供应商有其他可能影响政府采购活动公平、公正进行的关系。</w:t>
      </w:r>
    </w:p>
    <w:p>
      <w:pPr>
        <w:pStyle w:val="50"/>
        <w:numPr>
          <w:ilvl w:val="0"/>
          <w:numId w:val="35"/>
        </w:numPr>
        <w:autoSpaceDE w:val="0"/>
        <w:autoSpaceDN w:val="0"/>
        <w:spacing w:line="360" w:lineRule="auto"/>
        <w:ind w:firstLineChars="0"/>
        <w:contextualSpacing/>
        <w:rPr>
          <w:rFonts w:cs="宋体" w:asciiTheme="minorEastAsia" w:hAnsiTheme="minorEastAsia"/>
          <w:vanish/>
          <w:kern w:val="0"/>
          <w:szCs w:val="21"/>
        </w:rPr>
      </w:pP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采购人不得担任谈判小组组长。</w:t>
      </w:r>
    </w:p>
    <w:p>
      <w:pPr>
        <w:pStyle w:val="50"/>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谈判小组成员名单在成交结果公告前应当保密。</w:t>
      </w:r>
    </w:p>
    <w:p>
      <w:pPr>
        <w:autoSpaceDE w:val="0"/>
        <w:autoSpaceDN w:val="0"/>
        <w:spacing w:line="360" w:lineRule="auto"/>
        <w:ind w:left="420"/>
        <w:contextualSpacing/>
        <w:rPr>
          <w:rFonts w:cs="宋体" w:asciiTheme="minorEastAsia" w:hAnsiTheme="minorEastAsia"/>
          <w:kern w:val="0"/>
          <w:szCs w:val="21"/>
        </w:rPr>
      </w:pPr>
    </w:p>
    <w:p>
      <w:pPr>
        <w:pStyle w:val="50"/>
        <w:numPr>
          <w:ilvl w:val="0"/>
          <w:numId w:val="3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pPr>
        <w:pStyle w:val="50"/>
        <w:numPr>
          <w:ilvl w:val="0"/>
          <w:numId w:val="3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资格审查：谈判小组依据有关法律法规和谈判文件的规定对供应商的资格进行审查。</w:t>
      </w:r>
    </w:p>
    <w:p>
      <w:pPr>
        <w:pStyle w:val="50"/>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pPr>
        <w:pStyle w:val="50"/>
        <w:numPr>
          <w:ilvl w:val="0"/>
          <w:numId w:val="11"/>
        </w:numPr>
        <w:autoSpaceDE w:val="0"/>
        <w:autoSpaceDN w:val="0"/>
        <w:spacing w:line="360" w:lineRule="auto"/>
        <w:ind w:firstLineChars="0"/>
        <w:contextualSpacing/>
        <w:rPr>
          <w:rFonts w:cs="宋体" w:asciiTheme="minorEastAsia" w:hAnsiTheme="minorEastAsia"/>
          <w:vanish/>
          <w:kern w:val="0"/>
          <w:szCs w:val="21"/>
        </w:rPr>
      </w:pPr>
    </w:p>
    <w:p>
      <w:pPr>
        <w:pStyle w:val="50"/>
        <w:numPr>
          <w:ilvl w:val="0"/>
          <w:numId w:val="11"/>
        </w:numPr>
        <w:autoSpaceDE w:val="0"/>
        <w:autoSpaceDN w:val="0"/>
        <w:spacing w:line="360" w:lineRule="auto"/>
        <w:ind w:firstLineChars="0"/>
        <w:contextualSpacing/>
        <w:rPr>
          <w:rFonts w:cs="宋体" w:asciiTheme="minorEastAsia" w:hAnsiTheme="minorEastAsia"/>
          <w:vanish/>
          <w:kern w:val="0"/>
          <w:szCs w:val="21"/>
        </w:rPr>
      </w:pPr>
    </w:p>
    <w:p>
      <w:pPr>
        <w:pStyle w:val="50"/>
        <w:numPr>
          <w:ilvl w:val="1"/>
          <w:numId w:val="11"/>
        </w:numPr>
        <w:autoSpaceDE w:val="0"/>
        <w:autoSpaceDN w:val="0"/>
        <w:spacing w:line="360" w:lineRule="auto"/>
        <w:ind w:firstLineChars="0"/>
        <w:contextualSpacing/>
        <w:rPr>
          <w:rFonts w:cs="宋体" w:asciiTheme="minorEastAsia" w:hAnsiTheme="minorEastAsia"/>
          <w:vanish/>
          <w:kern w:val="0"/>
          <w:szCs w:val="21"/>
        </w:rPr>
      </w:pPr>
    </w:p>
    <w:p>
      <w:pPr>
        <w:pStyle w:val="50"/>
        <w:numPr>
          <w:ilvl w:val="0"/>
          <w:numId w:val="3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符合性审查：依据谈判文件的规定，从响应文件的有效性、完整性和对谈判文件的响应程度进行审查，以确定是否对谈判文件的全部实质性要求作出响应。</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3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pPr>
        <w:pStyle w:val="50"/>
        <w:numPr>
          <w:ilvl w:val="0"/>
          <w:numId w:val="37"/>
        </w:numPr>
        <w:autoSpaceDE w:val="0"/>
        <w:autoSpaceDN w:val="0"/>
        <w:spacing w:line="360" w:lineRule="auto"/>
        <w:ind w:hanging="964" w:firstLineChars="0"/>
        <w:contextualSpacing/>
        <w:rPr>
          <w:rFonts w:cs="宋体" w:asciiTheme="minorEastAsia" w:hAnsiTheme="minorEastAsia"/>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r>
        <w:rPr>
          <w:rFonts w:hint="eastAsia" w:ascii="ˎ̥" w:hAnsi="ˎ̥"/>
        </w:rPr>
        <w:t>。</w:t>
      </w:r>
    </w:p>
    <w:p>
      <w:pPr>
        <w:pStyle w:val="50"/>
        <w:numPr>
          <w:ilvl w:val="0"/>
          <w:numId w:val="3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。供应商的澄清、说明或者补正不得超出</w:t>
      </w:r>
      <w:r>
        <w:rPr>
          <w:rFonts w:hint="eastAsia" w:cs="宋体" w:asciiTheme="minorEastAsia" w:hAnsiTheme="minorEastAsia"/>
          <w:kern w:val="0"/>
          <w:szCs w:val="21"/>
        </w:rPr>
        <w:t>投标文件的范围或者改变响应文件的实质性内容。</w:t>
      </w:r>
    </w:p>
    <w:p>
      <w:pPr>
        <w:pStyle w:val="50"/>
        <w:numPr>
          <w:ilvl w:val="0"/>
          <w:numId w:val="3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3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pPr>
        <w:pStyle w:val="50"/>
        <w:numPr>
          <w:ilvl w:val="1"/>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pPr>
        <w:pStyle w:val="50"/>
        <w:numPr>
          <w:ilvl w:val="1"/>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pPr>
        <w:pStyle w:val="50"/>
        <w:numPr>
          <w:ilvl w:val="1"/>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25.2规定经供应商确认后产生约束力，供应商不确认的，为无效报价。</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3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pPr>
        <w:pStyle w:val="50"/>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0"/>
        </w:numPr>
        <w:autoSpaceDE w:val="0"/>
        <w:autoSpaceDN w:val="0"/>
        <w:spacing w:line="360" w:lineRule="auto"/>
        <w:ind w:firstLine="0" w:firstLineChars="0"/>
        <w:contextualSpacing/>
        <w:rPr>
          <w:rFonts w:cs="宋体" w:asciiTheme="minorEastAsia" w:hAnsiTheme="minorEastAsia"/>
          <w:vanish/>
          <w:kern w:val="0"/>
          <w:szCs w:val="21"/>
        </w:rPr>
      </w:pP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未按照谈判文件的规定提交响应承诺函的；</w:t>
      </w: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响应文件未按谈判文件要求签署、盖章的；</w:t>
      </w: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不具备谈判文件中规定的资格要求的；</w:t>
      </w: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报价超过谈判文件中规定的预算金额的；</w:t>
      </w: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投标文件内容模糊清，无法辨认的；</w:t>
      </w:r>
    </w:p>
    <w:p>
      <w:pPr>
        <w:pStyle w:val="50"/>
        <w:numPr>
          <w:ilvl w:val="0"/>
          <w:numId w:val="41"/>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pPr>
        <w:pStyle w:val="50"/>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有下列情形之一的，视为供应商串通谈判，其响应无效：</w:t>
      </w:r>
    </w:p>
    <w:p>
      <w:pPr>
        <w:pStyle w:val="50"/>
        <w:numPr>
          <w:ilvl w:val="0"/>
          <w:numId w:val="4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不同供应商的响应文件由同一单位或者个人编制；</w:t>
      </w:r>
    </w:p>
    <w:p>
      <w:pPr>
        <w:pStyle w:val="50"/>
        <w:numPr>
          <w:ilvl w:val="0"/>
          <w:numId w:val="4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不同供应商委托同一单位或者个人办理响应事宜；</w:t>
      </w:r>
    </w:p>
    <w:p>
      <w:pPr>
        <w:pStyle w:val="50"/>
        <w:numPr>
          <w:ilvl w:val="0"/>
          <w:numId w:val="4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不同供应商的响应文件载明的项目管理成员或者联系人员为同一人；</w:t>
      </w:r>
    </w:p>
    <w:p>
      <w:pPr>
        <w:pStyle w:val="50"/>
        <w:numPr>
          <w:ilvl w:val="0"/>
          <w:numId w:val="4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不同供应商的响应文件异常一致或者投标报价呈规律性差异；</w:t>
      </w:r>
    </w:p>
    <w:p>
      <w:pPr>
        <w:pStyle w:val="50"/>
        <w:numPr>
          <w:ilvl w:val="0"/>
          <w:numId w:val="4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不同供应商的响应文件相互混装。</w:t>
      </w:r>
    </w:p>
    <w:p>
      <w:pPr>
        <w:pStyle w:val="50"/>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按照《关于推进全流程电子化交易和在线监管工作有关问题的通知》（许公管办[2019]3号）规定，不同供应商电子响应文件制作硬件特征码（网卡MAC地址、CPU序号、硬盘序列号）均一致时，视为‘</w:t>
      </w:r>
      <w:r>
        <w:rPr>
          <w:rFonts w:cs="宋体" w:asciiTheme="minorEastAsia" w:hAnsiTheme="minorEastAsia"/>
          <w:kern w:val="0"/>
          <w:szCs w:val="21"/>
        </w:rPr>
        <w:t>不同</w:t>
      </w:r>
      <w:r>
        <w:rPr>
          <w:rFonts w:hint="eastAsia" w:cs="宋体" w:asciiTheme="minorEastAsia" w:hAnsiTheme="minorEastAsia"/>
          <w:kern w:val="0"/>
          <w:szCs w:val="21"/>
        </w:rPr>
        <w:t>供应商</w:t>
      </w:r>
      <w:r>
        <w:rPr>
          <w:rFonts w:cs="宋体" w:asciiTheme="minorEastAsia" w:hAnsiTheme="minorEastAsia"/>
          <w:kern w:val="0"/>
          <w:szCs w:val="21"/>
        </w:rPr>
        <w:t>的</w:t>
      </w:r>
      <w:r>
        <w:rPr>
          <w:rFonts w:hint="eastAsia" w:cs="宋体" w:asciiTheme="minorEastAsia" w:hAnsiTheme="minorEastAsia"/>
          <w:kern w:val="0"/>
          <w:szCs w:val="21"/>
        </w:rPr>
        <w:t>响应</w:t>
      </w:r>
      <w:r>
        <w:rPr>
          <w:rFonts w:cs="宋体" w:asciiTheme="minorEastAsia" w:hAnsiTheme="minorEastAsia"/>
          <w:kern w:val="0"/>
          <w:szCs w:val="21"/>
        </w:rPr>
        <w:t>文件由同一单位或者个人编制</w:t>
      </w:r>
      <w:r>
        <w:rPr>
          <w:rFonts w:hint="eastAsia" w:cs="宋体" w:asciiTheme="minorEastAsia" w:hAnsiTheme="minorEastAsia"/>
          <w:kern w:val="0"/>
          <w:szCs w:val="21"/>
        </w:rPr>
        <w:t>’或‘</w:t>
      </w:r>
      <w:r>
        <w:rPr>
          <w:rFonts w:cs="宋体" w:asciiTheme="minorEastAsia" w:hAnsiTheme="minorEastAsia"/>
          <w:kern w:val="0"/>
          <w:szCs w:val="21"/>
        </w:rPr>
        <w:t>不同</w:t>
      </w:r>
      <w:r>
        <w:rPr>
          <w:rFonts w:hint="eastAsia" w:cs="宋体" w:asciiTheme="minorEastAsia" w:hAnsiTheme="minorEastAsia"/>
          <w:kern w:val="0"/>
          <w:szCs w:val="21"/>
        </w:rPr>
        <w:t>供应商</w:t>
      </w:r>
      <w:r>
        <w:rPr>
          <w:rFonts w:cs="宋体" w:asciiTheme="minorEastAsia" w:hAnsiTheme="minorEastAsia"/>
          <w:kern w:val="0"/>
          <w:szCs w:val="21"/>
        </w:rPr>
        <w:t>委托同一单位或者个人办理</w:t>
      </w:r>
      <w:r>
        <w:rPr>
          <w:rFonts w:hint="eastAsia" w:cs="宋体" w:asciiTheme="minorEastAsia" w:hAnsiTheme="minorEastAsia"/>
          <w:kern w:val="0"/>
          <w:szCs w:val="21"/>
        </w:rPr>
        <w:t>响应</w:t>
      </w:r>
      <w:r>
        <w:rPr>
          <w:rFonts w:cs="宋体" w:asciiTheme="minorEastAsia" w:hAnsiTheme="minorEastAsia"/>
          <w:kern w:val="0"/>
          <w:szCs w:val="21"/>
        </w:rPr>
        <w:t>事宜</w:t>
      </w:r>
      <w:r>
        <w:rPr>
          <w:rFonts w:hint="eastAsia" w:cs="宋体" w:asciiTheme="minorEastAsia" w:hAnsiTheme="minorEastAsia"/>
          <w:kern w:val="0"/>
          <w:szCs w:val="21"/>
        </w:rPr>
        <w:t>’，其谈判响应无效。</w:t>
      </w:r>
    </w:p>
    <w:p>
      <w:pPr>
        <w:pStyle w:val="50"/>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法律、法规和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r>
        <w:rPr>
          <w:rFonts w:hint="eastAsia" w:cs="宋体" w:asciiTheme="minorEastAsia" w:hAnsiTheme="minorEastAsia"/>
          <w:kern w:val="0"/>
          <w:szCs w:val="21"/>
        </w:rPr>
        <w:t>。</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3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响应文件评审与谈判</w:t>
      </w:r>
    </w:p>
    <w:p>
      <w:pPr>
        <w:pStyle w:val="50"/>
        <w:numPr>
          <w:ilvl w:val="0"/>
          <w:numId w:val="43"/>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hint="eastAsia" w:cs="宋体" w:asciiTheme="minorEastAsia" w:hAnsiTheme="minorEastAsia"/>
          <w:kern w:val="0"/>
          <w:szCs w:val="21"/>
        </w:rPr>
        <w:t>。</w:t>
      </w:r>
    </w:p>
    <w:p>
      <w:pPr>
        <w:pStyle w:val="50"/>
        <w:numPr>
          <w:ilvl w:val="0"/>
          <w:numId w:val="43"/>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谈判小组所有成员应当集中与单一供应商分别进行谈判，并给予所有参加谈判的供应商平等的谈判机会</w:t>
      </w:r>
      <w:r>
        <w:rPr>
          <w:rFonts w:hint="eastAsia" w:ascii="ˎ̥" w:hAnsi="ˎ̥"/>
        </w:rPr>
        <w:t>。</w:t>
      </w:r>
    </w:p>
    <w:p>
      <w:pPr>
        <w:pStyle w:val="50"/>
        <w:numPr>
          <w:ilvl w:val="0"/>
          <w:numId w:val="4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微软雅黑"/>
          <w:color w:val="000000"/>
        </w:rPr>
        <w:t>在谈判中，谈判的任何一方不得透露与谈判有关的其他供应商的技术资料、价格和其他信息。</w:t>
      </w:r>
    </w:p>
    <w:p>
      <w:pPr>
        <w:pStyle w:val="50"/>
        <w:numPr>
          <w:ilvl w:val="0"/>
          <w:numId w:val="43"/>
        </w:numPr>
        <w:autoSpaceDE w:val="0"/>
        <w:autoSpaceDN w:val="0"/>
        <w:spacing w:line="360" w:lineRule="auto"/>
        <w:ind w:left="993" w:hanging="993" w:firstLineChars="0"/>
        <w:contextualSpacing/>
        <w:rPr>
          <w:rFonts w:cs="微软雅黑"/>
          <w:color w:val="000000"/>
        </w:rPr>
      </w:pPr>
      <w:r>
        <w:rPr>
          <w:rFonts w:cs="微软雅黑"/>
          <w:color w:val="000000"/>
        </w:rPr>
        <w:t>在谈判过程中，谈判小组可以根据谈判文件和谈判情况实质性变动采购需求中的技术、服务要求以及合同草案条款，但不得变动谈判文件中的其他内容。实质性变动的内容，须经采购人代表确认</w:t>
      </w:r>
      <w:r>
        <w:rPr>
          <w:rFonts w:hint="eastAsia" w:cs="微软雅黑"/>
          <w:color w:val="000000"/>
        </w:rPr>
        <w:t>。</w:t>
      </w:r>
      <w:r>
        <w:rPr>
          <w:rFonts w:cs="微软雅黑"/>
          <w:color w:val="000000"/>
        </w:rPr>
        <w:t>对谈判文件作出的实质性变动是谈判文件的有效组成部分，谈判小组应当及时以书面形式同时通知所有参加谈判的供应商</w:t>
      </w:r>
      <w:r>
        <w:rPr>
          <w:rFonts w:hint="eastAsia" w:cs="微软雅黑"/>
          <w:color w:val="000000"/>
        </w:rPr>
        <w:t>。</w:t>
      </w:r>
    </w:p>
    <w:p>
      <w:pPr>
        <w:pStyle w:val="50"/>
        <w:numPr>
          <w:ilvl w:val="0"/>
          <w:numId w:val="43"/>
        </w:numPr>
        <w:autoSpaceDE w:val="0"/>
        <w:autoSpaceDN w:val="0"/>
        <w:spacing w:line="360" w:lineRule="auto"/>
        <w:ind w:left="964" w:hanging="993" w:firstLineChars="0"/>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hint="eastAsia" w:ascii="ˎ̥" w:hAnsi="ˎ̥"/>
        </w:rPr>
        <w:t>。</w:t>
      </w:r>
    </w:p>
    <w:p>
      <w:pPr>
        <w:pStyle w:val="50"/>
        <w:numPr>
          <w:ilvl w:val="0"/>
          <w:numId w:val="43"/>
        </w:numPr>
        <w:autoSpaceDE w:val="0"/>
        <w:autoSpaceDN w:val="0"/>
        <w:spacing w:line="360" w:lineRule="auto"/>
        <w:ind w:left="964" w:hanging="993" w:firstLineChars="0"/>
        <w:contextualSpacing/>
        <w:rPr>
          <w:rFonts w:ascii="ˎ̥" w:hAnsi="ˎ̥"/>
        </w:rPr>
      </w:pPr>
      <w:r>
        <w:rPr>
          <w:rFonts w:ascii="ˎ̥" w:hAnsi="ˎ̥"/>
        </w:rPr>
        <w:t>谈判文件能够详细列明采购标的的技术、服务要求的，谈判结束后，谈判小组应当要求所有继续参加谈判的供应商在规定时间内提交最后报价，提交最后报价的供应商不得少于3家</w:t>
      </w:r>
      <w:r>
        <w:rPr>
          <w:rFonts w:hint="eastAsia" w:ascii="ˎ̥" w:hAnsi="ˎ̥"/>
        </w:rPr>
        <w:t>。</w:t>
      </w:r>
      <w:r>
        <w:rPr>
          <w:rFonts w:hint="eastAsia" w:cs="宋体" w:asciiTheme="minorEastAsia" w:hAnsiTheme="minorEastAsia"/>
          <w:kern w:val="0"/>
          <w:szCs w:val="21"/>
        </w:rPr>
        <w:t>（如符合《《政府采购非招标采购方式管理办法》》（财政部令第74号）第二十七条第二款中的</w:t>
      </w:r>
      <w:r>
        <w:rPr>
          <w:rFonts w:hint="eastAsia" w:ascii="Arial" w:hAnsi="Arial" w:cs="Arial"/>
          <w:color w:val="333333"/>
          <w:szCs w:val="21"/>
          <w:shd w:val="clear" w:color="auto" w:fill="FFFFFF"/>
        </w:rPr>
        <w:t>情形的，</w:t>
      </w:r>
      <w:r>
        <w:rPr>
          <w:rFonts w:hint="eastAsia" w:cs="宋体" w:asciiTheme="minorEastAsia" w:hAnsiTheme="minorEastAsia"/>
          <w:kern w:val="0"/>
          <w:szCs w:val="21"/>
        </w:rPr>
        <w:t>供应商最低数量可以为两家）</w:t>
      </w:r>
    </w:p>
    <w:p>
      <w:pPr>
        <w:autoSpaceDE w:val="0"/>
        <w:autoSpaceDN w:val="0"/>
        <w:spacing w:line="360" w:lineRule="auto"/>
        <w:ind w:left="964"/>
        <w:contextualSpacing/>
        <w:rPr>
          <w:rFonts w:ascii="ˎ̥" w:hAnsi="ˎ̥"/>
        </w:rPr>
      </w:pPr>
      <w:r>
        <w:rPr>
          <w:rFonts w:ascii="ˎ̥" w:hAnsi="ˎ̥"/>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r>
        <w:rPr>
          <w:rFonts w:hint="eastAsia" w:ascii="ˎ̥" w:hAnsi="ˎ̥"/>
        </w:rPr>
        <w:t>。</w:t>
      </w:r>
    </w:p>
    <w:p>
      <w:pPr>
        <w:pStyle w:val="50"/>
        <w:numPr>
          <w:ilvl w:val="0"/>
          <w:numId w:val="43"/>
        </w:numPr>
        <w:autoSpaceDE w:val="0"/>
        <w:autoSpaceDN w:val="0"/>
        <w:spacing w:line="360" w:lineRule="auto"/>
        <w:ind w:left="964" w:hanging="993" w:firstLineChars="0"/>
        <w:contextualSpacing/>
        <w:rPr>
          <w:rFonts w:ascii="ˎ̥" w:hAnsi="ˎ̥"/>
        </w:rPr>
      </w:pPr>
      <w:r>
        <w:rPr>
          <w:rFonts w:ascii="ˎ̥" w:hAnsi="ˎ̥"/>
        </w:rPr>
        <w:t>最后报价是供应商响应文件的有效组成部分。</w:t>
      </w:r>
    </w:p>
    <w:p>
      <w:pPr>
        <w:pStyle w:val="50"/>
        <w:numPr>
          <w:ilvl w:val="0"/>
          <w:numId w:val="43"/>
        </w:numPr>
        <w:autoSpaceDE w:val="0"/>
        <w:autoSpaceDN w:val="0"/>
        <w:spacing w:line="360" w:lineRule="auto"/>
        <w:ind w:left="964" w:hanging="993" w:firstLineChars="0"/>
        <w:contextualSpacing/>
        <w:rPr>
          <w:rFonts w:ascii="ˎ̥" w:hAnsi="ˎ̥"/>
        </w:rPr>
      </w:pPr>
      <w:r>
        <w:rPr>
          <w:rFonts w:ascii="ˎ̥" w:hAnsi="ˎ̥"/>
        </w:rPr>
        <w:t>已提交响应文件的供应商，在提交最后报价之前，可以根据谈判情况退出谈判</w:t>
      </w:r>
      <w:r>
        <w:rPr>
          <w:rFonts w:hint="eastAsia" w:ascii="ˎ̥" w:hAnsi="ˎ̥"/>
        </w:rPr>
        <w:t>。</w:t>
      </w:r>
    </w:p>
    <w:p>
      <w:pPr>
        <w:pStyle w:val="50"/>
        <w:numPr>
          <w:ilvl w:val="0"/>
          <w:numId w:val="43"/>
        </w:numPr>
        <w:autoSpaceDE w:val="0"/>
        <w:autoSpaceDN w:val="0"/>
        <w:spacing w:line="360" w:lineRule="auto"/>
        <w:ind w:left="964" w:hanging="993" w:firstLineChars="0"/>
        <w:contextualSpacing/>
        <w:rPr>
          <w:rFonts w:ascii="ˎ̥" w:hAnsi="ˎ̥"/>
        </w:rPr>
      </w:pPr>
      <w:r>
        <w:rPr>
          <w:rFonts w:hint="eastAsia" w:ascii="ˎ̥" w:hAnsi="ˎ̥"/>
        </w:rPr>
        <w:t>按照《关于推进全流程电子化交易和在线监管工作有关问题的通知》（许公管办[2019]3号）规定，评审专家应严格按照要求查看“硬件特征码相” 关信息并进行评审。</w:t>
      </w:r>
    </w:p>
    <w:p>
      <w:pPr>
        <w:pStyle w:val="50"/>
        <w:autoSpaceDE w:val="0"/>
        <w:autoSpaceDN w:val="0"/>
        <w:spacing w:line="360" w:lineRule="auto"/>
        <w:ind w:left="964" w:firstLine="0" w:firstLineChars="0"/>
        <w:contextualSpacing/>
        <w:rPr>
          <w:rFonts w:ascii="ˎ̥" w:hAnsi="ˎ̥"/>
        </w:rPr>
      </w:pPr>
    </w:p>
    <w:p>
      <w:pPr>
        <w:pStyle w:val="50"/>
        <w:numPr>
          <w:ilvl w:val="0"/>
          <w:numId w:val="3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pPr>
        <w:pStyle w:val="50"/>
        <w:autoSpaceDE w:val="0"/>
        <w:autoSpaceDN w:val="0"/>
        <w:spacing w:line="360" w:lineRule="auto"/>
        <w:ind w:left="991" w:leftChars="472" w:firstLine="0" w:firstLineChars="0"/>
        <w:contextualSpacing/>
        <w:rPr>
          <w:rFonts w:cs="宋体" w:asciiTheme="minorEastAsia" w:hAnsiTheme="minorEastAsia"/>
          <w:kern w:val="0"/>
          <w:szCs w:val="21"/>
        </w:rPr>
      </w:pPr>
      <w:r>
        <w:rPr>
          <w:rFonts w:ascii="ˎ̥" w:hAnsi="ˎ̥"/>
        </w:rPr>
        <w:t>谈判小组应当从质量和服务均能满足采购文件实质性响应要求的供应商中，按照最后报价由低到高的顺序提出3名以上成交候选人，并编写评审报告。</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六、确定成交供应商和授予合同</w:t>
      </w:r>
    </w:p>
    <w:p>
      <w:pPr>
        <w:pStyle w:val="50"/>
        <w:numPr>
          <w:ilvl w:val="0"/>
          <w:numId w:val="3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确定成交供应商</w:t>
      </w:r>
    </w:p>
    <w:p>
      <w:pPr>
        <w:pStyle w:val="50"/>
        <w:numPr>
          <w:ilvl w:val="0"/>
          <w:numId w:val="44"/>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采购人应当在收到评审报告后5个工作日内，从评审报告提出的成交候选人中，根据质量和服务均能满足采购文件实质性响应要求且最后报价最低的原则确定成交供应商</w:t>
      </w:r>
      <w:r>
        <w:rPr>
          <w:rFonts w:hint="eastAsia" w:cs="宋体" w:asciiTheme="minorEastAsia" w:hAnsiTheme="minorEastAsia"/>
          <w:kern w:val="0"/>
          <w:szCs w:val="21"/>
        </w:rPr>
        <w:t>。</w:t>
      </w:r>
    </w:p>
    <w:p>
      <w:pPr>
        <w:pStyle w:val="50"/>
        <w:numPr>
          <w:ilvl w:val="0"/>
          <w:numId w:val="44"/>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采购人逾期未确定成交供应商且不提出异议的，视为确定评审报告提出的最后报价最低的供应商为成交供应商</w:t>
      </w:r>
      <w:r>
        <w:rPr>
          <w:rFonts w:hint="eastAsia" w:ascii="ˎ̥" w:hAnsi="ˎ̥"/>
        </w:rPr>
        <w:t>。</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3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终止采购活动的情形</w:t>
      </w:r>
    </w:p>
    <w:p>
      <w:pPr>
        <w:pStyle w:val="50"/>
        <w:autoSpaceDE w:val="0"/>
        <w:autoSpaceDN w:val="0"/>
        <w:spacing w:line="360" w:lineRule="auto"/>
        <w:ind w:left="993" w:firstLine="0" w:firstLineChars="0"/>
        <w:contextualSpacing/>
        <w:rPr>
          <w:rFonts w:cs="宋体" w:asciiTheme="minorEastAsia" w:hAnsiTheme="minorEastAsia"/>
          <w:b/>
          <w:kern w:val="0"/>
          <w:szCs w:val="21"/>
        </w:rPr>
      </w:pPr>
      <w:r>
        <w:rPr>
          <w:rFonts w:hint="eastAsia" w:cs="微软雅黑"/>
        </w:rPr>
        <w:t>在谈判采购中，出现下列情形之一的，采购人应当终止竞争性谈判采购活动，发布项目终止公告并说明原因，重新开展采购活动：</w:t>
      </w:r>
    </w:p>
    <w:p>
      <w:pPr>
        <w:pStyle w:val="50"/>
        <w:numPr>
          <w:ilvl w:val="0"/>
          <w:numId w:val="38"/>
        </w:numPr>
        <w:autoSpaceDE w:val="0"/>
        <w:autoSpaceDN w:val="0"/>
        <w:spacing w:line="360" w:lineRule="auto"/>
        <w:ind w:firstLineChars="0"/>
        <w:contextualSpacing/>
        <w:rPr>
          <w:rFonts w:cs="宋体" w:asciiTheme="minorEastAsia" w:hAnsiTheme="minorEastAsia"/>
          <w:vanish/>
          <w:kern w:val="0"/>
          <w:szCs w:val="21"/>
        </w:rPr>
      </w:pPr>
    </w:p>
    <w:p>
      <w:pPr>
        <w:pStyle w:val="50"/>
        <w:numPr>
          <w:ilvl w:val="0"/>
          <w:numId w:val="45"/>
        </w:numPr>
        <w:autoSpaceDE w:val="0"/>
        <w:autoSpaceDN w:val="0"/>
        <w:spacing w:line="360" w:lineRule="auto"/>
        <w:ind w:left="993" w:hanging="993" w:firstLineChars="0"/>
        <w:contextualSpacing/>
        <w:rPr>
          <w:rFonts w:asciiTheme="minorEastAsia" w:hAnsiTheme="minorEastAsia"/>
        </w:rPr>
      </w:pPr>
      <w:r>
        <w:rPr>
          <w:rFonts w:asciiTheme="minorEastAsia" w:hAnsiTheme="minorEastAsia"/>
        </w:rPr>
        <w:t>因情况变化，不再符合规定的竞争性谈判采购方式适用情形的；</w:t>
      </w:r>
    </w:p>
    <w:p>
      <w:pPr>
        <w:pStyle w:val="50"/>
        <w:numPr>
          <w:ilvl w:val="0"/>
          <w:numId w:val="45"/>
        </w:numPr>
        <w:autoSpaceDE w:val="0"/>
        <w:autoSpaceDN w:val="0"/>
        <w:spacing w:line="360" w:lineRule="auto"/>
        <w:ind w:left="993" w:hanging="993" w:firstLineChars="0"/>
        <w:contextualSpacing/>
        <w:rPr>
          <w:rFonts w:asciiTheme="minorEastAsia" w:hAnsiTheme="minorEastAsia"/>
        </w:rPr>
      </w:pPr>
      <w:r>
        <w:rPr>
          <w:rFonts w:asciiTheme="minorEastAsia" w:hAnsiTheme="minorEastAsia"/>
        </w:rPr>
        <w:t>出现影响采购公正的违法、违规行为的</w:t>
      </w:r>
      <w:r>
        <w:rPr>
          <w:rFonts w:hint="eastAsia" w:asciiTheme="minorEastAsia" w:hAnsiTheme="minorEastAsia"/>
        </w:rPr>
        <w:t>；</w:t>
      </w:r>
    </w:p>
    <w:p>
      <w:pPr>
        <w:pStyle w:val="50"/>
        <w:numPr>
          <w:ilvl w:val="0"/>
          <w:numId w:val="45"/>
        </w:numPr>
        <w:autoSpaceDE w:val="0"/>
        <w:autoSpaceDN w:val="0"/>
        <w:spacing w:line="360" w:lineRule="auto"/>
        <w:ind w:left="993" w:hanging="993" w:firstLineChars="0"/>
        <w:contextualSpacing/>
        <w:rPr>
          <w:rFonts w:asciiTheme="minorEastAsia" w:hAnsiTheme="minorEastAsia"/>
        </w:rPr>
      </w:pPr>
      <w:r>
        <w:rPr>
          <w:rFonts w:hint="eastAsia" w:asciiTheme="minorEastAsia" w:hAnsiTheme="minorEastAsia"/>
        </w:rPr>
        <w:t>在采购过程中符合竞争要求的供应商或者报价未超过采购预算的供应商不足3家的，但《政府采购非招标采购方式管理办法》第二十七条第二款规定的情形除外。</w:t>
      </w:r>
    </w:p>
    <w:p>
      <w:pPr>
        <w:pStyle w:val="50"/>
        <w:autoSpaceDE w:val="0"/>
        <w:autoSpaceDN w:val="0"/>
        <w:spacing w:line="360" w:lineRule="auto"/>
        <w:ind w:left="964" w:firstLine="0" w:firstLineChars="0"/>
        <w:contextualSpacing/>
        <w:rPr>
          <w:rFonts w:ascii="ˎ̥" w:hAnsi="ˎ̥"/>
        </w:rPr>
      </w:pPr>
    </w:p>
    <w:p>
      <w:pPr>
        <w:pStyle w:val="50"/>
        <w:numPr>
          <w:ilvl w:val="0"/>
          <w:numId w:val="4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pPr>
        <w:pStyle w:val="50"/>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采购人确认成交供应商后，采购人在公告成交结果的同时，向成交供应商发出成交通知书。</w:t>
      </w:r>
    </w:p>
    <w:p>
      <w:pPr>
        <w:pStyle w:val="50"/>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pPr>
        <w:pStyle w:val="50"/>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成交供应商在接到成交通知时，须向集中采购机构发送谈判报价及分项报价一览表（包含主要成交标的的名称、规格型号、数量、单价、服务要求等）电子文档，并同时电话告知集中采购机构联系人。</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4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50"/>
        <w:numPr>
          <w:ilvl w:val="0"/>
          <w:numId w:val="4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供应商认为谈判文件、采购过程和成交结果使自己的权益受到损害的，可以按照《政府采购质疑和投诉办法》（财政部令第94号）提出质疑。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pStyle w:val="50"/>
        <w:numPr>
          <w:ilvl w:val="0"/>
          <w:numId w:val="50"/>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对谈判文件提出质疑的，供应商应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谈判</w:t>
      </w:r>
      <w:r>
        <w:rPr>
          <w:rFonts w:cs="宋体" w:asciiTheme="minorEastAsia" w:hAnsiTheme="minorEastAsia"/>
          <w:kern w:val="0"/>
          <w:szCs w:val="21"/>
        </w:rPr>
        <w:t>文件</w:t>
      </w:r>
      <w:r>
        <w:rPr>
          <w:rFonts w:hint="eastAsia" w:cs="宋体" w:asciiTheme="minorEastAsia" w:hAnsiTheme="minorEastAsia"/>
          <w:kern w:val="0"/>
          <w:szCs w:val="21"/>
        </w:rPr>
        <w:t>，且应当在</w:t>
      </w:r>
      <w:r>
        <w:rPr>
          <w:rFonts w:cs="宋体" w:asciiTheme="minorEastAsia" w:hAnsiTheme="minorEastAsia"/>
          <w:kern w:val="0"/>
          <w:szCs w:val="21"/>
        </w:rPr>
        <w:t>获取</w:t>
      </w:r>
      <w:r>
        <w:rPr>
          <w:rFonts w:hint="eastAsia" w:cs="宋体" w:asciiTheme="minorEastAsia" w:hAnsiTheme="minorEastAsia"/>
          <w:kern w:val="0"/>
          <w:szCs w:val="21"/>
        </w:rPr>
        <w:t>谈判</w:t>
      </w:r>
      <w:r>
        <w:rPr>
          <w:rFonts w:cs="宋体" w:asciiTheme="minorEastAsia" w:hAnsiTheme="minorEastAsia"/>
          <w:kern w:val="0"/>
          <w:szCs w:val="21"/>
        </w:rPr>
        <w:t>文件或者</w:t>
      </w:r>
      <w:r>
        <w:rPr>
          <w:rFonts w:hint="eastAsia" w:cs="宋体" w:asciiTheme="minorEastAsia" w:hAnsiTheme="minorEastAsia"/>
          <w:kern w:val="0"/>
          <w:szCs w:val="21"/>
        </w:rPr>
        <w:t>谈判</w:t>
      </w:r>
      <w:r>
        <w:rPr>
          <w:rFonts w:cs="宋体" w:asciiTheme="minorEastAsia" w:hAnsiTheme="minorEastAsia"/>
          <w:kern w:val="0"/>
          <w:szCs w:val="21"/>
        </w:rPr>
        <w:t>文件公告期限届满之日起7个工作日内</w:t>
      </w:r>
      <w:r>
        <w:rPr>
          <w:rFonts w:hint="eastAsia" w:cs="宋体" w:asciiTheme="minorEastAsia" w:hAnsiTheme="minorEastAsia"/>
          <w:kern w:val="0"/>
          <w:szCs w:val="21"/>
        </w:rPr>
        <w:t>通过《全国公共资源交易平台（河南省·许昌市）》一次性提出，提出后电话联系本项目谈判公告中集采机构联系人查看，并同时将符合《政府采购质疑和投诉办法》第十二条规定的纸质质疑函和必要的证明材料一式两份送采购单位，如未提出视为全面接受；</w:t>
      </w:r>
    </w:p>
    <w:p>
      <w:pPr>
        <w:pStyle w:val="50"/>
        <w:numPr>
          <w:ilvl w:val="0"/>
          <w:numId w:val="51"/>
        </w:numPr>
        <w:autoSpaceDE w:val="0"/>
        <w:autoSpaceDN w:val="0"/>
        <w:spacing w:line="360" w:lineRule="auto"/>
        <w:ind w:hanging="1411" w:firstLineChars="0"/>
        <w:contextualSpacing/>
        <w:rPr>
          <w:rFonts w:cs="宋体" w:asciiTheme="minorEastAsia" w:hAnsiTheme="minorEastAsia"/>
          <w:kern w:val="0"/>
          <w:szCs w:val="21"/>
        </w:rPr>
      </w:pPr>
      <w:r>
        <w:rPr>
          <w:rFonts w:hint="eastAsia" w:cs="宋体" w:asciiTheme="minorEastAsia" w:hAnsiTheme="minorEastAsia"/>
          <w:kern w:val="0"/>
          <w:szCs w:val="21"/>
        </w:rPr>
        <w:t>对采购过程提出质疑的，为各采购程序环节结束之日起七个工作日内，以书面形式向采购人和采购代理机构一次性提出；</w:t>
      </w:r>
    </w:p>
    <w:p>
      <w:pPr>
        <w:pStyle w:val="50"/>
        <w:numPr>
          <w:ilvl w:val="0"/>
          <w:numId w:val="51"/>
        </w:numPr>
        <w:autoSpaceDE w:val="0"/>
        <w:autoSpaceDN w:val="0"/>
        <w:spacing w:line="360" w:lineRule="auto"/>
        <w:ind w:hanging="1411" w:firstLineChars="0"/>
        <w:contextualSpacing/>
        <w:rPr>
          <w:rFonts w:cs="宋体" w:asciiTheme="minorEastAsia" w:hAnsiTheme="minorEastAsia"/>
          <w:kern w:val="0"/>
          <w:szCs w:val="21"/>
        </w:rPr>
      </w:pPr>
      <w:r>
        <w:rPr>
          <w:rFonts w:hint="eastAsia" w:cs="宋体" w:asciiTheme="minorEastAsia" w:hAnsiTheme="minorEastAsia"/>
          <w:kern w:val="0"/>
          <w:szCs w:val="21"/>
        </w:rPr>
        <w:t>对成交结果提出质疑的，为成交结果公告期限届满之日起七个工作日内，以书面形式向采购人和采购代理机构一次性提出。</w:t>
      </w:r>
    </w:p>
    <w:p>
      <w:pPr>
        <w:pStyle w:val="50"/>
        <w:numPr>
          <w:ilvl w:val="0"/>
          <w:numId w:val="49"/>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结果构成影响的，继续开展采购活动；认为供应商质疑成立且影响或者可能影响</w:t>
      </w:r>
      <w:r>
        <w:rPr>
          <w:rFonts w:hint="eastAsia" w:cs="宋体" w:asciiTheme="minorEastAsia" w:hAnsiTheme="minorEastAsia"/>
          <w:kern w:val="0"/>
          <w:szCs w:val="21"/>
        </w:rPr>
        <w:t>成交</w:t>
      </w:r>
      <w:r>
        <w:rPr>
          <w:rFonts w:cs="宋体" w:asciiTheme="minorEastAsia" w:hAnsiTheme="minorEastAsia"/>
          <w:kern w:val="0"/>
          <w:szCs w:val="21"/>
        </w:rPr>
        <w:t>结果的，按照下列情况处理：</w:t>
      </w:r>
    </w:p>
    <w:p>
      <w:pPr>
        <w:pStyle w:val="50"/>
        <w:numPr>
          <w:ilvl w:val="0"/>
          <w:numId w:val="52"/>
        </w:numPr>
        <w:autoSpaceDE w:val="0"/>
        <w:autoSpaceDN w:val="0"/>
        <w:spacing w:line="360" w:lineRule="auto"/>
        <w:ind w:hanging="1365" w:firstLineChars="0"/>
        <w:contextualSpacing/>
        <w:rPr>
          <w:rFonts w:cs="宋体" w:asciiTheme="minorEastAsia" w:hAnsiTheme="minorEastAsia"/>
          <w:kern w:val="0"/>
          <w:szCs w:val="21"/>
        </w:rPr>
      </w:pPr>
      <w:r>
        <w:rPr>
          <w:rFonts w:cs="宋体" w:asciiTheme="minorEastAsia" w:hAnsiTheme="minorEastAsia"/>
          <w:kern w:val="0"/>
          <w:szCs w:val="21"/>
        </w:rPr>
        <w:t>对</w:t>
      </w:r>
      <w:r>
        <w:rPr>
          <w:rFonts w:hint="eastAsia" w:cs="宋体" w:asciiTheme="minorEastAsia" w:hAnsiTheme="minorEastAsia"/>
          <w:kern w:val="0"/>
          <w:szCs w:val="21"/>
        </w:rPr>
        <w:t>谈判</w:t>
      </w:r>
      <w:r>
        <w:rPr>
          <w:rFonts w:cs="宋体" w:asciiTheme="minorEastAsia" w:hAnsiTheme="minorEastAsia"/>
          <w:kern w:val="0"/>
          <w:szCs w:val="21"/>
        </w:rPr>
        <w:t>文件提出的质疑，依法通过澄清或者修改可以继续开展采购活动的，澄清或者修改</w:t>
      </w:r>
      <w:r>
        <w:rPr>
          <w:rFonts w:hint="eastAsia" w:cs="宋体" w:asciiTheme="minorEastAsia" w:hAnsiTheme="minorEastAsia"/>
          <w:kern w:val="0"/>
          <w:szCs w:val="21"/>
        </w:rPr>
        <w:t>谈判</w:t>
      </w:r>
      <w:r>
        <w:rPr>
          <w:rFonts w:cs="宋体" w:asciiTheme="minorEastAsia" w:hAnsiTheme="minorEastAsia"/>
          <w:kern w:val="0"/>
          <w:szCs w:val="21"/>
        </w:rPr>
        <w:t>文件后继续开展采购活动；否则应当修改</w:t>
      </w:r>
      <w:r>
        <w:rPr>
          <w:rFonts w:hint="eastAsia" w:cs="宋体" w:asciiTheme="minorEastAsia" w:hAnsiTheme="minorEastAsia"/>
          <w:kern w:val="0"/>
          <w:szCs w:val="21"/>
        </w:rPr>
        <w:t>谈判</w:t>
      </w:r>
      <w:r>
        <w:rPr>
          <w:rFonts w:cs="宋体" w:asciiTheme="minorEastAsia" w:hAnsiTheme="minorEastAsia"/>
          <w:kern w:val="0"/>
          <w:szCs w:val="21"/>
        </w:rPr>
        <w:t>文件后重新开展采购活动。</w:t>
      </w:r>
    </w:p>
    <w:p>
      <w:pPr>
        <w:pStyle w:val="50"/>
        <w:numPr>
          <w:ilvl w:val="0"/>
          <w:numId w:val="52"/>
        </w:numPr>
        <w:autoSpaceDE w:val="0"/>
        <w:autoSpaceDN w:val="0"/>
        <w:spacing w:line="360" w:lineRule="auto"/>
        <w:ind w:hanging="1365" w:firstLineChars="0"/>
        <w:contextualSpacing/>
        <w:rPr>
          <w:rFonts w:cs="宋体" w:asciiTheme="minorEastAsia" w:hAnsiTheme="minorEastAsia"/>
          <w:kern w:val="0"/>
          <w:szCs w:val="21"/>
        </w:rPr>
      </w:pP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p>
    <w:p>
      <w:pPr>
        <w:pStyle w:val="50"/>
        <w:numPr>
          <w:ilvl w:val="0"/>
          <w:numId w:val="4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pStyle w:val="50"/>
        <w:numPr>
          <w:ilvl w:val="0"/>
          <w:numId w:val="53"/>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采购人与成交供应商应当在成交通知书发出之日起30日内，按照</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文件确定的合同文本以及采购标的、规格型号、采购金额、采购数量、技术和服务要求等事项签订政府采购合同</w:t>
      </w:r>
      <w:r>
        <w:rPr>
          <w:rFonts w:hint="eastAsia" w:cs="宋体" w:asciiTheme="minorEastAsia" w:hAnsiTheme="minorEastAsia"/>
          <w:kern w:val="0"/>
          <w:szCs w:val="21"/>
        </w:rPr>
        <w:t>。</w:t>
      </w:r>
    </w:p>
    <w:p>
      <w:pPr>
        <w:pStyle w:val="50"/>
        <w:numPr>
          <w:ilvl w:val="0"/>
          <w:numId w:val="53"/>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采购人不得向成交供应商提出超出采购文件以外的任何要求作为签订合同的条件，不得与成交供应商订立背离</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文件确定的合同文本以及采购标的、规格型号、采购金额、采购数量、技术和服务要求等实质性内容的协议</w:t>
      </w:r>
      <w:r>
        <w:rPr>
          <w:rFonts w:hint="eastAsia" w:cs="宋体" w:asciiTheme="minorEastAsia" w:hAnsiTheme="minorEastAsia"/>
          <w:kern w:val="0"/>
          <w:szCs w:val="21"/>
        </w:rPr>
        <w:t>。</w:t>
      </w:r>
    </w:p>
    <w:p>
      <w:pPr>
        <w:pStyle w:val="50"/>
        <w:autoSpaceDE w:val="0"/>
        <w:autoSpaceDN w:val="0"/>
        <w:spacing w:line="360" w:lineRule="auto"/>
        <w:ind w:left="964" w:firstLine="0" w:firstLineChars="0"/>
        <w:contextualSpacing/>
        <w:rPr>
          <w:rFonts w:cs="宋体" w:asciiTheme="minorEastAsia" w:hAnsiTheme="minorEastAsia"/>
          <w:kern w:val="0"/>
          <w:szCs w:val="21"/>
        </w:rPr>
      </w:pPr>
    </w:p>
    <w:p>
      <w:pPr>
        <w:pStyle w:val="50"/>
        <w:numPr>
          <w:ilvl w:val="0"/>
          <w:numId w:val="4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cs="宋体" w:asciiTheme="minorEastAsia" w:hAnsiTheme="minor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autoSpaceDE w:val="0"/>
        <w:autoSpaceDN w:val="0"/>
        <w:spacing w:line="360" w:lineRule="auto"/>
        <w:ind w:left="964"/>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pPr>
        <w:jc w:val="center"/>
        <w:rPr>
          <w:rFonts w:cs="宋体" w:asciiTheme="majorEastAsia" w:hAnsiTheme="majorEastAsia" w:eastAsiaTheme="majorEastAsia"/>
          <w:b/>
          <w:kern w:val="0"/>
          <w:sz w:val="36"/>
          <w:szCs w:val="36"/>
        </w:rPr>
      </w:pPr>
    </w:p>
    <w:p>
      <w:pPr>
        <w:pStyle w:val="16"/>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eastAsiaTheme="minorEastAsia"/>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一、节能能源、保护环境</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按照《财政部、发展改革委、生态环境部、市场监管总局关于调整优化节能产品、环境标志产品政府采购执行机制的通知》（财库〔2019〕9号）和</w:t>
      </w:r>
      <w:r>
        <w:rPr>
          <w:rFonts w:hint="eastAsia" w:cs="仿宋_GB2312" w:asciiTheme="minorEastAsia" w:hAnsiTheme="minorEastAsia" w:eastAsiaTheme="minorEastAsia"/>
          <w:sz w:val="21"/>
          <w:szCs w:val="21"/>
        </w:rPr>
        <w:t>财政部、生态环境部</w:t>
      </w:r>
      <w:r>
        <w:rPr>
          <w:rFonts w:hint="eastAsia" w:cs="仿宋_GB2312" w:asciiTheme="minorEastAsia" w:hAnsiTheme="minorEastAsia" w:eastAsiaTheme="minorEastAsia"/>
          <w:sz w:val="21"/>
          <w:szCs w:val="21"/>
          <w:lang w:val="zh-CN"/>
        </w:rPr>
        <w:t>《关于印发环境标志产品政府采购品目清单的通知》</w:t>
      </w:r>
      <w:r>
        <w:rPr>
          <w:rFonts w:hint="eastAsia" w:cs="仿宋_GB2312" w:asciiTheme="minorEastAsia" w:hAnsiTheme="minorEastAsia" w:eastAsiaTheme="minorEastAsia"/>
          <w:sz w:val="21"/>
          <w:szCs w:val="21"/>
        </w:rPr>
        <w:t>（财库[2019]18号）以及</w:t>
      </w:r>
      <w:r>
        <w:rPr>
          <w:rFonts w:hint="eastAsia" w:cs="仿宋_GB2312" w:asciiTheme="minorEastAsia" w:hAnsiTheme="minorEastAsia" w:eastAsiaTheme="minorEastAsia"/>
          <w:sz w:val="21"/>
          <w:szCs w:val="21"/>
          <w:lang w:val="zh-CN"/>
        </w:rPr>
        <w:t>财政部、发展改革委</w:t>
      </w:r>
      <w:r>
        <w:rPr>
          <w:rFonts w:hint="eastAsia" w:cs="仿宋_GB2312" w:asciiTheme="minorEastAsia" w:hAnsiTheme="minorEastAsia" w:eastAsiaTheme="minorEastAsia"/>
          <w:sz w:val="21"/>
          <w:szCs w:val="21"/>
        </w:rPr>
        <w:t>《关于印发节能产品政府采购品目清单的通知》（财库[2019]19号）</w:t>
      </w:r>
      <w:r>
        <w:rPr>
          <w:rFonts w:hint="eastAsia"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rPr>
        <w:t>采购属于政府强</w:t>
      </w:r>
      <w:r>
        <w:rPr>
          <w:rFonts w:hint="eastAsia" w:cs="仿宋_GB2312" w:asciiTheme="minorEastAsia" w:hAnsiTheme="minorEastAsia" w:eastAsiaTheme="minorEastAsia"/>
          <w:sz w:val="21"/>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pPr>
        <w:pStyle w:val="16"/>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二、</w:t>
      </w:r>
      <w:r>
        <w:rPr>
          <w:rFonts w:hint="eastAsia" w:cs="仿宋_GB2312" w:asciiTheme="minorEastAsia" w:hAnsiTheme="minorEastAsia"/>
          <w:b/>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根据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三、支持监狱企业发展</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w:t>
      </w:r>
      <w:bookmarkStart w:id="1" w:name="OLE_LINK6"/>
      <w:r>
        <w:rPr>
          <w:rFonts w:hint="eastAsia" w:cs="仿宋_GB2312" w:asciiTheme="minorEastAsia" w:hAnsiTheme="minorEastAsia"/>
          <w:szCs w:val="21"/>
          <w:lang w:val="zh-CN"/>
        </w:rPr>
        <w:t>财库[2014]68号</w:t>
      </w:r>
      <w:bookmarkEnd w:id="1"/>
      <w:r>
        <w:rPr>
          <w:rFonts w:hint="eastAsia" w:cs="仿宋_GB2312" w:asciiTheme="minorEastAsia" w:hAnsiTheme="minor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四、促进残疾人就业</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000000"/>
          <w:sz w:val="21"/>
          <w:szCs w:val="21"/>
        </w:rPr>
        <w:t>残疾人福利性单位属于小型、微型企业的，不重复享受政策。</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6"/>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3、中标人为残疾人福利性单位的，招标人应当随中标结果同时公告其《残疾人福利性单位声明函》，接受社会监督。</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五、支持脱贫攻坚（物业服务采购）</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1、根据《财政部 国务院扶贫办关于运用政府采购政策支持脱贫攻坚的通知》财库〔2019〕27号有关要求，鼓励优先采购聘用建档立卡贫困人员物业公司提供的物业服务。各级预算单位使用财政性资金采购物业服务的，有条件的应当优先采购注册地在832个国家级贫困县域内，且聘用建档立卡贫困人员物业公司提供的物业服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pPr>
        <w:pStyle w:val="16"/>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6"/>
        <w:spacing w:line="360" w:lineRule="auto"/>
        <w:ind w:left="282" w:hanging="282" w:hangingChars="78"/>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对响应文件审查与评审</w:t>
      </w:r>
    </w:p>
    <w:p>
      <w:pPr>
        <w:pStyle w:val="16"/>
        <w:spacing w:line="360" w:lineRule="auto"/>
        <w:contextualSpacing/>
        <w:rPr>
          <w:rFonts w:cs="仿宋_GB2312" w:asciiTheme="minorEastAsia" w:hAnsiTheme="minorEastAsia"/>
          <w:lang w:val="zh-CN"/>
        </w:rPr>
      </w:pPr>
    </w:p>
    <w:p>
      <w:pPr>
        <w:pStyle w:val="16"/>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谈判小组依法对供应商资格进行审查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r>
        <w:rPr>
          <w:rFonts w:hint="eastAsia" w:cs="宋体" w:asciiTheme="minorEastAsia" w:hAnsiTheme="minorEastAsia"/>
          <w:kern w:val="0"/>
          <w:szCs w:val="21"/>
        </w:rPr>
        <w:t>（如符合《《政府采购非招标采购方式管理办法》》（财政部令第74号）第二十七条第二款中的</w:t>
      </w:r>
      <w:r>
        <w:rPr>
          <w:rFonts w:hint="eastAsia" w:ascii="Arial" w:hAnsi="Arial" w:cs="Arial"/>
          <w:color w:val="333333"/>
          <w:szCs w:val="21"/>
          <w:shd w:val="clear" w:color="auto" w:fill="FFFFFF"/>
        </w:rPr>
        <w:t>情形的，</w:t>
      </w:r>
      <w:r>
        <w:rPr>
          <w:rFonts w:hint="eastAsia" w:cs="宋体" w:asciiTheme="minorEastAsia" w:hAnsiTheme="minorEastAsia"/>
          <w:kern w:val="0"/>
          <w:szCs w:val="21"/>
        </w:rPr>
        <w:t>供应商最低数量可以为两家）</w:t>
      </w:r>
    </w:p>
    <w:p>
      <w:pPr>
        <w:spacing w:line="360" w:lineRule="auto"/>
        <w:ind w:right="420" w:rightChars="200"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注：（1）资格证明材料（本栏所列内容为本项目的资格审查条件，如有一项不符合要求，则不能进入下一步评审）。</w:t>
      </w:r>
    </w:p>
    <w:p>
      <w:pPr>
        <w:spacing w:line="360" w:lineRule="auto"/>
        <w:ind w:right="420" w:rightChars="200"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（2）资格审查中所涉及到的证书及材料，均须在电子投标文件中提供原件扫描件（或图片）。</w:t>
      </w:r>
    </w:p>
    <w:tbl>
      <w:tblPr>
        <w:tblStyle w:val="2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参考谈判文件第八章3.1格式填写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①2018年度或2019年度经审计的财务报告，包括资产负债表、利润表、现金流量表、所有者权益变动表及其附注；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①2018年度或2019年度经审计的财务报告，包括资产负债表、利润表、现金流量表、所有者权益变动表及其附注；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响应截止时间前六个月内任意一个月缴纳税收凭据。（依法免税的供应商，应提供相应文件证明依法免税）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响应截止时间前六个月内任意一个月缴纳社会保险凭据。（依法不需要缴纳社会保障资金的供应商，应提供相应文件证明依法不需要缴纳社会保障资金）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①与本项目响应相关设备的购置发票、专业技术人员职称证书、用工合同等；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宋体" w:hAnsi="宋体" w:cs="微软雅黑"/>
                <w:bCs/>
                <w:szCs w:val="21"/>
              </w:rPr>
            </w:pPr>
            <w:r>
              <w:rPr>
                <w:rFonts w:hint="eastAsia" w:ascii="宋体" w:hAnsi="宋体" w:cs="微软雅黑"/>
                <w:bCs/>
                <w:szCs w:val="21"/>
              </w:rPr>
              <w:t>如无重大违法记录请按照谈判文件提供格式填写。</w:t>
            </w:r>
          </w:p>
          <w:p>
            <w:pPr>
              <w:spacing w:line="360" w:lineRule="auto"/>
              <w:jc w:val="left"/>
              <w:rPr>
                <w:rFonts w:asciiTheme="minorEastAsia" w:hAnsiTheme="minorEastAsia"/>
                <w:b/>
                <w:bCs/>
                <w:szCs w:val="21"/>
              </w:rPr>
            </w:pPr>
            <w:r>
              <w:rPr>
                <w:rFonts w:hint="eastAsia" w:asciiTheme="minorEastAsia" w:hAnsiTheme="minor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wordWrap w:val="0"/>
              <w:spacing w:line="360" w:lineRule="auto"/>
              <w:rPr>
                <w:rFonts w:asciiTheme="minorEastAsia" w:hAnsiTheme="minorEastAsia"/>
                <w:bCs/>
                <w:szCs w:val="21"/>
              </w:rPr>
            </w:pPr>
            <w:r>
              <w:rPr>
                <w:rFonts w:hint="eastAsia" w:asciiTheme="minorEastAsia" w:hAnsiTheme="minorEastAsia"/>
                <w:bCs/>
                <w:szCs w:val="21"/>
              </w:rPr>
              <w:t>政府采购活动中查询及使用供应商信用记录的具体要求为：供应商未被列入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 “</w:t>
            </w:r>
            <w:r>
              <w:rPr>
                <w:rFonts w:asciiTheme="minorEastAsia" w:hAnsiTheme="minorEastAsia"/>
                <w:bCs/>
                <w:szCs w:val="21"/>
              </w:rPr>
              <w:t>中国政府采购网</w:t>
            </w:r>
            <w:r>
              <w:rPr>
                <w:rFonts w:hint="eastAsia" w:asciiTheme="minorEastAsia" w:hAnsiTheme="minorEastAsia"/>
                <w:bCs/>
                <w:szCs w:val="21"/>
              </w:rPr>
              <w:t>”政府采购严重违法失信行为记录名单、</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）严重违法失信社会组织名单的供应商</w:t>
            </w:r>
            <w:r>
              <w:rPr>
                <w:rFonts w:hint="eastAsia" w:cs="仿宋_GB2312" w:asciiTheme="minorEastAsia" w:hAnsiTheme="minorEastAsia"/>
                <w:b/>
                <w:color w:val="000000"/>
                <w:szCs w:val="21"/>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30"/>
                <w:rFonts w:hint="eastAsia" w:asciiTheme="minorEastAsia" w:hAnsiTheme="minorEastAsia"/>
                <w:szCs w:val="21"/>
              </w:rPr>
              <w:t>www.creditchina.gov.cn</w:t>
            </w:r>
            <w:r>
              <w:rPr>
                <w:rStyle w:val="30"/>
                <w:rFonts w:hint="eastAsia"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③</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（2）截止时间：同投标截止时间；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w:t>
            </w:r>
            <w:r>
              <w:rPr>
                <w:rFonts w:hint="eastAsia" w:cs="宋体" w:asciiTheme="minorEastAsia" w:hAnsiTheme="minorEastAsia"/>
                <w:kern w:val="0"/>
                <w:szCs w:val="21"/>
              </w:rPr>
              <w:t>谈判小组</w:t>
            </w:r>
            <w:r>
              <w:rPr>
                <w:rFonts w:hint="eastAsia" w:asciiTheme="minorEastAsia" w:hAnsiTheme="minorEastAsia"/>
                <w:bCs/>
                <w:szCs w:val="21"/>
              </w:rPr>
              <w:t>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w:t>
            </w:r>
            <w:r>
              <w:rPr>
                <w:rFonts w:hint="eastAsia" w:cs="宋体" w:asciiTheme="minorEastAsia" w:hAnsiTheme="minorEastAsia"/>
                <w:kern w:val="0"/>
                <w:szCs w:val="21"/>
              </w:rPr>
              <w:t>谈判小组</w:t>
            </w:r>
            <w:r>
              <w:rPr>
                <w:rFonts w:hint="eastAsia" w:asciiTheme="minorEastAsia" w:hAnsiTheme="minorEastAsia"/>
                <w:bCs/>
                <w:szCs w:val="21"/>
              </w:rPr>
              <w:t>确认认定的被列入失信被执行人、重大税收违法案件当事人名单、政府采购严重违法失信行为记录名单的供应商，</w:t>
            </w:r>
            <w:r>
              <w:rPr>
                <w:rFonts w:hint="eastAsia" w:cs="仿宋_GB2312" w:asciiTheme="minorEastAsia" w:hAnsiTheme="minorEastAsia"/>
                <w:color w:val="000000"/>
                <w:szCs w:val="21"/>
              </w:rPr>
              <w:t>严重违法失信社会组织</w:t>
            </w:r>
            <w:r>
              <w:rPr>
                <w:rFonts w:hint="eastAsia" w:asciiTheme="minorEastAsia" w:hAnsiTheme="minorEastAsia"/>
                <w:bCs/>
                <w:szCs w:val="21"/>
              </w:rPr>
              <w:t>的供应商，将拒绝其参与本次政府采购活动。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供应商须具备的特殊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asciiTheme="minorEastAsia" w:hAnsiTheme="minorEastAsia"/>
                <w:b/>
                <w:bCs/>
                <w:szCs w:val="21"/>
              </w:rPr>
            </w:pPr>
            <w:r>
              <w:rPr>
                <w:rFonts w:hint="eastAsia" w:asciiTheme="minorEastAsia" w:hAnsiTheme="minorEastAsia"/>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谈判</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响应报价是否超出谈判文件中规定的预算金额，超出预算金额的报价无效。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asciiTheme="minorEastAsia" w:hAnsiTheme="minorEastAsia"/>
                <w:szCs w:val="21"/>
              </w:rPr>
            </w:pPr>
            <w:r>
              <w:rPr>
                <w:rFonts w:hint="eastAsia" w:asciiTheme="minorEastAsia" w:hAnsiTheme="minorEastAsia"/>
                <w:b/>
                <w:szCs w:val="21"/>
              </w:rPr>
              <w:t>响应承诺函</w:t>
            </w:r>
          </w:p>
        </w:tc>
        <w:tc>
          <w:tcPr>
            <w:tcW w:w="5954" w:type="dxa"/>
            <w:vAlign w:val="center"/>
          </w:tcPr>
          <w:p>
            <w:pPr>
              <w:spacing w:line="360" w:lineRule="auto"/>
              <w:rPr>
                <w:rFonts w:asciiTheme="minorEastAsia" w:hAnsiTheme="minorEastAsia"/>
                <w:b/>
                <w:szCs w:val="21"/>
              </w:rPr>
            </w:pPr>
            <w:r>
              <w:rPr>
                <w:rFonts w:hint="eastAsia" w:asciiTheme="minorEastAsia" w:hAnsiTheme="minorEastAsia"/>
                <w:szCs w:val="21"/>
              </w:rPr>
              <w:t>供应商以响应承诺函的形式替代响应保证金。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谈判文件接受联合体响应且供应商为联合体的，供应商应提供本协议；否则无须提供。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13</w:t>
            </w:r>
          </w:p>
        </w:tc>
        <w:tc>
          <w:tcPr>
            <w:tcW w:w="2410" w:type="dxa"/>
            <w:vAlign w:val="center"/>
          </w:tcPr>
          <w:p>
            <w:pPr>
              <w:spacing w:line="360" w:lineRule="auto"/>
              <w:contextualSpacing/>
              <w:rPr>
                <w:rFonts w:asciiTheme="minorEastAsia" w:hAnsiTheme="minorEastAsia"/>
                <w:b/>
                <w:szCs w:val="21"/>
              </w:rPr>
            </w:pPr>
            <w:r>
              <w:rPr>
                <w:rFonts w:hint="eastAsia" w:asciiTheme="minorEastAsia" w:hAnsiTheme="minorEastAsia"/>
                <w:b/>
                <w:szCs w:val="21"/>
              </w:rPr>
              <w:t>供应商身份证明及授权</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（1）法定代表人身份证明或提供法定代表人授权委托书及被授权人身份证明和社保证明。（法人提供）</w:t>
            </w:r>
          </w:p>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（2）单位负责人身份证明或提供单位负责人授权委托书及被授权人身份证明和社保证明。（非法人提供）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Theme="minorEastAsia" w:hAnsiTheme="minorEastAsia"/>
                <w:b/>
                <w:sz w:val="24"/>
                <w:szCs w:val="24"/>
              </w:rPr>
            </w:pPr>
            <w:r>
              <w:rPr>
                <w:rFonts w:hint="eastAsia" w:ascii="楷体" w:hAnsi="楷体" w:eastAsia="楷体"/>
                <w:color w:val="000000"/>
                <w:sz w:val="24"/>
                <w:szCs w:val="24"/>
              </w:rPr>
              <w:t>①企业（银行、保险、石油石化、电力、电信等行业除外）、事业单位和社会团体以法人身份参加谈判的，法定代表人应与实际提交的“营业执照等证明文件”载明的一致。</w:t>
            </w:r>
          </w:p>
          <w:p>
            <w:pPr>
              <w:spacing w:line="360" w:lineRule="auto"/>
              <w:contextualSpacing/>
              <w:rPr>
                <w:rFonts w:ascii="楷体" w:hAnsi="楷体" w:eastAsia="楷体"/>
                <w:color w:val="000000"/>
                <w:sz w:val="24"/>
                <w:szCs w:val="24"/>
              </w:rPr>
            </w:pPr>
            <w:r>
              <w:rPr>
                <w:rFonts w:hint="eastAsia" w:ascii="楷体" w:hAnsi="楷体" w:eastAsia="楷体"/>
                <w:color w:val="000000"/>
                <w:sz w:val="24"/>
                <w:szCs w:val="24"/>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pPr>
              <w:spacing w:line="360" w:lineRule="auto"/>
              <w:contextualSpacing/>
              <w:rPr>
                <w:rFonts w:asciiTheme="minorEastAsia" w:hAnsiTheme="minorEastAsia"/>
                <w:b/>
                <w:szCs w:val="21"/>
              </w:rPr>
            </w:pPr>
            <w:r>
              <w:rPr>
                <w:rFonts w:hint="eastAsia" w:ascii="楷体" w:hAnsi="楷体" w:eastAsia="楷体"/>
                <w:color w:val="000000"/>
                <w:sz w:val="24"/>
                <w:szCs w:val="24"/>
              </w:rPr>
              <w:t>③</w:t>
            </w:r>
            <w:r>
              <w:rPr>
                <w:rFonts w:hint="eastAsia" w:ascii="楷体" w:hAnsi="楷体" w:eastAsia="楷体"/>
                <w:color w:val="000000"/>
                <w:kern w:val="0"/>
                <w:sz w:val="24"/>
                <w:szCs w:val="24"/>
              </w:rPr>
              <w:t>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供应商提供与参加本项目响应的其他供应商之间，单位负责人不为同一人并且不存在直接控股、管理关系承诺函（承诺函格式自拟）。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为本项目提供整体设计、规范编制或者项目管理、监理、检测等服务的供应商不得参加本项目响应</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pPr>
              <w:spacing w:line="360" w:lineRule="auto"/>
              <w:rPr>
                <w:rFonts w:asciiTheme="minorEastAsia" w:hAnsiTheme="minorEastAsia"/>
                <w:bCs/>
                <w:szCs w:val="21"/>
              </w:rPr>
            </w:pPr>
          </w:p>
        </w:tc>
      </w:tr>
    </w:tbl>
    <w:p>
      <w:pPr>
        <w:pStyle w:val="16"/>
        <w:spacing w:line="360" w:lineRule="auto"/>
        <w:ind w:firstLine="482" w:firstLineChars="200"/>
        <w:contextualSpacing/>
        <w:rPr>
          <w:rFonts w:cs="仿宋_GB2312" w:asciiTheme="minorEastAsia" w:hAnsiTheme="minorEastAsia" w:eastAsiaTheme="minorEastAsia"/>
          <w:b/>
          <w:szCs w:val="24"/>
          <w:lang w:val="zh-CN"/>
        </w:rPr>
      </w:pP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二、对响应文件评审</w:t>
      </w:r>
    </w:p>
    <w:p>
      <w:pPr>
        <w:pStyle w:val="16"/>
        <w:spacing w:line="360" w:lineRule="auto"/>
        <w:ind w:firstLine="422" w:firstLineChars="200"/>
        <w:contextualSpacing/>
        <w:rPr>
          <w:rFonts w:asciiTheme="minorEastAsia" w:hAnsiTheme="minorEastAsia" w:eastAsiaTheme="minorEastAsia"/>
          <w:bCs/>
          <w:sz w:val="21"/>
          <w:szCs w:val="21"/>
        </w:rPr>
      </w:pPr>
      <w:r>
        <w:rPr>
          <w:rFonts w:hint="eastAsia" w:cs="仿宋_GB2312" w:asciiTheme="minorEastAsia" w:hAnsiTheme="minorEastAsia" w:eastAsiaTheme="minorEastAsia"/>
          <w:b/>
          <w:sz w:val="21"/>
          <w:szCs w:val="21"/>
          <w:lang w:val="zh-CN"/>
        </w:rPr>
        <w:t>（一）审查响应文件</w:t>
      </w:r>
    </w:p>
    <w:p>
      <w:pPr>
        <w:pStyle w:val="16"/>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文件是否符合</w:t>
      </w:r>
      <w:r>
        <w:rPr>
          <w:rFonts w:hint="eastAsia" w:cs="仿宋_GB2312" w:asciiTheme="minorEastAsia" w:hAnsiTheme="minorEastAsia" w:eastAsiaTheme="minorEastAsia"/>
          <w:b/>
          <w:sz w:val="21"/>
          <w:szCs w:val="21"/>
          <w:lang w:val="zh-CN"/>
        </w:rPr>
        <w:t>谈判</w:t>
      </w:r>
      <w:r>
        <w:rPr>
          <w:rFonts w:cs="仿宋_GB2312" w:asciiTheme="minorEastAsia" w:hAnsiTheme="minorEastAsia" w:eastAsiaTheme="minorEastAsia"/>
          <w:b/>
          <w:sz w:val="21"/>
          <w:szCs w:val="21"/>
          <w:lang w:val="zh-CN"/>
        </w:rPr>
        <w:t>文件的商务、技术等实质性要求；</w:t>
      </w:r>
    </w:p>
    <w:p>
      <w:pPr>
        <w:pStyle w:val="16"/>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谈判小组对符合资格的投标人的响应文件进行审查，以确定其是否满足谈判文件的商务、技术等实质性要求。</w:t>
      </w:r>
    </w:p>
    <w:p>
      <w:pPr>
        <w:pStyle w:val="16"/>
        <w:spacing w:line="360" w:lineRule="auto"/>
        <w:ind w:firstLine="480" w:firstLineChars="200"/>
        <w:contextualSpacing/>
        <w:jc w:val="left"/>
        <w:rPr>
          <w:rFonts w:cs="仿宋_GB2312" w:asciiTheme="minorEastAsia" w:hAnsiTheme="minorEastAsia"/>
          <w:sz w:val="21"/>
          <w:szCs w:val="21"/>
          <w:lang w:val="zh-CN"/>
        </w:rPr>
      </w:pPr>
      <w:r>
        <w:rPr>
          <w:rFonts w:hint="eastAsia" w:ascii="楷体" w:hAnsi="楷体" w:eastAsia="楷体" w:cs="仿宋_GB2312"/>
          <w:szCs w:val="24"/>
          <w:lang w:val="zh-CN"/>
        </w:rPr>
        <w:t>注：审查中所涉及到的证书及材料，均应在电子响应文件中提供原件扫描件（或图片）。</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w:t>
      </w:r>
      <w:r>
        <w:rPr>
          <w:rFonts w:hint="eastAsia" w:cs="仿宋_GB2312" w:asciiTheme="minorEastAsia" w:hAnsiTheme="minorEastAsia" w:eastAsiaTheme="minorEastAsia"/>
          <w:b/>
          <w:sz w:val="21"/>
          <w:szCs w:val="21"/>
          <w:lang w:val="zh-CN"/>
        </w:rPr>
        <w:t>供应商</w:t>
      </w:r>
      <w:r>
        <w:rPr>
          <w:rFonts w:cs="仿宋_GB2312" w:asciiTheme="minorEastAsia" w:hAnsiTheme="minorEastAsia" w:eastAsiaTheme="minorEastAsia"/>
          <w:b/>
          <w:sz w:val="21"/>
          <w:szCs w:val="21"/>
          <w:lang w:val="zh-CN"/>
        </w:rPr>
        <w:t>对</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文件有关事项作出澄清或者说明；</w:t>
      </w:r>
    </w:p>
    <w:p>
      <w:pPr>
        <w:pStyle w:val="16"/>
        <w:spacing w:line="360" w:lineRule="auto"/>
        <w:ind w:firstLine="420" w:firstLineChars="200"/>
        <w:contextualSpacing/>
        <w:rPr>
          <w:rFonts w:ascii="Arial" w:hAnsi="Arial" w:cs="Arial"/>
          <w:color w:val="333333"/>
          <w:sz w:val="21"/>
          <w:szCs w:val="21"/>
          <w:shd w:val="clear" w:color="auto" w:fill="FFFFFF"/>
        </w:rPr>
      </w:pPr>
      <w:r>
        <w:rPr>
          <w:rFonts w:hint="eastAsia" w:ascii="Arial" w:hAnsi="Arial" w:cs="Arial"/>
          <w:color w:val="333333"/>
          <w:sz w:val="21"/>
          <w:szCs w:val="21"/>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16"/>
        <w:spacing w:line="360" w:lineRule="auto"/>
        <w:ind w:firstLine="420" w:firstLineChars="200"/>
        <w:contextualSpacing/>
        <w:rPr>
          <w:rFonts w:ascii="Arial" w:hAnsi="Arial" w:cs="Arial"/>
          <w:color w:val="333333"/>
          <w:sz w:val="21"/>
          <w:szCs w:val="21"/>
          <w:shd w:val="clear" w:color="auto" w:fill="FFFFFF"/>
        </w:rPr>
      </w:pPr>
      <w:r>
        <w:rPr>
          <w:rFonts w:hint="eastAsia" w:ascii="Arial" w:hAnsi="Arial" w:cs="Arial"/>
          <w:color w:val="333333"/>
          <w:sz w:val="21"/>
          <w:szCs w:val="21"/>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（二）落实政府采购政策及强制性认证</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1、强制采购节能产品和优先采购节能产品、优先采购环保产品</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w:t>
      </w:r>
      <w:r>
        <w:rPr>
          <w:rFonts w:hint="eastAsia" w:cs="仿宋_GB2312" w:asciiTheme="minorEastAsia" w:hAnsiTheme="minorEastAsia"/>
          <w:szCs w:val="21"/>
        </w:rPr>
        <w:t>1</w:t>
      </w:r>
      <w:r>
        <w:rPr>
          <w:rFonts w:hint="eastAsia" w:cs="仿宋_GB2312" w:asciiTheme="minorEastAsia" w:hAnsiTheme="minorEastAsia"/>
          <w:szCs w:val="21"/>
          <w:lang w:val="zh-CN"/>
        </w:rPr>
        <w:t>）对《节能产品政府采购品目清单》所列的政府强制采购节能产品，供应商响应文件中应提供具有国家确定的认证机构出具的、处于有效期之内的节能产品或环境标志产品认证证书，否则将承担其投标被视为非实质性响应投标的风险。</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w:t>
      </w:r>
      <w:r>
        <w:rPr>
          <w:rFonts w:hint="eastAsia" w:cs="仿宋_GB2312" w:asciiTheme="minorEastAsia" w:hAnsiTheme="minorEastAsia"/>
          <w:szCs w:val="21"/>
        </w:rPr>
        <w:t>2</w:t>
      </w:r>
      <w:r>
        <w:rPr>
          <w:rFonts w:hint="eastAsia" w:cs="仿宋_GB2312" w:asciiTheme="minorEastAsia" w:hAnsiTheme="minorEastAsia"/>
          <w:szCs w:val="21"/>
          <w:lang w:val="zh-CN"/>
        </w:rPr>
        <w:t>）供应商所投其他产品若属于《节能产品政府采购品目清单》优先采购产品，响应文件中提供具有国家确定的认证机构出具的、处于有效期之内的节能产品认证证书，应当优先采购。</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w:t>
      </w:r>
      <w:r>
        <w:rPr>
          <w:rFonts w:hint="eastAsia" w:cs="仿宋_GB2312" w:asciiTheme="minorEastAsia" w:hAnsiTheme="minorEastAsia"/>
          <w:szCs w:val="21"/>
        </w:rPr>
        <w:t>3</w:t>
      </w:r>
      <w:r>
        <w:rPr>
          <w:rFonts w:hint="eastAsia" w:cs="仿宋_GB2312" w:asciiTheme="minorEastAsia" w:hAnsiTheme="minorEastAsia"/>
          <w:szCs w:val="21"/>
          <w:lang w:val="zh-CN"/>
        </w:rPr>
        <w:t>）供应商所投产品若属于《环境标志产品政府采购品目清单》内产品，响应文件中提供具有国家确定的认证机构出具的、处于有效期之内的环境标志产品认证证书，应当优先采购。</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hint="eastAsia" w:cs="仿宋_GB2312" w:asciiTheme="minorEastAsia" w:hAnsiTheme="minorEastAsia" w:eastAsiaTheme="minorEastAsia"/>
          <w:b/>
          <w:sz w:val="21"/>
          <w:szCs w:val="21"/>
          <w:lang w:val="zh-CN"/>
        </w:rPr>
        <w:t>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（1）如供应商所响应产品属于“中国强制性产品认证”（3C认证）范围内,则必须承诺采用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并在有效期内的产品，应在响应文件中提供“所投产品符合国家强制性要求承诺函”并加盖供应商公章，否则将承担其响应被视为非实质性响应的风险。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（2）供应商所响应产品如被列入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则响应文件中应根据本项目谈判文件“第二章 采购需求”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）产品查询结果截图并加盖供应商公章；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颁发的《中国国家信息安全产品认证证书》加盖供应商公章的原件扫描件（或图片）。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6"/>
        <w:spacing w:line="360" w:lineRule="auto"/>
        <w:ind w:firstLine="422" w:firstLineChars="200"/>
        <w:contextualSpacing/>
        <w:jc w:val="left"/>
        <w:rPr>
          <w:rFonts w:cs="仿宋_GB2312" w:asciiTheme="minorEastAsia" w:hAnsiTheme="minorEastAsia"/>
          <w:sz w:val="21"/>
          <w:szCs w:val="21"/>
          <w:lang w:val="zh-CN"/>
        </w:rPr>
      </w:pPr>
      <w:r>
        <w:rPr>
          <w:rFonts w:hint="eastAsia" w:cs="仿宋_GB2312" w:asciiTheme="minorEastAsia" w:hAnsiTheme="minorEastAsia" w:eastAsiaTheme="minorEastAsia"/>
          <w:b/>
          <w:sz w:val="21"/>
          <w:szCs w:val="21"/>
          <w:lang w:val="zh-CN"/>
        </w:rPr>
        <w:t>（三）</w:t>
      </w:r>
      <w:r>
        <w:rPr>
          <w:rFonts w:cs="仿宋_GB2312" w:asciiTheme="minorEastAsia" w:hAnsiTheme="minorEastAsia" w:eastAsiaTheme="minorEastAsia"/>
          <w:b/>
          <w:sz w:val="21"/>
          <w:szCs w:val="21"/>
          <w:lang w:val="zh-CN"/>
        </w:rPr>
        <w:t>因落实政府采购政策进行价格调整的，以调整后的价格计算报价。</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10%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（2）对监狱企业价格给予6%的扣除，用扣除后的价格参与评审。监狱企业应当提供由省级以上监狱管理局、戒毒管理局(含新疆生产建设兵团)出具的属于监狱企业的证明文件。</w:t>
      </w:r>
    </w:p>
    <w:p>
      <w:pPr>
        <w:pStyle w:val="16"/>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落实政府采购政策计算报价</w:t>
      </w:r>
    </w:p>
    <w:tbl>
      <w:tblPr>
        <w:tblStyle w:val="2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40"/>
        <w:gridCol w:w="2693"/>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540"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693"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977"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540" w:type="dxa"/>
            <w:vAlign w:val="center"/>
          </w:tcPr>
          <w:p>
            <w:pPr>
              <w:jc w:val="center"/>
              <w:rPr>
                <w:rFonts w:ascii="宋体" w:hAnsi="宋体"/>
                <w:b/>
                <w:color w:val="000000"/>
                <w:szCs w:val="21"/>
                <w:lang w:val="en-GB"/>
              </w:rPr>
            </w:pPr>
            <w:r>
              <w:rPr>
                <w:rFonts w:hint="eastAsia" w:ascii="宋体" w:hAnsi="宋体"/>
                <w:color w:val="000000"/>
                <w:szCs w:val="21"/>
                <w:lang w:val="en-GB"/>
              </w:rPr>
              <w:t>非联合体供应商</w:t>
            </w:r>
          </w:p>
        </w:tc>
        <w:tc>
          <w:tcPr>
            <w:tcW w:w="2693"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hint="eastAsia" w:ascii="宋体" w:hAnsi="宋体"/>
                <w:szCs w:val="21"/>
                <w:u w:val="single"/>
              </w:rPr>
              <w:t>10</w:t>
            </w:r>
            <w:r>
              <w:rPr>
                <w:rFonts w:hint="eastAsia" w:ascii="宋体" w:hAnsi="宋体"/>
                <w:szCs w:val="21"/>
              </w:rPr>
              <w:t>%</w:t>
            </w:r>
          </w:p>
        </w:tc>
        <w:tc>
          <w:tcPr>
            <w:tcW w:w="2977" w:type="dxa"/>
            <w:vMerge w:val="restart"/>
            <w:shd w:val="clear" w:color="auto" w:fill="auto"/>
            <w:vAlign w:val="center"/>
          </w:tcPr>
          <w:p>
            <w:pPr>
              <w:jc w:val="center"/>
              <w:rPr>
                <w:color w:val="000000"/>
                <w:szCs w:val="21"/>
                <w:lang w:val="en-GB"/>
              </w:rPr>
            </w:pPr>
            <w:r>
              <w:rPr>
                <w:rFonts w:hint="eastAsia"/>
                <w:color w:val="000000"/>
                <w:szCs w:val="21"/>
                <w:lang w:val="en-GB"/>
              </w:rPr>
              <w:t>评审价格＝响应报价—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10%</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540"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693"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hint="eastAsia" w:ascii="宋体" w:hAnsi="宋体"/>
                <w:szCs w:val="21"/>
                <w:u w:val="single"/>
              </w:rPr>
              <w:t>10</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977"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540"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693"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ascii="宋体" w:hAnsi="宋体"/>
                <w:szCs w:val="21"/>
                <w:u w:val="single"/>
              </w:rPr>
              <w:t>2</w:t>
            </w:r>
            <w:r>
              <w:rPr>
                <w:rFonts w:hint="eastAsia" w:ascii="宋体" w:hAnsi="宋体"/>
                <w:szCs w:val="21"/>
              </w:rPr>
              <w:t>%</w:t>
            </w:r>
          </w:p>
        </w:tc>
        <w:tc>
          <w:tcPr>
            <w:tcW w:w="2977"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评审价格＝响应报价×</w:t>
            </w:r>
            <w:r>
              <w:rPr>
                <w:rFonts w:hint="eastAsia" w:ascii="宋体" w:hAnsi="宋体"/>
                <w:color w:val="000000" w:themeColor="text1"/>
                <w:szCs w:val="21"/>
              </w:rPr>
              <w:t>(1-</w:t>
            </w:r>
            <w:r>
              <w:rPr>
                <w:rFonts w:ascii="宋体" w:hAnsi="宋体"/>
                <w:color w:val="000000" w:themeColor="text1"/>
                <w:szCs w:val="21"/>
                <w:u w:val="single"/>
              </w:rPr>
              <w:t>2</w:t>
            </w:r>
            <w:r>
              <w:rPr>
                <w:rFonts w:hint="eastAsia" w:ascii="宋体" w:hAnsi="宋体"/>
                <w:color w:val="000000" w:themeColor="text1"/>
                <w:szCs w:val="21"/>
                <w:u w:val="single"/>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540"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693" w:type="dxa"/>
            <w:vAlign w:val="center"/>
          </w:tcPr>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977" w:type="dxa"/>
            <w:shd w:val="clear" w:color="auto" w:fill="auto"/>
            <w:vAlign w:val="center"/>
          </w:tcPr>
          <w:p>
            <w:pPr>
              <w:jc w:val="center"/>
              <w:rPr>
                <w:rFonts w:ascii="宋体" w:hAnsi="宋体"/>
                <w:color w:val="000000"/>
                <w:szCs w:val="21"/>
                <w:lang w:val="en-GB"/>
              </w:rPr>
            </w:pPr>
            <w:r>
              <w:rPr>
                <w:rFonts w:hint="eastAsia"/>
                <w:color w:val="000000"/>
                <w:szCs w:val="21"/>
                <w:lang w:val="en-GB"/>
              </w:rPr>
              <w:t>评审价格＝响应报价—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540"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693" w:type="dxa"/>
            <w:vAlign w:val="center"/>
          </w:tcPr>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977" w:type="dxa"/>
            <w:shd w:val="clear" w:color="auto" w:fill="auto"/>
            <w:vAlign w:val="center"/>
          </w:tcPr>
          <w:p>
            <w:pPr>
              <w:jc w:val="center"/>
              <w:rPr>
                <w:color w:val="000000"/>
                <w:szCs w:val="21"/>
                <w:lang w:val="en-GB"/>
              </w:rPr>
            </w:pPr>
            <w:r>
              <w:rPr>
                <w:rFonts w:hint="eastAsia"/>
                <w:color w:val="000000"/>
                <w:szCs w:val="21"/>
                <w:lang w:val="en-GB"/>
              </w:rPr>
              <w:t>评审价格＝响应报价—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pPr>
              <w:adjustRightInd w:val="0"/>
              <w:spacing w:line="360" w:lineRule="auto"/>
              <w:ind w:left="-88" w:leftChars="-42" w:firstLine="449" w:firstLineChars="214"/>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w:t>
            </w:r>
            <w:r>
              <w:rPr>
                <w:rFonts w:hint="eastAsia" w:cs="仿宋_GB2312" w:asciiTheme="minorEastAsia" w:hAnsiTheme="minorEastAsia"/>
                <w:szCs w:val="21"/>
                <w:lang w:val="zh-CN"/>
              </w:rPr>
              <w:t>谈判小组审查、评价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响应文件符合谈判文件实质性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评审价格由低到高的顺序提出</w:t>
            </w:r>
            <w:r>
              <w:rPr>
                <w:rFonts w:cs="仿宋_GB2312" w:asciiTheme="minorEastAsia" w:hAnsiTheme="minorEastAsia"/>
                <w:szCs w:val="21"/>
                <w:lang w:val="zh-CN"/>
              </w:rPr>
              <w:t>3</w:t>
            </w:r>
            <w:r>
              <w:rPr>
                <w:rFonts w:hint="eastAsia" w:cs="仿宋_GB2312" w:asciiTheme="minorEastAsia" w:hAnsiTheme="minorEastAsia"/>
                <w:szCs w:val="21"/>
                <w:lang w:val="zh-CN"/>
              </w:rPr>
              <w:t>名成交候选人。</w:t>
            </w:r>
          </w:p>
        </w:tc>
      </w:tr>
    </w:tbl>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备注：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a、不接受联合体响应的项目，本表中第2项、第3项情形不适用。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b、小型和微型企业产品包括货物及其提供的服务与工程。</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c、中小企业、残疾人福利性单位提供其他企业制造的货物的，则该货物的制造商也必须为上述企业，否则不能享受价格优惠。</w:t>
      </w:r>
    </w:p>
    <w:p>
      <w:pPr>
        <w:tabs>
          <w:tab w:val="left" w:pos="1260"/>
        </w:tabs>
        <w:autoSpaceDE w:val="0"/>
        <w:autoSpaceDN w:val="0"/>
        <w:spacing w:line="360" w:lineRule="auto"/>
        <w:ind w:firstLine="420" w:firstLineChars="200"/>
        <w:contextualSpacing/>
        <w:rPr>
          <w:rFonts w:ascii="宋体" w:hAnsi="宋体"/>
          <w:bCs/>
          <w:color w:val="FF0000"/>
          <w:szCs w:val="21"/>
          <w:lang w:val="en-GB"/>
        </w:rPr>
      </w:pPr>
      <w:r>
        <w:rPr>
          <w:rFonts w:hint="eastAsia" w:cs="仿宋_GB2312" w:asciiTheme="minorEastAsia" w:hAnsiTheme="minorEastAsia"/>
          <w:szCs w:val="21"/>
          <w:lang w:val="zh-CN"/>
        </w:rPr>
        <w:t>d、残疾人福利性单位属于小型、微型企业的，不重复享受政策。</w:t>
      </w:r>
    </w:p>
    <w:p>
      <w:pPr>
        <w:spacing w:line="360" w:lineRule="auto"/>
        <w:ind w:firstLine="420" w:firstLineChars="200"/>
        <w:rPr>
          <w:rFonts w:cs="仿宋_GB2312" w:asciiTheme="minorEastAsia" w:hAnsiTheme="minorEastAsia"/>
          <w:szCs w:val="21"/>
          <w:lang w:val="zh-CN"/>
        </w:rPr>
      </w:pPr>
      <w:r>
        <w:rPr>
          <w:rFonts w:cs="仿宋_GB2312" w:asciiTheme="minorEastAsia" w:hAnsiTheme="minorEastAsia"/>
          <w:szCs w:val="21"/>
          <w:lang w:val="zh-CN"/>
        </w:rPr>
        <w:t>E</w:t>
      </w:r>
      <w:r>
        <w:rPr>
          <w:rFonts w:hint="eastAsia" w:cs="仿宋_GB2312" w:asciiTheme="minorEastAsia" w:hAnsiTheme="minorEastAsia"/>
          <w:szCs w:val="21"/>
          <w:lang w:val="zh-CN"/>
        </w:rPr>
        <w:t>、小型和微型企业不包括民办非企业单位。</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四、评审方法</w:t>
      </w:r>
    </w:p>
    <w:p>
      <w:pPr>
        <w:pStyle w:val="16"/>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从质量和服务均能满足采购文件实质性响应要求的供应商中，按照报价由低到高的顺序提出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w:t>
      </w:r>
      <w:r>
        <w:rPr>
          <w:rFonts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lang w:val="zh-CN"/>
        </w:rPr>
        <w:t>采购人按照成交候选人排名顺序确定成交供应商。</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五、谈判小组编写评审报告。</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wordWrap w:val="0"/>
        <w:spacing w:line="360" w:lineRule="auto"/>
        <w:ind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pPr>
        <w:pStyle w:val="16"/>
        <w:spacing w:line="360" w:lineRule="auto"/>
        <w:contextualSpacing/>
        <w:rPr>
          <w:rFonts w:cs="仿宋_GB2312" w:asciiTheme="minorEastAsia" w:hAnsiTheme="minorEastAsia" w:eastAsiaTheme="minorEastAsia"/>
          <w:b/>
          <w:sz w:val="21"/>
          <w:szCs w:val="21"/>
          <w:lang w:val="zh-CN"/>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pPr>
        <w:pStyle w:val="16"/>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最终签定合同的主要条款不能与谈判文件有冲突）</w:t>
      </w:r>
    </w:p>
    <w:p>
      <w:pPr>
        <w:pStyle w:val="23"/>
        <w:spacing w:before="75" w:after="75" w:line="360" w:lineRule="auto"/>
        <w:rPr>
          <w:rFonts w:ascii="宋体" w:hAnsi="宋体" w:eastAsia="微软雅黑"/>
          <w:color w:val="000000"/>
          <w:u w:val="single"/>
        </w:rPr>
      </w:pP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w:t>
      </w:r>
      <w:r>
        <w:rPr>
          <w:rFonts w:asciiTheme="minorEastAsia" w:hAnsiTheme="minorEastAsia" w:eastAsiaTheme="minorEastAsia"/>
          <w:color w:val="000000"/>
          <w:sz w:val="21"/>
          <w:szCs w:val="21"/>
          <w:u w:val="single"/>
        </w:rPr>
        <w:t>（采购人全称）</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乙方：</w:t>
      </w:r>
      <w:r>
        <w:rPr>
          <w:rFonts w:asciiTheme="minorEastAsia" w:hAnsiTheme="minorEastAsia" w:eastAsiaTheme="minorEastAsia"/>
          <w:color w:val="000000"/>
          <w:sz w:val="21"/>
          <w:szCs w:val="21"/>
          <w:u w:val="single"/>
        </w:rPr>
        <w:t>（中标人全称）</w:t>
      </w:r>
    </w:p>
    <w:p>
      <w:pPr>
        <w:pStyle w:val="23"/>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根据招标编号为</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的</w:t>
      </w:r>
      <w:r>
        <w:rPr>
          <w:rFonts w:asciiTheme="minorEastAsia" w:hAnsiTheme="minorEastAsia" w:eastAsiaTheme="minorEastAsia"/>
          <w:color w:val="000000"/>
          <w:sz w:val="21"/>
          <w:szCs w:val="21"/>
          <w:u w:val="single"/>
        </w:rPr>
        <w:t>（填写“项目名称”）</w:t>
      </w:r>
      <w:r>
        <w:rPr>
          <w:rFonts w:asciiTheme="minorEastAsia" w:hAnsiTheme="minorEastAsia" w:eastAsiaTheme="minorEastAsia"/>
          <w:color w:val="000000"/>
          <w:sz w:val="21"/>
          <w:szCs w:val="21"/>
        </w:rPr>
        <w:t>项目（以下简称：“本项目”）的招标结果，乙方为中标人。现经甲乙双方友好协商，就以下事项达成一致并签订本合同：</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1、下列合同文件是构成本合同不可分割的部分：</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1.1合同条款；</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w:t>
      </w:r>
      <w:r>
        <w:rPr>
          <w:rFonts w:hint="eastAsia" w:asciiTheme="minorEastAsia" w:hAnsiTheme="minorEastAsia" w:eastAsiaTheme="minorEastAsia"/>
          <w:color w:val="000000"/>
          <w:sz w:val="21"/>
          <w:szCs w:val="21"/>
        </w:rPr>
        <w:t>谈判文件</w:t>
      </w:r>
      <w:r>
        <w:rPr>
          <w:rFonts w:asciiTheme="minorEastAsia" w:hAnsiTheme="minorEastAsia" w:eastAsiaTheme="minorEastAsia"/>
          <w:color w:val="000000"/>
          <w:sz w:val="21"/>
          <w:szCs w:val="21"/>
        </w:rPr>
        <w:t>、乙方的投标文件；</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1.3其他文件或材料：□无。□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2、合同标的</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3、合同总金额</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3.1合同总金额为人民币大写：</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元（￥</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4、合同标的交付时间、地点和条件</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4.1交付时间：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4.2交付地点：</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4.3交付条件：</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5、合同标的应符合</w:t>
      </w:r>
      <w:r>
        <w:rPr>
          <w:rFonts w:hint="eastAsia" w:asciiTheme="minorEastAsia" w:hAnsiTheme="minorEastAsia" w:eastAsiaTheme="minorEastAsia"/>
          <w:color w:val="000000"/>
          <w:sz w:val="21"/>
          <w:szCs w:val="21"/>
        </w:rPr>
        <w:t>谈判文件</w:t>
      </w:r>
      <w:r>
        <w:rPr>
          <w:rFonts w:asciiTheme="minorEastAsia" w:hAnsiTheme="minorEastAsia" w:eastAsiaTheme="minorEastAsia"/>
          <w:color w:val="000000"/>
          <w:sz w:val="21"/>
          <w:szCs w:val="21"/>
        </w:rPr>
        <w:t>、乙方投标文件的规定或约定，具体如下：</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6、验收</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6.1验收应按照</w:t>
      </w:r>
      <w:r>
        <w:rPr>
          <w:rFonts w:hint="eastAsia" w:asciiTheme="minorEastAsia" w:hAnsiTheme="minorEastAsia" w:eastAsiaTheme="minorEastAsia"/>
          <w:color w:val="000000"/>
          <w:sz w:val="21"/>
          <w:szCs w:val="21"/>
        </w:rPr>
        <w:t>谈判文件</w:t>
      </w:r>
      <w:r>
        <w:rPr>
          <w:rFonts w:asciiTheme="minorEastAsia" w:hAnsiTheme="minorEastAsia" w:eastAsiaTheme="minorEastAsia"/>
          <w:color w:val="000000"/>
          <w:sz w:val="21"/>
          <w:szCs w:val="21"/>
        </w:rPr>
        <w:t>、乙方投标文件的规定或约定进行，具体如下：</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6.2本项目是否邀请其他</w:t>
      </w:r>
      <w:r>
        <w:rPr>
          <w:rFonts w:hint="eastAsia" w:asciiTheme="minorEastAsia" w:hAnsiTheme="minorEastAsia" w:eastAsiaTheme="minorEastAsia"/>
          <w:color w:val="000000"/>
          <w:sz w:val="21"/>
          <w:szCs w:val="21"/>
        </w:rPr>
        <w:t>供应商</w:t>
      </w:r>
      <w:r>
        <w:rPr>
          <w:rFonts w:asciiTheme="minorEastAsia" w:hAnsiTheme="minorEastAsia" w:eastAsiaTheme="minorEastAsia"/>
          <w:color w:val="000000"/>
          <w:sz w:val="21"/>
          <w:szCs w:val="21"/>
        </w:rPr>
        <w:t>参与验收：</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□不邀请。□邀请，具体如下：</w:t>
      </w:r>
      <w:r>
        <w:rPr>
          <w:rFonts w:asciiTheme="minorEastAsia" w:hAnsiTheme="minorEastAsia" w:eastAsiaTheme="minorEastAsia"/>
          <w:color w:val="000000"/>
          <w:sz w:val="21"/>
          <w:szCs w:val="21"/>
          <w:u w:val="single"/>
        </w:rPr>
        <w:t>（按照</w:t>
      </w:r>
      <w:r>
        <w:rPr>
          <w:rFonts w:hint="eastAsia" w:asciiTheme="minorEastAsia" w:hAnsiTheme="minorEastAsia" w:eastAsiaTheme="minorEastAsia"/>
          <w:color w:val="000000"/>
          <w:sz w:val="21"/>
          <w:szCs w:val="21"/>
          <w:u w:val="single"/>
        </w:rPr>
        <w:t>谈判文件</w:t>
      </w:r>
      <w:r>
        <w:rPr>
          <w:rFonts w:asciiTheme="minorEastAsia" w:hAnsiTheme="minorEastAsia" w:eastAsiaTheme="minorEastAsia"/>
          <w:color w:val="000000"/>
          <w:sz w:val="21"/>
          <w:szCs w:val="21"/>
          <w:u w:val="single"/>
        </w:rPr>
        <w:t>规定填写）</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7、合同款项的支付应按照</w:t>
      </w:r>
      <w:r>
        <w:rPr>
          <w:rFonts w:hint="eastAsia" w:asciiTheme="minorEastAsia" w:hAnsiTheme="minorEastAsia" w:eastAsiaTheme="minorEastAsia"/>
          <w:color w:val="000000"/>
          <w:sz w:val="21"/>
          <w:szCs w:val="21"/>
        </w:rPr>
        <w:t>谈判文件</w:t>
      </w:r>
      <w:r>
        <w:rPr>
          <w:rFonts w:asciiTheme="minorEastAsia" w:hAnsiTheme="minorEastAsia" w:eastAsiaTheme="minorEastAsia"/>
          <w:color w:val="000000"/>
          <w:sz w:val="21"/>
          <w:szCs w:val="21"/>
        </w:rPr>
        <w:t>的规定进行，具体如下：</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（按照实际情况编制填写，可以是表格或文字描述，包括一次性支付或分期支付等）</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8、履约保证金</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□无。□有，具体如下：</w:t>
      </w:r>
      <w:r>
        <w:rPr>
          <w:rFonts w:asciiTheme="minorEastAsia" w:hAnsiTheme="minorEastAsia" w:eastAsiaTheme="minorEastAsia"/>
          <w:color w:val="000000"/>
          <w:sz w:val="21"/>
          <w:szCs w:val="21"/>
          <w:u w:val="single"/>
        </w:rPr>
        <w:t>（按照</w:t>
      </w:r>
      <w:r>
        <w:rPr>
          <w:rFonts w:hint="eastAsia" w:asciiTheme="minorEastAsia" w:hAnsiTheme="minorEastAsia" w:eastAsiaTheme="minorEastAsia"/>
          <w:color w:val="000000"/>
          <w:sz w:val="21"/>
          <w:szCs w:val="21"/>
          <w:u w:val="single"/>
        </w:rPr>
        <w:t>谈判文件</w:t>
      </w:r>
      <w:r>
        <w:rPr>
          <w:rFonts w:asciiTheme="minorEastAsia" w:hAnsiTheme="minorEastAsia" w:eastAsiaTheme="minorEastAsia"/>
          <w:color w:val="000000"/>
          <w:sz w:val="21"/>
          <w:szCs w:val="21"/>
          <w:u w:val="single"/>
        </w:rPr>
        <w:t>规定填写）</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9、合同有效期</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10、违约责任</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11、知识产权</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12、解决争议的方法</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12.1甲、乙双方协商解决。</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12.2若协商解决不成，则通过下列途径之一解决：</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□提交仲裁委员会仲裁，具体如下：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□向人民法院提起诉讼，具体如下：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13、不可抗力</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14、合同条款</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w:t>
      </w:r>
      <w:r>
        <w:rPr>
          <w:rFonts w:hint="eastAsia" w:asciiTheme="minorEastAsia" w:hAnsiTheme="minorEastAsia" w:eastAsiaTheme="minorEastAsia"/>
          <w:color w:val="000000"/>
          <w:sz w:val="21"/>
          <w:szCs w:val="21"/>
          <w:u w:val="single"/>
        </w:rPr>
        <w:t>谈判文件</w:t>
      </w:r>
      <w:r>
        <w:rPr>
          <w:rFonts w:asciiTheme="minorEastAsia" w:hAnsiTheme="minorEastAsia" w:eastAsiaTheme="minorEastAsia"/>
          <w:color w:val="000000"/>
          <w:sz w:val="21"/>
          <w:szCs w:val="21"/>
          <w:u w:val="single"/>
        </w:rPr>
        <w:t>第五章已有规定的，双方均不得变更或调整；</w:t>
      </w:r>
      <w:r>
        <w:rPr>
          <w:rFonts w:hint="eastAsia" w:asciiTheme="minorEastAsia" w:hAnsiTheme="minorEastAsia" w:eastAsiaTheme="minorEastAsia"/>
          <w:color w:val="000000"/>
          <w:sz w:val="21"/>
          <w:szCs w:val="21"/>
          <w:u w:val="single"/>
        </w:rPr>
        <w:t>谈判文件</w:t>
      </w:r>
      <w:r>
        <w:rPr>
          <w:rFonts w:asciiTheme="minorEastAsia" w:hAnsiTheme="minorEastAsia" w:eastAsiaTheme="minorEastAsia"/>
          <w:color w:val="000000"/>
          <w:sz w:val="21"/>
          <w:szCs w:val="21"/>
          <w:u w:val="single"/>
        </w:rPr>
        <w:t>第五章未作规定的，双方可通过友好协商进行约定）</w:t>
      </w:r>
      <w:r>
        <w:rPr>
          <w:rFonts w:asciiTheme="minorEastAsia" w:hAnsiTheme="minorEastAsia" w:eastAsiaTheme="minorEastAsia"/>
          <w:color w:val="000000"/>
          <w:sz w:val="21"/>
          <w:szCs w:val="21"/>
        </w:rPr>
        <w:t>。</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15、其他约定</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15.1合同文件与本合同具有同等法律效力。</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15.2本合同未尽事宜，双方可另行补充。</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15.3合同生效：自签订之日起生效。</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15.4本合同一式</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份，经双方授权代表签字并盖章后生效。甲方、乙方各执</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份，送</w:t>
      </w:r>
      <w:r>
        <w:rPr>
          <w:rFonts w:asciiTheme="minorEastAsia" w:hAnsiTheme="minorEastAsia" w:eastAsiaTheme="minorEastAsia"/>
          <w:color w:val="000000"/>
          <w:sz w:val="21"/>
          <w:szCs w:val="21"/>
          <w:u w:val="single"/>
        </w:rPr>
        <w:t>（填写需要备案的监管部门的全称）</w:t>
      </w:r>
      <w:r>
        <w:rPr>
          <w:rFonts w:asciiTheme="minorEastAsia" w:hAnsiTheme="minorEastAsia" w:eastAsiaTheme="minorEastAsia"/>
          <w:color w:val="000000"/>
          <w:sz w:val="21"/>
          <w:szCs w:val="21"/>
        </w:rPr>
        <w:t>备案</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份，具有同等效力。</w:t>
      </w:r>
    </w:p>
    <w:p>
      <w:pPr>
        <w:pStyle w:val="23"/>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15.5其他：□无。□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pPr>
        <w:pStyle w:val="23"/>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pPr>
        <w:pStyle w:val="23"/>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                        乙方：</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住所：                        住所：</w:t>
      </w:r>
    </w:p>
    <w:p>
      <w:pPr>
        <w:pStyle w:val="23"/>
        <w:spacing w:before="75" w:after="75" w:line="360" w:lineRule="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              </w:t>
      </w:r>
      <w:r>
        <w:rPr>
          <w:rFonts w:hint="eastAsia" w:asciiTheme="minorEastAsia" w:hAnsiTheme="minorEastAsia" w:eastAsiaTheme="minorEastAsia"/>
          <w:color w:val="000000"/>
          <w:sz w:val="21"/>
          <w:szCs w:val="21"/>
        </w:rPr>
        <w:t>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联系方法：                      联系方法：</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开户银行：                      开户银行：</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账号：                        账号：</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pPr>
        <w:pStyle w:val="23"/>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签订地点：</w:t>
      </w:r>
      <w:r>
        <w:rPr>
          <w:rFonts w:asciiTheme="minorEastAsia" w:hAnsiTheme="minorEastAsia" w:eastAsiaTheme="minorEastAsia"/>
          <w:color w:val="000000"/>
          <w:sz w:val="21"/>
          <w:szCs w:val="21"/>
          <w:u w:val="single"/>
        </w:rPr>
        <w:t>                </w:t>
      </w:r>
    </w:p>
    <w:p>
      <w:pPr>
        <w:pStyle w:val="23"/>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签订日期：</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月</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日</w:t>
      </w: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黑体" w:asciiTheme="minorEastAsia" w:hAnsiTheme="minorEastAsia"/>
          <w:b/>
          <w:bCs/>
          <w:sz w:val="44"/>
          <w:szCs w:val="44"/>
          <w:lang w:val="zh-CN"/>
        </w:rPr>
      </w:pPr>
      <w:r>
        <w:rPr>
          <w:rFonts w:hint="eastAsia" w:cs="宋体" w:asciiTheme="majorEastAsia" w:hAnsiTheme="majorEastAsia" w:eastAsiaTheme="majorEastAsia"/>
          <w:b/>
          <w:kern w:val="0"/>
          <w:sz w:val="32"/>
          <w:szCs w:val="32"/>
        </w:rPr>
        <w:t>第八章 响应文件有关格式</w:t>
      </w:r>
    </w:p>
    <w:p>
      <w:pPr>
        <w:pStyle w:val="60"/>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一、供应商应答索引表</w:t>
      </w:r>
    </w:p>
    <w:tbl>
      <w:tblPr>
        <w:tblStyle w:val="26"/>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供应商应答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响应文件中所在页码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报价函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6"/>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6"/>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5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供应商相关承诺函或声明</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6"/>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供应商须具备的特殊资质证书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谈判承诺函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供应商与参加本项目响应的其他供应商之间，单位负责人不为同一人并且不存在直接控股、管理关系承诺函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供应商未为本项目提供整体设计、规范编制或者项目管理、监理、检测等服务承诺函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优先采购节能产品政府采购品目清单情况</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宋体" w:hAnsi="宋体"/>
                <w:color w:val="000000"/>
                <w:sz w:val="21"/>
                <w:szCs w:val="21"/>
                <w:lang w:val="en-GB"/>
              </w:rPr>
              <w:t>优先采购环境标志产品政府采购品目清单情况</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28</w:t>
            </w:r>
          </w:p>
        </w:tc>
        <w:tc>
          <w:tcPr>
            <w:tcW w:w="1058" w:type="dxa"/>
            <w:gridSpan w:val="2"/>
            <w:tcBorders>
              <w:right w:val="single" w:color="auto" w:sz="4"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29</w:t>
            </w:r>
          </w:p>
        </w:tc>
        <w:tc>
          <w:tcPr>
            <w:tcW w:w="1058" w:type="dxa"/>
            <w:gridSpan w:val="2"/>
            <w:vMerge w:val="restart"/>
            <w:tcBorders>
              <w:right w:val="single" w:color="auto" w:sz="4" w:space="0"/>
            </w:tcBorders>
            <w:vAlign w:val="center"/>
          </w:tcPr>
          <w:p>
            <w:pPr>
              <w:pStyle w:val="16"/>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6"/>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6"/>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30</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国家级贫困县域注册地证明材料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31</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宋体" w:hAnsi="宋体"/>
                <w:color w:val="000000"/>
                <w:sz w:val="21"/>
                <w:szCs w:val="21"/>
                <w:lang w:val="en-GB"/>
              </w:rPr>
              <w:t>扶贫部门出具的聘用建档立卡贫困人员身份证明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32</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ascii="宋体" w:hAnsi="宋体"/>
                <w:color w:val="000000"/>
                <w:sz w:val="21"/>
                <w:szCs w:val="21"/>
                <w:lang w:val="en-GB"/>
              </w:rPr>
              <w:t>建档立卡贫困人员社保材料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33</w:t>
            </w:r>
          </w:p>
        </w:tc>
        <w:tc>
          <w:tcPr>
            <w:tcW w:w="3751" w:type="dxa"/>
            <w:gridSpan w:val="4"/>
            <w:vAlign w:val="center"/>
          </w:tcPr>
          <w:p>
            <w:pPr>
              <w:pStyle w:val="16"/>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000000"/>
          <w:sz w:val="24"/>
          <w:szCs w:val="24"/>
        </w:rPr>
      </w:pPr>
      <w:r>
        <w:rPr>
          <w:rFonts w:hint="eastAsia" w:ascii="楷体" w:hAnsi="楷体" w:eastAsia="楷体"/>
          <w:color w:val="000000"/>
          <w:sz w:val="24"/>
          <w:szCs w:val="24"/>
        </w:rPr>
        <w:t>注：注：①本表序号8请按照本谈判文件 “第六章资格审查与评标”资格审查表中序号3要求，根据所提供经审计财务报告、基本开户银行资信证明、银行资信证明、政府采购投标担保函情况填写其中一项即可。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②本表序号10请按照本谈判文件 “第六章资格审查与评标”资格审查表中序号6要求提供，根据所提供证明材料或承诺函（声明）情况填写其中一项即可。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③本表序号29请根据所投产品提供证书或截图情况填写其中一项即可。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ascii="楷体" w:hAnsi="楷体" w:eastAsia="楷体"/>
          <w:color w:val="000000"/>
          <w:sz w:val="24"/>
          <w:szCs w:val="24"/>
        </w:rPr>
        <w:fldChar w:fldCharType="begin"/>
      </w:r>
      <w:r>
        <w:rPr>
          <w:rFonts w:hint="eastAsia" w:ascii="楷体" w:hAnsi="楷体" w:eastAsia="楷体"/>
          <w:color w:val="000000"/>
          <w:sz w:val="24"/>
          <w:szCs w:val="24"/>
        </w:rPr>
        <w:instrText xml:space="preserve">= 4 \* GB3</w:instrText>
      </w:r>
      <w:r>
        <w:rPr>
          <w:rFonts w:ascii="楷体" w:hAnsi="楷体" w:eastAsia="楷体"/>
          <w:color w:val="000000"/>
          <w:sz w:val="24"/>
          <w:szCs w:val="24"/>
        </w:rPr>
        <w:fldChar w:fldCharType="separate"/>
      </w:r>
      <w:r>
        <w:rPr>
          <w:rFonts w:hint="eastAsia" w:ascii="楷体" w:hAnsi="楷体" w:eastAsia="楷体"/>
          <w:color w:val="000000"/>
          <w:sz w:val="24"/>
          <w:szCs w:val="24"/>
        </w:rPr>
        <w:t>④</w:t>
      </w:r>
      <w:r>
        <w:rPr>
          <w:rFonts w:ascii="楷体" w:hAnsi="楷体" w:eastAsia="楷体"/>
          <w:color w:val="000000"/>
          <w:sz w:val="24"/>
          <w:szCs w:val="24"/>
        </w:rPr>
        <w:fldChar w:fldCharType="end"/>
      </w:r>
      <w:r>
        <w:rPr>
          <w:rFonts w:hint="eastAsia" w:ascii="楷体" w:hAnsi="楷体" w:eastAsia="楷体"/>
          <w:color w:val="000000"/>
          <w:sz w:val="24"/>
          <w:szCs w:val="24"/>
        </w:rPr>
        <w:t>本表序号30-32仅适用于物业项目。</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二、报价一览表</w:t>
      </w:r>
    </w:p>
    <w:p>
      <w:pPr>
        <w:pStyle w:val="16"/>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6"/>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响应报价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     年    月     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2、如谈判公告明确项目交付日期以年为单位，本表应填写完成该项目的年限。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asciiTheme="majorEastAsia" w:hAnsiTheme="majorEastAsia" w:eastAsiaTheme="majorEastAsia"/>
          <w:b/>
          <w:snapToGrid w:val="0"/>
          <w:kern w:val="0"/>
          <w:sz w:val="36"/>
          <w:szCs w:val="36"/>
        </w:rPr>
      </w:pPr>
      <w:r>
        <w:rPr>
          <w:rFonts w:hint="eastAsia" w:cs="黑体" w:asciiTheme="minorEastAsia" w:hAnsiTheme="minorEastAsia"/>
          <w:b/>
          <w:bCs/>
          <w:sz w:val="28"/>
          <w:szCs w:val="28"/>
          <w:lang w:val="zh-CN"/>
        </w:rPr>
        <w:t>三、资格审查相关材料</w:t>
      </w:r>
    </w:p>
    <w:p>
      <w:pPr>
        <w:pStyle w:val="16"/>
        <w:spacing w:line="360" w:lineRule="auto"/>
        <w:jc w:val="both"/>
        <w:rPr>
          <w:rFonts w:asciiTheme="majorEastAsia" w:hAnsiTheme="majorEastAsia" w:eastAsiaTheme="majorEastAsia"/>
          <w:b/>
          <w:snapToGrid w:val="0"/>
          <w:kern w:val="0"/>
          <w:sz w:val="36"/>
          <w:szCs w:val="36"/>
        </w:rPr>
      </w:pPr>
    </w:p>
    <w:p>
      <w:pPr>
        <w:pStyle w:val="16"/>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报 价 函</w:t>
      </w:r>
    </w:p>
    <w:p>
      <w:pPr>
        <w:pStyle w:val="16"/>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致：禹州市政府采购中心</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_（项目名称、项目编号）采购的竞争性谈判公告及谈判邀请，_______（姓名和职务）被正式授权并代表供应商（供应商名称、地址）提交。</w:t>
      </w:r>
    </w:p>
    <w:p>
      <w:pPr>
        <w:pStyle w:val="16"/>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我方确认收到贵方提供的（项目名称、招标编号）谈判文件的全部内容。</w:t>
      </w:r>
    </w:p>
    <w:p>
      <w:pPr>
        <w:pStyle w:val="16"/>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响应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Theme="minorEastAsia" w:hAnsiTheme="minorEastAsia" w:eastAsiaTheme="minorEastAsia"/>
          <w:sz w:val="21"/>
          <w:szCs w:val="21"/>
        </w:rPr>
        <w:t>已完全理解并接受谈判文件的各项规定和要求及资金支付规定，对谈判文件的合理性、合法性不再有异议。</w:t>
      </w:r>
    </w:p>
    <w:p>
      <w:pPr>
        <w:adjustRightInd w:val="0"/>
        <w:spacing w:line="360" w:lineRule="auto"/>
        <w:ind w:firstLine="525" w:firstLineChars="250"/>
        <w:contextualSpacing/>
        <w:rPr>
          <w:rFonts w:cs="Courier New" w:asciiTheme="minorEastAsia" w:hAnsiTheme="minorEastAsia"/>
          <w:szCs w:val="21"/>
        </w:rPr>
      </w:pPr>
      <w:r>
        <w:rPr>
          <w:rFonts w:hint="eastAsia" w:cs="Courier New" w:asciiTheme="minorEastAsia" w:hAnsiTheme="minorEastAsia"/>
          <w:szCs w:val="21"/>
        </w:rPr>
        <w:t>我方已完全明白谈判文件的所有条款要求，并申明如下：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一、按谈判文件提供的全部货物与相关服务的响应总价详见《报价一览表》。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w:t>
      </w:r>
      <w:r>
        <w:rPr>
          <w:rFonts w:hint="eastAsia" w:ascii="宋体" w:hAnsi="宋体"/>
          <w:szCs w:val="21"/>
        </w:rPr>
        <w:t>我方同意在本项目谈判文件中规定的开标日起90天内遵守本谈判文件中的承诺且在此期限期满之前均具有约束力。我方同意并遵守本谈判文件“投标人须知”中第十四条第三款关于延长投标有效期的规定。</w:t>
      </w:r>
      <w:r>
        <w:rPr>
          <w:rFonts w:hint="eastAsia" w:cs="Courier New" w:asciiTheme="minorEastAsia" w:hAnsiTheme="minorEastAsia"/>
          <w:szCs w:val="21"/>
        </w:rPr>
        <w:t>如成交，有效期将延至供货终止日为止。在此提交的资格证明文件均至响应截止日有效，如有在响应有效期内失效的，我方承诺在收到成交通知书后补齐一切手续，保证所有资格证明文件能在签订采购合同时直至采购合同终止日有效。</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三、我方明白并同意，在规定的谈判响应时间截止之后，响应有效期之内撤销谈判响应的，则我方承担违背响应承诺的责任追究。</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四、我方同意按照贵方可能提出的要求而提供与谈判响应有关的任何其它数据、信息或资料。</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五、我方理解贵方不一定接受最低响应报价。</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六、我方如果成交，将保证履行谈判文件及其澄清、修改文件（如果有）中的全部责任和义务，按质、按量、按期完成《采购需求》及《合同书》中的全部任务。</w:t>
      </w:r>
    </w:p>
    <w:p>
      <w:pPr>
        <w:pStyle w:val="23"/>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6"/>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pPr>
        <w:pStyle w:val="16"/>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6"/>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我方已依法缴纳了各项税费及社会保险费用，如有需要，可随时向采购人提供近六个月内的相关缴费证明，以便核查。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以上内容如有虚假或与事实不符的，谈判小组可将</w:t>
      </w:r>
      <w:r>
        <w:rPr>
          <w:rFonts w:hint="eastAsia" w:cs="Arial" w:asciiTheme="minorEastAsia" w:hAnsiTheme="minorEastAsia"/>
          <w:szCs w:val="21"/>
        </w:rPr>
        <w:t>我方做无效投标处理，我方愿意承担相应的法律责任。</w:t>
      </w:r>
    </w:p>
    <w:p>
      <w:pPr>
        <w:pStyle w:val="16"/>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6"/>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pPr>
        <w:pStyle w:val="16"/>
        <w:adjustRightInd w:val="0"/>
        <w:snapToGrid w:val="0"/>
        <w:spacing w:line="360" w:lineRule="auto"/>
        <w:rPr>
          <w:rFonts w:asciiTheme="minorEastAsia" w:hAnsiTheme="minorEastAsia" w:eastAsiaTheme="minorEastAsia"/>
          <w:sz w:val="21"/>
          <w:szCs w:val="21"/>
        </w:rPr>
      </w:pPr>
    </w:p>
    <w:p>
      <w:pPr>
        <w:pStyle w:val="16"/>
        <w:adjustRightInd w:val="0"/>
        <w:snapToGrid w:val="0"/>
        <w:spacing w:line="360" w:lineRule="auto"/>
        <w:rPr>
          <w:rFonts w:asciiTheme="minorEastAsia" w:hAnsiTheme="minorEastAsia" w:eastAsiaTheme="minorEastAsia"/>
          <w:sz w:val="21"/>
          <w:szCs w:val="21"/>
        </w:rPr>
      </w:pPr>
    </w:p>
    <w:p>
      <w:pPr>
        <w:pStyle w:val="16"/>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所有与本项目谈判有关的一切正式往来请寄：</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rPr>
        <w:t>）：</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rPr>
          <w:rFonts w:cs="宋体" w:asciiTheme="minorEastAsia" w:hAnsiTheme="minorEastAsia"/>
          <w:szCs w:val="21"/>
        </w:rPr>
      </w:pPr>
    </w:p>
    <w:p>
      <w:pPr>
        <w:spacing w:line="480" w:lineRule="exact"/>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3.2 法定代表人（单位负责人）</w:t>
      </w:r>
      <w:r>
        <w:rPr>
          <w:rFonts w:asciiTheme="majorEastAsia" w:hAnsiTheme="majorEastAsia" w:eastAsiaTheme="majorEastAsia"/>
          <w:b/>
          <w:bCs/>
          <w:color w:val="000000"/>
          <w:sz w:val="24"/>
          <w:szCs w:val="24"/>
        </w:rPr>
        <w:t>资</w:t>
      </w:r>
      <w:r>
        <w:rPr>
          <w:rFonts w:hint="eastAsia" w:asciiTheme="majorEastAsia" w:hAnsiTheme="majorEastAsia" w:eastAsiaTheme="majorEastAsia"/>
          <w:b/>
          <w:bCs/>
          <w:color w:val="000000"/>
          <w:sz w:val="24"/>
          <w:szCs w:val="24"/>
        </w:rPr>
        <w:t>格</w:t>
      </w:r>
      <w:r>
        <w:rPr>
          <w:rFonts w:asciiTheme="majorEastAsia" w:hAnsiTheme="majorEastAsia" w:eastAsiaTheme="majorEastAsia"/>
          <w:b/>
          <w:bCs/>
          <w:color w:val="000000"/>
          <w:sz w:val="24"/>
          <w:szCs w:val="24"/>
        </w:rPr>
        <w:t>证</w:t>
      </w:r>
      <w:r>
        <w:rPr>
          <w:rFonts w:hint="eastAsia" w:asciiTheme="majorEastAsia" w:hAnsiTheme="majorEastAsia" w:eastAsiaTheme="majorEastAsia"/>
          <w:b/>
          <w:bCs/>
          <w:color w:val="000000"/>
          <w:sz w:val="24"/>
          <w:szCs w:val="24"/>
        </w:rPr>
        <w:t>明</w:t>
      </w:r>
      <w:r>
        <w:rPr>
          <w:rFonts w:asciiTheme="majorEastAsia" w:hAnsiTheme="majorEastAsia" w:eastAsiaTheme="majorEastAsia"/>
          <w:b/>
          <w:bCs/>
          <w:color w:val="000000"/>
          <w:sz w:val="24"/>
          <w:szCs w:val="24"/>
        </w:rPr>
        <w:t>书</w:t>
      </w:r>
    </w:p>
    <w:p>
      <w:pPr>
        <w:autoSpaceDE w:val="0"/>
        <w:autoSpaceDN w:val="0"/>
        <w:adjustRightInd w:val="0"/>
        <w:spacing w:line="480" w:lineRule="auto"/>
        <w:ind w:firstLine="616" w:firstLineChars="257"/>
        <w:rPr>
          <w:rFonts w:ascii="宋体" w:hAnsi="宋体"/>
          <w:color w:val="000000"/>
          <w:sz w:val="24"/>
          <w:szCs w:val="24"/>
        </w:rPr>
      </w:pPr>
    </w:p>
    <w:p>
      <w:pPr>
        <w:pStyle w:val="52"/>
        <w:spacing w:line="480" w:lineRule="auto"/>
        <w:ind w:firstLine="472" w:firstLineChars="225"/>
        <w:jc w:val="left"/>
        <w:rPr>
          <w:rFonts w:asciiTheme="minorEastAsia" w:hAnsiTheme="minorEastAsia"/>
          <w:color w:val="000000"/>
          <w:sz w:val="21"/>
          <w:szCs w:val="21"/>
        </w:rPr>
      </w:pPr>
      <w:r>
        <w:rPr>
          <w:rFonts w:asciiTheme="minorEastAsia" w:hAnsiTheme="minorEastAsia"/>
          <w:color w:val="000000"/>
          <w:sz w:val="21"/>
          <w:szCs w:val="21"/>
        </w:rPr>
        <w:t>单</w:t>
      </w:r>
      <w:r>
        <w:rPr>
          <w:rFonts w:hint="eastAsia" w:asciiTheme="minorEastAsia" w:hAnsiTheme="minorEastAsia"/>
          <w:color w:val="000000"/>
          <w:sz w:val="21"/>
          <w:szCs w:val="21"/>
        </w:rPr>
        <w:t>位名</w:t>
      </w:r>
      <w:r>
        <w:rPr>
          <w:rFonts w:asciiTheme="minorEastAsia" w:hAnsiTheme="minorEastAsia"/>
          <w:color w:val="000000"/>
          <w:sz w:val="21"/>
          <w:szCs w:val="21"/>
        </w:rPr>
        <w:t>称</w:t>
      </w:r>
      <w:r>
        <w:rPr>
          <w:rFonts w:hint="eastAsia" w:asciiTheme="minorEastAsia" w:hAnsiTheme="minorEastAsia"/>
          <w:color w:val="000000"/>
          <w:sz w:val="21"/>
          <w:szCs w:val="21"/>
        </w:rPr>
        <w:t>：</w:t>
      </w:r>
    </w:p>
    <w:p>
      <w:pPr>
        <w:pStyle w:val="52"/>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地址：</w:t>
      </w:r>
    </w:p>
    <w:p>
      <w:pPr>
        <w:pStyle w:val="52"/>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姓名：       性</w:t>
      </w:r>
      <w:r>
        <w:rPr>
          <w:rFonts w:asciiTheme="minorEastAsia" w:hAnsiTheme="minorEastAsia"/>
          <w:color w:val="000000"/>
          <w:sz w:val="21"/>
          <w:szCs w:val="21"/>
        </w:rPr>
        <w:t>别</w:t>
      </w:r>
      <w:r>
        <w:rPr>
          <w:rFonts w:hint="eastAsia" w:asciiTheme="minorEastAsia" w:hAnsiTheme="minorEastAsia"/>
          <w:color w:val="000000"/>
          <w:sz w:val="21"/>
          <w:szCs w:val="21"/>
        </w:rPr>
        <w:t>：     年</w:t>
      </w:r>
      <w:r>
        <w:rPr>
          <w:rFonts w:asciiTheme="minorEastAsia" w:hAnsiTheme="minorEastAsia"/>
          <w:color w:val="000000"/>
          <w:sz w:val="21"/>
          <w:szCs w:val="21"/>
        </w:rPr>
        <w:t>龄</w:t>
      </w:r>
      <w:r>
        <w:rPr>
          <w:rFonts w:hint="eastAsia" w:asciiTheme="minorEastAsia" w:hAnsiTheme="minorEastAsia"/>
          <w:color w:val="000000"/>
          <w:sz w:val="21"/>
          <w:szCs w:val="21"/>
        </w:rPr>
        <w:t>：</w:t>
      </w:r>
      <w:r>
        <w:rPr>
          <w:rFonts w:asciiTheme="minorEastAsia" w:hAnsiTheme="minorEastAsia"/>
          <w:color w:val="000000"/>
          <w:sz w:val="21"/>
          <w:szCs w:val="21"/>
        </w:rPr>
        <w:t xml:space="preserve">     职务</w:t>
      </w:r>
      <w:r>
        <w:rPr>
          <w:rFonts w:hint="eastAsia" w:asciiTheme="minorEastAsia" w:hAnsiTheme="minorEastAsia"/>
          <w:color w:val="000000"/>
          <w:sz w:val="21"/>
          <w:szCs w:val="21"/>
        </w:rPr>
        <w:t xml:space="preserve">：        </w:t>
      </w:r>
    </w:p>
    <w:p>
      <w:pPr>
        <w:pStyle w:val="52"/>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color w:val="000000"/>
          <w:sz w:val="21"/>
          <w:szCs w:val="21"/>
        </w:rPr>
        <w:t>的法定代表人（单位负责人）。就</w:t>
      </w:r>
      <w:r>
        <w:rPr>
          <w:rFonts w:asciiTheme="minorEastAsia" w:hAnsiTheme="minorEastAsia"/>
          <w:color w:val="000000"/>
          <w:sz w:val="21"/>
          <w:szCs w:val="21"/>
        </w:rPr>
        <w:t>参</w:t>
      </w:r>
      <w:r>
        <w:rPr>
          <w:rFonts w:hint="eastAsia" w:asciiTheme="minorEastAsia" w:hAnsiTheme="minorEastAsia"/>
          <w:color w:val="000000"/>
          <w:sz w:val="21"/>
          <w:szCs w:val="21"/>
        </w:rPr>
        <w:t>加贵方项目</w:t>
      </w:r>
      <w:r>
        <w:rPr>
          <w:rFonts w:asciiTheme="minorEastAsia" w:hAnsiTheme="minorEastAsia"/>
          <w:color w:val="000000"/>
          <w:sz w:val="21"/>
          <w:szCs w:val="21"/>
        </w:rPr>
        <w:t>编号为</w:t>
      </w:r>
      <w:r>
        <w:rPr>
          <w:rFonts w:asciiTheme="minorEastAsia" w:hAnsiTheme="minorEastAsia"/>
          <w:i/>
          <w:color w:val="000000"/>
          <w:sz w:val="21"/>
          <w:szCs w:val="21"/>
          <w:u w:val="single"/>
        </w:rPr>
        <w:t>项目编号</w:t>
      </w:r>
      <w:r>
        <w:rPr>
          <w:rFonts w:hint="eastAsia" w:asciiTheme="minorEastAsia" w:hAnsiTheme="minorEastAsia"/>
          <w:color w:val="000000"/>
          <w:sz w:val="21"/>
          <w:szCs w:val="21"/>
        </w:rPr>
        <w:t>的</w:t>
      </w:r>
      <w:r>
        <w:rPr>
          <w:rFonts w:asciiTheme="minorEastAsia" w:hAnsiTheme="minorEastAsia"/>
          <w:i/>
          <w:color w:val="000000"/>
          <w:sz w:val="21"/>
          <w:szCs w:val="21"/>
          <w:u w:val="single"/>
        </w:rPr>
        <w:t>项目</w:t>
      </w:r>
      <w:r>
        <w:rPr>
          <w:rFonts w:hint="eastAsia" w:asciiTheme="minorEastAsia" w:hAnsiTheme="minorEastAsia"/>
          <w:i/>
          <w:color w:val="000000"/>
          <w:sz w:val="21"/>
          <w:szCs w:val="21"/>
          <w:u w:val="single"/>
        </w:rPr>
        <w:t>名</w:t>
      </w:r>
      <w:r>
        <w:rPr>
          <w:rFonts w:asciiTheme="minorEastAsia" w:hAnsiTheme="minorEastAsia"/>
          <w:i/>
          <w:color w:val="000000"/>
          <w:sz w:val="21"/>
          <w:szCs w:val="21"/>
          <w:u w:val="single"/>
        </w:rPr>
        <w:t>称</w:t>
      </w:r>
      <w:r>
        <w:rPr>
          <w:rFonts w:hint="eastAsia" w:asciiTheme="minorEastAsia" w:hAnsiTheme="minorEastAsia"/>
          <w:color w:val="000000"/>
          <w:sz w:val="21"/>
          <w:szCs w:val="21"/>
        </w:rPr>
        <w:t>竞争性谈判</w:t>
      </w:r>
      <w:r>
        <w:rPr>
          <w:rFonts w:asciiTheme="minorEastAsia" w:hAnsiTheme="minorEastAsia"/>
          <w:color w:val="000000"/>
          <w:sz w:val="21"/>
          <w:szCs w:val="21"/>
        </w:rPr>
        <w:t>项目</w:t>
      </w:r>
      <w:r>
        <w:rPr>
          <w:rFonts w:hint="eastAsia" w:asciiTheme="minorEastAsia" w:hAnsiTheme="minorEastAsia"/>
          <w:color w:val="000000"/>
          <w:sz w:val="21"/>
          <w:szCs w:val="21"/>
        </w:rPr>
        <w:t>的响应</w:t>
      </w:r>
      <w:r>
        <w:rPr>
          <w:rFonts w:asciiTheme="minorEastAsia" w:hAnsiTheme="minorEastAsia"/>
          <w:color w:val="000000"/>
          <w:sz w:val="21"/>
          <w:szCs w:val="21"/>
        </w:rPr>
        <w:t>报价</w:t>
      </w:r>
      <w:r>
        <w:rPr>
          <w:rFonts w:hint="eastAsia" w:asciiTheme="minorEastAsia" w:hAnsiTheme="minorEastAsia"/>
          <w:color w:val="000000"/>
          <w:sz w:val="21"/>
          <w:szCs w:val="21"/>
        </w:rPr>
        <w:t>，</w:t>
      </w:r>
      <w:r>
        <w:rPr>
          <w:rFonts w:asciiTheme="minorEastAsia" w:hAnsiTheme="minorEastAsia"/>
          <w:color w:val="000000"/>
          <w:sz w:val="21"/>
          <w:szCs w:val="21"/>
        </w:rPr>
        <w:t>签</w:t>
      </w:r>
      <w:r>
        <w:rPr>
          <w:rFonts w:hint="eastAsia" w:asciiTheme="minorEastAsia" w:hAnsiTheme="minorEastAsia"/>
          <w:color w:val="000000"/>
          <w:sz w:val="21"/>
          <w:szCs w:val="21"/>
        </w:rPr>
        <w:t>署上</w:t>
      </w:r>
      <w:r>
        <w:rPr>
          <w:rFonts w:asciiTheme="minorEastAsia" w:hAnsiTheme="minorEastAsia"/>
          <w:color w:val="000000"/>
          <w:sz w:val="21"/>
          <w:szCs w:val="21"/>
        </w:rPr>
        <w:t>述项目</w:t>
      </w:r>
      <w:r>
        <w:rPr>
          <w:rFonts w:hint="eastAsia" w:asciiTheme="minorEastAsia" w:hAnsiTheme="minorEastAsia"/>
          <w:color w:val="000000"/>
          <w:sz w:val="21"/>
          <w:szCs w:val="21"/>
        </w:rPr>
        <w:t>的响应文件及合同的</w:t>
      </w:r>
      <w:r>
        <w:rPr>
          <w:rFonts w:asciiTheme="minorEastAsia" w:hAnsiTheme="minorEastAsia"/>
          <w:color w:val="000000"/>
          <w:sz w:val="21"/>
          <w:szCs w:val="21"/>
        </w:rPr>
        <w:t>执</w:t>
      </w:r>
      <w:r>
        <w:rPr>
          <w:rFonts w:hint="eastAsia" w:asciiTheme="minorEastAsia" w:hAnsiTheme="minorEastAsia"/>
          <w:color w:val="000000"/>
          <w:sz w:val="21"/>
          <w:szCs w:val="21"/>
        </w:rPr>
        <w:t>行、完成、服</w:t>
      </w:r>
      <w:r>
        <w:rPr>
          <w:rFonts w:asciiTheme="minorEastAsia" w:hAnsiTheme="minorEastAsia"/>
          <w:color w:val="000000"/>
          <w:sz w:val="21"/>
          <w:szCs w:val="21"/>
        </w:rPr>
        <w:t>务</w:t>
      </w:r>
      <w:r>
        <w:rPr>
          <w:rFonts w:hint="eastAsia" w:asciiTheme="minorEastAsia" w:hAnsiTheme="minorEastAsia"/>
          <w:color w:val="000000"/>
          <w:sz w:val="21"/>
          <w:szCs w:val="21"/>
        </w:rPr>
        <w:t>和保修，</w:t>
      </w:r>
      <w:r>
        <w:rPr>
          <w:rFonts w:asciiTheme="minorEastAsia" w:hAnsiTheme="minorEastAsia"/>
          <w:color w:val="000000"/>
          <w:sz w:val="21"/>
          <w:szCs w:val="21"/>
        </w:rPr>
        <w:t>签</w:t>
      </w:r>
      <w:r>
        <w:rPr>
          <w:rFonts w:hint="eastAsia" w:asciiTheme="minorEastAsia" w:hAnsiTheme="minorEastAsia"/>
          <w:color w:val="000000"/>
          <w:sz w:val="21"/>
          <w:szCs w:val="21"/>
        </w:rPr>
        <w:t>署合同和</w:t>
      </w:r>
      <w:r>
        <w:rPr>
          <w:rFonts w:asciiTheme="minorEastAsia" w:hAnsiTheme="minorEastAsia"/>
          <w:color w:val="000000"/>
          <w:sz w:val="21"/>
          <w:szCs w:val="21"/>
        </w:rPr>
        <w:t>处</w:t>
      </w:r>
      <w:r>
        <w:rPr>
          <w:rFonts w:hint="eastAsia" w:asciiTheme="minorEastAsia" w:hAnsiTheme="minorEastAsia"/>
          <w:color w:val="000000"/>
          <w:sz w:val="21"/>
          <w:szCs w:val="21"/>
        </w:rPr>
        <w:t>理与之有</w:t>
      </w:r>
      <w:r>
        <w:rPr>
          <w:rFonts w:asciiTheme="minorEastAsia" w:hAnsiTheme="minorEastAsia"/>
          <w:color w:val="000000"/>
          <w:sz w:val="21"/>
          <w:szCs w:val="21"/>
        </w:rPr>
        <w:t>关的</w:t>
      </w:r>
      <w:r>
        <w:rPr>
          <w:rFonts w:hint="eastAsia" w:asciiTheme="minorEastAsia" w:hAnsiTheme="minorEastAsia"/>
          <w:color w:val="000000"/>
          <w:sz w:val="21"/>
          <w:szCs w:val="21"/>
        </w:rPr>
        <w:t>一切事</w:t>
      </w:r>
      <w:r>
        <w:rPr>
          <w:rFonts w:asciiTheme="minorEastAsia" w:hAnsiTheme="minorEastAsia"/>
          <w:color w:val="000000"/>
          <w:sz w:val="21"/>
          <w:szCs w:val="21"/>
        </w:rPr>
        <w:t>务</w:t>
      </w:r>
      <w:r>
        <w:rPr>
          <w:rFonts w:hint="eastAsia" w:asciiTheme="minorEastAsia" w:hAnsiTheme="minorEastAsia"/>
          <w:color w:val="000000"/>
          <w:sz w:val="21"/>
          <w:szCs w:val="21"/>
        </w:rPr>
        <w:t>。</w:t>
      </w:r>
    </w:p>
    <w:p>
      <w:pPr>
        <w:pStyle w:val="52"/>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特此</w:t>
      </w:r>
      <w:r>
        <w:rPr>
          <w:rFonts w:asciiTheme="minorEastAsia" w:hAnsiTheme="minorEastAsia"/>
          <w:color w:val="000000"/>
          <w:sz w:val="21"/>
          <w:szCs w:val="21"/>
        </w:rPr>
        <w:t>证</w:t>
      </w:r>
      <w:r>
        <w:rPr>
          <w:rFonts w:hint="eastAsia" w:asciiTheme="minorEastAsia" w:hAnsiTheme="minorEastAsia"/>
          <w:color w:val="000000"/>
          <w:sz w:val="21"/>
          <w:szCs w:val="21"/>
        </w:rPr>
        <w:t>明。</w:t>
      </w:r>
    </w:p>
    <w:p>
      <w:pPr>
        <w:pStyle w:val="52"/>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法定代表人（单位负责人）联系电话（手机）：</w:t>
      </w:r>
    </w:p>
    <w:p>
      <w:pPr>
        <w:pStyle w:val="52"/>
        <w:spacing w:line="480" w:lineRule="auto"/>
        <w:ind w:firstLine="472" w:firstLineChars="225"/>
        <w:jc w:val="left"/>
        <w:rPr>
          <w:rFonts w:asciiTheme="minorEastAsia" w:hAnsiTheme="minorEastAsia"/>
          <w:color w:val="000000"/>
          <w:sz w:val="21"/>
          <w:szCs w:val="21"/>
        </w:rPr>
      </w:pPr>
    </w:p>
    <w:p>
      <w:pPr>
        <w:pStyle w:val="52"/>
        <w:spacing w:line="480" w:lineRule="auto"/>
        <w:ind w:firstLine="472" w:firstLineChars="225"/>
        <w:jc w:val="left"/>
        <w:rPr>
          <w:rFonts w:asciiTheme="minorEastAsia" w:hAnsiTheme="minorEastAsia"/>
          <w:color w:val="000000"/>
          <w:sz w:val="21"/>
          <w:szCs w:val="21"/>
        </w:rPr>
      </w:pPr>
    </w:p>
    <w:p>
      <w:pPr>
        <w:pStyle w:val="52"/>
        <w:spacing w:line="480" w:lineRule="auto"/>
        <w:ind w:left="-538" w:leftChars="-256" w:firstLine="539" w:firstLineChars="257"/>
        <w:jc w:val="center"/>
        <w:rPr>
          <w:rFonts w:asciiTheme="minorEastAsia" w:hAnsiTheme="minorEastAsia"/>
          <w:bCs/>
          <w:color w:val="000000"/>
          <w:sz w:val="21"/>
          <w:szCs w:val="21"/>
        </w:rPr>
      </w:pPr>
      <w:r>
        <w:rPr>
          <w:rFonts w:hint="eastAsia" w:asciiTheme="minorEastAsia" w:hAnsiTheme="minorEastAsia"/>
          <w:bCs/>
          <w:color w:val="000000"/>
          <w:sz w:val="21"/>
          <w:szCs w:val="21"/>
        </w:rPr>
        <w:t>【此</w:t>
      </w:r>
      <w:r>
        <w:rPr>
          <w:rFonts w:asciiTheme="minorEastAsia" w:hAnsiTheme="minorEastAsia"/>
          <w:bCs/>
          <w:color w:val="000000"/>
          <w:sz w:val="21"/>
          <w:szCs w:val="21"/>
        </w:rPr>
        <w:t>处请</w:t>
      </w:r>
      <w:r>
        <w:rPr>
          <w:rFonts w:hint="eastAsia" w:asciiTheme="minorEastAsia" w:hAnsiTheme="minorEastAsia"/>
          <w:bCs/>
          <w:color w:val="000000"/>
          <w:sz w:val="21"/>
          <w:szCs w:val="21"/>
        </w:rPr>
        <w:t>粘</w:t>
      </w:r>
      <w:r>
        <w:rPr>
          <w:rFonts w:asciiTheme="minorEastAsia" w:hAnsiTheme="minorEastAsia"/>
          <w:bCs/>
          <w:color w:val="000000"/>
          <w:sz w:val="21"/>
          <w:szCs w:val="21"/>
        </w:rPr>
        <w:t>贴</w:t>
      </w:r>
      <w:r>
        <w:rPr>
          <w:rFonts w:hint="eastAsia" w:asciiTheme="minorEastAsia" w:hAnsiTheme="minorEastAsia"/>
          <w:bCs/>
          <w:color w:val="000000"/>
          <w:sz w:val="21"/>
          <w:szCs w:val="21"/>
        </w:rPr>
        <w:t>法定代表人（单位负责人）身份</w:t>
      </w:r>
      <w:r>
        <w:rPr>
          <w:rFonts w:asciiTheme="minorEastAsia" w:hAnsiTheme="minorEastAsia"/>
          <w:bCs/>
          <w:color w:val="000000"/>
          <w:sz w:val="21"/>
          <w:szCs w:val="21"/>
        </w:rPr>
        <w:t>证复</w:t>
      </w:r>
      <w:r>
        <w:rPr>
          <w:rFonts w:hint="eastAsia" w:asciiTheme="minorEastAsia" w:hAnsiTheme="minorEastAsia"/>
          <w:bCs/>
          <w:color w:val="000000"/>
          <w:sz w:val="21"/>
          <w:szCs w:val="21"/>
        </w:rPr>
        <w:t>印件，需清晰反映身份证有效期限】</w:t>
      </w:r>
    </w:p>
    <w:p>
      <w:pPr>
        <w:pStyle w:val="52"/>
        <w:spacing w:line="480" w:lineRule="auto"/>
        <w:ind w:left="-538" w:leftChars="-256" w:firstLine="539" w:firstLineChars="257"/>
        <w:jc w:val="center"/>
        <w:rPr>
          <w:rFonts w:asciiTheme="minorEastAsia" w:hAnsiTheme="minorEastAsia"/>
          <w:bCs/>
          <w:color w:val="000000"/>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rPr>
        <w:t>）：</w:t>
      </w:r>
    </w:p>
    <w:p>
      <w:pPr>
        <w:pStyle w:val="55"/>
        <w:spacing w:before="60" w:line="480" w:lineRule="auto"/>
        <w:ind w:firstLine="3937" w:firstLineChars="1875"/>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签署日期：   年   月  日</w:t>
      </w:r>
    </w:p>
    <w:p>
      <w:pPr>
        <w:pStyle w:val="54"/>
        <w:spacing w:line="480" w:lineRule="auto"/>
        <w:rPr>
          <w:rFonts w:cs="Arial" w:asciiTheme="minorEastAsia" w:hAnsiTheme="minorEastAsia"/>
          <w:color w:val="000000"/>
          <w:sz w:val="21"/>
          <w:szCs w:val="21"/>
        </w:rPr>
      </w:pPr>
    </w:p>
    <w:p>
      <w:pPr>
        <w:rPr>
          <w:szCs w:val="21"/>
        </w:rPr>
      </w:pPr>
    </w:p>
    <w:p>
      <w:pPr>
        <w:spacing w:line="320" w:lineRule="exact"/>
        <w:ind w:firstLine="420" w:firstLineChars="200"/>
        <w:rPr>
          <w:rFonts w:asciiTheme="minorEastAsia" w:hAnsiTheme="minorEastAsia"/>
          <w:bCs/>
          <w:color w:val="000000"/>
          <w:kern w:val="12"/>
          <w:szCs w:val="21"/>
        </w:rPr>
      </w:pPr>
      <w:r>
        <w:rPr>
          <w:rFonts w:hint="eastAsia" w:asciiTheme="minorEastAsia" w:hAnsiTheme="minorEastAsia"/>
          <w:bCs/>
          <w:color w:val="000000"/>
          <w:kern w:val="12"/>
          <w:szCs w:val="21"/>
        </w:rPr>
        <w:t>说明：法定代表人（单位负责人）</w:t>
      </w:r>
      <w:r>
        <w:rPr>
          <w:rFonts w:asciiTheme="minorEastAsia" w:hAnsiTheme="minorEastAsia"/>
          <w:bCs/>
          <w:color w:val="000000"/>
          <w:kern w:val="12"/>
          <w:szCs w:val="21"/>
        </w:rPr>
        <w:t>参</w:t>
      </w:r>
      <w:r>
        <w:rPr>
          <w:rFonts w:hint="eastAsia" w:asciiTheme="minorEastAsia" w:hAnsiTheme="minorEastAsia"/>
          <w:bCs/>
          <w:color w:val="000000"/>
          <w:kern w:val="12"/>
          <w:szCs w:val="21"/>
        </w:rPr>
        <w:t>加本竞争性谈判</w:t>
      </w:r>
      <w:r>
        <w:rPr>
          <w:rFonts w:asciiTheme="minorEastAsia" w:hAnsiTheme="minorEastAsia"/>
          <w:bCs/>
          <w:color w:val="000000"/>
          <w:kern w:val="12"/>
          <w:szCs w:val="21"/>
        </w:rPr>
        <w:t>项目</w:t>
      </w:r>
      <w:r>
        <w:rPr>
          <w:rFonts w:hint="eastAsia" w:asciiTheme="minorEastAsia" w:hAnsiTheme="minorEastAsia"/>
          <w:bCs/>
          <w:color w:val="000000"/>
          <w:kern w:val="12"/>
          <w:szCs w:val="21"/>
        </w:rPr>
        <w:t>响应的，</w:t>
      </w:r>
      <w:r>
        <w:rPr>
          <w:rFonts w:asciiTheme="minorEastAsia" w:hAnsiTheme="minorEastAsia"/>
          <w:bCs/>
          <w:color w:val="000000"/>
          <w:kern w:val="12"/>
          <w:szCs w:val="21"/>
        </w:rPr>
        <w:t>仅须</w:t>
      </w:r>
      <w:r>
        <w:rPr>
          <w:rFonts w:hint="eastAsia" w:asciiTheme="minorEastAsia" w:hAnsiTheme="minorEastAsia"/>
          <w:bCs/>
          <w:color w:val="000000"/>
          <w:kern w:val="12"/>
          <w:szCs w:val="21"/>
        </w:rPr>
        <w:t>出具此</w:t>
      </w:r>
      <w:r>
        <w:rPr>
          <w:rFonts w:asciiTheme="minorEastAsia" w:hAnsiTheme="minorEastAsia"/>
          <w:bCs/>
          <w:color w:val="000000"/>
          <w:kern w:val="12"/>
          <w:szCs w:val="21"/>
        </w:rPr>
        <w:t>证</w:t>
      </w:r>
      <w:r>
        <w:rPr>
          <w:rFonts w:hint="eastAsia" w:asciiTheme="minorEastAsia" w:hAnsiTheme="minorEastAsia"/>
          <w:bCs/>
          <w:color w:val="000000"/>
          <w:kern w:val="12"/>
          <w:szCs w:val="21"/>
        </w:rPr>
        <w:t>明</w:t>
      </w:r>
      <w:r>
        <w:rPr>
          <w:rFonts w:asciiTheme="minorEastAsia" w:hAnsiTheme="minorEastAsia"/>
          <w:bCs/>
          <w:color w:val="000000"/>
          <w:kern w:val="12"/>
          <w:szCs w:val="21"/>
        </w:rPr>
        <w:t>书</w:t>
      </w:r>
      <w:r>
        <w:rPr>
          <w:rFonts w:hint="eastAsia" w:asciiTheme="minorEastAsia" w:hAnsiTheme="minorEastAsia"/>
          <w:bCs/>
          <w:color w:val="000000"/>
          <w:kern w:val="12"/>
          <w:szCs w:val="21"/>
        </w:rPr>
        <w:t>。</w:t>
      </w:r>
    </w:p>
    <w:p>
      <w:pPr>
        <w:spacing w:line="320" w:lineRule="exact"/>
        <w:ind w:firstLine="420" w:firstLineChars="200"/>
        <w:rPr>
          <w:rFonts w:asciiTheme="minorEastAsia" w:hAnsiTheme="minorEastAsia"/>
          <w:bCs/>
          <w:color w:val="000000"/>
          <w:kern w:val="12"/>
          <w:szCs w:val="21"/>
        </w:rPr>
      </w:pPr>
    </w:p>
    <w:p>
      <w:pPr>
        <w:spacing w:line="480" w:lineRule="exact"/>
        <w:jc w:val="center"/>
        <w:rPr>
          <w:rFonts w:ascii="宋体" w:hAnsi="宋体"/>
          <w:b/>
          <w:bCs/>
          <w:color w:val="000000"/>
          <w:sz w:val="24"/>
          <w:szCs w:val="24"/>
        </w:rPr>
      </w:pPr>
      <w:r>
        <w:rPr>
          <w:rFonts w:hint="eastAsia" w:ascii="宋体" w:hAnsi="宋体"/>
          <w:b/>
          <w:bCs/>
          <w:color w:val="000000"/>
          <w:sz w:val="24"/>
          <w:szCs w:val="24"/>
        </w:rPr>
        <w:t>3.3 法定代表人（单位负责人）授权书</w:t>
      </w:r>
    </w:p>
    <w:p>
      <w:pPr>
        <w:spacing w:line="480" w:lineRule="exact"/>
        <w:jc w:val="center"/>
        <w:rPr>
          <w:rFonts w:ascii="宋体" w:hAnsi="宋体"/>
          <w:b/>
          <w:bCs/>
          <w:color w:val="000000"/>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以我方的名义参加贵方______________________项目的谈判响应活动，并代表我方全权办理针对上述项目的谈判、响应文件澄清、签约等一切具体事务和签署相关文件。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供应商名称： </w:t>
      </w:r>
      <w:r>
        <w:rPr>
          <w:rFonts w:hint="eastAsia" w:asciiTheme="minorEastAsia" w:hAnsiTheme="minorEastAsia"/>
          <w:szCs w:val="21"/>
          <w:u w:val="single"/>
        </w:rPr>
        <w:t xml:space="preserve">       （全称）       </w:t>
      </w:r>
      <w:r>
        <w:rPr>
          <w:rFonts w:hint="eastAsia" w:asciiTheme="minorEastAsia" w:hAnsiTheme="minorEastAsia"/>
          <w:szCs w:val="21"/>
        </w:rPr>
        <w:t xml:space="preserve"> （并加盖单位公章）</w:t>
      </w:r>
    </w:p>
    <w:p>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授权代表联系电话（手机）：</w:t>
      </w:r>
    </w:p>
    <w:tbl>
      <w:tblPr>
        <w:tblStyle w:val="26"/>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p>
        </w:tc>
      </w:tr>
    </w:tbl>
    <w:p>
      <w:pPr>
        <w:widowControl/>
        <w:spacing w:before="100" w:beforeAutospacing="1" w:after="100" w:afterAutospacing="1" w:line="360" w:lineRule="auto"/>
        <w:jc w:val="center"/>
        <w:rPr>
          <w:rFonts w:ascii="宋体" w:hAnsi="宋体"/>
          <w:b/>
          <w:bCs/>
          <w:color w:val="000000"/>
          <w:sz w:val="24"/>
          <w:szCs w:val="24"/>
        </w:rPr>
      </w:pPr>
      <w:r>
        <w:rPr>
          <w:rFonts w:hint="eastAsia" w:ascii="宋体" w:hAnsi="宋体"/>
          <w:b/>
          <w:bCs/>
          <w:color w:val="000000"/>
          <w:sz w:val="24"/>
          <w:szCs w:val="24"/>
        </w:rPr>
        <w:t>3.4 没有重大违法记录的声明</w:t>
      </w:r>
    </w:p>
    <w:p>
      <w:pPr>
        <w:spacing w:beforeLines="50" w:afterLines="50"/>
        <w:jc w:val="center"/>
        <w:rPr>
          <w:rFonts w:ascii="宋体" w:hAnsi="宋体" w:cs="Arial"/>
          <w:color w:val="000000"/>
          <w:kern w:val="0"/>
          <w:sz w:val="28"/>
          <w:szCs w:val="28"/>
        </w:rPr>
      </w:pPr>
      <w:r>
        <w:rPr>
          <w:rFonts w:hint="eastAsia" w:ascii="宋体" w:hAnsi="宋体" w:cs="Arial"/>
          <w:color w:val="000000"/>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u w:val="single"/>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3.5 谈判承诺函</w:t>
      </w:r>
    </w:p>
    <w:p>
      <w:pPr>
        <w:autoSpaceDE w:val="0"/>
        <w:autoSpaceDN w:val="0"/>
        <w:snapToGrid w:val="0"/>
        <w:spacing w:line="360" w:lineRule="auto"/>
        <w:jc w:val="center"/>
        <w:rPr>
          <w:rFonts w:ascii="宋体" w:hAnsi="宋体"/>
          <w:b/>
          <w:bCs/>
          <w:color w:val="000000"/>
          <w:sz w:val="24"/>
          <w:szCs w:val="24"/>
        </w:rPr>
      </w:pPr>
    </w:p>
    <w:p>
      <w:pPr>
        <w:spacing w:beforeLines="50" w:afterLines="50" w:line="360" w:lineRule="auto"/>
        <w:contextualSpacing/>
        <w:rPr>
          <w:rFonts w:ascii="宋体" w:hAnsi="宋体" w:eastAsia="宋体" w:cs="宋体"/>
          <w:szCs w:val="21"/>
          <w:lang w:val="zh-CN"/>
        </w:rPr>
      </w:pPr>
      <w:r>
        <w:rPr>
          <w:rFonts w:hint="eastAsia" w:ascii="宋体" w:hAnsi="宋体" w:eastAsia="宋体" w:cs="宋体"/>
          <w:szCs w:val="21"/>
          <w:lang w:val="zh-CN"/>
        </w:rPr>
        <w:t>禹州市政府采购中心</w:t>
      </w:r>
      <w:r>
        <w:rPr>
          <w:rFonts w:ascii="宋体" w:hAnsi="宋体" w:eastAsia="宋体" w:cs="宋体"/>
          <w:szCs w:val="21"/>
          <w:lang w:val="zh-CN"/>
        </w:rPr>
        <w:t>：</w:t>
      </w:r>
    </w:p>
    <w:p>
      <w:pPr>
        <w:spacing w:beforeLines="50" w:afterLines="50" w:line="360" w:lineRule="auto"/>
        <w:ind w:firstLine="420" w:firstLineChars="200"/>
        <w:contextualSpacing/>
        <w:rPr>
          <w:rFonts w:cs="宋体" w:asciiTheme="minorEastAsia" w:hAnsiTheme="minorEastAsia"/>
          <w:szCs w:val="21"/>
          <w:lang w:val="zh-CN"/>
        </w:rPr>
      </w:pPr>
      <w:r>
        <w:rPr>
          <w:rFonts w:ascii="宋体" w:hAnsi="宋体" w:eastAsia="宋体" w:cs="宋体"/>
          <w:szCs w:val="21"/>
          <w:lang w:val="zh-CN"/>
        </w:rPr>
        <w:t>经研究，我</w:t>
      </w:r>
      <w:r>
        <w:rPr>
          <w:rFonts w:hint="eastAsia" w:cs="宋体" w:asciiTheme="minorEastAsia" w:hAnsiTheme="minorEastAsia"/>
          <w:szCs w:val="21"/>
          <w:lang w:val="zh-CN"/>
        </w:rPr>
        <w:t>方自愿参与贵方</w:t>
      </w:r>
      <w:r>
        <w:rPr>
          <w:rFonts w:ascii="宋体" w:hAnsi="宋体" w:eastAsia="宋体" w:cs="宋体"/>
          <w:szCs w:val="21"/>
          <w:lang w:val="zh-CN"/>
        </w:rPr>
        <w:t>____年____月____日____</w:t>
      </w:r>
      <w:r>
        <w:rPr>
          <w:rFonts w:hint="eastAsia" w:cs="宋体" w:asciiTheme="minorEastAsia" w:hAnsiTheme="minorEastAsia"/>
          <w:szCs w:val="21"/>
          <w:lang w:val="zh-CN"/>
        </w:rPr>
        <w:t>（项目编号、项目名称）的</w:t>
      </w:r>
      <w:r>
        <w:rPr>
          <w:rFonts w:ascii="宋体" w:hAnsi="宋体" w:eastAsia="宋体" w:cs="宋体"/>
          <w:szCs w:val="21"/>
          <w:lang w:val="zh-CN"/>
        </w:rPr>
        <w:t>投标，</w:t>
      </w:r>
      <w:r>
        <w:rPr>
          <w:rFonts w:hint="eastAsia" w:cs="宋体" w:asciiTheme="minorEastAsia" w:hAnsiTheme="minorEastAsia"/>
          <w:szCs w:val="21"/>
          <w:lang w:val="zh-CN"/>
        </w:rPr>
        <w:t>将</w:t>
      </w:r>
      <w:r>
        <w:rPr>
          <w:rFonts w:ascii="宋体" w:hAnsi="宋体" w:eastAsia="宋体" w:cs="宋体"/>
          <w:szCs w:val="21"/>
          <w:lang w:val="zh-CN"/>
        </w:rPr>
        <w:t>严格</w:t>
      </w:r>
      <w:r>
        <w:rPr>
          <w:rFonts w:hint="eastAsia" w:cs="宋体" w:asciiTheme="minorEastAsia" w:hAnsiTheme="minorEastAsia"/>
          <w:szCs w:val="21"/>
          <w:lang w:val="zh-CN"/>
        </w:rPr>
        <w:t>遵守</w:t>
      </w:r>
      <w:r>
        <w:rPr>
          <w:rFonts w:ascii="宋体" w:hAnsi="宋体" w:eastAsia="宋体" w:cs="宋体"/>
          <w:szCs w:val="21"/>
          <w:lang w:val="zh-CN"/>
        </w:rPr>
        <w:t>《</w:t>
      </w:r>
      <w:r>
        <w:rPr>
          <w:rFonts w:hint="eastAsia" w:cs="宋体" w:asciiTheme="minorEastAsia" w:hAnsiTheme="minorEastAsia"/>
          <w:szCs w:val="21"/>
          <w:lang w:val="zh-CN"/>
        </w:rPr>
        <w:t>中华人民共和国政府采购</w:t>
      </w:r>
      <w:r>
        <w:rPr>
          <w:rFonts w:ascii="宋体" w:hAnsi="宋体" w:eastAsia="宋体" w:cs="宋体"/>
          <w:szCs w:val="21"/>
          <w:lang w:val="zh-CN"/>
        </w:rPr>
        <w:t>法》等</w:t>
      </w:r>
      <w:r>
        <w:rPr>
          <w:rFonts w:hint="eastAsia" w:cs="宋体" w:asciiTheme="minorEastAsia" w:hAnsiTheme="minorEastAsia"/>
          <w:szCs w:val="21"/>
          <w:lang w:val="zh-CN"/>
        </w:rPr>
        <w:t>相关</w:t>
      </w:r>
      <w:r>
        <w:rPr>
          <w:rFonts w:ascii="宋体" w:hAnsi="宋体" w:eastAsia="宋体" w:cs="宋体"/>
          <w:szCs w:val="21"/>
          <w:lang w:val="zh-CN"/>
        </w:rPr>
        <w:t>法律法规</w:t>
      </w:r>
      <w:r>
        <w:rPr>
          <w:rFonts w:hint="eastAsia" w:cs="宋体" w:asciiTheme="minorEastAsia" w:hAnsiTheme="minorEastAsia"/>
          <w:szCs w:val="21"/>
          <w:lang w:val="zh-CN"/>
        </w:rPr>
        <w:t>规定</w:t>
      </w:r>
      <w:r>
        <w:rPr>
          <w:rFonts w:cs="宋体" w:asciiTheme="minorEastAsia" w:hAnsiTheme="minorEastAsia"/>
          <w:szCs w:val="21"/>
          <w:lang w:val="zh-CN"/>
        </w:rPr>
        <w:t>，并无条件地遵守本次采购活动各项规定。我们郑重承诺：</w:t>
      </w:r>
      <w:r>
        <w:rPr>
          <w:rFonts w:hint="eastAsia" w:cs="宋体" w:asciiTheme="minorEastAsia" w:hAnsiTheme="minorEastAsia"/>
          <w:szCs w:val="21"/>
          <w:lang w:val="zh-CN"/>
        </w:rPr>
        <w:t>我方</w:t>
      </w:r>
      <w:r>
        <w:rPr>
          <w:rFonts w:cs="宋体" w:asciiTheme="minorEastAsia" w:hAnsiTheme="minorEastAsia"/>
          <w:szCs w:val="21"/>
          <w:lang w:val="zh-CN"/>
        </w:rPr>
        <w:t>如果在本次</w:t>
      </w:r>
      <w:r>
        <w:rPr>
          <w:rFonts w:hint="eastAsia" w:cs="宋体" w:asciiTheme="minorEastAsia" w:hAnsiTheme="minorEastAsia"/>
          <w:szCs w:val="21"/>
          <w:lang w:val="zh-CN"/>
        </w:rPr>
        <w:t>响应</w:t>
      </w:r>
      <w:r>
        <w:rPr>
          <w:rFonts w:cs="宋体" w:asciiTheme="minorEastAsia" w:hAnsiTheme="minorEastAsia"/>
          <w:szCs w:val="21"/>
          <w:lang w:val="zh-CN"/>
        </w:rPr>
        <w:t>活动中有</w:t>
      </w:r>
      <w:r>
        <w:rPr>
          <w:rFonts w:hint="eastAsia" w:cs="宋体" w:asciiTheme="minorEastAsia" w:hAnsiTheme="minorEastAsia"/>
          <w:szCs w:val="21"/>
          <w:lang w:val="zh-CN"/>
        </w:rPr>
        <w:t>下列</w:t>
      </w:r>
      <w:r>
        <w:rPr>
          <w:rFonts w:cs="宋体" w:asciiTheme="minorEastAsia" w:hAnsiTheme="minorEastAsia"/>
          <w:szCs w:val="21"/>
          <w:lang w:val="zh-CN"/>
        </w:rPr>
        <w:t>情形</w:t>
      </w:r>
      <w:r>
        <w:rPr>
          <w:rFonts w:hint="eastAsia" w:cs="宋体" w:asciiTheme="minorEastAsia" w:hAnsiTheme="minorEastAsia"/>
          <w:szCs w:val="21"/>
          <w:lang w:val="zh-CN"/>
        </w:rPr>
        <w:t>之一</w:t>
      </w:r>
      <w:r>
        <w:rPr>
          <w:rFonts w:cs="宋体" w:asciiTheme="minorEastAsia" w:hAnsiTheme="minorEastAsia"/>
          <w:szCs w:val="21"/>
          <w:lang w:val="zh-CN"/>
        </w:rPr>
        <w:t>的，愿接受政府采购</w:t>
      </w:r>
      <w:r>
        <w:rPr>
          <w:rFonts w:hint="eastAsia" w:cs="宋体" w:asciiTheme="minorEastAsia" w:hAnsiTheme="minorEastAsia"/>
          <w:szCs w:val="21"/>
          <w:lang w:val="zh-CN"/>
        </w:rPr>
        <w:t>监督管理</w:t>
      </w:r>
      <w:r>
        <w:rPr>
          <w:rFonts w:cs="宋体" w:asciiTheme="minorEastAsia" w:hAnsiTheme="minorEastAsia"/>
          <w:szCs w:val="21"/>
          <w:lang w:val="zh-CN"/>
        </w:rPr>
        <w:t>部门给予相关处罚并</w:t>
      </w:r>
      <w:r>
        <w:rPr>
          <w:rFonts w:hint="eastAsia" w:cs="宋体" w:asciiTheme="minorEastAsia" w:hAnsiTheme="minorEastAsia"/>
          <w:szCs w:val="21"/>
          <w:lang w:val="zh-CN"/>
        </w:rPr>
        <w:t>承诺依法</w:t>
      </w:r>
      <w:r>
        <w:rPr>
          <w:rFonts w:cs="宋体" w:asciiTheme="minorEastAsia" w:hAnsiTheme="minorEastAsia"/>
          <w:szCs w:val="21"/>
          <w:lang w:val="zh-CN"/>
        </w:rPr>
        <w:t>承担</w:t>
      </w:r>
      <w:r>
        <w:rPr>
          <w:rFonts w:hint="eastAsia" w:cs="宋体" w:asciiTheme="minorEastAsia" w:hAnsiTheme="minorEastAsia"/>
          <w:szCs w:val="21"/>
          <w:lang w:val="zh-CN"/>
        </w:rPr>
        <w:t>相关的经济赔偿责任和</w:t>
      </w:r>
      <w:r>
        <w:rPr>
          <w:rFonts w:cs="宋体" w:asciiTheme="minorEastAsia" w:hAnsiTheme="minorEastAsia"/>
          <w:szCs w:val="21"/>
          <w:lang w:val="zh-CN"/>
        </w:rPr>
        <w:t>法律责任。</w:t>
      </w:r>
    </w:p>
    <w:p>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一、在响应有效期内撤销响应文件；</w:t>
      </w:r>
    </w:p>
    <w:p>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二、在响应文件中提供虚假材料；</w:t>
      </w:r>
    </w:p>
    <w:p>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三、除因不可抗力或谈判文件认可的情形以外，成交后不与采购人签订合同；</w:t>
      </w:r>
    </w:p>
    <w:p>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四、与采购人、其他供应商或者采购代理机构恶意串通；</w:t>
      </w:r>
    </w:p>
    <w:p>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五、法律法规及本谈判文件规定的其他严重违法行为。</w:t>
      </w:r>
    </w:p>
    <w:p>
      <w:pPr>
        <w:rPr>
          <w:color w:val="000000"/>
          <w:sz w:val="28"/>
          <w:szCs w:val="28"/>
          <w:u w:val="single"/>
        </w:rPr>
      </w:pPr>
    </w:p>
    <w:p>
      <w:pPr>
        <w:rPr>
          <w:color w:val="000000"/>
          <w:sz w:val="28"/>
          <w:szCs w:val="28"/>
          <w:u w:val="single"/>
        </w:rPr>
      </w:pPr>
    </w:p>
    <w:p>
      <w:pPr>
        <w:spacing w:line="480" w:lineRule="auto"/>
        <w:ind w:firstLine="4357" w:firstLineChars="2075"/>
        <w:rPr>
          <w:rFonts w:cs="Arial" w:asciiTheme="minorEastAsia" w:hAnsiTheme="minorEastAsia"/>
          <w:color w:val="000000"/>
          <w:szCs w:val="21"/>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r>
        <w:rPr>
          <w:rFonts w:hint="eastAsia" w:cs="Arial" w:asciiTheme="minorEastAsia" w:hAnsiTheme="minorEastAsia"/>
          <w:color w:val="000000"/>
          <w:szCs w:val="21"/>
        </w:rPr>
        <w:t>　　　　　　　　　</w:t>
      </w:r>
    </w:p>
    <w:p>
      <w:pPr>
        <w:spacing w:line="480" w:lineRule="auto"/>
        <w:ind w:firstLine="4357" w:firstLineChars="2075"/>
        <w:rPr>
          <w:rFonts w:cs="Arial" w:asciiTheme="minorEastAsia" w:hAnsiTheme="minorEastAsia"/>
          <w:color w:val="000000"/>
          <w:szCs w:val="21"/>
        </w:rPr>
      </w:pPr>
      <w:r>
        <w:rPr>
          <w:rFonts w:hint="eastAsia" w:cs="Arial" w:asciiTheme="minorEastAsia" w:hAnsiTheme="minorEastAsia"/>
          <w:color w:val="000000"/>
          <w:szCs w:val="21"/>
        </w:rPr>
        <w:t>日　  期：      年    月    日</w:t>
      </w:r>
    </w:p>
    <w:p>
      <w:pPr>
        <w:autoSpaceDE w:val="0"/>
        <w:autoSpaceDN w:val="0"/>
        <w:adjustRightInd w:val="0"/>
        <w:spacing w:line="360" w:lineRule="auto"/>
        <w:jc w:val="center"/>
        <w:rPr>
          <w:rFonts w:ascii="宋体" w:cs="宋体"/>
          <w:szCs w:val="21"/>
          <w:lang w:val="zh-CN"/>
        </w:rPr>
      </w:pPr>
    </w:p>
    <w:p>
      <w:pPr>
        <w:autoSpaceDE w:val="0"/>
        <w:autoSpaceDN w:val="0"/>
        <w:adjustRightInd w:val="0"/>
        <w:spacing w:line="360" w:lineRule="auto"/>
        <w:ind w:right="-11"/>
        <w:rPr>
          <w:rFonts w:ascii="宋体" w:cs="宋体"/>
          <w:szCs w:val="21"/>
          <w:lang w:val="zh-CN"/>
        </w:rPr>
      </w:pPr>
    </w:p>
    <w:p>
      <w:pPr>
        <w:pStyle w:val="10"/>
        <w:rPr>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ind w:firstLine="2891" w:firstLineChars="1200"/>
        <w:rPr>
          <w:rFonts w:cs="宋体" w:asciiTheme="minorEastAsia" w:hAnsiTheme="minorEastAsia"/>
          <w:sz w:val="24"/>
          <w:szCs w:val="24"/>
        </w:rPr>
      </w:pPr>
      <w:r>
        <w:rPr>
          <w:rFonts w:hint="eastAsia" w:ascii="宋体" w:hAnsi="宋体"/>
          <w:b/>
          <w:bCs/>
          <w:color w:val="000000"/>
          <w:sz w:val="24"/>
          <w:szCs w:val="24"/>
        </w:rPr>
        <w:t>3.6  谈判文件费用缴纳回执单</w:t>
      </w: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outlineLvl w:val="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pStyle w:val="10"/>
        <w:rPr>
          <w:rFonts w:ascii="宋体" w:cs="宋体"/>
          <w:sz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3.7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rPr>
          <w:rFonts w:cs="黑体" w:asciiTheme="minorEastAsia" w:hAnsiTheme="minorEastAsia"/>
          <w:b/>
          <w:bCs/>
          <w:sz w:val="44"/>
          <w:szCs w:val="44"/>
          <w:lang w:val="zh-CN"/>
        </w:rPr>
      </w:pPr>
    </w:p>
    <w:p>
      <w:pPr>
        <w:autoSpaceDE w:val="0"/>
        <w:autoSpaceDN w:val="0"/>
        <w:adjustRightInd w:val="0"/>
        <w:spacing w:line="360" w:lineRule="auto"/>
        <w:jc w:val="both"/>
        <w:rPr>
          <w:rFonts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四、响应文件审查相关材料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4.1分项报价表（货物类项目）</w:t>
      </w:r>
    </w:p>
    <w:p>
      <w:pPr>
        <w:autoSpaceDE w:val="0"/>
        <w:autoSpaceDN w:val="0"/>
        <w:adjustRightInd w:val="0"/>
        <w:spacing w:line="360" w:lineRule="auto"/>
        <w:jc w:val="center"/>
        <w:outlineLvl w:val="0"/>
        <w:rPr>
          <w:rFonts w:ascii="宋体" w:hAnsi="宋体"/>
          <w:b/>
          <w:bCs/>
          <w:color w:val="000000"/>
          <w:sz w:val="24"/>
          <w:szCs w:val="24"/>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6"/>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rPr>
                <w:rFonts w:cs="宋体" w:asciiTheme="minorEastAsia" w:hAnsiTheme="minorEastAsia"/>
                <w:b/>
                <w:szCs w:val="21"/>
                <w:lang w:val="zh-CN"/>
              </w:rPr>
            </w:pPr>
            <w:r>
              <w:rPr>
                <w:rFonts w:hint="eastAsia" w:cs="宋体" w:asciiTheme="minorEastAsia" w:hAnsiTheme="minorEastAsia"/>
                <w:b/>
                <w:szCs w:val="21"/>
                <w:lang w:val="zh-CN"/>
              </w:rPr>
              <w:t>品牌规格型号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生产厂家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4.2 技术规格偏离表（货物类项目）</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6"/>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谈判文件</w:t>
            </w:r>
          </w:p>
          <w:p>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响应文件</w:t>
            </w:r>
          </w:p>
          <w:p>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8"/>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4.4 业绩情况表</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napToGrid w:val="0"/>
        <w:spacing w:line="360" w:lineRule="auto"/>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6"/>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bl>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4.6“节能产品政府采购品目清单”强制节能产品情况</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tabs>
          <w:tab w:val="left" w:pos="1800"/>
          <w:tab w:val="left" w:pos="5580"/>
        </w:tabs>
        <w:spacing w:line="360" w:lineRule="auto"/>
        <w:rPr>
          <w:rFonts w:asciiTheme="minorEastAsia" w:hAnsiTheme="minorEastAsia"/>
          <w:color w:val="000000"/>
          <w:szCs w:val="21"/>
        </w:rPr>
      </w:pPr>
      <w:r>
        <w:rPr>
          <w:rFonts w:hint="eastAsia" w:asciiTheme="minorEastAsia" w:hAnsiTheme="minorEastAsia"/>
          <w:color w:val="000000"/>
          <w:szCs w:val="21"/>
        </w:rPr>
        <w:t>项目名称：</w:t>
      </w:r>
    </w:p>
    <w:p>
      <w:pPr>
        <w:tabs>
          <w:tab w:val="left" w:pos="1800"/>
          <w:tab w:val="left" w:pos="5580"/>
        </w:tabs>
        <w:spacing w:line="360" w:lineRule="auto"/>
        <w:rPr>
          <w:rFonts w:ascii="宋体" w:hAnsi="宋体"/>
          <w:szCs w:val="21"/>
        </w:rPr>
      </w:pPr>
    </w:p>
    <w:tbl>
      <w:tblPr>
        <w:tblStyle w:val="26"/>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7"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snapToGrid w:val="0"/>
        <w:spacing w:line="500" w:lineRule="exact"/>
        <w:rPr>
          <w:rFonts w:cs="宋体" w:asciiTheme="minorEastAsia" w:hAnsiTheme="minorEastAsia"/>
          <w:szCs w:val="21"/>
          <w:lang w:val="zh-CN"/>
        </w:rPr>
      </w:pPr>
    </w:p>
    <w:p>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4.7“节能产品政府采购品目清单”优先采购节能产品情况</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tabs>
          <w:tab w:val="left" w:pos="1800"/>
          <w:tab w:val="left" w:pos="5580"/>
        </w:tabs>
        <w:spacing w:line="360" w:lineRule="auto"/>
        <w:rPr>
          <w:rFonts w:asciiTheme="minorEastAsia" w:hAnsiTheme="minorEastAsia"/>
          <w:color w:val="000000"/>
          <w:szCs w:val="21"/>
        </w:rPr>
      </w:pPr>
      <w:r>
        <w:rPr>
          <w:rFonts w:hint="eastAsia" w:asciiTheme="minorEastAsia" w:hAnsiTheme="minorEastAsia"/>
          <w:color w:val="000000"/>
          <w:szCs w:val="21"/>
        </w:rPr>
        <w:t>项目名称：</w:t>
      </w:r>
    </w:p>
    <w:p>
      <w:pPr>
        <w:tabs>
          <w:tab w:val="left" w:pos="1800"/>
          <w:tab w:val="left" w:pos="5580"/>
        </w:tabs>
        <w:spacing w:line="360" w:lineRule="auto"/>
        <w:rPr>
          <w:rFonts w:ascii="宋体" w:hAnsi="宋体"/>
          <w:szCs w:val="21"/>
        </w:rPr>
      </w:pPr>
    </w:p>
    <w:tbl>
      <w:tblPr>
        <w:tblStyle w:val="26"/>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7"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snapToGrid w:val="0"/>
        <w:spacing w:line="500" w:lineRule="exact"/>
        <w:rPr>
          <w:rFonts w:cs="宋体" w:asciiTheme="minorEastAsia" w:hAnsiTheme="minorEastAsia"/>
          <w:szCs w:val="21"/>
          <w:lang w:val="zh-CN"/>
        </w:rPr>
      </w:pPr>
    </w:p>
    <w:p>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4.8 “环境标志产品政府采购品目清单”优先采购产品情况</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tabs>
          <w:tab w:val="left" w:pos="1800"/>
          <w:tab w:val="left" w:pos="5580"/>
        </w:tabs>
        <w:spacing w:line="360" w:lineRule="auto"/>
        <w:rPr>
          <w:rFonts w:asciiTheme="minorEastAsia" w:hAnsiTheme="minorEastAsia"/>
          <w:color w:val="000000"/>
          <w:szCs w:val="21"/>
        </w:rPr>
      </w:pPr>
      <w:r>
        <w:rPr>
          <w:rFonts w:hint="eastAsia" w:asciiTheme="minorEastAsia" w:hAnsiTheme="minorEastAsia"/>
          <w:color w:val="000000"/>
          <w:szCs w:val="21"/>
        </w:rPr>
        <w:t>项目名称：</w:t>
      </w:r>
    </w:p>
    <w:p>
      <w:pPr>
        <w:tabs>
          <w:tab w:val="left" w:pos="1800"/>
          <w:tab w:val="left" w:pos="5580"/>
        </w:tabs>
        <w:spacing w:line="360" w:lineRule="auto"/>
        <w:rPr>
          <w:rFonts w:asciiTheme="minorEastAsia" w:hAnsiTheme="minorEastAsia"/>
          <w:color w:val="000000"/>
          <w:szCs w:val="21"/>
        </w:rPr>
      </w:pPr>
    </w:p>
    <w:tbl>
      <w:tblPr>
        <w:tblStyle w:val="26"/>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7" w:type="dxa"/>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vAlign w:val="center"/>
          </w:tcPr>
          <w:p>
            <w:pPr>
              <w:pStyle w:val="8"/>
              <w:spacing w:line="360" w:lineRule="auto"/>
              <w:rPr>
                <w:rFonts w:ascii="宋体" w:hAnsi="宋体" w:eastAsia="宋体" w:cs="Times New Roman"/>
                <w:sz w:val="21"/>
                <w:szCs w:val="21"/>
              </w:rPr>
            </w:pPr>
          </w:p>
        </w:tc>
        <w:tc>
          <w:tcPr>
            <w:tcW w:w="1518" w:type="dxa"/>
            <w:vAlign w:val="center"/>
          </w:tcPr>
          <w:p>
            <w:pPr>
              <w:pStyle w:val="8"/>
              <w:spacing w:line="360" w:lineRule="auto"/>
              <w:rPr>
                <w:rFonts w:ascii="宋体" w:hAnsi="宋体" w:eastAsia="宋体" w:cs="Times New Roman"/>
                <w:sz w:val="21"/>
                <w:szCs w:val="21"/>
              </w:rPr>
            </w:pPr>
          </w:p>
        </w:tc>
        <w:tc>
          <w:tcPr>
            <w:tcW w:w="1240" w:type="dxa"/>
          </w:tcPr>
          <w:p>
            <w:pPr>
              <w:pStyle w:val="8"/>
              <w:spacing w:line="360" w:lineRule="auto"/>
              <w:rPr>
                <w:rFonts w:ascii="宋体" w:hAnsi="宋体" w:eastAsia="宋体" w:cs="Times New Roman"/>
                <w:sz w:val="21"/>
                <w:szCs w:val="21"/>
              </w:rPr>
            </w:pPr>
          </w:p>
        </w:tc>
        <w:tc>
          <w:tcPr>
            <w:tcW w:w="1648" w:type="dxa"/>
          </w:tcPr>
          <w:p>
            <w:pPr>
              <w:pStyle w:val="8"/>
              <w:spacing w:line="360" w:lineRule="auto"/>
              <w:rPr>
                <w:rFonts w:ascii="宋体" w:hAnsi="宋体" w:eastAsia="宋体" w:cs="Times New Roman"/>
                <w:sz w:val="21"/>
                <w:szCs w:val="21"/>
              </w:rPr>
            </w:pPr>
          </w:p>
        </w:tc>
        <w:tc>
          <w:tcPr>
            <w:tcW w:w="1600" w:type="dxa"/>
          </w:tcPr>
          <w:p>
            <w:pPr>
              <w:pStyle w:val="8"/>
              <w:spacing w:line="360" w:lineRule="auto"/>
              <w:rPr>
                <w:rFonts w:ascii="宋体" w:hAnsi="宋体" w:eastAsia="宋体" w:cs="Times New Roman"/>
                <w:sz w:val="21"/>
                <w:szCs w:val="21"/>
              </w:rPr>
            </w:pPr>
          </w:p>
        </w:tc>
        <w:tc>
          <w:tcPr>
            <w:tcW w:w="1417" w:type="dxa"/>
          </w:tcPr>
          <w:p>
            <w:pPr>
              <w:pStyle w:val="8"/>
              <w:spacing w:line="360" w:lineRule="auto"/>
              <w:rPr>
                <w:rFonts w:ascii="宋体" w:hAnsi="宋体" w:eastAsia="宋体" w:cs="Times New Roman"/>
                <w:sz w:val="21"/>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Arial" w:asciiTheme="minorEastAsia" w:hAnsiTheme="minorEastAsia"/>
          <w:color w:val="000000"/>
          <w:szCs w:val="21"/>
        </w:rPr>
        <w:t>并加盖公章</w:t>
      </w:r>
      <w:r>
        <w:rPr>
          <w:rFonts w:hint="eastAsia" w:cs="宋体" w:asciiTheme="minorEastAsia" w:hAnsiTheme="minorEastAsia"/>
          <w:szCs w:val="21"/>
          <w:lang w:val="zh-CN"/>
        </w:rPr>
        <w:t>）：</w:t>
      </w:r>
    </w:p>
    <w:p>
      <w:pPr>
        <w:snapToGrid w:val="0"/>
        <w:spacing w:line="500" w:lineRule="exact"/>
        <w:rPr>
          <w:rFonts w:cs="宋体" w:asciiTheme="minorEastAsia" w:hAnsiTheme="minorEastAsia"/>
          <w:szCs w:val="21"/>
          <w:lang w:val="zh-CN"/>
        </w:rPr>
      </w:pPr>
    </w:p>
    <w:p>
      <w:pPr>
        <w:ind w:left="630" w:hanging="630" w:hangingChars="300"/>
        <w:rPr>
          <w:rFonts w:cs="宋体" w:asciiTheme="minorEastAsia" w:hAnsiTheme="minorEastAsia"/>
          <w:szCs w:val="21"/>
          <w:lang w:val="zh-CN"/>
        </w:rPr>
      </w:pPr>
      <w:r>
        <w:rPr>
          <w:rFonts w:hint="eastAsia" w:cs="宋体" w:asciiTheme="minorEastAsia" w:hAnsiTheme="minorEastAsia"/>
          <w:szCs w:val="21"/>
          <w:lang w:val="zh-CN"/>
        </w:rPr>
        <w:t>说明：所投产品环境标志产品认证证书须附后。</w:t>
      </w: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4.9 中小企业声明函</w:t>
      </w:r>
    </w:p>
    <w:p>
      <w:pPr>
        <w:spacing w:line="360" w:lineRule="auto"/>
        <w:jc w:val="center"/>
        <w:rPr>
          <w:rFonts w:ascii="宋体" w:hAnsi="宋体"/>
          <w:b/>
          <w:bCs/>
          <w:color w:val="000000"/>
          <w:szCs w:val="21"/>
        </w:rPr>
      </w:pP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rPr>
        <w:br w:type="textWrapping"/>
      </w:r>
      <w:r>
        <w:rPr>
          <w:rFonts w:hint="eastAsia" w:ascii="宋体" w:hAnsi="宋体" w:cs="Arial"/>
          <w:color w:val="000000"/>
          <w:kern w:val="0"/>
          <w:szCs w:val="21"/>
        </w:rPr>
        <w:t>　　　1、根据《工业和信息化部、国家统计局、国家发展和改革委员会、财政部关于印发中小企业划型标准规定的通知》（工信部联企业[2011]300号）规定的划分标准，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ascii="宋体" w:hAnsi="宋体" w:cs="Arial"/>
          <w:color w:val="000000"/>
          <w:kern w:val="0"/>
          <w:szCs w:val="21"/>
        </w:rPr>
        <w:t>。　　</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contextualSpacing/>
        <w:jc w:val="left"/>
        <w:rPr>
          <w:rFonts w:cs="宋体" w:asciiTheme="minorEastAsia" w:hAnsiTheme="minorEastAsia"/>
          <w:szCs w:val="21"/>
        </w:rPr>
      </w:pPr>
      <w:r>
        <w:rPr>
          <w:rFonts w:hint="eastAsia" w:ascii="宋体" w:hAnsi="宋体" w:cs="Arial"/>
          <w:color w:val="000000"/>
          <w:kern w:val="0"/>
          <w:szCs w:val="21"/>
        </w:rPr>
        <w:t>企业名称：　　　　　　　　　</w:t>
      </w:r>
      <w:r>
        <w:rPr>
          <w:rFonts w:hint="eastAsia" w:ascii="宋体" w:hAnsi="宋体" w:cs="Arial"/>
          <w:color w:val="000000"/>
          <w:kern w:val="0"/>
          <w:szCs w:val="21"/>
        </w:rPr>
        <w:br w:type="textWrapping"/>
      </w:r>
      <w:r>
        <w:rPr>
          <w:rFonts w:hint="eastAsia" w:ascii="宋体" w:hAnsi="宋体" w:cs="Arial"/>
          <w:color w:val="000000"/>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ind w:left="3885" w:leftChars="1850"/>
        <w:jc w:val="left"/>
        <w:rPr>
          <w:rFonts w:cs="宋体" w:asciiTheme="minorEastAsia" w:hAnsiTheme="minorEastAsia"/>
          <w:szCs w:val="21"/>
        </w:rPr>
      </w:pPr>
    </w:p>
    <w:p>
      <w:pPr>
        <w:widowControl/>
        <w:spacing w:before="100" w:beforeAutospacing="1" w:after="100" w:afterAutospacing="1" w:line="360" w:lineRule="auto"/>
        <w:ind w:left="3885" w:leftChars="1850"/>
        <w:jc w:val="left"/>
        <w:rPr>
          <w:rFonts w:cs="宋体" w:asciiTheme="minorEastAsia" w:hAnsiTheme="minorEastAsia"/>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contextualSpacing/>
        <w:jc w:val="left"/>
        <w:rPr>
          <w:rFonts w:ascii="宋体" w:hAnsi="宋体"/>
          <w:color w:val="000000"/>
          <w:szCs w:val="21"/>
        </w:rPr>
      </w:pPr>
      <w:r>
        <w:rPr>
          <w:rFonts w:hint="eastAsia" w:ascii="宋体" w:hAnsi="宋体"/>
          <w:color w:val="000000"/>
          <w:szCs w:val="21"/>
        </w:rPr>
        <w:t>说明：</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2、如供应商为联合投标的，联合供应商需分别填写上述《中小企业声明函》。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3、小型和微型企业不包括民办非企业。</w:t>
      </w: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4.10 残疾人福利性单位声明函</w:t>
      </w:r>
    </w:p>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contextualSpacing/>
        <w:rPr>
          <w:rFonts w:ascii="宋体" w:hAnsi="宋体"/>
          <w:szCs w:val="21"/>
        </w:rPr>
      </w:pPr>
      <w:r>
        <w:rPr>
          <w:rFonts w:hint="eastAsia" w:cs="宋体" w:asciiTheme="minorEastAsia" w:hAnsiTheme="minorEastAsia"/>
          <w:szCs w:val="21"/>
          <w:lang w:val="zh-CN"/>
        </w:rPr>
        <w:t>单位名称（盖章）：：</w:t>
      </w:r>
    </w:p>
    <w:p>
      <w:pPr>
        <w:spacing w:line="360" w:lineRule="auto"/>
        <w:contextualSpacing/>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
    <w:p/>
    <w:p/>
    <w:p/>
    <w:p/>
    <w:p/>
    <w:p/>
    <w:p/>
    <w:p/>
    <w:p/>
    <w:p/>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4.11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rPr>
      </w:pPr>
    </w:p>
    <w:p>
      <w:pPr>
        <w:spacing w:line="360" w:lineRule="auto"/>
        <w:jc w:val="center"/>
        <w:rPr>
          <w:rFonts w:ascii="宋体" w:hAnsi="宋体" w:cs="Arial"/>
          <w:color w:val="000000"/>
          <w:kern w:val="0"/>
          <w:szCs w:val="21"/>
        </w:rPr>
      </w:pPr>
      <w:r>
        <w:rPr>
          <w:rFonts w:hint="eastAsia" w:ascii="宋体" w:hAnsi="宋体" w:cs="Arial"/>
          <w:color w:val="000000"/>
          <w:kern w:val="0"/>
          <w:szCs w:val="21"/>
        </w:rPr>
        <w:t>供应商所投产品涉及国家有属强制性规定的，须承诺其所投产品符合国家强制性要求（如CCC认证，格式自拟）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rPr>
      </w:pPr>
    </w:p>
    <w:p>
      <w:pPr>
        <w:widowControl/>
        <w:spacing w:before="100" w:beforeAutospacing="1" w:after="100" w:afterAutospacing="1" w:line="360" w:lineRule="auto"/>
        <w:jc w:val="center"/>
        <w:rPr>
          <w:rFonts w:ascii="宋体" w:hAnsi="宋体"/>
          <w:b/>
          <w:bCs/>
          <w:color w:val="000000"/>
          <w:sz w:val="36"/>
          <w:szCs w:val="36"/>
        </w:rPr>
      </w:pPr>
    </w:p>
    <w:p/>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color w:val="000000"/>
          <w:sz w:val="28"/>
          <w:szCs w:val="28"/>
        </w:rPr>
      </w:pPr>
      <w:r>
        <w:rPr>
          <w:rFonts w:ascii="宋体" w:hAnsi="宋体"/>
          <w:b/>
          <w:bCs/>
          <w:color w:val="000000"/>
          <w:sz w:val="28"/>
          <w:szCs w:val="28"/>
        </w:rPr>
        <w:t>除</w:t>
      </w:r>
      <w:r>
        <w:rPr>
          <w:rFonts w:hint="eastAsia" w:ascii="宋体" w:hAnsi="宋体"/>
          <w:b/>
          <w:bCs/>
          <w:color w:val="000000"/>
          <w:sz w:val="28"/>
          <w:szCs w:val="28"/>
        </w:rPr>
        <w:t>谈判</w:t>
      </w:r>
      <w:r>
        <w:rPr>
          <w:rFonts w:ascii="宋体" w:hAnsi="宋体"/>
          <w:b/>
          <w:bCs/>
          <w:color w:val="000000"/>
          <w:sz w:val="28"/>
          <w:szCs w:val="28"/>
        </w:rPr>
        <w:t>文件另有规定外，</w:t>
      </w:r>
      <w:r>
        <w:rPr>
          <w:rFonts w:hint="eastAsia" w:ascii="宋体" w:hAnsi="宋体"/>
          <w:b/>
          <w:bCs/>
          <w:color w:val="000000"/>
          <w:sz w:val="28"/>
          <w:szCs w:val="28"/>
        </w:rPr>
        <w:t>供应商</w:t>
      </w:r>
      <w:r>
        <w:rPr>
          <w:rFonts w:ascii="宋体" w:hAnsi="宋体"/>
          <w:b/>
          <w:bCs/>
          <w:color w:val="000000"/>
          <w:sz w:val="28"/>
          <w:szCs w:val="28"/>
        </w:rPr>
        <w:t>认为需要提交的其他证明材料或资料加盖</w:t>
      </w:r>
      <w:r>
        <w:rPr>
          <w:rFonts w:hint="eastAsia" w:ascii="宋体" w:hAnsi="宋体"/>
          <w:b/>
          <w:bCs/>
          <w:color w:val="000000"/>
          <w:sz w:val="28"/>
          <w:szCs w:val="28"/>
        </w:rPr>
        <w:t>供应商</w:t>
      </w:r>
      <w:r>
        <w:rPr>
          <w:rFonts w:ascii="宋体" w:hAnsi="宋体"/>
          <w:b/>
          <w:bCs/>
          <w:color w:val="000000"/>
          <w:sz w:val="28"/>
          <w:szCs w:val="28"/>
        </w:rPr>
        <w:t>公章后应在此项下提交。</w:t>
      </w:r>
    </w:p>
    <w:p>
      <w:pPr>
        <w:spacing w:line="360" w:lineRule="auto"/>
        <w:jc w:val="center"/>
        <w:rPr>
          <w:rFonts w:ascii="宋体" w:hAnsi="宋体"/>
          <w:b/>
          <w:bCs/>
          <w:color w:val="000000"/>
          <w:sz w:val="28"/>
          <w:szCs w:val="28"/>
        </w:rPr>
      </w:pPr>
      <w:r>
        <w:rPr>
          <w:rFonts w:ascii="宋体" w:hAnsi="宋体"/>
          <w:b/>
          <w:bCs/>
          <w:color w:val="000000"/>
          <w:sz w:val="28"/>
          <w:szCs w:val="28"/>
        </w:rPr>
        <w:t> </w:t>
      </w:r>
    </w:p>
    <w:p/>
    <w:p/>
    <w:p/>
    <w:p/>
    <w:p/>
    <w:p/>
    <w:p/>
    <w:p/>
    <w:p/>
    <w:p/>
    <w:p/>
    <w:p/>
    <w:p/>
    <w:p/>
    <w:sectPr>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简隶书">
    <w:altName w:val="黑体"/>
    <w:panose1 w:val="00000000000000000000"/>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qRuHdvQEAAGIDAAAOAAAAAAAAAAEAIAAAAB4BAABkcnMvZTJvRG9jLnhtbFBLBQYAAAAA&#10;BgAGAFkBAABNBQAAAAA=&#10;">
          <v:path/>
          <v:fill on="f" focussize="0,0"/>
          <v:stroke on="f" joinstyle="miter"/>
          <v:imagedata o:title=""/>
          <o:lock v:ext="edit"/>
          <v:textbox inset="0mm,0mm,0mm,0mm" style="mso-fit-shape-to-text:t;">
            <w:txbxContent>
              <w:p>
                <w:pPr>
                  <w:pStyle w:val="19"/>
                </w:pPr>
                <w:r>
                  <w:fldChar w:fldCharType="begin"/>
                </w:r>
                <w:r>
                  <w:instrText xml:space="preserve"> PAGE  \* MERGEFORMAT </w:instrText>
                </w:r>
                <w:r>
                  <w:fldChar w:fldCharType="separate"/>
                </w:r>
                <w:r>
                  <w:t>68</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FAB397"/>
    <w:multiLevelType w:val="singleLevel"/>
    <w:tmpl w:val="DAFAB397"/>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0000014"/>
    <w:multiLevelType w:val="multilevel"/>
    <w:tmpl w:val="00000014"/>
    <w:lvl w:ilvl="0" w:tentative="0">
      <w:start w:val="1"/>
      <w:numFmt w:val="decimal"/>
      <w:pStyle w:val="56"/>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1B830A2"/>
    <w:multiLevelType w:val="multilevel"/>
    <w:tmpl w:val="01B830A2"/>
    <w:lvl w:ilvl="0" w:tentative="0">
      <w:start w:val="23"/>
      <w:numFmt w:val="decimal"/>
      <w:lvlText w:val="%1."/>
      <w:lvlJc w:val="left"/>
      <w:pPr>
        <w:ind w:left="420" w:hanging="420"/>
      </w:pPr>
      <w:rPr>
        <w:rFonts w:hint="eastAsia"/>
      </w:rPr>
    </w:lvl>
    <w:lvl w:ilvl="1" w:tentative="0">
      <w:start w:val="4"/>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
    <w:nsid w:val="029113A2"/>
    <w:multiLevelType w:val="multilevel"/>
    <w:tmpl w:val="029113A2"/>
    <w:lvl w:ilvl="0" w:tentative="0">
      <w:start w:val="1"/>
      <w:numFmt w:val="decimal"/>
      <w:lvlText w:val="15.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
    <w:nsid w:val="095B2918"/>
    <w:multiLevelType w:val="multilevel"/>
    <w:tmpl w:val="095B2918"/>
    <w:lvl w:ilvl="0" w:tentative="0">
      <w:start w:val="1"/>
      <w:numFmt w:val="decimal"/>
      <w:lvlText w:val="12.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
    <w:nsid w:val="0AF92C7A"/>
    <w:multiLevelType w:val="multilevel"/>
    <w:tmpl w:val="0AF92C7A"/>
    <w:lvl w:ilvl="0" w:tentative="0">
      <w:start w:val="1"/>
      <w:numFmt w:val="decimal"/>
      <w:lvlText w:val="25. %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0BFF5830"/>
    <w:multiLevelType w:val="multilevel"/>
    <w:tmpl w:val="0BFF5830"/>
    <w:lvl w:ilvl="0" w:tentative="0">
      <w:start w:val="1"/>
      <w:numFmt w:val="decimal"/>
      <w:lvlText w:val="34.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8">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4DF6468"/>
    <w:multiLevelType w:val="multilevel"/>
    <w:tmpl w:val="14DF6468"/>
    <w:lvl w:ilvl="0" w:tentative="0">
      <w:start w:val="1"/>
      <w:numFmt w:val="decimal"/>
      <w:lvlText w:val="24. %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152B3F79"/>
    <w:multiLevelType w:val="multilevel"/>
    <w:tmpl w:val="152B3F79"/>
    <w:lvl w:ilvl="0" w:tentative="0">
      <w:start w:val="2"/>
      <w:numFmt w:val="decimal"/>
      <w:lvlText w:val="33.1.%1"/>
      <w:lvlJc w:val="left"/>
      <w:pPr>
        <w:ind w:left="141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5976783"/>
    <w:multiLevelType w:val="multilevel"/>
    <w:tmpl w:val="15976783"/>
    <w:lvl w:ilvl="0" w:tentative="0">
      <w:start w:val="1"/>
      <w:numFmt w:val="decimal"/>
      <w:lvlText w:val="17.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2">
    <w:nsid w:val="19C5477B"/>
    <w:multiLevelType w:val="multilevel"/>
    <w:tmpl w:val="19C5477B"/>
    <w:lvl w:ilvl="0" w:tentative="0">
      <w:start w:val="1"/>
      <w:numFmt w:val="decimal"/>
      <w:lvlText w:val="10. %1 "/>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3">
    <w:nsid w:val="1A9F0EE7"/>
    <w:multiLevelType w:val="multilevel"/>
    <w:tmpl w:val="1A9F0EE7"/>
    <w:lvl w:ilvl="0" w:tentative="0">
      <w:start w:val="1"/>
      <w:numFmt w:val="decimal"/>
      <w:lvlText w:val="23.3.%1"/>
      <w:lvlJc w:val="left"/>
      <w:pPr>
        <w:ind w:left="1369" w:hanging="420"/>
      </w:pPr>
      <w:rPr>
        <w:rFonts w:hint="eastAsia" w:asciiTheme="minorEastAsia" w:hAnsiTheme="minorEastAsia" w:eastAsiaTheme="minor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14">
    <w:nsid w:val="1AAB54CA"/>
    <w:multiLevelType w:val="multilevel"/>
    <w:tmpl w:val="1AAB54CA"/>
    <w:lvl w:ilvl="0" w:tentative="0">
      <w:start w:val="1"/>
      <w:numFmt w:val="decimal"/>
      <w:lvlText w:val="27.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5">
    <w:nsid w:val="214802C3"/>
    <w:multiLevelType w:val="multilevel"/>
    <w:tmpl w:val="214802C3"/>
    <w:lvl w:ilvl="0" w:tentative="0">
      <w:start w:val="1"/>
      <w:numFmt w:val="decimal"/>
      <w:lvlText w:val="%1."/>
      <w:lvlJc w:val="left"/>
      <w:pPr>
        <w:ind w:left="420" w:hanging="420"/>
      </w:pPr>
      <w:rPr>
        <w:rFonts w:hint="eastAsia"/>
      </w:rPr>
    </w:lvl>
    <w:lvl w:ilvl="1" w:tentative="0">
      <w:start w:val="1"/>
      <w:numFmt w:val="decimal"/>
      <w:lvlText w:val="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6">
    <w:nsid w:val="22084769"/>
    <w:multiLevelType w:val="multilevel"/>
    <w:tmpl w:val="22084769"/>
    <w:lvl w:ilvl="0" w:tentative="0">
      <w:start w:val="1"/>
      <w:numFmt w:val="decimal"/>
      <w:lvlText w:val="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7">
    <w:nsid w:val="22BE7ADB"/>
    <w:multiLevelType w:val="multilevel"/>
    <w:tmpl w:val="22BE7ADB"/>
    <w:lvl w:ilvl="0" w:tentative="0">
      <w:start w:val="4"/>
      <w:numFmt w:val="decimal"/>
      <w:lvlText w:val="3. %1 "/>
      <w:lvlJc w:val="left"/>
      <w:pPr>
        <w:ind w:left="141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9">
    <w:nsid w:val="25FF5A5D"/>
    <w:multiLevelType w:val="multilevel"/>
    <w:tmpl w:val="25FF5A5D"/>
    <w:lvl w:ilvl="0" w:tentative="0">
      <w:start w:val="32"/>
      <w:numFmt w:val="decimal"/>
      <w:lvlText w:val="%1."/>
      <w:lvlJc w:val="left"/>
      <w:pPr>
        <w:ind w:left="420" w:hanging="420"/>
      </w:pPr>
      <w:rPr>
        <w:rFonts w:hint="eastAsia"/>
      </w:rPr>
    </w:lvl>
    <w:lvl w:ilvl="1" w:tentative="0">
      <w:start w:val="1"/>
      <w:numFmt w:val="decimal"/>
      <w:lvlText w:val="26.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0">
    <w:nsid w:val="27C72BCB"/>
    <w:multiLevelType w:val="multilevel"/>
    <w:tmpl w:val="27C72BCB"/>
    <w:lvl w:ilvl="0" w:tentative="0">
      <w:start w:val="1"/>
      <w:numFmt w:val="decimal"/>
      <w:lvlText w:val="1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1">
    <w:nsid w:val="2BFA58BF"/>
    <w:multiLevelType w:val="multilevel"/>
    <w:tmpl w:val="2BFA58BF"/>
    <w:lvl w:ilvl="0" w:tentative="0">
      <w:start w:val="1"/>
      <w:numFmt w:val="decimal"/>
      <w:lvlText w:val="3.3.%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2">
    <w:nsid w:val="2C7A7622"/>
    <w:multiLevelType w:val="singleLevel"/>
    <w:tmpl w:val="2C7A7622"/>
    <w:lvl w:ilvl="0" w:tentative="0">
      <w:start w:val="1"/>
      <w:numFmt w:val="chineseCounting"/>
      <w:suff w:val="space"/>
      <w:lvlText w:val="第%1章"/>
      <w:lvlJc w:val="left"/>
      <w:rPr>
        <w:rFonts w:hint="eastAsia"/>
      </w:rPr>
    </w:lvl>
  </w:abstractNum>
  <w:abstractNum w:abstractNumId="23">
    <w:nsid w:val="2D060845"/>
    <w:multiLevelType w:val="multilevel"/>
    <w:tmpl w:val="2D060845"/>
    <w:lvl w:ilvl="0" w:tentative="0">
      <w:start w:val="1"/>
      <w:numFmt w:val="decimal"/>
      <w:lvlText w:val="22.2.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4">
    <w:nsid w:val="313C1637"/>
    <w:multiLevelType w:val="multilevel"/>
    <w:tmpl w:val="313C1637"/>
    <w:lvl w:ilvl="0" w:tentative="0">
      <w:start w:val="1"/>
      <w:numFmt w:val="decimal"/>
      <w:lvlText w:val="32.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5">
    <w:nsid w:val="324B30FA"/>
    <w:multiLevelType w:val="multilevel"/>
    <w:tmpl w:val="324B30FA"/>
    <w:lvl w:ilvl="0" w:tentative="0">
      <w:start w:val="1"/>
      <w:numFmt w:val="decimal"/>
      <w:lvlText w:val="18.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6">
    <w:nsid w:val="37347244"/>
    <w:multiLevelType w:val="multilevel"/>
    <w:tmpl w:val="37347244"/>
    <w:lvl w:ilvl="0" w:tentative="0">
      <w:start w:val="1"/>
      <w:numFmt w:val="decimal"/>
      <w:lvlText w:val="28. %1 "/>
      <w:lvlJc w:val="left"/>
      <w:pPr>
        <w:ind w:left="1384" w:hanging="420"/>
      </w:pPr>
      <w:rPr>
        <w:rFonts w:hint="eastAsia" w:asciiTheme="minorEastAsia" w:hAnsiTheme="minorEastAsia" w:eastAsiaTheme="minor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7">
    <w:nsid w:val="37B308D7"/>
    <w:multiLevelType w:val="multilevel"/>
    <w:tmpl w:val="37B308D7"/>
    <w:lvl w:ilvl="0" w:tentative="0">
      <w:start w:val="26"/>
      <w:numFmt w:val="decimal"/>
      <w:lvlText w:val="%1."/>
      <w:lvlJc w:val="left"/>
      <w:pPr>
        <w:ind w:left="420" w:hanging="420"/>
      </w:pPr>
      <w:rPr>
        <w:rFonts w:hint="eastAsia"/>
      </w:rPr>
    </w:lvl>
    <w:lvl w:ilvl="1" w:tentative="0">
      <w:start w:val="1"/>
      <w:numFmt w:val="decimal"/>
      <w:lvlText w:val="26.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8">
    <w:nsid w:val="39314D43"/>
    <w:multiLevelType w:val="multilevel"/>
    <w:tmpl w:val="39314D43"/>
    <w:lvl w:ilvl="0" w:tentative="0">
      <w:start w:val="1"/>
      <w:numFmt w:val="decimal"/>
      <w:lvlText w:val="27.1.%1"/>
      <w:lvlJc w:val="left"/>
      <w:pPr>
        <w:ind w:left="450" w:hanging="420"/>
      </w:pPr>
      <w:rPr>
        <w:rFonts w:hint="eastAsia"/>
      </w:rPr>
    </w:lvl>
    <w:lvl w:ilvl="1" w:tentative="0">
      <w:start w:val="1"/>
      <w:numFmt w:val="lowerLetter"/>
      <w:lvlText w:val="%2)"/>
      <w:lvlJc w:val="left"/>
      <w:pPr>
        <w:ind w:left="870" w:hanging="420"/>
      </w:pPr>
    </w:lvl>
    <w:lvl w:ilvl="2" w:tentative="0">
      <w:start w:val="1"/>
      <w:numFmt w:val="lowerRoman"/>
      <w:lvlText w:val="%3."/>
      <w:lvlJc w:val="right"/>
      <w:pPr>
        <w:ind w:left="1290" w:hanging="420"/>
      </w:pPr>
    </w:lvl>
    <w:lvl w:ilvl="3" w:tentative="0">
      <w:start w:val="1"/>
      <w:numFmt w:val="decimal"/>
      <w:lvlText w:val="%4."/>
      <w:lvlJc w:val="left"/>
      <w:pPr>
        <w:ind w:left="1710" w:hanging="420"/>
      </w:pPr>
    </w:lvl>
    <w:lvl w:ilvl="4" w:tentative="0">
      <w:start w:val="1"/>
      <w:numFmt w:val="lowerLetter"/>
      <w:lvlText w:val="%5)"/>
      <w:lvlJc w:val="left"/>
      <w:pPr>
        <w:ind w:left="2130" w:hanging="420"/>
      </w:pPr>
    </w:lvl>
    <w:lvl w:ilvl="5" w:tentative="0">
      <w:start w:val="1"/>
      <w:numFmt w:val="lowerRoman"/>
      <w:lvlText w:val="%6."/>
      <w:lvlJc w:val="right"/>
      <w:pPr>
        <w:ind w:left="2550" w:hanging="420"/>
      </w:pPr>
    </w:lvl>
    <w:lvl w:ilvl="6" w:tentative="0">
      <w:start w:val="1"/>
      <w:numFmt w:val="decimal"/>
      <w:lvlText w:val="%7."/>
      <w:lvlJc w:val="left"/>
      <w:pPr>
        <w:ind w:left="2970" w:hanging="420"/>
      </w:pPr>
    </w:lvl>
    <w:lvl w:ilvl="7" w:tentative="0">
      <w:start w:val="1"/>
      <w:numFmt w:val="lowerLetter"/>
      <w:lvlText w:val="%8)"/>
      <w:lvlJc w:val="left"/>
      <w:pPr>
        <w:ind w:left="3390" w:hanging="420"/>
      </w:pPr>
    </w:lvl>
    <w:lvl w:ilvl="8" w:tentative="0">
      <w:start w:val="1"/>
      <w:numFmt w:val="lowerRoman"/>
      <w:lvlText w:val="%9."/>
      <w:lvlJc w:val="right"/>
      <w:pPr>
        <w:ind w:left="3810" w:hanging="420"/>
      </w:pPr>
    </w:lvl>
  </w:abstractNum>
  <w:abstractNum w:abstractNumId="29">
    <w:nsid w:val="3B4D4108"/>
    <w:multiLevelType w:val="multilevel"/>
    <w:tmpl w:val="3B4D4108"/>
    <w:lvl w:ilvl="0" w:tentative="0">
      <w:start w:val="1"/>
      <w:numFmt w:val="decimal"/>
      <w:lvlText w:val="20.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0">
    <w:nsid w:val="3F1972E5"/>
    <w:multiLevelType w:val="multilevel"/>
    <w:tmpl w:val="3F1972E5"/>
    <w:lvl w:ilvl="0" w:tentative="0">
      <w:start w:val="1"/>
      <w:numFmt w:val="decimal"/>
      <w:lvlText w:val="2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1">
    <w:nsid w:val="43F26D24"/>
    <w:multiLevelType w:val="multilevel"/>
    <w:tmpl w:val="43F26D24"/>
    <w:lvl w:ilvl="0" w:tentative="0">
      <w:start w:val="33"/>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2">
    <w:nsid w:val="4BBA53D1"/>
    <w:multiLevelType w:val="multilevel"/>
    <w:tmpl w:val="4BBA53D1"/>
    <w:lvl w:ilvl="0" w:tentative="0">
      <w:start w:val="1"/>
      <w:numFmt w:val="decimal"/>
      <w:lvlText w:val="33.2.%1"/>
      <w:lvlJc w:val="left"/>
      <w:pPr>
        <w:ind w:left="1365" w:hanging="420"/>
      </w:pPr>
      <w:rPr>
        <w:rFonts w:hint="eastAsia"/>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33">
    <w:nsid w:val="50271C0C"/>
    <w:multiLevelType w:val="multilevel"/>
    <w:tmpl w:val="50271C0C"/>
    <w:lvl w:ilvl="0" w:tentative="0">
      <w:start w:val="1"/>
      <w:numFmt w:val="decimal"/>
      <w:lvlText w:val="9.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4">
    <w:nsid w:val="51D76F8A"/>
    <w:multiLevelType w:val="multilevel"/>
    <w:tmpl w:val="51D76F8A"/>
    <w:lvl w:ilvl="0" w:tentative="0">
      <w:start w:val="1"/>
      <w:numFmt w:val="decimal"/>
      <w:lvlText w:val="14.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5">
    <w:nsid w:val="53AE05F9"/>
    <w:multiLevelType w:val="multilevel"/>
    <w:tmpl w:val="53AE05F9"/>
    <w:lvl w:ilvl="0" w:tentative="0">
      <w:start w:val="1"/>
      <w:numFmt w:val="decimal"/>
      <w:lvlText w:val="31. %1 "/>
      <w:lvlJc w:val="left"/>
      <w:pPr>
        <w:ind w:left="1833" w:hanging="420"/>
      </w:pPr>
      <w:rPr>
        <w:rFonts w:hint="eastAsia"/>
      </w:rPr>
    </w:lvl>
    <w:lvl w:ilvl="1" w:tentative="0">
      <w:start w:val="1"/>
      <w:numFmt w:val="lowerLetter"/>
      <w:lvlText w:val="%2)"/>
      <w:lvlJc w:val="left"/>
      <w:pPr>
        <w:ind w:left="2253" w:hanging="420"/>
      </w:pPr>
    </w:lvl>
    <w:lvl w:ilvl="2" w:tentative="0">
      <w:start w:val="1"/>
      <w:numFmt w:val="lowerRoman"/>
      <w:lvlText w:val="%3."/>
      <w:lvlJc w:val="right"/>
      <w:pPr>
        <w:ind w:left="2673" w:hanging="420"/>
      </w:pPr>
    </w:lvl>
    <w:lvl w:ilvl="3" w:tentative="0">
      <w:start w:val="1"/>
      <w:numFmt w:val="decimal"/>
      <w:lvlText w:val="%4."/>
      <w:lvlJc w:val="left"/>
      <w:pPr>
        <w:ind w:left="3093" w:hanging="420"/>
      </w:pPr>
    </w:lvl>
    <w:lvl w:ilvl="4" w:tentative="0">
      <w:start w:val="1"/>
      <w:numFmt w:val="lowerLetter"/>
      <w:lvlText w:val="%5)"/>
      <w:lvlJc w:val="left"/>
      <w:pPr>
        <w:ind w:left="3513" w:hanging="420"/>
      </w:pPr>
    </w:lvl>
    <w:lvl w:ilvl="5" w:tentative="0">
      <w:start w:val="1"/>
      <w:numFmt w:val="lowerRoman"/>
      <w:lvlText w:val="%6."/>
      <w:lvlJc w:val="right"/>
      <w:pPr>
        <w:ind w:left="3933" w:hanging="420"/>
      </w:pPr>
    </w:lvl>
    <w:lvl w:ilvl="6" w:tentative="0">
      <w:start w:val="1"/>
      <w:numFmt w:val="decimal"/>
      <w:lvlText w:val="%7."/>
      <w:lvlJc w:val="left"/>
      <w:pPr>
        <w:ind w:left="4353" w:hanging="420"/>
      </w:pPr>
    </w:lvl>
    <w:lvl w:ilvl="7" w:tentative="0">
      <w:start w:val="1"/>
      <w:numFmt w:val="lowerLetter"/>
      <w:lvlText w:val="%8)"/>
      <w:lvlJc w:val="left"/>
      <w:pPr>
        <w:ind w:left="4773" w:hanging="420"/>
      </w:pPr>
    </w:lvl>
    <w:lvl w:ilvl="8" w:tentative="0">
      <w:start w:val="1"/>
      <w:numFmt w:val="lowerRoman"/>
      <w:lvlText w:val="%9."/>
      <w:lvlJc w:val="right"/>
      <w:pPr>
        <w:ind w:left="5193" w:hanging="420"/>
      </w:pPr>
    </w:lvl>
  </w:abstractNum>
  <w:abstractNum w:abstractNumId="36">
    <w:nsid w:val="54662664"/>
    <w:multiLevelType w:val="multilevel"/>
    <w:tmpl w:val="54662664"/>
    <w:lvl w:ilvl="0" w:tentative="0">
      <w:start w:val="1"/>
      <w:numFmt w:val="decimal"/>
      <w:lvlText w:val="1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7">
    <w:nsid w:val="59F817E8"/>
    <w:multiLevelType w:val="singleLevel"/>
    <w:tmpl w:val="59F817E8"/>
    <w:lvl w:ilvl="0" w:tentative="0">
      <w:start w:val="1"/>
      <w:numFmt w:val="chineseCounting"/>
      <w:pStyle w:val="60"/>
      <w:suff w:val="nothing"/>
      <w:lvlText w:val="%1、"/>
      <w:lvlJc w:val="left"/>
    </w:lvl>
  </w:abstractNum>
  <w:abstractNum w:abstractNumId="38">
    <w:nsid w:val="5A7F763E"/>
    <w:multiLevelType w:val="multilevel"/>
    <w:tmpl w:val="5A7F763E"/>
    <w:lvl w:ilvl="0" w:tentative="0">
      <w:start w:val="1"/>
      <w:numFmt w:val="decimal"/>
      <w:lvlText w:val="22.2.%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9">
    <w:nsid w:val="62E37230"/>
    <w:multiLevelType w:val="multilevel"/>
    <w:tmpl w:val="62E37230"/>
    <w:lvl w:ilvl="0" w:tentative="0">
      <w:start w:val="7"/>
      <w:numFmt w:val="decimal"/>
      <w:lvlText w:val="3.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82F12A7"/>
    <w:multiLevelType w:val="multilevel"/>
    <w:tmpl w:val="682F12A7"/>
    <w:lvl w:ilvl="0" w:tentative="0">
      <w:start w:val="1"/>
      <w:numFmt w:val="decimal"/>
      <w:lvlText w:val="3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1">
    <w:nsid w:val="6A103D04"/>
    <w:multiLevelType w:val="multilevel"/>
    <w:tmpl w:val="6A103D04"/>
    <w:lvl w:ilvl="0" w:tentative="0">
      <w:start w:val="3"/>
      <w:numFmt w:val="decimal"/>
      <w:lvlText w:val="%1."/>
      <w:lvlJc w:val="left"/>
      <w:pPr>
        <w:ind w:left="420" w:hanging="420"/>
      </w:pPr>
      <w:rPr>
        <w:rFonts w:hint="eastAsia"/>
      </w:rPr>
    </w:lvl>
    <w:lvl w:ilvl="1" w:tentative="0">
      <w:start w:val="2"/>
      <w:numFmt w:val="decimal"/>
      <w:lvlText w:val="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2">
    <w:nsid w:val="6A7B4455"/>
    <w:multiLevelType w:val="multilevel"/>
    <w:tmpl w:val="6A7B4455"/>
    <w:lvl w:ilvl="0" w:tentative="0">
      <w:start w:val="1"/>
      <w:numFmt w:val="decimal"/>
      <w:lvlText w:val="2. %1 "/>
      <w:lvlJc w:val="left"/>
      <w:pPr>
        <w:ind w:left="964" w:hanging="544"/>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3">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AC30090"/>
    <w:multiLevelType w:val="multilevel"/>
    <w:tmpl w:val="6AC30090"/>
    <w:lvl w:ilvl="0" w:tentative="0">
      <w:start w:val="1"/>
      <w:numFmt w:val="decimal"/>
      <w:lvlText w:val="3.6.%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5">
    <w:nsid w:val="739739AC"/>
    <w:multiLevelType w:val="multilevel"/>
    <w:tmpl w:val="739739AC"/>
    <w:lvl w:ilvl="0" w:tentative="0">
      <w:start w:val="23"/>
      <w:numFmt w:val="decimal"/>
      <w:lvlText w:val="%1."/>
      <w:lvlJc w:val="left"/>
      <w:pPr>
        <w:ind w:left="420" w:hanging="420"/>
      </w:pPr>
      <w:rPr>
        <w:rFonts w:hint="eastAsia"/>
      </w:rPr>
    </w:lvl>
    <w:lvl w:ilvl="1" w:tentative="0">
      <w:start w:val="1"/>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6">
    <w:nsid w:val="74C15544"/>
    <w:multiLevelType w:val="multilevel"/>
    <w:tmpl w:val="74C15544"/>
    <w:lvl w:ilvl="0" w:tentative="0">
      <w:start w:val="1"/>
      <w:numFmt w:val="decimal"/>
      <w:lvlText w:val="16.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7">
    <w:nsid w:val="769B59E4"/>
    <w:multiLevelType w:val="multilevel"/>
    <w:tmpl w:val="769B59E4"/>
    <w:lvl w:ilvl="0" w:tentative="0">
      <w:start w:val="1"/>
      <w:numFmt w:val="decimal"/>
      <w:lvlText w:val="30.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8">
    <w:nsid w:val="76C52B98"/>
    <w:multiLevelType w:val="multilevel"/>
    <w:tmpl w:val="76C52B98"/>
    <w:lvl w:ilvl="0" w:tentative="0">
      <w:start w:val="1"/>
      <w:numFmt w:val="decimal"/>
      <w:lvlText w:val="23.1.%1"/>
      <w:lvlJc w:val="left"/>
      <w:pPr>
        <w:ind w:left="1369" w:hanging="420"/>
      </w:pPr>
      <w:rPr>
        <w:rFonts w:hint="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49">
    <w:nsid w:val="77900F89"/>
    <w:multiLevelType w:val="multilevel"/>
    <w:tmpl w:val="77900F89"/>
    <w:lvl w:ilvl="0" w:tentative="0">
      <w:start w:val="1"/>
      <w:numFmt w:val="decimal"/>
      <w:lvlText w:val="4.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84952E2"/>
    <w:multiLevelType w:val="multilevel"/>
    <w:tmpl w:val="784952E2"/>
    <w:lvl w:ilvl="0" w:tentative="0">
      <w:start w:val="1"/>
      <w:numFmt w:val="decimal"/>
      <w:lvlText w:val="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1">
    <w:nsid w:val="7A130572"/>
    <w:multiLevelType w:val="multilevel"/>
    <w:tmpl w:val="7A130572"/>
    <w:lvl w:ilvl="0" w:tentative="0">
      <w:start w:val="1"/>
      <w:numFmt w:val="decimal"/>
      <w:lvlText w:val="%1."/>
      <w:lvlJc w:val="left"/>
      <w:pPr>
        <w:ind w:left="420" w:hanging="420"/>
      </w:pPr>
      <w:rPr>
        <w:rFonts w:hint="eastAsia"/>
      </w:rPr>
    </w:lvl>
    <w:lvl w:ilvl="1" w:tentative="0">
      <w:start w:val="2"/>
      <w:numFmt w:val="decimal"/>
      <w:lvlText w:val="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2">
    <w:nsid w:val="7AF02339"/>
    <w:multiLevelType w:val="multilevel"/>
    <w:tmpl w:val="7AF02339"/>
    <w:lvl w:ilvl="0" w:tentative="0">
      <w:start w:val="1"/>
      <w:numFmt w:val="decimal"/>
      <w:lvlText w:val="27.2.%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3">
    <w:nsid w:val="7D767924"/>
    <w:multiLevelType w:val="multilevel"/>
    <w:tmpl w:val="7D767924"/>
    <w:lvl w:ilvl="0" w:tentative="0">
      <w:start w:val="33"/>
      <w:numFmt w:val="decimal"/>
      <w:lvlText w:val="%1.1.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2"/>
  </w:num>
  <w:num w:numId="3">
    <w:abstractNumId w:val="37"/>
  </w:num>
  <w:num w:numId="4">
    <w:abstractNumId w:val="22"/>
  </w:num>
  <w:num w:numId="5">
    <w:abstractNumId w:val="0"/>
  </w:num>
  <w:num w:numId="6">
    <w:abstractNumId w:val="15"/>
  </w:num>
  <w:num w:numId="7">
    <w:abstractNumId w:val="16"/>
  </w:num>
  <w:num w:numId="8">
    <w:abstractNumId w:val="42"/>
  </w:num>
  <w:num w:numId="9">
    <w:abstractNumId w:val="51"/>
  </w:num>
  <w:num w:numId="10">
    <w:abstractNumId w:val="50"/>
  </w:num>
  <w:num w:numId="11">
    <w:abstractNumId w:val="41"/>
  </w:num>
  <w:num w:numId="12">
    <w:abstractNumId w:val="21"/>
  </w:num>
  <w:num w:numId="13">
    <w:abstractNumId w:val="17"/>
  </w:num>
  <w:num w:numId="14">
    <w:abstractNumId w:val="44"/>
  </w:num>
  <w:num w:numId="15">
    <w:abstractNumId w:val="39"/>
  </w:num>
  <w:num w:numId="16">
    <w:abstractNumId w:val="49"/>
  </w:num>
  <w:num w:numId="17">
    <w:abstractNumId w:val="33"/>
  </w:num>
  <w:num w:numId="18">
    <w:abstractNumId w:val="12"/>
  </w:num>
  <w:num w:numId="19">
    <w:abstractNumId w:val="36"/>
  </w:num>
  <w:num w:numId="20">
    <w:abstractNumId w:val="5"/>
  </w:num>
  <w:num w:numId="21">
    <w:abstractNumId w:val="20"/>
  </w:num>
  <w:num w:numId="22">
    <w:abstractNumId w:val="34"/>
  </w:num>
  <w:num w:numId="23">
    <w:abstractNumId w:val="4"/>
  </w:num>
  <w:num w:numId="24">
    <w:abstractNumId w:val="46"/>
  </w:num>
  <w:num w:numId="25">
    <w:abstractNumId w:val="11"/>
  </w:num>
  <w:num w:numId="26">
    <w:abstractNumId w:val="25"/>
  </w:num>
  <w:num w:numId="27">
    <w:abstractNumId w:val="29"/>
  </w:num>
  <w:num w:numId="28">
    <w:abstractNumId w:val="18"/>
  </w:num>
  <w:num w:numId="29">
    <w:abstractNumId w:val="38"/>
  </w:num>
  <w:num w:numId="30">
    <w:abstractNumId w:val="23"/>
  </w:num>
  <w:num w:numId="31">
    <w:abstractNumId w:val="45"/>
  </w:num>
  <w:num w:numId="32">
    <w:abstractNumId w:val="30"/>
  </w:num>
  <w:num w:numId="33">
    <w:abstractNumId w:val="48"/>
  </w:num>
  <w:num w:numId="34">
    <w:abstractNumId w:val="13"/>
  </w:num>
  <w:num w:numId="35">
    <w:abstractNumId w:val="3"/>
  </w:num>
  <w:num w:numId="36">
    <w:abstractNumId w:val="9"/>
  </w:num>
  <w:num w:numId="37">
    <w:abstractNumId w:val="6"/>
  </w:num>
  <w:num w:numId="38">
    <w:abstractNumId w:val="27"/>
  </w:num>
  <w:num w:numId="39">
    <w:abstractNumId w:val="14"/>
  </w:num>
  <w:num w:numId="40">
    <w:abstractNumId w:val="43"/>
  </w:num>
  <w:num w:numId="41">
    <w:abstractNumId w:val="28"/>
  </w:num>
  <w:num w:numId="42">
    <w:abstractNumId w:val="52"/>
  </w:num>
  <w:num w:numId="43">
    <w:abstractNumId w:val="26"/>
  </w:num>
  <w:num w:numId="44">
    <w:abstractNumId w:val="47"/>
  </w:num>
  <w:num w:numId="45">
    <w:abstractNumId w:val="35"/>
  </w:num>
  <w:num w:numId="46">
    <w:abstractNumId w:val="19"/>
  </w:num>
  <w:num w:numId="47">
    <w:abstractNumId w:val="24"/>
  </w:num>
  <w:num w:numId="48">
    <w:abstractNumId w:val="31"/>
  </w:num>
  <w:num w:numId="49">
    <w:abstractNumId w:val="40"/>
  </w:num>
  <w:num w:numId="50">
    <w:abstractNumId w:val="53"/>
  </w:num>
  <w:num w:numId="51">
    <w:abstractNumId w:val="10"/>
  </w:num>
  <w:num w:numId="52">
    <w:abstractNumId w:val="32"/>
  </w:num>
  <w:num w:numId="53">
    <w:abstractNumId w:val="7"/>
  </w:num>
  <w:num w:numId="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D51569"/>
    <w:rsid w:val="000069EC"/>
    <w:rsid w:val="00007470"/>
    <w:rsid w:val="000112AC"/>
    <w:rsid w:val="0001195E"/>
    <w:rsid w:val="0001598A"/>
    <w:rsid w:val="000173D4"/>
    <w:rsid w:val="000227BF"/>
    <w:rsid w:val="00030B34"/>
    <w:rsid w:val="00031CF4"/>
    <w:rsid w:val="000418F9"/>
    <w:rsid w:val="00046E42"/>
    <w:rsid w:val="0007027E"/>
    <w:rsid w:val="00072339"/>
    <w:rsid w:val="000800D2"/>
    <w:rsid w:val="00080389"/>
    <w:rsid w:val="00083387"/>
    <w:rsid w:val="0008414A"/>
    <w:rsid w:val="00091C9C"/>
    <w:rsid w:val="00095387"/>
    <w:rsid w:val="00096224"/>
    <w:rsid w:val="0009640F"/>
    <w:rsid w:val="000A02BB"/>
    <w:rsid w:val="000A73BC"/>
    <w:rsid w:val="000B3383"/>
    <w:rsid w:val="000B4057"/>
    <w:rsid w:val="000B4BAC"/>
    <w:rsid w:val="000B7263"/>
    <w:rsid w:val="000C0D70"/>
    <w:rsid w:val="000C2A7B"/>
    <w:rsid w:val="000D1CF1"/>
    <w:rsid w:val="000D30B8"/>
    <w:rsid w:val="000D6633"/>
    <w:rsid w:val="000D798A"/>
    <w:rsid w:val="000E2FFC"/>
    <w:rsid w:val="000E57E7"/>
    <w:rsid w:val="000F1E89"/>
    <w:rsid w:val="0010014D"/>
    <w:rsid w:val="001145D4"/>
    <w:rsid w:val="001223EF"/>
    <w:rsid w:val="001236A3"/>
    <w:rsid w:val="001415B4"/>
    <w:rsid w:val="00152541"/>
    <w:rsid w:val="00154EA8"/>
    <w:rsid w:val="0016405F"/>
    <w:rsid w:val="00165E49"/>
    <w:rsid w:val="00165F8E"/>
    <w:rsid w:val="0016779A"/>
    <w:rsid w:val="00167F93"/>
    <w:rsid w:val="00170DCF"/>
    <w:rsid w:val="0017154C"/>
    <w:rsid w:val="001749D2"/>
    <w:rsid w:val="00174C63"/>
    <w:rsid w:val="0017584B"/>
    <w:rsid w:val="00177319"/>
    <w:rsid w:val="00177379"/>
    <w:rsid w:val="00183B7D"/>
    <w:rsid w:val="00191A00"/>
    <w:rsid w:val="00193679"/>
    <w:rsid w:val="001957E3"/>
    <w:rsid w:val="0019757C"/>
    <w:rsid w:val="001A2E65"/>
    <w:rsid w:val="001B0DF5"/>
    <w:rsid w:val="001C0A13"/>
    <w:rsid w:val="001C26CD"/>
    <w:rsid w:val="001C2B6A"/>
    <w:rsid w:val="001C761E"/>
    <w:rsid w:val="001D06FF"/>
    <w:rsid w:val="001D1CBB"/>
    <w:rsid w:val="001D33AD"/>
    <w:rsid w:val="001D33DA"/>
    <w:rsid w:val="001D4C00"/>
    <w:rsid w:val="001E25D9"/>
    <w:rsid w:val="001E592F"/>
    <w:rsid w:val="001F7199"/>
    <w:rsid w:val="002078AE"/>
    <w:rsid w:val="00210B90"/>
    <w:rsid w:val="00213F11"/>
    <w:rsid w:val="00214892"/>
    <w:rsid w:val="00224D01"/>
    <w:rsid w:val="00231307"/>
    <w:rsid w:val="00234627"/>
    <w:rsid w:val="002426C4"/>
    <w:rsid w:val="002436B4"/>
    <w:rsid w:val="00246A17"/>
    <w:rsid w:val="00252623"/>
    <w:rsid w:val="00255732"/>
    <w:rsid w:val="002615C0"/>
    <w:rsid w:val="002659C7"/>
    <w:rsid w:val="00266F45"/>
    <w:rsid w:val="00267EE6"/>
    <w:rsid w:val="002709BD"/>
    <w:rsid w:val="002732E0"/>
    <w:rsid w:val="002847E1"/>
    <w:rsid w:val="002871DE"/>
    <w:rsid w:val="002872FE"/>
    <w:rsid w:val="0029125D"/>
    <w:rsid w:val="0029513F"/>
    <w:rsid w:val="002A2748"/>
    <w:rsid w:val="002A625E"/>
    <w:rsid w:val="002A62EC"/>
    <w:rsid w:val="002A66C8"/>
    <w:rsid w:val="002B1CC1"/>
    <w:rsid w:val="002B63D8"/>
    <w:rsid w:val="002C0F73"/>
    <w:rsid w:val="002C3B0D"/>
    <w:rsid w:val="002C6520"/>
    <w:rsid w:val="002D082A"/>
    <w:rsid w:val="002D1053"/>
    <w:rsid w:val="002D38B2"/>
    <w:rsid w:val="002E0D3B"/>
    <w:rsid w:val="002E18BD"/>
    <w:rsid w:val="002E3D0E"/>
    <w:rsid w:val="002E6378"/>
    <w:rsid w:val="002F11CE"/>
    <w:rsid w:val="002F23BC"/>
    <w:rsid w:val="002F2D13"/>
    <w:rsid w:val="002F3BDA"/>
    <w:rsid w:val="002F4580"/>
    <w:rsid w:val="003011BE"/>
    <w:rsid w:val="00303F10"/>
    <w:rsid w:val="0030443F"/>
    <w:rsid w:val="00307D84"/>
    <w:rsid w:val="0031002E"/>
    <w:rsid w:val="003158D3"/>
    <w:rsid w:val="003169BF"/>
    <w:rsid w:val="0032784A"/>
    <w:rsid w:val="00330D3D"/>
    <w:rsid w:val="0033421C"/>
    <w:rsid w:val="003347F9"/>
    <w:rsid w:val="00336F5A"/>
    <w:rsid w:val="003518EF"/>
    <w:rsid w:val="0037221E"/>
    <w:rsid w:val="003812AE"/>
    <w:rsid w:val="00382E5B"/>
    <w:rsid w:val="00386F17"/>
    <w:rsid w:val="003929E8"/>
    <w:rsid w:val="003A05BE"/>
    <w:rsid w:val="003A1280"/>
    <w:rsid w:val="003B103B"/>
    <w:rsid w:val="003B1D5B"/>
    <w:rsid w:val="003B34F7"/>
    <w:rsid w:val="003C0C24"/>
    <w:rsid w:val="003C481F"/>
    <w:rsid w:val="003C6D19"/>
    <w:rsid w:val="003D2645"/>
    <w:rsid w:val="003D2DF6"/>
    <w:rsid w:val="003D4E8A"/>
    <w:rsid w:val="003E5ADF"/>
    <w:rsid w:val="003E7C66"/>
    <w:rsid w:val="00410B19"/>
    <w:rsid w:val="00416591"/>
    <w:rsid w:val="00421F3E"/>
    <w:rsid w:val="00435E0B"/>
    <w:rsid w:val="00440D16"/>
    <w:rsid w:val="0044232F"/>
    <w:rsid w:val="00444482"/>
    <w:rsid w:val="004464C2"/>
    <w:rsid w:val="0044739E"/>
    <w:rsid w:val="00460A24"/>
    <w:rsid w:val="00463754"/>
    <w:rsid w:val="00464D64"/>
    <w:rsid w:val="0047231A"/>
    <w:rsid w:val="0047378F"/>
    <w:rsid w:val="00480C9E"/>
    <w:rsid w:val="00482B1A"/>
    <w:rsid w:val="00485967"/>
    <w:rsid w:val="00496BD4"/>
    <w:rsid w:val="0049794D"/>
    <w:rsid w:val="004A4441"/>
    <w:rsid w:val="004A698D"/>
    <w:rsid w:val="004A713D"/>
    <w:rsid w:val="004B620B"/>
    <w:rsid w:val="004B6F24"/>
    <w:rsid w:val="004C1117"/>
    <w:rsid w:val="004C2A4D"/>
    <w:rsid w:val="004D0712"/>
    <w:rsid w:val="004D3082"/>
    <w:rsid w:val="004D7BED"/>
    <w:rsid w:val="004E0DFB"/>
    <w:rsid w:val="004E450C"/>
    <w:rsid w:val="004E547A"/>
    <w:rsid w:val="004E5E79"/>
    <w:rsid w:val="004F1683"/>
    <w:rsid w:val="00501F13"/>
    <w:rsid w:val="00506193"/>
    <w:rsid w:val="00520164"/>
    <w:rsid w:val="005222C3"/>
    <w:rsid w:val="005254AD"/>
    <w:rsid w:val="00527604"/>
    <w:rsid w:val="00532D1B"/>
    <w:rsid w:val="00535B8D"/>
    <w:rsid w:val="00536DD2"/>
    <w:rsid w:val="005411DE"/>
    <w:rsid w:val="00546251"/>
    <w:rsid w:val="0055332A"/>
    <w:rsid w:val="00555EDE"/>
    <w:rsid w:val="0056657E"/>
    <w:rsid w:val="005711DE"/>
    <w:rsid w:val="00573241"/>
    <w:rsid w:val="00575C9D"/>
    <w:rsid w:val="005779B2"/>
    <w:rsid w:val="00581F58"/>
    <w:rsid w:val="00586CD2"/>
    <w:rsid w:val="005940FF"/>
    <w:rsid w:val="00596914"/>
    <w:rsid w:val="005A33DA"/>
    <w:rsid w:val="005A49BE"/>
    <w:rsid w:val="005A7E7E"/>
    <w:rsid w:val="005B1144"/>
    <w:rsid w:val="005B14F6"/>
    <w:rsid w:val="005B180E"/>
    <w:rsid w:val="005B4048"/>
    <w:rsid w:val="005C09F8"/>
    <w:rsid w:val="005D1597"/>
    <w:rsid w:val="005D4EBE"/>
    <w:rsid w:val="005D51C3"/>
    <w:rsid w:val="005D6674"/>
    <w:rsid w:val="00600324"/>
    <w:rsid w:val="00605FD5"/>
    <w:rsid w:val="00622142"/>
    <w:rsid w:val="00630932"/>
    <w:rsid w:val="00631795"/>
    <w:rsid w:val="00636AAD"/>
    <w:rsid w:val="00637A19"/>
    <w:rsid w:val="0064175E"/>
    <w:rsid w:val="00651710"/>
    <w:rsid w:val="00652F79"/>
    <w:rsid w:val="006533B0"/>
    <w:rsid w:val="00654154"/>
    <w:rsid w:val="006560E7"/>
    <w:rsid w:val="0065614C"/>
    <w:rsid w:val="006616D3"/>
    <w:rsid w:val="0066238D"/>
    <w:rsid w:val="0066706E"/>
    <w:rsid w:val="00667D06"/>
    <w:rsid w:val="0067327E"/>
    <w:rsid w:val="00675A3C"/>
    <w:rsid w:val="006778F4"/>
    <w:rsid w:val="0069574E"/>
    <w:rsid w:val="00695B12"/>
    <w:rsid w:val="006A1483"/>
    <w:rsid w:val="006A4956"/>
    <w:rsid w:val="006A6187"/>
    <w:rsid w:val="006A6E3E"/>
    <w:rsid w:val="006B25F5"/>
    <w:rsid w:val="006B34C4"/>
    <w:rsid w:val="006C6F1B"/>
    <w:rsid w:val="006D0369"/>
    <w:rsid w:val="006D2D95"/>
    <w:rsid w:val="006D71B0"/>
    <w:rsid w:val="006D71DF"/>
    <w:rsid w:val="006E21C6"/>
    <w:rsid w:val="006F1019"/>
    <w:rsid w:val="006F15D2"/>
    <w:rsid w:val="006F7C4F"/>
    <w:rsid w:val="00714D78"/>
    <w:rsid w:val="00724498"/>
    <w:rsid w:val="007303E5"/>
    <w:rsid w:val="00752DA3"/>
    <w:rsid w:val="00763CD2"/>
    <w:rsid w:val="0076522A"/>
    <w:rsid w:val="007707E3"/>
    <w:rsid w:val="00772353"/>
    <w:rsid w:val="0077399E"/>
    <w:rsid w:val="0078097A"/>
    <w:rsid w:val="00783715"/>
    <w:rsid w:val="007873DE"/>
    <w:rsid w:val="0078798E"/>
    <w:rsid w:val="00791B7A"/>
    <w:rsid w:val="007A1051"/>
    <w:rsid w:val="007C0625"/>
    <w:rsid w:val="007C74CE"/>
    <w:rsid w:val="007E5B97"/>
    <w:rsid w:val="007E6BFA"/>
    <w:rsid w:val="007E6FAA"/>
    <w:rsid w:val="007F042C"/>
    <w:rsid w:val="007F216A"/>
    <w:rsid w:val="007F4688"/>
    <w:rsid w:val="00813D6C"/>
    <w:rsid w:val="00814BC6"/>
    <w:rsid w:val="00815958"/>
    <w:rsid w:val="0081674C"/>
    <w:rsid w:val="008167A4"/>
    <w:rsid w:val="008169E7"/>
    <w:rsid w:val="0081722A"/>
    <w:rsid w:val="008235E7"/>
    <w:rsid w:val="00824331"/>
    <w:rsid w:val="008305FE"/>
    <w:rsid w:val="00833A9C"/>
    <w:rsid w:val="008358AC"/>
    <w:rsid w:val="00841FEE"/>
    <w:rsid w:val="00845294"/>
    <w:rsid w:val="00845E76"/>
    <w:rsid w:val="00846366"/>
    <w:rsid w:val="00847EB4"/>
    <w:rsid w:val="0085561E"/>
    <w:rsid w:val="0085589E"/>
    <w:rsid w:val="00867743"/>
    <w:rsid w:val="0087084F"/>
    <w:rsid w:val="0087132C"/>
    <w:rsid w:val="008814AB"/>
    <w:rsid w:val="00883016"/>
    <w:rsid w:val="00887377"/>
    <w:rsid w:val="00890942"/>
    <w:rsid w:val="008953C5"/>
    <w:rsid w:val="008A6416"/>
    <w:rsid w:val="008B110D"/>
    <w:rsid w:val="008B618F"/>
    <w:rsid w:val="008C64CC"/>
    <w:rsid w:val="008D05C1"/>
    <w:rsid w:val="008D2E1A"/>
    <w:rsid w:val="008E16F1"/>
    <w:rsid w:val="008E7FBF"/>
    <w:rsid w:val="008F2C11"/>
    <w:rsid w:val="008F4729"/>
    <w:rsid w:val="008F52FA"/>
    <w:rsid w:val="008F67AC"/>
    <w:rsid w:val="008F7EDB"/>
    <w:rsid w:val="00900F1C"/>
    <w:rsid w:val="00910752"/>
    <w:rsid w:val="00914A10"/>
    <w:rsid w:val="00923781"/>
    <w:rsid w:val="0093043A"/>
    <w:rsid w:val="009316AE"/>
    <w:rsid w:val="0093555D"/>
    <w:rsid w:val="009378B5"/>
    <w:rsid w:val="009420C2"/>
    <w:rsid w:val="00946F0D"/>
    <w:rsid w:val="00951D5E"/>
    <w:rsid w:val="009564F5"/>
    <w:rsid w:val="0096341B"/>
    <w:rsid w:val="00965EE4"/>
    <w:rsid w:val="009703B2"/>
    <w:rsid w:val="00971959"/>
    <w:rsid w:val="00971CF1"/>
    <w:rsid w:val="00971DF8"/>
    <w:rsid w:val="009748D7"/>
    <w:rsid w:val="009757E6"/>
    <w:rsid w:val="00983B30"/>
    <w:rsid w:val="009853BF"/>
    <w:rsid w:val="0098663F"/>
    <w:rsid w:val="00992A2E"/>
    <w:rsid w:val="00992AB2"/>
    <w:rsid w:val="0099755A"/>
    <w:rsid w:val="009A0424"/>
    <w:rsid w:val="009A0D67"/>
    <w:rsid w:val="009A10C2"/>
    <w:rsid w:val="009A31BA"/>
    <w:rsid w:val="009A3E46"/>
    <w:rsid w:val="009A42AD"/>
    <w:rsid w:val="009B2566"/>
    <w:rsid w:val="009B77DF"/>
    <w:rsid w:val="009C12AB"/>
    <w:rsid w:val="009C20C0"/>
    <w:rsid w:val="009C29B9"/>
    <w:rsid w:val="009D0218"/>
    <w:rsid w:val="009D173B"/>
    <w:rsid w:val="009D63BC"/>
    <w:rsid w:val="009E2A41"/>
    <w:rsid w:val="009F3688"/>
    <w:rsid w:val="00A02881"/>
    <w:rsid w:val="00A04DD5"/>
    <w:rsid w:val="00A10F0B"/>
    <w:rsid w:val="00A1438F"/>
    <w:rsid w:val="00A153DA"/>
    <w:rsid w:val="00A2333F"/>
    <w:rsid w:val="00A256F1"/>
    <w:rsid w:val="00A306ED"/>
    <w:rsid w:val="00A31F71"/>
    <w:rsid w:val="00A37751"/>
    <w:rsid w:val="00A46EDA"/>
    <w:rsid w:val="00A52E66"/>
    <w:rsid w:val="00A541CC"/>
    <w:rsid w:val="00A54462"/>
    <w:rsid w:val="00A60670"/>
    <w:rsid w:val="00A62928"/>
    <w:rsid w:val="00A641CD"/>
    <w:rsid w:val="00A6586D"/>
    <w:rsid w:val="00A706A0"/>
    <w:rsid w:val="00A74B92"/>
    <w:rsid w:val="00A74F81"/>
    <w:rsid w:val="00A94D7E"/>
    <w:rsid w:val="00A95C8D"/>
    <w:rsid w:val="00A95EA0"/>
    <w:rsid w:val="00A96F5A"/>
    <w:rsid w:val="00AA0B3A"/>
    <w:rsid w:val="00AA23BA"/>
    <w:rsid w:val="00AA6F4A"/>
    <w:rsid w:val="00AB37ED"/>
    <w:rsid w:val="00AC081D"/>
    <w:rsid w:val="00AC5A33"/>
    <w:rsid w:val="00AC766D"/>
    <w:rsid w:val="00AC7F46"/>
    <w:rsid w:val="00AD442D"/>
    <w:rsid w:val="00AD77A9"/>
    <w:rsid w:val="00AE3026"/>
    <w:rsid w:val="00AE3F48"/>
    <w:rsid w:val="00AF6E1F"/>
    <w:rsid w:val="00B007A9"/>
    <w:rsid w:val="00B010D9"/>
    <w:rsid w:val="00B03A96"/>
    <w:rsid w:val="00B03AE3"/>
    <w:rsid w:val="00B05B6E"/>
    <w:rsid w:val="00B060ED"/>
    <w:rsid w:val="00B12972"/>
    <w:rsid w:val="00B17A0C"/>
    <w:rsid w:val="00B22360"/>
    <w:rsid w:val="00B22DAC"/>
    <w:rsid w:val="00B26927"/>
    <w:rsid w:val="00B3585D"/>
    <w:rsid w:val="00B35F15"/>
    <w:rsid w:val="00B3774D"/>
    <w:rsid w:val="00B44C64"/>
    <w:rsid w:val="00B51CBD"/>
    <w:rsid w:val="00B52793"/>
    <w:rsid w:val="00B5412E"/>
    <w:rsid w:val="00B6230B"/>
    <w:rsid w:val="00B62649"/>
    <w:rsid w:val="00B62715"/>
    <w:rsid w:val="00B72ABF"/>
    <w:rsid w:val="00B7472A"/>
    <w:rsid w:val="00B80BDE"/>
    <w:rsid w:val="00B81DDB"/>
    <w:rsid w:val="00B87403"/>
    <w:rsid w:val="00B94DFB"/>
    <w:rsid w:val="00BA6F2D"/>
    <w:rsid w:val="00BA703E"/>
    <w:rsid w:val="00BB0837"/>
    <w:rsid w:val="00BB0BAC"/>
    <w:rsid w:val="00BB1626"/>
    <w:rsid w:val="00BB60EF"/>
    <w:rsid w:val="00BB6478"/>
    <w:rsid w:val="00BB6D0A"/>
    <w:rsid w:val="00BC6C68"/>
    <w:rsid w:val="00BD35E0"/>
    <w:rsid w:val="00BE0803"/>
    <w:rsid w:val="00BF6206"/>
    <w:rsid w:val="00BF6B3B"/>
    <w:rsid w:val="00C02173"/>
    <w:rsid w:val="00C13A29"/>
    <w:rsid w:val="00C14BFB"/>
    <w:rsid w:val="00C21F92"/>
    <w:rsid w:val="00C24F01"/>
    <w:rsid w:val="00C25F2B"/>
    <w:rsid w:val="00C27457"/>
    <w:rsid w:val="00C32265"/>
    <w:rsid w:val="00C32DA0"/>
    <w:rsid w:val="00C3589C"/>
    <w:rsid w:val="00C43592"/>
    <w:rsid w:val="00C44F98"/>
    <w:rsid w:val="00C46F35"/>
    <w:rsid w:val="00C513E0"/>
    <w:rsid w:val="00C51450"/>
    <w:rsid w:val="00C53C71"/>
    <w:rsid w:val="00C54034"/>
    <w:rsid w:val="00C54556"/>
    <w:rsid w:val="00C56D2B"/>
    <w:rsid w:val="00C57617"/>
    <w:rsid w:val="00C60B8E"/>
    <w:rsid w:val="00C67918"/>
    <w:rsid w:val="00C73C00"/>
    <w:rsid w:val="00C73DB4"/>
    <w:rsid w:val="00C75839"/>
    <w:rsid w:val="00C80C5C"/>
    <w:rsid w:val="00C83353"/>
    <w:rsid w:val="00C8359A"/>
    <w:rsid w:val="00C84321"/>
    <w:rsid w:val="00C87D15"/>
    <w:rsid w:val="00C968BF"/>
    <w:rsid w:val="00CA3DC9"/>
    <w:rsid w:val="00CC1F2F"/>
    <w:rsid w:val="00CD4B44"/>
    <w:rsid w:val="00CE67CF"/>
    <w:rsid w:val="00CF1B6F"/>
    <w:rsid w:val="00CF35E8"/>
    <w:rsid w:val="00D02114"/>
    <w:rsid w:val="00D03A94"/>
    <w:rsid w:val="00D16DEC"/>
    <w:rsid w:val="00D17F85"/>
    <w:rsid w:val="00D23C5E"/>
    <w:rsid w:val="00D26DE5"/>
    <w:rsid w:val="00D30AC2"/>
    <w:rsid w:val="00D30CA6"/>
    <w:rsid w:val="00D31AF4"/>
    <w:rsid w:val="00D47B48"/>
    <w:rsid w:val="00D51569"/>
    <w:rsid w:val="00D51C46"/>
    <w:rsid w:val="00D62770"/>
    <w:rsid w:val="00D70A72"/>
    <w:rsid w:val="00D75B1F"/>
    <w:rsid w:val="00D75FD1"/>
    <w:rsid w:val="00D82300"/>
    <w:rsid w:val="00D82E65"/>
    <w:rsid w:val="00D955CB"/>
    <w:rsid w:val="00DA2DBB"/>
    <w:rsid w:val="00DB0E94"/>
    <w:rsid w:val="00DB3D3C"/>
    <w:rsid w:val="00DB6873"/>
    <w:rsid w:val="00DC1A17"/>
    <w:rsid w:val="00DC2D6F"/>
    <w:rsid w:val="00DD3761"/>
    <w:rsid w:val="00DD3EB1"/>
    <w:rsid w:val="00DD5E68"/>
    <w:rsid w:val="00DE518C"/>
    <w:rsid w:val="00DE5717"/>
    <w:rsid w:val="00DE7EB2"/>
    <w:rsid w:val="00E07755"/>
    <w:rsid w:val="00E13097"/>
    <w:rsid w:val="00E218F5"/>
    <w:rsid w:val="00E225D8"/>
    <w:rsid w:val="00E33652"/>
    <w:rsid w:val="00E410FF"/>
    <w:rsid w:val="00E47083"/>
    <w:rsid w:val="00E52555"/>
    <w:rsid w:val="00E52CC2"/>
    <w:rsid w:val="00E5529D"/>
    <w:rsid w:val="00E635CF"/>
    <w:rsid w:val="00E7064E"/>
    <w:rsid w:val="00E73C1D"/>
    <w:rsid w:val="00E77ABE"/>
    <w:rsid w:val="00E909DB"/>
    <w:rsid w:val="00E923D8"/>
    <w:rsid w:val="00E971A0"/>
    <w:rsid w:val="00EA0AC6"/>
    <w:rsid w:val="00EA2482"/>
    <w:rsid w:val="00EA2C50"/>
    <w:rsid w:val="00EB129D"/>
    <w:rsid w:val="00EB28B0"/>
    <w:rsid w:val="00EC484B"/>
    <w:rsid w:val="00EC4B87"/>
    <w:rsid w:val="00EC5194"/>
    <w:rsid w:val="00EC600B"/>
    <w:rsid w:val="00ED5C44"/>
    <w:rsid w:val="00ED72AF"/>
    <w:rsid w:val="00EE03C4"/>
    <w:rsid w:val="00EE07D8"/>
    <w:rsid w:val="00F02D15"/>
    <w:rsid w:val="00F03E1C"/>
    <w:rsid w:val="00F16292"/>
    <w:rsid w:val="00F25F89"/>
    <w:rsid w:val="00F2770F"/>
    <w:rsid w:val="00F363B0"/>
    <w:rsid w:val="00F37ED1"/>
    <w:rsid w:val="00F42763"/>
    <w:rsid w:val="00F44C16"/>
    <w:rsid w:val="00F45E08"/>
    <w:rsid w:val="00F509A1"/>
    <w:rsid w:val="00F55770"/>
    <w:rsid w:val="00F64A3F"/>
    <w:rsid w:val="00F67C47"/>
    <w:rsid w:val="00F77BE2"/>
    <w:rsid w:val="00F80181"/>
    <w:rsid w:val="00F80C67"/>
    <w:rsid w:val="00F82BA2"/>
    <w:rsid w:val="00FA44E8"/>
    <w:rsid w:val="00FA6EDD"/>
    <w:rsid w:val="00FB2E22"/>
    <w:rsid w:val="00FB5348"/>
    <w:rsid w:val="00FB5796"/>
    <w:rsid w:val="00FB6F1A"/>
    <w:rsid w:val="00FC04EC"/>
    <w:rsid w:val="00FC302B"/>
    <w:rsid w:val="00FC5DCD"/>
    <w:rsid w:val="00FE5AD6"/>
    <w:rsid w:val="00FF04A6"/>
    <w:rsid w:val="01CD2E9D"/>
    <w:rsid w:val="03B12631"/>
    <w:rsid w:val="07733ED3"/>
    <w:rsid w:val="079A26F9"/>
    <w:rsid w:val="0CD46610"/>
    <w:rsid w:val="0EE97B8E"/>
    <w:rsid w:val="0F0F0F63"/>
    <w:rsid w:val="13706DBD"/>
    <w:rsid w:val="17B30CC5"/>
    <w:rsid w:val="1BFD3750"/>
    <w:rsid w:val="1D3D2567"/>
    <w:rsid w:val="1DE978C4"/>
    <w:rsid w:val="1E455BF9"/>
    <w:rsid w:val="1ED878F4"/>
    <w:rsid w:val="24E915BF"/>
    <w:rsid w:val="272C3D80"/>
    <w:rsid w:val="27821D05"/>
    <w:rsid w:val="284941DC"/>
    <w:rsid w:val="28523729"/>
    <w:rsid w:val="2A9B65A1"/>
    <w:rsid w:val="2AA71F8F"/>
    <w:rsid w:val="301A7EDF"/>
    <w:rsid w:val="32493792"/>
    <w:rsid w:val="34AE374B"/>
    <w:rsid w:val="35AD3EF5"/>
    <w:rsid w:val="35B07A97"/>
    <w:rsid w:val="35B53B02"/>
    <w:rsid w:val="371619FA"/>
    <w:rsid w:val="3AB0548E"/>
    <w:rsid w:val="417325FA"/>
    <w:rsid w:val="41E424CB"/>
    <w:rsid w:val="42745016"/>
    <w:rsid w:val="454D157F"/>
    <w:rsid w:val="4D240C3F"/>
    <w:rsid w:val="4D6F2CBC"/>
    <w:rsid w:val="4EC04089"/>
    <w:rsid w:val="545869FA"/>
    <w:rsid w:val="55765394"/>
    <w:rsid w:val="559346D9"/>
    <w:rsid w:val="559C7326"/>
    <w:rsid w:val="55CD5ACF"/>
    <w:rsid w:val="5927426C"/>
    <w:rsid w:val="5DB53F06"/>
    <w:rsid w:val="5DFB2CE6"/>
    <w:rsid w:val="5FCA2E7D"/>
    <w:rsid w:val="60755A9B"/>
    <w:rsid w:val="66A36C22"/>
    <w:rsid w:val="70A46938"/>
    <w:rsid w:val="70D83B8C"/>
    <w:rsid w:val="725310CC"/>
    <w:rsid w:val="72827E86"/>
    <w:rsid w:val="7C433F8A"/>
    <w:rsid w:val="7E76666C"/>
    <w:rsid w:val="7F0755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32"/>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3"/>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4"/>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34"/>
    <w:pPr>
      <w:ind w:firstLine="420" w:firstLineChars="200"/>
    </w:pPr>
  </w:style>
  <w:style w:type="paragraph" w:styleId="7">
    <w:name w:val="Normal Indent"/>
    <w:basedOn w:val="1"/>
    <w:qFormat/>
    <w:uiPriority w:val="0"/>
    <w:pPr>
      <w:ind w:firstLine="425"/>
    </w:pPr>
    <w:rPr>
      <w:rFonts w:ascii="Times New Roman" w:hAnsi="Times New Roman" w:eastAsia="宋体" w:cs="Times New Roman"/>
      <w:szCs w:val="20"/>
    </w:rPr>
  </w:style>
  <w:style w:type="paragraph" w:styleId="8">
    <w:name w:val="caption"/>
    <w:basedOn w:val="1"/>
    <w:next w:val="1"/>
    <w:qFormat/>
    <w:uiPriority w:val="0"/>
    <w:rPr>
      <w:rFonts w:ascii="Arial" w:hAnsi="Arial" w:eastAsia="黑体" w:cs="Arial"/>
      <w:sz w:val="20"/>
      <w:szCs w:val="20"/>
    </w:rPr>
  </w:style>
  <w:style w:type="paragraph" w:styleId="9">
    <w:name w:val="Body Text 3"/>
    <w:basedOn w:val="1"/>
    <w:link w:val="35"/>
    <w:qFormat/>
    <w:uiPriority w:val="0"/>
    <w:rPr>
      <w:rFonts w:ascii="Times New Roman" w:hAnsi="Times New Roman" w:eastAsia="宋体" w:cs="Times New Roman"/>
      <w:color w:val="FF0000"/>
      <w:sz w:val="24"/>
      <w:szCs w:val="24"/>
    </w:rPr>
  </w:style>
  <w:style w:type="paragraph" w:styleId="10">
    <w:name w:val="Body Text"/>
    <w:basedOn w:val="1"/>
    <w:next w:val="11"/>
    <w:link w:val="36"/>
    <w:semiHidden/>
    <w:unhideWhenUsed/>
    <w:qFormat/>
    <w:uiPriority w:val="99"/>
    <w:pPr>
      <w:spacing w:after="120"/>
    </w:pPr>
  </w:style>
  <w:style w:type="paragraph" w:customStyle="1" w:styleId="11">
    <w:name w:val="style4"/>
    <w:basedOn w:val="1"/>
    <w:next w:val="12"/>
    <w:qFormat/>
    <w:uiPriority w:val="0"/>
    <w:pPr>
      <w:widowControl/>
      <w:spacing w:before="280" w:after="280"/>
    </w:pPr>
    <w:rPr>
      <w:rFonts w:ascii="宋体" w:hAnsi="Times New Roman" w:eastAsia="宋体" w:cs="Times New Roman"/>
      <w:sz w:val="18"/>
    </w:rPr>
  </w:style>
  <w:style w:type="paragraph" w:customStyle="1" w:styleId="12">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3">
    <w:name w:val="Body Text Indent"/>
    <w:basedOn w:val="1"/>
    <w:link w:val="38"/>
    <w:qFormat/>
    <w:uiPriority w:val="0"/>
    <w:pPr>
      <w:adjustRightInd w:val="0"/>
      <w:spacing w:after="120" w:line="360" w:lineRule="atLeast"/>
      <w:ind w:left="420" w:leftChars="200"/>
      <w:jc w:val="left"/>
      <w:textAlignment w:val="baseline"/>
    </w:pPr>
    <w:rPr>
      <w:kern w:val="0"/>
      <w:sz w:val="24"/>
      <w:szCs w:val="20"/>
    </w:rPr>
  </w:style>
  <w:style w:type="paragraph" w:styleId="14">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5">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6">
    <w:name w:val="Plain Text"/>
    <w:basedOn w:val="1"/>
    <w:link w:val="39"/>
    <w:qFormat/>
    <w:uiPriority w:val="0"/>
    <w:rPr>
      <w:rFonts w:eastAsia="宋体"/>
      <w:sz w:val="24"/>
    </w:rPr>
  </w:style>
  <w:style w:type="paragraph" w:styleId="17">
    <w:name w:val="Date"/>
    <w:basedOn w:val="1"/>
    <w:next w:val="1"/>
    <w:link w:val="40"/>
    <w:unhideWhenUsed/>
    <w:qFormat/>
    <w:uiPriority w:val="99"/>
    <w:pPr>
      <w:ind w:left="100" w:leftChars="2500"/>
    </w:pPr>
  </w:style>
  <w:style w:type="paragraph" w:styleId="18">
    <w:name w:val="Balloon Text"/>
    <w:basedOn w:val="1"/>
    <w:link w:val="42"/>
    <w:semiHidden/>
    <w:unhideWhenUsed/>
    <w:qFormat/>
    <w:uiPriority w:val="99"/>
    <w:rPr>
      <w:sz w:val="18"/>
      <w:szCs w:val="18"/>
    </w:rPr>
  </w:style>
  <w:style w:type="paragraph" w:styleId="19">
    <w:name w:val="footer"/>
    <w:basedOn w:val="1"/>
    <w:link w:val="43"/>
    <w:unhideWhenUsed/>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2">
    <w:name w:val="HTML Preformatted"/>
    <w:basedOn w:val="1"/>
    <w:link w:val="4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3">
    <w:name w:val="Normal (Web)"/>
    <w:basedOn w:val="1"/>
    <w:qFormat/>
    <w:uiPriority w:val="99"/>
    <w:rPr>
      <w:rFonts w:ascii="Calibri" w:hAnsi="Calibri" w:eastAsia="宋体" w:cs="Times New Roman"/>
      <w:sz w:val="24"/>
      <w:szCs w:val="24"/>
    </w:rPr>
  </w:style>
  <w:style w:type="paragraph" w:styleId="24">
    <w:name w:val="Body Text First Indent"/>
    <w:basedOn w:val="10"/>
    <w:next w:val="25"/>
    <w:link w:val="47"/>
    <w:qFormat/>
    <w:uiPriority w:val="0"/>
    <w:pPr>
      <w:ind w:firstLine="420" w:firstLineChars="100"/>
    </w:pPr>
    <w:rPr>
      <w:rFonts w:ascii="宋体" w:hAnsi="Times New Roman" w:eastAsia="宋体" w:cs="Times New Roman"/>
      <w:kern w:val="0"/>
      <w:sz w:val="34"/>
      <w:szCs w:val="20"/>
    </w:rPr>
  </w:style>
  <w:style w:type="paragraph" w:styleId="25">
    <w:name w:val="Body Text First Indent 2"/>
    <w:basedOn w:val="13"/>
    <w:qFormat/>
    <w:uiPriority w:val="0"/>
    <w:pPr>
      <w:ind w:firstLine="420" w:firstLineChars="200"/>
    </w:pPr>
    <w:rPr>
      <w:szCs w:val="24"/>
    </w:r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basedOn w:val="27"/>
    <w:unhideWhenUsed/>
    <w:qFormat/>
    <w:uiPriority w:val="99"/>
    <w:rPr>
      <w:color w:val="0000FF"/>
      <w:u w:val="single"/>
    </w:rPr>
  </w:style>
  <w:style w:type="character" w:customStyle="1" w:styleId="31">
    <w:name w:val="标题 1 Char"/>
    <w:basedOn w:val="27"/>
    <w:link w:val="3"/>
    <w:qFormat/>
    <w:uiPriority w:val="0"/>
    <w:rPr>
      <w:rFonts w:ascii="Calibri" w:hAnsi="Calibri" w:eastAsia="宋体" w:cs="Times New Roman"/>
      <w:b/>
      <w:bCs/>
      <w:kern w:val="44"/>
      <w:sz w:val="44"/>
      <w:szCs w:val="44"/>
    </w:rPr>
  </w:style>
  <w:style w:type="character" w:customStyle="1" w:styleId="32">
    <w:name w:val="标题 2 Char"/>
    <w:basedOn w:val="27"/>
    <w:link w:val="4"/>
    <w:qFormat/>
    <w:uiPriority w:val="0"/>
    <w:rPr>
      <w:rFonts w:ascii="Arial" w:hAnsi="Arial" w:eastAsia="黑体" w:cs="Times New Roman"/>
      <w:b/>
      <w:bCs/>
      <w:kern w:val="0"/>
      <w:sz w:val="32"/>
      <w:szCs w:val="32"/>
    </w:rPr>
  </w:style>
  <w:style w:type="character" w:customStyle="1" w:styleId="33">
    <w:name w:val="标题 3 Char"/>
    <w:basedOn w:val="27"/>
    <w:link w:val="5"/>
    <w:qFormat/>
    <w:uiPriority w:val="0"/>
    <w:rPr>
      <w:rFonts w:ascii="宋体" w:hAnsi="宋体" w:eastAsia="宋体" w:cs="Times New Roman"/>
      <w:b/>
      <w:color w:val="000000"/>
      <w:kern w:val="0"/>
      <w:sz w:val="24"/>
      <w:szCs w:val="20"/>
      <w:lang w:val="en-GB"/>
    </w:rPr>
  </w:style>
  <w:style w:type="character" w:customStyle="1" w:styleId="34">
    <w:name w:val="标题 4 Char"/>
    <w:basedOn w:val="27"/>
    <w:link w:val="6"/>
    <w:qFormat/>
    <w:uiPriority w:val="0"/>
    <w:rPr>
      <w:rFonts w:ascii="Arial" w:hAnsi="Arial" w:eastAsia="黑体" w:cs="Times New Roman"/>
      <w:b/>
      <w:bCs/>
      <w:kern w:val="0"/>
      <w:sz w:val="28"/>
      <w:szCs w:val="28"/>
    </w:rPr>
  </w:style>
  <w:style w:type="character" w:customStyle="1" w:styleId="35">
    <w:name w:val="正文文本 3 Char"/>
    <w:basedOn w:val="27"/>
    <w:link w:val="9"/>
    <w:qFormat/>
    <w:uiPriority w:val="0"/>
    <w:rPr>
      <w:rFonts w:ascii="Times New Roman" w:hAnsi="Times New Roman" w:eastAsia="宋体" w:cs="Times New Roman"/>
      <w:color w:val="FF0000"/>
      <w:sz w:val="24"/>
      <w:szCs w:val="24"/>
    </w:rPr>
  </w:style>
  <w:style w:type="character" w:customStyle="1" w:styleId="36">
    <w:name w:val="正文文本 Char"/>
    <w:basedOn w:val="27"/>
    <w:link w:val="10"/>
    <w:semiHidden/>
    <w:qFormat/>
    <w:uiPriority w:val="99"/>
  </w:style>
  <w:style w:type="character" w:customStyle="1" w:styleId="37">
    <w:name w:val="正文文本缩进 Char"/>
    <w:basedOn w:val="27"/>
    <w:link w:val="13"/>
    <w:qFormat/>
    <w:uiPriority w:val="0"/>
  </w:style>
  <w:style w:type="character" w:customStyle="1" w:styleId="38">
    <w:name w:val="正文文本缩进 Char1"/>
    <w:basedOn w:val="27"/>
    <w:link w:val="13"/>
    <w:qFormat/>
    <w:uiPriority w:val="0"/>
    <w:rPr>
      <w:kern w:val="0"/>
      <w:sz w:val="24"/>
      <w:szCs w:val="20"/>
    </w:rPr>
  </w:style>
  <w:style w:type="character" w:customStyle="1" w:styleId="39">
    <w:name w:val="纯文本 Char"/>
    <w:basedOn w:val="27"/>
    <w:link w:val="16"/>
    <w:qFormat/>
    <w:uiPriority w:val="0"/>
    <w:rPr>
      <w:rFonts w:eastAsia="宋体"/>
      <w:sz w:val="24"/>
    </w:rPr>
  </w:style>
  <w:style w:type="character" w:customStyle="1" w:styleId="40">
    <w:name w:val="日期 Char"/>
    <w:basedOn w:val="27"/>
    <w:link w:val="17"/>
    <w:qFormat/>
    <w:uiPriority w:val="99"/>
  </w:style>
  <w:style w:type="character" w:customStyle="1" w:styleId="41">
    <w:name w:val="批注框文本 Char"/>
    <w:basedOn w:val="27"/>
    <w:link w:val="18"/>
    <w:semiHidden/>
    <w:qFormat/>
    <w:uiPriority w:val="99"/>
    <w:rPr>
      <w:sz w:val="18"/>
      <w:szCs w:val="18"/>
    </w:rPr>
  </w:style>
  <w:style w:type="character" w:customStyle="1" w:styleId="42">
    <w:name w:val="批注框文本 Char1"/>
    <w:basedOn w:val="27"/>
    <w:link w:val="18"/>
    <w:semiHidden/>
    <w:qFormat/>
    <w:uiPriority w:val="99"/>
    <w:rPr>
      <w:sz w:val="18"/>
      <w:szCs w:val="18"/>
    </w:rPr>
  </w:style>
  <w:style w:type="character" w:customStyle="1" w:styleId="43">
    <w:name w:val="页脚 Char"/>
    <w:basedOn w:val="27"/>
    <w:link w:val="19"/>
    <w:qFormat/>
    <w:uiPriority w:val="99"/>
    <w:rPr>
      <w:sz w:val="18"/>
      <w:szCs w:val="18"/>
    </w:rPr>
  </w:style>
  <w:style w:type="character" w:customStyle="1" w:styleId="44">
    <w:name w:val="页眉 Char"/>
    <w:basedOn w:val="27"/>
    <w:link w:val="20"/>
    <w:qFormat/>
    <w:uiPriority w:val="99"/>
    <w:rPr>
      <w:sz w:val="18"/>
      <w:szCs w:val="18"/>
    </w:rPr>
  </w:style>
  <w:style w:type="character" w:customStyle="1" w:styleId="45">
    <w:name w:val="HTML 预设格式 Char"/>
    <w:basedOn w:val="27"/>
    <w:link w:val="22"/>
    <w:semiHidden/>
    <w:qFormat/>
    <w:uiPriority w:val="99"/>
    <w:rPr>
      <w:rFonts w:ascii="宋体" w:hAnsi="宋体" w:eastAsia="宋体" w:cs="宋体"/>
      <w:kern w:val="0"/>
      <w:sz w:val="24"/>
      <w:szCs w:val="24"/>
    </w:rPr>
  </w:style>
  <w:style w:type="character" w:customStyle="1" w:styleId="46">
    <w:name w:val="HTML 预设格式 Char1"/>
    <w:basedOn w:val="27"/>
    <w:link w:val="22"/>
    <w:semiHidden/>
    <w:qFormat/>
    <w:uiPriority w:val="99"/>
    <w:rPr>
      <w:rFonts w:ascii="Courier New" w:hAnsi="Courier New" w:cs="Courier New"/>
      <w:sz w:val="20"/>
      <w:szCs w:val="20"/>
    </w:rPr>
  </w:style>
  <w:style w:type="character" w:customStyle="1" w:styleId="47">
    <w:name w:val="正文首行缩进 Char"/>
    <w:basedOn w:val="36"/>
    <w:link w:val="24"/>
    <w:qFormat/>
    <w:uiPriority w:val="0"/>
    <w:rPr>
      <w:rFonts w:ascii="宋体" w:hAnsi="Times New Roman" w:eastAsia="宋体" w:cs="Times New Roman"/>
      <w:kern w:val="0"/>
      <w:sz w:val="34"/>
      <w:szCs w:val="20"/>
    </w:rPr>
  </w:style>
  <w:style w:type="character" w:customStyle="1" w:styleId="48">
    <w:name w:val="纯文本 Char1"/>
    <w:qFormat/>
    <w:uiPriority w:val="0"/>
    <w:rPr>
      <w:rFonts w:eastAsia="宋体"/>
      <w:sz w:val="24"/>
    </w:rPr>
  </w:style>
  <w:style w:type="paragraph" w:customStyle="1" w:styleId="4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50">
    <w:name w:val="List Paragraph"/>
    <w:basedOn w:val="1"/>
    <w:unhideWhenUsed/>
    <w:qFormat/>
    <w:uiPriority w:val="99"/>
    <w:pPr>
      <w:ind w:firstLine="420" w:firstLineChars="200"/>
    </w:pPr>
  </w:style>
  <w:style w:type="character" w:customStyle="1" w:styleId="51">
    <w:name w:val="正文文本缩进 Char Char"/>
    <w:link w:val="52"/>
    <w:qFormat/>
    <w:uiPriority w:val="0"/>
    <w:rPr>
      <w:rFonts w:ascii="宋体"/>
      <w:sz w:val="24"/>
    </w:rPr>
  </w:style>
  <w:style w:type="paragraph" w:customStyle="1" w:styleId="52">
    <w:name w:val="正文文本缩进1"/>
    <w:basedOn w:val="1"/>
    <w:link w:val="51"/>
    <w:qFormat/>
    <w:uiPriority w:val="0"/>
    <w:pPr>
      <w:spacing w:line="360" w:lineRule="auto"/>
      <w:ind w:firstLine="480" w:firstLineChars="200"/>
    </w:pPr>
    <w:rPr>
      <w:rFonts w:ascii="宋体"/>
      <w:sz w:val="24"/>
    </w:rPr>
  </w:style>
  <w:style w:type="character" w:customStyle="1" w:styleId="53">
    <w:name w:val="日期 Char Char"/>
    <w:link w:val="54"/>
    <w:qFormat/>
    <w:uiPriority w:val="0"/>
    <w:rPr>
      <w:sz w:val="24"/>
    </w:rPr>
  </w:style>
  <w:style w:type="paragraph" w:customStyle="1" w:styleId="54">
    <w:name w:val="日期1"/>
    <w:basedOn w:val="1"/>
    <w:next w:val="1"/>
    <w:link w:val="53"/>
    <w:qFormat/>
    <w:uiPriority w:val="0"/>
    <w:rPr>
      <w:sz w:val="24"/>
    </w:rPr>
  </w:style>
  <w:style w:type="paragraph" w:customStyle="1" w:styleId="55">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6">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7">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8">
    <w:name w:val="edittexttarea"/>
    <w:basedOn w:val="27"/>
    <w:qFormat/>
    <w:uiPriority w:val="0"/>
  </w:style>
  <w:style w:type="paragraph" w:customStyle="1" w:styleId="59">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60">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A82389-487D-4A66-8A5B-8B01B0FC0065}">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72</Pages>
  <Words>5559</Words>
  <Characters>31689</Characters>
  <Lines>264</Lines>
  <Paragraphs>74</Paragraphs>
  <TotalTime>1</TotalTime>
  <ScaleCrop>false</ScaleCrop>
  <LinksUpToDate>false</LinksUpToDate>
  <CharactersWithSpaces>37174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2020-03-11T09:07:00Z</dcterms:created>
  <dc:creator>许昌市公共资源交易中心:孟莉</dc:creator>
  <cp:lastModifiedBy>禹州市公共资源交易中心:艾明辉</cp:lastModifiedBy>
  <dcterms:modified xsi:type="dcterms:W3CDTF">2020-06-03T08:24:54Z</dcterms:modified>
  <cp:revision>588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