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spacing w:before="0" w:after="160" w:line="240" w:lineRule="auto"/>
        <w:ind w:right="0" w:firstLine="0"/>
        <w:jc w:val="both"/>
        <w:rPr>
          <w:rFonts w:hint="default" w:ascii="Times New Roman" w:hAnsi="Times New Roman" w:eastAsia="Times New Roman"/>
          <w:b/>
          <w:color w:val="auto"/>
          <w:position w:val="0"/>
          <w:sz w:val="52"/>
          <w:szCs w:val="52"/>
          <w:highlight w:val="none"/>
        </w:rPr>
      </w:pPr>
    </w:p>
    <w:p>
      <w:pPr>
        <w:numPr>
          <w:ilvl w:val="0"/>
          <w:numId w:val="0"/>
        </w:numPr>
        <w:autoSpaceDE w:val="0"/>
        <w:autoSpaceDN w:val="0"/>
        <w:spacing w:before="0" w:after="160" w:line="240" w:lineRule="auto"/>
        <w:ind w:right="0" w:firstLine="0"/>
        <w:jc w:val="center"/>
        <w:rPr>
          <w:rFonts w:hint="eastAsia" w:ascii="Times New Roman" w:hAnsi="Times New Roman" w:eastAsia="宋体"/>
          <w:b/>
          <w:color w:val="auto"/>
          <w:position w:val="0"/>
          <w:sz w:val="52"/>
          <w:szCs w:val="52"/>
          <w:highlight w:val="none"/>
          <w:lang w:eastAsia="zh-CN"/>
        </w:rPr>
      </w:pPr>
      <w:r>
        <w:rPr>
          <w:rFonts w:hint="eastAsia" w:eastAsia="宋体"/>
          <w:b/>
          <w:color w:val="auto"/>
          <w:position w:val="0"/>
          <w:sz w:val="52"/>
          <w:szCs w:val="52"/>
          <w:highlight w:val="none"/>
          <w:lang w:eastAsia="zh-CN"/>
        </w:rPr>
        <w:t>襄城县盛华裕苑棚户区改造配套基础设施建设项目</w:t>
      </w:r>
      <w:r>
        <w:rPr>
          <w:rFonts w:hint="eastAsia" w:eastAsia="宋体"/>
          <w:b/>
          <w:color w:val="auto"/>
          <w:position w:val="0"/>
          <w:sz w:val="52"/>
          <w:szCs w:val="52"/>
          <w:highlight w:val="none"/>
          <w:lang w:val="en-US" w:eastAsia="zh-CN"/>
        </w:rPr>
        <w:t>（不见面开标）</w:t>
      </w:r>
    </w:p>
    <w:p>
      <w:pPr>
        <w:numPr>
          <w:ilvl w:val="0"/>
          <w:numId w:val="0"/>
        </w:numPr>
        <w:autoSpaceDE w:val="0"/>
        <w:autoSpaceDN w:val="0"/>
        <w:spacing w:before="0" w:after="160" w:line="240" w:lineRule="auto"/>
        <w:ind w:right="0" w:firstLine="0"/>
        <w:jc w:val="center"/>
        <w:rPr>
          <w:rFonts w:hint="default" w:ascii="Times New Roman" w:hAnsi="Times New Roman" w:eastAsia="Times New Roman"/>
          <w:b/>
          <w:color w:val="auto"/>
          <w:position w:val="0"/>
          <w:sz w:val="72"/>
          <w:szCs w:val="72"/>
          <w:highlight w:val="none"/>
        </w:rPr>
      </w:pPr>
    </w:p>
    <w:p>
      <w:pPr>
        <w:numPr>
          <w:ilvl w:val="0"/>
          <w:numId w:val="0"/>
        </w:numPr>
        <w:autoSpaceDE w:val="0"/>
        <w:autoSpaceDN w:val="0"/>
        <w:spacing w:before="0" w:after="160" w:line="240" w:lineRule="auto"/>
        <w:ind w:right="0" w:firstLine="0"/>
        <w:jc w:val="center"/>
        <w:rPr>
          <w:rFonts w:hint="default" w:ascii="Times New Roman" w:hAnsi="Times New Roman" w:eastAsia="Times New Roman"/>
          <w:b/>
          <w:color w:val="auto"/>
          <w:position w:val="0"/>
          <w:sz w:val="72"/>
          <w:szCs w:val="72"/>
          <w:highlight w:val="none"/>
        </w:rPr>
      </w:pPr>
    </w:p>
    <w:p>
      <w:pPr>
        <w:numPr>
          <w:ilvl w:val="0"/>
          <w:numId w:val="0"/>
        </w:numPr>
        <w:autoSpaceDE w:val="0"/>
        <w:autoSpaceDN w:val="0"/>
        <w:spacing w:before="0" w:after="160" w:line="240" w:lineRule="auto"/>
        <w:ind w:right="0" w:firstLine="0"/>
        <w:jc w:val="center"/>
        <w:rPr>
          <w:rFonts w:hint="default" w:ascii="Times New Roman" w:hAnsi="Times New Roman" w:eastAsia="Times New Roman"/>
          <w:b/>
          <w:color w:val="auto"/>
          <w:position w:val="0"/>
          <w:sz w:val="72"/>
          <w:szCs w:val="72"/>
          <w:highlight w:val="none"/>
        </w:rPr>
      </w:pPr>
      <w:r>
        <w:rPr>
          <w:rFonts w:hint="default" w:ascii="Times New Roman" w:hAnsi="Times New Roman" w:eastAsia="Times New Roman"/>
          <w:b/>
          <w:color w:val="auto"/>
          <w:position w:val="0"/>
          <w:sz w:val="72"/>
          <w:szCs w:val="72"/>
          <w:highlight w:val="none"/>
        </w:rPr>
        <w:t>施工招标文件</w:t>
      </w:r>
    </w:p>
    <w:p>
      <w:pPr>
        <w:pStyle w:val="2"/>
        <w:numPr>
          <w:ilvl w:val="0"/>
          <w:numId w:val="0"/>
        </w:numPr>
        <w:autoSpaceDE/>
        <w:autoSpaceDN/>
        <w:spacing w:before="0" w:after="120" w:line="240" w:lineRule="auto"/>
        <w:ind w:right="0" w:firstLine="420"/>
        <w:jc w:val="both"/>
        <w:rPr>
          <w:rFonts w:hint="default" w:ascii="宋体" w:hAnsi="Times New Roman" w:eastAsia="Times New Roman"/>
          <w:color w:val="auto"/>
          <w:position w:val="0"/>
          <w:sz w:val="34"/>
          <w:szCs w:val="34"/>
        </w:rPr>
      </w:pPr>
    </w:p>
    <w:p>
      <w:pPr>
        <w:numPr>
          <w:ilvl w:val="0"/>
          <w:numId w:val="0"/>
        </w:numPr>
        <w:autoSpaceDE w:val="0"/>
        <w:autoSpaceDN w:val="0"/>
        <w:spacing w:before="0" w:after="160" w:line="240" w:lineRule="auto"/>
        <w:ind w:right="0" w:firstLine="0"/>
        <w:jc w:val="center"/>
        <w:rPr>
          <w:rFonts w:hint="eastAsia"/>
          <w:color w:val="FF0000"/>
          <w:lang w:val="en-US" w:eastAsia="zh-CN"/>
        </w:rPr>
      </w:pPr>
      <w:r>
        <w:rPr>
          <w:rFonts w:hint="default" w:ascii="Times New Roman" w:hAnsi="黑体" w:eastAsia="黑体"/>
          <w:color w:val="auto"/>
          <w:position w:val="0"/>
          <w:sz w:val="30"/>
          <w:szCs w:val="30"/>
          <w:highlight w:val="none"/>
        </w:rPr>
        <w:t>项目编号：XZ【20</w:t>
      </w:r>
      <w:r>
        <w:rPr>
          <w:rFonts w:hint="eastAsia" w:hAnsi="黑体" w:eastAsia="黑体"/>
          <w:color w:val="auto"/>
          <w:position w:val="0"/>
          <w:sz w:val="30"/>
          <w:szCs w:val="30"/>
          <w:highlight w:val="none"/>
          <w:lang w:val="en-US" w:eastAsia="zh-CN"/>
        </w:rPr>
        <w:t>20</w:t>
      </w:r>
      <w:r>
        <w:rPr>
          <w:rFonts w:hint="default" w:ascii="Times New Roman" w:hAnsi="黑体" w:eastAsia="黑体"/>
          <w:color w:val="auto"/>
          <w:position w:val="0"/>
          <w:sz w:val="30"/>
          <w:szCs w:val="30"/>
          <w:highlight w:val="none"/>
        </w:rPr>
        <w:t>】</w:t>
      </w:r>
      <w:r>
        <w:rPr>
          <w:rFonts w:hint="eastAsia" w:hAnsi="黑体" w:eastAsia="黑体"/>
          <w:color w:val="auto"/>
          <w:position w:val="0"/>
          <w:sz w:val="30"/>
          <w:szCs w:val="30"/>
          <w:highlight w:val="none"/>
          <w:lang w:val="en-US" w:eastAsia="zh-CN"/>
        </w:rPr>
        <w:t>030</w:t>
      </w:r>
      <w:r>
        <w:rPr>
          <w:rFonts w:hint="default" w:ascii="Times New Roman" w:hAnsi="黑体" w:eastAsia="黑体"/>
          <w:color w:val="auto"/>
          <w:position w:val="0"/>
          <w:sz w:val="30"/>
          <w:szCs w:val="30"/>
          <w:highlight w:val="none"/>
        </w:rPr>
        <w:t>号</w:t>
      </w:r>
      <w:r>
        <w:rPr>
          <w:rFonts w:hint="eastAsia"/>
          <w:color w:val="FF0000"/>
          <w:lang w:val="en-US" w:eastAsia="zh-CN"/>
        </w:rPr>
        <w:t xml:space="preserve"> </w:t>
      </w:r>
    </w:p>
    <w:p>
      <w:pPr>
        <w:pStyle w:val="2"/>
        <w:numPr>
          <w:ilvl w:val="0"/>
          <w:numId w:val="0"/>
        </w:numPr>
        <w:autoSpaceDE/>
        <w:autoSpaceDN/>
        <w:spacing w:before="0" w:after="120" w:line="240" w:lineRule="auto"/>
        <w:ind w:right="0" w:firstLine="0"/>
        <w:jc w:val="both"/>
        <w:rPr>
          <w:rFonts w:hint="default" w:ascii="宋体" w:hAnsi="黑体" w:eastAsia="黑体"/>
          <w:color w:val="auto"/>
          <w:position w:val="0"/>
          <w:sz w:val="44"/>
          <w:szCs w:val="44"/>
          <w:highlight w:val="none"/>
        </w:rPr>
      </w:pPr>
    </w:p>
    <w:p>
      <w:pPr>
        <w:numPr>
          <w:ilvl w:val="0"/>
          <w:numId w:val="0"/>
        </w:numPr>
        <w:autoSpaceDE/>
        <w:autoSpaceDN/>
        <w:spacing w:before="0" w:after="160" w:line="240" w:lineRule="auto"/>
        <w:ind w:right="0" w:firstLine="640"/>
        <w:jc w:val="both"/>
        <w:rPr>
          <w:rFonts w:hint="default" w:ascii="Times New Roman" w:hAnsi="Times New Roman" w:eastAsia="Times New Roman"/>
          <w:b/>
          <w:color w:val="auto"/>
          <w:position w:val="0"/>
          <w:sz w:val="32"/>
          <w:szCs w:val="32"/>
          <w:highlight w:val="none"/>
        </w:rPr>
      </w:pPr>
      <w:r>
        <w:rPr>
          <w:rFonts w:hint="default" w:ascii="Times New Roman" w:hAnsi="Times New Roman" w:eastAsia="Times New Roman"/>
          <w:b/>
          <w:color w:val="auto"/>
          <w:position w:val="0"/>
          <w:sz w:val="32"/>
          <w:szCs w:val="32"/>
          <w:highlight w:val="none"/>
        </w:rPr>
        <w:t xml:space="preserve">            </w:t>
      </w:r>
    </w:p>
    <w:p>
      <w:pPr>
        <w:pStyle w:val="2"/>
        <w:numPr>
          <w:ilvl w:val="0"/>
          <w:numId w:val="0"/>
        </w:numPr>
        <w:autoSpaceDE/>
        <w:autoSpaceDN/>
        <w:spacing w:before="0" w:after="120" w:line="240" w:lineRule="auto"/>
        <w:ind w:right="0"/>
        <w:jc w:val="both"/>
        <w:rPr>
          <w:rFonts w:hint="default" w:ascii="宋体" w:hAnsi="Times New Roman" w:eastAsia="Times New Roman"/>
          <w:color w:val="auto"/>
          <w:position w:val="0"/>
          <w:sz w:val="34"/>
          <w:szCs w:val="34"/>
        </w:rPr>
      </w:pPr>
    </w:p>
    <w:p>
      <w:pPr>
        <w:numPr>
          <w:ilvl w:val="0"/>
          <w:numId w:val="0"/>
        </w:numPr>
        <w:autoSpaceDE/>
        <w:autoSpaceDN/>
        <w:spacing w:before="0" w:after="160" w:line="600" w:lineRule="auto"/>
        <w:ind w:right="0"/>
        <w:jc w:val="center"/>
        <w:rPr>
          <w:rFonts w:hint="eastAsia" w:ascii="Times New Roman" w:hAnsi="宋体" w:eastAsia="宋体"/>
          <w:b/>
          <w:color w:val="auto"/>
          <w:position w:val="0"/>
          <w:sz w:val="32"/>
          <w:szCs w:val="32"/>
          <w:highlight w:val="none"/>
          <w:lang w:eastAsia="zh-CN"/>
        </w:rPr>
      </w:pPr>
      <w:r>
        <w:rPr>
          <w:rFonts w:hint="default" w:ascii="Times New Roman" w:hAnsi="Times New Roman" w:eastAsia="Times New Roman"/>
          <w:b/>
          <w:color w:val="auto"/>
          <w:position w:val="0"/>
          <w:sz w:val="32"/>
          <w:szCs w:val="32"/>
          <w:highlight w:val="none"/>
        </w:rPr>
        <w:t>招 标 人：</w:t>
      </w:r>
      <w:r>
        <w:rPr>
          <w:rFonts w:hint="eastAsia" w:eastAsia="宋体"/>
          <w:b/>
          <w:color w:val="auto"/>
          <w:position w:val="0"/>
          <w:sz w:val="32"/>
          <w:szCs w:val="32"/>
          <w:highlight w:val="none"/>
          <w:lang w:eastAsia="zh-CN"/>
        </w:rPr>
        <w:t>襄城县库庄镇人民政府</w:t>
      </w:r>
    </w:p>
    <w:p>
      <w:pPr>
        <w:numPr>
          <w:ilvl w:val="0"/>
          <w:numId w:val="0"/>
        </w:numPr>
        <w:autoSpaceDE/>
        <w:autoSpaceDN/>
        <w:spacing w:before="0" w:after="160" w:line="600" w:lineRule="auto"/>
        <w:ind w:right="0"/>
        <w:jc w:val="center"/>
        <w:rPr>
          <w:rFonts w:hint="default" w:eastAsia="宋体"/>
          <w:b/>
          <w:color w:val="auto"/>
          <w:position w:val="0"/>
          <w:sz w:val="32"/>
          <w:szCs w:val="32"/>
          <w:highlight w:val="none"/>
          <w:lang w:val="en-US" w:eastAsia="zh-CN"/>
        </w:rPr>
      </w:pPr>
      <w:r>
        <w:rPr>
          <w:rFonts w:hint="default" w:eastAsia="宋体"/>
          <w:b/>
          <w:color w:val="auto"/>
          <w:position w:val="0"/>
          <w:sz w:val="32"/>
          <w:szCs w:val="32"/>
          <w:highlight w:val="none"/>
          <w:lang w:val="en-US" w:eastAsia="zh-CN"/>
        </w:rPr>
        <w:t>代理机构：</w:t>
      </w:r>
      <w:r>
        <w:rPr>
          <w:rFonts w:hint="eastAsia" w:eastAsia="宋体"/>
          <w:b/>
          <w:color w:val="auto"/>
          <w:position w:val="0"/>
          <w:sz w:val="32"/>
          <w:szCs w:val="32"/>
          <w:highlight w:val="none"/>
          <w:lang w:val="en-US" w:eastAsia="zh-CN"/>
        </w:rPr>
        <w:t>达信建设发展有限公司</w:t>
      </w:r>
    </w:p>
    <w:p>
      <w:pPr>
        <w:numPr>
          <w:ilvl w:val="0"/>
          <w:numId w:val="0"/>
        </w:numPr>
        <w:autoSpaceDE/>
        <w:autoSpaceDN/>
        <w:spacing w:before="0" w:after="160" w:line="600" w:lineRule="auto"/>
        <w:ind w:right="0" w:firstLine="3520"/>
        <w:jc w:val="both"/>
        <w:rPr>
          <w:rFonts w:hint="default" w:ascii="Times New Roman" w:hAnsi="Times New Roman" w:eastAsia="Times New Roman"/>
          <w:color w:val="auto"/>
          <w:position w:val="0"/>
          <w:sz w:val="21"/>
          <w:szCs w:val="21"/>
          <w:highlight w:val="none"/>
        </w:rPr>
        <w:sectPr>
          <w:headerReference r:id="rId3" w:type="default"/>
          <w:footerReference r:id="rId5" w:type="default"/>
          <w:headerReference r:id="rId4" w:type="even"/>
          <w:footerReference r:id="rId6" w:type="even"/>
          <w:pgSz w:w="11850" w:h="16783"/>
          <w:pgMar w:top="1304" w:right="1134" w:bottom="1304" w:left="1134" w:header="851" w:footer="992" w:gutter="0"/>
          <w:pgNumType w:fmt="decimal" w:start="1"/>
          <w:titlePg/>
          <w:docGrid w:type="linesAndChars" w:linePitch="312" w:charSpace="0"/>
        </w:sectPr>
      </w:pPr>
      <w:r>
        <w:rPr>
          <w:rFonts w:hint="default" w:ascii="Times New Roman" w:hAnsi="黑体" w:eastAsia="黑体"/>
          <w:b/>
          <w:color w:val="auto"/>
          <w:position w:val="0"/>
          <w:sz w:val="32"/>
          <w:szCs w:val="32"/>
          <w:highlight w:val="none"/>
        </w:rPr>
        <w:t>二〇二〇年</w:t>
      </w:r>
      <w:r>
        <w:rPr>
          <w:rFonts w:hint="eastAsia" w:hAnsi="黑体" w:eastAsia="黑体"/>
          <w:b/>
          <w:color w:val="auto"/>
          <w:position w:val="0"/>
          <w:sz w:val="32"/>
          <w:szCs w:val="32"/>
          <w:highlight w:val="none"/>
          <w:lang w:val="en-US" w:eastAsia="zh-CN"/>
        </w:rPr>
        <w:t>六</w:t>
      </w:r>
      <w:r>
        <w:rPr>
          <w:rFonts w:hint="default" w:ascii="Times New Roman" w:hAnsi="黑体" w:eastAsia="黑体"/>
          <w:b/>
          <w:color w:val="auto"/>
          <w:position w:val="0"/>
          <w:sz w:val="32"/>
          <w:szCs w:val="32"/>
          <w:highlight w:val="none"/>
        </w:rPr>
        <w:t>月</w:t>
      </w:r>
    </w:p>
    <w:p>
      <w:pPr>
        <w:numPr>
          <w:ilvl w:val="0"/>
          <w:numId w:val="0"/>
        </w:numPr>
        <w:autoSpaceDE/>
        <w:autoSpaceDN/>
        <w:spacing w:before="0" w:after="160" w:line="240" w:lineRule="auto"/>
        <w:ind w:right="0" w:firstLine="0"/>
        <w:jc w:val="center"/>
        <w:rPr>
          <w:rFonts w:hint="default" w:ascii="Times New Roman" w:hAnsi="宋体" w:eastAsia="宋体"/>
          <w:b/>
          <w:color w:val="auto"/>
          <w:position w:val="0"/>
          <w:sz w:val="44"/>
          <w:szCs w:val="44"/>
          <w:highlight w:val="none"/>
        </w:rPr>
      </w:pPr>
      <w:r>
        <w:rPr>
          <w:rFonts w:hint="default" w:ascii="Times New Roman" w:hAnsi="宋体" w:eastAsia="宋体"/>
          <w:b/>
          <w:color w:val="auto"/>
          <w:position w:val="0"/>
          <w:sz w:val="44"/>
          <w:szCs w:val="44"/>
          <w:highlight w:val="none"/>
        </w:rPr>
        <w:t>目  录</w:t>
      </w:r>
    </w:p>
    <w:p>
      <w:pPr>
        <w:numPr>
          <w:ilvl w:val="0"/>
          <w:numId w:val="0"/>
        </w:numPr>
        <w:autoSpaceDE/>
        <w:autoSpaceDN/>
        <w:spacing w:before="0" w:after="160" w:line="240" w:lineRule="auto"/>
        <w:ind w:right="0" w:firstLine="0"/>
        <w:jc w:val="center"/>
        <w:rPr>
          <w:rFonts w:hint="default" w:ascii="Times New Roman" w:hAnsi="宋体" w:eastAsia="宋体"/>
          <w:b/>
          <w:color w:val="auto"/>
          <w:position w:val="0"/>
          <w:sz w:val="32"/>
          <w:szCs w:val="32"/>
          <w:highlight w:val="none"/>
        </w:rPr>
      </w:pPr>
    </w:p>
    <w:p>
      <w:pPr>
        <w:pStyle w:val="21"/>
        <w:tabs>
          <w:tab w:val="right" w:leader="dot" w:pos="9638"/>
        </w:tabs>
        <w:rPr>
          <w:rFonts w:ascii="宋体" w:hAnsi="宋体" w:cs="宋体"/>
          <w:b/>
          <w:bCs/>
          <w:color w:val="auto"/>
          <w:sz w:val="28"/>
          <w:szCs w:val="28"/>
          <w:highlight w:val="none"/>
        </w:rPr>
      </w:pPr>
      <w:bookmarkStart w:id="0" w:name="_Toc11428"/>
      <w:bookmarkStart w:id="1" w:name="_Toc18564"/>
      <w:bookmarkStart w:id="2" w:name="_Toc215282124"/>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TOC \o "1-1" \h \u </w:instrText>
      </w:r>
      <w:r>
        <w:rPr>
          <w:rFonts w:hint="eastAsia" w:ascii="宋体" w:hAnsi="宋体" w:cs="宋体"/>
          <w:b/>
          <w:bCs/>
          <w:color w:val="auto"/>
          <w:sz w:val="28"/>
          <w:szCs w:val="28"/>
          <w:highlight w:val="none"/>
        </w:rPr>
        <w:fldChar w:fldCharType="separate"/>
      </w:r>
      <w:r>
        <w:rPr>
          <w:color w:val="auto"/>
          <w:highlight w:val="none"/>
        </w:rPr>
        <w:fldChar w:fldCharType="begin"/>
      </w:r>
      <w:r>
        <w:rPr>
          <w:color w:val="auto"/>
          <w:highlight w:val="none"/>
        </w:rPr>
        <w:instrText xml:space="preserve">HYPERLINK \l "_Toc11428"</w:instrText>
      </w:r>
      <w:r>
        <w:rPr>
          <w:color w:val="auto"/>
          <w:highlight w:val="none"/>
        </w:rPr>
        <w:fldChar w:fldCharType="separate"/>
      </w:r>
      <w:r>
        <w:rPr>
          <w:rFonts w:hint="eastAsia" w:ascii="宋体" w:hAnsi="宋体" w:cs="宋体"/>
          <w:b/>
          <w:bCs/>
          <w:color w:val="auto"/>
          <w:sz w:val="28"/>
          <w:szCs w:val="28"/>
          <w:highlight w:val="none"/>
        </w:rPr>
        <w:t>第一章  招标公告</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_Toc11428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2</w:t>
      </w:r>
      <w:r>
        <w:rPr>
          <w:rFonts w:hint="eastAsia" w:ascii="宋体" w:hAnsi="宋体" w:cs="宋体"/>
          <w:b/>
          <w:bCs/>
          <w:color w:val="auto"/>
          <w:sz w:val="28"/>
          <w:szCs w:val="28"/>
          <w:highlight w:val="none"/>
        </w:rPr>
        <w:fldChar w:fldCharType="end"/>
      </w:r>
      <w:r>
        <w:rPr>
          <w:color w:val="auto"/>
          <w:highlight w:val="none"/>
        </w:rPr>
        <w:fldChar w:fldCharType="end"/>
      </w:r>
    </w:p>
    <w:p>
      <w:pPr>
        <w:pStyle w:val="21"/>
        <w:tabs>
          <w:tab w:val="right" w:leader="dot" w:pos="9638"/>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HYPERLINK \l "_Toc15375"</w:instrText>
      </w:r>
      <w:r>
        <w:rPr>
          <w:color w:val="auto"/>
          <w:highlight w:val="none"/>
        </w:rPr>
        <w:fldChar w:fldCharType="separate"/>
      </w:r>
      <w:r>
        <w:rPr>
          <w:rFonts w:hint="eastAsia" w:ascii="宋体" w:hAnsi="宋体" w:cs="宋体"/>
          <w:b/>
          <w:bCs/>
          <w:color w:val="auto"/>
          <w:sz w:val="28"/>
          <w:szCs w:val="28"/>
          <w:highlight w:val="none"/>
        </w:rPr>
        <w:t>第二章  投标人须知</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_Toc15375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9</w:t>
      </w:r>
      <w:r>
        <w:rPr>
          <w:rFonts w:hint="eastAsia" w:ascii="宋体" w:hAnsi="宋体" w:cs="宋体"/>
          <w:b/>
          <w:bCs/>
          <w:color w:val="auto"/>
          <w:sz w:val="28"/>
          <w:szCs w:val="28"/>
          <w:highlight w:val="none"/>
        </w:rPr>
        <w:fldChar w:fldCharType="end"/>
      </w:r>
      <w:r>
        <w:rPr>
          <w:color w:val="auto"/>
          <w:highlight w:val="none"/>
        </w:rPr>
        <w:fldChar w:fldCharType="end"/>
      </w:r>
    </w:p>
    <w:p>
      <w:pPr>
        <w:pStyle w:val="21"/>
        <w:tabs>
          <w:tab w:val="right" w:leader="dot" w:pos="9638"/>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HYPERLINK \l "_Toc20990"</w:instrText>
      </w:r>
      <w:r>
        <w:rPr>
          <w:color w:val="auto"/>
          <w:highlight w:val="none"/>
        </w:rPr>
        <w:fldChar w:fldCharType="separate"/>
      </w:r>
      <w:r>
        <w:rPr>
          <w:rFonts w:hint="eastAsia" w:ascii="宋体" w:hAnsi="宋体" w:cs="宋体"/>
          <w:b/>
          <w:bCs/>
          <w:color w:val="auto"/>
          <w:sz w:val="28"/>
          <w:szCs w:val="28"/>
          <w:highlight w:val="none"/>
        </w:rPr>
        <w:t>第三章  评标办法（</w:t>
      </w:r>
      <w:r>
        <w:rPr>
          <w:rFonts w:hint="eastAsia" w:ascii="宋体" w:hAnsi="宋体" w:cs="宋体"/>
          <w:b/>
          <w:bCs/>
          <w:color w:val="auto"/>
          <w:sz w:val="28"/>
          <w:szCs w:val="28"/>
          <w:highlight w:val="none"/>
          <w:lang w:eastAsia="zh-CN"/>
        </w:rPr>
        <w:t>综合评标法</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_Toc20990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36</w:t>
      </w:r>
      <w:r>
        <w:rPr>
          <w:rFonts w:hint="eastAsia" w:ascii="宋体" w:hAnsi="宋体" w:cs="宋体"/>
          <w:b/>
          <w:bCs/>
          <w:color w:val="auto"/>
          <w:sz w:val="28"/>
          <w:szCs w:val="28"/>
          <w:highlight w:val="none"/>
        </w:rPr>
        <w:fldChar w:fldCharType="end"/>
      </w:r>
      <w:r>
        <w:rPr>
          <w:color w:val="auto"/>
          <w:highlight w:val="none"/>
        </w:rPr>
        <w:fldChar w:fldCharType="end"/>
      </w:r>
    </w:p>
    <w:p>
      <w:pPr>
        <w:pStyle w:val="21"/>
        <w:tabs>
          <w:tab w:val="right" w:leader="dot" w:pos="9638"/>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HYPERLINK \l "_Toc11681"</w:instrText>
      </w:r>
      <w:r>
        <w:rPr>
          <w:color w:val="auto"/>
          <w:highlight w:val="none"/>
        </w:rPr>
        <w:fldChar w:fldCharType="separate"/>
      </w:r>
      <w:r>
        <w:rPr>
          <w:rFonts w:hint="eastAsia" w:ascii="宋体" w:hAnsi="宋体" w:cs="宋体"/>
          <w:b/>
          <w:bCs/>
          <w:color w:val="auto"/>
          <w:kern w:val="44"/>
          <w:sz w:val="28"/>
          <w:szCs w:val="28"/>
          <w:highlight w:val="none"/>
        </w:rPr>
        <w:t>第四章  合同条款及格式</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_Toc11681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47</w:t>
      </w:r>
      <w:r>
        <w:rPr>
          <w:rFonts w:hint="eastAsia" w:ascii="宋体" w:hAnsi="宋体" w:cs="宋体"/>
          <w:b/>
          <w:bCs/>
          <w:color w:val="auto"/>
          <w:sz w:val="28"/>
          <w:szCs w:val="28"/>
          <w:highlight w:val="none"/>
        </w:rPr>
        <w:fldChar w:fldCharType="end"/>
      </w:r>
      <w:r>
        <w:rPr>
          <w:color w:val="auto"/>
          <w:highlight w:val="none"/>
        </w:rPr>
        <w:fldChar w:fldCharType="end"/>
      </w:r>
    </w:p>
    <w:p>
      <w:pPr>
        <w:pStyle w:val="21"/>
        <w:tabs>
          <w:tab w:val="right" w:leader="dot" w:pos="9638"/>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HYPERLINK \l "_Toc15573"</w:instrText>
      </w:r>
      <w:r>
        <w:rPr>
          <w:color w:val="auto"/>
          <w:highlight w:val="none"/>
        </w:rPr>
        <w:fldChar w:fldCharType="separate"/>
      </w:r>
      <w:r>
        <w:rPr>
          <w:rFonts w:hint="eastAsia" w:ascii="宋体" w:hAnsi="宋体" w:cs="宋体"/>
          <w:b/>
          <w:bCs/>
          <w:color w:val="auto"/>
          <w:kern w:val="44"/>
          <w:sz w:val="28"/>
          <w:szCs w:val="28"/>
          <w:highlight w:val="none"/>
        </w:rPr>
        <w:t>第五章  工程量清单</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_Toc15573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48</w:t>
      </w:r>
      <w:r>
        <w:rPr>
          <w:rFonts w:hint="eastAsia" w:ascii="宋体" w:hAnsi="宋体" w:cs="宋体"/>
          <w:b/>
          <w:bCs/>
          <w:color w:val="auto"/>
          <w:sz w:val="28"/>
          <w:szCs w:val="28"/>
          <w:highlight w:val="none"/>
        </w:rPr>
        <w:fldChar w:fldCharType="end"/>
      </w:r>
      <w:r>
        <w:rPr>
          <w:color w:val="auto"/>
          <w:highlight w:val="none"/>
        </w:rPr>
        <w:fldChar w:fldCharType="end"/>
      </w:r>
    </w:p>
    <w:p>
      <w:pPr>
        <w:pStyle w:val="21"/>
        <w:tabs>
          <w:tab w:val="right" w:leader="dot" w:pos="9638"/>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HYPERLINK \l "_Toc9650"</w:instrText>
      </w:r>
      <w:r>
        <w:rPr>
          <w:color w:val="auto"/>
          <w:highlight w:val="none"/>
        </w:rPr>
        <w:fldChar w:fldCharType="separate"/>
      </w:r>
      <w:r>
        <w:rPr>
          <w:rFonts w:hint="eastAsia" w:ascii="宋体" w:hAnsi="宋体" w:cs="宋体"/>
          <w:b/>
          <w:bCs/>
          <w:color w:val="auto"/>
          <w:sz w:val="28"/>
          <w:szCs w:val="28"/>
          <w:highlight w:val="none"/>
        </w:rPr>
        <w:t>第六章  图 纸</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_Toc9650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56</w:t>
      </w:r>
      <w:r>
        <w:rPr>
          <w:rFonts w:hint="eastAsia" w:ascii="宋体" w:hAnsi="宋体" w:cs="宋体"/>
          <w:b/>
          <w:bCs/>
          <w:color w:val="auto"/>
          <w:sz w:val="28"/>
          <w:szCs w:val="28"/>
          <w:highlight w:val="none"/>
        </w:rPr>
        <w:fldChar w:fldCharType="end"/>
      </w:r>
      <w:r>
        <w:rPr>
          <w:color w:val="auto"/>
          <w:highlight w:val="none"/>
        </w:rPr>
        <w:fldChar w:fldCharType="end"/>
      </w:r>
    </w:p>
    <w:p>
      <w:pPr>
        <w:pStyle w:val="21"/>
        <w:tabs>
          <w:tab w:val="right" w:leader="dot" w:pos="9638"/>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HYPERLINK \l "_Toc2791"</w:instrText>
      </w:r>
      <w:r>
        <w:rPr>
          <w:color w:val="auto"/>
          <w:highlight w:val="none"/>
        </w:rPr>
        <w:fldChar w:fldCharType="separate"/>
      </w:r>
      <w:r>
        <w:rPr>
          <w:rFonts w:hint="eastAsia" w:ascii="宋体" w:hAnsi="宋体" w:cs="宋体"/>
          <w:b/>
          <w:bCs/>
          <w:color w:val="auto"/>
          <w:sz w:val="28"/>
          <w:szCs w:val="28"/>
          <w:highlight w:val="none"/>
        </w:rPr>
        <w:t>第七章  技术标准和要求</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_Toc2791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57</w:t>
      </w:r>
      <w:r>
        <w:rPr>
          <w:rFonts w:hint="eastAsia" w:ascii="宋体" w:hAnsi="宋体" w:cs="宋体"/>
          <w:b/>
          <w:bCs/>
          <w:color w:val="auto"/>
          <w:sz w:val="28"/>
          <w:szCs w:val="28"/>
          <w:highlight w:val="none"/>
        </w:rPr>
        <w:fldChar w:fldCharType="end"/>
      </w:r>
      <w:r>
        <w:rPr>
          <w:color w:val="auto"/>
          <w:highlight w:val="none"/>
        </w:rPr>
        <w:fldChar w:fldCharType="end"/>
      </w:r>
    </w:p>
    <w:p>
      <w:pPr>
        <w:pStyle w:val="21"/>
        <w:tabs>
          <w:tab w:val="right" w:leader="dot" w:pos="9638"/>
        </w:tabs>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HYPERLINK \l "_Toc18525"</w:instrText>
      </w:r>
      <w:r>
        <w:rPr>
          <w:color w:val="auto"/>
          <w:highlight w:val="none"/>
        </w:rPr>
        <w:fldChar w:fldCharType="separate"/>
      </w:r>
      <w:r>
        <w:rPr>
          <w:rFonts w:hint="eastAsia" w:ascii="宋体" w:hAnsi="宋体" w:cs="宋体"/>
          <w:b/>
          <w:bCs/>
          <w:color w:val="auto"/>
          <w:sz w:val="28"/>
          <w:szCs w:val="28"/>
          <w:highlight w:val="none"/>
        </w:rPr>
        <w:t>第八章  投标文件格式</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_Toc18525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58</w:t>
      </w:r>
      <w:r>
        <w:rPr>
          <w:rFonts w:hint="eastAsia" w:ascii="宋体" w:hAnsi="宋体" w:cs="宋体"/>
          <w:b/>
          <w:bCs/>
          <w:color w:val="auto"/>
          <w:sz w:val="28"/>
          <w:szCs w:val="28"/>
          <w:highlight w:val="none"/>
        </w:rPr>
        <w:fldChar w:fldCharType="end"/>
      </w:r>
      <w:r>
        <w:rPr>
          <w:color w:val="auto"/>
          <w:highlight w:val="none"/>
        </w:rPr>
        <w:fldChar w:fldCharType="end"/>
      </w:r>
    </w:p>
    <w:p>
      <w:pPr>
        <w:ind w:firstLine="3032" w:firstLineChars="1083"/>
        <w:rPr>
          <w:rFonts w:hAnsi="宋体" w:cs="黑体"/>
          <w:b/>
          <w:color w:val="auto"/>
          <w:sz w:val="32"/>
          <w:szCs w:val="32"/>
          <w:highlight w:val="none"/>
        </w:rPr>
      </w:pPr>
      <w:r>
        <w:rPr>
          <w:rFonts w:hint="eastAsia" w:ascii="宋体" w:hAnsi="宋体" w:cs="宋体"/>
          <w:b/>
          <w:bCs/>
          <w:color w:val="auto"/>
          <w:sz w:val="28"/>
          <w:szCs w:val="28"/>
          <w:highlight w:val="none"/>
        </w:rPr>
        <w:fldChar w:fldCharType="end"/>
      </w:r>
    </w:p>
    <w:p>
      <w:pPr>
        <w:rPr>
          <w:rFonts w:hint="default" w:ascii="宋体" w:hAnsi="宋体" w:eastAsia="宋体"/>
          <w:b/>
          <w:color w:val="auto"/>
          <w:position w:val="0"/>
          <w:sz w:val="44"/>
          <w:szCs w:val="44"/>
          <w:highlight w:val="none"/>
        </w:rPr>
      </w:pPr>
      <w:r>
        <w:rPr>
          <w:rFonts w:hint="default" w:ascii="宋体" w:hAnsi="宋体" w:eastAsia="宋体"/>
          <w:b/>
          <w:color w:val="auto"/>
          <w:position w:val="0"/>
          <w:sz w:val="44"/>
          <w:szCs w:val="44"/>
          <w:highlight w:val="none"/>
        </w:rPr>
        <w:br w:type="page"/>
      </w:r>
    </w:p>
    <w:p>
      <w:pPr>
        <w:pStyle w:val="6"/>
        <w:numPr>
          <w:ilvl w:val="0"/>
          <w:numId w:val="0"/>
        </w:numPr>
        <w:autoSpaceDE/>
        <w:autoSpaceDN/>
        <w:snapToGrid w:val="0"/>
        <w:spacing w:before="0" w:after="160" w:line="240" w:lineRule="auto"/>
        <w:ind w:right="0" w:firstLine="0"/>
        <w:jc w:val="center"/>
        <w:outlineLvl w:val="0"/>
        <w:rPr>
          <w:rFonts w:hint="default" w:ascii="宋体" w:hAnsi="宋体" w:eastAsia="宋体"/>
          <w:b/>
          <w:color w:val="auto"/>
          <w:position w:val="0"/>
          <w:sz w:val="44"/>
          <w:szCs w:val="44"/>
          <w:highlight w:val="none"/>
        </w:rPr>
      </w:pPr>
      <w:r>
        <w:rPr>
          <w:rFonts w:hint="default" w:ascii="宋体" w:hAnsi="宋体" w:eastAsia="宋体"/>
          <w:b/>
          <w:color w:val="auto"/>
          <w:position w:val="0"/>
          <w:sz w:val="44"/>
          <w:szCs w:val="44"/>
          <w:highlight w:val="none"/>
        </w:rPr>
        <w:t>第一章  招标公告</w:t>
      </w:r>
      <w:bookmarkEnd w:id="0"/>
      <w:bookmarkEnd w:id="1"/>
    </w:p>
    <w:p>
      <w:pPr>
        <w:numPr>
          <w:ilvl w:val="0"/>
          <w:numId w:val="0"/>
        </w:numPr>
        <w:autoSpaceDE/>
        <w:autoSpaceDN/>
        <w:spacing w:before="0" w:after="160" w:line="312" w:lineRule="auto"/>
        <w:ind w:right="0" w:firstLine="0"/>
        <w:jc w:val="center"/>
        <w:rPr>
          <w:rFonts w:hint="default" w:ascii="Times New Roman" w:hAnsi="Times New Roman" w:eastAsia="Times New Roman"/>
          <w:b/>
          <w:color w:val="auto"/>
          <w:position w:val="0"/>
          <w:sz w:val="32"/>
          <w:szCs w:val="32"/>
          <w:highlight w:val="none"/>
        </w:rPr>
      </w:pPr>
      <w:r>
        <w:rPr>
          <w:rFonts w:hint="default" w:ascii="Times New Roman" w:hAnsi="Times New Roman" w:eastAsia="宋体" w:cs="Times New Roman"/>
          <w:b/>
          <w:color w:val="auto"/>
          <w:position w:val="0"/>
          <w:sz w:val="32"/>
          <w:szCs w:val="32"/>
          <w:highlight w:val="none"/>
          <w:lang w:eastAsia="zh-CN"/>
        </w:rPr>
        <w:t>XZ【20</w:t>
      </w:r>
      <w:r>
        <w:rPr>
          <w:rFonts w:hint="eastAsia" w:ascii="Times New Roman" w:hAnsi="Times New Roman" w:eastAsia="宋体" w:cs="Times New Roman"/>
          <w:b/>
          <w:color w:val="auto"/>
          <w:position w:val="0"/>
          <w:sz w:val="32"/>
          <w:szCs w:val="32"/>
          <w:highlight w:val="none"/>
          <w:lang w:val="en-US" w:eastAsia="zh-CN"/>
        </w:rPr>
        <w:t>20</w:t>
      </w:r>
      <w:r>
        <w:rPr>
          <w:rFonts w:hint="default" w:ascii="Times New Roman" w:hAnsi="Times New Roman" w:eastAsia="宋体" w:cs="Times New Roman"/>
          <w:b/>
          <w:color w:val="auto"/>
          <w:position w:val="0"/>
          <w:sz w:val="32"/>
          <w:szCs w:val="32"/>
          <w:highlight w:val="none"/>
          <w:lang w:eastAsia="zh-CN"/>
        </w:rPr>
        <w:t>】</w:t>
      </w:r>
      <w:r>
        <w:rPr>
          <w:rFonts w:hint="eastAsia" w:ascii="Times New Roman" w:hAnsi="Times New Roman" w:eastAsia="宋体" w:cs="Times New Roman"/>
          <w:b/>
          <w:color w:val="auto"/>
          <w:position w:val="0"/>
          <w:sz w:val="32"/>
          <w:szCs w:val="32"/>
          <w:highlight w:val="none"/>
          <w:lang w:val="en-US" w:eastAsia="zh-CN"/>
        </w:rPr>
        <w:t xml:space="preserve"> </w:t>
      </w:r>
      <w:r>
        <w:rPr>
          <w:rFonts w:hint="eastAsia" w:eastAsia="宋体" w:cs="Times New Roman"/>
          <w:b/>
          <w:color w:val="auto"/>
          <w:position w:val="0"/>
          <w:sz w:val="32"/>
          <w:szCs w:val="32"/>
          <w:highlight w:val="none"/>
          <w:lang w:val="en-US" w:eastAsia="zh-CN"/>
        </w:rPr>
        <w:t>030</w:t>
      </w:r>
      <w:r>
        <w:rPr>
          <w:rFonts w:hint="eastAsia" w:eastAsia="宋体"/>
          <w:b/>
          <w:color w:val="auto"/>
          <w:position w:val="0"/>
          <w:sz w:val="32"/>
          <w:szCs w:val="32"/>
          <w:highlight w:val="none"/>
          <w:lang w:eastAsia="zh-CN"/>
        </w:rPr>
        <w:t>襄城县盛华裕苑棚户区改造配套基础设施建设项目（</w:t>
      </w:r>
      <w:r>
        <w:rPr>
          <w:rFonts w:hint="eastAsia" w:eastAsia="宋体"/>
          <w:b/>
          <w:color w:val="auto"/>
          <w:position w:val="0"/>
          <w:sz w:val="32"/>
          <w:szCs w:val="32"/>
          <w:highlight w:val="none"/>
          <w:lang w:val="en-US" w:eastAsia="zh-CN"/>
        </w:rPr>
        <w:t>不见面开标</w:t>
      </w:r>
      <w:r>
        <w:rPr>
          <w:rFonts w:hint="eastAsia" w:eastAsia="宋体"/>
          <w:b/>
          <w:color w:val="auto"/>
          <w:position w:val="0"/>
          <w:sz w:val="32"/>
          <w:szCs w:val="32"/>
          <w:highlight w:val="none"/>
          <w:lang w:eastAsia="zh-CN"/>
        </w:rPr>
        <w:t>）</w:t>
      </w:r>
      <w:r>
        <w:rPr>
          <w:rFonts w:hint="default" w:ascii="Times New Roman" w:hAnsi="Times New Roman" w:eastAsia="Times New Roman"/>
          <w:b/>
          <w:color w:val="auto"/>
          <w:position w:val="0"/>
          <w:sz w:val="32"/>
          <w:szCs w:val="32"/>
          <w:highlight w:val="none"/>
        </w:rPr>
        <w:t>招标公告</w:t>
      </w:r>
    </w:p>
    <w:p>
      <w:pPr>
        <w:numPr>
          <w:ilvl w:val="0"/>
          <w:numId w:val="0"/>
        </w:numPr>
        <w:autoSpaceDE/>
        <w:autoSpaceDN/>
        <w:spacing w:before="0" w:after="160" w:line="46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1、招标条件</w:t>
      </w:r>
    </w:p>
    <w:p>
      <w:pPr>
        <w:numPr>
          <w:ilvl w:val="0"/>
          <w:numId w:val="0"/>
        </w:numPr>
        <w:autoSpaceDE/>
        <w:autoSpaceDN/>
        <w:spacing w:before="0" w:after="160" w:line="460" w:lineRule="exact"/>
        <w:ind w:right="0" w:firstLine="480"/>
        <w:jc w:val="left"/>
        <w:rPr>
          <w:rFonts w:hint="default" w:ascii="Times New Roman" w:hAnsi="宋体" w:eastAsia="宋体"/>
          <w:color w:val="auto"/>
          <w:position w:val="0"/>
          <w:sz w:val="24"/>
          <w:szCs w:val="24"/>
          <w:highlight w:val="none"/>
        </w:rPr>
      </w:pPr>
      <w:r>
        <w:rPr>
          <w:rFonts w:hint="eastAsia" w:hAnsi="宋体" w:eastAsia="宋体"/>
          <w:color w:val="auto"/>
          <w:position w:val="0"/>
          <w:sz w:val="24"/>
          <w:szCs w:val="24"/>
          <w:highlight w:val="none"/>
          <w:lang w:eastAsia="zh-CN"/>
        </w:rPr>
        <w:t>襄城县盛华裕苑棚户区改造配套基础设施建设项目</w:t>
      </w:r>
      <w:r>
        <w:rPr>
          <w:rFonts w:hint="default" w:ascii="Times New Roman" w:hAnsi="宋体" w:eastAsia="宋体"/>
          <w:color w:val="auto"/>
          <w:position w:val="0"/>
          <w:sz w:val="24"/>
          <w:szCs w:val="24"/>
          <w:highlight w:val="none"/>
        </w:rPr>
        <w:t>，已由相关部门批准建设，招标人为</w:t>
      </w:r>
      <w:r>
        <w:rPr>
          <w:rFonts w:hint="eastAsia" w:hAnsi="宋体" w:eastAsia="宋体"/>
          <w:color w:val="auto"/>
          <w:position w:val="0"/>
          <w:sz w:val="24"/>
          <w:szCs w:val="24"/>
          <w:highlight w:val="none"/>
          <w:lang w:eastAsia="zh-CN"/>
        </w:rPr>
        <w:t>襄城县库庄镇人民政府</w:t>
      </w:r>
      <w:r>
        <w:rPr>
          <w:rFonts w:hint="default" w:ascii="Times New Roman" w:hAnsi="宋体" w:eastAsia="宋体"/>
          <w:color w:val="auto"/>
          <w:position w:val="0"/>
          <w:sz w:val="24"/>
          <w:szCs w:val="24"/>
          <w:highlight w:val="none"/>
        </w:rPr>
        <w:t>。建设资金为财政资金，项目已具备招标条件，现对该项目进行公开招标。</w:t>
      </w:r>
    </w:p>
    <w:p>
      <w:pPr>
        <w:numPr>
          <w:ilvl w:val="0"/>
          <w:numId w:val="0"/>
        </w:numPr>
        <w:autoSpaceDE/>
        <w:autoSpaceDN/>
        <w:spacing w:before="0" w:after="160" w:line="46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2、项目概况与招标内容</w:t>
      </w:r>
    </w:p>
    <w:p>
      <w:pPr>
        <w:numPr>
          <w:ilvl w:val="0"/>
          <w:numId w:val="0"/>
        </w:numPr>
        <w:autoSpaceDE/>
        <w:autoSpaceDN/>
        <w:spacing w:before="0" w:after="160" w:line="460" w:lineRule="exact"/>
        <w:ind w:right="0" w:firstLine="480"/>
        <w:jc w:val="left"/>
        <w:rPr>
          <w:rFonts w:hint="default" w:ascii="Times New Roman" w:hAnsi="宋体" w:eastAsia="宋体"/>
          <w:color w:val="auto"/>
          <w:position w:val="0"/>
          <w:sz w:val="24"/>
          <w:szCs w:val="24"/>
          <w:highlight w:val="none"/>
          <w:u w:val="single"/>
        </w:rPr>
      </w:pPr>
      <w:r>
        <w:rPr>
          <w:rFonts w:hint="default" w:ascii="Times New Roman" w:hAnsi="宋体" w:eastAsia="宋体"/>
          <w:color w:val="auto"/>
          <w:position w:val="0"/>
          <w:sz w:val="24"/>
          <w:szCs w:val="24"/>
          <w:highlight w:val="none"/>
        </w:rPr>
        <w:t>2.1</w:t>
      </w:r>
      <w:r>
        <w:rPr>
          <w:rFonts w:hint="default" w:ascii="宋体" w:hAnsi="宋体" w:eastAsia="宋体"/>
          <w:color w:val="auto"/>
          <w:position w:val="0"/>
          <w:sz w:val="24"/>
          <w:szCs w:val="24"/>
          <w:highlight w:val="none"/>
        </w:rPr>
        <w:t>项目编号：</w:t>
      </w:r>
      <w:r>
        <w:rPr>
          <w:rFonts w:hint="default" w:ascii="宋体" w:hAnsi="宋体" w:eastAsia="宋体"/>
          <w:color w:val="FF0000"/>
          <w:position w:val="0"/>
          <w:sz w:val="24"/>
          <w:szCs w:val="24"/>
          <w:highlight w:val="none"/>
        </w:rPr>
        <w:t xml:space="preserve"> </w:t>
      </w:r>
      <w:r>
        <w:rPr>
          <w:rFonts w:hint="default" w:ascii="宋体" w:hAnsi="宋体" w:eastAsia="宋体"/>
          <w:color w:val="000000" w:themeColor="text1"/>
          <w:position w:val="0"/>
          <w:sz w:val="24"/>
          <w:szCs w:val="24"/>
          <w:highlight w:val="none"/>
          <w14:textFill>
            <w14:solidFill>
              <w14:schemeClr w14:val="tx1"/>
            </w14:solidFill>
          </w14:textFill>
        </w:rPr>
        <w:t>XZ【20</w:t>
      </w:r>
      <w:r>
        <w:rPr>
          <w:rFonts w:hint="eastAsia" w:ascii="宋体" w:hAnsi="宋体" w:eastAsia="宋体"/>
          <w:color w:val="000000" w:themeColor="text1"/>
          <w:position w:val="0"/>
          <w:sz w:val="24"/>
          <w:szCs w:val="24"/>
          <w:highlight w:val="none"/>
          <w:lang w:val="en-US" w:eastAsia="zh-CN"/>
          <w14:textFill>
            <w14:solidFill>
              <w14:schemeClr w14:val="tx1"/>
            </w14:solidFill>
          </w14:textFill>
        </w:rPr>
        <w:t>20</w:t>
      </w:r>
      <w:r>
        <w:rPr>
          <w:rFonts w:hint="default" w:ascii="宋体" w:hAnsi="宋体" w:eastAsia="宋体"/>
          <w:color w:val="000000" w:themeColor="text1"/>
          <w:position w:val="0"/>
          <w:sz w:val="24"/>
          <w:szCs w:val="24"/>
          <w:highlight w:val="none"/>
          <w14:textFill>
            <w14:solidFill>
              <w14:schemeClr w14:val="tx1"/>
            </w14:solidFill>
          </w14:textFill>
        </w:rPr>
        <w:t>】</w:t>
      </w:r>
      <w:r>
        <w:rPr>
          <w:rFonts w:hint="eastAsia" w:ascii="宋体" w:hAnsi="宋体" w:eastAsia="宋体"/>
          <w:color w:val="000000" w:themeColor="text1"/>
          <w:position w:val="0"/>
          <w:sz w:val="24"/>
          <w:szCs w:val="24"/>
          <w:highlight w:val="none"/>
          <w:lang w:val="en-US" w:eastAsia="zh-CN"/>
          <w14:textFill>
            <w14:solidFill>
              <w14:schemeClr w14:val="tx1"/>
            </w14:solidFill>
          </w14:textFill>
        </w:rPr>
        <w:t>030</w:t>
      </w:r>
      <w:r>
        <w:rPr>
          <w:rFonts w:hint="default" w:ascii="宋体" w:hAnsi="宋体" w:eastAsia="宋体"/>
          <w:color w:val="000000" w:themeColor="text1"/>
          <w:position w:val="0"/>
          <w:sz w:val="24"/>
          <w:szCs w:val="24"/>
          <w:highlight w:val="none"/>
          <w14:textFill>
            <w14:solidFill>
              <w14:schemeClr w14:val="tx1"/>
            </w14:solidFill>
          </w14:textFill>
        </w:rPr>
        <w:t>号</w:t>
      </w:r>
    </w:p>
    <w:p>
      <w:pPr>
        <w:numPr>
          <w:ilvl w:val="0"/>
          <w:numId w:val="0"/>
        </w:numPr>
        <w:autoSpaceDE/>
        <w:autoSpaceDN/>
        <w:spacing w:before="0" w:after="160" w:line="460" w:lineRule="exact"/>
        <w:ind w:right="0" w:firstLine="480"/>
        <w:jc w:val="left"/>
        <w:rPr>
          <w:rFonts w:hint="default" w:ascii="Times New Roman" w:hAnsi="宋体" w:eastAsia="宋体"/>
          <w:color w:val="FF0000"/>
          <w:position w:val="0"/>
          <w:sz w:val="24"/>
          <w:szCs w:val="24"/>
          <w:highlight w:val="none"/>
          <w:lang w:val="en-US" w:eastAsia="zh-CN"/>
        </w:rPr>
      </w:pPr>
      <w:r>
        <w:rPr>
          <w:rFonts w:hint="default" w:ascii="Times New Roman" w:hAnsi="宋体" w:eastAsia="宋体"/>
          <w:color w:val="auto"/>
          <w:position w:val="0"/>
          <w:sz w:val="24"/>
          <w:szCs w:val="24"/>
          <w:highlight w:val="none"/>
        </w:rPr>
        <w:t>2.2项目概况： 本工程</w:t>
      </w:r>
      <w:r>
        <w:rPr>
          <w:rFonts w:hint="eastAsia" w:hAnsi="宋体" w:eastAsia="宋体"/>
          <w:color w:val="auto"/>
          <w:position w:val="0"/>
          <w:sz w:val="24"/>
          <w:szCs w:val="24"/>
          <w:highlight w:val="none"/>
          <w:lang w:val="en-US" w:eastAsia="zh-CN"/>
        </w:rPr>
        <w:t>建设内容和规模为：给排水工程（包含给水管径DN100，长度1200米、雨水沟468米、污水</w:t>
      </w:r>
      <w:r>
        <w:rPr>
          <w:rFonts w:hint="eastAsia" w:ascii="华文行楷" w:hAnsi="华文行楷" w:eastAsia="华文行楷" w:cs="华文行楷"/>
          <w:color w:val="auto"/>
          <w:position w:val="0"/>
          <w:sz w:val="24"/>
          <w:szCs w:val="24"/>
          <w:highlight w:val="none"/>
          <w:lang w:val="en-US" w:eastAsia="zh-CN"/>
        </w:rPr>
        <w:t>φ</w:t>
      </w:r>
      <w:r>
        <w:rPr>
          <w:rFonts w:hint="eastAsia" w:ascii="宋体" w:hAnsi="宋体" w:eastAsia="宋体" w:cs="宋体"/>
          <w:color w:val="auto"/>
          <w:position w:val="0"/>
          <w:sz w:val="24"/>
          <w:szCs w:val="24"/>
          <w:highlight w:val="none"/>
          <w:lang w:val="en-US" w:eastAsia="zh-CN"/>
        </w:rPr>
        <w:t>600管326米，100m³化粪池两个</w:t>
      </w:r>
      <w:r>
        <w:rPr>
          <w:rFonts w:hint="eastAsia" w:hAnsi="宋体" w:eastAsia="宋体"/>
          <w:color w:val="auto"/>
          <w:position w:val="0"/>
          <w:sz w:val="24"/>
          <w:szCs w:val="24"/>
          <w:highlight w:val="none"/>
          <w:lang w:val="en-US" w:eastAsia="zh-CN"/>
        </w:rPr>
        <w:t>）、电力工程（包含高压电缆198米，低压电缆2500米和800KVA箱变两台）、景观工程（包含道路260米、铺装3250平方米、种植地被2600平方米，乔木368棵、小品3个）、物业服务用房280平方米、社区用房300平方米、地下停车场8890平方米。</w:t>
      </w:r>
    </w:p>
    <w:p>
      <w:pPr>
        <w:numPr>
          <w:ilvl w:val="0"/>
          <w:numId w:val="0"/>
        </w:numPr>
        <w:autoSpaceDE/>
        <w:autoSpaceDN/>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2.3招标控制价</w:t>
      </w:r>
      <w:r>
        <w:rPr>
          <w:rFonts w:hint="eastAsia" w:hAnsi="宋体" w:eastAsia="宋体"/>
          <w:color w:val="auto"/>
          <w:position w:val="0"/>
          <w:sz w:val="24"/>
          <w:szCs w:val="24"/>
          <w:highlight w:val="none"/>
          <w:lang w:val="en-US" w:eastAsia="zh-CN"/>
        </w:rPr>
        <w:t>划分</w:t>
      </w:r>
      <w:r>
        <w:rPr>
          <w:rFonts w:hint="default" w:ascii="Times New Roman" w:hAnsi="宋体" w:eastAsia="宋体"/>
          <w:color w:val="auto"/>
          <w:position w:val="0"/>
          <w:sz w:val="24"/>
          <w:szCs w:val="24"/>
          <w:highlight w:val="none"/>
        </w:rPr>
        <w:t xml:space="preserve">： </w:t>
      </w:r>
    </w:p>
    <w:p>
      <w:pPr>
        <w:numPr>
          <w:ilvl w:val="0"/>
          <w:numId w:val="0"/>
        </w:numPr>
        <w:autoSpaceDE/>
        <w:autoSpaceDN/>
        <w:spacing w:before="0" w:after="160" w:line="460" w:lineRule="exact"/>
        <w:ind w:right="0" w:firstLine="1440" w:firstLineChars="600"/>
        <w:jc w:val="left"/>
        <w:rPr>
          <w:rFonts w:hint="default" w:ascii="宋体" w:hAnsi="宋体" w:eastAsia="宋体" w:cs="Times New Roman"/>
          <w:color w:val="000000" w:themeColor="text1"/>
          <w:w w:val="100"/>
          <w:position w:val="0"/>
          <w:sz w:val="24"/>
          <w:szCs w:val="24"/>
          <w:highlight w:val="none"/>
          <w:shd w:val="clear"/>
          <w14:textFill>
            <w14:solidFill>
              <w14:schemeClr w14:val="tx1"/>
            </w14:solidFill>
          </w14:textFill>
        </w:rPr>
      </w:pPr>
      <w:r>
        <w:rPr>
          <w:rFonts w:hint="default" w:ascii="Times New Roman" w:hAnsi="宋体" w:eastAsia="宋体"/>
          <w:color w:val="000000" w:themeColor="text1"/>
          <w:position w:val="0"/>
          <w:sz w:val="24"/>
          <w:szCs w:val="24"/>
          <w:highlight w:val="none"/>
          <w14:textFill>
            <w14:solidFill>
              <w14:schemeClr w14:val="tx1"/>
            </w14:solidFill>
          </w14:textFill>
        </w:rPr>
        <w:t>一标段：</w:t>
      </w:r>
      <w:r>
        <w:rPr>
          <w:rFonts w:hint="eastAsia" w:ascii="宋体" w:hAnsi="宋体" w:eastAsia="宋体" w:cs="Times New Roman"/>
          <w:color w:val="000000" w:themeColor="text1"/>
          <w:w w:val="100"/>
          <w:position w:val="0"/>
          <w:sz w:val="24"/>
          <w:szCs w:val="24"/>
          <w:highlight w:val="none"/>
          <w:shd w:val="clear"/>
          <w:lang w:val="en-US" w:eastAsia="zh-CN"/>
          <w14:textFill>
            <w14:solidFill>
              <w14:schemeClr w14:val="tx1"/>
            </w14:solidFill>
          </w14:textFill>
        </w:rPr>
        <w:t>31747191.63</w:t>
      </w:r>
      <w:r>
        <w:rPr>
          <w:rFonts w:hint="default" w:ascii="宋体" w:hAnsi="宋体" w:eastAsia="宋体" w:cs="Times New Roman"/>
          <w:color w:val="000000" w:themeColor="text1"/>
          <w:w w:val="100"/>
          <w:position w:val="0"/>
          <w:sz w:val="24"/>
          <w:szCs w:val="24"/>
          <w:highlight w:val="none"/>
          <w:shd w:val="clear"/>
          <w14:textFill>
            <w14:solidFill>
              <w14:schemeClr w14:val="tx1"/>
            </w14:solidFill>
          </w14:textFill>
        </w:rPr>
        <w:t>元</w:t>
      </w:r>
    </w:p>
    <w:p>
      <w:pPr>
        <w:pStyle w:val="2"/>
        <w:numPr>
          <w:ilvl w:val="0"/>
          <w:numId w:val="0"/>
        </w:numPr>
        <w:autoSpaceDE/>
        <w:autoSpaceDN/>
        <w:spacing w:before="0" w:after="120" w:line="240" w:lineRule="auto"/>
        <w:ind w:right="0" w:firstLine="420"/>
        <w:jc w:val="both"/>
        <w:rPr>
          <w:rFonts w:hint="default" w:ascii="宋体" w:hAnsi="Times New Roman" w:eastAsia="Times New Roman"/>
          <w:color w:val="000000" w:themeColor="text1"/>
          <w:position w:val="0"/>
          <w:sz w:val="34"/>
          <w:szCs w:val="34"/>
          <w:highlight w:val="none"/>
          <w14:textFill>
            <w14:solidFill>
              <w14:schemeClr w14:val="tx1"/>
            </w14:solidFill>
          </w14:textFill>
        </w:rPr>
      </w:pPr>
      <w:r>
        <w:rPr>
          <w:rFonts w:hint="default" w:ascii="宋体" w:hAnsi="宋体" w:eastAsia="宋体"/>
          <w:color w:val="000000" w:themeColor="text1"/>
          <w:position w:val="0"/>
          <w:sz w:val="24"/>
          <w:szCs w:val="24"/>
          <w:highlight w:val="none"/>
          <w14:textFill>
            <w14:solidFill>
              <w14:schemeClr w14:val="tx1"/>
            </w14:solidFill>
          </w14:textFill>
        </w:rPr>
        <w:t xml:space="preserve">        二标段：1816819.87</w:t>
      </w:r>
      <w:r>
        <w:rPr>
          <w:rFonts w:hint="default" w:ascii="Times New Roman" w:hAnsi="宋体" w:eastAsia="宋体" w:cs="Times New Roman"/>
          <w:color w:val="000000" w:themeColor="text1"/>
          <w:w w:val="100"/>
          <w:position w:val="0"/>
          <w:sz w:val="24"/>
          <w:szCs w:val="24"/>
          <w:highlight w:val="none"/>
          <w:shd w:val="clear"/>
          <w:lang w:val="en-US" w:eastAsia="zh-CN"/>
          <w14:textFill>
            <w14:solidFill>
              <w14:schemeClr w14:val="tx1"/>
            </w14:solidFill>
          </w14:textFill>
        </w:rPr>
        <w:t>元（单</w:t>
      </w:r>
      <w:r>
        <w:rPr>
          <w:rFonts w:hint="default" w:ascii="宋体" w:hAnsi="宋体" w:eastAsia="宋体"/>
          <w:color w:val="000000" w:themeColor="text1"/>
          <w:position w:val="0"/>
          <w:sz w:val="24"/>
          <w:szCs w:val="24"/>
          <w:highlight w:val="none"/>
          <w14:textFill>
            <w14:solidFill>
              <w14:schemeClr w14:val="tx1"/>
            </w14:solidFill>
          </w14:textFill>
        </w:rPr>
        <w:t xml:space="preserve">位工程的分部分项工程费总额、措施项目费总额、其他项目费总额、规费总额和税金总额等详见附件） </w:t>
      </w:r>
    </w:p>
    <w:p>
      <w:pPr>
        <w:numPr>
          <w:ilvl w:val="0"/>
          <w:numId w:val="0"/>
        </w:numPr>
        <w:autoSpaceDE/>
        <w:autoSpaceDN/>
        <w:spacing w:before="0" w:after="160" w:line="360" w:lineRule="auto"/>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2.4招标范围：具体招标文件、施工图纸、工程量清单、答疑纪要和补充文件（如有）范围内的所有建设内容。</w:t>
      </w:r>
    </w:p>
    <w:p>
      <w:pPr>
        <w:numPr>
          <w:ilvl w:val="0"/>
          <w:numId w:val="0"/>
        </w:numPr>
        <w:autoSpaceDE/>
        <w:autoSpaceDN/>
        <w:spacing w:before="0" w:after="160" w:line="360" w:lineRule="auto"/>
        <w:ind w:right="0" w:firstLine="480"/>
        <w:jc w:val="left"/>
        <w:rPr>
          <w:rFonts w:hint="eastAsia" w:eastAsia="宋体"/>
          <w:color w:val="auto"/>
          <w:position w:val="0"/>
          <w:sz w:val="24"/>
          <w:szCs w:val="24"/>
          <w:highlight w:val="none"/>
          <w:lang w:eastAsia="zh-CN"/>
        </w:rPr>
      </w:pPr>
      <w:r>
        <w:rPr>
          <w:rFonts w:hint="default" w:ascii="Times New Roman" w:hAnsi="宋体" w:eastAsia="宋体"/>
          <w:color w:val="auto"/>
          <w:position w:val="0"/>
          <w:sz w:val="24"/>
          <w:szCs w:val="24"/>
          <w:highlight w:val="none"/>
        </w:rPr>
        <w:t>2.5标段划分：</w:t>
      </w:r>
      <w:r>
        <w:rPr>
          <w:rFonts w:hint="default" w:ascii="Times New Roman" w:hAnsi="Times New Roman" w:eastAsia="Times New Roman"/>
          <w:color w:val="000000" w:themeColor="text1"/>
          <w:position w:val="0"/>
          <w:sz w:val="24"/>
          <w:szCs w:val="24"/>
          <w:highlight w:val="none"/>
          <w14:textFill>
            <w14:solidFill>
              <w14:schemeClr w14:val="tx1"/>
            </w14:solidFill>
          </w14:textFill>
        </w:rPr>
        <w:t>本项目共分为</w:t>
      </w:r>
      <w:r>
        <w:rPr>
          <w:rFonts w:hint="eastAsia" w:eastAsia="宋体"/>
          <w:color w:val="000000" w:themeColor="text1"/>
          <w:position w:val="0"/>
          <w:sz w:val="24"/>
          <w:szCs w:val="24"/>
          <w:highlight w:val="none"/>
          <w:lang w:val="en-US" w:eastAsia="zh-CN"/>
          <w14:textFill>
            <w14:solidFill>
              <w14:schemeClr w14:val="tx1"/>
            </w14:solidFill>
          </w14:textFill>
        </w:rPr>
        <w:t>两</w:t>
      </w:r>
      <w:r>
        <w:rPr>
          <w:rFonts w:hint="default" w:ascii="Times New Roman" w:hAnsi="Times New Roman" w:eastAsia="Times New Roman"/>
          <w:color w:val="000000" w:themeColor="text1"/>
          <w:position w:val="0"/>
          <w:sz w:val="24"/>
          <w:szCs w:val="24"/>
          <w:highlight w:val="none"/>
          <w14:textFill>
            <w14:solidFill>
              <w14:schemeClr w14:val="tx1"/>
            </w14:solidFill>
          </w14:textFill>
        </w:rPr>
        <w:t>个标段</w:t>
      </w:r>
      <w:r>
        <w:rPr>
          <w:rFonts w:hint="eastAsia" w:eastAsia="宋体"/>
          <w:color w:val="auto"/>
          <w:position w:val="0"/>
          <w:sz w:val="24"/>
          <w:szCs w:val="24"/>
          <w:highlight w:val="none"/>
          <w:lang w:eastAsia="zh-CN"/>
        </w:rPr>
        <w:t>；</w:t>
      </w:r>
    </w:p>
    <w:p>
      <w:pPr>
        <w:pStyle w:val="2"/>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rPr>
          <w:rFonts w:hint="eastAsia" w:hAnsi="宋体" w:eastAsia="宋体"/>
          <w:color w:val="auto"/>
          <w:position w:val="0"/>
          <w:sz w:val="24"/>
          <w:szCs w:val="24"/>
          <w:highlight w:val="none"/>
          <w:lang w:val="en-US" w:eastAsia="zh-CN"/>
        </w:rPr>
      </w:pPr>
      <w:r>
        <w:rPr>
          <w:rFonts w:hint="eastAsia" w:eastAsia="宋体"/>
          <w:color w:val="auto"/>
          <w:position w:val="0"/>
          <w:sz w:val="24"/>
          <w:szCs w:val="24"/>
          <w:highlight w:val="none"/>
          <w:lang w:val="en-US" w:eastAsia="zh-CN"/>
        </w:rPr>
        <w:t>第一标段：</w:t>
      </w:r>
      <w:r>
        <w:rPr>
          <w:rFonts w:hint="default" w:ascii="Times New Roman" w:hAnsi="宋体" w:eastAsia="宋体"/>
          <w:color w:val="auto"/>
          <w:position w:val="0"/>
          <w:sz w:val="24"/>
          <w:szCs w:val="24"/>
          <w:highlight w:val="none"/>
          <w:lang w:eastAsia="zh-CN"/>
        </w:rPr>
        <w:t>盛华裕苑棚户区配套基础设施工程</w:t>
      </w:r>
      <w:r>
        <w:rPr>
          <w:rFonts w:hint="eastAsia" w:hAnsi="宋体" w:eastAsia="宋体"/>
          <w:color w:val="auto"/>
          <w:position w:val="0"/>
          <w:sz w:val="24"/>
          <w:szCs w:val="24"/>
          <w:highlight w:val="none"/>
          <w:lang w:val="en-US" w:eastAsia="zh-CN"/>
        </w:rPr>
        <w:t>的地下车库、社区用房、物业用房、室外工程</w:t>
      </w:r>
      <w:r>
        <w:rPr>
          <w:rFonts w:hint="default" w:ascii="Times New Roman" w:hAnsi="宋体" w:eastAsia="宋体"/>
          <w:color w:val="auto"/>
          <w:position w:val="0"/>
          <w:sz w:val="24"/>
          <w:szCs w:val="24"/>
          <w:highlight w:val="none"/>
          <w:lang w:val="en-US" w:eastAsia="zh-CN"/>
        </w:rPr>
        <w:t>等内容</w:t>
      </w:r>
      <w:r>
        <w:rPr>
          <w:rFonts w:hint="eastAsia" w:hAnsi="宋体" w:eastAsia="宋体"/>
          <w:color w:val="auto"/>
          <w:position w:val="0"/>
          <w:sz w:val="24"/>
          <w:szCs w:val="24"/>
          <w:highlight w:val="none"/>
          <w:lang w:val="en-US" w:eastAsia="zh-CN"/>
        </w:rPr>
        <w:t>；</w:t>
      </w:r>
    </w:p>
    <w:p>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default"/>
          <w:lang w:val="en-US" w:eastAsia="zh-CN"/>
        </w:rPr>
      </w:pPr>
      <w:r>
        <w:rPr>
          <w:rFonts w:hint="eastAsia" w:hAnsi="宋体" w:eastAsia="宋体"/>
          <w:color w:val="auto"/>
          <w:position w:val="0"/>
          <w:sz w:val="24"/>
          <w:szCs w:val="24"/>
          <w:highlight w:val="none"/>
          <w:lang w:val="en-US" w:eastAsia="zh-CN"/>
        </w:rPr>
        <w:t>第二标段：</w:t>
      </w:r>
      <w:r>
        <w:rPr>
          <w:rFonts w:hint="default" w:ascii="Times New Roman" w:hAnsi="宋体" w:eastAsia="宋体"/>
          <w:color w:val="auto"/>
          <w:position w:val="0"/>
          <w:sz w:val="24"/>
          <w:szCs w:val="24"/>
          <w:highlight w:val="none"/>
          <w:lang w:eastAsia="zh-CN"/>
        </w:rPr>
        <w:t>盛华裕苑棚户区配套基础设施工程</w:t>
      </w:r>
      <w:r>
        <w:rPr>
          <w:rFonts w:hint="eastAsia" w:hAnsi="宋体" w:eastAsia="宋体"/>
          <w:color w:val="auto"/>
          <w:position w:val="0"/>
          <w:sz w:val="24"/>
          <w:szCs w:val="24"/>
          <w:highlight w:val="none"/>
          <w:lang w:val="en-US" w:eastAsia="zh-CN"/>
        </w:rPr>
        <w:t>的绿化工程</w:t>
      </w:r>
      <w:r>
        <w:rPr>
          <w:rFonts w:hint="eastAsia" w:ascii="Times New Roman" w:hAnsi="宋体" w:eastAsia="宋体"/>
          <w:color w:val="auto"/>
          <w:position w:val="0"/>
          <w:sz w:val="24"/>
          <w:szCs w:val="24"/>
          <w:highlight w:val="none"/>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before="0" w:after="120" w:line="360" w:lineRule="auto"/>
        <w:ind w:right="0" w:firstLine="420"/>
        <w:jc w:val="both"/>
        <w:textAlignment w:val="auto"/>
        <w:rPr>
          <w:rFonts w:hint="default" w:ascii="宋体" w:hAnsi="宋体" w:eastAsia="宋体"/>
          <w:color w:val="auto"/>
          <w:position w:val="0"/>
          <w:sz w:val="24"/>
          <w:szCs w:val="24"/>
          <w:highlight w:val="none"/>
        </w:rPr>
      </w:pPr>
      <w:r>
        <w:rPr>
          <w:rFonts w:hint="default" w:ascii="宋体" w:hAnsi="Times New Roman" w:eastAsia="Times New Roman"/>
          <w:color w:val="auto"/>
          <w:position w:val="0"/>
          <w:sz w:val="24"/>
          <w:szCs w:val="24"/>
          <w:highlight w:val="none"/>
        </w:rPr>
        <w:t xml:space="preserve">  </w:t>
      </w:r>
      <w:r>
        <w:rPr>
          <w:rFonts w:hint="default" w:ascii="宋体" w:hAnsi="宋体" w:eastAsia="宋体"/>
          <w:color w:val="auto"/>
          <w:position w:val="0"/>
          <w:sz w:val="24"/>
          <w:szCs w:val="24"/>
          <w:highlight w:val="none"/>
        </w:rPr>
        <w:t>2.6计划工期：</w:t>
      </w:r>
      <w:r>
        <w:rPr>
          <w:rFonts w:hint="eastAsia" w:ascii="宋体" w:hAnsi="宋体" w:eastAsia="宋体"/>
          <w:color w:val="auto"/>
          <w:position w:val="0"/>
          <w:sz w:val="24"/>
          <w:szCs w:val="24"/>
          <w:highlight w:val="none"/>
          <w:lang w:val="en-US" w:eastAsia="zh-CN"/>
        </w:rPr>
        <w:t>180</w:t>
      </w:r>
      <w:r>
        <w:rPr>
          <w:rFonts w:hint="default" w:ascii="宋体" w:hAnsi="宋体" w:eastAsia="宋体"/>
          <w:color w:val="auto"/>
          <w:position w:val="0"/>
          <w:sz w:val="24"/>
          <w:szCs w:val="24"/>
          <w:highlight w:val="none"/>
        </w:rPr>
        <w:t>日历天/标段</w:t>
      </w:r>
    </w:p>
    <w:p>
      <w:pPr>
        <w:pStyle w:val="4"/>
        <w:numPr>
          <w:ilvl w:val="0"/>
          <w:numId w:val="0"/>
        </w:numPr>
        <w:autoSpaceDE/>
        <w:autoSpaceDN/>
        <w:snapToGrid w:val="0"/>
        <w:spacing w:before="280" w:beforeAutospacing="1" w:after="280" w:afterAutospacing="1" w:line="360" w:lineRule="auto"/>
        <w:ind w:left="480" w:right="0" w:firstLine="240"/>
        <w:jc w:val="left"/>
        <w:rPr>
          <w:rFonts w:hint="default" w:ascii="仿宋_GB2312" w:hAnsi="宋体" w:eastAsia="宋体"/>
          <w:color w:val="auto"/>
          <w:position w:val="0"/>
          <w:sz w:val="24"/>
          <w:szCs w:val="24"/>
          <w:highlight w:val="none"/>
        </w:rPr>
      </w:pPr>
      <w:r>
        <w:rPr>
          <w:rFonts w:hint="default" w:ascii="仿宋_GB2312" w:hAnsi="宋体" w:eastAsia="宋体"/>
          <w:color w:val="auto"/>
          <w:position w:val="0"/>
          <w:sz w:val="24"/>
          <w:szCs w:val="24"/>
          <w:highlight w:val="none"/>
        </w:rPr>
        <w:t>2.7质量要求：合格。</w:t>
      </w:r>
    </w:p>
    <w:p>
      <w:pPr>
        <w:numPr>
          <w:ilvl w:val="0"/>
          <w:numId w:val="0"/>
        </w:numPr>
        <w:autoSpaceDE/>
        <w:autoSpaceDN/>
        <w:spacing w:before="0" w:after="160" w:line="360" w:lineRule="auto"/>
        <w:ind w:right="0" w:firstLine="0"/>
        <w:jc w:val="both"/>
        <w:outlineLvl w:val="0"/>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3、投标人资格要求</w:t>
      </w:r>
    </w:p>
    <w:p>
      <w:pPr>
        <w:numPr>
          <w:ilvl w:val="0"/>
          <w:numId w:val="0"/>
        </w:numPr>
        <w:autoSpaceDE/>
        <w:autoSpaceDN/>
        <w:spacing w:before="0" w:after="160" w:line="360" w:lineRule="auto"/>
        <w:ind w:right="0" w:firstLine="720"/>
        <w:jc w:val="both"/>
        <w:outlineLvl w:val="0"/>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第一标段、</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3.1要求投标人须具备独立的法人资格和有效的营业执照，具有建设行政主管部门颁发的</w:t>
      </w:r>
      <w:r>
        <w:rPr>
          <w:rFonts w:hint="eastAsia" w:hAnsi="宋体" w:eastAsia="宋体"/>
          <w:color w:val="auto"/>
          <w:position w:val="0"/>
          <w:sz w:val="24"/>
          <w:szCs w:val="24"/>
          <w:highlight w:val="none"/>
          <w:lang w:val="en-US" w:eastAsia="zh-CN"/>
        </w:rPr>
        <w:t>建筑</w:t>
      </w:r>
      <w:r>
        <w:rPr>
          <w:rFonts w:hint="default" w:ascii="Times New Roman" w:hAnsi="宋体" w:eastAsia="宋体"/>
          <w:color w:val="auto"/>
          <w:position w:val="0"/>
          <w:sz w:val="24"/>
          <w:szCs w:val="24"/>
          <w:highlight w:val="none"/>
        </w:rPr>
        <w:t>工程施工总承包叁级及以上资质，并在人员、设备、资金等方面具有相应的施工能力。</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3.2拟派项目经理须具有</w:t>
      </w:r>
      <w:r>
        <w:rPr>
          <w:rFonts w:hint="eastAsia" w:hAnsi="宋体" w:eastAsia="宋体"/>
          <w:color w:val="auto"/>
          <w:position w:val="0"/>
          <w:sz w:val="24"/>
          <w:szCs w:val="24"/>
          <w:highlight w:val="none"/>
          <w:lang w:val="en-US" w:eastAsia="zh-CN"/>
        </w:rPr>
        <w:t>建筑</w:t>
      </w:r>
      <w:r>
        <w:rPr>
          <w:rFonts w:hint="default" w:ascii="Times New Roman" w:hAnsi="宋体" w:eastAsia="宋体"/>
          <w:color w:val="auto"/>
          <w:position w:val="0"/>
          <w:sz w:val="24"/>
          <w:szCs w:val="24"/>
          <w:highlight w:val="none"/>
        </w:rPr>
        <w:t>工程贰级及以上注册建造师资格证书（不含临时），并具有有效的安全生产考核合格证书，且未担任其他正在施工建设工程的项目经理；</w:t>
      </w:r>
    </w:p>
    <w:p>
      <w:pPr>
        <w:numPr>
          <w:ilvl w:val="0"/>
          <w:numId w:val="0"/>
        </w:numPr>
        <w:autoSpaceDE/>
        <w:autoSpaceDN/>
        <w:spacing w:before="0" w:after="160" w:line="460" w:lineRule="exact"/>
        <w:ind w:right="0" w:firstLine="480"/>
        <w:jc w:val="both"/>
        <w:outlineLvl w:val="0"/>
        <w:rPr>
          <w:rFonts w:hint="eastAsia" w:ascii="Times New Roman" w:hAnsi="宋体" w:eastAsia="宋体"/>
          <w:color w:val="auto"/>
          <w:position w:val="0"/>
          <w:sz w:val="24"/>
          <w:szCs w:val="24"/>
          <w:highlight w:val="none"/>
          <w:lang w:val="en-US" w:eastAsia="zh-CN"/>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3</w:t>
      </w:r>
      <w:r>
        <w:rPr>
          <w:rFonts w:hint="default" w:ascii="Times New Roman" w:hAnsi="宋体" w:eastAsia="宋体"/>
          <w:color w:val="auto"/>
          <w:position w:val="0"/>
          <w:sz w:val="24"/>
          <w:szCs w:val="24"/>
          <w:highlight w:val="none"/>
        </w:rPr>
        <w:t>投标企业未被列入信用中国网站信用记录失信被执行人、重大税收违法案件当事人名单</w:t>
      </w:r>
      <w:r>
        <w:rPr>
          <w:rFonts w:hint="eastAsia" w:hAnsi="宋体" w:eastAsia="宋体"/>
          <w:color w:val="auto"/>
          <w:position w:val="0"/>
          <w:sz w:val="24"/>
          <w:szCs w:val="24"/>
          <w:highlight w:val="none"/>
          <w:lang w:eastAsia="zh-CN"/>
        </w:rPr>
        <w:t>；</w:t>
      </w:r>
      <w:r>
        <w:rPr>
          <w:rFonts w:hint="default" w:ascii="Times New Roman" w:hAnsi="宋体" w:eastAsia="宋体"/>
          <w:color w:val="auto"/>
          <w:position w:val="0"/>
          <w:sz w:val="24"/>
          <w:szCs w:val="24"/>
          <w:highlight w:val="none"/>
        </w:rPr>
        <w:t>投标人提供（国家企业信用信息公示系统http://www.gsxt.gov.cn）未被列入经营异常名录信息、列入严重违法失信企业名单（黑名单）信息内容。投标人未被列入信用河南（河南省投标企业提供）网站（http://www.credithn.gov.cn/）信用信息栏黑名单网站查询截图；</w:t>
      </w:r>
      <w:r>
        <w:rPr>
          <w:rFonts w:hint="eastAsia" w:hAnsi="宋体" w:eastAsia="宋体"/>
          <w:color w:val="auto"/>
          <w:position w:val="0"/>
          <w:sz w:val="24"/>
          <w:szCs w:val="24"/>
          <w:highlight w:val="none"/>
          <w:lang w:val="en-US" w:eastAsia="zh-CN"/>
        </w:rPr>
        <w:t>(以上查询</w:t>
      </w:r>
      <w:r>
        <w:rPr>
          <w:rFonts w:hint="default" w:ascii="Times New Roman" w:hAnsi="宋体" w:eastAsia="宋体"/>
          <w:color w:val="auto"/>
          <w:position w:val="0"/>
          <w:sz w:val="24"/>
          <w:szCs w:val="24"/>
          <w:highlight w:val="none"/>
        </w:rPr>
        <w:t>提供报名时间内网站查询截图</w:t>
      </w:r>
      <w:r>
        <w:rPr>
          <w:rFonts w:hint="eastAsia" w:hAnsi="宋体" w:eastAsia="宋体"/>
          <w:color w:val="auto"/>
          <w:position w:val="0"/>
          <w:sz w:val="24"/>
          <w:szCs w:val="24"/>
          <w:highlight w:val="none"/>
          <w:lang w:val="en-US" w:eastAsia="zh-CN"/>
        </w:rPr>
        <w:t>)</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4</w:t>
      </w:r>
      <w:r>
        <w:rPr>
          <w:rFonts w:hint="default" w:ascii="Times New Roman" w:hAnsi="宋体" w:eastAsia="宋体"/>
          <w:color w:val="auto"/>
          <w:position w:val="0"/>
          <w:sz w:val="24"/>
          <w:szCs w:val="24"/>
          <w:highlight w:val="none"/>
        </w:rPr>
        <w:t>本标段不接受联合体投标；</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5</w:t>
      </w:r>
      <w:r>
        <w:rPr>
          <w:rFonts w:hint="default" w:ascii="Times New Roman" w:hAnsi="宋体" w:eastAsia="宋体"/>
          <w:color w:val="auto"/>
          <w:position w:val="0"/>
          <w:sz w:val="24"/>
          <w:szCs w:val="24"/>
          <w:highlight w:val="none"/>
        </w:rPr>
        <w:t>本次招标实行资格后审；</w:t>
      </w:r>
    </w:p>
    <w:p>
      <w:pPr>
        <w:numPr>
          <w:ilvl w:val="0"/>
          <w:numId w:val="0"/>
        </w:numPr>
        <w:autoSpaceDE/>
        <w:autoSpaceDN/>
        <w:spacing w:before="0" w:after="160" w:line="460" w:lineRule="exact"/>
        <w:ind w:right="0" w:firstLine="480"/>
        <w:jc w:val="both"/>
        <w:outlineLvl w:val="0"/>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第</w:t>
      </w:r>
      <w:r>
        <w:rPr>
          <w:rFonts w:hint="eastAsia" w:hAnsi="宋体" w:eastAsia="宋体"/>
          <w:b/>
          <w:color w:val="auto"/>
          <w:position w:val="0"/>
          <w:sz w:val="24"/>
          <w:szCs w:val="24"/>
          <w:highlight w:val="none"/>
          <w:lang w:val="en-US" w:eastAsia="zh-CN"/>
        </w:rPr>
        <w:t>二</w:t>
      </w:r>
      <w:r>
        <w:rPr>
          <w:rFonts w:hint="default" w:ascii="Times New Roman" w:hAnsi="宋体" w:eastAsia="宋体"/>
          <w:b/>
          <w:color w:val="auto"/>
          <w:position w:val="0"/>
          <w:sz w:val="24"/>
          <w:szCs w:val="24"/>
          <w:highlight w:val="none"/>
        </w:rPr>
        <w:t>标段：</w:t>
      </w:r>
    </w:p>
    <w:p>
      <w:pPr>
        <w:numPr>
          <w:ilvl w:val="0"/>
          <w:numId w:val="0"/>
        </w:numPr>
        <w:autoSpaceDE/>
        <w:autoSpaceDN/>
        <w:spacing w:before="0" w:after="160" w:line="460" w:lineRule="exact"/>
        <w:ind w:right="0" w:firstLine="480"/>
        <w:jc w:val="both"/>
        <w:outlineLvl w:val="0"/>
        <w:rPr>
          <w:rFonts w:hint="eastAsia" w:ascii="Times New Roman" w:hAnsi="宋体" w:eastAsia="宋体"/>
          <w:color w:val="auto"/>
          <w:position w:val="0"/>
          <w:sz w:val="24"/>
          <w:szCs w:val="24"/>
          <w:highlight w:val="none"/>
          <w:lang w:eastAsia="zh-CN"/>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1</w:t>
      </w:r>
      <w:r>
        <w:rPr>
          <w:rFonts w:hint="default" w:ascii="Times New Roman" w:hAnsi="宋体" w:eastAsia="宋体"/>
          <w:color w:val="auto"/>
          <w:position w:val="0"/>
          <w:sz w:val="24"/>
          <w:szCs w:val="24"/>
          <w:highlight w:val="none"/>
          <w:lang w:val="en-US" w:eastAsia="zh-CN"/>
        </w:rPr>
        <w:t>投标人须具备独立法人资格和有效的营业执照，其营业执照经营范围包含园林绿化，并在人员、设备、资金等方面具有相应的施工能力。项目负责人应具有相关专业中级以上（含中级）职称</w:t>
      </w:r>
      <w:r>
        <w:rPr>
          <w:rFonts w:hint="default" w:ascii="Times New Roman" w:hAnsi="宋体" w:eastAsia="宋体"/>
          <w:color w:val="auto"/>
          <w:position w:val="0"/>
          <w:sz w:val="24"/>
          <w:szCs w:val="24"/>
          <w:highlight w:val="none"/>
        </w:rPr>
        <w:t>；且未担任其他正在施工建设工程的项目</w:t>
      </w:r>
      <w:r>
        <w:rPr>
          <w:rFonts w:hint="eastAsia" w:hAnsi="宋体" w:eastAsia="宋体"/>
          <w:color w:val="auto"/>
          <w:position w:val="0"/>
          <w:sz w:val="24"/>
          <w:szCs w:val="24"/>
          <w:highlight w:val="none"/>
          <w:lang w:eastAsia="zh-CN"/>
        </w:rPr>
        <w:t>负责人；</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2</w:t>
      </w:r>
      <w:r>
        <w:rPr>
          <w:rFonts w:hint="default" w:ascii="Times New Roman" w:hAnsi="宋体" w:eastAsia="宋体"/>
          <w:color w:val="auto"/>
          <w:position w:val="0"/>
          <w:sz w:val="24"/>
          <w:szCs w:val="24"/>
          <w:highlight w:val="none"/>
        </w:rPr>
        <w:t>投标企业未被列入信用中国网站信用记录失信被执行人、重大税收违法案件当事人名单</w:t>
      </w:r>
      <w:r>
        <w:rPr>
          <w:rFonts w:hint="eastAsia" w:hAnsi="宋体" w:eastAsia="宋体"/>
          <w:color w:val="auto"/>
          <w:position w:val="0"/>
          <w:sz w:val="24"/>
          <w:szCs w:val="24"/>
          <w:highlight w:val="none"/>
          <w:lang w:eastAsia="zh-CN"/>
        </w:rPr>
        <w:t>；</w:t>
      </w:r>
      <w:r>
        <w:rPr>
          <w:rFonts w:hint="default" w:ascii="Times New Roman" w:hAnsi="宋体" w:eastAsia="宋体"/>
          <w:color w:val="auto"/>
          <w:position w:val="0"/>
          <w:sz w:val="24"/>
          <w:szCs w:val="24"/>
          <w:highlight w:val="none"/>
        </w:rPr>
        <w:t>投标人提供（国家企业信用信息公示系统http://www.gsxt.gov.cn）未被列入经营异常名录信息、列入严重违法失信企业名单（黑名单）信息内容。投标人未被列入信用河南（河南省投标企业提供）网站（http://www.credithn.gov.cn/）信用信息栏黑名单网站查询截图；</w:t>
      </w:r>
      <w:r>
        <w:rPr>
          <w:rFonts w:hint="default" w:ascii="Times New Roman" w:hAnsi="宋体" w:eastAsia="宋体"/>
          <w:color w:val="auto"/>
          <w:position w:val="0"/>
          <w:sz w:val="24"/>
          <w:szCs w:val="24"/>
          <w:highlight w:val="none"/>
          <w:lang w:val="en-US" w:eastAsia="zh-CN"/>
        </w:rPr>
        <w:t>(以上查询</w:t>
      </w:r>
      <w:r>
        <w:rPr>
          <w:rFonts w:hint="default" w:ascii="Times New Roman" w:hAnsi="宋体" w:eastAsia="宋体"/>
          <w:color w:val="auto"/>
          <w:position w:val="0"/>
          <w:sz w:val="24"/>
          <w:szCs w:val="24"/>
          <w:highlight w:val="none"/>
        </w:rPr>
        <w:t>提供报名时间内网站查询截图</w:t>
      </w:r>
      <w:r>
        <w:rPr>
          <w:rFonts w:hint="default" w:ascii="Times New Roman" w:hAnsi="宋体" w:eastAsia="宋体"/>
          <w:color w:val="auto"/>
          <w:position w:val="0"/>
          <w:sz w:val="24"/>
          <w:szCs w:val="24"/>
          <w:highlight w:val="none"/>
          <w:lang w:val="en-US" w:eastAsia="zh-CN"/>
        </w:rPr>
        <w:t>)</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3</w:t>
      </w:r>
      <w:r>
        <w:rPr>
          <w:rFonts w:hint="default" w:ascii="Times New Roman" w:hAnsi="宋体" w:eastAsia="宋体"/>
          <w:color w:val="auto"/>
          <w:position w:val="0"/>
          <w:sz w:val="24"/>
          <w:szCs w:val="24"/>
          <w:highlight w:val="none"/>
        </w:rPr>
        <w:t>本标段不接受联合体投标；</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4</w:t>
      </w:r>
      <w:r>
        <w:rPr>
          <w:rFonts w:hint="default" w:ascii="Times New Roman" w:hAnsi="宋体" w:eastAsia="宋体"/>
          <w:color w:val="auto"/>
          <w:position w:val="0"/>
          <w:sz w:val="24"/>
          <w:szCs w:val="24"/>
          <w:highlight w:val="none"/>
        </w:rPr>
        <w:t>本次招标实行资格后审；</w:t>
      </w:r>
    </w:p>
    <w:p>
      <w:pPr>
        <w:numPr>
          <w:ilvl w:val="0"/>
          <w:numId w:val="1"/>
        </w:numPr>
        <w:autoSpaceDE/>
        <w:autoSpaceDN/>
        <w:spacing w:before="0" w:after="160" w:line="460" w:lineRule="exact"/>
        <w:ind w:right="0" w:firstLine="0"/>
        <w:jc w:val="both"/>
        <w:rPr>
          <w:rFonts w:hint="default" w:ascii="宋体" w:hAnsi="Times New Roman" w:eastAsia="Times New Roman"/>
          <w:color w:val="auto"/>
          <w:position w:val="0"/>
          <w:sz w:val="24"/>
          <w:szCs w:val="24"/>
          <w:highlight w:val="none"/>
        </w:rPr>
      </w:pPr>
      <w:r>
        <w:rPr>
          <w:rFonts w:hint="default" w:ascii="Times New Roman" w:hAnsi="宋体" w:eastAsia="宋体"/>
          <w:b/>
          <w:color w:val="auto"/>
          <w:position w:val="0"/>
          <w:sz w:val="24"/>
          <w:szCs w:val="24"/>
          <w:highlight w:val="none"/>
        </w:rPr>
        <w:t>网上下载招标文件</w:t>
      </w:r>
    </w:p>
    <w:p>
      <w:pPr>
        <w:numPr>
          <w:ilvl w:val="0"/>
          <w:numId w:val="0"/>
        </w:numPr>
        <w:autoSpaceDE/>
        <w:autoSpaceDN/>
        <w:spacing w:before="0" w:after="160" w:line="460" w:lineRule="exact"/>
        <w:ind w:right="0" w:rightChars="0" w:firstLine="480" w:firstLineChars="200"/>
        <w:jc w:val="both"/>
        <w:rPr>
          <w:rFonts w:hint="default" w:ascii="宋体" w:hAnsi="Times New Roman" w:eastAsia="Times New Roman"/>
          <w:color w:val="auto"/>
          <w:position w:val="0"/>
          <w:sz w:val="24"/>
          <w:szCs w:val="24"/>
          <w:highlight w:val="none"/>
        </w:rPr>
      </w:pPr>
      <w:r>
        <w:rPr>
          <w:rFonts w:hint="default" w:ascii="宋体" w:hAnsi="Times New Roman" w:eastAsia="Times New Roman"/>
          <w:color w:val="auto"/>
          <w:position w:val="0"/>
          <w:sz w:val="24"/>
          <w:szCs w:val="24"/>
          <w:highlight w:val="none"/>
        </w:rPr>
        <w:t>4.1投标人持CA数字认证证书，登录《全国公共资源交易平台（河南省·许昌市）》“系统用户注册”入口（http://ggzy.xuchang.gov.cn）进行免费注册登记（详见“常见问题解答-诚信库网上注册相关资料下载”）；</w:t>
      </w:r>
    </w:p>
    <w:p>
      <w:pPr>
        <w:pStyle w:val="29"/>
        <w:numPr>
          <w:ilvl w:val="0"/>
          <w:numId w:val="0"/>
        </w:numPr>
        <w:autoSpaceDE/>
        <w:autoSpaceDN/>
        <w:spacing w:before="280" w:beforeAutospacing="1" w:after="280" w:afterAutospacing="1" w:line="460" w:lineRule="exact"/>
        <w:ind w:right="0" w:firstLine="480"/>
        <w:jc w:val="left"/>
        <w:rPr>
          <w:rFonts w:hint="default" w:ascii="宋体" w:hAnsi="Times New Roman" w:eastAsia="Times New Roman"/>
          <w:color w:val="auto"/>
          <w:position w:val="0"/>
          <w:sz w:val="24"/>
          <w:szCs w:val="24"/>
          <w:highlight w:val="none"/>
        </w:rPr>
      </w:pPr>
      <w:r>
        <w:rPr>
          <w:rFonts w:hint="default" w:ascii="宋体" w:hAnsi="Times New Roman" w:eastAsia="Times New Roman"/>
          <w:color w:val="auto"/>
          <w:position w:val="0"/>
          <w:sz w:val="24"/>
          <w:szCs w:val="24"/>
          <w:highlight w:val="none"/>
        </w:rPr>
        <w:t>4.2在投标截止时间前登录《全国公共资源交易平台（河南省·许昌市）》“投标人/供应商登录”入口（http://</w:t>
      </w:r>
      <w:r>
        <w:rPr>
          <w:rFonts w:hint="default" w:ascii="Times New Roman" w:hAnsi="Times New Roman" w:eastAsia="Times New Roman"/>
          <w:color w:val="auto"/>
          <w:position w:val="0"/>
          <w:sz w:val="24"/>
          <w:szCs w:val="24"/>
          <w:highlight w:val="none"/>
        </w:rPr>
        <w:t>ggzy.xuchang.gov.cn</w:t>
      </w:r>
      <w:r>
        <w:rPr>
          <w:rFonts w:hint="default" w:ascii="宋体" w:hAnsi="Times New Roman" w:eastAsia="Times New Roman"/>
          <w:color w:val="auto"/>
          <w:position w:val="0"/>
          <w:sz w:val="24"/>
          <w:szCs w:val="24"/>
          <w:highlight w:val="none"/>
        </w:rPr>
        <w:t>）自行下载招标文件（详见“常见问题解答-交易系统操作手册”）。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rPr>
        <w:t xml:space="preserve"> 300 </w:t>
      </w:r>
      <w:r>
        <w:rPr>
          <w:rFonts w:hint="eastAsia" w:hAnsi="宋体"/>
          <w:bCs/>
          <w:sz w:val="24"/>
        </w:rPr>
        <w:t>元，投标人于开标结束后转账至支付宝账号：609530637@qq.com（转账时请注明项目编号、标段及公司名称）。</w:t>
      </w:r>
    </w:p>
    <w:p>
      <w:pPr>
        <w:widowControl/>
        <w:numPr>
          <w:ilvl w:val="0"/>
          <w:numId w:val="2"/>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color w:val="000000" w:themeColor="text1"/>
          <w:sz w:val="24"/>
          <w:szCs w:val="24"/>
          <w14:textFill>
            <w14:solidFill>
              <w14:schemeClr w14:val="tx1"/>
            </w14:solidFill>
          </w14:textFill>
        </w:rPr>
      </w:pPr>
      <w:r>
        <w:rPr>
          <w:rFonts w:hAnsi="宋体"/>
          <w:bCs/>
          <w:sz w:val="24"/>
        </w:rPr>
        <w:t>6</w:t>
      </w:r>
      <w:r>
        <w:rPr>
          <w:rFonts w:hint="eastAsia" w:hAnsi="宋体"/>
          <w:bCs/>
          <w:sz w:val="24"/>
        </w:rPr>
        <w:t>.1 本项目为全流程电子化交易项目，</w:t>
      </w:r>
      <w:r>
        <w:rPr>
          <w:rFonts w:hint="eastAsia" w:hAnsi="宋体"/>
          <w:bCs/>
          <w:color w:val="000000" w:themeColor="text1"/>
          <w:sz w:val="24"/>
          <w14:textFill>
            <w14:solidFill>
              <w14:schemeClr w14:val="tx1"/>
            </w14:solidFill>
          </w14:textFill>
        </w:rPr>
        <w:t>投标人应按规定在投标截止时间（同开标时间）前通过《全国公共资源交易平台(河南省▪许昌市)》公共资源交易系统成功上传本项目加密电子投标文件。</w:t>
      </w:r>
    </w:p>
    <w:p>
      <w:pPr>
        <w:widowControl/>
        <w:spacing w:line="360" w:lineRule="auto"/>
        <w:ind w:firstLine="480" w:firstLineChars="200"/>
        <w:rPr>
          <w:rFonts w:hAnsi="宋体"/>
          <w:bCs/>
          <w:color w:val="auto"/>
          <w:sz w:val="24"/>
        </w:rPr>
      </w:pPr>
      <w:r>
        <w:rPr>
          <w:rFonts w:hint="eastAsia" w:hAnsi="宋体"/>
          <w:bCs/>
          <w:sz w:val="24"/>
        </w:rPr>
        <w:t>6.2 投标截止时间及开标时间</w:t>
      </w:r>
      <w:r>
        <w:rPr>
          <w:rFonts w:hint="eastAsia" w:hAnsi="宋体"/>
          <w:bCs/>
          <w:color w:val="auto"/>
          <w:sz w:val="24"/>
        </w:rPr>
        <w:t>：2020年</w:t>
      </w:r>
      <w:r>
        <w:rPr>
          <w:rFonts w:hint="eastAsia" w:hAnsi="宋体" w:eastAsia="宋体"/>
          <w:bCs/>
          <w:color w:val="auto"/>
          <w:sz w:val="24"/>
          <w:lang w:val="en-US" w:eastAsia="zh-CN"/>
        </w:rPr>
        <w:t>06</w:t>
      </w:r>
      <w:r>
        <w:rPr>
          <w:rFonts w:hint="eastAsia" w:hAnsi="宋体"/>
          <w:bCs/>
          <w:color w:val="auto"/>
          <w:sz w:val="24"/>
        </w:rPr>
        <w:t>月</w:t>
      </w:r>
      <w:r>
        <w:rPr>
          <w:rFonts w:hint="eastAsia" w:hAnsi="宋体" w:eastAsia="宋体"/>
          <w:bCs/>
          <w:color w:val="auto"/>
          <w:sz w:val="24"/>
          <w:lang w:val="en-US" w:eastAsia="zh-CN"/>
        </w:rPr>
        <w:t>24</w:t>
      </w:r>
      <w:r>
        <w:rPr>
          <w:rFonts w:hint="eastAsia" w:hAnsi="宋体"/>
          <w:bCs/>
          <w:color w:val="auto"/>
          <w:sz w:val="24"/>
        </w:rPr>
        <w:t>日0</w:t>
      </w:r>
      <w:r>
        <w:rPr>
          <w:rFonts w:hint="eastAsia" w:hAnsi="宋体" w:eastAsia="宋体"/>
          <w:bCs/>
          <w:color w:val="auto"/>
          <w:sz w:val="24"/>
          <w:lang w:val="en-US" w:eastAsia="zh-CN"/>
        </w:rPr>
        <w:t>9</w:t>
      </w:r>
      <w:r>
        <w:rPr>
          <w:rFonts w:hint="eastAsia" w:hAnsi="宋体"/>
          <w:bCs/>
          <w:color w:val="auto"/>
          <w:sz w:val="24"/>
        </w:rPr>
        <w:t xml:space="preserve"> 时 </w:t>
      </w:r>
      <w:r>
        <w:rPr>
          <w:rFonts w:hint="eastAsia" w:hAnsi="宋体" w:eastAsia="宋体"/>
          <w:bCs/>
          <w:color w:val="auto"/>
          <w:sz w:val="24"/>
          <w:lang w:val="en-US" w:eastAsia="zh-CN"/>
        </w:rPr>
        <w:t>0</w:t>
      </w:r>
      <w:r>
        <w:rPr>
          <w:rFonts w:hint="eastAsia" w:hAnsi="宋体"/>
          <w:bCs/>
          <w:color w:val="auto"/>
          <w:sz w:val="24"/>
        </w:rPr>
        <w:t>0 分。</w:t>
      </w:r>
    </w:p>
    <w:p>
      <w:pPr>
        <w:numPr>
          <w:ilvl w:val="0"/>
          <w:numId w:val="0"/>
        </w:numPr>
        <w:autoSpaceDE/>
        <w:autoSpaceDN/>
        <w:spacing w:before="0" w:after="160" w:line="460" w:lineRule="exact"/>
        <w:ind w:right="0" w:firstLine="480" w:firstLineChars="200"/>
        <w:jc w:val="both"/>
        <w:rPr>
          <w:rFonts w:hAnsi="宋体"/>
          <w:bCs/>
          <w:color w:val="000000" w:themeColor="text1"/>
          <w:sz w:val="24"/>
          <w14:textFill>
            <w14:solidFill>
              <w14:schemeClr w14:val="tx1"/>
            </w14:solidFill>
          </w14:textFill>
        </w:rPr>
      </w:pPr>
      <w:r>
        <w:rPr>
          <w:rFonts w:hint="eastAsia" w:hAnsi="宋体"/>
          <w:bCs/>
          <w:color w:val="auto"/>
          <w:sz w:val="24"/>
        </w:rPr>
        <w:t>6.3招标人（代理机构）线上开标地点：</w:t>
      </w:r>
      <w:r>
        <w:rPr>
          <w:rFonts w:hint="default" w:ascii="宋体" w:hAnsi="宋体" w:eastAsia="宋体"/>
          <w:color w:val="auto"/>
          <w:position w:val="0"/>
          <w:sz w:val="24"/>
          <w:szCs w:val="24"/>
          <w:highlight w:val="none"/>
        </w:rPr>
        <w:t>襄城县公共资源交易中心（襄城县八七路东电子产业园12楼开标二室）；</w:t>
      </w:r>
      <w:r>
        <w:rPr>
          <w:rFonts w:hint="eastAsia" w:hAnsi="宋体"/>
          <w:bCs/>
          <w:color w:val="auto"/>
          <w:sz w:val="24"/>
        </w:rPr>
        <w:t>本项目采用远程不见面开标，投标人无须到开标现场参加开标会议、无须现场提交有关原件资料；投标</w:t>
      </w:r>
      <w:r>
        <w:rPr>
          <w:rFonts w:hint="eastAsia" w:hAnsi="宋体"/>
          <w:bCs/>
          <w:color w:val="000000" w:themeColor="text1"/>
          <w:sz w:val="24"/>
          <w14:textFill>
            <w14:solidFill>
              <w14:schemeClr w14:val="tx1"/>
            </w14:solidFill>
          </w14:textFill>
        </w:rPr>
        <w:t>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rPr>
      </w:pPr>
      <w:r>
        <w:rPr>
          <w:rFonts w:hint="eastAsia" w:hAnsi="宋体"/>
          <w:bCs/>
          <w:color w:val="000000" w:themeColor="text1"/>
          <w:sz w:val="24"/>
          <w14:textFill>
            <w14:solidFill>
              <w14:schemeClr w14:val="tx1"/>
            </w14:solidFill>
          </w14:textFill>
        </w:rPr>
        <w:t>6.4逾期送达（未成功上传）的或者未按规定解密的</w:t>
      </w:r>
      <w:r>
        <w:rPr>
          <w:rFonts w:hint="eastAsia" w:hAnsi="宋体" w:cs="宋体"/>
          <w:color w:val="000000" w:themeColor="text1"/>
          <w:sz w:val="24"/>
          <w14:textFill>
            <w14:solidFill>
              <w14:schemeClr w14:val="tx1"/>
            </w14:solidFill>
          </w14:textFill>
        </w:rPr>
        <w:t>电</w:t>
      </w:r>
      <w:r>
        <w:rPr>
          <w:rFonts w:hint="eastAsia" w:hAnsi="宋体" w:cs="宋体"/>
          <w:sz w:val="24"/>
        </w:rPr>
        <w:t>子投标文件</w:t>
      </w:r>
      <w:r>
        <w:rPr>
          <w:rFonts w:hint="eastAsia" w:hAnsi="宋体"/>
          <w:bCs/>
          <w:sz w:val="24"/>
        </w:rPr>
        <w:t>，招标人不予受理。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spacing w:line="440" w:lineRule="exact"/>
        <w:ind w:firstLine="480" w:firstLineChars="200"/>
        <w:outlineLvl w:val="0"/>
        <w:rPr>
          <w:rFonts w:hint="eastAsia" w:hAnsi="宋体" w:eastAsia="宋体" w:cs="宋体"/>
          <w:bCs/>
          <w:sz w:val="24"/>
          <w:szCs w:val="24"/>
        </w:rPr>
      </w:pPr>
      <w:r>
        <w:rPr>
          <w:rFonts w:hint="eastAsia" w:hAnsi="宋体" w:eastAsia="宋体" w:cs="宋体"/>
          <w:bCs/>
          <w:sz w:val="24"/>
          <w:szCs w:val="24"/>
        </w:rPr>
        <w:t>招 标 人：</w:t>
      </w:r>
      <w:r>
        <w:rPr>
          <w:rFonts w:hint="eastAsia" w:hAnsi="宋体" w:eastAsia="宋体" w:cs="宋体"/>
          <w:bCs/>
          <w:sz w:val="24"/>
          <w:szCs w:val="24"/>
          <w:lang w:eastAsia="zh-CN"/>
        </w:rPr>
        <w:t>襄城县库庄镇人民政府</w:t>
      </w:r>
      <w:r>
        <w:rPr>
          <w:rFonts w:hint="eastAsia" w:hAnsi="宋体" w:eastAsia="宋体" w:cs="宋体"/>
          <w:bCs/>
          <w:sz w:val="24"/>
          <w:szCs w:val="24"/>
        </w:rPr>
        <w:t xml:space="preserve">  </w:t>
      </w:r>
    </w:p>
    <w:p>
      <w:pPr>
        <w:spacing w:line="440" w:lineRule="exact"/>
        <w:ind w:firstLine="480" w:firstLineChars="200"/>
        <w:outlineLvl w:val="0"/>
        <w:rPr>
          <w:rFonts w:hint="eastAsia" w:hAnsi="宋体" w:eastAsia="宋体" w:cs="宋体"/>
          <w:bCs/>
          <w:sz w:val="24"/>
          <w:szCs w:val="24"/>
          <w:lang w:val="en-US" w:eastAsia="zh-CN"/>
        </w:rPr>
      </w:pPr>
      <w:r>
        <w:rPr>
          <w:rFonts w:hint="eastAsia" w:hAnsi="宋体" w:eastAsia="宋体" w:cs="宋体"/>
          <w:bCs/>
          <w:sz w:val="24"/>
          <w:szCs w:val="24"/>
        </w:rPr>
        <w:t>地    址：</w:t>
      </w:r>
      <w:r>
        <w:rPr>
          <w:rFonts w:hint="eastAsia" w:hAnsi="宋体" w:eastAsia="宋体" w:cs="宋体"/>
          <w:bCs/>
          <w:sz w:val="24"/>
          <w:szCs w:val="24"/>
          <w:lang w:eastAsia="zh-CN"/>
        </w:rPr>
        <w:t>襄城</w:t>
      </w:r>
      <w:r>
        <w:rPr>
          <w:rFonts w:hint="eastAsia" w:hAnsi="宋体" w:eastAsia="宋体" w:cs="宋体"/>
          <w:bCs/>
          <w:sz w:val="24"/>
          <w:szCs w:val="24"/>
          <w:lang w:val="en-US" w:eastAsia="zh-CN"/>
        </w:rPr>
        <w:t>县境内</w:t>
      </w:r>
    </w:p>
    <w:p>
      <w:pPr>
        <w:spacing w:line="440" w:lineRule="exact"/>
        <w:ind w:firstLine="480" w:firstLineChars="200"/>
        <w:outlineLvl w:val="0"/>
        <w:rPr>
          <w:rFonts w:hint="eastAsia" w:hAnsi="宋体" w:eastAsia="宋体" w:cs="宋体"/>
          <w:bCs/>
          <w:sz w:val="24"/>
          <w:szCs w:val="24"/>
          <w:lang w:val="en-US" w:eastAsia="zh-CN"/>
        </w:rPr>
      </w:pPr>
      <w:r>
        <w:rPr>
          <w:rFonts w:hint="eastAsia" w:hAnsi="宋体" w:eastAsia="宋体" w:cs="宋体"/>
          <w:bCs/>
          <w:sz w:val="24"/>
          <w:szCs w:val="24"/>
        </w:rPr>
        <w:t>联 系 人：</w:t>
      </w:r>
      <w:r>
        <w:rPr>
          <w:rFonts w:hint="eastAsia" w:hAnsi="宋体" w:eastAsia="宋体" w:cs="宋体"/>
          <w:bCs/>
          <w:sz w:val="24"/>
          <w:szCs w:val="24"/>
          <w:lang w:val="en-US" w:eastAsia="zh-CN"/>
        </w:rPr>
        <w:t>王先生</w:t>
      </w:r>
      <w:r>
        <w:rPr>
          <w:rFonts w:hint="eastAsia" w:hAnsi="宋体" w:eastAsia="宋体" w:cs="宋体"/>
          <w:bCs/>
          <w:sz w:val="24"/>
          <w:szCs w:val="24"/>
        </w:rPr>
        <w:t xml:space="preserve">    </w:t>
      </w:r>
      <w:r>
        <w:rPr>
          <w:rFonts w:hint="eastAsia" w:hAnsi="宋体" w:eastAsia="宋体" w:cs="宋体"/>
          <w:bCs/>
          <w:sz w:val="24"/>
          <w:szCs w:val="24"/>
          <w:lang w:val="en-US" w:eastAsia="zh-CN"/>
        </w:rPr>
        <w:t xml:space="preserve">  </w:t>
      </w:r>
      <w:r>
        <w:rPr>
          <w:rFonts w:hint="eastAsia" w:hAnsi="宋体" w:eastAsia="宋体" w:cs="宋体"/>
          <w:bCs/>
          <w:sz w:val="24"/>
          <w:szCs w:val="24"/>
        </w:rPr>
        <w:t xml:space="preserve">   联系电话：</w:t>
      </w:r>
      <w:r>
        <w:rPr>
          <w:rFonts w:hint="eastAsia" w:hAnsi="宋体" w:eastAsia="宋体" w:cs="宋体"/>
          <w:bCs/>
          <w:sz w:val="24"/>
          <w:szCs w:val="24"/>
          <w:lang w:val="en-US" w:eastAsia="zh-CN"/>
        </w:rPr>
        <w:t xml:space="preserve">13569982006 </w:t>
      </w:r>
    </w:p>
    <w:p>
      <w:pPr>
        <w:spacing w:line="440" w:lineRule="exact"/>
        <w:ind w:firstLine="480" w:firstLineChars="200"/>
        <w:outlineLvl w:val="0"/>
        <w:rPr>
          <w:rFonts w:hint="eastAsia" w:hAnsi="宋体" w:eastAsia="宋体" w:cs="宋体"/>
          <w:bCs/>
          <w:sz w:val="24"/>
          <w:szCs w:val="24"/>
        </w:rPr>
      </w:pPr>
      <w:r>
        <w:rPr>
          <w:rFonts w:hint="eastAsia" w:hAnsi="宋体" w:eastAsia="宋体" w:cs="宋体"/>
          <w:bCs/>
          <w:sz w:val="24"/>
          <w:szCs w:val="24"/>
        </w:rPr>
        <w:t>代理机构：达信建设发展有限公司</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地  址：许昌市城乡一体化示范区元鼎国际B座1612</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联 系 人：蔡女士</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联系电话：17537405352</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w:t>
      </w:r>
    </w:p>
    <w:p>
      <w:pPr>
        <w:autoSpaceDE w:val="0"/>
        <w:autoSpaceDN w:val="0"/>
        <w:adjustRightInd w:val="0"/>
        <w:spacing w:line="360" w:lineRule="auto"/>
        <w:ind w:firstLine="480" w:firstLineChars="200"/>
        <w:jc w:val="left"/>
        <w:rPr>
          <w:rFonts w:hAnsi="宋体"/>
          <w:color w:val="000000" w:themeColor="text1"/>
          <w:sz w:val="24"/>
          <w:szCs w:val="24"/>
          <w14:textFill>
            <w14:solidFill>
              <w14:schemeClr w14:val="tx1"/>
            </w14:solidFill>
          </w14:textFill>
        </w:rPr>
      </w:pPr>
    </w:p>
    <w:p>
      <w:pPr>
        <w:pStyle w:val="2"/>
        <w:ind w:firstLine="240"/>
        <w:jc w:val="right"/>
        <w:rPr>
          <w:rFonts w:hint="eastAsia" w:hAnsi="宋体" w:eastAsia="宋体" w:cs="宋体"/>
          <w:bCs/>
          <w:sz w:val="24"/>
          <w:szCs w:val="24"/>
        </w:rPr>
      </w:pPr>
      <w:r>
        <w:rPr>
          <w:rFonts w:hint="eastAsia" w:hAnsi="宋体" w:eastAsia="宋体" w:cs="宋体"/>
          <w:bCs/>
          <w:sz w:val="24"/>
          <w:szCs w:val="24"/>
          <w:lang w:eastAsia="zh-CN"/>
        </w:rPr>
        <w:t>襄城县库庄镇人民政府</w:t>
      </w:r>
      <w:r>
        <w:rPr>
          <w:rFonts w:hint="eastAsia" w:hAnsi="宋体" w:eastAsia="宋体" w:cs="宋体"/>
          <w:bCs/>
          <w:sz w:val="24"/>
          <w:szCs w:val="24"/>
        </w:rPr>
        <w:t xml:space="preserve">  </w:t>
      </w:r>
    </w:p>
    <w:p>
      <w:pPr>
        <w:pStyle w:val="2"/>
        <w:ind w:firstLine="240"/>
        <w:jc w:val="right"/>
        <w:rPr>
          <w:color w:val="000000" w:themeColor="text1"/>
          <w14:textFill>
            <w14:solidFill>
              <w14:schemeClr w14:val="tx1"/>
            </w14:solidFill>
          </w14:textFill>
        </w:rPr>
      </w:pPr>
      <w:r>
        <w:rPr>
          <w:rFonts w:hint="eastAsia" w:hAnsi="宋体"/>
          <w:color w:val="000000" w:themeColor="text1"/>
          <w:sz w:val="24"/>
          <w14:textFill>
            <w14:solidFill>
              <w14:schemeClr w14:val="tx1"/>
            </w14:solidFill>
          </w14:textFill>
        </w:rPr>
        <w:t>2020年</w:t>
      </w:r>
      <w:r>
        <w:rPr>
          <w:rFonts w:hint="eastAsia" w:hAnsi="宋体" w:eastAsia="宋体"/>
          <w:color w:val="000000" w:themeColor="text1"/>
          <w:sz w:val="24"/>
          <w:lang w:val="en-US" w:eastAsia="zh-CN"/>
          <w14:textFill>
            <w14:solidFill>
              <w14:schemeClr w14:val="tx1"/>
            </w14:solidFill>
          </w14:textFill>
        </w:rPr>
        <w:t>06</w:t>
      </w:r>
      <w:r>
        <w:rPr>
          <w:rFonts w:hint="eastAsia" w:hAnsi="宋体"/>
          <w:color w:val="000000" w:themeColor="text1"/>
          <w:sz w:val="24"/>
          <w14:textFill>
            <w14:solidFill>
              <w14:schemeClr w14:val="tx1"/>
            </w14:solidFill>
          </w14:textFill>
        </w:rPr>
        <w:t>月</w:t>
      </w:r>
      <w:r>
        <w:rPr>
          <w:rFonts w:hint="eastAsia" w:hAnsi="宋体" w:eastAsia="宋体"/>
          <w:color w:val="000000" w:themeColor="text1"/>
          <w:sz w:val="24"/>
          <w:lang w:val="en-US" w:eastAsia="zh-CN"/>
          <w14:textFill>
            <w14:solidFill>
              <w14:schemeClr w14:val="tx1"/>
            </w14:solidFill>
          </w14:textFill>
        </w:rPr>
        <w:t>02</w:t>
      </w:r>
      <w:r>
        <w:rPr>
          <w:rFonts w:hint="eastAsia" w:hAnsi="宋体"/>
          <w:color w:val="000000" w:themeColor="text1"/>
          <w:sz w:val="24"/>
          <w14:textFill>
            <w14:solidFill>
              <w14:schemeClr w14:val="tx1"/>
            </w14:solidFill>
          </w14:textFill>
        </w:rPr>
        <w:t>日</w:t>
      </w:r>
    </w:p>
    <w:p>
      <w:pPr>
        <w:spacing w:line="360" w:lineRule="auto"/>
        <w:rPr>
          <w:rFonts w:hAnsi="宋体"/>
          <w:b/>
          <w:sz w:val="28"/>
          <w:szCs w:val="28"/>
        </w:rPr>
      </w:pPr>
      <w:r>
        <w:rPr>
          <w:rFonts w:hint="eastAsia" w:hAnsi="宋体"/>
          <w:b/>
          <w:sz w:val="28"/>
          <w:szCs w:val="28"/>
        </w:rPr>
        <w:t>温馨提示：</w:t>
      </w:r>
    </w:p>
    <w:p>
      <w:pPr>
        <w:spacing w:line="360" w:lineRule="auto"/>
        <w:ind w:firstLine="560"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1.投标人应按招标文件规定编制、提交、解密电子投标文件。</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2.电子文件下载、制作、提交期间和远程不见面开标（电子投标文件的解密）环节，投标人须使用同一个CA数字证书（证书须在有效期内并可正常使用）。</w:t>
      </w:r>
    </w:p>
    <w:p>
      <w:pPr>
        <w:spacing w:line="360" w:lineRule="auto"/>
        <w:ind w:firstLine="480" w:firstLineChars="200"/>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3.电子投标文件的制作</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olor w:val="000000" w:themeColor="text1"/>
          <w:sz w:val="24"/>
          <w14:textFill>
            <w14:solidFill>
              <w14:schemeClr w14:val="tx1"/>
            </w14:solidFill>
          </w14:textFill>
        </w:rPr>
        <w:t>http://221.14.6.70:8088/ggzy/</w:t>
      </w:r>
      <w:r>
        <w:rPr>
          <w:rFonts w:hint="eastAsia" w:hAnsi="宋体"/>
          <w:color w:val="000000" w:themeColor="text1"/>
          <w:sz w:val="24"/>
          <w14:textFill>
            <w14:solidFill>
              <w14:schemeClr w14:val="tx1"/>
            </w14:solidFill>
          </w14:textFill>
        </w:rPr>
        <w:fldChar w:fldCharType="end"/>
      </w:r>
      <w:r>
        <w:rPr>
          <w:rFonts w:hint="eastAsia" w:hAnsi="宋体"/>
          <w:color w:val="000000" w:themeColor="text1"/>
          <w:sz w:val="24"/>
          <w14:textFill>
            <w14:solidFill>
              <w14:schemeClr w14:val="tx1"/>
            </w14:solidFill>
          </w14:textFill>
        </w:rPr>
        <w:t>）下载“许昌投标文件制作系统SEARUN 最新版本”，按招标文件要求制作电子投标文件。</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电子投标文件的制作，参考《全国公共资源交易平台(河南省▪许昌市)》公共资源交易系统——组件下载——交易系统操作手册（投标人、供应商）。</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3.2 投标人须将招标文件要求的资质、业绩、荣誉及相关人员证明材料等资料原件扫描件（或图片）制作到所提交的电子投标文件中。</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color w:val="000000" w:themeColor="text1"/>
          <w:sz w:val="24"/>
          <w14:textFill>
            <w14:solidFill>
              <w14:schemeClr w14:val="tx1"/>
            </w14:solidFill>
          </w14:textFill>
        </w:rPr>
      </w:pPr>
    </w:p>
    <w:p>
      <w:pPr>
        <w:spacing w:line="360" w:lineRule="auto"/>
        <w:ind w:firstLine="480" w:firstLineChars="200"/>
        <w:rPr>
          <w:rFonts w:hAnsi="宋体"/>
          <w:b/>
          <w:bCs/>
          <w:color w:val="000000" w:themeColor="text1"/>
          <w:sz w:val="24"/>
          <w14:textFill>
            <w14:solidFill>
              <w14:schemeClr w14:val="tx1"/>
            </w14:solidFill>
          </w14:textFill>
        </w:rPr>
      </w:pPr>
      <w:r>
        <w:rPr>
          <w:rFonts w:hint="eastAsia" w:hAnsi="宋体" w:eastAsia="宋体"/>
          <w:b/>
          <w:bCs/>
          <w:color w:val="000000" w:themeColor="text1"/>
          <w:sz w:val="24"/>
          <w:lang w:val="en-US" w:eastAsia="zh-CN"/>
          <w14:textFill>
            <w14:solidFill>
              <w14:schemeClr w14:val="tx1"/>
            </w14:solidFill>
          </w14:textFill>
        </w:rPr>
        <w:t>4</w:t>
      </w:r>
      <w:r>
        <w:rPr>
          <w:rFonts w:hint="eastAsia" w:hAnsi="宋体"/>
          <w:b/>
          <w:bCs/>
          <w:color w:val="000000" w:themeColor="text1"/>
          <w:sz w:val="24"/>
          <w14:textFill>
            <w14:solidFill>
              <w14:schemeClr w14:val="tx1"/>
            </w14:solidFill>
          </w14:textFill>
        </w:rPr>
        <w:t>.加密电子投标文件的提交</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eastAsia="宋体"/>
          <w:color w:val="000000" w:themeColor="text1"/>
          <w:sz w:val="24"/>
          <w:lang w:val="en-US" w:eastAsia="zh-CN"/>
          <w14:textFill>
            <w14:solidFill>
              <w14:schemeClr w14:val="tx1"/>
            </w14:solidFill>
          </w14:textFill>
        </w:rPr>
        <w:t>4</w:t>
      </w:r>
      <w:r>
        <w:rPr>
          <w:rFonts w:hint="eastAsia" w:hAnsi="宋体"/>
          <w:color w:val="000000" w:themeColor="text1"/>
          <w:sz w:val="24"/>
          <w14:textFill>
            <w14:solidFill>
              <w14:schemeClr w14:val="tx1"/>
            </w14:solidFill>
          </w14:textFill>
        </w:rPr>
        <w:t>.1加密电子投标文件应按规定在投标截止时间（开标时间）之前成功提交至《全国公共资源交易平台(河南省▪许昌市)》公共资源交易系统（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olor w:val="000000" w:themeColor="text1"/>
          <w:sz w:val="24"/>
          <w14:textFill>
            <w14:solidFill>
              <w14:schemeClr w14:val="tx1"/>
            </w14:solidFill>
          </w14:textFill>
        </w:rPr>
        <w:t>http://221.14.6.70:8088/ggzy/</w:t>
      </w:r>
      <w:r>
        <w:rPr>
          <w:rFonts w:hint="eastAsia" w:hAnsi="宋体"/>
          <w:color w:val="000000" w:themeColor="text1"/>
          <w:sz w:val="24"/>
          <w14:textFill>
            <w14:solidFill>
              <w14:schemeClr w14:val="tx1"/>
            </w14:solidFill>
          </w14:textFill>
        </w:rPr>
        <w:fldChar w:fldCharType="end"/>
      </w:r>
      <w:r>
        <w:rPr>
          <w:rFonts w:hint="eastAsia" w:hAnsi="宋体"/>
          <w:color w:val="000000" w:themeColor="text1"/>
          <w:sz w:val="24"/>
          <w14:textFill>
            <w14:solidFill>
              <w14:schemeClr w14:val="tx1"/>
            </w14:solidFill>
          </w14:textFill>
        </w:rPr>
        <w:t>）。</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投标人应充分考虑并预留技术处理和上传数据所需时间。</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eastAsia="宋体"/>
          <w:color w:val="000000" w:themeColor="text1"/>
          <w:sz w:val="24"/>
          <w:lang w:val="en-US" w:eastAsia="zh-CN"/>
          <w14:textFill>
            <w14:solidFill>
              <w14:schemeClr w14:val="tx1"/>
            </w14:solidFill>
          </w14:textFill>
        </w:rPr>
        <w:t>4</w:t>
      </w:r>
      <w:r>
        <w:rPr>
          <w:rFonts w:hint="eastAsia" w:hAnsi="宋体"/>
          <w:color w:val="000000" w:themeColor="text1"/>
          <w:sz w:val="24"/>
          <w14:textFill>
            <w14:solidFill>
              <w14:schemeClr w14:val="tx1"/>
            </w14:solidFill>
          </w14:textFill>
        </w:rPr>
        <w:t>.2 投标人对同一项目多个标段进行投标的，加密电子投标文件应按标段分别提交。</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eastAsia="宋体"/>
          <w:color w:val="000000" w:themeColor="text1"/>
          <w:sz w:val="24"/>
          <w:lang w:val="en-US" w:eastAsia="zh-CN"/>
          <w14:textFill>
            <w14:solidFill>
              <w14:schemeClr w14:val="tx1"/>
            </w14:solidFill>
          </w14:textFill>
        </w:rPr>
        <w:t>4</w:t>
      </w:r>
      <w:r>
        <w:rPr>
          <w:rFonts w:hint="eastAsia" w:hAnsi="宋体"/>
          <w:color w:val="000000" w:themeColor="text1"/>
          <w:sz w:val="24"/>
          <w14:textFill>
            <w14:solidFill>
              <w14:schemeClr w14:val="tx1"/>
            </w14:solidFill>
          </w14:textFill>
        </w:rPr>
        <w:t>.3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hAnsi="宋体"/>
          <w:color w:val="000000" w:themeColor="text1"/>
          <w:sz w:val="24"/>
          <w14:textFill>
            <w14:solidFill>
              <w14:schemeClr w14:val="tx1"/>
            </w14:solidFill>
          </w14:textFill>
        </w:rPr>
        <w:t>http://221.14.6.70:8088/ggzy/</w:t>
      </w:r>
      <w:r>
        <w:rPr>
          <w:rFonts w:hint="eastAsia" w:hAnsi="宋体"/>
          <w:color w:val="000000" w:themeColor="text1"/>
          <w:sz w:val="24"/>
          <w14:textFill>
            <w14:solidFill>
              <w14:schemeClr w14:val="tx1"/>
            </w14:solidFill>
          </w14:textFill>
        </w:rPr>
        <w:fldChar w:fldCharType="end"/>
      </w:r>
      <w:r>
        <w:rPr>
          <w:rFonts w:hint="eastAsia" w:hAnsi="宋体"/>
          <w:color w:val="000000" w:themeColor="text1"/>
          <w:sz w:val="24"/>
          <w14:textFill>
            <w14:solidFill>
              <w14:schemeClr w14:val="tx1"/>
            </w14:solidFill>
          </w14:textFill>
        </w:rPr>
        <w:t>）生成“投标文件提交回执单”。</w:t>
      </w:r>
    </w:p>
    <w:p>
      <w:pPr>
        <w:spacing w:line="360" w:lineRule="auto"/>
        <w:ind w:firstLine="480" w:firstLineChars="200"/>
        <w:rPr>
          <w:rFonts w:hAnsi="宋体"/>
          <w:b/>
          <w:bCs/>
          <w:color w:val="000000" w:themeColor="text1"/>
          <w:sz w:val="24"/>
          <w14:textFill>
            <w14:solidFill>
              <w14:schemeClr w14:val="tx1"/>
            </w14:solidFill>
          </w14:textFill>
        </w:rPr>
      </w:pPr>
      <w:r>
        <w:rPr>
          <w:rFonts w:hint="eastAsia" w:hAnsi="宋体" w:eastAsia="宋体"/>
          <w:b/>
          <w:bCs/>
          <w:color w:val="000000" w:themeColor="text1"/>
          <w:sz w:val="24"/>
          <w:lang w:val="en-US" w:eastAsia="zh-CN"/>
          <w14:textFill>
            <w14:solidFill>
              <w14:schemeClr w14:val="tx1"/>
            </w14:solidFill>
          </w14:textFill>
        </w:rPr>
        <w:t>5</w:t>
      </w:r>
      <w:r>
        <w:rPr>
          <w:rFonts w:hint="eastAsia" w:hAnsi="宋体"/>
          <w:b/>
          <w:bCs/>
          <w:color w:val="000000" w:themeColor="text1"/>
          <w:sz w:val="24"/>
          <w14:textFill>
            <w14:solidFill>
              <w14:schemeClr w14:val="tx1"/>
            </w14:solidFill>
          </w14:textFill>
        </w:rPr>
        <w:t>.远程不见面开标（电子投标文件的解密）</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eastAsia="宋体"/>
          <w:color w:val="000000" w:themeColor="text1"/>
          <w:sz w:val="24"/>
          <w:lang w:val="en-US" w:eastAsia="zh-CN"/>
          <w14:textFill>
            <w14:solidFill>
              <w14:schemeClr w14:val="tx1"/>
            </w14:solidFill>
          </w14:textFill>
        </w:rPr>
        <w:t>5</w:t>
      </w:r>
      <w:r>
        <w:rPr>
          <w:rFonts w:hint="eastAsia" w:hAnsi="宋体"/>
          <w:color w:val="000000" w:themeColor="text1"/>
          <w:sz w:val="24"/>
          <w14:textFill>
            <w14:solidFill>
              <w14:schemeClr w14:val="tx1"/>
            </w14:solidFill>
          </w14:textFill>
        </w:rPr>
        <w:t>.1 投标人应熟悉《许昌市不见面开标操作手册》，并提前设置不见面开标浏览器（设置流程详见《许昌市不见面开标操作手册》）。</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eastAsia="宋体"/>
          <w:color w:val="000000" w:themeColor="text1"/>
          <w:sz w:val="24"/>
          <w:lang w:val="en-US" w:eastAsia="zh-CN"/>
          <w14:textFill>
            <w14:solidFill>
              <w14:schemeClr w14:val="tx1"/>
            </w14:solidFill>
          </w14:textFill>
        </w:rPr>
        <w:t>5</w:t>
      </w:r>
      <w:r>
        <w:rPr>
          <w:rFonts w:hint="eastAsia" w:hAnsi="宋体"/>
          <w:color w:val="000000" w:themeColor="text1"/>
          <w:sz w:val="24"/>
          <w14:textFill>
            <w14:solidFill>
              <w14:schemeClr w14:val="tx1"/>
            </w14:solidFill>
          </w14:textFill>
        </w:rPr>
        <w:t>.2 《许昌市不见面开标操作手册》下载路径：全国公共资源交易平台（河南省·许昌市）—“资料下载”栏目。</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eastAsia="宋体"/>
          <w:color w:val="000000" w:themeColor="text1"/>
          <w:sz w:val="24"/>
          <w:lang w:val="en-US" w:eastAsia="zh-CN"/>
          <w14:textFill>
            <w14:solidFill>
              <w14:schemeClr w14:val="tx1"/>
            </w14:solidFill>
          </w14:textFill>
        </w:rPr>
        <w:t>5</w:t>
      </w:r>
      <w:r>
        <w:rPr>
          <w:rFonts w:hint="eastAsia" w:hAnsi="宋体"/>
          <w:color w:val="000000" w:themeColor="text1"/>
          <w:sz w:val="24"/>
          <w14:textFill>
            <w14:solidFill>
              <w14:schemeClr w14:val="tx1"/>
            </w14:solidFill>
          </w14:textFill>
        </w:rPr>
        <w:t>.3开标时间前投标人应登录本项目不见面开标大厅，按照招标文件确定的开标时间准时参加网上开标。</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eastAsia="宋体"/>
          <w:color w:val="000000" w:themeColor="text1"/>
          <w:sz w:val="24"/>
          <w:lang w:val="en-US" w:eastAsia="zh-CN"/>
          <w14:textFill>
            <w14:solidFill>
              <w14:schemeClr w14:val="tx1"/>
            </w14:solidFill>
          </w14:textFill>
        </w:rPr>
        <w:t>5</w:t>
      </w:r>
      <w:r>
        <w:rPr>
          <w:rFonts w:hint="eastAsia" w:hAnsi="宋体"/>
          <w:color w:val="000000" w:themeColor="text1"/>
          <w:sz w:val="24"/>
          <w14:textFill>
            <w14:solidFill>
              <w14:schemeClr w14:val="tx1"/>
            </w14:solidFill>
          </w14:textFill>
        </w:rPr>
        <w:t>.4投标人对开标过程和开标记录如有疑义，可在本项目不见面开标大厅“文字互动”对话框或“新增质疑”处在线提出询问。</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eastAsia="宋体"/>
          <w:color w:val="000000" w:themeColor="text1"/>
          <w:sz w:val="24"/>
          <w:lang w:val="en-US" w:eastAsia="zh-CN"/>
          <w14:textFill>
            <w14:solidFill>
              <w14:schemeClr w14:val="tx1"/>
            </w14:solidFill>
          </w14:textFill>
        </w:rPr>
        <w:t>5</w:t>
      </w:r>
      <w:r>
        <w:rPr>
          <w:rFonts w:hint="eastAsia" w:hAnsi="宋体"/>
          <w:color w:val="000000" w:themeColor="text1"/>
          <w:sz w:val="24"/>
          <w14:textFill>
            <w14:solidFill>
              <w14:schemeClr w14:val="tx1"/>
            </w14:solidFill>
          </w14:textFill>
        </w:rPr>
        <w:t>.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eastAsia="宋体"/>
          <w:color w:val="000000" w:themeColor="text1"/>
          <w:sz w:val="24"/>
          <w:lang w:val="en-US" w:eastAsia="zh-CN"/>
          <w14:textFill>
            <w14:solidFill>
              <w14:schemeClr w14:val="tx1"/>
            </w14:solidFill>
          </w14:textFill>
        </w:rPr>
        <w:t>5</w:t>
      </w:r>
      <w:r>
        <w:rPr>
          <w:rFonts w:hint="eastAsia" w:hAnsi="宋体"/>
          <w:color w:val="000000" w:themeColor="text1"/>
          <w:sz w:val="24"/>
          <w14:textFill>
            <w14:solidFill>
              <w14:schemeClr w14:val="tx1"/>
            </w14:solidFill>
          </w14:textFill>
        </w:rPr>
        <w:t>.6项目远程不见面开标活动结束时，投标人应在《开标记录表》上进行电子签章。投标人未签章的，视同认可开标结果。</w:t>
      </w:r>
    </w:p>
    <w:p>
      <w:pPr>
        <w:spacing w:line="360" w:lineRule="auto"/>
        <w:ind w:firstLine="480" w:firstLineChars="200"/>
        <w:rPr>
          <w:rFonts w:hAnsi="宋体"/>
          <w:b/>
          <w:bCs/>
          <w:color w:val="000000" w:themeColor="text1"/>
          <w:sz w:val="24"/>
          <w14:textFill>
            <w14:solidFill>
              <w14:schemeClr w14:val="tx1"/>
            </w14:solidFill>
          </w14:textFill>
        </w:rPr>
      </w:pPr>
      <w:r>
        <w:rPr>
          <w:rFonts w:hint="eastAsia" w:hAnsi="宋体" w:eastAsia="宋体"/>
          <w:b/>
          <w:bCs/>
          <w:color w:val="000000" w:themeColor="text1"/>
          <w:sz w:val="24"/>
          <w:lang w:val="en-US" w:eastAsia="zh-CN"/>
          <w14:textFill>
            <w14:solidFill>
              <w14:schemeClr w14:val="tx1"/>
            </w14:solidFill>
          </w14:textFill>
        </w:rPr>
        <w:t>6</w:t>
      </w:r>
      <w:r>
        <w:rPr>
          <w:rFonts w:hint="eastAsia" w:hAnsi="宋体"/>
          <w:b/>
          <w:bCs/>
          <w:color w:val="000000" w:themeColor="text1"/>
          <w:sz w:val="24"/>
          <w14:textFill>
            <w14:solidFill>
              <w14:schemeClr w14:val="tx1"/>
            </w14:solidFill>
          </w14:textFill>
        </w:rPr>
        <w:t>.评标依据</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eastAsia="宋体"/>
          <w:color w:val="000000" w:themeColor="text1"/>
          <w:sz w:val="24"/>
          <w:lang w:val="en-US" w:eastAsia="zh-CN"/>
          <w14:textFill>
            <w14:solidFill>
              <w14:schemeClr w14:val="tx1"/>
            </w14:solidFill>
          </w14:textFill>
        </w:rPr>
        <w:t>6</w:t>
      </w:r>
      <w:r>
        <w:rPr>
          <w:rFonts w:hint="eastAsia" w:hAnsi="宋体"/>
          <w:color w:val="000000" w:themeColor="text1"/>
          <w:sz w:val="24"/>
          <w14:textFill>
            <w14:solidFill>
              <w14:schemeClr w14:val="tx1"/>
            </w14:solidFill>
          </w14:textFill>
        </w:rPr>
        <w:t>.1全流程电子化交易（远程不见面开标）项目，评标委员会以成功上传、解密的电子投标文件为评标依据。</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eastAsia="宋体"/>
          <w:color w:val="000000" w:themeColor="text1"/>
          <w:sz w:val="24"/>
          <w:lang w:val="en-US" w:eastAsia="zh-CN"/>
          <w14:textFill>
            <w14:solidFill>
              <w14:schemeClr w14:val="tx1"/>
            </w14:solidFill>
          </w14:textFill>
        </w:rPr>
        <w:t>6</w:t>
      </w:r>
      <w:r>
        <w:rPr>
          <w:rFonts w:hint="eastAsia" w:hAnsi="宋体"/>
          <w:color w:val="000000" w:themeColor="text1"/>
          <w:sz w:val="24"/>
          <w14:textFill>
            <w14:solidFill>
              <w14:schemeClr w14:val="tx1"/>
            </w14:solidFill>
          </w14:textFill>
        </w:rPr>
        <w:t>.2 评审期间，保持投标文件提供的联系方式畅通，评标委员会随时可能对投标文件内容质询，投标人应及时进行答复（包括但不限于电子文档、电子邮件等）。</w:t>
      </w:r>
    </w:p>
    <w:p>
      <w:pPr>
        <w:pStyle w:val="6"/>
        <w:numPr>
          <w:ilvl w:val="0"/>
          <w:numId w:val="0"/>
        </w:numPr>
        <w:autoSpaceDE/>
        <w:autoSpaceDN/>
        <w:snapToGrid w:val="0"/>
        <w:spacing w:before="0" w:after="160" w:line="360" w:lineRule="auto"/>
        <w:ind w:right="0" w:firstLine="0"/>
        <w:jc w:val="center"/>
        <w:outlineLvl w:val="0"/>
        <w:rPr>
          <w:rFonts w:hint="default" w:ascii="宋体" w:hAnsi="黑体" w:eastAsia="黑体"/>
          <w:b w:val="0"/>
          <w:color w:val="auto"/>
          <w:position w:val="0"/>
          <w:sz w:val="36"/>
          <w:szCs w:val="36"/>
          <w:highlight w:val="none"/>
        </w:rPr>
      </w:pPr>
      <w:r>
        <w:br w:type="page"/>
      </w:r>
      <w:bookmarkStart w:id="3" w:name="_Toc1722"/>
      <w:bookmarkStart w:id="4" w:name="_Toc15375"/>
      <w:r>
        <w:rPr>
          <w:rFonts w:hint="default" w:ascii="宋体" w:hAnsi="宋体" w:eastAsia="宋体"/>
          <w:b/>
          <w:color w:val="auto"/>
          <w:position w:val="0"/>
          <w:sz w:val="44"/>
          <w:szCs w:val="44"/>
          <w:highlight w:val="none"/>
        </w:rPr>
        <w:t xml:space="preserve">第二章  </w:t>
      </w:r>
      <w:bookmarkEnd w:id="2"/>
      <w:r>
        <w:rPr>
          <w:rFonts w:hint="default" w:ascii="宋体" w:hAnsi="宋体" w:eastAsia="宋体"/>
          <w:b/>
          <w:color w:val="auto"/>
          <w:position w:val="0"/>
          <w:sz w:val="44"/>
          <w:szCs w:val="44"/>
          <w:highlight w:val="none"/>
        </w:rPr>
        <w:t>投标人须知</w:t>
      </w:r>
      <w:bookmarkEnd w:id="3"/>
      <w:bookmarkEnd w:id="4"/>
    </w:p>
    <w:p>
      <w:pPr>
        <w:numPr>
          <w:ilvl w:val="0"/>
          <w:numId w:val="0"/>
        </w:numPr>
        <w:autoSpaceDE w:val="0"/>
        <w:autoSpaceDN w:val="0"/>
        <w:spacing w:before="0" w:after="160" w:line="240" w:lineRule="auto"/>
        <w:ind w:right="0" w:firstLine="560"/>
        <w:jc w:val="center"/>
        <w:rPr>
          <w:rFonts w:hint="default" w:ascii="Times New Roman" w:hAnsi="黑体" w:eastAsia="黑体"/>
          <w:b/>
          <w:color w:val="auto"/>
          <w:position w:val="0"/>
          <w:sz w:val="28"/>
          <w:szCs w:val="28"/>
          <w:highlight w:val="none"/>
        </w:rPr>
      </w:pPr>
      <w:bookmarkStart w:id="5" w:name="_Toc283559940"/>
      <w:r>
        <w:rPr>
          <w:rFonts w:hint="default" w:ascii="Times New Roman" w:hAnsi="黑体" w:eastAsia="黑体"/>
          <w:b/>
          <w:color w:val="auto"/>
          <w:position w:val="0"/>
          <w:sz w:val="28"/>
          <w:szCs w:val="28"/>
          <w:highlight w:val="none"/>
        </w:rPr>
        <w:t>投标人须知前附表</w:t>
      </w:r>
      <w:bookmarkEnd w:id="5"/>
    </w:p>
    <w:tbl>
      <w:tblPr>
        <w:tblStyle w:val="31"/>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8"/>
        <w:gridCol w:w="6"/>
        <w:gridCol w:w="62"/>
        <w:gridCol w:w="1486"/>
        <w:gridCol w:w="802"/>
        <w:gridCol w:w="133"/>
        <w:gridCol w:w="6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条款号</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条 款 名 称</w:t>
            </w:r>
          </w:p>
        </w:tc>
        <w:tc>
          <w:tcPr>
            <w:tcW w:w="6367"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1.1.2</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招标人</w:t>
            </w:r>
          </w:p>
        </w:tc>
        <w:tc>
          <w:tcPr>
            <w:tcW w:w="6367" w:type="dxa"/>
            <w:vAlign w:val="center"/>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招 标 人：</w:t>
            </w:r>
            <w:r>
              <w:rPr>
                <w:rFonts w:hint="eastAsia" w:ascii="宋体" w:hAnsi="宋体" w:eastAsia="宋体"/>
                <w:color w:val="auto"/>
                <w:position w:val="0"/>
                <w:sz w:val="24"/>
                <w:szCs w:val="24"/>
                <w:highlight w:val="none"/>
                <w:lang w:eastAsia="zh-CN"/>
              </w:rPr>
              <w:t>襄城县库庄镇人民政府</w:t>
            </w:r>
            <w:r>
              <w:rPr>
                <w:rFonts w:hint="default" w:ascii="宋体" w:hAnsi="宋体" w:eastAsia="宋体"/>
                <w:color w:val="auto"/>
                <w:position w:val="0"/>
                <w:sz w:val="24"/>
                <w:szCs w:val="24"/>
                <w:highlight w:val="none"/>
              </w:rPr>
              <w:t xml:space="preserve">  </w:t>
            </w:r>
          </w:p>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lang w:val="en-US" w:eastAsia="zh-CN"/>
              </w:rPr>
            </w:pPr>
            <w:r>
              <w:rPr>
                <w:rFonts w:hint="default" w:ascii="宋体" w:hAnsi="宋体" w:eastAsia="宋体"/>
                <w:color w:val="auto"/>
                <w:position w:val="0"/>
                <w:sz w:val="24"/>
                <w:szCs w:val="24"/>
                <w:highlight w:val="none"/>
              </w:rPr>
              <w:t>地    址：</w:t>
            </w:r>
            <w:r>
              <w:rPr>
                <w:rFonts w:hint="eastAsia" w:ascii="宋体" w:hAnsi="宋体" w:eastAsia="宋体"/>
                <w:color w:val="auto"/>
                <w:position w:val="0"/>
                <w:sz w:val="24"/>
                <w:szCs w:val="24"/>
                <w:highlight w:val="none"/>
                <w:lang w:eastAsia="zh-CN"/>
              </w:rPr>
              <w:t>襄城</w:t>
            </w:r>
            <w:r>
              <w:rPr>
                <w:rFonts w:hint="eastAsia" w:ascii="宋体" w:hAnsi="宋体" w:eastAsia="宋体"/>
                <w:color w:val="auto"/>
                <w:position w:val="0"/>
                <w:sz w:val="24"/>
                <w:szCs w:val="24"/>
                <w:highlight w:val="none"/>
                <w:lang w:val="en-US" w:eastAsia="zh-CN"/>
              </w:rPr>
              <w:t>县境内</w:t>
            </w:r>
          </w:p>
          <w:p>
            <w:pPr>
              <w:numPr>
                <w:ilvl w:val="0"/>
                <w:numId w:val="0"/>
              </w:numPr>
              <w:autoSpaceDE/>
              <w:autoSpaceDN/>
              <w:spacing w:before="0" w:after="160" w:line="360" w:lineRule="auto"/>
              <w:ind w:right="0"/>
              <w:jc w:val="left"/>
              <w:rPr>
                <w:rFonts w:hint="eastAsia" w:ascii="宋体" w:hAnsi="宋体" w:eastAsia="宋体"/>
                <w:color w:val="auto"/>
                <w:position w:val="0"/>
                <w:sz w:val="24"/>
                <w:szCs w:val="24"/>
                <w:highlight w:val="none"/>
                <w:lang w:eastAsia="zh-CN"/>
              </w:rPr>
            </w:pPr>
            <w:r>
              <w:rPr>
                <w:rFonts w:hint="default" w:ascii="Times New Roman" w:hAnsi="宋体" w:eastAsia="宋体"/>
                <w:color w:val="000000"/>
                <w:position w:val="0"/>
                <w:sz w:val="24"/>
                <w:szCs w:val="24"/>
                <w:highlight w:val="none"/>
              </w:rPr>
              <w:t>联 系 人：</w:t>
            </w:r>
            <w:r>
              <w:rPr>
                <w:rFonts w:hint="eastAsia" w:hAnsi="宋体" w:eastAsia="宋体"/>
                <w:color w:val="000000"/>
                <w:position w:val="0"/>
                <w:sz w:val="24"/>
                <w:szCs w:val="24"/>
                <w:highlight w:val="none"/>
                <w:lang w:val="en-US" w:eastAsia="zh-CN"/>
              </w:rPr>
              <w:t>王先生</w:t>
            </w:r>
            <w:r>
              <w:rPr>
                <w:rFonts w:hint="default" w:ascii="Times New Roman" w:hAnsi="宋体" w:eastAsia="宋体"/>
                <w:color w:val="000000"/>
                <w:position w:val="0"/>
                <w:sz w:val="24"/>
                <w:szCs w:val="24"/>
                <w:highlight w:val="none"/>
              </w:rPr>
              <w:t xml:space="preserve">    </w:t>
            </w:r>
            <w:r>
              <w:rPr>
                <w:rFonts w:hint="eastAsia" w:hAnsi="宋体" w:eastAsia="宋体"/>
                <w:color w:val="000000"/>
                <w:position w:val="0"/>
                <w:sz w:val="24"/>
                <w:szCs w:val="24"/>
                <w:highlight w:val="none"/>
                <w:lang w:val="en-US" w:eastAsia="zh-CN"/>
              </w:rPr>
              <w:t xml:space="preserve">  </w:t>
            </w:r>
            <w:r>
              <w:rPr>
                <w:rFonts w:hint="default" w:ascii="Times New Roman" w:hAnsi="宋体" w:eastAsia="宋体"/>
                <w:color w:val="000000"/>
                <w:position w:val="0"/>
                <w:sz w:val="24"/>
                <w:szCs w:val="24"/>
                <w:highlight w:val="none"/>
              </w:rPr>
              <w:t xml:space="preserve">   联系电话：</w:t>
            </w:r>
            <w:r>
              <w:rPr>
                <w:rFonts w:hint="eastAsia" w:hAnsi="宋体" w:eastAsia="宋体"/>
                <w:color w:val="000000"/>
                <w:position w:val="0"/>
                <w:sz w:val="24"/>
                <w:szCs w:val="24"/>
                <w:highlight w:val="none"/>
                <w:lang w:val="en-US" w:eastAsia="zh-CN"/>
              </w:rPr>
              <w:t>13569982006</w:t>
            </w:r>
            <w:r>
              <w:rPr>
                <w:rFonts w:hint="eastAsia" w:hAnsi="宋体" w:eastAsia="宋体"/>
                <w:color w:val="auto"/>
                <w:position w:val="0"/>
                <w:sz w:val="24"/>
                <w:szCs w:val="24"/>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1.1.3</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代理机构</w:t>
            </w:r>
          </w:p>
        </w:tc>
        <w:tc>
          <w:tcPr>
            <w:tcW w:w="6367" w:type="dxa"/>
            <w:vAlign w:val="center"/>
          </w:tcPr>
          <w:p>
            <w:pPr>
              <w:numPr>
                <w:ilvl w:val="0"/>
                <w:numId w:val="0"/>
              </w:numPr>
              <w:autoSpaceDE w:val="0"/>
              <w:autoSpaceDN w:val="0"/>
              <w:spacing w:before="0" w:after="160" w:line="360" w:lineRule="auto"/>
              <w:ind w:right="0" w:firstLine="0"/>
              <w:jc w:val="left"/>
              <w:rPr>
                <w:rFonts w:hint="eastAsia" w:ascii="宋体" w:hAnsi="宋体" w:eastAsia="宋体"/>
                <w:color w:val="auto"/>
                <w:position w:val="0"/>
                <w:sz w:val="24"/>
                <w:szCs w:val="24"/>
                <w:highlight w:val="none"/>
                <w:lang w:eastAsia="zh-CN"/>
              </w:rPr>
            </w:pPr>
            <w:r>
              <w:rPr>
                <w:rFonts w:hint="default" w:ascii="宋体" w:hAnsi="宋体" w:eastAsia="宋体"/>
                <w:color w:val="auto"/>
                <w:position w:val="0"/>
                <w:sz w:val="24"/>
                <w:szCs w:val="24"/>
                <w:highlight w:val="none"/>
              </w:rPr>
              <w:t>代理机构：</w:t>
            </w:r>
            <w:r>
              <w:rPr>
                <w:rFonts w:hint="eastAsia" w:ascii="宋体" w:hAnsi="宋体" w:eastAsia="宋体"/>
                <w:color w:val="auto"/>
                <w:position w:val="0"/>
                <w:sz w:val="24"/>
                <w:szCs w:val="24"/>
                <w:highlight w:val="none"/>
                <w:lang w:eastAsia="zh-CN"/>
              </w:rPr>
              <w:t>达信建设发展有限公司</w:t>
            </w:r>
          </w:p>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地    址：许昌市城乡一体化示范区元鼎国际B座1612</w:t>
            </w:r>
          </w:p>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联 系 人：蔡女士         联系电话：0374-8318599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1.1.4</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项目名称</w:t>
            </w:r>
          </w:p>
        </w:tc>
        <w:tc>
          <w:tcPr>
            <w:tcW w:w="6367" w:type="dxa"/>
            <w:vAlign w:val="center"/>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eastAsia" w:ascii="宋体" w:hAnsi="宋体" w:eastAsia="宋体"/>
                <w:color w:val="auto"/>
                <w:position w:val="0"/>
                <w:sz w:val="24"/>
                <w:szCs w:val="24"/>
                <w:highlight w:val="none"/>
                <w:lang w:eastAsia="zh-CN"/>
              </w:rPr>
              <w:t>襄城县盛华裕苑棚户区改造配套基础设施建设项目</w:t>
            </w:r>
            <w:r>
              <w:rPr>
                <w:rFonts w:hint="default" w:ascii="宋体" w:hAnsi="宋体" w:eastAsia="宋体"/>
                <w:color w:val="auto"/>
                <w:position w:val="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1.1.5</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建设地点</w:t>
            </w:r>
          </w:p>
        </w:tc>
        <w:tc>
          <w:tcPr>
            <w:tcW w:w="6367" w:type="dxa"/>
            <w:vAlign w:val="center"/>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lang w:val="en-US" w:eastAsia="zh-CN"/>
              </w:rPr>
            </w:pPr>
            <w:r>
              <w:rPr>
                <w:rFonts w:hint="eastAsia" w:ascii="宋体" w:hAnsi="宋体" w:eastAsia="宋体"/>
                <w:color w:val="auto"/>
                <w:position w:val="0"/>
                <w:sz w:val="24"/>
                <w:szCs w:val="24"/>
                <w:highlight w:val="none"/>
                <w:lang w:eastAsia="zh-CN"/>
              </w:rPr>
              <w:t>襄城县</w:t>
            </w:r>
            <w:r>
              <w:rPr>
                <w:rFonts w:hint="eastAsia" w:ascii="宋体" w:hAnsi="宋体" w:eastAsia="宋体"/>
                <w:color w:val="auto"/>
                <w:position w:val="0"/>
                <w:sz w:val="24"/>
                <w:szCs w:val="24"/>
                <w:highlight w:val="none"/>
                <w:lang w:val="en-US" w:eastAsia="zh-CN"/>
              </w:rPr>
              <w:t>境内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1.2.1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资金来源</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1.2.2</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出资比例</w:t>
            </w:r>
          </w:p>
        </w:tc>
        <w:tc>
          <w:tcPr>
            <w:tcW w:w="6367" w:type="dxa"/>
            <w:vAlign w:val="top"/>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1.2.3</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资金落实情况</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1.3.1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招标范围</w:t>
            </w:r>
          </w:p>
        </w:tc>
        <w:tc>
          <w:tcPr>
            <w:tcW w:w="6367" w:type="dxa"/>
            <w:tcBorders>
              <w:bottom w:val="single" w:color="auto" w:sz="4" w:space="0"/>
            </w:tcBorders>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招标文件、施工图纸、工程量清单、答疑纪要和补充文件（如有）范围内的所有建设内容；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1.3.2</w:t>
            </w:r>
          </w:p>
        </w:tc>
        <w:tc>
          <w:tcPr>
            <w:tcW w:w="2489" w:type="dxa"/>
            <w:gridSpan w:val="5"/>
            <w:tcBorders>
              <w:right w:val="single" w:color="auto" w:sz="4" w:space="0"/>
            </w:tcBorders>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计划工期</w:t>
            </w:r>
          </w:p>
        </w:tc>
        <w:tc>
          <w:tcPr>
            <w:tcW w:w="6367"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eastAsia" w:ascii="宋体" w:hAnsi="宋体" w:eastAsia="宋体"/>
                <w:color w:val="000000" w:themeColor="text1"/>
                <w:position w:val="0"/>
                <w:sz w:val="24"/>
                <w:szCs w:val="24"/>
                <w:highlight w:val="none"/>
                <w:lang w:val="en-US" w:eastAsia="zh-CN"/>
                <w14:textFill>
                  <w14:solidFill>
                    <w14:schemeClr w14:val="tx1"/>
                  </w14:solidFill>
                </w14:textFill>
              </w:rPr>
              <w:t>180</w:t>
            </w:r>
            <w:r>
              <w:rPr>
                <w:rFonts w:hint="default" w:ascii="宋体" w:hAnsi="宋体" w:eastAsia="宋体"/>
                <w:color w:val="000000" w:themeColor="text1"/>
                <w:position w:val="0"/>
                <w:sz w:val="24"/>
                <w:szCs w:val="24"/>
                <w:highlight w:val="none"/>
                <w14:textFill>
                  <w14:solidFill>
                    <w14:schemeClr w14:val="tx1"/>
                  </w14:solidFill>
                </w14:textFill>
              </w:rPr>
              <w:t>日历天/标段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1.3.3</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质量要求</w:t>
            </w:r>
          </w:p>
        </w:tc>
        <w:tc>
          <w:tcPr>
            <w:tcW w:w="6367" w:type="dxa"/>
            <w:tcBorders>
              <w:top w:val="single" w:color="auto" w:sz="4" w:space="0"/>
            </w:tcBorders>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1.4.1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000000"/>
                <w:position w:val="0"/>
                <w:sz w:val="24"/>
                <w:szCs w:val="24"/>
                <w:highlight w:val="none"/>
              </w:rPr>
              <w:t>投标人资质条件</w:t>
            </w:r>
          </w:p>
        </w:tc>
        <w:tc>
          <w:tcPr>
            <w:tcW w:w="6367" w:type="dxa"/>
            <w:vAlign w:val="center"/>
          </w:tcPr>
          <w:p>
            <w:pPr>
              <w:numPr>
                <w:ilvl w:val="0"/>
                <w:numId w:val="0"/>
              </w:numPr>
              <w:autoSpaceDE/>
              <w:autoSpaceDN/>
              <w:spacing w:before="0" w:after="160" w:line="360" w:lineRule="auto"/>
              <w:ind w:right="0" w:firstLine="720"/>
              <w:jc w:val="both"/>
              <w:outlineLvl w:val="0"/>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第一标段、</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3.1要求投标人须具备独立的法人资格和有效的营业执照，具有建设行政主管部门颁发的</w:t>
            </w:r>
            <w:r>
              <w:rPr>
                <w:rFonts w:hint="eastAsia" w:hAnsi="宋体" w:eastAsia="宋体"/>
                <w:color w:val="auto"/>
                <w:position w:val="0"/>
                <w:sz w:val="24"/>
                <w:szCs w:val="24"/>
                <w:highlight w:val="none"/>
                <w:lang w:val="en-US" w:eastAsia="zh-CN"/>
              </w:rPr>
              <w:t>建筑</w:t>
            </w:r>
            <w:r>
              <w:rPr>
                <w:rFonts w:hint="default" w:ascii="Times New Roman" w:hAnsi="宋体" w:eastAsia="宋体"/>
                <w:color w:val="auto"/>
                <w:position w:val="0"/>
                <w:sz w:val="24"/>
                <w:szCs w:val="24"/>
                <w:highlight w:val="none"/>
              </w:rPr>
              <w:t>工程施工总承包叁级及以上资质，并在人员、设备、资金等方面具有相应的施工能力。</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3.2拟派项目经理须具有</w:t>
            </w:r>
            <w:r>
              <w:rPr>
                <w:rFonts w:hint="eastAsia" w:hAnsi="宋体" w:eastAsia="宋体"/>
                <w:color w:val="auto"/>
                <w:position w:val="0"/>
                <w:sz w:val="24"/>
                <w:szCs w:val="24"/>
                <w:highlight w:val="none"/>
                <w:lang w:val="en-US" w:eastAsia="zh-CN"/>
              </w:rPr>
              <w:t>建筑</w:t>
            </w:r>
            <w:r>
              <w:rPr>
                <w:rFonts w:hint="default" w:ascii="Times New Roman" w:hAnsi="宋体" w:eastAsia="宋体"/>
                <w:color w:val="auto"/>
                <w:position w:val="0"/>
                <w:sz w:val="24"/>
                <w:szCs w:val="24"/>
                <w:highlight w:val="none"/>
              </w:rPr>
              <w:t>工程贰级及以上注册建造师资格证书（不含临时），并具有有效的安全生产考核合格证书，且未担任其他正在施工建设工程的项目经理；</w:t>
            </w:r>
          </w:p>
          <w:p>
            <w:pPr>
              <w:numPr>
                <w:ilvl w:val="0"/>
                <w:numId w:val="0"/>
              </w:numPr>
              <w:autoSpaceDE/>
              <w:autoSpaceDN/>
              <w:spacing w:before="0" w:after="160" w:line="460" w:lineRule="exact"/>
              <w:ind w:right="0" w:firstLine="480"/>
              <w:jc w:val="both"/>
              <w:outlineLvl w:val="0"/>
              <w:rPr>
                <w:rFonts w:hint="eastAsia" w:ascii="Times New Roman" w:hAnsi="宋体" w:eastAsia="宋体"/>
                <w:color w:val="auto"/>
                <w:position w:val="0"/>
                <w:sz w:val="24"/>
                <w:szCs w:val="24"/>
                <w:highlight w:val="none"/>
                <w:lang w:val="en-US" w:eastAsia="zh-CN"/>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3</w:t>
            </w:r>
            <w:r>
              <w:rPr>
                <w:rFonts w:hint="default" w:ascii="Times New Roman" w:hAnsi="宋体" w:eastAsia="宋体"/>
                <w:color w:val="auto"/>
                <w:position w:val="0"/>
                <w:sz w:val="24"/>
                <w:szCs w:val="24"/>
                <w:highlight w:val="none"/>
              </w:rPr>
              <w:t>投标企业未被列入信用中国网站信用记录失信被执行人、重大税收违法案件当事人名单</w:t>
            </w:r>
            <w:r>
              <w:rPr>
                <w:rFonts w:hint="eastAsia" w:hAnsi="宋体" w:eastAsia="宋体"/>
                <w:color w:val="auto"/>
                <w:position w:val="0"/>
                <w:sz w:val="24"/>
                <w:szCs w:val="24"/>
                <w:highlight w:val="none"/>
                <w:lang w:eastAsia="zh-CN"/>
              </w:rPr>
              <w:t>；</w:t>
            </w:r>
            <w:r>
              <w:rPr>
                <w:rFonts w:hint="default" w:ascii="Times New Roman" w:hAnsi="宋体" w:eastAsia="宋体"/>
                <w:color w:val="auto"/>
                <w:position w:val="0"/>
                <w:sz w:val="24"/>
                <w:szCs w:val="24"/>
                <w:highlight w:val="none"/>
              </w:rPr>
              <w:t>投标人提供（国家企业信用信息公示系统http://www.gsxt.gov.cn）未被列入经营异常名录信息、列入严重违法失信企业名单（黑名单）信息内容。投标人未被列入信用河南（河南省投标企业提供）网站（http://www.credithn.gov.cn/）信用信息栏黑名单网站查询截图；</w:t>
            </w:r>
            <w:r>
              <w:rPr>
                <w:rFonts w:hint="eastAsia" w:hAnsi="宋体" w:eastAsia="宋体"/>
                <w:color w:val="auto"/>
                <w:position w:val="0"/>
                <w:sz w:val="24"/>
                <w:szCs w:val="24"/>
                <w:highlight w:val="none"/>
                <w:lang w:val="en-US" w:eastAsia="zh-CN"/>
              </w:rPr>
              <w:t>(以上查询</w:t>
            </w:r>
            <w:r>
              <w:rPr>
                <w:rFonts w:hint="default" w:ascii="Times New Roman" w:hAnsi="宋体" w:eastAsia="宋体"/>
                <w:color w:val="auto"/>
                <w:position w:val="0"/>
                <w:sz w:val="24"/>
                <w:szCs w:val="24"/>
                <w:highlight w:val="none"/>
              </w:rPr>
              <w:t>提供报名时间内网站查询截图</w:t>
            </w:r>
            <w:r>
              <w:rPr>
                <w:rFonts w:hint="eastAsia" w:hAnsi="宋体" w:eastAsia="宋体"/>
                <w:color w:val="auto"/>
                <w:position w:val="0"/>
                <w:sz w:val="24"/>
                <w:szCs w:val="24"/>
                <w:highlight w:val="none"/>
                <w:lang w:val="en-US" w:eastAsia="zh-CN"/>
              </w:rPr>
              <w:t>)</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4</w:t>
            </w:r>
            <w:r>
              <w:rPr>
                <w:rFonts w:hint="default" w:ascii="Times New Roman" w:hAnsi="宋体" w:eastAsia="宋体"/>
                <w:color w:val="auto"/>
                <w:position w:val="0"/>
                <w:sz w:val="24"/>
                <w:szCs w:val="24"/>
                <w:highlight w:val="none"/>
              </w:rPr>
              <w:t>本标段不接受联合体投标；</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5</w:t>
            </w:r>
            <w:r>
              <w:rPr>
                <w:rFonts w:hint="default" w:ascii="Times New Roman" w:hAnsi="宋体" w:eastAsia="宋体"/>
                <w:color w:val="auto"/>
                <w:position w:val="0"/>
                <w:sz w:val="24"/>
                <w:szCs w:val="24"/>
                <w:highlight w:val="none"/>
              </w:rPr>
              <w:t>本次招标实行资格后审；</w:t>
            </w:r>
          </w:p>
          <w:p>
            <w:pPr>
              <w:numPr>
                <w:ilvl w:val="0"/>
                <w:numId w:val="0"/>
              </w:numPr>
              <w:autoSpaceDE/>
              <w:autoSpaceDN/>
              <w:spacing w:before="0" w:after="160" w:line="460" w:lineRule="exact"/>
              <w:ind w:right="0" w:firstLine="480"/>
              <w:jc w:val="both"/>
              <w:outlineLvl w:val="0"/>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第</w:t>
            </w:r>
            <w:r>
              <w:rPr>
                <w:rFonts w:hint="eastAsia" w:hAnsi="宋体" w:eastAsia="宋体"/>
                <w:b/>
                <w:color w:val="auto"/>
                <w:position w:val="0"/>
                <w:sz w:val="24"/>
                <w:szCs w:val="24"/>
                <w:highlight w:val="none"/>
                <w:lang w:val="en-US" w:eastAsia="zh-CN"/>
              </w:rPr>
              <w:t>二</w:t>
            </w:r>
            <w:r>
              <w:rPr>
                <w:rFonts w:hint="default" w:ascii="Times New Roman" w:hAnsi="宋体" w:eastAsia="宋体"/>
                <w:b/>
                <w:color w:val="auto"/>
                <w:position w:val="0"/>
                <w:sz w:val="24"/>
                <w:szCs w:val="24"/>
                <w:highlight w:val="none"/>
              </w:rPr>
              <w:t>标段：</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1</w:t>
            </w:r>
            <w:r>
              <w:rPr>
                <w:rFonts w:hint="default" w:ascii="Times New Roman" w:hAnsi="宋体" w:eastAsia="宋体"/>
                <w:color w:val="auto"/>
                <w:position w:val="0"/>
                <w:sz w:val="24"/>
                <w:szCs w:val="24"/>
                <w:highlight w:val="none"/>
                <w:lang w:val="en-US" w:eastAsia="zh-CN"/>
              </w:rPr>
              <w:t>投标人须具备独立法人资格和有效的营业执照，其营业执照经营范围包含园林绿化，并在人员、设备、资金等方面具有相应的施工能力。项目负责人应具有相关专业中级以上（含中级）职称</w:t>
            </w:r>
            <w:r>
              <w:rPr>
                <w:rFonts w:hint="default" w:ascii="Times New Roman" w:hAnsi="宋体" w:eastAsia="宋体"/>
                <w:color w:val="auto"/>
                <w:position w:val="0"/>
                <w:sz w:val="24"/>
                <w:szCs w:val="24"/>
                <w:highlight w:val="none"/>
              </w:rPr>
              <w:t>；且未担任其他正在施工建设工程的项目</w:t>
            </w:r>
            <w:r>
              <w:rPr>
                <w:rFonts w:hint="eastAsia" w:hAnsi="宋体" w:eastAsia="宋体"/>
                <w:color w:val="auto"/>
                <w:position w:val="0"/>
                <w:sz w:val="24"/>
                <w:szCs w:val="24"/>
                <w:highlight w:val="none"/>
                <w:lang w:eastAsia="zh-CN"/>
              </w:rPr>
              <w:t>负责人；</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2</w:t>
            </w:r>
            <w:r>
              <w:rPr>
                <w:rFonts w:hint="default" w:ascii="Times New Roman" w:hAnsi="宋体" w:eastAsia="宋体"/>
                <w:color w:val="auto"/>
                <w:position w:val="0"/>
                <w:sz w:val="24"/>
                <w:szCs w:val="24"/>
                <w:highlight w:val="none"/>
              </w:rPr>
              <w:t>投标企业未被列入信用中国网站信用记录失信被执行人、重大税收违法案件当事人名单</w:t>
            </w:r>
            <w:r>
              <w:rPr>
                <w:rFonts w:hint="eastAsia" w:hAnsi="宋体" w:eastAsia="宋体"/>
                <w:color w:val="auto"/>
                <w:position w:val="0"/>
                <w:sz w:val="24"/>
                <w:szCs w:val="24"/>
                <w:highlight w:val="none"/>
                <w:lang w:eastAsia="zh-CN"/>
              </w:rPr>
              <w:t>；</w:t>
            </w:r>
            <w:r>
              <w:rPr>
                <w:rFonts w:hint="default" w:ascii="Times New Roman" w:hAnsi="宋体" w:eastAsia="宋体"/>
                <w:color w:val="auto"/>
                <w:position w:val="0"/>
                <w:sz w:val="24"/>
                <w:szCs w:val="24"/>
                <w:highlight w:val="none"/>
              </w:rPr>
              <w:t>投标人提供（国家企业信用信息公示系统http://www.gsxt.gov.cn）未被列入经营异常名录信息、列入严重违法失信企业名单（黑名单）信息内容。投标人未被列入信用河南（河南省投标企业提供）网站（http://www.credithn.gov.cn/）信用信息栏黑名单网站查询截图；</w:t>
            </w:r>
            <w:r>
              <w:rPr>
                <w:rFonts w:hint="default" w:ascii="Times New Roman" w:hAnsi="宋体" w:eastAsia="宋体"/>
                <w:color w:val="auto"/>
                <w:position w:val="0"/>
                <w:sz w:val="24"/>
                <w:szCs w:val="24"/>
                <w:highlight w:val="none"/>
                <w:lang w:val="en-US" w:eastAsia="zh-CN"/>
              </w:rPr>
              <w:t>(以上查询</w:t>
            </w:r>
            <w:r>
              <w:rPr>
                <w:rFonts w:hint="default" w:ascii="Times New Roman" w:hAnsi="宋体" w:eastAsia="宋体"/>
                <w:color w:val="auto"/>
                <w:position w:val="0"/>
                <w:sz w:val="24"/>
                <w:szCs w:val="24"/>
                <w:highlight w:val="none"/>
              </w:rPr>
              <w:t>提供报名时间内网站查询截图</w:t>
            </w:r>
            <w:r>
              <w:rPr>
                <w:rFonts w:hint="default" w:ascii="Times New Roman" w:hAnsi="宋体" w:eastAsia="宋体"/>
                <w:color w:val="auto"/>
                <w:position w:val="0"/>
                <w:sz w:val="24"/>
                <w:szCs w:val="24"/>
                <w:highlight w:val="none"/>
                <w:lang w:val="en-US" w:eastAsia="zh-CN"/>
              </w:rPr>
              <w:t>)</w:t>
            </w:r>
          </w:p>
          <w:p>
            <w:pPr>
              <w:numPr>
                <w:ilvl w:val="0"/>
                <w:numId w:val="0"/>
              </w:numPr>
              <w:autoSpaceDE/>
              <w:autoSpaceDN/>
              <w:spacing w:before="0" w:after="160" w:line="460" w:lineRule="exact"/>
              <w:ind w:right="0" w:firstLine="480"/>
              <w:jc w:val="both"/>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3</w:t>
            </w:r>
            <w:r>
              <w:rPr>
                <w:rFonts w:hint="default" w:ascii="Times New Roman" w:hAnsi="宋体" w:eastAsia="宋体"/>
                <w:color w:val="auto"/>
                <w:position w:val="0"/>
                <w:sz w:val="24"/>
                <w:szCs w:val="24"/>
                <w:highlight w:val="none"/>
              </w:rPr>
              <w:t>本标段不接受联合体投标；</w:t>
            </w:r>
          </w:p>
          <w:p>
            <w:pPr>
              <w:numPr>
                <w:ilvl w:val="0"/>
                <w:numId w:val="0"/>
              </w:numPr>
              <w:autoSpaceDE/>
              <w:autoSpaceDN/>
              <w:spacing w:before="0" w:after="160" w:line="460" w:lineRule="exact"/>
              <w:ind w:right="0" w:firstLine="480"/>
              <w:jc w:val="both"/>
              <w:outlineLvl w:val="0"/>
              <w:rPr>
                <w:rFonts w:hint="default" w:ascii="宋体"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w:t>
            </w:r>
            <w:r>
              <w:rPr>
                <w:rFonts w:hint="eastAsia" w:hAnsi="宋体" w:eastAsia="宋体"/>
                <w:color w:val="auto"/>
                <w:position w:val="0"/>
                <w:sz w:val="24"/>
                <w:szCs w:val="24"/>
                <w:highlight w:val="none"/>
                <w:lang w:val="en-US" w:eastAsia="zh-CN"/>
              </w:rPr>
              <w:t>4</w:t>
            </w:r>
            <w:r>
              <w:rPr>
                <w:rFonts w:hint="default" w:ascii="Times New Roman" w:hAnsi="宋体" w:eastAsia="宋体"/>
                <w:color w:val="auto"/>
                <w:position w:val="0"/>
                <w:sz w:val="24"/>
                <w:szCs w:val="24"/>
                <w:highlight w:val="none"/>
              </w:rPr>
              <w:t>本次招标实行资格后审；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1.4.2</w:t>
            </w:r>
          </w:p>
        </w:tc>
        <w:tc>
          <w:tcPr>
            <w:tcW w:w="2489" w:type="dxa"/>
            <w:gridSpan w:val="5"/>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是否接受联合体投标</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1.9.1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踏勘现场</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不组织，由投标人自行勘察现场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1.10.1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投标预备会</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1.10.2</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投标人提出问题的截止时间</w:t>
            </w:r>
          </w:p>
        </w:tc>
        <w:tc>
          <w:tcPr>
            <w:tcW w:w="6367" w:type="dxa"/>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递交投标文件截止之日10日前通过公共资源交易系统电子平台发出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autoSpaceDN/>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1.10.3</w:t>
            </w:r>
          </w:p>
        </w:tc>
        <w:tc>
          <w:tcPr>
            <w:tcW w:w="2489" w:type="dxa"/>
            <w:gridSpan w:val="5"/>
            <w:vAlign w:val="center"/>
          </w:tcPr>
          <w:p>
            <w:pPr>
              <w:numPr>
                <w:ilvl w:val="0"/>
                <w:numId w:val="0"/>
              </w:numPr>
              <w:autoSpaceDE/>
              <w:autoSpaceDN/>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招标人澄清的时间</w:t>
            </w:r>
          </w:p>
        </w:tc>
        <w:tc>
          <w:tcPr>
            <w:tcW w:w="6367" w:type="dxa"/>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递交投标文件截止之日15日前通过公共资源交易系统电子平台发出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1.11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分包</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 xml:space="preserve">1.12 </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偏离</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 xml:space="preserve">2.1 </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招标文件及图纸</w:t>
            </w:r>
          </w:p>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的获取</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招标文件和工程量清单的获取：投标人于投标文件递交截止时间前均可登录《全国公共资源交易平台（河南省·许昌市）》（http://ggzy.xuchang.gov.cn），通过“投标人/供应商登录”后自行下载。</w:t>
            </w:r>
          </w:p>
          <w:p>
            <w:pPr>
              <w:numPr>
                <w:ilvl w:val="0"/>
                <w:numId w:val="0"/>
              </w:numPr>
              <w:autoSpaceDE/>
              <w:autoSpaceDN/>
              <w:spacing w:before="0" w:after="160" w:line="360" w:lineRule="auto"/>
              <w:ind w:right="0" w:firstLine="0"/>
              <w:jc w:val="left"/>
              <w:rPr>
                <w:rFonts w:hint="default" w:ascii="宋体" w:hAnsi="宋体" w:eastAsia="宋体"/>
                <w:b/>
                <w:color w:val="auto"/>
                <w:position w:val="0"/>
                <w:sz w:val="24"/>
                <w:szCs w:val="24"/>
                <w:highlight w:val="none"/>
              </w:rPr>
            </w:pPr>
            <w:r>
              <w:rPr>
                <w:rFonts w:hint="default" w:ascii="宋体" w:hAnsi="宋体" w:eastAsia="宋体"/>
                <w:color w:val="000000"/>
                <w:position w:val="0"/>
                <w:sz w:val="24"/>
                <w:szCs w:val="24"/>
                <w:highlight w:val="none"/>
              </w:rPr>
              <w:t>图纸下载链接：无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2.1.1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构成招标文件的其他材料</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图纸答疑，经备案的招标文件补充和修改文件（如有）。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2.2.1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投标人要求澄清招标文件的截止时间</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自收到异议之日起3日内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2.2.2</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投标截止时间</w:t>
            </w:r>
          </w:p>
        </w:tc>
        <w:tc>
          <w:tcPr>
            <w:tcW w:w="6367" w:type="dxa"/>
            <w:vAlign w:val="top"/>
          </w:tcPr>
          <w:p>
            <w:pPr>
              <w:numPr>
                <w:ilvl w:val="0"/>
                <w:numId w:val="0"/>
              </w:numPr>
              <w:autoSpaceDE/>
              <w:autoSpaceDN/>
              <w:spacing w:before="0" w:after="160" w:line="460" w:lineRule="exact"/>
              <w:ind w:right="0" w:firstLine="0"/>
              <w:jc w:val="both"/>
              <w:rPr>
                <w:rFonts w:hint="default" w:ascii="宋体" w:hAnsi="宋体" w:eastAsia="宋体"/>
                <w:color w:val="auto"/>
                <w:position w:val="0"/>
                <w:sz w:val="24"/>
                <w:szCs w:val="24"/>
                <w:highlight w:val="none"/>
              </w:rPr>
            </w:pPr>
            <w:r>
              <w:rPr>
                <w:rFonts w:hint="default" w:ascii="宋体" w:hAnsi="宋体" w:eastAsia="宋体"/>
                <w:color w:val="FF0000"/>
                <w:position w:val="0"/>
                <w:sz w:val="24"/>
                <w:szCs w:val="24"/>
                <w:highlight w:val="none"/>
              </w:rPr>
              <w:t>2020年</w:t>
            </w:r>
            <w:r>
              <w:rPr>
                <w:rFonts w:hint="eastAsia" w:ascii="宋体" w:hAnsi="宋体" w:eastAsia="宋体"/>
                <w:color w:val="FF0000"/>
                <w:position w:val="0"/>
                <w:sz w:val="24"/>
                <w:szCs w:val="24"/>
                <w:highlight w:val="none"/>
                <w:lang w:val="en-US" w:eastAsia="zh-CN"/>
              </w:rPr>
              <w:t>06</w:t>
            </w:r>
            <w:r>
              <w:rPr>
                <w:rFonts w:hint="default" w:ascii="宋体" w:hAnsi="宋体" w:eastAsia="宋体"/>
                <w:color w:val="FF0000"/>
                <w:position w:val="0"/>
                <w:sz w:val="24"/>
                <w:szCs w:val="24"/>
                <w:highlight w:val="none"/>
              </w:rPr>
              <w:t>月</w:t>
            </w:r>
            <w:r>
              <w:rPr>
                <w:rFonts w:hint="eastAsia" w:ascii="宋体" w:hAnsi="宋体" w:eastAsia="宋体"/>
                <w:color w:val="FF0000"/>
                <w:position w:val="0"/>
                <w:sz w:val="24"/>
                <w:szCs w:val="24"/>
                <w:highlight w:val="none"/>
                <w:lang w:val="en-US" w:eastAsia="zh-CN"/>
              </w:rPr>
              <w:t>24</w:t>
            </w:r>
            <w:r>
              <w:rPr>
                <w:rFonts w:hint="default" w:ascii="宋体" w:hAnsi="宋体" w:eastAsia="宋体"/>
                <w:color w:val="FF0000"/>
                <w:position w:val="0"/>
                <w:sz w:val="24"/>
                <w:szCs w:val="24"/>
                <w:highlight w:val="none"/>
              </w:rPr>
              <w:t>日09时00分。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2.2.3</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投标人确认收到招标文件澄清的时间</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2.3.1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投标人确认收到招标文件修改的时间</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3.1.1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构成投标文件的其他材料</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3.3.1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投标有效期</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60日历天（自投标截止之日算起）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3.4.1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投标保证金须知</w:t>
            </w:r>
          </w:p>
        </w:tc>
        <w:tc>
          <w:tcPr>
            <w:tcW w:w="6367" w:type="dxa"/>
            <w:vAlign w:val="center"/>
          </w:tcPr>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1、因投标人的原因无法及时退还投标（竞买）保证金、滞留三年以上的，投标（竞买）保证金上缴财政。</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2、自文件发布之日起，投标人需进行基本户备案（建设工程项目），已备案的基本户开户银行、账户发生变化的，须重新办理备案手续。备案后方可提交投标（竞买）保证金。</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 xml:space="preserve">3、基本户备案流程： </w:t>
            </w:r>
          </w:p>
          <w:p>
            <w:pPr>
              <w:numPr>
                <w:ilvl w:val="0"/>
                <w:numId w:val="0"/>
              </w:numPr>
              <w:autoSpaceDE w:val="0"/>
              <w:autoSpaceDN w:val="0"/>
              <w:spacing w:before="0" w:after="160" w:line="360" w:lineRule="auto"/>
              <w:ind w:left="120"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4、特殊情况处理</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 xml:space="preserve">  投标人投标过程中因账户开户银行、银行账号发生变化，不能按照来款途径原路返还投标保证金的，投标人须提供原账户开户银行相关证明及新开账户开户许可证，到襄城县公共资源交易中心1209室工程股办理退款手续（0374-3998022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3.4.2</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000000"/>
                <w:position w:val="0"/>
                <w:sz w:val="24"/>
                <w:szCs w:val="24"/>
                <w:highlight w:val="none"/>
              </w:rPr>
              <w:t>投标保证金</w:t>
            </w:r>
          </w:p>
        </w:tc>
        <w:tc>
          <w:tcPr>
            <w:tcW w:w="6367" w:type="dxa"/>
            <w:vAlign w:val="center"/>
          </w:tcPr>
          <w:p>
            <w:pPr>
              <w:numPr>
                <w:ilvl w:val="0"/>
                <w:numId w:val="0"/>
              </w:numPr>
              <w:autoSpaceDE w:val="0"/>
              <w:autoSpaceDN w:val="0"/>
              <w:spacing w:before="0" w:after="160" w:line="360" w:lineRule="auto"/>
              <w:ind w:right="0" w:firstLine="0"/>
              <w:jc w:val="left"/>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投标保证金递交截止时间同投标截止时间。</w:t>
            </w:r>
          </w:p>
          <w:p>
            <w:pPr>
              <w:numPr>
                <w:ilvl w:val="0"/>
                <w:numId w:val="0"/>
              </w:numPr>
              <w:autoSpaceDE w:val="0"/>
              <w:autoSpaceDN w:val="0"/>
              <w:spacing w:before="0" w:after="160" w:line="360" w:lineRule="auto"/>
              <w:ind w:right="0" w:firstLine="0"/>
              <w:jc w:val="left"/>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金额：</w:t>
            </w:r>
          </w:p>
          <w:p>
            <w:pPr>
              <w:numPr>
                <w:ilvl w:val="0"/>
                <w:numId w:val="0"/>
              </w:numPr>
              <w:autoSpaceDE w:val="0"/>
              <w:autoSpaceDN w:val="0"/>
              <w:spacing w:before="0" w:after="160" w:line="360" w:lineRule="auto"/>
              <w:ind w:right="0" w:firstLine="0"/>
              <w:jc w:val="left"/>
              <w:rPr>
                <w:rFonts w:hint="default" w:ascii="宋体" w:hAnsi="宋体" w:eastAsia="宋体"/>
                <w:b/>
                <w:color w:val="000000" w:themeColor="text1"/>
                <w:position w:val="0"/>
                <w:sz w:val="24"/>
                <w:szCs w:val="24"/>
                <w:highlight w:val="none"/>
                <w14:textFill>
                  <w14:solidFill>
                    <w14:schemeClr w14:val="tx1"/>
                  </w14:solidFill>
                </w14:textFill>
              </w:rPr>
            </w:pPr>
            <w:r>
              <w:rPr>
                <w:rFonts w:hint="default" w:ascii="宋体" w:hAnsi="宋体" w:eastAsia="宋体"/>
                <w:b/>
                <w:color w:val="000000" w:themeColor="text1"/>
                <w:position w:val="0"/>
                <w:sz w:val="24"/>
                <w:szCs w:val="24"/>
                <w:highlight w:val="none"/>
                <w14:textFill>
                  <w14:solidFill>
                    <w14:schemeClr w14:val="tx1"/>
                  </w14:solidFill>
                </w14:textFill>
              </w:rPr>
              <w:t>第一标段    小写：</w:t>
            </w:r>
            <w:r>
              <w:rPr>
                <w:rFonts w:hint="eastAsia" w:ascii="宋体" w:hAnsi="宋体" w:eastAsia="宋体"/>
                <w:b/>
                <w:color w:val="000000" w:themeColor="text1"/>
                <w:position w:val="0"/>
                <w:sz w:val="24"/>
                <w:szCs w:val="24"/>
                <w:highlight w:val="none"/>
                <w:u w:val="single"/>
                <w:lang w:val="en-US" w:eastAsia="zh-CN"/>
                <w14:textFill>
                  <w14:solidFill>
                    <w14:schemeClr w14:val="tx1"/>
                  </w14:solidFill>
                </w14:textFill>
              </w:rPr>
              <w:t>600000</w:t>
            </w:r>
            <w:r>
              <w:rPr>
                <w:rFonts w:hint="default" w:ascii="宋体" w:hAnsi="宋体" w:eastAsia="宋体"/>
                <w:b/>
                <w:color w:val="000000" w:themeColor="text1"/>
                <w:position w:val="0"/>
                <w:sz w:val="24"/>
                <w:szCs w:val="24"/>
                <w:highlight w:val="none"/>
                <w14:textFill>
                  <w14:solidFill>
                    <w14:schemeClr w14:val="tx1"/>
                  </w14:solidFill>
                </w14:textFill>
              </w:rPr>
              <w:t>元；  大写：</w:t>
            </w:r>
            <w:r>
              <w:rPr>
                <w:rFonts w:hint="eastAsia" w:ascii="宋体" w:hAnsi="宋体" w:eastAsia="宋体"/>
                <w:b/>
                <w:color w:val="000000" w:themeColor="text1"/>
                <w:position w:val="0"/>
                <w:sz w:val="24"/>
                <w:szCs w:val="24"/>
                <w:highlight w:val="none"/>
                <w:u w:val="single"/>
                <w:lang w:val="en-US" w:eastAsia="zh-CN"/>
                <w14:textFill>
                  <w14:solidFill>
                    <w14:schemeClr w14:val="tx1"/>
                  </w14:solidFill>
                </w14:textFill>
              </w:rPr>
              <w:t>陆拾万圆</w:t>
            </w:r>
            <w:r>
              <w:rPr>
                <w:rFonts w:hint="default" w:ascii="宋体" w:hAnsi="宋体" w:eastAsia="宋体"/>
                <w:b/>
                <w:color w:val="000000" w:themeColor="text1"/>
                <w:position w:val="0"/>
                <w:sz w:val="24"/>
                <w:szCs w:val="24"/>
                <w:highlight w:val="none"/>
                <w:u w:val="single"/>
                <w14:textFill>
                  <w14:solidFill>
                    <w14:schemeClr w14:val="tx1"/>
                  </w14:solidFill>
                </w14:textFill>
              </w:rPr>
              <w:t>整</w:t>
            </w:r>
            <w:r>
              <w:rPr>
                <w:rFonts w:hint="default" w:ascii="宋体" w:hAnsi="宋体" w:eastAsia="宋体"/>
                <w:b/>
                <w:color w:val="000000" w:themeColor="text1"/>
                <w:position w:val="0"/>
                <w:sz w:val="24"/>
                <w:szCs w:val="24"/>
                <w:highlight w:val="none"/>
                <w14:textFill>
                  <w14:solidFill>
                    <w14:schemeClr w14:val="tx1"/>
                  </w14:solidFill>
                </w14:textFill>
              </w:rPr>
              <w:t xml:space="preserve"> ；</w:t>
            </w:r>
          </w:p>
          <w:p>
            <w:pPr>
              <w:pStyle w:val="2"/>
              <w:numPr>
                <w:ilvl w:val="0"/>
                <w:numId w:val="0"/>
              </w:numPr>
              <w:autoSpaceDE/>
              <w:autoSpaceDN/>
              <w:spacing w:before="0" w:after="120" w:line="240" w:lineRule="auto"/>
              <w:ind w:right="0"/>
              <w:jc w:val="both"/>
              <w:rPr>
                <w:rFonts w:hint="default" w:ascii="宋体" w:hAnsi="宋体" w:eastAsia="宋体"/>
                <w:b/>
                <w:color w:val="000000" w:themeColor="text1"/>
                <w:position w:val="0"/>
                <w:sz w:val="24"/>
                <w:szCs w:val="24"/>
                <w:highlight w:val="none"/>
                <w:u w:val="single"/>
                <w14:textFill>
                  <w14:solidFill>
                    <w14:schemeClr w14:val="tx1"/>
                  </w14:solidFill>
                </w14:textFill>
              </w:rPr>
            </w:pPr>
            <w:r>
              <w:rPr>
                <w:rFonts w:hint="default" w:ascii="宋体" w:hAnsi="宋体" w:eastAsia="宋体"/>
                <w:b/>
                <w:color w:val="000000" w:themeColor="text1"/>
                <w:position w:val="0"/>
                <w:sz w:val="24"/>
                <w:szCs w:val="24"/>
                <w:highlight w:val="none"/>
                <w14:textFill>
                  <w14:solidFill>
                    <w14:schemeClr w14:val="tx1"/>
                  </w14:solidFill>
                </w14:textFill>
              </w:rPr>
              <w:t>第二标段：  小写：</w:t>
            </w:r>
            <w:r>
              <w:rPr>
                <w:rFonts w:hint="eastAsia" w:ascii="宋体" w:hAnsi="宋体" w:eastAsia="宋体"/>
                <w:b/>
                <w:color w:val="000000" w:themeColor="text1"/>
                <w:position w:val="0"/>
                <w:sz w:val="24"/>
                <w:szCs w:val="24"/>
                <w:highlight w:val="none"/>
                <w:lang w:val="en-US" w:eastAsia="zh-CN"/>
                <w14:textFill>
                  <w14:solidFill>
                    <w14:schemeClr w14:val="tx1"/>
                  </w14:solidFill>
                </w14:textFill>
              </w:rPr>
              <w:t>3</w:t>
            </w:r>
            <w:r>
              <w:rPr>
                <w:rFonts w:hint="eastAsia" w:ascii="宋体" w:hAnsi="宋体" w:eastAsia="宋体"/>
                <w:b/>
                <w:color w:val="000000" w:themeColor="text1"/>
                <w:position w:val="0"/>
                <w:sz w:val="24"/>
                <w:szCs w:val="24"/>
                <w:highlight w:val="none"/>
                <w:u w:val="single"/>
                <w:lang w:val="en-US" w:eastAsia="zh-CN"/>
                <w14:textFill>
                  <w14:solidFill>
                    <w14:schemeClr w14:val="tx1"/>
                  </w14:solidFill>
                </w14:textFill>
              </w:rPr>
              <w:t>0000</w:t>
            </w:r>
            <w:r>
              <w:rPr>
                <w:rFonts w:hint="default" w:ascii="宋体" w:hAnsi="宋体" w:eastAsia="宋体"/>
                <w:b/>
                <w:color w:val="000000" w:themeColor="text1"/>
                <w:position w:val="0"/>
                <w:sz w:val="24"/>
                <w:szCs w:val="24"/>
                <w:highlight w:val="none"/>
                <w:u w:val="single"/>
                <w14:textFill>
                  <w14:solidFill>
                    <w14:schemeClr w14:val="tx1"/>
                  </w14:solidFill>
                </w14:textFill>
              </w:rPr>
              <w:t>元 ；</w:t>
            </w:r>
            <w:r>
              <w:rPr>
                <w:rFonts w:hint="default" w:ascii="宋体" w:hAnsi="宋体" w:eastAsia="宋体"/>
                <w:b/>
                <w:color w:val="000000" w:themeColor="text1"/>
                <w:position w:val="0"/>
                <w:sz w:val="24"/>
                <w:szCs w:val="24"/>
                <w:highlight w:val="none"/>
                <w14:textFill>
                  <w14:solidFill>
                    <w14:schemeClr w14:val="tx1"/>
                  </w14:solidFill>
                </w14:textFill>
              </w:rPr>
              <w:t xml:space="preserve">  大写：</w:t>
            </w:r>
            <w:r>
              <w:rPr>
                <w:rFonts w:hint="eastAsia" w:ascii="宋体" w:hAnsi="宋体" w:eastAsia="宋体"/>
                <w:b/>
                <w:color w:val="000000" w:themeColor="text1"/>
                <w:position w:val="0"/>
                <w:sz w:val="24"/>
                <w:szCs w:val="24"/>
                <w:highlight w:val="none"/>
                <w:u w:val="single"/>
                <w:lang w:val="en-US" w:eastAsia="zh-CN"/>
                <w14:textFill>
                  <w14:solidFill>
                    <w14:schemeClr w14:val="tx1"/>
                  </w14:solidFill>
                </w14:textFill>
              </w:rPr>
              <w:t>叁万圆</w:t>
            </w:r>
            <w:r>
              <w:rPr>
                <w:rFonts w:hint="default" w:ascii="宋体" w:hAnsi="宋体" w:eastAsia="宋体"/>
                <w:b/>
                <w:color w:val="000000" w:themeColor="text1"/>
                <w:position w:val="0"/>
                <w:sz w:val="24"/>
                <w:szCs w:val="24"/>
                <w:highlight w:val="none"/>
                <w:u w:val="single"/>
                <w14:textFill>
                  <w14:solidFill>
                    <w14:schemeClr w14:val="tx1"/>
                  </w14:solidFill>
                </w14:textFill>
              </w:rPr>
              <w:t>整；</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使用银行转帐、银行电汇</w:t>
            </w:r>
            <w:r>
              <w:rPr>
                <w:rFonts w:hint="eastAsia" w:hAnsi="宋体" w:eastAsia="Times New Roman" w:cs="宋体"/>
                <w:color w:val="000000" w:themeColor="text1"/>
                <w:sz w:val="24"/>
                <w:lang w:val="zh-CN"/>
                <w14:textFill>
                  <w14:solidFill>
                    <w14:schemeClr w14:val="tx1"/>
                  </w14:solidFill>
                </w14:textFill>
              </w:rPr>
              <w:t>方式</w:t>
            </w:r>
            <w:r>
              <w:rPr>
                <w:rFonts w:hint="eastAsia" w:hAnsi="宋体" w:cs="宋体"/>
                <w:color w:val="000000" w:themeColor="text1"/>
                <w:sz w:val="24"/>
                <w:lang w:val="zh-CN"/>
                <w14:textFill>
                  <w14:solidFill>
                    <w14:schemeClr w14:val="tx1"/>
                  </w14:solidFill>
                </w14:textFill>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000000" w:themeColor="text1"/>
                <w:sz w:val="24"/>
                <w:lang w:val="en-US" w:eastAsia="zh-CN"/>
                <w14:textFill>
                  <w14:solidFill>
                    <w14:schemeClr w14:val="tx1"/>
                  </w14:solidFill>
                </w14:textFill>
              </w:rPr>
              <w:t>真实</w:t>
            </w:r>
            <w:r>
              <w:rPr>
                <w:rFonts w:hint="eastAsia" w:hAnsi="宋体" w:cs="宋体"/>
                <w:color w:val="000000" w:themeColor="text1"/>
                <w:sz w:val="24"/>
                <w:lang w:val="zh-CN"/>
                <w14:textFill>
                  <w14:solidFill>
                    <w14:schemeClr w14:val="tx1"/>
                  </w14:solidFill>
                </w14:textFill>
              </w:rPr>
              <w:t>合法的银行保函原件扫描件附于投标文件中，否则视为未按</w:t>
            </w:r>
            <w:r>
              <w:rPr>
                <w:rFonts w:hint="eastAsia" w:hAnsi="宋体" w:cs="宋体"/>
                <w:color w:val="000000" w:themeColor="text1"/>
                <w:sz w:val="24"/>
                <w:lang w:val="en-US" w:eastAsia="zh-CN"/>
                <w14:textFill>
                  <w14:solidFill>
                    <w14:schemeClr w14:val="tx1"/>
                  </w14:solidFill>
                </w14:textFill>
              </w:rPr>
              <w:t>规定提交</w:t>
            </w:r>
            <w:r>
              <w:rPr>
                <w:rFonts w:hint="eastAsia" w:hAnsi="宋体" w:cs="宋体"/>
                <w:color w:val="000000" w:themeColor="text1"/>
                <w:sz w:val="24"/>
                <w:lang w:val="zh-CN"/>
                <w14:textFill>
                  <w14:solidFill>
                    <w14:schemeClr w14:val="tx1"/>
                  </w14:solidFill>
                </w14:textFill>
              </w:rPr>
              <w:t>。</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2、投标保证金缴纳方式：</w:t>
            </w:r>
          </w:p>
          <w:p>
            <w:pPr>
              <w:autoSpaceDE w:val="0"/>
              <w:autoSpaceDN w:val="0"/>
              <w:adjustRightInd w:val="0"/>
              <w:spacing w:line="3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lang w:val="zh-CN"/>
                <w14:textFill>
                  <w14:solidFill>
                    <w14:schemeClr w14:val="tx1"/>
                  </w14:solidFill>
                </w14:textFill>
              </w:rPr>
              <w:t>2.</w:t>
            </w:r>
            <w:r>
              <w:rPr>
                <w:rFonts w:hint="eastAsia" w:hAnsi="宋体" w:cs="宋体"/>
                <w:color w:val="000000" w:themeColor="text1"/>
                <w:sz w:val="24"/>
                <w14:textFill>
                  <w14:solidFill>
                    <w14:schemeClr w14:val="tx1"/>
                  </w14:solidFill>
                </w14:textFill>
              </w:rPr>
              <w:t>1</w:t>
            </w:r>
            <w:r>
              <w:rPr>
                <w:rFonts w:hint="eastAsia" w:hAnsi="宋体" w:cs="宋体"/>
                <w:color w:val="000000" w:themeColor="text1"/>
                <w:sz w:val="24"/>
                <w:lang w:val="zh-CN"/>
                <w14:textFill>
                  <w14:solidFill>
                    <w14:schemeClr w14:val="tx1"/>
                  </w14:solidFill>
                </w14:textFill>
              </w:rPr>
              <w:t>投标人网上下载招标文件后</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登录</w:t>
            </w:r>
            <w:r>
              <w:fldChar w:fldCharType="begin"/>
            </w:r>
            <w:r>
              <w:instrText xml:space="preserve"> HYPERLINK "http://221.14.6.70:8088/ggzy" </w:instrText>
            </w:r>
            <w:r>
              <w:fldChar w:fldCharType="separate"/>
            </w:r>
            <w:r>
              <w:rPr>
                <w:rFonts w:hint="eastAsia" w:hAnsi="宋体" w:cs="宋体"/>
                <w:color w:val="000000" w:themeColor="text1"/>
                <w:sz w:val="24"/>
                <w14:textFill>
                  <w14:solidFill>
                    <w14:schemeClr w14:val="tx1"/>
                  </w14:solidFill>
                </w14:textFill>
              </w:rPr>
              <w:t>http://221.14.6.70:8088/ggzy</w:t>
            </w:r>
            <w:r>
              <w:rPr>
                <w:rFonts w:hint="eastAsia" w:hAnsi="宋体" w:cs="宋体"/>
                <w:color w:val="000000" w:themeColor="text1"/>
                <w:sz w:val="24"/>
                <w14:textFill>
                  <w14:solidFill>
                    <w14:schemeClr w14:val="tx1"/>
                  </w14:solidFill>
                </w14:textFill>
              </w:rPr>
              <w:fldChar w:fldCharType="end"/>
            </w:r>
            <w:r>
              <w:rPr>
                <w:rFonts w:hint="eastAsia" w:hAnsi="宋体" w:cs="宋体"/>
                <w:color w:val="000000" w:themeColor="text1"/>
                <w:sz w:val="24"/>
                <w:lang w:val="zh-CN"/>
                <w14:textFill>
                  <w14:solidFill>
                    <w14:schemeClr w14:val="tx1"/>
                  </w14:solidFill>
                </w14:textFill>
              </w:rPr>
              <w:t>系统</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依次点击</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会员向导</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参与投标</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费用缴纳说明</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保证金缴纳说明单</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获取缴费说明单</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根据每个标段的缴纳说明单在缴纳截止时间前缴纳</w:t>
            </w:r>
            <w:r>
              <w:rPr>
                <w:rFonts w:hint="eastAsia" w:hAnsi="宋体" w:cs="宋体"/>
                <w:color w:val="000000" w:themeColor="text1"/>
                <w:sz w:val="24"/>
                <w14:textFill>
                  <w14:solidFill>
                    <w14:schemeClr w14:val="tx1"/>
                  </w14:solidFill>
                </w14:textFill>
              </w:rPr>
              <w:t>；</w:t>
            </w:r>
          </w:p>
          <w:p>
            <w:pPr>
              <w:autoSpaceDE w:val="0"/>
              <w:autoSpaceDN w:val="0"/>
              <w:adjustRightInd w:val="0"/>
              <w:spacing w:line="340" w:lineRule="exact"/>
              <w:rPr>
                <w:rFonts w:hAnsi="宋体" w:cs="宋体"/>
                <w:color w:val="auto"/>
                <w:sz w:val="24"/>
                <w:lang w:val="zh-CN"/>
              </w:rPr>
            </w:pPr>
            <w:r>
              <w:rPr>
                <w:rFonts w:hint="eastAsia" w:hAnsi="宋体" w:cs="宋体"/>
                <w:color w:val="000000" w:themeColor="text1"/>
                <w:sz w:val="24"/>
                <w14:textFill>
                  <w14:solidFill>
                    <w14:schemeClr w14:val="tx1"/>
                  </w14:solidFill>
                </w14:textFill>
              </w:rPr>
              <w:t>2.2</w:t>
            </w:r>
            <w:r>
              <w:rPr>
                <w:rFonts w:hint="eastAsia" w:hAnsi="宋体" w:cs="宋体"/>
                <w:color w:val="000000" w:themeColor="text1"/>
                <w:sz w:val="24"/>
                <w:lang w:val="zh-CN"/>
                <w14:textFill>
                  <w14:solidFill>
                    <w14:schemeClr w14:val="tx1"/>
                  </w14:solidFill>
                </w14:textFill>
              </w:rPr>
              <w:t>成功</w:t>
            </w:r>
            <w:r>
              <w:rPr>
                <w:rFonts w:hint="eastAsia" w:hAnsi="宋体" w:cs="宋体"/>
                <w:color w:val="auto"/>
                <w:sz w:val="24"/>
                <w:lang w:val="zh-CN"/>
              </w:rPr>
              <w:t>缴纳后</w:t>
            </w:r>
            <w:r>
              <w:rPr>
                <w:rFonts w:hint="eastAsia" w:hAnsi="宋体" w:cs="宋体"/>
                <w:color w:val="auto"/>
                <w:sz w:val="24"/>
                <w:lang w:val="en-US" w:eastAsia="zh-CN"/>
              </w:rPr>
              <w:t>再次</w:t>
            </w:r>
            <w:r>
              <w:rPr>
                <w:rFonts w:hint="eastAsia" w:hAnsi="宋体" w:cs="宋体"/>
                <w:color w:val="auto"/>
                <w:sz w:val="24"/>
                <w:lang w:val="zh-CN"/>
              </w:rPr>
              <w:t>登录前述系统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进行投标保证金绑定。未绑定标段的投标保证金，视为未按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2.3投标人成功绑定投标保证金，将缴纳凭证</w:t>
            </w:r>
            <w:r>
              <w:rPr>
                <w:rFonts w:hint="eastAsia" w:hAnsi="宋体" w:cs="宋体"/>
                <w:color w:val="auto"/>
                <w:sz w:val="24"/>
                <w:lang w:val="en-US" w:eastAsia="zh-CN"/>
              </w:rPr>
              <w:t>即本项目投保保证金</w:t>
            </w:r>
            <w:r>
              <w:rPr>
                <w:rFonts w:hint="eastAsia" w:hAnsi="宋体" w:cs="宋体"/>
                <w:color w:val="auto"/>
                <w:sz w:val="24"/>
                <w:lang w:val="zh-CN"/>
              </w:rPr>
              <w:t>“</w:t>
            </w:r>
            <w:r>
              <w:rPr>
                <w:rFonts w:hint="eastAsia" w:hAnsi="宋体" w:eastAsia="宋体" w:cs="宋体"/>
                <w:color w:val="FF0000"/>
                <w:sz w:val="24"/>
                <w:lang w:val="en-US" w:eastAsia="zh-CN"/>
              </w:rPr>
              <w:t>襄城县</w:t>
            </w:r>
            <w:r>
              <w:rPr>
                <w:rFonts w:hint="eastAsia" w:hAnsi="宋体" w:cs="宋体"/>
                <w:color w:val="auto"/>
                <w:sz w:val="24"/>
                <w:lang w:val="zh-CN"/>
              </w:rPr>
              <w:t>公共资源交易中心保证金缴纳回执”附于投标文件中，</w:t>
            </w:r>
            <w:r>
              <w:rPr>
                <w:rFonts w:hint="eastAsia" w:hAnsi="宋体" w:cs="宋体"/>
                <w:color w:val="auto"/>
                <w:sz w:val="24"/>
                <w:lang w:val="en-US" w:eastAsia="zh-CN"/>
              </w:rPr>
              <w:t>否则视为未按规定提交。</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2.4每个投标人每个项目每个标段只有唯一缴纳账号，</w:t>
            </w:r>
            <w:r>
              <w:rPr>
                <w:rFonts w:hint="eastAsia" w:hAnsi="宋体" w:cs="宋体"/>
                <w:color w:val="000000" w:themeColor="text1"/>
                <w:sz w:val="24"/>
                <w14:textFill>
                  <w14:solidFill>
                    <w14:schemeClr w14:val="tx1"/>
                  </w14:solidFill>
                </w14:textFill>
              </w:rPr>
              <w:t>切勿重复缴纳或错误缴纳。</w:t>
            </w:r>
          </w:p>
          <w:p>
            <w:pPr>
              <w:autoSpaceDE w:val="0"/>
              <w:autoSpaceDN w:val="0"/>
              <w:adjustRightInd w:val="0"/>
              <w:spacing w:line="3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3、未按上述规定操作引起的无效投标，由投标人自行负责。</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4、汇款凭证无须备注项目编号和项目名称。</w:t>
            </w:r>
          </w:p>
          <w:p>
            <w:pPr>
              <w:autoSpaceDE w:val="0"/>
              <w:autoSpaceDN w:val="0"/>
              <w:adjustRightInd w:val="0"/>
              <w:spacing w:line="3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5、出现以下情形造成的投标保证金无效，由投标人自行负责。</w:t>
            </w:r>
          </w:p>
          <w:p>
            <w:pPr>
              <w:autoSpaceDE w:val="0"/>
              <w:autoSpaceDN w:val="0"/>
              <w:adjustRightInd w:val="0"/>
              <w:spacing w:line="3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(1)投标保证金未从投标人的基本账户转出；</w:t>
            </w:r>
          </w:p>
          <w:p>
            <w:pPr>
              <w:autoSpaceDE w:val="0"/>
              <w:autoSpaceDN w:val="0"/>
              <w:adjustRightInd w:val="0"/>
              <w:spacing w:line="3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(2)投标保证金未按照招标文件划分的标段转账。</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6、《保证金缴纳绑定操作指南》获取方法：</w:t>
            </w:r>
          </w:p>
          <w:p>
            <w:pPr>
              <w:autoSpaceDE w:val="0"/>
              <w:autoSpaceDN w:val="0"/>
              <w:adjustRightInd w:val="0"/>
              <w:spacing w:line="420" w:lineRule="exact"/>
              <w:jc w:val="lef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登录许昌公共资源交易系统-组件下载-《保证金缴纳绑定操作指南》。</w:t>
            </w:r>
          </w:p>
          <w:p>
            <w:pPr>
              <w:numPr>
                <w:ilvl w:val="0"/>
                <w:numId w:val="0"/>
              </w:numPr>
              <w:autoSpaceDE w:val="0"/>
              <w:autoSpaceDN w:val="0"/>
              <w:spacing w:before="0" w:after="160" w:line="360" w:lineRule="auto"/>
              <w:ind w:right="0" w:firstLine="480"/>
              <w:jc w:val="left"/>
              <w:rPr>
                <w:rFonts w:hint="default" w:ascii="宋体" w:hAnsi="宋体" w:eastAsia="宋体"/>
                <w:color w:val="auto"/>
                <w:position w:val="0"/>
                <w:sz w:val="24"/>
                <w:szCs w:val="24"/>
                <w:highlight w:val="none"/>
              </w:rPr>
            </w:pPr>
            <w:r>
              <w:rPr>
                <w:rFonts w:hint="eastAsia" w:hAnsi="宋体" w:cs="宋体"/>
                <w:color w:val="000000" w:themeColor="text1"/>
                <w:sz w:val="24"/>
                <w14:textFill>
                  <w14:solidFill>
                    <w14:schemeClr w14:val="tx1"/>
                  </w14:solidFill>
                </w14:textFill>
              </w:rPr>
              <w:t>7、</w:t>
            </w:r>
            <w:r>
              <w:rPr>
                <w:rFonts w:hint="eastAsia" w:hAnsi="宋体" w:cs="宋体"/>
                <w:color w:val="000000" w:themeColor="text1"/>
                <w:sz w:val="24"/>
                <w:lang w:val="zh-CN"/>
                <w14:textFill>
                  <w14:solidFill>
                    <w14:schemeClr w14:val="tx1"/>
                  </w14:solidFill>
                </w14:textFill>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000000" w:themeColor="text1"/>
                <w:sz w:val="24"/>
                <w:lang w:val="zh-CN"/>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不予退还的保证金上缴国库。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3.5.2</w:t>
            </w:r>
          </w:p>
        </w:tc>
        <w:tc>
          <w:tcPr>
            <w:tcW w:w="2489" w:type="dxa"/>
            <w:gridSpan w:val="5"/>
            <w:vAlign w:val="center"/>
          </w:tcPr>
          <w:p>
            <w:pPr>
              <w:numPr>
                <w:ilvl w:val="0"/>
                <w:numId w:val="0"/>
              </w:numPr>
              <w:autoSpaceDE/>
              <w:autoSpaceDN/>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近年财务状况要求</w:t>
            </w:r>
          </w:p>
        </w:tc>
        <w:tc>
          <w:tcPr>
            <w:tcW w:w="6367" w:type="dxa"/>
            <w:vAlign w:val="center"/>
          </w:tcPr>
          <w:p>
            <w:pPr>
              <w:numPr>
                <w:ilvl w:val="0"/>
                <w:numId w:val="0"/>
              </w:numPr>
              <w:autoSpaceDE w:val="0"/>
              <w:autoSpaceDN w:val="0"/>
              <w:spacing w:before="0" w:after="160" w:line="360" w:lineRule="auto"/>
              <w:ind w:right="0" w:firstLine="0"/>
              <w:jc w:val="left"/>
              <w:rPr>
                <w:rFonts w:hint="default" w:ascii="宋体" w:hAnsi="宋体" w:eastAsia="宋体"/>
                <w:b/>
                <w:color w:val="auto"/>
                <w:position w:val="0"/>
                <w:sz w:val="24"/>
                <w:szCs w:val="24"/>
                <w:highlight w:val="none"/>
              </w:rPr>
            </w:pPr>
            <w:r>
              <w:rPr>
                <w:rFonts w:hint="default" w:ascii="宋体" w:hAnsi="宋体" w:eastAsia="宋体"/>
                <w:color w:val="auto"/>
                <w:position w:val="0"/>
                <w:sz w:val="24"/>
                <w:szCs w:val="24"/>
                <w:highlight w:val="none"/>
              </w:rPr>
              <w:t>近年，指201</w:t>
            </w:r>
            <w:r>
              <w:rPr>
                <w:rFonts w:hint="eastAsia" w:ascii="宋体" w:hAnsi="宋体" w:eastAsia="宋体"/>
                <w:color w:val="auto"/>
                <w:position w:val="0"/>
                <w:sz w:val="24"/>
                <w:szCs w:val="24"/>
                <w:highlight w:val="none"/>
                <w:lang w:val="en-US" w:eastAsia="zh-CN"/>
              </w:rPr>
              <w:t>7</w:t>
            </w:r>
            <w:r>
              <w:rPr>
                <w:rFonts w:hint="default" w:ascii="宋体" w:hAnsi="宋体" w:eastAsia="宋体"/>
                <w:color w:val="auto"/>
                <w:position w:val="0"/>
                <w:sz w:val="24"/>
                <w:szCs w:val="24"/>
                <w:highlight w:val="none"/>
              </w:rPr>
              <w:t>、201</w:t>
            </w:r>
            <w:r>
              <w:rPr>
                <w:rFonts w:hint="eastAsia" w:ascii="宋体" w:hAnsi="宋体" w:eastAsia="宋体"/>
                <w:color w:val="auto"/>
                <w:position w:val="0"/>
                <w:sz w:val="24"/>
                <w:szCs w:val="24"/>
                <w:highlight w:val="none"/>
                <w:lang w:val="en-US" w:eastAsia="zh-CN"/>
              </w:rPr>
              <w:t>8</w:t>
            </w:r>
            <w:r>
              <w:rPr>
                <w:rFonts w:hint="default" w:ascii="宋体" w:hAnsi="宋体" w:eastAsia="宋体"/>
                <w:color w:val="auto"/>
                <w:position w:val="0"/>
                <w:sz w:val="24"/>
                <w:szCs w:val="24"/>
                <w:highlight w:val="none"/>
              </w:rPr>
              <w:t>、201</w:t>
            </w:r>
            <w:r>
              <w:rPr>
                <w:rFonts w:hint="eastAsia" w:ascii="宋体" w:hAnsi="宋体" w:eastAsia="宋体"/>
                <w:color w:val="auto"/>
                <w:position w:val="0"/>
                <w:sz w:val="24"/>
                <w:szCs w:val="24"/>
                <w:highlight w:val="none"/>
                <w:lang w:val="en-US" w:eastAsia="zh-CN"/>
              </w:rPr>
              <w:t>9</w:t>
            </w:r>
            <w:r>
              <w:rPr>
                <w:rFonts w:hint="default" w:ascii="宋体" w:hAnsi="宋体" w:eastAsia="宋体"/>
                <w:color w:val="auto"/>
                <w:position w:val="0"/>
                <w:sz w:val="24"/>
                <w:szCs w:val="24"/>
                <w:highlight w:val="none"/>
              </w:rPr>
              <w:t>年度（对于成立不足三年的投标单位，从成立当年算起；）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3.5.3</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近年完成的类似项目</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类似项目（201</w:t>
            </w:r>
            <w:r>
              <w:rPr>
                <w:rFonts w:hint="eastAsia" w:ascii="宋体" w:hAnsi="宋体" w:eastAsia="宋体"/>
                <w:color w:val="auto"/>
                <w:position w:val="0"/>
                <w:sz w:val="24"/>
                <w:szCs w:val="24"/>
                <w:highlight w:val="none"/>
                <w:lang w:val="en-US" w:eastAsia="zh-CN"/>
              </w:rPr>
              <w:t>7</w:t>
            </w:r>
            <w:r>
              <w:rPr>
                <w:rFonts w:hint="default" w:ascii="宋体" w:hAnsi="宋体" w:eastAsia="宋体"/>
                <w:color w:val="auto"/>
                <w:position w:val="0"/>
                <w:sz w:val="24"/>
                <w:szCs w:val="24"/>
                <w:highlight w:val="none"/>
              </w:rPr>
              <w:t>年以来）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3.5.5</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近年发生的诉讼及仲裁</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（1）有效时间以提交投标文件截止时间前36个月为准。</w:t>
            </w:r>
          </w:p>
          <w:p>
            <w:pPr>
              <w:pStyle w:val="2"/>
              <w:numPr>
                <w:ilvl w:val="0"/>
                <w:numId w:val="0"/>
              </w:numPr>
              <w:autoSpaceDE/>
              <w:autoSpaceDN/>
              <w:spacing w:before="0" w:after="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（2）近年发生的诉讼和仲裁情况仅限于认定投标人有违法行为的，且与履行施工承包合同有关的案件。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3.6</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是否允许递交备选投标方案</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3.7.3</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签字或盖章要求</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电子投标文件：按招标文件要求加盖电子印章和法人电子印章。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3.7.4</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投标文件份数</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电子投标文件</w:t>
            </w:r>
          </w:p>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成功上传至《全国公共资源交易平台（河南省·许昌市）》公共资源交易系统电子投标文件1份（文件格式为：XX公司XXX项目编号XXX标段.file）。</w:t>
            </w:r>
          </w:p>
          <w:p>
            <w:pPr>
              <w:numPr>
                <w:ilvl w:val="0"/>
                <w:numId w:val="0"/>
              </w:numPr>
              <w:autoSpaceDE w:val="0"/>
              <w:autoSpaceDN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注:投标人提交的电子投标文件，必须是通过“许昌投标文件制作系统SEARUN V1.1”制作，并经过签章和加密后生成的电子投标文件。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4.1.2</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封套上写明</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投标人名称：</w:t>
            </w:r>
          </w:p>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招标人名称：　</w:t>
            </w:r>
          </w:p>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u w:val="single"/>
              </w:rPr>
              <w:t xml:space="preserve">        （工程名称）     </w:t>
            </w:r>
            <w:r>
              <w:rPr>
                <w:rFonts w:hint="default" w:ascii="宋体" w:hAnsi="宋体" w:eastAsia="宋体"/>
                <w:color w:val="auto"/>
                <w:position w:val="0"/>
                <w:sz w:val="24"/>
                <w:szCs w:val="24"/>
                <w:highlight w:val="none"/>
              </w:rPr>
              <w:t>投标文件</w:t>
            </w:r>
          </w:p>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在   年   月  日  时  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4.2.2</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递交投标文件地点</w:t>
            </w:r>
          </w:p>
        </w:tc>
        <w:tc>
          <w:tcPr>
            <w:tcW w:w="6367" w:type="dxa"/>
            <w:vAlign w:val="center"/>
          </w:tcPr>
          <w:p>
            <w:pPr>
              <w:numPr>
                <w:ilvl w:val="0"/>
                <w:numId w:val="3"/>
              </w:numPr>
              <w:tabs>
                <w:tab w:val="left" w:pos="0"/>
              </w:tabs>
              <w:autoSpaceDE/>
              <w:autoSpaceDN/>
              <w:bidi w:val="0"/>
              <w:spacing w:before="0" w:after="160" w:line="360" w:lineRule="auto"/>
              <w:ind w:left="0" w:right="0" w:hanging="648"/>
              <w:jc w:val="both"/>
              <w:rPr>
                <w:rFonts w:hint="default" w:ascii="宋体" w:hAnsi="宋体" w:eastAsia="宋体"/>
                <w:color w:val="auto"/>
                <w:position w:val="0"/>
                <w:sz w:val="24"/>
                <w:szCs w:val="24"/>
                <w:u w:val="single"/>
              </w:rPr>
            </w:pPr>
            <w:r>
              <w:rPr>
                <w:rFonts w:hint="eastAsia" w:hAnsi="宋体" w:eastAsia="宋体" w:cs="宋体"/>
                <w:color w:val="000000" w:themeColor="text1"/>
                <w:sz w:val="24"/>
                <w14:textFill>
                  <w14:solidFill>
                    <w14:schemeClr w14:val="tx1"/>
                  </w14:solidFill>
                </w14:textFill>
              </w:rPr>
              <w:t>电子投标文件递交地点：电子投标文件应按规定在投标截止时间（开标时间）之前成功提交至【全国公共资源交易平台</w:t>
            </w:r>
            <w:r>
              <w:rPr>
                <w:rFonts w:hAnsi="宋体" w:eastAsia="宋体" w:cs="宋体"/>
                <w:color w:val="000000" w:themeColor="text1"/>
                <w:sz w:val="24"/>
                <w14:textFill>
                  <w14:solidFill>
                    <w14:schemeClr w14:val="tx1"/>
                  </w14:solidFill>
                </w14:textFill>
              </w:rPr>
              <w:t>(</w:t>
            </w:r>
            <w:r>
              <w:rPr>
                <w:rFonts w:hint="eastAsia" w:hAnsi="宋体" w:eastAsia="宋体" w:cs="宋体"/>
                <w:color w:val="000000" w:themeColor="text1"/>
                <w:sz w:val="24"/>
                <w14:textFill>
                  <w14:solidFill>
                    <w14:schemeClr w14:val="tx1"/>
                  </w14:solidFill>
                </w14:textFill>
              </w:rPr>
              <w:t>河南省</w:t>
            </w:r>
            <w:r>
              <w:rPr>
                <w:rFonts w:hint="eastAsia" w:ascii="MS Mincho" w:hAnsi="MS Mincho" w:eastAsia="MS Mincho" w:cs="MS Mincho"/>
                <w:color w:val="000000" w:themeColor="text1"/>
                <w:sz w:val="24"/>
                <w14:textFill>
                  <w14:solidFill>
                    <w14:schemeClr w14:val="tx1"/>
                  </w14:solidFill>
                </w14:textFill>
              </w:rPr>
              <w:t>▪</w:t>
            </w:r>
            <w:r>
              <w:rPr>
                <w:rFonts w:hint="eastAsia" w:hAnsi="宋体" w:eastAsia="宋体" w:cs="宋体"/>
                <w:color w:val="000000" w:themeColor="text1"/>
                <w:sz w:val="24"/>
                <w14:textFill>
                  <w14:solidFill>
                    <w14:schemeClr w14:val="tx1"/>
                  </w14:solidFill>
                </w14:textFill>
              </w:rPr>
              <w:t>许昌市</w:t>
            </w:r>
            <w:r>
              <w:rPr>
                <w:rFonts w:hAnsi="宋体" w:eastAsia="宋体" w:cs="宋体"/>
                <w:color w:val="000000" w:themeColor="text1"/>
                <w:sz w:val="24"/>
                <w14:textFill>
                  <w14:solidFill>
                    <w14:schemeClr w14:val="tx1"/>
                  </w14:solidFill>
                </w14:textFill>
              </w:rPr>
              <w:t>)</w:t>
            </w:r>
            <w:r>
              <w:rPr>
                <w:rFonts w:hint="eastAsia" w:hAnsi="宋体" w:eastAsia="宋体" w:cs="宋体"/>
                <w:color w:val="000000" w:themeColor="text1"/>
                <w:sz w:val="24"/>
                <w14:textFill>
                  <w14:solidFill>
                    <w14:schemeClr w14:val="tx1"/>
                  </w14:solidFill>
                </w14:textFill>
              </w:rPr>
              <w:t>】公共资源交易系统（</w:t>
            </w:r>
            <w:r>
              <w:rPr>
                <w:rFonts w:hAnsi="宋体" w:eastAsia="宋体" w:cs="宋体"/>
                <w:color w:val="000000" w:themeColor="text1"/>
                <w:sz w:val="24"/>
                <w14:textFill>
                  <w14:solidFill>
                    <w14:schemeClr w14:val="tx1"/>
                  </w14:solidFill>
                </w14:textFill>
              </w:rPr>
              <w:t>http://221.14.6.70:8088/ggzy/</w:t>
            </w:r>
            <w:r>
              <w:rPr>
                <w:rFonts w:hint="eastAsia" w:hAnsi="宋体" w:eastAsia="宋体" w:cs="宋体"/>
                <w:color w:val="000000" w:themeColor="text1"/>
                <w:sz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4.2.3</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eastAsia" w:hAnsi="宋体" w:eastAsia="宋体" w:cs="宋体"/>
                <w:color w:val="000000" w:themeColor="text1"/>
                <w:sz w:val="24"/>
                <w14:textFill>
                  <w14:solidFill>
                    <w14:schemeClr w14:val="tx1"/>
                  </w14:solidFill>
                </w14:textFill>
              </w:rPr>
              <w:t>本项目是否采用不见面开标</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eastAsia" w:hAnsi="宋体" w:eastAsia="宋体" w:cs="宋体"/>
                <w:color w:val="000000" w:themeColor="text1"/>
                <w:sz w:val="24"/>
                <w14:textFill>
                  <w14:solidFill>
                    <w14:schemeClr w14:val="tx1"/>
                  </w14:solidFill>
                </w14:textFill>
              </w:rPr>
              <w:t>本项目采用不见面开标。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5.1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开标时间和地点</w:t>
            </w:r>
          </w:p>
        </w:tc>
        <w:tc>
          <w:tcPr>
            <w:tcW w:w="6367" w:type="dxa"/>
            <w:vAlign w:val="top"/>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开标时间：同投标截止时间</w:t>
            </w:r>
          </w:p>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开标地点：襄城县公共资源交易中心（襄城县八七路东电子产业园12楼开标二室）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 xml:space="preserve">5.2 </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开标程序</w:t>
            </w:r>
          </w:p>
        </w:tc>
        <w:tc>
          <w:tcPr>
            <w:tcW w:w="6367" w:type="dxa"/>
            <w:vAlign w:val="top"/>
          </w:tcPr>
          <w:p>
            <w:pPr>
              <w:spacing w:line="360" w:lineRule="auto"/>
              <w:jc w:val="left"/>
              <w:rPr>
                <w:rFonts w:hint="default" w:hAnsi="宋体" w:eastAsia="宋体" w:cs="宋体"/>
                <w:color w:val="FF0000"/>
                <w:sz w:val="24"/>
                <w:lang w:val="en-US" w:eastAsia="zh-CN"/>
              </w:rPr>
            </w:pPr>
            <w:r>
              <w:rPr>
                <w:rFonts w:hint="eastAsia" w:hAnsi="宋体" w:eastAsia="宋体" w:cs="宋体"/>
                <w:color w:val="000000" w:themeColor="text1"/>
                <w:sz w:val="24"/>
                <w14:textFill>
                  <w14:solidFill>
                    <w14:schemeClr w14:val="tx1"/>
                  </w14:solidFill>
                </w14:textFill>
              </w:rPr>
              <w:t>(</w:t>
            </w:r>
            <w:r>
              <w:rPr>
                <w:rFonts w:hint="eastAsia" w:hAnsi="宋体" w:eastAsia="宋体" w:cs="宋体"/>
                <w:color w:val="FF0000"/>
                <w:sz w:val="24"/>
              </w:rPr>
              <w:t>1)</w:t>
            </w:r>
            <w:r>
              <w:rPr>
                <w:rFonts w:hint="eastAsia" w:ascii="仿宋" w:hAnsi="仿宋" w:eastAsia="仿宋" w:cs="宋体"/>
                <w:b/>
                <w:color w:val="FF0000"/>
                <w:sz w:val="28"/>
                <w:szCs w:val="28"/>
              </w:rPr>
              <w:t xml:space="preserve"> </w:t>
            </w:r>
            <w:r>
              <w:rPr>
                <w:rFonts w:hint="eastAsia" w:hAnsi="宋体" w:eastAsia="宋体" w:cs="宋体"/>
                <w:color w:val="FF0000"/>
                <w:sz w:val="24"/>
              </w:rPr>
              <w:t>本项目采用“远程不见面”开标方式,投标人应当在开标时间前</w:t>
            </w:r>
            <w:r>
              <w:rPr>
                <w:rFonts w:hint="eastAsia" w:hAnsi="宋体" w:eastAsia="宋体" w:cs="宋体"/>
                <w:color w:val="FF0000"/>
                <w:sz w:val="24"/>
                <w:lang w:val="en-US" w:eastAsia="zh-CN"/>
              </w:rPr>
              <w:t>使用</w:t>
            </w:r>
            <w:r>
              <w:rPr>
                <w:rFonts w:hint="eastAsia" w:hAnsi="宋体" w:eastAsia="宋体" w:cs="宋体"/>
                <w:color w:val="FF0000"/>
                <w:sz w:val="24"/>
              </w:rPr>
              <w:t>CA数字证书登录交易系统远程开标大厅在线准时参加开标活动并进行投标文件远程解密、在线提异议（质疑）及电子签章等；</w:t>
            </w:r>
            <w:r>
              <w:rPr>
                <w:rFonts w:hint="eastAsia" w:hAnsi="宋体" w:eastAsia="宋体" w:cs="宋体"/>
                <w:color w:val="FF0000"/>
                <w:sz w:val="24"/>
                <w:lang w:val="en-US" w:eastAsia="zh-CN"/>
              </w:rPr>
              <w:t>招标代理机构</w:t>
            </w:r>
            <w:r>
              <w:rPr>
                <w:rFonts w:hint="eastAsia" w:hAnsi="宋体" w:eastAsia="宋体" w:cs="宋体"/>
                <w:color w:val="FF0000"/>
                <w:sz w:val="24"/>
              </w:rPr>
              <w:t>在开标时间前</w:t>
            </w:r>
            <w:r>
              <w:rPr>
                <w:rFonts w:hint="eastAsia" w:hAnsi="宋体" w:eastAsia="宋体" w:cs="宋体"/>
                <w:color w:val="FF0000"/>
                <w:sz w:val="24"/>
                <w:lang w:val="en-US" w:eastAsia="zh-CN"/>
              </w:rPr>
              <w:t>到达指定地点使用</w:t>
            </w:r>
            <w:r>
              <w:rPr>
                <w:rFonts w:hint="eastAsia" w:hAnsi="宋体" w:eastAsia="宋体" w:cs="宋体"/>
                <w:color w:val="FF0000"/>
                <w:sz w:val="24"/>
              </w:rPr>
              <w:t>CA数字证书登录交易系统远程开标大厅</w:t>
            </w:r>
            <w:r>
              <w:rPr>
                <w:rFonts w:hint="eastAsia" w:hAnsi="宋体" w:eastAsia="宋体" w:cs="宋体"/>
                <w:color w:val="FF0000"/>
                <w:sz w:val="24"/>
                <w:lang w:eastAsia="zh-CN"/>
              </w:rPr>
              <w:t>，</w:t>
            </w:r>
            <w:r>
              <w:rPr>
                <w:rFonts w:hint="eastAsia" w:hAnsi="宋体" w:eastAsia="宋体" w:cs="宋体"/>
                <w:color w:val="FF0000"/>
                <w:sz w:val="24"/>
                <w:lang w:val="en-US" w:eastAsia="zh-CN"/>
              </w:rPr>
              <w:t>做好开标前各项准备。</w:t>
            </w:r>
          </w:p>
          <w:p>
            <w:pPr>
              <w:spacing w:line="360" w:lineRule="auto"/>
              <w:jc w:val="left"/>
              <w:rPr>
                <w:rFonts w:hint="eastAsia" w:hAnsi="宋体" w:eastAsia="宋体" w:cs="宋体"/>
                <w:color w:val="FF0000"/>
                <w:sz w:val="24"/>
                <w:lang w:eastAsia="zh-CN"/>
              </w:rPr>
            </w:pPr>
            <w:r>
              <w:rPr>
                <w:rFonts w:hint="eastAsia" w:hAnsi="宋体" w:eastAsia="宋体" w:cs="宋体"/>
                <w:color w:val="FF0000"/>
                <w:sz w:val="24"/>
              </w:rPr>
              <w:t>(2)</w:t>
            </w:r>
            <w:r>
              <w:rPr>
                <w:rFonts w:hint="eastAsia" w:hAnsi="宋体" w:eastAsia="宋体" w:cs="宋体"/>
                <w:color w:val="FF0000"/>
                <w:sz w:val="24"/>
                <w:lang w:val="en-US" w:eastAsia="zh-CN"/>
              </w:rPr>
              <w:t>投标截止时间到达时，招标代理机构点击“</w:t>
            </w:r>
            <w:r>
              <w:rPr>
                <w:rFonts w:hint="eastAsia" w:hAnsi="宋体" w:eastAsia="宋体" w:cs="宋体"/>
                <w:color w:val="FF0000"/>
                <w:sz w:val="24"/>
              </w:rPr>
              <w:t>开标开始</w:t>
            </w:r>
            <w:r>
              <w:rPr>
                <w:rFonts w:hint="eastAsia" w:hAnsi="宋体" w:eastAsia="宋体" w:cs="宋体"/>
                <w:color w:val="FF0000"/>
                <w:sz w:val="24"/>
                <w:lang w:val="en-US" w:eastAsia="zh-CN"/>
              </w:rPr>
              <w:t>”按钮，开始不见面开标；点击</w:t>
            </w:r>
            <w:r>
              <w:rPr>
                <w:rFonts w:hint="eastAsia" w:hAnsi="宋体" w:eastAsia="宋体" w:cs="宋体"/>
                <w:color w:val="FF0000"/>
                <w:sz w:val="24"/>
              </w:rPr>
              <w:t>“解密环节”按钮</w:t>
            </w:r>
            <w:r>
              <w:rPr>
                <w:rFonts w:hint="eastAsia" w:hAnsi="宋体" w:eastAsia="宋体" w:cs="宋体"/>
                <w:color w:val="FF0000"/>
                <w:sz w:val="24"/>
                <w:lang w:val="en-US" w:eastAsia="zh-CN"/>
              </w:rPr>
              <w:t>开始解密60分钟倒计时，各投标人可以远程进行解密投标文件。</w:t>
            </w:r>
            <w:r>
              <w:rPr>
                <w:rFonts w:hint="eastAsia" w:hAnsi="宋体" w:eastAsia="宋体" w:cs="宋体"/>
                <w:color w:val="FF0000"/>
                <w:sz w:val="24"/>
              </w:rPr>
              <w:t>投标人未</w:t>
            </w:r>
            <w:r>
              <w:rPr>
                <w:rFonts w:hint="eastAsia" w:hAnsi="宋体" w:eastAsia="宋体" w:cs="宋体"/>
                <w:color w:val="FF0000"/>
                <w:sz w:val="24"/>
                <w:lang w:val="en-US" w:eastAsia="zh-CN"/>
              </w:rPr>
              <w:t>进行</w:t>
            </w:r>
            <w:r>
              <w:rPr>
                <w:rFonts w:hint="eastAsia" w:hAnsi="宋体" w:eastAsia="宋体" w:cs="宋体"/>
                <w:color w:val="FF0000"/>
                <w:sz w:val="24"/>
              </w:rPr>
              <w:t>解密或未按规定进行解密的，视为放弃投标</w:t>
            </w:r>
            <w:r>
              <w:rPr>
                <w:rFonts w:hint="eastAsia" w:hAnsi="宋体" w:eastAsia="宋体" w:cs="宋体"/>
                <w:color w:val="FF0000"/>
                <w:sz w:val="24"/>
                <w:lang w:eastAsia="zh-CN"/>
              </w:rPr>
              <w:t>。</w:t>
            </w:r>
          </w:p>
          <w:p>
            <w:pPr>
              <w:spacing w:line="360" w:lineRule="auto"/>
              <w:jc w:val="left"/>
              <w:rPr>
                <w:rFonts w:hAnsi="宋体" w:eastAsia="宋体" w:cs="宋体"/>
                <w:color w:val="FF0000"/>
                <w:sz w:val="24"/>
              </w:rPr>
            </w:pPr>
            <w:r>
              <w:rPr>
                <w:rFonts w:hint="eastAsia" w:hAnsi="宋体" w:eastAsia="宋体" w:cs="宋体"/>
                <w:color w:val="FF0000"/>
                <w:sz w:val="24"/>
              </w:rPr>
              <w:t>(3)</w:t>
            </w:r>
            <w:r>
              <w:rPr>
                <w:rFonts w:hint="eastAsia" w:hAnsi="宋体" w:eastAsia="宋体" w:cs="宋体"/>
                <w:color w:val="FF0000"/>
                <w:sz w:val="24"/>
                <w:lang w:val="en-US" w:eastAsia="zh-CN"/>
              </w:rPr>
              <w:t>解密完成后，</w:t>
            </w:r>
            <w:r>
              <w:rPr>
                <w:rFonts w:hint="eastAsia" w:hAnsi="宋体" w:eastAsia="宋体" w:cs="宋体"/>
                <w:color w:val="FF0000"/>
                <w:sz w:val="24"/>
              </w:rPr>
              <w:t>投标</w:t>
            </w:r>
            <w:r>
              <w:rPr>
                <w:rFonts w:hint="eastAsia" w:hAnsi="宋体" w:eastAsia="宋体" w:cs="宋体"/>
                <w:color w:val="FF0000"/>
                <w:sz w:val="24"/>
                <w:lang w:val="en-US" w:eastAsia="zh-CN"/>
              </w:rPr>
              <w:t>人可点击“开标记录”查看各投标人投标报价等信息，</w:t>
            </w:r>
            <w:r>
              <w:rPr>
                <w:rFonts w:hint="eastAsia" w:hAnsi="宋体" w:eastAsia="宋体" w:cs="宋体"/>
                <w:color w:val="FF0000"/>
                <w:sz w:val="24"/>
              </w:rPr>
              <w:t>对开标过程或有关内容有异议（质疑）的，按照《许昌市不见面</w:t>
            </w:r>
            <w:r>
              <w:rPr>
                <w:rFonts w:hint="eastAsia" w:hAnsi="宋体" w:eastAsia="宋体" w:cs="宋体"/>
                <w:color w:val="FF0000"/>
                <w:sz w:val="24"/>
                <w:lang w:eastAsia="zh-CN"/>
              </w:rPr>
              <w:t>开标</w:t>
            </w:r>
            <w:r>
              <w:rPr>
                <w:rFonts w:hint="eastAsia" w:hAnsi="宋体" w:eastAsia="宋体" w:cs="宋体"/>
                <w:color w:val="FF0000"/>
                <w:sz w:val="24"/>
              </w:rPr>
              <w:t>操作手册》在本项目不见面开标大厅“文字互动”对话框或“新增质疑”处在线询问和发起异议（质疑），招标</w:t>
            </w:r>
            <w:r>
              <w:rPr>
                <w:rFonts w:hint="eastAsia" w:hAnsi="宋体" w:eastAsia="宋体" w:cs="宋体"/>
                <w:color w:val="FF0000"/>
                <w:sz w:val="24"/>
                <w:lang w:val="en-US" w:eastAsia="zh-CN"/>
              </w:rPr>
              <w:t>代理机构</w:t>
            </w:r>
            <w:r>
              <w:rPr>
                <w:rFonts w:hint="eastAsia" w:hAnsi="宋体" w:eastAsia="宋体" w:cs="宋体"/>
                <w:color w:val="FF0000"/>
                <w:sz w:val="24"/>
              </w:rPr>
              <w:t xml:space="preserve">在线进行回复。 </w:t>
            </w:r>
          </w:p>
          <w:p>
            <w:pPr>
              <w:autoSpaceDE w:val="0"/>
              <w:autoSpaceDN w:val="0"/>
              <w:adjustRightInd w:val="0"/>
              <w:spacing w:line="420" w:lineRule="exact"/>
              <w:jc w:val="left"/>
              <w:rPr>
                <w:rFonts w:hAnsi="宋体" w:eastAsia="宋体" w:cs="宋体"/>
                <w:color w:val="FF0000"/>
                <w:sz w:val="24"/>
              </w:rPr>
            </w:pPr>
            <w:r>
              <w:rPr>
                <w:rFonts w:hint="eastAsia" w:hAnsi="宋体" w:eastAsia="宋体" w:cs="宋体"/>
                <w:color w:val="FF0000"/>
                <w:sz w:val="24"/>
              </w:rPr>
              <w:t>(4)</w:t>
            </w:r>
            <w:r>
              <w:rPr>
                <w:rFonts w:hint="eastAsia" w:hAnsi="宋体" w:eastAsia="宋体" w:cs="宋体"/>
                <w:color w:val="FF0000"/>
                <w:sz w:val="24"/>
                <w:lang w:val="en-US" w:eastAsia="zh-CN"/>
              </w:rPr>
              <w:t>再</w:t>
            </w:r>
            <w:r>
              <w:rPr>
                <w:rFonts w:hint="eastAsia" w:hAnsi="宋体" w:eastAsia="宋体" w:cs="宋体"/>
                <w:color w:val="FF0000"/>
                <w:sz w:val="24"/>
              </w:rPr>
              <w:t>无投标人提出异议，</w:t>
            </w:r>
            <w:r>
              <w:rPr>
                <w:rFonts w:hint="eastAsia" w:hAnsi="宋体" w:eastAsia="宋体" w:cs="宋体"/>
                <w:color w:val="FF0000"/>
                <w:sz w:val="24"/>
                <w:lang w:val="en-US" w:eastAsia="zh-CN"/>
              </w:rPr>
              <w:t>招标代理机构通过“文字互动”对话框通知各投标人进行电子签章。</w:t>
            </w:r>
            <w:r>
              <w:rPr>
                <w:rFonts w:hint="eastAsia" w:hAnsi="宋体" w:eastAsia="宋体" w:cs="宋体"/>
                <w:color w:val="FF0000"/>
                <w:sz w:val="24"/>
              </w:rPr>
              <w:t>投标人应在《开标记录表》上进行电子签章，未进行电子签章的视为对开标结果无异议。</w:t>
            </w:r>
          </w:p>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eastAsia" w:hAnsi="宋体" w:eastAsia="宋体" w:cs="宋体"/>
                <w:color w:val="FF0000"/>
                <w:sz w:val="24"/>
              </w:rPr>
              <w:t>（5）</w:t>
            </w:r>
            <w:r>
              <w:rPr>
                <w:rFonts w:hint="eastAsia" w:hAnsi="宋体" w:eastAsia="宋体" w:cs="宋体"/>
                <w:color w:val="FF0000"/>
                <w:sz w:val="24"/>
                <w:lang w:val="en-US" w:eastAsia="zh-CN"/>
              </w:rPr>
              <w:t>招标代理机构保存最终</w:t>
            </w:r>
            <w:r>
              <w:rPr>
                <w:rFonts w:hint="eastAsia" w:hAnsi="宋体" w:eastAsia="宋体" w:cs="宋体"/>
                <w:color w:val="FF0000"/>
                <w:sz w:val="24"/>
              </w:rPr>
              <w:t>《开标记录表》，</w:t>
            </w:r>
            <w:r>
              <w:rPr>
                <w:rFonts w:hint="eastAsia" w:hAnsi="宋体" w:eastAsia="宋体" w:cs="宋体"/>
                <w:color w:val="FF0000"/>
                <w:sz w:val="24"/>
                <w:lang w:val="en-US" w:eastAsia="zh-CN"/>
              </w:rPr>
              <w:t>不见面</w:t>
            </w:r>
            <w:r>
              <w:rPr>
                <w:rFonts w:hint="eastAsia" w:hAnsi="宋体" w:eastAsia="宋体" w:cs="宋体"/>
                <w:color w:val="FF0000"/>
                <w:sz w:val="24"/>
              </w:rPr>
              <w:t>开标</w:t>
            </w:r>
            <w:r>
              <w:rPr>
                <w:rFonts w:hint="eastAsia" w:hAnsi="宋体" w:eastAsia="宋体" w:cs="宋体"/>
                <w:color w:val="FF0000"/>
                <w:sz w:val="24"/>
                <w:lang w:val="en-US" w:eastAsia="zh-CN"/>
              </w:rPr>
              <w:t>活动</w:t>
            </w:r>
            <w:r>
              <w:rPr>
                <w:rFonts w:hint="eastAsia" w:hAnsi="宋体" w:eastAsia="宋体" w:cs="宋体"/>
                <w:color w:val="FF0000"/>
                <w:sz w:val="24"/>
              </w:rPr>
              <w:t>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 xml:space="preserve">6.1.1 </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评标委员会的组建</w:t>
            </w:r>
          </w:p>
        </w:tc>
        <w:tc>
          <w:tcPr>
            <w:tcW w:w="6367" w:type="dxa"/>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评标委员会构成：</w:t>
            </w:r>
            <w:r>
              <w:rPr>
                <w:rFonts w:hint="eastAsia" w:ascii="宋体" w:hAnsi="宋体" w:eastAsia="宋体"/>
                <w:color w:val="auto"/>
                <w:position w:val="0"/>
                <w:sz w:val="24"/>
                <w:szCs w:val="24"/>
                <w:highlight w:val="none"/>
                <w:lang w:val="en-US" w:eastAsia="zh-CN"/>
              </w:rPr>
              <w:t>5</w:t>
            </w:r>
            <w:r>
              <w:rPr>
                <w:rFonts w:hint="default" w:ascii="宋体" w:hAnsi="宋体" w:eastAsia="宋体"/>
                <w:color w:val="auto"/>
                <w:position w:val="0"/>
                <w:sz w:val="24"/>
                <w:szCs w:val="24"/>
                <w:highlight w:val="none"/>
              </w:rPr>
              <w:t>人</w:t>
            </w:r>
            <w:r>
              <w:rPr>
                <w:rFonts w:hint="eastAsia" w:ascii="宋体" w:hAnsi="宋体" w:eastAsia="宋体"/>
                <w:color w:val="auto"/>
                <w:position w:val="0"/>
                <w:sz w:val="24"/>
                <w:szCs w:val="24"/>
                <w:highlight w:val="none"/>
                <w:lang w:eastAsia="zh-CN"/>
              </w:rPr>
              <w:t>（</w:t>
            </w:r>
            <w:r>
              <w:rPr>
                <w:rFonts w:hint="default" w:ascii="宋体" w:hAnsi="宋体" w:eastAsia="宋体"/>
                <w:color w:val="auto"/>
                <w:position w:val="0"/>
                <w:sz w:val="24"/>
                <w:szCs w:val="24"/>
                <w:highlight w:val="none"/>
              </w:rPr>
              <w:t>招标人代表</w:t>
            </w:r>
            <w:r>
              <w:rPr>
                <w:rFonts w:hint="default" w:ascii="宋体" w:hAnsi="宋体" w:eastAsia="宋体"/>
                <w:color w:val="auto"/>
                <w:position w:val="0"/>
                <w:sz w:val="24"/>
                <w:szCs w:val="24"/>
                <w:highlight w:val="none"/>
                <w:lang w:val="en-US" w:eastAsia="zh-CN"/>
              </w:rPr>
              <w:t>1</w:t>
            </w:r>
            <w:r>
              <w:rPr>
                <w:rFonts w:hint="default" w:ascii="宋体" w:hAnsi="宋体" w:eastAsia="宋体"/>
                <w:color w:val="auto"/>
                <w:position w:val="0"/>
                <w:sz w:val="24"/>
                <w:szCs w:val="24"/>
                <w:highlight w:val="none"/>
              </w:rPr>
              <w:t>人</w:t>
            </w:r>
            <w:r>
              <w:rPr>
                <w:rFonts w:hint="eastAsia" w:ascii="宋体" w:hAnsi="宋体" w:eastAsia="宋体"/>
                <w:color w:val="auto"/>
                <w:position w:val="0"/>
                <w:sz w:val="24"/>
                <w:szCs w:val="24"/>
                <w:highlight w:val="none"/>
                <w:lang w:eastAsia="zh-CN"/>
              </w:rPr>
              <w:t>，</w:t>
            </w:r>
            <w:r>
              <w:rPr>
                <w:rFonts w:hint="eastAsia" w:ascii="宋体" w:hAnsi="宋体" w:eastAsia="宋体"/>
                <w:color w:val="auto"/>
                <w:position w:val="0"/>
                <w:sz w:val="24"/>
                <w:szCs w:val="24"/>
                <w:highlight w:val="none"/>
                <w:lang w:val="en-US" w:eastAsia="zh-CN"/>
              </w:rPr>
              <w:t>评审专家4人），</w:t>
            </w:r>
            <w:r>
              <w:rPr>
                <w:rFonts w:hint="default" w:ascii="宋体" w:hAnsi="宋体" w:eastAsia="宋体"/>
                <w:color w:val="auto"/>
                <w:position w:val="0"/>
                <w:sz w:val="24"/>
                <w:szCs w:val="24"/>
                <w:highlight w:val="none"/>
              </w:rPr>
              <w:t>从河南省综合评标专家库中随机抽取（其中</w:t>
            </w:r>
            <w:r>
              <w:rPr>
                <w:rFonts w:hint="eastAsia" w:ascii="宋体" w:hAnsi="宋体" w:eastAsia="宋体"/>
                <w:color w:val="auto"/>
                <w:position w:val="0"/>
                <w:sz w:val="24"/>
                <w:szCs w:val="24"/>
                <w:highlight w:val="none"/>
                <w:lang w:val="en-US" w:eastAsia="zh-CN"/>
              </w:rPr>
              <w:t>评标委员会的组成人员中</w:t>
            </w:r>
            <w:r>
              <w:rPr>
                <w:rFonts w:hint="default" w:ascii="宋体" w:hAnsi="宋体" w:eastAsia="宋体"/>
                <w:color w:val="auto"/>
                <w:position w:val="0"/>
                <w:sz w:val="24"/>
                <w:szCs w:val="24"/>
                <w:highlight w:val="none"/>
              </w:rPr>
              <w:t>注册工程造价</w:t>
            </w:r>
            <w:r>
              <w:rPr>
                <w:rFonts w:hint="eastAsia" w:ascii="宋体" w:hAnsi="宋体" w:eastAsia="宋体"/>
                <w:color w:val="auto"/>
                <w:position w:val="0"/>
                <w:sz w:val="24"/>
                <w:szCs w:val="24"/>
                <w:highlight w:val="none"/>
                <w:lang w:val="en-US" w:eastAsia="zh-CN"/>
              </w:rPr>
              <w:t>专家不应少于五分之二</w:t>
            </w:r>
            <w:r>
              <w:rPr>
                <w:rFonts w:hint="default" w:ascii="宋体" w:hAnsi="宋体" w:eastAsia="宋体"/>
                <w:color w:val="auto"/>
                <w:position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8"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7.1</w:t>
            </w:r>
          </w:p>
        </w:tc>
        <w:tc>
          <w:tcPr>
            <w:tcW w:w="2489" w:type="dxa"/>
            <w:gridSpan w:val="5"/>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是否授权评标委员会确定中标人</w:t>
            </w:r>
          </w:p>
        </w:tc>
        <w:tc>
          <w:tcPr>
            <w:tcW w:w="6367" w:type="dxa"/>
            <w:vAlign w:val="center"/>
          </w:tcPr>
          <w:p>
            <w:pPr>
              <w:numPr>
                <w:ilvl w:val="0"/>
                <w:numId w:val="0"/>
              </w:numPr>
              <w:autoSpaceDE w:val="0"/>
              <w:autoSpaceDN w:val="0"/>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否，推荐的中标候选人数：1-3名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04" w:type="dxa"/>
            <w:gridSpan w:val="2"/>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7.3</w:t>
            </w:r>
          </w:p>
        </w:tc>
        <w:tc>
          <w:tcPr>
            <w:tcW w:w="2483" w:type="dxa"/>
            <w:gridSpan w:val="4"/>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000000" w:themeColor="text1"/>
                <w:position w:val="0"/>
                <w:sz w:val="24"/>
                <w:szCs w:val="24"/>
                <w:highlight w:val="none"/>
                <w14:textFill>
                  <w14:solidFill>
                    <w14:schemeClr w14:val="tx1"/>
                  </w14:solidFill>
                </w14:textFill>
              </w:rPr>
            </w:pPr>
            <w:r>
              <w:rPr>
                <w:rFonts w:hint="default" w:ascii="宋体" w:hAnsi="宋体" w:eastAsia="宋体"/>
                <w:color w:val="000000" w:themeColor="text1"/>
                <w:position w:val="0"/>
                <w:sz w:val="24"/>
                <w:szCs w:val="24"/>
                <w:highlight w:val="none"/>
                <w14:textFill>
                  <w14:solidFill>
                    <w14:schemeClr w14:val="tx1"/>
                  </w14:solidFill>
                </w14:textFill>
              </w:rPr>
              <w:t>履约保证金</w:t>
            </w:r>
          </w:p>
        </w:tc>
        <w:tc>
          <w:tcPr>
            <w:tcW w:w="6367" w:type="dxa"/>
            <w:vAlign w:val="center"/>
          </w:tcPr>
          <w:p>
            <w:pPr>
              <w:numPr>
                <w:ilvl w:val="0"/>
                <w:numId w:val="0"/>
              </w:numPr>
              <w:autoSpaceDE w:val="0"/>
              <w:autoSpaceDN w:val="0"/>
              <w:spacing w:before="0" w:after="160" w:line="360" w:lineRule="auto"/>
              <w:ind w:right="0" w:firstLine="0"/>
              <w:jc w:val="left"/>
              <w:rPr>
                <w:rFonts w:hint="default" w:ascii="宋体" w:hAnsi="宋体" w:eastAsia="宋体"/>
                <w:color w:val="000000" w:themeColor="text1"/>
                <w:position w:val="0"/>
                <w:sz w:val="24"/>
                <w:szCs w:val="24"/>
                <w:highlight w:val="none"/>
                <w14:textFill>
                  <w14:solidFill>
                    <w14:schemeClr w14:val="tx1"/>
                  </w14:solidFill>
                </w14:textFill>
              </w:rPr>
            </w:pPr>
            <w:r>
              <w:rPr>
                <w:rFonts w:hint="default" w:ascii="宋体" w:hAnsi="宋体" w:eastAsia="宋体"/>
                <w:color w:val="000000" w:themeColor="text1"/>
                <w:position w:val="0"/>
                <w:sz w:val="24"/>
                <w:szCs w:val="24"/>
                <w:highlight w:val="none"/>
                <w14:textFill>
                  <w14:solidFill>
                    <w14:schemeClr w14:val="tx1"/>
                  </w14:solidFill>
                </w14:textFill>
              </w:rPr>
              <w:t>是否要求中标人提交履约保证金：</w:t>
            </w:r>
          </w:p>
          <w:p>
            <w:pPr>
              <w:numPr>
                <w:ilvl w:val="0"/>
                <w:numId w:val="0"/>
              </w:numPr>
              <w:autoSpaceDE w:val="0"/>
              <w:autoSpaceDN w:val="0"/>
              <w:spacing w:before="0" w:after="160" w:line="360" w:lineRule="auto"/>
              <w:ind w:right="0" w:firstLine="0"/>
              <w:jc w:val="left"/>
              <w:rPr>
                <w:rFonts w:hint="default" w:ascii="宋体" w:hAnsi="宋体" w:eastAsia="宋体"/>
                <w:color w:val="000000" w:themeColor="text1"/>
                <w:position w:val="0"/>
                <w:sz w:val="24"/>
                <w:szCs w:val="24"/>
                <w:highlight w:val="none"/>
                <w14:textFill>
                  <w14:solidFill>
                    <w14:schemeClr w14:val="tx1"/>
                  </w14:solidFill>
                </w14:textFill>
              </w:rPr>
            </w:pPr>
            <w:r>
              <w:rPr>
                <w:rFonts w:hint="eastAsia" w:ascii="宋体" w:hAnsi="宋体" w:eastAsia="宋体"/>
                <w:color w:val="000000" w:themeColor="text1"/>
                <w:position w:val="0"/>
                <w:sz w:val="24"/>
                <w:szCs w:val="24"/>
                <w:highlight w:val="none"/>
                <w:lang w:val="en-US" w:eastAsia="zh-CN"/>
                <w14:textFill>
                  <w14:solidFill>
                    <w14:schemeClr w14:val="tx1"/>
                  </w14:solidFill>
                </w14:textFill>
              </w:rPr>
              <w:t>无</w:t>
            </w:r>
            <w:r>
              <w:rPr>
                <w:rFonts w:hint="default" w:ascii="宋体" w:hAnsi="宋体" w:eastAsia="宋体"/>
                <w:color w:val="000000" w:themeColor="text1"/>
                <w:position w:val="0"/>
                <w:sz w:val="24"/>
                <w:szCs w:val="24"/>
                <w:highlight w:val="none"/>
                <w14:textFill>
                  <w14:solidFill>
                    <w14:schemeClr w14:val="tx1"/>
                  </w14:solidFill>
                </w14:textFill>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9854" w:type="dxa"/>
            <w:gridSpan w:val="7"/>
            <w:vAlign w:val="center"/>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10.1词语定义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66" w:type="dxa"/>
            <w:gridSpan w:val="3"/>
            <w:vAlign w:val="center"/>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10.1.1</w:t>
            </w:r>
          </w:p>
        </w:tc>
        <w:tc>
          <w:tcPr>
            <w:tcW w:w="1486" w:type="dxa"/>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类似项目</w:t>
            </w:r>
          </w:p>
        </w:tc>
        <w:tc>
          <w:tcPr>
            <w:tcW w:w="7302" w:type="dxa"/>
            <w:gridSpan w:val="3"/>
            <w:vAlign w:val="center"/>
          </w:tcPr>
          <w:p>
            <w:pPr>
              <w:numPr>
                <w:ilvl w:val="0"/>
                <w:numId w:val="0"/>
              </w:numPr>
              <w:autoSpaceDE/>
              <w:autoSpaceDN/>
              <w:spacing w:before="0" w:after="160" w:line="460" w:lineRule="exact"/>
              <w:ind w:right="0" w:firstLine="0"/>
              <w:jc w:val="left"/>
              <w:rPr>
                <w:rFonts w:hint="eastAsia" w:hAnsi="宋体" w:eastAsia="宋体"/>
                <w:color w:val="000000" w:themeColor="text1"/>
                <w:position w:val="0"/>
                <w:sz w:val="24"/>
                <w:szCs w:val="24"/>
                <w:highlight w:val="none"/>
                <w:lang w:val="en-US" w:eastAsia="zh-CN"/>
                <w14:textFill>
                  <w14:solidFill>
                    <w14:schemeClr w14:val="tx1"/>
                  </w14:solidFill>
                </w14:textFill>
              </w:rPr>
            </w:pPr>
            <w:r>
              <w:rPr>
                <w:rFonts w:hint="eastAsia" w:hAnsi="宋体" w:eastAsia="宋体"/>
                <w:color w:val="000000" w:themeColor="text1"/>
                <w:position w:val="0"/>
                <w:sz w:val="24"/>
                <w:szCs w:val="24"/>
                <w:highlight w:val="none"/>
                <w:lang w:val="en-US" w:eastAsia="zh-CN"/>
                <w14:textFill>
                  <w14:solidFill>
                    <w14:schemeClr w14:val="tx1"/>
                  </w14:solidFill>
                </w14:textFill>
              </w:rPr>
              <w:t>第一标段：</w:t>
            </w:r>
            <w:r>
              <w:rPr>
                <w:rFonts w:hint="default" w:hAnsi="宋体" w:eastAsia="宋体"/>
                <w:color w:val="000000" w:themeColor="text1"/>
                <w:position w:val="0"/>
                <w:sz w:val="24"/>
                <w:szCs w:val="24"/>
                <w:highlight w:val="none"/>
                <w:lang w:val="en-US" w:eastAsia="zh-CN"/>
                <w14:textFill>
                  <w14:solidFill>
                    <w14:schemeClr w14:val="tx1"/>
                  </w14:solidFill>
                </w14:textFill>
              </w:rPr>
              <w:t>类似项目是指承建过</w:t>
            </w:r>
            <w:r>
              <w:rPr>
                <w:rFonts w:hint="eastAsia" w:hAnsi="宋体" w:eastAsia="宋体"/>
                <w:color w:val="000000" w:themeColor="text1"/>
                <w:position w:val="0"/>
                <w:sz w:val="24"/>
                <w:szCs w:val="24"/>
                <w:highlight w:val="none"/>
                <w:lang w:val="en-US" w:eastAsia="zh-CN"/>
                <w14:textFill>
                  <w14:solidFill>
                    <w14:schemeClr w14:val="tx1"/>
                  </w14:solidFill>
                </w14:textFill>
              </w:rPr>
              <w:t>类似建筑工程</w:t>
            </w:r>
          </w:p>
          <w:p>
            <w:pPr>
              <w:numPr>
                <w:ilvl w:val="0"/>
                <w:numId w:val="0"/>
              </w:numPr>
              <w:autoSpaceDE/>
              <w:autoSpaceDN/>
              <w:spacing w:before="0" w:after="160" w:line="460" w:lineRule="exact"/>
              <w:ind w:right="0" w:firstLine="0"/>
              <w:jc w:val="left"/>
              <w:rPr>
                <w:rFonts w:hint="eastAsia" w:hAnsi="宋体" w:eastAsia="宋体"/>
                <w:color w:val="000000" w:themeColor="text1"/>
                <w:position w:val="0"/>
                <w:sz w:val="24"/>
                <w:szCs w:val="24"/>
                <w:highlight w:val="none"/>
                <w:lang w:val="en-US" w:eastAsia="zh-CN"/>
                <w14:textFill>
                  <w14:solidFill>
                    <w14:schemeClr w14:val="tx1"/>
                  </w14:solidFill>
                </w14:textFill>
              </w:rPr>
            </w:pPr>
            <w:r>
              <w:rPr>
                <w:rFonts w:hint="eastAsia" w:hAnsi="宋体" w:eastAsia="宋体"/>
                <w:color w:val="000000" w:themeColor="text1"/>
                <w:position w:val="0"/>
                <w:sz w:val="24"/>
                <w:szCs w:val="24"/>
                <w:highlight w:val="none"/>
                <w:lang w:val="en-US" w:eastAsia="zh-CN"/>
                <w14:textFill>
                  <w14:solidFill>
                    <w14:schemeClr w14:val="tx1"/>
                  </w14:solidFill>
                </w14:textFill>
              </w:rPr>
              <w:t>第二标段：</w:t>
            </w:r>
            <w:r>
              <w:rPr>
                <w:rFonts w:hint="default" w:hAnsi="宋体" w:eastAsia="宋体"/>
                <w:color w:val="000000" w:themeColor="text1"/>
                <w:position w:val="0"/>
                <w:sz w:val="24"/>
                <w:szCs w:val="24"/>
                <w:highlight w:val="none"/>
                <w:lang w:val="en-US" w:eastAsia="zh-CN"/>
                <w14:textFill>
                  <w14:solidFill>
                    <w14:schemeClr w14:val="tx1"/>
                  </w14:solidFill>
                </w14:textFill>
              </w:rPr>
              <w:t>类似项目是指承建过</w:t>
            </w:r>
            <w:r>
              <w:rPr>
                <w:rFonts w:hint="eastAsia" w:hAnsi="宋体" w:eastAsia="宋体"/>
                <w:color w:val="000000" w:themeColor="text1"/>
                <w:position w:val="0"/>
                <w:sz w:val="24"/>
                <w:szCs w:val="24"/>
                <w:highlight w:val="none"/>
                <w:lang w:val="en-US" w:eastAsia="zh-CN"/>
                <w14:textFill>
                  <w14:solidFill>
                    <w14:schemeClr w14:val="tx1"/>
                  </w14:solidFill>
                </w14:textFill>
              </w:rPr>
              <w:t>的园林绿化工程</w:t>
            </w:r>
          </w:p>
          <w:p>
            <w:pPr>
              <w:pStyle w:val="2"/>
              <w:ind w:left="0" w:leftChars="0" w:firstLine="0" w:firstLineChars="0"/>
              <w:rPr>
                <w:rFonts w:hint="default"/>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val="0"/>
              <w:autoSpaceDN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 xml:space="preserve">10.2招标控制价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10.2.1</w:t>
            </w:r>
          </w:p>
        </w:tc>
        <w:tc>
          <w:tcPr>
            <w:tcW w:w="2288" w:type="dxa"/>
            <w:gridSpan w:val="2"/>
            <w:vAlign w:val="center"/>
          </w:tcPr>
          <w:p>
            <w:pPr>
              <w:numPr>
                <w:ilvl w:val="0"/>
                <w:numId w:val="0"/>
              </w:numPr>
              <w:autoSpaceDE w:val="0"/>
              <w:autoSpaceDN w:val="0"/>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b w:val="0"/>
                <w:bCs/>
                <w:color w:val="000000"/>
                <w:position w:val="0"/>
                <w:sz w:val="24"/>
                <w:szCs w:val="24"/>
                <w:highlight w:val="none"/>
              </w:rPr>
              <w:t>招标控制价</w:t>
            </w:r>
          </w:p>
        </w:tc>
        <w:tc>
          <w:tcPr>
            <w:tcW w:w="6500" w:type="dxa"/>
            <w:gridSpan w:val="2"/>
            <w:vAlign w:val="center"/>
          </w:tcPr>
          <w:p>
            <w:pPr>
              <w:numPr>
                <w:ilvl w:val="0"/>
                <w:numId w:val="0"/>
              </w:numPr>
              <w:autoSpaceDE/>
              <w:autoSpaceDN/>
              <w:spacing w:before="0" w:after="160" w:line="360" w:lineRule="auto"/>
              <w:ind w:right="0" w:firstLine="0"/>
              <w:jc w:val="both"/>
              <w:rPr>
                <w:rFonts w:hint="default" w:ascii="宋体" w:hAnsi="宋体" w:eastAsia="宋体"/>
                <w:color w:val="000000" w:themeColor="text1"/>
                <w:position w:val="0"/>
                <w:sz w:val="24"/>
                <w:szCs w:val="24"/>
                <w:highlight w:val="none"/>
                <w14:textFill>
                  <w14:solidFill>
                    <w14:schemeClr w14:val="tx1"/>
                  </w14:solidFill>
                </w14:textFill>
              </w:rPr>
            </w:pPr>
            <w:r>
              <w:rPr>
                <w:rFonts w:hint="default" w:ascii="宋体" w:hAnsi="宋体" w:eastAsia="宋体"/>
                <w:color w:val="000000" w:themeColor="text1"/>
                <w:position w:val="0"/>
                <w:sz w:val="24"/>
                <w:szCs w:val="24"/>
                <w:highlight w:val="none"/>
                <w14:textFill>
                  <w14:solidFill>
                    <w14:schemeClr w14:val="tx1"/>
                  </w14:solidFill>
                </w14:textFill>
              </w:rPr>
              <w:t>本工程设招标控制价：</w:t>
            </w:r>
          </w:p>
          <w:p>
            <w:pPr>
              <w:rPr>
                <w:rFonts w:hint="default" w:ascii="Times New Roman" w:hAnsi="宋体" w:eastAsia="宋体"/>
                <w:color w:val="000000" w:themeColor="text1"/>
                <w:position w:val="0"/>
                <w:sz w:val="24"/>
                <w:szCs w:val="24"/>
                <w:highlight w:val="none"/>
                <w14:textFill>
                  <w14:solidFill>
                    <w14:schemeClr w14:val="tx1"/>
                  </w14:solidFill>
                </w14:textFill>
              </w:rPr>
            </w:pPr>
            <w:r>
              <w:rPr>
                <w:rFonts w:hint="default" w:ascii="Times New Roman" w:hAnsi="宋体" w:eastAsia="宋体"/>
                <w:color w:val="000000" w:themeColor="text1"/>
                <w:position w:val="0"/>
                <w:sz w:val="24"/>
                <w:szCs w:val="24"/>
                <w:highlight w:val="none"/>
                <w14:textFill>
                  <w14:solidFill>
                    <w14:schemeClr w14:val="tx1"/>
                  </w14:solidFill>
                </w14:textFill>
              </w:rPr>
              <w:t>第一标段：小写：</w:t>
            </w:r>
            <w:r>
              <w:rPr>
                <w:rFonts w:hint="eastAsia" w:hAnsi="宋体" w:eastAsia="宋体"/>
                <w:color w:val="000000" w:themeColor="text1"/>
                <w:position w:val="0"/>
                <w:sz w:val="24"/>
                <w:szCs w:val="24"/>
                <w:highlight w:val="none"/>
                <w:lang w:val="en-US" w:eastAsia="zh-CN"/>
                <w14:textFill>
                  <w14:solidFill>
                    <w14:schemeClr w14:val="tx1"/>
                  </w14:solidFill>
                </w14:textFill>
              </w:rPr>
              <w:t>31747191.63</w:t>
            </w:r>
            <w:r>
              <w:rPr>
                <w:rFonts w:hint="default" w:ascii="Times New Roman" w:hAnsi="宋体" w:eastAsia="宋体"/>
                <w:color w:val="000000" w:themeColor="text1"/>
                <w:position w:val="0"/>
                <w:sz w:val="24"/>
                <w:szCs w:val="24"/>
                <w:highlight w:val="none"/>
                <w14:textFill>
                  <w14:solidFill>
                    <w14:schemeClr w14:val="tx1"/>
                  </w14:solidFill>
                </w14:textFill>
              </w:rPr>
              <w:t>元</w:t>
            </w:r>
          </w:p>
          <w:p>
            <w:pPr>
              <w:pStyle w:val="2"/>
              <w:numPr>
                <w:ilvl w:val="0"/>
                <w:numId w:val="0"/>
              </w:numPr>
              <w:autoSpaceDE/>
              <w:autoSpaceDN/>
              <w:spacing w:before="0" w:after="120" w:line="240" w:lineRule="auto"/>
              <w:ind w:right="0"/>
              <w:jc w:val="both"/>
              <w:rPr>
                <w:rFonts w:hint="eastAsia" w:ascii="宋体" w:hAnsi="Times New Roman" w:eastAsia="宋体"/>
                <w:color w:val="000000" w:themeColor="text1"/>
                <w:position w:val="0"/>
                <w:sz w:val="34"/>
                <w:szCs w:val="34"/>
                <w:lang w:val="en-US" w:eastAsia="zh-CN"/>
                <w14:textFill>
                  <w14:solidFill>
                    <w14:schemeClr w14:val="tx1"/>
                  </w14:solidFill>
                </w14:textFill>
              </w:rPr>
            </w:pPr>
            <w:r>
              <w:rPr>
                <w:rFonts w:hint="default" w:ascii="宋体" w:hAnsi="宋体" w:eastAsia="宋体"/>
                <w:color w:val="000000" w:themeColor="text1"/>
                <w:position w:val="0"/>
                <w:sz w:val="24"/>
                <w:szCs w:val="24"/>
                <w:highlight w:val="none"/>
                <w14:textFill>
                  <w14:solidFill>
                    <w14:schemeClr w14:val="tx1"/>
                  </w14:solidFill>
                </w14:textFill>
              </w:rPr>
              <w:t>大写：</w:t>
            </w:r>
            <w:r>
              <w:rPr>
                <w:rFonts w:hint="eastAsia" w:ascii="宋体" w:hAnsi="宋体" w:eastAsia="宋体"/>
                <w:color w:val="000000" w:themeColor="text1"/>
                <w:position w:val="0"/>
                <w:sz w:val="24"/>
                <w:szCs w:val="24"/>
                <w:highlight w:val="none"/>
                <w:lang w:val="en-US" w:eastAsia="zh-CN"/>
                <w14:textFill>
                  <w14:solidFill>
                    <w14:schemeClr w14:val="tx1"/>
                  </w14:solidFill>
                </w14:textFill>
              </w:rPr>
              <w:t>叁仟壹佰柒拾肆万柒仟壹佰玖拾壹元陆角叁分</w:t>
            </w:r>
          </w:p>
          <w:p>
            <w:pPr>
              <w:rPr>
                <w:rFonts w:hint="default" w:ascii="宋体" w:hAnsi="宋体" w:eastAsia="宋体"/>
                <w:color w:val="000000" w:themeColor="text1"/>
                <w:position w:val="0"/>
                <w:sz w:val="24"/>
                <w:szCs w:val="24"/>
                <w:highlight w:val="none"/>
                <w14:textFill>
                  <w14:solidFill>
                    <w14:schemeClr w14:val="tx1"/>
                  </w14:solidFill>
                </w14:textFill>
              </w:rPr>
            </w:pPr>
            <w:r>
              <w:rPr>
                <w:rFonts w:hint="default" w:ascii="宋体" w:hAnsi="宋体" w:eastAsia="宋体"/>
                <w:color w:val="000000" w:themeColor="text1"/>
                <w:position w:val="0"/>
                <w:sz w:val="24"/>
                <w:szCs w:val="24"/>
                <w:highlight w:val="none"/>
                <w14:textFill>
                  <w14:solidFill>
                    <w14:schemeClr w14:val="tx1"/>
                  </w14:solidFill>
                </w14:textFill>
              </w:rPr>
              <w:t>第二标段：小写：1816819.87元</w:t>
            </w:r>
          </w:p>
          <w:p>
            <w:pPr>
              <w:pStyle w:val="2"/>
              <w:numPr>
                <w:ilvl w:val="0"/>
                <w:numId w:val="0"/>
              </w:numPr>
              <w:autoSpaceDE/>
              <w:autoSpaceDN/>
              <w:spacing w:before="0" w:after="120" w:line="240" w:lineRule="auto"/>
              <w:ind w:right="0"/>
              <w:jc w:val="both"/>
              <w:rPr>
                <w:rFonts w:hint="eastAsia" w:ascii="宋体" w:hAnsi="Times New Roman" w:eastAsia="宋体"/>
                <w:color w:val="000000" w:themeColor="text1"/>
                <w:position w:val="0"/>
                <w:sz w:val="34"/>
                <w:szCs w:val="34"/>
                <w:lang w:eastAsia="zh-CN"/>
                <w14:textFill>
                  <w14:solidFill>
                    <w14:schemeClr w14:val="tx1"/>
                  </w14:solidFill>
                </w14:textFill>
              </w:rPr>
            </w:pPr>
            <w:r>
              <w:rPr>
                <w:rFonts w:hint="default" w:ascii="宋体" w:hAnsi="宋体" w:eastAsia="宋体"/>
                <w:color w:val="000000" w:themeColor="text1"/>
                <w:position w:val="0"/>
                <w:sz w:val="24"/>
                <w:szCs w:val="24"/>
                <w:highlight w:val="none"/>
                <w14:textFill>
                  <w14:solidFill>
                    <w14:schemeClr w14:val="tx1"/>
                  </w14:solidFill>
                </w14:textFill>
              </w:rPr>
              <w:t>大写：</w:t>
            </w:r>
            <w:r>
              <w:rPr>
                <w:rFonts w:hint="eastAsia" w:ascii="宋体" w:hAnsi="宋体" w:eastAsia="宋体"/>
                <w:color w:val="000000" w:themeColor="text1"/>
                <w:position w:val="0"/>
                <w:sz w:val="24"/>
                <w:szCs w:val="24"/>
                <w:highlight w:val="none"/>
                <w:lang w:val="en-US" w:eastAsia="zh-CN"/>
                <w14:textFill>
                  <w14:solidFill>
                    <w14:schemeClr w14:val="tx1"/>
                  </w14:solidFill>
                </w14:textFill>
              </w:rPr>
              <w:t>壹佰捌拾壹万陆仟捌佰壹拾玖元捌角柒分</w:t>
            </w:r>
          </w:p>
          <w:p>
            <w:pPr>
              <w:numPr>
                <w:ilvl w:val="0"/>
                <w:numId w:val="0"/>
              </w:numPr>
              <w:autoSpaceDE w:val="0"/>
              <w:autoSpaceDN w:val="0"/>
              <w:spacing w:before="0" w:after="160" w:line="360" w:lineRule="auto"/>
              <w:ind w:right="0" w:firstLine="0"/>
              <w:jc w:val="both"/>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招标控制价：包括安全文明施工措施费、规费、税金。</w:t>
            </w:r>
          </w:p>
          <w:p>
            <w:pPr>
              <w:numPr>
                <w:ilvl w:val="0"/>
                <w:numId w:val="0"/>
              </w:numPr>
              <w:autoSpaceDE w:val="0"/>
              <w:autoSpaceDN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b/>
                <w:color w:val="auto"/>
                <w:position w:val="0"/>
                <w:sz w:val="24"/>
                <w:szCs w:val="24"/>
                <w:highlight w:val="none"/>
              </w:rPr>
              <w:t>凡投标人的投标报价高于招标控制价（不含等于“招标控制价”）的，该投标人的投标文件应予拒绝。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10.3“暗标”评审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2421" w:type="dxa"/>
            <w:gridSpan w:val="3"/>
            <w:vAlign w:val="center"/>
          </w:tcPr>
          <w:p>
            <w:pPr>
              <w:numPr>
                <w:ilvl w:val="0"/>
                <w:numId w:val="0"/>
              </w:numPr>
              <w:autoSpaceDE/>
              <w:autoSpaceDN/>
              <w:spacing w:before="0" w:after="160" w:line="360" w:lineRule="auto"/>
              <w:ind w:right="0" w:firstLine="0"/>
              <w:jc w:val="center"/>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技术标是否采用“暗标”评审方式</w:t>
            </w:r>
          </w:p>
        </w:tc>
        <w:tc>
          <w:tcPr>
            <w:tcW w:w="6367" w:type="dxa"/>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pacing w:before="0" w:after="160" w:line="360" w:lineRule="auto"/>
              <w:ind w:left="240" w:right="0" w:hanging="24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10.4投标人代表出席开标会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eastAsia" w:hAnsi="宋体" w:cs="宋体"/>
                <w:color w:val="000000" w:themeColor="text1"/>
                <w:sz w:val="24"/>
                <w14:textFill>
                  <w14:solidFill>
                    <w14:schemeClr w14:val="tx1"/>
                  </w14:solidFill>
                </w14:textFill>
              </w:rPr>
              <w:t>投标人准时在网上参加投标、开标活动</w:t>
            </w:r>
            <w:r>
              <w:rPr>
                <w:rFonts w:hint="default" w:ascii="宋体" w:hAnsi="宋体" w:eastAsia="宋体"/>
                <w:b/>
                <w:color w:val="auto"/>
                <w:position w:val="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10.5中标公示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0"/>
              </w:numPr>
              <w:autoSpaceDE/>
              <w:autoSpaceDN/>
              <w:spacing w:before="0" w:after="160" w:line="360" w:lineRule="auto"/>
              <w:ind w:right="0" w:firstLine="0"/>
              <w:jc w:val="both"/>
              <w:rPr>
                <w:rFonts w:hint="default" w:ascii="宋体" w:hAnsi="宋体" w:eastAsia="宋体"/>
                <w:b/>
                <w:color w:val="auto"/>
                <w:position w:val="0"/>
                <w:sz w:val="24"/>
                <w:szCs w:val="24"/>
                <w:highlight w:val="none"/>
              </w:rPr>
            </w:pPr>
            <w:r>
              <w:rPr>
                <w:rFonts w:hint="default" w:ascii="宋体" w:hAnsi="宋体" w:eastAsia="宋体"/>
                <w:color w:val="auto"/>
                <w:position w:val="0"/>
                <w:sz w:val="24"/>
                <w:szCs w:val="24"/>
                <w:highlight w:val="none"/>
              </w:rPr>
              <w:t>1、在中标通知书发出前，招标人将中标候选人的情况在《全国公共资源交易平台（河南省·许昌市）》、《河南省电子招标投标公共服务平台》予以公示，公示期不少于3日。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10.6 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10.7重新招标的其他情形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10.8 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10.9监  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本项目的招标投标活动及其相关当事人应当接受有管辖权的建设工程招标投标行政监督部门依法实施的监督。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10.10 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0"/>
              </w:numPr>
              <w:autoSpaceDE/>
              <w:autoSpaceDN/>
              <w:snapToGrid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构成本招标文件的各个组成文件应互为解释，互为说明；</w:t>
            </w:r>
          </w:p>
          <w:p>
            <w:pPr>
              <w:numPr>
                <w:ilvl w:val="0"/>
                <w:numId w:val="0"/>
              </w:numPr>
              <w:autoSpaceDE/>
              <w:autoSpaceDN/>
              <w:snapToGrid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1、如有不明确或不一致，构成合同文件组成内容，以合同文件约定内容为准，且以专用合同条款约定的合同文件优先顺序解释；</w:t>
            </w:r>
          </w:p>
          <w:p>
            <w:pPr>
              <w:numPr>
                <w:ilvl w:val="0"/>
                <w:numId w:val="0"/>
              </w:numPr>
              <w:autoSpaceDE/>
              <w:autoSpaceDN/>
              <w:snapToGrid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2、除招标文件中有特别规定外，仅适用于招标投标阶段的规定，按招标公告（投标邀请书）、投标人须知、评标办法、投标文件格式的先后顺序解释；</w:t>
            </w:r>
          </w:p>
          <w:p>
            <w:pPr>
              <w:numPr>
                <w:ilvl w:val="0"/>
                <w:numId w:val="0"/>
              </w:numPr>
              <w:autoSpaceDE/>
              <w:autoSpaceDN/>
              <w:snapToGrid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3、同一组成文件中就同一事项的规定或约定不一致的，以编排顺序在后者为准；</w:t>
            </w:r>
          </w:p>
          <w:p>
            <w:pPr>
              <w:numPr>
                <w:ilvl w:val="0"/>
                <w:numId w:val="0"/>
              </w:numPr>
              <w:autoSpaceDE/>
              <w:autoSpaceDN/>
              <w:snapToGrid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4、同一组成文件不同版本之间有不一致的，以形成时间在后者为准。</w:t>
            </w:r>
          </w:p>
          <w:p>
            <w:pPr>
              <w:numPr>
                <w:ilvl w:val="0"/>
                <w:numId w:val="0"/>
              </w:numPr>
              <w:autoSpaceDE/>
              <w:autoSpaceDN/>
              <w:snapToGrid w:val="0"/>
              <w:spacing w:before="0" w:after="160" w:line="360" w:lineRule="auto"/>
              <w:ind w:right="0" w:firstLine="480"/>
              <w:jc w:val="both"/>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napToGrid w:val="0"/>
              <w:spacing w:before="0" w:after="160" w:line="360" w:lineRule="auto"/>
              <w:ind w:right="0" w:firstLine="0"/>
              <w:jc w:val="both"/>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10.11招标人补充的其他内容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autoSpaceDN/>
              <w:snapToGrid w:val="0"/>
              <w:spacing w:before="0" w:after="160" w:line="360" w:lineRule="auto"/>
              <w:ind w:right="0" w:firstLine="0"/>
              <w:jc w:val="both"/>
              <w:rPr>
                <w:rFonts w:hint="default" w:ascii="宋体" w:hAnsi="宋体" w:eastAsia="宋体"/>
                <w:color w:val="auto"/>
                <w:position w:val="0"/>
                <w:sz w:val="24"/>
                <w:szCs w:val="24"/>
                <w:highlight w:val="none"/>
              </w:rPr>
            </w:pPr>
            <w:bookmarkStart w:id="6" w:name="_Toc283559965"/>
            <w:bookmarkStart w:id="7" w:name="_Toc225243456"/>
            <w:r>
              <w:rPr>
                <w:rFonts w:hint="default" w:ascii="宋体" w:hAnsi="宋体" w:eastAsia="宋体"/>
                <w:color w:val="auto"/>
                <w:position w:val="0"/>
                <w:sz w:val="24"/>
                <w:szCs w:val="24"/>
                <w:highlight w:val="none"/>
              </w:rPr>
              <w:t>10.11.1 投标文件的拒收</w:t>
            </w:r>
            <w:bookmarkEnd w:id="6"/>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numPr>
                <w:ilvl w:val="0"/>
                <w:numId w:val="4"/>
              </w:numPr>
              <w:autoSpaceDE w:val="0"/>
              <w:autoSpaceDN w:val="0"/>
              <w:snapToGrid w:val="0"/>
              <w:spacing w:before="0" w:after="160" w:line="360" w:lineRule="auto"/>
              <w:ind w:right="0" w:firstLine="480"/>
              <w:jc w:val="left"/>
              <w:rPr>
                <w:rFonts w:hint="default"/>
              </w:rPr>
            </w:pPr>
            <w:r>
              <w:rPr>
                <w:rFonts w:hint="eastAsia"/>
              </w:rPr>
              <w:t>未成功上传的投标文件；</w:t>
            </w:r>
          </w:p>
          <w:p>
            <w:pPr>
              <w:numPr>
                <w:ilvl w:val="0"/>
                <w:numId w:val="0"/>
              </w:numPr>
              <w:autoSpaceDE w:val="0"/>
              <w:autoSpaceDN w:val="0"/>
              <w:snapToGrid w:val="0"/>
              <w:spacing w:before="0" w:after="160" w:line="360" w:lineRule="auto"/>
              <w:ind w:right="0" w:rightChars="0" w:firstLine="480" w:firstLineChars="200"/>
              <w:jc w:val="left"/>
              <w:rPr>
                <w:rFonts w:hint="default"/>
              </w:rPr>
            </w:pPr>
            <w:r>
              <w:rPr>
                <w:rFonts w:hint="eastAsia" w:hAnsi="宋体" w:eastAsia="宋体" w:cs="宋体"/>
                <w:color w:val="000000" w:themeColor="text1"/>
                <w:sz w:val="24"/>
                <w14:textFill>
                  <w14:solidFill>
                    <w14:schemeClr w14:val="tx1"/>
                  </w14:solidFill>
                </w14:textFill>
              </w:rPr>
              <w:t>2、</w:t>
            </w:r>
            <w:r>
              <w:rPr>
                <w:rFonts w:hint="eastAsia" w:hAnsi="宋体" w:eastAsia="宋体" w:cs="宋体"/>
                <w:color w:val="FF0000"/>
                <w:sz w:val="24"/>
              </w:rPr>
              <w:t>未</w:t>
            </w:r>
            <w:r>
              <w:rPr>
                <w:rFonts w:hint="eastAsia" w:hAnsi="宋体" w:eastAsia="宋体" w:cs="宋体"/>
                <w:color w:val="FF0000"/>
                <w:sz w:val="24"/>
                <w:lang w:val="en-US" w:eastAsia="zh-CN"/>
              </w:rPr>
              <w:t>进行</w:t>
            </w:r>
            <w:r>
              <w:rPr>
                <w:rFonts w:hint="eastAsia" w:hAnsi="宋体" w:eastAsia="宋体" w:cs="宋体"/>
                <w:color w:val="FF0000"/>
                <w:sz w:val="24"/>
              </w:rPr>
              <w:t>解密或未按要求成功解密的</w:t>
            </w:r>
            <w:r>
              <w:rPr>
                <w:rFonts w:hint="eastAsia" w:hAnsi="宋体" w:eastAsia="宋体" w:cs="宋体"/>
                <w:color w:val="FF0000"/>
                <w:sz w:val="24"/>
                <w:lang w:val="en-US" w:eastAsia="zh-CN"/>
              </w:rPr>
              <w:t>投标文件</w:t>
            </w:r>
            <w:r>
              <w:rPr>
                <w:rFonts w:hint="eastAsia" w:hAnsi="宋体" w:eastAsia="宋体" w:cs="宋体"/>
                <w:color w:val="000000" w:themeColor="text1"/>
                <w:sz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854" w:type="dxa"/>
            <w:gridSpan w:val="7"/>
            <w:vAlign w:val="center"/>
          </w:tcPr>
          <w:p>
            <w:pPr>
              <w:numPr>
                <w:ilvl w:val="0"/>
                <w:numId w:val="0"/>
              </w:numPr>
              <w:autoSpaceDE w:val="0"/>
              <w:autoSpaceDN w:val="0"/>
              <w:snapToGrid w:val="0"/>
              <w:spacing w:before="0" w:after="160" w:line="360" w:lineRule="auto"/>
              <w:ind w:right="0" w:firstLine="0"/>
              <w:jc w:val="left"/>
              <w:rPr>
                <w:rFonts w:hint="default" w:ascii="宋体" w:hAnsi="宋体" w:eastAsia="宋体"/>
                <w:color w:val="auto"/>
                <w:position w:val="0"/>
                <w:sz w:val="24"/>
                <w:szCs w:val="24"/>
                <w:highlight w:val="none"/>
              </w:rPr>
            </w:pPr>
            <w:r>
              <w:rPr>
                <w:rFonts w:hint="default" w:ascii="宋体" w:hAnsi="宋体" w:eastAsia="宋体"/>
                <w:color w:val="auto"/>
                <w:position w:val="0"/>
                <w:sz w:val="24"/>
                <w:szCs w:val="24"/>
                <w:highlight w:val="none"/>
              </w:rPr>
              <w:t>10.12 特别提示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 w:type="dxa"/>
            <w:gridSpan w:val="3"/>
            <w:vAlign w:val="center"/>
          </w:tcPr>
          <w:p>
            <w:pPr>
              <w:numPr>
                <w:ilvl w:val="0"/>
                <w:numId w:val="0"/>
              </w:numPr>
              <w:autoSpaceDE/>
              <w:autoSpaceDN/>
              <w:spacing w:before="0" w:after="160" w:line="360" w:lineRule="auto"/>
              <w:ind w:right="0" w:firstLine="0"/>
              <w:jc w:val="both"/>
              <w:rPr>
                <w:rFonts w:hint="default" w:ascii="宋体" w:hAnsi="宋体" w:eastAsia="宋体"/>
                <w:color w:val="auto"/>
                <w:position w:val="0"/>
                <w:sz w:val="24"/>
                <w:szCs w:val="24"/>
                <w:highlight w:val="none"/>
              </w:rPr>
            </w:pPr>
          </w:p>
        </w:tc>
        <w:tc>
          <w:tcPr>
            <w:tcW w:w="8788" w:type="dxa"/>
            <w:gridSpan w:val="4"/>
            <w:vAlign w:val="center"/>
          </w:tcPr>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1、潜在投标人应仔细阅读招标文件、工程量清单，若发现工程量清单中项目特征描述错误等或工程量清单与图纸存在差异，请在规定时间内在</w:t>
            </w:r>
            <w:r>
              <w:rPr>
                <w:rFonts w:hint="eastAsia" w:hAnsi="宋体" w:cs="宋体"/>
                <w:color w:val="000000" w:themeColor="text1"/>
                <w:sz w:val="24"/>
                <w14:textFill>
                  <w14:solidFill>
                    <w14:schemeClr w14:val="tx1"/>
                  </w14:solidFill>
                </w14:textFill>
              </w:rPr>
              <w:t>《全国公共资源交易平台（河南省·许昌市）》</w:t>
            </w:r>
            <w:r>
              <w:rPr>
                <w:rFonts w:hint="eastAsia" w:hAnsi="宋体" w:eastAsia="宋体" w:cs="宋体"/>
                <w:color w:val="000000" w:themeColor="text1"/>
                <w:sz w:val="24"/>
                <w14:textFill>
                  <w14:solidFill>
                    <w14:schemeClr w14:val="tx1"/>
                  </w14:solidFill>
                </w14:textFill>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2、潜在投标人如对招标文件有异议，请在规定时间内在</w:t>
            </w:r>
            <w:r>
              <w:rPr>
                <w:rFonts w:hint="eastAsia" w:hAnsi="宋体" w:cs="宋体"/>
                <w:color w:val="000000" w:themeColor="text1"/>
                <w:sz w:val="24"/>
                <w14:textFill>
                  <w14:solidFill>
                    <w14:schemeClr w14:val="tx1"/>
                  </w14:solidFill>
                </w14:textFill>
              </w:rPr>
              <w:t>《全国公共资源交易平台（河南省·许昌市）》</w:t>
            </w:r>
            <w:r>
              <w:rPr>
                <w:rFonts w:hint="eastAsia" w:hAnsi="宋体" w:eastAsia="宋体" w:cs="宋体"/>
                <w:color w:val="000000" w:themeColor="text1"/>
                <w:sz w:val="24"/>
                <w14:textFill>
                  <w14:solidFill>
                    <w14:schemeClr w14:val="tx1"/>
                  </w14:solidFill>
                </w14:textFill>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3、投标人在投标截止时间前应随时关注</w:t>
            </w:r>
            <w:r>
              <w:rPr>
                <w:rFonts w:hint="eastAsia" w:hAnsi="宋体" w:cs="宋体"/>
                <w:color w:val="000000" w:themeColor="text1"/>
                <w:sz w:val="24"/>
                <w14:textFill>
                  <w14:solidFill>
                    <w14:schemeClr w14:val="tx1"/>
                  </w14:solidFill>
                </w14:textFill>
              </w:rPr>
              <w:t>《全国公共资源交易平台（河南省·许昌市）》</w:t>
            </w:r>
            <w:r>
              <w:rPr>
                <w:rFonts w:hint="eastAsia" w:hAnsi="宋体" w:eastAsia="宋体" w:cs="宋体"/>
                <w:color w:val="000000" w:themeColor="text1"/>
                <w:sz w:val="24"/>
                <w14:textFill>
                  <w14:solidFill>
                    <w14:schemeClr w14:val="tx1"/>
                  </w14:solidFill>
                </w14:textFill>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5、招标人及其代理机构需留存项目电子档案时，可在质疑期满后使用</w:t>
            </w:r>
            <w:r>
              <w:rPr>
                <w:rFonts w:hAnsi="宋体" w:eastAsia="宋体" w:cs="宋体"/>
                <w:color w:val="000000" w:themeColor="text1"/>
                <w:sz w:val="24"/>
                <w14:textFill>
                  <w14:solidFill>
                    <w14:schemeClr w14:val="tx1"/>
                  </w14:solidFill>
                </w14:textFill>
              </w:rPr>
              <w:t>CA锁从交易平台自行下载。</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6、商务标投标文件制作注意事项：</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6.1 投标人登录</w:t>
            </w:r>
            <w:r>
              <w:rPr>
                <w:rFonts w:hint="eastAsia" w:hAnsi="宋体" w:cs="宋体"/>
                <w:color w:val="000000" w:themeColor="text1"/>
                <w:sz w:val="24"/>
                <w14:textFill>
                  <w14:solidFill>
                    <w14:schemeClr w14:val="tx1"/>
                  </w14:solidFill>
                </w14:textFill>
              </w:rPr>
              <w:t>《全国公共资源交易平台（河南省·许昌市）》</w:t>
            </w:r>
            <w:r>
              <w:rPr>
                <w:rFonts w:hint="eastAsia" w:hAnsi="宋体" w:eastAsia="宋体" w:cs="宋体"/>
                <w:color w:val="000000" w:themeColor="text1"/>
                <w:sz w:val="24"/>
                <w14:textFill>
                  <w14:solidFill>
                    <w14:schemeClr w14:val="tx1"/>
                  </w14:solidFill>
                </w14:textFill>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6.6投标人</w:t>
            </w:r>
            <w:r>
              <w:rPr>
                <w:rFonts w:hint="eastAsia" w:hAnsi="宋体" w:eastAsia="宋体" w:cs="宋体"/>
                <w:color w:val="FF0000"/>
                <w:sz w:val="24"/>
                <w:lang w:val="en-US" w:eastAsia="zh-CN"/>
              </w:rPr>
              <w:t>采用银行转账方式提交投标保证金的，</w:t>
            </w:r>
            <w:r>
              <w:rPr>
                <w:rFonts w:hint="eastAsia" w:hAnsi="宋体" w:eastAsia="宋体" w:cs="宋体"/>
                <w:color w:val="000000" w:themeColor="text1"/>
                <w:sz w:val="24"/>
                <w14:textFill>
                  <w14:solidFill>
                    <w14:schemeClr w14:val="tx1"/>
                  </w14:solidFill>
                </w14:textFill>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7、投标人需提前熟悉招标文件相关事项及《</w:t>
            </w:r>
            <w:r>
              <w:rPr>
                <w:rFonts w:hint="eastAsia" w:hAnsi="宋体"/>
                <w:color w:val="000000" w:themeColor="text1"/>
                <w:sz w:val="24"/>
                <w:szCs w:val="22"/>
                <w14:textFill>
                  <w14:solidFill>
                    <w14:schemeClr w14:val="tx1"/>
                  </w14:solidFill>
                </w14:textFill>
              </w:rPr>
              <w:t>许昌市不见面</w:t>
            </w:r>
            <w:r>
              <w:rPr>
                <w:rFonts w:hint="eastAsia" w:hAnsi="宋体"/>
                <w:color w:val="000000" w:themeColor="text1"/>
                <w:sz w:val="24"/>
                <w:szCs w:val="22"/>
                <w:lang w:eastAsia="zh-CN"/>
                <w14:textFill>
                  <w14:solidFill>
                    <w14:schemeClr w14:val="tx1"/>
                  </w14:solidFill>
                </w14:textFill>
              </w:rPr>
              <w:t>开标</w:t>
            </w:r>
            <w:r>
              <w:rPr>
                <w:rFonts w:hint="eastAsia" w:hAnsi="宋体"/>
                <w:color w:val="000000" w:themeColor="text1"/>
                <w:sz w:val="24"/>
                <w:szCs w:val="22"/>
                <w14:textFill>
                  <w14:solidFill>
                    <w14:schemeClr w14:val="tx1"/>
                  </w14:solidFill>
                </w14:textFill>
              </w:rPr>
              <w:t>操作手册</w:t>
            </w:r>
            <w:r>
              <w:rPr>
                <w:rFonts w:hint="eastAsia" w:hAnsi="宋体" w:eastAsia="宋体" w:cs="宋体"/>
                <w:color w:val="000000" w:themeColor="text1"/>
                <w:sz w:val="24"/>
                <w14:textFill>
                  <w14:solidFill>
                    <w14:schemeClr w14:val="tx1"/>
                  </w14:solidFill>
                </w14:textFill>
              </w:rPr>
              <w:t>》，并设置不见面开标浏览器（设置流程详见《</w:t>
            </w:r>
            <w:r>
              <w:rPr>
                <w:rFonts w:hint="eastAsia" w:hAnsi="宋体"/>
                <w:color w:val="000000" w:themeColor="text1"/>
                <w:sz w:val="24"/>
                <w:szCs w:val="22"/>
                <w14:textFill>
                  <w14:solidFill>
                    <w14:schemeClr w14:val="tx1"/>
                  </w14:solidFill>
                </w14:textFill>
              </w:rPr>
              <w:t>许昌市不见面</w:t>
            </w:r>
            <w:r>
              <w:rPr>
                <w:rFonts w:hint="eastAsia" w:hAnsi="宋体"/>
                <w:color w:val="000000" w:themeColor="text1"/>
                <w:sz w:val="24"/>
                <w:szCs w:val="22"/>
                <w:lang w:eastAsia="zh-CN"/>
                <w14:textFill>
                  <w14:solidFill>
                    <w14:schemeClr w14:val="tx1"/>
                  </w14:solidFill>
                </w14:textFill>
              </w:rPr>
              <w:t>开标</w:t>
            </w:r>
            <w:r>
              <w:rPr>
                <w:rFonts w:hint="eastAsia" w:hAnsi="宋体"/>
                <w:color w:val="000000" w:themeColor="text1"/>
                <w:sz w:val="24"/>
                <w:szCs w:val="22"/>
                <w14:textFill>
                  <w14:solidFill>
                    <w14:schemeClr w14:val="tx1"/>
                  </w14:solidFill>
                </w14:textFill>
              </w:rPr>
              <w:t>操作手册</w:t>
            </w:r>
            <w:r>
              <w:rPr>
                <w:rFonts w:hint="eastAsia" w:hAnsi="宋体" w:eastAsia="宋体" w:cs="宋体"/>
                <w:color w:val="000000" w:themeColor="text1"/>
                <w:sz w:val="24"/>
                <w14:textFill>
                  <w14:solidFill>
                    <w14:schemeClr w14:val="tx1"/>
                  </w14:solidFill>
                </w14:textFill>
              </w:rPr>
              <w:t>》）。</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10、从参与项目交易开始至项目交易活动结束止，投标（响应）人应时刻关注电子交易系统中的项目进度和状态，</w:t>
            </w:r>
            <w:r>
              <w:rPr>
                <w:rFonts w:hint="eastAsia" w:hAnsi="宋体" w:eastAsia="宋体" w:cs="宋体"/>
                <w:color w:val="FF0000"/>
                <w:sz w:val="24"/>
              </w:rPr>
              <w:t>特别在项目评审期间，保持投标文件提供的联系方式畅通，评标委员会随时</w:t>
            </w:r>
            <w:r>
              <w:rPr>
                <w:rFonts w:hint="eastAsia" w:hAnsi="宋体" w:eastAsia="宋体" w:cs="宋体"/>
                <w:color w:val="FF0000"/>
                <w:sz w:val="24"/>
                <w:lang w:val="en-US" w:eastAsia="zh-CN"/>
              </w:rPr>
              <w:t>可能对投标文件内容</w:t>
            </w:r>
            <w:r>
              <w:rPr>
                <w:rFonts w:hint="eastAsia" w:hAnsi="宋体" w:eastAsia="宋体" w:cs="宋体"/>
                <w:color w:val="FF0000"/>
                <w:sz w:val="24"/>
              </w:rPr>
              <w:t>质询</w:t>
            </w:r>
            <w:r>
              <w:rPr>
                <w:rFonts w:hint="eastAsia" w:hAnsi="宋体" w:eastAsia="宋体" w:cs="宋体"/>
                <w:color w:val="FF0000"/>
                <w:sz w:val="24"/>
                <w:lang w:eastAsia="zh-CN"/>
              </w:rPr>
              <w:t>，</w:t>
            </w:r>
            <w:r>
              <w:rPr>
                <w:rFonts w:hint="eastAsia" w:hAnsi="宋体" w:eastAsia="宋体" w:cs="宋体"/>
                <w:color w:val="FF0000"/>
                <w:sz w:val="24"/>
                <w:lang w:val="en-US" w:eastAsia="zh-CN"/>
              </w:rPr>
              <w:t>投标人应及时</w:t>
            </w:r>
            <w:r>
              <w:rPr>
                <w:rFonts w:hint="eastAsia" w:hAnsi="宋体" w:eastAsia="宋体" w:cs="宋体"/>
                <w:color w:val="FF0000"/>
                <w:sz w:val="24"/>
              </w:rPr>
              <w:t>进行答复（包括但不限于</w:t>
            </w:r>
            <w:r>
              <w:rPr>
                <w:rFonts w:hint="eastAsia" w:hAnsi="宋体" w:eastAsia="宋体" w:cs="宋体"/>
                <w:color w:val="FF0000"/>
                <w:sz w:val="24"/>
                <w:lang w:val="en-US" w:eastAsia="zh-CN"/>
              </w:rPr>
              <w:t>电子文档、</w:t>
            </w:r>
            <w:r>
              <w:rPr>
                <w:rFonts w:hint="eastAsia" w:hAnsi="宋体" w:eastAsia="宋体" w:cs="宋体"/>
                <w:color w:val="FF0000"/>
                <w:sz w:val="24"/>
              </w:rPr>
              <w:t>电子邮件等）。</w:t>
            </w:r>
            <w:r>
              <w:rPr>
                <w:rFonts w:hint="eastAsia" w:hAnsi="宋体" w:eastAsia="宋体" w:cs="宋体"/>
                <w:color w:val="000000" w:themeColor="text1"/>
                <w:sz w:val="24"/>
                <w14:textFill>
                  <w14:solidFill>
                    <w14:schemeClr w14:val="tx1"/>
                  </w14:solidFill>
                </w14:textFill>
              </w:rPr>
              <w:t>由于自身原因错过变更通知、文件澄清、报价响应（自系统发起30分钟内做出）等重要信息的，后果由投标（响应）人自行承担。</w:t>
            </w:r>
          </w:p>
          <w:p>
            <w:pPr>
              <w:numPr>
                <w:ilvl w:val="0"/>
                <w:numId w:val="0"/>
              </w:numPr>
              <w:autoSpaceDE w:val="0"/>
              <w:autoSpaceDN w:val="0"/>
              <w:snapToGrid w:val="0"/>
              <w:spacing w:before="0" w:after="160" w:line="360" w:lineRule="auto"/>
              <w:ind w:right="0" w:firstLine="480"/>
              <w:jc w:val="left"/>
              <w:rPr>
                <w:rFonts w:hint="default" w:ascii="宋体" w:hAnsi="宋体" w:eastAsia="宋体"/>
                <w:color w:val="auto"/>
                <w:position w:val="0"/>
                <w:sz w:val="24"/>
                <w:szCs w:val="24"/>
                <w:highlight w:val="none"/>
              </w:rPr>
            </w:pPr>
            <w:r>
              <w:rPr>
                <w:rFonts w:hint="eastAsia" w:hAnsi="宋体" w:eastAsia="宋体" w:cs="宋体"/>
                <w:b/>
                <w:color w:val="000000" w:themeColor="text1"/>
                <w:sz w:val="24"/>
                <w14:textFill>
                  <w14:solidFill>
                    <w14:schemeClr w14:val="tx1"/>
                  </w14:solidFill>
                </w14:textFill>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8" w:name="_Toc283559947"/>
      <w:bookmarkStart w:id="9" w:name="_Toc283559990"/>
      <w:r>
        <w:rPr>
          <w:rFonts w:hint="default" w:ascii="Times New Roman" w:hAnsi="宋体" w:eastAsia="宋体"/>
          <w:b/>
          <w:color w:val="auto"/>
          <w:position w:val="0"/>
          <w:sz w:val="24"/>
          <w:szCs w:val="24"/>
          <w:highlight w:val="none"/>
        </w:rPr>
        <w:t>1. 总则</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1.1 项目概况</w:t>
      </w:r>
      <w:r>
        <w:rPr>
          <w:rFonts w:hint="default" w:ascii="Times New Roman" w:hAnsi="宋体" w:eastAsia="宋体"/>
          <w:b/>
          <w:color w:val="auto"/>
          <w:position w:val="0"/>
          <w:sz w:val="24"/>
          <w:szCs w:val="24"/>
          <w:highlight w:val="none"/>
        </w:rPr>
        <w:tab/>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1.1.1根据《中华人民共和国招标投标法》等有关法律、法规和规章的规定，本招标项目已具备招标条件，现对本工程进行施工招标。</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1.1.2 本招标项目招标人：见投标人须知前附表。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1.1.3 本招标项目招标代理机构：见投标人须知前附表。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1.1.4 本招标项目名称：见投标人须知前附表。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1.1.5 本标段建设地点：见投标人须知前附表。</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1.2 资金来源和落实情况</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1.2.1 本招标项目的资金来源：见投标人须知前附表。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1.2.2 本招标项目的出资比例：见投标人须知前附表。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1.2.2本招标项目的资金落实情况：见投标人须知前附表。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1.3 招标范围、工期和质量要求</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1.3.1 本招标项目的招标范围：见投标人须知前附表。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1.3.2 本招标项目的工期要求：见投标人须知前附表。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1.3.3 本招标项目的质量要求：见投标人须知前附表。</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1.4 投标人及项目经理资格要求</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1.4.1投标人、项目经理资格要求：见投标人须知前附表。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1.4.2 投标人资格要求（详见投标人须知前附表）, 投标人须知前附表规定接受联合体投标的，除应符合投标人须知前附表的要求外，还应遵守以下规定：</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（1）联合体各方应招标文件提供的格式签订联合体协议书，明确联合体牵头人和各方的权利义务；</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（2）同一专业的单位组成的联合体，应当按照资质等级较低的单位确定联合体的资质等级。</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（3）联合体各方不得再以自己名义单独或参加其他联合体在同一标段中投标。</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投标人不得存在下列情形之一：</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（1）为招标人不具有独立法人资格的附属机构（单位）； </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（2）为本标段前期准备提供设计或咨询服务的； </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（3）为本标段的监理人；</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（4）为本标段的代建人； </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（5）为本标段提供招标代理服务的； </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（6）与本标段的监理人或代建人或招标代理机构同为一个法定代表人的；</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（7）与本标段的监理人或代建人或招标代理机构相互控股或参股的；</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（8）与本标段的监理人或代建人或招标代理机构相互任职或工作的；</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（9）被责令停业的； </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（10）被暂停或取消投标资格的； </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（11）财产被接管或冻结的；</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（12）在最近三年内有骗取中标或严重违约或重大工程质量问题的。</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10" w:name="_Toc179632552"/>
      <w:bookmarkStart w:id="11" w:name="_Toc152045535"/>
      <w:bookmarkStart w:id="12" w:name="_Toc144974503"/>
      <w:bookmarkStart w:id="13" w:name="_Toc152042311"/>
      <w:r>
        <w:rPr>
          <w:rFonts w:hint="default" w:ascii="Times New Roman" w:hAnsi="宋体" w:eastAsia="宋体"/>
          <w:b/>
          <w:color w:val="auto"/>
          <w:position w:val="0"/>
          <w:sz w:val="24"/>
          <w:szCs w:val="24"/>
          <w:highlight w:val="none"/>
        </w:rPr>
        <w:t>1.5 费用承担</w:t>
      </w:r>
      <w:bookmarkEnd w:id="10"/>
      <w:bookmarkEnd w:id="11"/>
      <w:bookmarkEnd w:id="12"/>
      <w:bookmarkEnd w:id="13"/>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投标人准备和参加投标活动发生的费用自理</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14" w:name="_Toc152042312"/>
      <w:bookmarkStart w:id="15" w:name="_Toc179632553"/>
      <w:bookmarkStart w:id="16" w:name="_Toc152045536"/>
      <w:bookmarkStart w:id="17" w:name="_Toc144974504"/>
      <w:r>
        <w:rPr>
          <w:rFonts w:hint="default" w:ascii="Times New Roman" w:hAnsi="宋体" w:eastAsia="宋体"/>
          <w:b/>
          <w:color w:val="auto"/>
          <w:position w:val="0"/>
          <w:sz w:val="24"/>
          <w:szCs w:val="24"/>
          <w:highlight w:val="none"/>
        </w:rPr>
        <w:t>1.6 保密</w:t>
      </w:r>
      <w:bookmarkEnd w:id="14"/>
      <w:bookmarkEnd w:id="15"/>
      <w:bookmarkEnd w:id="16"/>
      <w:bookmarkEnd w:id="17"/>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参与招标投标活动的各方应对招标文件和投标文件中的商业和技术等秘密保密，违者应对由此造成的后果承担法律责任。 </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18" w:name="_Toc144974505"/>
      <w:bookmarkStart w:id="19" w:name="_Toc152045537"/>
      <w:bookmarkStart w:id="20" w:name="_Toc179632554"/>
      <w:bookmarkStart w:id="21" w:name="_Toc152042313"/>
      <w:r>
        <w:rPr>
          <w:rFonts w:hint="default" w:ascii="Times New Roman" w:hAnsi="宋体" w:eastAsia="宋体"/>
          <w:b/>
          <w:color w:val="auto"/>
          <w:position w:val="0"/>
          <w:sz w:val="24"/>
          <w:szCs w:val="24"/>
          <w:highlight w:val="none"/>
        </w:rPr>
        <w:t>1.7 语言</w:t>
      </w:r>
      <w:bookmarkEnd w:id="18"/>
      <w:r>
        <w:rPr>
          <w:rFonts w:hint="default" w:ascii="Times New Roman" w:hAnsi="宋体" w:eastAsia="宋体"/>
          <w:b/>
          <w:color w:val="auto"/>
          <w:position w:val="0"/>
          <w:sz w:val="24"/>
          <w:szCs w:val="24"/>
          <w:highlight w:val="none"/>
        </w:rPr>
        <w:t>文字</w:t>
      </w:r>
      <w:bookmarkEnd w:id="19"/>
      <w:bookmarkEnd w:id="20"/>
      <w:bookmarkEnd w:id="21"/>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除专用术语外，与招标投标有关的语言均使用中文。必要时专用术语应附有中文注释。</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22" w:name="_Toc179632555"/>
      <w:bookmarkStart w:id="23" w:name="_Toc152042314"/>
      <w:bookmarkStart w:id="24" w:name="_Toc152045538"/>
      <w:bookmarkStart w:id="25" w:name="_Toc144974506"/>
      <w:r>
        <w:rPr>
          <w:rFonts w:hint="default" w:ascii="Times New Roman" w:hAnsi="宋体" w:eastAsia="宋体"/>
          <w:b/>
          <w:color w:val="auto"/>
          <w:position w:val="0"/>
          <w:sz w:val="24"/>
          <w:szCs w:val="24"/>
          <w:highlight w:val="none"/>
        </w:rPr>
        <w:t>1.8 计量单位</w:t>
      </w:r>
      <w:bookmarkEnd w:id="22"/>
      <w:bookmarkEnd w:id="23"/>
      <w:bookmarkEnd w:id="24"/>
      <w:bookmarkEnd w:id="25"/>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所有计量均采用中华人民共和国法定计量单位。</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1.9 踏勘现场</w:t>
      </w:r>
      <w:bookmarkEnd w:id="8"/>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1.9.1 不组织。          </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1.9.2 投标人踏勘现场发生的费用自理。</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1.9.3 除招标人的原因外，投标人自行负责在踏勘现场中所发生的人员伤亡和财产损失。</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1.9.4 招标人在踏勘现场中介绍的工程场地和相关的周边环境情况，供投标人在编制投标文件时参考，招标人不对投标人据此作出的判断和决策负责。</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26" w:name="_Toc283559948"/>
      <w:r>
        <w:rPr>
          <w:rFonts w:hint="default" w:ascii="Times New Roman" w:hAnsi="宋体" w:eastAsia="宋体"/>
          <w:b/>
          <w:color w:val="auto"/>
          <w:position w:val="0"/>
          <w:sz w:val="24"/>
          <w:szCs w:val="24"/>
          <w:highlight w:val="none"/>
        </w:rPr>
        <w:t>1.10 投标预备会</w:t>
      </w:r>
      <w:bookmarkEnd w:id="26"/>
    </w:p>
    <w:p>
      <w:pPr>
        <w:numPr>
          <w:ilvl w:val="0"/>
          <w:numId w:val="0"/>
        </w:numPr>
        <w:autoSpaceDE w:val="0"/>
        <w:autoSpaceDN w:val="0"/>
        <w:spacing w:before="0" w:after="160" w:line="45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color w:val="auto"/>
          <w:position w:val="0"/>
          <w:sz w:val="24"/>
          <w:szCs w:val="24"/>
          <w:highlight w:val="none"/>
        </w:rPr>
        <w:t>1.10.1 招标人不召开投标预备会。</w:t>
      </w:r>
    </w:p>
    <w:p>
      <w:pPr>
        <w:numPr>
          <w:ilvl w:val="0"/>
          <w:numId w:val="0"/>
        </w:numPr>
        <w:autoSpaceDE w:val="0"/>
        <w:autoSpaceDN w:val="0"/>
        <w:spacing w:before="0" w:after="160" w:line="45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1.10.2 投标人应在投标人须知前附表规定的时间前，将问题在公共资源交易系统电子平台上提出。</w:t>
      </w:r>
    </w:p>
    <w:p>
      <w:pPr>
        <w:numPr>
          <w:ilvl w:val="0"/>
          <w:numId w:val="0"/>
        </w:numPr>
        <w:autoSpaceDE w:val="0"/>
        <w:autoSpaceDN w:val="0"/>
        <w:spacing w:before="0" w:after="160" w:line="45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1.10.3 招标人在投标人须知前附表规定的时间内，将对投标人所提问题的澄清，在公共资源交易系统电子平台上予以澄清。该澄清内容为招标文件的组成部分。</w:t>
      </w:r>
    </w:p>
    <w:p>
      <w:pPr>
        <w:numPr>
          <w:ilvl w:val="0"/>
          <w:numId w:val="0"/>
        </w:numPr>
        <w:autoSpaceDE w:val="0"/>
        <w:autoSpaceDN w:val="0"/>
        <w:spacing w:before="0" w:after="160" w:line="450" w:lineRule="exact"/>
        <w:ind w:right="0" w:firstLine="480"/>
        <w:jc w:val="left"/>
        <w:rPr>
          <w:rFonts w:hint="default" w:ascii="Times New Roman" w:hAnsi="宋体" w:eastAsia="宋体"/>
          <w:b/>
          <w:color w:val="auto"/>
          <w:position w:val="0"/>
          <w:sz w:val="24"/>
          <w:szCs w:val="24"/>
          <w:highlight w:val="none"/>
        </w:rPr>
      </w:pPr>
      <w:bookmarkStart w:id="27" w:name="_Toc283559949"/>
      <w:r>
        <w:rPr>
          <w:rFonts w:hint="default" w:ascii="Times New Roman" w:hAnsi="宋体" w:eastAsia="宋体"/>
          <w:b/>
          <w:color w:val="auto"/>
          <w:position w:val="0"/>
          <w:sz w:val="24"/>
          <w:szCs w:val="24"/>
          <w:highlight w:val="none"/>
        </w:rPr>
        <w:t>1.11 分包</w:t>
      </w:r>
      <w:bookmarkEnd w:id="27"/>
    </w:p>
    <w:p>
      <w:pPr>
        <w:numPr>
          <w:ilvl w:val="0"/>
          <w:numId w:val="0"/>
        </w:numPr>
        <w:autoSpaceDE w:val="0"/>
        <w:autoSpaceDN w:val="0"/>
        <w:spacing w:before="0" w:after="160" w:line="45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color w:val="auto"/>
          <w:position w:val="0"/>
          <w:sz w:val="24"/>
          <w:szCs w:val="24"/>
          <w:highlight w:val="none"/>
        </w:rPr>
        <w:t>不允许。</w:t>
      </w:r>
    </w:p>
    <w:p>
      <w:pPr>
        <w:numPr>
          <w:ilvl w:val="0"/>
          <w:numId w:val="0"/>
        </w:numPr>
        <w:autoSpaceDE w:val="0"/>
        <w:autoSpaceDN w:val="0"/>
        <w:spacing w:before="0" w:after="160" w:line="450" w:lineRule="exact"/>
        <w:ind w:right="0" w:firstLine="480"/>
        <w:jc w:val="left"/>
        <w:rPr>
          <w:rFonts w:hint="default" w:ascii="Times New Roman" w:hAnsi="宋体" w:eastAsia="宋体"/>
          <w:b/>
          <w:color w:val="auto"/>
          <w:position w:val="0"/>
          <w:sz w:val="24"/>
          <w:szCs w:val="24"/>
          <w:highlight w:val="none"/>
        </w:rPr>
      </w:pPr>
      <w:bookmarkStart w:id="28" w:name="_Toc283559950"/>
      <w:r>
        <w:rPr>
          <w:rFonts w:hint="default" w:ascii="Times New Roman" w:hAnsi="宋体" w:eastAsia="宋体"/>
          <w:b/>
          <w:color w:val="auto"/>
          <w:position w:val="0"/>
          <w:sz w:val="24"/>
          <w:szCs w:val="24"/>
          <w:highlight w:val="none"/>
        </w:rPr>
        <w:t>1.12 偏离</w:t>
      </w:r>
      <w:bookmarkEnd w:id="28"/>
    </w:p>
    <w:p>
      <w:pPr>
        <w:numPr>
          <w:ilvl w:val="0"/>
          <w:numId w:val="0"/>
        </w:numPr>
        <w:autoSpaceDE w:val="0"/>
        <w:autoSpaceDN w:val="0"/>
        <w:spacing w:before="0" w:after="160" w:line="45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color w:val="auto"/>
          <w:position w:val="0"/>
          <w:sz w:val="24"/>
          <w:szCs w:val="24"/>
          <w:highlight w:val="none"/>
        </w:rPr>
        <w:t>投标人须知前附表允许投标文件偏离招标文件某些要求的，偏离应当符合招标文件规定的偏离范围和幅度。</w:t>
      </w:r>
    </w:p>
    <w:p>
      <w:pPr>
        <w:pStyle w:val="47"/>
        <w:numPr>
          <w:ilvl w:val="0"/>
          <w:numId w:val="0"/>
        </w:numPr>
        <w:autoSpaceDE w:val="0"/>
        <w:autoSpaceDN w:val="0"/>
        <w:spacing w:before="0" w:after="160" w:line="450" w:lineRule="exact"/>
        <w:ind w:right="0" w:firstLine="480"/>
        <w:jc w:val="both"/>
        <w:rPr>
          <w:rFonts w:hint="default" w:ascii="宋体" w:hAnsi="宋体" w:eastAsia="宋体"/>
          <w:b/>
          <w:color w:val="auto"/>
          <w:position w:val="0"/>
          <w:sz w:val="24"/>
          <w:szCs w:val="24"/>
          <w:highlight w:val="none"/>
        </w:rPr>
      </w:pPr>
      <w:bookmarkStart w:id="29" w:name="_Toc283559951"/>
      <w:r>
        <w:rPr>
          <w:rFonts w:hint="default" w:ascii="宋体" w:hAnsi="宋体" w:eastAsia="宋体"/>
          <w:b/>
          <w:color w:val="auto"/>
          <w:position w:val="0"/>
          <w:sz w:val="24"/>
          <w:szCs w:val="24"/>
          <w:highlight w:val="none"/>
        </w:rPr>
        <w:t>2. 招标文件</w:t>
      </w:r>
      <w:bookmarkEnd w:id="29"/>
    </w:p>
    <w:p>
      <w:pPr>
        <w:numPr>
          <w:ilvl w:val="0"/>
          <w:numId w:val="0"/>
        </w:numPr>
        <w:autoSpaceDE w:val="0"/>
        <w:autoSpaceDN w:val="0"/>
        <w:spacing w:before="0" w:after="160" w:line="450" w:lineRule="exact"/>
        <w:ind w:right="0" w:firstLine="480"/>
        <w:jc w:val="left"/>
        <w:rPr>
          <w:rFonts w:hint="default" w:ascii="Times New Roman" w:hAnsi="宋体" w:eastAsia="宋体"/>
          <w:b/>
          <w:color w:val="auto"/>
          <w:position w:val="0"/>
          <w:sz w:val="24"/>
          <w:szCs w:val="24"/>
          <w:highlight w:val="none"/>
        </w:rPr>
      </w:pPr>
      <w:bookmarkStart w:id="30" w:name="_Toc283559952"/>
      <w:r>
        <w:rPr>
          <w:rFonts w:hint="default" w:ascii="Times New Roman" w:hAnsi="宋体" w:eastAsia="宋体"/>
          <w:b/>
          <w:color w:val="auto"/>
          <w:position w:val="0"/>
          <w:sz w:val="24"/>
          <w:szCs w:val="24"/>
          <w:highlight w:val="none"/>
        </w:rPr>
        <w:t>2.1 招标文件的组成</w:t>
      </w:r>
      <w:bookmarkEnd w:id="30"/>
    </w:p>
    <w:p>
      <w:pPr>
        <w:numPr>
          <w:ilvl w:val="0"/>
          <w:numId w:val="0"/>
        </w:numPr>
        <w:autoSpaceDE w:val="0"/>
        <w:autoSpaceDN w:val="0"/>
        <w:spacing w:before="0" w:after="160" w:line="45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本招标文件包括：</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（1）招标公告；</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（2）投标人须知；</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（3）评标办法；</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（4）合同条款及格式；</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（5）工程量清单； </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（6）图纸； </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（7）技术标准和要求；</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（8）投标文件格式；</w:t>
      </w:r>
    </w:p>
    <w:p>
      <w:pPr>
        <w:numPr>
          <w:ilvl w:val="0"/>
          <w:numId w:val="0"/>
        </w:numPr>
        <w:autoSpaceDE/>
        <w:autoSpaceDN/>
        <w:spacing w:before="0" w:after="160" w:line="45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（9）投标人须知前附表规定的其他材料；</w:t>
      </w:r>
    </w:p>
    <w:p>
      <w:pPr>
        <w:numPr>
          <w:ilvl w:val="0"/>
          <w:numId w:val="0"/>
        </w:numPr>
        <w:autoSpaceDE w:val="0"/>
        <w:autoSpaceDN w:val="0"/>
        <w:spacing w:before="0" w:after="160" w:line="45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根据本章第2.2 款和第2.3 款对招标文件所作的澄清、修改，构成招标文件的组成部分。</w:t>
      </w:r>
    </w:p>
    <w:p>
      <w:pPr>
        <w:numPr>
          <w:ilvl w:val="0"/>
          <w:numId w:val="0"/>
        </w:numPr>
        <w:autoSpaceDE w:val="0"/>
        <w:autoSpaceDN w:val="0"/>
        <w:spacing w:before="0" w:after="160" w:line="450" w:lineRule="exact"/>
        <w:ind w:right="0" w:firstLine="480"/>
        <w:jc w:val="left"/>
        <w:rPr>
          <w:rFonts w:hint="default" w:ascii="Times New Roman" w:hAnsi="宋体" w:eastAsia="宋体"/>
          <w:b/>
          <w:color w:val="auto"/>
          <w:position w:val="0"/>
          <w:sz w:val="24"/>
          <w:szCs w:val="24"/>
          <w:highlight w:val="none"/>
        </w:rPr>
      </w:pPr>
      <w:bookmarkStart w:id="31" w:name="_Toc283559953"/>
      <w:r>
        <w:rPr>
          <w:rFonts w:hint="default" w:ascii="Times New Roman" w:hAnsi="宋体" w:eastAsia="宋体"/>
          <w:b/>
          <w:color w:val="auto"/>
          <w:position w:val="0"/>
          <w:sz w:val="24"/>
          <w:szCs w:val="24"/>
          <w:highlight w:val="none"/>
        </w:rPr>
        <w:t>2.2 招标文件的澄清</w:t>
      </w:r>
      <w:bookmarkEnd w:id="31"/>
    </w:p>
    <w:p>
      <w:pPr>
        <w:numPr>
          <w:ilvl w:val="0"/>
          <w:numId w:val="0"/>
        </w:numPr>
        <w:autoSpaceDE w:val="0"/>
        <w:autoSpaceDN w:val="0"/>
        <w:spacing w:before="0" w:after="160" w:line="450" w:lineRule="exact"/>
        <w:ind w:right="0" w:firstLine="480"/>
        <w:jc w:val="left"/>
        <w:rPr>
          <w:rFonts w:hint="default" w:ascii="Times New Roman" w:hAnsi="宋体" w:eastAsia="宋体"/>
          <w:color w:val="auto"/>
          <w:position w:val="0"/>
          <w:sz w:val="24"/>
          <w:szCs w:val="24"/>
          <w:highlight w:val="none"/>
        </w:rPr>
      </w:pPr>
      <w:bookmarkStart w:id="32" w:name="_Toc283559954"/>
      <w:r>
        <w:rPr>
          <w:rFonts w:hint="default" w:ascii="Times New Roman" w:hAnsi="宋体" w:eastAsia="宋体"/>
          <w:color w:val="auto"/>
          <w:position w:val="0"/>
          <w:sz w:val="24"/>
          <w:szCs w:val="24"/>
          <w:highlight w:val="none"/>
        </w:rPr>
        <w:t>2.2.1 投标人应仔细阅读和检查招标文件的全部内容。如发现缺页或附件不全，应及时向招标人提出，以便补齐。如有疑问，应在投标人须知前附表规定的时间要求招标人对招标文件予以澄清。</w:t>
      </w:r>
      <w:r>
        <w:rPr>
          <w:rFonts w:hint="default" w:ascii="Times New Roman" w:hAnsi="宋体" w:eastAsia="宋体"/>
          <w:b/>
          <w:color w:val="auto"/>
          <w:position w:val="0"/>
          <w:sz w:val="24"/>
          <w:szCs w:val="24"/>
          <w:highlight w:val="none"/>
        </w:rPr>
        <w:t>如未提出异议，视为全面接受。</w:t>
      </w:r>
    </w:p>
    <w:p>
      <w:pPr>
        <w:numPr>
          <w:ilvl w:val="0"/>
          <w:numId w:val="0"/>
        </w:numPr>
        <w:autoSpaceDE w:val="0"/>
        <w:autoSpaceDN w:val="0"/>
        <w:spacing w:before="0" w:after="160" w:line="45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numPr>
          <w:ilvl w:val="0"/>
          <w:numId w:val="0"/>
        </w:numPr>
        <w:autoSpaceDE w:val="0"/>
        <w:autoSpaceDN w:val="0"/>
        <w:spacing w:before="0" w:after="160" w:line="45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2.2.3 所有澄清、答疑全部以《全国公共资源交易平台（河南省·许昌市）》公共资源交易系统发出的为准，不再接受书面形式的递交。</w:t>
      </w:r>
    </w:p>
    <w:p>
      <w:pPr>
        <w:numPr>
          <w:ilvl w:val="0"/>
          <w:numId w:val="0"/>
        </w:numPr>
        <w:autoSpaceDE w:val="0"/>
        <w:autoSpaceDN w:val="0"/>
        <w:spacing w:before="0" w:after="160" w:line="45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2.3 招标文件的修改</w:t>
      </w:r>
      <w:bookmarkEnd w:id="32"/>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2.3.1 在投标截止时间15天前，招标人可以通过《全国公共资源交易平台（河南省·许昌市）》公共资源交易系统修改招标文件，如果修改招标文件的时间距投标截止时间不足15 天，相应延长投标截止时间。</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2.3.2 当招标文件、补充通知、答疑纪要，内容相互矛盾时，以最后发出的通知或纪要为准。</w:t>
      </w:r>
    </w:p>
    <w:p>
      <w:pPr>
        <w:numPr>
          <w:ilvl w:val="0"/>
          <w:numId w:val="0"/>
        </w:numPr>
        <w:autoSpaceDE w:val="0"/>
        <w:autoSpaceDN w:val="0"/>
        <w:spacing w:before="0" w:after="160" w:line="420" w:lineRule="exact"/>
        <w:ind w:right="0" w:firstLine="480"/>
        <w:jc w:val="left"/>
        <w:rPr>
          <w:rFonts w:hint="default" w:ascii="Times New Roman" w:hAnsi="宋体" w:eastAsia="宋体"/>
          <w:b/>
          <w:color w:val="auto"/>
          <w:position w:val="0"/>
          <w:sz w:val="24"/>
          <w:szCs w:val="24"/>
          <w:highlight w:val="none"/>
        </w:rPr>
      </w:pPr>
      <w:bookmarkStart w:id="33" w:name="_Toc152042322"/>
      <w:bookmarkStart w:id="34" w:name="_Toc144974514"/>
      <w:bookmarkStart w:id="35" w:name="_Toc179632564"/>
      <w:bookmarkStart w:id="36" w:name="_Toc152045546"/>
      <w:r>
        <w:rPr>
          <w:rFonts w:hint="default" w:ascii="Times New Roman" w:hAnsi="宋体" w:eastAsia="宋体"/>
          <w:b/>
          <w:color w:val="auto"/>
          <w:position w:val="0"/>
          <w:sz w:val="24"/>
          <w:szCs w:val="24"/>
          <w:highlight w:val="none"/>
        </w:rPr>
        <w:t>3. 投标文件</w:t>
      </w:r>
      <w:bookmarkEnd w:id="33"/>
      <w:bookmarkEnd w:id="34"/>
      <w:bookmarkEnd w:id="35"/>
      <w:bookmarkEnd w:id="36"/>
    </w:p>
    <w:p>
      <w:pPr>
        <w:numPr>
          <w:ilvl w:val="0"/>
          <w:numId w:val="0"/>
        </w:numPr>
        <w:autoSpaceDE w:val="0"/>
        <w:autoSpaceDN w:val="0"/>
        <w:spacing w:before="0" w:after="160" w:line="420" w:lineRule="exact"/>
        <w:ind w:right="0" w:firstLine="480"/>
        <w:jc w:val="left"/>
        <w:rPr>
          <w:rFonts w:hint="default" w:ascii="Times New Roman" w:hAnsi="宋体" w:eastAsia="宋体"/>
          <w:b/>
          <w:color w:val="auto"/>
          <w:position w:val="0"/>
          <w:sz w:val="24"/>
          <w:szCs w:val="24"/>
          <w:highlight w:val="none"/>
        </w:rPr>
      </w:pPr>
      <w:bookmarkStart w:id="37" w:name="_Toc278443453"/>
      <w:r>
        <w:rPr>
          <w:rFonts w:hint="default" w:ascii="Times New Roman" w:hAnsi="宋体" w:eastAsia="宋体"/>
          <w:b/>
          <w:color w:val="auto"/>
          <w:position w:val="0"/>
          <w:sz w:val="24"/>
          <w:szCs w:val="24"/>
          <w:highlight w:val="none"/>
        </w:rPr>
        <w:t>3.1投标文件由商务标、综合标和技术标三部分组成。</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3.1.1  商务标组成：</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已标价工程量清单</w:t>
      </w:r>
    </w:p>
    <w:p>
      <w:pPr>
        <w:numPr>
          <w:ilvl w:val="0"/>
          <w:numId w:val="0"/>
        </w:numPr>
        <w:autoSpaceDE w:val="0"/>
        <w:autoSpaceDN w:val="0"/>
        <w:spacing w:before="0" w:after="160" w:line="420" w:lineRule="exact"/>
        <w:ind w:right="0" w:firstLine="480"/>
        <w:jc w:val="left"/>
        <w:outlineLvl w:val="0"/>
        <w:rPr>
          <w:rFonts w:hint="default" w:ascii="Times New Roman" w:hAnsi="宋体" w:eastAsia="宋体"/>
          <w:color w:val="auto"/>
          <w:position w:val="0"/>
          <w:sz w:val="24"/>
          <w:szCs w:val="24"/>
          <w:highlight w:val="none"/>
        </w:rPr>
      </w:pPr>
      <w:bookmarkStart w:id="38" w:name="_Toc8758"/>
      <w:r>
        <w:rPr>
          <w:rFonts w:hint="default" w:ascii="Times New Roman" w:hAnsi="宋体" w:eastAsia="宋体"/>
          <w:color w:val="auto"/>
          <w:position w:val="0"/>
          <w:sz w:val="24"/>
          <w:szCs w:val="24"/>
          <w:highlight w:val="none"/>
        </w:rPr>
        <w:t>3.1.2综合标组成：</w:t>
      </w:r>
      <w:bookmarkEnd w:id="38"/>
    </w:p>
    <w:p>
      <w:pPr>
        <w:numPr>
          <w:ilvl w:val="0"/>
          <w:numId w:val="0"/>
        </w:numPr>
        <w:autoSpaceDE w:val="0"/>
        <w:autoSpaceDN w:val="0"/>
        <w:spacing w:before="0" w:after="160" w:line="420" w:lineRule="exact"/>
        <w:ind w:right="0" w:firstLine="480"/>
        <w:jc w:val="left"/>
        <w:outlineLvl w:val="0"/>
        <w:rPr>
          <w:rFonts w:hint="default" w:ascii="Times New Roman" w:hAnsi="宋体" w:eastAsia="宋体"/>
          <w:color w:val="auto"/>
          <w:position w:val="0"/>
          <w:sz w:val="24"/>
          <w:szCs w:val="24"/>
          <w:highlight w:val="none"/>
        </w:rPr>
      </w:pPr>
      <w:bookmarkStart w:id="39" w:name="_Toc21470"/>
      <w:r>
        <w:rPr>
          <w:rFonts w:hint="default" w:ascii="Times New Roman" w:hAnsi="宋体" w:eastAsia="宋体"/>
          <w:color w:val="auto"/>
          <w:position w:val="0"/>
          <w:sz w:val="24"/>
          <w:szCs w:val="24"/>
          <w:highlight w:val="none"/>
        </w:rPr>
        <w:t>（1）投标函及投标函附录；</w:t>
      </w:r>
      <w:bookmarkEnd w:id="39"/>
    </w:p>
    <w:p>
      <w:pPr>
        <w:numPr>
          <w:ilvl w:val="0"/>
          <w:numId w:val="0"/>
        </w:numPr>
        <w:autoSpaceDE w:val="0"/>
        <w:autoSpaceDN w:val="0"/>
        <w:spacing w:before="0" w:after="160" w:line="420" w:lineRule="exact"/>
        <w:ind w:right="0" w:firstLine="480"/>
        <w:jc w:val="left"/>
        <w:outlineLvl w:val="0"/>
        <w:rPr>
          <w:rFonts w:hint="eastAsia" w:ascii="Times New Roman" w:hAnsi="宋体" w:eastAsia="宋体"/>
          <w:color w:val="auto"/>
          <w:position w:val="0"/>
          <w:sz w:val="24"/>
          <w:szCs w:val="24"/>
          <w:highlight w:val="none"/>
          <w:lang w:eastAsia="zh-CN"/>
        </w:rPr>
      </w:pPr>
      <w:bookmarkStart w:id="40" w:name="_Toc16850"/>
      <w:r>
        <w:rPr>
          <w:rFonts w:hint="default" w:ascii="Times New Roman" w:hAnsi="宋体" w:eastAsia="宋体"/>
          <w:color w:val="auto"/>
          <w:position w:val="0"/>
          <w:sz w:val="24"/>
          <w:szCs w:val="24"/>
          <w:highlight w:val="none"/>
        </w:rPr>
        <w:t>（2）法定代表人身份证明、授权委托书</w:t>
      </w:r>
      <w:bookmarkEnd w:id="40"/>
      <w:r>
        <w:rPr>
          <w:rFonts w:hint="eastAsia" w:hAnsi="宋体" w:eastAsia="宋体"/>
          <w:color w:val="auto"/>
          <w:position w:val="0"/>
          <w:sz w:val="24"/>
          <w:szCs w:val="24"/>
          <w:highlight w:val="none"/>
          <w:lang w:eastAsia="zh-CN"/>
        </w:rPr>
        <w:t>；</w:t>
      </w:r>
    </w:p>
    <w:p>
      <w:pPr>
        <w:numPr>
          <w:ilvl w:val="0"/>
          <w:numId w:val="0"/>
        </w:numPr>
        <w:autoSpaceDE w:val="0"/>
        <w:autoSpaceDN w:val="0"/>
        <w:spacing w:before="0" w:after="160" w:line="420" w:lineRule="exact"/>
        <w:ind w:right="0" w:firstLine="480"/>
        <w:jc w:val="left"/>
        <w:outlineLvl w:val="0"/>
        <w:rPr>
          <w:rFonts w:hint="default" w:ascii="Times New Roman" w:hAnsi="宋体" w:eastAsia="宋体"/>
          <w:color w:val="auto"/>
          <w:position w:val="0"/>
          <w:sz w:val="24"/>
          <w:szCs w:val="24"/>
          <w:highlight w:val="none"/>
        </w:rPr>
      </w:pPr>
      <w:bookmarkStart w:id="41" w:name="_Toc8670"/>
      <w:r>
        <w:rPr>
          <w:rFonts w:hint="default" w:ascii="Times New Roman" w:hAnsi="宋体" w:eastAsia="宋体"/>
          <w:color w:val="auto"/>
          <w:position w:val="0"/>
          <w:sz w:val="24"/>
          <w:szCs w:val="24"/>
          <w:highlight w:val="none"/>
        </w:rPr>
        <w:t>（3）投标保证金；</w:t>
      </w:r>
      <w:bookmarkEnd w:id="41"/>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42" w:name="_Toc11248"/>
      <w:r>
        <w:rPr>
          <w:rFonts w:hint="default" w:ascii="Times New Roman" w:hAnsi="宋体" w:eastAsia="宋体"/>
          <w:color w:val="auto"/>
          <w:position w:val="0"/>
          <w:sz w:val="24"/>
          <w:szCs w:val="24"/>
          <w:highlight w:val="none"/>
        </w:rPr>
        <w:t>（4）项目管理机构配备情况；</w:t>
      </w:r>
      <w:bookmarkEnd w:id="42"/>
      <w:r>
        <w:rPr>
          <w:rFonts w:hint="default" w:ascii="Times New Roman" w:hAnsi="宋体" w:eastAsia="宋体"/>
          <w:color w:val="auto"/>
          <w:position w:val="0"/>
          <w:sz w:val="24"/>
          <w:szCs w:val="24"/>
          <w:highlight w:val="none"/>
        </w:rPr>
        <w:t xml:space="preserve"> </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43" w:name="_Toc22350"/>
      <w:r>
        <w:rPr>
          <w:rFonts w:hint="default" w:ascii="Times New Roman" w:hAnsi="宋体" w:eastAsia="宋体"/>
          <w:color w:val="auto"/>
          <w:position w:val="0"/>
          <w:sz w:val="24"/>
          <w:szCs w:val="24"/>
          <w:highlight w:val="none"/>
        </w:rPr>
        <w:t>（5）投标单位基本信息表；</w:t>
      </w:r>
      <w:bookmarkEnd w:id="43"/>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44" w:name="_Toc24554"/>
      <w:r>
        <w:rPr>
          <w:rFonts w:hint="default" w:ascii="Times New Roman" w:hAnsi="宋体" w:eastAsia="宋体"/>
          <w:color w:val="auto"/>
          <w:position w:val="0"/>
          <w:sz w:val="24"/>
          <w:szCs w:val="24"/>
          <w:highlight w:val="none"/>
        </w:rPr>
        <w:t>（6）资格证明文件；</w:t>
      </w:r>
      <w:bookmarkEnd w:id="44"/>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45" w:name="_Toc12192"/>
      <w:r>
        <w:rPr>
          <w:rFonts w:hint="default" w:ascii="Times New Roman" w:hAnsi="宋体" w:eastAsia="宋体"/>
          <w:color w:val="auto"/>
          <w:position w:val="0"/>
          <w:sz w:val="24"/>
          <w:szCs w:val="24"/>
          <w:highlight w:val="none"/>
        </w:rPr>
        <w:t>（7）</w:t>
      </w:r>
      <w:bookmarkEnd w:id="45"/>
      <w:r>
        <w:rPr>
          <w:rFonts w:hint="default" w:ascii="Times New Roman" w:hAnsi="宋体" w:eastAsia="宋体"/>
          <w:color w:val="auto"/>
          <w:position w:val="0"/>
          <w:sz w:val="24"/>
          <w:szCs w:val="24"/>
          <w:highlight w:val="none"/>
        </w:rPr>
        <w:t>近年完成的类似项目情况；</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46" w:name="_Toc9930"/>
      <w:r>
        <w:rPr>
          <w:rFonts w:hint="default" w:ascii="Times New Roman" w:hAnsi="宋体" w:eastAsia="宋体"/>
          <w:color w:val="auto"/>
          <w:position w:val="0"/>
          <w:sz w:val="24"/>
          <w:szCs w:val="24"/>
          <w:highlight w:val="none"/>
        </w:rPr>
        <w:t>（8）</w:t>
      </w:r>
      <w:bookmarkEnd w:id="46"/>
      <w:r>
        <w:rPr>
          <w:rFonts w:hint="default" w:ascii="Times New Roman" w:hAnsi="宋体" w:eastAsia="宋体"/>
          <w:color w:val="auto"/>
          <w:position w:val="0"/>
          <w:sz w:val="24"/>
          <w:szCs w:val="24"/>
          <w:highlight w:val="none"/>
        </w:rPr>
        <w:t>正在施工的和新承接的项目情况；</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47" w:name="_Toc26009"/>
      <w:r>
        <w:rPr>
          <w:rFonts w:hint="default" w:ascii="Times New Roman" w:hAnsi="宋体" w:eastAsia="宋体"/>
          <w:color w:val="auto"/>
          <w:position w:val="0"/>
          <w:sz w:val="24"/>
          <w:szCs w:val="24"/>
          <w:highlight w:val="none"/>
        </w:rPr>
        <w:t>（9）</w:t>
      </w:r>
      <w:bookmarkEnd w:id="47"/>
      <w:r>
        <w:rPr>
          <w:rFonts w:hint="default" w:ascii="Times New Roman" w:hAnsi="宋体" w:eastAsia="宋体"/>
          <w:color w:val="auto"/>
          <w:position w:val="0"/>
          <w:sz w:val="24"/>
          <w:szCs w:val="24"/>
          <w:highlight w:val="none"/>
        </w:rPr>
        <w:t>近年发生的诉讼及仲裁；</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48" w:name="_Toc30392"/>
      <w:r>
        <w:rPr>
          <w:rFonts w:hint="default" w:ascii="Times New Roman" w:hAnsi="宋体" w:eastAsia="宋体"/>
          <w:color w:val="auto"/>
          <w:position w:val="0"/>
          <w:sz w:val="24"/>
          <w:szCs w:val="24"/>
          <w:highlight w:val="none"/>
        </w:rPr>
        <w:t>（10）</w:t>
      </w:r>
      <w:bookmarkEnd w:id="48"/>
      <w:r>
        <w:rPr>
          <w:rFonts w:hint="default" w:ascii="Times New Roman" w:hAnsi="宋体" w:eastAsia="宋体"/>
          <w:color w:val="auto"/>
          <w:position w:val="0"/>
          <w:sz w:val="24"/>
          <w:szCs w:val="24"/>
          <w:highlight w:val="none"/>
        </w:rPr>
        <w:t>其它材料；</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3.1.3  技术标组成：</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（1）内容完整性；</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49" w:name="_Toc9002"/>
      <w:r>
        <w:rPr>
          <w:rFonts w:hint="default" w:ascii="Times New Roman" w:hAnsi="宋体" w:eastAsia="宋体"/>
          <w:color w:val="auto"/>
          <w:position w:val="0"/>
          <w:sz w:val="24"/>
          <w:szCs w:val="24"/>
          <w:highlight w:val="none"/>
        </w:rPr>
        <w:t>（2）主要施工方案和技术措施；</w:t>
      </w:r>
      <w:bookmarkEnd w:id="49"/>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50" w:name="_Toc20640"/>
      <w:r>
        <w:rPr>
          <w:rFonts w:hint="default" w:ascii="Times New Roman" w:hAnsi="宋体" w:eastAsia="宋体"/>
          <w:color w:val="auto"/>
          <w:position w:val="0"/>
          <w:sz w:val="24"/>
          <w:szCs w:val="24"/>
          <w:highlight w:val="none"/>
        </w:rPr>
        <w:t>（3）质量管理体系与措施；</w:t>
      </w:r>
      <w:bookmarkEnd w:id="50"/>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51" w:name="_Toc18285"/>
      <w:r>
        <w:rPr>
          <w:rFonts w:hint="default" w:ascii="Times New Roman" w:hAnsi="宋体" w:eastAsia="宋体"/>
          <w:color w:val="auto"/>
          <w:position w:val="0"/>
          <w:sz w:val="24"/>
          <w:szCs w:val="24"/>
          <w:highlight w:val="none"/>
        </w:rPr>
        <w:t>（4）安全管理体系与措施；</w:t>
      </w:r>
      <w:bookmarkEnd w:id="51"/>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bookmarkStart w:id="52" w:name="_Toc11563"/>
      <w:r>
        <w:rPr>
          <w:rFonts w:hint="default" w:ascii="Times New Roman" w:hAnsi="宋体" w:eastAsia="宋体"/>
          <w:color w:val="auto"/>
          <w:position w:val="0"/>
          <w:sz w:val="24"/>
          <w:szCs w:val="24"/>
          <w:highlight w:val="none"/>
        </w:rPr>
        <w:t>（5）文明施工、环境保护管理体系及施工现场扬尘治理措施；</w:t>
      </w:r>
      <w:bookmarkEnd w:id="52"/>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（6）工程保证措施；</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（7）拟投入资源配备计划；</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（8）施工进度表与网络计划图；</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（9）施工总平面图布置；</w:t>
      </w:r>
    </w:p>
    <w:p>
      <w:pPr>
        <w:numPr>
          <w:ilvl w:val="0"/>
          <w:numId w:val="0"/>
        </w:numPr>
        <w:tabs>
          <w:tab w:val="left" w:pos="1260"/>
        </w:tabs>
        <w:autoSpaceDE w:val="0"/>
        <w:autoSpaceDN w:val="0"/>
        <w:spacing w:before="0" w:after="160" w:line="460" w:lineRule="exact"/>
        <w:ind w:right="0" w:firstLine="24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（10）技术创新的应用措施；</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（11）采用新工艺、新技术、新设备、新材料、BIM等的程度；</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（12）施工现场实施信息化监控和数据处理；</w:t>
      </w:r>
    </w:p>
    <w:p>
      <w:pPr>
        <w:pStyle w:val="2"/>
        <w:numPr>
          <w:ilvl w:val="0"/>
          <w:numId w:val="0"/>
        </w:numPr>
        <w:autoSpaceDE/>
        <w:autoSpaceDN/>
        <w:spacing w:before="0" w:after="120" w:line="240" w:lineRule="auto"/>
        <w:ind w:right="0" w:firstLine="480"/>
        <w:jc w:val="both"/>
        <w:rPr>
          <w:rFonts w:hint="default" w:ascii="宋体" w:hAnsi="Times New Roman" w:eastAsia="Times New Roman"/>
          <w:color w:val="auto"/>
          <w:position w:val="0"/>
          <w:sz w:val="34"/>
          <w:szCs w:val="34"/>
          <w:highlight w:val="none"/>
        </w:rPr>
      </w:pPr>
      <w:r>
        <w:rPr>
          <w:rFonts w:hint="default" w:ascii="宋体" w:hAnsi="宋体" w:eastAsia="宋体"/>
          <w:color w:val="auto"/>
          <w:position w:val="0"/>
          <w:sz w:val="24"/>
          <w:szCs w:val="24"/>
          <w:highlight w:val="none"/>
        </w:rPr>
        <w:t>（13）风险管理措施；</w:t>
      </w:r>
    </w:p>
    <w:p>
      <w:pPr>
        <w:numPr>
          <w:ilvl w:val="0"/>
          <w:numId w:val="0"/>
        </w:numPr>
        <w:autoSpaceDE w:val="0"/>
        <w:autoSpaceDN w:val="0"/>
        <w:spacing w:before="0" w:after="160" w:line="42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3.2 投标报价</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bookmarkStart w:id="53" w:name="OLE_LINK21"/>
      <w:r>
        <w:rPr>
          <w:rFonts w:hint="default" w:ascii="Times New Roman" w:hAnsi="宋体" w:eastAsia="宋体"/>
          <w:color w:val="auto"/>
          <w:position w:val="0"/>
          <w:sz w:val="24"/>
          <w:szCs w:val="24"/>
          <w:highlight w:val="none"/>
        </w:rPr>
        <w:t>3.2.1 投标人应按第五章“工程量清单”的要求填写相应表格。</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3.2.2 投标人在投标截止时间前修改投标函中的投标总报价，应同时修改第五章“工程量清单”中的相应报价。此修改须符合本章第4.3款的有关要求。</w:t>
      </w:r>
      <w:bookmarkEnd w:id="53"/>
    </w:p>
    <w:p>
      <w:pPr>
        <w:numPr>
          <w:ilvl w:val="0"/>
          <w:numId w:val="0"/>
        </w:numPr>
        <w:tabs>
          <w:tab w:val="left" w:pos="1260"/>
        </w:tabs>
        <w:autoSpaceDE w:val="0"/>
        <w:autoSpaceDN w:val="0"/>
        <w:spacing w:before="0" w:after="160" w:line="500" w:lineRule="exact"/>
        <w:ind w:right="0" w:firstLine="480"/>
        <w:jc w:val="left"/>
        <w:rPr>
          <w:rFonts w:hint="default" w:ascii="Times New Roman" w:hAnsi="宋体" w:eastAsia="宋体"/>
          <w:b/>
          <w:color w:val="auto"/>
          <w:position w:val="0"/>
          <w:sz w:val="24"/>
          <w:szCs w:val="24"/>
        </w:rPr>
      </w:pPr>
      <w:r>
        <w:rPr>
          <w:rFonts w:hint="default" w:ascii="Times New Roman" w:hAnsi="宋体" w:eastAsia="宋体"/>
          <w:b/>
          <w:color w:val="auto"/>
          <w:position w:val="0"/>
          <w:sz w:val="24"/>
          <w:szCs w:val="24"/>
        </w:rPr>
        <w:t>3.2.3“规费和税金”的规定按照住建部《建设工程工程量清单计价规范》（GB50500-2013）及省住建厅有关规定，规费和税金应按规定费（税）率足额计取，即费（税）率不可竞争。</w:t>
      </w:r>
    </w:p>
    <w:p>
      <w:pPr>
        <w:numPr>
          <w:ilvl w:val="0"/>
          <w:numId w:val="0"/>
        </w:numPr>
        <w:tabs>
          <w:tab w:val="left" w:pos="1260"/>
        </w:tabs>
        <w:autoSpaceDE w:val="0"/>
        <w:autoSpaceDN w:val="0"/>
        <w:spacing w:before="0" w:after="160" w:line="500" w:lineRule="exact"/>
        <w:ind w:right="0" w:firstLine="0"/>
        <w:jc w:val="left"/>
        <w:rPr>
          <w:rFonts w:hint="default" w:ascii="Times New Roman" w:hAnsi="宋体" w:eastAsia="宋体"/>
          <w:b/>
          <w:color w:val="auto"/>
          <w:position w:val="0"/>
          <w:sz w:val="24"/>
          <w:szCs w:val="24"/>
        </w:rPr>
      </w:pPr>
      <w:r>
        <w:rPr>
          <w:rFonts w:hint="default" w:ascii="Times New Roman" w:hAnsi="宋体" w:eastAsia="宋体"/>
          <w:b/>
          <w:color w:val="auto"/>
          <w:position w:val="0"/>
          <w:sz w:val="24"/>
          <w:szCs w:val="24"/>
        </w:rPr>
        <w:t>规费、安全文明施工措施费、暂列金额与专业暂估价、增值税计入投标总报价，并在投标函、投标函附录中单列，不参与商务标评审。</w:t>
      </w:r>
    </w:p>
    <w:p>
      <w:pPr>
        <w:numPr>
          <w:ilvl w:val="0"/>
          <w:numId w:val="0"/>
        </w:numPr>
        <w:tabs>
          <w:tab w:val="left" w:pos="3060"/>
        </w:tabs>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3.3 投标有效期</w:t>
      </w:r>
      <w:bookmarkEnd w:id="37"/>
      <w:r>
        <w:rPr>
          <w:rFonts w:hint="default" w:ascii="Times New Roman" w:hAnsi="宋体" w:eastAsia="宋体"/>
          <w:b/>
          <w:color w:val="auto"/>
          <w:position w:val="0"/>
          <w:sz w:val="24"/>
          <w:szCs w:val="24"/>
          <w:highlight w:val="none"/>
        </w:rPr>
        <w:tab/>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3.3.1 在投标人须知前附表规定的投标有效期内，投标人不得要求撤销或修改其投标文件。</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numPr>
          <w:ilvl w:val="0"/>
          <w:numId w:val="0"/>
        </w:numPr>
        <w:tabs>
          <w:tab w:val="left" w:pos="3060"/>
        </w:tabs>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54" w:name="_Toc282436964"/>
      <w:bookmarkStart w:id="55" w:name="_Toc283559960"/>
      <w:r>
        <w:rPr>
          <w:rFonts w:hint="default" w:ascii="Times New Roman" w:hAnsi="宋体" w:eastAsia="宋体"/>
          <w:b/>
          <w:color w:val="auto"/>
          <w:position w:val="0"/>
          <w:sz w:val="24"/>
          <w:szCs w:val="24"/>
          <w:highlight w:val="none"/>
        </w:rPr>
        <w:t xml:space="preserve">3.4 </w:t>
      </w:r>
      <w:bookmarkEnd w:id="54"/>
      <w:r>
        <w:rPr>
          <w:rFonts w:hint="default" w:ascii="Times New Roman" w:hAnsi="宋体" w:eastAsia="宋体"/>
          <w:b/>
          <w:color w:val="auto"/>
          <w:position w:val="0"/>
          <w:sz w:val="24"/>
          <w:szCs w:val="24"/>
          <w:highlight w:val="none"/>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3.4.1.1 自招标文件发布之日起，投标人需进行基本户备案（建设工程项目），已备案的基本户开户银行、账户发生变化的，须重新办理备案手续。备案后方可提交投标（竞买）保证金</w:t>
      </w:r>
      <w:r>
        <w:rPr>
          <w:rFonts w:hint="eastAsia" w:ascii="新宋体" w:hAnsi="新宋体" w:eastAsia="新宋体" w:cs="仿宋_GB2312"/>
          <w:color w:val="000000" w:themeColor="text1"/>
          <w:sz w:val="24"/>
          <w:lang w:eastAsia="zh-CN"/>
          <w14:textFill>
            <w14:solidFill>
              <w14:schemeClr w14:val="tx1"/>
            </w14:solidFill>
          </w14:textFill>
        </w:rPr>
        <w:t>（</w:t>
      </w:r>
      <w:r>
        <w:rPr>
          <w:rFonts w:hint="eastAsia" w:ascii="新宋体" w:hAnsi="新宋体" w:eastAsia="新宋体" w:cs="仿宋_GB2312"/>
          <w:color w:val="FF0000"/>
          <w:sz w:val="24"/>
          <w:lang w:val="en-US" w:eastAsia="zh-CN"/>
        </w:rPr>
        <w:t>使用银行保函方式的除外</w:t>
      </w:r>
      <w:r>
        <w:rPr>
          <w:rFonts w:hint="eastAsia" w:ascii="新宋体" w:hAnsi="新宋体" w:eastAsia="新宋体" w:cs="仿宋_GB2312"/>
          <w:color w:val="000000" w:themeColor="text1"/>
          <w:sz w:val="24"/>
          <w:lang w:eastAsia="zh-CN"/>
          <w14:textFill>
            <w14:solidFill>
              <w14:schemeClr w14:val="tx1"/>
            </w14:solidFill>
          </w14:textFill>
        </w:rPr>
        <w:t>）</w:t>
      </w:r>
      <w:r>
        <w:rPr>
          <w:rFonts w:hint="eastAsia" w:ascii="新宋体" w:hAnsi="新宋体" w:eastAsia="新宋体" w:cs="仿宋_GB2312"/>
          <w:color w:val="000000" w:themeColor="text1"/>
          <w:sz w:val="24"/>
          <w14:textFill>
            <w14:solidFill>
              <w14:schemeClr w14:val="tx1"/>
            </w14:solidFill>
          </w14:textFill>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3.4.2 投标保证金</w:t>
      </w:r>
      <w:r>
        <w:rPr>
          <w:rFonts w:hint="eastAsia" w:ascii="新宋体" w:hAnsi="新宋体" w:eastAsia="新宋体" w:cs="仿宋_GB2312"/>
          <w:color w:val="000000" w:themeColor="text1"/>
          <w:sz w:val="24"/>
          <w:lang w:val="en-US" w:eastAsia="zh-CN"/>
          <w14:textFill>
            <w14:solidFill>
              <w14:schemeClr w14:val="tx1"/>
            </w14:solidFill>
          </w14:textFill>
        </w:rPr>
        <w:t>提交</w:t>
      </w:r>
      <w:r>
        <w:rPr>
          <w:rFonts w:hint="eastAsia" w:ascii="新宋体" w:hAnsi="新宋体" w:eastAsia="新宋体" w:cs="仿宋_GB2312"/>
          <w:color w:val="000000" w:themeColor="text1"/>
          <w:sz w:val="24"/>
          <w14:textFill>
            <w14:solidFill>
              <w14:schemeClr w14:val="tx1"/>
            </w14:solidFill>
          </w14:textFill>
        </w:rPr>
        <w:t>：按《投标人须知前附表》3.4.2条规定。</w:t>
      </w:r>
    </w:p>
    <w:p>
      <w:pPr>
        <w:autoSpaceDE w:val="0"/>
        <w:autoSpaceDN w:val="0"/>
        <w:adjustRightInd w:val="0"/>
        <w:spacing w:line="276" w:lineRule="auto"/>
        <w:ind w:firstLine="480" w:firstLineChars="200"/>
        <w:jc w:val="left"/>
        <w:rPr>
          <w:rFonts w:hAnsi="宋体" w:eastAsia="宋体" w:cs="宋体"/>
          <w:b/>
          <w:bCs/>
          <w:color w:val="000000" w:themeColor="text1"/>
          <w:sz w:val="24"/>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3.4.2.1 投标保证金的</w:t>
      </w:r>
      <w:r>
        <w:rPr>
          <w:rFonts w:hint="eastAsia" w:ascii="新宋体" w:hAnsi="新宋体" w:eastAsia="新宋体" w:cs="仿宋_GB2312"/>
          <w:color w:val="000000" w:themeColor="text1"/>
          <w:sz w:val="24"/>
          <w:lang w:val="en-US" w:eastAsia="zh-CN"/>
          <w14:textFill>
            <w14:solidFill>
              <w14:schemeClr w14:val="tx1"/>
            </w14:solidFill>
          </w14:textFill>
        </w:rPr>
        <w:t>提交</w:t>
      </w:r>
      <w:r>
        <w:rPr>
          <w:rFonts w:hint="eastAsia" w:ascii="新宋体" w:hAnsi="新宋体" w:eastAsia="新宋体" w:cs="仿宋_GB2312"/>
          <w:color w:val="000000" w:themeColor="text1"/>
          <w:sz w:val="24"/>
          <w:lang w:val="zh-CN"/>
          <w14:textFill>
            <w14:solidFill>
              <w14:schemeClr w14:val="tx1"/>
            </w14:solidFill>
          </w14:textFill>
        </w:rPr>
        <w:t>方式：</w:t>
      </w:r>
      <w:r>
        <w:rPr>
          <w:rFonts w:hAnsi="宋体" w:eastAsia="宋体" w:cs="宋体"/>
          <w:b/>
          <w:bCs/>
          <w:color w:val="000000" w:themeColor="text1"/>
          <w:sz w:val="24"/>
          <w14:textFill>
            <w14:solidFill>
              <w14:schemeClr w14:val="tx1"/>
            </w14:solidFill>
          </w14:textFill>
        </w:rPr>
        <w:t xml:space="preserve"> </w:t>
      </w:r>
    </w:p>
    <w:p>
      <w:pPr>
        <w:autoSpaceDE w:val="0"/>
        <w:autoSpaceDN w:val="0"/>
        <w:adjustRightInd w:val="0"/>
        <w:spacing w:line="340" w:lineRule="exact"/>
        <w:ind w:firstLine="480" w:firstLineChars="200"/>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投标保证金的</w:t>
      </w:r>
      <w:r>
        <w:rPr>
          <w:rFonts w:hint="eastAsia" w:hAnsi="宋体" w:cs="宋体"/>
          <w:color w:val="000000" w:themeColor="text1"/>
          <w:sz w:val="24"/>
          <w:lang w:val="en-US" w:eastAsia="zh-CN"/>
          <w14:textFill>
            <w14:solidFill>
              <w14:schemeClr w14:val="tx1"/>
            </w14:solidFill>
          </w14:textFill>
        </w:rPr>
        <w:t>提交</w:t>
      </w:r>
      <w:r>
        <w:rPr>
          <w:rFonts w:hint="eastAsia" w:hAnsi="宋体" w:cs="宋体"/>
          <w:color w:val="000000" w:themeColor="text1"/>
          <w:sz w:val="24"/>
          <w:lang w:val="zh-CN"/>
          <w14:textFill>
            <w14:solidFill>
              <w14:schemeClr w14:val="tx1"/>
            </w14:solidFill>
          </w14:textFill>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使用银行转帐、银行电汇</w:t>
      </w:r>
      <w:r>
        <w:rPr>
          <w:rFonts w:hint="eastAsia" w:hAnsi="宋体" w:eastAsia="Times New Roman" w:cs="宋体"/>
          <w:color w:val="000000" w:themeColor="text1"/>
          <w:sz w:val="24"/>
          <w:lang w:val="zh-CN"/>
          <w14:textFill>
            <w14:solidFill>
              <w14:schemeClr w14:val="tx1"/>
            </w14:solidFill>
          </w14:textFill>
        </w:rPr>
        <w:t>方式</w:t>
      </w:r>
      <w:r>
        <w:rPr>
          <w:rFonts w:hint="eastAsia" w:hAnsi="宋体" w:cs="宋体"/>
          <w:color w:val="000000" w:themeColor="text1"/>
          <w:sz w:val="24"/>
          <w:lang w:val="zh-CN"/>
          <w14:textFill>
            <w14:solidFill>
              <w14:schemeClr w14:val="tx1"/>
            </w14:solidFill>
          </w14:textFill>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int="default" w:hAnsi="宋体" w:cs="宋体" w:eastAsiaTheme="minorEastAsia"/>
          <w:color w:val="000000" w:themeColor="text1"/>
          <w:sz w:val="24"/>
          <w:lang w:val="en-US" w:eastAsia="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FF0000"/>
          <w:sz w:val="24"/>
          <w:lang w:val="en-US" w:eastAsia="zh-CN"/>
        </w:rPr>
        <w:t>真实</w:t>
      </w:r>
      <w:r>
        <w:rPr>
          <w:rFonts w:hint="eastAsia" w:hAnsi="宋体" w:cs="宋体"/>
          <w:color w:val="FF0000"/>
          <w:sz w:val="24"/>
          <w:lang w:val="zh-CN"/>
        </w:rPr>
        <w:t>合法的</w:t>
      </w:r>
      <w:r>
        <w:rPr>
          <w:rFonts w:hint="eastAsia" w:hAnsi="宋体" w:cs="宋体"/>
          <w:color w:val="FF0000"/>
          <w:sz w:val="24"/>
          <w:lang w:val="en-US" w:eastAsia="zh-CN"/>
        </w:rPr>
        <w:t>投标</w:t>
      </w:r>
      <w:r>
        <w:rPr>
          <w:rFonts w:hint="eastAsia" w:hAnsi="宋体" w:cs="宋体"/>
          <w:color w:val="000000" w:themeColor="text1"/>
          <w:sz w:val="24"/>
          <w:lang w:val="zh-CN"/>
          <w14:textFill>
            <w14:solidFill>
              <w14:schemeClr w14:val="tx1"/>
            </w14:solidFill>
          </w14:textFill>
        </w:rPr>
        <w:t>银行保函原件扫描件附于投标文件中，否则视为未按</w:t>
      </w:r>
      <w:r>
        <w:rPr>
          <w:rFonts w:hint="eastAsia" w:hAnsi="宋体" w:cs="宋体"/>
          <w:color w:val="FF0000"/>
          <w:sz w:val="24"/>
          <w:lang w:val="en-US" w:eastAsia="zh-CN"/>
        </w:rPr>
        <w:t>规定提交</w:t>
      </w:r>
      <w:r>
        <w:rPr>
          <w:rFonts w:hint="eastAsia" w:hAnsi="宋体" w:cs="宋体"/>
          <w:color w:val="000000" w:themeColor="text1"/>
          <w:sz w:val="24"/>
          <w:lang w:val="zh-CN"/>
          <w14:textFill>
            <w14:solidFill>
              <w14:schemeClr w14:val="tx1"/>
            </w14:solidFill>
          </w14:textFill>
        </w:rPr>
        <w:t>。</w:t>
      </w:r>
      <w:r>
        <w:rPr>
          <w:rFonts w:hint="eastAsia" w:hAnsi="宋体" w:cs="宋体"/>
          <w:b w:val="0"/>
          <w:bCs w:val="0"/>
          <w:color w:val="FF0000"/>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hAnsi="宋体" w:cs="宋体"/>
          <w:color w:val="000000" w:themeColor="text1"/>
          <w:sz w:val="24"/>
          <w:lang w:val="zh-CN"/>
          <w14:textFill>
            <w14:solidFill>
              <w14:schemeClr w14:val="tx1"/>
            </w14:solidFill>
          </w14:textFill>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color w:val="000000" w:themeColor="text1"/>
          <w:sz w:val="24"/>
          <w:lang w:val="zh-CN"/>
          <w14:textFill>
            <w14:solidFill>
              <w14:schemeClr w14:val="tx1"/>
            </w14:solidFill>
          </w14:textFill>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 xml:space="preserve">3.4.2.2 </w:t>
      </w:r>
      <w:r>
        <w:rPr>
          <w:rFonts w:hint="eastAsia" w:ascii="新宋体" w:hAnsi="新宋体" w:eastAsia="新宋体" w:cs="仿宋_GB2312"/>
          <w:color w:val="000000" w:themeColor="text1"/>
          <w:sz w:val="24"/>
          <w:lang w:val="zh-CN"/>
          <w14:textFill>
            <w14:solidFill>
              <w14:schemeClr w14:val="tx1"/>
            </w14:solidFill>
          </w14:textFill>
        </w:rPr>
        <w:t>投标保证金</w:t>
      </w:r>
      <w:r>
        <w:rPr>
          <w:rFonts w:hint="eastAsia" w:ascii="新宋体" w:hAnsi="新宋体" w:eastAsia="新宋体" w:cs="仿宋_GB2312"/>
          <w:color w:val="FF0000"/>
          <w:sz w:val="24"/>
          <w:lang w:val="en-US" w:eastAsia="zh-CN"/>
        </w:rPr>
        <w:t>提交方式</w:t>
      </w:r>
      <w:r>
        <w:rPr>
          <w:rFonts w:hint="eastAsia" w:ascii="新宋体" w:hAnsi="新宋体" w:eastAsia="新宋体" w:cs="仿宋_GB2312"/>
          <w:color w:val="000000" w:themeColor="text1"/>
          <w:sz w:val="24"/>
          <w14:textFill>
            <w14:solidFill>
              <w14:schemeClr w14:val="tx1"/>
            </w14:solidFill>
          </w14:textFill>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投标人网上下载招标文件后</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登录</w:t>
      </w:r>
      <w:r>
        <w:fldChar w:fldCharType="begin"/>
      </w:r>
      <w:r>
        <w:instrText xml:space="preserve"> HYPERLINK "http://221.14.6.70:8088/ggzy" </w:instrText>
      </w:r>
      <w:r>
        <w:fldChar w:fldCharType="separate"/>
      </w:r>
      <w:r>
        <w:rPr>
          <w:rFonts w:hint="eastAsia" w:ascii="新宋体" w:hAnsi="新宋体" w:eastAsia="新宋体" w:cs="仿宋_GB2312"/>
          <w:color w:val="000000" w:themeColor="text1"/>
          <w:sz w:val="24"/>
          <w14:textFill>
            <w14:solidFill>
              <w14:schemeClr w14:val="tx1"/>
            </w14:solidFill>
          </w14:textFill>
        </w:rPr>
        <w:t>http://221.14.6.70:8088/ggzy</w:t>
      </w:r>
      <w:r>
        <w:rPr>
          <w:rFonts w:hint="eastAsia" w:ascii="新宋体" w:hAnsi="新宋体" w:eastAsia="新宋体" w:cs="仿宋_GB2312"/>
          <w:color w:val="000000" w:themeColor="text1"/>
          <w:sz w:val="24"/>
          <w14:textFill>
            <w14:solidFill>
              <w14:schemeClr w14:val="tx1"/>
            </w14:solidFill>
          </w14:textFill>
        </w:rPr>
        <w:fldChar w:fldCharType="end"/>
      </w:r>
      <w:r>
        <w:rPr>
          <w:rFonts w:hint="eastAsia" w:ascii="新宋体" w:hAnsi="新宋体" w:eastAsia="新宋体" w:cs="仿宋_GB2312"/>
          <w:color w:val="000000" w:themeColor="text1"/>
          <w:sz w:val="24"/>
          <w:lang w:val="zh-CN"/>
          <w14:textFill>
            <w14:solidFill>
              <w14:schemeClr w14:val="tx1"/>
            </w14:solidFill>
          </w14:textFill>
        </w:rPr>
        <w:t>系统</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依次点击</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会员向导</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参与投标</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费用缴纳说明</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保证金缴纳说明单</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获取缴费说明单</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根据每个标段的缴纳说明单在缴纳截止时间前缴纳</w:t>
      </w:r>
      <w:r>
        <w:rPr>
          <w:rFonts w:hint="eastAsia" w:ascii="新宋体" w:hAnsi="新宋体" w:eastAsia="新宋体" w:cs="仿宋_GB2312"/>
          <w:color w:val="000000" w:themeColor="text1"/>
          <w:sz w:val="24"/>
          <w14:textFill>
            <w14:solidFill>
              <w14:schemeClr w14:val="tx1"/>
            </w14:solidFill>
          </w14:textFill>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成功缴纳后</w:t>
      </w:r>
      <w:r>
        <w:rPr>
          <w:rFonts w:hint="eastAsia" w:ascii="新宋体" w:hAnsi="新宋体" w:eastAsia="新宋体" w:cs="仿宋_GB2312"/>
          <w:color w:val="FF0000"/>
          <w:sz w:val="24"/>
          <w:lang w:val="en-US" w:eastAsia="zh-CN"/>
        </w:rPr>
        <w:t>再次</w:t>
      </w:r>
      <w:r>
        <w:rPr>
          <w:rFonts w:hint="eastAsia" w:ascii="新宋体" w:hAnsi="新宋体" w:eastAsia="新宋体" w:cs="仿宋_GB2312"/>
          <w:color w:val="000000" w:themeColor="text1"/>
          <w:sz w:val="24"/>
          <w:lang w:val="zh-CN"/>
          <w14:textFill>
            <w14:solidFill>
              <w14:schemeClr w14:val="tx1"/>
            </w14:solidFill>
          </w14:textFill>
        </w:rPr>
        <w:t>登录前述系统</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依次点击</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会员向导</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参与投标</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保证金绑定</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绑定</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进行投标保证金绑定。</w:t>
      </w:r>
    </w:p>
    <w:p>
      <w:pPr>
        <w:autoSpaceDE w:val="0"/>
        <w:autoSpaceDN w:val="0"/>
        <w:adjustRightInd w:val="0"/>
        <w:spacing w:line="340" w:lineRule="exact"/>
        <w:ind w:firstLine="480" w:firstLineChars="200"/>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投标人成功绑定投标保证金，将缴纳凭证“</w:t>
      </w:r>
      <w:r>
        <w:rPr>
          <w:rFonts w:hint="eastAsia" w:hAnsi="宋体" w:eastAsia="宋体" w:cs="宋体"/>
          <w:color w:val="000000" w:themeColor="text1"/>
          <w:sz w:val="24"/>
          <w:lang w:val="en-US" w:eastAsia="zh-CN"/>
          <w14:textFill>
            <w14:solidFill>
              <w14:schemeClr w14:val="tx1"/>
            </w14:solidFill>
          </w14:textFill>
        </w:rPr>
        <w:t>襄城县</w:t>
      </w:r>
      <w:r>
        <w:rPr>
          <w:rFonts w:hint="eastAsia" w:hAnsi="宋体" w:cs="宋体"/>
          <w:color w:val="000000" w:themeColor="text1"/>
          <w:sz w:val="24"/>
          <w:lang w:val="zh-CN"/>
          <w14:textFill>
            <w14:solidFill>
              <w14:schemeClr w14:val="tx1"/>
            </w14:solidFill>
          </w14:textFill>
        </w:rPr>
        <w:t>公共资源交易中心保证金缴纳回执”附于投标文件中；未绑定标段的投标保证金，视为未按</w:t>
      </w:r>
      <w:r>
        <w:rPr>
          <w:rFonts w:hint="eastAsia" w:hAnsi="宋体" w:cs="宋体"/>
          <w:color w:val="FF0000"/>
          <w:sz w:val="24"/>
          <w:lang w:val="en-US" w:eastAsia="zh-CN"/>
        </w:rPr>
        <w:t>规定</w:t>
      </w:r>
      <w:r>
        <w:rPr>
          <w:rFonts w:hint="eastAsia" w:hAnsi="宋体" w:cs="宋体"/>
          <w:color w:val="000000" w:themeColor="text1"/>
          <w:sz w:val="24"/>
          <w:lang w:val="zh-CN"/>
          <w14:textFill>
            <w14:solidFill>
              <w14:schemeClr w14:val="tx1"/>
            </w14:solidFill>
          </w14:textFill>
        </w:rPr>
        <w:t>交纳。</w:t>
      </w:r>
      <w:r>
        <w:rPr>
          <w:rFonts w:hint="eastAsia" w:hAnsi="宋体" w:eastAsia="宋体" w:cs="宋体"/>
          <w:color w:val="000000" w:themeColor="text1"/>
          <w:sz w:val="24"/>
          <w14:textFill>
            <w14:solidFill>
              <w14:schemeClr w14:val="tx1"/>
            </w14:solidFill>
          </w14:textFill>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3.4.2.3 每个投标人每个项目每个标段只有唯一缴纳账号，</w:t>
      </w:r>
      <w:r>
        <w:rPr>
          <w:rFonts w:hint="eastAsia" w:ascii="新宋体" w:hAnsi="新宋体" w:eastAsia="新宋体" w:cs="仿宋_GB2312"/>
          <w:color w:val="000000" w:themeColor="text1"/>
          <w:sz w:val="24"/>
          <w14:textFill>
            <w14:solidFill>
              <w14:schemeClr w14:val="tx1"/>
            </w14:solidFill>
          </w14:textFill>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3.4.2.4</w:t>
      </w:r>
      <w:r>
        <w:rPr>
          <w:rFonts w:hint="eastAsia" w:ascii="新宋体" w:hAnsi="新宋体" w:eastAsia="新宋体" w:cs="仿宋_GB2312"/>
          <w:color w:val="000000" w:themeColor="text1"/>
          <w:sz w:val="24"/>
          <w14:textFill>
            <w14:solidFill>
              <w14:schemeClr w14:val="tx1"/>
            </w14:solidFill>
          </w14:textFill>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 xml:space="preserve">3.4.2.6 </w:t>
      </w:r>
      <w:r>
        <w:rPr>
          <w:rFonts w:hint="eastAsia" w:ascii="新宋体" w:hAnsi="新宋体" w:eastAsia="新宋体" w:cs="仿宋_GB2312"/>
          <w:color w:val="000000" w:themeColor="text1"/>
          <w:sz w:val="24"/>
          <w14:textFill>
            <w14:solidFill>
              <w14:schemeClr w14:val="tx1"/>
            </w14:solidFill>
          </w14:textFill>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（3）项目废标或招标人终止招标的，在此后5个工作日内退还投标保证金及银行同期活期存利息。</w:t>
      </w:r>
      <w:r>
        <w:rPr>
          <w:rFonts w:hint="eastAsia" w:ascii="新宋体" w:hAnsi="新宋体" w:eastAsia="新宋体" w:cs="仿宋_GB2312"/>
          <w:color w:val="000000" w:themeColor="text1"/>
          <w:sz w:val="24"/>
          <w14:textFill>
            <w14:solidFill>
              <w14:schemeClr w14:val="tx1"/>
            </w14:solidFill>
          </w14:textFill>
        </w:rPr>
        <w:br w:type="textWrapping"/>
      </w:r>
      <w:r>
        <w:rPr>
          <w:rFonts w:hint="eastAsia" w:ascii="新宋体" w:hAnsi="新宋体" w:eastAsia="新宋体" w:cs="仿宋_GB2312"/>
          <w:color w:val="000000" w:themeColor="text1"/>
          <w:sz w:val="24"/>
          <w14:textFill>
            <w14:solidFill>
              <w14:schemeClr w14:val="tx1"/>
            </w14:solidFill>
          </w14:textFill>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（5）相关投标人有违法违规行为的项目，其投标保证金暂不退还，待行政监督部</w:t>
      </w:r>
      <w:r>
        <w:rPr>
          <w:rFonts w:hint="eastAsia" w:hAnsi="宋体"/>
          <w:color w:val="000000" w:themeColor="text1"/>
          <w:sz w:val="24"/>
          <w14:textFill>
            <w14:solidFill>
              <w14:schemeClr w14:val="tx1"/>
            </w14:solidFill>
          </w14:textFill>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（7）退还投标保证金，除另有规定外，一般以转账方式一次性退还至投标保证金的原提交账户。</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（8）特殊情况处理</w:t>
      </w:r>
    </w:p>
    <w:p>
      <w:pPr>
        <w:keepNext w:val="0"/>
        <w:keepLines w:val="0"/>
        <w:pageBreakBefore w:val="0"/>
        <w:widowControl/>
        <w:numPr>
          <w:ilvl w:val="0"/>
          <w:numId w:val="0"/>
        </w:numPr>
        <w:tabs>
          <w:tab w:val="left" w:pos="1260"/>
        </w:tabs>
        <w:kinsoku/>
        <w:wordWrap/>
        <w:overflowPunct/>
        <w:topLinePunct w:val="0"/>
        <w:autoSpaceDE w:val="0"/>
        <w:autoSpaceDN w:val="0"/>
        <w:bidi w:val="0"/>
        <w:adjustRightInd/>
        <w:snapToGrid/>
        <w:spacing w:before="0" w:after="160" w:line="360" w:lineRule="auto"/>
        <w:ind w:right="0" w:firstLine="482"/>
        <w:jc w:val="left"/>
        <w:textAlignment w:val="auto"/>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投标过程中因账户开户银行、银行账号发生变化，不能按照来款途径原路返还投标保证金的，投标人须提供原账户开户银行相关证明及新开账户开户许可证，到襄城县公共资源交易中心1209室工程股办理退款手续。</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3.4.5投标人有下列情形之一的，不予退还投标保证金：</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（1）在招标文件要求提交投标文件的截止时间后至投标文件有效期满前撤回投标的； </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（2）中标通知书发出后，中标人无故放弃中标项目或无正当理由在规定时间内不与招标人签订合同或未按招标文件规定提交履约担保的； </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（3）将中标项目转让给他人，或者在投标文件中未说明，且未经招标人同意，将中标项目分包给他人的； </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（4）投标人在招投标活动中弄虚作假、围标串标、骗取中标等，并经招投标行政监督部门调查核实的； </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（5）拒绝履行合同义务的；</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numPr>
          <w:ilvl w:val="0"/>
          <w:numId w:val="0"/>
        </w:numPr>
        <w:tabs>
          <w:tab w:val="left" w:pos="1260"/>
        </w:tabs>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（7）相关法律、法规规定不予退还的其它情形。 </w:t>
      </w:r>
    </w:p>
    <w:p>
      <w:pPr>
        <w:numPr>
          <w:ilvl w:val="0"/>
          <w:numId w:val="0"/>
        </w:numPr>
        <w:autoSpaceDE w:val="0"/>
        <w:autoSpaceDN w:val="0"/>
        <w:spacing w:before="0" w:after="160" w:line="42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3.5 资格审查资料</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3.5.1 “投标人基本情况表”应附投标人营业执照副本、资质证书副本和安全生产许可证等材料的原件扫描件或图片。</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3.5.2 “近年财务状况表”应附经会计师事务所或审计机构审计的财务会计报表，包括资产负债表、现金流量表、利润表和财务情况说明书的原件扫描件或图片，具体年份要求见投标人须知前附表。</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3.5.3 “近年完成的类似项目情况表”应附提供施工合同的原件扫描件或图片，具体年份要求见投标人须知前附表。 </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3.5.4 “正在施工和新承接的项目情况表”应附中标通知书和合同协议书的原件扫描件或图片。 </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3.5.5 “近年发生的诉讼及仲裁情况”应说明相关情况，并附法院或仲裁机构作出的判决、裁决等有关法律文书原件扫描件或图片，具体年份要求见投标人须知前附表。</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 xml:space="preserve">3.6 </w:t>
      </w:r>
      <w:bookmarkStart w:id="56" w:name="_Toc179632571"/>
      <w:bookmarkStart w:id="57" w:name="_Toc152045553"/>
      <w:bookmarkStart w:id="58" w:name="_Toc144974521"/>
      <w:bookmarkStart w:id="59" w:name="_Toc152042329"/>
      <w:r>
        <w:rPr>
          <w:rFonts w:hint="default" w:ascii="Times New Roman" w:hAnsi="宋体" w:eastAsia="宋体"/>
          <w:b/>
          <w:color w:val="auto"/>
          <w:position w:val="0"/>
          <w:sz w:val="24"/>
          <w:szCs w:val="24"/>
          <w:highlight w:val="none"/>
        </w:rPr>
        <w:t>备选投标方案</w:t>
      </w:r>
      <w:bookmarkEnd w:id="56"/>
      <w:bookmarkEnd w:id="57"/>
      <w:bookmarkEnd w:id="58"/>
      <w:bookmarkEnd w:id="59"/>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3.7 投标文件的编制</w:t>
      </w:r>
      <w:bookmarkEnd w:id="55"/>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3.7.2 投标文件应当对招标文件有关工期、投标有效期、质量要求、招标范围作出响应，否则按无效标处理。</w:t>
      </w:r>
    </w:p>
    <w:p>
      <w:pPr>
        <w:numPr>
          <w:ilvl w:val="0"/>
          <w:numId w:val="0"/>
        </w:numPr>
        <w:tabs>
          <w:tab w:val="left" w:pos="7095"/>
        </w:tabs>
        <w:autoSpaceDE/>
        <w:autoSpaceDN/>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3.7.3 投标人编制的投标文件应分为商务标、综合标和技术标。</w:t>
      </w:r>
    </w:p>
    <w:p>
      <w:pPr>
        <w:numPr>
          <w:ilvl w:val="0"/>
          <w:numId w:val="0"/>
        </w:numPr>
        <w:tabs>
          <w:tab w:val="left" w:pos="7095"/>
        </w:tabs>
        <w:autoSpaceDE/>
        <w:autoSpaceDN/>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3.7.4 投标人登录许昌公共资源交易系统下载“许昌投标文件制作系统SEARUN V1.1”，按招标文件要求制作电子投标文件（包括含工程量清单的商务标投标文件）。</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3.7.</w:t>
      </w:r>
      <w:r>
        <w:rPr>
          <w:rFonts w:hint="eastAsia" w:hAnsi="宋体" w:eastAsia="宋体"/>
          <w:color w:val="auto"/>
          <w:position w:val="0"/>
          <w:sz w:val="24"/>
          <w:szCs w:val="24"/>
          <w:highlight w:val="none"/>
          <w:lang w:val="en-US" w:eastAsia="zh-CN"/>
        </w:rPr>
        <w:t>5</w:t>
      </w:r>
      <w:r>
        <w:rPr>
          <w:rFonts w:hint="default" w:ascii="Times New Roman" w:hAnsi="宋体" w:eastAsia="宋体"/>
          <w:color w:val="auto"/>
          <w:position w:val="0"/>
          <w:sz w:val="24"/>
          <w:szCs w:val="24"/>
          <w:highlight w:val="none"/>
        </w:rPr>
        <w:t xml:space="preserve"> 同时生成与电子投标文件内容、水印码、</w:t>
      </w:r>
      <w:r>
        <w:rPr>
          <w:rFonts w:hint="default" w:ascii="Times New Roman" w:hAnsi="宋体" w:eastAsia="宋体"/>
          <w:b/>
          <w:color w:val="auto"/>
          <w:position w:val="0"/>
          <w:sz w:val="24"/>
          <w:szCs w:val="24"/>
          <w:highlight w:val="none"/>
        </w:rPr>
        <w:t>电子签章</w:t>
      </w:r>
      <w:r>
        <w:rPr>
          <w:rFonts w:hint="default" w:ascii="Times New Roman" w:hAnsi="宋体" w:eastAsia="宋体"/>
          <w:color w:val="auto"/>
          <w:position w:val="0"/>
          <w:sz w:val="24"/>
          <w:szCs w:val="24"/>
          <w:highlight w:val="none"/>
        </w:rPr>
        <w:t>一致的PDF文件。</w:t>
      </w:r>
      <w:bookmarkStart w:id="60" w:name="_Toc283559961"/>
    </w:p>
    <w:p>
      <w:pPr>
        <w:numPr>
          <w:ilvl w:val="0"/>
          <w:numId w:val="0"/>
        </w:numPr>
        <w:autoSpaceDE w:val="0"/>
        <w:autoSpaceDN w:val="0"/>
        <w:spacing w:before="0" w:after="160" w:line="460" w:lineRule="exact"/>
        <w:ind w:right="0"/>
        <w:jc w:val="left"/>
        <w:rPr>
          <w:rFonts w:hint="default" w:ascii="Times New Roman" w:hAnsi="宋体" w:eastAsia="宋体"/>
          <w:color w:val="auto"/>
          <w:position w:val="0"/>
          <w:sz w:val="24"/>
          <w:szCs w:val="24"/>
          <w:highlight w:val="none"/>
        </w:rPr>
      </w:pPr>
      <w:r>
        <w:rPr>
          <w:rFonts w:hint="default" w:ascii="Times New Roman" w:hAnsi="宋体" w:eastAsia="宋体"/>
          <w:b/>
          <w:color w:val="auto"/>
          <w:position w:val="0"/>
          <w:sz w:val="24"/>
          <w:szCs w:val="24"/>
          <w:highlight w:val="none"/>
        </w:rPr>
        <w:t>3.7.9 商务标投标文件制作注意事项：</w:t>
      </w:r>
    </w:p>
    <w:p>
      <w:pPr>
        <w:numPr>
          <w:ilvl w:val="0"/>
          <w:numId w:val="0"/>
        </w:numPr>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3.7.9.1 投标人登录《全国公共资源交易平台（河南省·许昌市）》公共资源交易系统下载“许昌投标文件制作系统SEARUN V1.1” 和操作手册（工程项目），按招标文件要求制作商务标投标文件。</w:t>
      </w:r>
    </w:p>
    <w:p>
      <w:pPr>
        <w:numPr>
          <w:ilvl w:val="0"/>
          <w:numId w:val="0"/>
        </w:numPr>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3.7.9.2 商务标投标文件制作技术咨询：0374-2961598。</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4. 投标</w:t>
      </w:r>
      <w:bookmarkEnd w:id="60"/>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4.</w:t>
      </w:r>
      <w:r>
        <w:rPr>
          <w:rFonts w:hint="eastAsia" w:hAnsi="宋体" w:eastAsia="宋体"/>
          <w:b/>
          <w:color w:val="auto"/>
          <w:position w:val="0"/>
          <w:sz w:val="24"/>
          <w:szCs w:val="24"/>
          <w:highlight w:val="none"/>
          <w:lang w:val="en-US" w:eastAsia="zh-CN"/>
        </w:rPr>
        <w:t>1</w:t>
      </w:r>
      <w:r>
        <w:rPr>
          <w:rFonts w:hint="default" w:ascii="Times New Roman" w:hAnsi="宋体" w:eastAsia="宋体"/>
          <w:b/>
          <w:color w:val="auto"/>
          <w:position w:val="0"/>
          <w:sz w:val="24"/>
          <w:szCs w:val="24"/>
          <w:highlight w:val="none"/>
        </w:rPr>
        <w:t>投标文件的提交</w:t>
      </w:r>
    </w:p>
    <w:p>
      <w:pPr>
        <w:numPr>
          <w:ilvl w:val="0"/>
          <w:numId w:val="0"/>
        </w:numPr>
        <w:autoSpaceDE w:val="0"/>
        <w:autoSpaceDN w:val="0"/>
        <w:spacing w:before="0" w:after="160" w:line="440" w:lineRule="exact"/>
        <w:ind w:right="0" w:firstLine="480"/>
        <w:jc w:val="left"/>
        <w:rPr>
          <w:rFonts w:hint="eastAsia" w:ascii="Times New Roman" w:hAnsi="宋体" w:eastAsia="宋体"/>
          <w:color w:val="auto"/>
          <w:position w:val="0"/>
          <w:sz w:val="24"/>
          <w:szCs w:val="24"/>
          <w:highlight w:val="none"/>
          <w:lang w:eastAsia="zh-CN"/>
        </w:rPr>
      </w:pPr>
      <w:r>
        <w:rPr>
          <w:rFonts w:hint="default" w:ascii="Times New Roman" w:hAnsi="宋体" w:eastAsia="宋体"/>
          <w:color w:val="auto"/>
          <w:position w:val="0"/>
          <w:sz w:val="24"/>
          <w:szCs w:val="24"/>
          <w:highlight w:val="none"/>
        </w:rPr>
        <w:t>4.2.1 投标人应在投标人须知前附表中规定的投标截止时间前成功上传电子投标文件</w:t>
      </w:r>
      <w:r>
        <w:rPr>
          <w:rFonts w:hint="eastAsia" w:hAnsi="宋体" w:eastAsia="宋体"/>
          <w:color w:val="auto"/>
          <w:position w:val="0"/>
          <w:sz w:val="24"/>
          <w:szCs w:val="24"/>
          <w:highlight w:val="none"/>
          <w:lang w:eastAsia="zh-CN"/>
        </w:rPr>
        <w:t>。</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4.2.</w:t>
      </w:r>
      <w:r>
        <w:rPr>
          <w:rFonts w:hint="eastAsia" w:hAnsi="宋体" w:eastAsia="宋体"/>
          <w:color w:val="auto"/>
          <w:position w:val="0"/>
          <w:sz w:val="24"/>
          <w:szCs w:val="24"/>
          <w:highlight w:val="none"/>
          <w:lang w:val="en-US" w:eastAsia="zh-CN"/>
        </w:rPr>
        <w:t>2</w:t>
      </w:r>
      <w:r>
        <w:rPr>
          <w:rFonts w:hint="default" w:ascii="Times New Roman" w:hAnsi="宋体" w:eastAsia="宋体"/>
          <w:color w:val="auto"/>
          <w:position w:val="0"/>
          <w:sz w:val="24"/>
          <w:szCs w:val="24"/>
          <w:highlight w:val="none"/>
        </w:rPr>
        <w:t xml:space="preserve"> 除投标人须知前附表另有规定外，投标人</w:t>
      </w:r>
      <w:r>
        <w:rPr>
          <w:rFonts w:hint="eastAsia" w:hAnsi="宋体" w:eastAsia="宋体"/>
          <w:color w:val="auto"/>
          <w:position w:val="0"/>
          <w:sz w:val="24"/>
          <w:szCs w:val="24"/>
          <w:highlight w:val="none"/>
          <w:lang w:val="en-US" w:eastAsia="zh-CN"/>
        </w:rPr>
        <w:t>上传</w:t>
      </w:r>
      <w:r>
        <w:rPr>
          <w:rFonts w:hint="default" w:ascii="Times New Roman" w:hAnsi="宋体" w:eastAsia="宋体"/>
          <w:color w:val="auto"/>
          <w:position w:val="0"/>
          <w:sz w:val="24"/>
          <w:szCs w:val="24"/>
          <w:highlight w:val="none"/>
        </w:rPr>
        <w:t>的电子投标文件不予退还。</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61" w:name="_Toc283559964"/>
      <w:r>
        <w:rPr>
          <w:rFonts w:hint="default" w:ascii="Times New Roman" w:hAnsi="宋体" w:eastAsia="宋体"/>
          <w:b/>
          <w:color w:val="auto"/>
          <w:position w:val="0"/>
          <w:sz w:val="24"/>
          <w:szCs w:val="24"/>
          <w:highlight w:val="none"/>
        </w:rPr>
        <w:t>4.3 投标文件的修改与撤回</w:t>
      </w:r>
      <w:bookmarkEnd w:id="61"/>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4.3.1 在本章第2.2.2 项规定的投标截止时间前，投标人可以修改或撤回已提交的电子投标文件修改或撤回应以书面形式通知招标人。</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4.3.2 投标人修改或撤回已提交电子投标文件的书面通知应按照投标人须知前附表第3.7.3 项的要求签字或盖章。招标人收到书面通知后，向投标人出具签收凭证。</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4.3.3 修改的内容为投标文件的组成部分。修改的电子投标文件应按照本章第3条、第4条规定进行编制、密封、标记和提交，并标明“修改”字样。</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4.3.4 投标人应当在投标截止时间前完成电子投标文件的提交，可以补充、修改或撤回。投标截止时间前未完成电子投标文件提交、取得“投标文件提交回执单”的，视为撤回投标文件。</w:t>
      </w:r>
    </w:p>
    <w:p>
      <w:pPr>
        <w:pStyle w:val="47"/>
        <w:spacing w:line="440" w:lineRule="exact"/>
        <w:jc w:val="both"/>
        <w:outlineLvl w:val="0"/>
        <w:rPr>
          <w:rFonts w:hAnsi="宋体"/>
          <w:b/>
          <w:color w:val="000000" w:themeColor="text1"/>
          <w14:textFill>
            <w14:solidFill>
              <w14:schemeClr w14:val="tx1"/>
            </w14:solidFill>
          </w14:textFill>
        </w:rPr>
      </w:pPr>
      <w:bookmarkStart w:id="62" w:name="_Toc283559967"/>
      <w:bookmarkStart w:id="63" w:name="_Toc283559970"/>
      <w:r>
        <w:rPr>
          <w:rFonts w:hint="eastAsia" w:hAnsi="宋体"/>
          <w:b/>
          <w:color w:val="000000" w:themeColor="text1"/>
          <w14:textFill>
            <w14:solidFill>
              <w14:schemeClr w14:val="tx1"/>
            </w14:solidFill>
          </w14:textFill>
        </w:rPr>
        <w:t>5. 开标</w:t>
      </w:r>
      <w:bookmarkEnd w:id="62"/>
    </w:p>
    <w:p>
      <w:pPr>
        <w:autoSpaceDE w:val="0"/>
        <w:autoSpaceDN w:val="0"/>
        <w:adjustRightInd w:val="0"/>
        <w:spacing w:line="440" w:lineRule="exact"/>
        <w:jc w:val="left"/>
        <w:outlineLvl w:val="0"/>
        <w:rPr>
          <w:rFonts w:hAnsi="宋体" w:cs="宋体"/>
          <w:b/>
          <w:color w:val="000000" w:themeColor="text1"/>
          <w:sz w:val="24"/>
          <w14:textFill>
            <w14:solidFill>
              <w14:schemeClr w14:val="tx1"/>
            </w14:solidFill>
          </w14:textFill>
        </w:rPr>
      </w:pPr>
      <w:bookmarkStart w:id="64" w:name="_Toc283559968"/>
      <w:r>
        <w:rPr>
          <w:rFonts w:hint="eastAsia" w:hAnsi="宋体" w:cs="宋体"/>
          <w:b/>
          <w:color w:val="000000" w:themeColor="text1"/>
          <w:sz w:val="24"/>
          <w14:textFill>
            <w14:solidFill>
              <w14:schemeClr w14:val="tx1"/>
            </w14:solidFill>
          </w14:textFill>
        </w:rPr>
        <w:t>5.1 开标时间和地点</w:t>
      </w:r>
      <w:bookmarkEnd w:id="64"/>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5.2 开标程序</w:t>
      </w:r>
    </w:p>
    <w:p>
      <w:pPr>
        <w:spacing w:line="360" w:lineRule="auto"/>
        <w:ind w:firstLine="480" w:firstLineChars="200"/>
        <w:jc w:val="left"/>
        <w:rPr>
          <w:rFonts w:hint="default" w:hAnsi="宋体" w:eastAsia="宋体" w:cs="宋体"/>
          <w:color w:val="FF0000"/>
          <w:sz w:val="24"/>
          <w:lang w:val="en-US" w:eastAsia="zh-CN"/>
        </w:rPr>
      </w:pPr>
      <w:r>
        <w:rPr>
          <w:rFonts w:hint="eastAsia" w:hAnsi="宋体" w:eastAsia="宋体" w:cs="宋体"/>
          <w:color w:val="000000" w:themeColor="text1"/>
          <w:sz w:val="24"/>
          <w14:textFill>
            <w14:solidFill>
              <w14:schemeClr w14:val="tx1"/>
            </w14:solidFill>
          </w14:textFill>
        </w:rPr>
        <w:t>(</w:t>
      </w:r>
      <w:r>
        <w:rPr>
          <w:rFonts w:hint="eastAsia" w:hAnsi="宋体" w:eastAsia="宋体" w:cs="宋体"/>
          <w:color w:val="FF0000"/>
          <w:sz w:val="24"/>
        </w:rPr>
        <w:t>1)</w:t>
      </w:r>
      <w:r>
        <w:rPr>
          <w:rFonts w:hint="eastAsia" w:ascii="仿宋" w:hAnsi="仿宋" w:eastAsia="仿宋" w:cs="宋体"/>
          <w:b/>
          <w:color w:val="FF0000"/>
          <w:sz w:val="28"/>
          <w:szCs w:val="28"/>
        </w:rPr>
        <w:t xml:space="preserve"> </w:t>
      </w:r>
      <w:r>
        <w:rPr>
          <w:rFonts w:hint="eastAsia" w:hAnsi="宋体" w:eastAsia="宋体" w:cs="宋体"/>
          <w:color w:val="FF0000"/>
          <w:sz w:val="24"/>
        </w:rPr>
        <w:t>本项目采用“远程不见面”开标方式,投标人应当在开标时间前</w:t>
      </w:r>
      <w:r>
        <w:rPr>
          <w:rFonts w:hint="eastAsia" w:hAnsi="宋体" w:eastAsia="宋体" w:cs="宋体"/>
          <w:color w:val="FF0000"/>
          <w:sz w:val="24"/>
          <w:lang w:val="en-US" w:eastAsia="zh-CN"/>
        </w:rPr>
        <w:t>使用</w:t>
      </w:r>
      <w:r>
        <w:rPr>
          <w:rFonts w:hint="eastAsia" w:hAnsi="宋体" w:eastAsia="宋体" w:cs="宋体"/>
          <w:color w:val="FF0000"/>
          <w:sz w:val="24"/>
        </w:rPr>
        <w:t>CA数字证书登录交易系统远程开标大厅在线准时参加开标活动并进行投标文件远程解密、在线提异议（质疑）及电子签章等；</w:t>
      </w:r>
      <w:r>
        <w:rPr>
          <w:rFonts w:hint="eastAsia" w:hAnsi="宋体" w:eastAsia="宋体" w:cs="宋体"/>
          <w:color w:val="FF0000"/>
          <w:sz w:val="24"/>
          <w:lang w:val="en-US" w:eastAsia="zh-CN"/>
        </w:rPr>
        <w:t>招标代理机构</w:t>
      </w:r>
      <w:r>
        <w:rPr>
          <w:rFonts w:hint="eastAsia" w:hAnsi="宋体" w:eastAsia="宋体" w:cs="宋体"/>
          <w:color w:val="FF0000"/>
          <w:sz w:val="24"/>
        </w:rPr>
        <w:t>在开标时间前</w:t>
      </w:r>
      <w:r>
        <w:rPr>
          <w:rFonts w:hint="eastAsia" w:hAnsi="宋体" w:eastAsia="宋体" w:cs="宋体"/>
          <w:color w:val="FF0000"/>
          <w:sz w:val="24"/>
          <w:lang w:val="en-US" w:eastAsia="zh-CN"/>
        </w:rPr>
        <w:t>到达指定地点使用</w:t>
      </w:r>
      <w:r>
        <w:rPr>
          <w:rFonts w:hint="eastAsia" w:hAnsi="宋体" w:eastAsia="宋体" w:cs="宋体"/>
          <w:color w:val="FF0000"/>
          <w:sz w:val="24"/>
        </w:rPr>
        <w:t>CA数字证书登录交易系统远程开标大厅</w:t>
      </w:r>
      <w:r>
        <w:rPr>
          <w:rFonts w:hint="eastAsia" w:hAnsi="宋体" w:eastAsia="宋体" w:cs="宋体"/>
          <w:color w:val="FF0000"/>
          <w:sz w:val="24"/>
          <w:lang w:eastAsia="zh-CN"/>
        </w:rPr>
        <w:t>，</w:t>
      </w:r>
      <w:r>
        <w:rPr>
          <w:rFonts w:hint="eastAsia" w:hAnsi="宋体" w:eastAsia="宋体" w:cs="宋体"/>
          <w:color w:val="FF0000"/>
          <w:sz w:val="24"/>
          <w:lang w:val="en-US" w:eastAsia="zh-CN"/>
        </w:rPr>
        <w:t>做好开标前各项准备。</w:t>
      </w:r>
    </w:p>
    <w:p>
      <w:pPr>
        <w:spacing w:line="360" w:lineRule="auto"/>
        <w:ind w:firstLine="480" w:firstLineChars="200"/>
        <w:jc w:val="left"/>
        <w:rPr>
          <w:rFonts w:hint="eastAsia" w:hAnsi="宋体" w:eastAsia="宋体" w:cs="宋体"/>
          <w:color w:val="FF0000"/>
          <w:sz w:val="24"/>
          <w:lang w:eastAsia="zh-CN"/>
        </w:rPr>
      </w:pPr>
      <w:r>
        <w:rPr>
          <w:rFonts w:hint="eastAsia" w:hAnsi="宋体" w:eastAsia="宋体" w:cs="宋体"/>
          <w:color w:val="FF0000"/>
          <w:sz w:val="24"/>
        </w:rPr>
        <w:t>(2)</w:t>
      </w:r>
      <w:r>
        <w:rPr>
          <w:rFonts w:hint="eastAsia" w:hAnsi="宋体" w:eastAsia="宋体" w:cs="宋体"/>
          <w:color w:val="FF0000"/>
          <w:sz w:val="24"/>
          <w:lang w:val="en-US" w:eastAsia="zh-CN"/>
        </w:rPr>
        <w:t>投标截止时间到达时，招标代理机构点击“</w:t>
      </w:r>
      <w:r>
        <w:rPr>
          <w:rFonts w:hint="eastAsia" w:hAnsi="宋体" w:eastAsia="宋体" w:cs="宋体"/>
          <w:color w:val="FF0000"/>
          <w:sz w:val="24"/>
        </w:rPr>
        <w:t>开标开始</w:t>
      </w:r>
      <w:r>
        <w:rPr>
          <w:rFonts w:hint="eastAsia" w:hAnsi="宋体" w:eastAsia="宋体" w:cs="宋体"/>
          <w:color w:val="FF0000"/>
          <w:sz w:val="24"/>
          <w:lang w:val="en-US" w:eastAsia="zh-CN"/>
        </w:rPr>
        <w:t>”按钮，开始不见面开标；点击</w:t>
      </w:r>
      <w:r>
        <w:rPr>
          <w:rFonts w:hint="eastAsia" w:hAnsi="宋体" w:eastAsia="宋体" w:cs="宋体"/>
          <w:color w:val="FF0000"/>
          <w:sz w:val="24"/>
        </w:rPr>
        <w:t>“解密环节”按钮</w:t>
      </w:r>
      <w:r>
        <w:rPr>
          <w:rFonts w:hint="eastAsia" w:hAnsi="宋体" w:eastAsia="宋体" w:cs="宋体"/>
          <w:color w:val="FF0000"/>
          <w:sz w:val="24"/>
          <w:lang w:val="en-US" w:eastAsia="zh-CN"/>
        </w:rPr>
        <w:t>开始解密60分钟倒计时，各投标人可以远程进行解密投标文件。</w:t>
      </w:r>
      <w:r>
        <w:rPr>
          <w:rFonts w:hint="eastAsia" w:hAnsi="宋体" w:eastAsia="宋体" w:cs="宋体"/>
          <w:color w:val="FF0000"/>
          <w:sz w:val="24"/>
        </w:rPr>
        <w:t>投标人未</w:t>
      </w:r>
      <w:r>
        <w:rPr>
          <w:rFonts w:hint="eastAsia" w:hAnsi="宋体" w:eastAsia="宋体" w:cs="宋体"/>
          <w:color w:val="FF0000"/>
          <w:sz w:val="24"/>
          <w:lang w:val="en-US" w:eastAsia="zh-CN"/>
        </w:rPr>
        <w:t>进行</w:t>
      </w:r>
      <w:r>
        <w:rPr>
          <w:rFonts w:hint="eastAsia" w:hAnsi="宋体" w:eastAsia="宋体" w:cs="宋体"/>
          <w:color w:val="FF0000"/>
          <w:sz w:val="24"/>
        </w:rPr>
        <w:t>解密或未按规定进行解密的，视为放弃投标</w:t>
      </w:r>
      <w:r>
        <w:rPr>
          <w:rFonts w:hint="eastAsia" w:hAnsi="宋体" w:eastAsia="宋体" w:cs="宋体"/>
          <w:color w:val="FF0000"/>
          <w:sz w:val="24"/>
          <w:lang w:eastAsia="zh-CN"/>
        </w:rPr>
        <w:t>。</w:t>
      </w:r>
    </w:p>
    <w:p>
      <w:pPr>
        <w:spacing w:line="360" w:lineRule="auto"/>
        <w:ind w:firstLine="480" w:firstLineChars="200"/>
        <w:jc w:val="left"/>
        <w:rPr>
          <w:rFonts w:hAnsi="宋体" w:eastAsia="宋体" w:cs="宋体"/>
          <w:color w:val="FF0000"/>
          <w:sz w:val="24"/>
        </w:rPr>
      </w:pPr>
      <w:r>
        <w:rPr>
          <w:rFonts w:hint="eastAsia" w:hAnsi="宋体" w:eastAsia="宋体" w:cs="宋体"/>
          <w:color w:val="FF0000"/>
          <w:sz w:val="24"/>
        </w:rPr>
        <w:t>(3)</w:t>
      </w:r>
      <w:r>
        <w:rPr>
          <w:rFonts w:hint="eastAsia" w:hAnsi="宋体" w:eastAsia="宋体" w:cs="宋体"/>
          <w:color w:val="FF0000"/>
          <w:sz w:val="24"/>
          <w:lang w:val="en-US" w:eastAsia="zh-CN"/>
        </w:rPr>
        <w:t>解密完成后，</w:t>
      </w:r>
      <w:r>
        <w:rPr>
          <w:rFonts w:hint="eastAsia" w:hAnsi="宋体" w:eastAsia="宋体" w:cs="宋体"/>
          <w:color w:val="FF0000"/>
          <w:sz w:val="24"/>
        </w:rPr>
        <w:t>投标</w:t>
      </w:r>
      <w:r>
        <w:rPr>
          <w:rFonts w:hint="eastAsia" w:hAnsi="宋体" w:eastAsia="宋体" w:cs="宋体"/>
          <w:color w:val="FF0000"/>
          <w:sz w:val="24"/>
          <w:lang w:val="en-US" w:eastAsia="zh-CN"/>
        </w:rPr>
        <w:t>人可点击“开标记录”查看各投标人投标报价等信息，</w:t>
      </w:r>
      <w:r>
        <w:rPr>
          <w:rFonts w:hint="eastAsia" w:hAnsi="宋体" w:eastAsia="宋体" w:cs="宋体"/>
          <w:color w:val="FF0000"/>
          <w:sz w:val="24"/>
        </w:rPr>
        <w:t>对开标过程或有关内容有异议（质疑）的，按照《</w:t>
      </w:r>
      <w:r>
        <w:rPr>
          <w:rFonts w:hint="eastAsia" w:hAnsi="宋体"/>
          <w:color w:val="000000" w:themeColor="text1"/>
          <w:sz w:val="24"/>
          <w:szCs w:val="22"/>
          <w14:textFill>
            <w14:solidFill>
              <w14:schemeClr w14:val="tx1"/>
            </w14:solidFill>
          </w14:textFill>
        </w:rPr>
        <w:t>许昌市不见面</w:t>
      </w:r>
      <w:r>
        <w:rPr>
          <w:rFonts w:hint="eastAsia" w:hAnsi="宋体"/>
          <w:color w:val="000000" w:themeColor="text1"/>
          <w:sz w:val="24"/>
          <w:szCs w:val="22"/>
          <w:lang w:eastAsia="zh-CN"/>
          <w14:textFill>
            <w14:solidFill>
              <w14:schemeClr w14:val="tx1"/>
            </w14:solidFill>
          </w14:textFill>
        </w:rPr>
        <w:t>开标</w:t>
      </w:r>
      <w:r>
        <w:rPr>
          <w:rFonts w:hint="eastAsia" w:hAnsi="宋体"/>
          <w:color w:val="000000" w:themeColor="text1"/>
          <w:sz w:val="24"/>
          <w:szCs w:val="22"/>
          <w14:textFill>
            <w14:solidFill>
              <w14:schemeClr w14:val="tx1"/>
            </w14:solidFill>
          </w14:textFill>
        </w:rPr>
        <w:t>操作手册</w:t>
      </w:r>
      <w:r>
        <w:rPr>
          <w:rFonts w:hint="eastAsia" w:hAnsi="宋体" w:eastAsia="宋体" w:cs="宋体"/>
          <w:color w:val="FF0000"/>
          <w:sz w:val="24"/>
        </w:rPr>
        <w:t>》在本项目不见面开标大厅“文字互动”对话框或“新增质疑”处在线询问和发起异议（质疑），招标</w:t>
      </w:r>
      <w:r>
        <w:rPr>
          <w:rFonts w:hint="eastAsia" w:hAnsi="宋体" w:eastAsia="宋体" w:cs="宋体"/>
          <w:color w:val="FF0000"/>
          <w:sz w:val="24"/>
          <w:lang w:val="en-US" w:eastAsia="zh-CN"/>
        </w:rPr>
        <w:t>代理机构</w:t>
      </w:r>
      <w:r>
        <w:rPr>
          <w:rFonts w:hint="eastAsia" w:hAnsi="宋体" w:eastAsia="宋体" w:cs="宋体"/>
          <w:color w:val="FF0000"/>
          <w:sz w:val="24"/>
        </w:rPr>
        <w:t xml:space="preserve">在线进行回复。 </w:t>
      </w:r>
    </w:p>
    <w:p>
      <w:pPr>
        <w:autoSpaceDE w:val="0"/>
        <w:autoSpaceDN w:val="0"/>
        <w:adjustRightInd w:val="0"/>
        <w:spacing w:line="420" w:lineRule="exact"/>
        <w:ind w:firstLine="480" w:firstLineChars="200"/>
        <w:jc w:val="left"/>
        <w:rPr>
          <w:rFonts w:hAnsi="宋体" w:eastAsia="宋体" w:cs="宋体"/>
          <w:color w:val="FF0000"/>
          <w:sz w:val="24"/>
        </w:rPr>
      </w:pPr>
      <w:r>
        <w:rPr>
          <w:rFonts w:hint="eastAsia" w:hAnsi="宋体" w:eastAsia="宋体" w:cs="宋体"/>
          <w:color w:val="FF0000"/>
          <w:sz w:val="24"/>
        </w:rPr>
        <w:t>(4)</w:t>
      </w:r>
      <w:r>
        <w:rPr>
          <w:rFonts w:hint="eastAsia" w:hAnsi="宋体" w:eastAsia="宋体" w:cs="宋体"/>
          <w:color w:val="FF0000"/>
          <w:sz w:val="24"/>
          <w:lang w:val="en-US" w:eastAsia="zh-CN"/>
        </w:rPr>
        <w:t>再</w:t>
      </w:r>
      <w:r>
        <w:rPr>
          <w:rFonts w:hint="eastAsia" w:hAnsi="宋体" w:eastAsia="宋体" w:cs="宋体"/>
          <w:color w:val="FF0000"/>
          <w:sz w:val="24"/>
        </w:rPr>
        <w:t>无投标人提出异议，</w:t>
      </w:r>
      <w:r>
        <w:rPr>
          <w:rFonts w:hint="eastAsia" w:hAnsi="宋体" w:eastAsia="宋体" w:cs="宋体"/>
          <w:color w:val="FF0000"/>
          <w:sz w:val="24"/>
          <w:lang w:val="en-US" w:eastAsia="zh-CN"/>
        </w:rPr>
        <w:t>招标代理机构通过“文字互动”对话框通知各投标人进行电子签章。</w:t>
      </w:r>
      <w:r>
        <w:rPr>
          <w:rFonts w:hint="eastAsia" w:hAnsi="宋体" w:eastAsia="宋体" w:cs="宋体"/>
          <w:color w:val="FF0000"/>
          <w:sz w:val="24"/>
        </w:rPr>
        <w:t>投标人应在《开标记录表》上进行电子签章，未进行电子签章的视为对开标结果无异议。</w:t>
      </w:r>
    </w:p>
    <w:p>
      <w:pPr>
        <w:pStyle w:val="47"/>
        <w:spacing w:line="440" w:lineRule="exact"/>
        <w:ind w:firstLine="480" w:firstLineChars="200"/>
        <w:jc w:val="both"/>
        <w:outlineLvl w:val="0"/>
        <w:rPr>
          <w:rFonts w:hAnsi="宋体" w:eastAsia="宋体"/>
          <w:bCs/>
          <w:color w:val="000000" w:themeColor="text1"/>
          <w:szCs w:val="22"/>
          <w14:textFill>
            <w14:solidFill>
              <w14:schemeClr w14:val="tx1"/>
            </w14:solidFill>
          </w14:textFill>
        </w:rPr>
      </w:pPr>
      <w:r>
        <w:rPr>
          <w:rFonts w:hint="eastAsia" w:hAnsi="宋体" w:eastAsia="宋体" w:cs="宋体"/>
          <w:color w:val="FF0000"/>
          <w:sz w:val="24"/>
        </w:rPr>
        <w:t>（5）</w:t>
      </w:r>
      <w:r>
        <w:rPr>
          <w:rFonts w:hint="eastAsia" w:hAnsi="宋体" w:eastAsia="宋体" w:cs="宋体"/>
          <w:color w:val="FF0000"/>
          <w:sz w:val="24"/>
          <w:lang w:val="en-US" w:eastAsia="zh-CN"/>
        </w:rPr>
        <w:t>招标代理机构保存最终</w:t>
      </w:r>
      <w:r>
        <w:rPr>
          <w:rFonts w:hint="eastAsia" w:hAnsi="宋体" w:eastAsia="宋体" w:cs="宋体"/>
          <w:color w:val="FF0000"/>
          <w:sz w:val="24"/>
        </w:rPr>
        <w:t>《开标记录表》，</w:t>
      </w:r>
      <w:r>
        <w:rPr>
          <w:rFonts w:hint="eastAsia" w:hAnsi="宋体" w:eastAsia="宋体" w:cs="宋体"/>
          <w:color w:val="FF0000"/>
          <w:sz w:val="24"/>
          <w:lang w:val="en-US" w:eastAsia="zh-CN"/>
        </w:rPr>
        <w:t>不见面</w:t>
      </w:r>
      <w:r>
        <w:rPr>
          <w:rFonts w:hint="eastAsia" w:hAnsi="宋体" w:eastAsia="宋体" w:cs="宋体"/>
          <w:color w:val="FF0000"/>
          <w:sz w:val="24"/>
        </w:rPr>
        <w:t>开标</w:t>
      </w:r>
      <w:r>
        <w:rPr>
          <w:rFonts w:hint="eastAsia" w:hAnsi="宋体" w:eastAsia="宋体" w:cs="宋体"/>
          <w:color w:val="FF0000"/>
          <w:sz w:val="24"/>
          <w:lang w:val="en-US" w:eastAsia="zh-CN"/>
        </w:rPr>
        <w:t>活动</w:t>
      </w:r>
      <w:r>
        <w:rPr>
          <w:rFonts w:hint="eastAsia" w:hAnsi="宋体" w:eastAsia="宋体" w:cs="宋体"/>
          <w:color w:val="FF0000"/>
          <w:sz w:val="24"/>
        </w:rPr>
        <w:t>结束。</w:t>
      </w:r>
    </w:p>
    <w:p>
      <w:pPr>
        <w:pStyle w:val="47"/>
        <w:numPr>
          <w:ilvl w:val="0"/>
          <w:numId w:val="0"/>
        </w:numPr>
        <w:autoSpaceDE w:val="0"/>
        <w:autoSpaceDN w:val="0"/>
        <w:spacing w:before="0" w:after="160" w:line="440" w:lineRule="exact"/>
        <w:ind w:right="0" w:firstLine="480"/>
        <w:jc w:val="both"/>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6. 评标</w:t>
      </w:r>
      <w:bookmarkEnd w:id="63"/>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65" w:name="_Toc283559971"/>
      <w:r>
        <w:rPr>
          <w:rFonts w:hint="default" w:ascii="Times New Roman" w:hAnsi="宋体" w:eastAsia="宋体"/>
          <w:b/>
          <w:color w:val="auto"/>
          <w:position w:val="0"/>
          <w:sz w:val="24"/>
          <w:szCs w:val="24"/>
          <w:highlight w:val="none"/>
        </w:rPr>
        <w:t>6.1 评标委员会</w:t>
      </w:r>
      <w:bookmarkEnd w:id="65"/>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6.1.1 评标由招标人依法组建的评标委员会负责。评标委员会成员由相关技术、经济等方面的专家组成，组成人数见投标人须知前附表。</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6.1.2 评标委员会成员有下列情形之一的，应当回避：</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（1）招标人或投标人的主要负责人的近亲属；</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（2）项目主管部门或者行政监督部门的人员；</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（3）与投标人有经济利益关系，可能影响对投标公正评审的；</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（4）曾因在招标、评标以及其他与招标投标有关活动中从事违法行为而受过行政处罚或刑事处罚的。</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66" w:name="_Toc283559972"/>
      <w:r>
        <w:rPr>
          <w:rFonts w:hint="default" w:ascii="Times New Roman" w:hAnsi="宋体" w:eastAsia="宋体"/>
          <w:b/>
          <w:color w:val="auto"/>
          <w:position w:val="0"/>
          <w:sz w:val="24"/>
          <w:szCs w:val="24"/>
          <w:highlight w:val="none"/>
        </w:rPr>
        <w:t>6.2 评标原则</w:t>
      </w:r>
      <w:bookmarkEnd w:id="66"/>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评标活动遵循公平、公正、科学和择优的原则。</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67" w:name="_Toc283559973"/>
      <w:r>
        <w:rPr>
          <w:rFonts w:hint="default" w:ascii="Times New Roman" w:hAnsi="宋体" w:eastAsia="宋体"/>
          <w:b/>
          <w:color w:val="auto"/>
          <w:position w:val="0"/>
          <w:sz w:val="24"/>
          <w:szCs w:val="24"/>
          <w:highlight w:val="none"/>
        </w:rPr>
        <w:t>6.3 评标</w:t>
      </w:r>
      <w:bookmarkEnd w:id="67"/>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评标委员会按照第三章“评标办法”规定的方法、评审因素、标准和程序对投标文件进行评审。第三章“评标办法”没有规定的方法、评审因素和标准，不作为评标依据。</w:t>
      </w:r>
    </w:p>
    <w:p>
      <w:pPr>
        <w:pStyle w:val="47"/>
        <w:numPr>
          <w:ilvl w:val="0"/>
          <w:numId w:val="0"/>
        </w:numPr>
        <w:autoSpaceDE w:val="0"/>
        <w:autoSpaceDN w:val="0"/>
        <w:spacing w:before="0" w:after="160" w:line="440" w:lineRule="exact"/>
        <w:ind w:right="0" w:firstLine="480"/>
        <w:jc w:val="both"/>
        <w:rPr>
          <w:rFonts w:hint="default" w:ascii="宋体" w:hAnsi="宋体" w:eastAsia="宋体"/>
          <w:b/>
          <w:color w:val="auto"/>
          <w:position w:val="0"/>
          <w:sz w:val="24"/>
          <w:szCs w:val="24"/>
          <w:highlight w:val="none"/>
        </w:rPr>
      </w:pPr>
      <w:bookmarkStart w:id="68" w:name="_Toc283559974"/>
      <w:r>
        <w:rPr>
          <w:rFonts w:hint="default" w:ascii="宋体" w:hAnsi="宋体" w:eastAsia="宋体"/>
          <w:b/>
          <w:color w:val="auto"/>
          <w:position w:val="0"/>
          <w:sz w:val="24"/>
          <w:szCs w:val="24"/>
          <w:highlight w:val="none"/>
        </w:rPr>
        <w:t>7. 合同授予</w:t>
      </w:r>
      <w:bookmarkEnd w:id="68"/>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69" w:name="_Toc283559975"/>
      <w:r>
        <w:rPr>
          <w:rFonts w:hint="default" w:ascii="Times New Roman" w:hAnsi="宋体" w:eastAsia="宋体"/>
          <w:b/>
          <w:color w:val="auto"/>
          <w:position w:val="0"/>
          <w:sz w:val="24"/>
          <w:szCs w:val="24"/>
          <w:highlight w:val="none"/>
        </w:rPr>
        <w:t>7.1 定标方式</w:t>
      </w:r>
      <w:bookmarkEnd w:id="69"/>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除投标人须知前附表规定评标委员会直接确定中标人外，招标人依据评标委员会推荐的中标候选人确定中标人，评标委员会推荐中标候选人的人数见投标人须知前附表。</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70" w:name="_Toc283559976"/>
      <w:r>
        <w:rPr>
          <w:rFonts w:hint="default" w:ascii="Times New Roman" w:hAnsi="宋体" w:eastAsia="宋体"/>
          <w:b/>
          <w:color w:val="auto"/>
          <w:position w:val="0"/>
          <w:sz w:val="24"/>
          <w:szCs w:val="24"/>
          <w:highlight w:val="none"/>
        </w:rPr>
        <w:t>7.2 中标通知</w:t>
      </w:r>
      <w:bookmarkEnd w:id="70"/>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在本章第3.3 款规定的投标有效期内，招标人以书面形式向中标人发出中标通知书，同时将中标结果通知未中标的投标人。</w:t>
      </w:r>
      <w:bookmarkStart w:id="71" w:name="_Toc152042345"/>
      <w:bookmarkStart w:id="72" w:name="_Toc144974537"/>
      <w:bookmarkStart w:id="73" w:name="_Toc152045569"/>
      <w:bookmarkStart w:id="74" w:name="_Toc179632587"/>
    </w:p>
    <w:p>
      <w:pPr>
        <w:numPr>
          <w:ilvl w:val="0"/>
          <w:numId w:val="0"/>
        </w:numPr>
        <w:autoSpaceDE w:val="0"/>
        <w:autoSpaceDN w:val="0"/>
        <w:spacing w:before="0" w:after="160" w:line="360" w:lineRule="auto"/>
        <w:ind w:right="0" w:firstLine="480"/>
        <w:jc w:val="left"/>
        <w:rPr>
          <w:rFonts w:hint="default" w:ascii="Times New Roman" w:hAnsi="Times New Roman" w:eastAsia="Times New Roman"/>
          <w:color w:val="auto"/>
          <w:position w:val="0"/>
          <w:sz w:val="24"/>
          <w:szCs w:val="24"/>
          <w:highlight w:val="none"/>
        </w:rPr>
      </w:pPr>
      <w:r>
        <w:rPr>
          <w:rFonts w:hint="default" w:ascii="Times New Roman" w:hAnsi="Times New Roman" w:eastAsia="Times New Roman"/>
          <w:b/>
          <w:color w:val="auto"/>
          <w:position w:val="0"/>
          <w:sz w:val="24"/>
          <w:szCs w:val="24"/>
          <w:highlight w:val="none"/>
        </w:rPr>
        <w:t>7.3 履约担保</w:t>
      </w:r>
    </w:p>
    <w:p>
      <w:pPr>
        <w:numPr>
          <w:ilvl w:val="0"/>
          <w:numId w:val="0"/>
        </w:numPr>
        <w:autoSpaceDE w:val="0"/>
        <w:autoSpaceDN w:val="0"/>
        <w:spacing w:before="0" w:after="160" w:line="360" w:lineRule="auto"/>
        <w:ind w:right="0" w:firstLine="480"/>
        <w:jc w:val="left"/>
        <w:rPr>
          <w:rFonts w:hint="default" w:ascii="Times New Roman" w:hAnsi="Times New Roman" w:eastAsia="Times New Roman"/>
          <w:color w:val="auto"/>
          <w:position w:val="0"/>
          <w:sz w:val="24"/>
          <w:szCs w:val="24"/>
          <w:highlight w:val="none"/>
        </w:rPr>
      </w:pPr>
      <w:r>
        <w:rPr>
          <w:rFonts w:hint="default" w:ascii="Times New Roman" w:hAnsi="Times New Roman" w:eastAsia="Times New Roman"/>
          <w:color w:val="auto"/>
          <w:position w:val="0"/>
          <w:sz w:val="24"/>
          <w:szCs w:val="24"/>
          <w:highlight w:val="none"/>
        </w:rPr>
        <w:t>7.3.1 在签订合同前，中标人应按投标人须知前附表规定的金额、担保形式和招标文件第四章“合同条款及格式”规定的履约担保格式向招标人提交履约担保。</w:t>
      </w:r>
    </w:p>
    <w:p>
      <w:pPr>
        <w:numPr>
          <w:ilvl w:val="0"/>
          <w:numId w:val="0"/>
        </w:numPr>
        <w:autoSpaceDE w:val="0"/>
        <w:autoSpaceDN w:val="0"/>
        <w:spacing w:before="0" w:after="160" w:line="360" w:lineRule="auto"/>
        <w:ind w:right="0" w:firstLine="480"/>
        <w:jc w:val="left"/>
        <w:rPr>
          <w:rFonts w:hint="default" w:ascii="Times New Roman" w:hAnsi="Times New Roman" w:eastAsia="Times New Roman"/>
          <w:color w:val="auto"/>
          <w:position w:val="0"/>
          <w:sz w:val="24"/>
          <w:szCs w:val="24"/>
          <w:highlight w:val="none"/>
        </w:rPr>
      </w:pPr>
      <w:r>
        <w:rPr>
          <w:rFonts w:hint="default" w:ascii="Times New Roman" w:hAnsi="Times New Roman" w:eastAsia="Times New Roman"/>
          <w:color w:val="auto"/>
          <w:position w:val="0"/>
          <w:sz w:val="24"/>
          <w:szCs w:val="24"/>
          <w:highlight w:val="none"/>
        </w:rPr>
        <w:t>7.3.2 中标人不能按本章第7.3.1 项要求提交履约担保的，视为放弃中标，其投标保证金不予退还，给招标人造成的损失超过投标保证金数额的，中标人还应当对超过部分予以赔偿。</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7.</w:t>
      </w:r>
      <w:bookmarkEnd w:id="71"/>
      <w:bookmarkEnd w:id="72"/>
      <w:bookmarkEnd w:id="73"/>
      <w:bookmarkEnd w:id="74"/>
      <w:bookmarkStart w:id="75" w:name="_Toc283559977"/>
      <w:r>
        <w:rPr>
          <w:rFonts w:hint="default" w:ascii="Times New Roman" w:hAnsi="宋体" w:eastAsia="宋体"/>
          <w:b/>
          <w:color w:val="auto"/>
          <w:position w:val="0"/>
          <w:sz w:val="24"/>
          <w:szCs w:val="24"/>
          <w:highlight w:val="none"/>
        </w:rPr>
        <w:t>4签订合同</w:t>
      </w:r>
      <w:bookmarkEnd w:id="75"/>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7.4.2 发出中标通知书后，招标人无正当理由拒签合同的，招标人向中标人退还投标保证金；给中标人造成损失的，还应当赔偿损失。</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76" w:name="_Toc283559978"/>
      <w:r>
        <w:rPr>
          <w:rFonts w:hint="default" w:ascii="Times New Roman" w:hAnsi="宋体" w:eastAsia="宋体"/>
          <w:b/>
          <w:color w:val="auto"/>
          <w:position w:val="0"/>
          <w:sz w:val="24"/>
          <w:szCs w:val="24"/>
          <w:highlight w:val="none"/>
        </w:rPr>
        <w:t>8. 重新招标和不再招标</w:t>
      </w:r>
      <w:bookmarkEnd w:id="76"/>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77" w:name="_Toc283559979"/>
      <w:r>
        <w:rPr>
          <w:rFonts w:hint="default" w:ascii="Times New Roman" w:hAnsi="宋体" w:eastAsia="宋体"/>
          <w:b/>
          <w:color w:val="auto"/>
          <w:position w:val="0"/>
          <w:sz w:val="24"/>
          <w:szCs w:val="24"/>
          <w:highlight w:val="none"/>
        </w:rPr>
        <w:t>8.1 重新招标</w:t>
      </w:r>
      <w:bookmarkEnd w:id="77"/>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有下列情形之一的，招标人将重新招标：</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（1）投标截止时间止，投标人少于3个的；</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（2）经评标委员会评审后否决所有投标的。</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78" w:name="_Toc283559980"/>
      <w:r>
        <w:rPr>
          <w:rFonts w:hint="default" w:ascii="Times New Roman" w:hAnsi="宋体" w:eastAsia="宋体"/>
          <w:b/>
          <w:color w:val="auto"/>
          <w:position w:val="0"/>
          <w:sz w:val="24"/>
          <w:szCs w:val="24"/>
          <w:highlight w:val="none"/>
        </w:rPr>
        <w:t>8.2 不再招标</w:t>
      </w:r>
      <w:bookmarkEnd w:id="78"/>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重新招标后投标人仍少于3个，属于必须审批或核准的工程建设项目，经原审批或核准部门批准后不再进行招标。</w:t>
      </w:r>
    </w:p>
    <w:p>
      <w:pPr>
        <w:pStyle w:val="47"/>
        <w:numPr>
          <w:ilvl w:val="0"/>
          <w:numId w:val="0"/>
        </w:numPr>
        <w:autoSpaceDE w:val="0"/>
        <w:autoSpaceDN w:val="0"/>
        <w:spacing w:before="0" w:after="160" w:line="440" w:lineRule="exact"/>
        <w:ind w:right="0" w:firstLine="480"/>
        <w:jc w:val="both"/>
        <w:rPr>
          <w:rFonts w:hint="default" w:ascii="宋体" w:hAnsi="宋体" w:eastAsia="宋体"/>
          <w:b/>
          <w:color w:val="auto"/>
          <w:position w:val="0"/>
          <w:sz w:val="24"/>
          <w:szCs w:val="24"/>
          <w:highlight w:val="none"/>
        </w:rPr>
      </w:pPr>
      <w:bookmarkStart w:id="79" w:name="_Toc283559981"/>
      <w:r>
        <w:rPr>
          <w:rFonts w:hint="default" w:ascii="宋体" w:hAnsi="宋体" w:eastAsia="宋体"/>
          <w:b/>
          <w:color w:val="auto"/>
          <w:position w:val="0"/>
          <w:sz w:val="24"/>
          <w:szCs w:val="24"/>
          <w:highlight w:val="none"/>
        </w:rPr>
        <w:t>9. 纪律和监督</w:t>
      </w:r>
      <w:bookmarkEnd w:id="79"/>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80" w:name="_Toc283559982"/>
      <w:r>
        <w:rPr>
          <w:rFonts w:hint="default" w:ascii="Times New Roman" w:hAnsi="宋体" w:eastAsia="宋体"/>
          <w:b/>
          <w:color w:val="auto"/>
          <w:position w:val="0"/>
          <w:sz w:val="24"/>
          <w:szCs w:val="24"/>
          <w:highlight w:val="none"/>
        </w:rPr>
        <w:t>9.1 对招标人的纪律要求</w:t>
      </w:r>
      <w:bookmarkEnd w:id="80"/>
      <w:r>
        <w:rPr>
          <w:rFonts w:hint="default" w:ascii="Times New Roman" w:hAnsi="宋体" w:eastAsia="宋体"/>
          <w:b/>
          <w:color w:val="auto"/>
          <w:position w:val="0"/>
          <w:sz w:val="24"/>
          <w:szCs w:val="24"/>
          <w:highlight w:val="none"/>
        </w:rPr>
        <w:tab/>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招标人不得泄漏招标投标活动中应当保密的信息和资料，不得与投标人串通损害国家利益、社会公共利益或者他人合法权益。</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81" w:name="_Toc283559983"/>
      <w:r>
        <w:rPr>
          <w:rFonts w:hint="default" w:ascii="Times New Roman" w:hAnsi="宋体" w:eastAsia="宋体"/>
          <w:b/>
          <w:color w:val="auto"/>
          <w:position w:val="0"/>
          <w:sz w:val="24"/>
          <w:szCs w:val="24"/>
          <w:highlight w:val="none"/>
        </w:rPr>
        <w:t>9.2 对投标人的纪律要求</w:t>
      </w:r>
      <w:bookmarkEnd w:id="81"/>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82" w:name="_Toc283559984"/>
      <w:r>
        <w:rPr>
          <w:rFonts w:hint="default" w:ascii="Times New Roman" w:hAnsi="宋体" w:eastAsia="宋体"/>
          <w:b/>
          <w:color w:val="auto"/>
          <w:position w:val="0"/>
          <w:sz w:val="24"/>
          <w:szCs w:val="24"/>
          <w:highlight w:val="none"/>
        </w:rPr>
        <w:t>9.3 对评标委员会成员的纪律要求</w:t>
      </w:r>
      <w:bookmarkEnd w:id="82"/>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83" w:name="_Toc283559985"/>
      <w:r>
        <w:rPr>
          <w:rFonts w:hint="default" w:ascii="Times New Roman" w:hAnsi="宋体" w:eastAsia="宋体"/>
          <w:b/>
          <w:color w:val="auto"/>
          <w:position w:val="0"/>
          <w:sz w:val="24"/>
          <w:szCs w:val="24"/>
          <w:highlight w:val="none"/>
        </w:rPr>
        <w:t>9.4 对与评标活动有关的工作人员的纪律要求</w:t>
      </w:r>
      <w:bookmarkEnd w:id="83"/>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24"/>
          <w:szCs w:val="24"/>
          <w:highlight w:val="none"/>
        </w:rPr>
      </w:pPr>
      <w:bookmarkStart w:id="84" w:name="_Toc283559986"/>
      <w:r>
        <w:rPr>
          <w:rFonts w:hint="default" w:ascii="Times New Roman" w:hAnsi="宋体" w:eastAsia="宋体"/>
          <w:b/>
          <w:color w:val="auto"/>
          <w:position w:val="0"/>
          <w:sz w:val="24"/>
          <w:szCs w:val="24"/>
          <w:highlight w:val="none"/>
        </w:rPr>
        <w:t>9.5 投诉</w:t>
      </w:r>
      <w:bookmarkEnd w:id="84"/>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投标人和其他利害关系人认为本次招标活动违反法律、法规和规章规定的，有权向有关行政监督部门投诉。</w:t>
      </w:r>
    </w:p>
    <w:p>
      <w:pPr>
        <w:pStyle w:val="47"/>
        <w:numPr>
          <w:ilvl w:val="0"/>
          <w:numId w:val="0"/>
        </w:numPr>
        <w:autoSpaceDE w:val="0"/>
        <w:autoSpaceDN w:val="0"/>
        <w:spacing w:before="0" w:after="160" w:line="440" w:lineRule="exact"/>
        <w:ind w:right="0" w:firstLine="480"/>
        <w:jc w:val="both"/>
        <w:rPr>
          <w:rFonts w:hint="default" w:ascii="宋体" w:hAnsi="宋体" w:eastAsia="宋体"/>
          <w:b/>
          <w:color w:val="auto"/>
          <w:position w:val="0"/>
          <w:sz w:val="24"/>
          <w:szCs w:val="24"/>
          <w:highlight w:val="none"/>
        </w:rPr>
      </w:pPr>
      <w:bookmarkStart w:id="85" w:name="_Toc283559987"/>
      <w:r>
        <w:rPr>
          <w:rFonts w:hint="default" w:ascii="宋体" w:hAnsi="宋体" w:eastAsia="宋体"/>
          <w:b/>
          <w:color w:val="auto"/>
          <w:position w:val="0"/>
          <w:sz w:val="24"/>
          <w:szCs w:val="24"/>
          <w:highlight w:val="none"/>
        </w:rPr>
        <w:t>10. 需要补充的其他内容</w:t>
      </w:r>
      <w:bookmarkEnd w:id="85"/>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需要补充的其他内容：见投标人须知前附表。</w:t>
      </w:r>
    </w:p>
    <w:p>
      <w:pPr>
        <w:numPr>
          <w:ilvl w:val="0"/>
          <w:numId w:val="0"/>
        </w:numPr>
        <w:autoSpaceDE/>
        <w:autoSpaceDN/>
        <w:spacing w:before="240" w:after="240" w:line="400" w:lineRule="exact"/>
        <w:ind w:right="0" w:firstLine="480"/>
        <w:jc w:val="both"/>
        <w:rPr>
          <w:rFonts w:hint="default" w:ascii="Times New Roman" w:hAnsi="宋体" w:eastAsia="宋体"/>
          <w:color w:val="auto"/>
          <w:position w:val="0"/>
          <w:sz w:val="24"/>
          <w:szCs w:val="24"/>
          <w:highlight w:val="none"/>
        </w:rPr>
      </w:pPr>
      <w:r>
        <w:br w:type="page"/>
      </w:r>
      <w:r>
        <w:rPr>
          <w:rFonts w:hint="default" w:ascii="Times New Roman" w:hAnsi="宋体" w:eastAsia="宋体"/>
          <w:color w:val="auto"/>
          <w:position w:val="0"/>
          <w:sz w:val="24"/>
          <w:szCs w:val="24"/>
          <w:highlight w:val="none"/>
        </w:rPr>
        <w:t>附表一：</w:t>
      </w:r>
    </w:p>
    <w:p>
      <w:pPr>
        <w:numPr>
          <w:ilvl w:val="0"/>
          <w:numId w:val="0"/>
        </w:numPr>
        <w:autoSpaceDE/>
        <w:autoSpaceDN/>
        <w:spacing w:before="240" w:after="240" w:line="400" w:lineRule="exact"/>
        <w:ind w:right="0" w:firstLine="560"/>
        <w:jc w:val="center"/>
        <w:rPr>
          <w:rFonts w:hint="default" w:ascii="Times New Roman" w:hAnsi="宋体" w:eastAsia="宋体"/>
          <w:color w:val="auto"/>
          <w:position w:val="0"/>
          <w:sz w:val="28"/>
          <w:szCs w:val="28"/>
          <w:highlight w:val="none"/>
        </w:rPr>
      </w:pPr>
      <w:r>
        <w:rPr>
          <w:rFonts w:hint="default" w:ascii="Times New Roman" w:hAnsi="宋体" w:eastAsia="宋体"/>
          <w:color w:val="auto"/>
          <w:position w:val="0"/>
          <w:sz w:val="28"/>
          <w:szCs w:val="28"/>
          <w:highlight w:val="none"/>
        </w:rPr>
        <w:t>问题澄清通知</w:t>
      </w: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u w:val="single"/>
        </w:rPr>
      </w:pPr>
      <w:r>
        <w:rPr>
          <w:rFonts w:hint="default" w:ascii="Times New Roman" w:hAnsi="宋体" w:eastAsia="宋体"/>
          <w:color w:val="auto"/>
          <w:position w:val="0"/>
          <w:sz w:val="24"/>
          <w:szCs w:val="24"/>
          <w:highlight w:val="none"/>
        </w:rPr>
        <w:t>编号：</w:t>
      </w:r>
      <w:r>
        <w:rPr>
          <w:rFonts w:hint="default" w:ascii="Times New Roman" w:hAnsi="宋体" w:eastAsia="宋体"/>
          <w:color w:val="auto"/>
          <w:position w:val="0"/>
          <w:sz w:val="24"/>
          <w:szCs w:val="24"/>
          <w:highlight w:val="none"/>
          <w:u w:val="single"/>
        </w:rPr>
        <w:t xml:space="preserve">                  </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（投标人名称）：</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（项目名称）招标的评标委员会，对你方的投标文件进行了仔细的审查，现需你方对本通知所附质疑问卷中的问题以书面形式予以澄清、说明或者补正。</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请将上述问题的澄清、说明或者补正于</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年</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月</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日</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时前密封递交至</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 xml:space="preserve"> （详细地址）。</w:t>
      </w:r>
    </w:p>
    <w:p>
      <w:pPr>
        <w:numPr>
          <w:ilvl w:val="0"/>
          <w:numId w:val="0"/>
        </w:numPr>
        <w:autoSpaceDE/>
        <w:autoSpaceDN/>
        <w:spacing w:before="0" w:after="160" w:line="480" w:lineRule="exact"/>
        <w:ind w:right="0" w:firstLine="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附件：质疑问卷</w:t>
      </w:r>
    </w:p>
    <w:p>
      <w:pPr>
        <w:numPr>
          <w:ilvl w:val="0"/>
          <w:numId w:val="0"/>
        </w:numPr>
        <w:autoSpaceDE/>
        <w:autoSpaceDN/>
        <w:spacing w:before="0" w:after="160" w:line="480" w:lineRule="exact"/>
        <w:ind w:right="0"/>
        <w:jc w:val="both"/>
        <w:rPr>
          <w:rFonts w:hint="default" w:ascii="Times New Roman" w:hAnsi="Times New Roman" w:eastAsia="Times New Roman"/>
          <w:color w:val="auto"/>
          <w:position w:val="0"/>
          <w:sz w:val="24"/>
          <w:szCs w:val="24"/>
          <w:highlight w:val="none"/>
        </w:rPr>
      </w:pPr>
      <w:r>
        <w:rPr>
          <w:rFonts w:hint="default" w:ascii="Times New Roman" w:hAnsi="Times New Roman" w:eastAsia="Times New Roman"/>
          <w:color w:val="auto"/>
          <w:position w:val="0"/>
          <w:sz w:val="24"/>
          <w:szCs w:val="24"/>
          <w:highlight w:val="none"/>
          <w:u w:val="single"/>
        </w:rPr>
        <w:t xml:space="preserve">     </w:t>
      </w:r>
      <w:r>
        <w:rPr>
          <w:rFonts w:hint="default" w:ascii="Times New Roman" w:hAnsi="Times New Roman" w:eastAsia="Times New Roman"/>
          <w:color w:val="auto"/>
          <w:position w:val="0"/>
          <w:sz w:val="24"/>
          <w:szCs w:val="24"/>
          <w:highlight w:val="none"/>
        </w:rPr>
        <w:t xml:space="preserve"> （项目名称）</w:t>
      </w:r>
      <w:r>
        <w:rPr>
          <w:rFonts w:hint="default" w:ascii="Times New Roman" w:hAnsi="Times New Roman" w:eastAsia="Times New Roman"/>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招标评标委员会</w:t>
      </w:r>
    </w:p>
    <w:p>
      <w:pPr>
        <w:numPr>
          <w:ilvl w:val="0"/>
          <w:numId w:val="0"/>
        </w:numPr>
        <w:autoSpaceDE/>
        <w:autoSpaceDN/>
        <w:spacing w:before="0" w:after="160" w:line="480" w:lineRule="exact"/>
        <w:ind w:right="0" w:firstLine="480"/>
        <w:jc w:val="both"/>
        <w:rPr>
          <w:rFonts w:hint="default" w:ascii="Times New Roman" w:hAnsi="Times New Roman" w:eastAsia="Times New Roman"/>
          <w:color w:val="auto"/>
          <w:position w:val="0"/>
          <w:sz w:val="24"/>
          <w:szCs w:val="24"/>
          <w:highlight w:val="none"/>
        </w:rPr>
      </w:pPr>
      <w:r>
        <w:rPr>
          <w:rFonts w:hint="default" w:ascii="Times New Roman" w:hAnsi="Times New Roman" w:eastAsia="Times New Roman"/>
          <w:color w:val="auto"/>
          <w:position w:val="0"/>
          <w:sz w:val="24"/>
          <w:szCs w:val="24"/>
          <w:highlight w:val="none"/>
        </w:rPr>
        <w:t>（经评标委员会授权的招标人代表签字或招标人加盖单位章）</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Times New Roman" w:eastAsia="Times New Roman"/>
          <w:color w:val="auto"/>
          <w:position w:val="0"/>
          <w:sz w:val="24"/>
          <w:szCs w:val="24"/>
          <w:highlight w:val="none"/>
          <w:u w:val="single"/>
        </w:rPr>
        <w:t xml:space="preserve">      </w:t>
      </w:r>
      <w:r>
        <w:rPr>
          <w:rFonts w:hint="default" w:ascii="Times New Roman" w:hAnsi="Times New Roman" w:eastAsia="Times New Roman"/>
          <w:color w:val="auto"/>
          <w:position w:val="0"/>
          <w:sz w:val="24"/>
          <w:szCs w:val="24"/>
          <w:highlight w:val="none"/>
        </w:rPr>
        <w:t>年</w:t>
      </w:r>
      <w:r>
        <w:rPr>
          <w:rFonts w:hint="default" w:ascii="Times New Roman" w:hAnsi="Times New Roman" w:eastAsia="Times New Roman"/>
          <w:color w:val="auto"/>
          <w:position w:val="0"/>
          <w:sz w:val="24"/>
          <w:szCs w:val="24"/>
          <w:highlight w:val="none"/>
          <w:u w:val="single"/>
        </w:rPr>
        <w:t xml:space="preserve">       </w:t>
      </w:r>
      <w:r>
        <w:rPr>
          <w:rFonts w:hint="default" w:ascii="Times New Roman" w:hAnsi="Times New Roman" w:eastAsia="Times New Roman"/>
          <w:color w:val="auto"/>
          <w:position w:val="0"/>
          <w:sz w:val="24"/>
          <w:szCs w:val="24"/>
          <w:highlight w:val="none"/>
        </w:rPr>
        <w:t>月</w:t>
      </w:r>
      <w:r>
        <w:rPr>
          <w:rFonts w:hint="default" w:ascii="Times New Roman" w:hAnsi="Times New Roman" w:eastAsia="Times New Roman"/>
          <w:color w:val="auto"/>
          <w:position w:val="0"/>
          <w:sz w:val="24"/>
          <w:szCs w:val="24"/>
          <w:highlight w:val="none"/>
          <w:u w:val="single"/>
        </w:rPr>
        <w:t xml:space="preserve">       </w:t>
      </w:r>
      <w:r>
        <w:rPr>
          <w:rFonts w:hint="default" w:ascii="Times New Roman" w:hAnsi="Times New Roman" w:eastAsia="Times New Roman"/>
          <w:color w:val="auto"/>
          <w:position w:val="0"/>
          <w:sz w:val="24"/>
          <w:szCs w:val="24"/>
          <w:highlight w:val="none"/>
        </w:rPr>
        <w:t>日</w:t>
      </w:r>
    </w:p>
    <w:p>
      <w:pPr>
        <w:numPr>
          <w:ilvl w:val="0"/>
          <w:numId w:val="0"/>
        </w:numPr>
        <w:autoSpaceDE/>
        <w:autoSpaceDN/>
        <w:spacing w:before="0" w:after="160" w:line="480" w:lineRule="exact"/>
        <w:ind w:right="0" w:firstLine="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附表二：问题的澄清</w:t>
      </w:r>
    </w:p>
    <w:p>
      <w:pPr>
        <w:numPr>
          <w:ilvl w:val="0"/>
          <w:numId w:val="0"/>
        </w:numPr>
        <w:autoSpaceDE/>
        <w:autoSpaceDN/>
        <w:spacing w:before="240" w:after="240" w:line="480" w:lineRule="exact"/>
        <w:ind w:right="0" w:firstLine="560"/>
        <w:jc w:val="center"/>
        <w:rPr>
          <w:rFonts w:hint="default" w:ascii="Times New Roman" w:hAnsi="宋体" w:eastAsia="宋体"/>
          <w:color w:val="auto"/>
          <w:position w:val="0"/>
          <w:sz w:val="28"/>
          <w:szCs w:val="28"/>
          <w:highlight w:val="none"/>
        </w:rPr>
      </w:pPr>
      <w:r>
        <w:rPr>
          <w:rFonts w:hint="default" w:ascii="Times New Roman" w:hAnsi="宋体" w:eastAsia="宋体"/>
          <w:color w:val="auto"/>
          <w:position w:val="0"/>
          <w:sz w:val="28"/>
          <w:szCs w:val="28"/>
          <w:highlight w:val="none"/>
        </w:rPr>
        <w:t>问题的澄清、说明或补正</w:t>
      </w:r>
    </w:p>
    <w:p>
      <w:pPr>
        <w:numPr>
          <w:ilvl w:val="0"/>
          <w:numId w:val="0"/>
        </w:numPr>
        <w:autoSpaceDE/>
        <w:autoSpaceDN/>
        <w:spacing w:before="0" w:after="160" w:line="400" w:lineRule="exact"/>
        <w:ind w:right="0" w:firstLine="480"/>
        <w:jc w:val="both"/>
        <w:rPr>
          <w:rFonts w:hint="default" w:ascii="Times New Roman" w:hAnsi="宋体" w:eastAsia="宋体"/>
          <w:color w:val="auto"/>
          <w:position w:val="0"/>
          <w:sz w:val="24"/>
          <w:szCs w:val="24"/>
          <w:highlight w:val="none"/>
          <w:u w:val="single"/>
        </w:rPr>
      </w:pPr>
      <w:r>
        <w:rPr>
          <w:rFonts w:hint="default" w:ascii="Times New Roman" w:hAnsi="宋体" w:eastAsia="宋体"/>
          <w:color w:val="auto"/>
          <w:position w:val="0"/>
          <w:sz w:val="24"/>
          <w:szCs w:val="24"/>
          <w:highlight w:val="none"/>
        </w:rPr>
        <w:t>编号：</w:t>
      </w:r>
      <w:r>
        <w:rPr>
          <w:rFonts w:hint="default" w:ascii="Times New Roman" w:hAnsi="宋体" w:eastAsia="宋体"/>
          <w:color w:val="auto"/>
          <w:position w:val="0"/>
          <w:sz w:val="24"/>
          <w:szCs w:val="24"/>
          <w:highlight w:val="none"/>
          <w:u w:val="single"/>
        </w:rPr>
        <w:t xml:space="preserve">                  </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（项目名称）招标评标委员会：</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问题澄清通知（编号：</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）已收悉，现澄清、说明或者补正如下：</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p>
    <w:p>
      <w:pPr>
        <w:numPr>
          <w:ilvl w:val="0"/>
          <w:numId w:val="0"/>
        </w:numPr>
        <w:wordWrap w:val="0"/>
        <w:autoSpaceDE/>
        <w:autoSpaceDN/>
        <w:spacing w:before="0" w:after="160" w:line="480" w:lineRule="exact"/>
        <w:ind w:right="0"/>
        <w:jc w:val="righ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 xml:space="preserve">（盖单位章） </w:t>
      </w:r>
    </w:p>
    <w:p>
      <w:pPr>
        <w:numPr>
          <w:ilvl w:val="0"/>
          <w:numId w:val="0"/>
        </w:numPr>
        <w:wordWrap w:val="0"/>
        <w:autoSpaceDE/>
        <w:autoSpaceDN/>
        <w:spacing w:before="120" w:after="120" w:line="480" w:lineRule="exact"/>
        <w:ind w:right="210" w:firstLine="480"/>
        <w:jc w:val="righ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法定代表人或其委托代理人：</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 xml:space="preserve">（签字） </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年</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月</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日</w:t>
      </w:r>
    </w:p>
    <w:p>
      <w:pPr>
        <w:numPr>
          <w:ilvl w:val="0"/>
          <w:numId w:val="0"/>
        </w:numPr>
        <w:autoSpaceDE/>
        <w:autoSpaceDN/>
        <w:spacing w:before="0" w:after="160" w:line="480" w:lineRule="exact"/>
        <w:ind w:right="0" w:firstLine="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480" w:lineRule="exact"/>
        <w:ind w:right="0" w:firstLine="0"/>
        <w:jc w:val="both"/>
        <w:rPr>
          <w:rFonts w:hint="default" w:ascii="Times New Roman" w:hAnsi="宋体" w:eastAsia="宋体"/>
          <w:color w:val="auto"/>
          <w:position w:val="0"/>
          <w:sz w:val="21"/>
          <w:szCs w:val="21"/>
          <w:highlight w:val="none"/>
        </w:rPr>
      </w:pPr>
    </w:p>
    <w:p>
      <w:pPr>
        <w:numPr>
          <w:ilvl w:val="0"/>
          <w:numId w:val="0"/>
        </w:numPr>
        <w:autoSpaceDE/>
        <w:autoSpaceDN/>
        <w:snapToGrid w:val="0"/>
        <w:spacing w:before="0" w:after="160" w:line="360" w:lineRule="auto"/>
        <w:ind w:right="0" w:firstLine="0"/>
        <w:jc w:val="center"/>
        <w:rPr>
          <w:rFonts w:hint="default" w:ascii="Times New Roman" w:hAnsi="宋体" w:eastAsia="宋体"/>
          <w:b/>
          <w:color w:val="auto"/>
          <w:position w:val="0"/>
          <w:sz w:val="36"/>
          <w:szCs w:val="36"/>
          <w:highlight w:val="none"/>
        </w:rPr>
      </w:pPr>
    </w:p>
    <w:p>
      <w:pPr>
        <w:pStyle w:val="6"/>
        <w:numPr>
          <w:ilvl w:val="0"/>
          <w:numId w:val="0"/>
        </w:numPr>
        <w:autoSpaceDE/>
        <w:autoSpaceDN/>
        <w:snapToGrid w:val="0"/>
        <w:spacing w:before="0" w:after="160" w:line="360" w:lineRule="auto"/>
        <w:ind w:right="0" w:firstLine="0"/>
        <w:jc w:val="center"/>
        <w:outlineLvl w:val="0"/>
        <w:rPr>
          <w:rFonts w:hint="default" w:ascii="新宋体" w:hAnsi="新宋体" w:eastAsia="新宋体"/>
          <w:b/>
          <w:color w:val="auto"/>
          <w:position w:val="0"/>
          <w:sz w:val="24"/>
          <w:szCs w:val="24"/>
          <w:highlight w:val="none"/>
        </w:rPr>
      </w:pPr>
      <w:r>
        <w:br w:type="page"/>
      </w:r>
      <w:bookmarkStart w:id="86" w:name="_Toc20990"/>
      <w:bookmarkStart w:id="87" w:name="_Toc1109"/>
      <w:r>
        <w:rPr>
          <w:rFonts w:hint="default" w:ascii="宋体" w:hAnsi="宋体" w:eastAsia="宋体"/>
          <w:b/>
          <w:color w:val="auto"/>
          <w:position w:val="0"/>
          <w:sz w:val="44"/>
          <w:szCs w:val="44"/>
          <w:highlight w:val="none"/>
        </w:rPr>
        <w:t>第三章 评标办法（综合评标法）</w:t>
      </w:r>
      <w:bookmarkEnd w:id="86"/>
      <w:bookmarkEnd w:id="87"/>
    </w:p>
    <w:p>
      <w:pPr>
        <w:numPr>
          <w:ilvl w:val="0"/>
          <w:numId w:val="0"/>
        </w:numPr>
        <w:autoSpaceDE/>
        <w:autoSpaceDN/>
        <w:spacing w:before="0" w:after="160" w:line="360" w:lineRule="auto"/>
        <w:ind w:right="0" w:firstLine="480"/>
        <w:jc w:val="both"/>
        <w:rPr>
          <w:rFonts w:hint="default" w:ascii="新宋体" w:hAnsi="新宋体" w:eastAsia="新宋体"/>
          <w:color w:val="auto"/>
          <w:position w:val="0"/>
          <w:sz w:val="24"/>
          <w:szCs w:val="24"/>
          <w:highlight w:val="none"/>
        </w:rPr>
      </w:pPr>
      <w:r>
        <w:rPr>
          <w:rFonts w:hint="default" w:ascii="新宋体" w:hAnsi="新宋体" w:eastAsia="新宋体"/>
          <w:color w:val="auto"/>
          <w:position w:val="0"/>
          <w:sz w:val="24"/>
          <w:szCs w:val="24"/>
          <w:highlight w:val="none"/>
        </w:rPr>
        <w:t>一、评标应遵循公正、公平、择优的原则严格按照招标文件进行。</w:t>
      </w:r>
    </w:p>
    <w:p>
      <w:pPr>
        <w:numPr>
          <w:ilvl w:val="0"/>
          <w:numId w:val="0"/>
        </w:numPr>
        <w:autoSpaceDE/>
        <w:autoSpaceDN/>
        <w:spacing w:before="0" w:after="160" w:line="360" w:lineRule="auto"/>
        <w:ind w:right="0" w:firstLine="480" w:firstLineChars="200"/>
        <w:jc w:val="both"/>
        <w:rPr>
          <w:rFonts w:hint="default" w:ascii="新宋体" w:hAnsi="新宋体" w:eastAsia="新宋体"/>
          <w:color w:val="auto"/>
          <w:position w:val="0"/>
          <w:sz w:val="24"/>
          <w:szCs w:val="24"/>
          <w:highlight w:val="none"/>
        </w:rPr>
      </w:pPr>
      <w:bookmarkStart w:id="108" w:name="_GoBack"/>
      <w:bookmarkEnd w:id="108"/>
      <w:r>
        <w:rPr>
          <w:rFonts w:hint="default" w:ascii="新宋体" w:hAnsi="新宋体" w:eastAsia="新宋体"/>
          <w:color w:val="auto"/>
          <w:position w:val="0"/>
          <w:sz w:val="24"/>
          <w:szCs w:val="24"/>
          <w:highlight w:val="none"/>
        </w:rPr>
        <w:t>二、评标由招标人依法组建的评标委员会负责</w:t>
      </w:r>
      <w:r>
        <w:rPr>
          <w:rFonts w:hint="default" w:ascii="宋体" w:hAnsi="宋体" w:eastAsia="宋体"/>
          <w:color w:val="auto"/>
          <w:position w:val="0"/>
          <w:sz w:val="24"/>
          <w:szCs w:val="24"/>
          <w:highlight w:val="none"/>
        </w:rPr>
        <w:t>，评标委员会构成：</w:t>
      </w:r>
      <w:r>
        <w:rPr>
          <w:rFonts w:hint="eastAsia" w:ascii="宋体" w:hAnsi="宋体" w:eastAsia="宋体"/>
          <w:color w:val="auto"/>
          <w:position w:val="0"/>
          <w:sz w:val="24"/>
          <w:szCs w:val="24"/>
          <w:highlight w:val="none"/>
          <w:lang w:val="en-US" w:eastAsia="zh-CN"/>
        </w:rPr>
        <w:t>5</w:t>
      </w:r>
      <w:r>
        <w:rPr>
          <w:rFonts w:hint="default" w:ascii="宋体" w:hAnsi="宋体" w:eastAsia="宋体"/>
          <w:color w:val="auto"/>
          <w:position w:val="0"/>
          <w:sz w:val="24"/>
          <w:szCs w:val="24"/>
          <w:highlight w:val="none"/>
        </w:rPr>
        <w:t>人</w:t>
      </w:r>
      <w:r>
        <w:rPr>
          <w:rFonts w:hint="eastAsia" w:ascii="宋体" w:hAnsi="宋体" w:eastAsia="宋体"/>
          <w:color w:val="auto"/>
          <w:position w:val="0"/>
          <w:sz w:val="24"/>
          <w:szCs w:val="24"/>
          <w:highlight w:val="none"/>
          <w:lang w:eastAsia="zh-CN"/>
        </w:rPr>
        <w:t>（</w:t>
      </w:r>
      <w:r>
        <w:rPr>
          <w:rFonts w:hint="default" w:ascii="宋体" w:hAnsi="宋体" w:eastAsia="宋体"/>
          <w:color w:val="auto"/>
          <w:position w:val="0"/>
          <w:sz w:val="24"/>
          <w:szCs w:val="24"/>
          <w:highlight w:val="none"/>
        </w:rPr>
        <w:t>招标人代表</w:t>
      </w:r>
      <w:r>
        <w:rPr>
          <w:rFonts w:hint="default" w:ascii="宋体" w:hAnsi="宋体" w:eastAsia="宋体"/>
          <w:color w:val="auto"/>
          <w:position w:val="0"/>
          <w:sz w:val="24"/>
          <w:szCs w:val="24"/>
          <w:highlight w:val="none"/>
          <w:lang w:val="en-US" w:eastAsia="zh-CN"/>
        </w:rPr>
        <w:t>1</w:t>
      </w:r>
      <w:r>
        <w:rPr>
          <w:rFonts w:hint="default" w:ascii="宋体" w:hAnsi="宋体" w:eastAsia="宋体"/>
          <w:color w:val="auto"/>
          <w:position w:val="0"/>
          <w:sz w:val="24"/>
          <w:szCs w:val="24"/>
          <w:highlight w:val="none"/>
        </w:rPr>
        <w:t>人</w:t>
      </w:r>
      <w:r>
        <w:rPr>
          <w:rFonts w:hint="eastAsia" w:ascii="宋体" w:hAnsi="宋体" w:eastAsia="宋体"/>
          <w:color w:val="auto"/>
          <w:position w:val="0"/>
          <w:sz w:val="24"/>
          <w:szCs w:val="24"/>
          <w:highlight w:val="none"/>
          <w:lang w:eastAsia="zh-CN"/>
        </w:rPr>
        <w:t>，</w:t>
      </w:r>
      <w:r>
        <w:rPr>
          <w:rFonts w:hint="eastAsia" w:ascii="宋体" w:hAnsi="宋体" w:eastAsia="宋体"/>
          <w:color w:val="auto"/>
          <w:position w:val="0"/>
          <w:sz w:val="24"/>
          <w:szCs w:val="24"/>
          <w:highlight w:val="none"/>
          <w:lang w:val="en-US" w:eastAsia="zh-CN"/>
        </w:rPr>
        <w:t>评审专家4人），</w:t>
      </w:r>
      <w:r>
        <w:rPr>
          <w:rFonts w:hint="default" w:ascii="宋体" w:hAnsi="宋体" w:eastAsia="宋体"/>
          <w:color w:val="auto"/>
          <w:position w:val="0"/>
          <w:sz w:val="24"/>
          <w:szCs w:val="24"/>
          <w:highlight w:val="none"/>
        </w:rPr>
        <w:t>从河南省综合评标专家库中随机抽取（其中</w:t>
      </w:r>
      <w:r>
        <w:rPr>
          <w:rFonts w:hint="eastAsia" w:ascii="宋体" w:hAnsi="宋体" w:eastAsia="宋体"/>
          <w:color w:val="auto"/>
          <w:position w:val="0"/>
          <w:sz w:val="24"/>
          <w:szCs w:val="24"/>
          <w:highlight w:val="none"/>
          <w:lang w:val="en-US" w:eastAsia="zh-CN"/>
        </w:rPr>
        <w:t>评标委员会的组成人员中</w:t>
      </w:r>
      <w:r>
        <w:rPr>
          <w:rFonts w:hint="default" w:ascii="宋体" w:hAnsi="宋体" w:eastAsia="宋体"/>
          <w:color w:val="auto"/>
          <w:position w:val="0"/>
          <w:sz w:val="24"/>
          <w:szCs w:val="24"/>
          <w:highlight w:val="none"/>
        </w:rPr>
        <w:t>注册工程造价</w:t>
      </w:r>
      <w:r>
        <w:rPr>
          <w:rFonts w:hint="eastAsia" w:ascii="宋体" w:hAnsi="宋体" w:eastAsia="宋体"/>
          <w:color w:val="auto"/>
          <w:position w:val="0"/>
          <w:sz w:val="24"/>
          <w:szCs w:val="24"/>
          <w:highlight w:val="none"/>
          <w:lang w:val="en-US" w:eastAsia="zh-CN"/>
        </w:rPr>
        <w:t>专家不应少于五分之二</w:t>
      </w:r>
      <w:r>
        <w:rPr>
          <w:rFonts w:hint="default" w:ascii="宋体" w:hAnsi="宋体" w:eastAsia="宋体"/>
          <w:color w:val="auto"/>
          <w:position w:val="0"/>
          <w:sz w:val="24"/>
          <w:szCs w:val="24"/>
          <w:highlight w:val="none"/>
        </w:rPr>
        <w:t>）</w:t>
      </w:r>
      <w:r>
        <w:rPr>
          <w:rFonts w:hint="eastAsia" w:ascii="宋体" w:hAnsi="宋体" w:eastAsia="宋体"/>
          <w:color w:val="auto"/>
          <w:position w:val="0"/>
          <w:sz w:val="24"/>
          <w:szCs w:val="24"/>
          <w:highlight w:val="none"/>
          <w:lang w:eastAsia="zh-CN"/>
        </w:rPr>
        <w:t>，</w:t>
      </w:r>
      <w:r>
        <w:rPr>
          <w:rFonts w:hint="default" w:ascii="新宋体" w:hAnsi="新宋体" w:eastAsia="新宋体"/>
          <w:color w:val="auto"/>
          <w:position w:val="0"/>
          <w:sz w:val="24"/>
          <w:szCs w:val="24"/>
          <w:highlight w:val="none"/>
        </w:rPr>
        <w:t>与投标人有利害关系的专家不得进入评标委员会。</w:t>
      </w:r>
    </w:p>
    <w:p>
      <w:pPr>
        <w:numPr>
          <w:ilvl w:val="0"/>
          <w:numId w:val="0"/>
        </w:numPr>
        <w:autoSpaceDE/>
        <w:autoSpaceDN/>
        <w:snapToGrid w:val="0"/>
        <w:spacing w:before="0" w:after="160" w:line="43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三、</w:t>
      </w:r>
      <w:r>
        <w:rPr>
          <w:rFonts w:hint="default" w:ascii="新宋体" w:hAnsi="新宋体" w:eastAsia="新宋体"/>
          <w:color w:val="auto"/>
          <w:position w:val="0"/>
          <w:sz w:val="24"/>
          <w:szCs w:val="24"/>
          <w:highlight w:val="none"/>
        </w:rPr>
        <w:t>评标采用综合评标法，是指评标委员会根据招标文件要求，应从技术标、商务标、综合标三部分进行综合评审</w:t>
      </w:r>
      <w:r>
        <w:rPr>
          <w:rFonts w:hint="default" w:ascii="Times New Roman" w:hAnsi="宋体" w:eastAsia="宋体"/>
          <w:color w:val="auto"/>
          <w:position w:val="0"/>
          <w:sz w:val="24"/>
          <w:szCs w:val="24"/>
          <w:highlight w:val="none"/>
        </w:rPr>
        <w:t>。</w:t>
      </w:r>
    </w:p>
    <w:p>
      <w:pPr>
        <w:numPr>
          <w:ilvl w:val="0"/>
          <w:numId w:val="0"/>
        </w:numPr>
        <w:autoSpaceDE/>
        <w:autoSpaceDN/>
        <w:snapToGrid w:val="0"/>
        <w:spacing w:before="0" w:after="160" w:line="43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四、评标程序为：</w:t>
      </w:r>
    </w:p>
    <w:p>
      <w:pPr>
        <w:numPr>
          <w:ilvl w:val="0"/>
          <w:numId w:val="0"/>
        </w:numPr>
        <w:autoSpaceDE/>
        <w:autoSpaceDN/>
        <w:snapToGrid w:val="0"/>
        <w:spacing w:before="0" w:after="160" w:line="43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（一）清标；</w:t>
      </w:r>
    </w:p>
    <w:p>
      <w:pPr>
        <w:numPr>
          <w:ilvl w:val="0"/>
          <w:numId w:val="0"/>
        </w:numPr>
        <w:autoSpaceDE/>
        <w:autoSpaceDN/>
        <w:snapToGrid w:val="0"/>
        <w:spacing w:before="0" w:after="160" w:line="43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（二）初步评审；</w:t>
      </w:r>
    </w:p>
    <w:p>
      <w:pPr>
        <w:numPr>
          <w:ilvl w:val="0"/>
          <w:numId w:val="0"/>
        </w:numPr>
        <w:autoSpaceDE/>
        <w:autoSpaceDN/>
        <w:snapToGrid w:val="0"/>
        <w:spacing w:before="0" w:after="160" w:line="43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（三）详细评审；</w:t>
      </w:r>
    </w:p>
    <w:p>
      <w:pPr>
        <w:numPr>
          <w:ilvl w:val="0"/>
          <w:numId w:val="0"/>
        </w:numPr>
        <w:autoSpaceDE/>
        <w:autoSpaceDN/>
        <w:snapToGrid w:val="0"/>
        <w:spacing w:before="0" w:after="160" w:line="43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（四）问题的澄清、说明或补正；</w:t>
      </w:r>
    </w:p>
    <w:p>
      <w:pPr>
        <w:numPr>
          <w:ilvl w:val="0"/>
          <w:numId w:val="0"/>
        </w:numPr>
        <w:autoSpaceDE/>
        <w:autoSpaceDN/>
        <w:snapToGrid w:val="0"/>
        <w:spacing w:before="0" w:after="160" w:line="43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（五）推荐中标候选人；</w:t>
      </w:r>
    </w:p>
    <w:p>
      <w:pPr>
        <w:numPr>
          <w:ilvl w:val="0"/>
          <w:numId w:val="0"/>
        </w:numPr>
        <w:autoSpaceDE/>
        <w:autoSpaceDN/>
        <w:snapToGrid w:val="0"/>
        <w:spacing w:before="0" w:after="160" w:line="43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（六）评标现场宣布中标候选人确定结果并在指定媒体上进行公示。</w:t>
      </w:r>
    </w:p>
    <w:p>
      <w:pPr>
        <w:numPr>
          <w:ilvl w:val="0"/>
          <w:numId w:val="0"/>
        </w:numPr>
        <w:autoSpaceDE/>
        <w:autoSpaceDN/>
        <w:snapToGrid w:val="0"/>
        <w:spacing w:before="0" w:after="160" w:line="430" w:lineRule="exact"/>
        <w:ind w:right="0" w:firstLine="480"/>
        <w:jc w:val="both"/>
        <w:rPr>
          <w:rFonts w:hint="default" w:ascii="新宋体" w:hAnsi="新宋体" w:eastAsia="新宋体"/>
          <w:b/>
          <w:color w:val="auto"/>
          <w:position w:val="0"/>
          <w:sz w:val="24"/>
          <w:szCs w:val="24"/>
          <w:highlight w:val="none"/>
        </w:rPr>
      </w:pPr>
      <w:r>
        <w:rPr>
          <w:rFonts w:hint="default" w:ascii="Times New Roman" w:hAnsi="宋体" w:eastAsia="宋体"/>
          <w:color w:val="auto"/>
          <w:position w:val="0"/>
          <w:sz w:val="24"/>
          <w:szCs w:val="24"/>
          <w:highlight w:val="none"/>
        </w:rPr>
        <w:t>五、清标</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 xml:space="preserve">评标委员会按招标文件及商务标清标内容（附件1）要求对投标文件的符合性、响应性、资格条件和重大偏差等逐一进行评审。初步评审主要包括以下内容：  </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（一）电子投标文件是否按招标文件要求签字盖章（无需逐页签字盖章）；</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（二）投标联合体是否提交共同投标协议（允许联合体投标的）；</w:t>
      </w:r>
    </w:p>
    <w:p>
      <w:pPr>
        <w:numPr>
          <w:ilvl w:val="0"/>
          <w:numId w:val="0"/>
        </w:numPr>
        <w:autoSpaceDE/>
        <w:autoSpaceDN/>
        <w:spacing w:before="0" w:after="160" w:line="440" w:lineRule="exact"/>
        <w:ind w:right="0" w:firstLine="480"/>
        <w:jc w:val="both"/>
        <w:rPr>
          <w:rFonts w:hint="eastAsia" w:hAnsi="宋体" w:eastAsia="宋体"/>
          <w:sz w:val="24"/>
        </w:rPr>
      </w:pPr>
      <w:r>
        <w:rPr>
          <w:rFonts w:hint="default" w:ascii="新宋体" w:hAnsi="新宋体" w:eastAsia="新宋体"/>
          <w:color w:val="auto"/>
          <w:position w:val="0"/>
          <w:sz w:val="24"/>
          <w:szCs w:val="24"/>
        </w:rPr>
        <w:t>（三）投标人是否符合国家或者招标文件规定的资格条件，注册建造师注册单位与投标人是否一致；</w:t>
      </w:r>
      <w:r>
        <w:rPr>
          <w:rFonts w:hint="eastAsia" w:hAnsi="宋体" w:eastAsia="宋体"/>
          <w:sz w:val="24"/>
        </w:rPr>
        <w:t xml:space="preserve">  </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eastAsia" w:hAnsi="宋体" w:eastAsia="宋体"/>
          <w:sz w:val="24"/>
        </w:rPr>
        <w:t>（四）投标人是否按招标文件要求缴纳投标保证金或提供投标保函；</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w:t>
      </w:r>
      <w:r>
        <w:rPr>
          <w:rFonts w:hint="eastAsia" w:ascii="新宋体" w:hAnsi="新宋体" w:eastAsia="新宋体"/>
          <w:color w:val="auto"/>
          <w:position w:val="0"/>
          <w:sz w:val="24"/>
          <w:szCs w:val="24"/>
          <w:lang w:val="en-US" w:eastAsia="zh-CN"/>
        </w:rPr>
        <w:t>五</w:t>
      </w:r>
      <w:r>
        <w:rPr>
          <w:rFonts w:hint="default" w:ascii="新宋体" w:hAnsi="新宋体" w:eastAsia="新宋体"/>
          <w:color w:val="auto"/>
          <w:position w:val="0"/>
          <w:sz w:val="24"/>
          <w:szCs w:val="24"/>
        </w:rPr>
        <w:t xml:space="preserve">）同一投标人是否提交两个以上不同的投标文件或者投标报价，但招标文件要求提交备选投标的除外； </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w:t>
      </w:r>
      <w:r>
        <w:rPr>
          <w:rFonts w:hint="eastAsia" w:ascii="新宋体" w:hAnsi="新宋体" w:eastAsia="新宋体"/>
          <w:color w:val="auto"/>
          <w:position w:val="0"/>
          <w:sz w:val="24"/>
          <w:szCs w:val="24"/>
          <w:lang w:val="en-US" w:eastAsia="zh-CN"/>
        </w:rPr>
        <w:t>六</w:t>
      </w:r>
      <w:r>
        <w:rPr>
          <w:rFonts w:hint="default" w:ascii="新宋体" w:hAnsi="新宋体" w:eastAsia="新宋体"/>
          <w:color w:val="auto"/>
          <w:position w:val="0"/>
          <w:sz w:val="24"/>
          <w:szCs w:val="24"/>
        </w:rPr>
        <w:t>）投标报价是否高于招标文件设定的最高投标限价；</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w:t>
      </w:r>
      <w:r>
        <w:rPr>
          <w:rFonts w:hint="eastAsia" w:ascii="新宋体" w:hAnsi="新宋体" w:eastAsia="新宋体"/>
          <w:color w:val="auto"/>
          <w:position w:val="0"/>
          <w:sz w:val="24"/>
          <w:szCs w:val="24"/>
          <w:lang w:val="en-US" w:eastAsia="zh-CN"/>
        </w:rPr>
        <w:t>七</w:t>
      </w:r>
      <w:r>
        <w:rPr>
          <w:rFonts w:hint="default" w:ascii="新宋体" w:hAnsi="新宋体" w:eastAsia="新宋体"/>
          <w:color w:val="auto"/>
          <w:position w:val="0"/>
          <w:sz w:val="24"/>
          <w:szCs w:val="24"/>
        </w:rPr>
        <w:t>）投标范围、工期、工程质量、投标有效期、付款方式是否符合招标文件规定；</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w:t>
      </w:r>
      <w:r>
        <w:rPr>
          <w:rFonts w:hint="eastAsia" w:ascii="新宋体" w:hAnsi="新宋体" w:eastAsia="新宋体"/>
          <w:color w:val="auto"/>
          <w:position w:val="0"/>
          <w:sz w:val="24"/>
          <w:szCs w:val="24"/>
          <w:lang w:val="en-US" w:eastAsia="zh-CN"/>
        </w:rPr>
        <w:t>八</w:t>
      </w:r>
      <w:r>
        <w:rPr>
          <w:rFonts w:hint="default" w:ascii="新宋体" w:hAnsi="新宋体" w:eastAsia="新宋体"/>
          <w:color w:val="auto"/>
          <w:position w:val="0"/>
          <w:sz w:val="24"/>
          <w:szCs w:val="24"/>
        </w:rPr>
        <w:t>）投标人是否有串通投标、弄虚作假、行贿等违法行为。</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w:t>
      </w:r>
      <w:r>
        <w:rPr>
          <w:rFonts w:hint="eastAsia" w:ascii="新宋体" w:hAnsi="新宋体" w:eastAsia="新宋体"/>
          <w:color w:val="auto"/>
          <w:position w:val="0"/>
          <w:sz w:val="24"/>
          <w:szCs w:val="24"/>
          <w:lang w:val="en-US" w:eastAsia="zh-CN"/>
        </w:rPr>
        <w:t>九</w:t>
      </w:r>
      <w:r>
        <w:rPr>
          <w:rFonts w:hint="default" w:ascii="新宋体" w:hAnsi="新宋体" w:eastAsia="新宋体"/>
          <w:color w:val="auto"/>
          <w:position w:val="0"/>
          <w:sz w:val="24"/>
          <w:szCs w:val="24"/>
        </w:rPr>
        <w:t>）评标委员会在评标过程中，发现投标文件中除不符合法律法规规定的情形外，还存在下列情况之一的，也可按否决投标处理。</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（1）未按招标文件规定编制各项报价的；</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（2）投标报价与其组成部分、工程量清单项目合价与综合单价、综合单价与人材机用量相互矛盾，致使评标委员会无法正常评审判定的；</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（3）规费和安全文明施工费违反工程造价计价有关规定的；</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（4）分部分项工程项目、措施项目报价中的项目编码、项目名称、项目特征、计量单位和工程量与招标文件的清单不一致的；</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（5）未按照招标文件所列明的暂列金额、暂估价编制投标报价的；</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（6）住房和城乡建设部《标准施工招标文件》规定的其他否决投标条件。</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numPr>
          <w:ilvl w:val="0"/>
          <w:numId w:val="0"/>
        </w:numPr>
        <w:autoSpaceDE/>
        <w:autoSpaceDN/>
        <w:spacing w:before="0" w:after="160" w:line="360" w:lineRule="auto"/>
        <w:ind w:right="0" w:firstLine="480"/>
        <w:jc w:val="both"/>
        <w:rPr>
          <w:rFonts w:hint="default" w:ascii="新宋体" w:hAnsi="新宋体" w:eastAsia="新宋体"/>
          <w:b/>
          <w:color w:val="auto"/>
          <w:position w:val="0"/>
          <w:sz w:val="24"/>
          <w:szCs w:val="24"/>
        </w:rPr>
      </w:pPr>
      <w:r>
        <w:rPr>
          <w:rFonts w:hint="default" w:ascii="Times New Roman" w:hAnsi="宋体" w:eastAsia="宋体"/>
          <w:b/>
          <w:color w:val="auto"/>
          <w:position w:val="0"/>
          <w:sz w:val="24"/>
          <w:szCs w:val="24"/>
        </w:rPr>
        <w:t>备注：不同投标人电子投标文件记录的网卡MAC地址、CPU序号、硬盘序列号等硬件特征码均</w:t>
      </w:r>
      <w:r>
        <w:rPr>
          <w:rFonts w:hint="eastAsia" w:hAnsi="宋体" w:eastAsia="宋体"/>
          <w:b/>
          <w:color w:val="auto"/>
          <w:position w:val="0"/>
          <w:sz w:val="24"/>
          <w:szCs w:val="24"/>
          <w:lang w:val="en-US" w:eastAsia="zh-CN"/>
        </w:rPr>
        <w:t>一致</w:t>
      </w:r>
      <w:r>
        <w:rPr>
          <w:rFonts w:hint="default" w:ascii="Times New Roman" w:hAnsi="宋体" w:eastAsia="宋体"/>
          <w:b/>
          <w:color w:val="auto"/>
          <w:position w:val="0"/>
          <w:sz w:val="24"/>
          <w:szCs w:val="24"/>
        </w:rPr>
        <w:t>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（九）商务标清标内容。</w:t>
      </w:r>
    </w:p>
    <w:tbl>
      <w:tblPr>
        <w:tblStyle w:val="31"/>
        <w:tblW w:w="9854" w:type="dxa"/>
        <w:jc w:val="center"/>
        <w:tblLayout w:type="fixed"/>
        <w:tblCellMar>
          <w:top w:w="0" w:type="dxa"/>
          <w:left w:w="108" w:type="dxa"/>
          <w:bottom w:w="0" w:type="dxa"/>
          <w:right w:w="108" w:type="dxa"/>
        </w:tblCellMar>
      </w:tblPr>
      <w:tblGrid>
        <w:gridCol w:w="434"/>
        <w:gridCol w:w="598"/>
        <w:gridCol w:w="3156"/>
        <w:gridCol w:w="4174"/>
        <w:gridCol w:w="756"/>
        <w:gridCol w:w="736"/>
      </w:tblGrid>
      <w:tr>
        <w:tblPrEx>
          <w:tblCellMar>
            <w:top w:w="0" w:type="dxa"/>
            <w:left w:w="108" w:type="dxa"/>
            <w:bottom w:w="0" w:type="dxa"/>
            <w:right w:w="108" w:type="dxa"/>
          </w:tblCellMar>
        </w:tblPrEx>
        <w:trPr>
          <w:trHeight w:val="282" w:hRule="atLeast"/>
          <w:jc w:val="center"/>
        </w:trPr>
        <w:tc>
          <w:tcPr>
            <w:tcW w:w="1032" w:type="dxa"/>
            <w:gridSpan w:val="2"/>
            <w:vMerge w:val="restart"/>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序号</w:t>
            </w:r>
          </w:p>
        </w:tc>
        <w:tc>
          <w:tcPr>
            <w:tcW w:w="3156" w:type="dxa"/>
            <w:vMerge w:val="restart"/>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清标项目</w:t>
            </w:r>
          </w:p>
        </w:tc>
        <w:tc>
          <w:tcPr>
            <w:tcW w:w="4174" w:type="dxa"/>
            <w:vMerge w:val="restart"/>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清标内容</w:t>
            </w:r>
          </w:p>
        </w:tc>
        <w:tc>
          <w:tcPr>
            <w:tcW w:w="1492" w:type="dxa"/>
            <w:gridSpan w:val="2"/>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清标结果</w:t>
            </w:r>
          </w:p>
        </w:tc>
      </w:tr>
      <w:tr>
        <w:tblPrEx>
          <w:tblCellMar>
            <w:top w:w="0" w:type="dxa"/>
            <w:left w:w="108" w:type="dxa"/>
            <w:bottom w:w="0" w:type="dxa"/>
            <w:right w:w="108" w:type="dxa"/>
          </w:tblCellMar>
        </w:tblPrEx>
        <w:trPr>
          <w:trHeight w:val="282" w:hRule="atLeast"/>
          <w:jc w:val="center"/>
        </w:trPr>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3156" w:type="dxa"/>
            <w:vMerge w:val="continue"/>
            <w:tcBorders>
              <w:top w:val="single" w:color="auto" w:sz="4" w:space="0"/>
              <w:left w:val="nil"/>
              <w:bottom w:val="single" w:color="auto" w:sz="4" w:space="0"/>
              <w:right w:val="single" w:color="auto" w:sz="4" w:space="0"/>
            </w:tcBorders>
            <w:vAlign w:val="center"/>
          </w:tcPr>
          <w:p/>
        </w:tc>
        <w:tc>
          <w:tcPr>
            <w:tcW w:w="4174" w:type="dxa"/>
            <w:vMerge w:val="continue"/>
            <w:tcBorders>
              <w:top w:val="single" w:color="auto" w:sz="4" w:space="0"/>
              <w:left w:val="nil"/>
              <w:bottom w:val="single" w:color="auto" w:sz="4" w:space="0"/>
              <w:right w:val="single" w:color="auto" w:sz="4" w:space="0"/>
            </w:tcBorders>
            <w:vAlign w:val="center"/>
          </w:tcPr>
          <w:p/>
        </w:tc>
        <w:tc>
          <w:tcPr>
            <w:tcW w:w="7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是</w:t>
            </w:r>
          </w:p>
        </w:tc>
        <w:tc>
          <w:tcPr>
            <w:tcW w:w="73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否</w:t>
            </w:r>
          </w:p>
        </w:tc>
      </w:tr>
      <w:tr>
        <w:tblPrEx>
          <w:tblCellMar>
            <w:top w:w="0" w:type="dxa"/>
            <w:left w:w="108" w:type="dxa"/>
            <w:bottom w:w="0" w:type="dxa"/>
            <w:right w:w="108" w:type="dxa"/>
          </w:tblCellMar>
        </w:tblPrEx>
        <w:trPr>
          <w:trHeight w:val="473" w:hRule="atLeast"/>
          <w:jc w:val="center"/>
        </w:trPr>
        <w:tc>
          <w:tcPr>
            <w:tcW w:w="434" w:type="dxa"/>
            <w:vMerge w:val="restart"/>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1</w:t>
            </w:r>
          </w:p>
        </w:tc>
        <w:tc>
          <w:tcPr>
            <w:tcW w:w="598"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1.1</w:t>
            </w:r>
          </w:p>
        </w:tc>
        <w:tc>
          <w:tcPr>
            <w:tcW w:w="31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项目总报价</w:t>
            </w:r>
          </w:p>
        </w:tc>
        <w:tc>
          <w:tcPr>
            <w:tcW w:w="4174"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是否等于各单项工程造价之和</w:t>
            </w:r>
          </w:p>
        </w:tc>
        <w:tc>
          <w:tcPr>
            <w:tcW w:w="7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3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23" w:hRule="atLeast"/>
          <w:jc w:val="center"/>
        </w:trPr>
        <w:tc>
          <w:tcPr>
            <w:tcW w:w="434" w:type="dxa"/>
            <w:vMerge w:val="continue"/>
            <w:tcBorders>
              <w:top w:val="nil"/>
              <w:left w:val="single" w:color="auto" w:sz="4" w:space="0"/>
              <w:bottom w:val="single" w:color="auto" w:sz="4" w:space="0"/>
              <w:right w:val="single" w:color="auto" w:sz="4" w:space="0"/>
            </w:tcBorders>
            <w:vAlign w:val="center"/>
          </w:tcPr>
          <w:p/>
        </w:tc>
        <w:tc>
          <w:tcPr>
            <w:tcW w:w="598"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1.2</w:t>
            </w:r>
          </w:p>
        </w:tc>
        <w:tc>
          <w:tcPr>
            <w:tcW w:w="31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单项工程费</w:t>
            </w:r>
          </w:p>
        </w:tc>
        <w:tc>
          <w:tcPr>
            <w:tcW w:w="4174"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是否等于各单位工程造价之和</w:t>
            </w:r>
          </w:p>
        </w:tc>
        <w:tc>
          <w:tcPr>
            <w:tcW w:w="7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3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539" w:hRule="atLeast"/>
          <w:jc w:val="center"/>
        </w:trPr>
        <w:tc>
          <w:tcPr>
            <w:tcW w:w="434" w:type="dxa"/>
            <w:vMerge w:val="continue"/>
            <w:tcBorders>
              <w:top w:val="nil"/>
              <w:left w:val="single" w:color="auto" w:sz="4" w:space="0"/>
              <w:bottom w:val="single" w:color="auto" w:sz="4" w:space="0"/>
              <w:right w:val="single" w:color="auto" w:sz="4" w:space="0"/>
            </w:tcBorders>
            <w:vAlign w:val="center"/>
          </w:tcPr>
          <w:p/>
        </w:tc>
        <w:tc>
          <w:tcPr>
            <w:tcW w:w="598"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1.3</w:t>
            </w:r>
          </w:p>
        </w:tc>
        <w:tc>
          <w:tcPr>
            <w:tcW w:w="31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单位工程费</w:t>
            </w:r>
          </w:p>
        </w:tc>
        <w:tc>
          <w:tcPr>
            <w:tcW w:w="4174"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是否等于分部分项工程费+措施项目费+其它项目费+规费+税金之和</w:t>
            </w:r>
          </w:p>
        </w:tc>
        <w:tc>
          <w:tcPr>
            <w:tcW w:w="7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3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641" w:hRule="atLeast"/>
          <w:jc w:val="center"/>
        </w:trPr>
        <w:tc>
          <w:tcPr>
            <w:tcW w:w="434" w:type="dxa"/>
            <w:vMerge w:val="restart"/>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w:t>
            </w:r>
          </w:p>
        </w:tc>
        <w:tc>
          <w:tcPr>
            <w:tcW w:w="598"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2.1</w:t>
            </w:r>
          </w:p>
        </w:tc>
        <w:tc>
          <w:tcPr>
            <w:tcW w:w="31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分部分项工程费及单价措施费</w:t>
            </w:r>
          </w:p>
        </w:tc>
        <w:tc>
          <w:tcPr>
            <w:tcW w:w="4174"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是否等于各分部分项清单（含单价措施项目）费之和</w:t>
            </w:r>
          </w:p>
        </w:tc>
        <w:tc>
          <w:tcPr>
            <w:tcW w:w="7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3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75" w:hRule="exact"/>
          <w:jc w:val="center"/>
        </w:trPr>
        <w:tc>
          <w:tcPr>
            <w:tcW w:w="434" w:type="dxa"/>
            <w:vMerge w:val="continue"/>
            <w:tcBorders>
              <w:top w:val="nil"/>
              <w:left w:val="single" w:color="auto" w:sz="4" w:space="0"/>
              <w:bottom w:val="single" w:color="auto" w:sz="4" w:space="0"/>
              <w:right w:val="single" w:color="auto" w:sz="4" w:space="0"/>
            </w:tcBorders>
            <w:vAlign w:val="center"/>
          </w:tcPr>
          <w:p/>
        </w:tc>
        <w:tc>
          <w:tcPr>
            <w:tcW w:w="598"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2.2</w:t>
            </w:r>
          </w:p>
        </w:tc>
        <w:tc>
          <w:tcPr>
            <w:tcW w:w="31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分部分项及单价措施项目编码</w:t>
            </w:r>
          </w:p>
        </w:tc>
        <w:tc>
          <w:tcPr>
            <w:tcW w:w="4174"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不得修改招标人清单</w:t>
            </w:r>
          </w:p>
        </w:tc>
        <w:tc>
          <w:tcPr>
            <w:tcW w:w="7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3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34" w:type="dxa"/>
            <w:vMerge w:val="continue"/>
            <w:tcBorders>
              <w:top w:val="nil"/>
              <w:left w:val="single" w:color="auto" w:sz="4" w:space="0"/>
              <w:bottom w:val="single" w:color="auto" w:sz="4" w:space="0"/>
              <w:right w:val="single" w:color="auto" w:sz="4" w:space="0"/>
            </w:tcBorders>
            <w:vAlign w:val="center"/>
          </w:tcPr>
          <w:p/>
        </w:tc>
        <w:tc>
          <w:tcPr>
            <w:tcW w:w="598"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2.3</w:t>
            </w:r>
          </w:p>
        </w:tc>
        <w:tc>
          <w:tcPr>
            <w:tcW w:w="31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分部分项及单价措施项目名称</w:t>
            </w:r>
          </w:p>
        </w:tc>
        <w:tc>
          <w:tcPr>
            <w:tcW w:w="4174"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不得修改招标人清单</w:t>
            </w:r>
          </w:p>
        </w:tc>
        <w:tc>
          <w:tcPr>
            <w:tcW w:w="7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3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34" w:type="dxa"/>
            <w:vMerge w:val="continue"/>
            <w:tcBorders>
              <w:top w:val="nil"/>
              <w:left w:val="single" w:color="auto" w:sz="4" w:space="0"/>
              <w:bottom w:val="single" w:color="auto" w:sz="4" w:space="0"/>
              <w:right w:val="single" w:color="auto" w:sz="4" w:space="0"/>
            </w:tcBorders>
            <w:vAlign w:val="center"/>
          </w:tcPr>
          <w:p/>
        </w:tc>
        <w:tc>
          <w:tcPr>
            <w:tcW w:w="598"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2.4</w:t>
            </w:r>
          </w:p>
        </w:tc>
        <w:tc>
          <w:tcPr>
            <w:tcW w:w="31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分部分项及单价措施项目特征</w:t>
            </w:r>
          </w:p>
        </w:tc>
        <w:tc>
          <w:tcPr>
            <w:tcW w:w="4174"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不得修改招标人清单</w:t>
            </w:r>
          </w:p>
        </w:tc>
        <w:tc>
          <w:tcPr>
            <w:tcW w:w="7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3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34" w:type="dxa"/>
            <w:vMerge w:val="continue"/>
            <w:tcBorders>
              <w:top w:val="nil"/>
              <w:left w:val="single" w:color="auto" w:sz="4" w:space="0"/>
              <w:bottom w:val="single" w:color="auto" w:sz="4" w:space="0"/>
              <w:right w:val="single" w:color="auto" w:sz="4" w:space="0"/>
            </w:tcBorders>
            <w:vAlign w:val="center"/>
          </w:tcPr>
          <w:p/>
        </w:tc>
        <w:tc>
          <w:tcPr>
            <w:tcW w:w="598"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2.5</w:t>
            </w:r>
          </w:p>
        </w:tc>
        <w:tc>
          <w:tcPr>
            <w:tcW w:w="31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分部分项及单价措施项目计量单位</w:t>
            </w:r>
          </w:p>
        </w:tc>
        <w:tc>
          <w:tcPr>
            <w:tcW w:w="4174"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不得修改招标人清单</w:t>
            </w:r>
          </w:p>
        </w:tc>
        <w:tc>
          <w:tcPr>
            <w:tcW w:w="7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3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8" w:hRule="exact"/>
          <w:jc w:val="center"/>
        </w:trPr>
        <w:tc>
          <w:tcPr>
            <w:tcW w:w="434" w:type="dxa"/>
            <w:vMerge w:val="continue"/>
            <w:tcBorders>
              <w:top w:val="nil"/>
              <w:left w:val="single" w:color="auto" w:sz="4" w:space="0"/>
              <w:bottom w:val="single" w:color="auto" w:sz="4" w:space="0"/>
              <w:right w:val="single" w:color="auto" w:sz="4" w:space="0"/>
            </w:tcBorders>
            <w:vAlign w:val="center"/>
          </w:tcPr>
          <w:p/>
        </w:tc>
        <w:tc>
          <w:tcPr>
            <w:tcW w:w="598"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2.6</w:t>
            </w:r>
          </w:p>
        </w:tc>
        <w:tc>
          <w:tcPr>
            <w:tcW w:w="31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分部分项及单价措施项目工程量</w:t>
            </w:r>
          </w:p>
        </w:tc>
        <w:tc>
          <w:tcPr>
            <w:tcW w:w="4174"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不得修改招标人清单</w:t>
            </w:r>
          </w:p>
        </w:tc>
        <w:tc>
          <w:tcPr>
            <w:tcW w:w="7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3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539" w:hRule="atLeast"/>
          <w:jc w:val="center"/>
        </w:trPr>
        <w:tc>
          <w:tcPr>
            <w:tcW w:w="434" w:type="dxa"/>
            <w:vMerge w:val="continue"/>
            <w:tcBorders>
              <w:top w:val="nil"/>
              <w:left w:val="single" w:color="auto" w:sz="4" w:space="0"/>
              <w:bottom w:val="single" w:color="auto" w:sz="4" w:space="0"/>
              <w:right w:val="single" w:color="auto" w:sz="4" w:space="0"/>
            </w:tcBorders>
            <w:vAlign w:val="center"/>
          </w:tcPr>
          <w:p/>
        </w:tc>
        <w:tc>
          <w:tcPr>
            <w:tcW w:w="598"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2.7</w:t>
            </w:r>
          </w:p>
        </w:tc>
        <w:tc>
          <w:tcPr>
            <w:tcW w:w="31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分部分项工程费及单价措施费清单综合单价</w:t>
            </w:r>
          </w:p>
        </w:tc>
        <w:tc>
          <w:tcPr>
            <w:tcW w:w="4174"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综合单价＝人工费+材料费+机械费+管理费+利润之和</w:t>
            </w:r>
          </w:p>
        </w:tc>
        <w:tc>
          <w:tcPr>
            <w:tcW w:w="7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3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539" w:hRule="atLeast"/>
          <w:jc w:val="center"/>
        </w:trPr>
        <w:tc>
          <w:tcPr>
            <w:tcW w:w="434" w:type="dxa"/>
            <w:vMerge w:val="continue"/>
            <w:tcBorders>
              <w:top w:val="nil"/>
              <w:left w:val="single" w:color="auto" w:sz="4" w:space="0"/>
              <w:bottom w:val="single" w:color="auto" w:sz="4" w:space="0"/>
              <w:right w:val="single" w:color="auto" w:sz="4" w:space="0"/>
            </w:tcBorders>
            <w:vAlign w:val="center"/>
          </w:tcPr>
          <w:p/>
        </w:tc>
        <w:tc>
          <w:tcPr>
            <w:tcW w:w="598"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2.8</w:t>
            </w:r>
          </w:p>
        </w:tc>
        <w:tc>
          <w:tcPr>
            <w:tcW w:w="31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材料单价</w:t>
            </w:r>
          </w:p>
        </w:tc>
        <w:tc>
          <w:tcPr>
            <w:tcW w:w="4174"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材料表中的单价与组成清单单价中的综合单价必须一致</w:t>
            </w:r>
          </w:p>
        </w:tc>
        <w:tc>
          <w:tcPr>
            <w:tcW w:w="7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3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85" w:hRule="atLeast"/>
          <w:jc w:val="center"/>
        </w:trPr>
        <w:tc>
          <w:tcPr>
            <w:tcW w:w="434" w:type="dxa"/>
            <w:vMerge w:val="restart"/>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3</w:t>
            </w:r>
          </w:p>
        </w:tc>
        <w:tc>
          <w:tcPr>
            <w:tcW w:w="598"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3.1</w:t>
            </w:r>
          </w:p>
        </w:tc>
        <w:tc>
          <w:tcPr>
            <w:tcW w:w="31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安全文明施工费</w:t>
            </w:r>
          </w:p>
        </w:tc>
        <w:tc>
          <w:tcPr>
            <w:tcW w:w="4174"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根据河南省计价依据规定计算</w:t>
            </w:r>
          </w:p>
        </w:tc>
        <w:tc>
          <w:tcPr>
            <w:tcW w:w="7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3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539" w:hRule="atLeast"/>
          <w:jc w:val="center"/>
        </w:trPr>
        <w:tc>
          <w:tcPr>
            <w:tcW w:w="434" w:type="dxa"/>
            <w:vMerge w:val="continue"/>
            <w:tcBorders>
              <w:top w:val="nil"/>
              <w:left w:val="single" w:color="auto" w:sz="4" w:space="0"/>
              <w:bottom w:val="single" w:color="auto" w:sz="4" w:space="0"/>
              <w:right w:val="single" w:color="auto" w:sz="4" w:space="0"/>
            </w:tcBorders>
            <w:vAlign w:val="center"/>
          </w:tcPr>
          <w:p/>
        </w:tc>
        <w:tc>
          <w:tcPr>
            <w:tcW w:w="598"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3.2</w:t>
            </w:r>
          </w:p>
        </w:tc>
        <w:tc>
          <w:tcPr>
            <w:tcW w:w="31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其他措施费（费率类）项目</w:t>
            </w:r>
          </w:p>
        </w:tc>
        <w:tc>
          <w:tcPr>
            <w:tcW w:w="4174"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根据招标文件要求自主报价</w:t>
            </w:r>
          </w:p>
        </w:tc>
        <w:tc>
          <w:tcPr>
            <w:tcW w:w="7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3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539" w:hRule="atLeast"/>
          <w:jc w:val="center"/>
        </w:trPr>
        <w:tc>
          <w:tcPr>
            <w:tcW w:w="434" w:type="dxa"/>
            <w:vMerge w:val="restart"/>
            <w:tcBorders>
              <w:top w:val="nil"/>
              <w:left w:val="single" w:color="auto" w:sz="4" w:space="0"/>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4</w:t>
            </w:r>
          </w:p>
        </w:tc>
        <w:tc>
          <w:tcPr>
            <w:tcW w:w="598"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4.1</w:t>
            </w:r>
          </w:p>
        </w:tc>
        <w:tc>
          <w:tcPr>
            <w:tcW w:w="31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其它项目费</w:t>
            </w:r>
          </w:p>
        </w:tc>
        <w:tc>
          <w:tcPr>
            <w:tcW w:w="4174"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各组成部分之和（暂列金额+专业暂估价+计日工费+总承包服务费）</w:t>
            </w:r>
          </w:p>
        </w:tc>
        <w:tc>
          <w:tcPr>
            <w:tcW w:w="7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3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34" w:type="dxa"/>
            <w:vMerge w:val="continue"/>
            <w:tcBorders>
              <w:top w:val="nil"/>
              <w:left w:val="single" w:color="auto" w:sz="4" w:space="0"/>
              <w:bottom w:val="single" w:color="auto" w:sz="4" w:space="0"/>
              <w:right w:val="single" w:color="auto" w:sz="4" w:space="0"/>
            </w:tcBorders>
            <w:vAlign w:val="center"/>
          </w:tcPr>
          <w:p/>
        </w:tc>
        <w:tc>
          <w:tcPr>
            <w:tcW w:w="598"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4.2</w:t>
            </w:r>
          </w:p>
        </w:tc>
        <w:tc>
          <w:tcPr>
            <w:tcW w:w="31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暂列金额</w:t>
            </w:r>
          </w:p>
        </w:tc>
        <w:tc>
          <w:tcPr>
            <w:tcW w:w="4174"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应与招标人价格一致</w:t>
            </w:r>
          </w:p>
        </w:tc>
        <w:tc>
          <w:tcPr>
            <w:tcW w:w="7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3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34" w:type="dxa"/>
            <w:vMerge w:val="continue"/>
            <w:tcBorders>
              <w:top w:val="nil"/>
              <w:left w:val="single" w:color="auto" w:sz="4" w:space="0"/>
              <w:bottom w:val="single" w:color="auto" w:sz="4" w:space="0"/>
              <w:right w:val="single" w:color="auto" w:sz="4" w:space="0"/>
            </w:tcBorders>
            <w:vAlign w:val="center"/>
          </w:tcPr>
          <w:p/>
        </w:tc>
        <w:tc>
          <w:tcPr>
            <w:tcW w:w="598"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4.3</w:t>
            </w:r>
          </w:p>
        </w:tc>
        <w:tc>
          <w:tcPr>
            <w:tcW w:w="31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专业工程暂估价</w:t>
            </w:r>
          </w:p>
        </w:tc>
        <w:tc>
          <w:tcPr>
            <w:tcW w:w="4174"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应与招标人价格一致</w:t>
            </w:r>
          </w:p>
        </w:tc>
        <w:tc>
          <w:tcPr>
            <w:tcW w:w="7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3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34" w:type="dxa"/>
            <w:vMerge w:val="continue"/>
            <w:tcBorders>
              <w:top w:val="nil"/>
              <w:left w:val="single" w:color="auto" w:sz="4" w:space="0"/>
              <w:bottom w:val="single" w:color="auto" w:sz="4" w:space="0"/>
              <w:right w:val="single" w:color="auto" w:sz="4" w:space="0"/>
            </w:tcBorders>
            <w:vAlign w:val="center"/>
          </w:tcPr>
          <w:p/>
        </w:tc>
        <w:tc>
          <w:tcPr>
            <w:tcW w:w="598"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4.4</w:t>
            </w:r>
          </w:p>
        </w:tc>
        <w:tc>
          <w:tcPr>
            <w:tcW w:w="31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计日工</w:t>
            </w:r>
          </w:p>
        </w:tc>
        <w:tc>
          <w:tcPr>
            <w:tcW w:w="4174"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应与招标人数量一致</w:t>
            </w:r>
          </w:p>
        </w:tc>
        <w:tc>
          <w:tcPr>
            <w:tcW w:w="7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3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34" w:type="dxa"/>
            <w:vMerge w:val="continue"/>
            <w:tcBorders>
              <w:top w:val="nil"/>
              <w:left w:val="single" w:color="auto" w:sz="4" w:space="0"/>
              <w:bottom w:val="single" w:color="auto" w:sz="4" w:space="0"/>
              <w:right w:val="single" w:color="auto" w:sz="4" w:space="0"/>
            </w:tcBorders>
            <w:vAlign w:val="center"/>
          </w:tcPr>
          <w:p/>
        </w:tc>
        <w:tc>
          <w:tcPr>
            <w:tcW w:w="598"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4.5</w:t>
            </w:r>
          </w:p>
        </w:tc>
        <w:tc>
          <w:tcPr>
            <w:tcW w:w="31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总承包服务费</w:t>
            </w:r>
          </w:p>
        </w:tc>
        <w:tc>
          <w:tcPr>
            <w:tcW w:w="4174"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是否按招标文件要求计算</w:t>
            </w:r>
          </w:p>
        </w:tc>
        <w:tc>
          <w:tcPr>
            <w:tcW w:w="7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3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3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5</w:t>
            </w:r>
          </w:p>
        </w:tc>
        <w:tc>
          <w:tcPr>
            <w:tcW w:w="598"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31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规费</w:t>
            </w:r>
          </w:p>
        </w:tc>
        <w:tc>
          <w:tcPr>
            <w:tcW w:w="4174"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根据河南省计价依据规定计算</w:t>
            </w:r>
          </w:p>
        </w:tc>
        <w:tc>
          <w:tcPr>
            <w:tcW w:w="7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3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54" w:hRule="exact"/>
          <w:jc w:val="center"/>
        </w:trPr>
        <w:tc>
          <w:tcPr>
            <w:tcW w:w="43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6</w:t>
            </w:r>
          </w:p>
        </w:tc>
        <w:tc>
          <w:tcPr>
            <w:tcW w:w="598"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31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增值税</w:t>
            </w:r>
          </w:p>
        </w:tc>
        <w:tc>
          <w:tcPr>
            <w:tcW w:w="4174"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根据河南省计价依据规定计算</w:t>
            </w:r>
          </w:p>
        </w:tc>
        <w:tc>
          <w:tcPr>
            <w:tcW w:w="7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3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r>
        <w:tblPrEx>
          <w:tblCellMar>
            <w:top w:w="0" w:type="dxa"/>
            <w:left w:w="108" w:type="dxa"/>
            <w:bottom w:w="0" w:type="dxa"/>
            <w:right w:w="108" w:type="dxa"/>
          </w:tblCellMar>
        </w:tblPrEx>
        <w:trPr>
          <w:trHeight w:val="471" w:hRule="exact"/>
          <w:jc w:val="center"/>
        </w:trPr>
        <w:tc>
          <w:tcPr>
            <w:tcW w:w="43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spacing w:before="0" w:after="160" w:line="440" w:lineRule="exact"/>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7</w:t>
            </w:r>
          </w:p>
        </w:tc>
        <w:tc>
          <w:tcPr>
            <w:tcW w:w="598"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330" w:type="dxa"/>
            <w:gridSpan w:val="2"/>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不违反法律、法规、规章、规范性文件规定的其它情况</w:t>
            </w:r>
          </w:p>
        </w:tc>
        <w:tc>
          <w:tcPr>
            <w:tcW w:w="75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c>
          <w:tcPr>
            <w:tcW w:w="736" w:type="dxa"/>
            <w:tcBorders>
              <w:top w:val="single" w:color="auto" w:sz="4" w:space="0"/>
              <w:left w:val="nil"/>
              <w:bottom w:val="single" w:color="auto" w:sz="4" w:space="0"/>
              <w:right w:val="single" w:color="auto" w:sz="4" w:space="0"/>
            </w:tcBorders>
            <w:vAlign w:val="center"/>
          </w:tcPr>
          <w:p>
            <w:pPr>
              <w:numPr>
                <w:ilvl w:val="0"/>
                <w:numId w:val="0"/>
              </w:numPr>
              <w:autoSpaceDE/>
              <w:autoSpaceDN/>
              <w:spacing w:before="0" w:after="160" w:line="440" w:lineRule="exact"/>
              <w:ind w:right="0" w:firstLine="480"/>
              <w:jc w:val="center"/>
              <w:rPr>
                <w:rFonts w:hint="default" w:ascii="新宋体" w:hAnsi="新宋体" w:eastAsia="新宋体"/>
                <w:color w:val="auto"/>
                <w:position w:val="0"/>
                <w:sz w:val="24"/>
                <w:szCs w:val="24"/>
              </w:rPr>
            </w:pPr>
          </w:p>
        </w:tc>
      </w:tr>
    </w:tbl>
    <w:p>
      <w:pPr>
        <w:numPr>
          <w:ilvl w:val="0"/>
          <w:numId w:val="0"/>
        </w:numPr>
        <w:autoSpaceDE/>
        <w:autoSpaceDN/>
        <w:spacing w:before="0" w:after="160" w:line="44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注：不在上述范围内且不具有实质性影响的内容，均不能作为清标的依据或理由。</w:t>
      </w:r>
    </w:p>
    <w:p>
      <w:pPr>
        <w:numPr>
          <w:ilvl w:val="0"/>
          <w:numId w:val="0"/>
        </w:numPr>
        <w:autoSpaceDE/>
        <w:autoSpaceDN/>
        <w:snapToGrid w:val="0"/>
        <w:spacing w:before="0" w:after="160" w:line="360" w:lineRule="auto"/>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初步评审经审查后应写出评审意见。</w:t>
      </w:r>
    </w:p>
    <w:p>
      <w:pPr>
        <w:numPr>
          <w:ilvl w:val="0"/>
          <w:numId w:val="0"/>
        </w:numPr>
        <w:autoSpaceDE/>
        <w:autoSpaceDN/>
        <w:snapToGrid w:val="0"/>
        <w:spacing w:before="0" w:after="160" w:line="360" w:lineRule="auto"/>
        <w:ind w:right="0" w:firstLine="480"/>
        <w:jc w:val="both"/>
        <w:rPr>
          <w:rFonts w:hint="default" w:ascii="Times New Roman" w:hAnsi="宋体" w:eastAsia="宋体"/>
          <w:color w:val="auto"/>
          <w:position w:val="0"/>
          <w:sz w:val="24"/>
          <w:szCs w:val="24"/>
        </w:rPr>
      </w:pPr>
      <w:r>
        <w:rPr>
          <w:rFonts w:hint="default" w:ascii="新宋体" w:hAnsi="新宋体" w:eastAsia="新宋体"/>
          <w:b/>
          <w:color w:val="auto"/>
          <w:position w:val="0"/>
          <w:sz w:val="24"/>
          <w:szCs w:val="24"/>
        </w:rPr>
        <w:t>六、</w:t>
      </w:r>
      <w:r>
        <w:rPr>
          <w:rFonts w:hint="default" w:ascii="Times New Roman" w:hAnsi="宋体" w:eastAsia="宋体"/>
          <w:b/>
          <w:color w:val="auto"/>
          <w:position w:val="0"/>
          <w:sz w:val="24"/>
          <w:szCs w:val="24"/>
        </w:rPr>
        <w:t>详细评审</w:t>
      </w:r>
    </w:p>
    <w:p>
      <w:pPr>
        <w:numPr>
          <w:ilvl w:val="0"/>
          <w:numId w:val="0"/>
        </w:numPr>
        <w:autoSpaceDE/>
        <w:autoSpaceDN/>
        <w:snapToGrid w:val="0"/>
        <w:spacing w:before="0" w:after="160" w:line="36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 xml:space="preserve">   </w:t>
      </w:r>
      <w:r>
        <w:rPr>
          <w:rFonts w:hint="default" w:ascii="Times New Roman" w:hAnsi="宋体" w:eastAsia="宋体"/>
          <w:b/>
          <w:color w:val="auto"/>
          <w:position w:val="0"/>
          <w:sz w:val="24"/>
          <w:szCs w:val="24"/>
        </w:rPr>
        <w:t>（一）技术标（25分）</w:t>
      </w:r>
    </w:p>
    <w:tbl>
      <w:tblPr>
        <w:tblStyle w:val="31"/>
        <w:tblW w:w="96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58"/>
        <w:gridCol w:w="1250"/>
        <w:gridCol w:w="1160"/>
        <w:gridCol w:w="5081"/>
        <w:gridCol w:w="1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序号</w:t>
            </w:r>
          </w:p>
        </w:tc>
        <w:tc>
          <w:tcPr>
            <w:tcW w:w="1250"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内容</w:t>
            </w:r>
          </w:p>
        </w:tc>
        <w:tc>
          <w:tcPr>
            <w:tcW w:w="1160"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分值</w:t>
            </w:r>
          </w:p>
        </w:tc>
        <w:tc>
          <w:tcPr>
            <w:tcW w:w="508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评审标准</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评审得分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w:t>
            </w:r>
          </w:p>
        </w:tc>
        <w:tc>
          <w:tcPr>
            <w:tcW w:w="1250"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内容完整性</w:t>
            </w:r>
          </w:p>
        </w:tc>
        <w:tc>
          <w:tcPr>
            <w:tcW w:w="1160"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0-0.5分</w:t>
            </w:r>
          </w:p>
        </w:tc>
        <w:tc>
          <w:tcPr>
            <w:tcW w:w="508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技术标的主要内容具有完整性，符合招标文件的要求。</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continue"/>
            <w:vAlign w:val="center"/>
          </w:tcPr>
          <w:p/>
        </w:tc>
        <w:tc>
          <w:tcPr>
            <w:tcW w:w="1250" w:type="dxa"/>
            <w:vMerge w:val="continue"/>
            <w:vAlign w:val="center"/>
          </w:tcPr>
          <w:p/>
        </w:tc>
        <w:tc>
          <w:tcPr>
            <w:tcW w:w="1160" w:type="dxa"/>
            <w:vMerge w:val="continue"/>
            <w:vAlign w:val="center"/>
          </w:tcPr>
          <w:p/>
        </w:tc>
        <w:tc>
          <w:tcPr>
            <w:tcW w:w="508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技术标不符合招标文件要求。</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2</w:t>
            </w:r>
          </w:p>
        </w:tc>
        <w:tc>
          <w:tcPr>
            <w:tcW w:w="1250" w:type="dxa"/>
            <w:vMerge w:val="restart"/>
            <w:vAlign w:val="center"/>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主要施工方案与技术措施</w:t>
            </w:r>
          </w:p>
        </w:tc>
        <w:tc>
          <w:tcPr>
            <w:tcW w:w="1160"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 xml:space="preserve"> 1-3分</w:t>
            </w:r>
          </w:p>
        </w:tc>
        <w:tc>
          <w:tcPr>
            <w:tcW w:w="5081"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施工方案（含工程特点、施工重点与难点及绿色施工）总体安排合理，运用先进、合理的施工工艺、施工机械；对施工难点有先进和合理的建议。</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2＜得分≤3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continue"/>
            <w:vAlign w:val="center"/>
          </w:tcPr>
          <w:p/>
        </w:tc>
        <w:tc>
          <w:tcPr>
            <w:tcW w:w="1250" w:type="dxa"/>
            <w:vMerge w:val="continue"/>
            <w:vAlign w:val="center"/>
          </w:tcPr>
          <w:p/>
        </w:tc>
        <w:tc>
          <w:tcPr>
            <w:tcW w:w="1160" w:type="dxa"/>
            <w:vMerge w:val="continue"/>
            <w:vAlign w:val="center"/>
          </w:tcPr>
          <w:p/>
        </w:tc>
        <w:tc>
          <w:tcPr>
            <w:tcW w:w="5081"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施工方案（含工程特点、施工重点与难点及绿色施工）总体安排合理，施工工艺、施工机械合理、可行；对施工难点有合理的建议。</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 xml:space="preserve"> 1≤得分≤2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3</w:t>
            </w:r>
          </w:p>
        </w:tc>
        <w:tc>
          <w:tcPr>
            <w:tcW w:w="1250" w:type="dxa"/>
            <w:vMerge w:val="restart"/>
            <w:vAlign w:val="center"/>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质量管理体系与措施</w:t>
            </w:r>
          </w:p>
        </w:tc>
        <w:tc>
          <w:tcPr>
            <w:tcW w:w="1160"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1-2分</w:t>
            </w:r>
          </w:p>
        </w:tc>
        <w:tc>
          <w:tcPr>
            <w:tcW w:w="5081" w:type="dxa"/>
            <w:vAlign w:val="center"/>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1.5＜得分≤2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continue"/>
            <w:vAlign w:val="center"/>
          </w:tcPr>
          <w:p/>
        </w:tc>
        <w:tc>
          <w:tcPr>
            <w:tcW w:w="1250" w:type="dxa"/>
            <w:vMerge w:val="continue"/>
            <w:vAlign w:val="center"/>
          </w:tcPr>
          <w:p/>
        </w:tc>
        <w:tc>
          <w:tcPr>
            <w:tcW w:w="1160" w:type="dxa"/>
            <w:vMerge w:val="continue"/>
            <w:vAlign w:val="center"/>
          </w:tcPr>
          <w:p/>
        </w:tc>
        <w:tc>
          <w:tcPr>
            <w:tcW w:w="5081" w:type="dxa"/>
            <w:vAlign w:val="center"/>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4</w:t>
            </w:r>
          </w:p>
        </w:tc>
        <w:tc>
          <w:tcPr>
            <w:tcW w:w="1250" w:type="dxa"/>
            <w:vMerge w:val="restart"/>
            <w:vAlign w:val="center"/>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安全管理体系与措施</w:t>
            </w:r>
          </w:p>
        </w:tc>
        <w:tc>
          <w:tcPr>
            <w:tcW w:w="1160"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 xml:space="preserve"> 1-2分</w:t>
            </w:r>
          </w:p>
        </w:tc>
        <w:tc>
          <w:tcPr>
            <w:tcW w:w="5081" w:type="dxa"/>
            <w:vAlign w:val="center"/>
          </w:tcPr>
          <w:p>
            <w:pPr>
              <w:numPr>
                <w:ilvl w:val="0"/>
                <w:numId w:val="0"/>
              </w:numPr>
              <w:autoSpaceDE/>
              <w:autoSpaceDN/>
              <w:spacing w:before="0" w:after="160" w:line="36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1.5＜得分≤2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continue"/>
            <w:vAlign w:val="center"/>
          </w:tcPr>
          <w:p/>
        </w:tc>
        <w:tc>
          <w:tcPr>
            <w:tcW w:w="1250" w:type="dxa"/>
            <w:vMerge w:val="continue"/>
            <w:vAlign w:val="center"/>
          </w:tcPr>
          <w:p/>
        </w:tc>
        <w:tc>
          <w:tcPr>
            <w:tcW w:w="1160" w:type="dxa"/>
            <w:vMerge w:val="continue"/>
            <w:vAlign w:val="center"/>
          </w:tcPr>
          <w:p/>
        </w:tc>
        <w:tc>
          <w:tcPr>
            <w:tcW w:w="5081" w:type="dxa"/>
            <w:vAlign w:val="center"/>
          </w:tcPr>
          <w:p>
            <w:pPr>
              <w:numPr>
                <w:ilvl w:val="0"/>
                <w:numId w:val="0"/>
              </w:numPr>
              <w:autoSpaceDE/>
              <w:autoSpaceDN/>
              <w:spacing w:before="0" w:after="160" w:line="34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5</w:t>
            </w:r>
          </w:p>
        </w:tc>
        <w:tc>
          <w:tcPr>
            <w:tcW w:w="1250" w:type="dxa"/>
            <w:vMerge w:val="restart"/>
            <w:vAlign w:val="center"/>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 xml:space="preserve">文明施工、环境保护管理体系及施工现场扬尘治理措施  </w:t>
            </w:r>
          </w:p>
        </w:tc>
        <w:tc>
          <w:tcPr>
            <w:tcW w:w="1160"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1-3分</w:t>
            </w:r>
          </w:p>
        </w:tc>
        <w:tc>
          <w:tcPr>
            <w:tcW w:w="5081"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2＜得分≤3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continue"/>
            <w:vAlign w:val="center"/>
          </w:tcPr>
          <w:p/>
        </w:tc>
        <w:tc>
          <w:tcPr>
            <w:tcW w:w="1250" w:type="dxa"/>
            <w:vMerge w:val="continue"/>
            <w:vAlign w:val="center"/>
          </w:tcPr>
          <w:p/>
        </w:tc>
        <w:tc>
          <w:tcPr>
            <w:tcW w:w="1160" w:type="dxa"/>
            <w:vMerge w:val="continue"/>
            <w:vAlign w:val="center"/>
          </w:tcPr>
          <w:p/>
        </w:tc>
        <w:tc>
          <w:tcPr>
            <w:tcW w:w="5081"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6</w:t>
            </w:r>
          </w:p>
        </w:tc>
        <w:tc>
          <w:tcPr>
            <w:tcW w:w="1250" w:type="dxa"/>
            <w:vMerge w:val="restart"/>
            <w:vAlign w:val="center"/>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工期保证措施</w:t>
            </w:r>
          </w:p>
        </w:tc>
        <w:tc>
          <w:tcPr>
            <w:tcW w:w="1160"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1-2分</w:t>
            </w:r>
          </w:p>
        </w:tc>
        <w:tc>
          <w:tcPr>
            <w:tcW w:w="5081"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工期承诺满足招标文件要求，工期保证措施合理且有针对性，有具体的违约责任承诺。</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1.5＜得分≤2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continue"/>
            <w:vAlign w:val="center"/>
          </w:tcPr>
          <w:p/>
        </w:tc>
        <w:tc>
          <w:tcPr>
            <w:tcW w:w="1250" w:type="dxa"/>
            <w:vMerge w:val="continue"/>
            <w:vAlign w:val="center"/>
          </w:tcPr>
          <w:p/>
        </w:tc>
        <w:tc>
          <w:tcPr>
            <w:tcW w:w="1160" w:type="dxa"/>
            <w:vMerge w:val="continue"/>
            <w:vAlign w:val="center"/>
          </w:tcPr>
          <w:p/>
        </w:tc>
        <w:tc>
          <w:tcPr>
            <w:tcW w:w="5081"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工期承诺满足招标文件要求，工期保证措施基本合理，有具体的违约责任承诺。</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7</w:t>
            </w:r>
          </w:p>
        </w:tc>
        <w:tc>
          <w:tcPr>
            <w:tcW w:w="1250"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拟投入资源配备计划</w:t>
            </w:r>
          </w:p>
        </w:tc>
        <w:tc>
          <w:tcPr>
            <w:tcW w:w="1160"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0.5-2分</w:t>
            </w:r>
          </w:p>
        </w:tc>
        <w:tc>
          <w:tcPr>
            <w:tcW w:w="5081"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1.机械：投入计划与进度计划呼应，采用先进机械设备且配置合理、先进，满足安全技术规范和施工进度需要；PC构件运输、安装设备满足施工要求；</w:t>
            </w:r>
          </w:p>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2.劳动力：投入计划与进度计划呼应，较好满足施工需要，调配投入计划合理、准确；</w:t>
            </w:r>
          </w:p>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3.主要物资计划：主要物资（含PC构件的供应需求）投入计划与进度计划呼应，较好满足施工需要，调配投入计划合理、准确。</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continue"/>
            <w:vAlign w:val="center"/>
          </w:tcPr>
          <w:p/>
        </w:tc>
        <w:tc>
          <w:tcPr>
            <w:tcW w:w="1250" w:type="dxa"/>
            <w:vMerge w:val="continue"/>
            <w:vAlign w:val="center"/>
          </w:tcPr>
          <w:p/>
        </w:tc>
        <w:tc>
          <w:tcPr>
            <w:tcW w:w="1160" w:type="dxa"/>
            <w:vMerge w:val="continue"/>
            <w:vAlign w:val="center"/>
          </w:tcPr>
          <w:p/>
        </w:tc>
        <w:tc>
          <w:tcPr>
            <w:tcW w:w="5081"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1.机械：投入计划与进度计划呼应，机械设备配置基本合理，满足安全技术规范和施工进度需要；</w:t>
            </w:r>
          </w:p>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2.劳动力：投入计划与进度计划呼应，基本满足施工需要，调配投入计划基本合理；</w:t>
            </w:r>
          </w:p>
          <w:p>
            <w:pPr>
              <w:numPr>
                <w:ilvl w:val="0"/>
                <w:numId w:val="0"/>
              </w:numPr>
              <w:autoSpaceDE/>
              <w:autoSpaceDN/>
              <w:spacing w:before="0" w:after="160" w:line="300" w:lineRule="exact"/>
              <w:ind w:right="0" w:firstLine="0"/>
              <w:jc w:val="both"/>
              <w:rPr>
                <w:rFonts w:hint="default" w:ascii="Times New Roman" w:hAnsi="宋体" w:eastAsia="宋体"/>
                <w:color w:val="auto"/>
                <w:spacing w:val="-4"/>
                <w:position w:val="0"/>
                <w:sz w:val="24"/>
                <w:szCs w:val="24"/>
              </w:rPr>
            </w:pPr>
            <w:r>
              <w:rPr>
                <w:rFonts w:hint="default" w:ascii="Times New Roman" w:hAnsi="宋体" w:eastAsia="宋体"/>
                <w:color w:val="auto"/>
                <w:spacing w:val="-4"/>
                <w:position w:val="0"/>
                <w:sz w:val="24"/>
                <w:szCs w:val="24"/>
              </w:rPr>
              <w:t>3.主要物资计划：主要物资（含PC构件的供应需求）投入计划与进度计划呼应，基本满足施工需要，调配投入计划基本合理。</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0.5≤得分≤1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8</w:t>
            </w:r>
          </w:p>
        </w:tc>
        <w:tc>
          <w:tcPr>
            <w:tcW w:w="1250" w:type="dxa"/>
            <w:vMerge w:val="restart"/>
            <w:vAlign w:val="center"/>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施工进度表与网络计划图</w:t>
            </w:r>
          </w:p>
        </w:tc>
        <w:tc>
          <w:tcPr>
            <w:tcW w:w="1160"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0.5-2分</w:t>
            </w:r>
          </w:p>
        </w:tc>
        <w:tc>
          <w:tcPr>
            <w:tcW w:w="5081"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关键线路清晰、准确、完整、计划编制合理、可行、满足招标文件对工期的要求。</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continue"/>
            <w:vAlign w:val="center"/>
          </w:tcPr>
          <w:p/>
        </w:tc>
        <w:tc>
          <w:tcPr>
            <w:tcW w:w="1250" w:type="dxa"/>
            <w:vMerge w:val="continue"/>
            <w:vAlign w:val="center"/>
          </w:tcPr>
          <w:p/>
        </w:tc>
        <w:tc>
          <w:tcPr>
            <w:tcW w:w="1160" w:type="dxa"/>
            <w:vMerge w:val="continue"/>
            <w:vAlign w:val="center"/>
          </w:tcPr>
          <w:p/>
        </w:tc>
        <w:tc>
          <w:tcPr>
            <w:tcW w:w="5081"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关键线路基本准确，计划编制基本可行。</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0.5≤得分≤1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9</w:t>
            </w:r>
          </w:p>
        </w:tc>
        <w:tc>
          <w:tcPr>
            <w:tcW w:w="1250" w:type="dxa"/>
            <w:vMerge w:val="restart"/>
            <w:vAlign w:val="center"/>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施工总平面图布置</w:t>
            </w:r>
          </w:p>
        </w:tc>
        <w:tc>
          <w:tcPr>
            <w:tcW w:w="1160"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0.5-1分</w:t>
            </w:r>
          </w:p>
        </w:tc>
        <w:tc>
          <w:tcPr>
            <w:tcW w:w="5081"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总体布置有针对性、合理、能较好满足施工需要，符合安全、文明施工要求；材料堆放有序。</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continue"/>
            <w:vAlign w:val="center"/>
          </w:tcPr>
          <w:p/>
        </w:tc>
        <w:tc>
          <w:tcPr>
            <w:tcW w:w="1250" w:type="dxa"/>
            <w:vMerge w:val="continue"/>
            <w:vAlign w:val="center"/>
          </w:tcPr>
          <w:p/>
        </w:tc>
        <w:tc>
          <w:tcPr>
            <w:tcW w:w="1160" w:type="dxa"/>
            <w:vMerge w:val="continue"/>
            <w:vAlign w:val="center"/>
          </w:tcPr>
          <w:p/>
        </w:tc>
        <w:tc>
          <w:tcPr>
            <w:tcW w:w="5081"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总体布置基本合理、基本满足施工需要。</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10</w:t>
            </w:r>
          </w:p>
        </w:tc>
        <w:tc>
          <w:tcPr>
            <w:tcW w:w="1250" w:type="dxa"/>
            <w:vMerge w:val="restart"/>
            <w:vAlign w:val="center"/>
          </w:tcPr>
          <w:p>
            <w:pPr>
              <w:numPr>
                <w:ilvl w:val="0"/>
                <w:numId w:val="0"/>
              </w:numPr>
              <w:autoSpaceDE/>
              <w:autoSpaceDN/>
              <w:spacing w:before="0" w:after="160" w:line="240" w:lineRule="auto"/>
              <w:ind w:right="0" w:firstLine="0"/>
              <w:jc w:val="left"/>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技术创新的应用实施措施</w:t>
            </w:r>
          </w:p>
        </w:tc>
        <w:tc>
          <w:tcPr>
            <w:tcW w:w="1160"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1-2分</w:t>
            </w:r>
          </w:p>
        </w:tc>
        <w:tc>
          <w:tcPr>
            <w:tcW w:w="5081"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（1）节能减排、（2）绿色施工、（3）工艺创新、（4）装配式建筑等技术创新的应用实施措施符合工程情况，具有针对性、可行性、经济适用性。</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1.5＜得分≤2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continue"/>
            <w:vAlign w:val="center"/>
          </w:tcPr>
          <w:p/>
        </w:tc>
        <w:tc>
          <w:tcPr>
            <w:tcW w:w="1250" w:type="dxa"/>
            <w:vMerge w:val="continue"/>
            <w:vAlign w:val="center"/>
          </w:tcPr>
          <w:p/>
        </w:tc>
        <w:tc>
          <w:tcPr>
            <w:tcW w:w="1160" w:type="dxa"/>
            <w:vMerge w:val="continue"/>
            <w:vAlign w:val="center"/>
          </w:tcPr>
          <w:p/>
        </w:tc>
        <w:tc>
          <w:tcPr>
            <w:tcW w:w="5081" w:type="dxa"/>
            <w:vAlign w:val="center"/>
          </w:tcPr>
          <w:p>
            <w:pPr>
              <w:numPr>
                <w:ilvl w:val="0"/>
                <w:numId w:val="0"/>
              </w:numPr>
              <w:autoSpaceDE/>
              <w:autoSpaceDN/>
              <w:spacing w:before="0" w:after="160" w:line="300" w:lineRule="exact"/>
              <w:ind w:right="0" w:firstLine="0"/>
              <w:jc w:val="both"/>
              <w:rPr>
                <w:rFonts w:hint="default" w:ascii="Times New Roman" w:hAnsi="宋体" w:eastAsia="宋体"/>
                <w:color w:val="auto"/>
                <w:position w:val="0"/>
                <w:sz w:val="24"/>
                <w:szCs w:val="24"/>
              </w:rPr>
            </w:pPr>
            <w:r>
              <w:rPr>
                <w:rFonts w:hint="default" w:ascii="Times New Roman" w:hAnsi="宋体" w:eastAsia="宋体"/>
                <w:color w:val="auto"/>
                <w:spacing w:val="-8"/>
                <w:position w:val="0"/>
                <w:sz w:val="24"/>
                <w:szCs w:val="24"/>
              </w:rPr>
              <w:t>（1）节能减排、（2）绿色施工、（3）工艺创新、（4）装配式建筑等技术创新的应用实施措施基本符合工程情况，具有针</w:t>
            </w:r>
            <w:r>
              <w:rPr>
                <w:rFonts w:hint="default" w:ascii="Times New Roman" w:hAnsi="宋体" w:eastAsia="宋体"/>
                <w:color w:val="auto"/>
                <w:position w:val="0"/>
                <w:sz w:val="24"/>
                <w:szCs w:val="24"/>
              </w:rPr>
              <w:t>对性。</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11</w:t>
            </w:r>
          </w:p>
        </w:tc>
        <w:tc>
          <w:tcPr>
            <w:tcW w:w="1250"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采用新工艺、新技术、新设备、新材料、BIM等的程度</w:t>
            </w:r>
          </w:p>
        </w:tc>
        <w:tc>
          <w:tcPr>
            <w:tcW w:w="1160"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1-2分</w:t>
            </w:r>
          </w:p>
        </w:tc>
        <w:tc>
          <w:tcPr>
            <w:tcW w:w="5081"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采用新工艺、新技术、新设备、新材料、BIM等的程度满足设计要求，符合施工需要和相应技术标准等规定，经济适用。</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1.5≤得分≤2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continue"/>
            <w:vAlign w:val="center"/>
          </w:tcPr>
          <w:p/>
        </w:tc>
        <w:tc>
          <w:tcPr>
            <w:tcW w:w="1250" w:type="dxa"/>
            <w:vMerge w:val="continue"/>
            <w:vAlign w:val="center"/>
          </w:tcPr>
          <w:p/>
        </w:tc>
        <w:tc>
          <w:tcPr>
            <w:tcW w:w="1160" w:type="dxa"/>
            <w:vMerge w:val="continue"/>
            <w:vAlign w:val="center"/>
          </w:tcPr>
          <w:p/>
        </w:tc>
        <w:tc>
          <w:tcPr>
            <w:tcW w:w="5081"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采用新工艺、新技术、新设备、新材料、BIM等的程度满足设计要求， 基本符合施工要求和相应技术标准等规定。</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12</w:t>
            </w:r>
          </w:p>
        </w:tc>
        <w:tc>
          <w:tcPr>
            <w:tcW w:w="1250"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施工现场实施信息化监控和数据处理</w:t>
            </w:r>
          </w:p>
        </w:tc>
        <w:tc>
          <w:tcPr>
            <w:tcW w:w="1160"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0.5-1.5分</w:t>
            </w:r>
          </w:p>
        </w:tc>
        <w:tc>
          <w:tcPr>
            <w:tcW w:w="5081"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施工现场实施信息化监控和数据处理系统布置合理，满足需要。</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continue"/>
            <w:vAlign w:val="center"/>
          </w:tcPr>
          <w:p/>
        </w:tc>
        <w:tc>
          <w:tcPr>
            <w:tcW w:w="1250" w:type="dxa"/>
            <w:vMerge w:val="continue"/>
            <w:vAlign w:val="center"/>
          </w:tcPr>
          <w:p/>
        </w:tc>
        <w:tc>
          <w:tcPr>
            <w:tcW w:w="1160" w:type="dxa"/>
            <w:vMerge w:val="continue"/>
            <w:vAlign w:val="center"/>
          </w:tcPr>
          <w:p/>
        </w:tc>
        <w:tc>
          <w:tcPr>
            <w:tcW w:w="5081"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施工现场实施信息化监控和数据处理系统布置基本符合需要。</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 xml:space="preserve">0.5＜得分≤1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13</w:t>
            </w:r>
          </w:p>
        </w:tc>
        <w:tc>
          <w:tcPr>
            <w:tcW w:w="1250"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风险管理措施</w:t>
            </w:r>
          </w:p>
        </w:tc>
        <w:tc>
          <w:tcPr>
            <w:tcW w:w="1160"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1-2分</w:t>
            </w:r>
          </w:p>
        </w:tc>
        <w:tc>
          <w:tcPr>
            <w:tcW w:w="5081"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风险防控管理措施齐全，风险预控符合规范要求，风险控制要点定位准确，各阶段风险控制及应急措施得力。</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1.5＜得分≤2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558" w:type="dxa"/>
            <w:vMerge w:val="continue"/>
            <w:vAlign w:val="center"/>
          </w:tcPr>
          <w:p/>
        </w:tc>
        <w:tc>
          <w:tcPr>
            <w:tcW w:w="1250" w:type="dxa"/>
            <w:vMerge w:val="continue"/>
            <w:vAlign w:val="center"/>
          </w:tcPr>
          <w:p/>
        </w:tc>
        <w:tc>
          <w:tcPr>
            <w:tcW w:w="1160" w:type="dxa"/>
            <w:vMerge w:val="continue"/>
            <w:vAlign w:val="center"/>
          </w:tcPr>
          <w:p/>
        </w:tc>
        <w:tc>
          <w:tcPr>
            <w:tcW w:w="5081"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风险防控管理措施基本齐全，风险预控符合规范要求，风险控制要点定位基本准确，有各阶段风险控制及应急措施。</w:t>
            </w: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1≤得分≤1.5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1808" w:type="dxa"/>
            <w:gridSpan w:val="2"/>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合计</w:t>
            </w:r>
          </w:p>
        </w:tc>
        <w:tc>
          <w:tcPr>
            <w:tcW w:w="1160"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10-25分</w:t>
            </w:r>
          </w:p>
        </w:tc>
        <w:tc>
          <w:tcPr>
            <w:tcW w:w="5081"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rPr>
            </w:pPr>
          </w:p>
        </w:tc>
        <w:tc>
          <w:tcPr>
            <w:tcW w:w="164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10≤得分≤25</w:t>
            </w:r>
          </w:p>
        </w:tc>
      </w:tr>
    </w:tbl>
    <w:p>
      <w:pPr>
        <w:pStyle w:val="2"/>
        <w:numPr>
          <w:ilvl w:val="0"/>
          <w:numId w:val="0"/>
        </w:numPr>
        <w:autoSpaceDE/>
        <w:autoSpaceDN/>
        <w:spacing w:before="0" w:after="120" w:line="240" w:lineRule="auto"/>
        <w:ind w:right="0" w:firstLine="240"/>
        <w:jc w:val="both"/>
        <w:rPr>
          <w:rFonts w:hint="default" w:ascii="宋体" w:hAnsi="Times New Roman" w:eastAsia="Times New Roman"/>
          <w:color w:val="auto"/>
          <w:position w:val="0"/>
          <w:sz w:val="34"/>
          <w:szCs w:val="34"/>
        </w:rPr>
      </w:pPr>
      <w:r>
        <w:rPr>
          <w:rFonts w:hint="default" w:ascii="宋体" w:hAnsi="宋体" w:eastAsia="宋体"/>
          <w:color w:val="auto"/>
          <w:position w:val="0"/>
          <w:sz w:val="24"/>
          <w:szCs w:val="24"/>
        </w:rPr>
        <w:t xml:space="preserve">  以上项目若有缺项，该项为0分。</w:t>
      </w:r>
    </w:p>
    <w:p>
      <w:pPr>
        <w:numPr>
          <w:ilvl w:val="0"/>
          <w:numId w:val="0"/>
        </w:numPr>
        <w:autoSpaceDE/>
        <w:autoSpaceDN/>
        <w:snapToGrid w:val="0"/>
        <w:spacing w:before="0" w:after="160" w:line="360" w:lineRule="auto"/>
        <w:ind w:right="0" w:firstLine="0"/>
        <w:jc w:val="both"/>
        <w:rPr>
          <w:rFonts w:hint="default" w:ascii="Times New Roman" w:hAnsi="宋体" w:eastAsia="宋体"/>
          <w:b/>
          <w:color w:val="auto"/>
          <w:position w:val="0"/>
          <w:sz w:val="24"/>
          <w:szCs w:val="24"/>
        </w:rPr>
      </w:pPr>
      <w:r>
        <w:rPr>
          <w:rFonts w:hint="default" w:ascii="Times New Roman" w:hAnsi="宋体" w:eastAsia="宋体"/>
          <w:b/>
          <w:color w:val="auto"/>
          <w:position w:val="0"/>
          <w:sz w:val="24"/>
          <w:szCs w:val="24"/>
        </w:rPr>
        <w:t xml:space="preserve">   （二）商务标（50分）</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 xml:space="preserve"> 1.投标报价的评审，共计30分。</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工程量清单报价评标基准价计算公式为：</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评标基准价＝最高投标限价×K+投标报价×（1－K）。</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其中：K为最高投标限价权重系数，取值范围为0.3≤K≤0.5，在开标现场随机抽取。K值在取值区间内间隔为0.1，由招标人确定。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2.分部分项工程项目清单单价评审，共计10分。</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从最高投标限价中分部分项工程项目权重最大的前10-30项清单项目中抽取15项，在剩余的分部分项工程项目清单项目中抽取5项。</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综合单价基准值是以各有效投标报价中（当有效投标人5名及以上时，去掉1个最高、1个最低值）对应抽取清单项目综合单价的算术平均值。</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投标人报价在综合单价基准值95%–103%范围内（不含95%和103%）的，每项得0.5分；在综合单价基准值90%–95%范围内（含90%和95%）每项得0.25分。满分共计10分。超出该范围的不得分。</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3.措施项目费的评审（不含安全文明措施费），共计5分。</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4.主要材料单价的评审，共计5分。</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从最高投标限价中材料总价权重最大的前10-20项材料中抽取6项，在剩余材料中抽取4项。</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主要材料单价基准值是以各有效投标报价中（当有效投标人5名及以上时，去掉1个最高、1个最低值）对应抽取材料单价的算术平均值。</w:t>
      </w:r>
    </w:p>
    <w:p>
      <w:pPr>
        <w:numPr>
          <w:ilvl w:val="0"/>
          <w:numId w:val="0"/>
        </w:numPr>
        <w:autoSpaceDE/>
        <w:autoSpaceDN/>
        <w:snapToGrid w:val="0"/>
        <w:spacing w:before="0" w:after="160" w:line="360" w:lineRule="auto"/>
        <w:ind w:right="0" w:firstLine="481"/>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当投标人报价在材料单价基准值95%–103%范围内（不含95%和103%）每项得0.5分，在材料单价基准值90%–95%范围内（含90%和95%）每项得0.25分。超出该范围的不得分。</w:t>
      </w:r>
    </w:p>
    <w:p>
      <w:pPr>
        <w:numPr>
          <w:ilvl w:val="0"/>
          <w:numId w:val="0"/>
        </w:numPr>
        <w:autoSpaceDE/>
        <w:autoSpaceDN/>
        <w:snapToGrid w:val="0"/>
        <w:spacing w:before="0" w:after="160" w:line="360" w:lineRule="auto"/>
        <w:ind w:right="0" w:firstLine="481"/>
        <w:jc w:val="both"/>
        <w:rPr>
          <w:rFonts w:hint="default" w:ascii="Times New Roman" w:hAnsi="宋体" w:eastAsia="宋体"/>
          <w:b/>
          <w:color w:val="auto"/>
          <w:position w:val="0"/>
          <w:sz w:val="24"/>
          <w:szCs w:val="24"/>
        </w:rPr>
      </w:pPr>
      <w:r>
        <w:rPr>
          <w:rFonts w:hint="default" w:ascii="Times New Roman" w:hAnsi="宋体" w:eastAsia="宋体"/>
          <w:color w:val="auto"/>
          <w:position w:val="0"/>
          <w:sz w:val="24"/>
          <w:szCs w:val="24"/>
        </w:rPr>
        <w:t>针对上述2、4款项中部分分部分项工程项目数量较少、施工工艺简单、主材种类较少而不能满足最低抽项要求的，应将所有分部分项工程项目或主要材料项目纳入评审范围。</w:t>
      </w:r>
    </w:p>
    <w:p>
      <w:pPr>
        <w:numPr>
          <w:ilvl w:val="0"/>
          <w:numId w:val="0"/>
        </w:numPr>
        <w:autoSpaceDE/>
        <w:autoSpaceDN/>
        <w:snapToGrid w:val="0"/>
        <w:spacing w:before="0" w:after="160" w:line="400" w:lineRule="exact"/>
        <w:ind w:right="0" w:firstLine="481"/>
        <w:jc w:val="both"/>
        <w:rPr>
          <w:rFonts w:hint="default" w:ascii="Times New Roman" w:hAnsi="Times New Roman" w:eastAsia="Times New Roman"/>
          <w:strike/>
          <w:color w:val="auto"/>
          <w:position w:val="0"/>
          <w:sz w:val="24"/>
          <w:szCs w:val="24"/>
        </w:rPr>
      </w:pPr>
      <w:r>
        <w:rPr>
          <w:rFonts w:hint="default" w:ascii="Times New Roman" w:hAnsi="宋体" w:eastAsia="宋体"/>
          <w:b/>
          <w:color w:val="auto"/>
          <w:position w:val="0"/>
          <w:sz w:val="24"/>
          <w:szCs w:val="24"/>
        </w:rPr>
        <w:t>（三）综合标（25分）</w:t>
      </w:r>
    </w:p>
    <w:tbl>
      <w:tblPr>
        <w:tblStyle w:val="31"/>
        <w:tblW w:w="95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417"/>
        <w:gridCol w:w="5894"/>
        <w:gridCol w:w="1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730"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序号</w:t>
            </w:r>
          </w:p>
        </w:tc>
        <w:tc>
          <w:tcPr>
            <w:tcW w:w="1417"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项     目</w:t>
            </w:r>
          </w:p>
        </w:tc>
        <w:tc>
          <w:tcPr>
            <w:tcW w:w="5894"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评  审   标   准</w:t>
            </w:r>
          </w:p>
        </w:tc>
        <w:tc>
          <w:tcPr>
            <w:tcW w:w="1513"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评审计分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730"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1</w:t>
            </w:r>
          </w:p>
        </w:tc>
        <w:tc>
          <w:tcPr>
            <w:tcW w:w="1417" w:type="dxa"/>
            <w:vAlign w:val="center"/>
          </w:tcPr>
          <w:p>
            <w:pPr>
              <w:pStyle w:val="47"/>
              <w:numPr>
                <w:ilvl w:val="0"/>
                <w:numId w:val="0"/>
              </w:numPr>
              <w:autoSpaceDE w:val="0"/>
              <w:autoSpaceDN w:val="0"/>
              <w:spacing w:before="0" w:after="160" w:line="276" w:lineRule="auto"/>
              <w:ind w:right="0" w:firstLine="0"/>
              <w:jc w:val="center"/>
              <w:rPr>
                <w:rFonts w:hint="default" w:ascii="宋体" w:hAnsi="宋体" w:eastAsia="宋体"/>
                <w:color w:val="000000"/>
                <w:position w:val="0"/>
                <w:sz w:val="32"/>
                <w:szCs w:val="32"/>
              </w:rPr>
            </w:pPr>
            <w:r>
              <w:rPr>
                <w:rFonts w:hint="default" w:ascii="宋体" w:hAnsi="宋体" w:eastAsia="宋体"/>
                <w:color w:val="auto"/>
                <w:position w:val="0"/>
                <w:sz w:val="24"/>
                <w:szCs w:val="24"/>
                <w:highlight w:val="none"/>
              </w:rPr>
              <w:t>企业业绩</w:t>
            </w:r>
          </w:p>
        </w:tc>
        <w:tc>
          <w:tcPr>
            <w:tcW w:w="5894" w:type="dxa"/>
            <w:vAlign w:val="top"/>
          </w:tcPr>
          <w:p>
            <w:pPr>
              <w:pStyle w:val="47"/>
              <w:numPr>
                <w:ilvl w:val="0"/>
                <w:numId w:val="0"/>
              </w:numPr>
              <w:autoSpaceDE w:val="0"/>
              <w:autoSpaceDN w:val="0"/>
              <w:spacing w:before="0" w:after="160" w:line="276" w:lineRule="auto"/>
              <w:ind w:right="0" w:firstLine="0"/>
              <w:jc w:val="left"/>
              <w:rPr>
                <w:rFonts w:hint="default" w:ascii="宋体" w:hAnsi="宋体" w:eastAsia="宋体"/>
                <w:color w:val="000000"/>
                <w:position w:val="0"/>
                <w:sz w:val="32"/>
                <w:szCs w:val="32"/>
              </w:rPr>
            </w:pPr>
            <w:r>
              <w:rPr>
                <w:rFonts w:hint="default" w:ascii="宋体" w:hAnsi="宋体" w:eastAsia="宋体"/>
                <w:color w:val="auto"/>
                <w:position w:val="0"/>
                <w:sz w:val="24"/>
                <w:szCs w:val="24"/>
                <w:highlight w:val="none"/>
              </w:rPr>
              <w:t>201</w:t>
            </w:r>
            <w:r>
              <w:rPr>
                <w:rFonts w:hint="eastAsia"/>
                <w:color w:val="auto"/>
                <w:position w:val="0"/>
                <w:sz w:val="24"/>
                <w:szCs w:val="24"/>
                <w:highlight w:val="none"/>
                <w:lang w:val="en-US" w:eastAsia="zh-CN"/>
              </w:rPr>
              <w:t>7</w:t>
            </w:r>
            <w:r>
              <w:rPr>
                <w:rFonts w:hint="default" w:ascii="宋体" w:hAnsi="宋体" w:eastAsia="宋体"/>
                <w:color w:val="auto"/>
                <w:position w:val="0"/>
                <w:sz w:val="24"/>
                <w:szCs w:val="24"/>
                <w:highlight w:val="none"/>
              </w:rPr>
              <w:t>年</w:t>
            </w:r>
            <w:r>
              <w:rPr>
                <w:rFonts w:hint="eastAsia"/>
                <w:color w:val="auto"/>
                <w:position w:val="0"/>
                <w:sz w:val="24"/>
                <w:szCs w:val="24"/>
                <w:highlight w:val="none"/>
                <w:lang w:val="en-US" w:eastAsia="zh-CN"/>
              </w:rPr>
              <w:t>5</w:t>
            </w:r>
            <w:r>
              <w:rPr>
                <w:rFonts w:hint="default" w:ascii="宋体" w:hAnsi="宋体" w:eastAsia="宋体"/>
                <w:color w:val="auto"/>
                <w:position w:val="0"/>
                <w:sz w:val="24"/>
                <w:szCs w:val="24"/>
                <w:highlight w:val="none"/>
              </w:rPr>
              <w:t>月1日以来企业具有类似业绩者得</w:t>
            </w:r>
            <w:r>
              <w:rPr>
                <w:rFonts w:hint="eastAsia"/>
                <w:color w:val="auto"/>
                <w:position w:val="0"/>
                <w:sz w:val="24"/>
                <w:szCs w:val="24"/>
                <w:highlight w:val="none"/>
                <w:lang w:val="en-US" w:eastAsia="zh-CN"/>
              </w:rPr>
              <w:t>4</w:t>
            </w:r>
            <w:r>
              <w:rPr>
                <w:rFonts w:hint="default" w:ascii="宋体" w:hAnsi="宋体" w:eastAsia="宋体"/>
                <w:color w:val="auto"/>
                <w:position w:val="0"/>
                <w:sz w:val="24"/>
                <w:szCs w:val="24"/>
                <w:highlight w:val="none"/>
              </w:rPr>
              <w:t>分，本项最高得4分。（以施工合同为准）</w:t>
            </w:r>
          </w:p>
        </w:tc>
        <w:tc>
          <w:tcPr>
            <w:tcW w:w="1513" w:type="dxa"/>
            <w:vAlign w:val="center"/>
          </w:tcPr>
          <w:p>
            <w:pPr>
              <w:pStyle w:val="47"/>
              <w:numPr>
                <w:ilvl w:val="0"/>
                <w:numId w:val="0"/>
              </w:numPr>
              <w:autoSpaceDE w:val="0"/>
              <w:autoSpaceDN w:val="0"/>
              <w:spacing w:before="0" w:after="160" w:line="276" w:lineRule="auto"/>
              <w:ind w:right="0" w:firstLine="0"/>
              <w:jc w:val="center"/>
              <w:rPr>
                <w:rFonts w:hint="default" w:ascii="宋体" w:hAnsi="宋体" w:eastAsia="宋体"/>
                <w:color w:val="000000"/>
                <w:position w:val="0"/>
                <w:sz w:val="32"/>
                <w:szCs w:val="32"/>
              </w:rPr>
            </w:pPr>
            <w:r>
              <w:rPr>
                <w:rFonts w:hint="default" w:ascii="宋体" w:hAnsi="宋体" w:eastAsia="宋体"/>
                <w:color w:val="auto"/>
                <w:position w:val="0"/>
                <w:sz w:val="24"/>
                <w:szCs w:val="24"/>
                <w:highlight w:val="none"/>
              </w:rPr>
              <w:t>0≤得分≤4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730"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2</w:t>
            </w:r>
          </w:p>
        </w:tc>
        <w:tc>
          <w:tcPr>
            <w:tcW w:w="1417" w:type="dxa"/>
            <w:vAlign w:val="center"/>
          </w:tcPr>
          <w:p>
            <w:pPr>
              <w:pStyle w:val="47"/>
              <w:numPr>
                <w:ilvl w:val="0"/>
                <w:numId w:val="0"/>
              </w:numPr>
              <w:autoSpaceDE w:val="0"/>
              <w:autoSpaceDN w:val="0"/>
              <w:spacing w:before="0" w:after="160" w:line="276" w:lineRule="auto"/>
              <w:ind w:right="0" w:firstLine="0"/>
              <w:jc w:val="center"/>
              <w:rPr>
                <w:rFonts w:hint="default" w:ascii="宋体" w:hAnsi="宋体" w:eastAsia="宋体"/>
                <w:color w:val="000000"/>
                <w:position w:val="0"/>
                <w:sz w:val="32"/>
                <w:szCs w:val="32"/>
              </w:rPr>
            </w:pPr>
            <w:r>
              <w:rPr>
                <w:rFonts w:hint="default" w:ascii="宋体" w:hAnsi="宋体" w:eastAsia="宋体"/>
                <w:color w:val="auto"/>
                <w:position w:val="0"/>
                <w:sz w:val="24"/>
                <w:szCs w:val="24"/>
                <w:highlight w:val="none"/>
              </w:rPr>
              <w:t>项目</w:t>
            </w:r>
            <w:r>
              <w:rPr>
                <w:rFonts w:hint="eastAsia"/>
                <w:color w:val="auto"/>
                <w:position w:val="0"/>
                <w:sz w:val="24"/>
                <w:szCs w:val="24"/>
                <w:highlight w:val="none"/>
                <w:lang w:val="en-US" w:eastAsia="zh-CN"/>
              </w:rPr>
              <w:t>负责人</w:t>
            </w:r>
            <w:r>
              <w:rPr>
                <w:rFonts w:hint="default" w:ascii="宋体" w:hAnsi="宋体" w:eastAsia="宋体"/>
                <w:color w:val="auto"/>
                <w:position w:val="0"/>
                <w:sz w:val="24"/>
                <w:szCs w:val="24"/>
                <w:highlight w:val="none"/>
              </w:rPr>
              <w:t>业绩</w:t>
            </w:r>
          </w:p>
        </w:tc>
        <w:tc>
          <w:tcPr>
            <w:tcW w:w="5894" w:type="dxa"/>
            <w:vAlign w:val="center"/>
          </w:tcPr>
          <w:p>
            <w:pPr>
              <w:pStyle w:val="47"/>
              <w:numPr>
                <w:ilvl w:val="0"/>
                <w:numId w:val="0"/>
              </w:numPr>
              <w:autoSpaceDE w:val="0"/>
              <w:autoSpaceDN w:val="0"/>
              <w:spacing w:before="0" w:after="160" w:line="276" w:lineRule="auto"/>
              <w:ind w:right="0" w:firstLine="0"/>
              <w:jc w:val="left"/>
              <w:rPr>
                <w:rFonts w:hint="default" w:ascii="宋体" w:hAnsi="宋体" w:eastAsia="宋体"/>
                <w:color w:val="000000"/>
                <w:position w:val="0"/>
                <w:sz w:val="32"/>
                <w:szCs w:val="32"/>
              </w:rPr>
            </w:pPr>
            <w:r>
              <w:rPr>
                <w:rFonts w:hint="default" w:ascii="宋体" w:hAnsi="宋体" w:eastAsia="宋体"/>
                <w:color w:val="auto"/>
                <w:position w:val="0"/>
                <w:sz w:val="24"/>
                <w:szCs w:val="24"/>
                <w:highlight w:val="none"/>
              </w:rPr>
              <w:t>201</w:t>
            </w:r>
            <w:r>
              <w:rPr>
                <w:rFonts w:hint="eastAsia"/>
                <w:color w:val="auto"/>
                <w:position w:val="0"/>
                <w:sz w:val="24"/>
                <w:szCs w:val="24"/>
                <w:highlight w:val="none"/>
                <w:lang w:val="en-US" w:eastAsia="zh-CN"/>
              </w:rPr>
              <w:t>7</w:t>
            </w:r>
            <w:r>
              <w:rPr>
                <w:rFonts w:hint="default" w:ascii="宋体" w:hAnsi="宋体" w:eastAsia="宋体"/>
                <w:color w:val="auto"/>
                <w:position w:val="0"/>
                <w:sz w:val="24"/>
                <w:szCs w:val="24"/>
                <w:highlight w:val="none"/>
              </w:rPr>
              <w:t>年</w:t>
            </w:r>
            <w:r>
              <w:rPr>
                <w:rFonts w:hint="eastAsia"/>
                <w:color w:val="auto"/>
                <w:position w:val="0"/>
                <w:sz w:val="24"/>
                <w:szCs w:val="24"/>
                <w:highlight w:val="none"/>
                <w:lang w:val="en-US" w:eastAsia="zh-CN"/>
              </w:rPr>
              <w:t>5</w:t>
            </w:r>
            <w:r>
              <w:rPr>
                <w:rFonts w:hint="default" w:ascii="宋体" w:hAnsi="宋体" w:eastAsia="宋体"/>
                <w:color w:val="auto"/>
                <w:position w:val="0"/>
                <w:sz w:val="24"/>
                <w:szCs w:val="24"/>
                <w:highlight w:val="none"/>
              </w:rPr>
              <w:t>月1日以来项目负责人（项目经理）具有类似业绩者得</w:t>
            </w:r>
            <w:r>
              <w:rPr>
                <w:rFonts w:hint="eastAsia"/>
                <w:color w:val="auto"/>
                <w:position w:val="0"/>
                <w:sz w:val="24"/>
                <w:szCs w:val="24"/>
                <w:highlight w:val="none"/>
                <w:lang w:val="en-US" w:eastAsia="zh-CN"/>
              </w:rPr>
              <w:t>6</w:t>
            </w:r>
            <w:r>
              <w:rPr>
                <w:rFonts w:hint="default" w:ascii="宋体" w:hAnsi="宋体" w:eastAsia="宋体"/>
                <w:color w:val="auto"/>
                <w:position w:val="0"/>
                <w:sz w:val="24"/>
                <w:szCs w:val="24"/>
                <w:highlight w:val="none"/>
              </w:rPr>
              <w:t>分，本项最高得6分。（以施工合同为准）</w:t>
            </w:r>
          </w:p>
        </w:tc>
        <w:tc>
          <w:tcPr>
            <w:tcW w:w="1513" w:type="dxa"/>
            <w:vAlign w:val="center"/>
          </w:tcPr>
          <w:p>
            <w:pPr>
              <w:pStyle w:val="47"/>
              <w:numPr>
                <w:ilvl w:val="0"/>
                <w:numId w:val="0"/>
              </w:numPr>
              <w:autoSpaceDE w:val="0"/>
              <w:autoSpaceDN w:val="0"/>
              <w:spacing w:before="0" w:after="160" w:line="276" w:lineRule="auto"/>
              <w:ind w:right="0" w:firstLine="0"/>
              <w:jc w:val="center"/>
              <w:rPr>
                <w:rFonts w:hint="default" w:ascii="宋体" w:hAnsi="宋体" w:eastAsia="宋体"/>
                <w:color w:val="000000"/>
                <w:position w:val="0"/>
                <w:sz w:val="32"/>
                <w:szCs w:val="32"/>
              </w:rPr>
            </w:pPr>
            <w:r>
              <w:rPr>
                <w:rFonts w:hint="default" w:ascii="宋体" w:hAnsi="宋体" w:eastAsia="宋体"/>
                <w:color w:val="auto"/>
                <w:position w:val="0"/>
                <w:sz w:val="24"/>
                <w:szCs w:val="24"/>
                <w:highlight w:val="none"/>
              </w:rPr>
              <w:t>0≤得分≤6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3</w:t>
            </w:r>
          </w:p>
        </w:tc>
        <w:tc>
          <w:tcPr>
            <w:tcW w:w="1417" w:type="dxa"/>
            <w:vMerge w:val="restart"/>
            <w:vAlign w:val="center"/>
          </w:tcPr>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优惠承诺</w:t>
            </w:r>
          </w:p>
        </w:tc>
        <w:tc>
          <w:tcPr>
            <w:tcW w:w="5894" w:type="dxa"/>
            <w:vAlign w:val="center"/>
          </w:tcPr>
          <w:p>
            <w:pPr>
              <w:numPr>
                <w:ilvl w:val="0"/>
                <w:numId w:val="0"/>
              </w:numPr>
              <w:autoSpaceDE/>
              <w:autoSpaceDN/>
              <w:spacing w:before="0" w:after="160" w:line="360" w:lineRule="auto"/>
              <w:ind w:right="0" w:firstLine="0"/>
              <w:jc w:val="left"/>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优惠承诺应是书面的符合工程实际情况，确保依法依规，优惠合理，详实可行。</w:t>
            </w:r>
          </w:p>
        </w:tc>
        <w:tc>
          <w:tcPr>
            <w:tcW w:w="1513" w:type="dxa"/>
            <w:vAlign w:val="center"/>
          </w:tcPr>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3＜得分≤4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tc>
        <w:tc>
          <w:tcPr>
            <w:tcW w:w="1417" w:type="dxa"/>
            <w:vMerge w:val="continue"/>
            <w:vAlign w:val="center"/>
          </w:tcPr>
          <w:p/>
        </w:tc>
        <w:tc>
          <w:tcPr>
            <w:tcW w:w="5894" w:type="dxa"/>
            <w:vAlign w:val="center"/>
          </w:tcPr>
          <w:p>
            <w:pPr>
              <w:numPr>
                <w:ilvl w:val="0"/>
                <w:numId w:val="0"/>
              </w:numPr>
              <w:autoSpaceDE/>
              <w:autoSpaceDN/>
              <w:spacing w:before="0" w:after="160" w:line="360" w:lineRule="auto"/>
              <w:ind w:right="0" w:firstLine="0"/>
              <w:jc w:val="left"/>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优惠承诺符合工程实际情况，确保依法依规，优惠基本合理，基本详实可行。</w:t>
            </w:r>
          </w:p>
        </w:tc>
        <w:tc>
          <w:tcPr>
            <w:tcW w:w="1513" w:type="dxa"/>
            <w:vAlign w:val="center"/>
          </w:tcPr>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1≤得分≤3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4</w:t>
            </w:r>
          </w:p>
        </w:tc>
        <w:tc>
          <w:tcPr>
            <w:tcW w:w="1417" w:type="dxa"/>
            <w:vMerge w:val="restart"/>
            <w:vAlign w:val="center"/>
          </w:tcPr>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履职尽责承诺</w:t>
            </w:r>
          </w:p>
        </w:tc>
        <w:tc>
          <w:tcPr>
            <w:tcW w:w="5894" w:type="dxa"/>
            <w:vAlign w:val="center"/>
          </w:tcPr>
          <w:p>
            <w:pPr>
              <w:numPr>
                <w:ilvl w:val="0"/>
                <w:numId w:val="0"/>
              </w:numPr>
              <w:autoSpaceDE/>
              <w:autoSpaceDN/>
              <w:spacing w:before="0" w:after="160" w:line="360" w:lineRule="auto"/>
              <w:ind w:right="0" w:firstLine="0"/>
              <w:jc w:val="left"/>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具有全面、详实、可行、合法有效的书面保证技术措施落实到位的承诺和落实不到位的处理承诺，其中包括各关键岗位人员（</w:t>
            </w:r>
            <w:r>
              <w:rPr>
                <w:rFonts w:hint="default" w:ascii="新宋体" w:hAnsi="新宋体" w:eastAsia="新宋体"/>
                <w:color w:val="auto"/>
                <w:position w:val="0"/>
                <w:sz w:val="24"/>
                <w:szCs w:val="24"/>
              </w:rPr>
              <w:t>项目负责人（项目经理）</w:t>
            </w:r>
            <w:r>
              <w:rPr>
                <w:rFonts w:hint="default" w:ascii="宋体" w:hAnsi="宋体" w:eastAsia="宋体"/>
                <w:color w:val="auto"/>
                <w:position w:val="0"/>
                <w:sz w:val="24"/>
                <w:szCs w:val="24"/>
                <w:highlight w:val="none"/>
              </w:rPr>
              <w:t>、技术负责人、施工员、质量（检）员、安全员、材料员、资料员）的在岗、更换等履职尽责承诺，提供承包商履约保证。</w:t>
            </w:r>
          </w:p>
        </w:tc>
        <w:tc>
          <w:tcPr>
            <w:tcW w:w="1513" w:type="dxa"/>
            <w:vAlign w:val="center"/>
          </w:tcPr>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2＜得分≤3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tc>
        <w:tc>
          <w:tcPr>
            <w:tcW w:w="1417" w:type="dxa"/>
            <w:vMerge w:val="continue"/>
            <w:vAlign w:val="center"/>
          </w:tcPr>
          <w:p/>
        </w:tc>
        <w:tc>
          <w:tcPr>
            <w:tcW w:w="5894" w:type="dxa"/>
            <w:vAlign w:val="center"/>
          </w:tcPr>
          <w:p>
            <w:pPr>
              <w:numPr>
                <w:ilvl w:val="0"/>
                <w:numId w:val="0"/>
              </w:numPr>
              <w:autoSpaceDE/>
              <w:autoSpaceDN/>
              <w:spacing w:before="0" w:after="160" w:line="360" w:lineRule="auto"/>
              <w:ind w:right="0" w:firstLine="0"/>
              <w:jc w:val="left"/>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具有可行、合法有效的书面保证技术措施落实到位的承诺和落实不到位的处理承诺，其中包括各关键岗位人员（项目负责人（项目经理）、技术负责人、施工员、质量（检）员、安全员、材料员、资料员）的在岗、更换等履职尽责承诺，提承包商履约保证。</w:t>
            </w:r>
          </w:p>
        </w:tc>
        <w:tc>
          <w:tcPr>
            <w:tcW w:w="1513" w:type="dxa"/>
            <w:vAlign w:val="center"/>
          </w:tcPr>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1≤得分≤2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30"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5</w:t>
            </w:r>
          </w:p>
        </w:tc>
        <w:tc>
          <w:tcPr>
            <w:tcW w:w="1417" w:type="dxa"/>
            <w:vAlign w:val="center"/>
          </w:tcPr>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企业信用（含纳税诚信）</w:t>
            </w:r>
          </w:p>
        </w:tc>
        <w:tc>
          <w:tcPr>
            <w:tcW w:w="5894" w:type="dxa"/>
            <w:vAlign w:val="center"/>
          </w:tcPr>
          <w:p>
            <w:pPr>
              <w:pStyle w:val="2"/>
              <w:numPr>
                <w:ilvl w:val="0"/>
                <w:numId w:val="0"/>
              </w:numPr>
              <w:autoSpaceDE/>
              <w:autoSpaceDN/>
              <w:spacing w:before="0" w:after="120" w:line="240" w:lineRule="auto"/>
              <w:ind w:right="0" w:firstLine="0"/>
              <w:jc w:val="both"/>
              <w:rPr>
                <w:rFonts w:hint="default" w:ascii="宋体" w:hAnsi="宋体" w:eastAsia="宋体" w:cs="Times New Roman"/>
                <w:color w:val="auto"/>
                <w:w w:val="100"/>
                <w:position w:val="0"/>
                <w:sz w:val="24"/>
                <w:szCs w:val="24"/>
                <w:highlight w:val="none"/>
                <w:shd w:val="clear"/>
                <w:lang w:val="en-US" w:eastAsia="zh-CN"/>
              </w:rPr>
            </w:pPr>
            <w:r>
              <w:rPr>
                <w:rFonts w:hint="default" w:ascii="宋体" w:hAnsi="宋体" w:eastAsia="宋体" w:cs="Times New Roman"/>
                <w:color w:val="auto"/>
                <w:w w:val="100"/>
                <w:position w:val="0"/>
                <w:sz w:val="24"/>
                <w:szCs w:val="24"/>
                <w:highlight w:val="none"/>
                <w:shd w:val="clear"/>
                <w:lang w:val="en-US" w:eastAsia="zh-CN"/>
              </w:rPr>
              <w:t>1、</w:t>
            </w:r>
            <w:r>
              <w:rPr>
                <w:rFonts w:hint="default" w:ascii="宋体" w:hAnsi="宋体" w:eastAsia="宋体" w:cs="Times New Roman"/>
                <w:color w:val="auto"/>
                <w:w w:val="100"/>
                <w:position w:val="0"/>
                <w:sz w:val="24"/>
                <w:szCs w:val="24"/>
                <w:highlight w:val="none"/>
                <w:shd w:val="clear"/>
              </w:rPr>
              <w:t>企业201</w:t>
            </w:r>
            <w:r>
              <w:rPr>
                <w:rFonts w:hint="default" w:ascii="宋体" w:hAnsi="宋体" w:eastAsia="宋体" w:cs="Times New Roman"/>
                <w:color w:val="auto"/>
                <w:w w:val="100"/>
                <w:position w:val="0"/>
                <w:sz w:val="24"/>
                <w:szCs w:val="24"/>
                <w:highlight w:val="none"/>
                <w:shd w:val="clear"/>
                <w:lang w:val="en-US" w:eastAsia="zh-CN"/>
              </w:rPr>
              <w:t>7</w:t>
            </w:r>
            <w:r>
              <w:rPr>
                <w:rFonts w:hint="default" w:ascii="宋体" w:hAnsi="宋体" w:eastAsia="宋体" w:cs="Times New Roman"/>
                <w:color w:val="auto"/>
                <w:w w:val="100"/>
                <w:position w:val="0"/>
                <w:sz w:val="24"/>
                <w:szCs w:val="24"/>
                <w:highlight w:val="none"/>
                <w:shd w:val="clear"/>
              </w:rPr>
              <w:t>年</w:t>
            </w:r>
            <w:r>
              <w:rPr>
                <w:rFonts w:hint="default" w:ascii="宋体" w:hAnsi="宋体" w:eastAsia="宋体" w:cs="Times New Roman"/>
                <w:color w:val="auto"/>
                <w:w w:val="100"/>
                <w:position w:val="0"/>
                <w:sz w:val="24"/>
                <w:szCs w:val="24"/>
                <w:highlight w:val="none"/>
                <w:shd w:val="clear"/>
                <w:lang w:val="en-US" w:eastAsia="zh-CN"/>
              </w:rPr>
              <w:t>5</w:t>
            </w:r>
            <w:r>
              <w:rPr>
                <w:rFonts w:hint="default" w:ascii="宋体" w:hAnsi="宋体" w:eastAsia="宋体" w:cs="Times New Roman"/>
                <w:color w:val="auto"/>
                <w:w w:val="100"/>
                <w:position w:val="0"/>
                <w:sz w:val="24"/>
                <w:szCs w:val="24"/>
                <w:highlight w:val="none"/>
                <w:shd w:val="clear"/>
              </w:rPr>
              <w:t>月1日以来，获得过</w:t>
            </w:r>
            <w:r>
              <w:rPr>
                <w:rFonts w:hint="eastAsia" w:ascii="宋体" w:hAnsi="宋体" w:eastAsia="宋体" w:cs="Times New Roman"/>
                <w:color w:val="auto"/>
                <w:w w:val="100"/>
                <w:position w:val="0"/>
                <w:sz w:val="24"/>
                <w:szCs w:val="24"/>
                <w:highlight w:val="none"/>
                <w:shd w:val="clear"/>
                <w:lang w:val="en-US" w:eastAsia="zh-CN"/>
              </w:rPr>
              <w:t>省</w:t>
            </w:r>
            <w:r>
              <w:rPr>
                <w:rFonts w:hint="default" w:ascii="宋体" w:hAnsi="宋体" w:eastAsia="宋体" w:cs="Times New Roman"/>
                <w:color w:val="auto"/>
                <w:w w:val="100"/>
                <w:position w:val="0"/>
                <w:sz w:val="24"/>
                <w:szCs w:val="24"/>
                <w:highlight w:val="none"/>
                <w:shd w:val="clear"/>
              </w:rPr>
              <w:t>级及以上安全先进企业的得</w:t>
            </w:r>
            <w:r>
              <w:rPr>
                <w:rFonts w:hint="default" w:ascii="宋体" w:hAnsi="宋体" w:eastAsia="宋体" w:cs="Times New Roman"/>
                <w:color w:val="auto"/>
                <w:w w:val="100"/>
                <w:position w:val="0"/>
                <w:sz w:val="24"/>
                <w:szCs w:val="24"/>
                <w:highlight w:val="none"/>
                <w:shd w:val="clear"/>
                <w:lang w:val="en-US" w:eastAsia="zh-CN"/>
              </w:rPr>
              <w:t>1</w:t>
            </w:r>
            <w:r>
              <w:rPr>
                <w:rFonts w:hint="default" w:ascii="宋体" w:hAnsi="宋体" w:eastAsia="宋体" w:cs="Times New Roman"/>
                <w:color w:val="auto"/>
                <w:w w:val="100"/>
                <w:position w:val="0"/>
                <w:sz w:val="24"/>
                <w:szCs w:val="24"/>
                <w:highlight w:val="none"/>
                <w:shd w:val="clear"/>
              </w:rPr>
              <w:t>分，获得</w:t>
            </w:r>
            <w:r>
              <w:rPr>
                <w:rFonts w:hint="eastAsia" w:ascii="宋体" w:hAnsi="宋体" w:eastAsia="宋体" w:cs="Times New Roman"/>
                <w:color w:val="auto"/>
                <w:w w:val="100"/>
                <w:position w:val="0"/>
                <w:sz w:val="24"/>
                <w:szCs w:val="24"/>
                <w:highlight w:val="none"/>
                <w:shd w:val="clear"/>
                <w:lang w:val="en-US" w:eastAsia="zh-CN"/>
              </w:rPr>
              <w:t>省</w:t>
            </w:r>
            <w:r>
              <w:rPr>
                <w:rFonts w:hint="default" w:ascii="宋体" w:hAnsi="宋体" w:eastAsia="宋体" w:cs="Times New Roman"/>
                <w:color w:val="auto"/>
                <w:w w:val="100"/>
                <w:position w:val="0"/>
                <w:sz w:val="24"/>
                <w:szCs w:val="24"/>
                <w:highlight w:val="none"/>
                <w:shd w:val="clear"/>
              </w:rPr>
              <w:t>级及以上质量管理先进企业得</w:t>
            </w:r>
            <w:r>
              <w:rPr>
                <w:rFonts w:hint="default" w:ascii="宋体" w:hAnsi="宋体" w:eastAsia="宋体" w:cs="Times New Roman"/>
                <w:color w:val="auto"/>
                <w:w w:val="100"/>
                <w:position w:val="0"/>
                <w:sz w:val="24"/>
                <w:szCs w:val="24"/>
                <w:highlight w:val="none"/>
                <w:shd w:val="clear"/>
                <w:lang w:val="en-US" w:eastAsia="zh-CN"/>
              </w:rPr>
              <w:t>1</w:t>
            </w:r>
            <w:r>
              <w:rPr>
                <w:rFonts w:hint="default" w:ascii="宋体" w:hAnsi="宋体" w:eastAsia="宋体" w:cs="Times New Roman"/>
                <w:color w:val="auto"/>
                <w:w w:val="100"/>
                <w:position w:val="0"/>
                <w:sz w:val="24"/>
                <w:szCs w:val="24"/>
                <w:highlight w:val="none"/>
                <w:shd w:val="clear"/>
              </w:rPr>
              <w:t>分，本项最高得</w:t>
            </w:r>
            <w:r>
              <w:rPr>
                <w:rFonts w:hint="default" w:ascii="宋体" w:hAnsi="宋体" w:eastAsia="宋体" w:cs="Times New Roman"/>
                <w:color w:val="auto"/>
                <w:w w:val="100"/>
                <w:position w:val="0"/>
                <w:sz w:val="24"/>
                <w:szCs w:val="24"/>
                <w:highlight w:val="none"/>
                <w:shd w:val="clear"/>
                <w:lang w:val="en-US" w:eastAsia="zh-CN"/>
              </w:rPr>
              <w:t>2</w:t>
            </w:r>
            <w:r>
              <w:rPr>
                <w:rFonts w:hint="default" w:ascii="宋体" w:hAnsi="宋体" w:eastAsia="宋体" w:cs="Times New Roman"/>
                <w:color w:val="auto"/>
                <w:w w:val="100"/>
                <w:position w:val="0"/>
                <w:sz w:val="24"/>
                <w:szCs w:val="24"/>
                <w:highlight w:val="none"/>
                <w:shd w:val="clear"/>
              </w:rPr>
              <w:t>分（以获奖证书为准）。</w:t>
            </w:r>
            <w:r>
              <w:rPr>
                <w:rFonts w:hint="default" w:ascii="宋体" w:hAnsi="宋体" w:eastAsia="宋体" w:cs="Times New Roman"/>
                <w:color w:val="auto"/>
                <w:w w:val="100"/>
                <w:position w:val="0"/>
                <w:sz w:val="24"/>
                <w:szCs w:val="24"/>
                <w:highlight w:val="none"/>
                <w:shd w:val="clear"/>
                <w:lang w:val="en-US" w:eastAsia="zh-CN"/>
              </w:rPr>
              <w:t xml:space="preserve">          2、企业</w:t>
            </w:r>
            <w:r>
              <w:rPr>
                <w:rFonts w:hint="default" w:ascii="宋体" w:hAnsi="宋体" w:eastAsia="宋体" w:cs="Times New Roman"/>
                <w:color w:val="auto"/>
                <w:w w:val="100"/>
                <w:position w:val="0"/>
                <w:sz w:val="24"/>
                <w:szCs w:val="24"/>
                <w:highlight w:val="none"/>
                <w:shd w:val="clear"/>
              </w:rPr>
              <w:t>201</w:t>
            </w:r>
            <w:r>
              <w:rPr>
                <w:rFonts w:hint="default" w:ascii="宋体" w:hAnsi="宋体" w:eastAsia="宋体" w:cs="Times New Roman"/>
                <w:color w:val="auto"/>
                <w:w w:val="100"/>
                <w:position w:val="0"/>
                <w:sz w:val="24"/>
                <w:szCs w:val="24"/>
                <w:highlight w:val="none"/>
                <w:shd w:val="clear"/>
                <w:lang w:val="en-US" w:eastAsia="zh-CN"/>
              </w:rPr>
              <w:t>7</w:t>
            </w:r>
            <w:r>
              <w:rPr>
                <w:rFonts w:hint="default" w:ascii="宋体" w:hAnsi="宋体" w:eastAsia="宋体" w:cs="Times New Roman"/>
                <w:color w:val="auto"/>
                <w:w w:val="100"/>
                <w:position w:val="0"/>
                <w:sz w:val="24"/>
                <w:szCs w:val="24"/>
                <w:highlight w:val="none"/>
                <w:shd w:val="clear"/>
              </w:rPr>
              <w:t>年</w:t>
            </w:r>
            <w:r>
              <w:rPr>
                <w:rFonts w:hint="default" w:ascii="宋体" w:hAnsi="宋体" w:eastAsia="宋体" w:cs="Times New Roman"/>
                <w:color w:val="auto"/>
                <w:w w:val="100"/>
                <w:position w:val="0"/>
                <w:sz w:val="24"/>
                <w:szCs w:val="24"/>
                <w:highlight w:val="none"/>
                <w:shd w:val="clear"/>
                <w:lang w:val="en-US" w:eastAsia="zh-CN"/>
              </w:rPr>
              <w:t>5</w:t>
            </w:r>
            <w:r>
              <w:rPr>
                <w:rFonts w:hint="default" w:ascii="宋体" w:hAnsi="宋体" w:eastAsia="宋体" w:cs="Times New Roman"/>
                <w:color w:val="auto"/>
                <w:w w:val="100"/>
                <w:position w:val="0"/>
                <w:sz w:val="24"/>
                <w:szCs w:val="24"/>
                <w:highlight w:val="none"/>
                <w:shd w:val="clear"/>
              </w:rPr>
              <w:t>月1日以来，获得过</w:t>
            </w:r>
            <w:r>
              <w:rPr>
                <w:rFonts w:hint="eastAsia" w:ascii="宋体" w:hAnsi="宋体" w:eastAsia="宋体" w:cs="Times New Roman"/>
                <w:color w:val="auto"/>
                <w:w w:val="100"/>
                <w:position w:val="0"/>
                <w:sz w:val="24"/>
                <w:szCs w:val="24"/>
                <w:highlight w:val="none"/>
                <w:shd w:val="clear"/>
                <w:lang w:val="en-US" w:eastAsia="zh-CN"/>
              </w:rPr>
              <w:t>省</w:t>
            </w:r>
            <w:r>
              <w:rPr>
                <w:rFonts w:hint="default" w:ascii="宋体" w:hAnsi="宋体" w:eastAsia="宋体" w:cs="Times New Roman"/>
                <w:color w:val="auto"/>
                <w:w w:val="100"/>
                <w:position w:val="0"/>
                <w:sz w:val="24"/>
                <w:szCs w:val="24"/>
                <w:highlight w:val="none"/>
                <w:shd w:val="clear"/>
              </w:rPr>
              <w:t>级及以上</w:t>
            </w:r>
            <w:r>
              <w:rPr>
                <w:rFonts w:hint="default" w:ascii="宋体" w:hAnsi="宋体" w:eastAsia="宋体" w:cs="Times New Roman"/>
                <w:color w:val="auto"/>
                <w:w w:val="100"/>
                <w:position w:val="0"/>
                <w:sz w:val="24"/>
                <w:szCs w:val="24"/>
                <w:highlight w:val="none"/>
                <w:shd w:val="clear"/>
                <w:lang w:val="en-US" w:eastAsia="zh-CN"/>
              </w:rPr>
              <w:t>先进企业的的1分</w:t>
            </w:r>
            <w:r>
              <w:rPr>
                <w:rFonts w:hint="default" w:ascii="宋体" w:hAnsi="宋体" w:eastAsia="宋体" w:cs="Times New Roman"/>
                <w:color w:val="auto"/>
                <w:w w:val="100"/>
                <w:position w:val="0"/>
                <w:sz w:val="24"/>
                <w:szCs w:val="24"/>
                <w:highlight w:val="none"/>
                <w:shd w:val="clear"/>
              </w:rPr>
              <w:t>（以获奖证书为准）。</w:t>
            </w:r>
          </w:p>
          <w:p>
            <w:pPr>
              <w:pStyle w:val="2"/>
              <w:numPr>
                <w:ilvl w:val="0"/>
                <w:numId w:val="0"/>
              </w:numPr>
              <w:autoSpaceDE/>
              <w:autoSpaceDN/>
              <w:spacing w:before="0" w:after="120" w:line="240" w:lineRule="auto"/>
              <w:ind w:right="0" w:firstLine="0"/>
              <w:jc w:val="both"/>
              <w:rPr>
                <w:rFonts w:hint="default" w:ascii="宋体" w:hAnsi="宋体" w:eastAsia="宋体"/>
                <w:color w:val="auto"/>
                <w:position w:val="0"/>
                <w:sz w:val="32"/>
                <w:szCs w:val="32"/>
              </w:rPr>
            </w:pPr>
            <w:r>
              <w:rPr>
                <w:rFonts w:hint="default" w:ascii="宋体" w:hAnsi="宋体" w:eastAsia="宋体" w:cs="Times New Roman"/>
                <w:color w:val="auto"/>
                <w:w w:val="100"/>
                <w:position w:val="0"/>
                <w:sz w:val="24"/>
                <w:szCs w:val="24"/>
                <w:highlight w:val="none"/>
                <w:shd w:val="clear"/>
                <w:lang w:val="en-US" w:eastAsia="zh-CN"/>
              </w:rPr>
              <w:t>3、</w:t>
            </w:r>
            <w:r>
              <w:rPr>
                <w:rFonts w:hint="default" w:ascii="宋体" w:hAnsi="宋体" w:eastAsia="宋体" w:cs="Times New Roman"/>
                <w:color w:val="auto"/>
                <w:w w:val="100"/>
                <w:position w:val="0"/>
                <w:sz w:val="24"/>
                <w:szCs w:val="24"/>
                <w:highlight w:val="none"/>
                <w:shd w:val="clear"/>
              </w:rPr>
              <w:t>企业201</w:t>
            </w:r>
            <w:r>
              <w:rPr>
                <w:rFonts w:hint="default" w:ascii="宋体" w:hAnsi="宋体" w:eastAsia="宋体" w:cs="Times New Roman"/>
                <w:color w:val="auto"/>
                <w:w w:val="100"/>
                <w:position w:val="0"/>
                <w:sz w:val="24"/>
                <w:szCs w:val="24"/>
                <w:highlight w:val="none"/>
                <w:shd w:val="clear"/>
                <w:lang w:val="en-US" w:eastAsia="zh-CN"/>
              </w:rPr>
              <w:t>7</w:t>
            </w:r>
            <w:r>
              <w:rPr>
                <w:rFonts w:hint="default" w:ascii="宋体" w:hAnsi="宋体" w:eastAsia="宋体" w:cs="Times New Roman"/>
                <w:color w:val="auto"/>
                <w:w w:val="100"/>
                <w:position w:val="0"/>
                <w:sz w:val="24"/>
                <w:szCs w:val="24"/>
                <w:highlight w:val="none"/>
                <w:shd w:val="clear"/>
              </w:rPr>
              <w:t>年</w:t>
            </w:r>
            <w:r>
              <w:rPr>
                <w:rFonts w:hint="default" w:ascii="宋体" w:hAnsi="宋体" w:eastAsia="宋体" w:cs="Times New Roman"/>
                <w:color w:val="auto"/>
                <w:w w:val="100"/>
                <w:position w:val="0"/>
                <w:sz w:val="24"/>
                <w:szCs w:val="24"/>
                <w:highlight w:val="none"/>
                <w:shd w:val="clear"/>
                <w:lang w:val="en-US" w:eastAsia="zh-CN"/>
              </w:rPr>
              <w:t>5</w:t>
            </w:r>
            <w:r>
              <w:rPr>
                <w:rFonts w:hint="default" w:ascii="宋体" w:hAnsi="宋体" w:eastAsia="宋体" w:cs="Times New Roman"/>
                <w:color w:val="auto"/>
                <w:w w:val="100"/>
                <w:position w:val="0"/>
                <w:sz w:val="24"/>
                <w:szCs w:val="24"/>
                <w:highlight w:val="none"/>
                <w:shd w:val="clear"/>
              </w:rPr>
              <w:t>月1日以来，</w:t>
            </w:r>
            <w:r>
              <w:rPr>
                <w:rFonts w:hint="default" w:ascii="宋体" w:hAnsi="宋体" w:eastAsia="宋体" w:cs="Times New Roman"/>
                <w:color w:val="auto"/>
                <w:w w:val="100"/>
                <w:position w:val="0"/>
                <w:sz w:val="24"/>
                <w:szCs w:val="24"/>
                <w:highlight w:val="none"/>
                <w:shd w:val="clear"/>
                <w:lang w:val="en-US" w:eastAsia="zh-CN"/>
              </w:rPr>
              <w:t>获得过</w:t>
            </w:r>
            <w:r>
              <w:rPr>
                <w:rFonts w:hint="eastAsia" w:ascii="宋体" w:hAnsi="宋体" w:eastAsia="宋体" w:cs="Times New Roman"/>
                <w:color w:val="auto"/>
                <w:w w:val="100"/>
                <w:position w:val="0"/>
                <w:sz w:val="24"/>
                <w:szCs w:val="24"/>
                <w:highlight w:val="none"/>
                <w:shd w:val="clear"/>
                <w:lang w:val="en-US" w:eastAsia="zh-CN"/>
              </w:rPr>
              <w:t>省</w:t>
            </w:r>
            <w:r>
              <w:rPr>
                <w:rFonts w:hint="default" w:ascii="宋体" w:hAnsi="宋体" w:eastAsia="宋体" w:cs="Times New Roman"/>
                <w:color w:val="auto"/>
                <w:w w:val="100"/>
                <w:position w:val="0"/>
                <w:sz w:val="24"/>
                <w:szCs w:val="24"/>
                <w:highlight w:val="none"/>
                <w:shd w:val="clear"/>
              </w:rPr>
              <w:t>级及以上</w:t>
            </w:r>
            <w:r>
              <w:rPr>
                <w:rFonts w:hint="default" w:ascii="宋体" w:hAnsi="宋体" w:eastAsia="宋体" w:cs="Times New Roman"/>
                <w:color w:val="auto"/>
                <w:w w:val="100"/>
                <w:position w:val="0"/>
                <w:sz w:val="24"/>
                <w:szCs w:val="24"/>
                <w:highlight w:val="none"/>
                <w:shd w:val="clear"/>
                <w:lang w:val="en-US" w:eastAsia="zh-CN"/>
              </w:rPr>
              <w:t>AAA级企业信用等级证书的得1分</w:t>
            </w:r>
            <w:r>
              <w:rPr>
                <w:rFonts w:hint="default" w:ascii="宋体" w:hAnsi="宋体" w:eastAsia="宋体" w:cs="Times New Roman"/>
                <w:color w:val="auto"/>
                <w:w w:val="100"/>
                <w:position w:val="0"/>
                <w:sz w:val="24"/>
                <w:szCs w:val="24"/>
                <w:highlight w:val="none"/>
                <w:shd w:val="clear"/>
              </w:rPr>
              <w:t>（以获奖证书为准）</w:t>
            </w:r>
            <w:r>
              <w:rPr>
                <w:rFonts w:hint="default" w:ascii="宋体" w:hAnsi="宋体" w:eastAsia="宋体" w:cs="Times New Roman"/>
                <w:color w:val="auto"/>
                <w:w w:val="100"/>
                <w:position w:val="0"/>
                <w:sz w:val="24"/>
                <w:szCs w:val="24"/>
                <w:highlight w:val="none"/>
                <w:shd w:val="clear"/>
                <w:lang w:val="en-US" w:eastAsia="zh-CN"/>
              </w:rPr>
              <w:t>。</w:t>
            </w:r>
          </w:p>
        </w:tc>
        <w:tc>
          <w:tcPr>
            <w:tcW w:w="1513" w:type="dxa"/>
            <w:vAlign w:val="center"/>
          </w:tcPr>
          <w:p>
            <w:pPr>
              <w:numPr>
                <w:ilvl w:val="0"/>
                <w:numId w:val="0"/>
              </w:numPr>
              <w:autoSpaceDE/>
              <w:autoSpaceDN/>
              <w:spacing w:before="0" w:after="160" w:line="360" w:lineRule="auto"/>
              <w:ind w:right="0" w:firstLine="0"/>
              <w:jc w:val="left"/>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0≤得分≤4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730"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FF0000"/>
                <w:position w:val="0"/>
                <w:sz w:val="24"/>
                <w:szCs w:val="24"/>
              </w:rPr>
            </w:pPr>
            <w:r>
              <w:rPr>
                <w:rFonts w:hint="default" w:ascii="Times New Roman" w:hAnsi="宋体" w:eastAsia="宋体"/>
                <w:color w:val="auto"/>
                <w:position w:val="0"/>
                <w:sz w:val="24"/>
                <w:szCs w:val="24"/>
              </w:rPr>
              <w:t>6</w:t>
            </w:r>
          </w:p>
        </w:tc>
        <w:tc>
          <w:tcPr>
            <w:tcW w:w="1417" w:type="dxa"/>
            <w:vAlign w:val="center"/>
          </w:tcPr>
          <w:p>
            <w:pPr>
              <w:numPr>
                <w:ilvl w:val="0"/>
                <w:numId w:val="0"/>
              </w:numPr>
              <w:autoSpaceDE/>
              <w:autoSpaceDN/>
              <w:spacing w:before="0" w:after="160" w:line="360" w:lineRule="auto"/>
              <w:ind w:right="0" w:firstLine="0"/>
              <w:jc w:val="center"/>
              <w:rPr>
                <w:rFonts w:hint="default" w:ascii="Times New Roman" w:hAnsi="宋体" w:eastAsia="宋体"/>
                <w:color w:val="FF0000"/>
                <w:position w:val="0"/>
                <w:sz w:val="32"/>
                <w:szCs w:val="32"/>
              </w:rPr>
            </w:pPr>
            <w:r>
              <w:rPr>
                <w:rFonts w:hint="default" w:ascii="宋体" w:hAnsi="宋体" w:eastAsia="宋体"/>
                <w:color w:val="auto"/>
                <w:position w:val="0"/>
                <w:sz w:val="24"/>
                <w:szCs w:val="24"/>
                <w:highlight w:val="none"/>
              </w:rPr>
              <w:t>项目</w:t>
            </w:r>
            <w:r>
              <w:rPr>
                <w:rFonts w:hint="eastAsia" w:ascii="宋体" w:hAnsi="宋体" w:eastAsia="宋体"/>
                <w:color w:val="auto"/>
                <w:position w:val="0"/>
                <w:sz w:val="24"/>
                <w:szCs w:val="24"/>
                <w:highlight w:val="none"/>
                <w:lang w:val="en-US" w:eastAsia="zh-CN"/>
              </w:rPr>
              <w:t>负责人</w:t>
            </w:r>
            <w:r>
              <w:rPr>
                <w:rFonts w:hint="default" w:ascii="宋体" w:hAnsi="宋体" w:eastAsia="宋体"/>
                <w:color w:val="auto"/>
                <w:position w:val="0"/>
                <w:sz w:val="24"/>
                <w:szCs w:val="24"/>
                <w:highlight w:val="none"/>
              </w:rPr>
              <w:t>信用</w:t>
            </w:r>
          </w:p>
        </w:tc>
        <w:tc>
          <w:tcPr>
            <w:tcW w:w="5894" w:type="dxa"/>
            <w:vAlign w:val="center"/>
          </w:tcPr>
          <w:p>
            <w:pPr>
              <w:pStyle w:val="2"/>
              <w:numPr>
                <w:ilvl w:val="0"/>
                <w:numId w:val="0"/>
              </w:numPr>
              <w:autoSpaceDE/>
              <w:autoSpaceDN/>
              <w:spacing w:before="0" w:after="120" w:line="240" w:lineRule="auto"/>
              <w:ind w:right="0" w:firstLine="480" w:firstLineChars="200"/>
              <w:jc w:val="both"/>
              <w:rPr>
                <w:rFonts w:hint="default" w:ascii="宋体" w:hAnsi="宋体" w:eastAsia="宋体"/>
                <w:color w:val="auto"/>
                <w:position w:val="0"/>
                <w:sz w:val="24"/>
                <w:szCs w:val="24"/>
                <w:highlight w:val="none"/>
                <w:lang w:val="en-US" w:eastAsia="zh-CN"/>
              </w:rPr>
            </w:pPr>
            <w:r>
              <w:rPr>
                <w:rFonts w:hint="eastAsia" w:ascii="宋体" w:hAnsi="宋体" w:eastAsia="宋体"/>
                <w:color w:val="auto"/>
                <w:position w:val="0"/>
                <w:sz w:val="24"/>
                <w:szCs w:val="24"/>
                <w:highlight w:val="none"/>
                <w:lang w:val="en-US" w:eastAsia="zh-CN"/>
              </w:rPr>
              <w:t>一标段：</w:t>
            </w:r>
            <w:r>
              <w:rPr>
                <w:rFonts w:hint="default" w:ascii="宋体" w:hAnsi="宋体" w:eastAsia="宋体"/>
                <w:color w:val="auto"/>
                <w:position w:val="0"/>
                <w:sz w:val="24"/>
                <w:szCs w:val="24"/>
                <w:highlight w:val="none"/>
              </w:rPr>
              <w:t>201</w:t>
            </w:r>
            <w:r>
              <w:rPr>
                <w:rFonts w:hint="default" w:ascii="宋体" w:hAnsi="宋体" w:eastAsia="宋体"/>
                <w:color w:val="auto"/>
                <w:position w:val="0"/>
                <w:sz w:val="24"/>
                <w:szCs w:val="24"/>
                <w:highlight w:val="none"/>
                <w:lang w:val="en-US" w:eastAsia="zh-CN"/>
              </w:rPr>
              <w:t>7</w:t>
            </w:r>
            <w:r>
              <w:rPr>
                <w:rFonts w:hint="default" w:ascii="宋体" w:hAnsi="宋体" w:eastAsia="宋体"/>
                <w:color w:val="auto"/>
                <w:position w:val="0"/>
                <w:sz w:val="24"/>
                <w:szCs w:val="24"/>
                <w:highlight w:val="none"/>
              </w:rPr>
              <w:t>年</w:t>
            </w:r>
            <w:r>
              <w:rPr>
                <w:rFonts w:hint="default" w:ascii="宋体" w:hAnsi="宋体" w:eastAsia="宋体"/>
                <w:color w:val="auto"/>
                <w:position w:val="0"/>
                <w:sz w:val="24"/>
                <w:szCs w:val="24"/>
                <w:highlight w:val="none"/>
                <w:lang w:val="en-US" w:eastAsia="zh-CN"/>
              </w:rPr>
              <w:t>5</w:t>
            </w:r>
            <w:r>
              <w:rPr>
                <w:rFonts w:hint="default" w:ascii="宋体" w:hAnsi="宋体" w:eastAsia="宋体"/>
                <w:color w:val="auto"/>
                <w:position w:val="0"/>
                <w:sz w:val="24"/>
                <w:szCs w:val="24"/>
                <w:highlight w:val="none"/>
              </w:rPr>
              <w:t>月1日以来获得</w:t>
            </w:r>
            <w:r>
              <w:rPr>
                <w:rFonts w:hint="eastAsia" w:ascii="宋体" w:hAnsi="宋体" w:eastAsia="宋体"/>
                <w:color w:val="auto"/>
                <w:position w:val="0"/>
                <w:sz w:val="24"/>
                <w:szCs w:val="24"/>
                <w:highlight w:val="none"/>
                <w:lang w:val="en-US" w:eastAsia="zh-CN"/>
              </w:rPr>
              <w:t>省</w:t>
            </w:r>
            <w:r>
              <w:rPr>
                <w:rFonts w:hint="default" w:ascii="宋体" w:hAnsi="宋体" w:eastAsia="宋体"/>
                <w:color w:val="auto"/>
                <w:position w:val="0"/>
                <w:sz w:val="24"/>
                <w:szCs w:val="24"/>
                <w:highlight w:val="none"/>
              </w:rPr>
              <w:t>级及以上</w:t>
            </w:r>
            <w:r>
              <w:rPr>
                <w:rFonts w:hint="default" w:ascii="宋体" w:hAnsi="宋体" w:eastAsia="宋体"/>
                <w:color w:val="auto"/>
                <w:position w:val="0"/>
                <w:sz w:val="24"/>
                <w:szCs w:val="24"/>
                <w:highlight w:val="none"/>
                <w:lang w:val="en-US" w:eastAsia="zh-CN"/>
              </w:rPr>
              <w:t>优秀项目经理的得2分</w:t>
            </w:r>
            <w:r>
              <w:rPr>
                <w:rFonts w:hint="default" w:ascii="宋体" w:hAnsi="宋体" w:eastAsia="宋体"/>
                <w:color w:val="auto"/>
                <w:position w:val="0"/>
                <w:sz w:val="24"/>
                <w:szCs w:val="24"/>
                <w:highlight w:val="none"/>
              </w:rPr>
              <w:t>（以获奖证书为准）</w:t>
            </w:r>
            <w:r>
              <w:rPr>
                <w:rFonts w:hint="default" w:ascii="宋体" w:hAnsi="宋体" w:eastAsia="宋体"/>
                <w:color w:val="auto"/>
                <w:position w:val="0"/>
                <w:sz w:val="24"/>
                <w:szCs w:val="24"/>
                <w:highlight w:val="none"/>
                <w:lang w:val="en-US" w:eastAsia="zh-CN"/>
              </w:rPr>
              <w:t>。</w:t>
            </w:r>
          </w:p>
          <w:p>
            <w:pPr>
              <w:pStyle w:val="2"/>
              <w:numPr>
                <w:ilvl w:val="0"/>
                <w:numId w:val="0"/>
              </w:numPr>
              <w:autoSpaceDE/>
              <w:autoSpaceDN/>
              <w:spacing w:before="0" w:after="120" w:line="240" w:lineRule="auto"/>
              <w:ind w:right="0" w:firstLine="480" w:firstLineChars="200"/>
              <w:jc w:val="both"/>
              <w:rPr>
                <w:rFonts w:hint="default" w:ascii="宋体" w:hAnsi="宋体" w:eastAsia="宋体"/>
                <w:color w:val="auto"/>
                <w:position w:val="0"/>
                <w:sz w:val="24"/>
                <w:szCs w:val="24"/>
                <w:highlight w:val="none"/>
                <w:lang w:val="en-US" w:eastAsia="zh-CN"/>
              </w:rPr>
            </w:pPr>
            <w:r>
              <w:rPr>
                <w:rFonts w:hint="eastAsia" w:ascii="宋体" w:hAnsi="宋体" w:eastAsia="宋体"/>
                <w:color w:val="auto"/>
                <w:position w:val="0"/>
                <w:sz w:val="24"/>
                <w:szCs w:val="24"/>
                <w:highlight w:val="none"/>
                <w:lang w:val="en-US" w:eastAsia="zh-CN"/>
              </w:rPr>
              <w:t>二标段：</w:t>
            </w:r>
            <w:r>
              <w:rPr>
                <w:rFonts w:hint="default" w:ascii="宋体" w:hAnsi="宋体" w:eastAsia="宋体"/>
                <w:color w:val="auto"/>
                <w:position w:val="0"/>
                <w:sz w:val="24"/>
                <w:szCs w:val="24"/>
                <w:highlight w:val="none"/>
                <w:lang w:val="en-US" w:eastAsia="zh-CN"/>
              </w:rPr>
              <w:t>具有园林专业职称的得2分（需提供缴纳的社保证明）</w:t>
            </w:r>
          </w:p>
          <w:p>
            <w:pPr>
              <w:pStyle w:val="2"/>
              <w:numPr>
                <w:ilvl w:val="0"/>
                <w:numId w:val="0"/>
              </w:numPr>
              <w:autoSpaceDE/>
              <w:autoSpaceDN/>
              <w:spacing w:before="0" w:after="120" w:line="240" w:lineRule="auto"/>
              <w:ind w:right="0" w:firstLine="0"/>
              <w:jc w:val="both"/>
              <w:rPr>
                <w:rFonts w:hint="default" w:ascii="宋体" w:hAnsi="宋体" w:eastAsia="宋体"/>
                <w:color w:val="FF0000"/>
                <w:position w:val="0"/>
                <w:sz w:val="32"/>
                <w:szCs w:val="32"/>
              </w:rPr>
            </w:pPr>
            <w:r>
              <w:rPr>
                <w:rFonts w:hint="default" w:ascii="宋体" w:hAnsi="宋体" w:eastAsia="宋体"/>
                <w:color w:val="auto"/>
                <w:position w:val="0"/>
                <w:sz w:val="24"/>
                <w:szCs w:val="24"/>
                <w:highlight w:val="none"/>
              </w:rPr>
              <w:t>注：提供相关证件的原件扫描件或图片，时间以颁发时间为准。</w:t>
            </w:r>
          </w:p>
        </w:tc>
        <w:tc>
          <w:tcPr>
            <w:tcW w:w="1513" w:type="dxa"/>
            <w:vAlign w:val="center"/>
          </w:tcPr>
          <w:p>
            <w:pPr>
              <w:numPr>
                <w:ilvl w:val="0"/>
                <w:numId w:val="0"/>
              </w:numPr>
              <w:autoSpaceDE/>
              <w:autoSpaceDN/>
              <w:spacing w:before="0" w:after="160" w:line="360" w:lineRule="auto"/>
              <w:ind w:right="0" w:firstLine="0"/>
              <w:jc w:val="left"/>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0≤得分≤2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730" w:type="dxa"/>
            <w:vAlign w:val="top"/>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7</w:t>
            </w:r>
          </w:p>
        </w:tc>
        <w:tc>
          <w:tcPr>
            <w:tcW w:w="1417" w:type="dxa"/>
            <w:vAlign w:val="center"/>
          </w:tcPr>
          <w:p>
            <w:pPr>
              <w:numPr>
                <w:ilvl w:val="0"/>
                <w:numId w:val="0"/>
              </w:numPr>
              <w:autoSpaceDE/>
              <w:autoSpaceDN/>
              <w:spacing w:before="0" w:after="160" w:line="360" w:lineRule="auto"/>
              <w:ind w:right="0" w:firstLine="0"/>
              <w:jc w:val="center"/>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招标人意见</w:t>
            </w:r>
          </w:p>
        </w:tc>
        <w:tc>
          <w:tcPr>
            <w:tcW w:w="5894" w:type="dxa"/>
            <w:vAlign w:val="center"/>
          </w:tcPr>
          <w:p>
            <w:pPr>
              <w:numPr>
                <w:ilvl w:val="0"/>
                <w:numId w:val="0"/>
              </w:numPr>
              <w:autoSpaceDE/>
              <w:autoSpaceDN/>
              <w:spacing w:before="0" w:after="160" w:line="360" w:lineRule="auto"/>
              <w:ind w:right="0" w:firstLine="0"/>
              <w:jc w:val="both"/>
              <w:rPr>
                <w:rFonts w:hint="default" w:ascii="Times New Roman" w:hAnsi="宋体" w:eastAsia="宋体"/>
                <w:color w:val="auto"/>
                <w:position w:val="0"/>
                <w:sz w:val="32"/>
                <w:szCs w:val="32"/>
              </w:rPr>
            </w:pPr>
            <w:r>
              <w:rPr>
                <w:rFonts w:hint="default" w:ascii="宋体" w:hAnsi="宋体" w:eastAsia="宋体"/>
                <w:color w:val="auto"/>
                <w:position w:val="0"/>
                <w:sz w:val="24"/>
                <w:szCs w:val="24"/>
                <w:highlight w:val="none"/>
              </w:rPr>
              <w:t>由招标人酌情打分。</w:t>
            </w:r>
          </w:p>
        </w:tc>
        <w:tc>
          <w:tcPr>
            <w:tcW w:w="1513" w:type="dxa"/>
            <w:vAlign w:val="center"/>
          </w:tcPr>
          <w:p>
            <w:pPr>
              <w:numPr>
                <w:ilvl w:val="0"/>
                <w:numId w:val="0"/>
              </w:numPr>
              <w:autoSpaceDE/>
              <w:autoSpaceDN/>
              <w:spacing w:before="0" w:after="160" w:line="360" w:lineRule="auto"/>
              <w:ind w:right="0" w:firstLine="0"/>
              <w:jc w:val="left"/>
              <w:rPr>
                <w:rFonts w:hint="default" w:ascii="Times New Roman" w:hAnsi="宋体" w:eastAsia="宋体"/>
                <w:color w:val="auto"/>
                <w:position w:val="0"/>
                <w:sz w:val="32"/>
                <w:szCs w:val="32"/>
              </w:rPr>
            </w:pPr>
            <w:r>
              <w:rPr>
                <w:rFonts w:hint="default" w:ascii="Times New Roman" w:hAnsi="Times New Roman" w:eastAsia="Times New Roman"/>
                <w:color w:val="auto"/>
                <w:position w:val="0"/>
                <w:sz w:val="21"/>
                <w:szCs w:val="21"/>
              </w:rPr>
              <w:t>0≤得分≤</w:t>
            </w:r>
            <w:r>
              <w:rPr>
                <w:rFonts w:hint="eastAsia" w:eastAsia="宋体"/>
                <w:color w:val="auto"/>
                <w:position w:val="0"/>
                <w:sz w:val="21"/>
                <w:szCs w:val="21"/>
                <w:lang w:val="en-US" w:eastAsia="zh-CN"/>
              </w:rPr>
              <w:t>2</w:t>
            </w:r>
            <w:r>
              <w:rPr>
                <w:rFonts w:hint="default" w:ascii="Times New Roman" w:hAnsi="Times New Roman" w:eastAsia="Times New Roman"/>
                <w:color w:val="auto"/>
                <w:position w:val="0"/>
                <w:sz w:val="21"/>
                <w:szCs w:val="21"/>
              </w:rPr>
              <w:t>分</w:t>
            </w:r>
          </w:p>
        </w:tc>
      </w:tr>
    </w:tbl>
    <w:p>
      <w:pPr>
        <w:numPr>
          <w:ilvl w:val="0"/>
          <w:numId w:val="0"/>
        </w:numPr>
        <w:autoSpaceDE/>
        <w:autoSpaceDN/>
        <w:snapToGrid w:val="0"/>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b/>
          <w:color w:val="auto"/>
          <w:position w:val="0"/>
          <w:sz w:val="24"/>
          <w:szCs w:val="24"/>
          <w:highlight w:val="none"/>
        </w:rPr>
        <w:t>（一）投标人综合得分</w:t>
      </w:r>
    </w:p>
    <w:p>
      <w:pPr>
        <w:numPr>
          <w:ilvl w:val="0"/>
          <w:numId w:val="0"/>
        </w:numPr>
        <w:autoSpaceDE/>
        <w:autoSpaceDN/>
        <w:snapToGrid w:val="0"/>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投标人综合得分＝技术标得分＋商务标得分＋综合标得分</w:t>
      </w:r>
    </w:p>
    <w:p>
      <w:pPr>
        <w:numPr>
          <w:ilvl w:val="0"/>
          <w:numId w:val="0"/>
        </w:numPr>
        <w:autoSpaceDE/>
        <w:autoSpaceDN/>
        <w:snapToGrid w:val="0"/>
        <w:spacing w:before="0" w:after="160" w:line="40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b/>
          <w:color w:val="auto"/>
          <w:position w:val="0"/>
          <w:sz w:val="24"/>
          <w:szCs w:val="24"/>
          <w:highlight w:val="none"/>
        </w:rPr>
        <w:t>（二）投标人的最终得分及中标候选人排序</w:t>
      </w:r>
      <w:r>
        <w:rPr>
          <w:rFonts w:hint="default" w:ascii="Times New Roman" w:hAnsi="宋体" w:eastAsia="宋体"/>
          <w:color w:val="auto"/>
          <w:position w:val="0"/>
          <w:sz w:val="24"/>
          <w:szCs w:val="24"/>
          <w:highlight w:val="none"/>
        </w:rPr>
        <w:t xml:space="preserve"> </w:t>
      </w:r>
    </w:p>
    <w:p>
      <w:pPr>
        <w:numPr>
          <w:ilvl w:val="0"/>
          <w:numId w:val="0"/>
        </w:numPr>
        <w:autoSpaceDE/>
        <w:autoSpaceDN/>
        <w:snapToGrid w:val="0"/>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评标委员会按照投标人的最终得分，由高到低排序，向招标人推荐1-3名中标候选人。当得分相等时，依次以商务标、综合标、技术标得分高低进行排序；若三项得分均相等时，可以通过公开随机抽取方式确定中标候选人的排序。 </w:t>
      </w:r>
    </w:p>
    <w:p>
      <w:pPr>
        <w:numPr>
          <w:ilvl w:val="0"/>
          <w:numId w:val="0"/>
        </w:numPr>
        <w:autoSpaceDE/>
        <w:autoSpaceDN/>
        <w:snapToGrid w:val="0"/>
        <w:spacing w:before="0" w:after="160" w:line="40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numPr>
          <w:ilvl w:val="0"/>
          <w:numId w:val="0"/>
        </w:numPr>
        <w:autoSpaceDE/>
        <w:autoSpaceDN/>
        <w:snapToGrid w:val="0"/>
        <w:spacing w:before="0" w:after="160" w:line="40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八、定标</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新宋体" w:hAnsi="新宋体" w:eastAsia="新宋体"/>
          <w:color w:val="auto"/>
          <w:position w:val="0"/>
          <w:sz w:val="24"/>
          <w:szCs w:val="24"/>
          <w:highlight w:val="none"/>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default" w:ascii="Times New Roman" w:hAnsi="宋体" w:eastAsia="宋体"/>
          <w:color w:val="auto"/>
          <w:position w:val="0"/>
          <w:sz w:val="24"/>
          <w:szCs w:val="24"/>
          <w:highlight w:val="none"/>
        </w:rPr>
        <w:t>。</w:t>
      </w:r>
    </w:p>
    <w:p>
      <w:pPr>
        <w:pStyle w:val="48"/>
        <w:numPr>
          <w:ilvl w:val="0"/>
          <w:numId w:val="0"/>
        </w:numPr>
        <w:autoSpaceDE/>
        <w:autoSpaceDN/>
        <w:snapToGrid w:val="0"/>
        <w:spacing w:before="0" w:after="0" w:line="440" w:lineRule="exact"/>
        <w:ind w:right="0" w:firstLine="480"/>
        <w:jc w:val="both"/>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九、评标报告</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评标委员会根据投标人须知前附表7.1条的规定向招标人提交评标报告。评标报告应当由全体评标委员会成员签字，并于评标结束时抄送有关行政监督部门。</w:t>
      </w:r>
    </w:p>
    <w:p>
      <w:pPr>
        <w:pStyle w:val="48"/>
        <w:numPr>
          <w:ilvl w:val="0"/>
          <w:numId w:val="0"/>
        </w:numPr>
        <w:autoSpaceDE/>
        <w:autoSpaceDN/>
        <w:snapToGrid w:val="0"/>
        <w:spacing w:before="0" w:after="0" w:line="440" w:lineRule="exact"/>
        <w:ind w:right="0" w:firstLine="480"/>
        <w:jc w:val="both"/>
        <w:rPr>
          <w:rFonts w:hint="default" w:ascii="宋体" w:hAnsi="宋体" w:eastAsia="宋体"/>
          <w:b/>
          <w:color w:val="auto"/>
          <w:position w:val="0"/>
          <w:sz w:val="24"/>
          <w:szCs w:val="24"/>
          <w:highlight w:val="none"/>
        </w:rPr>
      </w:pPr>
      <w:r>
        <w:rPr>
          <w:rFonts w:hint="default" w:ascii="宋体" w:hAnsi="宋体" w:eastAsia="宋体"/>
          <w:b/>
          <w:color w:val="auto"/>
          <w:position w:val="0"/>
          <w:sz w:val="24"/>
          <w:szCs w:val="24"/>
          <w:highlight w:val="none"/>
        </w:rPr>
        <w:t>十、公示</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numPr>
          <w:ilvl w:val="0"/>
          <w:numId w:val="0"/>
        </w:numPr>
        <w:autoSpaceDE/>
        <w:autoSpaceDN/>
        <w:snapToGrid w:val="0"/>
        <w:spacing w:before="0" w:after="160" w:line="44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十一、特殊情况的处置程序</w:t>
      </w:r>
    </w:p>
    <w:p>
      <w:pPr>
        <w:numPr>
          <w:ilvl w:val="0"/>
          <w:numId w:val="0"/>
        </w:numPr>
        <w:autoSpaceDE/>
        <w:autoSpaceDN/>
        <w:snapToGrid w:val="0"/>
        <w:spacing w:before="0" w:after="160" w:line="44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11.1关于澄清、说明或补正</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numPr>
          <w:ilvl w:val="0"/>
          <w:numId w:val="0"/>
        </w:numPr>
        <w:autoSpaceDE/>
        <w:autoSpaceDN/>
        <w:snapToGrid w:val="0"/>
        <w:spacing w:before="0" w:after="160" w:line="44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11.2关于评标活动暂停</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11.2.1评标委员会应当执行连续评标的原则，按评标办法中规定的程序、内容、方法、标准完成全部评标工作。只有发生不可抗力导致评标工作无法继续时，评标活动方可暂停。</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11.2.2发生评标暂停情况时，评标委员会应当封存全部投标文件和评标记录，待不可抗力的影响结束且具备继续评标的条件时，由原评标委员会继续评标。</w:t>
      </w:r>
    </w:p>
    <w:p>
      <w:pPr>
        <w:numPr>
          <w:ilvl w:val="0"/>
          <w:numId w:val="0"/>
        </w:numPr>
        <w:autoSpaceDE/>
        <w:autoSpaceDN/>
        <w:snapToGrid w:val="0"/>
        <w:spacing w:before="0" w:after="160" w:line="44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11.3关于评标中途更换评标委员会成员</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11.3.1除非发生下列情况之一，评标委员会成员不得在评标中途更换：</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（1）因不可抗拒的客观原因，不能到场或需在评标中途退出评标活动。</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（2）根据法律法规规定，某个或某几个评标委员会成员需要回避。</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11.3.2退出评标的评标委员会成员，其已完成的评标行为无效。由招标人根据本招标文件规定的评标委员会成员产生方式另行确定替代者进行评标。</w:t>
      </w:r>
    </w:p>
    <w:p>
      <w:pPr>
        <w:numPr>
          <w:ilvl w:val="0"/>
          <w:numId w:val="0"/>
        </w:numPr>
        <w:autoSpaceDE/>
        <w:autoSpaceDN/>
        <w:snapToGrid w:val="0"/>
        <w:spacing w:before="0" w:after="160" w:line="44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11.4记名投票</w:t>
      </w:r>
    </w:p>
    <w:p>
      <w:pPr>
        <w:numPr>
          <w:ilvl w:val="0"/>
          <w:numId w:val="0"/>
        </w:numPr>
        <w:autoSpaceDE/>
        <w:autoSpaceDN/>
        <w:snapToGrid w:val="0"/>
        <w:spacing w:before="0" w:after="160" w:line="44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在任何评标环节中，需评标委员会就某项定性的评审结论做出表决的，由评标委员会全体成员按照少数服从多数的原则，以记名投票方式表决。</w:t>
      </w:r>
    </w:p>
    <w:p>
      <w:pPr>
        <w:numPr>
          <w:ilvl w:val="0"/>
          <w:numId w:val="0"/>
        </w:numPr>
        <w:autoSpaceDE/>
        <w:autoSpaceDN/>
        <w:snapToGrid w:val="0"/>
        <w:spacing w:before="0" w:after="160" w:line="440" w:lineRule="exact"/>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11.5评标委员会对评标结果有异议的</w:t>
      </w:r>
    </w:p>
    <w:p>
      <w:pPr>
        <w:numPr>
          <w:ilvl w:val="0"/>
          <w:numId w:val="0"/>
        </w:numPr>
        <w:autoSpaceDE/>
        <w:autoSpaceDN/>
        <w:snapToGrid w:val="0"/>
        <w:spacing w:before="0" w:after="160" w:line="440" w:lineRule="exact"/>
        <w:ind w:right="0" w:firstLine="468"/>
        <w:jc w:val="both"/>
        <w:rPr>
          <w:rFonts w:hint="default" w:ascii="Times New Roman" w:hAnsi="宋体" w:eastAsia="宋体"/>
          <w:color w:val="auto"/>
          <w:spacing w:val="-3"/>
          <w:position w:val="0"/>
          <w:sz w:val="24"/>
          <w:szCs w:val="24"/>
          <w:highlight w:val="none"/>
        </w:rPr>
      </w:pPr>
      <w:r>
        <w:rPr>
          <w:rFonts w:hint="default" w:ascii="Times New Roman" w:hAnsi="宋体" w:eastAsia="宋体"/>
          <w:color w:val="auto"/>
          <w:spacing w:val="-3"/>
          <w:position w:val="0"/>
          <w:sz w:val="24"/>
          <w:szCs w:val="24"/>
          <w:highlight w:val="none"/>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6"/>
        <w:numPr>
          <w:ilvl w:val="0"/>
          <w:numId w:val="0"/>
        </w:numPr>
        <w:autoSpaceDE/>
        <w:autoSpaceDN/>
        <w:snapToGrid w:val="0"/>
        <w:spacing w:before="0" w:after="160" w:line="360" w:lineRule="auto"/>
        <w:ind w:right="0" w:firstLine="0"/>
        <w:jc w:val="center"/>
        <w:outlineLvl w:val="0"/>
        <w:rPr>
          <w:rFonts w:hint="default" w:ascii="宋体" w:hAnsi="黑体" w:eastAsia="黑体"/>
          <w:b w:val="0"/>
          <w:color w:val="auto"/>
          <w:position w:val="0"/>
          <w:sz w:val="36"/>
          <w:szCs w:val="36"/>
          <w:highlight w:val="none"/>
        </w:rPr>
      </w:pPr>
      <w:r>
        <w:br w:type="page"/>
      </w:r>
      <w:bookmarkStart w:id="88" w:name="_Toc9153"/>
      <w:bookmarkStart w:id="89" w:name="_Toc11681"/>
      <w:r>
        <w:rPr>
          <w:rFonts w:hint="default" w:ascii="宋体" w:hAnsi="宋体" w:eastAsia="宋体"/>
          <w:b/>
          <w:color w:val="auto"/>
          <w:position w:val="0"/>
          <w:sz w:val="44"/>
          <w:szCs w:val="44"/>
          <w:highlight w:val="none"/>
        </w:rPr>
        <w:t>第四章 合同条款及格式</w:t>
      </w:r>
      <w:bookmarkEnd w:id="9"/>
      <w:bookmarkEnd w:id="88"/>
      <w:bookmarkEnd w:id="89"/>
    </w:p>
    <w:p>
      <w:pPr>
        <w:numPr>
          <w:ilvl w:val="0"/>
          <w:numId w:val="0"/>
        </w:numPr>
        <w:autoSpaceDE/>
        <w:autoSpaceDN/>
        <w:spacing w:before="0" w:after="160" w:line="240" w:lineRule="auto"/>
        <w:ind w:right="0" w:firstLine="880"/>
        <w:jc w:val="center"/>
        <w:rPr>
          <w:rFonts w:hint="default" w:ascii="黑体" w:hAnsi="黑体" w:eastAsia="黑体"/>
          <w:color w:val="auto"/>
          <w:position w:val="0"/>
          <w:sz w:val="44"/>
          <w:szCs w:val="44"/>
          <w:highlight w:val="none"/>
        </w:rPr>
      </w:pPr>
      <w:bookmarkStart w:id="90" w:name="_Toc278443518"/>
      <w:r>
        <w:rPr>
          <w:rFonts w:hint="default" w:ascii="黑体" w:hAnsi="黑体" w:eastAsia="黑体"/>
          <w:color w:val="auto"/>
          <w:position w:val="0"/>
          <w:sz w:val="44"/>
          <w:szCs w:val="44"/>
          <w:highlight w:val="none"/>
        </w:rPr>
        <w:t>（GF—2017—0201）</w:t>
      </w:r>
    </w:p>
    <w:p>
      <w:pPr>
        <w:numPr>
          <w:ilvl w:val="0"/>
          <w:numId w:val="0"/>
        </w:numPr>
        <w:tabs>
          <w:tab w:val="left" w:pos="5000"/>
        </w:tabs>
        <w:autoSpaceDE/>
        <w:autoSpaceDN/>
        <w:spacing w:before="0" w:after="160" w:line="360" w:lineRule="auto"/>
        <w:ind w:right="0" w:firstLine="640"/>
        <w:jc w:val="both"/>
        <w:rPr>
          <w:rFonts w:hint="default" w:ascii="Times New Roman" w:hAnsi="宋体" w:eastAsia="宋体"/>
          <w:b/>
          <w:color w:val="auto"/>
          <w:position w:val="0"/>
          <w:sz w:val="32"/>
          <w:szCs w:val="32"/>
          <w:highlight w:val="none"/>
        </w:rPr>
      </w:pPr>
      <w:bookmarkStart w:id="91" w:name="_Toc278443514"/>
      <w:r>
        <w:rPr>
          <w:rFonts w:hint="default" w:ascii="Times New Roman" w:hAnsi="宋体" w:eastAsia="宋体"/>
          <w:b/>
          <w:color w:val="auto"/>
          <w:position w:val="0"/>
          <w:sz w:val="32"/>
          <w:szCs w:val="32"/>
          <w:highlight w:val="none"/>
        </w:rPr>
        <w:t>采用由中华人民共和国住房和城乡建设部与国家工商行政管理局联合制定的《建设工程施工合同》(GF2017-0201)签订合</w:t>
      </w:r>
      <w:bookmarkEnd w:id="91"/>
      <w:r>
        <w:rPr>
          <w:rFonts w:hint="default" w:ascii="Times New Roman" w:hAnsi="宋体" w:eastAsia="宋体"/>
          <w:b/>
          <w:color w:val="auto"/>
          <w:position w:val="0"/>
          <w:sz w:val="32"/>
          <w:szCs w:val="32"/>
          <w:highlight w:val="none"/>
        </w:rPr>
        <w:t>同。</w:t>
      </w: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480" w:lineRule="auto"/>
        <w:ind w:right="0" w:firstLine="0"/>
        <w:jc w:val="center"/>
        <w:rPr>
          <w:rFonts w:hint="default" w:ascii="黑体" w:hAnsi="黑体" w:eastAsia="黑体"/>
          <w:b/>
          <w:color w:val="auto"/>
          <w:position w:val="0"/>
          <w:sz w:val="28"/>
          <w:szCs w:val="28"/>
          <w:highlight w:val="none"/>
        </w:rPr>
      </w:pPr>
    </w:p>
    <w:p>
      <w:pPr>
        <w:numPr>
          <w:ilvl w:val="0"/>
          <w:numId w:val="0"/>
        </w:numPr>
        <w:autoSpaceDE/>
        <w:autoSpaceDN/>
        <w:spacing w:before="0" w:after="160" w:line="240" w:lineRule="auto"/>
        <w:ind w:right="0" w:firstLine="0"/>
        <w:jc w:val="both"/>
        <w:rPr>
          <w:rFonts w:hint="default" w:ascii="Times New Roman" w:hAnsi="黑体" w:eastAsia="黑体"/>
          <w:b/>
          <w:color w:val="auto"/>
          <w:position w:val="0"/>
          <w:sz w:val="36"/>
          <w:szCs w:val="36"/>
          <w:highlight w:val="none"/>
        </w:rPr>
      </w:pPr>
    </w:p>
    <w:p>
      <w:pPr>
        <w:numPr>
          <w:ilvl w:val="0"/>
          <w:numId w:val="0"/>
        </w:numPr>
        <w:autoSpaceDE/>
        <w:autoSpaceDN/>
        <w:spacing w:before="0" w:after="160" w:line="240" w:lineRule="auto"/>
        <w:ind w:right="0" w:firstLine="0"/>
        <w:jc w:val="both"/>
        <w:rPr>
          <w:rFonts w:hint="default" w:ascii="Times New Roman" w:hAnsi="黑体" w:eastAsia="黑体"/>
          <w:b/>
          <w:color w:val="auto"/>
          <w:position w:val="0"/>
          <w:sz w:val="36"/>
          <w:szCs w:val="36"/>
          <w:highlight w:val="none"/>
        </w:rPr>
      </w:pPr>
    </w:p>
    <w:p>
      <w:pPr>
        <w:numPr>
          <w:ilvl w:val="0"/>
          <w:numId w:val="0"/>
        </w:numPr>
        <w:autoSpaceDE/>
        <w:autoSpaceDN/>
        <w:spacing w:before="0" w:after="160" w:line="240" w:lineRule="auto"/>
        <w:ind w:right="0" w:firstLine="0"/>
        <w:jc w:val="both"/>
        <w:rPr>
          <w:rFonts w:hint="default" w:ascii="Times New Roman" w:hAnsi="黑体" w:eastAsia="黑体"/>
          <w:b/>
          <w:color w:val="auto"/>
          <w:position w:val="0"/>
          <w:sz w:val="36"/>
          <w:szCs w:val="36"/>
          <w:highlight w:val="none"/>
        </w:rPr>
      </w:pPr>
    </w:p>
    <w:p>
      <w:pPr>
        <w:numPr>
          <w:ilvl w:val="0"/>
          <w:numId w:val="0"/>
        </w:numPr>
        <w:autoSpaceDE/>
        <w:autoSpaceDN/>
        <w:spacing w:before="0" w:after="160" w:line="240" w:lineRule="auto"/>
        <w:ind w:right="0" w:firstLine="0"/>
        <w:jc w:val="both"/>
        <w:rPr>
          <w:rFonts w:hint="default" w:ascii="Times New Roman" w:hAnsi="黑体" w:eastAsia="黑体"/>
          <w:b/>
          <w:color w:val="auto"/>
          <w:position w:val="0"/>
          <w:sz w:val="36"/>
          <w:szCs w:val="36"/>
          <w:highlight w:val="none"/>
        </w:rPr>
      </w:pPr>
    </w:p>
    <w:p>
      <w:pPr>
        <w:pStyle w:val="6"/>
        <w:numPr>
          <w:ilvl w:val="0"/>
          <w:numId w:val="0"/>
        </w:numPr>
        <w:autoSpaceDE/>
        <w:autoSpaceDN/>
        <w:snapToGrid w:val="0"/>
        <w:spacing w:before="0" w:after="160" w:line="360" w:lineRule="auto"/>
        <w:ind w:right="0" w:firstLine="0"/>
        <w:jc w:val="center"/>
        <w:outlineLvl w:val="0"/>
        <w:rPr>
          <w:rFonts w:hint="default" w:ascii="宋体" w:hAnsi="黑体" w:eastAsia="黑体"/>
          <w:b w:val="0"/>
          <w:color w:val="auto"/>
          <w:position w:val="0"/>
          <w:sz w:val="36"/>
          <w:szCs w:val="36"/>
          <w:highlight w:val="none"/>
        </w:rPr>
      </w:pPr>
      <w:bookmarkStart w:id="92" w:name="_Toc15573"/>
      <w:r>
        <w:rPr>
          <w:rFonts w:hint="default" w:ascii="宋体" w:hAnsi="宋体" w:eastAsia="宋体"/>
          <w:b/>
          <w:color w:val="auto"/>
          <w:position w:val="0"/>
          <w:sz w:val="44"/>
          <w:szCs w:val="44"/>
          <w:highlight w:val="none"/>
        </w:rPr>
        <w:t>第五章 工程量清单</w:t>
      </w:r>
      <w:bookmarkEnd w:id="92"/>
    </w:p>
    <w:p>
      <w:pPr>
        <w:numPr>
          <w:ilvl w:val="0"/>
          <w:numId w:val="0"/>
        </w:numPr>
        <w:autoSpaceDE/>
        <w:autoSpaceDN/>
        <w:spacing w:before="0" w:after="160" w:line="360" w:lineRule="auto"/>
        <w:ind w:right="0" w:firstLine="480"/>
        <w:jc w:val="both"/>
        <w:rPr>
          <w:rFonts w:hint="default" w:ascii="新宋体" w:hAnsi="新宋体" w:eastAsia="新宋体"/>
          <w:b/>
          <w:color w:val="auto"/>
          <w:position w:val="0"/>
          <w:sz w:val="24"/>
          <w:szCs w:val="24"/>
          <w:highlight w:val="none"/>
        </w:rPr>
      </w:pPr>
      <w:r>
        <w:rPr>
          <w:rFonts w:hint="default" w:ascii="新宋体" w:hAnsi="新宋体" w:eastAsia="新宋体"/>
          <w:b/>
          <w:color w:val="auto"/>
          <w:position w:val="0"/>
          <w:sz w:val="24"/>
          <w:szCs w:val="24"/>
          <w:highlight w:val="none"/>
        </w:rPr>
        <w:t>1、工程量清单说明</w:t>
      </w:r>
    </w:p>
    <w:p>
      <w:pPr>
        <w:numPr>
          <w:ilvl w:val="0"/>
          <w:numId w:val="0"/>
        </w:numPr>
        <w:autoSpaceDE/>
        <w:autoSpaceDN/>
        <w:spacing w:before="0" w:after="160" w:line="360" w:lineRule="auto"/>
        <w:ind w:left="1" w:right="0" w:firstLine="480"/>
        <w:jc w:val="both"/>
        <w:rPr>
          <w:rFonts w:hint="default" w:ascii="新宋体" w:hAnsi="新宋体" w:eastAsia="新宋体"/>
          <w:color w:val="auto"/>
          <w:position w:val="0"/>
          <w:sz w:val="24"/>
          <w:szCs w:val="24"/>
          <w:highlight w:val="none"/>
        </w:rPr>
      </w:pPr>
      <w:r>
        <w:rPr>
          <w:rFonts w:hint="default" w:ascii="新宋体" w:hAnsi="新宋体" w:eastAsia="新宋体"/>
          <w:color w:val="auto"/>
          <w:position w:val="0"/>
          <w:sz w:val="24"/>
          <w:szCs w:val="24"/>
          <w:highlight w:val="none"/>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numPr>
          <w:ilvl w:val="0"/>
          <w:numId w:val="0"/>
        </w:numPr>
        <w:autoSpaceDE/>
        <w:autoSpaceDN/>
        <w:spacing w:before="0" w:after="160" w:line="360" w:lineRule="auto"/>
        <w:ind w:left="1" w:right="0" w:firstLine="480"/>
        <w:jc w:val="both"/>
        <w:rPr>
          <w:rFonts w:hint="default" w:ascii="新宋体" w:hAnsi="新宋体" w:eastAsia="新宋体"/>
          <w:color w:val="auto"/>
          <w:position w:val="0"/>
          <w:sz w:val="24"/>
          <w:szCs w:val="24"/>
          <w:highlight w:val="none"/>
        </w:rPr>
      </w:pPr>
      <w:r>
        <w:rPr>
          <w:rFonts w:hint="default" w:ascii="新宋体" w:hAnsi="新宋体" w:eastAsia="新宋体"/>
          <w:color w:val="auto"/>
          <w:position w:val="0"/>
          <w:sz w:val="24"/>
          <w:szCs w:val="24"/>
          <w:highlight w:val="none"/>
        </w:rPr>
        <w:t>1.2 本工程量清单应与招标文件中的投标人须知、通用合同条款、专用合同条款、技术标准和要求及图纸等章节内容一起阅读和理解。</w:t>
      </w:r>
    </w:p>
    <w:p>
      <w:pPr>
        <w:numPr>
          <w:ilvl w:val="0"/>
          <w:numId w:val="0"/>
        </w:numPr>
        <w:autoSpaceDE/>
        <w:autoSpaceDN/>
        <w:spacing w:before="0" w:after="160" w:line="360" w:lineRule="auto"/>
        <w:ind w:left="1" w:right="0" w:firstLine="480"/>
        <w:jc w:val="both"/>
        <w:rPr>
          <w:rFonts w:hint="default" w:ascii="新宋体" w:hAnsi="新宋体" w:eastAsia="新宋体"/>
          <w:color w:val="auto"/>
          <w:position w:val="0"/>
          <w:sz w:val="24"/>
          <w:szCs w:val="24"/>
          <w:highlight w:val="none"/>
        </w:rPr>
      </w:pPr>
      <w:r>
        <w:rPr>
          <w:rFonts w:hint="default" w:ascii="新宋体" w:hAnsi="新宋体" w:eastAsia="新宋体"/>
          <w:color w:val="auto"/>
          <w:position w:val="0"/>
          <w:sz w:val="24"/>
          <w:szCs w:val="24"/>
          <w:highlight w:val="none"/>
        </w:rPr>
        <w:t>1.3 本工程量清单仅是投标报价的共同基础，竣工结算的工程量按合同约定确定。合同价格的确定以及价款支付应遵循合同条款(包括通用合同条款和专用合同条款)、技术标准和要求以及本章的有关约定。</w:t>
      </w:r>
    </w:p>
    <w:p>
      <w:pPr>
        <w:numPr>
          <w:ilvl w:val="0"/>
          <w:numId w:val="0"/>
        </w:numPr>
        <w:autoSpaceDE/>
        <w:autoSpaceDN/>
        <w:spacing w:before="0" w:after="160" w:line="360" w:lineRule="auto"/>
        <w:ind w:left="1" w:right="0" w:firstLine="480"/>
        <w:jc w:val="both"/>
        <w:rPr>
          <w:rFonts w:hint="default" w:ascii="新宋体" w:hAnsi="新宋体" w:eastAsia="新宋体"/>
          <w:color w:val="auto"/>
          <w:position w:val="0"/>
          <w:sz w:val="24"/>
          <w:szCs w:val="24"/>
          <w:highlight w:val="none"/>
          <w:u w:val="single"/>
        </w:rPr>
      </w:pPr>
      <w:r>
        <w:rPr>
          <w:rFonts w:hint="default" w:ascii="新宋体" w:hAnsi="新宋体" w:eastAsia="新宋体"/>
          <w:color w:val="auto"/>
          <w:position w:val="0"/>
          <w:sz w:val="24"/>
          <w:szCs w:val="24"/>
          <w:highlight w:val="none"/>
        </w:rPr>
        <w:t>1.4补充子目的子目特征、计量单位、工程量计算规则及工作内容说明如下：</w:t>
      </w:r>
      <w:r>
        <w:rPr>
          <w:rFonts w:hint="default" w:ascii="新宋体" w:hAnsi="新宋体" w:eastAsia="新宋体"/>
          <w:color w:val="auto"/>
          <w:position w:val="0"/>
          <w:sz w:val="24"/>
          <w:szCs w:val="24"/>
          <w:highlight w:val="none"/>
          <w:u w:val="single"/>
        </w:rPr>
        <w:t>本工程使用《建设工程工程量清单计价规范》GB50500-2013、《河南省房屋建筑与装饰工程预算定额（2016）》、《河南省安装通用预算定额（2016）》（A建筑工程）以及相关造价文件及其配套的计价方法、调整文件及综合解释等；</w:t>
      </w:r>
    </w:p>
    <w:p>
      <w:pPr>
        <w:numPr>
          <w:ilvl w:val="0"/>
          <w:numId w:val="0"/>
        </w:numPr>
        <w:autoSpaceDE/>
        <w:autoSpaceDN/>
        <w:spacing w:before="0" w:after="160" w:line="360" w:lineRule="auto"/>
        <w:ind w:left="1" w:right="0" w:firstLine="480"/>
        <w:jc w:val="both"/>
        <w:rPr>
          <w:rFonts w:hint="default" w:ascii="新宋体" w:hAnsi="新宋体" w:eastAsia="新宋体"/>
          <w:color w:val="auto"/>
          <w:position w:val="0"/>
          <w:sz w:val="24"/>
          <w:szCs w:val="24"/>
          <w:highlight w:val="none"/>
        </w:rPr>
      </w:pPr>
      <w:r>
        <w:rPr>
          <w:rFonts w:hint="default" w:ascii="新宋体" w:hAnsi="新宋体" w:eastAsia="新宋体"/>
          <w:color w:val="auto"/>
          <w:position w:val="0"/>
          <w:sz w:val="24"/>
          <w:szCs w:val="24"/>
          <w:highlight w:val="none"/>
        </w:rPr>
        <w:t>1.5 本条第1.1款中约定的计量和计价规则适用于合同履约过程中工程量计量与价款支付、工程变更、索赔和工程结算。</w:t>
      </w:r>
    </w:p>
    <w:p>
      <w:pPr>
        <w:numPr>
          <w:ilvl w:val="0"/>
          <w:numId w:val="0"/>
        </w:numPr>
        <w:autoSpaceDE/>
        <w:autoSpaceDN/>
        <w:spacing w:before="0" w:after="160" w:line="360" w:lineRule="auto"/>
        <w:ind w:left="1" w:right="0" w:firstLine="480"/>
        <w:jc w:val="both"/>
        <w:rPr>
          <w:rFonts w:hint="default" w:ascii="新宋体" w:hAnsi="新宋体" w:eastAsia="新宋体"/>
          <w:color w:val="auto"/>
          <w:position w:val="0"/>
          <w:sz w:val="24"/>
          <w:szCs w:val="24"/>
          <w:highlight w:val="none"/>
        </w:rPr>
      </w:pPr>
      <w:r>
        <w:rPr>
          <w:rFonts w:hint="default" w:ascii="新宋体" w:hAnsi="新宋体" w:eastAsia="新宋体"/>
          <w:color w:val="auto"/>
          <w:position w:val="0"/>
          <w:sz w:val="24"/>
          <w:szCs w:val="24"/>
          <w:highlight w:val="none"/>
        </w:rPr>
        <w:t>1.6 本条与下述第2条和第3条的说明内容是构成合同文件的已标价工程量清单的组成部分。</w:t>
      </w:r>
    </w:p>
    <w:p>
      <w:pPr>
        <w:numPr>
          <w:ilvl w:val="0"/>
          <w:numId w:val="0"/>
        </w:numPr>
        <w:autoSpaceDE/>
        <w:autoSpaceDN/>
        <w:spacing w:before="0" w:after="160" w:line="360" w:lineRule="auto"/>
        <w:ind w:right="0" w:firstLine="480"/>
        <w:jc w:val="both"/>
        <w:rPr>
          <w:rFonts w:hint="default" w:ascii="新宋体" w:hAnsi="新宋体" w:eastAsia="新宋体"/>
          <w:b/>
          <w:color w:val="auto"/>
          <w:position w:val="0"/>
          <w:sz w:val="24"/>
          <w:szCs w:val="24"/>
          <w:highlight w:val="none"/>
        </w:rPr>
      </w:pPr>
      <w:r>
        <w:rPr>
          <w:rFonts w:hint="default" w:ascii="新宋体" w:hAnsi="新宋体" w:eastAsia="新宋体"/>
          <w:b/>
          <w:color w:val="auto"/>
          <w:position w:val="0"/>
          <w:sz w:val="24"/>
          <w:szCs w:val="24"/>
          <w:highlight w:val="none"/>
        </w:rPr>
        <w:t>2、投标报价说明</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2.1 投标报价应根据招标文件中的有关计价要求，并按照下列依据自主报价。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bookmarkStart w:id="93" w:name="_Toc13370"/>
      <w:r>
        <w:rPr>
          <w:rFonts w:hint="eastAsia" w:hAnsi="宋体" w:eastAsia="宋体"/>
          <w:color w:val="auto"/>
          <w:position w:val="0"/>
          <w:sz w:val="24"/>
          <w:szCs w:val="24"/>
          <w:highlight w:val="none"/>
          <w:lang w:eastAsia="zh-CN"/>
        </w:rPr>
        <w:t>（</w:t>
      </w:r>
      <w:r>
        <w:rPr>
          <w:rFonts w:hint="eastAsia" w:hAnsi="宋体" w:eastAsia="宋体"/>
          <w:color w:val="auto"/>
          <w:position w:val="0"/>
          <w:sz w:val="24"/>
          <w:szCs w:val="24"/>
          <w:highlight w:val="none"/>
          <w:lang w:val="en-US" w:eastAsia="zh-CN"/>
        </w:rPr>
        <w:t>1</w:t>
      </w:r>
      <w:r>
        <w:rPr>
          <w:rFonts w:hint="eastAsia" w:hAnsi="宋体" w:eastAsia="宋体"/>
          <w:color w:val="auto"/>
          <w:position w:val="0"/>
          <w:sz w:val="24"/>
          <w:szCs w:val="24"/>
          <w:highlight w:val="none"/>
          <w:lang w:eastAsia="zh-CN"/>
        </w:rPr>
        <w:t>）</w:t>
      </w:r>
      <w:r>
        <w:rPr>
          <w:rFonts w:hint="default" w:ascii="Times New Roman" w:hAnsi="宋体" w:eastAsia="宋体"/>
          <w:color w:val="auto"/>
          <w:position w:val="0"/>
          <w:sz w:val="24"/>
          <w:szCs w:val="24"/>
          <w:highlight w:val="none"/>
        </w:rPr>
        <w:t>、《建设工程工程量清单计价规范》GB 50500-2013、《河南省房屋建筑与装饰工程预算定额》（2016版），《河南省通用安装工程预算定额》（2016版），《河南省市政工程预算定额》（2016版）以及相关造价文件等资料；</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eastAsia" w:hAnsi="宋体" w:eastAsia="宋体"/>
          <w:color w:val="auto"/>
          <w:position w:val="0"/>
          <w:sz w:val="24"/>
          <w:szCs w:val="24"/>
          <w:highlight w:val="none"/>
          <w:lang w:val="en-US" w:eastAsia="zh-CN"/>
        </w:rPr>
        <w:t>2</w:t>
      </w:r>
      <w:r>
        <w:rPr>
          <w:rFonts w:hint="default" w:ascii="Times New Roman" w:hAnsi="宋体" w:eastAsia="宋体"/>
          <w:color w:val="auto"/>
          <w:position w:val="0"/>
          <w:sz w:val="24"/>
          <w:szCs w:val="24"/>
          <w:highlight w:val="none"/>
        </w:rPr>
        <w:t>、税金按9%计取；</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eastAsia" w:hAnsi="宋体" w:eastAsia="宋体"/>
          <w:color w:val="auto"/>
          <w:position w:val="0"/>
          <w:sz w:val="24"/>
          <w:szCs w:val="24"/>
          <w:highlight w:val="none"/>
          <w:lang w:val="en-US" w:eastAsia="zh-CN"/>
        </w:rPr>
        <w:t>3</w:t>
      </w:r>
      <w:r>
        <w:rPr>
          <w:rFonts w:hint="default" w:ascii="Times New Roman" w:hAnsi="宋体" w:eastAsia="宋体"/>
          <w:color w:val="auto"/>
          <w:position w:val="0"/>
          <w:sz w:val="24"/>
          <w:szCs w:val="24"/>
          <w:highlight w:val="none"/>
        </w:rPr>
        <w:t>、人工费按豫建标定【2019】26号文计取；</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eastAsia" w:hAnsi="宋体" w:eastAsia="宋体"/>
          <w:color w:val="auto"/>
          <w:position w:val="0"/>
          <w:sz w:val="24"/>
          <w:szCs w:val="24"/>
          <w:highlight w:val="none"/>
          <w:lang w:val="en-US" w:eastAsia="zh-CN"/>
        </w:rPr>
        <w:t>4</w:t>
      </w:r>
      <w:r>
        <w:rPr>
          <w:rFonts w:hint="default" w:ascii="Times New Roman" w:hAnsi="宋体" w:eastAsia="宋体"/>
          <w:color w:val="auto"/>
          <w:position w:val="0"/>
          <w:sz w:val="24"/>
          <w:szCs w:val="24"/>
          <w:highlight w:val="none"/>
        </w:rPr>
        <w:t>、材料价格依据2019年《许昌市工程造价信息》第五期及2019年10月份主材价格，部分价格依据市场价指导价计取；</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eastAsia" w:hAnsi="宋体" w:eastAsia="宋体"/>
          <w:color w:val="auto"/>
          <w:position w:val="0"/>
          <w:sz w:val="24"/>
          <w:szCs w:val="24"/>
          <w:highlight w:val="none"/>
          <w:lang w:val="en-US" w:eastAsia="zh-CN"/>
        </w:rPr>
        <w:t>5</w:t>
      </w:r>
      <w:r>
        <w:rPr>
          <w:rFonts w:hint="default" w:ascii="Times New Roman" w:hAnsi="宋体" w:eastAsia="宋体"/>
          <w:color w:val="auto"/>
          <w:position w:val="0"/>
          <w:sz w:val="24"/>
          <w:szCs w:val="24"/>
          <w:highlight w:val="none"/>
        </w:rPr>
        <w:t>、 措施费中夜间施工增加费、二次搬运费、冬雨季施工增加费足额计取；</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2.2 工程量清单中的每一子目须填入单价或价格，且只允许有一个报价。</w:t>
      </w:r>
      <w:bookmarkEnd w:id="93"/>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2.3 工程量清单中标价的单价或金额，应包括所需人工费、材料费、施工机械使用费和管理费及利润，以及一定范围内的风险费用。所谓“一定范围内的风险”是指合同约定的风险。</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2.4 已标价工程量清单中投标人没有填入单价或价格的子目，其费用视为已分摊在工程量清单中其他已标价的相关子目的单价或价格之中。</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2.6 分部分项工程项目按下列要求报价：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2.6.1 分部分项工程量清单计价应依据计价规范中关于综合单价的组成内容确定报价。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2.6.4 “分部分项工程量清单与计价表”所列各子目的综合单价组成中，各子目的人工、材料和机械台班消耗量由投标人按照其自身情况做充分的、竞争性考虑。材料消耗量包括损耗量。</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2.7 措施项目按下列要求报价：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2.7.3 “措施项目清单与计价表”中所填写的报价金额，应全面涵盖招标文件约定的投标人中标后施工、竣工、交付本工程并维修其任何缺陷所需要履行的责任和义务的全部费用。</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2.7.4 对于“措施项目清单与计价表”中所填写的报价金额，应按照“措施项目清单报价分析表”对措施项目报价的组成进行详细的列项和分析。</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2.8 其他项目清单费应按下列规定报价：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2.8.1 暂列金额按“暂列金额明细表”中列出的金额报价，此处的暂列金额是招标人在招标文件中统一给定的，并不包括本章第2.8.3项的计日工金额。</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2.8.3 计日工按“计日工表”中列出的子目和估算数量，自主确定综合单价并计算计日工金额。计日工综合单价均不包括规费和税金，其中：</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 劳务单价应当包括工人工资、交通费用、各种补贴、劳动安全保护、社保费用、手提手动和电动工器具、施工场地内已经搭设的脚手架、水电和低值易耗品费用、现场管理费用、企业管理费和利润；</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 材料价格包括材料运到现场的价格以及现场搬运、仓储、二次搬运、损耗、保险、企业管理费和利润；</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2.8.4总承包服务费根据招标文件中列出的内容和要求，按“总承包服务费计价表”所列格式自主报价。</w:t>
      </w:r>
    </w:p>
    <w:p>
      <w:pPr>
        <w:numPr>
          <w:ilvl w:val="0"/>
          <w:numId w:val="0"/>
        </w:numPr>
        <w:autoSpaceDE/>
        <w:autoSpaceDN/>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2.9 规费和税金应按“规费、税金项目清单与计价表”所列项目并根据国家、省级或行业建设主管部门的有关规定列项和计算，不得作为竞争性费用。</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2.10 除招标文件有强制性规定外，投标报价由投标人自主确定，但不得低于其成本。</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2.12 管理费应由投标人在保证不低于其成本的基础上做竞争性考虑；利润由投标人根据自身情况和综合实力做竞争性考虑。</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2.13 投标报价中应考虑招标文件中要求投标人承担的风险范围以及相关的费用。</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2.14 投标总价为投标人在投标文件中提出的各项支付金额的总和，为实施、完成招标工程并修补缺陷以及履行招标文件中约定的风险范围内的所有责任和义务所发生的全部费用。</w:t>
      </w:r>
    </w:p>
    <w:p>
      <w:pPr>
        <w:numPr>
          <w:ilvl w:val="0"/>
          <w:numId w:val="0"/>
        </w:numPr>
        <w:autoSpaceDE/>
        <w:autoSpaceDN/>
        <w:spacing w:before="0" w:after="160" w:line="430" w:lineRule="exact"/>
        <w:ind w:left="1" w:right="0" w:firstLine="480"/>
        <w:jc w:val="both"/>
        <w:rPr>
          <w:rFonts w:hint="default" w:ascii="Times New Roman" w:hAnsi="宋体" w:eastAsia="宋体"/>
          <w:b/>
          <w:color w:val="auto"/>
          <w:position w:val="0"/>
          <w:sz w:val="24"/>
          <w:szCs w:val="24"/>
        </w:rPr>
      </w:pPr>
      <w:r>
        <w:rPr>
          <w:rFonts w:hint="default" w:ascii="Times New Roman" w:hAnsi="宋体" w:eastAsia="宋体"/>
          <w:b/>
          <w:color w:val="auto"/>
          <w:position w:val="0"/>
          <w:sz w:val="24"/>
          <w:szCs w:val="24"/>
        </w:rPr>
        <w:t>2.15 有关投标报价的其他说明：</w:t>
      </w:r>
    </w:p>
    <w:p>
      <w:pPr>
        <w:numPr>
          <w:ilvl w:val="0"/>
          <w:numId w:val="0"/>
        </w:numPr>
        <w:autoSpaceDE/>
        <w:autoSpaceDN/>
        <w:spacing w:before="0" w:after="160" w:line="440" w:lineRule="exact"/>
        <w:ind w:right="0" w:firstLine="481"/>
        <w:jc w:val="both"/>
        <w:rPr>
          <w:rFonts w:hint="default" w:ascii="Times New Roman" w:hAnsi="宋体" w:eastAsia="宋体"/>
          <w:b/>
          <w:color w:val="auto"/>
          <w:position w:val="0"/>
          <w:sz w:val="24"/>
          <w:szCs w:val="24"/>
        </w:rPr>
      </w:pPr>
      <w:r>
        <w:rPr>
          <w:rFonts w:hint="default" w:ascii="Times New Roman" w:hAnsi="宋体" w:eastAsia="宋体"/>
          <w:b/>
          <w:color w:val="auto"/>
          <w:position w:val="0"/>
          <w:sz w:val="24"/>
          <w:szCs w:val="24"/>
        </w:rPr>
        <w:t>“规费和税金”的规定按照住建部《建设工程工程量清单计价规范》（GB50500-2013）及省住建厅有关规定，规费和税金应按规定费（税）率足额计取，即费（税）率不可竞争。规费、安全文明施工措施费、暂列金额与专业暂估价、增值税计入投标总报价，并在投标函、投标函附录中单列，不参与商务标评审。</w:t>
      </w:r>
    </w:p>
    <w:p>
      <w:pPr>
        <w:numPr>
          <w:ilvl w:val="0"/>
          <w:numId w:val="0"/>
        </w:numPr>
        <w:autoSpaceDE/>
        <w:autoSpaceDN/>
        <w:spacing w:before="0" w:after="160" w:line="360" w:lineRule="auto"/>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3、其他说明</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3.1词语和定义</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3.1.1 工程量清单</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是表现本工程分部分项工程项目、措施项目、其他项目、规费项目和税金的名称和相应数量等的明细清单。</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3.1.2 总价子目</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3.1.3 单价子目</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工程量清单中以单价计价，根据有合同约束力的图纸和工程量计算规则进行计量，以实际完成数量乘以相应单价进行结算的子目。</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3.1.4 子目编码</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分部分项工程项目清单中所列的子目名称的数字标识和代码，子目编码与项目编码同义。</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3.1.5 子目特征</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构成分部分项工程项目清单子目、措施项目的实质内容、决定其自身价值的本质特征，子目特征与项目特征同义。</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3.1.6 规费</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承包人根据省级政府或省级有关权力部门规定必须缴纳的，应计入建筑安装工程造价的费用。</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3.1.7 税金</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国家税法规定的应计入建筑安装工程造价内的增值税、城市维护建设税及教育费附加等。</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3.1.8 总承包服务费</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总承包人为配合协调发包人发包的专业工程以及发包人采购的材料和工程设备等进行管理、服务以及施工现场管理、竣工资料汇总整理等所需的费用。</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3.1.9 同义词语</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本章中使用的词语“招标人”和“投标人”分别与合同条款中定义的“发包人”和“承包人”同义；就工程量清单而言，“子目”与“项目”同义。</w:t>
      </w:r>
    </w:p>
    <w:p>
      <w:pPr>
        <w:numPr>
          <w:ilvl w:val="0"/>
          <w:numId w:val="0"/>
        </w:numPr>
        <w:autoSpaceDE/>
        <w:autoSpaceDN/>
        <w:spacing w:before="0" w:after="160" w:line="360" w:lineRule="auto"/>
        <w:ind w:left="1"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color w:val="auto"/>
          <w:position w:val="0"/>
          <w:sz w:val="24"/>
          <w:szCs w:val="24"/>
          <w:highlight w:val="none"/>
        </w:rPr>
        <w:t>3.2工程量差异调整</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3.2.1 工程量清单中的工作内容分类、子目列项、特征描述以及“分部分项工程量清单与计价表”中附带的工程量都不应理解为是对承包(招标)范围以及合同工作内容的唯一的、最终的或全部的定义。</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3.3暂列金额和暂估价</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numPr>
          <w:ilvl w:val="0"/>
          <w:numId w:val="0"/>
        </w:numPr>
        <w:autoSpaceDE/>
        <w:autoSpaceDN/>
        <w:spacing w:before="0" w:after="160" w:line="360" w:lineRule="auto"/>
        <w:ind w:left="1" w:right="0" w:firstLine="480"/>
        <w:jc w:val="both"/>
        <w:rPr>
          <w:rFonts w:hint="default" w:ascii="Times New Roman" w:hAnsi="宋体" w:eastAsia="宋体"/>
          <w:color w:val="auto"/>
          <w:position w:val="0"/>
          <w:sz w:val="24"/>
          <w:szCs w:val="24"/>
          <w:highlight w:val="none"/>
          <w:u w:val="single"/>
        </w:rPr>
      </w:pPr>
      <w:r>
        <w:rPr>
          <w:rFonts w:hint="default" w:ascii="Times New Roman" w:hAnsi="宋体" w:eastAsia="宋体"/>
          <w:color w:val="auto"/>
          <w:position w:val="0"/>
          <w:sz w:val="24"/>
          <w:szCs w:val="24"/>
          <w:highlight w:val="none"/>
        </w:rPr>
        <w:t>3.4其他补充说明</w:t>
      </w:r>
      <w:r>
        <w:rPr>
          <w:rFonts w:hint="default" w:ascii="Times New Roman" w:hAnsi="宋体" w:eastAsia="宋体"/>
          <w:color w:val="auto"/>
          <w:position w:val="0"/>
          <w:sz w:val="24"/>
          <w:szCs w:val="24"/>
          <w:highlight w:val="none"/>
          <w:u w:val="single"/>
        </w:rPr>
        <w:t xml:space="preserve">     /  ；</w:t>
      </w:r>
    </w:p>
    <w:p>
      <w:pPr>
        <w:numPr>
          <w:ilvl w:val="0"/>
          <w:numId w:val="0"/>
        </w:numPr>
        <w:autoSpaceDE/>
        <w:autoSpaceDN/>
        <w:spacing w:before="0" w:after="160" w:line="360" w:lineRule="auto"/>
        <w:ind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4．工程量清单</w:t>
      </w:r>
    </w:p>
    <w:p>
      <w:pPr>
        <w:numPr>
          <w:ilvl w:val="0"/>
          <w:numId w:val="0"/>
        </w:numPr>
        <w:autoSpaceDE/>
        <w:autoSpaceDN/>
        <w:spacing w:before="0" w:after="160" w:line="360" w:lineRule="auto"/>
        <w:ind w:right="0" w:firstLine="480"/>
        <w:jc w:val="both"/>
        <w:rPr>
          <w:rFonts w:hint="default" w:ascii="新宋体" w:hAnsi="新宋体" w:eastAsia="新宋体"/>
          <w:color w:val="auto"/>
          <w:position w:val="0"/>
          <w:sz w:val="24"/>
          <w:szCs w:val="24"/>
          <w:highlight w:val="none"/>
          <w:u w:val="single"/>
        </w:rPr>
      </w:pPr>
      <w:r>
        <w:rPr>
          <w:rFonts w:hint="default" w:ascii="Times New Roman" w:hAnsi="宋体" w:eastAsia="宋体"/>
          <w:color w:val="auto"/>
          <w:position w:val="0"/>
          <w:sz w:val="24"/>
          <w:szCs w:val="24"/>
          <w:highlight w:val="none"/>
          <w:u w:val="single"/>
        </w:rPr>
        <w:t>工程量清单在【全国公共资源交易平台（河南省·许昌市）】上自行下载。</w:t>
      </w:r>
    </w:p>
    <w:p>
      <w:pPr>
        <w:numPr>
          <w:ilvl w:val="0"/>
          <w:numId w:val="0"/>
        </w:numPr>
        <w:autoSpaceDE w:val="0"/>
        <w:autoSpaceDN w:val="0"/>
        <w:spacing w:before="0" w:after="160" w:line="240" w:lineRule="auto"/>
        <w:ind w:right="0" w:firstLine="480"/>
        <w:jc w:val="both"/>
        <w:outlineLvl w:val="0"/>
        <w:rPr>
          <w:rFonts w:hint="default" w:ascii="新宋体" w:hAnsi="新宋体" w:eastAsia="新宋体"/>
          <w:color w:val="auto"/>
          <w:position w:val="0"/>
          <w:sz w:val="24"/>
          <w:szCs w:val="24"/>
          <w:highlight w:val="none"/>
          <w:u w:val="single"/>
        </w:rPr>
      </w:pPr>
      <w:r>
        <w:br w:type="page"/>
      </w:r>
    </w:p>
    <w:p>
      <w:pPr>
        <w:pStyle w:val="6"/>
        <w:numPr>
          <w:ilvl w:val="0"/>
          <w:numId w:val="0"/>
        </w:numPr>
        <w:autoSpaceDE/>
        <w:autoSpaceDN/>
        <w:snapToGrid w:val="0"/>
        <w:spacing w:before="0" w:after="160" w:line="360" w:lineRule="auto"/>
        <w:ind w:right="0" w:firstLine="0"/>
        <w:jc w:val="center"/>
        <w:outlineLvl w:val="0"/>
        <w:rPr>
          <w:rFonts w:hint="default" w:ascii="宋体" w:hAnsi="宋体" w:eastAsia="宋体"/>
          <w:b/>
          <w:color w:val="auto"/>
          <w:position w:val="0"/>
          <w:sz w:val="44"/>
          <w:szCs w:val="44"/>
          <w:highlight w:val="none"/>
        </w:rPr>
      </w:pPr>
      <w:bookmarkStart w:id="94" w:name="_Toc8808"/>
      <w:bookmarkStart w:id="95" w:name="_Toc9650"/>
      <w:r>
        <w:rPr>
          <w:rFonts w:hint="default" w:ascii="宋体" w:hAnsi="宋体" w:eastAsia="宋体"/>
          <w:b/>
          <w:color w:val="auto"/>
          <w:position w:val="0"/>
          <w:sz w:val="44"/>
          <w:szCs w:val="44"/>
          <w:highlight w:val="none"/>
        </w:rPr>
        <w:t>第六章 图 纸</w:t>
      </w:r>
      <w:bookmarkEnd w:id="90"/>
      <w:bookmarkEnd w:id="94"/>
      <w:bookmarkEnd w:id="95"/>
    </w:p>
    <w:p>
      <w:pPr>
        <w:numPr>
          <w:ilvl w:val="0"/>
          <w:numId w:val="0"/>
        </w:numPr>
        <w:autoSpaceDE w:val="0"/>
        <w:autoSpaceDN w:val="0"/>
        <w:spacing w:before="0" w:after="160" w:line="240" w:lineRule="auto"/>
        <w:ind w:right="0" w:firstLine="0"/>
        <w:jc w:val="center"/>
        <w:rPr>
          <w:rFonts w:hint="default" w:ascii="Times New Roman" w:hAnsi="黑体" w:eastAsia="黑体"/>
          <w:b/>
          <w:color w:val="auto"/>
          <w:position w:val="0"/>
          <w:sz w:val="24"/>
          <w:szCs w:val="24"/>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r>
        <w:rPr>
          <w:rFonts w:hint="default" w:ascii="Times New Roman" w:hAnsi="黑体" w:eastAsia="黑体"/>
          <w:color w:val="auto"/>
          <w:position w:val="0"/>
          <w:sz w:val="28"/>
          <w:szCs w:val="28"/>
          <w:highlight w:val="none"/>
        </w:rPr>
        <w:t>按照招标文件中第二章投标人须知前附表第2.1项所给的网址自行下载（如有）。</w:t>
      </w:r>
      <w:bookmarkStart w:id="96" w:name="_Toc3738"/>
      <w:bookmarkStart w:id="97" w:name="_Toc278443522"/>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pStyle w:val="25"/>
        <w:numPr>
          <w:ilvl w:val="0"/>
          <w:numId w:val="0"/>
        </w:numPr>
        <w:autoSpaceDE/>
        <w:autoSpaceDN/>
        <w:spacing w:before="0" w:after="160" w:line="240" w:lineRule="auto"/>
        <w:ind w:right="0" w:firstLine="680"/>
        <w:jc w:val="both"/>
        <w:rPr>
          <w:rFonts w:hint="default" w:ascii="宋体" w:hAnsi="宋体" w:eastAsia="宋体"/>
          <w:color w:val="auto"/>
          <w:position w:val="0"/>
          <w:sz w:val="34"/>
          <w:szCs w:val="34"/>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numPr>
          <w:ilvl w:val="0"/>
          <w:numId w:val="0"/>
        </w:numPr>
        <w:autoSpaceDE w:val="0"/>
        <w:autoSpaceDN w:val="0"/>
        <w:spacing w:before="0" w:after="160" w:line="240" w:lineRule="auto"/>
        <w:ind w:right="0" w:firstLine="0"/>
        <w:jc w:val="center"/>
        <w:outlineLvl w:val="0"/>
        <w:rPr>
          <w:rFonts w:hint="default" w:ascii="Times New Roman" w:hAnsi="黑体" w:eastAsia="黑体"/>
          <w:b/>
          <w:color w:val="auto"/>
          <w:position w:val="0"/>
          <w:sz w:val="36"/>
          <w:szCs w:val="36"/>
          <w:highlight w:val="none"/>
        </w:rPr>
      </w:pPr>
    </w:p>
    <w:p>
      <w:pPr>
        <w:pStyle w:val="6"/>
        <w:numPr>
          <w:ilvl w:val="0"/>
          <w:numId w:val="0"/>
        </w:numPr>
        <w:autoSpaceDE/>
        <w:autoSpaceDN/>
        <w:snapToGrid w:val="0"/>
        <w:spacing w:before="0" w:after="160" w:line="360" w:lineRule="auto"/>
        <w:ind w:right="0" w:firstLine="0"/>
        <w:jc w:val="center"/>
        <w:outlineLvl w:val="0"/>
        <w:rPr>
          <w:rFonts w:hint="default" w:ascii="宋体" w:hAnsi="宋体" w:eastAsia="宋体"/>
          <w:b/>
          <w:color w:val="auto"/>
          <w:position w:val="0"/>
          <w:sz w:val="44"/>
          <w:szCs w:val="44"/>
          <w:highlight w:val="none"/>
        </w:rPr>
      </w:pPr>
      <w:bookmarkStart w:id="98" w:name="_Toc2791"/>
      <w:r>
        <w:rPr>
          <w:rFonts w:hint="default" w:ascii="宋体" w:hAnsi="宋体" w:eastAsia="宋体"/>
          <w:b/>
          <w:color w:val="auto"/>
          <w:position w:val="0"/>
          <w:sz w:val="44"/>
          <w:szCs w:val="44"/>
          <w:highlight w:val="none"/>
        </w:rPr>
        <w:t>第七章 技术标准和要求</w:t>
      </w:r>
      <w:bookmarkEnd w:id="96"/>
      <w:bookmarkEnd w:id="97"/>
      <w:bookmarkEnd w:id="98"/>
    </w:p>
    <w:p>
      <w:pPr>
        <w:numPr>
          <w:ilvl w:val="0"/>
          <w:numId w:val="0"/>
        </w:numPr>
        <w:autoSpaceDE/>
        <w:autoSpaceDN/>
        <w:spacing w:before="0" w:after="160" w:line="500" w:lineRule="exact"/>
        <w:ind w:right="0" w:firstLine="480"/>
        <w:jc w:val="left"/>
        <w:rPr>
          <w:rFonts w:hint="default" w:ascii="新宋体" w:hAnsi="新宋体" w:eastAsia="新宋体"/>
          <w:color w:val="auto"/>
          <w:position w:val="0"/>
          <w:sz w:val="24"/>
          <w:szCs w:val="24"/>
          <w:highlight w:val="none"/>
        </w:rPr>
      </w:pPr>
    </w:p>
    <w:p>
      <w:pPr>
        <w:numPr>
          <w:ilvl w:val="0"/>
          <w:numId w:val="0"/>
        </w:numPr>
        <w:autoSpaceDE/>
        <w:autoSpaceDN/>
        <w:spacing w:before="0" w:after="160" w:line="500" w:lineRule="exact"/>
        <w:ind w:right="0" w:firstLine="0"/>
        <w:jc w:val="left"/>
        <w:rPr>
          <w:rFonts w:hint="default" w:ascii="Times New Roman" w:hAnsi="宋体" w:eastAsia="宋体"/>
          <w:b/>
          <w:color w:val="auto"/>
          <w:position w:val="0"/>
          <w:sz w:val="24"/>
          <w:szCs w:val="24"/>
          <w:highlight w:val="none"/>
        </w:rPr>
      </w:pPr>
    </w:p>
    <w:p>
      <w:pPr>
        <w:numPr>
          <w:ilvl w:val="0"/>
          <w:numId w:val="0"/>
        </w:numPr>
        <w:autoSpaceDE/>
        <w:autoSpaceDN/>
        <w:spacing w:before="0" w:after="160" w:line="50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1、本工程技术标准和要求以本工程施工图纸和适用的国家、行业以及地方规范、标准和规程为准。</w:t>
      </w:r>
    </w:p>
    <w:p>
      <w:pPr>
        <w:numPr>
          <w:ilvl w:val="0"/>
          <w:numId w:val="0"/>
        </w:numPr>
        <w:autoSpaceDE/>
        <w:autoSpaceDN/>
        <w:spacing w:before="0" w:after="160" w:line="50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2、施工工地扬尘污染整治标准以《许昌市施工工地扬尘污染综合整治工作方案》许气联办【2016】21号文件为准。</w:t>
      </w:r>
    </w:p>
    <w:p>
      <w:pPr>
        <w:numPr>
          <w:ilvl w:val="0"/>
          <w:numId w:val="0"/>
        </w:numPr>
        <w:autoSpaceDE w:val="0"/>
        <w:autoSpaceDN w:val="0"/>
        <w:spacing w:before="0" w:after="160" w:line="420" w:lineRule="exact"/>
        <w:ind w:right="0" w:firstLine="0"/>
        <w:jc w:val="center"/>
        <w:rPr>
          <w:rFonts w:hint="default" w:ascii="Times New Roman" w:hAnsi="黑体" w:eastAsia="黑体"/>
          <w:color w:val="auto"/>
          <w:position w:val="0"/>
          <w:sz w:val="32"/>
          <w:szCs w:val="32"/>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bookmarkStart w:id="99" w:name="_Toc9534"/>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bookmarkEnd w:id="99"/>
    <w:p>
      <w:pPr>
        <w:pStyle w:val="6"/>
        <w:numPr>
          <w:ilvl w:val="0"/>
          <w:numId w:val="0"/>
        </w:numPr>
        <w:autoSpaceDE/>
        <w:autoSpaceDN/>
        <w:snapToGrid w:val="0"/>
        <w:spacing w:before="0" w:after="160" w:line="360" w:lineRule="auto"/>
        <w:ind w:right="0" w:firstLine="0"/>
        <w:jc w:val="center"/>
        <w:outlineLvl w:val="0"/>
        <w:rPr>
          <w:rFonts w:hint="default" w:ascii="宋体" w:hAnsi="宋体" w:eastAsia="宋体"/>
          <w:b/>
          <w:color w:val="auto"/>
          <w:position w:val="0"/>
          <w:sz w:val="44"/>
          <w:szCs w:val="44"/>
          <w:highlight w:val="none"/>
        </w:rPr>
      </w:pPr>
      <w:bookmarkStart w:id="100" w:name="_Toc18525"/>
      <w:r>
        <w:rPr>
          <w:rFonts w:hint="default" w:ascii="宋体" w:hAnsi="宋体" w:eastAsia="宋体"/>
          <w:b/>
          <w:color w:val="auto"/>
          <w:position w:val="0"/>
          <w:sz w:val="44"/>
          <w:szCs w:val="44"/>
          <w:highlight w:val="none"/>
        </w:rPr>
        <w:t>第八章 投标文件格式</w:t>
      </w:r>
      <w:bookmarkEnd w:id="100"/>
    </w:p>
    <w:p>
      <w:pPr>
        <w:numPr>
          <w:ilvl w:val="0"/>
          <w:numId w:val="0"/>
        </w:numPr>
        <w:autoSpaceDE w:val="0"/>
        <w:autoSpaceDN w:val="0"/>
        <w:spacing w:before="0" w:after="160" w:line="240" w:lineRule="auto"/>
        <w:ind w:right="0" w:firstLine="0"/>
        <w:jc w:val="both"/>
        <w:rPr>
          <w:rFonts w:hint="default" w:ascii="Times New Roman" w:hAnsi="宋体" w:eastAsia="宋体"/>
          <w:b/>
          <w:color w:val="auto"/>
          <w:spacing w:val="60"/>
          <w:position w:val="0"/>
          <w:sz w:val="48"/>
          <w:szCs w:val="48"/>
          <w:highlight w:val="none"/>
          <w:u w:val="single"/>
        </w:rPr>
      </w:pPr>
    </w:p>
    <w:p>
      <w:pPr>
        <w:numPr>
          <w:ilvl w:val="0"/>
          <w:numId w:val="0"/>
        </w:numPr>
        <w:autoSpaceDE w:val="0"/>
        <w:autoSpaceDN w:val="0"/>
        <w:spacing w:before="0" w:after="160" w:line="240" w:lineRule="auto"/>
        <w:ind w:right="0" w:firstLine="0"/>
        <w:jc w:val="both"/>
        <w:rPr>
          <w:rFonts w:hint="default" w:ascii="Times New Roman" w:hAnsi="宋体" w:eastAsia="宋体"/>
          <w:b/>
          <w:color w:val="auto"/>
          <w:spacing w:val="60"/>
          <w:position w:val="0"/>
          <w:sz w:val="48"/>
          <w:szCs w:val="48"/>
          <w:highlight w:val="none"/>
          <w:u w:val="single"/>
        </w:rPr>
      </w:pPr>
    </w:p>
    <w:p>
      <w:pPr>
        <w:numPr>
          <w:ilvl w:val="0"/>
          <w:numId w:val="0"/>
        </w:numPr>
        <w:autoSpaceDE w:val="0"/>
        <w:autoSpaceDN w:val="0"/>
        <w:spacing w:before="0" w:after="160" w:line="240" w:lineRule="auto"/>
        <w:ind w:right="0" w:firstLine="600"/>
        <w:jc w:val="both"/>
        <w:rPr>
          <w:rFonts w:hint="default" w:ascii="Times New Roman" w:hAnsi="宋体" w:eastAsia="宋体"/>
          <w:b/>
          <w:color w:val="auto"/>
          <w:position w:val="0"/>
          <w:sz w:val="36"/>
          <w:szCs w:val="36"/>
          <w:highlight w:val="none"/>
        </w:rPr>
      </w:pPr>
      <w:r>
        <w:rPr>
          <w:rFonts w:hint="default" w:ascii="Times New Roman" w:hAnsi="宋体" w:eastAsia="宋体"/>
          <w:b/>
          <w:color w:val="auto"/>
          <w:spacing w:val="60"/>
          <w:position w:val="0"/>
          <w:sz w:val="48"/>
          <w:szCs w:val="48"/>
          <w:highlight w:val="none"/>
          <w:u w:val="single"/>
        </w:rPr>
        <w:t xml:space="preserve">        （工程名称标段）</w:t>
      </w: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1440"/>
        <w:jc w:val="center"/>
        <w:rPr>
          <w:rFonts w:hint="default" w:ascii="Times New Roman" w:hAnsi="宋体" w:eastAsia="宋体"/>
          <w:b/>
          <w:color w:val="auto"/>
          <w:position w:val="0"/>
          <w:sz w:val="72"/>
          <w:szCs w:val="72"/>
          <w:highlight w:val="none"/>
        </w:rPr>
      </w:pPr>
      <w:r>
        <w:rPr>
          <w:rFonts w:hint="default" w:ascii="Times New Roman" w:hAnsi="宋体" w:eastAsia="宋体"/>
          <w:b/>
          <w:color w:val="auto"/>
          <w:position w:val="0"/>
          <w:sz w:val="72"/>
          <w:szCs w:val="72"/>
          <w:highlight w:val="none"/>
        </w:rPr>
        <w:t>投 标 文 件</w:t>
      </w: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64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（商务标）</w:t>
      </w:r>
    </w:p>
    <w:p>
      <w:pPr>
        <w:numPr>
          <w:ilvl w:val="0"/>
          <w:numId w:val="0"/>
        </w:numPr>
        <w:tabs>
          <w:tab w:val="center" w:pos="4739"/>
        </w:tabs>
        <w:autoSpaceDE/>
        <w:autoSpaceDN/>
        <w:spacing w:before="0" w:after="160" w:line="240" w:lineRule="auto"/>
        <w:ind w:left="180" w:right="0" w:firstLine="640"/>
        <w:jc w:val="both"/>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 xml:space="preserve">               项目编号：</w:t>
      </w: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2"/>
          <w:szCs w:val="32"/>
          <w:highlight w:val="none"/>
        </w:rPr>
      </w:pP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投标人:(盖单位章)</w:t>
      </w: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法定代表人或其委托代理人:(签字)</w:t>
      </w: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6"/>
          <w:szCs w:val="36"/>
          <w:highlight w:val="none"/>
        </w:rPr>
      </w:pPr>
      <w:r>
        <w:rPr>
          <w:rFonts w:hint="default" w:ascii="Times New Roman" w:hAnsi="宋体" w:eastAsia="宋体"/>
          <w:b/>
          <w:color w:val="auto"/>
          <w:position w:val="0"/>
          <w:sz w:val="32"/>
          <w:szCs w:val="32"/>
          <w:highlight w:val="none"/>
        </w:rPr>
        <w:t>年   月    日</w:t>
      </w:r>
    </w:p>
    <w:p>
      <w:pPr>
        <w:numPr>
          <w:ilvl w:val="0"/>
          <w:numId w:val="0"/>
        </w:numPr>
        <w:autoSpaceDE w:val="0"/>
        <w:autoSpaceDN w:val="0"/>
        <w:spacing w:before="0" w:after="160" w:line="420" w:lineRule="exact"/>
        <w:ind w:right="0" w:firstLine="720"/>
        <w:jc w:val="center"/>
        <w:rPr>
          <w:rFonts w:hint="default" w:ascii="Times New Roman" w:hAnsi="宋体" w:eastAsia="宋体"/>
          <w:b/>
          <w:color w:val="auto"/>
          <w:position w:val="0"/>
          <w:sz w:val="36"/>
          <w:szCs w:val="36"/>
          <w:highlight w:val="none"/>
        </w:rPr>
        <w:sectPr>
          <w:headerReference r:id="rId7" w:type="first"/>
          <w:footerReference r:id="rId9" w:type="first"/>
          <w:footerReference r:id="rId8" w:type="default"/>
          <w:pgSz w:w="11906" w:h="16838"/>
          <w:pgMar w:top="1361" w:right="1134" w:bottom="1197" w:left="1134" w:header="851" w:footer="992" w:gutter="0"/>
          <w:pgNumType w:fmt="decimal"/>
          <w:docGrid w:type="linesAndChars" w:linePitch="312" w:charSpace="0"/>
        </w:sectPr>
      </w:pPr>
      <w:r>
        <w:rPr>
          <w:rFonts w:hint="default" w:ascii="Times New Roman" w:hAnsi="宋体" w:eastAsia="宋体"/>
          <w:b/>
          <w:color w:val="auto"/>
          <w:position w:val="0"/>
          <w:sz w:val="36"/>
          <w:szCs w:val="36"/>
          <w:highlight w:val="none"/>
        </w:rPr>
        <w:t xml:space="preserve"> </w:t>
      </w:r>
    </w:p>
    <w:p>
      <w:pPr>
        <w:numPr>
          <w:ilvl w:val="0"/>
          <w:numId w:val="0"/>
        </w:numPr>
        <w:autoSpaceDE w:val="0"/>
        <w:autoSpaceDN w:val="0"/>
        <w:spacing w:before="0" w:after="160" w:line="420" w:lineRule="exact"/>
        <w:ind w:right="0" w:firstLine="720"/>
        <w:jc w:val="center"/>
        <w:rPr>
          <w:rFonts w:hint="default" w:ascii="Times New Roman" w:hAnsi="宋体" w:eastAsia="宋体"/>
          <w:b/>
          <w:color w:val="auto"/>
          <w:position w:val="0"/>
          <w:sz w:val="36"/>
          <w:szCs w:val="36"/>
          <w:highlight w:val="none"/>
        </w:rPr>
      </w:pPr>
      <w:r>
        <w:rPr>
          <w:rFonts w:hint="default" w:ascii="Times New Roman" w:hAnsi="宋体" w:eastAsia="宋体"/>
          <w:b/>
          <w:color w:val="auto"/>
          <w:position w:val="0"/>
          <w:sz w:val="36"/>
          <w:szCs w:val="36"/>
          <w:highlight w:val="none"/>
        </w:rPr>
        <w:t>已标价工程量清单</w:t>
      </w:r>
    </w:p>
    <w:p>
      <w:pPr>
        <w:numPr>
          <w:ilvl w:val="0"/>
          <w:numId w:val="0"/>
        </w:numPr>
        <w:autoSpaceDE w:val="0"/>
        <w:autoSpaceDN w:val="0"/>
        <w:spacing w:before="0" w:after="160" w:line="360" w:lineRule="auto"/>
        <w:ind w:right="215" w:firstLine="480"/>
        <w:jc w:val="center"/>
        <w:rPr>
          <w:rFonts w:hint="default" w:ascii="Times New Roman" w:hAnsi="宋体" w:eastAsia="宋体"/>
          <w:b/>
          <w:color w:val="auto"/>
          <w:position w:val="0"/>
          <w:sz w:val="32"/>
          <w:szCs w:val="32"/>
          <w:highlight w:val="none"/>
        </w:rPr>
      </w:pPr>
      <w:r>
        <w:rPr>
          <w:rFonts w:hint="default" w:ascii="Times New Roman" w:hAnsi="宋体" w:eastAsia="宋体"/>
          <w:color w:val="auto"/>
          <w:position w:val="0"/>
          <w:sz w:val="24"/>
          <w:szCs w:val="24"/>
          <w:highlight w:val="none"/>
        </w:rPr>
        <w:t xml:space="preserve">  （按所发放的工程量清单编制）</w:t>
      </w:r>
    </w:p>
    <w:p>
      <w:pPr>
        <w:numPr>
          <w:ilvl w:val="0"/>
          <w:numId w:val="0"/>
        </w:numPr>
        <w:autoSpaceDE w:val="0"/>
        <w:autoSpaceDN w:val="0"/>
        <w:spacing w:before="0" w:after="160" w:line="360" w:lineRule="auto"/>
        <w:ind w:right="215" w:firstLine="480"/>
        <w:jc w:val="center"/>
        <w:rPr>
          <w:rFonts w:hint="default" w:ascii="Times New Roman" w:hAnsi="宋体" w:eastAsia="宋体"/>
          <w:color w:val="auto"/>
          <w:position w:val="0"/>
          <w:sz w:val="32"/>
          <w:szCs w:val="32"/>
          <w:highlight w:val="none"/>
        </w:rPr>
        <w:sectPr>
          <w:pgSz w:w="11906" w:h="16838"/>
          <w:pgMar w:top="1304" w:right="1134" w:bottom="1304" w:left="1134" w:header="851" w:footer="992" w:gutter="0"/>
          <w:pgNumType w:fmt="decimal"/>
          <w:docGrid w:type="linesAndChars" w:linePitch="312" w:charSpace="0"/>
        </w:sectPr>
      </w:pPr>
    </w:p>
    <w:p>
      <w:pPr>
        <w:numPr>
          <w:ilvl w:val="0"/>
          <w:numId w:val="0"/>
        </w:numPr>
        <w:autoSpaceDE w:val="0"/>
        <w:autoSpaceDN w:val="0"/>
        <w:spacing w:before="0" w:after="160" w:line="240" w:lineRule="auto"/>
        <w:ind w:right="0" w:firstLine="0"/>
        <w:jc w:val="both"/>
        <w:rPr>
          <w:rFonts w:hint="default" w:ascii="Times New Roman" w:hAnsi="宋体" w:eastAsia="宋体"/>
          <w:b/>
          <w:color w:val="auto"/>
          <w:spacing w:val="60"/>
          <w:position w:val="0"/>
          <w:sz w:val="48"/>
          <w:szCs w:val="48"/>
          <w:highlight w:val="none"/>
          <w:u w:val="single"/>
        </w:rPr>
      </w:pPr>
    </w:p>
    <w:p>
      <w:pPr>
        <w:numPr>
          <w:ilvl w:val="0"/>
          <w:numId w:val="0"/>
        </w:numPr>
        <w:autoSpaceDE w:val="0"/>
        <w:autoSpaceDN w:val="0"/>
        <w:spacing w:before="0" w:after="160" w:line="240" w:lineRule="auto"/>
        <w:ind w:right="0" w:firstLine="0"/>
        <w:jc w:val="both"/>
        <w:rPr>
          <w:rFonts w:hint="default" w:ascii="Times New Roman" w:hAnsi="宋体" w:eastAsia="宋体"/>
          <w:b/>
          <w:color w:val="auto"/>
          <w:spacing w:val="60"/>
          <w:position w:val="0"/>
          <w:sz w:val="48"/>
          <w:szCs w:val="48"/>
          <w:highlight w:val="none"/>
          <w:u w:val="single"/>
        </w:rPr>
      </w:pPr>
    </w:p>
    <w:p>
      <w:pPr>
        <w:numPr>
          <w:ilvl w:val="0"/>
          <w:numId w:val="0"/>
        </w:numPr>
        <w:autoSpaceDE w:val="0"/>
        <w:autoSpaceDN w:val="0"/>
        <w:spacing w:before="0" w:after="160" w:line="240" w:lineRule="auto"/>
        <w:ind w:right="0" w:firstLine="2400"/>
        <w:jc w:val="both"/>
        <w:rPr>
          <w:rFonts w:hint="default" w:ascii="Times New Roman" w:hAnsi="宋体" w:eastAsia="宋体"/>
          <w:b/>
          <w:color w:val="auto"/>
          <w:spacing w:val="60"/>
          <w:position w:val="0"/>
          <w:sz w:val="48"/>
          <w:szCs w:val="48"/>
          <w:highlight w:val="none"/>
          <w:u w:val="single"/>
        </w:rPr>
      </w:pPr>
      <w:r>
        <w:rPr>
          <w:rFonts w:hint="default" w:ascii="Times New Roman" w:hAnsi="宋体" w:eastAsia="宋体"/>
          <w:b/>
          <w:color w:val="auto"/>
          <w:spacing w:val="60"/>
          <w:position w:val="0"/>
          <w:sz w:val="48"/>
          <w:szCs w:val="48"/>
          <w:highlight w:val="none"/>
          <w:u w:val="single"/>
        </w:rPr>
        <w:t xml:space="preserve">       （工程名称标段）</w:t>
      </w:r>
    </w:p>
    <w:p>
      <w:pPr>
        <w:numPr>
          <w:ilvl w:val="0"/>
          <w:numId w:val="0"/>
        </w:numPr>
        <w:tabs>
          <w:tab w:val="center" w:pos="4739"/>
        </w:tabs>
        <w:autoSpaceDE/>
        <w:autoSpaceDN/>
        <w:spacing w:before="0" w:after="160" w:line="240" w:lineRule="auto"/>
        <w:ind w:left="180" w:right="0" w:firstLine="0"/>
        <w:jc w:val="center"/>
        <w:rPr>
          <w:rFonts w:hint="default" w:ascii="Times New Roman" w:hAnsi="宋体" w:eastAsia="宋体"/>
          <w:b/>
          <w:color w:val="auto"/>
          <w:position w:val="0"/>
          <w:sz w:val="36"/>
          <w:szCs w:val="36"/>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72"/>
          <w:szCs w:val="72"/>
          <w:highlight w:val="none"/>
        </w:rPr>
      </w:pPr>
      <w:r>
        <w:rPr>
          <w:rFonts w:hint="default" w:ascii="Times New Roman" w:hAnsi="宋体" w:eastAsia="宋体"/>
          <w:b/>
          <w:color w:val="auto"/>
          <w:position w:val="0"/>
          <w:sz w:val="72"/>
          <w:szCs w:val="72"/>
          <w:highlight w:val="none"/>
        </w:rPr>
        <w:t>投 标 文 件</w:t>
      </w: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64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综合标</w:t>
      </w:r>
    </w:p>
    <w:p>
      <w:pPr>
        <w:numPr>
          <w:ilvl w:val="0"/>
          <w:numId w:val="0"/>
        </w:numPr>
        <w:tabs>
          <w:tab w:val="center" w:pos="4739"/>
        </w:tabs>
        <w:autoSpaceDE/>
        <w:autoSpaceDN/>
        <w:spacing w:before="0" w:after="160" w:line="240" w:lineRule="auto"/>
        <w:ind w:left="180" w:right="0" w:firstLine="640"/>
        <w:jc w:val="both"/>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 xml:space="preserve">               项目编号：</w:t>
      </w: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投标人:(盖单位章)</w:t>
      </w: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法定代表人或其委托代理人:(签字)</w:t>
      </w: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6"/>
          <w:szCs w:val="36"/>
          <w:highlight w:val="none"/>
        </w:rPr>
      </w:pPr>
      <w:r>
        <w:rPr>
          <w:rFonts w:hint="default" w:ascii="Times New Roman" w:hAnsi="宋体" w:eastAsia="宋体"/>
          <w:b/>
          <w:color w:val="auto"/>
          <w:position w:val="0"/>
          <w:sz w:val="32"/>
          <w:szCs w:val="32"/>
          <w:highlight w:val="none"/>
        </w:rPr>
        <w:t>年   月   日</w:t>
      </w:r>
    </w:p>
    <w:p>
      <w:pPr>
        <w:numPr>
          <w:ilvl w:val="0"/>
          <w:numId w:val="0"/>
        </w:numPr>
        <w:autoSpaceDE w:val="0"/>
        <w:autoSpaceDN w:val="0"/>
        <w:spacing w:before="0" w:after="160" w:line="420" w:lineRule="exact"/>
        <w:ind w:right="0" w:firstLine="0"/>
        <w:jc w:val="both"/>
        <w:rPr>
          <w:rFonts w:hint="default" w:ascii="Times New Roman" w:hAnsi="宋体" w:eastAsia="宋体"/>
          <w:b/>
          <w:color w:val="auto"/>
          <w:position w:val="0"/>
          <w:sz w:val="36"/>
          <w:szCs w:val="36"/>
          <w:highlight w:val="none"/>
        </w:rPr>
      </w:pPr>
    </w:p>
    <w:p>
      <w:pPr>
        <w:numPr>
          <w:ilvl w:val="0"/>
          <w:numId w:val="0"/>
        </w:numPr>
        <w:autoSpaceDE w:val="0"/>
        <w:autoSpaceDN w:val="0"/>
        <w:spacing w:before="0" w:after="160" w:line="420" w:lineRule="exact"/>
        <w:ind w:right="0" w:firstLine="0"/>
        <w:jc w:val="both"/>
        <w:rPr>
          <w:rFonts w:hint="default" w:ascii="Times New Roman" w:hAnsi="宋体" w:eastAsia="宋体"/>
          <w:b/>
          <w:color w:val="auto"/>
          <w:position w:val="0"/>
          <w:sz w:val="36"/>
          <w:szCs w:val="36"/>
          <w:highlight w:val="none"/>
        </w:rPr>
        <w:sectPr>
          <w:pgSz w:w="11906" w:h="16838"/>
          <w:pgMar w:top="1304" w:right="1134" w:bottom="1304" w:left="1134" w:header="851" w:footer="992" w:gutter="0"/>
          <w:pgNumType w:fmt="decimal"/>
          <w:docGrid w:type="linesAndChars" w:linePitch="312" w:charSpace="0"/>
        </w:sectPr>
      </w:pPr>
    </w:p>
    <w:p>
      <w:pPr>
        <w:numPr>
          <w:ilvl w:val="0"/>
          <w:numId w:val="0"/>
        </w:numPr>
        <w:autoSpaceDE w:val="0"/>
        <w:autoSpaceDN w:val="0"/>
        <w:spacing w:before="0" w:after="160" w:line="420" w:lineRule="exact"/>
        <w:ind w:right="0" w:firstLine="0"/>
        <w:jc w:val="both"/>
        <w:rPr>
          <w:rFonts w:hint="default" w:ascii="Times New Roman" w:hAnsi="宋体" w:eastAsia="宋体"/>
          <w:b/>
          <w:color w:val="auto"/>
          <w:position w:val="0"/>
          <w:sz w:val="36"/>
          <w:szCs w:val="36"/>
          <w:highlight w:val="none"/>
        </w:rPr>
      </w:pPr>
    </w:p>
    <w:p>
      <w:pPr>
        <w:numPr>
          <w:ilvl w:val="0"/>
          <w:numId w:val="0"/>
        </w:numPr>
        <w:autoSpaceDE w:val="0"/>
        <w:autoSpaceDN w:val="0"/>
        <w:spacing w:before="0" w:after="160" w:line="420" w:lineRule="exact"/>
        <w:ind w:right="0" w:firstLine="720"/>
        <w:jc w:val="center"/>
        <w:rPr>
          <w:rFonts w:hint="default" w:ascii="Times New Roman" w:hAnsi="宋体" w:eastAsia="宋体"/>
          <w:color w:val="auto"/>
          <w:position w:val="0"/>
          <w:sz w:val="36"/>
          <w:szCs w:val="36"/>
          <w:highlight w:val="none"/>
        </w:rPr>
      </w:pPr>
      <w:r>
        <w:rPr>
          <w:rFonts w:hint="default" w:ascii="Times New Roman" w:hAnsi="宋体" w:eastAsia="宋体"/>
          <w:b/>
          <w:color w:val="auto"/>
          <w:position w:val="0"/>
          <w:sz w:val="36"/>
          <w:szCs w:val="36"/>
          <w:highlight w:val="none"/>
        </w:rPr>
        <w:t>目    录</w:t>
      </w:r>
    </w:p>
    <w:p>
      <w:pPr>
        <w:numPr>
          <w:ilvl w:val="0"/>
          <w:numId w:val="0"/>
        </w:numPr>
        <w:autoSpaceDE w:val="0"/>
        <w:autoSpaceDN w:val="0"/>
        <w:spacing w:before="0" w:after="160" w:line="420" w:lineRule="exact"/>
        <w:ind w:right="0" w:firstLine="0"/>
        <w:jc w:val="center"/>
        <w:rPr>
          <w:rFonts w:hint="default" w:ascii="Times New Roman" w:hAnsi="宋体" w:eastAsia="宋体"/>
          <w:color w:val="auto"/>
          <w:position w:val="0"/>
          <w:sz w:val="28"/>
          <w:szCs w:val="28"/>
          <w:highlight w:val="none"/>
        </w:rPr>
      </w:pPr>
    </w:p>
    <w:p>
      <w:pPr>
        <w:numPr>
          <w:ilvl w:val="0"/>
          <w:numId w:val="0"/>
        </w:numPr>
        <w:autoSpaceDE w:val="0"/>
        <w:autoSpaceDN w:val="0"/>
        <w:spacing w:before="0" w:after="160" w:line="420" w:lineRule="exact"/>
        <w:ind w:right="0" w:firstLine="0"/>
        <w:jc w:val="center"/>
        <w:rPr>
          <w:rFonts w:hint="default" w:ascii="Times New Roman" w:hAnsi="宋体" w:eastAsia="宋体"/>
          <w:color w:val="auto"/>
          <w:position w:val="0"/>
          <w:sz w:val="28"/>
          <w:szCs w:val="28"/>
          <w:highlight w:val="none"/>
        </w:rPr>
      </w:pP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一、投标函及投标函附录；</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二、法定代表人身份证明、授权委托书；</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三、投标保证金；</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四、项目管理机构配备情况；</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五、投标单位基本信息表；</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六、资格证明文件；</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七、近年完成的类似项目情况；</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八、正在施工的和新承接的项目情况；</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九、近年发生的诉讼及仲裁</w:t>
      </w:r>
    </w:p>
    <w:p>
      <w:pPr>
        <w:numPr>
          <w:ilvl w:val="0"/>
          <w:numId w:val="0"/>
        </w:numPr>
        <w:autoSpaceDE w:val="0"/>
        <w:autoSpaceDN w:val="0"/>
        <w:spacing w:before="0" w:after="160" w:line="480" w:lineRule="auto"/>
        <w:ind w:left="718" w:right="0" w:firstLine="480"/>
        <w:jc w:val="left"/>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十、其它材料；</w:t>
      </w:r>
    </w:p>
    <w:p>
      <w:pPr>
        <w:numPr>
          <w:ilvl w:val="0"/>
          <w:numId w:val="0"/>
        </w:numPr>
        <w:autoSpaceDE w:val="0"/>
        <w:autoSpaceDN w:val="0"/>
        <w:spacing w:before="0" w:after="160" w:line="480" w:lineRule="auto"/>
        <w:ind w:left="718" w:right="0" w:firstLine="0"/>
        <w:jc w:val="left"/>
        <w:rPr>
          <w:rFonts w:hint="default" w:ascii="Times New Roman" w:hAnsi="宋体" w:eastAsia="宋体"/>
          <w:b/>
          <w:color w:val="auto"/>
          <w:position w:val="0"/>
          <w:sz w:val="24"/>
          <w:szCs w:val="24"/>
          <w:highlight w:val="none"/>
        </w:rPr>
      </w:pPr>
    </w:p>
    <w:p>
      <w:pPr>
        <w:numPr>
          <w:ilvl w:val="0"/>
          <w:numId w:val="0"/>
        </w:numPr>
        <w:autoSpaceDE/>
        <w:autoSpaceDN/>
        <w:spacing w:before="0" w:after="160" w:line="600" w:lineRule="exact"/>
        <w:ind w:left="850"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投标文件编制过程中应按本章提供的格式填报。</w:t>
      </w:r>
    </w:p>
    <w:p>
      <w:pPr>
        <w:numPr>
          <w:ilvl w:val="0"/>
          <w:numId w:val="0"/>
        </w:numPr>
        <w:autoSpaceDE/>
        <w:autoSpaceDN/>
        <w:spacing w:before="0" w:after="160" w:line="600" w:lineRule="exact"/>
        <w:ind w:left="850" w:right="0" w:firstLine="480"/>
        <w:jc w:val="both"/>
        <w:rPr>
          <w:rFonts w:hint="default" w:ascii="Times New Roman" w:hAnsi="宋体" w:eastAsia="宋体"/>
          <w:b/>
          <w:color w:val="auto"/>
          <w:position w:val="0"/>
          <w:sz w:val="24"/>
          <w:szCs w:val="24"/>
          <w:highlight w:val="none"/>
        </w:rPr>
      </w:pPr>
      <w:r>
        <w:rPr>
          <w:rFonts w:hint="default" w:ascii="Times New Roman" w:hAnsi="宋体" w:eastAsia="宋体"/>
          <w:b/>
          <w:color w:val="auto"/>
          <w:position w:val="0"/>
          <w:sz w:val="24"/>
          <w:szCs w:val="24"/>
          <w:highlight w:val="none"/>
        </w:rPr>
        <w:t>如有本章未提供的格式，投标人可自行编制。</w:t>
      </w:r>
    </w:p>
    <w:p>
      <w:pPr>
        <w:numPr>
          <w:ilvl w:val="0"/>
          <w:numId w:val="0"/>
        </w:numPr>
        <w:tabs>
          <w:tab w:val="center" w:pos="4739"/>
        </w:tabs>
        <w:autoSpaceDE/>
        <w:autoSpaceDN/>
        <w:spacing w:before="0" w:after="160" w:line="240" w:lineRule="auto"/>
        <w:ind w:left="180" w:right="0" w:firstLine="640"/>
        <w:jc w:val="center"/>
        <w:rPr>
          <w:rFonts w:hint="default" w:ascii="Times New Roman" w:hAnsi="宋体" w:eastAsia="宋体"/>
          <w:b/>
          <w:color w:val="auto"/>
          <w:position w:val="0"/>
          <w:sz w:val="32"/>
          <w:szCs w:val="32"/>
          <w:highlight w:val="none"/>
        </w:rPr>
      </w:pPr>
      <w:r>
        <w:br w:type="page"/>
      </w:r>
      <w:r>
        <w:rPr>
          <w:rFonts w:hint="default" w:ascii="Times New Roman" w:hAnsi="宋体" w:eastAsia="宋体"/>
          <w:b/>
          <w:color w:val="auto"/>
          <w:position w:val="0"/>
          <w:sz w:val="32"/>
          <w:szCs w:val="32"/>
          <w:highlight w:val="none"/>
        </w:rPr>
        <w:t>一、投标函及投标函附录</w:t>
      </w:r>
    </w:p>
    <w:p>
      <w:pPr>
        <w:numPr>
          <w:ilvl w:val="0"/>
          <w:numId w:val="0"/>
        </w:numPr>
        <w:tabs>
          <w:tab w:val="center" w:pos="4739"/>
        </w:tabs>
        <w:autoSpaceDE/>
        <w:autoSpaceDN/>
        <w:spacing w:before="0" w:after="160" w:line="240" w:lineRule="auto"/>
        <w:ind w:right="0" w:firstLine="0"/>
        <w:jc w:val="center"/>
        <w:rPr>
          <w:rFonts w:hint="default" w:ascii="Times New Roman" w:hAnsi="宋体" w:eastAsia="宋体"/>
          <w:b/>
          <w:color w:val="auto"/>
          <w:position w:val="0"/>
          <w:sz w:val="32"/>
          <w:szCs w:val="32"/>
        </w:rPr>
      </w:pPr>
      <w:bookmarkStart w:id="101" w:name="_Toc271787730"/>
      <w:bookmarkStart w:id="102" w:name="_Toc19442"/>
      <w:r>
        <w:rPr>
          <w:rFonts w:hint="default" w:ascii="Times New Roman" w:hAnsi="宋体" w:eastAsia="宋体"/>
          <w:b/>
          <w:color w:val="auto"/>
          <w:position w:val="0"/>
          <w:sz w:val="32"/>
          <w:szCs w:val="32"/>
        </w:rPr>
        <w:t>一、投标函</w:t>
      </w:r>
    </w:p>
    <w:p>
      <w:pPr>
        <w:numPr>
          <w:ilvl w:val="0"/>
          <w:numId w:val="0"/>
        </w:numPr>
        <w:tabs>
          <w:tab w:val="center" w:pos="4739"/>
        </w:tabs>
        <w:autoSpaceDE/>
        <w:autoSpaceDN/>
        <w:spacing w:before="0" w:after="160" w:line="240" w:lineRule="auto"/>
        <w:ind w:right="0" w:firstLine="0"/>
        <w:jc w:val="left"/>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致：（招标人名称）</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在考察现场并充分研究</w:t>
      </w:r>
      <w:r>
        <w:rPr>
          <w:rFonts w:hint="eastAsia" w:ascii="新宋体" w:hAnsi="新宋体" w:eastAsia="新宋体"/>
          <w:color w:val="auto"/>
          <w:position w:val="0"/>
          <w:sz w:val="24"/>
          <w:szCs w:val="24"/>
          <w:u w:val="single"/>
          <w:lang w:val="en-US" w:eastAsia="zh-CN"/>
        </w:rPr>
        <w:t xml:space="preserve">      </w:t>
      </w:r>
      <w:r>
        <w:rPr>
          <w:rFonts w:hint="default" w:ascii="新宋体" w:hAnsi="新宋体" w:eastAsia="新宋体"/>
          <w:color w:val="auto"/>
          <w:position w:val="0"/>
          <w:sz w:val="24"/>
          <w:szCs w:val="24"/>
        </w:rPr>
        <w:t>（项目名称）</w:t>
      </w:r>
      <w:r>
        <w:rPr>
          <w:rFonts w:hint="eastAsia" w:ascii="新宋体" w:hAnsi="新宋体" w:eastAsia="新宋体"/>
          <w:color w:val="auto"/>
          <w:position w:val="0"/>
          <w:sz w:val="24"/>
          <w:szCs w:val="24"/>
          <w:u w:val="single"/>
          <w:lang w:val="en-US" w:eastAsia="zh-CN"/>
        </w:rPr>
        <w:t xml:space="preserve">      </w:t>
      </w:r>
      <w:r>
        <w:rPr>
          <w:rFonts w:hint="default" w:ascii="新宋体" w:hAnsi="新宋体" w:eastAsia="新宋体"/>
          <w:color w:val="auto"/>
          <w:position w:val="0"/>
          <w:sz w:val="24"/>
          <w:szCs w:val="24"/>
        </w:rPr>
        <w:t>标段（以下简称“本工程”）招标文件的全部内容后，我方兹以投标总报价：</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人民币（大写）：</w:t>
      </w:r>
      <w:r>
        <w:rPr>
          <w:rFonts w:hint="eastAsia" w:ascii="新宋体" w:hAnsi="新宋体" w:eastAsia="新宋体"/>
          <w:color w:val="auto"/>
          <w:position w:val="0"/>
          <w:sz w:val="24"/>
          <w:szCs w:val="24"/>
          <w:u w:val="single"/>
          <w:lang w:val="en-US" w:eastAsia="zh-CN"/>
        </w:rPr>
        <w:t xml:space="preserve">      </w:t>
      </w:r>
      <w:r>
        <w:rPr>
          <w:rFonts w:hint="default" w:ascii="新宋体" w:hAnsi="新宋体" w:eastAsia="新宋体"/>
          <w:color w:val="auto"/>
          <w:position w:val="0"/>
          <w:sz w:val="24"/>
          <w:szCs w:val="24"/>
        </w:rPr>
        <w:t>元</w:t>
      </w:r>
      <w:r>
        <w:rPr>
          <w:rFonts w:hint="eastAsia" w:ascii="新宋体" w:hAnsi="新宋体" w:eastAsia="新宋体"/>
          <w:color w:val="auto"/>
          <w:position w:val="0"/>
          <w:sz w:val="24"/>
          <w:szCs w:val="24"/>
          <w:lang w:val="en-US" w:eastAsia="zh-CN"/>
        </w:rPr>
        <w:t xml:space="preserve"> </w:t>
      </w:r>
      <w:r>
        <w:rPr>
          <w:rFonts w:hint="default" w:ascii="新宋体" w:hAnsi="新宋体" w:eastAsia="新宋体"/>
          <w:color w:val="auto"/>
          <w:position w:val="0"/>
          <w:sz w:val="24"/>
          <w:szCs w:val="24"/>
        </w:rPr>
        <w:t>RMB￥：</w:t>
      </w:r>
      <w:r>
        <w:rPr>
          <w:rFonts w:hint="eastAsia" w:ascii="新宋体" w:hAnsi="新宋体" w:eastAsia="新宋体"/>
          <w:color w:val="auto"/>
          <w:position w:val="0"/>
          <w:sz w:val="24"/>
          <w:szCs w:val="24"/>
          <w:u w:val="single"/>
          <w:lang w:val="en-US" w:eastAsia="zh-CN"/>
        </w:rPr>
        <w:t xml:space="preserve">      </w:t>
      </w:r>
      <w:r>
        <w:rPr>
          <w:rFonts w:hint="default" w:ascii="新宋体" w:hAnsi="新宋体" w:eastAsia="新宋体"/>
          <w:color w:val="auto"/>
          <w:position w:val="0"/>
          <w:sz w:val="24"/>
          <w:szCs w:val="24"/>
        </w:rPr>
        <w:t>元</w:t>
      </w:r>
    </w:p>
    <w:p>
      <w:pPr>
        <w:numPr>
          <w:ilvl w:val="0"/>
          <w:numId w:val="0"/>
        </w:numPr>
        <w:autoSpaceDE/>
        <w:autoSpaceDN/>
        <w:spacing w:before="0" w:after="160" w:line="480" w:lineRule="exact"/>
        <w:ind w:right="0" w:firstLine="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的投标价格和按合同约定有权得到的其它金额，并严格按照合同约定，施工、竣工和交付本工程并维修其中的任何缺陷。</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在我方的上述投标总报价中，包括：</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规费RMB￥：</w:t>
      </w:r>
      <w:r>
        <w:rPr>
          <w:rFonts w:hint="default" w:ascii="Times New Roman" w:hAnsi="宋体" w:eastAsia="宋体"/>
          <w:color w:val="auto"/>
          <w:position w:val="0"/>
          <w:sz w:val="24"/>
          <w:szCs w:val="24"/>
          <w:u w:val="single"/>
        </w:rPr>
        <w:t xml:space="preserve">                      </w:t>
      </w:r>
      <w:r>
        <w:rPr>
          <w:rFonts w:hint="default" w:ascii="Times New Roman" w:hAnsi="宋体" w:eastAsia="宋体"/>
          <w:color w:val="auto"/>
          <w:position w:val="0"/>
          <w:sz w:val="24"/>
          <w:szCs w:val="24"/>
        </w:rPr>
        <w:t>元</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rPr>
      </w:pPr>
      <w:r>
        <w:rPr>
          <w:rFonts w:hint="eastAsia" w:hAnsi="宋体" w:eastAsia="宋体"/>
          <w:color w:val="auto"/>
          <w:position w:val="0"/>
          <w:sz w:val="24"/>
          <w:szCs w:val="24"/>
          <w:lang w:val="en-US" w:eastAsia="zh-CN"/>
        </w:rPr>
        <w:t>税金</w:t>
      </w:r>
      <w:r>
        <w:rPr>
          <w:rFonts w:hint="default" w:ascii="Times New Roman" w:hAnsi="宋体" w:eastAsia="宋体"/>
          <w:color w:val="auto"/>
          <w:position w:val="0"/>
          <w:sz w:val="24"/>
          <w:szCs w:val="24"/>
        </w:rPr>
        <w:t>RMB￥：</w:t>
      </w:r>
      <w:r>
        <w:rPr>
          <w:rFonts w:hint="default" w:ascii="Times New Roman" w:hAnsi="宋体" w:eastAsia="宋体"/>
          <w:color w:val="auto"/>
          <w:position w:val="0"/>
          <w:sz w:val="24"/>
          <w:szCs w:val="24"/>
          <w:u w:val="single"/>
        </w:rPr>
        <w:t xml:space="preserve">                      </w:t>
      </w:r>
      <w:r>
        <w:rPr>
          <w:rFonts w:hint="default" w:ascii="Times New Roman" w:hAnsi="宋体" w:eastAsia="宋体"/>
          <w:color w:val="auto"/>
          <w:position w:val="0"/>
          <w:sz w:val="24"/>
          <w:szCs w:val="24"/>
        </w:rPr>
        <w:t>元</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安全文明施工措施费RMB￥：</w:t>
      </w:r>
      <w:r>
        <w:rPr>
          <w:rFonts w:hint="default" w:ascii="Times New Roman" w:hAnsi="宋体" w:eastAsia="宋体"/>
          <w:color w:val="auto"/>
          <w:position w:val="0"/>
          <w:sz w:val="24"/>
          <w:szCs w:val="24"/>
          <w:u w:val="single"/>
        </w:rPr>
        <w:t xml:space="preserve">            </w:t>
      </w:r>
      <w:r>
        <w:rPr>
          <w:rFonts w:hint="default" w:ascii="Times New Roman" w:hAnsi="宋体" w:eastAsia="宋体"/>
          <w:color w:val="auto"/>
          <w:position w:val="0"/>
          <w:sz w:val="24"/>
          <w:szCs w:val="24"/>
        </w:rPr>
        <w:t>元</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如果我方中标，我方保证按照合同约定的开工日期开始本工程的施工，</w:t>
      </w:r>
      <w:r>
        <w:rPr>
          <w:rFonts w:hint="default" w:ascii="新宋体" w:hAnsi="新宋体" w:eastAsia="新宋体"/>
          <w:color w:val="auto"/>
          <w:position w:val="0"/>
          <w:sz w:val="24"/>
          <w:szCs w:val="24"/>
          <w:u w:val="single"/>
        </w:rPr>
        <w:t xml:space="preserve">     </w:t>
      </w:r>
      <w:r>
        <w:rPr>
          <w:rFonts w:hint="default" w:ascii="新宋体" w:hAnsi="新宋体" w:eastAsia="新宋体"/>
          <w:color w:val="auto"/>
          <w:position w:val="0"/>
          <w:sz w:val="24"/>
          <w:szCs w:val="24"/>
        </w:rPr>
        <w:t>天（日历</w:t>
      </w:r>
      <w:r>
        <w:rPr>
          <w:rFonts w:hint="eastAsia" w:ascii="新宋体" w:hAnsi="新宋体" w:eastAsia="新宋体"/>
          <w:color w:val="auto"/>
          <w:position w:val="0"/>
          <w:sz w:val="24"/>
          <w:szCs w:val="24"/>
          <w:lang w:val="en-US" w:eastAsia="zh-CN"/>
        </w:rPr>
        <w:t>天</w:t>
      </w:r>
      <w:r>
        <w:rPr>
          <w:rFonts w:hint="default" w:ascii="新宋体" w:hAnsi="新宋体" w:eastAsia="新宋体"/>
          <w:color w:val="auto"/>
          <w:position w:val="0"/>
          <w:sz w:val="24"/>
          <w:szCs w:val="24"/>
        </w:rPr>
        <w:t>）内竣工，并确保工程质量达到</w:t>
      </w:r>
      <w:r>
        <w:rPr>
          <w:rFonts w:hint="default" w:ascii="新宋体" w:hAnsi="新宋体" w:eastAsia="新宋体"/>
          <w:color w:val="auto"/>
          <w:position w:val="0"/>
          <w:sz w:val="24"/>
          <w:szCs w:val="24"/>
          <w:u w:val="single"/>
        </w:rPr>
        <w:t xml:space="preserve">        </w:t>
      </w:r>
      <w:r>
        <w:rPr>
          <w:rFonts w:hint="default" w:ascii="新宋体" w:hAnsi="新宋体" w:eastAsia="新宋体"/>
          <w:color w:val="auto"/>
          <w:position w:val="0"/>
          <w:sz w:val="24"/>
          <w:szCs w:val="24"/>
        </w:rPr>
        <w:t>标准。我方同意本投标函在招标文件规定的提交投标文件截止时间后，在招标文件规定的投标有效期期满前对我方具有约束力，且随时准备接受你方发出的中标通知书。</w:t>
      </w:r>
      <w:r>
        <w:rPr>
          <w:rFonts w:hint="default" w:ascii="新宋体" w:hAnsi="新宋体" w:eastAsia="新宋体"/>
          <w:b/>
          <w:color w:val="auto"/>
          <w:position w:val="0"/>
          <w:sz w:val="24"/>
          <w:szCs w:val="24"/>
        </w:rPr>
        <w:t>我方承诺中标后按招标文件要求</w:t>
      </w:r>
      <w:r>
        <w:rPr>
          <w:rFonts w:hint="eastAsia" w:ascii="新宋体" w:hAnsi="新宋体" w:eastAsia="新宋体"/>
          <w:b/>
          <w:color w:val="auto"/>
          <w:position w:val="0"/>
          <w:sz w:val="24"/>
          <w:szCs w:val="24"/>
          <w:lang w:eastAsia="zh-CN"/>
        </w:rPr>
        <w:t>参考</w:t>
      </w:r>
      <w:r>
        <w:rPr>
          <w:rFonts w:hint="default" w:ascii="新宋体" w:hAnsi="新宋体" w:eastAsia="新宋体"/>
          <w:b/>
          <w:color w:val="auto"/>
          <w:position w:val="0"/>
          <w:sz w:val="24"/>
          <w:szCs w:val="24"/>
        </w:rPr>
        <w:t>发改价格[2015]299号文件规定交纳代理费相关费用。</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随本投标函递交的投标函附录是本投标函的组成部分，对我方构成约束力。</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随同本投标函递交投标保证金一份，金额为人民币（大写）：</w:t>
      </w:r>
      <w:r>
        <w:rPr>
          <w:rFonts w:hint="eastAsia" w:ascii="新宋体" w:hAnsi="新宋体" w:eastAsia="新宋体"/>
          <w:color w:val="auto"/>
          <w:position w:val="0"/>
          <w:sz w:val="24"/>
          <w:szCs w:val="24"/>
          <w:u w:val="single"/>
          <w:lang w:val="en-US" w:eastAsia="zh-CN"/>
        </w:rPr>
        <w:t xml:space="preserve">      </w:t>
      </w:r>
      <w:r>
        <w:rPr>
          <w:rFonts w:hint="default" w:ascii="新宋体" w:hAnsi="新宋体" w:eastAsia="新宋体"/>
          <w:color w:val="auto"/>
          <w:position w:val="0"/>
          <w:sz w:val="24"/>
          <w:szCs w:val="24"/>
        </w:rPr>
        <w:t>元（￥：</w:t>
      </w:r>
      <w:r>
        <w:rPr>
          <w:rFonts w:hint="eastAsia" w:ascii="新宋体" w:hAnsi="新宋体" w:eastAsia="新宋体"/>
          <w:color w:val="auto"/>
          <w:position w:val="0"/>
          <w:sz w:val="24"/>
          <w:szCs w:val="24"/>
          <w:u w:val="single"/>
          <w:lang w:val="en-US" w:eastAsia="zh-CN"/>
        </w:rPr>
        <w:t xml:space="preserve">      </w:t>
      </w:r>
      <w:r>
        <w:rPr>
          <w:rFonts w:hint="default" w:ascii="新宋体" w:hAnsi="新宋体" w:eastAsia="新宋体"/>
          <w:color w:val="auto"/>
          <w:position w:val="0"/>
          <w:sz w:val="24"/>
          <w:szCs w:val="24"/>
        </w:rPr>
        <w:t>元）。</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在签署协议书之前，你方的中标通知书连同本投标函，包括投标函附录，对双方具有约束力。</w:t>
      </w:r>
    </w:p>
    <w:p>
      <w:pPr>
        <w:numPr>
          <w:ilvl w:val="0"/>
          <w:numId w:val="0"/>
        </w:numPr>
        <w:autoSpaceDE/>
        <w:autoSpaceDN/>
        <w:spacing w:before="0" w:after="160" w:line="480" w:lineRule="exact"/>
        <w:ind w:right="0" w:firstLine="240" w:firstLineChars="10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投标人（盖章）：</w:t>
      </w:r>
    </w:p>
    <w:p>
      <w:pPr>
        <w:numPr>
          <w:ilvl w:val="0"/>
          <w:numId w:val="0"/>
        </w:numPr>
        <w:autoSpaceDE/>
        <w:autoSpaceDN/>
        <w:spacing w:before="0" w:after="160" w:line="480" w:lineRule="exact"/>
        <w:ind w:right="0" w:firstLine="240" w:firstLineChars="10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法人代表或委托代理人（签字）：</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日期：年月日</w:t>
      </w:r>
    </w:p>
    <w:p>
      <w:pPr>
        <w:numPr>
          <w:ilvl w:val="0"/>
          <w:numId w:val="0"/>
        </w:numPr>
        <w:autoSpaceDE w:val="0"/>
        <w:autoSpaceDN w:val="0"/>
        <w:spacing w:before="0" w:after="160" w:line="240" w:lineRule="auto"/>
        <w:ind w:right="0" w:firstLine="0"/>
        <w:jc w:val="center"/>
        <w:outlineLvl w:val="0"/>
        <w:rPr>
          <w:rFonts w:hint="default" w:ascii="黑体" w:hAnsi="黑体" w:eastAsia="黑体"/>
          <w:color w:val="auto"/>
          <w:position w:val="0"/>
          <w:sz w:val="28"/>
          <w:szCs w:val="28"/>
        </w:rPr>
      </w:pPr>
      <w:bookmarkStart w:id="103" w:name="_Toc250616672"/>
      <w:r>
        <w:br w:type="page"/>
      </w:r>
      <w:r>
        <w:rPr>
          <w:rFonts w:hint="default" w:ascii="黑体" w:hAnsi="黑体" w:eastAsia="黑体"/>
          <w:color w:val="auto"/>
          <w:position w:val="0"/>
          <w:sz w:val="28"/>
          <w:szCs w:val="28"/>
        </w:rPr>
        <w:t>二、投标函附录</w:t>
      </w:r>
      <w:bookmarkEnd w:id="103"/>
    </w:p>
    <w:tbl>
      <w:tblPr>
        <w:tblStyle w:val="31"/>
        <w:tblW w:w="9138" w:type="dxa"/>
        <w:tblInd w:w="4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2916"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工程名称标段</w:t>
            </w:r>
          </w:p>
        </w:tc>
        <w:tc>
          <w:tcPr>
            <w:tcW w:w="6222" w:type="dxa"/>
            <w:gridSpan w:val="6"/>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2916"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投标人</w:t>
            </w:r>
          </w:p>
        </w:tc>
        <w:tc>
          <w:tcPr>
            <w:tcW w:w="6222" w:type="dxa"/>
            <w:gridSpan w:val="6"/>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2916"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项目负责人（项目经理）</w:t>
            </w:r>
          </w:p>
        </w:tc>
        <w:tc>
          <w:tcPr>
            <w:tcW w:w="809"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c>
          <w:tcPr>
            <w:tcW w:w="607"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级别</w:t>
            </w:r>
          </w:p>
        </w:tc>
        <w:tc>
          <w:tcPr>
            <w:tcW w:w="808"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c>
          <w:tcPr>
            <w:tcW w:w="809"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注册编号</w:t>
            </w:r>
          </w:p>
        </w:tc>
        <w:tc>
          <w:tcPr>
            <w:tcW w:w="3189" w:type="dxa"/>
            <w:gridSpan w:val="2"/>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2916"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技术负责人</w:t>
            </w:r>
          </w:p>
        </w:tc>
        <w:tc>
          <w:tcPr>
            <w:tcW w:w="809"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c>
          <w:tcPr>
            <w:tcW w:w="607"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级别</w:t>
            </w:r>
          </w:p>
        </w:tc>
        <w:tc>
          <w:tcPr>
            <w:tcW w:w="808"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c>
          <w:tcPr>
            <w:tcW w:w="809"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证书编号</w:t>
            </w:r>
          </w:p>
        </w:tc>
        <w:tc>
          <w:tcPr>
            <w:tcW w:w="3189" w:type="dxa"/>
            <w:gridSpan w:val="2"/>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2916" w:type="dxa"/>
            <w:vMerge w:val="restart"/>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投标总报价</w:t>
            </w:r>
          </w:p>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c>
          <w:tcPr>
            <w:tcW w:w="3439" w:type="dxa"/>
            <w:gridSpan w:val="5"/>
            <w:vAlign w:val="center"/>
          </w:tcPr>
          <w:p>
            <w:pPr>
              <w:numPr>
                <w:ilvl w:val="0"/>
                <w:numId w:val="0"/>
              </w:numPr>
              <w:autoSpaceDE/>
              <w:autoSpaceDN/>
              <w:spacing w:before="0" w:after="160" w:line="240" w:lineRule="auto"/>
              <w:ind w:right="0" w:firstLine="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（大写）</w:t>
            </w:r>
          </w:p>
        </w:tc>
        <w:tc>
          <w:tcPr>
            <w:tcW w:w="2783" w:type="dxa"/>
            <w:vAlign w:val="center"/>
          </w:tcPr>
          <w:p>
            <w:pPr>
              <w:numPr>
                <w:ilvl w:val="0"/>
                <w:numId w:val="0"/>
              </w:numPr>
              <w:autoSpaceDE/>
              <w:autoSpaceDN/>
              <w:spacing w:before="0" w:after="160" w:line="240" w:lineRule="auto"/>
              <w:ind w:right="0" w:firstLine="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8" w:hRule="atLeast"/>
        </w:trPr>
        <w:tc>
          <w:tcPr>
            <w:tcW w:w="2916" w:type="dxa"/>
            <w:vMerge w:val="continue"/>
            <w:vAlign w:val="center"/>
          </w:tcPr>
          <w:p/>
        </w:tc>
        <w:tc>
          <w:tcPr>
            <w:tcW w:w="6222" w:type="dxa"/>
            <w:gridSpan w:val="6"/>
            <w:vAlign w:val="center"/>
          </w:tcPr>
          <w:p>
            <w:pPr>
              <w:numPr>
                <w:ilvl w:val="0"/>
                <w:numId w:val="0"/>
              </w:numPr>
              <w:autoSpaceDE/>
              <w:autoSpaceDN/>
              <w:spacing w:before="0" w:after="160" w:line="480" w:lineRule="exact"/>
              <w:ind w:right="0" w:firstLine="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其中：</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rPr>
            </w:pPr>
            <w:r>
              <w:rPr>
                <w:rFonts w:hint="default" w:ascii="Times New Roman" w:hAnsi="宋体" w:eastAsia="宋体"/>
                <w:color w:val="auto"/>
                <w:position w:val="0"/>
                <w:sz w:val="24"/>
                <w:szCs w:val="24"/>
              </w:rPr>
              <w:t>规费RMB￥：</w:t>
            </w:r>
            <w:r>
              <w:rPr>
                <w:rFonts w:hint="default" w:ascii="Times New Roman" w:hAnsi="宋体" w:eastAsia="宋体"/>
                <w:color w:val="auto"/>
                <w:position w:val="0"/>
                <w:sz w:val="24"/>
                <w:szCs w:val="24"/>
                <w:u w:val="single"/>
              </w:rPr>
              <w:t xml:space="preserve">                      </w:t>
            </w:r>
            <w:r>
              <w:rPr>
                <w:rFonts w:hint="default" w:ascii="Times New Roman" w:hAnsi="宋体" w:eastAsia="宋体"/>
                <w:color w:val="auto"/>
                <w:position w:val="0"/>
                <w:sz w:val="24"/>
                <w:szCs w:val="24"/>
              </w:rPr>
              <w:t>元</w:t>
            </w:r>
          </w:p>
          <w:p>
            <w:pPr>
              <w:numPr>
                <w:ilvl w:val="0"/>
                <w:numId w:val="0"/>
              </w:numPr>
              <w:autoSpaceDE/>
              <w:autoSpaceDN/>
              <w:spacing w:before="0" w:after="160" w:line="480" w:lineRule="exact"/>
              <w:ind w:right="0" w:firstLine="480"/>
              <w:jc w:val="both"/>
              <w:rPr>
                <w:rFonts w:hint="default" w:ascii="Times New Roman" w:hAnsi="宋体" w:eastAsia="宋体"/>
                <w:color w:val="auto"/>
                <w:position w:val="0"/>
                <w:sz w:val="24"/>
                <w:szCs w:val="24"/>
              </w:rPr>
            </w:pPr>
            <w:r>
              <w:rPr>
                <w:rFonts w:hint="eastAsia" w:hAnsi="宋体" w:eastAsia="宋体"/>
                <w:color w:val="auto"/>
                <w:position w:val="0"/>
                <w:sz w:val="24"/>
                <w:szCs w:val="24"/>
                <w:lang w:val="en-US" w:eastAsia="zh-CN"/>
              </w:rPr>
              <w:t>税金</w:t>
            </w:r>
            <w:r>
              <w:rPr>
                <w:rFonts w:hint="default" w:ascii="Times New Roman" w:hAnsi="宋体" w:eastAsia="宋体"/>
                <w:color w:val="auto"/>
                <w:position w:val="0"/>
                <w:sz w:val="24"/>
                <w:szCs w:val="24"/>
              </w:rPr>
              <w:t>RMB￥：</w:t>
            </w:r>
            <w:r>
              <w:rPr>
                <w:rFonts w:hint="default" w:ascii="Times New Roman" w:hAnsi="宋体" w:eastAsia="宋体"/>
                <w:color w:val="auto"/>
                <w:position w:val="0"/>
                <w:sz w:val="24"/>
                <w:szCs w:val="24"/>
                <w:u w:val="single"/>
              </w:rPr>
              <w:t xml:space="preserve">                      </w:t>
            </w:r>
            <w:r>
              <w:rPr>
                <w:rFonts w:hint="default" w:ascii="Times New Roman" w:hAnsi="宋体" w:eastAsia="宋体"/>
                <w:color w:val="auto"/>
                <w:position w:val="0"/>
                <w:sz w:val="24"/>
                <w:szCs w:val="24"/>
              </w:rPr>
              <w:t>元</w:t>
            </w:r>
          </w:p>
          <w:p>
            <w:pPr>
              <w:numPr>
                <w:ilvl w:val="0"/>
                <w:numId w:val="0"/>
              </w:numPr>
              <w:autoSpaceDE/>
              <w:autoSpaceDN/>
              <w:spacing w:before="0" w:after="160" w:line="480" w:lineRule="exact"/>
              <w:ind w:right="0" w:firstLine="480"/>
              <w:jc w:val="both"/>
              <w:rPr>
                <w:rFonts w:hint="default" w:ascii="Times New Roman" w:hAnsi="Times New Roman" w:eastAsia="Times New Roman"/>
                <w:color w:val="auto"/>
                <w:position w:val="0"/>
                <w:sz w:val="21"/>
                <w:szCs w:val="21"/>
              </w:rPr>
            </w:pPr>
            <w:r>
              <w:rPr>
                <w:rFonts w:hint="default" w:ascii="Times New Roman" w:hAnsi="宋体" w:eastAsia="宋体"/>
                <w:color w:val="auto"/>
                <w:position w:val="0"/>
                <w:sz w:val="24"/>
                <w:szCs w:val="24"/>
              </w:rPr>
              <w:t>安全文明施工措施费RMB￥：</w:t>
            </w:r>
            <w:r>
              <w:rPr>
                <w:rFonts w:hint="default" w:ascii="Times New Roman" w:hAnsi="宋体" w:eastAsia="宋体"/>
                <w:color w:val="auto"/>
                <w:position w:val="0"/>
                <w:sz w:val="24"/>
                <w:szCs w:val="24"/>
                <w:u w:val="single"/>
              </w:rPr>
              <w:t xml:space="preserve">            </w:t>
            </w:r>
            <w:r>
              <w:rPr>
                <w:rFonts w:hint="default" w:ascii="Times New Roman" w:hAnsi="宋体" w:eastAsia="宋体"/>
                <w:color w:val="auto"/>
                <w:position w:val="0"/>
                <w:sz w:val="24"/>
                <w:szCs w:val="24"/>
              </w:rPr>
              <w:t>元</w:t>
            </w:r>
          </w:p>
          <w:p>
            <w:pPr>
              <w:numPr>
                <w:ilvl w:val="0"/>
                <w:numId w:val="0"/>
              </w:numPr>
              <w:autoSpaceDE/>
              <w:autoSpaceDN/>
              <w:spacing w:before="0" w:after="160" w:line="480" w:lineRule="exact"/>
              <w:ind w:right="0" w:firstLine="480"/>
              <w:jc w:val="both"/>
              <w:rPr>
                <w:rFonts w:hint="default" w:ascii="新宋体" w:hAnsi="新宋体" w:eastAsia="新宋体"/>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trPr>
        <w:tc>
          <w:tcPr>
            <w:tcW w:w="2916"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投标质量等级</w:t>
            </w:r>
          </w:p>
        </w:tc>
        <w:tc>
          <w:tcPr>
            <w:tcW w:w="6222" w:type="dxa"/>
            <w:gridSpan w:val="6"/>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2916"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投标工期</w:t>
            </w:r>
          </w:p>
        </w:tc>
        <w:tc>
          <w:tcPr>
            <w:tcW w:w="6222" w:type="dxa"/>
            <w:gridSpan w:val="6"/>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2916" w:type="dxa"/>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投标有效期</w:t>
            </w:r>
          </w:p>
        </w:tc>
        <w:tc>
          <w:tcPr>
            <w:tcW w:w="6222" w:type="dxa"/>
            <w:gridSpan w:val="6"/>
            <w:vAlign w:val="center"/>
          </w:tcPr>
          <w:p>
            <w:pPr>
              <w:numPr>
                <w:ilvl w:val="0"/>
                <w:numId w:val="0"/>
              </w:numPr>
              <w:autoSpaceDE/>
              <w:autoSpaceDN/>
              <w:spacing w:before="0" w:after="160" w:line="240" w:lineRule="auto"/>
              <w:ind w:right="0" w:firstLine="0"/>
              <w:jc w:val="center"/>
              <w:rPr>
                <w:rFonts w:hint="default" w:ascii="新宋体" w:hAnsi="新宋体" w:eastAsia="新宋体"/>
                <w:color w:val="auto"/>
                <w:position w:val="0"/>
                <w:sz w:val="24"/>
                <w:szCs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1" w:hRule="atLeast"/>
        </w:trPr>
        <w:tc>
          <w:tcPr>
            <w:tcW w:w="9138" w:type="dxa"/>
            <w:gridSpan w:val="7"/>
            <w:vAlign w:val="top"/>
          </w:tcPr>
          <w:p>
            <w:pPr>
              <w:numPr>
                <w:ilvl w:val="0"/>
                <w:numId w:val="0"/>
              </w:numPr>
              <w:autoSpaceDE/>
              <w:autoSpaceDN/>
              <w:spacing w:before="0" w:after="160" w:line="240" w:lineRule="auto"/>
              <w:ind w:right="0" w:firstLine="0"/>
              <w:jc w:val="both"/>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 xml:space="preserve"> 优惠与服务承诺：</w:t>
            </w:r>
          </w:p>
          <w:p>
            <w:pPr>
              <w:numPr>
                <w:ilvl w:val="0"/>
                <w:numId w:val="0"/>
              </w:numPr>
              <w:autoSpaceDE/>
              <w:autoSpaceDN/>
              <w:spacing w:before="0" w:after="160" w:line="240" w:lineRule="auto"/>
              <w:ind w:right="0" w:firstLine="0"/>
              <w:jc w:val="both"/>
              <w:rPr>
                <w:rFonts w:hint="default" w:ascii="新宋体" w:hAnsi="新宋体" w:eastAsia="新宋体"/>
                <w:color w:val="auto"/>
                <w:position w:val="0"/>
                <w:sz w:val="24"/>
                <w:szCs w:val="24"/>
              </w:rPr>
            </w:pPr>
          </w:p>
        </w:tc>
      </w:tr>
    </w:tbl>
    <w:p>
      <w:pPr>
        <w:numPr>
          <w:ilvl w:val="0"/>
          <w:numId w:val="0"/>
        </w:numPr>
        <w:autoSpaceDE/>
        <w:autoSpaceDN/>
        <w:spacing w:before="0" w:after="160" w:line="360" w:lineRule="auto"/>
        <w:ind w:right="475" w:firstLine="0"/>
        <w:jc w:val="right"/>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投标单位（盖章）：</w:t>
      </w:r>
    </w:p>
    <w:p>
      <w:pPr>
        <w:numPr>
          <w:ilvl w:val="0"/>
          <w:numId w:val="0"/>
        </w:numPr>
        <w:autoSpaceDE/>
        <w:autoSpaceDN/>
        <w:spacing w:before="0" w:after="160" w:line="360" w:lineRule="auto"/>
        <w:ind w:right="315" w:firstLine="0"/>
        <w:jc w:val="right"/>
        <w:rPr>
          <w:rFonts w:hint="default" w:ascii="新宋体" w:hAnsi="新宋体" w:eastAsia="新宋体"/>
          <w:color w:val="auto"/>
          <w:position w:val="0"/>
          <w:sz w:val="24"/>
          <w:szCs w:val="24"/>
        </w:rPr>
      </w:pPr>
      <w:r>
        <w:rPr>
          <w:rFonts w:hint="default" w:ascii="新宋体" w:hAnsi="新宋体" w:eastAsia="新宋体"/>
          <w:color w:val="auto"/>
          <w:position w:val="0"/>
          <w:sz w:val="24"/>
          <w:szCs w:val="24"/>
        </w:rPr>
        <w:t>法定代表人或委托代理人（签字）：</w:t>
      </w:r>
    </w:p>
    <w:p>
      <w:pPr>
        <w:numPr>
          <w:ilvl w:val="0"/>
          <w:numId w:val="0"/>
        </w:numPr>
        <w:tabs>
          <w:tab w:val="left" w:pos="7560"/>
          <w:tab w:val="right" w:pos="9008"/>
        </w:tabs>
        <w:autoSpaceDE/>
        <w:autoSpaceDN/>
        <w:spacing w:before="0" w:after="160" w:line="360" w:lineRule="auto"/>
        <w:ind w:right="630" w:firstLine="0"/>
        <w:jc w:val="left"/>
        <w:rPr>
          <w:rFonts w:hint="default" w:ascii="黑体" w:hAnsi="黑体" w:eastAsia="黑体"/>
          <w:color w:val="auto"/>
          <w:position w:val="0"/>
          <w:sz w:val="28"/>
          <w:szCs w:val="28"/>
        </w:rPr>
      </w:pPr>
      <w:r>
        <w:rPr>
          <w:rFonts w:hint="default" w:ascii="新宋体" w:hAnsi="新宋体" w:eastAsia="新宋体"/>
          <w:color w:val="auto"/>
          <w:position w:val="0"/>
          <w:sz w:val="24"/>
          <w:szCs w:val="24"/>
        </w:rPr>
        <w:tab/>
      </w:r>
      <w:r>
        <w:rPr>
          <w:rFonts w:hint="default" w:ascii="新宋体" w:hAnsi="新宋体" w:eastAsia="新宋体"/>
          <w:color w:val="auto"/>
          <w:position w:val="0"/>
          <w:sz w:val="24"/>
          <w:szCs w:val="24"/>
        </w:rPr>
        <w:t>年 月 日</w:t>
      </w:r>
    </w:p>
    <w:p>
      <w:pPr>
        <w:numPr>
          <w:ilvl w:val="0"/>
          <w:numId w:val="0"/>
        </w:numPr>
        <w:autoSpaceDE w:val="0"/>
        <w:autoSpaceDN w:val="0"/>
        <w:spacing w:before="240" w:after="240" w:line="420" w:lineRule="exact"/>
        <w:ind w:right="0" w:firstLine="560"/>
        <w:jc w:val="center"/>
        <w:outlineLvl w:val="0"/>
        <w:rPr>
          <w:rFonts w:hint="default" w:ascii="Times New Roman" w:hAnsi="宋体" w:eastAsia="宋体"/>
          <w:b/>
          <w:color w:val="auto"/>
          <w:position w:val="0"/>
          <w:sz w:val="28"/>
          <w:szCs w:val="28"/>
          <w:highlight w:val="none"/>
        </w:rPr>
      </w:pPr>
      <w:r>
        <w:rPr>
          <w:rFonts w:hint="default" w:ascii="Times New Roman" w:hAnsi="宋体" w:eastAsia="宋体"/>
          <w:color w:val="auto"/>
          <w:position w:val="0"/>
          <w:sz w:val="28"/>
          <w:szCs w:val="28"/>
          <w:highlight w:val="none"/>
        </w:rPr>
        <w:t>二、</w:t>
      </w:r>
      <w:bookmarkEnd w:id="101"/>
      <w:r>
        <w:rPr>
          <w:rFonts w:hint="default" w:ascii="Times New Roman" w:hAnsi="宋体" w:eastAsia="宋体"/>
          <w:b/>
          <w:color w:val="auto"/>
          <w:position w:val="0"/>
          <w:sz w:val="28"/>
          <w:szCs w:val="28"/>
          <w:highlight w:val="none"/>
        </w:rPr>
        <w:t>法定代表人身份证明、授权委托书</w:t>
      </w:r>
      <w:bookmarkEnd w:id="102"/>
    </w:p>
    <w:p>
      <w:pPr>
        <w:numPr>
          <w:ilvl w:val="0"/>
          <w:numId w:val="0"/>
        </w:numPr>
        <w:autoSpaceDE w:val="0"/>
        <w:autoSpaceDN w:val="0"/>
        <w:spacing w:before="0" w:after="160" w:line="420" w:lineRule="exact"/>
        <w:ind w:right="0" w:firstLine="560"/>
        <w:jc w:val="center"/>
        <w:outlineLvl w:val="0"/>
        <w:rPr>
          <w:rFonts w:hint="default" w:ascii="Times New Roman" w:hAnsi="宋体" w:eastAsia="宋体"/>
          <w:b/>
          <w:color w:val="auto"/>
          <w:position w:val="0"/>
          <w:sz w:val="28"/>
          <w:szCs w:val="28"/>
          <w:highlight w:val="none"/>
        </w:rPr>
      </w:pPr>
      <w:bookmarkStart w:id="104" w:name="_Toc25215"/>
      <w:bookmarkStart w:id="105" w:name="_Toc271787731"/>
      <w:r>
        <w:rPr>
          <w:rFonts w:hint="default" w:ascii="Times New Roman" w:hAnsi="宋体" w:eastAsia="宋体"/>
          <w:b/>
          <w:color w:val="auto"/>
          <w:position w:val="0"/>
          <w:sz w:val="28"/>
          <w:szCs w:val="28"/>
          <w:highlight w:val="none"/>
        </w:rPr>
        <w:t>（一）法定代表人身份证明</w:t>
      </w:r>
      <w:bookmarkEnd w:id="104"/>
      <w:bookmarkEnd w:id="105"/>
    </w:p>
    <w:p>
      <w:pPr>
        <w:numPr>
          <w:ilvl w:val="0"/>
          <w:numId w:val="0"/>
        </w:numPr>
        <w:autoSpaceDE w:val="0"/>
        <w:autoSpaceDN w:val="0"/>
        <w:spacing w:before="0" w:after="160" w:line="420" w:lineRule="exact"/>
        <w:ind w:right="0" w:firstLine="0"/>
        <w:jc w:val="center"/>
        <w:rPr>
          <w:rFonts w:hint="default" w:ascii="Times New Roman" w:hAnsi="宋体" w:eastAsia="宋体"/>
          <w:color w:val="auto"/>
          <w:position w:val="0"/>
          <w:sz w:val="28"/>
          <w:szCs w:val="28"/>
          <w:highlight w:val="none"/>
        </w:rPr>
      </w:pP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u w:val="single"/>
        </w:rPr>
      </w:pPr>
      <w:r>
        <w:rPr>
          <w:rFonts w:hint="default" w:ascii="Times New Roman" w:hAnsi="宋体" w:eastAsia="宋体"/>
          <w:color w:val="auto"/>
          <w:position w:val="0"/>
          <w:sz w:val="24"/>
          <w:szCs w:val="24"/>
          <w:highlight w:val="none"/>
        </w:rPr>
        <w:t>投标人名称：</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单位性质：</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地址：</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成立时间：年月日</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经营期限：</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姓名：性别：年龄：职务：联系电话:</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系（投标人名称）的法定代表人。</w:t>
      </w:r>
    </w:p>
    <w:p>
      <w:pPr>
        <w:numPr>
          <w:ilvl w:val="0"/>
          <w:numId w:val="0"/>
        </w:numPr>
        <w:autoSpaceDE w:val="0"/>
        <w:autoSpaceDN w:val="0"/>
        <w:spacing w:before="0" w:after="160" w:line="42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特此证明。</w:t>
      </w:r>
    </w:p>
    <w:p>
      <w:pPr>
        <w:numPr>
          <w:ilvl w:val="0"/>
          <w:numId w:val="0"/>
        </w:numPr>
        <w:autoSpaceDE/>
        <w:autoSpaceDN/>
        <w:spacing w:before="0" w:after="160" w:line="240" w:lineRule="auto"/>
        <w:ind w:right="0" w:firstLine="480" w:firstLineChars="200"/>
        <w:jc w:val="both"/>
        <w:rPr>
          <w:rFonts w:hint="default" w:ascii="Times New Roman" w:hAnsi="Times New Roman" w:eastAsia="Times New Roman"/>
          <w:color w:val="auto"/>
          <w:position w:val="0"/>
          <w:sz w:val="21"/>
          <w:szCs w:val="21"/>
          <w:highlight w:val="none"/>
        </w:rPr>
      </w:pPr>
      <w:r>
        <w:rPr>
          <w:rFonts w:hint="default" w:ascii="Times New Roman" w:hAnsi="宋体" w:eastAsia="宋体"/>
          <w:color w:val="auto"/>
          <w:position w:val="0"/>
          <w:sz w:val="24"/>
          <w:szCs w:val="24"/>
          <w:highlight w:val="none"/>
        </w:rPr>
        <w:t>附：法定代表人身份证原件的扫描件或图片</w:t>
      </w:r>
    </w:p>
    <w:p>
      <w:pPr>
        <w:numPr>
          <w:ilvl w:val="0"/>
          <w:numId w:val="0"/>
        </w:numPr>
        <w:autoSpaceDE w:val="0"/>
        <w:autoSpaceDN w:val="0"/>
        <w:spacing w:before="0" w:after="160" w:line="42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投标人：（盖单位章）</w:t>
      </w:r>
    </w:p>
    <w:p>
      <w:pPr>
        <w:numPr>
          <w:ilvl w:val="0"/>
          <w:numId w:val="0"/>
        </w:numPr>
        <w:autoSpaceDE w:val="0"/>
        <w:autoSpaceDN w:val="0"/>
        <w:spacing w:before="0" w:after="160" w:line="420" w:lineRule="exact"/>
        <w:ind w:right="0" w:firstLine="480"/>
        <w:jc w:val="righ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年月日</w:t>
      </w:r>
    </w:p>
    <w:p>
      <w:pPr>
        <w:numPr>
          <w:ilvl w:val="0"/>
          <w:numId w:val="0"/>
        </w:numPr>
        <w:autoSpaceDE w:val="0"/>
        <w:autoSpaceDN w:val="0"/>
        <w:spacing w:before="0" w:after="160" w:line="420" w:lineRule="exact"/>
        <w:ind w:right="0" w:firstLine="420"/>
        <w:jc w:val="right"/>
        <w:rPr>
          <w:rFonts w:hint="default" w:ascii="Times New Roman" w:hAnsi="宋体" w:eastAsia="宋体"/>
          <w:color w:val="auto"/>
          <w:position w:val="0"/>
          <w:sz w:val="21"/>
          <w:szCs w:val="21"/>
          <w:highlight w:val="none"/>
        </w:rPr>
      </w:pPr>
    </w:p>
    <w:p>
      <w:pPr>
        <w:numPr>
          <w:ilvl w:val="0"/>
          <w:numId w:val="0"/>
        </w:numPr>
        <w:autoSpaceDE w:val="0"/>
        <w:autoSpaceDN w:val="0"/>
        <w:spacing w:before="0" w:after="160" w:line="420" w:lineRule="exact"/>
        <w:ind w:right="0" w:firstLine="560"/>
        <w:jc w:val="center"/>
        <w:outlineLvl w:val="0"/>
        <w:rPr>
          <w:rFonts w:hint="default" w:ascii="Times New Roman" w:hAnsi="宋体" w:eastAsia="宋体"/>
          <w:b/>
          <w:color w:val="auto"/>
          <w:position w:val="0"/>
          <w:sz w:val="28"/>
          <w:szCs w:val="28"/>
          <w:highlight w:val="none"/>
        </w:rPr>
      </w:pPr>
      <w:bookmarkStart w:id="106" w:name="_Toc271787732"/>
      <w:bookmarkStart w:id="107" w:name="_Toc30413"/>
    </w:p>
    <w:p>
      <w:pPr>
        <w:rPr>
          <w:rFonts w:hint="default" w:ascii="Times New Roman" w:hAnsi="宋体" w:eastAsia="宋体"/>
          <w:b/>
          <w:color w:val="auto"/>
          <w:position w:val="0"/>
          <w:sz w:val="28"/>
          <w:szCs w:val="28"/>
          <w:highlight w:val="none"/>
        </w:rPr>
      </w:pPr>
      <w:r>
        <w:rPr>
          <w:rFonts w:hint="default" w:ascii="Times New Roman" w:hAnsi="宋体" w:eastAsia="宋体"/>
          <w:b/>
          <w:color w:val="auto"/>
          <w:position w:val="0"/>
          <w:sz w:val="28"/>
          <w:szCs w:val="28"/>
          <w:highlight w:val="none"/>
        </w:rPr>
        <w:br w:type="page"/>
      </w:r>
    </w:p>
    <w:p>
      <w:pPr>
        <w:numPr>
          <w:ilvl w:val="0"/>
          <w:numId w:val="0"/>
        </w:numPr>
        <w:autoSpaceDE w:val="0"/>
        <w:autoSpaceDN w:val="0"/>
        <w:spacing w:before="0" w:after="160" w:line="420" w:lineRule="exact"/>
        <w:ind w:right="0" w:firstLine="560"/>
        <w:jc w:val="center"/>
        <w:outlineLvl w:val="0"/>
        <w:rPr>
          <w:rFonts w:hint="default" w:ascii="Times New Roman" w:hAnsi="宋体" w:eastAsia="宋体"/>
          <w:b/>
          <w:color w:val="auto"/>
          <w:position w:val="0"/>
          <w:sz w:val="28"/>
          <w:szCs w:val="28"/>
          <w:highlight w:val="none"/>
        </w:rPr>
      </w:pPr>
      <w:r>
        <w:rPr>
          <w:rFonts w:hint="default" w:ascii="Times New Roman" w:hAnsi="宋体" w:eastAsia="宋体"/>
          <w:b/>
          <w:color w:val="auto"/>
          <w:position w:val="0"/>
          <w:sz w:val="28"/>
          <w:szCs w:val="28"/>
          <w:highlight w:val="none"/>
        </w:rPr>
        <w:t>（二）授权委托书</w:t>
      </w:r>
      <w:bookmarkEnd w:id="106"/>
      <w:bookmarkEnd w:id="107"/>
    </w:p>
    <w:p>
      <w:pPr>
        <w:numPr>
          <w:ilvl w:val="0"/>
          <w:numId w:val="0"/>
        </w:numPr>
        <w:autoSpaceDE w:val="0"/>
        <w:autoSpaceDN w:val="0"/>
        <w:spacing w:before="0" w:after="160" w:line="420" w:lineRule="exact"/>
        <w:ind w:right="0" w:firstLine="0"/>
        <w:jc w:val="center"/>
        <w:rPr>
          <w:rFonts w:hint="default" w:ascii="Times New Roman" w:hAnsi="宋体" w:eastAsia="宋体"/>
          <w:color w:val="auto"/>
          <w:position w:val="0"/>
          <w:sz w:val="28"/>
          <w:szCs w:val="28"/>
          <w:highlight w:val="none"/>
        </w:rPr>
      </w:pP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本人 </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（姓名）系</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（投标人名称）的法定代表人，现委托</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 xml:space="preserve">（姓名）为我方代理人。代理人根据授权，以我方名义签署、澄清、说明、补正、递交、撤回、修改 </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（项目名称）投标文件、签订合同和处理有关事宜，其法律后果由我方承担。</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委托期限：</w:t>
      </w:r>
      <w:r>
        <w:rPr>
          <w:rFonts w:hint="default" w:ascii="Times New Roman" w:hAnsi="宋体" w:eastAsia="宋体"/>
          <w:color w:val="auto"/>
          <w:position w:val="0"/>
          <w:sz w:val="24"/>
          <w:szCs w:val="24"/>
          <w:highlight w:val="none"/>
          <w:u w:val="single"/>
        </w:rPr>
        <w:t xml:space="preserve">           </w:t>
      </w:r>
      <w:r>
        <w:rPr>
          <w:rFonts w:hint="default" w:ascii="Times New Roman" w:hAnsi="宋体" w:eastAsia="宋体"/>
          <w:color w:val="auto"/>
          <w:position w:val="0"/>
          <w:sz w:val="24"/>
          <w:szCs w:val="24"/>
          <w:highlight w:val="none"/>
        </w:rPr>
        <w:t>。</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代理人无转委托权。</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附：法定代表人身份证复印件及委托代理人身份证原件的扫描件或图片</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投标人：（盖单位章）</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法定代表人： （签字）</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身份证号码：</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委托代理人： （签字）</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身份证号码：</w:t>
      </w:r>
    </w:p>
    <w:p>
      <w:pPr>
        <w:numPr>
          <w:ilvl w:val="0"/>
          <w:numId w:val="0"/>
        </w:numPr>
        <w:autoSpaceDE w:val="0"/>
        <w:autoSpaceDN w:val="0"/>
        <w:spacing w:before="0" w:after="160" w:line="44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联系电话:</w:t>
      </w:r>
    </w:p>
    <w:p>
      <w:pPr>
        <w:numPr>
          <w:ilvl w:val="0"/>
          <w:numId w:val="0"/>
        </w:numPr>
        <w:autoSpaceDE w:val="0"/>
        <w:autoSpaceDN w:val="0"/>
        <w:spacing w:before="0" w:after="160" w:line="440" w:lineRule="exact"/>
        <w:ind w:right="0" w:firstLine="480"/>
        <w:jc w:val="left"/>
        <w:rPr>
          <w:rFonts w:hint="default" w:ascii="Times New Roman" w:hAnsi="宋体" w:eastAsia="宋体"/>
          <w:b/>
          <w:color w:val="auto"/>
          <w:position w:val="0"/>
          <w:sz w:val="32"/>
          <w:szCs w:val="32"/>
          <w:highlight w:val="none"/>
        </w:rPr>
      </w:pPr>
      <w:r>
        <w:rPr>
          <w:rFonts w:hint="default" w:ascii="Times New Roman" w:hAnsi="宋体" w:eastAsia="宋体"/>
          <w:color w:val="auto"/>
          <w:position w:val="0"/>
          <w:sz w:val="24"/>
          <w:szCs w:val="24"/>
          <w:highlight w:val="none"/>
        </w:rPr>
        <w:t>年月 日</w:t>
      </w:r>
    </w:p>
    <w:p>
      <w:pPr>
        <w:numPr>
          <w:ilvl w:val="0"/>
          <w:numId w:val="0"/>
        </w:numPr>
        <w:autoSpaceDE/>
        <w:autoSpaceDN/>
        <w:spacing w:before="0" w:after="160" w:line="360" w:lineRule="auto"/>
        <w:ind w:right="0" w:firstLine="0"/>
        <w:jc w:val="center"/>
        <w:rPr>
          <w:rFonts w:hint="default" w:ascii="Times New Roman" w:hAnsi="宋体" w:eastAsia="宋体"/>
          <w:b/>
          <w:color w:val="auto"/>
          <w:position w:val="0"/>
          <w:sz w:val="36"/>
          <w:szCs w:val="36"/>
          <w:highlight w:val="none"/>
        </w:rPr>
      </w:pPr>
    </w:p>
    <w:p>
      <w:pPr>
        <w:pStyle w:val="2"/>
        <w:numPr>
          <w:ilvl w:val="0"/>
          <w:numId w:val="0"/>
        </w:numPr>
        <w:autoSpaceDE/>
        <w:autoSpaceDN/>
        <w:spacing w:before="0" w:after="120" w:line="240" w:lineRule="auto"/>
        <w:ind w:right="0" w:firstLine="240"/>
        <w:jc w:val="both"/>
        <w:rPr>
          <w:rFonts w:hint="default" w:ascii="宋体" w:hAnsi="Times New Roman" w:eastAsia="Times New Roman"/>
          <w:color w:val="auto"/>
          <w:position w:val="0"/>
          <w:sz w:val="34"/>
          <w:szCs w:val="34"/>
          <w:highlight w:val="none"/>
        </w:rPr>
      </w:pPr>
    </w:p>
    <w:p>
      <w:pPr>
        <w:numPr>
          <w:ilvl w:val="0"/>
          <w:numId w:val="0"/>
        </w:numPr>
        <w:autoSpaceDE/>
        <w:autoSpaceDN/>
        <w:spacing w:before="0" w:after="120" w:line="240" w:lineRule="auto"/>
        <w:ind w:right="0" w:firstLine="240"/>
        <w:jc w:val="both"/>
        <w:rPr>
          <w:rFonts w:hint="default" w:ascii="Arial" w:hAnsi="Arial" w:eastAsia="Arial"/>
          <w:color w:val="auto"/>
          <w:position w:val="0"/>
          <w:sz w:val="24"/>
          <w:szCs w:val="24"/>
          <w:highlight w:val="none"/>
        </w:rPr>
        <w:sectPr>
          <w:pgSz w:w="11906" w:h="16838"/>
          <w:pgMar w:top="1304" w:right="1134" w:bottom="1034" w:left="1134" w:header="851" w:footer="992" w:gutter="0"/>
          <w:pgNumType w:fmt="decimal"/>
          <w:docGrid w:type="linesAndChars" w:linePitch="312" w:charSpace="0"/>
        </w:sectPr>
      </w:pPr>
    </w:p>
    <w:p>
      <w:pPr>
        <w:numPr>
          <w:ilvl w:val="0"/>
          <w:numId w:val="0"/>
        </w:numPr>
        <w:autoSpaceDE/>
        <w:autoSpaceDN/>
        <w:spacing w:before="0" w:after="160" w:line="360" w:lineRule="auto"/>
        <w:ind w:right="0" w:firstLine="720"/>
        <w:jc w:val="center"/>
        <w:rPr>
          <w:rFonts w:hint="default" w:ascii="Times New Roman" w:hAnsi="宋体" w:eastAsia="宋体"/>
          <w:b/>
          <w:color w:val="auto"/>
          <w:position w:val="0"/>
          <w:sz w:val="36"/>
          <w:szCs w:val="36"/>
          <w:highlight w:val="none"/>
        </w:rPr>
      </w:pPr>
      <w:r>
        <w:rPr>
          <w:sz w:val="20"/>
          <w:shd w:val="clear" w:color="auto" w:fill="FCFCFC"/>
        </w:rPr>
        <w:drawing>
          <wp:anchor distT="0" distB="0" distL="114300" distR="114300" simplePos="0" relativeHeight="251625472" behindDoc="1" locked="1" layoutInCell="1" allowOverlap="1">
            <wp:simplePos x="0" y="0"/>
            <wp:positionH relativeFrom="column">
              <wp:posOffset>4673600</wp:posOffset>
            </wp:positionH>
            <wp:positionV relativeFrom="paragraph">
              <wp:posOffset>10058400</wp:posOffset>
            </wp:positionV>
            <wp:extent cx="953135" cy="927735"/>
            <wp:effectExtent l="0" t="0" r="0" b="6350"/>
            <wp:wrapNone/>
            <wp:docPr id="154"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2" descr="66"/>
                    <pic:cNvPicPr>
                      <a:picLocks noChangeAspect="1" noChangeArrowheads="1"/>
                    </pic:cNvPicPr>
                  </pic:nvPicPr>
                  <pic:blipFill>
                    <a:blip r:embed="rId13" cstate="print"/>
                    <a:stretch>
                      <a:fillRect/>
                    </a:stretch>
                  </pic:blipFill>
                  <pic:spPr>
                    <a:xfrm>
                      <a:off x="0" y="0"/>
                      <a:ext cx="953770" cy="928370"/>
                    </a:xfrm>
                    <a:prstGeom prst="rect">
                      <a:avLst/>
                    </a:prstGeom>
                    <a:noFill/>
                    <a:ln cap="flat">
                      <a:noFill/>
                    </a:ln>
                  </pic:spPr>
                </pic:pic>
              </a:graphicData>
            </a:graphic>
          </wp:anchor>
        </w:drawing>
      </w:r>
      <w:r>
        <w:rPr>
          <w:rFonts w:hint="default" w:ascii="Times New Roman" w:hAnsi="宋体" w:eastAsia="宋体"/>
          <w:b/>
          <w:color w:val="auto"/>
          <w:position w:val="0"/>
          <w:sz w:val="36"/>
          <w:szCs w:val="36"/>
          <w:highlight w:val="none"/>
        </w:rPr>
        <w:t>三、投标保证金</w:t>
      </w: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rPr>
          <w:color w:val="000000" w:themeColor="text1"/>
          <w:sz w:val="21"/>
          <w:szCs w:val="21"/>
          <w14:textFill>
            <w14:solidFill>
              <w14:schemeClr w14:val="tx1"/>
            </w14:solidFill>
          </w14:textFill>
        </w:rPr>
      </w:pPr>
    </w:p>
    <w:p>
      <w:pPr>
        <w:numPr>
          <w:ilvl w:val="0"/>
          <w:numId w:val="0"/>
        </w:numPr>
        <w:autoSpaceDE w:val="0"/>
        <w:autoSpaceDN w:val="0"/>
        <w:adjustRightInd w:val="0"/>
        <w:spacing w:line="340" w:lineRule="exact"/>
        <w:rPr>
          <w:rFonts w:hint="default" w:hAnsi="宋体" w:cs="宋体" w:eastAsiaTheme="minorEastAsia"/>
          <w:color w:val="FF0000"/>
          <w:sz w:val="24"/>
          <w:lang w:val="en-US" w:eastAsia="zh-CN"/>
        </w:rPr>
      </w:pPr>
      <w:r>
        <w:rPr>
          <w:rFonts w:hint="eastAsia" w:hAnsi="宋体" w:cs="宋体"/>
          <w:color w:val="FF0000"/>
          <w:sz w:val="24"/>
          <w:lang w:val="en-US" w:eastAsia="zh-CN"/>
        </w:rPr>
        <w:t>附提交凭证：</w:t>
      </w:r>
    </w:p>
    <w:p>
      <w:pPr>
        <w:numPr>
          <w:ilvl w:val="0"/>
          <w:numId w:val="5"/>
        </w:numPr>
        <w:autoSpaceDE w:val="0"/>
        <w:autoSpaceDN w:val="0"/>
        <w:adjustRightInd w:val="0"/>
        <w:spacing w:line="340" w:lineRule="exact"/>
        <w:ind w:firstLine="480" w:firstLineChars="200"/>
        <w:rPr>
          <w:rFonts w:hint="eastAsia"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银行转帐、银行电汇</w:t>
      </w:r>
      <w:r>
        <w:rPr>
          <w:rFonts w:hint="eastAsia" w:hAnsi="宋体" w:eastAsia="Times New Roman" w:cs="宋体"/>
          <w:color w:val="000000" w:themeColor="text1"/>
          <w:sz w:val="24"/>
          <w:lang w:val="zh-CN"/>
          <w14:textFill>
            <w14:solidFill>
              <w14:schemeClr w14:val="tx1"/>
            </w14:solidFill>
          </w14:textFill>
        </w:rPr>
        <w:t>方式</w:t>
      </w:r>
      <w:r>
        <w:rPr>
          <w:rFonts w:hint="eastAsia" w:hAnsi="宋体" w:cs="宋体"/>
          <w:color w:val="000000" w:themeColor="text1"/>
          <w:sz w:val="24"/>
          <w:lang w:val="zh-CN"/>
          <w14:textFill>
            <w14:solidFill>
              <w14:schemeClr w14:val="tx1"/>
            </w14:solidFill>
          </w14:textFill>
        </w:rPr>
        <w:t>的，于截止时间前通过投标人基本账户将款项一次足额递交、成功绑定，以收款人到账时间为准，在途资金无效。</w:t>
      </w:r>
      <w:r>
        <w:rPr>
          <w:rFonts w:hint="eastAsia" w:hAnsi="宋体" w:cs="宋体"/>
          <w:color w:val="FF0000"/>
          <w:sz w:val="24"/>
          <w:lang w:val="en-US" w:eastAsia="zh-CN"/>
        </w:rPr>
        <w:t>附</w:t>
      </w:r>
      <w:r>
        <w:rPr>
          <w:rFonts w:hint="eastAsia" w:hAnsi="宋体" w:cs="宋体"/>
          <w:color w:val="FF0000"/>
          <w:sz w:val="24"/>
          <w:szCs w:val="22"/>
          <w:lang w:val="en-US" w:eastAsia="zh-CN"/>
        </w:rPr>
        <w:t>本项目本标段</w:t>
      </w:r>
      <w:r>
        <w:rPr>
          <w:rFonts w:hint="eastAsia" w:hAnsi="宋体" w:cs="宋体"/>
          <w:color w:val="FF0000"/>
          <w:sz w:val="24"/>
          <w:szCs w:val="22"/>
          <w:lang w:val="zh-CN" w:eastAsia="zh-CN"/>
        </w:rPr>
        <w:t>“</w:t>
      </w:r>
      <w:r>
        <w:rPr>
          <w:rFonts w:hint="eastAsia" w:hAnsi="宋体" w:cs="宋体"/>
          <w:color w:val="FF0000"/>
          <w:sz w:val="24"/>
          <w:szCs w:val="22"/>
          <w:lang w:val="en-US" w:eastAsia="zh-CN"/>
        </w:rPr>
        <w:t>襄城县</w:t>
      </w:r>
      <w:r>
        <w:rPr>
          <w:rFonts w:hint="eastAsia" w:hAnsi="宋体" w:cs="宋体"/>
          <w:color w:val="FF0000"/>
          <w:sz w:val="24"/>
          <w:szCs w:val="22"/>
          <w:lang w:val="zh-CN" w:eastAsia="zh-CN"/>
        </w:rPr>
        <w:t>公共资源交易中心保证金缴纳回执”。</w:t>
      </w:r>
    </w:p>
    <w:p>
      <w:pPr>
        <w:numPr>
          <w:ilvl w:val="0"/>
          <w:numId w:val="0"/>
        </w:numPr>
        <w:autoSpaceDE w:val="0"/>
        <w:autoSpaceDN w:val="0"/>
        <w:adjustRightInd w:val="0"/>
        <w:spacing w:line="340" w:lineRule="exact"/>
        <w:ind w:firstLine="480" w:firstLineChars="200"/>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2、使用银行保函方式的，银行保函应明确项目名称、项目编号及标段、受益人（招标人）、有效期（不低于本项目投标有效期），银行保函担保金额（不低于本项目本标段投标保证金数额）。</w:t>
      </w:r>
      <w:r>
        <w:rPr>
          <w:rFonts w:hint="eastAsia" w:hAnsi="宋体" w:cs="宋体"/>
          <w:color w:val="FF0000"/>
          <w:sz w:val="24"/>
          <w:lang w:val="zh-CN"/>
        </w:rPr>
        <w:t>附</w:t>
      </w:r>
      <w:r>
        <w:rPr>
          <w:rFonts w:hint="eastAsia" w:hAnsi="宋体" w:cs="宋体"/>
          <w:color w:val="FF0000"/>
          <w:sz w:val="24"/>
          <w:lang w:val="en-US" w:eastAsia="zh-CN"/>
        </w:rPr>
        <w:t>真实</w:t>
      </w:r>
      <w:r>
        <w:rPr>
          <w:rFonts w:hint="eastAsia" w:hAnsi="宋体" w:cs="宋体"/>
          <w:color w:val="FF0000"/>
          <w:sz w:val="24"/>
          <w:lang w:val="zh-CN"/>
        </w:rPr>
        <w:t>合法的银行保函原件扫描件，否则视为未按</w:t>
      </w:r>
      <w:r>
        <w:rPr>
          <w:rFonts w:hint="eastAsia" w:hAnsi="宋体" w:cs="宋体"/>
          <w:color w:val="FF0000"/>
          <w:sz w:val="24"/>
          <w:lang w:val="en-US" w:eastAsia="zh-CN"/>
        </w:rPr>
        <w:t>规定提交</w:t>
      </w:r>
      <w:r>
        <w:rPr>
          <w:rFonts w:hint="eastAsia" w:hAnsi="宋体" w:cs="宋体"/>
          <w:color w:val="FF0000"/>
          <w:sz w:val="24"/>
          <w:lang w:val="zh-CN"/>
        </w:rPr>
        <w:t>。</w:t>
      </w:r>
    </w:p>
    <w:p>
      <w:pPr>
        <w:numPr>
          <w:ilvl w:val="0"/>
          <w:numId w:val="0"/>
        </w:numPr>
        <w:autoSpaceDE w:val="0"/>
        <w:autoSpaceDN w:val="0"/>
        <w:spacing w:before="0" w:after="160" w:line="420" w:lineRule="exact"/>
        <w:ind w:right="0" w:firstLine="420"/>
        <w:jc w:val="center"/>
        <w:rPr>
          <w:rFonts w:hint="default" w:ascii="Times New Roman" w:hAnsi="宋体" w:eastAsia="宋体"/>
          <w:b/>
          <w:color w:val="auto"/>
          <w:position w:val="0"/>
          <w:sz w:val="32"/>
          <w:szCs w:val="32"/>
          <w:highlight w:val="none"/>
        </w:rPr>
      </w:pPr>
      <w:r>
        <w:br w:type="page"/>
      </w:r>
      <w:r>
        <w:rPr>
          <w:rFonts w:hint="default" w:ascii="Times New Roman" w:hAnsi="宋体" w:eastAsia="宋体"/>
          <w:b/>
          <w:color w:val="auto"/>
          <w:position w:val="0"/>
          <w:sz w:val="32"/>
          <w:szCs w:val="32"/>
          <w:highlight w:val="none"/>
        </w:rPr>
        <w:t>四、项目管理机构配备情况</w:t>
      </w:r>
    </w:p>
    <w:p>
      <w:pPr>
        <w:numPr>
          <w:ilvl w:val="0"/>
          <w:numId w:val="0"/>
        </w:numPr>
        <w:autoSpaceDE w:val="0"/>
        <w:autoSpaceDN w:val="0"/>
        <w:spacing w:before="0" w:after="160" w:line="360" w:lineRule="auto"/>
        <w:ind w:right="215" w:firstLine="560"/>
        <w:jc w:val="center"/>
        <w:rPr>
          <w:rFonts w:hint="default" w:ascii="Times New Roman" w:hAnsi="宋体" w:eastAsia="宋体"/>
          <w:b/>
          <w:color w:val="auto"/>
          <w:position w:val="0"/>
          <w:sz w:val="28"/>
          <w:szCs w:val="28"/>
          <w:highlight w:val="none"/>
        </w:rPr>
      </w:pPr>
      <w:r>
        <w:rPr>
          <w:rFonts w:hint="default" w:ascii="Times New Roman" w:hAnsi="宋体" w:eastAsia="宋体"/>
          <w:b/>
          <w:color w:val="auto"/>
          <w:position w:val="0"/>
          <w:sz w:val="28"/>
          <w:szCs w:val="28"/>
          <w:highlight w:val="none"/>
        </w:rPr>
        <w:t>（一）项目管理机构组成表</w:t>
      </w:r>
    </w:p>
    <w:p>
      <w:pPr>
        <w:numPr>
          <w:ilvl w:val="0"/>
          <w:numId w:val="0"/>
        </w:numPr>
        <w:autoSpaceDE w:val="0"/>
        <w:autoSpaceDN w:val="0"/>
        <w:spacing w:before="0" w:after="160" w:line="360" w:lineRule="auto"/>
        <w:ind w:right="215" w:firstLine="420"/>
        <w:jc w:val="center"/>
        <w:rPr>
          <w:rFonts w:hint="default" w:ascii="Times New Roman" w:hAnsi="宋体" w:eastAsia="宋体"/>
          <w:b/>
          <w:color w:val="auto"/>
          <w:position w:val="0"/>
          <w:sz w:val="24"/>
          <w:szCs w:val="24"/>
          <w:highlight w:val="none"/>
        </w:rPr>
      </w:pPr>
    </w:p>
    <w:tbl>
      <w:tblPr>
        <w:tblStyle w:val="31"/>
        <w:tblW w:w="94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职务</w:t>
            </w:r>
          </w:p>
        </w:tc>
        <w:tc>
          <w:tcPr>
            <w:tcW w:w="914" w:type="dxa"/>
            <w:vMerge w:val="restart"/>
            <w:vAlign w:val="center"/>
          </w:tcPr>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姓名</w:t>
            </w:r>
          </w:p>
        </w:tc>
        <w:tc>
          <w:tcPr>
            <w:tcW w:w="914" w:type="dxa"/>
            <w:vMerge w:val="restart"/>
            <w:vAlign w:val="center"/>
          </w:tcPr>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职称</w:t>
            </w:r>
          </w:p>
        </w:tc>
        <w:tc>
          <w:tcPr>
            <w:tcW w:w="5710" w:type="dxa"/>
            <w:gridSpan w:val="5"/>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执业或职业资格证明</w:t>
            </w:r>
          </w:p>
        </w:tc>
        <w:tc>
          <w:tcPr>
            <w:tcW w:w="103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tc>
        <w:tc>
          <w:tcPr>
            <w:tcW w:w="914" w:type="dxa"/>
            <w:vMerge w:val="continue"/>
            <w:vAlign w:val="center"/>
          </w:tcPr>
          <w:p/>
        </w:tc>
        <w:tc>
          <w:tcPr>
            <w:tcW w:w="914" w:type="dxa"/>
            <w:vMerge w:val="continue"/>
            <w:vAlign w:val="center"/>
          </w:tcPr>
          <w:p/>
        </w:tc>
        <w:tc>
          <w:tcPr>
            <w:tcW w:w="140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证书名称</w:t>
            </w:r>
          </w:p>
        </w:tc>
        <w:tc>
          <w:tcPr>
            <w:tcW w:w="94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级别</w:t>
            </w:r>
          </w:p>
        </w:tc>
        <w:tc>
          <w:tcPr>
            <w:tcW w:w="94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证号</w:t>
            </w:r>
          </w:p>
        </w:tc>
        <w:tc>
          <w:tcPr>
            <w:tcW w:w="94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专业</w:t>
            </w:r>
          </w:p>
        </w:tc>
        <w:tc>
          <w:tcPr>
            <w:tcW w:w="1470"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养老保险</w:t>
            </w:r>
          </w:p>
        </w:tc>
        <w:tc>
          <w:tcPr>
            <w:tcW w:w="103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913"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14"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14"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40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470"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036"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13"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14"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14"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40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470"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036"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13"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14"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14"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40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470"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036"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13"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14"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w:t>
            </w:r>
          </w:p>
        </w:tc>
        <w:tc>
          <w:tcPr>
            <w:tcW w:w="914"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40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945"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470"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036" w:type="dxa"/>
            <w:vAlign w:val="top"/>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bl>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1"/>
          <w:szCs w:val="21"/>
          <w:highlight w:val="none"/>
        </w:rPr>
      </w:pPr>
    </w:p>
    <w:p>
      <w:pPr>
        <w:numPr>
          <w:ilvl w:val="0"/>
          <w:numId w:val="0"/>
        </w:numPr>
        <w:autoSpaceDE/>
        <w:autoSpaceDN/>
        <w:spacing w:before="120" w:after="240" w:line="420" w:lineRule="exact"/>
        <w:ind w:right="0" w:firstLine="560"/>
        <w:jc w:val="both"/>
        <w:rPr>
          <w:rFonts w:hint="default" w:ascii="Times New Roman" w:hAnsi="宋体" w:eastAsia="宋体"/>
          <w:b/>
          <w:color w:val="auto"/>
          <w:position w:val="0"/>
          <w:sz w:val="28"/>
          <w:szCs w:val="28"/>
          <w:highlight w:val="none"/>
        </w:rPr>
      </w:pPr>
      <w:r>
        <w:rPr>
          <w:rFonts w:hint="default" w:ascii="Times New Roman" w:hAnsi="宋体" w:eastAsia="宋体"/>
          <w:b/>
          <w:color w:val="auto"/>
          <w:position w:val="0"/>
          <w:sz w:val="28"/>
          <w:szCs w:val="28"/>
          <w:highlight w:val="none"/>
        </w:rPr>
        <w:t>（二）主要人员简历表</w:t>
      </w:r>
    </w:p>
    <w:p>
      <w:pPr>
        <w:numPr>
          <w:ilvl w:val="0"/>
          <w:numId w:val="0"/>
        </w:numPr>
        <w:autoSpaceDE/>
        <w:autoSpaceDN/>
        <w:spacing w:before="0" w:after="160" w:line="420" w:lineRule="exact"/>
        <w:ind w:right="0"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附1：项目负责人（项目经理）简历表</w:t>
      </w:r>
    </w:p>
    <w:p>
      <w:pPr>
        <w:numPr>
          <w:ilvl w:val="0"/>
          <w:numId w:val="0"/>
        </w:numPr>
        <w:autoSpaceDE/>
        <w:autoSpaceDN/>
        <w:spacing w:before="0" w:after="160" w:line="420" w:lineRule="exact"/>
        <w:ind w:right="0" w:firstLine="0"/>
        <w:jc w:val="both"/>
        <w:rPr>
          <w:rFonts w:hint="default" w:ascii="Times New Roman" w:hAnsi="宋体" w:eastAsia="宋体"/>
          <w:color w:val="auto"/>
          <w:position w:val="0"/>
          <w:sz w:val="24"/>
          <w:szCs w:val="24"/>
          <w:highlight w:val="none"/>
        </w:rPr>
      </w:pPr>
    </w:p>
    <w:tbl>
      <w:tblPr>
        <w:tblStyle w:val="31"/>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16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姓  名</w:t>
            </w:r>
          </w:p>
        </w:tc>
        <w:tc>
          <w:tcPr>
            <w:tcW w:w="110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1204"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年  龄</w:t>
            </w:r>
          </w:p>
        </w:tc>
        <w:tc>
          <w:tcPr>
            <w:tcW w:w="135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19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学历</w:t>
            </w:r>
          </w:p>
        </w:tc>
        <w:tc>
          <w:tcPr>
            <w:tcW w:w="22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16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职  称</w:t>
            </w:r>
          </w:p>
        </w:tc>
        <w:tc>
          <w:tcPr>
            <w:tcW w:w="110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1204"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职  务</w:t>
            </w:r>
          </w:p>
        </w:tc>
        <w:tc>
          <w:tcPr>
            <w:tcW w:w="135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19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拟在本工程任职</w:t>
            </w:r>
          </w:p>
        </w:tc>
        <w:tc>
          <w:tcPr>
            <w:tcW w:w="22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注册建造师执业资格等级</w:t>
            </w:r>
          </w:p>
        </w:tc>
        <w:tc>
          <w:tcPr>
            <w:tcW w:w="1355"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级</w:t>
            </w:r>
          </w:p>
        </w:tc>
        <w:tc>
          <w:tcPr>
            <w:tcW w:w="19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建造师专业</w:t>
            </w:r>
          </w:p>
        </w:tc>
        <w:tc>
          <w:tcPr>
            <w:tcW w:w="22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安全生产考核合格证书</w:t>
            </w:r>
          </w:p>
        </w:tc>
        <w:tc>
          <w:tcPr>
            <w:tcW w:w="5573" w:type="dxa"/>
            <w:gridSpan w:val="3"/>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16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毕业学校</w:t>
            </w:r>
          </w:p>
        </w:tc>
        <w:tc>
          <w:tcPr>
            <w:tcW w:w="7878" w:type="dxa"/>
            <w:gridSpan w:val="5"/>
            <w:vAlign w:val="center"/>
          </w:tcPr>
          <w:p>
            <w:pPr>
              <w:numPr>
                <w:ilvl w:val="0"/>
                <w:numId w:val="0"/>
              </w:numPr>
              <w:autoSpaceDE/>
              <w:autoSpaceDN/>
              <w:spacing w:before="0" w:after="160" w:line="240" w:lineRule="auto"/>
              <w:ind w:right="0" w:firstLine="96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年毕业于                  学校            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16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时  间</w:t>
            </w:r>
          </w:p>
        </w:tc>
        <w:tc>
          <w:tcPr>
            <w:tcW w:w="3660" w:type="dxa"/>
            <w:gridSpan w:val="3"/>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参加过的类似项目名称</w:t>
            </w:r>
          </w:p>
        </w:tc>
        <w:tc>
          <w:tcPr>
            <w:tcW w:w="19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工程概况说明</w:t>
            </w:r>
          </w:p>
        </w:tc>
        <w:tc>
          <w:tcPr>
            <w:tcW w:w="22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16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3660" w:type="dxa"/>
            <w:gridSpan w:val="3"/>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19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22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16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3660" w:type="dxa"/>
            <w:gridSpan w:val="3"/>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19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22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1161"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3660" w:type="dxa"/>
            <w:gridSpan w:val="3"/>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19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c>
          <w:tcPr>
            <w:tcW w:w="2259" w:type="dxa"/>
            <w:vAlign w:val="center"/>
          </w:tcPr>
          <w:p>
            <w:pPr>
              <w:numPr>
                <w:ilvl w:val="0"/>
                <w:numId w:val="0"/>
              </w:numPr>
              <w:autoSpaceDE/>
              <w:autoSpaceDN/>
              <w:spacing w:before="0" w:after="160" w:line="240" w:lineRule="auto"/>
              <w:ind w:right="0" w:firstLine="0"/>
              <w:jc w:val="center"/>
              <w:rPr>
                <w:rFonts w:hint="default" w:ascii="Times New Roman" w:hAnsi="宋体" w:eastAsia="宋体"/>
                <w:color w:val="auto"/>
                <w:position w:val="0"/>
                <w:sz w:val="24"/>
                <w:szCs w:val="24"/>
                <w:highlight w:val="none"/>
              </w:rPr>
            </w:pPr>
          </w:p>
        </w:tc>
      </w:tr>
    </w:tbl>
    <w:p>
      <w:pPr>
        <w:spacing w:line="440" w:lineRule="exact"/>
        <w:jc w:val="right"/>
        <w:rPr>
          <w:rFonts w:hAnsi="宋体" w:eastAsia="宋体" w:cs="宋体"/>
          <w:sz w:val="24"/>
        </w:rPr>
      </w:pPr>
      <w:r>
        <w:rPr>
          <w:rFonts w:hint="default" w:ascii="Times New Roman" w:hAnsi="宋体" w:eastAsia="宋体"/>
          <w:color w:val="auto"/>
          <w:position w:val="0"/>
          <w:sz w:val="21"/>
          <w:szCs w:val="21"/>
          <w:highlight w:val="none"/>
        </w:rPr>
        <w:t>注：上传的的电子投标文件中所涉及的证件类须是原件的扫描件或图片。</w:t>
      </w:r>
      <w:r>
        <w:br w:type="page"/>
      </w:r>
    </w:p>
    <w:p/>
    <w:p>
      <w:pP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附</w:t>
      </w:r>
      <w:r>
        <w:rPr>
          <w:rFonts w:hint="eastAsia" w:hAnsi="宋体" w:eastAsia="宋体"/>
          <w:color w:val="auto"/>
          <w:position w:val="0"/>
          <w:sz w:val="24"/>
          <w:szCs w:val="24"/>
          <w:highlight w:val="none"/>
          <w:lang w:val="en-US" w:eastAsia="zh-CN"/>
        </w:rPr>
        <w:t>2</w:t>
      </w:r>
      <w:r>
        <w:rPr>
          <w:rFonts w:hint="default" w:ascii="Times New Roman" w:hAnsi="宋体" w:eastAsia="宋体"/>
          <w:color w:val="auto"/>
          <w:position w:val="0"/>
          <w:sz w:val="24"/>
          <w:szCs w:val="24"/>
          <w:highlight w:val="none"/>
        </w:rPr>
        <w:t>：主要项目管理人员简历表</w:t>
      </w:r>
    </w:p>
    <w:p>
      <w:pPr>
        <w:pStyle w:val="2"/>
        <w:rPr>
          <w:rFonts w:hint="default"/>
        </w:rPr>
      </w:pPr>
    </w:p>
    <w:tbl>
      <w:tblPr>
        <w:tblStyle w:val="31"/>
        <w:tblW w:w="86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8"/>
        <w:gridCol w:w="3128"/>
        <w:gridCol w:w="4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岗位名称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姓    名</w:t>
            </w:r>
          </w:p>
        </w:tc>
        <w:tc>
          <w:tcPr>
            <w:tcW w:w="4458" w:type="dxa"/>
            <w:tcBorders>
              <w:left w:val="nil"/>
            </w:tcBorders>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年    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性    别</w:t>
            </w:r>
          </w:p>
        </w:tc>
        <w:tc>
          <w:tcPr>
            <w:tcW w:w="4458" w:type="dxa"/>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毕业学校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学历和专业</w:t>
            </w:r>
          </w:p>
        </w:tc>
        <w:tc>
          <w:tcPr>
            <w:tcW w:w="4458" w:type="dxa"/>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毕业时间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拥有的执业资格</w:t>
            </w:r>
          </w:p>
        </w:tc>
        <w:tc>
          <w:tcPr>
            <w:tcW w:w="4458" w:type="dxa"/>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专业职称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执业资格证书编号</w:t>
            </w:r>
          </w:p>
        </w:tc>
        <w:tc>
          <w:tcPr>
            <w:tcW w:w="4458" w:type="dxa"/>
            <w:vAlign w:val="center"/>
          </w:tcPr>
          <w:p>
            <w:pPr>
              <w:numPr>
                <w:ilvl w:val="0"/>
                <w:numId w:val="0"/>
              </w:numPr>
              <w:autoSpaceDE/>
              <w:autoSpaceDN/>
              <w:spacing w:before="0" w:after="160" w:line="640" w:lineRule="exact"/>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工作年限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6" w:hRule="atLeast"/>
          <w:jc w:val="center"/>
        </w:trPr>
        <w:tc>
          <w:tcPr>
            <w:tcW w:w="1098" w:type="dxa"/>
            <w:vAlign w:val="center"/>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主要</w:t>
            </w: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工作</w:t>
            </w: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业绩</w:t>
            </w: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及担</w:t>
            </w: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任的</w:t>
            </w: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主要</w:t>
            </w:r>
          </w:p>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工作</w:t>
            </w:r>
          </w:p>
        </w:tc>
        <w:tc>
          <w:tcPr>
            <w:tcW w:w="7586" w:type="dxa"/>
            <w:gridSpan w:val="2"/>
            <w:vAlign w:val="top"/>
          </w:tcPr>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p>
        </w:tc>
      </w:tr>
    </w:tbl>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1"/>
          <w:szCs w:val="21"/>
          <w:highlight w:val="none"/>
        </w:rPr>
      </w:pPr>
    </w:p>
    <w:p>
      <w:pPr>
        <w:numPr>
          <w:ilvl w:val="0"/>
          <w:numId w:val="0"/>
        </w:numPr>
        <w:autoSpaceDE w:val="0"/>
        <w:autoSpaceDN w:val="0"/>
        <w:spacing w:before="0" w:after="160" w:line="360" w:lineRule="auto"/>
        <w:ind w:right="215" w:firstLine="640"/>
        <w:jc w:val="center"/>
        <w:rPr>
          <w:rFonts w:hint="default" w:ascii="Times New Roman" w:hAnsi="宋体" w:eastAsia="宋体"/>
          <w:b/>
          <w:color w:val="auto"/>
          <w:position w:val="0"/>
          <w:sz w:val="28"/>
          <w:szCs w:val="28"/>
          <w:highlight w:val="none"/>
        </w:rPr>
      </w:pPr>
      <w:r>
        <w:br w:type="page"/>
      </w:r>
      <w:r>
        <w:rPr>
          <w:rFonts w:hint="default" w:ascii="Times New Roman" w:hAnsi="宋体" w:eastAsia="宋体"/>
          <w:b/>
          <w:color w:val="auto"/>
          <w:position w:val="0"/>
          <w:sz w:val="32"/>
          <w:szCs w:val="32"/>
          <w:highlight w:val="none"/>
        </w:rPr>
        <w:t>五、投标单位基本信息表</w:t>
      </w:r>
    </w:p>
    <w:tbl>
      <w:tblPr>
        <w:tblStyle w:val="31"/>
        <w:tblW w:w="91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投标人名称</w:t>
            </w:r>
          </w:p>
        </w:tc>
        <w:tc>
          <w:tcPr>
            <w:tcW w:w="7435" w:type="dxa"/>
            <w:gridSpan w:val="9"/>
            <w:vAlign w:val="center"/>
          </w:tcPr>
          <w:p>
            <w:pPr>
              <w:numPr>
                <w:ilvl w:val="0"/>
                <w:numId w:val="0"/>
              </w:numPr>
              <w:autoSpaceDE w:val="0"/>
              <w:autoSpaceDN w:val="0"/>
              <w:spacing w:before="0" w:after="160" w:line="360" w:lineRule="auto"/>
              <w:ind w:left="41" w:right="215" w:hanging="4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注册地址</w:t>
            </w:r>
          </w:p>
        </w:tc>
        <w:tc>
          <w:tcPr>
            <w:tcW w:w="4134" w:type="dxa"/>
            <w:gridSpan w:val="5"/>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575"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邮政编码</w:t>
            </w:r>
          </w:p>
        </w:tc>
        <w:tc>
          <w:tcPr>
            <w:tcW w:w="1726"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联系方式</w:t>
            </w:r>
          </w:p>
        </w:tc>
        <w:tc>
          <w:tcPr>
            <w:tcW w:w="120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联系人</w:t>
            </w:r>
          </w:p>
        </w:tc>
        <w:tc>
          <w:tcPr>
            <w:tcW w:w="2929" w:type="dxa"/>
            <w:gridSpan w:val="4"/>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575"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电话</w:t>
            </w:r>
          </w:p>
        </w:tc>
        <w:tc>
          <w:tcPr>
            <w:tcW w:w="1726"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tc>
        <w:tc>
          <w:tcPr>
            <w:tcW w:w="120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传真</w:t>
            </w:r>
          </w:p>
        </w:tc>
        <w:tc>
          <w:tcPr>
            <w:tcW w:w="2929" w:type="dxa"/>
            <w:gridSpan w:val="4"/>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575"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网址</w:t>
            </w:r>
          </w:p>
        </w:tc>
        <w:tc>
          <w:tcPr>
            <w:tcW w:w="1726"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组织结构</w:t>
            </w:r>
          </w:p>
        </w:tc>
        <w:tc>
          <w:tcPr>
            <w:tcW w:w="7435" w:type="dxa"/>
            <w:gridSpan w:val="9"/>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法定代表人</w:t>
            </w:r>
          </w:p>
        </w:tc>
        <w:tc>
          <w:tcPr>
            <w:tcW w:w="120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姓名</w:t>
            </w:r>
          </w:p>
        </w:tc>
        <w:tc>
          <w:tcPr>
            <w:tcW w:w="120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689"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技术职称</w:t>
            </w:r>
          </w:p>
        </w:tc>
        <w:tc>
          <w:tcPr>
            <w:tcW w:w="1069"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061"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电话</w:t>
            </w:r>
          </w:p>
        </w:tc>
        <w:tc>
          <w:tcPr>
            <w:tcW w:w="120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技术负责人</w:t>
            </w:r>
          </w:p>
        </w:tc>
        <w:tc>
          <w:tcPr>
            <w:tcW w:w="120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姓名</w:t>
            </w:r>
          </w:p>
        </w:tc>
        <w:tc>
          <w:tcPr>
            <w:tcW w:w="1205"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689"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技术职称</w:t>
            </w:r>
          </w:p>
        </w:tc>
        <w:tc>
          <w:tcPr>
            <w:tcW w:w="1069"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061"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电话</w:t>
            </w:r>
          </w:p>
        </w:tc>
        <w:tc>
          <w:tcPr>
            <w:tcW w:w="120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成立时间</w:t>
            </w:r>
          </w:p>
        </w:tc>
        <w:tc>
          <w:tcPr>
            <w:tcW w:w="2410"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5025" w:type="dxa"/>
            <w:gridSpan w:val="7"/>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spacing w:val="-20"/>
                <w:position w:val="0"/>
                <w:sz w:val="24"/>
                <w:szCs w:val="24"/>
                <w:highlight w:val="none"/>
              </w:rPr>
            </w:pPr>
            <w:r>
              <w:rPr>
                <w:rFonts w:hint="default" w:ascii="Times New Roman" w:hAnsi="宋体" w:eastAsia="宋体"/>
                <w:color w:val="auto"/>
                <w:spacing w:val="-20"/>
                <w:position w:val="0"/>
                <w:sz w:val="24"/>
                <w:szCs w:val="24"/>
                <w:highlight w:val="none"/>
              </w:rPr>
              <w:t>企业资质等级</w:t>
            </w:r>
          </w:p>
        </w:tc>
        <w:tc>
          <w:tcPr>
            <w:tcW w:w="2410"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205" w:type="dxa"/>
            <w:vMerge w:val="restart"/>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其中</w:t>
            </w:r>
          </w:p>
        </w:tc>
        <w:tc>
          <w:tcPr>
            <w:tcW w:w="2614" w:type="dxa"/>
            <w:gridSpan w:val="5"/>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项目经理</w:t>
            </w:r>
          </w:p>
        </w:tc>
        <w:tc>
          <w:tcPr>
            <w:tcW w:w="120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营业执照号</w:t>
            </w:r>
          </w:p>
        </w:tc>
        <w:tc>
          <w:tcPr>
            <w:tcW w:w="2410"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205" w:type="dxa"/>
            <w:vMerge w:val="continue"/>
            <w:vAlign w:val="center"/>
          </w:tcPr>
          <w:p/>
        </w:tc>
        <w:tc>
          <w:tcPr>
            <w:tcW w:w="2614" w:type="dxa"/>
            <w:gridSpan w:val="5"/>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高级职称人员</w:t>
            </w:r>
          </w:p>
        </w:tc>
        <w:tc>
          <w:tcPr>
            <w:tcW w:w="120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注册资金</w:t>
            </w:r>
          </w:p>
        </w:tc>
        <w:tc>
          <w:tcPr>
            <w:tcW w:w="2410"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205" w:type="dxa"/>
            <w:vMerge w:val="continue"/>
            <w:vAlign w:val="center"/>
          </w:tcPr>
          <w:p/>
        </w:tc>
        <w:tc>
          <w:tcPr>
            <w:tcW w:w="2614" w:type="dxa"/>
            <w:gridSpan w:val="5"/>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中级职称人员</w:t>
            </w:r>
          </w:p>
        </w:tc>
        <w:tc>
          <w:tcPr>
            <w:tcW w:w="120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开户银行</w:t>
            </w:r>
          </w:p>
        </w:tc>
        <w:tc>
          <w:tcPr>
            <w:tcW w:w="2410"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205" w:type="dxa"/>
            <w:vMerge w:val="continue"/>
            <w:vAlign w:val="center"/>
          </w:tcPr>
          <w:p/>
        </w:tc>
        <w:tc>
          <w:tcPr>
            <w:tcW w:w="2614" w:type="dxa"/>
            <w:gridSpan w:val="5"/>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初级职称人员</w:t>
            </w:r>
          </w:p>
        </w:tc>
        <w:tc>
          <w:tcPr>
            <w:tcW w:w="120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账号</w:t>
            </w:r>
          </w:p>
        </w:tc>
        <w:tc>
          <w:tcPr>
            <w:tcW w:w="2410" w:type="dxa"/>
            <w:gridSpan w:val="2"/>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c>
          <w:tcPr>
            <w:tcW w:w="1205" w:type="dxa"/>
            <w:vMerge w:val="continue"/>
            <w:vAlign w:val="center"/>
          </w:tcPr>
          <w:p/>
        </w:tc>
        <w:tc>
          <w:tcPr>
            <w:tcW w:w="2614" w:type="dxa"/>
            <w:gridSpan w:val="5"/>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技工</w:t>
            </w:r>
          </w:p>
        </w:tc>
        <w:tc>
          <w:tcPr>
            <w:tcW w:w="120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1"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经营范围</w:t>
            </w:r>
          </w:p>
        </w:tc>
        <w:tc>
          <w:tcPr>
            <w:tcW w:w="7435" w:type="dxa"/>
            <w:gridSpan w:val="9"/>
            <w:vAlign w:val="center"/>
          </w:tcPr>
          <w:p>
            <w:pPr>
              <w:numPr>
                <w:ilvl w:val="0"/>
                <w:numId w:val="0"/>
              </w:numPr>
              <w:autoSpaceDE w:val="0"/>
              <w:autoSpaceDN w:val="0"/>
              <w:spacing w:before="0" w:after="160" w:line="360" w:lineRule="auto"/>
              <w:ind w:right="215"/>
              <w:jc w:val="both"/>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jc w:val="center"/>
        </w:trPr>
        <w:tc>
          <w:tcPr>
            <w:tcW w:w="1709"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备注</w:t>
            </w:r>
          </w:p>
        </w:tc>
        <w:tc>
          <w:tcPr>
            <w:tcW w:w="7435" w:type="dxa"/>
            <w:gridSpan w:val="9"/>
            <w:vAlign w:val="center"/>
          </w:tcPr>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4"/>
                <w:szCs w:val="24"/>
                <w:highlight w:val="none"/>
              </w:rPr>
            </w:pPr>
          </w:p>
        </w:tc>
      </w:tr>
    </w:tbl>
    <w:p>
      <w:pPr>
        <w:numPr>
          <w:ilvl w:val="0"/>
          <w:numId w:val="0"/>
        </w:numPr>
        <w:autoSpaceDE w:val="0"/>
        <w:autoSpaceDN w:val="0"/>
        <w:spacing w:before="0" w:after="160" w:line="360" w:lineRule="auto"/>
        <w:ind w:right="215" w:firstLine="480"/>
        <w:jc w:val="both"/>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备注：本表后应附企业法人营业执照、企业资质证书副本、安全生产许可证等材料的原件扫描件或图片。</w:t>
      </w:r>
    </w:p>
    <w:p>
      <w:pPr>
        <w:numPr>
          <w:ilvl w:val="0"/>
          <w:numId w:val="0"/>
        </w:numPr>
        <w:autoSpaceDE w:val="0"/>
        <w:autoSpaceDN w:val="0"/>
        <w:spacing w:before="0" w:after="160" w:line="360" w:lineRule="auto"/>
        <w:ind w:right="215" w:firstLine="480"/>
        <w:jc w:val="center"/>
        <w:rPr>
          <w:rFonts w:hint="default" w:ascii="Times New Roman" w:hAnsi="宋体" w:eastAsia="宋体"/>
          <w:b/>
          <w:color w:val="auto"/>
          <w:position w:val="0"/>
          <w:sz w:val="28"/>
          <w:szCs w:val="28"/>
          <w:highlight w:val="none"/>
        </w:rPr>
      </w:pPr>
      <w:r>
        <w:br w:type="page"/>
      </w:r>
      <w:r>
        <w:rPr>
          <w:rFonts w:hint="default" w:ascii="Times New Roman" w:hAnsi="宋体" w:eastAsia="宋体"/>
          <w:b/>
          <w:color w:val="auto"/>
          <w:position w:val="0"/>
          <w:sz w:val="32"/>
          <w:szCs w:val="32"/>
          <w:highlight w:val="none"/>
        </w:rPr>
        <w:t>六、资格证明文件</w:t>
      </w:r>
    </w:p>
    <w:p>
      <w:pPr>
        <w:numPr>
          <w:ilvl w:val="0"/>
          <w:numId w:val="0"/>
        </w:numPr>
        <w:autoSpaceDE w:val="0"/>
        <w:autoSpaceDN w:val="0"/>
        <w:spacing w:before="0" w:after="160" w:line="360" w:lineRule="auto"/>
        <w:ind w:right="215" w:firstLine="48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（附原件扫描件或图片）</w:t>
      </w:r>
    </w:p>
    <w:p>
      <w:pPr>
        <w:numPr>
          <w:ilvl w:val="0"/>
          <w:numId w:val="0"/>
        </w:numPr>
        <w:autoSpaceDE w:val="0"/>
        <w:autoSpaceDN w:val="0"/>
        <w:spacing w:before="0" w:after="160" w:line="360" w:lineRule="auto"/>
        <w:ind w:right="215" w:firstLine="420"/>
        <w:jc w:val="center"/>
        <w:rPr>
          <w:rFonts w:hint="default" w:ascii="Times New Roman" w:hAnsi="宋体" w:eastAsia="宋体"/>
          <w:color w:val="auto"/>
          <w:position w:val="0"/>
          <w:sz w:val="24"/>
          <w:szCs w:val="24"/>
          <w:highlight w:val="none"/>
        </w:rPr>
      </w:pPr>
    </w:p>
    <w:p>
      <w:pPr>
        <w:numPr>
          <w:ilvl w:val="0"/>
          <w:numId w:val="0"/>
        </w:numPr>
        <w:autoSpaceDE w:val="0"/>
        <w:autoSpaceDN w:val="0"/>
        <w:spacing w:before="0" w:after="160" w:line="360" w:lineRule="auto"/>
        <w:ind w:right="215" w:firstLine="420"/>
        <w:jc w:val="center"/>
        <w:rPr>
          <w:rFonts w:hint="default" w:ascii="Times New Roman" w:hAnsi="宋体" w:eastAsia="宋体"/>
          <w:b/>
          <w:color w:val="auto"/>
          <w:position w:val="0"/>
          <w:sz w:val="32"/>
          <w:szCs w:val="32"/>
          <w:highlight w:val="none"/>
        </w:rPr>
        <w:sectPr>
          <w:pgSz w:w="11906" w:h="16838"/>
          <w:pgMar w:top="1304" w:right="1134" w:bottom="1304" w:left="1134" w:header="851" w:footer="992" w:gutter="0"/>
          <w:pgNumType w:fmt="decimal"/>
          <w:docGrid w:type="linesAndChars" w:linePitch="312" w:charSpace="0"/>
        </w:sectPr>
      </w:pPr>
    </w:p>
    <w:p>
      <w:pPr>
        <w:numPr>
          <w:ilvl w:val="0"/>
          <w:numId w:val="0"/>
        </w:numPr>
        <w:autoSpaceDE w:val="0"/>
        <w:autoSpaceDN w:val="0"/>
        <w:spacing w:before="0" w:after="160" w:line="360" w:lineRule="auto"/>
        <w:ind w:right="215" w:firstLine="64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七、近年完成的类似项目情况表</w:t>
      </w:r>
    </w:p>
    <w:tbl>
      <w:tblPr>
        <w:tblStyle w:val="31"/>
        <w:tblW w:w="91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6"/>
        <w:gridCol w:w="6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项目名称</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项目所在地</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发包人名称</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发包人地址</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发包人电话</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合同价格</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开工日期</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竣工日期</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承担的工作</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工程质量</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项目负责人（项目经理）</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技术负责人</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16"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spacing w:val="-20"/>
                <w:position w:val="0"/>
                <w:sz w:val="24"/>
                <w:szCs w:val="24"/>
                <w:highlight w:val="none"/>
              </w:rPr>
            </w:pPr>
            <w:r>
              <w:rPr>
                <w:rFonts w:hint="default" w:ascii="Times New Roman" w:hAnsi="宋体" w:eastAsia="宋体"/>
                <w:color w:val="auto"/>
                <w:spacing w:val="-20"/>
                <w:position w:val="0"/>
                <w:sz w:val="24"/>
                <w:szCs w:val="24"/>
                <w:highlight w:val="none"/>
              </w:rPr>
              <w:t>总监理工程师及电话</w:t>
            </w:r>
          </w:p>
        </w:tc>
        <w:tc>
          <w:tcPr>
            <w:tcW w:w="6721" w:type="dxa"/>
            <w:vAlign w:val="center"/>
          </w:tcPr>
          <w:p>
            <w:pPr>
              <w:numPr>
                <w:ilvl w:val="0"/>
                <w:numId w:val="0"/>
              </w:numPr>
              <w:autoSpaceDE w:val="0"/>
              <w:autoSpaceDN w:val="0"/>
              <w:spacing w:before="0" w:after="160" w:line="48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jc w:val="center"/>
        </w:trPr>
        <w:tc>
          <w:tcPr>
            <w:tcW w:w="241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项目描述</w:t>
            </w:r>
          </w:p>
        </w:tc>
        <w:tc>
          <w:tcPr>
            <w:tcW w:w="6721" w:type="dxa"/>
            <w:vAlign w:val="center"/>
          </w:tcPr>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jc w:val="center"/>
        </w:trPr>
        <w:tc>
          <w:tcPr>
            <w:tcW w:w="2416"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备注</w:t>
            </w:r>
          </w:p>
        </w:tc>
        <w:tc>
          <w:tcPr>
            <w:tcW w:w="6721" w:type="dxa"/>
            <w:vAlign w:val="center"/>
          </w:tcPr>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4"/>
                <w:szCs w:val="24"/>
                <w:highlight w:val="none"/>
              </w:rPr>
            </w:pPr>
          </w:p>
        </w:tc>
      </w:tr>
    </w:tbl>
    <w:p>
      <w:pPr>
        <w:numPr>
          <w:ilvl w:val="0"/>
          <w:numId w:val="0"/>
        </w:numPr>
        <w:autoSpaceDE/>
        <w:autoSpaceDN/>
        <w:spacing w:before="0" w:after="160" w:line="240" w:lineRule="auto"/>
        <w:ind w:right="0" w:firstLine="0"/>
        <w:jc w:val="both"/>
        <w:rPr>
          <w:rFonts w:hint="default" w:ascii="Times New Roman" w:hAnsi="宋体" w:eastAsia="宋体"/>
          <w:color w:val="auto"/>
          <w:position w:val="0"/>
          <w:sz w:val="24"/>
          <w:szCs w:val="24"/>
          <w:highlight w:val="none"/>
        </w:rPr>
      </w:pPr>
    </w:p>
    <w:p>
      <w:pPr>
        <w:numPr>
          <w:ilvl w:val="0"/>
          <w:numId w:val="0"/>
        </w:numPr>
        <w:autoSpaceDE/>
        <w:autoSpaceDN/>
        <w:spacing w:before="0" w:after="160" w:line="240" w:lineRule="auto"/>
        <w:ind w:right="0" w:firstLine="480"/>
        <w:jc w:val="center"/>
        <w:rPr>
          <w:rFonts w:hint="default" w:ascii="Times New Roman" w:hAnsi="宋体" w:eastAsia="宋体"/>
          <w:b/>
          <w:color w:val="auto"/>
          <w:position w:val="0"/>
          <w:sz w:val="32"/>
          <w:szCs w:val="32"/>
          <w:highlight w:val="none"/>
        </w:rPr>
      </w:pPr>
      <w:r>
        <w:br w:type="page"/>
      </w:r>
      <w:r>
        <w:rPr>
          <w:rFonts w:hint="default" w:ascii="Times New Roman" w:hAnsi="宋体" w:eastAsia="宋体"/>
          <w:b/>
          <w:color w:val="auto"/>
          <w:position w:val="0"/>
          <w:sz w:val="32"/>
          <w:szCs w:val="32"/>
          <w:highlight w:val="none"/>
        </w:rPr>
        <w:t>八、正在施工的和新承接的项目情况</w:t>
      </w:r>
    </w:p>
    <w:p>
      <w:pPr>
        <w:numPr>
          <w:ilvl w:val="0"/>
          <w:numId w:val="0"/>
        </w:numPr>
        <w:autoSpaceDE w:val="0"/>
        <w:autoSpaceDN w:val="0"/>
        <w:spacing w:before="0" w:after="160" w:line="360" w:lineRule="auto"/>
        <w:ind w:right="215" w:firstLine="420"/>
        <w:jc w:val="center"/>
        <w:rPr>
          <w:rFonts w:hint="default" w:ascii="Times New Roman" w:hAnsi="宋体" w:eastAsia="宋体"/>
          <w:b/>
          <w:color w:val="auto"/>
          <w:position w:val="0"/>
          <w:sz w:val="32"/>
          <w:szCs w:val="32"/>
          <w:highlight w:val="none"/>
        </w:rPr>
      </w:pPr>
    </w:p>
    <w:tbl>
      <w:tblPr>
        <w:tblStyle w:val="31"/>
        <w:tblW w:w="90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1"/>
        <w:gridCol w:w="6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项目名称</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项目所在地</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发包人名称</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发包人地址</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发包人电话</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签约合同价</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开工日期</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计划竣工日期</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承担的工作</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工程质量</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项目负责人（项目经理）</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技术负责人</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spacing w:val="-20"/>
                <w:position w:val="0"/>
                <w:sz w:val="24"/>
                <w:szCs w:val="24"/>
                <w:highlight w:val="none"/>
              </w:rPr>
            </w:pPr>
            <w:r>
              <w:rPr>
                <w:rFonts w:hint="default" w:ascii="Times New Roman" w:hAnsi="宋体" w:eastAsia="宋体"/>
                <w:color w:val="auto"/>
                <w:spacing w:val="-20"/>
                <w:position w:val="0"/>
                <w:sz w:val="24"/>
                <w:szCs w:val="24"/>
                <w:highlight w:val="none"/>
              </w:rPr>
              <w:t>总监理工程师及电话</w:t>
            </w:r>
          </w:p>
        </w:tc>
        <w:tc>
          <w:tcPr>
            <w:tcW w:w="6727"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9"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项目描述</w:t>
            </w:r>
          </w:p>
        </w:tc>
        <w:tc>
          <w:tcPr>
            <w:tcW w:w="6727" w:type="dxa"/>
            <w:vAlign w:val="center"/>
          </w:tcPr>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4"/>
                <w:szCs w:val="24"/>
                <w:highlight w:val="none"/>
              </w:rPr>
            </w:pPr>
          </w:p>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2291" w:type="dxa"/>
            <w:vAlign w:val="center"/>
          </w:tcPr>
          <w:p>
            <w:pPr>
              <w:numPr>
                <w:ilvl w:val="0"/>
                <w:numId w:val="0"/>
              </w:numPr>
              <w:autoSpaceDE w:val="0"/>
              <w:autoSpaceDN w:val="0"/>
              <w:spacing w:before="0" w:after="160" w:line="360" w:lineRule="auto"/>
              <w:ind w:right="215" w:firstLine="0"/>
              <w:jc w:val="center"/>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备注</w:t>
            </w:r>
          </w:p>
        </w:tc>
        <w:tc>
          <w:tcPr>
            <w:tcW w:w="6727" w:type="dxa"/>
            <w:vAlign w:val="center"/>
          </w:tcPr>
          <w:p>
            <w:pPr>
              <w:numPr>
                <w:ilvl w:val="0"/>
                <w:numId w:val="0"/>
              </w:numPr>
              <w:autoSpaceDE w:val="0"/>
              <w:autoSpaceDN w:val="0"/>
              <w:spacing w:before="0" w:after="160" w:line="360" w:lineRule="auto"/>
              <w:ind w:right="215" w:firstLine="0"/>
              <w:jc w:val="both"/>
              <w:rPr>
                <w:rFonts w:hint="default" w:ascii="Times New Roman" w:hAnsi="宋体" w:eastAsia="宋体"/>
                <w:color w:val="auto"/>
                <w:position w:val="0"/>
                <w:sz w:val="24"/>
                <w:szCs w:val="24"/>
                <w:highlight w:val="none"/>
              </w:rPr>
            </w:pPr>
          </w:p>
        </w:tc>
      </w:tr>
    </w:tbl>
    <w:p>
      <w:pPr>
        <w:numPr>
          <w:ilvl w:val="0"/>
          <w:numId w:val="0"/>
        </w:numPr>
        <w:wordWrap w:val="0"/>
        <w:spacing w:before="0" w:after="0" w:line="240" w:lineRule="auto"/>
        <w:ind w:right="0" w:firstLine="0"/>
        <w:jc w:val="center"/>
        <w:rPr>
          <w:rFonts w:hint="default" w:ascii="Times New Roman" w:hAnsi="宋体" w:eastAsia="宋体"/>
          <w:b/>
          <w:color w:val="auto"/>
          <w:position w:val="0"/>
          <w:sz w:val="32"/>
          <w:szCs w:val="32"/>
          <w:highlight w:val="none"/>
        </w:rPr>
        <w:sectPr>
          <w:pgSz w:w="11906" w:h="16838"/>
          <w:pgMar w:top="1304" w:right="1134" w:bottom="1304" w:left="1134" w:header="851" w:footer="992" w:gutter="0"/>
          <w:pgNumType w:fmt="decimal"/>
          <w:docGrid w:type="linesAndChars" w:linePitch="312" w:charSpace="0"/>
        </w:sectPr>
      </w:pPr>
    </w:p>
    <w:p>
      <w:pPr>
        <w:numPr>
          <w:ilvl w:val="0"/>
          <w:numId w:val="0"/>
        </w:numPr>
        <w:autoSpaceDE w:val="0"/>
        <w:autoSpaceDN w:val="0"/>
        <w:spacing w:before="0" w:after="160" w:line="360" w:lineRule="auto"/>
        <w:ind w:right="215" w:firstLine="0"/>
        <w:jc w:val="center"/>
        <w:rPr>
          <w:rFonts w:hint="default" w:ascii="Times New Roman" w:hAnsi="宋体" w:eastAsia="宋体"/>
          <w:b/>
          <w:color w:val="auto"/>
          <w:position w:val="0"/>
          <w:sz w:val="32"/>
          <w:szCs w:val="32"/>
          <w:highlight w:val="none"/>
        </w:rPr>
      </w:pPr>
    </w:p>
    <w:p>
      <w:pPr>
        <w:numPr>
          <w:ilvl w:val="0"/>
          <w:numId w:val="0"/>
        </w:numPr>
        <w:autoSpaceDE w:val="0"/>
        <w:autoSpaceDN w:val="0"/>
        <w:spacing w:before="0" w:after="160" w:line="360" w:lineRule="auto"/>
        <w:ind w:right="215" w:rightChars="0"/>
        <w:jc w:val="center"/>
        <w:rPr>
          <w:rFonts w:hint="default" w:ascii="Times New Roman" w:hAnsi="宋体" w:eastAsia="宋体"/>
          <w:b/>
          <w:color w:val="auto"/>
          <w:position w:val="0"/>
          <w:sz w:val="32"/>
          <w:szCs w:val="32"/>
          <w:highlight w:val="none"/>
        </w:rPr>
      </w:pPr>
      <w:r>
        <w:rPr>
          <w:rFonts w:hint="eastAsia" w:hAnsi="宋体" w:eastAsia="宋体"/>
          <w:b/>
          <w:color w:val="auto"/>
          <w:position w:val="0"/>
          <w:sz w:val="32"/>
          <w:szCs w:val="32"/>
          <w:highlight w:val="none"/>
          <w:lang w:val="en-US" w:eastAsia="zh-CN"/>
        </w:rPr>
        <w:t>九、</w:t>
      </w:r>
      <w:r>
        <w:rPr>
          <w:rFonts w:hint="default" w:ascii="Times New Roman" w:hAnsi="宋体" w:eastAsia="宋体"/>
          <w:b/>
          <w:color w:val="auto"/>
          <w:position w:val="0"/>
          <w:sz w:val="32"/>
          <w:szCs w:val="32"/>
          <w:highlight w:val="none"/>
        </w:rPr>
        <w:t>近年发生的诉讼及仲裁</w:t>
      </w:r>
    </w:p>
    <w:p>
      <w:pPr>
        <w:numPr>
          <w:ilvl w:val="0"/>
          <w:numId w:val="0"/>
        </w:numPr>
        <w:autoSpaceDE w:val="0"/>
        <w:autoSpaceDN w:val="0"/>
        <w:spacing w:before="0" w:after="160" w:line="360" w:lineRule="auto"/>
        <w:ind w:right="215" w:firstLine="0"/>
        <w:jc w:val="both"/>
        <w:rPr>
          <w:rFonts w:hint="default" w:ascii="Times New Roman" w:hAnsi="宋体" w:eastAsia="宋体"/>
          <w:b/>
          <w:color w:val="auto"/>
          <w:position w:val="0"/>
          <w:sz w:val="32"/>
          <w:szCs w:val="32"/>
          <w:highlight w:val="none"/>
        </w:rPr>
      </w:pPr>
    </w:p>
    <w:p>
      <w:pPr>
        <w:numPr>
          <w:ilvl w:val="0"/>
          <w:numId w:val="0"/>
        </w:numPr>
        <w:autoSpaceDE w:val="0"/>
        <w:autoSpaceDN w:val="0"/>
        <w:spacing w:before="0" w:after="160" w:line="360" w:lineRule="auto"/>
        <w:ind w:right="215" w:firstLine="2560"/>
        <w:jc w:val="both"/>
        <w:rPr>
          <w:rFonts w:hint="default" w:ascii="Times New Roman" w:hAnsi="宋体" w:eastAsia="宋体"/>
          <w:b/>
          <w:color w:val="auto"/>
          <w:position w:val="0"/>
          <w:sz w:val="32"/>
          <w:szCs w:val="32"/>
          <w:highlight w:val="none"/>
        </w:rPr>
      </w:pPr>
    </w:p>
    <w:p>
      <w:pPr>
        <w:numPr>
          <w:ilvl w:val="0"/>
          <w:numId w:val="0"/>
        </w:numPr>
        <w:autoSpaceDE w:val="0"/>
        <w:autoSpaceDN w:val="0"/>
        <w:spacing w:before="0" w:after="160" w:line="360" w:lineRule="auto"/>
        <w:ind w:right="215" w:firstLine="2560"/>
        <w:jc w:val="both"/>
        <w:rPr>
          <w:rFonts w:hint="default" w:ascii="Times New Roman" w:hAnsi="宋体" w:eastAsia="宋体"/>
          <w:b/>
          <w:color w:val="auto"/>
          <w:position w:val="0"/>
          <w:sz w:val="32"/>
          <w:szCs w:val="32"/>
          <w:highlight w:val="none"/>
        </w:rPr>
        <w:sectPr>
          <w:pgSz w:w="11906" w:h="16838"/>
          <w:pgMar w:top="1304" w:right="1134" w:bottom="1304" w:left="1134" w:header="851" w:footer="992" w:gutter="0"/>
          <w:pgNumType w:fmt="decimal"/>
          <w:docGrid w:type="linesAndChars" w:linePitch="312" w:charSpace="0"/>
        </w:sectPr>
      </w:pPr>
    </w:p>
    <w:p>
      <w:pPr>
        <w:numPr>
          <w:ilvl w:val="0"/>
          <w:numId w:val="0"/>
        </w:numPr>
        <w:autoSpaceDE w:val="0"/>
        <w:autoSpaceDN w:val="0"/>
        <w:spacing w:before="0" w:after="160" w:line="360" w:lineRule="auto"/>
        <w:ind w:right="215" w:rightChars="0"/>
        <w:jc w:val="center"/>
        <w:rPr>
          <w:rFonts w:hint="default" w:ascii="Times New Roman" w:hAnsi="宋体" w:eastAsia="宋体"/>
          <w:b/>
          <w:color w:val="auto"/>
          <w:position w:val="0"/>
          <w:sz w:val="32"/>
          <w:szCs w:val="32"/>
          <w:highlight w:val="none"/>
        </w:rPr>
      </w:pPr>
      <w:r>
        <w:rPr>
          <w:rFonts w:hint="eastAsia" w:hAnsi="宋体" w:eastAsia="宋体"/>
          <w:b/>
          <w:color w:val="auto"/>
          <w:position w:val="0"/>
          <w:sz w:val="32"/>
          <w:szCs w:val="32"/>
          <w:highlight w:val="none"/>
          <w:lang w:val="en-US" w:eastAsia="zh-CN"/>
        </w:rPr>
        <w:t>十、</w:t>
      </w:r>
      <w:r>
        <w:rPr>
          <w:rFonts w:hint="default" w:ascii="Times New Roman" w:hAnsi="宋体" w:eastAsia="宋体"/>
          <w:b/>
          <w:color w:val="auto"/>
          <w:position w:val="0"/>
          <w:sz w:val="32"/>
          <w:szCs w:val="32"/>
          <w:highlight w:val="none"/>
        </w:rPr>
        <w:t>其它材料</w:t>
      </w:r>
    </w:p>
    <w:p>
      <w:pPr>
        <w:pStyle w:val="2"/>
        <w:numPr>
          <w:ilvl w:val="0"/>
          <w:numId w:val="0"/>
        </w:numPr>
        <w:autoSpaceDE/>
        <w:autoSpaceDN/>
        <w:spacing w:before="0" w:after="120" w:line="240" w:lineRule="auto"/>
        <w:ind w:left="420" w:right="0" w:firstLine="0"/>
        <w:jc w:val="both"/>
        <w:rPr>
          <w:rFonts w:hint="default" w:ascii="宋体" w:hAnsi="Times New Roman" w:eastAsia="Times New Roman"/>
          <w:color w:val="auto"/>
          <w:position w:val="0"/>
          <w:sz w:val="34"/>
          <w:szCs w:val="34"/>
          <w:highlight w:val="none"/>
        </w:rPr>
      </w:pPr>
    </w:p>
    <w:p>
      <w:pPr>
        <w:numPr>
          <w:ilvl w:val="0"/>
          <w:numId w:val="0"/>
        </w:numPr>
        <w:tabs>
          <w:tab w:val="center" w:pos="4739"/>
        </w:tabs>
        <w:autoSpaceDE/>
        <w:autoSpaceDN/>
        <w:spacing w:before="0" w:after="160" w:line="240" w:lineRule="auto"/>
        <w:ind w:right="0" w:firstLine="1680"/>
        <w:jc w:val="both"/>
        <w:rPr>
          <w:rFonts w:hint="default" w:ascii="Times New Roman" w:hAnsi="宋体" w:eastAsia="宋体"/>
          <w:b/>
          <w:color w:val="auto"/>
          <w:position w:val="0"/>
          <w:sz w:val="28"/>
          <w:szCs w:val="28"/>
          <w:highlight w:val="none"/>
        </w:rPr>
      </w:pPr>
      <w:r>
        <w:rPr>
          <w:rFonts w:hint="default" w:ascii="Times New Roman" w:hAnsi="宋体" w:eastAsia="宋体"/>
          <w:b/>
          <w:color w:val="auto"/>
          <w:position w:val="0"/>
          <w:sz w:val="28"/>
          <w:szCs w:val="28"/>
          <w:highlight w:val="none"/>
        </w:rPr>
        <w:t>投标人认为须附的其他材料，格式可自行编制。</w:t>
      </w:r>
    </w:p>
    <w:p>
      <w:pPr>
        <w:numPr>
          <w:ilvl w:val="0"/>
          <w:numId w:val="0"/>
        </w:numPr>
        <w:tabs>
          <w:tab w:val="center" w:pos="4739"/>
        </w:tabs>
        <w:autoSpaceDE/>
        <w:autoSpaceDN/>
        <w:spacing w:before="0" w:after="160" w:line="240" w:lineRule="auto"/>
        <w:ind w:right="0" w:firstLine="1680"/>
        <w:jc w:val="both"/>
        <w:rPr>
          <w:rFonts w:hint="default" w:ascii="Times New Roman" w:hAnsi="宋体" w:eastAsia="宋体"/>
          <w:color w:val="auto"/>
          <w:position w:val="0"/>
          <w:sz w:val="24"/>
          <w:szCs w:val="24"/>
          <w:highlight w:val="none"/>
        </w:rPr>
        <w:sectPr>
          <w:pgSz w:w="11906" w:h="16838"/>
          <w:pgMar w:top="1304" w:right="1134" w:bottom="1304" w:left="1134" w:header="851" w:footer="992" w:gutter="0"/>
          <w:pgNumType w:fmt="decimal"/>
          <w:docGrid w:type="linesAndChars" w:linePitch="312" w:charSpace="0"/>
        </w:sectPr>
      </w:pPr>
    </w:p>
    <w:p>
      <w:pPr>
        <w:numPr>
          <w:ilvl w:val="0"/>
          <w:numId w:val="0"/>
        </w:numPr>
        <w:tabs>
          <w:tab w:val="center" w:pos="4739"/>
        </w:tabs>
        <w:autoSpaceDE/>
        <w:autoSpaceDN/>
        <w:spacing w:before="0" w:after="160" w:line="240" w:lineRule="auto"/>
        <w:ind w:left="180" w:right="0" w:firstLine="640"/>
        <w:jc w:val="center"/>
        <w:rPr>
          <w:rFonts w:hint="default" w:ascii="Times New Roman" w:hAnsi="宋体" w:eastAsia="宋体"/>
          <w:b/>
          <w:color w:val="auto"/>
          <w:position w:val="0"/>
          <w:sz w:val="32"/>
          <w:szCs w:val="32"/>
          <w:highlight w:val="none"/>
        </w:rPr>
      </w:pPr>
    </w:p>
    <w:p>
      <w:pPr>
        <w:numPr>
          <w:ilvl w:val="0"/>
          <w:numId w:val="0"/>
        </w:numPr>
        <w:tabs>
          <w:tab w:val="center" w:pos="4739"/>
        </w:tabs>
        <w:autoSpaceDE/>
        <w:autoSpaceDN/>
        <w:spacing w:before="0" w:after="160" w:line="240" w:lineRule="auto"/>
        <w:ind w:left="180" w:right="0" w:firstLine="64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　</w:t>
      </w:r>
    </w:p>
    <w:p>
      <w:pPr>
        <w:numPr>
          <w:ilvl w:val="0"/>
          <w:numId w:val="0"/>
        </w:numPr>
        <w:autoSpaceDE w:val="0"/>
        <w:autoSpaceDN w:val="0"/>
        <w:spacing w:before="0" w:after="160" w:line="240" w:lineRule="auto"/>
        <w:ind w:right="0" w:firstLine="0"/>
        <w:jc w:val="both"/>
        <w:rPr>
          <w:rFonts w:hint="default" w:ascii="Times New Roman" w:hAnsi="宋体" w:eastAsia="宋体"/>
          <w:b/>
          <w:color w:val="auto"/>
          <w:spacing w:val="60"/>
          <w:position w:val="0"/>
          <w:sz w:val="48"/>
          <w:szCs w:val="48"/>
          <w:highlight w:val="none"/>
          <w:u w:val="single"/>
        </w:rPr>
      </w:pPr>
      <w:r>
        <w:rPr>
          <w:rFonts w:hint="default" w:ascii="Times New Roman" w:hAnsi="宋体" w:eastAsia="宋体"/>
          <w:b/>
          <w:color w:val="auto"/>
          <w:position w:val="0"/>
          <w:sz w:val="36"/>
          <w:szCs w:val="36"/>
          <w:highlight w:val="none"/>
        </w:rPr>
        <w:t xml:space="preserve">　         </w:t>
      </w:r>
      <w:r>
        <w:rPr>
          <w:rFonts w:hint="default" w:ascii="Times New Roman" w:hAnsi="宋体" w:eastAsia="宋体"/>
          <w:b/>
          <w:color w:val="auto"/>
          <w:spacing w:val="60"/>
          <w:position w:val="0"/>
          <w:sz w:val="48"/>
          <w:szCs w:val="48"/>
          <w:highlight w:val="none"/>
          <w:u w:val="single"/>
        </w:rPr>
        <w:t xml:space="preserve">      （工程名称标段）</w:t>
      </w:r>
    </w:p>
    <w:p>
      <w:pPr>
        <w:numPr>
          <w:ilvl w:val="0"/>
          <w:numId w:val="0"/>
        </w:numPr>
        <w:autoSpaceDE w:val="0"/>
        <w:autoSpaceDN w:val="0"/>
        <w:spacing w:before="0" w:after="160" w:line="240" w:lineRule="auto"/>
        <w:ind w:right="0" w:firstLine="1280"/>
        <w:jc w:val="center"/>
        <w:rPr>
          <w:rFonts w:hint="default" w:ascii="Times New Roman" w:hAnsi="宋体" w:eastAsia="宋体"/>
          <w:b/>
          <w:color w:val="auto"/>
          <w:spacing w:val="60"/>
          <w:position w:val="0"/>
          <w:sz w:val="52"/>
          <w:szCs w:val="52"/>
          <w:highlight w:val="none"/>
          <w:u w:val="single"/>
        </w:rPr>
      </w:pPr>
    </w:p>
    <w:p>
      <w:pPr>
        <w:numPr>
          <w:ilvl w:val="0"/>
          <w:numId w:val="0"/>
        </w:numPr>
        <w:autoSpaceDE w:val="0"/>
        <w:autoSpaceDN w:val="0"/>
        <w:spacing w:before="0" w:after="160" w:line="240" w:lineRule="auto"/>
        <w:ind w:right="0" w:firstLine="0"/>
        <w:jc w:val="both"/>
        <w:rPr>
          <w:rFonts w:hint="default" w:ascii="Times New Roman" w:hAnsi="宋体" w:eastAsia="宋体"/>
          <w:color w:val="auto"/>
          <w:position w:val="0"/>
          <w:sz w:val="36"/>
          <w:szCs w:val="36"/>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72"/>
          <w:szCs w:val="72"/>
          <w:highlight w:val="none"/>
        </w:rPr>
      </w:pPr>
      <w:r>
        <w:rPr>
          <w:rFonts w:hint="default" w:ascii="Times New Roman" w:hAnsi="宋体" w:eastAsia="宋体"/>
          <w:b/>
          <w:color w:val="auto"/>
          <w:position w:val="0"/>
          <w:sz w:val="72"/>
          <w:szCs w:val="72"/>
          <w:highlight w:val="none"/>
        </w:rPr>
        <w:t>投 标 文 件</w:t>
      </w: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64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（技术标）</w:t>
      </w:r>
    </w:p>
    <w:p>
      <w:pPr>
        <w:numPr>
          <w:ilvl w:val="0"/>
          <w:numId w:val="0"/>
        </w:numPr>
        <w:tabs>
          <w:tab w:val="center" w:pos="4739"/>
        </w:tabs>
        <w:autoSpaceDE/>
        <w:autoSpaceDN/>
        <w:spacing w:before="0" w:after="160" w:line="240" w:lineRule="auto"/>
        <w:ind w:left="180" w:right="0" w:firstLine="640"/>
        <w:jc w:val="both"/>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 xml:space="preserve">               项目编号：</w:t>
      </w: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left="180" w:right="0" w:firstLine="0"/>
        <w:jc w:val="both"/>
        <w:rPr>
          <w:rFonts w:hint="default" w:ascii="Times New Roman" w:hAnsi="宋体" w:eastAsia="宋体"/>
          <w:color w:val="auto"/>
          <w:position w:val="0"/>
          <w:sz w:val="24"/>
          <w:szCs w:val="24"/>
          <w:highlight w:val="none"/>
        </w:rPr>
      </w:pP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投标人：(盖单位章)</w:t>
      </w: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法定代表人或其委托代理人：(签字)</w:t>
      </w:r>
    </w:p>
    <w:p>
      <w:pPr>
        <w:numPr>
          <w:ilvl w:val="0"/>
          <w:numId w:val="0"/>
        </w:numPr>
        <w:tabs>
          <w:tab w:val="center" w:pos="4739"/>
        </w:tabs>
        <w:autoSpaceDE/>
        <w:autoSpaceDN/>
        <w:spacing w:before="0" w:after="160" w:line="240" w:lineRule="auto"/>
        <w:ind w:right="0"/>
        <w:jc w:val="center"/>
        <w:rPr>
          <w:rFonts w:hint="default" w:ascii="Times New Roman" w:hAnsi="宋体" w:eastAsia="宋体"/>
          <w:b/>
          <w:color w:val="auto"/>
          <w:position w:val="0"/>
          <w:sz w:val="32"/>
          <w:szCs w:val="32"/>
          <w:highlight w:val="none"/>
        </w:rPr>
      </w:pPr>
      <w:r>
        <w:rPr>
          <w:rFonts w:hint="default" w:ascii="Times New Roman" w:hAnsi="宋体" w:eastAsia="宋体"/>
          <w:b/>
          <w:color w:val="auto"/>
          <w:position w:val="0"/>
          <w:sz w:val="32"/>
          <w:szCs w:val="32"/>
          <w:highlight w:val="none"/>
        </w:rPr>
        <w:t>年   月   日</w:t>
      </w:r>
    </w:p>
    <w:p>
      <w:pPr>
        <w:numPr>
          <w:ilvl w:val="0"/>
          <w:numId w:val="0"/>
        </w:numPr>
        <w:autoSpaceDE w:val="0"/>
        <w:autoSpaceDN w:val="0"/>
        <w:spacing w:before="0" w:after="160" w:line="540" w:lineRule="exact"/>
        <w:ind w:right="0" w:firstLine="720"/>
        <w:jc w:val="center"/>
        <w:rPr>
          <w:rFonts w:hint="default" w:ascii="Times New Roman" w:hAnsi="宋体" w:eastAsia="宋体"/>
          <w:b/>
          <w:color w:val="auto"/>
          <w:position w:val="0"/>
          <w:sz w:val="36"/>
          <w:szCs w:val="36"/>
          <w:highlight w:val="none"/>
        </w:rPr>
      </w:pPr>
      <w:r>
        <w:br w:type="page"/>
      </w:r>
    </w:p>
    <w:p>
      <w:pPr>
        <w:numPr>
          <w:ilvl w:val="0"/>
          <w:numId w:val="0"/>
        </w:numPr>
        <w:autoSpaceDE w:val="0"/>
        <w:autoSpaceDN w:val="0"/>
        <w:spacing w:before="0" w:after="160" w:line="540" w:lineRule="exact"/>
        <w:ind w:right="0" w:firstLine="880"/>
        <w:jc w:val="center"/>
        <w:rPr>
          <w:rFonts w:hint="default" w:ascii="Times New Roman" w:hAnsi="宋体" w:eastAsia="宋体"/>
          <w:b/>
          <w:color w:val="auto"/>
          <w:position w:val="0"/>
          <w:sz w:val="44"/>
          <w:szCs w:val="44"/>
          <w:highlight w:val="none"/>
        </w:rPr>
      </w:pPr>
      <w:r>
        <w:rPr>
          <w:rFonts w:hint="default" w:ascii="Times New Roman" w:hAnsi="宋体" w:eastAsia="宋体"/>
          <w:b/>
          <w:color w:val="auto"/>
          <w:position w:val="0"/>
          <w:sz w:val="44"/>
          <w:szCs w:val="44"/>
          <w:highlight w:val="none"/>
        </w:rPr>
        <w:t>目  录</w:t>
      </w:r>
    </w:p>
    <w:p>
      <w:pPr>
        <w:numPr>
          <w:ilvl w:val="0"/>
          <w:numId w:val="0"/>
        </w:numPr>
        <w:autoSpaceDE w:val="0"/>
        <w:autoSpaceDN w:val="0"/>
        <w:spacing w:before="0" w:after="160" w:line="540" w:lineRule="exact"/>
        <w:ind w:right="0" w:firstLine="0"/>
        <w:jc w:val="center"/>
        <w:rPr>
          <w:rFonts w:hint="default" w:ascii="Times New Roman" w:hAnsi="宋体" w:eastAsia="宋体"/>
          <w:b/>
          <w:color w:val="auto"/>
          <w:position w:val="0"/>
          <w:sz w:val="36"/>
          <w:szCs w:val="36"/>
          <w:highlight w:val="none"/>
        </w:rPr>
      </w:pP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（1）内容完整性；</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（2）主要施工方案和技术措施；</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（3）质量管理体系与措施；</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（4）安全管理体系与措施；</w:t>
      </w:r>
    </w:p>
    <w:p>
      <w:pPr>
        <w:numPr>
          <w:ilvl w:val="0"/>
          <w:numId w:val="0"/>
        </w:numPr>
        <w:autoSpaceDE w:val="0"/>
        <w:autoSpaceDN w:val="0"/>
        <w:spacing w:before="0" w:after="160" w:line="440" w:lineRule="exact"/>
        <w:ind w:right="0" w:firstLine="480"/>
        <w:jc w:val="left"/>
        <w:outlineLvl w:val="0"/>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（5）文明施工、环境保护管理体系及施工现场扬尘治理措施；</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（6）工程保证措施；</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（7）拟投入资源配备计划；</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（8）施工进度表与网络计划图；</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（9）施工总平面图布置；</w:t>
      </w:r>
    </w:p>
    <w:p>
      <w:pPr>
        <w:numPr>
          <w:ilvl w:val="0"/>
          <w:numId w:val="0"/>
        </w:numPr>
        <w:tabs>
          <w:tab w:val="left" w:pos="1260"/>
        </w:tabs>
        <w:autoSpaceDE w:val="0"/>
        <w:autoSpaceDN w:val="0"/>
        <w:spacing w:before="0" w:after="160" w:line="460" w:lineRule="exact"/>
        <w:ind w:right="0" w:firstLine="24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 xml:space="preserve">  （10）技术创新的应用措施；</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（11）采用新工艺、新技术、新设备、新材料、BIM等的程度；</w:t>
      </w:r>
    </w:p>
    <w:p>
      <w:pPr>
        <w:numPr>
          <w:ilvl w:val="0"/>
          <w:numId w:val="0"/>
        </w:numPr>
        <w:tabs>
          <w:tab w:val="left" w:pos="1260"/>
        </w:tabs>
        <w:autoSpaceDE w:val="0"/>
        <w:autoSpaceDN w:val="0"/>
        <w:spacing w:before="0" w:after="160" w:line="460" w:lineRule="exact"/>
        <w:ind w:right="0" w:firstLine="480"/>
        <w:jc w:val="left"/>
        <w:rPr>
          <w:rFonts w:hint="default" w:ascii="Times New Roman" w:hAnsi="宋体" w:eastAsia="宋体"/>
          <w:color w:val="auto"/>
          <w:position w:val="0"/>
          <w:sz w:val="24"/>
          <w:szCs w:val="24"/>
          <w:highlight w:val="none"/>
        </w:rPr>
      </w:pPr>
      <w:r>
        <w:rPr>
          <w:rFonts w:hint="default" w:ascii="Times New Roman" w:hAnsi="宋体" w:eastAsia="宋体"/>
          <w:color w:val="auto"/>
          <w:position w:val="0"/>
          <w:sz w:val="24"/>
          <w:szCs w:val="24"/>
          <w:highlight w:val="none"/>
        </w:rPr>
        <w:t>（12）施工现场实施信息化监控和数据处理；</w:t>
      </w:r>
    </w:p>
    <w:p>
      <w:pPr>
        <w:pStyle w:val="2"/>
        <w:numPr>
          <w:ilvl w:val="0"/>
          <w:numId w:val="0"/>
        </w:numPr>
        <w:autoSpaceDE/>
        <w:autoSpaceDN/>
        <w:spacing w:before="0" w:after="120" w:line="240" w:lineRule="auto"/>
        <w:ind w:right="0" w:firstLine="480"/>
        <w:jc w:val="both"/>
        <w:rPr>
          <w:rFonts w:hint="default" w:ascii="宋体" w:hAnsi="Times New Roman" w:eastAsia="Times New Roman"/>
          <w:color w:val="auto"/>
          <w:position w:val="0"/>
          <w:sz w:val="24"/>
          <w:szCs w:val="24"/>
          <w:highlight w:val="none"/>
        </w:rPr>
      </w:pPr>
      <w:r>
        <w:rPr>
          <w:rFonts w:hint="default" w:ascii="宋体" w:hAnsi="宋体" w:eastAsia="宋体"/>
          <w:color w:val="auto"/>
          <w:position w:val="0"/>
          <w:sz w:val="24"/>
          <w:szCs w:val="24"/>
          <w:highlight w:val="none"/>
        </w:rPr>
        <w:t>（13）风险管理措施；</w:t>
      </w:r>
    </w:p>
    <w:p>
      <w:pPr>
        <w:numPr>
          <w:ilvl w:val="0"/>
          <w:numId w:val="0"/>
        </w:numPr>
        <w:autoSpaceDE w:val="0"/>
        <w:autoSpaceDN w:val="0"/>
        <w:spacing w:before="240" w:after="240" w:line="240" w:lineRule="auto"/>
        <w:ind w:right="0" w:firstLine="0"/>
        <w:jc w:val="center"/>
        <w:outlineLvl w:val="0"/>
        <w:rPr>
          <w:rFonts w:hint="default" w:ascii="Times New Roman" w:hAnsi="黑体" w:eastAsia="黑体"/>
          <w:b/>
          <w:color w:val="auto"/>
          <w:position w:val="0"/>
          <w:sz w:val="44"/>
          <w:szCs w:val="44"/>
          <w:highlight w:val="none"/>
        </w:rPr>
      </w:pPr>
    </w:p>
    <w:p>
      <w:pPr>
        <w:numPr>
          <w:ilvl w:val="0"/>
          <w:numId w:val="0"/>
        </w:numPr>
        <w:autoSpaceDE w:val="0"/>
        <w:autoSpaceDN w:val="0"/>
        <w:spacing w:before="240" w:after="240" w:line="240" w:lineRule="auto"/>
        <w:ind w:right="0" w:firstLine="1260"/>
        <w:jc w:val="both"/>
        <w:outlineLvl w:val="0"/>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highlight w:val="none"/>
        </w:rPr>
      </w:pPr>
    </w:p>
    <w:p>
      <w:pPr>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21"/>
          <w:szCs w:val="21"/>
        </w:rPr>
      </w:pPr>
    </w:p>
    <w:sectPr>
      <w:footerReference r:id="rId11" w:type="first"/>
      <w:footerReference r:id="rId10" w:type="default"/>
      <w:pgSz w:w="11906" w:h="16838"/>
      <w:pgMar w:top="1304" w:right="1134" w:bottom="1304" w:left="1134" w:header="851" w:footer="992" w:gutter="0"/>
      <w:pgNumType w:fmt="decimal"/>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Malgun Gothic">
    <w:panose1 w:val="020B0503020000020004"/>
    <w:charset w:val="81"/>
    <w:family w:val="auto"/>
    <w:pitch w:val="default"/>
    <w:sig w:usb0="9000002F" w:usb1="29D77CFB" w:usb2="00000012" w:usb3="00000000" w:csb0="0008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numPr>
        <w:ilvl w:val="0"/>
        <w:numId w:val="0"/>
      </w:numPr>
      <w:pBdr>
        <w:top w:val="single" w:color="000000" w:sz="4" w:space="0"/>
        <w:left w:val="none" w:color="000000" w:sz="0" w:space="0"/>
        <w:bottom w:val="none" w:color="000000" w:sz="0" w:space="0"/>
        <w:right w:val="none" w:color="000000" w:sz="0" w:space="0"/>
      </w:pBdr>
      <w:autoSpaceDE/>
      <w:autoSpaceDN/>
      <w:snapToGrid w:val="0"/>
      <w:spacing w:before="0" w:after="160" w:line="240" w:lineRule="auto"/>
      <w:ind w:right="0" w:firstLine="0"/>
      <w:jc w:val="left"/>
      <w:rPr>
        <w:rFonts w:hint="default" w:ascii="Times New Roman" w:hAnsi="Times New Roman" w:eastAsia="Times New Roman"/>
        <w:color w:val="auto"/>
        <w:position w:val="0"/>
        <w:sz w:val="21"/>
        <w:szCs w:val="21"/>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57150" cy="233045"/>
              <wp:effectExtent l="0" t="0" r="0" b="0"/>
              <wp:wrapNone/>
              <wp:docPr id="6" name="文本框 4"/>
              <wp:cNvGraphicFramePr/>
              <a:graphic xmlns:a="http://schemas.openxmlformats.org/drawingml/2006/main">
                <a:graphicData uri="http://schemas.microsoft.com/office/word/2010/wordprocessingShape">
                  <wps:wsp>
                    <wps:cNvSpPr txBox="1"/>
                    <wps:spPr>
                      <a:xfrm>
                        <a:off x="0" y="0"/>
                        <a:ext cx="57785" cy="233680"/>
                      </a:xfrm>
                      <a:prstGeom prst="rect">
                        <a:avLst/>
                      </a:prstGeom>
                      <a:noFill/>
                      <a:ln cap="flat">
                        <a:noFill/>
                      </a:ln>
                    </wps:spPr>
                    <wps:txbx>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rPr>
                              <w:rFonts w:hint="default" w:ascii="Times New Roman" w:hAnsi="Times New Roman" w:eastAsia="Times New Roman"/>
                              <w:color w:val="auto"/>
                              <w:position w:val="0"/>
                              <w:sz w:val="18"/>
                              <w:szCs w:val="18"/>
                            </w:rPr>
                            <w:t>2</w:t>
                          </w:r>
                          <w:r>
                            <w:rPr>
                              <w:rFonts w:hint="default" w:ascii="Times New Roman" w:hAnsi="Times New Roman" w:eastAsia="Times New Roman"/>
                              <w:color w:val="auto"/>
                              <w:position w:val="0"/>
                              <w:sz w:val="18"/>
                              <w:szCs w:val="18"/>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4" o:spid="_x0000_s1026" o:spt="202" type="#_x0000_t202" style="position:absolute;left:0pt;margin-top:0pt;height:18.35pt;width:4.5pt;mso-position-horizontal:center;mso-position-horizontal-relative:margin;mso-wrap-style:none;z-index:251625472;v-text-anchor:middle;mso-width-relative:page;mso-height-relative:page;" filled="f" stroked="f" coordsize="21600,21600" o:gfxdata="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59q63SAAAAAgEAAA8AAAAAAAAAAQAg&#10;AAAAIgAAAGRycy9kb3ducmV2LnhtbFBLAQIUABQAAAAIAIdO4kD7/fd2FAIAAAgEAAAOAAAAAAAA&#10;AAEAIAAAACEBAABkcnMvZTJvRG9jLnhtbFBLBQYAAAAABgAGAFkBAACnBQAAAAA=&#10;">
              <v:fill on="f" focussize="0,0"/>
              <v:stroke on="f"/>
              <v:imagedata o:title=""/>
              <o:lock v:ext="edit" aspectratio="f"/>
              <v:textbox inset="0mm,0mm,0mm,0mm" style="mso-fit-shape-to-text:t;">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rPr>
                        <w:rFonts w:hint="default" w:ascii="Times New Roman" w:hAnsi="Times New Roman" w:eastAsia="Times New Roman"/>
                        <w:color w:val="auto"/>
                        <w:position w:val="0"/>
                        <w:sz w:val="18"/>
                        <w:szCs w:val="18"/>
                      </w:rPr>
                      <w:t>2</w:t>
                    </w:r>
                    <w:r>
                      <w:rPr>
                        <w:rFonts w:hint="default" w:ascii="Times New Roman" w:hAnsi="Times New Roman" w:eastAsia="Times New Roman"/>
                        <w:color w:val="auto"/>
                        <w:position w:val="0"/>
                        <w:sz w:val="18"/>
                        <w:szCs w:val="18"/>
                      </w:rPr>
                      <w:fldChar w:fldCharType="end"/>
                    </w:r>
                  </w:p>
                </w:txbxContent>
              </v:textbox>
            </v:shape>
          </w:pict>
        </mc:Fallback>
      </mc:AlternateContent>
    </w:r>
    <w:r>
      <w:rPr>
        <w:rFonts w:hint="eastAsia" w:eastAsia="宋体"/>
        <w:color w:val="auto"/>
        <w:position w:val="0"/>
        <w:sz w:val="21"/>
        <w:szCs w:val="21"/>
        <w:lang w:eastAsia="zh-CN"/>
      </w:rPr>
      <w:t>达信建设发展有限公司</w:t>
    </w:r>
    <w:r>
      <w:rPr>
        <w:rFonts w:hint="default" w:ascii="Times New Roman" w:hAnsi="Times New Roman" w:eastAsia="Times New Roman"/>
        <w:color w:val="auto"/>
        <w:position w:val="0"/>
        <w:sz w:val="21"/>
        <w:szCs w:val="21"/>
      </w:rPr>
      <w:t xml:space="preserve">                                                   0375-6161678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numPr>
        <w:ilvl w:val="0"/>
        <w:numId w:val="0"/>
      </w:numPr>
      <w:pBdr>
        <w:top w:val="single" w:color="000000" w:sz="4" w:space="0"/>
        <w:left w:val="none" w:color="000000" w:sz="0" w:space="0"/>
        <w:bottom w:val="none" w:color="000000" w:sz="0" w:space="0"/>
        <w:right w:val="none" w:color="000000" w:sz="0" w:space="0"/>
      </w:pBdr>
      <w:autoSpaceDE/>
      <w:autoSpaceDN/>
      <w:snapToGrid w:val="0"/>
      <w:spacing w:before="0" w:after="160" w:line="240" w:lineRule="auto"/>
      <w:ind w:right="0" w:firstLine="0"/>
      <w:jc w:val="left"/>
      <w:rPr>
        <w:rFonts w:hint="default" w:ascii="Times New Roman" w:hAnsi="宋体" w:eastAsia="宋体"/>
        <w:color w:val="auto"/>
        <w:position w:val="0"/>
        <w:sz w:val="18"/>
        <w:szCs w:val="18"/>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57150" cy="233045"/>
              <wp:effectExtent l="0" t="0" r="0" b="0"/>
              <wp:wrapNone/>
              <wp:docPr id="21" name="文本框 9"/>
              <wp:cNvGraphicFramePr/>
              <a:graphic xmlns:a="http://schemas.openxmlformats.org/drawingml/2006/main">
                <a:graphicData uri="http://schemas.microsoft.com/office/word/2010/wordprocessingShape">
                  <wps:wsp>
                    <wps:cNvSpPr txBox="1"/>
                    <wps:spPr>
                      <a:xfrm>
                        <a:off x="0" y="0"/>
                        <a:ext cx="57785" cy="233680"/>
                      </a:xfrm>
                      <a:prstGeom prst="rect">
                        <a:avLst/>
                      </a:prstGeom>
                      <a:noFill/>
                      <a:ln cap="flat">
                        <a:noFill/>
                      </a:ln>
                    </wps:spPr>
                    <wps:txbx>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rPr>
                              <w:rFonts w:hint="default" w:ascii="Times New Roman" w:hAnsi="Times New Roman" w:eastAsia="Times New Roman"/>
                              <w:color w:val="auto"/>
                              <w:position w:val="0"/>
                              <w:sz w:val="18"/>
                              <w:szCs w:val="18"/>
                            </w:rPr>
                            <w:t>3</w:t>
                          </w:r>
                          <w:r>
                            <w:rPr>
                              <w:rFonts w:hint="default" w:ascii="Times New Roman" w:hAnsi="Times New Roman" w:eastAsia="Times New Roman"/>
                              <w:color w:val="auto"/>
                              <w:position w:val="0"/>
                              <w:sz w:val="18"/>
                              <w:szCs w:val="18"/>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9" o:spid="_x0000_s1026" o:spt="202" type="#_x0000_t202" style="position:absolute;left:0pt;margin-top:0pt;height:18.35pt;width:4.5pt;mso-position-horizontal:center;mso-position-horizontal-relative:margin;mso-wrap-style:none;z-index:251625472;v-text-anchor:middle;mso-width-relative:page;mso-height-relative:page;" filled="f" stroked="f" coordsize="21600,21600" o:gfxdata="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59q63SAAAAAgEAAA8AAAAAAAAAAQAg&#10;AAAAIgAAAGRycy9kb3ducmV2LnhtbFBLAQIUABQAAAAIAIdO4kAYMNH1FAIAAAkEAAAOAAAAAAAA&#10;AAEAIAAAACEBAABkcnMvZTJvRG9jLnhtbFBLBQYAAAAABgAGAFkBAACnBQAAAAA=&#10;">
              <v:fill on="f" focussize="0,0"/>
              <v:stroke on="f"/>
              <v:imagedata o:title=""/>
              <o:lock v:ext="edit" aspectratio="f"/>
              <v:textbox inset="0mm,0mm,0mm,0mm" style="mso-fit-shape-to-text:t;">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rPr>
                        <w:rFonts w:hint="default" w:ascii="Times New Roman" w:hAnsi="Times New Roman" w:eastAsia="Times New Roman"/>
                        <w:color w:val="auto"/>
                        <w:position w:val="0"/>
                        <w:sz w:val="18"/>
                        <w:szCs w:val="18"/>
                      </w:rPr>
                      <w:t>3</w:t>
                    </w:r>
                    <w:r>
                      <w:rPr>
                        <w:rFonts w:hint="default" w:ascii="Times New Roman" w:hAnsi="Times New Roman" w:eastAsia="Times New Roman"/>
                        <w:color w:val="auto"/>
                        <w:position w:val="0"/>
                        <w:sz w:val="18"/>
                        <w:szCs w:val="18"/>
                      </w:rPr>
                      <w:fldChar w:fldCharType="end"/>
                    </w:r>
                  </w:p>
                </w:txbxContent>
              </v:textbox>
            </v:shape>
          </w:pict>
        </mc:Fallback>
      </mc:AlternateContent>
    </w:r>
    <w:r>
      <w:rPr>
        <w:rFonts w:hint="default" w:ascii="Times New Roman" w:hAnsi="Times New Roman" w:eastAsia="Times New Roman"/>
        <w:color w:val="auto"/>
        <w:position w:val="0"/>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numPr>
        <w:ilvl w:val="0"/>
        <w:numId w:val="0"/>
      </w:numPr>
      <w:pBdr>
        <w:top w:val="single" w:color="000000" w:sz="4" w:space="0"/>
        <w:left w:val="none" w:color="000000" w:sz="0" w:space="0"/>
        <w:bottom w:val="none" w:color="000000" w:sz="0" w:space="0"/>
        <w:right w:val="none" w:color="000000" w:sz="0" w:space="0"/>
      </w:pBd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57150" cy="233045"/>
              <wp:effectExtent l="0" t="0" r="0" b="0"/>
              <wp:wrapNone/>
              <wp:docPr id="23" name="文本框 8"/>
              <wp:cNvGraphicFramePr/>
              <a:graphic xmlns:a="http://schemas.openxmlformats.org/drawingml/2006/main">
                <a:graphicData uri="http://schemas.microsoft.com/office/word/2010/wordprocessingShape">
                  <wps:wsp>
                    <wps:cNvSpPr txBox="1"/>
                    <wps:spPr>
                      <a:xfrm>
                        <a:off x="0" y="0"/>
                        <a:ext cx="57785" cy="233680"/>
                      </a:xfrm>
                      <a:prstGeom prst="rect">
                        <a:avLst/>
                      </a:prstGeom>
                      <a:noFill/>
                      <a:ln cap="flat">
                        <a:noFill/>
                      </a:ln>
                    </wps:spPr>
                    <wps:txbx>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rPr>
                              <w:rFonts w:hint="default" w:ascii="Times New Roman" w:hAnsi="Times New Roman" w:eastAsia="Times New Roman"/>
                              <w:color w:val="auto"/>
                              <w:position w:val="0"/>
                              <w:sz w:val="18"/>
                              <w:szCs w:val="18"/>
                            </w:rPr>
                            <w:t>2</w:t>
                          </w:r>
                          <w:r>
                            <w:rPr>
                              <w:rFonts w:hint="default" w:ascii="Times New Roman" w:hAnsi="Times New Roman" w:eastAsia="Times New Roman"/>
                              <w:color w:val="auto"/>
                              <w:position w:val="0"/>
                              <w:sz w:val="18"/>
                              <w:szCs w:val="18"/>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8" o:spid="_x0000_s1026" o:spt="202" type="#_x0000_t202" style="position:absolute;left:0pt;margin-top:0pt;height:18.35pt;width:4.5pt;mso-position-horizontal:center;mso-position-horizontal-relative:margin;mso-wrap-style:none;z-index:251625472;v-text-anchor:middle;mso-width-relative:page;mso-height-relative:page;" filled="f" stroked="f" coordsize="21600,21600" o:gfxdata="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59q63SAAAAAgEAAA8AAAAAAAAAAQAg&#10;AAAAIgAAAGRycy9kb3ducmV2LnhtbFBLAQIUABQAAAAIAIdO4kCbGqWSFAIAAAkEAAAOAAAAAAAA&#10;AAEAIAAAACEBAABkcnMvZTJvRG9jLnhtbFBLBQYAAAAABgAGAFkBAACnBQAAAAA=&#10;">
              <v:fill on="f" focussize="0,0"/>
              <v:stroke on="f"/>
              <v:imagedata o:title=""/>
              <o:lock v:ext="edit" aspectratio="f"/>
              <v:textbox inset="0mm,0mm,0mm,0mm" style="mso-fit-shape-to-text:t;">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rPr>
                        <w:rFonts w:hint="default" w:ascii="Times New Roman" w:hAnsi="Times New Roman" w:eastAsia="Times New Roman"/>
                        <w:color w:val="auto"/>
                        <w:position w:val="0"/>
                        <w:sz w:val="18"/>
                        <w:szCs w:val="18"/>
                      </w:rPr>
                      <w:t>2</w:t>
                    </w:r>
                    <w:r>
                      <w:rPr>
                        <w:rFonts w:hint="default" w:ascii="Times New Roman" w:hAnsi="Times New Roman" w:eastAsia="Times New Roman"/>
                        <w:color w:val="auto"/>
                        <w:position w:val="0"/>
                        <w:sz w:val="18"/>
                        <w:szCs w:val="18"/>
                      </w:rPr>
                      <w:fldChar w:fldCharType="end"/>
                    </w:r>
                  </w:p>
                </w:txbxContent>
              </v:textbox>
            </v:shape>
          </w:pict>
        </mc:Fallback>
      </mc:AlternateContent>
    </w:r>
    <w:r>
      <w:rPr>
        <w:rFonts w:hint="eastAsia" w:eastAsia="宋体"/>
        <w:color w:val="auto"/>
        <w:position w:val="0"/>
        <w:sz w:val="21"/>
        <w:szCs w:val="21"/>
        <w:lang w:eastAsia="zh-CN"/>
      </w:rPr>
      <w:t>达信建设发展有限公司</w:t>
    </w:r>
    <w:r>
      <w:rPr>
        <w:rFonts w:hint="default" w:ascii="Times New Roman" w:hAnsi="Times New Roman" w:eastAsia="Times New Roman"/>
        <w:color w:val="auto"/>
        <w:position w:val="0"/>
        <w:sz w:val="21"/>
        <w:szCs w:val="21"/>
      </w:rPr>
      <w:t xml:space="preserve">                                                   0375-6161678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numPr>
        <w:ilvl w:val="0"/>
        <w:numId w:val="0"/>
      </w:numPr>
      <w:pBdr>
        <w:top w:val="single" w:color="000000" w:sz="4" w:space="0"/>
        <w:left w:val="none" w:color="000000" w:sz="0" w:space="0"/>
        <w:bottom w:val="none" w:color="000000" w:sz="0" w:space="0"/>
        <w:right w:val="none" w:color="000000" w:sz="0" w:space="0"/>
      </w:pBd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sz w:val="20"/>
      </w:rPr>
      <mc:AlternateContent>
        <mc:Choice Requires="wps">
          <w:drawing>
            <wp:anchor distT="0" distB="0" distL="114300" distR="114300" simplePos="0" relativeHeight="251625472" behindDoc="0" locked="0" layoutInCell="1" allowOverlap="1">
              <wp:simplePos x="0" y="0"/>
              <wp:positionH relativeFrom="margin">
                <wp:align>center</wp:align>
              </wp:positionH>
              <wp:positionV relativeFrom="paragraph">
                <wp:posOffset>0</wp:posOffset>
              </wp:positionV>
              <wp:extent cx="114300" cy="233045"/>
              <wp:effectExtent l="0" t="0" r="0" b="0"/>
              <wp:wrapNone/>
              <wp:docPr id="194" name="文本框 6"/>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cap="flat">
                        <a:noFill/>
                      </a:ln>
                    </wps:spPr>
                    <wps:txbx>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rPr>
                              <w:rFonts w:hint="default" w:ascii="Times New Roman" w:hAnsi="Times New Roman" w:eastAsia="Times New Roman"/>
                              <w:color w:val="auto"/>
                              <w:position w:val="0"/>
                              <w:sz w:val="18"/>
                              <w:szCs w:val="18"/>
                            </w:rPr>
                            <w:t>91</w:t>
                          </w:r>
                          <w:r>
                            <w:rPr>
                              <w:rFonts w:hint="default" w:ascii="Times New Roman" w:hAnsi="Times New Roman" w:eastAsia="Times New Roman"/>
                              <w:color w:val="auto"/>
                              <w:position w:val="0"/>
                              <w:sz w:val="18"/>
                              <w:szCs w:val="18"/>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6" o:spid="_x0000_s1026" o:spt="202" type="#_x0000_t202" style="position:absolute;left:0pt;margin-top:0pt;height:18.35pt;width:9pt;mso-position-horizontal:center;mso-position-horizontal-relative:margin;mso-wrap-style:none;z-index:251625472;v-text-anchor:middle;mso-width-relative:page;mso-height-relative:page;" filled="f" stroked="f" coordsize="21600,21600" o:gfxdata="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eCpyN0gAAAAMBAAAPAAAAAAAAAAEA&#10;IAAAACIAAABkcnMvZG93bnJldi54bWxQSwECFAAUAAAACACHTuJAPqspGxUCAAALBAAADgAAAAAA&#10;AAABACAAAAAhAQAAZHJzL2Uyb0RvYy54bWxQSwUGAAAAAAYABgBZAQAAqAUAAAAA&#10;">
              <v:fill on="f" focussize="0,0"/>
              <v:stroke on="f"/>
              <v:imagedata o:title=""/>
              <o:lock v:ext="edit" aspectratio="f"/>
              <v:textbox inset="0mm,0mm,0mm,0mm" style="mso-fit-shape-to-text:t;">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rPr>
                        <w:rFonts w:hint="default" w:ascii="Times New Roman" w:hAnsi="Times New Roman" w:eastAsia="Times New Roman"/>
                        <w:color w:val="auto"/>
                        <w:position w:val="0"/>
                        <w:sz w:val="18"/>
                        <w:szCs w:val="18"/>
                      </w:rPr>
                      <w:t>91</w:t>
                    </w:r>
                    <w:r>
                      <w:rPr>
                        <w:rFonts w:hint="default" w:ascii="Times New Roman" w:hAnsi="Times New Roman" w:eastAsia="Times New Roman"/>
                        <w:color w:val="auto"/>
                        <w:position w:val="0"/>
                        <w:sz w:val="18"/>
                        <w:szCs w:val="18"/>
                      </w:rPr>
                      <w:fldChar w:fldCharType="end"/>
                    </w:r>
                  </w:p>
                </w:txbxContent>
              </v:textbox>
            </v:shape>
          </w:pict>
        </mc:Fallback>
      </mc:AlternateContent>
    </w:r>
    <w:r>
      <w:rPr>
        <w:rFonts w:hint="default" w:ascii="Times New Roman" w:hAnsi="Times New Roman" w:eastAsia="Times New Roman"/>
        <w:color w:val="auto"/>
        <w:position w:val="0"/>
        <w:sz w:val="21"/>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numPr>
        <w:ilvl w:val="0"/>
        <w:numId w:val="0"/>
      </w:numPr>
      <w:pBdr>
        <w:top w:val="single" w:color="000000" w:sz="4" w:space="0"/>
        <w:left w:val="none" w:color="000000" w:sz="0" w:space="0"/>
        <w:bottom w:val="none" w:color="000000" w:sz="0" w:space="0"/>
        <w:right w:val="none" w:color="000000" w:sz="0" w:space="0"/>
      </w:pBd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sz w:val="20"/>
      </w:rPr>
      <mc:AlternateContent>
        <mc:Choice Requires="wps">
          <w:drawing>
            <wp:anchor distT="0" distB="0" distL="114300" distR="114300" simplePos="0" relativeHeight="251625472" behindDoc="0" locked="0" layoutInCell="1" allowOverlap="1">
              <wp:simplePos x="0" y="0"/>
              <wp:positionH relativeFrom="margin">
                <wp:posOffset>3002915</wp:posOffset>
              </wp:positionH>
              <wp:positionV relativeFrom="paragraph">
                <wp:posOffset>0</wp:posOffset>
              </wp:positionV>
              <wp:extent cx="1829435" cy="1829435"/>
              <wp:effectExtent l="0" t="0" r="0" b="0"/>
              <wp:wrapNone/>
              <wp:docPr id="196" name="文本框 7"/>
              <wp:cNvGraphicFramePr/>
              <a:graphic xmlns:a="http://schemas.openxmlformats.org/drawingml/2006/main">
                <a:graphicData uri="http://schemas.microsoft.com/office/word/2010/wordprocessingShape">
                  <wps:wsp>
                    <wps:cNvSpPr txBox="1"/>
                    <wps:spPr>
                      <a:xfrm>
                        <a:off x="0" y="0"/>
                        <a:ext cx="1830070" cy="1830070"/>
                      </a:xfrm>
                      <a:prstGeom prst="rect">
                        <a:avLst/>
                      </a:prstGeom>
                      <a:noFill/>
                      <a:ln cap="flat">
                        <a:noFill/>
                      </a:ln>
                    </wps:spPr>
                    <wps:txbx>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t>2</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7" o:spid="_x0000_s1026" o:spt="202" type="#_x0000_t202" style="position:absolute;left:0pt;margin-left:236.45pt;margin-top:0pt;height:144.05pt;width:144.05pt;mso-position-horizontal-relative:margin;mso-wrap-style:none;z-index:251625472;v-text-anchor:middle;mso-width-relative:page;mso-height-relative:page;" filled="f" stroked="f" coordsize="21600,21600" o:gfxdata="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MQCdcAAAAIAQAADwAAAAAAAAAB&#10;ACAAAAAiAAAAZHJzL2Rvd25yZXYueG1sUEsBAhQAFAAAAAgAh07iQCKkSvcRAgAADQQAAA4AAAAA&#10;AAAAAQAgAAAAJgEAAGRycy9lMm9Eb2MueG1sUEsFBgAAAAAGAAYAWQEAAKkFAAAAAA==&#10;">
              <v:fill on="f" focussize="0,0"/>
              <v:stroke on="f"/>
              <v:imagedata o:title=""/>
              <o:lock v:ext="edit" aspectratio="f"/>
              <v:textbox inset="0mm,0mm,0mm,0mm" style="mso-fit-shape-to-text:t;">
                <w:txbxContent>
                  <w:p>
                    <w:pPr>
                      <w:pStyle w:val="19"/>
                      <w:numPr>
                        <w:ilvl w:val="0"/>
                        <w:numId w:val="0"/>
                      </w:numPr>
                      <w:autoSpaceDE/>
                      <w:autoSpaceDN/>
                      <w:snapToGrid w:val="0"/>
                      <w:spacing w:before="0" w:after="160" w:line="240" w:lineRule="auto"/>
                      <w:ind w:right="0" w:firstLine="0"/>
                      <w:jc w:val="left"/>
                      <w:rPr>
                        <w:rFonts w:hint="default" w:ascii="Times New Roman" w:hAnsi="Times New Roman" w:eastAsia="Times New Roman"/>
                        <w:color w:val="auto"/>
                        <w:position w:val="0"/>
                        <w:sz w:val="18"/>
                        <w:szCs w:val="18"/>
                      </w:rPr>
                    </w:pPr>
                    <w:r>
                      <w:rPr>
                        <w:rFonts w:hint="default" w:ascii="Times New Roman" w:hAnsi="Times New Roman" w:eastAsia="Times New Roman"/>
                        <w:color w:val="auto"/>
                        <w:position w:val="0"/>
                        <w:sz w:val="18"/>
                        <w:szCs w:val="18"/>
                      </w:rPr>
                      <w:t>2</w:t>
                    </w:r>
                  </w:p>
                </w:txbxContent>
              </v:textbox>
            </v:shape>
          </w:pict>
        </mc:Fallback>
      </mc:AlternateContent>
    </w:r>
    <w:r>
      <w:rPr>
        <w:rFonts w:hint="eastAsia" w:eastAsia="宋体"/>
        <w:color w:val="auto"/>
        <w:position w:val="0"/>
        <w:sz w:val="21"/>
        <w:szCs w:val="21"/>
        <w:lang w:eastAsia="zh-CN"/>
      </w:rPr>
      <w:t>达信建设发展有限公司</w:t>
    </w:r>
    <w:r>
      <w:rPr>
        <w:rFonts w:hint="default" w:ascii="Times New Roman" w:hAnsi="Times New Roman" w:eastAsia="Times New Roman"/>
        <w:color w:val="auto"/>
        <w:position w:val="0"/>
        <w:sz w:val="21"/>
        <w:szCs w:val="21"/>
      </w:rPr>
      <w:t xml:space="preserve">                                                   0375-6161678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numPr>
        <w:ilvl w:val="0"/>
        <w:numId w:val="0"/>
      </w:numPr>
      <w:pBdr>
        <w:bottom w:val="single" w:color="000000" w:sz="6" w:space="0"/>
      </w:pBdr>
      <w:tabs>
        <w:tab w:val="left" w:pos="7324"/>
      </w:tabs>
      <w:autoSpaceDE/>
      <w:autoSpaceDN/>
      <w:snapToGrid w:val="0"/>
      <w:spacing w:before="0" w:after="160" w:line="240" w:lineRule="auto"/>
      <w:ind w:left="7560" w:right="0" w:hanging="7560" w:hangingChars="3600"/>
      <w:jc w:val="left"/>
      <w:rPr>
        <w:rFonts w:hint="default" w:ascii="宋体" w:hAnsi="宋体" w:eastAsia="宋体"/>
        <w:color w:val="auto"/>
        <w:position w:val="0"/>
        <w:sz w:val="18"/>
        <w:szCs w:val="18"/>
      </w:rPr>
    </w:pPr>
    <w:r>
      <w:rPr>
        <w:rFonts w:hint="default" w:ascii="宋体" w:hAnsi="宋体" w:eastAsia="宋体"/>
        <w:color w:val="auto"/>
        <w:position w:val="0"/>
        <w:sz w:val="21"/>
        <w:szCs w:val="21"/>
        <w:lang w:val="en-US" w:eastAsia="zh-CN"/>
      </w:rPr>
      <w:t>襄城县盛华裕苑棚户区改造配套基础设施建设项目</w:t>
    </w:r>
    <w:r>
      <w:rPr>
        <w:rFonts w:hint="default" w:ascii="宋体" w:hAnsi="宋体" w:eastAsia="宋体"/>
        <w:color w:val="auto"/>
        <w:position w:val="0"/>
        <w:sz w:val="21"/>
        <w:szCs w:val="21"/>
      </w:rPr>
      <w:t xml:space="preserve">                                 </w:t>
    </w:r>
    <w:r>
      <w:rPr>
        <w:rFonts w:hint="eastAsia"/>
        <w:color w:val="auto"/>
        <w:position w:val="0"/>
        <w:sz w:val="21"/>
        <w:szCs w:val="21"/>
        <w:lang w:val="en-US" w:eastAsia="zh-CN"/>
      </w:rPr>
      <w:t xml:space="preserve">      </w:t>
    </w:r>
    <w:r>
      <w:rPr>
        <w:rFonts w:hint="default" w:ascii="宋体" w:hAnsi="宋体" w:eastAsia="宋体"/>
        <w:color w:val="auto"/>
        <w:position w:val="0"/>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numPr>
        <w:ilvl w:val="0"/>
        <w:numId w:val="0"/>
      </w:numPr>
      <w:pBdr>
        <w:bottom w:val="single" w:color="000000" w:sz="6" w:space="0"/>
      </w:pBdr>
      <w:autoSpaceDE/>
      <w:autoSpaceDN/>
      <w:snapToGrid w:val="0"/>
      <w:spacing w:before="0" w:after="160" w:line="240" w:lineRule="auto"/>
      <w:ind w:right="0" w:firstLine="0"/>
      <w:jc w:val="center"/>
      <w:rPr>
        <w:rFonts w:hint="default" w:ascii="宋体" w:hAnsi="Times New Roman" w:eastAsia="Times New Roman"/>
        <w:color w:val="auto"/>
        <w:positio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numPr>
        <w:ilvl w:val="0"/>
        <w:numId w:val="0"/>
      </w:numPr>
      <w:pBdr>
        <w:bottom w:val="single" w:color="000000" w:sz="6" w:space="0"/>
      </w:pBdr>
      <w:tabs>
        <w:tab w:val="left" w:pos="7324"/>
      </w:tabs>
      <w:autoSpaceDE/>
      <w:autoSpaceDN/>
      <w:snapToGrid w:val="0"/>
      <w:spacing w:before="0" w:after="160" w:line="240" w:lineRule="auto"/>
      <w:ind w:right="0" w:firstLine="0"/>
      <w:jc w:val="both"/>
      <w:rPr>
        <w:rFonts w:hint="default" w:ascii="宋体" w:hAnsi="Times New Roman" w:eastAsia="Times New Roman"/>
        <w:color w:val="auto"/>
        <w:position w:val="0"/>
        <w:sz w:val="18"/>
        <w:szCs w:val="18"/>
      </w:rPr>
    </w:pPr>
    <w:r>
      <w:rPr>
        <w:rFonts w:hint="default" w:ascii="华文新魏" w:hAnsi="华文新魏" w:eastAsia="华文新魏"/>
        <w:color w:val="auto"/>
        <w:position w:val="0"/>
        <w:sz w:val="21"/>
        <w:szCs w:val="21"/>
      </w:rPr>
      <w:t>襄城县扶持村级集体经济（雷洞村特色农家院）项目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1D68AEEC"/>
    <w:multiLevelType w:val="singleLevel"/>
    <w:tmpl w:val="1D68AEEC"/>
    <w:lvl w:ilvl="0" w:tentative="0">
      <w:start w:val="4"/>
      <w:numFmt w:val="decimal"/>
      <w:suff w:val="nothing"/>
      <w:lvlText w:val="%1、"/>
      <w:lvlJc w:val="left"/>
    </w:lvl>
  </w:abstractNum>
  <w:abstractNum w:abstractNumId="2">
    <w:nsid w:val="2682E5A2"/>
    <w:multiLevelType w:val="singleLevel"/>
    <w:tmpl w:val="2682E5A2"/>
    <w:lvl w:ilvl="0" w:tentative="0">
      <w:start w:val="1"/>
      <w:numFmt w:val="decimal"/>
      <w:suff w:val="nothing"/>
      <w:lvlText w:val="%1、"/>
      <w:lvlJc w:val="left"/>
    </w:lvl>
  </w:abstractNum>
  <w:abstractNum w:abstractNumId="3">
    <w:nsid w:val="2F000000"/>
    <w:multiLevelType w:val="multilevel"/>
    <w:tmpl w:val="2F000000"/>
    <w:lvl w:ilvl="0" w:tentative="0">
      <w:start w:val="3"/>
      <w:numFmt w:val="bullet"/>
      <w:lvlText w:val="□"/>
      <w:lvlJc w:val="left"/>
      <w:pPr>
        <w:tabs>
          <w:tab w:val="left" w:pos="360"/>
        </w:tabs>
        <w:ind w:left="360" w:hanging="360"/>
        <w:jc w:val="both"/>
      </w:pPr>
      <w:rPr>
        <w:rFonts w:ascii="宋体" w:hAnsi="宋体" w:eastAsia="宋体"/>
        <w:w w:val="100"/>
        <w:sz w:val="20"/>
        <w:szCs w:val="20"/>
        <w:shd w:val="clear"/>
      </w:rPr>
    </w:lvl>
    <w:lvl w:ilvl="1" w:tentative="0">
      <w:start w:val="1"/>
      <w:numFmt w:val="bullet"/>
      <w:lvlText w:val="n"/>
      <w:lvlJc w:val="left"/>
      <w:pPr>
        <w:tabs>
          <w:tab w:val="left" w:pos="840"/>
        </w:tabs>
        <w:ind w:left="840" w:hanging="420"/>
        <w:jc w:val="both"/>
      </w:pPr>
      <w:rPr>
        <w:rFonts w:ascii="Wingdings" w:hAnsi="Wingdings" w:eastAsia="Wingdings"/>
        <w:w w:val="100"/>
        <w:sz w:val="20"/>
        <w:szCs w:val="20"/>
        <w:shd w:val="clear"/>
      </w:rPr>
    </w:lvl>
    <w:lvl w:ilvl="2" w:tentative="0">
      <w:start w:val="1"/>
      <w:numFmt w:val="bullet"/>
      <w:lvlText w:val="u"/>
      <w:lvlJc w:val="left"/>
      <w:pPr>
        <w:tabs>
          <w:tab w:val="left" w:pos="1260"/>
        </w:tabs>
        <w:ind w:left="1260" w:hanging="420"/>
        <w:jc w:val="both"/>
      </w:pPr>
      <w:rPr>
        <w:rFonts w:ascii="Wingdings" w:hAnsi="Wingdings" w:eastAsia="Wingdings"/>
        <w:w w:val="100"/>
        <w:sz w:val="20"/>
        <w:szCs w:val="20"/>
        <w:shd w:val="clear"/>
      </w:rPr>
    </w:lvl>
    <w:lvl w:ilvl="3" w:tentative="0">
      <w:start w:val="1"/>
      <w:numFmt w:val="bullet"/>
      <w:lvlText w:val="l"/>
      <w:lvlJc w:val="left"/>
      <w:pPr>
        <w:tabs>
          <w:tab w:val="left" w:pos="1680"/>
        </w:tabs>
        <w:ind w:left="1680" w:hanging="420"/>
        <w:jc w:val="both"/>
      </w:pPr>
      <w:rPr>
        <w:rFonts w:ascii="Wingdings" w:hAnsi="Wingdings" w:eastAsia="Wingdings"/>
        <w:w w:val="100"/>
        <w:sz w:val="20"/>
        <w:szCs w:val="20"/>
        <w:shd w:val="clear"/>
      </w:rPr>
    </w:lvl>
    <w:lvl w:ilvl="4" w:tentative="0">
      <w:start w:val="1"/>
      <w:numFmt w:val="bullet"/>
      <w:lvlText w:val="n"/>
      <w:lvlJc w:val="left"/>
      <w:pPr>
        <w:tabs>
          <w:tab w:val="left" w:pos="2100"/>
        </w:tabs>
        <w:ind w:left="2100" w:hanging="420"/>
        <w:jc w:val="both"/>
      </w:pPr>
      <w:rPr>
        <w:rFonts w:ascii="Wingdings" w:hAnsi="Wingdings" w:eastAsia="Wingdings"/>
        <w:w w:val="100"/>
        <w:sz w:val="20"/>
        <w:szCs w:val="20"/>
        <w:shd w:val="clear"/>
      </w:rPr>
    </w:lvl>
    <w:lvl w:ilvl="5" w:tentative="0">
      <w:start w:val="1"/>
      <w:numFmt w:val="bullet"/>
      <w:lvlText w:val="u"/>
      <w:lvlJc w:val="left"/>
      <w:pPr>
        <w:tabs>
          <w:tab w:val="left" w:pos="2520"/>
        </w:tabs>
        <w:ind w:left="2520" w:hanging="420"/>
        <w:jc w:val="both"/>
      </w:pPr>
      <w:rPr>
        <w:rFonts w:ascii="Wingdings" w:hAnsi="Wingdings" w:eastAsia="Wingdings"/>
        <w:w w:val="100"/>
        <w:sz w:val="20"/>
        <w:szCs w:val="20"/>
        <w:shd w:val="clear"/>
      </w:rPr>
    </w:lvl>
    <w:lvl w:ilvl="6" w:tentative="0">
      <w:start w:val="1"/>
      <w:numFmt w:val="bullet"/>
      <w:lvlText w:val="l"/>
      <w:lvlJc w:val="left"/>
      <w:pPr>
        <w:tabs>
          <w:tab w:val="left" w:pos="2940"/>
        </w:tabs>
        <w:ind w:left="2940" w:hanging="420"/>
        <w:jc w:val="both"/>
      </w:pPr>
      <w:rPr>
        <w:rFonts w:ascii="Wingdings" w:hAnsi="Wingdings" w:eastAsia="Wingdings"/>
        <w:w w:val="100"/>
        <w:sz w:val="20"/>
        <w:szCs w:val="20"/>
        <w:shd w:val="clear"/>
      </w:rPr>
    </w:lvl>
    <w:lvl w:ilvl="7" w:tentative="0">
      <w:start w:val="1"/>
      <w:numFmt w:val="bullet"/>
      <w:lvlText w:val="n"/>
      <w:lvlJc w:val="left"/>
      <w:pPr>
        <w:tabs>
          <w:tab w:val="left" w:pos="3360"/>
        </w:tabs>
        <w:ind w:left="3360" w:hanging="420"/>
        <w:jc w:val="both"/>
      </w:pPr>
      <w:rPr>
        <w:rFonts w:ascii="Wingdings" w:hAnsi="Wingdings" w:eastAsia="Wingdings"/>
        <w:w w:val="100"/>
        <w:sz w:val="20"/>
        <w:szCs w:val="20"/>
        <w:shd w:val="clear"/>
      </w:rPr>
    </w:lvl>
    <w:lvl w:ilvl="8" w:tentative="0">
      <w:start w:val="1"/>
      <w:numFmt w:val="bullet"/>
      <w:lvlText w:val="u"/>
      <w:lvlJc w:val="left"/>
      <w:pPr>
        <w:tabs>
          <w:tab w:val="left" w:pos="3780"/>
        </w:tabs>
        <w:ind w:left="3780" w:hanging="420"/>
        <w:jc w:val="both"/>
      </w:pPr>
      <w:rPr>
        <w:rFonts w:ascii="Wingdings" w:hAnsi="Wingdings" w:eastAsia="Wingdings"/>
        <w:w w:val="100"/>
        <w:sz w:val="20"/>
        <w:szCs w:val="20"/>
        <w:shd w:val="clear"/>
      </w:rPr>
    </w:lvl>
  </w:abstractNum>
  <w:abstractNum w:abstractNumId="4">
    <w:nsid w:val="5A716AF5"/>
    <w:multiLevelType w:val="singleLevel"/>
    <w:tmpl w:val="5A716AF5"/>
    <w:lvl w:ilvl="0" w:tentative="0">
      <w:start w:val="6"/>
      <w:numFmt w:val="decimal"/>
      <w:lvlText w:val="%1."/>
      <w:lvlJc w:val="left"/>
      <w:pPr>
        <w:tabs>
          <w:tab w:val="left" w:pos="312"/>
        </w:tabs>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hdrShapeDefaults>
    <o:shapelayout v:ext="edit">
      <o:idmap v:ext="edit" data="1"/>
    </o:shapelayout>
  </w:hdrShapeDefault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007605B4"/>
    <w:rsid w:val="008E7713"/>
    <w:rsid w:val="02433EEB"/>
    <w:rsid w:val="02D04E56"/>
    <w:rsid w:val="03036804"/>
    <w:rsid w:val="03B40168"/>
    <w:rsid w:val="03BA6907"/>
    <w:rsid w:val="04695476"/>
    <w:rsid w:val="05CF502D"/>
    <w:rsid w:val="06A402B7"/>
    <w:rsid w:val="083B3C27"/>
    <w:rsid w:val="0BE41581"/>
    <w:rsid w:val="0BE66377"/>
    <w:rsid w:val="0D7B608D"/>
    <w:rsid w:val="0E250380"/>
    <w:rsid w:val="0E31708F"/>
    <w:rsid w:val="0F851C5D"/>
    <w:rsid w:val="11CE45EE"/>
    <w:rsid w:val="12327F15"/>
    <w:rsid w:val="13C94DBB"/>
    <w:rsid w:val="14AD5AFF"/>
    <w:rsid w:val="16936B2E"/>
    <w:rsid w:val="19A90788"/>
    <w:rsid w:val="1BE228D8"/>
    <w:rsid w:val="1D7A5E8C"/>
    <w:rsid w:val="20AC5470"/>
    <w:rsid w:val="20E97EBA"/>
    <w:rsid w:val="2170056E"/>
    <w:rsid w:val="21B12BA1"/>
    <w:rsid w:val="2482430E"/>
    <w:rsid w:val="268F67B6"/>
    <w:rsid w:val="29FA6F27"/>
    <w:rsid w:val="2A60148A"/>
    <w:rsid w:val="2A797964"/>
    <w:rsid w:val="2A7F6F8E"/>
    <w:rsid w:val="2B096D44"/>
    <w:rsid w:val="2F5E4237"/>
    <w:rsid w:val="2F610F66"/>
    <w:rsid w:val="31436E96"/>
    <w:rsid w:val="314568B7"/>
    <w:rsid w:val="31CC6EA3"/>
    <w:rsid w:val="32575454"/>
    <w:rsid w:val="34294B11"/>
    <w:rsid w:val="343E777F"/>
    <w:rsid w:val="34D1575F"/>
    <w:rsid w:val="35516301"/>
    <w:rsid w:val="36AE4D6E"/>
    <w:rsid w:val="36C565D8"/>
    <w:rsid w:val="3A4668FD"/>
    <w:rsid w:val="3B193F81"/>
    <w:rsid w:val="3BAA2721"/>
    <w:rsid w:val="3F252533"/>
    <w:rsid w:val="40123723"/>
    <w:rsid w:val="405C4EE6"/>
    <w:rsid w:val="41F37BF7"/>
    <w:rsid w:val="431A2F99"/>
    <w:rsid w:val="4392064B"/>
    <w:rsid w:val="4540016B"/>
    <w:rsid w:val="45A84B63"/>
    <w:rsid w:val="45AB08B2"/>
    <w:rsid w:val="45F476A3"/>
    <w:rsid w:val="46F7478B"/>
    <w:rsid w:val="4E1E1217"/>
    <w:rsid w:val="4FB02305"/>
    <w:rsid w:val="507E5E29"/>
    <w:rsid w:val="544B4615"/>
    <w:rsid w:val="56352748"/>
    <w:rsid w:val="58C50CE3"/>
    <w:rsid w:val="59786593"/>
    <w:rsid w:val="59C9695D"/>
    <w:rsid w:val="59D624E8"/>
    <w:rsid w:val="59FA3E0A"/>
    <w:rsid w:val="5A8848CA"/>
    <w:rsid w:val="5B5D3A14"/>
    <w:rsid w:val="5BD8622A"/>
    <w:rsid w:val="5CF56EE1"/>
    <w:rsid w:val="5DCC3B51"/>
    <w:rsid w:val="5DD34347"/>
    <w:rsid w:val="5E930C9A"/>
    <w:rsid w:val="5ECD2B58"/>
    <w:rsid w:val="5FA45950"/>
    <w:rsid w:val="60865FA5"/>
    <w:rsid w:val="622C2F9B"/>
    <w:rsid w:val="64CA64E9"/>
    <w:rsid w:val="684D03D4"/>
    <w:rsid w:val="68D04688"/>
    <w:rsid w:val="68DD0AA4"/>
    <w:rsid w:val="6A2E44C0"/>
    <w:rsid w:val="6B4C013B"/>
    <w:rsid w:val="6BD869E2"/>
    <w:rsid w:val="6D213828"/>
    <w:rsid w:val="6E661853"/>
    <w:rsid w:val="6EEE4148"/>
    <w:rsid w:val="6F1A53E5"/>
    <w:rsid w:val="7204403D"/>
    <w:rsid w:val="7232366B"/>
    <w:rsid w:val="72E75E81"/>
    <w:rsid w:val="752E1722"/>
    <w:rsid w:val="787E37D5"/>
    <w:rsid w:val="79E5622D"/>
    <w:rsid w:val="7A3E1904"/>
    <w:rsid w:val="7AED4481"/>
    <w:rsid w:val="7D451079"/>
    <w:rsid w:val="7F0C182F"/>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7" w:semiHidden="0" w:name="header"/>
    <w:lsdException w:qFormat="1" w:unhideWhenUsed="0" w:uiPriority="15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nhideWhenUsed="0" w:uiPriority="2" w:name="Default Paragraph Font"/>
    <w:lsdException w:qFormat="1" w:uiPriority="153" w:semiHidden="0" w:name="Body Text"/>
    <w:lsdException w:qFormat="1" w:unhideWhenUsed="0" w:uiPriority="155"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159" w:semiHidden="0" w:name="Message Header"/>
    <w:lsdException w:qFormat="1" w:unhideWhenUsed="0" w:uiPriority="16" w:semiHidden="0" w:name="Subtitle"/>
    <w:lsdException w:unhideWhenUsed="0" w:uiPriority="0" w:semiHidden="0" w:name="Salutation"/>
    <w:lsdException w:unhideWhenUsed="0" w:uiPriority="0" w:semiHidden="0" w:name="Date"/>
    <w:lsdException w:qFormat="1" w:uiPriority="152" w:semiHidden="0" w:name="Body Text First Indent"/>
    <w:lsdException w:qFormat="1" w:unhideWhenUsed="0" w:uiPriority="154"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158"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6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wordWrap/>
      <w:autoSpaceDE/>
      <w:autoSpaceDN/>
      <w:jc w:val="both"/>
    </w:pPr>
    <w:rPr>
      <w:rFonts w:ascii="Times New Roman" w:hAnsi="Times New Roman" w:eastAsia="Times New Roman" w:cs="Times New Roman"/>
      <w:w w:val="100"/>
      <w:sz w:val="21"/>
      <w:szCs w:val="21"/>
      <w:shd w:val="clear"/>
    </w:rPr>
  </w:style>
  <w:style w:type="paragraph" w:styleId="6">
    <w:name w:val="heading 1"/>
    <w:basedOn w:val="1"/>
    <w:next w:val="1"/>
    <w:qFormat/>
    <w:uiPriority w:val="7"/>
    <w:pPr>
      <w:keepNext/>
      <w:keepLines/>
      <w:widowControl/>
      <w:wordWrap/>
      <w:autoSpaceDE/>
      <w:autoSpaceDN/>
      <w:jc w:val="center"/>
    </w:pPr>
    <w:rPr>
      <w:rFonts w:ascii="宋体" w:hAnsi="宋体" w:eastAsia="宋体"/>
      <w:b/>
      <w:w w:val="100"/>
      <w:sz w:val="44"/>
      <w:szCs w:val="44"/>
      <w:shd w:val="clear"/>
    </w:rPr>
  </w:style>
  <w:style w:type="paragraph" w:styleId="7">
    <w:name w:val="heading 2"/>
    <w:next w:val="1"/>
    <w:qFormat/>
    <w:uiPriority w:val="8"/>
    <w:pPr>
      <w:widowControl/>
      <w:wordWrap/>
      <w:autoSpaceDE/>
      <w:autoSpaceDN/>
      <w:jc w:val="both"/>
    </w:pPr>
    <w:rPr>
      <w:rFonts w:ascii="Times New Roman" w:hAnsi="Times New Roman" w:eastAsia="Times New Roman" w:cs="Times New Roman"/>
      <w:w w:val="100"/>
      <w:sz w:val="21"/>
      <w:szCs w:val="21"/>
      <w:shd w:val="clear"/>
    </w:rPr>
  </w:style>
  <w:style w:type="paragraph" w:styleId="8">
    <w:name w:val="heading 3"/>
    <w:basedOn w:val="1"/>
    <w:next w:val="1"/>
    <w:qFormat/>
    <w:uiPriority w:val="9"/>
    <w:pPr>
      <w:keepNext/>
      <w:keepLines/>
      <w:widowControl/>
      <w:wordWrap/>
      <w:autoSpaceDE/>
      <w:autoSpaceDN/>
    </w:pPr>
    <w:rPr>
      <w:rFonts w:ascii="宋体" w:hAnsi="宋体" w:eastAsia="宋体"/>
      <w:b/>
      <w:w w:val="100"/>
      <w:sz w:val="32"/>
      <w:szCs w:val="32"/>
      <w:shd w:val="clear"/>
    </w:rPr>
  </w:style>
  <w:style w:type="paragraph" w:styleId="9">
    <w:name w:val="heading 4"/>
    <w:next w:val="1"/>
    <w:qFormat/>
    <w:uiPriority w:val="10"/>
    <w:pPr>
      <w:widowControl/>
      <w:wordWrap/>
      <w:autoSpaceDE/>
      <w:autoSpaceDN/>
      <w:ind w:left="1200" w:hanging="400"/>
      <w:jc w:val="both"/>
    </w:pPr>
    <w:rPr>
      <w:rFonts w:ascii="Times New Roman" w:hAnsi="Times New Roman" w:eastAsia="Times New Roman" w:cs="Times New Roman"/>
      <w:b/>
      <w:w w:val="100"/>
      <w:sz w:val="21"/>
      <w:szCs w:val="21"/>
      <w:shd w:val="clear"/>
    </w:rPr>
  </w:style>
  <w:style w:type="paragraph" w:styleId="10">
    <w:name w:val="heading 5"/>
    <w:next w:val="1"/>
    <w:qFormat/>
    <w:uiPriority w:val="11"/>
    <w:pPr>
      <w:widowControl/>
      <w:wordWrap/>
      <w:autoSpaceDE/>
      <w:autoSpaceDN/>
      <w:ind w:left="1400" w:hanging="400"/>
      <w:jc w:val="both"/>
    </w:pPr>
    <w:rPr>
      <w:rFonts w:ascii="Times New Roman" w:hAnsi="Times New Roman" w:eastAsia="Times New Roman" w:cs="Times New Roman"/>
      <w:w w:val="100"/>
      <w:sz w:val="21"/>
      <w:szCs w:val="21"/>
      <w:shd w:val="clear"/>
    </w:rPr>
  </w:style>
  <w:style w:type="paragraph" w:styleId="11">
    <w:name w:val="heading 6"/>
    <w:next w:val="1"/>
    <w:qFormat/>
    <w:uiPriority w:val="12"/>
    <w:pPr>
      <w:widowControl/>
      <w:wordWrap/>
      <w:autoSpaceDE/>
      <w:autoSpaceDN/>
      <w:ind w:left="1600" w:hanging="400"/>
      <w:jc w:val="both"/>
    </w:pPr>
    <w:rPr>
      <w:rFonts w:ascii="Times New Roman" w:hAnsi="Times New Roman" w:eastAsia="Times New Roman" w:cs="Times New Roman"/>
      <w:b/>
      <w:w w:val="100"/>
      <w:sz w:val="21"/>
      <w:szCs w:val="21"/>
      <w:shd w:val="clear"/>
    </w:rPr>
  </w:style>
  <w:style w:type="paragraph" w:styleId="12">
    <w:name w:val="heading 7"/>
    <w:next w:val="1"/>
    <w:qFormat/>
    <w:uiPriority w:val="13"/>
    <w:pPr>
      <w:widowControl/>
      <w:wordWrap/>
      <w:autoSpaceDE/>
      <w:autoSpaceDN/>
      <w:ind w:left="1800" w:hanging="400"/>
      <w:jc w:val="both"/>
    </w:pPr>
    <w:rPr>
      <w:rFonts w:ascii="Times New Roman" w:hAnsi="Times New Roman" w:eastAsia="Times New Roman" w:cs="Times New Roman"/>
      <w:w w:val="100"/>
      <w:sz w:val="21"/>
      <w:szCs w:val="21"/>
      <w:shd w:val="clear"/>
    </w:rPr>
  </w:style>
  <w:style w:type="paragraph" w:styleId="13">
    <w:name w:val="heading 8"/>
    <w:next w:val="1"/>
    <w:qFormat/>
    <w:uiPriority w:val="14"/>
    <w:pPr>
      <w:widowControl/>
      <w:wordWrap/>
      <w:autoSpaceDE/>
      <w:autoSpaceDN/>
      <w:ind w:left="2000" w:hanging="400"/>
      <w:jc w:val="both"/>
    </w:pPr>
    <w:rPr>
      <w:rFonts w:ascii="Times New Roman" w:hAnsi="Times New Roman" w:eastAsia="Times New Roman" w:cs="Times New Roman"/>
      <w:w w:val="100"/>
      <w:sz w:val="21"/>
      <w:szCs w:val="21"/>
      <w:shd w:val="clear"/>
    </w:rPr>
  </w:style>
  <w:style w:type="paragraph" w:styleId="14">
    <w:name w:val="heading 9"/>
    <w:next w:val="1"/>
    <w:qFormat/>
    <w:uiPriority w:val="15"/>
    <w:pPr>
      <w:widowControl/>
      <w:wordWrap/>
      <w:autoSpaceDE/>
      <w:autoSpaceDN/>
      <w:ind w:left="2200" w:hanging="400"/>
      <w:jc w:val="both"/>
    </w:pPr>
    <w:rPr>
      <w:rFonts w:ascii="Times New Roman" w:hAnsi="Times New Roman" w:eastAsia="Times New Roman" w:cs="Times New Roman"/>
      <w:w w:val="100"/>
      <w:sz w:val="21"/>
      <w:szCs w:val="21"/>
      <w:shd w:val="clear"/>
    </w:rPr>
  </w:style>
  <w:style w:type="character" w:default="1" w:styleId="32">
    <w:name w:val="Default Paragraph Font"/>
    <w:semiHidden/>
    <w:qFormat/>
    <w:uiPriority w:val="2"/>
  </w:style>
  <w:style w:type="table" w:default="1" w:styleId="31">
    <w:name w:val="Normal Table"/>
    <w:qFormat/>
    <w:uiPriority w:val="37"/>
    <w:tblPr>
      <w:tblCellMar>
        <w:top w:w="0" w:type="dxa"/>
        <w:left w:w="108" w:type="dxa"/>
        <w:bottom w:w="0" w:type="dxa"/>
        <w:right w:w="108" w:type="dxa"/>
      </w:tblCellMar>
    </w:tblPr>
  </w:style>
  <w:style w:type="paragraph" w:styleId="2">
    <w:name w:val="Body Text First Indent"/>
    <w:basedOn w:val="3"/>
    <w:next w:val="4"/>
    <w:unhideWhenUsed/>
    <w:qFormat/>
    <w:uiPriority w:val="152"/>
    <w:pPr>
      <w:widowControl/>
      <w:wordWrap/>
      <w:autoSpaceDE/>
      <w:autoSpaceDN/>
      <w:ind w:firstLine="420"/>
    </w:pPr>
    <w:rPr>
      <w:rFonts w:ascii="Times New Roman" w:hAnsi="Times New Roman" w:eastAsia="Times New Roman"/>
      <w:w w:val="100"/>
      <w:sz w:val="20"/>
      <w:szCs w:val="20"/>
      <w:shd w:val="clear"/>
    </w:rPr>
  </w:style>
  <w:style w:type="paragraph" w:styleId="3">
    <w:name w:val="Body Text"/>
    <w:basedOn w:val="1"/>
    <w:unhideWhenUsed/>
    <w:qFormat/>
    <w:uiPriority w:val="153"/>
    <w:pPr>
      <w:widowControl/>
      <w:wordWrap/>
      <w:autoSpaceDE/>
      <w:autoSpaceDN/>
    </w:pPr>
    <w:rPr>
      <w:rFonts w:ascii="宋体" w:hAnsi="宋体" w:eastAsia="宋体"/>
      <w:w w:val="100"/>
      <w:sz w:val="34"/>
      <w:szCs w:val="34"/>
      <w:shd w:val="clear"/>
    </w:rPr>
  </w:style>
  <w:style w:type="paragraph" w:styleId="4">
    <w:name w:val="Body Text First Indent 2"/>
    <w:basedOn w:val="5"/>
    <w:qFormat/>
    <w:uiPriority w:val="154"/>
    <w:pPr>
      <w:widowControl/>
      <w:wordWrap/>
      <w:autoSpaceDE/>
      <w:autoSpaceDN/>
      <w:ind w:left="480" w:firstLine="562"/>
    </w:pPr>
    <w:rPr>
      <w:rFonts w:ascii="仿宋_GB2312" w:hAnsi="仿宋_GB2312" w:eastAsia="仿宋_GB2312" w:cs="Times New Roman"/>
      <w:w w:val="100"/>
      <w:sz w:val="20"/>
      <w:szCs w:val="20"/>
      <w:shd w:val="clear"/>
    </w:rPr>
  </w:style>
  <w:style w:type="paragraph" w:styleId="5">
    <w:name w:val="Body Text Indent"/>
    <w:basedOn w:val="1"/>
    <w:qFormat/>
    <w:uiPriority w:val="155"/>
    <w:pPr>
      <w:widowControl/>
      <w:wordWrap/>
      <w:autoSpaceDE/>
      <w:autoSpaceDN/>
      <w:ind w:left="420" w:firstLine="0"/>
    </w:pPr>
    <w:rPr>
      <w:rFonts w:ascii="宋体" w:hAnsi="宋体" w:eastAsia="宋体"/>
      <w:w w:val="100"/>
      <w:sz w:val="34"/>
      <w:szCs w:val="34"/>
      <w:shd w:val="clear"/>
    </w:rPr>
  </w:style>
  <w:style w:type="paragraph" w:styleId="15">
    <w:name w:val="toc 7"/>
    <w:next w:val="1"/>
    <w:unhideWhenUsed/>
    <w:qFormat/>
    <w:uiPriority w:val="34"/>
    <w:pPr>
      <w:widowControl/>
      <w:wordWrap/>
      <w:autoSpaceDE/>
      <w:autoSpaceDN/>
      <w:ind w:left="2550" w:firstLine="0"/>
      <w:jc w:val="both"/>
    </w:pPr>
    <w:rPr>
      <w:rFonts w:ascii="Times New Roman" w:hAnsi="Times New Roman" w:eastAsia="Times New Roman" w:cs="Times New Roman"/>
      <w:w w:val="100"/>
      <w:sz w:val="21"/>
      <w:szCs w:val="21"/>
      <w:shd w:val="clear"/>
    </w:rPr>
  </w:style>
  <w:style w:type="paragraph" w:styleId="16">
    <w:name w:val="toc 5"/>
    <w:next w:val="1"/>
    <w:unhideWhenUsed/>
    <w:qFormat/>
    <w:uiPriority w:val="32"/>
    <w:pPr>
      <w:widowControl/>
      <w:wordWrap/>
      <w:autoSpaceDE/>
      <w:autoSpaceDN/>
      <w:ind w:left="1700" w:firstLine="0"/>
      <w:jc w:val="both"/>
    </w:pPr>
    <w:rPr>
      <w:rFonts w:ascii="Times New Roman" w:hAnsi="Times New Roman" w:eastAsia="Times New Roman" w:cs="Times New Roman"/>
      <w:w w:val="100"/>
      <w:sz w:val="21"/>
      <w:szCs w:val="21"/>
      <w:shd w:val="clear"/>
    </w:rPr>
  </w:style>
  <w:style w:type="paragraph" w:styleId="17">
    <w:name w:val="toc 3"/>
    <w:next w:val="1"/>
    <w:unhideWhenUsed/>
    <w:qFormat/>
    <w:uiPriority w:val="30"/>
    <w:pPr>
      <w:widowControl/>
      <w:wordWrap/>
      <w:autoSpaceDE/>
      <w:autoSpaceDN/>
      <w:ind w:left="850" w:firstLine="0"/>
      <w:jc w:val="both"/>
    </w:pPr>
    <w:rPr>
      <w:rFonts w:ascii="Times New Roman" w:hAnsi="Times New Roman" w:eastAsia="Times New Roman" w:cs="Times New Roman"/>
      <w:w w:val="100"/>
      <w:sz w:val="21"/>
      <w:szCs w:val="21"/>
      <w:shd w:val="clear"/>
    </w:rPr>
  </w:style>
  <w:style w:type="paragraph" w:styleId="18">
    <w:name w:val="toc 8"/>
    <w:next w:val="1"/>
    <w:unhideWhenUsed/>
    <w:qFormat/>
    <w:uiPriority w:val="35"/>
    <w:pPr>
      <w:widowControl/>
      <w:wordWrap/>
      <w:autoSpaceDE/>
      <w:autoSpaceDN/>
      <w:ind w:left="2975" w:firstLine="0"/>
      <w:jc w:val="both"/>
    </w:pPr>
    <w:rPr>
      <w:rFonts w:ascii="Times New Roman" w:hAnsi="Times New Roman" w:eastAsia="Times New Roman" w:cs="Times New Roman"/>
      <w:w w:val="100"/>
      <w:sz w:val="21"/>
      <w:szCs w:val="21"/>
      <w:shd w:val="clear"/>
    </w:rPr>
  </w:style>
  <w:style w:type="paragraph" w:styleId="19">
    <w:name w:val="footer"/>
    <w:basedOn w:val="1"/>
    <w:qFormat/>
    <w:uiPriority w:val="156"/>
    <w:pPr>
      <w:widowControl/>
      <w:tabs>
        <w:tab w:val="center" w:pos="4153"/>
        <w:tab w:val="right" w:pos="8306"/>
      </w:tabs>
      <w:wordWrap/>
      <w:autoSpaceDE/>
      <w:autoSpaceDN/>
    </w:pPr>
    <w:rPr>
      <w:w w:val="100"/>
      <w:sz w:val="18"/>
      <w:szCs w:val="18"/>
      <w:shd w:val="clear"/>
    </w:rPr>
  </w:style>
  <w:style w:type="paragraph" w:styleId="20">
    <w:name w:val="header"/>
    <w:basedOn w:val="1"/>
    <w:qFormat/>
    <w:uiPriority w:val="157"/>
    <w:pPr>
      <w:widowControl/>
      <w:tabs>
        <w:tab w:val="center" w:pos="4153"/>
        <w:tab w:val="right" w:pos="8306"/>
      </w:tabs>
      <w:wordWrap/>
      <w:autoSpaceDE/>
      <w:autoSpaceDN/>
      <w:jc w:val="center"/>
    </w:pPr>
    <w:rPr>
      <w:rFonts w:ascii="宋体" w:hAnsi="宋体" w:eastAsia="宋体"/>
      <w:w w:val="100"/>
      <w:sz w:val="18"/>
      <w:szCs w:val="18"/>
      <w:shd w:val="clear"/>
    </w:rPr>
  </w:style>
  <w:style w:type="paragraph" w:styleId="21">
    <w:name w:val="toc 1"/>
    <w:basedOn w:val="1"/>
    <w:next w:val="1"/>
    <w:unhideWhenUsed/>
    <w:qFormat/>
    <w:uiPriority w:val="28"/>
  </w:style>
  <w:style w:type="paragraph" w:styleId="22">
    <w:name w:val="toc 4"/>
    <w:next w:val="1"/>
    <w:unhideWhenUsed/>
    <w:qFormat/>
    <w:uiPriority w:val="31"/>
    <w:pPr>
      <w:widowControl/>
      <w:wordWrap/>
      <w:autoSpaceDE/>
      <w:autoSpaceDN/>
      <w:ind w:left="1275" w:firstLine="0"/>
      <w:jc w:val="both"/>
    </w:pPr>
    <w:rPr>
      <w:rFonts w:ascii="Times New Roman" w:hAnsi="Times New Roman" w:eastAsia="Times New Roman" w:cs="Times New Roman"/>
      <w:w w:val="100"/>
      <w:sz w:val="21"/>
      <w:szCs w:val="21"/>
      <w:shd w:val="clear"/>
    </w:rPr>
  </w:style>
  <w:style w:type="paragraph" w:styleId="23">
    <w:name w:val="Subtitle"/>
    <w:qFormat/>
    <w:uiPriority w:val="16"/>
    <w:pPr>
      <w:widowControl/>
      <w:wordWrap/>
      <w:autoSpaceDE/>
      <w:autoSpaceDN/>
      <w:jc w:val="center"/>
    </w:pPr>
    <w:rPr>
      <w:rFonts w:ascii="Times New Roman" w:hAnsi="Times New Roman" w:eastAsia="Times New Roman" w:cs="Times New Roman"/>
      <w:w w:val="100"/>
      <w:sz w:val="24"/>
      <w:szCs w:val="24"/>
      <w:shd w:val="clear"/>
    </w:rPr>
  </w:style>
  <w:style w:type="paragraph" w:styleId="24">
    <w:name w:val="toc 6"/>
    <w:next w:val="1"/>
    <w:unhideWhenUsed/>
    <w:qFormat/>
    <w:uiPriority w:val="33"/>
    <w:pPr>
      <w:widowControl/>
      <w:wordWrap/>
      <w:autoSpaceDE/>
      <w:autoSpaceDN/>
      <w:ind w:left="2125" w:firstLine="0"/>
      <w:jc w:val="both"/>
    </w:pPr>
    <w:rPr>
      <w:rFonts w:ascii="Times New Roman" w:hAnsi="Times New Roman" w:eastAsia="Times New Roman" w:cs="Times New Roman"/>
      <w:w w:val="100"/>
      <w:sz w:val="21"/>
      <w:szCs w:val="21"/>
      <w:shd w:val="clear"/>
    </w:rPr>
  </w:style>
  <w:style w:type="paragraph" w:styleId="25">
    <w:name w:val="Body Text Indent 3"/>
    <w:basedOn w:val="1"/>
    <w:qFormat/>
    <w:uiPriority w:val="158"/>
    <w:pPr>
      <w:widowControl/>
      <w:wordWrap/>
      <w:autoSpaceDE/>
      <w:autoSpaceDN/>
      <w:ind w:firstLine="420"/>
    </w:pPr>
    <w:rPr>
      <w:rFonts w:ascii="宋体" w:hAnsi="宋体" w:eastAsia="宋体"/>
      <w:w w:val="100"/>
      <w:sz w:val="34"/>
      <w:szCs w:val="34"/>
      <w:shd w:val="clear"/>
    </w:rPr>
  </w:style>
  <w:style w:type="paragraph" w:styleId="26">
    <w:name w:val="toc 2"/>
    <w:next w:val="1"/>
    <w:unhideWhenUsed/>
    <w:qFormat/>
    <w:uiPriority w:val="29"/>
    <w:pPr>
      <w:widowControl/>
      <w:wordWrap/>
      <w:autoSpaceDE/>
      <w:autoSpaceDN/>
      <w:ind w:left="425" w:firstLine="0"/>
      <w:jc w:val="both"/>
    </w:pPr>
    <w:rPr>
      <w:rFonts w:ascii="Times New Roman" w:hAnsi="Times New Roman" w:eastAsia="Times New Roman" w:cs="Times New Roman"/>
      <w:w w:val="100"/>
      <w:sz w:val="21"/>
      <w:szCs w:val="21"/>
      <w:shd w:val="clear"/>
    </w:rPr>
  </w:style>
  <w:style w:type="paragraph" w:styleId="27">
    <w:name w:val="toc 9"/>
    <w:next w:val="1"/>
    <w:unhideWhenUsed/>
    <w:qFormat/>
    <w:uiPriority w:val="36"/>
    <w:pPr>
      <w:widowControl/>
      <w:wordWrap/>
      <w:autoSpaceDE/>
      <w:autoSpaceDN/>
      <w:ind w:left="3400" w:firstLine="0"/>
      <w:jc w:val="both"/>
    </w:pPr>
    <w:rPr>
      <w:rFonts w:ascii="Times New Roman" w:hAnsi="Times New Roman" w:eastAsia="Times New Roman" w:cs="Times New Roman"/>
      <w:w w:val="100"/>
      <w:sz w:val="21"/>
      <w:szCs w:val="21"/>
      <w:shd w:val="clear"/>
    </w:rPr>
  </w:style>
  <w:style w:type="paragraph" w:styleId="28">
    <w:name w:val="Message Header"/>
    <w:basedOn w:val="1"/>
    <w:unhideWhenUsed/>
    <w:qFormat/>
    <w:uiPriority w:val="159"/>
    <w:pPr>
      <w:widowControl/>
      <w:shd w:val="pct20" w:color="000000"/>
      <w:wordWrap/>
      <w:autoSpaceDE/>
      <w:autoSpaceDN/>
      <w:ind w:left="2850" w:hanging="1800"/>
    </w:pPr>
    <w:rPr>
      <w:rFonts w:ascii="Arial" w:hAnsi="Arial" w:eastAsia="Arial"/>
      <w:w w:val="100"/>
      <w:sz w:val="24"/>
      <w:szCs w:val="24"/>
      <w:shd w:val="clear"/>
    </w:rPr>
  </w:style>
  <w:style w:type="paragraph" w:styleId="29">
    <w:name w:val="Normal (Web)"/>
    <w:basedOn w:val="1"/>
    <w:qFormat/>
    <w:uiPriority w:val="160"/>
    <w:pPr>
      <w:widowControl/>
      <w:wordWrap/>
      <w:autoSpaceDE/>
      <w:autoSpaceDN/>
    </w:pPr>
    <w:rPr>
      <w:rFonts w:ascii="宋体" w:hAnsi="宋体" w:eastAsia="宋体"/>
      <w:w w:val="100"/>
      <w:sz w:val="24"/>
      <w:szCs w:val="24"/>
      <w:shd w:val="clear"/>
    </w:rPr>
  </w:style>
  <w:style w:type="paragraph" w:styleId="30">
    <w:name w:val="Title"/>
    <w:qFormat/>
    <w:uiPriority w:val="6"/>
    <w:pPr>
      <w:widowControl/>
      <w:wordWrap/>
      <w:autoSpaceDE/>
      <w:autoSpaceDN/>
      <w:jc w:val="center"/>
    </w:pPr>
    <w:rPr>
      <w:rFonts w:ascii="Times New Roman" w:hAnsi="Times New Roman" w:eastAsia="Times New Roman" w:cs="Times New Roman"/>
      <w:b/>
      <w:w w:val="100"/>
      <w:sz w:val="32"/>
      <w:szCs w:val="32"/>
      <w:shd w:val="clear"/>
    </w:rPr>
  </w:style>
  <w:style w:type="character" w:styleId="33">
    <w:name w:val="Strong"/>
    <w:qFormat/>
    <w:uiPriority w:val="20"/>
    <w:rPr>
      <w:b/>
      <w:w w:val="100"/>
      <w:sz w:val="21"/>
      <w:szCs w:val="21"/>
      <w:shd w:val="clear"/>
    </w:rPr>
  </w:style>
  <w:style w:type="character" w:styleId="34">
    <w:name w:val="FollowedHyperlink"/>
    <w:basedOn w:val="32"/>
    <w:qFormat/>
    <w:uiPriority w:val="0"/>
    <w:rPr>
      <w:color w:val="000000"/>
      <w:u w:val="none"/>
    </w:rPr>
  </w:style>
  <w:style w:type="character" w:styleId="35">
    <w:name w:val="Emphasis"/>
    <w:qFormat/>
    <w:uiPriority w:val="18"/>
    <w:rPr>
      <w:i/>
      <w:w w:val="100"/>
      <w:sz w:val="21"/>
      <w:szCs w:val="21"/>
      <w:shd w:val="clear"/>
    </w:rPr>
  </w:style>
  <w:style w:type="character" w:styleId="36">
    <w:name w:val="Hyperlink"/>
    <w:basedOn w:val="32"/>
    <w:qFormat/>
    <w:uiPriority w:val="0"/>
    <w:rPr>
      <w:color w:val="000000"/>
      <w:u w:val="none"/>
    </w:rPr>
  </w:style>
  <w:style w:type="paragraph" w:styleId="37">
    <w:name w:val="No Spacing"/>
    <w:qFormat/>
    <w:uiPriority w:val="5"/>
    <w:pPr>
      <w:widowControl/>
      <w:wordWrap/>
      <w:autoSpaceDE/>
      <w:autoSpaceDN/>
      <w:jc w:val="both"/>
    </w:pPr>
    <w:rPr>
      <w:rFonts w:ascii="Times New Roman" w:hAnsi="Times New Roman" w:eastAsia="Times New Roman" w:cs="Times New Roman"/>
      <w:w w:val="100"/>
      <w:sz w:val="21"/>
      <w:szCs w:val="21"/>
      <w:shd w:val="clear"/>
    </w:rPr>
  </w:style>
  <w:style w:type="character" w:customStyle="1" w:styleId="38">
    <w:name w:val="Subtle Emphasis"/>
    <w:qFormat/>
    <w:uiPriority w:val="17"/>
    <w:rPr>
      <w:i/>
      <w:color w:val="404040"/>
      <w:w w:val="100"/>
      <w:sz w:val="21"/>
      <w:szCs w:val="21"/>
      <w:shd w:val="clear"/>
    </w:rPr>
  </w:style>
  <w:style w:type="character" w:customStyle="1" w:styleId="39">
    <w:name w:val="Intense Emphasis"/>
    <w:qFormat/>
    <w:uiPriority w:val="19"/>
    <w:rPr>
      <w:i/>
      <w:color w:val="5B9BD5"/>
      <w:w w:val="100"/>
      <w:sz w:val="21"/>
      <w:szCs w:val="21"/>
      <w:shd w:val="clear"/>
    </w:rPr>
  </w:style>
  <w:style w:type="paragraph" w:styleId="40">
    <w:name w:val="Quote"/>
    <w:qFormat/>
    <w:uiPriority w:val="21"/>
    <w:pPr>
      <w:widowControl/>
      <w:wordWrap/>
      <w:autoSpaceDE/>
      <w:autoSpaceDN/>
      <w:ind w:left="864" w:right="864" w:firstLine="0"/>
      <w:jc w:val="center"/>
    </w:pPr>
    <w:rPr>
      <w:rFonts w:ascii="Times New Roman" w:hAnsi="Times New Roman" w:eastAsia="Times New Roman" w:cs="Times New Roman"/>
      <w:i/>
      <w:color w:val="404040"/>
      <w:w w:val="100"/>
      <w:sz w:val="21"/>
      <w:szCs w:val="21"/>
      <w:shd w:val="clear"/>
    </w:rPr>
  </w:style>
  <w:style w:type="paragraph" w:styleId="41">
    <w:name w:val="Intense Quote"/>
    <w:qFormat/>
    <w:uiPriority w:val="22"/>
    <w:pPr>
      <w:widowControl/>
      <w:wordWrap/>
      <w:autoSpaceDE/>
      <w:autoSpaceDN/>
      <w:ind w:left="950" w:right="950" w:firstLine="0"/>
      <w:jc w:val="center"/>
    </w:pPr>
    <w:rPr>
      <w:rFonts w:ascii="Times New Roman" w:hAnsi="Times New Roman" w:eastAsia="Times New Roman" w:cs="Times New Roman"/>
      <w:i/>
      <w:color w:val="5B9BD5"/>
      <w:w w:val="100"/>
      <w:sz w:val="21"/>
      <w:szCs w:val="21"/>
      <w:shd w:val="clear"/>
    </w:rPr>
  </w:style>
  <w:style w:type="character" w:customStyle="1" w:styleId="42">
    <w:name w:val="Subtle Reference"/>
    <w:qFormat/>
    <w:uiPriority w:val="23"/>
    <w:rPr>
      <w:smallCaps/>
      <w:color w:val="5A5A5A"/>
      <w:w w:val="100"/>
      <w:sz w:val="21"/>
      <w:szCs w:val="21"/>
      <w:shd w:val="clear"/>
    </w:rPr>
  </w:style>
  <w:style w:type="character" w:customStyle="1" w:styleId="43">
    <w:name w:val="Intense Reference"/>
    <w:qFormat/>
    <w:uiPriority w:val="24"/>
    <w:rPr>
      <w:b/>
      <w:smallCaps/>
      <w:color w:val="5B9BD5"/>
      <w:w w:val="100"/>
      <w:sz w:val="21"/>
      <w:szCs w:val="21"/>
      <w:shd w:val="clear"/>
    </w:rPr>
  </w:style>
  <w:style w:type="character" w:customStyle="1" w:styleId="44">
    <w:name w:val="Book Title"/>
    <w:qFormat/>
    <w:uiPriority w:val="25"/>
    <w:rPr>
      <w:b/>
      <w:i/>
      <w:w w:val="100"/>
      <w:sz w:val="21"/>
      <w:szCs w:val="21"/>
      <w:shd w:val="clear"/>
    </w:rPr>
  </w:style>
  <w:style w:type="paragraph" w:styleId="45">
    <w:name w:val="List Paragraph"/>
    <w:qFormat/>
    <w:uiPriority w:val="26"/>
    <w:pPr>
      <w:widowControl/>
      <w:wordWrap/>
      <w:autoSpaceDE/>
      <w:autoSpaceDN/>
      <w:ind w:left="850" w:firstLine="0"/>
      <w:jc w:val="both"/>
    </w:pPr>
    <w:rPr>
      <w:rFonts w:ascii="Times New Roman" w:hAnsi="Times New Roman" w:eastAsia="Times New Roman" w:cs="Times New Roman"/>
      <w:w w:val="100"/>
      <w:sz w:val="21"/>
      <w:szCs w:val="21"/>
      <w:shd w:val="clear"/>
    </w:rPr>
  </w:style>
  <w:style w:type="paragraph" w:customStyle="1" w:styleId="46">
    <w:name w:val="TOC Heading"/>
    <w:unhideWhenUsed/>
    <w:qFormat/>
    <w:uiPriority w:val="27"/>
    <w:pPr>
      <w:widowControl/>
      <w:wordWrap/>
      <w:autoSpaceDE/>
      <w:autoSpaceDN/>
    </w:pPr>
    <w:rPr>
      <w:rFonts w:ascii="Times New Roman" w:hAnsi="Times New Roman" w:eastAsia="Times New Roman" w:cs="Times New Roman"/>
      <w:color w:val="2E74B5"/>
      <w:w w:val="100"/>
      <w:sz w:val="32"/>
      <w:szCs w:val="32"/>
      <w:shd w:val="clear"/>
    </w:rPr>
  </w:style>
  <w:style w:type="paragraph" w:customStyle="1" w:styleId="47">
    <w:name w:val="Default"/>
    <w:qFormat/>
    <w:uiPriority w:val="161"/>
    <w:pPr>
      <w:widowControl/>
      <w:wordWrap/>
      <w:autoSpaceDE w:val="0"/>
      <w:autoSpaceDN w:val="0"/>
    </w:pPr>
    <w:rPr>
      <w:rFonts w:ascii="宋体" w:hAnsi="宋体" w:eastAsia="宋体" w:cs="Times New Roman"/>
      <w:color w:val="000000"/>
      <w:w w:val="100"/>
      <w:sz w:val="24"/>
      <w:szCs w:val="24"/>
      <w:shd w:val="clear"/>
    </w:rPr>
  </w:style>
  <w:style w:type="paragraph" w:customStyle="1" w:styleId="48">
    <w:name w:val="样式 标题 3 + (中文) 黑体 小四 非加粗 段前: 7.8 磅 段后: 0 磅 行距: 固定值 20 磅"/>
    <w:basedOn w:val="8"/>
    <w:qFormat/>
    <w:uiPriority w:val="162"/>
    <w:pPr>
      <w:widowControl/>
      <w:wordWrap/>
      <w:autoSpaceDE/>
      <w:autoSpaceDN/>
    </w:pPr>
    <w:rPr>
      <w:rFonts w:ascii="宋体" w:hAnsi="宋体" w:eastAsia="宋体"/>
      <w:b w:val="0"/>
      <w:w w:val="100"/>
      <w:sz w:val="24"/>
      <w:szCs w:val="24"/>
      <w:shd w:val="clear"/>
    </w:rPr>
  </w:style>
  <w:style w:type="character" w:customStyle="1" w:styleId="49">
    <w:name w:val="red"/>
    <w:basedOn w:val="32"/>
    <w:uiPriority w:val="0"/>
    <w:rPr>
      <w:color w:val="CC0000"/>
    </w:rPr>
  </w:style>
  <w:style w:type="character" w:customStyle="1" w:styleId="50">
    <w:name w:val="red1"/>
    <w:basedOn w:val="32"/>
    <w:qFormat/>
    <w:uiPriority w:val="0"/>
    <w:rPr>
      <w:color w:val="FF0000"/>
      <w:sz w:val="18"/>
      <w:szCs w:val="18"/>
    </w:rPr>
  </w:style>
  <w:style w:type="character" w:customStyle="1" w:styleId="51">
    <w:name w:val="red2"/>
    <w:basedOn w:val="32"/>
    <w:qFormat/>
    <w:uiPriority w:val="0"/>
    <w:rPr>
      <w:color w:val="FF0000"/>
      <w:sz w:val="18"/>
      <w:szCs w:val="18"/>
    </w:rPr>
  </w:style>
  <w:style w:type="character" w:customStyle="1" w:styleId="52">
    <w:name w:val="red3"/>
    <w:basedOn w:val="32"/>
    <w:qFormat/>
    <w:uiPriority w:val="0"/>
    <w:rPr>
      <w:color w:val="FF0000"/>
    </w:rPr>
  </w:style>
  <w:style w:type="character" w:customStyle="1" w:styleId="53">
    <w:name w:val="green"/>
    <w:basedOn w:val="32"/>
    <w:qFormat/>
    <w:uiPriority w:val="0"/>
    <w:rPr>
      <w:color w:val="66AE00"/>
      <w:sz w:val="18"/>
      <w:szCs w:val="18"/>
    </w:rPr>
  </w:style>
  <w:style w:type="character" w:customStyle="1" w:styleId="54">
    <w:name w:val="green1"/>
    <w:basedOn w:val="32"/>
    <w:qFormat/>
    <w:uiPriority w:val="0"/>
    <w:rPr>
      <w:color w:val="66AE00"/>
      <w:sz w:val="18"/>
      <w:szCs w:val="18"/>
    </w:rPr>
  </w:style>
  <w:style w:type="character" w:customStyle="1" w:styleId="55">
    <w:name w:val="hover25"/>
    <w:basedOn w:val="32"/>
    <w:qFormat/>
    <w:uiPriority w:val="0"/>
  </w:style>
  <w:style w:type="character" w:customStyle="1" w:styleId="56">
    <w:name w:val="gb-jt"/>
    <w:basedOn w:val="32"/>
    <w:qFormat/>
    <w:uiPriority w:val="0"/>
  </w:style>
  <w:style w:type="character" w:customStyle="1" w:styleId="57">
    <w:name w:val="blue"/>
    <w:basedOn w:val="32"/>
    <w:qFormat/>
    <w:uiPriority w:val="0"/>
    <w:rPr>
      <w:color w:val="0371C6"/>
      <w:sz w:val="21"/>
      <w:szCs w:val="21"/>
    </w:rPr>
  </w:style>
  <w:style w:type="character" w:customStyle="1" w:styleId="58">
    <w:name w:val="right"/>
    <w:basedOn w:val="32"/>
    <w:qFormat/>
    <w:uiPriority w:val="0"/>
    <w:rPr>
      <w:color w:val="999999"/>
      <w:sz w:val="18"/>
      <w:szCs w:val="18"/>
    </w:rPr>
  </w:style>
  <w:style w:type="character" w:customStyle="1" w:styleId="59">
    <w:name w:val="hover24"/>
    <w:basedOn w:val="3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95</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2020-05-05T08:13:00Z</dcterms:created>
  <dc:creator>Administrator</dc:creator>
  <cp:lastModifiedBy>达信建设发展有限公司:达信建设发展有限公司</cp:lastModifiedBy>
  <cp:lastPrinted>2020-06-02T07:50:00Z</cp:lastPrinted>
  <dcterms:modified xsi:type="dcterms:W3CDTF">2020-06-02T10:10:43Z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