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highlight w:val="none"/>
        </w:rPr>
      </w:pP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建安区建设工程</w:t>
      </w:r>
    </w:p>
    <w:p>
      <w:pPr>
        <w:rPr>
          <w:rFonts w:ascii="仿宋" w:hAnsi="仿宋" w:eastAsia="仿宋" w:cs="仿宋"/>
          <w:sz w:val="84"/>
          <w:szCs w:val="84"/>
          <w:highlight w:val="none"/>
        </w:rPr>
      </w:pPr>
    </w:p>
    <w:p>
      <w:pPr>
        <w:pStyle w:val="2"/>
        <w:ind w:firstLine="210"/>
        <w:rPr>
          <w:highlight w:val="none"/>
        </w:rPr>
      </w:pP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招</w:t>
      </w: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标</w:t>
      </w:r>
    </w:p>
    <w:p>
      <w:pPr>
        <w:jc w:val="center"/>
        <w:rPr>
          <w:rFonts w:ascii="仿宋" w:hAnsi="仿宋" w:eastAsia="仿宋" w:cs="仿宋"/>
          <w:sz w:val="72"/>
          <w:szCs w:val="72"/>
          <w:highlight w:val="none"/>
        </w:rPr>
      </w:pPr>
      <w:r>
        <w:rPr>
          <w:rFonts w:hint="eastAsia" w:ascii="仿宋" w:hAnsi="仿宋" w:eastAsia="仿宋" w:cs="仿宋"/>
          <w:sz w:val="72"/>
          <w:szCs w:val="72"/>
          <w:highlight w:val="none"/>
        </w:rPr>
        <w:t>文</w:t>
      </w:r>
    </w:p>
    <w:p>
      <w:pPr>
        <w:jc w:val="center"/>
        <w:rPr>
          <w:highlight w:val="none"/>
        </w:rPr>
      </w:pPr>
      <w:r>
        <w:rPr>
          <w:rFonts w:hint="eastAsia" w:ascii="仿宋" w:hAnsi="仿宋" w:eastAsia="仿宋" w:cs="仿宋"/>
          <w:sz w:val="72"/>
          <w:szCs w:val="72"/>
          <w:highlight w:val="none"/>
        </w:rPr>
        <w:t>件</w:t>
      </w:r>
    </w:p>
    <w:p>
      <w:pPr>
        <w:pStyle w:val="2"/>
        <w:ind w:firstLine="0" w:firstLineChars="0"/>
        <w:rPr>
          <w:highlight w:val="none"/>
        </w:rPr>
      </w:pPr>
    </w:p>
    <w:p>
      <w:pPr>
        <w:pStyle w:val="4"/>
        <w:ind w:left="420" w:firstLine="420"/>
        <w:rPr>
          <w:rFonts w:hint="default"/>
          <w:highlight w:val="none"/>
          <w:lang w:eastAsia="zh-CN"/>
        </w:rPr>
      </w:pPr>
    </w:p>
    <w:p>
      <w:pPr>
        <w:ind w:firstLine="640" w:firstLineChars="200"/>
        <w:rPr>
          <w:rFonts w:ascii="仿宋" w:hAnsi="仿宋" w:eastAsia="仿宋" w:cs="仿宋"/>
          <w:color w:val="FF0000"/>
          <w:sz w:val="32"/>
          <w:szCs w:val="32"/>
          <w:highlight w:val="none"/>
        </w:rPr>
      </w:pPr>
    </w:p>
    <w:p>
      <w:pPr>
        <w:ind w:firstLine="640" w:firstLineChars="200"/>
        <w:rPr>
          <w:rFonts w:ascii="仿宋" w:hAnsi="仿宋" w:eastAsia="仿宋" w:cs="仿宋"/>
          <w:color w:val="FF0000"/>
          <w:sz w:val="32"/>
          <w:szCs w:val="32"/>
          <w:highlight w:val="none"/>
        </w:rPr>
      </w:pPr>
    </w:p>
    <w:p>
      <w:pPr>
        <w:ind w:firstLine="640" w:firstLineChars="200"/>
        <w:rPr>
          <w:rFonts w:ascii="仿宋" w:hAnsi="仿宋" w:eastAsia="仿宋" w:cs="仿宋"/>
          <w:color w:val="FF0000"/>
          <w:sz w:val="32"/>
          <w:szCs w:val="32"/>
          <w:highlight w:val="none"/>
        </w:rPr>
      </w:pPr>
    </w:p>
    <w:p>
      <w:pPr>
        <w:ind w:firstLine="1280" w:firstLineChars="400"/>
        <w:rPr>
          <w:rFonts w:ascii="仿宋" w:hAnsi="仿宋" w:eastAsia="仿宋" w:cs="仿宋"/>
          <w:color w:val="FF0000"/>
          <w:sz w:val="32"/>
          <w:szCs w:val="32"/>
          <w:highlight w:val="none"/>
        </w:rPr>
      </w:pPr>
      <w:r>
        <w:rPr>
          <w:rFonts w:hint="eastAsia" w:ascii="仿宋" w:hAnsi="仿宋" w:eastAsia="仿宋" w:cs="仿宋"/>
          <w:sz w:val="32"/>
          <w:szCs w:val="32"/>
          <w:highlight w:val="none"/>
        </w:rPr>
        <w:t>项目编号：</w:t>
      </w:r>
      <w:r>
        <w:rPr>
          <w:rFonts w:hint="eastAsia" w:ascii="仿宋" w:hAnsi="仿宋" w:eastAsia="仿宋" w:cs="仿宋"/>
          <w:color w:val="auto"/>
          <w:sz w:val="32"/>
          <w:szCs w:val="32"/>
          <w:highlight w:val="none"/>
        </w:rPr>
        <w:t>建安建工公字〔2020〕</w:t>
      </w:r>
      <w:r>
        <w:rPr>
          <w:rFonts w:hint="eastAsia" w:ascii="仿宋" w:hAnsi="仿宋" w:eastAsia="仿宋" w:cs="仿宋"/>
          <w:color w:val="auto"/>
          <w:sz w:val="32"/>
          <w:szCs w:val="32"/>
          <w:highlight w:val="none"/>
          <w:lang w:val="en-US" w:eastAsia="zh-CN"/>
        </w:rPr>
        <w:t>73</w:t>
      </w:r>
      <w:r>
        <w:rPr>
          <w:rFonts w:hint="eastAsia" w:ascii="仿宋" w:hAnsi="仿宋" w:eastAsia="仿宋" w:cs="仿宋"/>
          <w:color w:val="auto"/>
          <w:sz w:val="32"/>
          <w:szCs w:val="32"/>
          <w:highlight w:val="none"/>
        </w:rPr>
        <w:t>号</w:t>
      </w:r>
    </w:p>
    <w:p>
      <w:pPr>
        <w:ind w:left="1277" w:leftChars="608" w:firstLine="0" w:firstLineChars="0"/>
        <w:rPr>
          <w:rFonts w:ascii="仿宋" w:hAnsi="仿宋" w:eastAsia="仿宋" w:cs="仿宋"/>
          <w:sz w:val="32"/>
          <w:szCs w:val="32"/>
          <w:highlight w:val="none"/>
        </w:rPr>
      </w:pPr>
      <w:r>
        <w:rPr>
          <w:rFonts w:hint="eastAsia" w:ascii="仿宋" w:hAnsi="仿宋" w:eastAsia="仿宋" w:cs="仿宋"/>
          <w:sz w:val="32"/>
          <w:szCs w:val="32"/>
          <w:highlight w:val="none"/>
        </w:rPr>
        <w:t>项目名称：许昌市建安区2020年脱贫攻坚督促指导村项目  招 标 人：许昌市建安区交通运输局</w:t>
      </w:r>
    </w:p>
    <w:p>
      <w:pPr>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代理机构：河南华明工程造价咨询有限公司 </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t>二〇二〇年</w:t>
      </w: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 xml:space="preserve">月 </w:t>
      </w:r>
    </w:p>
    <w:p>
      <w:pPr>
        <w:pStyle w:val="4"/>
        <w:ind w:left="420" w:firstLine="964"/>
        <w:rPr>
          <w:rFonts w:hint="default" w:ascii="宋体" w:hAnsi="宋体"/>
          <w:b/>
          <w:bCs/>
          <w:sz w:val="48"/>
          <w:szCs w:val="48"/>
          <w:highlight w:val="none"/>
          <w:lang w:eastAsia="zh-CN"/>
        </w:rPr>
      </w:pPr>
    </w:p>
    <w:p>
      <w:pPr>
        <w:spacing w:line="360" w:lineRule="auto"/>
        <w:jc w:val="center"/>
        <w:rPr>
          <w:rFonts w:ascii="宋体" w:hAnsi="宋体"/>
          <w:b/>
          <w:bCs/>
          <w:sz w:val="48"/>
          <w:szCs w:val="48"/>
          <w:highlight w:val="none"/>
        </w:rPr>
      </w:pPr>
      <w:r>
        <w:rPr>
          <w:rFonts w:hint="eastAsia" w:ascii="宋体" w:hAnsi="宋体"/>
          <w:b/>
          <w:bCs/>
          <w:sz w:val="48"/>
          <w:szCs w:val="48"/>
          <w:highlight w:val="none"/>
        </w:rPr>
        <w:t>目  录</w:t>
      </w:r>
    </w:p>
    <w:p>
      <w:pPr>
        <w:spacing w:line="312" w:lineRule="auto"/>
        <w:jc w:val="left"/>
        <w:outlineLvl w:val="0"/>
        <w:rPr>
          <w:rFonts w:asciiTheme="minorEastAsia" w:hAnsiTheme="minorEastAsia" w:eastAsiaTheme="minorEastAsia"/>
          <w:bCs/>
          <w:sz w:val="30"/>
          <w:szCs w:val="30"/>
          <w:highlight w:val="none"/>
        </w:rPr>
      </w:pP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第一章   招标公告····················1</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第二章   投标人须知···················5</w:t>
      </w:r>
    </w:p>
    <w:p>
      <w:pPr>
        <w:spacing w:line="312" w:lineRule="auto"/>
        <w:ind w:firstLine="600" w:firstLineChars="200"/>
        <w:jc w:val="left"/>
        <w:outlineLvl w:val="0"/>
        <w:rPr>
          <w:rFonts w:asciiTheme="minorEastAsia" w:hAnsiTheme="minorEastAsia" w:eastAsiaTheme="minorEastAsia"/>
          <w:bCs/>
          <w:sz w:val="30"/>
          <w:szCs w:val="30"/>
          <w:highlight w:val="none"/>
        </w:rPr>
      </w:pPr>
      <w:r>
        <w:rPr>
          <w:rFonts w:hint="eastAsia" w:asciiTheme="minorEastAsia" w:hAnsiTheme="minorEastAsia" w:eastAsiaTheme="minorEastAsia"/>
          <w:bCs/>
          <w:sz w:val="30"/>
          <w:szCs w:val="30"/>
          <w:highlight w:val="none"/>
        </w:rPr>
        <w:t>第三章   评标办法····················34</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第四章   合同条款及格式·················43</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第五章   工程量清单说明·················91</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第六章   图纸······················94</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第七章   技术规范 ··················· 95</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第八章</w:t>
      </w:r>
      <w:r>
        <w:rPr>
          <w:rFonts w:hint="eastAsia" w:asciiTheme="minorEastAsia" w:hAnsiTheme="minorEastAsia" w:eastAsiaTheme="minorEastAsia"/>
          <w:bCs/>
          <w:sz w:val="30"/>
          <w:szCs w:val="30"/>
          <w:highlight w:val="none"/>
        </w:rPr>
        <w:tab/>
      </w:r>
      <w:r>
        <w:rPr>
          <w:rFonts w:hint="eastAsia" w:asciiTheme="minorEastAsia" w:hAnsiTheme="minorEastAsia" w:eastAsiaTheme="minorEastAsia"/>
          <w:bCs/>
          <w:sz w:val="30"/>
          <w:szCs w:val="30"/>
          <w:highlight w:val="none"/>
        </w:rPr>
        <w:t xml:space="preserve">  工程量清单计量规则···············96</w:t>
      </w:r>
    </w:p>
    <w:p>
      <w:pPr>
        <w:spacing w:line="312" w:lineRule="auto"/>
        <w:ind w:firstLine="600" w:firstLineChars="200"/>
        <w:jc w:val="left"/>
        <w:outlineLvl w:val="0"/>
        <w:rPr>
          <w:rFonts w:asciiTheme="minorEastAsia" w:hAnsiTheme="minorEastAsia" w:eastAsiaTheme="minorEastAsia"/>
          <w:bCs/>
          <w:color w:val="FF0000"/>
          <w:sz w:val="30"/>
          <w:szCs w:val="30"/>
          <w:highlight w:val="none"/>
        </w:rPr>
      </w:pPr>
      <w:r>
        <w:rPr>
          <w:rFonts w:hint="eastAsia" w:asciiTheme="minorEastAsia" w:hAnsiTheme="minorEastAsia" w:eastAsiaTheme="minorEastAsia"/>
          <w:bCs/>
          <w:sz w:val="30"/>
          <w:szCs w:val="30"/>
          <w:highlight w:val="none"/>
        </w:rPr>
        <w:t>第九章   投标文件格式··················97</w:t>
      </w:r>
    </w:p>
    <w:p>
      <w:pPr>
        <w:spacing w:line="312" w:lineRule="auto"/>
        <w:jc w:val="left"/>
        <w:outlineLvl w:val="0"/>
        <w:rPr>
          <w:rFonts w:asciiTheme="minorEastAsia" w:hAnsiTheme="minorEastAsia" w:eastAsiaTheme="minorEastAsia"/>
          <w:bCs/>
          <w:sz w:val="30"/>
          <w:szCs w:val="30"/>
          <w:highlight w:val="none"/>
        </w:rPr>
      </w:pPr>
    </w:p>
    <w:p>
      <w:pPr>
        <w:pStyle w:val="2"/>
        <w:ind w:firstLine="210"/>
        <w:rPr>
          <w:highlight w:val="none"/>
        </w:rPr>
      </w:pPr>
    </w:p>
    <w:p>
      <w:pPr>
        <w:spacing w:line="312" w:lineRule="auto"/>
        <w:jc w:val="center"/>
        <w:outlineLvl w:val="0"/>
        <w:rPr>
          <w:rFonts w:ascii="黑体" w:eastAsia="黑体"/>
          <w:bCs/>
          <w:sz w:val="44"/>
          <w:szCs w:val="44"/>
          <w:highlight w:val="none"/>
        </w:rPr>
        <w:sectPr>
          <w:footerReference r:id="rId5" w:type="first"/>
          <w:headerReference r:id="rId3" w:type="default"/>
          <w:footerReference r:id="rId4" w:type="default"/>
          <w:pgSz w:w="11906" w:h="16838"/>
          <w:pgMar w:top="1304" w:right="1134" w:bottom="1304" w:left="1247" w:header="851" w:footer="992" w:gutter="0"/>
          <w:pgNumType w:start="0"/>
          <w:cols w:space="425" w:num="1"/>
          <w:titlePg/>
          <w:docGrid w:type="lines" w:linePitch="312" w:charSpace="0"/>
        </w:sectPr>
      </w:pPr>
    </w:p>
    <w:p>
      <w:pPr>
        <w:spacing w:line="312" w:lineRule="auto"/>
        <w:jc w:val="center"/>
        <w:outlineLvl w:val="0"/>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黑体" w:eastAsia="黑体"/>
          <w:bCs/>
          <w:color w:val="000000" w:themeColor="text1"/>
          <w:sz w:val="44"/>
          <w:szCs w:val="44"/>
          <w:highlight w:val="none"/>
          <w14:textFill>
            <w14:solidFill>
              <w14:schemeClr w14:val="tx1"/>
            </w14:solidFill>
          </w14:textFill>
        </w:rPr>
        <w:t>第一章  招标公告</w:t>
      </w:r>
    </w:p>
    <w:p>
      <w:pPr>
        <w:spacing w:line="500" w:lineRule="exact"/>
        <w:jc w:val="center"/>
        <w:rPr>
          <w:rFonts w:ascii="宋体" w:hAnsi="宋体"/>
          <w:b/>
          <w:color w:val="000000" w:themeColor="text1"/>
          <w:sz w:val="32"/>
          <w:szCs w:val="32"/>
          <w:highlight w:val="none"/>
          <w:lang w:val="zh-CN"/>
          <w14:textFill>
            <w14:solidFill>
              <w14:schemeClr w14:val="tx1"/>
            </w14:solidFill>
          </w14:textFill>
        </w:rPr>
      </w:pPr>
      <w:r>
        <w:rPr>
          <w:rFonts w:hint="eastAsia" w:ascii="宋体" w:hAnsi="宋体"/>
          <w:b/>
          <w:color w:val="000000" w:themeColor="text1"/>
          <w:sz w:val="32"/>
          <w:szCs w:val="32"/>
          <w:highlight w:val="none"/>
          <w:lang w:val="zh-CN"/>
          <w14:textFill>
            <w14:solidFill>
              <w14:schemeClr w14:val="tx1"/>
            </w14:solidFill>
          </w14:textFill>
        </w:rPr>
        <w:t>建安建工公字〔20</w:t>
      </w:r>
      <w:r>
        <w:rPr>
          <w:rFonts w:hint="eastAsia" w:ascii="宋体" w:hAnsi="宋体"/>
          <w:b/>
          <w:color w:val="000000" w:themeColor="text1"/>
          <w:sz w:val="32"/>
          <w:szCs w:val="32"/>
          <w:highlight w:val="none"/>
          <w14:textFill>
            <w14:solidFill>
              <w14:schemeClr w14:val="tx1"/>
            </w14:solidFill>
          </w14:textFill>
        </w:rPr>
        <w:t>20</w:t>
      </w:r>
      <w:r>
        <w:rPr>
          <w:rFonts w:hint="eastAsia" w:ascii="宋体" w:hAnsi="宋体"/>
          <w:b/>
          <w:color w:val="000000" w:themeColor="text1"/>
          <w:sz w:val="32"/>
          <w:szCs w:val="32"/>
          <w:highlight w:val="none"/>
          <w:lang w:val="zh-CN"/>
          <w14:textFill>
            <w14:solidFill>
              <w14:schemeClr w14:val="tx1"/>
            </w14:solidFill>
          </w14:textFill>
        </w:rPr>
        <w:t>〕</w:t>
      </w:r>
      <w:r>
        <w:rPr>
          <w:rFonts w:hint="eastAsia" w:ascii="宋体" w:hAnsi="宋体"/>
          <w:b/>
          <w:color w:val="000000" w:themeColor="text1"/>
          <w:sz w:val="32"/>
          <w:szCs w:val="32"/>
          <w:highlight w:val="none"/>
          <w:lang w:val="en-US" w:eastAsia="zh-CN"/>
          <w14:textFill>
            <w14:solidFill>
              <w14:schemeClr w14:val="tx1"/>
            </w14:solidFill>
          </w14:textFill>
        </w:rPr>
        <w:t>73</w:t>
      </w:r>
      <w:r>
        <w:rPr>
          <w:rFonts w:hint="eastAsia" w:ascii="宋体" w:hAnsi="宋体"/>
          <w:b/>
          <w:color w:val="000000" w:themeColor="text1"/>
          <w:sz w:val="32"/>
          <w:szCs w:val="32"/>
          <w:highlight w:val="none"/>
          <w:lang w:val="zh-CN"/>
          <w14:textFill>
            <w14:solidFill>
              <w14:schemeClr w14:val="tx1"/>
            </w14:solidFill>
          </w14:textFill>
        </w:rPr>
        <w:t>号</w:t>
      </w:r>
    </w:p>
    <w:p>
      <w:pPr>
        <w:spacing w:line="500" w:lineRule="exact"/>
        <w:jc w:val="center"/>
        <w:rPr>
          <w:rFonts w:ascii="宋体" w:hAnsi="宋体"/>
          <w:b/>
          <w:color w:val="000000" w:themeColor="text1"/>
          <w:sz w:val="32"/>
          <w:szCs w:val="32"/>
          <w:highlight w:val="none"/>
          <w:lang w:val="zh-CN"/>
          <w14:textFill>
            <w14:solidFill>
              <w14:schemeClr w14:val="tx1"/>
            </w14:solidFill>
          </w14:textFill>
        </w:rPr>
      </w:pPr>
      <w:r>
        <w:rPr>
          <w:rFonts w:hint="eastAsia" w:ascii="宋体" w:hAnsi="宋体"/>
          <w:b/>
          <w:color w:val="000000" w:themeColor="text1"/>
          <w:sz w:val="32"/>
          <w:szCs w:val="32"/>
          <w:highlight w:val="none"/>
          <w:lang w:val="zh-CN"/>
          <w14:textFill>
            <w14:solidFill>
              <w14:schemeClr w14:val="tx1"/>
            </w14:solidFill>
          </w14:textFill>
        </w:rPr>
        <w:t>许昌市建安区交通运输局</w:t>
      </w:r>
    </w:p>
    <w:p>
      <w:pPr>
        <w:spacing w:line="500" w:lineRule="exact"/>
        <w:jc w:val="center"/>
        <w:rPr>
          <w:rFonts w:hint="eastAsia" w:cs="仿宋"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 w:asciiTheme="minorEastAsia" w:hAnsiTheme="minorEastAsia" w:eastAsiaTheme="minorEastAsia"/>
          <w:b/>
          <w:color w:val="000000" w:themeColor="text1"/>
          <w:sz w:val="32"/>
          <w:szCs w:val="32"/>
          <w:highlight w:val="none"/>
          <w14:textFill>
            <w14:solidFill>
              <w14:schemeClr w14:val="tx1"/>
            </w14:solidFill>
          </w14:textFill>
        </w:rPr>
        <w:t xml:space="preserve">许昌市建安区2020年脱贫攻坚督促指导村项目 </w:t>
      </w:r>
    </w:p>
    <w:p>
      <w:pPr>
        <w:spacing w:line="5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公开招标公告</w:t>
      </w:r>
    </w:p>
    <w:p>
      <w:pPr>
        <w:keepNext w:val="0"/>
        <w:keepLines w:val="0"/>
        <w:pageBreakBefore w:val="0"/>
        <w:widowControl w:val="0"/>
        <w:kinsoku/>
        <w:wordWrap/>
        <w:overflowPunct/>
        <w:topLinePunct w:val="0"/>
        <w:bidi w:val="0"/>
        <w:snapToGrid/>
        <w:spacing w:line="312" w:lineRule="auto"/>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一、项目概况</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1.1项目编号：建安建工公字〔2020〕</w:t>
      </w:r>
      <w:r>
        <w:rPr>
          <w:rFonts w:hint="eastAsia" w:ascii="宋体" w:hAnsi="宋体" w:cs="宋体"/>
          <w:bCs/>
          <w:color w:val="000000" w:themeColor="text1"/>
          <w:sz w:val="24"/>
          <w:highlight w:val="none"/>
          <w:lang w:val="en-US" w:eastAsia="zh-CN"/>
          <w14:textFill>
            <w14:solidFill>
              <w14:schemeClr w14:val="tx1"/>
            </w14:solidFill>
          </w14:textFill>
        </w:rPr>
        <w:t>73</w:t>
      </w:r>
      <w:r>
        <w:rPr>
          <w:rFonts w:hint="eastAsia" w:ascii="宋体" w:hAnsi="宋体" w:cs="宋体"/>
          <w:bCs/>
          <w:color w:val="000000" w:themeColor="text1"/>
          <w:sz w:val="24"/>
          <w:highlight w:val="none"/>
          <w14:textFill>
            <w14:solidFill>
              <w14:schemeClr w14:val="tx1"/>
            </w14:solidFill>
          </w14:textFill>
        </w:rPr>
        <w:t>号</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hint="eastAsia" w:ascii="宋体" w:hAnsi="宋体" w:cs="宋体" w:eastAsiaTheme="minorEastAsia"/>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1.2项目概况：本项目为许昌市建安区2020年脱贫攻坚督促指导村项目（1）苏桥镇东张村道路建设工程包括以下内容:新建道路总长1421.22m，设计宽3/3.5/4米，15cm厚C25水泥混凝土（2）灵井镇小宫村道路建设工程包括以下内容:新建道路总长2261.5m，设计宽3/3.5/4米，15cm厚C25水泥混凝土（3）椹涧乡黄庙村道路建设工程包括以下内容:新建道路总长1697.32m，设计宽3/3.5/4米，15cm厚C25水泥混凝土（4）榆林乡殿后李村道路建设工程包括以下内容:新建道路总长1026.20m，设计宽2.5/3米，15cm厚C25水泥混凝土。   </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1.3招标范围：招标文件、工程量清单、施工图纸、答疑纪要和补充文件（如有）范围内的所有建设内容。</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1.4资金预算：2828191.00元</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1.5计划工期：</w:t>
      </w:r>
      <w:r>
        <w:rPr>
          <w:rFonts w:hint="eastAsia" w:ascii="宋体" w:hAnsi="宋体" w:cs="宋体"/>
          <w:bCs/>
          <w:color w:val="000000" w:themeColor="text1"/>
          <w:sz w:val="24"/>
          <w:highlight w:val="none"/>
          <w:lang w:val="en-US" w:eastAsia="zh-CN"/>
          <w14:textFill>
            <w14:solidFill>
              <w14:schemeClr w14:val="tx1"/>
            </w14:solidFill>
          </w14:textFill>
        </w:rPr>
        <w:t>30日历天</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sz w:val="24"/>
          <w:highlight w:val="none"/>
        </w:rPr>
      </w:pPr>
      <w:r>
        <w:rPr>
          <w:rFonts w:hint="eastAsia" w:ascii="宋体" w:hAnsi="宋体" w:cs="宋体"/>
          <w:bCs/>
          <w:sz w:val="24"/>
          <w:highlight w:val="none"/>
        </w:rPr>
        <w:t>1.6质量要求：合格</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cs="宋体"/>
          <w:bCs/>
          <w:sz w:val="24"/>
          <w:highlight w:val="none"/>
        </w:rPr>
      </w:pPr>
      <w:r>
        <w:rPr>
          <w:rFonts w:hint="eastAsia" w:ascii="宋体" w:hAnsi="宋体" w:cs="宋体"/>
          <w:bCs/>
          <w:sz w:val="24"/>
          <w:highlight w:val="none"/>
        </w:rPr>
        <w:t>1.7不组织勘察施工现场。</w:t>
      </w:r>
    </w:p>
    <w:p>
      <w:pPr>
        <w:keepNext w:val="0"/>
        <w:keepLines w:val="0"/>
        <w:pageBreakBefore w:val="0"/>
        <w:widowControl w:val="0"/>
        <w:kinsoku/>
        <w:wordWrap/>
        <w:overflowPunct/>
        <w:topLinePunct w:val="0"/>
        <w:bidi w:val="0"/>
        <w:snapToGrid/>
        <w:spacing w:line="312" w:lineRule="auto"/>
        <w:textAlignment w:val="auto"/>
        <w:rPr>
          <w:rFonts w:ascii="宋体" w:hAnsi="宋体"/>
          <w:sz w:val="24"/>
          <w:highlight w:val="none"/>
        </w:rPr>
      </w:pPr>
      <w:r>
        <w:rPr>
          <w:rFonts w:hint="eastAsia" w:ascii="宋体" w:hAnsi="宋体"/>
          <w:b/>
          <w:sz w:val="24"/>
          <w:highlight w:val="none"/>
        </w:rPr>
        <w:t>二、投标人资格要求</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2.1 须具备独立法人资格；</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2.2须具备建设行政主管部门颁发的</w:t>
      </w:r>
      <w:r>
        <w:rPr>
          <w:rFonts w:hint="eastAsia" w:ascii="宋体" w:hAnsi="宋体"/>
          <w:color w:val="auto"/>
          <w:sz w:val="24"/>
          <w:highlight w:val="none"/>
        </w:rPr>
        <w:t>公路工程施工总承包三级及以上资质</w:t>
      </w:r>
      <w:r>
        <w:rPr>
          <w:rFonts w:hint="eastAsia" w:ascii="宋体" w:hAnsi="宋体"/>
          <w:sz w:val="24"/>
          <w:highlight w:val="none"/>
        </w:rPr>
        <w:t>，并具备有效的安全生产许可证，在人员、设备、资金等方面具有相应的施工能力；</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2.3拟派项目经理须具备贰级及以上公路工程专业注册建造师执业资格，具备有效的安全生产考核合格证书，且未担任其他在施建设项目的项目经理。拟派项目总工须具备中级及以上相关专业技术职称；</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sz w:val="24"/>
          <w:highlight w:val="none"/>
        </w:rPr>
      </w:pPr>
      <w:r>
        <w:rPr>
          <w:rFonts w:hint="eastAsia" w:ascii="宋体" w:hAnsi="宋体"/>
          <w:sz w:val="24"/>
          <w:highlight w:val="none"/>
        </w:rPr>
        <w:t>2.4根据《河南省公路建设市场从业单位及人员信用管理办法》第二十一条“对信用考核定级为D级即黑名单的从业单位，”不得参与本项目投标。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outlineLvl w:val="0"/>
        <w:rPr>
          <w:rFonts w:ascii="宋体" w:hAnsi="宋体"/>
          <w:sz w:val="24"/>
          <w:highlight w:val="none"/>
        </w:rPr>
      </w:pPr>
      <w:r>
        <w:rPr>
          <w:rFonts w:hint="eastAsia" w:ascii="宋体" w:hAnsi="宋体"/>
          <w:sz w:val="24"/>
          <w:highlight w:val="none"/>
        </w:rPr>
        <w:t>2.5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ascii="新宋体" w:hAnsi="新宋体" w:eastAsia="新宋体" w:cs="新宋体"/>
          <w:sz w:val="24"/>
          <w:szCs w:val="22"/>
          <w:highlight w:val="none"/>
        </w:rPr>
      </w:pPr>
      <w:r>
        <w:rPr>
          <w:rFonts w:hint="eastAsia" w:ascii="新宋体" w:hAnsi="新宋体" w:eastAsia="新宋体" w:cs="新宋体"/>
          <w:sz w:val="24"/>
          <w:szCs w:val="22"/>
          <w:highlight w:val="none"/>
        </w:rPr>
        <w:t>2.6本次招标不接受联合体投标。</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三、投标报名方式</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四、招标文件和图纸的获取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1、招标文件和工程量清单及图纸的获取：投标人于投标文件递交截止时间前均可登录《全国公共资源交易平台(河南省▪许昌市)》（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cs="宋体" w:asciiTheme="minorEastAsia" w:hAnsiTheme="minorEastAsia" w:eastAsiaTheme="minorEastAsia"/>
          <w:sz w:val="24"/>
          <w:highlight w:val="none"/>
        </w:rPr>
        <w:t>http://ggzy.xuchang.gov.cn/</w:t>
      </w:r>
      <w:r>
        <w:rPr>
          <w:rFonts w:hint="eastAsia" w:cs="宋体" w:asciiTheme="minorEastAsia" w:hAnsiTheme="minorEastAsia" w:eastAsiaTheme="minorEastAsia"/>
          <w:sz w:val="24"/>
          <w:highlight w:val="none"/>
        </w:rPr>
        <w:fldChar w:fldCharType="end"/>
      </w:r>
      <w:r>
        <w:rPr>
          <w:rFonts w:hint="eastAsia" w:cs="宋体" w:asciiTheme="minorEastAsia" w:hAnsiTheme="minorEastAsia" w:eastAsiaTheme="minorEastAsia"/>
          <w:sz w:val="24"/>
          <w:highlight w:val="none"/>
        </w:rPr>
        <w:t>），通过“投标人/供应商登录” 入口自行下载。</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2、招标文件每套售价100元，于递交投标文件时缴纳给招标代理机构，售后不退。</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五、投标文件的递交</w:t>
      </w:r>
    </w:p>
    <w:p>
      <w:pPr>
        <w:spacing w:line="312"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z w:val="24"/>
          <w:highlight w:val="none"/>
        </w:rPr>
        <w:t>1、本项目为全流程电子化交易项目</w:t>
      </w:r>
      <w:r>
        <w:rPr>
          <w:rFonts w:hint="eastAsia" w:cs="宋体" w:asciiTheme="minorEastAsia" w:hAnsiTheme="minorEastAsia" w:eastAsiaTheme="minorEastAsia"/>
          <w:color w:val="000000" w:themeColor="text1"/>
          <w:sz w:val="24"/>
          <w:highlight w:val="none"/>
          <w14:textFill>
            <w14:solidFill>
              <w14:schemeClr w14:val="tx1"/>
            </w14:solidFill>
          </w14:textFill>
        </w:rPr>
        <w:t>，须提交电子投标文件。</w:t>
      </w:r>
    </w:p>
    <w:p>
      <w:pPr>
        <w:spacing w:line="312"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2、投标文件提交的截止时间及开标时间： 2020年</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highlight w:val="none"/>
          <w14:textFill>
            <w14:solidFill>
              <w14:schemeClr w14:val="tx1"/>
            </w14:solidFill>
          </w14:textFill>
        </w:rPr>
        <w:t>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24</w:t>
      </w:r>
      <w:r>
        <w:rPr>
          <w:rFonts w:hint="eastAsia" w:cs="宋体" w:asciiTheme="minorEastAsia" w:hAnsiTheme="minorEastAsia" w:eastAsiaTheme="minorEastAsia"/>
          <w:color w:val="000000" w:themeColor="text1"/>
          <w:sz w:val="24"/>
          <w:highlight w:val="none"/>
          <w14:textFill>
            <w14:solidFill>
              <w14:schemeClr w14:val="tx1"/>
            </w14:solidFill>
          </w14:textFill>
        </w:rPr>
        <w:t>日</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highlight w:val="none"/>
          <w14:textFill>
            <w14:solidFill>
              <w14:schemeClr w14:val="tx1"/>
            </w14:solidFill>
          </w14:textFill>
        </w:rPr>
        <w:t>时</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 xml:space="preserve">30 </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p>
      <w:pPr>
        <w:spacing w:line="312"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电子投标文件的提交：电子投标文件应在投标文件提交截止时间（开标时间）之前成功提交至《全国公共资源交易平台(河南省▪许昌市)》公共资源交易系统，同时提交第一信封、第二信封各2份电子介质U盘存储有名称为“备份”的文件。</w:t>
      </w:r>
    </w:p>
    <w:p>
      <w:pPr>
        <w:spacing w:line="312"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4、投标文件提交地点：许昌市建安区新元大道兴业大厦4楼</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4163室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cs="宋体" w:asciiTheme="minorEastAsia" w:hAnsiTheme="minorEastAsia" w:eastAsiaTheme="minorEastAsia"/>
          <w:color w:val="000000" w:themeColor="text1"/>
          <w:sz w:val="24"/>
          <w:highlight w:val="none"/>
          <w14:textFill>
            <w14:solidFill>
              <w14:schemeClr w14:val="tx1"/>
            </w14:solidFill>
          </w14:textFill>
        </w:rPr>
        <w:t>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12"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5、逾期送达的或者未送达指定地点的投标文件，招标人不予受理。</w:t>
      </w:r>
    </w:p>
    <w:p>
      <w:pPr>
        <w:spacing w:line="312" w:lineRule="auto"/>
        <w:rPr>
          <w:rFonts w:asciiTheme="minorEastAsia" w:hAnsiTheme="minorEastAsia" w:eastAsiaTheme="minorEastAsia"/>
          <w:b/>
          <w:color w:val="000000"/>
          <w:sz w:val="24"/>
          <w:highlight w:val="none"/>
        </w:rPr>
      </w:pPr>
      <w:r>
        <w:rPr>
          <w:rFonts w:hint="eastAsia" w:asciiTheme="minorEastAsia" w:hAnsiTheme="minorEastAsia" w:eastAsiaTheme="minorEastAsia"/>
          <w:b/>
          <w:color w:val="000000"/>
          <w:sz w:val="24"/>
          <w:highlight w:val="none"/>
        </w:rPr>
        <w:t>六、发布公告的媒介</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七、联系方式</w:t>
      </w:r>
    </w:p>
    <w:p>
      <w:pPr>
        <w:spacing w:line="312" w:lineRule="auto"/>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招  标  人：许昌市建安区交通运输局</w:t>
      </w:r>
    </w:p>
    <w:p>
      <w:pPr>
        <w:pStyle w:val="2"/>
        <w:ind w:left="0" w:leftChars="0" w:firstLine="480" w:firstLineChars="0"/>
        <w:rPr>
          <w:rFonts w:hint="eastAsia" w:eastAsiaTheme="minorEastAsia"/>
          <w:highlight w:val="none"/>
          <w:lang w:eastAsia="zh-CN"/>
        </w:rPr>
      </w:pPr>
      <w:r>
        <w:rPr>
          <w:rFonts w:hint="eastAsia" w:asciiTheme="minorEastAsia" w:hAnsiTheme="minorEastAsia" w:eastAsiaTheme="minorEastAsia"/>
          <w:color w:val="000000"/>
          <w:sz w:val="24"/>
          <w:highlight w:val="none"/>
          <w:lang w:eastAsia="zh-CN"/>
        </w:rPr>
        <w:t>招标人地址：</w:t>
      </w:r>
      <w:r>
        <w:rPr>
          <w:rFonts w:hint="eastAsia"/>
          <w:sz w:val="24"/>
          <w:highlight w:val="none"/>
        </w:rPr>
        <w:t>许昌市建安区</w:t>
      </w:r>
      <w:r>
        <w:rPr>
          <w:rFonts w:hint="eastAsia"/>
          <w:sz w:val="24"/>
          <w:highlight w:val="none"/>
          <w:lang w:eastAsia="zh-CN"/>
        </w:rPr>
        <w:t>文化中心</w:t>
      </w:r>
      <w:r>
        <w:rPr>
          <w:rFonts w:hint="eastAsia"/>
          <w:sz w:val="24"/>
          <w:highlight w:val="none"/>
          <w:lang w:val="en-US" w:eastAsia="zh-CN"/>
        </w:rPr>
        <w:t>6楼</w:t>
      </w:r>
    </w:p>
    <w:p>
      <w:pPr>
        <w:spacing w:line="312"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项目负责人：黄</w:t>
      </w:r>
      <w:r>
        <w:rPr>
          <w:rFonts w:hint="eastAsia" w:asciiTheme="minorEastAsia" w:hAnsiTheme="minorEastAsia" w:eastAsiaTheme="minorEastAsia"/>
          <w:sz w:val="24"/>
          <w:highlight w:val="none"/>
          <w:lang w:eastAsia="zh-CN"/>
        </w:rPr>
        <w:t>先生</w:t>
      </w:r>
    </w:p>
    <w:p>
      <w:pPr>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      话：18803743200</w:t>
      </w:r>
    </w:p>
    <w:p>
      <w:pPr>
        <w:spacing w:line="312"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代理  机构：河南华明工程造价咨询有限公司 </w:t>
      </w:r>
    </w:p>
    <w:p>
      <w:pPr>
        <w:spacing w:line="312" w:lineRule="auto"/>
        <w:ind w:firstLine="480" w:firstLineChars="200"/>
        <w:rPr>
          <w:rFonts w:hint="eastAsia" w:asciiTheme="minorEastAsia" w:hAnsiTheme="minorEastAsia" w:eastAsiaTheme="minorEastAsia"/>
          <w:color w:val="000000"/>
          <w:sz w:val="24"/>
          <w:highlight w:val="none"/>
          <w:lang w:eastAsia="zh-CN"/>
        </w:rPr>
      </w:pPr>
      <w:r>
        <w:rPr>
          <w:rFonts w:hint="eastAsia" w:asciiTheme="minorEastAsia" w:hAnsiTheme="minorEastAsia" w:eastAsiaTheme="minorEastAsia"/>
          <w:color w:val="000000"/>
          <w:sz w:val="24"/>
          <w:highlight w:val="none"/>
        </w:rPr>
        <w:t>项目负责人：</w:t>
      </w:r>
      <w:r>
        <w:rPr>
          <w:rFonts w:hint="eastAsia" w:asciiTheme="minorEastAsia" w:hAnsiTheme="minorEastAsia" w:eastAsiaTheme="minorEastAsia"/>
          <w:color w:val="000000"/>
          <w:sz w:val="24"/>
          <w:highlight w:val="none"/>
          <w:lang w:eastAsia="zh-CN"/>
        </w:rPr>
        <w:t>高先生</w:t>
      </w:r>
    </w:p>
    <w:p>
      <w:pPr>
        <w:spacing w:line="360" w:lineRule="auto"/>
        <w:ind w:firstLine="480" w:firstLineChars="200"/>
        <w:rPr>
          <w:rFonts w:hint="default" w:ascii="宋体" w:hAnsi="宋体" w:eastAsia="宋体"/>
          <w:color w:val="000000"/>
          <w:sz w:val="24"/>
          <w:highlight w:val="none"/>
          <w:lang w:val="en-US" w:eastAsia="zh-CN"/>
        </w:rPr>
      </w:pPr>
      <w:r>
        <w:rPr>
          <w:rFonts w:hint="eastAsia" w:asciiTheme="minorEastAsia" w:hAnsiTheme="minorEastAsia" w:eastAsiaTheme="minorEastAsia"/>
          <w:color w:val="000000"/>
          <w:sz w:val="24"/>
          <w:highlight w:val="none"/>
        </w:rPr>
        <w:t>电    话：</w:t>
      </w:r>
      <w:r>
        <w:rPr>
          <w:rFonts w:hint="eastAsia" w:ascii="宋体" w:hAnsi="宋体"/>
          <w:color w:val="000000"/>
          <w:sz w:val="24"/>
          <w:highlight w:val="none"/>
        </w:rPr>
        <w:t>0374-</w:t>
      </w:r>
      <w:r>
        <w:rPr>
          <w:rFonts w:hint="eastAsia" w:ascii="宋体" w:hAnsi="宋体"/>
          <w:color w:val="000000"/>
          <w:sz w:val="24"/>
          <w:highlight w:val="none"/>
          <w:lang w:val="en-US" w:eastAsia="zh-CN"/>
        </w:rPr>
        <w:t>3117600 15090289232</w:t>
      </w:r>
    </w:p>
    <w:p>
      <w:pPr>
        <w:spacing w:line="312" w:lineRule="auto"/>
        <w:rPr>
          <w:rFonts w:asciiTheme="minorEastAsia" w:hAnsiTheme="minorEastAsia" w:eastAsiaTheme="minorEastAsia"/>
          <w:sz w:val="24"/>
          <w:highlight w:val="none"/>
        </w:rPr>
      </w:pPr>
    </w:p>
    <w:p>
      <w:pPr>
        <w:spacing w:line="312" w:lineRule="auto"/>
        <w:ind w:firstLine="480" w:firstLineChars="200"/>
        <w:jc w:val="right"/>
        <w:rPr>
          <w:rFonts w:asciiTheme="minorEastAsia" w:hAnsiTheme="minorEastAsia" w:eastAsiaTheme="minorEastAsia"/>
          <w:color w:val="000000"/>
          <w:sz w:val="24"/>
          <w:highlight w:val="none"/>
          <w:lang w:val="zh-CN"/>
        </w:rPr>
      </w:pPr>
      <w:r>
        <w:rPr>
          <w:rFonts w:hint="eastAsia" w:asciiTheme="minorEastAsia" w:hAnsiTheme="minorEastAsia" w:eastAsiaTheme="minorEastAsia"/>
          <w:color w:val="000000"/>
          <w:sz w:val="24"/>
          <w:highlight w:val="none"/>
          <w:lang w:val="zh-CN"/>
        </w:rPr>
        <w:t>许昌市建安区交通运输局</w:t>
      </w:r>
    </w:p>
    <w:p>
      <w:pPr>
        <w:wordWrap w:val="0"/>
        <w:spacing w:line="312" w:lineRule="auto"/>
        <w:ind w:right="240" w:firstLine="480" w:firstLineChars="200"/>
        <w:jc w:val="righ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2020年</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日</w:t>
      </w:r>
    </w:p>
    <w:p>
      <w:pPr>
        <w:widowControl/>
        <w:spacing w:line="312" w:lineRule="auto"/>
        <w:rPr>
          <w:rFonts w:hAnsi="宋体"/>
          <w:b/>
          <w:sz w:val="28"/>
          <w:szCs w:val="21"/>
          <w:highlight w:val="none"/>
        </w:rPr>
      </w:pPr>
    </w:p>
    <w:p>
      <w:pPr>
        <w:pStyle w:val="2"/>
        <w:rPr>
          <w:highlight w:val="none"/>
        </w:rPr>
      </w:pPr>
    </w:p>
    <w:p>
      <w:pPr>
        <w:widowControl/>
        <w:spacing w:line="312" w:lineRule="auto"/>
        <w:rPr>
          <w:rFonts w:hAnsi="宋体"/>
          <w:b/>
          <w:sz w:val="28"/>
          <w:szCs w:val="21"/>
          <w:highlight w:val="none"/>
        </w:rPr>
      </w:pPr>
      <w:r>
        <w:rPr>
          <w:rFonts w:hint="eastAsia" w:hAnsi="宋体"/>
          <w:b/>
          <w:sz w:val="28"/>
          <w:szCs w:val="21"/>
          <w:highlight w:val="none"/>
        </w:rPr>
        <w:t>温馨提示：</w:t>
      </w:r>
    </w:p>
    <w:p>
      <w:pPr>
        <w:widowControl/>
        <w:spacing w:line="312" w:lineRule="auto"/>
        <w:ind w:firstLine="141" w:firstLineChars="50"/>
        <w:rPr>
          <w:rFonts w:hAnsi="宋体"/>
          <w:b/>
          <w:sz w:val="28"/>
          <w:szCs w:val="21"/>
          <w:highlight w:val="none"/>
        </w:rPr>
      </w:pPr>
      <w:r>
        <w:rPr>
          <w:rFonts w:hint="eastAsia" w:hAnsi="宋体"/>
          <w:b/>
          <w:sz w:val="28"/>
          <w:szCs w:val="21"/>
          <w:highlight w:val="none"/>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1.投标人应按招标文件规定下载、编制、提交电子投标文件。开、评标现场不接受投标人递交的电子投标文件的其他资料。</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3.电子投标文件的制作</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一个标段对应生成一个文件夹（xxxx项目xx标段）, 其中包含2个文件和1个文件夹。后缀名为“.file”的文件用于电子投标使用，“备份文件夹”使用电子介质存储，供开标现场备用。</w:t>
      </w:r>
    </w:p>
    <w:p>
      <w:pPr>
        <w:autoSpaceDE w:val="0"/>
        <w:autoSpaceDN w:val="0"/>
        <w:adjustRightInd w:val="0"/>
        <w:spacing w:line="360" w:lineRule="auto"/>
        <w:ind w:firstLine="482" w:firstLineChars="200"/>
        <w:rPr>
          <w:rFonts w:ascii="宋体" w:hAnsi="宋体" w:cs="宋体"/>
          <w:b/>
          <w:color w:val="FF0000"/>
          <w:kern w:val="0"/>
          <w:sz w:val="24"/>
          <w:szCs w:val="20"/>
          <w:highlight w:val="none"/>
          <w:lang w:val="zh-CN"/>
        </w:rPr>
      </w:pPr>
      <w:r>
        <w:rPr>
          <w:rFonts w:hint="eastAsia" w:hAnsi="宋体" w:cs="宋体"/>
          <w:b/>
          <w:bCs/>
          <w:sz w:val="24"/>
          <w:highlight w:val="none"/>
        </w:rPr>
        <w:t>4.</w:t>
      </w:r>
      <w:r>
        <w:rPr>
          <w:rFonts w:ascii="宋体" w:hAnsi="宋体" w:cs="宋体"/>
          <w:kern w:val="0"/>
          <w:sz w:val="24"/>
          <w:szCs w:val="20"/>
          <w:highlight w:val="none"/>
          <w:lang w:val="zh-CN"/>
        </w:rPr>
        <w:t xml:space="preserve"> </w:t>
      </w:r>
      <w:r>
        <w:rPr>
          <w:rFonts w:hint="eastAsia" w:ascii="宋体" w:hAnsi="宋体" w:cs="宋体"/>
          <w:b/>
          <w:kern w:val="0"/>
          <w:sz w:val="24"/>
          <w:szCs w:val="20"/>
          <w:highlight w:val="none"/>
          <w:lang w:val="zh-CN"/>
        </w:rPr>
        <w:t>投标保证金的提交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w:t>
      </w:r>
      <w:r>
        <w:rPr>
          <w:rFonts w:hint="eastAsia" w:ascii="宋体" w:hAnsi="宋体" w:cs="宋体"/>
          <w:kern w:val="0"/>
          <w:sz w:val="24"/>
          <w:szCs w:val="20"/>
          <w:highlight w:val="none"/>
          <w:lang w:val="zh-CN"/>
        </w:rPr>
        <w:t>使用银行转帐方式提交的，投标人通过基本账户将款项一次足额递交、成功绑定，以收款人到账时间为准。</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4.1.1</w:t>
      </w:r>
      <w:r>
        <w:rPr>
          <w:rFonts w:hint="eastAsia" w:ascii="宋体" w:hAnsi="宋体" w:cs="宋体"/>
          <w:kern w:val="0"/>
          <w:sz w:val="24"/>
          <w:szCs w:val="20"/>
          <w:highlight w:val="none"/>
          <w:lang w:val="zh-CN"/>
        </w:rPr>
        <w:t>投标人网上下载招标文件并根据每个标段的缴纳说明单在开标截止时间前提交。每个投标人每个项目每个标段只有唯一缴纳账号，切勿重复缴纳或错误缴纳。</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4.1.2</w:t>
      </w:r>
      <w:r>
        <w:rPr>
          <w:rFonts w:hint="eastAsia" w:ascii="宋体" w:hAnsi="宋体" w:cs="宋体"/>
          <w:kern w:val="0"/>
          <w:sz w:val="24"/>
          <w:szCs w:val="20"/>
          <w:highlight w:val="none"/>
          <w:lang w:val="zh-CN"/>
        </w:rPr>
        <w:t>提交后再次登录</w:t>
      </w:r>
      <w:r>
        <w:rPr>
          <w:highlight w:val="none"/>
        </w:rPr>
        <w:fldChar w:fldCharType="begin"/>
      </w:r>
      <w:r>
        <w:rPr>
          <w:highlight w:val="none"/>
        </w:rPr>
        <w:instrText xml:space="preserve"> HYPERLINK "http://221.14.6.70:8088/ggzy" </w:instrText>
      </w:r>
      <w:r>
        <w:rPr>
          <w:highlight w:val="none"/>
        </w:rPr>
        <w:fldChar w:fldCharType="separate"/>
      </w:r>
      <w:r>
        <w:rPr>
          <w:rFonts w:ascii="宋体" w:hAnsi="宋体" w:cs="宋体"/>
          <w:kern w:val="0"/>
          <w:sz w:val="24"/>
          <w:szCs w:val="20"/>
          <w:highlight w:val="none"/>
          <w:lang w:val="zh-CN"/>
        </w:rPr>
        <w:t>http://221.14.6.70:8088/ggzy</w:t>
      </w:r>
      <w:r>
        <w:rPr>
          <w:rFonts w:ascii="宋体" w:hAnsi="宋体" w:cs="宋体"/>
          <w:kern w:val="0"/>
          <w:sz w:val="24"/>
          <w:szCs w:val="20"/>
          <w:highlight w:val="none"/>
          <w:lang w:val="zh-CN"/>
        </w:rPr>
        <w:fldChar w:fldCharType="end"/>
      </w:r>
      <w:r>
        <w:rPr>
          <w:rFonts w:hint="eastAsia" w:ascii="宋体" w:hAnsi="宋体" w:cs="宋体"/>
          <w:kern w:val="0"/>
          <w:sz w:val="24"/>
          <w:szCs w:val="20"/>
          <w:highlight w:val="none"/>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4.1.3</w:t>
      </w:r>
      <w:r>
        <w:rPr>
          <w:rFonts w:hint="eastAsia" w:ascii="宋体" w:hAnsi="宋体" w:cs="宋体"/>
          <w:kern w:val="0"/>
          <w:sz w:val="24"/>
          <w:szCs w:val="20"/>
          <w:highlight w:val="none"/>
          <w:lang w:val="zh-CN"/>
        </w:rPr>
        <w:t>投标人成功绑定投标保证金，将缴纳凭证</w:t>
      </w:r>
      <w:r>
        <w:rPr>
          <w:rFonts w:hint="eastAsia" w:ascii="宋体" w:hAnsi="宋体" w:cs="宋体"/>
          <w:kern w:val="0"/>
          <w:sz w:val="24"/>
          <w:szCs w:val="20"/>
          <w:highlight w:val="none"/>
        </w:rPr>
        <w:t>即本项目投保保证金</w:t>
      </w:r>
      <w:r>
        <w:rPr>
          <w:rFonts w:hint="eastAsia" w:ascii="宋体" w:hAnsi="宋体" w:cs="宋体"/>
          <w:kern w:val="0"/>
          <w:sz w:val="24"/>
          <w:szCs w:val="20"/>
          <w:highlight w:val="none"/>
          <w:lang w:val="zh-CN"/>
        </w:rPr>
        <w:t>“许昌市建安区公共资源交易中心保证金缴纳回执”附于投标文件中，</w:t>
      </w:r>
      <w:r>
        <w:rPr>
          <w:rFonts w:hint="eastAsia" w:ascii="宋体" w:hAnsi="宋体" w:cs="宋体"/>
          <w:kern w:val="0"/>
          <w:sz w:val="24"/>
          <w:szCs w:val="20"/>
          <w:highlight w:val="none"/>
        </w:rPr>
        <w:t>否则视为未按规定提交。</w:t>
      </w:r>
    </w:p>
    <w:p>
      <w:pPr>
        <w:autoSpaceDE w:val="0"/>
        <w:autoSpaceDN w:val="0"/>
        <w:adjustRightInd w:val="0"/>
        <w:spacing w:line="360" w:lineRule="auto"/>
        <w:ind w:firstLine="480" w:firstLineChars="200"/>
        <w:jc w:val="left"/>
        <w:rPr>
          <w:rFonts w:ascii="宋体" w:hAnsi="宋体" w:cs="宋体"/>
          <w:kern w:val="0"/>
          <w:sz w:val="24"/>
          <w:szCs w:val="20"/>
          <w:highlight w:val="none"/>
          <w:lang w:val="zh-CN"/>
        </w:rPr>
      </w:pPr>
      <w:r>
        <w:rPr>
          <w:rFonts w:ascii="宋体" w:hAnsi="宋体" w:cs="宋体"/>
          <w:kern w:val="0"/>
          <w:sz w:val="24"/>
          <w:szCs w:val="20"/>
          <w:highlight w:val="none"/>
          <w:lang w:val="zh-CN"/>
        </w:rPr>
        <w:t>4.2</w:t>
      </w:r>
      <w:r>
        <w:rPr>
          <w:rFonts w:hint="eastAsia" w:ascii="宋体" w:hAnsi="宋体" w:cs="宋体"/>
          <w:kern w:val="0"/>
          <w:sz w:val="24"/>
          <w:szCs w:val="20"/>
          <w:highlight w:val="none"/>
          <w:lang w:val="zh-CN"/>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autoSpaceDE w:val="0"/>
        <w:autoSpaceDN w:val="0"/>
        <w:adjustRightInd w:val="0"/>
        <w:spacing w:line="360" w:lineRule="auto"/>
        <w:ind w:firstLine="482" w:firstLineChars="200"/>
        <w:jc w:val="left"/>
        <w:rPr>
          <w:rFonts w:ascii="宋体" w:hAnsi="宋体" w:cs="宋体"/>
          <w:kern w:val="0"/>
          <w:sz w:val="24"/>
          <w:szCs w:val="20"/>
          <w:highlight w:val="none"/>
          <w:lang w:val="zh-CN"/>
        </w:rPr>
      </w:pPr>
      <w:r>
        <w:rPr>
          <w:rFonts w:hint="eastAsia" w:hAnsi="宋体" w:cs="宋体"/>
          <w:b/>
          <w:bCs/>
          <w:sz w:val="24"/>
          <w:highlight w:val="none"/>
        </w:rPr>
        <w:t>5.加密电子投标文件的提交</w:t>
      </w:r>
    </w:p>
    <w:p>
      <w:pPr>
        <w:snapToGrid w:val="0"/>
        <w:spacing w:line="540" w:lineRule="exact"/>
        <w:ind w:left="-105" w:leftChars="-50" w:right="-105" w:rightChars="-50" w:firstLine="480" w:firstLineChars="200"/>
        <w:rPr>
          <w:rFonts w:hAnsi="宋体" w:cs="宋体"/>
          <w:sz w:val="24"/>
          <w:highlight w:val="none"/>
        </w:rPr>
      </w:pPr>
      <w:r>
        <w:rPr>
          <w:rFonts w:hint="eastAsia" w:cs="宋体" w:asciiTheme="minorEastAsia" w:hAnsiTheme="minorEastAsia" w:eastAsiaTheme="minorEastAsia"/>
          <w:sz w:val="24"/>
          <w:highlight w:val="none"/>
        </w:rPr>
        <w:t xml:space="preserve"> 5.1电子投标文件应在招标文件规定的投标文件提交截止时间（开标时间）之前成功提交至《全国公共资源交易平台(河南省▪许昌市)</w:t>
      </w:r>
      <w:r>
        <w:rPr>
          <w:rFonts w:hint="eastAsia" w:hAnsi="宋体" w:cs="宋体"/>
          <w:sz w:val="24"/>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rPr>
        <w:t>）。</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5.2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5.3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highlight w:val="none"/>
        </w:rPr>
      </w:pPr>
      <w:r>
        <w:rPr>
          <w:rFonts w:hint="eastAsia" w:hAnsi="宋体" w:cs="宋体"/>
          <w:b/>
          <w:bCs/>
          <w:sz w:val="24"/>
          <w:highlight w:val="none"/>
        </w:rPr>
        <w:t>6.评标依据</w:t>
      </w:r>
    </w:p>
    <w:p>
      <w:pPr>
        <w:snapToGrid w:val="0"/>
        <w:spacing w:line="540" w:lineRule="exact"/>
        <w:ind w:left="-105" w:leftChars="-50" w:right="-105" w:rightChars="-50" w:firstLine="480" w:firstLineChars="200"/>
        <w:rPr>
          <w:rFonts w:hAnsi="宋体" w:cs="宋体"/>
          <w:sz w:val="24"/>
          <w:highlight w:val="none"/>
        </w:rPr>
      </w:pPr>
      <w:r>
        <w:rPr>
          <w:rFonts w:hint="eastAsia" w:hAnsi="宋体" w:cs="宋体"/>
          <w:sz w:val="24"/>
          <w:highlight w:val="none"/>
        </w:rPr>
        <w:t>6.1采用全流程电子化交易评标时，评标委员会以电子投标文件为依据评标。</w:t>
      </w:r>
    </w:p>
    <w:p>
      <w:pPr>
        <w:snapToGrid w:val="0"/>
        <w:spacing w:line="540" w:lineRule="exact"/>
        <w:ind w:left="-105" w:leftChars="-50" w:right="-105" w:rightChars="-50" w:firstLine="480" w:firstLineChars="200"/>
        <w:rPr>
          <w:rFonts w:hint="eastAsia" w:hAnsi="宋体" w:cs="宋体"/>
          <w:sz w:val="24"/>
          <w:highlight w:val="none"/>
        </w:rPr>
      </w:pPr>
      <w:r>
        <w:rPr>
          <w:rFonts w:hint="eastAsia" w:hAnsi="宋体" w:cs="宋体"/>
          <w:sz w:val="24"/>
          <w:highlight w:val="none"/>
        </w:rPr>
        <w:t>6.2</w:t>
      </w:r>
      <w:r>
        <w:rPr>
          <w:rFonts w:hint="eastAsia"/>
          <w:highlight w:val="none"/>
        </w:rPr>
        <w:t xml:space="preserve"> </w:t>
      </w:r>
      <w:r>
        <w:rPr>
          <w:rFonts w:hint="eastAsia" w:hAnsi="宋体" w:cs="宋体"/>
          <w:sz w:val="24"/>
          <w:highlight w:val="none"/>
        </w:rPr>
        <w:t>全流程电子化交易系统如因系统异常情况无法完成，将以人工方式进行。评标委员会以电子介质</w:t>
      </w:r>
      <w:r>
        <w:rPr>
          <w:rFonts w:hint="eastAsia" w:cs="宋体" w:asciiTheme="minorEastAsia" w:hAnsiTheme="minorEastAsia" w:eastAsiaTheme="minorEastAsia"/>
          <w:sz w:val="24"/>
          <w:highlight w:val="none"/>
        </w:rPr>
        <w:t>U盘</w:t>
      </w:r>
      <w:r>
        <w:rPr>
          <w:rFonts w:hint="eastAsia" w:hAnsi="宋体" w:cs="宋体"/>
          <w:sz w:val="24"/>
          <w:highlight w:val="none"/>
        </w:rPr>
        <w:t>存储的投标文件为依据评标。</w:t>
      </w:r>
    </w:p>
    <w:p>
      <w:pPr>
        <w:pStyle w:val="2"/>
        <w:ind w:firstLine="210"/>
        <w:rPr>
          <w:rFonts w:hint="eastAsia"/>
          <w:highlight w:val="none"/>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4"/>
        <w:ind w:left="0" w:leftChars="0" w:firstLine="0" w:firstLineChars="0"/>
        <w:rPr>
          <w:highlight w:val="none"/>
          <w:lang w:eastAsia="zh-CN"/>
        </w:rPr>
      </w:pPr>
    </w:p>
    <w:p>
      <w:pPr>
        <w:spacing w:line="312" w:lineRule="auto"/>
        <w:jc w:val="center"/>
        <w:outlineLvl w:val="0"/>
        <w:rPr>
          <w:rFonts w:ascii="黑体" w:eastAsia="黑体"/>
          <w:bCs/>
          <w:sz w:val="44"/>
          <w:szCs w:val="44"/>
          <w:highlight w:val="none"/>
        </w:rPr>
      </w:pPr>
      <w:r>
        <w:rPr>
          <w:rFonts w:hint="eastAsia" w:ascii="黑体" w:eastAsia="黑体"/>
          <w:bCs/>
          <w:sz w:val="44"/>
          <w:szCs w:val="44"/>
          <w:highlight w:val="none"/>
        </w:rPr>
        <w:t>第二章  投标人须知</w:t>
      </w:r>
    </w:p>
    <w:p>
      <w:pPr>
        <w:spacing w:line="360" w:lineRule="auto"/>
        <w:jc w:val="center"/>
        <w:rPr>
          <w:rFonts w:ascii="宋体" w:hAnsi="宋体"/>
          <w:b/>
          <w:sz w:val="24"/>
          <w:highlight w:val="none"/>
        </w:rPr>
      </w:pPr>
      <w:bookmarkStart w:id="0" w:name="_Toc234382587"/>
      <w:r>
        <w:rPr>
          <w:rFonts w:hint="eastAsia" w:ascii="黑体" w:eastAsia="黑体"/>
          <w:b/>
          <w:sz w:val="30"/>
          <w:szCs w:val="30"/>
          <w:highlight w:val="none"/>
        </w:rPr>
        <w:t>投标人须知前附表</w:t>
      </w:r>
      <w:bookmarkEnd w:id="0"/>
      <w:bookmarkStart w:id="1" w:name="_Hlt111980600"/>
      <w:bookmarkEnd w:id="1"/>
    </w:p>
    <w:tbl>
      <w:tblPr>
        <w:tblStyle w:val="16"/>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条款号</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条 款 名 称</w:t>
            </w:r>
          </w:p>
        </w:tc>
        <w:tc>
          <w:tcPr>
            <w:tcW w:w="6482"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w:t>
            </w:r>
          </w:p>
        </w:tc>
        <w:tc>
          <w:tcPr>
            <w:tcW w:w="6482" w:type="dxa"/>
            <w:tcBorders>
              <w:bottom w:val="single" w:color="auto" w:sz="4" w:space="0"/>
            </w:tcBorders>
            <w:vAlign w:val="center"/>
          </w:tcPr>
          <w:p>
            <w:pPr>
              <w:spacing w:line="240" w:lineRule="auto"/>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招  标  人：许昌市建安区交通运输局</w:t>
            </w:r>
          </w:p>
          <w:p>
            <w:pPr>
              <w:pStyle w:val="2"/>
              <w:spacing w:after="0" w:afterAutospacing="0"/>
              <w:ind w:left="0" w:leftChars="0" w:firstLine="0" w:firstLineChars="0"/>
              <w:rPr>
                <w:rFonts w:hint="eastAsia" w:eastAsiaTheme="minorEastAsia"/>
                <w:highlight w:val="none"/>
                <w:lang w:eastAsia="zh-CN"/>
              </w:rPr>
            </w:pPr>
            <w:r>
              <w:rPr>
                <w:rFonts w:hint="eastAsia" w:asciiTheme="minorEastAsia" w:hAnsiTheme="minorEastAsia" w:eastAsiaTheme="minorEastAsia"/>
                <w:color w:val="000000"/>
                <w:sz w:val="24"/>
                <w:highlight w:val="none"/>
                <w:lang w:eastAsia="zh-CN"/>
              </w:rPr>
              <w:t>招标人地址：</w:t>
            </w:r>
            <w:r>
              <w:rPr>
                <w:rFonts w:hint="eastAsia"/>
                <w:sz w:val="24"/>
                <w:highlight w:val="none"/>
              </w:rPr>
              <w:t>许昌市建安区</w:t>
            </w:r>
            <w:r>
              <w:rPr>
                <w:rFonts w:hint="eastAsia"/>
                <w:sz w:val="24"/>
                <w:highlight w:val="none"/>
                <w:lang w:eastAsia="zh-CN"/>
              </w:rPr>
              <w:t>文化中心</w:t>
            </w:r>
            <w:r>
              <w:rPr>
                <w:rFonts w:hint="eastAsia"/>
                <w:sz w:val="24"/>
                <w:highlight w:val="none"/>
                <w:lang w:val="en-US" w:eastAsia="zh-CN"/>
              </w:rPr>
              <w:t>6楼</w:t>
            </w:r>
          </w:p>
          <w:p>
            <w:pPr>
              <w:spacing w:beforeAutospacing="0" w:line="24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项目负责人： 黄</w:t>
            </w:r>
            <w:r>
              <w:rPr>
                <w:rFonts w:hint="eastAsia" w:asciiTheme="minorEastAsia" w:hAnsiTheme="minorEastAsia" w:eastAsiaTheme="minorEastAsia"/>
                <w:sz w:val="24"/>
                <w:highlight w:val="none"/>
                <w:lang w:eastAsia="zh-CN"/>
              </w:rPr>
              <w:t>先生</w:t>
            </w:r>
          </w:p>
          <w:p>
            <w:pPr>
              <w:spacing w:line="24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电      话：</w:t>
            </w:r>
            <w:r>
              <w:rPr>
                <w:rFonts w:hint="eastAsia" w:asciiTheme="minorEastAsia" w:hAnsiTheme="minorEastAsia" w:eastAsiaTheme="minorEastAsia"/>
                <w:color w:val="000000"/>
                <w:sz w:val="24"/>
                <w:highlight w:val="none"/>
              </w:rPr>
              <w:t xml:space="preserve"> 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代理机构</w:t>
            </w:r>
          </w:p>
        </w:tc>
        <w:tc>
          <w:tcPr>
            <w:tcW w:w="6482" w:type="dxa"/>
            <w:tcBorders>
              <w:bottom w:val="single" w:color="auto" w:sz="4" w:space="0"/>
            </w:tcBorders>
            <w:vAlign w:val="center"/>
          </w:tcPr>
          <w:p>
            <w:pPr>
              <w:spacing w:line="240" w:lineRule="auto"/>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代理  机构：河南华明工程造价咨询有限公司 </w:t>
            </w:r>
          </w:p>
          <w:p>
            <w:pPr>
              <w:spacing w:line="240" w:lineRule="auto"/>
              <w:rPr>
                <w:rFonts w:hint="eastAsia" w:asciiTheme="minorEastAsia" w:hAnsiTheme="minorEastAsia" w:eastAsiaTheme="minorEastAsia"/>
                <w:color w:val="000000"/>
                <w:sz w:val="24"/>
                <w:highlight w:val="none"/>
                <w:lang w:eastAsia="zh-CN"/>
              </w:rPr>
            </w:pPr>
            <w:r>
              <w:rPr>
                <w:rFonts w:hint="eastAsia" w:asciiTheme="minorEastAsia" w:hAnsiTheme="minorEastAsia" w:eastAsiaTheme="minorEastAsia"/>
                <w:color w:val="000000"/>
                <w:sz w:val="24"/>
                <w:highlight w:val="none"/>
              </w:rPr>
              <w:t>项目负责人：</w:t>
            </w:r>
            <w:r>
              <w:rPr>
                <w:rFonts w:hint="eastAsia" w:asciiTheme="minorEastAsia" w:hAnsiTheme="minorEastAsia" w:eastAsiaTheme="minorEastAsia"/>
                <w:color w:val="000000"/>
                <w:sz w:val="24"/>
                <w:highlight w:val="none"/>
                <w:lang w:eastAsia="zh-CN"/>
              </w:rPr>
              <w:t>高先生</w:t>
            </w:r>
          </w:p>
          <w:p>
            <w:pPr>
              <w:spacing w:line="240" w:lineRule="auto"/>
              <w:rPr>
                <w:rFonts w:ascii="宋体" w:hAnsi="宋体"/>
                <w:color w:val="000000"/>
                <w:sz w:val="24"/>
                <w:highlight w:val="none"/>
              </w:rPr>
            </w:pPr>
            <w:r>
              <w:rPr>
                <w:rFonts w:hint="eastAsia" w:asciiTheme="minorEastAsia" w:hAnsiTheme="minorEastAsia" w:eastAsiaTheme="minorEastAsia"/>
                <w:color w:val="000000"/>
                <w:sz w:val="24"/>
                <w:highlight w:val="none"/>
              </w:rPr>
              <w:t>电    话：0374-3117600 15090289232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项目名称</w:t>
            </w:r>
          </w:p>
        </w:tc>
        <w:tc>
          <w:tcPr>
            <w:tcW w:w="6482" w:type="dxa"/>
            <w:tcBorders>
              <w:left w:val="single" w:color="auto" w:sz="4" w:space="0"/>
              <w:right w:val="single" w:color="auto" w:sz="4" w:space="0"/>
            </w:tcBorders>
            <w:vAlign w:val="center"/>
          </w:tcPr>
          <w:p>
            <w:pPr>
              <w:rPr>
                <w:rFonts w:asciiTheme="minorEastAsia" w:hAnsiTheme="minorEastAsia" w:eastAsiaTheme="minorEastAsia"/>
                <w:sz w:val="24"/>
                <w:highlight w:val="none"/>
              </w:rPr>
            </w:pPr>
            <w:r>
              <w:rPr>
                <w:rFonts w:hint="eastAsia" w:ascii="宋体" w:hAnsi="宋体"/>
                <w:sz w:val="24"/>
                <w:highlight w:val="none"/>
              </w:rPr>
              <w:t>许昌市建安区2020年脱贫攻坚督促指导村项目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建设地点</w:t>
            </w:r>
          </w:p>
        </w:tc>
        <w:tc>
          <w:tcPr>
            <w:tcW w:w="6482" w:type="dxa"/>
            <w:tcBorders>
              <w:left w:val="single" w:color="auto" w:sz="4" w:space="0"/>
              <w:right w:val="single" w:color="auto" w:sz="4" w:space="0"/>
            </w:tcBorders>
            <w:vAlign w:val="center"/>
          </w:tcPr>
          <w:p>
            <w:pPr>
              <w:spacing w:line="500" w:lineRule="exact"/>
              <w:rPr>
                <w:rFonts w:asciiTheme="minorEastAsia" w:hAnsiTheme="minorEastAsia" w:eastAsiaTheme="minorEastAsia"/>
                <w:sz w:val="24"/>
                <w:highlight w:val="none"/>
              </w:rPr>
            </w:pPr>
            <w:r>
              <w:rPr>
                <w:rFonts w:hint="eastAsia" w:ascii="宋体" w:hAnsi="宋体"/>
                <w:sz w:val="24"/>
                <w:highlight w:val="none"/>
              </w:rPr>
              <w:t>许昌市建安区苏桥镇东张村、灵井镇小宫村、椹涧乡黄庙村、榆林乡殿后李村境内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资金来源</w:t>
            </w:r>
          </w:p>
        </w:tc>
        <w:tc>
          <w:tcPr>
            <w:tcW w:w="6482" w:type="dxa"/>
            <w:tcBorders>
              <w:left w:val="single" w:color="auto" w:sz="4" w:space="0"/>
              <w:bottom w:val="single" w:color="auto" w:sz="4" w:space="0"/>
              <w:right w:val="single" w:color="auto" w:sz="4" w:space="0"/>
            </w:tcBorders>
            <w:vAlign w:val="center"/>
          </w:tcPr>
          <w:p>
            <w:pPr>
              <w:pStyle w:val="29"/>
              <w:snapToGrid w:val="0"/>
              <w:spacing w:line="0" w:lineRule="atLeas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highlight w:val="none"/>
              </w:rPr>
            </w:pPr>
            <w:r>
              <w:rPr>
                <w:rFonts w:hint="eastAsia" w:asciiTheme="minorEastAsia" w:hAnsiTheme="minorEastAsia" w:eastAsiaTheme="minorEastAsia"/>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1.3.1</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招标范围</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1.3.2</w:t>
            </w:r>
          </w:p>
        </w:tc>
        <w:tc>
          <w:tcPr>
            <w:tcW w:w="2317" w:type="dxa"/>
            <w:vAlign w:val="center"/>
          </w:tcPr>
          <w:p>
            <w:pPr>
              <w:jc w:val="center"/>
              <w:rPr>
                <w:rFonts w:cs="宋体" w:asciiTheme="minorEastAsia" w:hAnsiTheme="minorEastAsia" w:eastAsiaTheme="minorEastAsia"/>
                <w:kern w:val="0"/>
                <w:sz w:val="24"/>
                <w:highlight w:val="none"/>
                <w:shd w:val="clear" w:color="auto" w:fill="FFFFFF"/>
              </w:rPr>
            </w:pPr>
            <w:r>
              <w:rPr>
                <w:rFonts w:hint="eastAsia" w:asciiTheme="minorEastAsia" w:hAnsiTheme="minorEastAsia" w:eastAsiaTheme="minorEastAsia"/>
                <w:sz w:val="24"/>
                <w:highlight w:val="none"/>
              </w:rPr>
              <w:t>计划工期</w:t>
            </w:r>
          </w:p>
        </w:tc>
        <w:tc>
          <w:tcPr>
            <w:tcW w:w="6482" w:type="dxa"/>
            <w:vAlign w:val="center"/>
          </w:tcPr>
          <w:p>
            <w:pPr>
              <w:jc w:val="left"/>
              <w:rPr>
                <w:rFonts w:hint="default" w:cs="宋体" w:asciiTheme="minorEastAsia" w:hAnsiTheme="minorEastAsia" w:eastAsiaTheme="minorEastAsia"/>
                <w:kern w:val="0"/>
                <w:sz w:val="24"/>
                <w:highlight w:val="none"/>
                <w:shd w:val="clear" w:color="auto" w:fill="FFFFFF"/>
                <w:lang w:val="en-US" w:eastAsia="zh-CN"/>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1.3.3</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ind w:firstLine="120" w:firstLineChars="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1.3.4</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安全目标</w:t>
            </w:r>
          </w:p>
        </w:tc>
        <w:tc>
          <w:tcPr>
            <w:tcW w:w="6482" w:type="dxa"/>
            <w:vAlign w:val="center"/>
          </w:tcPr>
          <w:p>
            <w:pPr>
              <w:tabs>
                <w:tab w:val="right" w:leader="dot" w:pos="8295"/>
              </w:tabs>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安全零事故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highlight w:val="none"/>
                <w:vertAlign w:val="superscript"/>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投标人资质条件、能力和信誉</w:t>
            </w:r>
          </w:p>
        </w:tc>
        <w:tc>
          <w:tcPr>
            <w:tcW w:w="6482" w:type="dxa"/>
            <w:tcBorders>
              <w:right w:val="single" w:color="auto" w:sz="4" w:space="0"/>
            </w:tcBorders>
            <w:vAlign w:val="center"/>
          </w:tcPr>
          <w:p>
            <w:pPr>
              <w:spacing w:line="24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资质条件：</w:t>
            </w:r>
            <w:r>
              <w:rPr>
                <w:rFonts w:hint="eastAsia" w:asciiTheme="minorEastAsia" w:hAnsiTheme="minorEastAsia" w:eastAsiaTheme="minorEastAsia"/>
                <w:sz w:val="24"/>
                <w:highlight w:val="none"/>
              </w:rPr>
              <w:t>见附录1</w:t>
            </w:r>
          </w:p>
          <w:p>
            <w:pPr>
              <w:spacing w:line="24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财务要求：</w:t>
            </w:r>
            <w:r>
              <w:rPr>
                <w:rFonts w:hint="eastAsia" w:asciiTheme="minorEastAsia" w:hAnsiTheme="minorEastAsia" w:eastAsiaTheme="minorEastAsia"/>
                <w:sz w:val="24"/>
                <w:highlight w:val="none"/>
              </w:rPr>
              <w:t>见附录2</w:t>
            </w:r>
          </w:p>
          <w:p>
            <w:pPr>
              <w:spacing w:line="240" w:lineRule="auto"/>
              <w:ind w:firstLine="120" w:firstLineChars="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业绩要求：</w:t>
            </w:r>
            <w:r>
              <w:rPr>
                <w:rFonts w:hint="eastAsia" w:asciiTheme="minorEastAsia" w:hAnsiTheme="minorEastAsia" w:eastAsiaTheme="minorEastAsia"/>
                <w:sz w:val="24"/>
                <w:highlight w:val="none"/>
              </w:rPr>
              <w:t>见附录3</w:t>
            </w:r>
          </w:p>
          <w:p>
            <w:pPr>
              <w:spacing w:line="24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信誉要求：见附录4</w:t>
            </w:r>
          </w:p>
          <w:p>
            <w:pPr>
              <w:spacing w:line="24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项目经理和项目总工资格：见附录5</w:t>
            </w:r>
          </w:p>
          <w:p>
            <w:pPr>
              <w:spacing w:line="240" w:lineRule="auto"/>
              <w:ind w:firstLine="120" w:firstLineChars="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是否接受联合体投标</w:t>
            </w:r>
          </w:p>
        </w:tc>
        <w:tc>
          <w:tcPr>
            <w:tcW w:w="6482" w:type="dxa"/>
            <w:tcBorders>
              <w:right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踏勘现场</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投标预备会</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投标人提出问题的截止时间</w:t>
            </w:r>
          </w:p>
        </w:tc>
        <w:tc>
          <w:tcPr>
            <w:tcW w:w="6482" w:type="dxa"/>
            <w:vAlign w:val="center"/>
          </w:tcPr>
          <w:p>
            <w:pPr>
              <w:rPr>
                <w:rFonts w:asciiTheme="minorEastAsia" w:hAnsiTheme="minorEastAsia" w:eastAsiaTheme="minorEastAsia"/>
                <w:sz w:val="24"/>
                <w:highlight w:val="none"/>
              </w:rPr>
            </w:pPr>
            <w:r>
              <w:rPr>
                <w:rFonts w:hint="eastAsia" w:hAnsi="宋体"/>
                <w:sz w:val="24"/>
                <w:highlight w:val="none"/>
              </w:rPr>
              <w:t>投标截止时间10日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1.10.3</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招标人书面澄清的时间</w:t>
            </w:r>
          </w:p>
        </w:tc>
        <w:tc>
          <w:tcPr>
            <w:tcW w:w="6482" w:type="dxa"/>
            <w:vAlign w:val="center"/>
          </w:tcPr>
          <w:p>
            <w:pPr>
              <w:rPr>
                <w:rFonts w:asciiTheme="minorEastAsia" w:hAnsiTheme="minorEastAsia" w:eastAsiaTheme="minorEastAsia"/>
                <w:sz w:val="24"/>
                <w:highlight w:val="none"/>
              </w:rPr>
            </w:pPr>
            <w:r>
              <w:rPr>
                <w:rFonts w:hint="eastAsia" w:hAnsi="宋体"/>
                <w:sz w:val="24"/>
                <w:highlight w:val="none"/>
              </w:rPr>
              <w:t>投标截止时间15日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1.11</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分包</w:t>
            </w:r>
          </w:p>
        </w:tc>
        <w:tc>
          <w:tcPr>
            <w:tcW w:w="6482" w:type="dxa"/>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w:t>
            </w:r>
          </w:p>
        </w:tc>
        <w:tc>
          <w:tcPr>
            <w:tcW w:w="2317" w:type="dxa"/>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偏离</w:t>
            </w:r>
          </w:p>
        </w:tc>
        <w:tc>
          <w:tcPr>
            <w:tcW w:w="6482" w:type="dxa"/>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p>
        </w:tc>
        <w:tc>
          <w:tcPr>
            <w:tcW w:w="2317" w:type="dxa"/>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w:t>
            </w:r>
          </w:p>
        </w:tc>
        <w:tc>
          <w:tcPr>
            <w:tcW w:w="2317" w:type="dxa"/>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2.2.1</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2.2.2</w:t>
            </w:r>
          </w:p>
        </w:tc>
        <w:tc>
          <w:tcPr>
            <w:tcW w:w="2317" w:type="dxa"/>
            <w:vAlign w:val="center"/>
          </w:tcPr>
          <w:p>
            <w:pPr>
              <w:spacing w:line="500" w:lineRule="exact"/>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投标截止时间</w:t>
            </w:r>
          </w:p>
        </w:tc>
        <w:tc>
          <w:tcPr>
            <w:tcW w:w="6482" w:type="dxa"/>
            <w:vAlign w:val="center"/>
          </w:tcPr>
          <w:p>
            <w:pPr>
              <w:spacing w:line="500" w:lineRule="exact"/>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2020年</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2.2.3</w:t>
            </w:r>
          </w:p>
        </w:tc>
        <w:tc>
          <w:tcPr>
            <w:tcW w:w="2317" w:type="dxa"/>
            <w:vAlign w:val="center"/>
          </w:tcPr>
          <w:p>
            <w:pPr>
              <w:spacing w:line="5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招标文件澄清发出的形式</w:t>
            </w:r>
          </w:p>
        </w:tc>
        <w:tc>
          <w:tcPr>
            <w:tcW w:w="6482" w:type="dxa"/>
            <w:vAlign w:val="center"/>
          </w:tcPr>
          <w:p>
            <w:pPr>
              <w:spacing w:line="500" w:lineRule="exact"/>
              <w:jc w:val="left"/>
              <w:rPr>
                <w:rFonts w:ascii="宋体" w:hAnsi="宋体"/>
                <w:sz w:val="24"/>
                <w:highlight w:val="none"/>
              </w:rPr>
            </w:pPr>
            <w:r>
              <w:rPr>
                <w:rFonts w:hint="eastAsia" w:asciiTheme="majorEastAsia" w:hAnsiTheme="majorEastAsia" w:eastAsiaTheme="majorEastAsia" w:cstheme="majorEastAsia"/>
                <w:sz w:val="24"/>
                <w:highlight w:val="none"/>
              </w:rPr>
              <w:t>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投标人确认收到招标文件澄清</w:t>
            </w:r>
          </w:p>
        </w:tc>
        <w:tc>
          <w:tcPr>
            <w:tcW w:w="6482" w:type="dxa"/>
            <w:vAlign w:val="center"/>
          </w:tcPr>
          <w:p>
            <w:pPr>
              <w:autoSpaceDE w:val="0"/>
              <w:autoSpaceDN w:val="0"/>
              <w:adjustRightInd w:val="0"/>
              <w:rPr>
                <w:highlight w:val="none"/>
              </w:rPr>
            </w:pPr>
            <w:r>
              <w:rPr>
                <w:rFonts w:hint="eastAsia"/>
                <w:highlight w:val="none"/>
              </w:rPr>
              <w:t>时间：收到修改后24小时以内（已发出时间为准）</w:t>
            </w:r>
          </w:p>
          <w:p>
            <w:pPr>
              <w:autoSpaceDE w:val="0"/>
              <w:autoSpaceDN w:val="0"/>
              <w:adjustRightInd w:val="0"/>
              <w:rPr>
                <w:rFonts w:asciiTheme="minorEastAsia" w:hAnsiTheme="minorEastAsia" w:eastAsiaTheme="minorEastAsia"/>
                <w:sz w:val="24"/>
                <w:highlight w:val="none"/>
              </w:rPr>
            </w:pPr>
            <w:r>
              <w:rPr>
                <w:rFonts w:hint="eastAsia" w:asciiTheme="majorEastAsia" w:hAnsiTheme="majorEastAsia" w:eastAsiaTheme="majorEastAsia" w:cstheme="majorEastAsia"/>
                <w:sz w:val="24"/>
                <w:highlight w:val="none"/>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投标人确认收到招标文件修改的时间</w:t>
            </w:r>
          </w:p>
        </w:tc>
        <w:tc>
          <w:tcPr>
            <w:tcW w:w="6482" w:type="dxa"/>
            <w:vAlign w:val="center"/>
          </w:tcPr>
          <w:p>
            <w:pPr>
              <w:autoSpaceDE w:val="0"/>
              <w:autoSpaceDN w:val="0"/>
              <w:adjustRightInd w:val="0"/>
              <w:rPr>
                <w:highlight w:val="none"/>
              </w:rPr>
            </w:pPr>
            <w:r>
              <w:rPr>
                <w:rFonts w:hint="eastAsia"/>
                <w:highlight w:val="none"/>
              </w:rPr>
              <w:t>时间：收到修改后24小时以内（已发出时间为准）</w:t>
            </w:r>
          </w:p>
          <w:p>
            <w:pPr>
              <w:pStyle w:val="2"/>
              <w:ind w:firstLine="0" w:firstLineChars="0"/>
              <w:rPr>
                <w:rFonts w:eastAsiaTheme="minorEastAsia"/>
                <w:highlight w:val="none"/>
              </w:rPr>
            </w:pPr>
            <w:r>
              <w:rPr>
                <w:rFonts w:hint="eastAsia" w:asciiTheme="majorEastAsia" w:hAnsiTheme="majorEastAsia" w:eastAsiaTheme="majorEastAsia" w:cstheme="majorEastAsia"/>
                <w:sz w:val="24"/>
                <w:highlight w:val="none"/>
              </w:rPr>
              <w:t>形式：通过《全国公共资源交易平台（河南省·许昌市）》发出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构成投标文件的其他材料</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（1）投标人认为其它需要补充的内容</w:t>
            </w:r>
          </w:p>
          <w:p>
            <w:pPr>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3.2.1</w:t>
            </w:r>
          </w:p>
        </w:tc>
        <w:tc>
          <w:tcPr>
            <w:tcW w:w="2317" w:type="dxa"/>
            <w:vAlign w:val="center"/>
          </w:tcPr>
          <w:p>
            <w:pPr>
              <w:adjustRightInd w:val="0"/>
              <w:snapToGrid w:val="0"/>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highlight w:val="none"/>
              </w:rPr>
            </w:pPr>
            <w:r>
              <w:rPr>
                <w:rFonts w:cs="TimesNewRomanPSMT" w:asciiTheme="minorEastAsia" w:hAnsiTheme="minorEastAsia" w:eastAsiaTheme="minorEastAsia"/>
                <w:sz w:val="24"/>
                <w:highlight w:val="none"/>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近年，指201</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、201</w:t>
            </w:r>
            <w:r>
              <w:rPr>
                <w:rFonts w:hint="eastAsia" w:cs="宋体" w:asciiTheme="minorEastAsia" w:hAnsiTheme="minorEastAsia" w:eastAsiaTheme="minorEastAsia"/>
                <w:sz w:val="24"/>
                <w:highlight w:val="none"/>
                <w:lang w:val="en-US" w:eastAsia="zh-CN"/>
              </w:rPr>
              <w:t>8或</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8、2019</w:t>
            </w:r>
            <w:r>
              <w:rPr>
                <w:rFonts w:hint="eastAsia" w:cs="宋体" w:asciiTheme="minorEastAsia" w:hAnsiTheme="minorEastAsia" w:eastAsiaTheme="minorEastAsia"/>
                <w:sz w:val="24"/>
                <w:highlight w:val="none"/>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近年完成的类似项目的年份要求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highlight w:val="none"/>
              </w:rPr>
            </w:pPr>
            <w:r>
              <w:rPr>
                <w:rFonts w:hint="eastAsia" w:cs="宋体" w:asciiTheme="minorEastAsia" w:hAnsiTheme="minorEastAsia" w:eastAsiaTheme="minorEastAsia"/>
                <w:spacing w:val="-4"/>
                <w:sz w:val="24"/>
                <w:highlight w:val="none"/>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3.7.3</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签字或盖章要求</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3.7.4</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投标文件份数</w:t>
            </w:r>
          </w:p>
        </w:tc>
        <w:tc>
          <w:tcPr>
            <w:tcW w:w="6482" w:type="dxa"/>
            <w:vAlign w:val="center"/>
          </w:tcPr>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1、电子投标文件</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（1）成功上传至【全国公共资源交易平台（河南省·许昌市）】公共资源交易系统电子投标文件1份（文件格式为：XX公司XXX项目编号.file）。</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（2）存储有投标文件的电子介质（第一信封，第二信封各2份）；第一信封电子介质</w:t>
            </w:r>
            <w:r>
              <w:rPr>
                <w:rFonts w:hint="eastAsia" w:cs="宋体" w:asciiTheme="minorEastAsia" w:hAnsiTheme="minorEastAsia" w:eastAsiaTheme="minorEastAsia"/>
                <w:sz w:val="24"/>
                <w:highlight w:val="none"/>
              </w:rPr>
              <w:t>U盘</w:t>
            </w:r>
            <w:r>
              <w:rPr>
                <w:rFonts w:hint="eastAsia" w:asciiTheme="minorEastAsia" w:hAnsiTheme="minorEastAsia" w:eastAsiaTheme="minorEastAsia"/>
                <w:sz w:val="24"/>
                <w:szCs w:val="28"/>
                <w:highlight w:val="none"/>
              </w:rPr>
              <w:t>中存储有非报价部分PDF文件和bin文件；第二信封电子介质</w:t>
            </w:r>
            <w:r>
              <w:rPr>
                <w:rFonts w:hint="eastAsia" w:cs="宋体" w:asciiTheme="minorEastAsia" w:hAnsiTheme="minorEastAsia" w:eastAsiaTheme="minorEastAsia"/>
                <w:sz w:val="24"/>
                <w:highlight w:val="none"/>
              </w:rPr>
              <w:t>U盘</w:t>
            </w:r>
            <w:r>
              <w:rPr>
                <w:rFonts w:hint="eastAsia" w:asciiTheme="minorEastAsia" w:hAnsiTheme="minorEastAsia" w:eastAsiaTheme="minorEastAsia"/>
                <w:sz w:val="24"/>
                <w:szCs w:val="28"/>
                <w:highlight w:val="none"/>
              </w:rPr>
              <w:t>中存储有报价部分PDF文件。</w:t>
            </w:r>
          </w:p>
          <w:p>
            <w:pPr>
              <w:spacing w:line="360" w:lineRule="auto"/>
              <w:jc w:val="left"/>
              <w:rPr>
                <w:rFonts w:asciiTheme="minorEastAsia" w:hAnsiTheme="minorEastAsia" w:eastAsiaTheme="minorEastAsia"/>
                <w:sz w:val="24"/>
                <w:szCs w:val="28"/>
                <w:highlight w:val="none"/>
              </w:rPr>
            </w:pPr>
            <w:r>
              <w:rPr>
                <w:rFonts w:hint="eastAsia" w:asciiTheme="minorEastAsia" w:hAnsiTheme="minorEastAsia" w:eastAsiaTheme="minorEastAsia"/>
                <w:bCs/>
                <w:sz w:val="24"/>
                <w:szCs w:val="28"/>
                <w:highlight w:val="none"/>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3.7.5</w:t>
            </w:r>
          </w:p>
        </w:tc>
        <w:tc>
          <w:tcPr>
            <w:tcW w:w="2317" w:type="dxa"/>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密封标记的其他要求</w:t>
            </w:r>
          </w:p>
        </w:tc>
        <w:tc>
          <w:tcPr>
            <w:tcW w:w="6482" w:type="dxa"/>
            <w:vAlign w:val="center"/>
          </w:tcPr>
          <w:p>
            <w:pPr>
              <w:jc w:val="lef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使用电子介质存储的投标文件第一信封和第二信封各2份，分开单独密封、盖章。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封套上</w:t>
            </w:r>
            <w:r>
              <w:rPr>
                <w:rFonts w:hint="eastAsia" w:ascii="宋体" w:hAnsi="宋体"/>
                <w:sz w:val="24"/>
                <w:highlight w:val="none"/>
              </w:rPr>
              <w:t>应载明的信息</w:t>
            </w:r>
          </w:p>
        </w:tc>
        <w:tc>
          <w:tcPr>
            <w:tcW w:w="6482" w:type="dxa"/>
            <w:tcBorders>
              <w:right w:val="single" w:color="auto" w:sz="4" w:space="0"/>
            </w:tcBorders>
            <w:vAlign w:val="center"/>
          </w:tcPr>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投标文件第一个信封（商务及技术文件）封套：</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r>
              <w:rPr>
                <w:rFonts w:hint="eastAsia" w:ascii="仿宋" w:hAnsi="仿宋" w:eastAsia="仿宋" w:cs="仿宋"/>
                <w:sz w:val="24"/>
                <w:highlight w:val="none"/>
                <w:u w:val="single" w:color="000000"/>
              </w:rPr>
              <w:t xml:space="preserve">         </w:t>
            </w:r>
            <w:r>
              <w:rPr>
                <w:rFonts w:hint="eastAsia" w:asciiTheme="minorEastAsia" w:hAnsiTheme="minorEastAsia" w:eastAsiaTheme="minorEastAsia"/>
                <w:sz w:val="24"/>
                <w:highlight w:val="none"/>
              </w:rPr>
              <w:t>（项目名称）施工招标第一个信封</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（商务及技术文件）投标文件</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招标项目编号：</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    年   月  日  时  分前不得开启</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投标文件第二个信封（投标报价和工程量清单）封套：</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招标人地址：</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r>
              <w:rPr>
                <w:rFonts w:hint="eastAsia" w:ascii="仿宋" w:hAnsi="仿宋" w:eastAsia="仿宋" w:cs="仿宋"/>
                <w:sz w:val="24"/>
                <w:highlight w:val="none"/>
                <w:u w:val="single" w:color="000000"/>
              </w:rPr>
              <w:t xml:space="preserve">         </w:t>
            </w:r>
            <w:r>
              <w:rPr>
                <w:rFonts w:hint="eastAsia" w:asciiTheme="minorEastAsia" w:hAnsiTheme="minorEastAsia" w:eastAsiaTheme="minorEastAsia"/>
                <w:sz w:val="24"/>
                <w:highlight w:val="none"/>
              </w:rPr>
              <w:t xml:space="preserve"> （项目名称）施工招标第二个信封</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（报价文件）投标文件</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招标项目编号：</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在第一信封（商务文件和技术文件）评审结果公布前不得开启。</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投标人名称：</w:t>
            </w:r>
          </w:p>
          <w:p>
            <w:pPr>
              <w:spacing w:line="276" w:lineRule="auto"/>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4.2.2</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递交投标文件</w:t>
            </w:r>
          </w:p>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地点</w:t>
            </w:r>
          </w:p>
        </w:tc>
        <w:tc>
          <w:tcPr>
            <w:tcW w:w="6482" w:type="dxa"/>
            <w:vAlign w:val="center"/>
          </w:tcPr>
          <w:p>
            <w:pPr>
              <w:spacing w:line="360" w:lineRule="auto"/>
              <w:jc w:val="left"/>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许昌市建安区兴业大厦四楼</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4163室（</w:t>
            </w:r>
            <w:r>
              <w:rPr>
                <w:rFonts w:hint="eastAsia" w:asciiTheme="minorEastAsia" w:hAnsiTheme="minorEastAsia" w:eastAsiaTheme="minorEastAsia"/>
                <w:color w:val="000000" w:themeColor="text1"/>
                <w:sz w:val="24"/>
                <w:highlight w:val="none"/>
                <w14:textFill>
                  <w14:solidFill>
                    <w14:schemeClr w14:val="tx1"/>
                  </w14:solidFill>
                </w14:textFill>
              </w:rPr>
              <w:t>开标</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asciiTheme="minorEastAsia" w:hAnsiTheme="minorEastAsia" w:eastAsiaTheme="minorEastAsia"/>
                <w:color w:val="000000" w:themeColor="text1"/>
                <w:sz w:val="24"/>
                <w:highlight w:val="none"/>
                <w14:textFill>
                  <w14:solidFill>
                    <w14:schemeClr w14:val="tx1"/>
                  </w14:solidFill>
                </w14:textFill>
              </w:rPr>
              <w:t>室</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4.2.3</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是否退还投标文件</w:t>
            </w:r>
          </w:p>
        </w:tc>
        <w:tc>
          <w:tcPr>
            <w:tcW w:w="6482" w:type="dxa"/>
            <w:vAlign w:val="center"/>
          </w:tcPr>
          <w:p>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5.1</w:t>
            </w:r>
          </w:p>
        </w:tc>
        <w:tc>
          <w:tcPr>
            <w:tcW w:w="2317" w:type="dxa"/>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开标时间和地点</w:t>
            </w:r>
          </w:p>
        </w:tc>
        <w:tc>
          <w:tcPr>
            <w:tcW w:w="6482" w:type="dxa"/>
            <w:vAlign w:val="center"/>
          </w:tcPr>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投标文件第一个信封（商务及技术文件）</w:t>
            </w:r>
          </w:p>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开标时间：</w:t>
            </w:r>
            <w:r>
              <w:rPr>
                <w:rFonts w:hint="eastAsia" w:ascii="宋体" w:hAnsi="宋体"/>
                <w:color w:val="000000" w:themeColor="text1"/>
                <w:sz w:val="24"/>
                <w:highlight w:val="none"/>
                <w14:textFill>
                  <w14:solidFill>
                    <w14:schemeClr w14:val="tx1"/>
                  </w14:solidFill>
                </w14:textFill>
              </w:rPr>
              <w:t>2020年</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分</w:t>
            </w:r>
          </w:p>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投标文件第一个信封（商务及技术文件）</w:t>
            </w:r>
          </w:p>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开标地点：</w:t>
            </w:r>
            <w:r>
              <w:rPr>
                <w:rFonts w:hint="eastAsia" w:cs="宋体" w:asciiTheme="minorEastAsia" w:hAnsiTheme="minorEastAsia" w:eastAsiaTheme="minorEastAsia"/>
                <w:color w:val="000000" w:themeColor="text1"/>
                <w:sz w:val="24"/>
                <w:highlight w:val="none"/>
                <w14:textFill>
                  <w14:solidFill>
                    <w14:schemeClr w14:val="tx1"/>
                  </w14:solidFill>
                </w14:textFill>
              </w:rPr>
              <w:t>许昌市建安区新元大道兴业大厦4楼</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4163室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cs="宋体" w:asciiTheme="minorEastAsia" w:hAnsiTheme="minorEastAsia" w:eastAsiaTheme="minorEastAsia"/>
                <w:color w:val="000000" w:themeColor="text1"/>
                <w:sz w:val="24"/>
                <w:highlight w:val="none"/>
                <w14:textFill>
                  <w14:solidFill>
                    <w14:schemeClr w14:val="tx1"/>
                  </w14:solidFill>
                </w14:textFill>
              </w:rPr>
              <w:t>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投标文件第二个信封（</w:t>
            </w:r>
            <w:r>
              <w:rPr>
                <w:rFonts w:hint="eastAsia" w:asciiTheme="minorEastAsia" w:hAnsiTheme="minorEastAsia" w:eastAsiaTheme="minorEastAsia"/>
                <w:color w:val="000000" w:themeColor="text1"/>
                <w:sz w:val="24"/>
                <w:highlight w:val="none"/>
                <w14:textFill>
                  <w14:solidFill>
                    <w14:schemeClr w14:val="tx1"/>
                  </w14:solidFill>
                </w14:textFill>
              </w:rPr>
              <w:t>投标报价和工程量清单</w:t>
            </w:r>
            <w:r>
              <w:rPr>
                <w:rFonts w:hint="eastAsia" w:asciiTheme="minorEastAsia" w:hAnsiTheme="minorEastAsia" w:eastAsiaTheme="minorEastAsia"/>
                <w:color w:val="000000" w:themeColor="text1"/>
                <w:sz w:val="24"/>
                <w:highlight w:val="none"/>
                <w:lang w:bidi="zh-CN"/>
                <w14:textFill>
                  <w14:solidFill>
                    <w14:schemeClr w14:val="tx1"/>
                  </w14:solidFill>
                </w14:textFill>
              </w:rPr>
              <w:t>）</w:t>
            </w:r>
          </w:p>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开标时间：商务及技术文件评审结束后</w:t>
            </w:r>
          </w:p>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投标文件第二个信封（</w:t>
            </w:r>
            <w:r>
              <w:rPr>
                <w:rFonts w:hint="eastAsia" w:asciiTheme="minorEastAsia" w:hAnsiTheme="minorEastAsia" w:eastAsiaTheme="minorEastAsia"/>
                <w:color w:val="000000" w:themeColor="text1"/>
                <w:sz w:val="24"/>
                <w:highlight w:val="none"/>
                <w14:textFill>
                  <w14:solidFill>
                    <w14:schemeClr w14:val="tx1"/>
                  </w14:solidFill>
                </w14:textFill>
              </w:rPr>
              <w:t>投标报价和工程量清单</w:t>
            </w:r>
            <w:r>
              <w:rPr>
                <w:rFonts w:hint="eastAsia" w:asciiTheme="minorEastAsia" w:hAnsiTheme="minorEastAsia" w:eastAsiaTheme="minorEastAsia"/>
                <w:color w:val="000000" w:themeColor="text1"/>
                <w:sz w:val="24"/>
                <w:highlight w:val="none"/>
                <w:lang w:bidi="zh-CN"/>
                <w14:textFill>
                  <w14:solidFill>
                    <w14:schemeClr w14:val="tx1"/>
                  </w14:solidFill>
                </w14:textFill>
              </w:rPr>
              <w:t>）</w:t>
            </w:r>
          </w:p>
          <w:p>
            <w:pPr>
              <w:spacing w:line="360" w:lineRule="auto"/>
              <w:jc w:val="left"/>
              <w:rPr>
                <w:rFonts w:asciiTheme="minorEastAsia" w:hAnsiTheme="minorEastAsia" w:eastAsiaTheme="minorEastAsia"/>
                <w:color w:val="000000" w:themeColor="text1"/>
                <w:sz w:val="24"/>
                <w:highlight w:val="none"/>
                <w:lang w:bidi="zh-CN"/>
                <w14:textFill>
                  <w14:solidFill>
                    <w14:schemeClr w14:val="tx1"/>
                  </w14:solidFill>
                </w14:textFill>
              </w:rPr>
            </w:pPr>
            <w:r>
              <w:rPr>
                <w:rFonts w:hint="eastAsia" w:asciiTheme="minorEastAsia" w:hAnsiTheme="minorEastAsia" w:eastAsiaTheme="minorEastAsia"/>
                <w:color w:val="000000" w:themeColor="text1"/>
                <w:sz w:val="24"/>
                <w:highlight w:val="none"/>
                <w:lang w:bidi="zh-CN"/>
                <w14:textFill>
                  <w14:solidFill>
                    <w14:schemeClr w14:val="tx1"/>
                  </w14:solidFill>
                </w14:textFill>
              </w:rPr>
              <w:t>开标地点：</w:t>
            </w:r>
            <w:r>
              <w:rPr>
                <w:rFonts w:hint="eastAsia" w:cs="宋体" w:asciiTheme="minorEastAsia" w:hAnsiTheme="minorEastAsia" w:eastAsiaTheme="minorEastAsia"/>
                <w:color w:val="000000" w:themeColor="text1"/>
                <w:sz w:val="24"/>
                <w:highlight w:val="none"/>
                <w14:textFill>
                  <w14:solidFill>
                    <w14:schemeClr w14:val="tx1"/>
                  </w14:solidFill>
                </w14:textFill>
              </w:rPr>
              <w:t>许昌市建安区新元大道兴业大厦4楼</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4163室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开标</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cs="宋体" w:asciiTheme="minorEastAsia" w:hAnsiTheme="minorEastAsia" w:eastAsiaTheme="minorEastAsia"/>
                <w:color w:val="000000" w:themeColor="text1"/>
                <w:sz w:val="24"/>
                <w:highlight w:val="none"/>
                <w14:textFill>
                  <w14:solidFill>
                    <w14:schemeClr w14:val="tx1"/>
                  </w14:solidFill>
                </w14:textFill>
              </w:rPr>
              <w:t>室</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w:t>
            </w:r>
          </w:p>
        </w:tc>
        <w:tc>
          <w:tcPr>
            <w:tcW w:w="2317" w:type="dxa"/>
            <w:vAlign w:val="center"/>
          </w:tcPr>
          <w:p>
            <w:pPr>
              <w:spacing w:line="276"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zh-CN"/>
              </w:rPr>
              <w:t>开标程序</w:t>
            </w:r>
          </w:p>
        </w:tc>
        <w:tc>
          <w:tcPr>
            <w:tcW w:w="6482" w:type="dxa"/>
            <w:vAlign w:val="center"/>
          </w:tcPr>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密封情况检查：由投标人代表检查其投标文件是否密封完好。</w:t>
            </w:r>
          </w:p>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6.1.1</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w:t>
            </w:r>
          </w:p>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的组建</w:t>
            </w:r>
          </w:p>
        </w:tc>
        <w:tc>
          <w:tcPr>
            <w:tcW w:w="6482" w:type="dxa"/>
            <w:vAlign w:val="center"/>
          </w:tcPr>
          <w:p>
            <w:pPr>
              <w:spacing w:line="276" w:lineRule="auto"/>
              <w:ind w:right="113"/>
              <w:jc w:val="left"/>
              <w:rPr>
                <w:rFonts w:asciiTheme="minorEastAsia" w:hAnsiTheme="minorEastAsia" w:eastAsiaTheme="minorEastAsia"/>
                <w:sz w:val="24"/>
                <w:highlight w:val="none"/>
                <w:lang w:bidi="zh-CN"/>
              </w:rPr>
            </w:pPr>
            <w:r>
              <w:rPr>
                <w:rFonts w:hint="eastAsia" w:asciiTheme="minorEastAsia" w:hAnsiTheme="minorEastAsia" w:eastAsiaTheme="minorEastAsia"/>
                <w:sz w:val="24"/>
                <w:highlight w:val="none"/>
                <w:lang w:bidi="zh-CN"/>
              </w:rPr>
              <w:t>评标委员会构成：</w:t>
            </w:r>
            <w:r>
              <w:rPr>
                <w:rFonts w:hint="eastAsia" w:asciiTheme="minorEastAsia" w:hAnsiTheme="minorEastAsia" w:eastAsiaTheme="minorEastAsia"/>
                <w:sz w:val="24"/>
                <w:highlight w:val="none"/>
                <w:u w:val="single"/>
              </w:rPr>
              <w:t>5</w:t>
            </w:r>
            <w:r>
              <w:rPr>
                <w:rFonts w:hint="eastAsia" w:asciiTheme="minorEastAsia" w:hAnsiTheme="minorEastAsia" w:eastAsiaTheme="minorEastAsia"/>
                <w:sz w:val="24"/>
                <w:highlight w:val="none"/>
                <w:lang w:bidi="zh-CN"/>
              </w:rPr>
              <w:t>人，其中招标人代表</w:t>
            </w:r>
            <w:r>
              <w:rPr>
                <w:rFonts w:hint="eastAsia" w:asciiTheme="minorEastAsia" w:hAnsiTheme="minorEastAsia" w:eastAsiaTheme="minorEastAsia"/>
                <w:sz w:val="24"/>
                <w:highlight w:val="none"/>
                <w:u w:val="single"/>
              </w:rPr>
              <w:t>1</w:t>
            </w:r>
            <w:r>
              <w:rPr>
                <w:rFonts w:hint="eastAsia" w:asciiTheme="minorEastAsia" w:hAnsiTheme="minorEastAsia" w:eastAsiaTheme="minorEastAsia"/>
                <w:sz w:val="24"/>
                <w:highlight w:val="none"/>
                <w:lang w:bidi="zh-CN"/>
              </w:rPr>
              <w:t>人，专家</w:t>
            </w:r>
            <w:r>
              <w:rPr>
                <w:rFonts w:hint="eastAsia" w:asciiTheme="minorEastAsia" w:hAnsiTheme="minorEastAsia" w:eastAsiaTheme="minorEastAsia"/>
                <w:sz w:val="24"/>
                <w:highlight w:val="none"/>
                <w:u w:val="single"/>
              </w:rPr>
              <w:t>4</w:t>
            </w:r>
            <w:r>
              <w:rPr>
                <w:rFonts w:hint="eastAsia" w:asciiTheme="minorEastAsia" w:hAnsiTheme="minorEastAsia" w:eastAsiaTheme="minorEastAsia"/>
                <w:sz w:val="24"/>
                <w:highlight w:val="none"/>
                <w:lang w:bidi="zh-CN"/>
              </w:rPr>
              <w:t>人；</w:t>
            </w:r>
          </w:p>
          <w:p>
            <w:pPr>
              <w:spacing w:line="276" w:lineRule="auto"/>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6.3.1</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评标办法</w:t>
            </w:r>
          </w:p>
        </w:tc>
        <w:tc>
          <w:tcPr>
            <w:tcW w:w="6482" w:type="dxa"/>
            <w:vAlign w:val="center"/>
          </w:tcPr>
          <w:p>
            <w:pPr>
              <w:ind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 xml:space="preserve">1-3 </w:t>
            </w:r>
            <w:r>
              <w:rPr>
                <w:rFonts w:hint="eastAsia" w:asciiTheme="minorEastAsia" w:hAnsiTheme="minorEastAsia" w:eastAsiaTheme="minorEastAsia"/>
                <w:sz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6.4</w:t>
            </w:r>
          </w:p>
        </w:tc>
        <w:tc>
          <w:tcPr>
            <w:tcW w:w="2317" w:type="dxa"/>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招标控制价</w:t>
            </w:r>
          </w:p>
        </w:tc>
        <w:tc>
          <w:tcPr>
            <w:tcW w:w="6482" w:type="dxa"/>
            <w:vAlign w:val="center"/>
          </w:tcPr>
          <w:p>
            <w:pPr>
              <w:ind w:right="113"/>
              <w:jc w:val="left"/>
              <w:rPr>
                <w:rFonts w:hint="eastAsia" w:asciiTheme="majorEastAsia" w:hAnsiTheme="majorEastAsia" w:eastAsiaTheme="majorEastAsia"/>
                <w:bCs/>
                <w:sz w:val="24"/>
                <w:highlight w:val="none"/>
              </w:rPr>
            </w:pPr>
            <w:r>
              <w:rPr>
                <w:rFonts w:hint="eastAsia" w:asciiTheme="majorEastAsia" w:hAnsiTheme="majorEastAsia" w:eastAsiaTheme="majorEastAsia"/>
                <w:bCs/>
                <w:sz w:val="24"/>
                <w:highlight w:val="none"/>
              </w:rPr>
              <w:t>招标控制价：</w:t>
            </w:r>
          </w:p>
          <w:p>
            <w:pPr>
              <w:ind w:right="113"/>
              <w:jc w:val="left"/>
              <w:rPr>
                <w:rFonts w:asciiTheme="majorEastAsia" w:hAnsiTheme="majorEastAsia" w:eastAsiaTheme="majorEastAsia"/>
                <w:sz w:val="24"/>
                <w:highlight w:val="none"/>
              </w:rPr>
            </w:pPr>
            <w:r>
              <w:rPr>
                <w:rFonts w:hint="eastAsia" w:asciiTheme="majorEastAsia" w:hAnsiTheme="majorEastAsia" w:eastAsiaTheme="majorEastAsia"/>
                <w:bCs/>
                <w:sz w:val="24"/>
                <w:highlight w:val="none"/>
              </w:rPr>
              <w:t>大写：</w:t>
            </w:r>
            <w:r>
              <w:rPr>
                <w:rFonts w:hint="eastAsia" w:asciiTheme="majorEastAsia" w:hAnsiTheme="majorEastAsia" w:eastAsiaTheme="majorEastAsia"/>
                <w:bCs/>
                <w:sz w:val="24"/>
                <w:highlight w:val="none"/>
                <w:lang w:eastAsia="zh-CN"/>
              </w:rPr>
              <w:t>贰佰捌拾贰万捌仟壹佰玖拾壹元整</w:t>
            </w:r>
            <w:r>
              <w:rPr>
                <w:rFonts w:hint="eastAsia" w:asciiTheme="majorEastAsia" w:hAnsiTheme="majorEastAsia" w:eastAsiaTheme="majorEastAsia"/>
                <w:sz w:val="24"/>
                <w:highlight w:val="none"/>
              </w:rPr>
              <w:t>（小写</w:t>
            </w:r>
            <w:r>
              <w:rPr>
                <w:rFonts w:hint="eastAsia" w:asciiTheme="majorEastAsia" w:hAnsiTheme="majorEastAsia" w:eastAsiaTheme="majorEastAsia"/>
                <w:sz w:val="24"/>
                <w:highlight w:val="none"/>
                <w:lang w:val="en-US" w:eastAsia="zh-CN"/>
              </w:rPr>
              <w:t>2828191.00</w:t>
            </w:r>
            <w:r>
              <w:rPr>
                <w:rFonts w:hint="eastAsia" w:asciiTheme="majorEastAsia" w:hAnsiTheme="majorEastAsia" w:eastAsiaTheme="majorEastAsia"/>
                <w:sz w:val="24"/>
                <w:highlight w:val="none"/>
              </w:rPr>
              <w:t>元）</w:t>
            </w:r>
          </w:p>
          <w:p>
            <w:pPr>
              <w:pStyle w:val="2"/>
              <w:spacing w:after="0"/>
              <w:ind w:firstLine="210"/>
              <w:rPr>
                <w:highlight w:val="none"/>
              </w:rPr>
            </w:pPr>
          </w:p>
          <w:p>
            <w:pPr>
              <w:ind w:left="113" w:right="113"/>
              <w:jc w:val="left"/>
              <w:rPr>
                <w:rFonts w:asciiTheme="minorEastAsia" w:hAnsiTheme="minorEastAsia" w:eastAsiaTheme="minorEastAsia"/>
                <w:sz w:val="24"/>
                <w:highlight w:val="none"/>
              </w:rPr>
            </w:pPr>
            <w:r>
              <w:rPr>
                <w:rFonts w:hint="eastAsia" w:cs="仿宋" w:asciiTheme="majorEastAsia" w:hAnsiTheme="majorEastAsia" w:eastAsiaTheme="majorEastAsia"/>
                <w:sz w:val="24"/>
                <w:highlight w:val="none"/>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exac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6.5</w:t>
            </w:r>
          </w:p>
        </w:tc>
        <w:tc>
          <w:tcPr>
            <w:tcW w:w="2317" w:type="dxa"/>
            <w:vAlign w:val="center"/>
          </w:tcPr>
          <w:p>
            <w:pPr>
              <w:ind w:left="237"/>
              <w:jc w:val="center"/>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rPr>
              <w:t>投标文件的拒收</w:t>
            </w:r>
          </w:p>
        </w:tc>
        <w:tc>
          <w:tcPr>
            <w:tcW w:w="6482" w:type="dxa"/>
            <w:vAlign w:val="center"/>
          </w:tcPr>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1、逾期送达的或者未送达指定地点的电子介质存储的投标文件；</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2、电子介质存储的投标文件未按招标文件要求密封的；</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3、未按招标文件要求缴纳投标保证金的；</w:t>
            </w:r>
          </w:p>
          <w:p>
            <w:pPr>
              <w:spacing w:line="340" w:lineRule="exact"/>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是否授权评标委员会确定中标人</w:t>
            </w:r>
          </w:p>
        </w:tc>
        <w:tc>
          <w:tcPr>
            <w:tcW w:w="6482" w:type="dxa"/>
            <w:vAlign w:val="center"/>
          </w:tcPr>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7.4</w:t>
            </w:r>
          </w:p>
        </w:tc>
        <w:tc>
          <w:tcPr>
            <w:tcW w:w="231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履约保证金</w:t>
            </w:r>
          </w:p>
        </w:tc>
        <w:tc>
          <w:tcPr>
            <w:tcW w:w="6482" w:type="dxa"/>
            <w:vAlign w:val="center"/>
          </w:tcPr>
          <w:p>
            <w:pPr>
              <w:spacing w:line="360" w:lineRule="auto"/>
              <w:jc w:val="left"/>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sz w:val="24"/>
                <w:highlight w:val="none"/>
              </w:rPr>
              <w:t>不超过中标合同金额的5%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按照交通运输部〔2015〕24号令，采用技术评分最低标价法。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清单单价报价要求参照合同项目专用合同条款。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投标人在投标截止时间前应随时关注《全国公共资源交易平台（河南省·许昌市）》发出的有关本工程的答疑、修改等相关内容。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类似工程是指指2017年1月1日以来承建过的公路工程。（以交工验收时间为准）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highlight w:val="none"/>
              </w:rPr>
            </w:pPr>
            <w:r>
              <w:rPr>
                <w:rFonts w:hint="eastAsia" w:cs="仿宋" w:asciiTheme="minorEastAsia" w:hAnsiTheme="minorEastAsia" w:eastAsiaTheme="minorEastAsia"/>
                <w:bCs/>
                <w:sz w:val="24"/>
                <w:highlight w:val="none"/>
              </w:rPr>
              <w:t>潜在投标人如对招标文件有异议，请在规定时间内在《全国公共资源交易平台（河南省·许昌市）》上提出，以其他方式递交的异议不予接受。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10.7</w:t>
            </w:r>
          </w:p>
        </w:tc>
        <w:tc>
          <w:tcPr>
            <w:tcW w:w="8837" w:type="dxa"/>
            <w:gridSpan w:val="3"/>
            <w:tcBorders>
              <w:right w:val="single" w:color="auto" w:sz="4" w:space="0"/>
            </w:tcBorders>
            <w:vAlign w:val="center"/>
          </w:tcPr>
          <w:p>
            <w:pPr>
              <w:autoSpaceDE w:val="0"/>
              <w:autoSpaceDN w:val="0"/>
              <w:jc w:val="left"/>
              <w:outlineLvl w:val="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特别提示</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2、潜在投标人如对招标文件有异议，请在规定时间内在《全国公共资源交易平台（河南省·许昌市）》公共资源交易系统中提出，以其他方式递交的异议不予接受。</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3、投标人在投标截止时间前应随时关注《全国公共资源交易平台（河南省·许昌市）》公共资源交易系统发出的有关本项目的答疑、修改等相关内容。</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4、本项目试行全流程电子化交易，如因交易系统异常情况无法完成，将以人工方式进行。</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5、投标文件依据最终的招标文件进行编制。如果招标文件发生变更，投标人应以招标人最终发出的电子招标文件为准，编制投标文件，务请投标人随时关注项目变更信息。</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6、投标人电子投标文件成功提交后，应打印“投标文件提交回执单”，供开标现场备查。</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7、商务标投标文件制作注意事项：</w:t>
            </w:r>
          </w:p>
          <w:p>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7.1 投标人登录《全国公共资源交易平台（河南省·许昌市）》公共资源交易系统下载“许昌投标文件制作系统SEARUN V1.1” 和操作手册（工程项目），按招标文件要求制作商务标投标文件。</w:t>
            </w:r>
          </w:p>
          <w:p>
            <w:pPr>
              <w:jc w:val="left"/>
              <w:rPr>
                <w:rFonts w:cs="仿宋" w:asciiTheme="minorEastAsia" w:hAnsiTheme="minorEastAsia" w:eastAsiaTheme="minorEastAsia"/>
                <w:bCs/>
                <w:sz w:val="24"/>
                <w:highlight w:val="none"/>
              </w:rPr>
            </w:pPr>
            <w:r>
              <w:rPr>
                <w:rFonts w:hint="eastAsia" w:asciiTheme="minorEastAsia" w:hAnsiTheme="minorEastAsia" w:eastAsiaTheme="minorEastAsia"/>
                <w:sz w:val="24"/>
                <w:highlight w:val="none"/>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10.8</w:t>
            </w:r>
          </w:p>
        </w:tc>
        <w:tc>
          <w:tcPr>
            <w:tcW w:w="8837" w:type="dxa"/>
            <w:gridSpan w:val="3"/>
            <w:tcBorders>
              <w:right w:val="single" w:color="auto" w:sz="4" w:space="0"/>
            </w:tcBorders>
            <w:vAlign w:val="center"/>
          </w:tcPr>
          <w:p>
            <w:pPr>
              <w:spacing w:line="360" w:lineRule="auto"/>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注意事项</w:t>
            </w:r>
          </w:p>
          <w:p>
            <w:pPr>
              <w:spacing w:line="360" w:lineRule="auto"/>
              <w:jc w:val="left"/>
              <w:rPr>
                <w:rFonts w:asciiTheme="minorEastAsia" w:hAnsiTheme="minorEastAsia" w:eastAsiaTheme="minorEastAsia"/>
                <w:bCs/>
                <w:sz w:val="24"/>
                <w:highlight w:val="none"/>
                <w:lang w:val="zh-CN"/>
              </w:rPr>
            </w:pPr>
            <w:r>
              <w:rPr>
                <w:rFonts w:hint="eastAsia" w:asciiTheme="minorEastAsia" w:hAnsiTheme="minorEastAsia" w:eastAsiaTheme="minorEastAsia"/>
                <w:bCs/>
                <w:sz w:val="24"/>
                <w:highlight w:val="none"/>
                <w:lang w:val="zh-CN"/>
              </w:rPr>
              <w:t>按照《关于推进全流程电子化交易和在线监管工作有关问题的通知》（许公管办[2019]3号）规定：不同</w:t>
            </w:r>
            <w:r>
              <w:rPr>
                <w:rFonts w:hint="eastAsia" w:asciiTheme="minorEastAsia" w:hAnsiTheme="minorEastAsia" w:eastAsiaTheme="minorEastAsia"/>
                <w:bCs/>
                <w:sz w:val="24"/>
                <w:highlight w:val="none"/>
              </w:rPr>
              <w:t>投标人电子投标文件记录的</w:t>
            </w:r>
            <w:r>
              <w:rPr>
                <w:rFonts w:hint="eastAsia" w:asciiTheme="minorEastAsia" w:hAnsiTheme="minorEastAsia" w:eastAsiaTheme="minorEastAsia"/>
                <w:bCs/>
                <w:sz w:val="24"/>
                <w:highlight w:val="none"/>
                <w:lang w:val="zh-CN"/>
              </w:rPr>
              <w:t>网卡MAC地址、CPU序号、硬盘序列号</w:t>
            </w:r>
            <w:r>
              <w:rPr>
                <w:rFonts w:hint="eastAsia" w:asciiTheme="minorEastAsia" w:hAnsiTheme="minorEastAsia" w:eastAsiaTheme="minorEastAsia"/>
                <w:bCs/>
                <w:sz w:val="24"/>
                <w:highlight w:val="none"/>
              </w:rPr>
              <w:t>等硬件特征码均相同</w:t>
            </w:r>
            <w:r>
              <w:rPr>
                <w:rFonts w:hint="eastAsia" w:asciiTheme="minorEastAsia" w:hAnsiTheme="minorEastAsia" w:eastAsiaTheme="minorEastAsia"/>
                <w:bCs/>
                <w:sz w:val="24"/>
                <w:highlight w:val="none"/>
                <w:lang w:val="zh-CN"/>
              </w:rPr>
              <w:t>时，视为‘不同投标人的投标文件由同一单位或者个人编制’或‘不同投标人委托同一单位或者个人办理响应事宜’，其投标无效。</w:t>
            </w: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bCs/>
                <w:sz w:val="24"/>
                <w:highlight w:val="none"/>
                <w:lang w:val="zh-CN"/>
              </w:rPr>
              <w:t>评审专家应严格按照要求查看“硬件特征码” 相关信息并进行评审，在评审报告中显示“不同投标人电子投标文件制作硬件特征码”是否雷同的分析及判定结果</w:t>
            </w:r>
            <w:r>
              <w:rPr>
                <w:rFonts w:hint="eastAsia" w:asciiTheme="minorEastAsia" w:hAnsiTheme="minorEastAsia" w:eastAsiaTheme="minorEastAsia"/>
                <w:bCs/>
                <w:sz w:val="24"/>
                <w:highlight w:val="none"/>
              </w:rPr>
              <w:t>。</w:t>
            </w:r>
          </w:p>
        </w:tc>
      </w:tr>
    </w:tbl>
    <w:p>
      <w:pPr>
        <w:spacing w:line="312" w:lineRule="auto"/>
        <w:jc w:val="center"/>
        <w:outlineLvl w:val="0"/>
        <w:rPr>
          <w:rFonts w:asciiTheme="minorEastAsia" w:hAnsiTheme="minorEastAsia" w:eastAsiaTheme="minorEastAsia"/>
          <w:bCs/>
          <w:sz w:val="24"/>
          <w:highlight w:val="none"/>
        </w:rPr>
      </w:pPr>
    </w:p>
    <w:p>
      <w:pPr>
        <w:pStyle w:val="2"/>
        <w:ind w:firstLine="210"/>
        <w:rPr>
          <w:highlight w:val="none"/>
        </w:rPr>
      </w:pPr>
      <w:r>
        <w:rPr>
          <w:highlight w:val="none"/>
        </w:rPr>
        <w:br w:type="page"/>
      </w:r>
    </w:p>
    <w:p>
      <w:pPr>
        <w:pStyle w:val="6"/>
        <w:spacing w:before="240" w:after="240" w:line="240" w:lineRule="auto"/>
        <w:jc w:val="center"/>
        <w:rPr>
          <w:rFonts w:ascii="黑体" w:eastAsia="黑体"/>
          <w:sz w:val="30"/>
          <w:szCs w:val="30"/>
          <w:highlight w:val="none"/>
          <w:vertAlign w:val="superscript"/>
        </w:rPr>
      </w:pPr>
      <w:bookmarkStart w:id="2" w:name="_Toc486277862"/>
      <w:bookmarkStart w:id="3" w:name="_Toc31404"/>
      <w:bookmarkStart w:id="4" w:name="_Toc485889001"/>
      <w:r>
        <w:rPr>
          <w:rFonts w:hint="eastAsia" w:ascii="黑体" w:eastAsia="黑体"/>
          <w:sz w:val="30"/>
          <w:szCs w:val="30"/>
          <w:highlight w:val="none"/>
        </w:rPr>
        <w:t>附录1   资格审查条件(资质最低条件)</w:t>
      </w:r>
      <w:bookmarkEnd w:id="2"/>
      <w:bookmarkEnd w:id="3"/>
      <w:bookmarkEnd w:id="4"/>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highlight w:val="none"/>
              </w:rPr>
            </w:pPr>
            <w:r>
              <w:rPr>
                <w:rFonts w:hint="eastAsia" w:ascii="宋体" w:hAnsi="宋体"/>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2" w:hRule="atLeast"/>
          <w:jc w:val="center"/>
        </w:trPr>
        <w:tc>
          <w:tcPr>
            <w:tcW w:w="9072" w:type="dxa"/>
            <w:vAlign w:val="center"/>
          </w:tcPr>
          <w:p>
            <w:pPr>
              <w:spacing w:line="360" w:lineRule="auto"/>
              <w:ind w:firstLine="480" w:firstLineChars="200"/>
              <w:rPr>
                <w:rFonts w:ascii="宋体" w:hAnsi="宋体"/>
                <w:sz w:val="24"/>
                <w:highlight w:val="none"/>
              </w:rPr>
            </w:pPr>
            <w:r>
              <w:rPr>
                <w:rFonts w:hint="eastAsia" w:ascii="宋体" w:hAnsi="宋体"/>
                <w:sz w:val="24"/>
                <w:highlight w:val="none"/>
              </w:rPr>
              <w:t>1. 须具备独立法人资格；</w:t>
            </w:r>
          </w:p>
          <w:p>
            <w:pPr>
              <w:spacing w:line="360" w:lineRule="auto"/>
              <w:ind w:firstLine="480" w:firstLineChars="200"/>
              <w:rPr>
                <w:rFonts w:ascii="宋体" w:hAnsi="宋体"/>
                <w:sz w:val="24"/>
                <w:highlight w:val="none"/>
              </w:rPr>
            </w:pPr>
            <w:r>
              <w:rPr>
                <w:rFonts w:hint="eastAsia" w:ascii="宋体" w:hAnsi="宋体"/>
                <w:sz w:val="24"/>
                <w:highlight w:val="none"/>
              </w:rPr>
              <w:t>2.须具备建设行政主管部门颁发的公路工程施工总承包三级及以上资质，并具备有效的安全生产许可证，在人员、设备、资金等方面具有相应的施工能力；</w:t>
            </w:r>
          </w:p>
          <w:p>
            <w:pPr>
              <w:spacing w:line="360" w:lineRule="auto"/>
              <w:ind w:firstLine="480" w:firstLineChars="200"/>
              <w:rPr>
                <w:rFonts w:ascii="宋体" w:hAnsi="宋体"/>
                <w:sz w:val="24"/>
                <w:highlight w:val="none"/>
              </w:rPr>
            </w:pPr>
            <w:r>
              <w:rPr>
                <w:rFonts w:hint="eastAsia" w:ascii="宋体" w:hAnsi="宋体"/>
                <w:sz w:val="24"/>
                <w:highlight w:val="none"/>
              </w:rPr>
              <w:t>2.拟派建造师须具备贰级及以上公路工程专业注册建造师执业资格，具备有效的安全生产考核合格证书，且未担任其他在施建设项目的项目经理。拟派项目总工须具备中级及以上相关专业技术职称；</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spacing w:before="120" w:after="120"/>
        <w:jc w:val="center"/>
        <w:rPr>
          <w:rFonts w:ascii="黑体" w:eastAsia="黑体"/>
          <w:b/>
          <w:bCs/>
          <w:kern w:val="44"/>
          <w:sz w:val="30"/>
          <w:szCs w:val="30"/>
          <w:highlight w:val="none"/>
        </w:rPr>
      </w:pPr>
    </w:p>
    <w:p>
      <w:pPr>
        <w:spacing w:before="120" w:after="120"/>
        <w:jc w:val="center"/>
        <w:rPr>
          <w:rFonts w:ascii="黑体" w:eastAsia="黑体"/>
          <w:b/>
          <w:bCs/>
          <w:kern w:val="44"/>
          <w:sz w:val="30"/>
          <w:szCs w:val="30"/>
          <w:highlight w:val="none"/>
        </w:rPr>
      </w:pPr>
    </w:p>
    <w:p>
      <w:pPr>
        <w:spacing w:before="120" w:after="120"/>
        <w:jc w:val="center"/>
        <w:rPr>
          <w:rFonts w:ascii="隶书" w:hAnsi="宋体" w:eastAsia="隶书"/>
          <w:sz w:val="24"/>
          <w:highlight w:val="none"/>
          <w:vertAlign w:val="superscript"/>
        </w:rPr>
      </w:pPr>
      <w:r>
        <w:rPr>
          <w:rFonts w:hint="eastAsia" w:ascii="黑体" w:eastAsia="黑体"/>
          <w:b/>
          <w:bCs/>
          <w:kern w:val="44"/>
          <w:sz w:val="30"/>
          <w:szCs w:val="30"/>
          <w:highlight w:val="none"/>
        </w:rPr>
        <w:t>附录2   资格审查条件(财务最低要求)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highlight w:val="none"/>
              </w:rPr>
            </w:pPr>
            <w:r>
              <w:rPr>
                <w:rFonts w:hint="eastAsia" w:ascii="宋体" w:hAnsi="宋体"/>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highlight w:val="none"/>
              </w:rPr>
            </w:pPr>
            <w:r>
              <w:rPr>
                <w:rFonts w:hint="eastAsia" w:ascii="宋体" w:hAnsi="宋体"/>
                <w:sz w:val="24"/>
                <w:highlight w:val="none"/>
              </w:rPr>
              <w:t>投标人应提交近</w:t>
            </w:r>
            <w:r>
              <w:rPr>
                <w:rFonts w:hint="eastAsia" w:ascii="宋体" w:hAnsi="宋体"/>
                <w:sz w:val="24"/>
                <w:highlight w:val="none"/>
                <w:lang w:eastAsia="zh-CN"/>
              </w:rPr>
              <w:t>年</w:t>
            </w:r>
            <w:r>
              <w:rPr>
                <w:rFonts w:hint="eastAsia" w:ascii="宋体" w:hAnsi="宋体"/>
                <w:sz w:val="24"/>
                <w:highlight w:val="none"/>
              </w:rPr>
              <w:t>内</w:t>
            </w:r>
            <w:r>
              <w:rPr>
                <w:rFonts w:hint="eastAsia" w:ascii="宋体" w:hAnsi="宋体"/>
                <w:color w:val="auto"/>
                <w:sz w:val="24"/>
                <w:highlight w:val="none"/>
              </w:rPr>
              <w:t>（</w:t>
            </w:r>
            <w:r>
              <w:rPr>
                <w:rFonts w:hint="eastAsia" w:cs="宋体" w:asciiTheme="minorEastAsia" w:hAnsiTheme="minorEastAsia" w:eastAsiaTheme="minorEastAsia"/>
                <w:sz w:val="24"/>
                <w:highlight w:val="none"/>
                <w:lang w:val="zh-CN"/>
              </w:rPr>
              <w:t>近年，指201</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、201</w:t>
            </w:r>
            <w:r>
              <w:rPr>
                <w:rFonts w:hint="eastAsia" w:cs="宋体" w:asciiTheme="minorEastAsia" w:hAnsiTheme="minorEastAsia" w:eastAsiaTheme="minorEastAsia"/>
                <w:sz w:val="24"/>
                <w:highlight w:val="none"/>
                <w:lang w:val="en-US" w:eastAsia="zh-CN"/>
              </w:rPr>
              <w:t>8或</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lang w:val="zh-CN"/>
              </w:rPr>
              <w:t>、201</w:t>
            </w:r>
            <w:r>
              <w:rPr>
                <w:rFonts w:hint="eastAsia" w:cs="宋体" w:asciiTheme="minorEastAsia" w:hAnsiTheme="minorEastAsia" w:eastAsiaTheme="minorEastAsia"/>
                <w:sz w:val="24"/>
                <w:highlight w:val="none"/>
              </w:rPr>
              <w:t>8、2019</w:t>
            </w:r>
            <w:r>
              <w:rPr>
                <w:rFonts w:hint="eastAsia" w:cs="宋体" w:asciiTheme="minorEastAsia" w:hAnsiTheme="minorEastAsia" w:eastAsiaTheme="minorEastAsia"/>
                <w:sz w:val="24"/>
                <w:highlight w:val="none"/>
                <w:lang w:val="zh-CN"/>
              </w:rPr>
              <w:t>年（若公司成立未满三年，须提供成立当年至今的财务报告）</w:t>
            </w:r>
            <w:r>
              <w:rPr>
                <w:rFonts w:hint="eastAsia" w:ascii="宋体" w:hAnsi="宋体"/>
                <w:color w:val="auto"/>
                <w:sz w:val="24"/>
                <w:highlight w:val="none"/>
              </w:rPr>
              <w:t>）</w:t>
            </w:r>
            <w:r>
              <w:rPr>
                <w:rFonts w:hint="eastAsia" w:ascii="宋体" w:hAnsi="宋体"/>
                <w:sz w:val="24"/>
                <w:highlight w:val="none"/>
              </w:rPr>
              <w:t>经审计的资产负债表、利润表、现金流量表。证明投标人的财务状况良好，财务无亏损，没有被接管、冻结、破产状态；必要时，业主将向投标人的开户银行进行查询。</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rPr>
          <w:rFonts w:ascii="宋体" w:hAnsi="宋体"/>
          <w:sz w:val="24"/>
          <w:highlight w:val="none"/>
        </w:rPr>
      </w:pPr>
    </w:p>
    <w:p>
      <w:pPr>
        <w:spacing w:before="120" w:after="120"/>
        <w:jc w:val="center"/>
        <w:rPr>
          <w:rFonts w:ascii="黑体" w:eastAsia="黑体"/>
          <w:b/>
          <w:bCs/>
          <w:kern w:val="44"/>
          <w:sz w:val="30"/>
          <w:szCs w:val="30"/>
          <w:highlight w:val="none"/>
        </w:rPr>
      </w:pPr>
    </w:p>
    <w:p>
      <w:pPr>
        <w:spacing w:before="120" w:after="120"/>
        <w:jc w:val="center"/>
        <w:rPr>
          <w:rFonts w:ascii="黑体" w:eastAsia="黑体"/>
          <w:b/>
          <w:bCs/>
          <w:kern w:val="44"/>
          <w:sz w:val="30"/>
          <w:szCs w:val="30"/>
          <w:highlight w:val="none"/>
        </w:rPr>
      </w:pPr>
      <w:r>
        <w:rPr>
          <w:rFonts w:hint="eastAsia" w:ascii="黑体" w:eastAsia="黑体"/>
          <w:b/>
          <w:bCs/>
          <w:kern w:val="44"/>
          <w:sz w:val="30"/>
          <w:szCs w:val="30"/>
          <w:highlight w:val="none"/>
        </w:rPr>
        <w:t>附录3   资格审查条件(信誉最低要求)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highlight w:val="none"/>
              </w:rPr>
            </w:pPr>
            <w:r>
              <w:rPr>
                <w:rFonts w:hint="eastAsia" w:ascii="宋体" w:hAnsi="宋体"/>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根据《河南省公路建设市场从业单位及人员信用管理办法》第二十一条“对信用考核定级为D级即黑名单的从业单位，”不得参与本项目投标。</w:t>
            </w:r>
          </w:p>
          <w:p>
            <w:pPr>
              <w:autoSpaceDE w:val="0"/>
              <w:autoSpaceDN w:val="0"/>
              <w:adjustRightInd w:val="0"/>
              <w:spacing w:line="420" w:lineRule="exact"/>
              <w:ind w:firstLine="480" w:firstLineChars="200"/>
              <w:outlineLvl w:val="0"/>
              <w:rPr>
                <w:rFonts w:ascii="宋体" w:hAnsi="宋体"/>
                <w:sz w:val="24"/>
                <w:highlight w:val="none"/>
              </w:rPr>
            </w:pPr>
            <w:r>
              <w:rPr>
                <w:rFonts w:hint="eastAsia" w:ascii="宋体" w:hAnsi="宋体"/>
                <w:sz w:val="24"/>
                <w:highlight w:val="none"/>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rPr>
          <w:rFonts w:ascii="宋体" w:hAnsi="宋体"/>
          <w:sz w:val="24"/>
          <w:highlight w:val="none"/>
        </w:rPr>
      </w:pPr>
    </w:p>
    <w:p>
      <w:pPr>
        <w:spacing w:before="120" w:after="120"/>
        <w:jc w:val="center"/>
        <w:rPr>
          <w:rFonts w:ascii="隶书" w:hAnsi="宋体" w:eastAsia="隶书"/>
          <w:sz w:val="24"/>
          <w:highlight w:val="none"/>
          <w:vertAlign w:val="superscript"/>
        </w:rPr>
      </w:pPr>
      <w:r>
        <w:rPr>
          <w:rFonts w:ascii="黑体" w:eastAsia="黑体"/>
          <w:b/>
          <w:bCs/>
          <w:kern w:val="44"/>
          <w:sz w:val="30"/>
          <w:szCs w:val="30"/>
          <w:highlight w:val="none"/>
        </w:rPr>
        <w:br w:type="page"/>
      </w:r>
      <w:r>
        <w:rPr>
          <w:rFonts w:hint="eastAsia" w:ascii="黑体" w:eastAsia="黑体"/>
          <w:b/>
          <w:bCs/>
          <w:kern w:val="44"/>
          <w:sz w:val="30"/>
          <w:szCs w:val="30"/>
          <w:highlight w:val="none"/>
        </w:rPr>
        <w:t>附录4   资格审查条件(项目经理和项目总工最低要求)</w:t>
      </w:r>
    </w:p>
    <w:tbl>
      <w:tblPr>
        <w:tblStyle w:val="16"/>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highlight w:val="none"/>
              </w:rPr>
            </w:pPr>
            <w:r>
              <w:rPr>
                <w:rFonts w:hint="eastAsia" w:ascii="宋体" w:hAnsi="宋体"/>
                <w:sz w:val="24"/>
                <w:highlight w:val="none"/>
              </w:rPr>
              <w:t>人  员</w:t>
            </w:r>
          </w:p>
        </w:tc>
        <w:tc>
          <w:tcPr>
            <w:tcW w:w="1984" w:type="dxa"/>
            <w:vAlign w:val="center"/>
          </w:tcPr>
          <w:p>
            <w:pPr>
              <w:jc w:val="center"/>
              <w:rPr>
                <w:rFonts w:ascii="宋体" w:hAnsi="宋体"/>
                <w:sz w:val="24"/>
                <w:highlight w:val="none"/>
              </w:rPr>
            </w:pPr>
            <w:r>
              <w:rPr>
                <w:rFonts w:hint="eastAsia" w:ascii="宋体" w:hAnsi="宋体"/>
                <w:sz w:val="24"/>
                <w:highlight w:val="none"/>
              </w:rPr>
              <w:t>数  量</w:t>
            </w:r>
          </w:p>
        </w:tc>
        <w:tc>
          <w:tcPr>
            <w:tcW w:w="5020"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highlight w:val="none"/>
              </w:rPr>
            </w:pPr>
            <w:r>
              <w:rPr>
                <w:rFonts w:hint="eastAsia" w:ascii="宋体" w:hAnsi="宋体"/>
                <w:sz w:val="24"/>
                <w:highlight w:val="none"/>
              </w:rPr>
              <w:t>项目经理</w:t>
            </w:r>
          </w:p>
        </w:tc>
        <w:tc>
          <w:tcPr>
            <w:tcW w:w="1984" w:type="dxa"/>
            <w:vAlign w:val="center"/>
          </w:tcPr>
          <w:p>
            <w:pPr>
              <w:jc w:val="center"/>
              <w:rPr>
                <w:rFonts w:ascii="宋体" w:hAnsi="宋体"/>
                <w:sz w:val="24"/>
                <w:highlight w:val="none"/>
              </w:rPr>
            </w:pPr>
            <w:r>
              <w:rPr>
                <w:rFonts w:hint="eastAsia" w:ascii="宋体" w:hAnsi="宋体"/>
                <w:sz w:val="24"/>
                <w:highlight w:val="none"/>
              </w:rPr>
              <w:t>1</w:t>
            </w:r>
          </w:p>
        </w:tc>
        <w:tc>
          <w:tcPr>
            <w:tcW w:w="5020" w:type="dxa"/>
            <w:vAlign w:val="center"/>
          </w:tcPr>
          <w:p>
            <w:pPr>
              <w:rPr>
                <w:sz w:val="24"/>
                <w:highlight w:val="none"/>
              </w:rPr>
            </w:pPr>
            <w:r>
              <w:rPr>
                <w:rFonts w:hint="eastAsia"/>
                <w:sz w:val="24"/>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highlight w:val="none"/>
              </w:rPr>
            </w:pPr>
            <w:r>
              <w:rPr>
                <w:rFonts w:hint="eastAsia" w:ascii="宋体" w:hAnsi="宋体"/>
                <w:sz w:val="24"/>
                <w:highlight w:val="none"/>
              </w:rPr>
              <w:t>项目总工程师</w:t>
            </w:r>
          </w:p>
        </w:tc>
        <w:tc>
          <w:tcPr>
            <w:tcW w:w="1984" w:type="dxa"/>
            <w:vAlign w:val="center"/>
          </w:tcPr>
          <w:p>
            <w:pPr>
              <w:jc w:val="center"/>
              <w:rPr>
                <w:rFonts w:ascii="宋体" w:hAnsi="宋体"/>
                <w:sz w:val="24"/>
                <w:highlight w:val="none"/>
              </w:rPr>
            </w:pPr>
            <w:r>
              <w:rPr>
                <w:rFonts w:hint="eastAsia" w:ascii="宋体" w:hAnsi="宋体"/>
                <w:sz w:val="24"/>
                <w:highlight w:val="none"/>
              </w:rPr>
              <w:t>1</w:t>
            </w:r>
          </w:p>
        </w:tc>
        <w:tc>
          <w:tcPr>
            <w:tcW w:w="5020" w:type="dxa"/>
          </w:tcPr>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r>
              <w:rPr>
                <w:rFonts w:hint="eastAsia"/>
                <w:sz w:val="24"/>
                <w:szCs w:val="21"/>
                <w:highlight w:val="none"/>
              </w:rPr>
              <w:t>中级及以上相关专业技术职称。</w:t>
            </w:r>
          </w:p>
        </w:tc>
      </w:tr>
    </w:tbl>
    <w:p>
      <w:pPr>
        <w:rPr>
          <w:rFonts w:ascii="宋体" w:hAnsi="宋体"/>
          <w:sz w:val="24"/>
          <w:highlight w:val="none"/>
        </w:rPr>
      </w:pPr>
    </w:p>
    <w:p>
      <w:pPr>
        <w:spacing w:before="120" w:after="120"/>
        <w:jc w:val="center"/>
        <w:rPr>
          <w:rFonts w:ascii="隶书" w:hAnsi="宋体" w:eastAsia="隶书"/>
          <w:sz w:val="24"/>
          <w:highlight w:val="none"/>
          <w:vertAlign w:val="superscript"/>
        </w:rPr>
      </w:pPr>
      <w:r>
        <w:rPr>
          <w:rFonts w:ascii="黑体" w:eastAsia="黑体"/>
          <w:b/>
          <w:bCs/>
          <w:kern w:val="44"/>
          <w:sz w:val="30"/>
          <w:szCs w:val="30"/>
          <w:highlight w:val="none"/>
        </w:rPr>
        <w:br w:type="page"/>
      </w:r>
      <w:r>
        <w:rPr>
          <w:rFonts w:hint="eastAsia" w:ascii="黑体" w:eastAsia="黑体"/>
          <w:b/>
          <w:bCs/>
          <w:kern w:val="44"/>
          <w:sz w:val="30"/>
          <w:szCs w:val="30"/>
          <w:highlight w:val="none"/>
        </w:rPr>
        <w:t>附录5  资格审查条件(其他主要管理人员和技术人员最低要求)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highlight w:val="none"/>
              </w:rPr>
            </w:pPr>
            <w:r>
              <w:rPr>
                <w:rFonts w:hint="eastAsia" w:ascii="宋体" w:hAnsi="宋体"/>
                <w:sz w:val="24"/>
                <w:highlight w:val="none"/>
              </w:rPr>
              <w:t>人  员</w:t>
            </w:r>
          </w:p>
        </w:tc>
        <w:tc>
          <w:tcPr>
            <w:tcW w:w="1997" w:type="dxa"/>
            <w:vAlign w:val="center"/>
          </w:tcPr>
          <w:p>
            <w:pPr>
              <w:jc w:val="center"/>
              <w:rPr>
                <w:rFonts w:ascii="宋体" w:hAnsi="宋体"/>
                <w:sz w:val="24"/>
                <w:highlight w:val="none"/>
              </w:rPr>
            </w:pPr>
            <w:r>
              <w:rPr>
                <w:rFonts w:hint="eastAsia" w:ascii="宋体" w:hAnsi="宋体"/>
                <w:sz w:val="24"/>
                <w:highlight w:val="none"/>
              </w:rPr>
              <w:t>数  量</w:t>
            </w:r>
          </w:p>
        </w:tc>
        <w:tc>
          <w:tcPr>
            <w:tcW w:w="5053"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2250" w:type="dxa"/>
            <w:vAlign w:val="center"/>
          </w:tcPr>
          <w:p>
            <w:pPr>
              <w:jc w:val="center"/>
              <w:rPr>
                <w:sz w:val="24"/>
                <w:highlight w:val="none"/>
              </w:rPr>
            </w:pPr>
            <w:r>
              <w:rPr>
                <w:sz w:val="24"/>
                <w:highlight w:val="none"/>
              </w:rPr>
              <w:t>财务负责人</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会计师，工程经验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sz w:val="24"/>
                <w:highlight w:val="none"/>
              </w:rPr>
            </w:pPr>
            <w:r>
              <w:rPr>
                <w:sz w:val="24"/>
                <w:highlight w:val="none"/>
              </w:rPr>
              <w:t>质检工程师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年以上，从事类似工程</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路基</w:t>
            </w:r>
            <w:r>
              <w:rPr>
                <w:rFonts w:hint="eastAsia"/>
                <w:sz w:val="24"/>
                <w:highlight w:val="none"/>
              </w:rPr>
              <w:t>、路面</w:t>
            </w:r>
            <w:r>
              <w:rPr>
                <w:sz w:val="24"/>
                <w:highlight w:val="none"/>
              </w:rPr>
              <w:t>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测量工程师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250" w:type="dxa"/>
            <w:vAlign w:val="center"/>
          </w:tcPr>
          <w:p>
            <w:pPr>
              <w:jc w:val="center"/>
              <w:rPr>
                <w:sz w:val="24"/>
                <w:highlight w:val="none"/>
              </w:rPr>
            </w:pPr>
            <w:r>
              <w:rPr>
                <w:sz w:val="24"/>
                <w:highlight w:val="none"/>
              </w:rPr>
              <w:t>试验负责人</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r>
              <w:rPr>
                <w:sz w:val="24"/>
                <w:highlight w:val="none"/>
              </w:rPr>
              <w:t>机械工程师</w:t>
            </w:r>
          </w:p>
        </w:tc>
        <w:tc>
          <w:tcPr>
            <w:tcW w:w="1997" w:type="dxa"/>
            <w:vAlign w:val="center"/>
          </w:tcPr>
          <w:p>
            <w:pPr>
              <w:jc w:val="center"/>
              <w:rPr>
                <w:sz w:val="24"/>
                <w:highlight w:val="none"/>
              </w:rPr>
            </w:pPr>
            <w:r>
              <w:rPr>
                <w:sz w:val="24"/>
                <w:highlight w:val="none"/>
              </w:rPr>
              <w:t>1</w:t>
            </w:r>
          </w:p>
        </w:tc>
        <w:tc>
          <w:tcPr>
            <w:tcW w:w="5053" w:type="dxa"/>
            <w:vAlign w:val="center"/>
          </w:tcPr>
          <w:p>
            <w:pPr>
              <w:rPr>
                <w:sz w:val="24"/>
                <w:highlight w:val="none"/>
              </w:rPr>
            </w:pPr>
            <w:r>
              <w:rPr>
                <w:sz w:val="24"/>
                <w:highlight w:val="none"/>
              </w:rPr>
              <w:t>工程师，工程经验</w:t>
            </w:r>
            <w:r>
              <w:rPr>
                <w:rFonts w:hint="eastAsia"/>
                <w:sz w:val="24"/>
                <w:highlight w:val="none"/>
              </w:rPr>
              <w:t>3</w:t>
            </w:r>
            <w:r>
              <w:rPr>
                <w:sz w:val="24"/>
                <w:highlight w:val="none"/>
              </w:rPr>
              <w:t>年以上，从事类似工作</w:t>
            </w:r>
            <w:r>
              <w:rPr>
                <w:rFonts w:hint="eastAsia"/>
                <w:sz w:val="24"/>
                <w:highlight w:val="none"/>
              </w:rPr>
              <w:t>2</w:t>
            </w:r>
            <w:r>
              <w:rPr>
                <w:sz w:val="24"/>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2250" w:type="dxa"/>
            <w:vAlign w:val="center"/>
          </w:tcPr>
          <w:p>
            <w:pPr>
              <w:jc w:val="center"/>
              <w:rPr>
                <w:sz w:val="24"/>
                <w:highlight w:val="none"/>
              </w:rPr>
            </w:pPr>
            <w:r>
              <w:rPr>
                <w:sz w:val="24"/>
                <w:highlight w:val="none"/>
              </w:rPr>
              <w:t>专职安全员</w:t>
            </w:r>
          </w:p>
        </w:tc>
        <w:tc>
          <w:tcPr>
            <w:tcW w:w="1997" w:type="dxa"/>
            <w:vAlign w:val="center"/>
          </w:tcPr>
          <w:p>
            <w:pPr>
              <w:jc w:val="center"/>
              <w:rPr>
                <w:sz w:val="24"/>
                <w:highlight w:val="none"/>
              </w:rPr>
            </w:pPr>
            <w:r>
              <w:rPr>
                <w:rFonts w:hint="eastAsia"/>
                <w:sz w:val="24"/>
                <w:highlight w:val="none"/>
              </w:rPr>
              <w:t>1</w:t>
            </w:r>
          </w:p>
        </w:tc>
        <w:tc>
          <w:tcPr>
            <w:tcW w:w="5053" w:type="dxa"/>
            <w:vAlign w:val="center"/>
          </w:tcPr>
          <w:p>
            <w:pPr>
              <w:rPr>
                <w:sz w:val="24"/>
                <w:highlight w:val="none"/>
              </w:rPr>
            </w:pPr>
            <w:r>
              <w:rPr>
                <w:sz w:val="24"/>
                <w:highlight w:val="none"/>
              </w:rPr>
              <w:t>从事类似工作3年以上</w:t>
            </w:r>
            <w:r>
              <w:rPr>
                <w:sz w:val="24"/>
                <w:highlight w:val="none"/>
                <w:lang w:val="zh-CN"/>
              </w:rPr>
              <w:t>，</w:t>
            </w:r>
            <w:r>
              <w:rPr>
                <w:sz w:val="24"/>
                <w:highlight w:val="none"/>
              </w:rPr>
              <w:t>具</w:t>
            </w:r>
            <w:r>
              <w:rPr>
                <w:rFonts w:hint="eastAsia"/>
                <w:sz w:val="24"/>
                <w:highlight w:val="none"/>
              </w:rPr>
              <w:t>有有效</w:t>
            </w:r>
            <w:r>
              <w:rPr>
                <w:sz w:val="24"/>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 w:val="24"/>
                <w:highlight w:val="none"/>
              </w:rPr>
            </w:pPr>
          </w:p>
        </w:tc>
        <w:tc>
          <w:tcPr>
            <w:tcW w:w="1997" w:type="dxa"/>
            <w:vAlign w:val="center"/>
          </w:tcPr>
          <w:p>
            <w:pPr>
              <w:jc w:val="center"/>
              <w:rPr>
                <w:sz w:val="24"/>
                <w:highlight w:val="none"/>
              </w:rPr>
            </w:pPr>
          </w:p>
        </w:tc>
        <w:tc>
          <w:tcPr>
            <w:tcW w:w="5053" w:type="dxa"/>
            <w:vAlign w:val="center"/>
          </w:tcPr>
          <w:p>
            <w:pP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spacing w:line="400" w:lineRule="exact"/>
              <w:jc w:val="left"/>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bl>
    <w:p>
      <w:pPr>
        <w:rPr>
          <w:rFonts w:ascii="宋体" w:hAnsi="宋体"/>
          <w:sz w:val="24"/>
          <w:highlight w:val="none"/>
        </w:rPr>
      </w:pPr>
      <w:r>
        <w:rPr>
          <w:rFonts w:hint="eastAsia" w:ascii="宋体" w:hAnsi="宋体"/>
          <w:sz w:val="24"/>
          <w:highlight w:val="none"/>
        </w:rPr>
        <w:t>只需做出承诺，不再提供相关证明原件及复印件。</w:t>
      </w:r>
    </w:p>
    <w:p>
      <w:pPr>
        <w:widowControl/>
        <w:spacing w:line="360" w:lineRule="auto"/>
        <w:ind w:right="714"/>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br w:type="page"/>
      </w:r>
    </w:p>
    <w:p>
      <w:pPr>
        <w:pStyle w:val="6"/>
        <w:keepNext w:val="0"/>
        <w:keepLines w:val="0"/>
        <w:adjustRightInd w:val="0"/>
        <w:snapToGrid w:val="0"/>
        <w:spacing w:beforeLines="50" w:after="0" w:line="400" w:lineRule="exact"/>
        <w:rPr>
          <w:rFonts w:ascii="宋体" w:hAnsi="宋体"/>
          <w:sz w:val="24"/>
          <w:szCs w:val="24"/>
          <w:highlight w:val="none"/>
        </w:rPr>
      </w:pPr>
      <w:bookmarkStart w:id="5" w:name="_Toc2209"/>
      <w:bookmarkStart w:id="6" w:name="_Toc486277863"/>
      <w:bookmarkStart w:id="7" w:name="_Toc485889002"/>
      <w:r>
        <w:rPr>
          <w:rFonts w:ascii="宋体" w:hAnsi="宋体"/>
          <w:sz w:val="24"/>
          <w:szCs w:val="24"/>
          <w:highlight w:val="none"/>
        </w:rPr>
        <w:t>1. 总则</w:t>
      </w:r>
      <w:bookmarkEnd w:id="5"/>
      <w:bookmarkEnd w:id="6"/>
      <w:bookmarkEnd w:id="7"/>
    </w:p>
    <w:p>
      <w:pPr>
        <w:pStyle w:val="6"/>
        <w:keepNext w:val="0"/>
        <w:keepLines w:val="0"/>
        <w:adjustRightInd w:val="0"/>
        <w:snapToGrid w:val="0"/>
        <w:spacing w:beforeLines="50" w:after="0" w:line="400" w:lineRule="exact"/>
        <w:rPr>
          <w:rFonts w:ascii="宋体" w:hAnsi="宋体"/>
          <w:sz w:val="24"/>
          <w:szCs w:val="24"/>
          <w:highlight w:val="none"/>
        </w:rPr>
      </w:pPr>
      <w:bookmarkStart w:id="8" w:name="_Toc485889003"/>
      <w:bookmarkStart w:id="9" w:name="_Toc234382590"/>
      <w:bookmarkStart w:id="10" w:name="_Toc486277864"/>
      <w:bookmarkStart w:id="11" w:name="_Toc29730"/>
      <w:r>
        <w:rPr>
          <w:rFonts w:ascii="宋体" w:hAnsi="宋体"/>
          <w:sz w:val="24"/>
          <w:szCs w:val="24"/>
          <w:highlight w:val="none"/>
        </w:rPr>
        <w:t>1.1 项目概况</w:t>
      </w:r>
      <w:bookmarkEnd w:id="8"/>
      <w:bookmarkEnd w:id="9"/>
      <w:bookmarkEnd w:id="10"/>
      <w:bookmarkEnd w:id="11"/>
    </w:p>
    <w:p>
      <w:pPr>
        <w:adjustRightInd w:val="0"/>
        <w:snapToGrid w:val="0"/>
        <w:spacing w:line="400" w:lineRule="exact"/>
        <w:ind w:firstLine="480"/>
        <w:rPr>
          <w:rFonts w:ascii="宋体" w:hAnsi="宋体"/>
          <w:sz w:val="24"/>
          <w:highlight w:val="none"/>
        </w:rPr>
      </w:pPr>
      <w:bookmarkStart w:id="12" w:name="_Toc234382591"/>
      <w:r>
        <w:rPr>
          <w:rFonts w:hint="eastAsia" w:ascii="宋体" w:hAnsi="宋体"/>
          <w:sz w:val="24"/>
          <w:highlight w:val="none"/>
        </w:rPr>
        <w:t>1.1.1根据《中华人民共和国招标投标法》等有关法律、法规和规章的规定，本招标项目已具备招标条件，现对本工程施工进行招标，</w:t>
      </w:r>
      <w:r>
        <w:rPr>
          <w:rFonts w:hint="eastAsia" w:ascii="宋体" w:hAnsi="宋体" w:cs="宋体"/>
          <w:sz w:val="24"/>
          <w:highlight w:val="none"/>
        </w:rPr>
        <w:t>择优选定投标人。</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1.1.2 本招标项目招标人：见投标人须知前附表。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1.1.3 本招标项目代理机构：见投标人须知前附表。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1.1.4 本招标项目名称：见投标人须知前附表。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1.1.5 本招标项目建设地点：见投标人须知前附表。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3" w:name="_Toc14323"/>
      <w:bookmarkStart w:id="14" w:name="_Toc485889004"/>
      <w:bookmarkStart w:id="15" w:name="_Toc486277865"/>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资金来源和落实情况</w:t>
      </w:r>
      <w:bookmarkEnd w:id="12"/>
      <w:bookmarkEnd w:id="13"/>
      <w:bookmarkEnd w:id="14"/>
      <w:bookmarkEnd w:id="15"/>
    </w:p>
    <w:p>
      <w:pPr>
        <w:adjustRightInd w:val="0"/>
        <w:snapToGrid w:val="0"/>
        <w:spacing w:line="400" w:lineRule="exact"/>
        <w:ind w:firstLine="480"/>
        <w:rPr>
          <w:rFonts w:ascii="宋体" w:hAnsi="宋体"/>
          <w:sz w:val="24"/>
          <w:highlight w:val="none"/>
        </w:rPr>
      </w:pPr>
      <w:r>
        <w:rPr>
          <w:rFonts w:hint="eastAsia" w:ascii="宋体" w:hAnsi="宋体"/>
          <w:sz w:val="24"/>
          <w:highlight w:val="none"/>
        </w:rPr>
        <w:t>1.2.1 本招标项目的资金来源：见投标人须知前附表。</w:t>
      </w:r>
    </w:p>
    <w:p>
      <w:pPr>
        <w:adjustRightInd w:val="0"/>
        <w:snapToGrid w:val="0"/>
        <w:spacing w:line="400" w:lineRule="exact"/>
        <w:ind w:firstLine="480"/>
        <w:rPr>
          <w:rFonts w:ascii="宋体" w:hAnsi="宋体"/>
          <w:sz w:val="24"/>
          <w:highlight w:val="none"/>
        </w:rPr>
      </w:pPr>
      <w:r>
        <w:rPr>
          <w:rFonts w:hint="eastAsia" w:ascii="宋体" w:hAnsi="宋体"/>
          <w:sz w:val="24"/>
          <w:highlight w:val="none"/>
        </w:rPr>
        <w:t>1.2.2 本招标项目的出资比例：见投标人须知前附表。</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1.2.3 本招标项目的资金落实情况：见投标人须知前附表。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6" w:name="_Toc17973"/>
      <w:bookmarkStart w:id="17" w:name="_Toc234382592"/>
      <w:bookmarkStart w:id="18" w:name="_Toc486277866"/>
      <w:bookmarkStart w:id="19" w:name="_Toc485889005"/>
      <w:r>
        <w:rPr>
          <w:rFonts w:ascii="宋体" w:hAnsi="宋体"/>
          <w:sz w:val="24"/>
          <w:szCs w:val="24"/>
          <w:highlight w:val="none"/>
        </w:rPr>
        <w:t>1.3 招标范围、计划工期和质量要求</w:t>
      </w:r>
      <w:bookmarkEnd w:id="16"/>
      <w:bookmarkEnd w:id="17"/>
      <w:bookmarkEnd w:id="18"/>
      <w:bookmarkEnd w:id="19"/>
      <w:r>
        <w:rPr>
          <w:rFonts w:hint="eastAsia" w:ascii="宋体" w:hAnsi="宋体"/>
          <w:sz w:val="24"/>
          <w:szCs w:val="24"/>
          <w:highlight w:val="none"/>
        </w:rPr>
        <w:t>、</w:t>
      </w:r>
      <w:r>
        <w:rPr>
          <w:rFonts w:hint="eastAsia" w:ascii="宋体" w:hAnsi="宋体"/>
          <w:sz w:val="24"/>
          <w:highlight w:val="none"/>
        </w:rPr>
        <w:t>安全目标</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1.3.1 本次招标范围：见投标人须知前附表。</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1.3.2 本</w:t>
      </w:r>
      <w:r>
        <w:rPr>
          <w:rFonts w:hint="eastAsia" w:ascii="宋体" w:hAnsi="宋体"/>
          <w:sz w:val="24"/>
          <w:highlight w:val="none"/>
        </w:rPr>
        <w:t>招标项目</w:t>
      </w:r>
      <w:r>
        <w:rPr>
          <w:rFonts w:ascii="宋体" w:hAnsi="宋体"/>
          <w:sz w:val="24"/>
          <w:highlight w:val="none"/>
        </w:rPr>
        <w:t>的计划工期：见投标人须知前附表。</w:t>
      </w:r>
    </w:p>
    <w:p>
      <w:pPr>
        <w:adjustRightInd w:val="0"/>
        <w:snapToGrid w:val="0"/>
        <w:spacing w:line="400" w:lineRule="exact"/>
        <w:ind w:firstLine="480" w:firstLineChars="200"/>
        <w:jc w:val="left"/>
        <w:rPr>
          <w:rFonts w:ascii="宋体" w:hAnsi="宋体"/>
          <w:sz w:val="24"/>
          <w:highlight w:val="none"/>
        </w:rPr>
      </w:pPr>
      <w:r>
        <w:rPr>
          <w:rFonts w:ascii="宋体" w:hAnsi="宋体"/>
          <w:sz w:val="24"/>
          <w:highlight w:val="none"/>
        </w:rPr>
        <w:t>1.3.3 本</w:t>
      </w:r>
      <w:r>
        <w:rPr>
          <w:rFonts w:hint="eastAsia" w:ascii="宋体" w:hAnsi="宋体"/>
          <w:sz w:val="24"/>
          <w:highlight w:val="none"/>
        </w:rPr>
        <w:t>招标项目</w:t>
      </w:r>
      <w:r>
        <w:rPr>
          <w:rFonts w:ascii="宋体" w:hAnsi="宋体"/>
          <w:sz w:val="24"/>
          <w:highlight w:val="none"/>
        </w:rPr>
        <w:t>的质量要求：见投标人须知前附表。</w:t>
      </w:r>
    </w:p>
    <w:p>
      <w:pPr>
        <w:pStyle w:val="2"/>
        <w:spacing w:line="40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1.3.4 </w:t>
      </w:r>
      <w:r>
        <w:rPr>
          <w:rFonts w:ascii="宋体" w:hAnsi="宋体"/>
          <w:sz w:val="24"/>
          <w:highlight w:val="none"/>
        </w:rPr>
        <w:t>本</w:t>
      </w:r>
      <w:r>
        <w:rPr>
          <w:rFonts w:hint="eastAsia" w:ascii="宋体" w:hAnsi="宋体"/>
          <w:sz w:val="24"/>
          <w:highlight w:val="none"/>
        </w:rPr>
        <w:t>招标项目</w:t>
      </w:r>
      <w:r>
        <w:rPr>
          <w:rFonts w:ascii="宋体" w:hAnsi="宋体"/>
          <w:sz w:val="24"/>
          <w:highlight w:val="none"/>
        </w:rPr>
        <w:t>的</w:t>
      </w:r>
      <w:r>
        <w:rPr>
          <w:rFonts w:hint="eastAsia" w:ascii="宋体" w:hAnsi="宋体"/>
          <w:sz w:val="24"/>
          <w:highlight w:val="none"/>
        </w:rPr>
        <w:t>安全目标</w:t>
      </w:r>
      <w:r>
        <w:rPr>
          <w:rFonts w:ascii="宋体" w:hAnsi="宋体"/>
          <w:sz w:val="24"/>
          <w:highlight w:val="none"/>
        </w:rPr>
        <w:t>：见投标人须知前附表。</w:t>
      </w:r>
      <w:r>
        <w:rPr>
          <w:rFonts w:hint="eastAsia" w:asciiTheme="minorEastAsia" w:hAnsiTheme="minorEastAsia" w:eastAsiaTheme="minorEastAsia"/>
          <w:sz w:val="24"/>
          <w:highlight w:val="none"/>
        </w:rPr>
        <w:t xml:space="preserve"> </w:t>
      </w:r>
    </w:p>
    <w:p>
      <w:pPr>
        <w:pStyle w:val="6"/>
        <w:keepNext w:val="0"/>
        <w:keepLines w:val="0"/>
        <w:adjustRightInd w:val="0"/>
        <w:snapToGrid w:val="0"/>
        <w:spacing w:beforeLines="50" w:after="0" w:line="400" w:lineRule="exact"/>
        <w:rPr>
          <w:rFonts w:ascii="宋体" w:hAnsi="宋体"/>
          <w:sz w:val="24"/>
          <w:szCs w:val="24"/>
          <w:highlight w:val="none"/>
        </w:rPr>
      </w:pPr>
      <w:bookmarkStart w:id="20" w:name="_Toc486277867"/>
      <w:bookmarkStart w:id="21" w:name="_Toc485889006"/>
      <w:bookmarkStart w:id="22" w:name="_Toc2109"/>
      <w:bookmarkStart w:id="23" w:name="_Toc234382594"/>
      <w:r>
        <w:rPr>
          <w:rFonts w:ascii="宋体" w:hAnsi="宋体"/>
          <w:sz w:val="24"/>
          <w:szCs w:val="24"/>
          <w:highlight w:val="none"/>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1.4.1 投标人应具备承担本</w:t>
      </w:r>
      <w:r>
        <w:rPr>
          <w:rFonts w:hint="eastAsia" w:ascii="宋体" w:hAnsi="宋体"/>
          <w:sz w:val="24"/>
          <w:highlight w:val="none"/>
        </w:rPr>
        <w:t>项目</w:t>
      </w:r>
      <w:r>
        <w:rPr>
          <w:rFonts w:ascii="宋体" w:hAnsi="宋体"/>
          <w:sz w:val="24"/>
          <w:highlight w:val="none"/>
        </w:rPr>
        <w:t>施工的资质条件、能力和信誉。</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（1）资质条件：见投标人须知前附表；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（2）财务要求：见投标人须知前附表；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（3）业绩要求：见投标人须知前附表；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（4）信誉要求：见投标人须知前附表;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（5）项目经理</w:t>
      </w:r>
      <w:r>
        <w:rPr>
          <w:rFonts w:hint="eastAsia" w:asciiTheme="minorEastAsia" w:hAnsiTheme="minorEastAsia" w:eastAsiaTheme="minorEastAsia"/>
          <w:sz w:val="24"/>
          <w:highlight w:val="none"/>
        </w:rPr>
        <w:t>和项目总工</w:t>
      </w:r>
      <w:r>
        <w:rPr>
          <w:rFonts w:ascii="宋体" w:hAnsi="宋体"/>
          <w:sz w:val="24"/>
          <w:highlight w:val="none"/>
        </w:rPr>
        <w:t>资格：见投标人须知前附表；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其他</w:t>
      </w:r>
      <w:r>
        <w:rPr>
          <w:rFonts w:ascii="宋体" w:hAnsi="宋体"/>
          <w:sz w:val="24"/>
          <w:highlight w:val="none"/>
        </w:rPr>
        <w:t>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本次招标不</w:t>
      </w:r>
      <w:r>
        <w:rPr>
          <w:rFonts w:ascii="宋体" w:hAnsi="宋体"/>
          <w:sz w:val="24"/>
          <w:highlight w:val="none"/>
        </w:rPr>
        <w:t>接受联合体</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1.4.3 投标人不得存在下列情形之一：</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（1）为招标人不具有独立法人资格的附属机构（单位）；</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（2）为本标段前期准备提供设计或咨询服务的，但设计施工总承包的除外；</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（3）为本标段的监理人；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（4）为本标段的代建人；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（5）为本标段提供招标代理服务的；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（6）与本标段的监理人或代建人或招标代理机构同为一个法定代表人的；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（7）与本标段的监理人或代建人或招标代理机构相互控股或参股的；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（8）与本标段的监理人或代建人或招标代理机构相互任职或工作的；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（9）被责令停业的；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（10）被暂停或取消投标资格的；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（11）财产被接管或冻结的；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（12）在最近三年内有骗取中标或严重违约或重大工程质量问题的</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（15）为投资参股本项目的法人单位。</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w:t>
      </w:r>
      <w:r>
        <w:rPr>
          <w:rFonts w:hint="eastAsia" w:asciiTheme="minorEastAsia" w:hAnsiTheme="minorEastAsia" w:eastAsiaTheme="minorEastAsia"/>
          <w:sz w:val="24"/>
          <w:highlight w:val="none"/>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（3）被责令停业，暂扣或吊销执照，或吊销资质证书；</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（6）在“信用中国”和“信用河南”网站中被列入黑名单；</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（7）法律法规或投标人须知前附表规定的其他情形。</w:t>
      </w:r>
    </w:p>
    <w:p>
      <w:pPr>
        <w:pStyle w:val="6"/>
        <w:keepNext w:val="0"/>
        <w:keepLines w:val="0"/>
        <w:adjustRightInd w:val="0"/>
        <w:snapToGrid w:val="0"/>
        <w:spacing w:beforeLines="50" w:after="0" w:line="400" w:lineRule="exact"/>
        <w:rPr>
          <w:rFonts w:ascii="宋体" w:hAnsi="宋体"/>
          <w:sz w:val="24"/>
          <w:szCs w:val="24"/>
          <w:highlight w:val="none"/>
        </w:rPr>
      </w:pPr>
      <w:bookmarkStart w:id="24" w:name="_Toc234382595"/>
      <w:bookmarkStart w:id="25" w:name="_Toc485889007"/>
      <w:bookmarkStart w:id="26" w:name="_Toc486277868"/>
      <w:bookmarkStart w:id="27" w:name="_Toc19946"/>
      <w:r>
        <w:rPr>
          <w:rFonts w:ascii="宋体" w:hAnsi="宋体"/>
          <w:sz w:val="24"/>
          <w:szCs w:val="24"/>
          <w:highlight w:val="none"/>
        </w:rPr>
        <w:t>1.5 费用承担</w:t>
      </w:r>
      <w:bookmarkEnd w:id="24"/>
      <w:bookmarkEnd w:id="25"/>
      <w:bookmarkEnd w:id="26"/>
      <w:bookmarkEnd w:id="2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投标人准备和参加投标活动发生的费用自理。</w:t>
      </w:r>
    </w:p>
    <w:p>
      <w:pPr>
        <w:pStyle w:val="6"/>
        <w:keepNext w:val="0"/>
        <w:keepLines w:val="0"/>
        <w:adjustRightInd w:val="0"/>
        <w:snapToGrid w:val="0"/>
        <w:spacing w:beforeLines="50" w:after="0" w:line="400" w:lineRule="exact"/>
        <w:rPr>
          <w:rFonts w:ascii="宋体" w:hAnsi="宋体"/>
          <w:sz w:val="24"/>
          <w:szCs w:val="24"/>
          <w:highlight w:val="none"/>
        </w:rPr>
      </w:pPr>
      <w:bookmarkStart w:id="28" w:name="_Toc8968"/>
      <w:bookmarkStart w:id="29" w:name="_Toc486277869"/>
      <w:bookmarkStart w:id="30" w:name="_Toc234382596"/>
      <w:bookmarkStart w:id="31" w:name="_Toc485889008"/>
      <w:r>
        <w:rPr>
          <w:rFonts w:ascii="宋体" w:hAnsi="宋体"/>
          <w:sz w:val="24"/>
          <w:szCs w:val="24"/>
          <w:highlight w:val="none"/>
        </w:rPr>
        <w:t>1.6 保密</w:t>
      </w:r>
      <w:bookmarkEnd w:id="28"/>
      <w:bookmarkEnd w:id="29"/>
      <w:bookmarkEnd w:id="30"/>
      <w:bookmarkEnd w:id="3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参与招标投标活动的各方应对招标文件和投标文件中的商业和技术等秘密保密，违者应对由此造成的后果承担法律责任。</w:t>
      </w:r>
    </w:p>
    <w:p>
      <w:pPr>
        <w:pStyle w:val="6"/>
        <w:keepNext w:val="0"/>
        <w:keepLines w:val="0"/>
        <w:adjustRightInd w:val="0"/>
        <w:snapToGrid w:val="0"/>
        <w:spacing w:beforeLines="50" w:after="0" w:line="400" w:lineRule="exact"/>
        <w:rPr>
          <w:rFonts w:ascii="宋体" w:hAnsi="宋体"/>
          <w:sz w:val="24"/>
          <w:szCs w:val="24"/>
          <w:highlight w:val="none"/>
        </w:rPr>
      </w:pPr>
      <w:bookmarkStart w:id="32" w:name="_Toc5358"/>
      <w:bookmarkStart w:id="33" w:name="_Toc485889009"/>
      <w:bookmarkStart w:id="34" w:name="_Toc234382597"/>
      <w:bookmarkStart w:id="35" w:name="_Toc486277870"/>
      <w:r>
        <w:rPr>
          <w:rFonts w:ascii="宋体" w:hAnsi="宋体"/>
          <w:sz w:val="24"/>
          <w:szCs w:val="24"/>
          <w:highlight w:val="none"/>
        </w:rPr>
        <w:t>1.7 语言文字</w:t>
      </w:r>
      <w:bookmarkEnd w:id="32"/>
      <w:bookmarkEnd w:id="33"/>
      <w:bookmarkEnd w:id="34"/>
      <w:bookmarkEnd w:id="3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除专用术语外，与招标投标有关的语言均使用中文。必要时专用术语应附有中文注释。</w:t>
      </w:r>
    </w:p>
    <w:p>
      <w:pPr>
        <w:pStyle w:val="6"/>
        <w:keepNext w:val="0"/>
        <w:keepLines w:val="0"/>
        <w:adjustRightInd w:val="0"/>
        <w:snapToGrid w:val="0"/>
        <w:spacing w:beforeLines="50" w:after="0" w:line="400" w:lineRule="exact"/>
        <w:rPr>
          <w:rFonts w:ascii="宋体" w:hAnsi="宋体"/>
          <w:sz w:val="24"/>
          <w:szCs w:val="24"/>
          <w:highlight w:val="none"/>
        </w:rPr>
      </w:pPr>
      <w:bookmarkStart w:id="36" w:name="_Toc105"/>
      <w:bookmarkStart w:id="37" w:name="_Toc234382598"/>
      <w:bookmarkStart w:id="38" w:name="_Toc486277871"/>
      <w:bookmarkStart w:id="39" w:name="_Toc485889010"/>
      <w:r>
        <w:rPr>
          <w:rFonts w:ascii="宋体" w:hAnsi="宋体"/>
          <w:sz w:val="24"/>
          <w:szCs w:val="24"/>
          <w:highlight w:val="none"/>
        </w:rPr>
        <w:t>1.8 计量单位</w:t>
      </w:r>
      <w:bookmarkEnd w:id="36"/>
      <w:bookmarkEnd w:id="37"/>
      <w:bookmarkEnd w:id="38"/>
      <w:bookmarkEnd w:id="3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所有计量均采用中华人民共和国法定计量单位。</w:t>
      </w:r>
    </w:p>
    <w:p>
      <w:pPr>
        <w:pStyle w:val="6"/>
        <w:keepNext w:val="0"/>
        <w:keepLines w:val="0"/>
        <w:adjustRightInd w:val="0"/>
        <w:snapToGrid w:val="0"/>
        <w:spacing w:beforeLines="50" w:after="0" w:line="400" w:lineRule="exact"/>
        <w:rPr>
          <w:rFonts w:ascii="宋体" w:hAnsi="宋体"/>
          <w:sz w:val="24"/>
          <w:szCs w:val="24"/>
          <w:highlight w:val="none"/>
        </w:rPr>
      </w:pPr>
      <w:bookmarkStart w:id="40" w:name="_Toc234382599"/>
      <w:bookmarkStart w:id="41" w:name="_Toc485889011"/>
      <w:bookmarkStart w:id="42" w:name="_Toc486277872"/>
      <w:bookmarkStart w:id="43" w:name="_Toc31645"/>
      <w:r>
        <w:rPr>
          <w:rFonts w:ascii="宋体" w:hAnsi="宋体"/>
          <w:sz w:val="24"/>
          <w:szCs w:val="24"/>
          <w:highlight w:val="none"/>
        </w:rPr>
        <w:t>1.9 踏勘现场</w:t>
      </w:r>
      <w:bookmarkEnd w:id="40"/>
      <w:bookmarkEnd w:id="41"/>
      <w:bookmarkEnd w:id="42"/>
      <w:bookmarkEnd w:id="4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1.9.2 投标人踏勘现场发生的费用自理。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keepNext w:val="0"/>
        <w:keepLines w:val="0"/>
        <w:adjustRightInd w:val="0"/>
        <w:snapToGrid w:val="0"/>
        <w:spacing w:beforeLines="50" w:after="0" w:line="400" w:lineRule="exact"/>
        <w:rPr>
          <w:rFonts w:ascii="宋体" w:hAnsi="宋体"/>
          <w:sz w:val="24"/>
          <w:szCs w:val="24"/>
          <w:highlight w:val="none"/>
        </w:rPr>
      </w:pPr>
      <w:bookmarkStart w:id="44" w:name="_Toc234382600"/>
      <w:bookmarkStart w:id="45" w:name="_Toc485889012"/>
      <w:bookmarkStart w:id="46" w:name="_Toc486277873"/>
      <w:bookmarkStart w:id="47" w:name="_Toc3462"/>
      <w:r>
        <w:rPr>
          <w:rFonts w:ascii="宋体" w:hAnsi="宋体"/>
          <w:sz w:val="24"/>
          <w:szCs w:val="24"/>
          <w:highlight w:val="none"/>
        </w:rPr>
        <w:t>1.10 投标预备会</w:t>
      </w:r>
      <w:bookmarkEnd w:id="44"/>
      <w:r>
        <w:rPr>
          <w:rFonts w:hint="eastAsia" w:ascii="宋体" w:hAnsi="宋体"/>
          <w:sz w:val="24"/>
          <w:szCs w:val="24"/>
          <w:highlight w:val="none"/>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highlight w:val="none"/>
        </w:rPr>
      </w:pPr>
      <w:bookmarkStart w:id="48" w:name="_Toc485889013"/>
      <w:bookmarkStart w:id="49" w:name="_Toc486277874"/>
      <w:bookmarkStart w:id="50" w:name="_Toc22514"/>
      <w:bookmarkStart w:id="51" w:name="_Toc234382601"/>
      <w:r>
        <w:rPr>
          <w:rFonts w:hint="eastAsia" w:asciiTheme="minorEastAsia" w:hAnsiTheme="minorEastAsia" w:eastAsiaTheme="minorEastAsia"/>
          <w:color w:val="000000"/>
          <w:sz w:val="24"/>
          <w:highlight w:val="none"/>
        </w:rPr>
        <w:t xml:space="preserve">1.10.1 </w:t>
      </w:r>
      <w:r>
        <w:rPr>
          <w:rFonts w:hint="eastAsia" w:asciiTheme="minorEastAsia" w:hAnsiTheme="minorEastAsia" w:eastAsiaTheme="minorEastAsia"/>
          <w:spacing w:val="-11"/>
          <w:sz w:val="24"/>
          <w:highlight w:val="none"/>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1.10.3 招标人在投标人须知前附表规定的时间内，将对投标人所提问题的澄清，</w:t>
      </w:r>
      <w:r>
        <w:rPr>
          <w:rFonts w:hint="eastAsia" w:asciiTheme="minorEastAsia" w:hAnsiTheme="minorEastAsia" w:eastAsiaTheme="minorEastAsia"/>
          <w:spacing w:val="-6"/>
          <w:sz w:val="24"/>
          <w:highlight w:val="none"/>
        </w:rPr>
        <w:t xml:space="preserve">以本章第 </w:t>
      </w:r>
      <w:r>
        <w:rPr>
          <w:rFonts w:hint="eastAsia" w:asciiTheme="minorEastAsia" w:hAnsiTheme="minorEastAsia" w:eastAsiaTheme="minorEastAsia"/>
          <w:sz w:val="24"/>
          <w:highlight w:val="none"/>
        </w:rPr>
        <w:t>2.2 款规定的形式通知所有购买招标文件的投标人。该澄清内容为招标文件的组成部分</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1.11 分包</w:t>
      </w:r>
      <w:bookmarkEnd w:id="48"/>
      <w:bookmarkEnd w:id="49"/>
      <w:bookmarkEnd w:id="50"/>
      <w:bookmarkEnd w:id="51"/>
      <w:r>
        <w:rPr>
          <w:rFonts w:hint="eastAsia" w:ascii="宋体" w:hAnsi="宋体"/>
          <w:sz w:val="24"/>
          <w:szCs w:val="24"/>
          <w:highlight w:val="none"/>
        </w:rPr>
        <w:t>：</w:t>
      </w:r>
      <w:r>
        <w:rPr>
          <w:rFonts w:hint="eastAsia" w:ascii="宋体" w:hAnsi="宋体"/>
          <w:b w:val="0"/>
          <w:bCs w:val="0"/>
          <w:sz w:val="24"/>
          <w:szCs w:val="24"/>
          <w:highlight w:val="none"/>
        </w:rPr>
        <w:t>不允许</w:t>
      </w:r>
    </w:p>
    <w:p>
      <w:pPr>
        <w:pStyle w:val="6"/>
        <w:keepNext w:val="0"/>
        <w:keepLines w:val="0"/>
        <w:adjustRightInd w:val="0"/>
        <w:snapToGrid w:val="0"/>
        <w:spacing w:beforeLines="50" w:after="0" w:line="400" w:lineRule="exact"/>
        <w:rPr>
          <w:rFonts w:ascii="宋体" w:hAnsi="宋体"/>
          <w:sz w:val="24"/>
          <w:szCs w:val="24"/>
          <w:highlight w:val="none"/>
          <w:vertAlign w:val="superscript"/>
        </w:rPr>
      </w:pPr>
      <w:bookmarkStart w:id="52" w:name="_Toc6184"/>
      <w:bookmarkStart w:id="53" w:name="_Toc486277875"/>
      <w:bookmarkStart w:id="54" w:name="_Toc234382602"/>
      <w:bookmarkStart w:id="55" w:name="_Toc485889014"/>
      <w:r>
        <w:rPr>
          <w:rFonts w:ascii="宋体" w:hAnsi="宋体"/>
          <w:sz w:val="24"/>
          <w:szCs w:val="24"/>
          <w:highlight w:val="none"/>
        </w:rPr>
        <w:t>1.12 偏离</w:t>
      </w:r>
      <w:bookmarkEnd w:id="52"/>
      <w:bookmarkEnd w:id="53"/>
      <w:bookmarkEnd w:id="54"/>
      <w:bookmarkEnd w:id="55"/>
      <w:r>
        <w:rPr>
          <w:rFonts w:hint="eastAsia" w:ascii="宋体" w:hAnsi="宋体"/>
          <w:sz w:val="24"/>
          <w:szCs w:val="24"/>
          <w:highlight w:val="none"/>
        </w:rPr>
        <w:t>：</w:t>
      </w:r>
      <w:r>
        <w:rPr>
          <w:rFonts w:hint="eastAsia" w:ascii="宋体" w:hAnsi="宋体"/>
          <w:b w:val="0"/>
          <w:bCs w:val="0"/>
          <w:sz w:val="24"/>
          <w:szCs w:val="24"/>
          <w:highlight w:val="none"/>
        </w:rPr>
        <w:t>不允许</w:t>
      </w:r>
    </w:p>
    <w:p>
      <w:pPr>
        <w:pStyle w:val="6"/>
        <w:keepNext w:val="0"/>
        <w:keepLines w:val="0"/>
        <w:adjustRightInd w:val="0"/>
        <w:snapToGrid w:val="0"/>
        <w:spacing w:beforeLines="50" w:after="0" w:line="400" w:lineRule="exact"/>
        <w:rPr>
          <w:rFonts w:ascii="宋体" w:hAnsi="宋体"/>
          <w:sz w:val="24"/>
          <w:szCs w:val="24"/>
          <w:highlight w:val="none"/>
        </w:rPr>
      </w:pPr>
      <w:bookmarkStart w:id="56" w:name="_Toc234382603"/>
      <w:bookmarkStart w:id="57" w:name="_Toc485889015"/>
      <w:bookmarkStart w:id="58" w:name="_Toc486277876"/>
      <w:bookmarkStart w:id="59" w:name="_Toc22855"/>
      <w:r>
        <w:rPr>
          <w:rFonts w:ascii="宋体" w:hAnsi="宋体"/>
          <w:sz w:val="24"/>
          <w:szCs w:val="24"/>
          <w:highlight w:val="none"/>
        </w:rPr>
        <w:t>2. 招标文件</w:t>
      </w:r>
      <w:bookmarkEnd w:id="56"/>
      <w:bookmarkEnd w:id="57"/>
      <w:bookmarkEnd w:id="58"/>
      <w:bookmarkEnd w:id="59"/>
    </w:p>
    <w:p>
      <w:pPr>
        <w:pStyle w:val="6"/>
        <w:keepNext w:val="0"/>
        <w:keepLines w:val="0"/>
        <w:adjustRightInd w:val="0"/>
        <w:snapToGrid w:val="0"/>
        <w:spacing w:beforeLines="50" w:after="0" w:line="400" w:lineRule="exact"/>
        <w:rPr>
          <w:rFonts w:ascii="宋体" w:hAnsi="宋体"/>
          <w:sz w:val="24"/>
          <w:szCs w:val="24"/>
          <w:highlight w:val="none"/>
        </w:rPr>
      </w:pPr>
      <w:bookmarkStart w:id="60" w:name="_Toc485889016"/>
      <w:bookmarkStart w:id="61" w:name="_Toc12310"/>
      <w:bookmarkStart w:id="62" w:name="_Toc486277877"/>
      <w:bookmarkStart w:id="63" w:name="_Toc234382604"/>
      <w:r>
        <w:rPr>
          <w:rFonts w:ascii="宋体" w:hAnsi="宋体"/>
          <w:sz w:val="24"/>
          <w:szCs w:val="24"/>
          <w:highlight w:val="none"/>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本招标文件包括：</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（1）招标公告；</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（2）投标人须知；</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（3）评标办法；</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（4）合同条款及格式；</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（5）工程量清单</w:t>
      </w:r>
      <w:r>
        <w:rPr>
          <w:rFonts w:hint="eastAsia" w:ascii="宋体" w:hAnsi="宋体"/>
          <w:sz w:val="24"/>
          <w:highlight w:val="none"/>
        </w:rPr>
        <w:t>说明</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（6）图纸</w:t>
      </w:r>
      <w:r>
        <w:rPr>
          <w:rFonts w:hint="eastAsia" w:ascii="宋体" w:hAnsi="宋体"/>
          <w:sz w:val="24"/>
          <w:highlight w:val="none"/>
        </w:rPr>
        <w:t>（</w:t>
      </w:r>
      <w:r>
        <w:rPr>
          <w:rFonts w:hint="eastAsia" w:ascii="宋体" w:hAnsi="宋体"/>
          <w:sz w:val="24"/>
          <w:highlight w:val="none"/>
          <w:lang w:eastAsia="zh-CN"/>
        </w:rPr>
        <w:t>无</w:t>
      </w:r>
      <w:r>
        <w:rPr>
          <w:rFonts w:hint="eastAsia" w:ascii="宋体" w:hAnsi="宋体"/>
          <w:sz w:val="24"/>
          <w:highlight w:val="none"/>
        </w:rPr>
        <w:t>）</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（7）技术</w:t>
      </w:r>
      <w:r>
        <w:rPr>
          <w:rFonts w:hint="eastAsia" w:ascii="宋体" w:hAnsi="宋体"/>
          <w:sz w:val="24"/>
          <w:highlight w:val="none"/>
        </w:rPr>
        <w:t>规范(另册)</w:t>
      </w:r>
      <w:r>
        <w:rPr>
          <w:rFonts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（8）工程量清单计量规则；</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（9）投标文件格式；</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（10）投标人须知前附表规定的其他资料。</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当招标文件、招标文件的澄清或修改等在同一内容的表述上不一致时，以最后发出的书面文件为准。</w:t>
      </w:r>
    </w:p>
    <w:p>
      <w:pPr>
        <w:pStyle w:val="6"/>
        <w:keepNext w:val="0"/>
        <w:keepLines w:val="0"/>
        <w:adjustRightInd w:val="0"/>
        <w:snapToGrid w:val="0"/>
        <w:spacing w:beforeLines="50" w:after="0" w:line="400" w:lineRule="exact"/>
        <w:rPr>
          <w:rFonts w:ascii="宋体" w:hAnsi="宋体"/>
          <w:sz w:val="24"/>
          <w:szCs w:val="24"/>
          <w:highlight w:val="none"/>
        </w:rPr>
      </w:pPr>
      <w:bookmarkStart w:id="64" w:name="_Toc486277878"/>
      <w:bookmarkStart w:id="65" w:name="_Toc234382605"/>
      <w:bookmarkStart w:id="66" w:name="_Toc16084"/>
      <w:bookmarkStart w:id="67" w:name="_Toc485889017"/>
      <w:r>
        <w:rPr>
          <w:rFonts w:ascii="宋体" w:hAnsi="宋体"/>
          <w:sz w:val="24"/>
          <w:szCs w:val="24"/>
          <w:highlight w:val="none"/>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highlight w:val="none"/>
        </w:rPr>
      </w:pPr>
      <w:bookmarkStart w:id="68" w:name="_Toc234382606"/>
      <w:r>
        <w:rPr>
          <w:rFonts w:hint="eastAsia" w:ascii="宋体" w:hAnsi="宋体" w:cs="宋体"/>
          <w:kern w:val="0"/>
          <w:sz w:val="24"/>
          <w:highlight w:val="none"/>
        </w:rPr>
        <w:t>2.2.1投标人应仔细阅读和检查招标文件的全部内容。如发现缺页或附件不全，</w:t>
      </w:r>
      <w:r>
        <w:rPr>
          <w:rFonts w:hint="eastAsia" w:ascii="宋体" w:hAnsi="宋体"/>
          <w:sz w:val="24"/>
          <w:highlight w:val="none"/>
        </w:rPr>
        <w:t>通过公共资源交易系统电子平台发出</w:t>
      </w:r>
      <w:r>
        <w:rPr>
          <w:rFonts w:hint="eastAsia" w:ascii="宋体" w:hAnsi="宋体" w:cs="宋体"/>
          <w:kern w:val="0"/>
          <w:sz w:val="24"/>
          <w:highlight w:val="none"/>
        </w:rPr>
        <w:t>，以便补齐。如有疑问，应在投标人须知前附表规定的时间要求招标人对招标文件予以澄清。</w:t>
      </w:r>
      <w:r>
        <w:rPr>
          <w:rFonts w:hint="eastAsia" w:ascii="宋体" w:hAnsi="宋体" w:cs="宋体"/>
          <w:b/>
          <w:kern w:val="0"/>
          <w:sz w:val="24"/>
          <w:highlight w:val="none"/>
        </w:rPr>
        <w:t>如未提出异议，视为全面接受</w:t>
      </w:r>
      <w:r>
        <w:rPr>
          <w:rFonts w:hint="eastAsia" w:ascii="宋体" w:hAnsi="宋体" w:cs="宋体"/>
          <w:kern w:val="0"/>
          <w:sz w:val="24"/>
          <w:highlight w:val="none"/>
        </w:rPr>
        <w:t>。</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2.2.2 </w:t>
      </w:r>
      <w:r>
        <w:rPr>
          <w:rFonts w:hint="eastAsia" w:ascii="宋体" w:hAnsi="宋体"/>
          <w:sz w:val="24"/>
          <w:highlight w:val="none"/>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 xml:space="preserve">2.2.3 </w:t>
      </w:r>
      <w:r>
        <w:rPr>
          <w:rFonts w:hint="eastAsia" w:ascii="宋体" w:hAnsi="宋体"/>
          <w:sz w:val="24"/>
          <w:highlight w:val="none"/>
        </w:rPr>
        <w:t>所有澄清、答疑全部以公共资源交易系统电子平台发出的为准，不再接受书面形式的递交。</w:t>
      </w:r>
    </w:p>
    <w:p>
      <w:pPr>
        <w:pStyle w:val="6"/>
        <w:keepNext w:val="0"/>
        <w:keepLines w:val="0"/>
        <w:adjustRightInd w:val="0"/>
        <w:snapToGrid w:val="0"/>
        <w:spacing w:beforeLines="50" w:after="0" w:line="400" w:lineRule="exact"/>
        <w:rPr>
          <w:rFonts w:ascii="宋体" w:hAnsi="宋体"/>
          <w:sz w:val="24"/>
          <w:szCs w:val="24"/>
          <w:highlight w:val="none"/>
        </w:rPr>
      </w:pPr>
      <w:bookmarkStart w:id="69" w:name="_Toc486277879"/>
      <w:bookmarkStart w:id="70" w:name="_Toc485889018"/>
      <w:bookmarkStart w:id="71" w:name="_Toc29706"/>
      <w:r>
        <w:rPr>
          <w:rFonts w:ascii="宋体" w:hAnsi="宋体"/>
          <w:sz w:val="24"/>
          <w:szCs w:val="24"/>
          <w:highlight w:val="none"/>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highlight w:val="none"/>
        </w:rPr>
      </w:pPr>
      <w:bookmarkStart w:id="72" w:name="_Toc234382607"/>
      <w:r>
        <w:rPr>
          <w:rFonts w:ascii="宋体" w:hAnsi="宋体"/>
          <w:sz w:val="24"/>
          <w:highlight w:val="none"/>
        </w:rPr>
        <w:t xml:space="preserve">2.3.1 </w:t>
      </w:r>
      <w:r>
        <w:rPr>
          <w:rFonts w:hint="eastAsia" w:ascii="宋体" w:hAnsi="宋体"/>
          <w:sz w:val="24"/>
          <w:highlight w:val="none"/>
        </w:rPr>
        <w:t>在投标截止时间</w:t>
      </w:r>
      <w:r>
        <w:rPr>
          <w:rFonts w:ascii="宋体" w:hAnsi="宋体"/>
          <w:sz w:val="24"/>
          <w:highlight w:val="none"/>
        </w:rPr>
        <w:t>15</w:t>
      </w:r>
      <w:r>
        <w:rPr>
          <w:rFonts w:hint="eastAsia" w:ascii="宋体" w:hAnsi="宋体"/>
          <w:sz w:val="24"/>
          <w:highlight w:val="none"/>
        </w:rPr>
        <w:t>天前，招标人可以通过全国公共资源交易平台（河南省·许昌市）修改招标文件，如果修改招标文件的时间距投标截止时间不足</w:t>
      </w:r>
      <w:r>
        <w:rPr>
          <w:rFonts w:ascii="宋体" w:hAnsi="宋体"/>
          <w:sz w:val="24"/>
          <w:highlight w:val="none"/>
        </w:rPr>
        <w:t xml:space="preserve">15 </w:t>
      </w:r>
      <w:r>
        <w:rPr>
          <w:rFonts w:hint="eastAsia" w:ascii="宋体" w:hAnsi="宋体"/>
          <w:sz w:val="24"/>
          <w:highlight w:val="none"/>
        </w:rPr>
        <w:t>天，相应延长投标截止时间。</w:t>
      </w:r>
      <w:bookmarkStart w:id="73" w:name="_Toc486277880"/>
      <w:bookmarkStart w:id="74" w:name="_Toc485889019"/>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2.3.2 当招标文件（含评标、定标办法）、补充通知、答疑纪要，内容相互矛盾时，以最后发出的通知（或纪要）为准。</w:t>
      </w:r>
      <w:bookmarkEnd w:id="73"/>
      <w:bookmarkEnd w:id="74"/>
    </w:p>
    <w:p>
      <w:pPr>
        <w:pStyle w:val="6"/>
        <w:keepNext w:val="0"/>
        <w:keepLines w:val="0"/>
        <w:adjustRightInd w:val="0"/>
        <w:snapToGrid w:val="0"/>
        <w:spacing w:beforeLines="50" w:after="0" w:line="400" w:lineRule="exact"/>
        <w:rPr>
          <w:rFonts w:ascii="宋体" w:hAnsi="宋体"/>
          <w:sz w:val="24"/>
          <w:szCs w:val="24"/>
          <w:highlight w:val="none"/>
        </w:rPr>
      </w:pPr>
      <w:bookmarkStart w:id="75" w:name="_Toc485889020"/>
      <w:bookmarkStart w:id="76" w:name="_Toc486277881"/>
      <w:bookmarkStart w:id="77" w:name="_Toc8003"/>
      <w:r>
        <w:rPr>
          <w:rFonts w:ascii="宋体" w:hAnsi="宋体"/>
          <w:sz w:val="24"/>
          <w:szCs w:val="24"/>
          <w:highlight w:val="none"/>
        </w:rPr>
        <w:t>3. 投标文件</w:t>
      </w:r>
      <w:bookmarkEnd w:id="72"/>
      <w:bookmarkEnd w:id="75"/>
      <w:bookmarkEnd w:id="76"/>
      <w:bookmarkEnd w:id="77"/>
    </w:p>
    <w:p>
      <w:pPr>
        <w:pStyle w:val="6"/>
        <w:keepNext w:val="0"/>
        <w:keepLines w:val="0"/>
        <w:adjustRightInd w:val="0"/>
        <w:snapToGrid w:val="0"/>
        <w:spacing w:beforeLines="50" w:after="0" w:line="400" w:lineRule="exact"/>
        <w:rPr>
          <w:rFonts w:ascii="宋体" w:hAnsi="宋体"/>
          <w:sz w:val="24"/>
          <w:szCs w:val="24"/>
          <w:highlight w:val="none"/>
        </w:rPr>
      </w:pPr>
      <w:bookmarkStart w:id="78" w:name="_Toc486277882"/>
      <w:bookmarkStart w:id="79" w:name="_Toc12156"/>
      <w:bookmarkStart w:id="80" w:name="_Toc234382608"/>
      <w:bookmarkStart w:id="81" w:name="_Toc485889021"/>
      <w:r>
        <w:rPr>
          <w:rFonts w:ascii="宋体" w:hAnsi="宋体"/>
          <w:sz w:val="24"/>
          <w:szCs w:val="24"/>
          <w:highlight w:val="none"/>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3.1.1 投标文件应包括下列内容：</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第一个信封（商务及技术文件）：</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投标函及投标函附录；</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法定代表人身份证明及授权委托书；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投标保证金；</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施工组织设计；</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项目管理机构；</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资格审查资料；</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rPr>
        <w:t>主要进场管理人员和技术人员最低要求；</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8</w:t>
      </w:r>
      <w:r>
        <w:rPr>
          <w:rFonts w:hint="eastAsia" w:ascii="宋体" w:hAnsi="宋体"/>
          <w:sz w:val="24"/>
          <w:highlight w:val="none"/>
          <w:lang w:eastAsia="zh-CN"/>
        </w:rPr>
        <w:t>）</w:t>
      </w:r>
      <w:r>
        <w:rPr>
          <w:rFonts w:hint="eastAsia" w:ascii="宋体" w:hAnsi="宋体"/>
          <w:sz w:val="24"/>
          <w:highlight w:val="none"/>
        </w:rPr>
        <w:t>农民工工资支付承诺书；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rPr>
        <w:t>扬尘治理专项承诺书；</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10</w:t>
      </w:r>
      <w:r>
        <w:rPr>
          <w:rFonts w:hint="eastAsia" w:ascii="宋体" w:hAnsi="宋体"/>
          <w:sz w:val="24"/>
          <w:highlight w:val="none"/>
          <w:lang w:eastAsia="zh-CN"/>
        </w:rPr>
        <w:t>）</w:t>
      </w:r>
      <w:r>
        <w:rPr>
          <w:rFonts w:hint="eastAsia" w:ascii="宋体" w:hAnsi="宋体"/>
          <w:sz w:val="24"/>
          <w:highlight w:val="none"/>
        </w:rPr>
        <w:t>拟分包项目情况表；</w:t>
      </w:r>
    </w:p>
    <w:p>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11</w:t>
      </w:r>
      <w:r>
        <w:rPr>
          <w:rFonts w:hint="eastAsia" w:ascii="宋体" w:hAnsi="宋体"/>
          <w:sz w:val="24"/>
          <w:highlight w:val="none"/>
          <w:lang w:eastAsia="zh-CN"/>
        </w:rPr>
        <w:t>）</w:t>
      </w:r>
      <w:r>
        <w:rPr>
          <w:rFonts w:hint="eastAsia" w:ascii="宋体" w:hAnsi="宋体"/>
          <w:sz w:val="24"/>
          <w:highlight w:val="none"/>
        </w:rPr>
        <w:t>其他材料。</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第二个信封（投标报价和工程量清单）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（1）投标函；</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（2）已标价工程量清单；</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合同用款估算表。</w:t>
      </w:r>
    </w:p>
    <w:p>
      <w:pPr>
        <w:ind w:left="120" w:leftChars="57" w:firstLine="360" w:firstLineChars="150"/>
        <w:rPr>
          <w:rFonts w:cs="仿宋" w:asciiTheme="minorEastAsia" w:hAnsiTheme="minorEastAsia" w:eastAsiaTheme="minorEastAsia"/>
          <w:highlight w:val="none"/>
        </w:rPr>
      </w:pPr>
      <w:r>
        <w:rPr>
          <w:rFonts w:hint="eastAsia" w:cs="仿宋" w:asciiTheme="minorEastAsia" w:hAnsiTheme="minorEastAsia" w:eastAsiaTheme="minorEastAsia"/>
          <w:sz w:val="24"/>
          <w:highlight w:val="none"/>
        </w:rPr>
        <w:t>3.1.2投标人在评标过程中作出的符合法律法规和招标文件规定的澄清确认，构成投标文件的组成部分。</w:t>
      </w:r>
    </w:p>
    <w:p>
      <w:pPr>
        <w:pStyle w:val="6"/>
        <w:keepNext w:val="0"/>
        <w:keepLines w:val="0"/>
        <w:adjustRightInd w:val="0"/>
        <w:snapToGrid w:val="0"/>
        <w:spacing w:beforeLines="50" w:after="0" w:line="400" w:lineRule="exact"/>
        <w:rPr>
          <w:rFonts w:ascii="宋体" w:hAnsi="宋体"/>
          <w:sz w:val="24"/>
          <w:szCs w:val="24"/>
          <w:highlight w:val="none"/>
        </w:rPr>
      </w:pPr>
      <w:bookmarkStart w:id="82" w:name="_Toc485889022"/>
      <w:bookmarkStart w:id="83" w:name="_Toc486277883"/>
      <w:bookmarkStart w:id="84" w:name="_Toc234382609"/>
      <w:bookmarkStart w:id="85" w:name="_Toc12761"/>
      <w:r>
        <w:rPr>
          <w:rFonts w:ascii="宋体" w:hAnsi="宋体"/>
          <w:sz w:val="24"/>
          <w:szCs w:val="24"/>
          <w:highlight w:val="none"/>
        </w:rPr>
        <w:t>3.2 投标报价</w:t>
      </w:r>
      <w:bookmarkEnd w:id="82"/>
      <w:bookmarkEnd w:id="83"/>
      <w:bookmarkEnd w:id="84"/>
      <w:bookmarkEnd w:id="8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3.2.1</w:t>
      </w:r>
      <w:r>
        <w:rPr>
          <w:rFonts w:hint="eastAsia" w:cs="仿宋" w:asciiTheme="minorEastAsia" w:hAnsiTheme="minorEastAsia" w:eastAsiaTheme="minorEastAsia"/>
          <w:sz w:val="24"/>
          <w:highlight w:val="none"/>
        </w:rPr>
        <w:t>投标报价应包括国家规定的增值税税金，除投标人须知前附表另有规定外，增值税税金按一般计税方法计算。</w:t>
      </w:r>
      <w:r>
        <w:rPr>
          <w:rFonts w:ascii="宋体" w:hAnsi="宋体"/>
          <w:sz w:val="24"/>
          <w:highlight w:val="none"/>
        </w:rPr>
        <w:t>投标人应按第五章“工程量清单”的要求填写相应表格。</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投标人应按投标人须知前附表规定的方式填写工程量清单。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3.2.2 投标人在投标截止时间前修改投标函中的投标总报价，应同时修改“工程量清单”中的相应报价。此修改须符合本章第 4.3 款的有关要求。</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（2）工程量清单中招标人指定的报价不允许调价。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（3）调价函必须附有调价后的工程量清单；调价函必须粘贴或机械装订在投标文件首页，与投标文件一起密封提交。</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6"/>
        <w:keepNext w:val="0"/>
        <w:keepLines w:val="0"/>
        <w:adjustRightInd w:val="0"/>
        <w:snapToGrid w:val="0"/>
        <w:spacing w:beforeLines="50" w:after="0" w:line="400" w:lineRule="exact"/>
        <w:rPr>
          <w:rFonts w:ascii="宋体" w:hAnsi="宋体"/>
          <w:sz w:val="24"/>
          <w:szCs w:val="24"/>
          <w:highlight w:val="none"/>
        </w:rPr>
      </w:pPr>
      <w:bookmarkStart w:id="86" w:name="_Toc234382610"/>
      <w:bookmarkStart w:id="87" w:name="_Toc6040"/>
      <w:bookmarkStart w:id="88" w:name="_Toc485889023"/>
      <w:bookmarkStart w:id="89" w:name="_Toc486277884"/>
      <w:r>
        <w:rPr>
          <w:rFonts w:ascii="宋体" w:hAnsi="宋体"/>
          <w:sz w:val="24"/>
          <w:szCs w:val="24"/>
          <w:highlight w:val="none"/>
        </w:rPr>
        <w:t>3.3 投标有效期</w:t>
      </w:r>
      <w:bookmarkEnd w:id="86"/>
      <w:bookmarkEnd w:id="87"/>
      <w:bookmarkEnd w:id="88"/>
      <w:bookmarkEnd w:id="89"/>
    </w:p>
    <w:p>
      <w:pPr>
        <w:adjustRightInd w:val="0"/>
        <w:snapToGrid w:val="0"/>
        <w:spacing w:line="360" w:lineRule="auto"/>
        <w:ind w:firstLine="464" w:firstLineChars="200"/>
        <w:rPr>
          <w:rFonts w:ascii="宋体" w:hAnsi="宋体"/>
          <w:spacing w:val="-4"/>
          <w:sz w:val="24"/>
          <w:highlight w:val="none"/>
        </w:rPr>
      </w:pPr>
      <w:r>
        <w:rPr>
          <w:rFonts w:ascii="宋体" w:hAnsi="宋体"/>
          <w:spacing w:val="-4"/>
          <w:sz w:val="24"/>
          <w:highlight w:val="none"/>
        </w:rPr>
        <w:t>3.3.1 在投标人须知前附表规定的投标有效期内，投标人</w:t>
      </w:r>
      <w:r>
        <w:rPr>
          <w:rFonts w:hint="eastAsia" w:ascii="宋体" w:hAnsi="宋体"/>
          <w:spacing w:val="-4"/>
          <w:sz w:val="24"/>
          <w:highlight w:val="none"/>
        </w:rPr>
        <w:t>60日内</w:t>
      </w:r>
      <w:r>
        <w:rPr>
          <w:rFonts w:ascii="宋体" w:hAnsi="宋体"/>
          <w:spacing w:val="-4"/>
          <w:sz w:val="24"/>
          <w:highlight w:val="none"/>
        </w:rPr>
        <w:t>不得要求撤销或修改其投标文件。</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540"/>
        </w:tabs>
        <w:spacing w:line="360" w:lineRule="auto"/>
        <w:ind w:left="9"/>
        <w:rPr>
          <w:rFonts w:ascii="新宋体" w:hAnsi="新宋体" w:eastAsia="新宋体" w:cs="新宋体"/>
          <w:b/>
          <w:sz w:val="24"/>
          <w:highlight w:val="none"/>
        </w:rPr>
      </w:pPr>
      <w:bookmarkStart w:id="90" w:name="_Toc10524"/>
      <w:bookmarkStart w:id="91" w:name="_Toc234382613"/>
      <w:bookmarkStart w:id="92" w:name="_Toc486277886"/>
      <w:bookmarkStart w:id="93" w:name="_Toc485889025"/>
      <w:r>
        <w:rPr>
          <w:rFonts w:hint="eastAsia" w:ascii="新宋体" w:hAnsi="新宋体" w:eastAsia="新宋体" w:cs="新宋体"/>
          <w:b/>
          <w:sz w:val="24"/>
          <w:highlight w:val="none"/>
        </w:rPr>
        <w:t>3.4投标保证金及履约保证金</w:t>
      </w:r>
    </w:p>
    <w:p>
      <w:pPr>
        <w:tabs>
          <w:tab w:val="left" w:pos="540"/>
        </w:tabs>
        <w:spacing w:line="360" w:lineRule="auto"/>
        <w:ind w:left="9"/>
        <w:rPr>
          <w:rFonts w:ascii="新宋体" w:hAnsi="新宋体" w:eastAsia="新宋体" w:cs="新宋体"/>
          <w:b/>
          <w:sz w:val="24"/>
          <w:highlight w:val="none"/>
        </w:rPr>
      </w:pPr>
      <w:r>
        <w:rPr>
          <w:rFonts w:hint="eastAsia" w:ascii="新宋体" w:hAnsi="新宋体" w:eastAsia="新宋体" w:cs="新宋体"/>
          <w:b/>
          <w:sz w:val="24"/>
          <w:highlight w:val="none"/>
        </w:rPr>
        <w:t>3.4.1投标保证金</w:t>
      </w:r>
    </w:p>
    <w:p>
      <w:pPr>
        <w:pStyle w:val="2"/>
        <w:spacing w:line="360" w:lineRule="auto"/>
        <w:ind w:firstLine="240"/>
        <w:rPr>
          <w:rFonts w:eastAsia="新宋体"/>
          <w:bCs/>
          <w:highlight w:val="none"/>
        </w:rPr>
      </w:pPr>
      <w:r>
        <w:rPr>
          <w:rFonts w:hint="eastAsia" w:ascii="新宋体" w:hAnsi="新宋体" w:eastAsia="新宋体" w:cs="新宋体"/>
          <w:bCs/>
          <w:sz w:val="24"/>
          <w:highlight w:val="none"/>
        </w:rPr>
        <w:t>3.4.1.1投标人应按投标人须知前附表的规定缴纳投标保证金</w:t>
      </w:r>
    </w:p>
    <w:p>
      <w:pPr>
        <w:tabs>
          <w:tab w:val="left" w:pos="1260"/>
        </w:tabs>
        <w:autoSpaceDE w:val="0"/>
        <w:autoSpaceDN w:val="0"/>
        <w:adjustRightInd w:val="0"/>
        <w:spacing w:line="360" w:lineRule="auto"/>
        <w:ind w:firstLine="240" w:firstLineChars="1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3.4.1.2投标保证金的相关规定</w:t>
      </w:r>
    </w:p>
    <w:p>
      <w:pPr>
        <w:pStyle w:val="2"/>
        <w:spacing w:line="360" w:lineRule="auto"/>
        <w:ind w:firstLine="480" w:firstLineChars="200"/>
        <w:rPr>
          <w:rFonts w:eastAsia="新宋体"/>
          <w:highlight w:val="none"/>
        </w:rPr>
      </w:pPr>
      <w:r>
        <w:rPr>
          <w:rFonts w:hint="eastAsia" w:ascii="新宋体" w:hAnsi="新宋体" w:eastAsia="新宋体" w:cs="新宋体"/>
          <w:sz w:val="24"/>
          <w:szCs w:val="22"/>
          <w:highlight w:val="none"/>
        </w:rPr>
        <w:t>1、投标保证金的退还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（1）中标公告发出后，5个工作日内退还非中标人投标保证金及银行同期活期存款利息。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（3）项目废标或招标人终止招标的，在此后5个工作日内退还投标保证金及银行同期活期存款利息。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（6）退还投标保证金，除另有规定外，一般以转账方式一次性退还至投标保证金的原提交账户。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2、投标人有下列情形之一的，不予退还投标保证金：</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 xml:space="preserve">（4）投标人在招投标活动中弄虚作假、围标串标，骗取中标并经招投标行政监督部门调查核实的； </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（5）拒绝履行合同义务的；</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（6）相关法律、法规规定不予退还的其它情形。</w:t>
      </w:r>
    </w:p>
    <w:p>
      <w:pPr>
        <w:tabs>
          <w:tab w:val="left" w:pos="1260"/>
        </w:tabs>
        <w:autoSpaceDE w:val="0"/>
        <w:autoSpaceDN w:val="0"/>
        <w:adjustRightInd w:val="0"/>
        <w:spacing w:line="360" w:lineRule="auto"/>
        <w:ind w:firstLine="480" w:firstLineChars="200"/>
        <w:jc w:val="left"/>
        <w:rPr>
          <w:rFonts w:ascii="新宋体" w:hAnsi="新宋体" w:eastAsia="新宋体" w:cs="新宋体"/>
          <w:sz w:val="24"/>
          <w:szCs w:val="22"/>
          <w:highlight w:val="none"/>
        </w:rPr>
      </w:pPr>
      <w:r>
        <w:rPr>
          <w:rFonts w:hint="eastAsia" w:ascii="新宋体" w:hAnsi="新宋体" w:eastAsia="新宋体" w:cs="新宋体"/>
          <w:sz w:val="24"/>
          <w:szCs w:val="22"/>
          <w:highlight w:val="none"/>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3.5 资格审查资料</w:t>
      </w:r>
      <w:bookmarkEnd w:id="90"/>
      <w:bookmarkEnd w:id="91"/>
      <w:bookmarkEnd w:id="92"/>
      <w:bookmarkEnd w:id="93"/>
    </w:p>
    <w:p>
      <w:pPr>
        <w:rPr>
          <w:highlight w:val="none"/>
        </w:rPr>
      </w:pPr>
      <w:r>
        <w:rPr>
          <w:rFonts w:ascii="宋体" w:hAnsi="宋体"/>
          <w:sz w:val="24"/>
          <w:highlight w:val="none"/>
        </w:rPr>
        <w:t xml:space="preserve">    除投标人须知前附表另有规定外，投标人应按下列规定提供资格审查资料，以证明其满足本章第1.4款规定的资质、财务、业绩、信誉等要求。</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3.5.1 “投标人基本情况表”</w:t>
      </w:r>
      <w:r>
        <w:rPr>
          <w:rFonts w:hint="eastAsia" w:ascii="宋体" w:hAnsi="宋体"/>
          <w:sz w:val="24"/>
          <w:highlight w:val="none"/>
        </w:rPr>
        <w:t>除投标人须知前附表规定外，投标人</w:t>
      </w:r>
      <w:r>
        <w:rPr>
          <w:rFonts w:ascii="宋体" w:hAnsi="宋体"/>
          <w:sz w:val="24"/>
          <w:highlight w:val="none"/>
        </w:rPr>
        <w:t>应附</w:t>
      </w:r>
      <w:r>
        <w:rPr>
          <w:rFonts w:hint="eastAsia" w:ascii="宋体" w:hAnsi="宋体"/>
          <w:sz w:val="24"/>
          <w:highlight w:val="none"/>
        </w:rPr>
        <w:t>企业法人</w:t>
      </w:r>
      <w:r>
        <w:rPr>
          <w:rFonts w:ascii="宋体" w:hAnsi="宋体"/>
          <w:sz w:val="24"/>
          <w:highlight w:val="none"/>
        </w:rPr>
        <w:t>营业执照副本</w:t>
      </w:r>
      <w:r>
        <w:rPr>
          <w:rFonts w:hint="eastAsia" w:ascii="宋体" w:hAnsi="宋体"/>
          <w:sz w:val="24"/>
          <w:highlight w:val="none"/>
        </w:rPr>
        <w:t>、施工资质证书副本、安全生产许可证副本、基本账户开户许可证的原件扫描件（或图片）件并加盖单位章</w:t>
      </w:r>
      <w:r>
        <w:rPr>
          <w:rFonts w:ascii="宋体" w:hAnsi="宋体"/>
          <w:sz w:val="24"/>
          <w:highlight w:val="none"/>
        </w:rPr>
        <w:t>。</w:t>
      </w:r>
    </w:p>
    <w:p>
      <w:pPr>
        <w:adjustRightInd w:val="0"/>
        <w:snapToGrid w:val="0"/>
        <w:spacing w:line="400" w:lineRule="exact"/>
        <w:ind w:firstLine="480" w:firstLineChars="200"/>
        <w:rPr>
          <w:rFonts w:ascii="宋体" w:hAnsi="宋体"/>
          <w:color w:val="FF0000"/>
          <w:sz w:val="24"/>
          <w:highlight w:val="none"/>
        </w:rPr>
      </w:pPr>
      <w:r>
        <w:rPr>
          <w:rFonts w:ascii="宋体" w:hAnsi="宋体"/>
          <w:sz w:val="24"/>
          <w:highlight w:val="none"/>
        </w:rPr>
        <w:t>3.5.2 “近年财务状况表”</w:t>
      </w:r>
      <w:r>
        <w:rPr>
          <w:rFonts w:hint="eastAsia" w:ascii="宋体" w:hAnsi="宋体"/>
          <w:sz w:val="24"/>
          <w:highlight w:val="none"/>
        </w:rPr>
        <w:t>除投标人须知前附表规定外，投标人</w:t>
      </w:r>
      <w:r>
        <w:rPr>
          <w:rFonts w:ascii="宋体" w:hAnsi="宋体"/>
          <w:sz w:val="24"/>
          <w:highlight w:val="none"/>
        </w:rPr>
        <w:t>应附经会计师事务所或审计机构审计的财务会计报表，包括</w:t>
      </w:r>
      <w:r>
        <w:rPr>
          <w:rFonts w:hint="eastAsia" w:ascii="宋体" w:hAnsi="宋体"/>
          <w:sz w:val="24"/>
          <w:highlight w:val="none"/>
        </w:rPr>
        <w:t>资产负债表、利润表、现金流量表、所有者权益变动表及其附注</w:t>
      </w:r>
      <w:r>
        <w:rPr>
          <w:rFonts w:ascii="宋体" w:hAnsi="宋体"/>
          <w:sz w:val="24"/>
          <w:highlight w:val="none"/>
        </w:rPr>
        <w:t>的</w:t>
      </w:r>
      <w:r>
        <w:rPr>
          <w:rFonts w:hint="eastAsia" w:ascii="宋体" w:hAnsi="宋体"/>
          <w:sz w:val="24"/>
          <w:highlight w:val="none"/>
        </w:rPr>
        <w:t>原件扫描件（或图片）</w:t>
      </w:r>
      <w:r>
        <w:rPr>
          <w:rFonts w:ascii="宋体" w:hAnsi="宋体"/>
          <w:sz w:val="24"/>
          <w:highlight w:val="none"/>
        </w:rPr>
        <w:t>，具体年份要求见投标人须知前附表。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3</w:t>
      </w:r>
      <w:r>
        <w:rPr>
          <w:rFonts w:ascii="宋体" w:hAnsi="宋体"/>
          <w:sz w:val="24"/>
          <w:highlight w:val="none"/>
        </w:rPr>
        <w:t xml:space="preserve"> “正在施工和新承接的项目情况表”</w:t>
      </w:r>
      <w:r>
        <w:rPr>
          <w:rFonts w:hint="eastAsia" w:ascii="宋体" w:hAnsi="宋体"/>
          <w:sz w:val="24"/>
          <w:highlight w:val="none"/>
        </w:rPr>
        <w:t>除投标人须知前附表规定外，投标人</w:t>
      </w:r>
      <w:r>
        <w:rPr>
          <w:rFonts w:ascii="宋体" w:hAnsi="宋体"/>
          <w:sz w:val="24"/>
          <w:highlight w:val="none"/>
        </w:rPr>
        <w:t>应附中标通知书和合同协议书</w:t>
      </w:r>
      <w:r>
        <w:rPr>
          <w:rFonts w:hint="eastAsia" w:ascii="宋体" w:hAnsi="宋体"/>
          <w:sz w:val="24"/>
          <w:highlight w:val="none"/>
        </w:rPr>
        <w:t>的原件扫描件（或图片）</w:t>
      </w:r>
      <w:r>
        <w:rPr>
          <w:rFonts w:ascii="宋体" w:hAnsi="宋体"/>
          <w:sz w:val="24"/>
          <w:highlight w:val="none"/>
        </w:rPr>
        <w:t>。每张表格只填写一个项目，并标明序号。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3.5.4“拟委任的项目经理和项目总工资历表”除投标人须知前附表规定外，投标人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pPr>
        <w:adjustRightInd w:val="0"/>
        <w:snapToGrid w:val="0"/>
        <w:spacing w:line="400" w:lineRule="exact"/>
        <w:ind w:firstLine="480" w:firstLineChars="200"/>
        <w:rPr>
          <w:rFonts w:ascii="宋体" w:hAnsi="宋体"/>
          <w:sz w:val="24"/>
          <w:highlight w:val="none"/>
        </w:rPr>
      </w:pPr>
      <w:r>
        <w:rPr>
          <w:rFonts w:hint="eastAsia" w:cs="仿宋" w:asciiTheme="minorEastAsia" w:hAnsiTheme="minorEastAsia" w:eastAsiaTheme="minorEastAsia"/>
          <w:bCs/>
          <w:sz w:val="24"/>
          <w:highlight w:val="none"/>
        </w:rPr>
        <w:t>如项目经理或项目总工目前仍在其他项目上任职，则投标人应提供由该项目发包人出具的、承诺上述人员能够从该项目撤离的书面证明材料的</w:t>
      </w:r>
      <w:r>
        <w:rPr>
          <w:rFonts w:hint="eastAsia" w:ascii="宋体" w:hAnsi="宋体"/>
          <w:sz w:val="24"/>
          <w:highlight w:val="none"/>
        </w:rPr>
        <w:t>原件扫描件（或图片）</w:t>
      </w:r>
      <w:r>
        <w:rPr>
          <w:rFonts w:hint="eastAsia" w:cs="仿宋" w:asciiTheme="minorEastAsia" w:hAnsiTheme="minorEastAsia" w:eastAsiaTheme="minorEastAsia"/>
          <w:bCs/>
          <w:sz w:val="24"/>
          <w:highlight w:val="none"/>
        </w:rPr>
        <w:t>。</w:t>
      </w:r>
    </w:p>
    <w:p>
      <w:pPr>
        <w:adjustRightInd w:val="0"/>
        <w:snapToGrid w:val="0"/>
        <w:spacing w:line="400" w:lineRule="exact"/>
        <w:ind w:firstLine="480" w:firstLineChars="200"/>
        <w:rPr>
          <w:rFonts w:ascii="宋体" w:hAnsi="宋体"/>
          <w:sz w:val="24"/>
          <w:highlight w:val="none"/>
        </w:rPr>
      </w:pPr>
      <w:r>
        <w:rPr>
          <w:rFonts w:hint="eastAsia" w:cs="仿宋" w:asciiTheme="minorEastAsia" w:hAnsiTheme="minorEastAsia" w:eastAsiaTheme="minorEastAsia"/>
          <w:bCs/>
          <w:sz w:val="24"/>
          <w:highlight w:val="none"/>
        </w:rPr>
        <w:t>3.5.5</w:t>
      </w:r>
      <w:r>
        <w:rPr>
          <w:rFonts w:cs="仿宋" w:asciiTheme="minorEastAsia" w:hAnsiTheme="minorEastAsia" w:eastAsiaTheme="minorEastAsia"/>
          <w:bCs/>
          <w:sz w:val="24"/>
          <w:highlight w:val="none"/>
        </w:rPr>
        <w:t>“投标人的信誉情况表”</w:t>
      </w:r>
      <w:r>
        <w:rPr>
          <w:rFonts w:hint="eastAsia" w:ascii="宋体" w:hAnsi="宋体"/>
          <w:sz w:val="24"/>
          <w:highlight w:val="none"/>
        </w:rPr>
        <w:t>除投标人须知前附表规定外，投标人</w:t>
      </w:r>
      <w:r>
        <w:rPr>
          <w:rFonts w:cs="仿宋" w:asciiTheme="minorEastAsia" w:hAnsiTheme="minorEastAsia" w:eastAsiaTheme="minorEastAsia"/>
          <w:bCs/>
          <w:sz w:val="24"/>
          <w:highlight w:val="none"/>
        </w:rPr>
        <w:t>应附投标人在国家企业信用信息公示系统中未被列入</w:t>
      </w:r>
      <w:r>
        <w:rPr>
          <w:rFonts w:hint="eastAsia" w:cs="仿宋" w:asciiTheme="minorEastAsia" w:hAnsiTheme="minorEastAsia" w:eastAsiaTheme="minorEastAsia"/>
          <w:bCs/>
          <w:sz w:val="24"/>
          <w:highlight w:val="none"/>
        </w:rPr>
        <w:t>经营异常名录或</w:t>
      </w:r>
      <w:r>
        <w:rPr>
          <w:rFonts w:cs="仿宋" w:asciiTheme="minorEastAsia" w:hAnsiTheme="minorEastAsia" w:eastAsiaTheme="minorEastAsia"/>
          <w:bCs/>
          <w:sz w:val="24"/>
          <w:highlight w:val="none"/>
        </w:rPr>
        <w:t>严重失信</w:t>
      </w:r>
      <w:r>
        <w:rPr>
          <w:rFonts w:hint="eastAsia" w:cs="仿宋" w:asciiTheme="minorEastAsia" w:hAnsiTheme="minorEastAsia" w:eastAsiaTheme="minorEastAsia"/>
          <w:bCs/>
          <w:sz w:val="24"/>
          <w:highlight w:val="none"/>
        </w:rPr>
        <w:t>黑</w:t>
      </w:r>
      <w:r>
        <w:rPr>
          <w:rFonts w:cs="仿宋" w:asciiTheme="minorEastAsia" w:hAnsiTheme="minorEastAsia" w:eastAsiaTheme="minorEastAsia"/>
          <w:bCs/>
          <w:sz w:val="24"/>
          <w:highlight w:val="none"/>
        </w:rPr>
        <w:t>名单</w:t>
      </w:r>
      <w:r>
        <w:rPr>
          <w:rFonts w:hint="eastAsia" w:cs="仿宋" w:asciiTheme="minorEastAsia" w:hAnsiTheme="minorEastAsia" w:eastAsiaTheme="minorEastAsia"/>
          <w:bCs/>
          <w:sz w:val="24"/>
          <w:highlight w:val="none"/>
        </w:rPr>
        <w:t>、未在“信用中国”</w:t>
      </w:r>
      <w:r>
        <w:rPr>
          <w:rFonts w:hint="eastAsia" w:asciiTheme="minorEastAsia" w:hAnsiTheme="minorEastAsia" w:eastAsiaTheme="minorEastAsia"/>
          <w:sz w:val="24"/>
          <w:highlight w:val="none"/>
        </w:rPr>
        <w:t>和“信用河南”</w:t>
      </w:r>
      <w:r>
        <w:rPr>
          <w:rFonts w:hint="eastAsia" w:cs="仿宋" w:asciiTheme="minorEastAsia" w:hAnsiTheme="minorEastAsia" w:eastAsiaTheme="minorEastAsia"/>
          <w:bCs/>
          <w:sz w:val="24"/>
          <w:highlight w:val="none"/>
        </w:rPr>
        <w:t>网站信用信息栏列入黑名单的网页截图。</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.6</w:t>
      </w:r>
      <w:r>
        <w:rPr>
          <w:rFonts w:ascii="宋体" w:hAnsi="宋体"/>
          <w:sz w:val="24"/>
          <w:highlight w:val="none"/>
        </w:rPr>
        <w:t xml:space="preserve"> “近年发生的诉讼及仲裁情况”应说明相关情况，并附法院或仲裁机构作出的判决、裁决等有关法律文书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，具体年份要求见投标人须知前附表。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3.5.</w:t>
      </w:r>
      <w:r>
        <w:rPr>
          <w:rFonts w:hint="eastAsia" w:ascii="宋体" w:hAnsi="宋体"/>
          <w:sz w:val="24"/>
          <w:highlight w:val="none"/>
        </w:rPr>
        <w:t>7</w:t>
      </w:r>
      <w:r>
        <w:rPr>
          <w:rFonts w:ascii="宋体" w:hAnsi="宋体"/>
          <w:sz w:val="24"/>
          <w:highlight w:val="none"/>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3.5.8 投标人在投标文件中填报的项目经理和项目总工不允许更换。</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3.5.9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6"/>
        <w:keepNext w:val="0"/>
        <w:keepLines w:val="0"/>
        <w:adjustRightInd w:val="0"/>
        <w:snapToGrid w:val="0"/>
        <w:spacing w:beforeLines="50" w:after="0" w:line="400" w:lineRule="exact"/>
        <w:rPr>
          <w:rFonts w:ascii="宋体" w:hAnsi="宋体"/>
          <w:sz w:val="24"/>
          <w:szCs w:val="24"/>
          <w:highlight w:val="none"/>
        </w:rPr>
      </w:pPr>
      <w:bookmarkStart w:id="94" w:name="_Toc485889026"/>
      <w:bookmarkStart w:id="95" w:name="_Toc15460"/>
      <w:bookmarkStart w:id="96" w:name="_Toc234382614"/>
      <w:bookmarkStart w:id="97" w:name="_Toc486277887"/>
      <w:r>
        <w:rPr>
          <w:rFonts w:hint="eastAsia" w:ascii="宋体" w:hAnsi="宋体"/>
          <w:sz w:val="24"/>
          <w:szCs w:val="24"/>
          <w:highlight w:val="none"/>
        </w:rPr>
        <w:t>具体审查内容详见评标办法。</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keepNext w:val="0"/>
        <w:keepLines w:val="0"/>
        <w:adjustRightInd w:val="0"/>
        <w:snapToGrid w:val="0"/>
        <w:spacing w:beforeLines="50" w:after="0" w:line="400" w:lineRule="exact"/>
        <w:rPr>
          <w:rFonts w:ascii="宋体" w:hAnsi="宋体"/>
          <w:sz w:val="24"/>
          <w:szCs w:val="24"/>
          <w:highlight w:val="none"/>
        </w:rPr>
      </w:pPr>
      <w:bookmarkStart w:id="98" w:name="_Toc30194"/>
      <w:bookmarkStart w:id="99" w:name="_Toc486277888"/>
      <w:bookmarkStart w:id="100" w:name="_Toc234382615"/>
      <w:bookmarkStart w:id="101" w:name="_Toc485889027"/>
      <w:r>
        <w:rPr>
          <w:rFonts w:ascii="宋体" w:hAnsi="宋体"/>
          <w:sz w:val="24"/>
          <w:szCs w:val="24"/>
          <w:highlight w:val="none"/>
        </w:rPr>
        <w:t>3.7 投标文件的编制</w:t>
      </w:r>
      <w:bookmarkEnd w:id="98"/>
      <w:bookmarkEnd w:id="99"/>
      <w:bookmarkEnd w:id="100"/>
      <w:bookmarkEnd w:id="101"/>
    </w:p>
    <w:p>
      <w:pPr>
        <w:adjustRightInd w:val="0"/>
        <w:snapToGrid w:val="0"/>
        <w:spacing w:line="400" w:lineRule="exact"/>
        <w:ind w:firstLine="480" w:firstLineChars="200"/>
        <w:rPr>
          <w:rFonts w:ascii="宋体" w:hAnsi="宋体"/>
          <w:sz w:val="24"/>
          <w:highlight w:val="none"/>
        </w:rPr>
      </w:pPr>
      <w:bookmarkStart w:id="102" w:name="_Toc486277889"/>
      <w:bookmarkStart w:id="103" w:name="_Toc234382616"/>
      <w:bookmarkStart w:id="104" w:name="_Toc3142"/>
      <w:bookmarkStart w:id="105" w:name="_Toc485889028"/>
      <w:r>
        <w:rPr>
          <w:rFonts w:hint="eastAsia" w:ascii="宋体" w:hAnsi="宋体"/>
          <w:sz w:val="24"/>
          <w:highlight w:val="none"/>
        </w:rPr>
        <w:t>3.7.1投标文件应按第九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3.7.2 投标文件应当对招标文件有关工期、投标有效期、质量要求、技术标准和要求、招标范围等实质性内容作出响应。</w:t>
      </w:r>
    </w:p>
    <w:p>
      <w:pPr>
        <w:tabs>
          <w:tab w:val="left" w:pos="480"/>
        </w:tabs>
        <w:spacing w:line="400" w:lineRule="exact"/>
        <w:ind w:left="8" w:leftChars="4" w:firstLine="480" w:firstLineChars="200"/>
        <w:rPr>
          <w:rFonts w:cs="仿宋" w:asciiTheme="minorEastAsia" w:hAnsiTheme="minorEastAsia" w:eastAsiaTheme="minorEastAsia"/>
          <w:bCs/>
          <w:sz w:val="24"/>
          <w:highlight w:val="none"/>
        </w:rPr>
      </w:pPr>
      <w:r>
        <w:rPr>
          <w:rFonts w:hint="eastAsia" w:ascii="仿宋" w:hAnsi="仿宋" w:eastAsia="仿宋" w:cs="仿宋"/>
          <w:bCs/>
          <w:sz w:val="24"/>
          <w:highlight w:val="none"/>
        </w:rPr>
        <w:t xml:space="preserve">3.7.3 </w:t>
      </w:r>
      <w:r>
        <w:rPr>
          <w:rFonts w:hint="eastAsia" w:cs="仿宋" w:asciiTheme="minorEastAsia" w:hAnsiTheme="minorEastAsia" w:eastAsiaTheme="minorEastAsia"/>
          <w:bCs/>
          <w:sz w:val="24"/>
          <w:highlight w:val="none"/>
        </w:rPr>
        <w:t>投标人登录许昌公共资源交易系统下载“许昌投标文件制作系统SEARUN V1.1”，按招标文件要求制作电子投标文件。投标文件制作技术咨询：0374-2961598。</w:t>
      </w:r>
    </w:p>
    <w:p>
      <w:pPr>
        <w:pStyle w:val="6"/>
        <w:adjustRightInd w:val="0"/>
        <w:snapToGrid w:val="0"/>
        <w:spacing w:beforeLines="50" w:line="280" w:lineRule="exact"/>
        <w:ind w:firstLine="480" w:firstLineChars="200"/>
        <w:rPr>
          <w:rFonts w:ascii="宋体" w:hAnsi="宋体"/>
          <w:b w:val="0"/>
          <w:bCs w:val="0"/>
          <w:kern w:val="2"/>
          <w:sz w:val="24"/>
          <w:szCs w:val="24"/>
          <w:highlight w:val="none"/>
        </w:rPr>
      </w:pPr>
      <w:r>
        <w:rPr>
          <w:rFonts w:hint="eastAsia" w:ascii="宋体" w:hAnsi="宋体"/>
          <w:b w:val="0"/>
          <w:bCs w:val="0"/>
          <w:kern w:val="2"/>
          <w:sz w:val="24"/>
          <w:szCs w:val="24"/>
          <w:highlight w:val="none"/>
        </w:rPr>
        <w:t>3.7.4 使用电子介质存储的投标文件第一信封、第二信封各2份（详见投标人须知前附表）。</w:t>
      </w:r>
    </w:p>
    <w:p>
      <w:pPr>
        <w:pStyle w:val="6"/>
        <w:adjustRightInd w:val="0"/>
        <w:snapToGrid w:val="0"/>
        <w:spacing w:beforeLines="50" w:line="280" w:lineRule="exact"/>
        <w:rPr>
          <w:rFonts w:ascii="宋体" w:hAnsi="宋体"/>
          <w:sz w:val="24"/>
          <w:szCs w:val="24"/>
          <w:highlight w:val="none"/>
        </w:rPr>
      </w:pPr>
      <w:r>
        <w:rPr>
          <w:rFonts w:ascii="宋体" w:hAnsi="宋体"/>
          <w:sz w:val="24"/>
          <w:szCs w:val="24"/>
          <w:highlight w:val="none"/>
        </w:rPr>
        <w:t>4. 投标</w:t>
      </w:r>
      <w:bookmarkEnd w:id="102"/>
      <w:bookmarkEnd w:id="103"/>
      <w:bookmarkEnd w:id="104"/>
      <w:bookmarkEnd w:id="105"/>
    </w:p>
    <w:p>
      <w:pPr>
        <w:adjustRightInd w:val="0"/>
        <w:snapToGrid w:val="0"/>
        <w:spacing w:line="400" w:lineRule="exact"/>
        <w:rPr>
          <w:rFonts w:ascii="宋体" w:hAnsi="宋体"/>
          <w:b/>
          <w:bCs/>
          <w:sz w:val="24"/>
          <w:highlight w:val="none"/>
        </w:rPr>
      </w:pPr>
      <w:bookmarkStart w:id="106" w:name="_Toc485889029"/>
      <w:bookmarkStart w:id="107" w:name="_Toc234382617"/>
      <w:bookmarkStart w:id="108" w:name="_Toc26813"/>
      <w:bookmarkStart w:id="109" w:name="_Toc486277890"/>
      <w:r>
        <w:rPr>
          <w:rFonts w:hint="eastAsia" w:ascii="宋体" w:hAnsi="宋体"/>
          <w:b/>
          <w:bCs/>
          <w:sz w:val="24"/>
          <w:highlight w:val="none"/>
        </w:rPr>
        <w:t>4.1 投标文件的密封和标记</w:t>
      </w:r>
      <w:bookmarkEnd w:id="106"/>
      <w:bookmarkEnd w:id="107"/>
      <w:bookmarkEnd w:id="108"/>
      <w:bookmarkEnd w:id="109"/>
      <w:bookmarkStart w:id="110" w:name="_Toc31665"/>
      <w:bookmarkStart w:id="111" w:name="_Toc486277891"/>
      <w:bookmarkStart w:id="112" w:name="_Toc234382618"/>
      <w:bookmarkStart w:id="113" w:name="_Toc485889030"/>
      <w:r>
        <w:rPr>
          <w:rFonts w:hint="eastAsia" w:ascii="宋体" w:hAnsi="宋体"/>
          <w:b/>
          <w:bCs/>
          <w:sz w:val="24"/>
          <w:highlight w:val="none"/>
        </w:rPr>
        <w:t>（具体要求详见投标人须知前附表）</w:t>
      </w:r>
    </w:p>
    <w:p>
      <w:pPr>
        <w:adjustRightInd w:val="0"/>
        <w:snapToGrid w:val="0"/>
        <w:spacing w:line="400" w:lineRule="exact"/>
        <w:rPr>
          <w:rFonts w:ascii="宋体" w:hAnsi="宋体"/>
          <w:b/>
          <w:bCs/>
          <w:sz w:val="24"/>
          <w:highlight w:val="none"/>
        </w:rPr>
      </w:pPr>
      <w:r>
        <w:rPr>
          <w:rFonts w:hint="eastAsia" w:ascii="宋体" w:hAnsi="宋体"/>
          <w:b/>
          <w:bCs/>
          <w:sz w:val="24"/>
          <w:highlight w:val="none"/>
        </w:rPr>
        <w:t>4.2 投标文件的递交</w:t>
      </w:r>
      <w:bookmarkEnd w:id="110"/>
      <w:bookmarkEnd w:id="111"/>
      <w:bookmarkEnd w:id="112"/>
      <w:bookmarkEnd w:id="113"/>
    </w:p>
    <w:p>
      <w:pPr>
        <w:adjustRightInd w:val="0"/>
        <w:snapToGrid w:val="0"/>
        <w:spacing w:line="400" w:lineRule="exact"/>
        <w:ind w:firstLine="480" w:firstLineChars="200"/>
        <w:rPr>
          <w:rFonts w:ascii="宋体" w:hAnsi="宋体"/>
          <w:sz w:val="24"/>
          <w:highlight w:val="none"/>
        </w:rPr>
      </w:pPr>
      <w:bookmarkStart w:id="114" w:name="_Toc30135"/>
      <w:bookmarkStart w:id="115" w:name="_Toc486277892"/>
      <w:bookmarkStart w:id="116" w:name="_Toc234382619"/>
      <w:bookmarkStart w:id="117" w:name="_Toc485889031"/>
      <w:r>
        <w:rPr>
          <w:rFonts w:hint="eastAsia" w:ascii="宋体" w:hAnsi="宋体"/>
          <w:sz w:val="24"/>
          <w:highlight w:val="none"/>
        </w:rPr>
        <w:t>4.2.1、本项目为全流程电子化交易项目，需</w:t>
      </w:r>
      <w:r>
        <w:rPr>
          <w:rFonts w:hint="eastAsia" w:cs="宋体" w:asciiTheme="minorEastAsia" w:hAnsiTheme="minorEastAsia" w:eastAsiaTheme="minorEastAsia"/>
          <w:sz w:val="24"/>
          <w:highlight w:val="none"/>
        </w:rPr>
        <w:t>提交第一信封、第二信封各2份电子介质U盘存储有名称为“备份”的文件</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4.2.2、投标文件提交截止时间及开标时间：见投标人须知前附表。</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4.2.3、电子投标文件的提交：电子投标文件应在投标文件提交截止时间（开标时间）之前成功提交至《全国公共资源交易平台(河南省▪许昌市)》公共资源交易系统，同时</w:t>
      </w:r>
      <w:r>
        <w:rPr>
          <w:rFonts w:hint="eastAsia" w:cs="宋体" w:asciiTheme="minorEastAsia" w:hAnsiTheme="minorEastAsia" w:eastAsiaTheme="minorEastAsia"/>
          <w:sz w:val="24"/>
          <w:highlight w:val="none"/>
        </w:rPr>
        <w:t>提交第一信封、第二信封各2份电子介质U盘存储有名称为“备份”的文件</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4.2.4、逾期送达的或者未送达指定地点的电子介质存储的投标文件，招标人不予受理。</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4.3 投标文件的修改与撤回</w:t>
      </w:r>
      <w:bookmarkEnd w:id="114"/>
      <w:bookmarkEnd w:id="115"/>
      <w:bookmarkEnd w:id="116"/>
      <w:bookmarkEnd w:id="117"/>
    </w:p>
    <w:p>
      <w:pPr>
        <w:adjustRightInd w:val="0"/>
        <w:snapToGrid w:val="0"/>
        <w:spacing w:line="400" w:lineRule="exact"/>
        <w:ind w:firstLine="480" w:firstLineChars="200"/>
        <w:rPr>
          <w:rFonts w:ascii="宋体" w:hAnsi="宋体"/>
          <w:sz w:val="24"/>
          <w:highlight w:val="none"/>
        </w:rPr>
      </w:pPr>
      <w:bookmarkStart w:id="118" w:name="_Toc485889032"/>
      <w:bookmarkStart w:id="119" w:name="_Toc486277893"/>
      <w:bookmarkStart w:id="120" w:name="_Toc11058"/>
      <w:bookmarkStart w:id="121" w:name="_Toc234382620"/>
      <w:r>
        <w:rPr>
          <w:rFonts w:hint="eastAsia" w:ascii="宋体" w:hAnsi="宋体"/>
          <w:sz w:val="24"/>
          <w:highlight w:val="none"/>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5. 开标</w:t>
      </w:r>
      <w:bookmarkEnd w:id="118"/>
      <w:bookmarkEnd w:id="119"/>
      <w:bookmarkEnd w:id="120"/>
      <w:bookmarkEnd w:id="121"/>
    </w:p>
    <w:p>
      <w:pPr>
        <w:pStyle w:val="6"/>
        <w:keepNext w:val="0"/>
        <w:keepLines w:val="0"/>
        <w:adjustRightInd w:val="0"/>
        <w:snapToGrid w:val="0"/>
        <w:spacing w:beforeLines="50" w:after="0" w:line="400" w:lineRule="exact"/>
        <w:rPr>
          <w:rFonts w:ascii="宋体" w:hAnsi="宋体"/>
          <w:sz w:val="24"/>
          <w:szCs w:val="24"/>
          <w:highlight w:val="none"/>
        </w:rPr>
      </w:pPr>
      <w:bookmarkStart w:id="122" w:name="_Toc234382622"/>
      <w:bookmarkStart w:id="123" w:name="_Toc11150"/>
      <w:bookmarkStart w:id="124" w:name="_Toc486277894"/>
      <w:bookmarkStart w:id="125" w:name="_Toc485889033"/>
      <w:r>
        <w:rPr>
          <w:rFonts w:ascii="宋体" w:hAnsi="宋体"/>
          <w:sz w:val="24"/>
          <w:szCs w:val="24"/>
          <w:highlight w:val="none"/>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招标人在投标人须知前附表第 2.2.2 项规定的投标截止时间（开标时间）和投标人须知</w:t>
      </w:r>
      <w:r>
        <w:rPr>
          <w:rFonts w:hint="eastAsia" w:asciiTheme="minorEastAsia" w:hAnsiTheme="minorEastAsia" w:eastAsiaTheme="minorEastAsia" w:cstheme="minorEastAsia"/>
          <w:sz w:val="24"/>
          <w:highlight w:val="none"/>
        </w:rPr>
        <w:t>前附表</w:t>
      </w:r>
      <w:r>
        <w:rPr>
          <w:rFonts w:ascii="宋体" w:hAnsi="宋体"/>
          <w:sz w:val="24"/>
          <w:highlight w:val="none"/>
        </w:rPr>
        <w:t>规定的地点</w:t>
      </w:r>
      <w:r>
        <w:rPr>
          <w:rFonts w:hint="eastAsia" w:ascii="宋体" w:hAnsi="宋体"/>
          <w:sz w:val="24"/>
          <w:highlight w:val="none"/>
        </w:rPr>
        <w:t>对收到的投标文件第一个信封（商务及技术文件）</w:t>
      </w:r>
      <w:r>
        <w:rPr>
          <w:rFonts w:ascii="宋体" w:hAnsi="宋体"/>
          <w:sz w:val="24"/>
          <w:highlight w:val="none"/>
        </w:rPr>
        <w:t>公开开标，并邀请所有投标人的法定代表人或其委托代理人准时参加。</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6"/>
        <w:keepNext w:val="0"/>
        <w:keepLines w:val="0"/>
        <w:adjustRightInd w:val="0"/>
        <w:snapToGrid w:val="0"/>
        <w:spacing w:beforeLines="50" w:after="0" w:line="400" w:lineRule="exact"/>
        <w:rPr>
          <w:rFonts w:ascii="宋体" w:hAnsi="宋体"/>
          <w:sz w:val="24"/>
          <w:szCs w:val="24"/>
          <w:highlight w:val="none"/>
        </w:rPr>
      </w:pPr>
      <w:bookmarkStart w:id="126" w:name="_Toc485889034"/>
      <w:bookmarkStart w:id="127" w:name="_Toc234382624"/>
      <w:bookmarkStart w:id="128" w:name="_Toc26054"/>
      <w:bookmarkStart w:id="129" w:name="_Toc486277895"/>
      <w:r>
        <w:rPr>
          <w:rFonts w:ascii="宋体" w:hAnsi="宋体"/>
          <w:sz w:val="24"/>
          <w:szCs w:val="24"/>
          <w:highlight w:val="none"/>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highlight w:val="none"/>
        </w:rPr>
      </w:pPr>
      <w:bookmarkStart w:id="130" w:name="_Toc234382625"/>
      <w:bookmarkStart w:id="131" w:name="_Toc27685"/>
      <w:bookmarkStart w:id="132" w:name="_Toc486277896"/>
      <w:bookmarkStart w:id="133" w:name="_Toc485889035"/>
      <w:r>
        <w:rPr>
          <w:rFonts w:hint="eastAsia" w:ascii="宋体" w:hAnsi="宋体"/>
          <w:sz w:val="24"/>
          <w:highlight w:val="none"/>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）宣布投标截止时间，并公布招标人、代理机构、监督部门名称；</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）宣布开标纪律；</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）电子投标文件解密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（6）投标人代表、招标人代表、监标人、记录人等有关人员在开标记录上签字确认；</w:t>
      </w:r>
    </w:p>
    <w:p>
      <w:pPr>
        <w:adjustRightInd w:val="0"/>
        <w:snapToGrid w:val="0"/>
        <w:spacing w:afterAutospacing="0" w:line="400" w:lineRule="exact"/>
        <w:ind w:firstLine="480" w:firstLineChars="200"/>
        <w:rPr>
          <w:rFonts w:ascii="宋体" w:hAnsi="宋体"/>
          <w:sz w:val="24"/>
          <w:highlight w:val="none"/>
        </w:rPr>
      </w:pPr>
      <w:r>
        <w:rPr>
          <w:rFonts w:hint="eastAsia" w:ascii="宋体" w:hAnsi="宋体"/>
          <w:sz w:val="24"/>
          <w:highlight w:val="none"/>
        </w:rPr>
        <w:t>（7）开标结束。</w:t>
      </w:r>
    </w:p>
    <w:p>
      <w:pPr>
        <w:pStyle w:val="15"/>
        <w:widowControl/>
        <w:spacing w:before="145" w:beforeLines="50" w:beforeAutospacing="0" w:after="145" w:afterLines="50" w:afterAutospacing="0"/>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5.2.2 在投标文件第一个信封(商务及技术文件)开标现场，投标文件第二个信 封(报价文件)不予开封，由招标人密封保存。</w:t>
      </w:r>
    </w:p>
    <w:p>
      <w:pPr>
        <w:pStyle w:val="15"/>
        <w:widowControl/>
        <w:spacing w:beforeAutospacing="0" w:afterAutospacing="0"/>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5.2.2.1招标人将按照本章第 5.1 款规定的时间和地点对投标文件第二个信封(报 价文件)进行开标。主持人按下列程序进行开标: </w:t>
      </w:r>
    </w:p>
    <w:p>
      <w:pPr>
        <w:pStyle w:val="15"/>
        <w:widowControl/>
        <w:spacing w:before="145" w:beforeLines="50" w:beforeAutospacing="0" w:after="122" w:afterLines="42"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(1)宣布开标纪律; </w:t>
      </w:r>
    </w:p>
    <w:p>
      <w:pPr>
        <w:pStyle w:val="15"/>
        <w:widowControl/>
        <w:spacing w:beforeAutospacing="0" w:after="145" w:afterLines="5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(2)当众拆开投标文件第一个信封(商务及技术文件)评审结果的密封袋，宣布通过投标文件第一个信封(商务及技术文件)评审的投标人名单; </w:t>
      </w:r>
    </w:p>
    <w:p>
      <w:pPr>
        <w:pStyle w:val="15"/>
        <w:widowControl/>
        <w:spacing w:beforeAutospacing="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(3)宣布开标人、唱标人、记录人等有关人员姓名;</w:t>
      </w:r>
    </w:p>
    <w:p>
      <w:pPr>
        <w:pStyle w:val="15"/>
        <w:widowControl/>
        <w:spacing w:before="79" w:beforeLines="27" w:beforeAutospacing="0" w:after="92" w:afterLines="32" w:afterAutospacing="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(4)按照投标人须知前附表规定由投标人推选的代表检查投标文件的密封情况; </w:t>
      </w:r>
    </w:p>
    <w:p>
      <w:pPr>
        <w:pStyle w:val="15"/>
        <w:widowControl/>
        <w:spacing w:beforeAutospacing="0" w:after="87" w:afterLines="3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按照投标人须知前附表规定的开标顺序当众开标，开标人只拆封通过投标文件第一个信封(商务及技术文件)评审的投标文件第二个信封(报价文件)，公布标段名称、投标人名称、投标报价1及其他内容，并记录在案; </w:t>
      </w:r>
    </w:p>
    <w:p>
      <w:pPr>
        <w:pStyle w:val="15"/>
        <w:widowControl/>
        <w:spacing w:beforeAutospacing="0" w:after="74" w:afterLines="26"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(6)计算并宣布评标基准价; </w:t>
      </w:r>
    </w:p>
    <w:p>
      <w:pPr>
        <w:pStyle w:val="15"/>
        <w:widowControl/>
        <w:spacing w:beforeAutospacing="0"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(7)将未通过投标文件第一个信封(商务及技术文件)评审的投标文件第二个信 封(报价文件)退还给投标人; </w:t>
      </w:r>
    </w:p>
    <w:p>
      <w:pPr>
        <w:pStyle w:val="15"/>
        <w:widowControl/>
        <w:spacing w:before="72" w:beforeLines="25" w:beforeAutospacing="0" w:after="62" w:afterLines="21" w:afterAutospacing="0"/>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(8)投标人代表、招标人代表、记录人等有关人员在开标记录上签字确认;</w:t>
      </w:r>
    </w:p>
    <w:p>
      <w:pPr>
        <w:pStyle w:val="15"/>
        <w:widowControl/>
        <w:spacing w:beforeAutospacing="0" w:after="52" w:afterLines="18" w:afterAutospacing="0"/>
        <w:ind w:firstLine="480" w:firstLineChars="200"/>
        <w:rPr>
          <w:highlight w:val="none"/>
        </w:rPr>
      </w:pPr>
      <w:r>
        <w:rPr>
          <w:rFonts w:hint="eastAsia" w:ascii="宋体" w:hAnsi="宋体" w:eastAsia="宋体" w:cs="宋体"/>
          <w:sz w:val="24"/>
          <w:szCs w:val="24"/>
          <w:highlight w:val="none"/>
        </w:rPr>
        <w:t xml:space="preserve"> (9)开标结束。</w:t>
      </w:r>
      <w:r>
        <w:rPr>
          <w:highlight w:val="none"/>
        </w:rPr>
        <w:t xml:space="preserve"> </w:t>
      </w:r>
    </w:p>
    <w:p>
      <w:pPr>
        <w:adjustRightInd w:val="0"/>
        <w:snapToGrid w:val="0"/>
        <w:spacing w:beforeAutospacing="0" w:line="400" w:lineRule="exact"/>
        <w:ind w:firstLine="480" w:firstLineChars="200"/>
        <w:rPr>
          <w:rFonts w:hint="eastAsia" w:ascii="宋体" w:hAnsi="宋体"/>
          <w:color w:val="auto"/>
          <w:sz w:val="24"/>
          <w:highlight w:val="none"/>
        </w:rPr>
      </w:pPr>
      <w:r>
        <w:rPr>
          <w:rFonts w:ascii="宋体" w:hAnsi="宋体"/>
          <w:sz w:val="24"/>
          <w:highlight w:val="none"/>
        </w:rPr>
        <w:t>5.2.</w:t>
      </w:r>
      <w:r>
        <w:rPr>
          <w:rFonts w:hint="eastAsia" w:ascii="宋体" w:hAnsi="宋体"/>
          <w:sz w:val="24"/>
          <w:highlight w:val="none"/>
          <w:lang w:val="en-US" w:eastAsia="zh-CN"/>
        </w:rPr>
        <w:t>2.2</w:t>
      </w:r>
      <w:r>
        <w:rPr>
          <w:rFonts w:hint="eastAsia" w:ascii="宋体" w:hAnsi="宋体"/>
          <w:color w:val="auto"/>
          <w:sz w:val="24"/>
          <w:highlight w:val="none"/>
        </w:rPr>
        <w:t>第二个信封（报价文件）：</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（1）调价函及调价后的工程量清单（如有）；</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（2）投标函；</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（3）已标价工程量清单；</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（4）合同用款估算表。</w:t>
      </w:r>
    </w:p>
    <w:p>
      <w:pPr>
        <w:adjustRightInd w:val="0"/>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投标人在评标过程中作出的符合法律法规和招标文件规定的澄清确认，构成投标</w:t>
      </w:r>
    </w:p>
    <w:p>
      <w:pPr>
        <w:adjustRightInd w:val="0"/>
        <w:snapToGrid w:val="0"/>
        <w:spacing w:line="400" w:lineRule="exact"/>
        <w:ind w:firstLine="480" w:firstLineChars="200"/>
        <w:rPr>
          <w:color w:val="auto"/>
          <w:highlight w:val="none"/>
        </w:rPr>
      </w:pPr>
      <w:r>
        <w:rPr>
          <w:rFonts w:hint="eastAsia" w:ascii="宋体" w:hAnsi="宋体"/>
          <w:color w:val="auto"/>
          <w:sz w:val="24"/>
          <w:highlight w:val="none"/>
        </w:rPr>
        <w:t>文件的组成部分。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3电子投标文件的解密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w:t>
      </w:r>
      <w:r>
        <w:rPr>
          <w:rFonts w:ascii="宋体" w:hAnsi="宋体"/>
          <w:sz w:val="24"/>
          <w:highlight w:val="none"/>
        </w:rPr>
        <w:t>.1</w:t>
      </w:r>
      <w:r>
        <w:rPr>
          <w:rFonts w:hint="eastAsia" w:ascii="宋体" w:hAnsi="宋体"/>
          <w:sz w:val="24"/>
          <w:highlight w:val="none"/>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投标人解密：投标人使用本单位</w:t>
      </w:r>
      <w:r>
        <w:rPr>
          <w:rFonts w:ascii="宋体" w:hAnsi="宋体"/>
          <w:sz w:val="24"/>
          <w:highlight w:val="none"/>
        </w:rPr>
        <w:t>CA</w:t>
      </w:r>
      <w:r>
        <w:rPr>
          <w:rFonts w:hint="eastAsia" w:ascii="宋体" w:hAnsi="宋体"/>
          <w:sz w:val="24"/>
          <w:highlight w:val="none"/>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代理机构解密：代理机构按电子投标文件到达交易系统的先后顺序，使用本单位</w:t>
      </w:r>
      <w:r>
        <w:rPr>
          <w:rFonts w:ascii="宋体" w:hAnsi="宋体"/>
          <w:sz w:val="24"/>
          <w:highlight w:val="none"/>
        </w:rPr>
        <w:t>CA</w:t>
      </w:r>
      <w:r>
        <w:rPr>
          <w:rFonts w:hint="eastAsia" w:ascii="宋体" w:hAnsi="宋体"/>
          <w:sz w:val="24"/>
          <w:highlight w:val="none"/>
        </w:rPr>
        <w:t>数字证书进行再次解密。</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5.2.</w:t>
      </w:r>
      <w:r>
        <w:rPr>
          <w:rFonts w:hint="eastAsia" w:ascii="宋体" w:hAnsi="宋体"/>
          <w:sz w:val="24"/>
          <w:highlight w:val="none"/>
        </w:rPr>
        <w:t>3</w:t>
      </w:r>
      <w:r>
        <w:rPr>
          <w:rFonts w:ascii="宋体" w:hAnsi="宋体"/>
          <w:sz w:val="24"/>
          <w:highlight w:val="none"/>
        </w:rPr>
        <w:t>.2</w:t>
      </w:r>
      <w:r>
        <w:rPr>
          <w:rFonts w:hint="eastAsia" w:ascii="宋体" w:hAnsi="宋体"/>
          <w:sz w:val="24"/>
          <w:highlight w:val="none"/>
        </w:rPr>
        <w:t>电子投标文件解密异常情况处理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（1）因电子交易系统异常无法解密电子投标文件的，使用电子介质存储文件，以人工方式进行</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
        <w:keepNext w:val="0"/>
        <w:keepLines w:val="0"/>
        <w:adjustRightInd w:val="0"/>
        <w:snapToGrid w:val="0"/>
        <w:spacing w:beforeLines="50" w:after="0" w:line="400" w:lineRule="exact"/>
        <w:rPr>
          <w:rFonts w:ascii="宋体" w:hAnsi="宋体"/>
          <w:sz w:val="24"/>
          <w:szCs w:val="24"/>
          <w:highlight w:val="none"/>
        </w:rPr>
      </w:pPr>
      <w:r>
        <w:rPr>
          <w:rFonts w:ascii="宋体" w:hAnsi="宋体"/>
          <w:sz w:val="24"/>
          <w:szCs w:val="24"/>
          <w:highlight w:val="none"/>
        </w:rPr>
        <w:t>6. 评标</w:t>
      </w:r>
      <w:bookmarkEnd w:id="130"/>
      <w:bookmarkEnd w:id="131"/>
      <w:bookmarkEnd w:id="132"/>
      <w:bookmarkEnd w:id="133"/>
    </w:p>
    <w:p>
      <w:pPr>
        <w:pStyle w:val="6"/>
        <w:keepNext w:val="0"/>
        <w:keepLines w:val="0"/>
        <w:adjustRightInd w:val="0"/>
        <w:snapToGrid w:val="0"/>
        <w:spacing w:beforeLines="50" w:after="0" w:line="400" w:lineRule="exact"/>
        <w:rPr>
          <w:rFonts w:ascii="宋体" w:hAnsi="宋体"/>
          <w:sz w:val="24"/>
          <w:szCs w:val="24"/>
          <w:highlight w:val="none"/>
        </w:rPr>
      </w:pPr>
      <w:bookmarkStart w:id="134" w:name="_Toc17693"/>
      <w:bookmarkStart w:id="135" w:name="_Toc486277897"/>
      <w:bookmarkStart w:id="136" w:name="_Toc485889036"/>
      <w:bookmarkStart w:id="137" w:name="_Toc234382626"/>
      <w:r>
        <w:rPr>
          <w:rFonts w:ascii="宋体" w:hAnsi="宋体"/>
          <w:sz w:val="24"/>
          <w:szCs w:val="24"/>
          <w:highlight w:val="none"/>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6.1.2 评标委员会成员有下列情形之一的，应当回避：</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（1）招标人或投标人的主要负责人的近亲属；</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（2）项目主管部门或者行政监督部门的人员；</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（3）与投标人有经济利益关系，可能影响对投标公正评审的；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（4）曾因在招标、评标以及其他与招标投标有关活动中从事违法行为而受过行政处罚或刑事处罚的。</w:t>
      </w:r>
    </w:p>
    <w:p>
      <w:pPr>
        <w:pStyle w:val="6"/>
        <w:keepNext w:val="0"/>
        <w:keepLines w:val="0"/>
        <w:adjustRightInd w:val="0"/>
        <w:snapToGrid w:val="0"/>
        <w:spacing w:beforeLines="50" w:after="0" w:line="400" w:lineRule="exact"/>
        <w:rPr>
          <w:rFonts w:ascii="宋体" w:hAnsi="宋体"/>
          <w:sz w:val="24"/>
          <w:szCs w:val="24"/>
          <w:highlight w:val="none"/>
        </w:rPr>
      </w:pPr>
      <w:bookmarkStart w:id="138" w:name="_Toc5222"/>
      <w:bookmarkStart w:id="139" w:name="_Toc234382627"/>
      <w:bookmarkStart w:id="140" w:name="_Toc486277898"/>
      <w:bookmarkStart w:id="141" w:name="_Toc485889037"/>
      <w:r>
        <w:rPr>
          <w:rFonts w:ascii="宋体" w:hAnsi="宋体"/>
          <w:sz w:val="24"/>
          <w:szCs w:val="24"/>
          <w:highlight w:val="none"/>
        </w:rPr>
        <w:t>6.2 评标原则</w:t>
      </w:r>
      <w:bookmarkEnd w:id="138"/>
      <w:bookmarkEnd w:id="139"/>
      <w:bookmarkEnd w:id="140"/>
      <w:bookmarkEnd w:id="141"/>
      <w:r>
        <w:rPr>
          <w:rFonts w:hint="eastAsia" w:ascii="宋体" w:hAnsi="宋体"/>
          <w:sz w:val="24"/>
          <w:szCs w:val="24"/>
          <w:highlight w:val="none"/>
        </w:rPr>
        <w:t>：</w:t>
      </w:r>
      <w:r>
        <w:rPr>
          <w:rFonts w:ascii="宋体" w:hAnsi="宋体"/>
          <w:sz w:val="24"/>
          <w:highlight w:val="none"/>
        </w:rPr>
        <w:t>评标活动遵循公平、公正、科学和择优的原则。</w:t>
      </w:r>
    </w:p>
    <w:p>
      <w:pPr>
        <w:pStyle w:val="6"/>
        <w:keepNext w:val="0"/>
        <w:keepLines w:val="0"/>
        <w:adjustRightInd w:val="0"/>
        <w:snapToGrid w:val="0"/>
        <w:spacing w:beforeLines="50" w:after="0" w:line="400" w:lineRule="exact"/>
        <w:rPr>
          <w:rFonts w:ascii="宋体" w:hAnsi="宋体"/>
          <w:sz w:val="24"/>
          <w:szCs w:val="24"/>
          <w:highlight w:val="none"/>
        </w:rPr>
      </w:pPr>
      <w:bookmarkStart w:id="142" w:name="_Toc485889038"/>
      <w:bookmarkStart w:id="143" w:name="_Toc234382628"/>
      <w:bookmarkStart w:id="144" w:name="_Toc486277899"/>
      <w:bookmarkStart w:id="145" w:name="_Toc31911"/>
      <w:r>
        <w:rPr>
          <w:rFonts w:ascii="宋体" w:hAnsi="宋体"/>
          <w:sz w:val="24"/>
          <w:szCs w:val="24"/>
          <w:highlight w:val="none"/>
        </w:rPr>
        <w:t>6.3 评标</w:t>
      </w:r>
      <w:bookmarkEnd w:id="142"/>
      <w:bookmarkEnd w:id="143"/>
      <w:bookmarkEnd w:id="144"/>
      <w:bookmarkEnd w:id="14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评标委员会按照第三章“评标办法”规定的方法、评审因素、标准和程序对投标文件进行评审。第三章“评标办法”没有规定的方法、评审因素和标准，不作为评标依据。</w:t>
      </w:r>
    </w:p>
    <w:p>
      <w:pPr>
        <w:pStyle w:val="6"/>
        <w:keepNext w:val="0"/>
        <w:keepLines w:val="0"/>
        <w:adjustRightInd w:val="0"/>
        <w:snapToGrid w:val="0"/>
        <w:spacing w:beforeLines="50" w:after="0" w:line="400" w:lineRule="exact"/>
        <w:rPr>
          <w:rFonts w:ascii="宋体" w:hAnsi="宋体"/>
          <w:sz w:val="24"/>
          <w:szCs w:val="24"/>
          <w:highlight w:val="none"/>
        </w:rPr>
      </w:pPr>
      <w:bookmarkStart w:id="146" w:name="_Toc486277900"/>
      <w:bookmarkStart w:id="147" w:name="_Toc234382629"/>
      <w:bookmarkStart w:id="148" w:name="_Toc21378"/>
      <w:bookmarkStart w:id="149" w:name="_Toc485889039"/>
      <w:r>
        <w:rPr>
          <w:rFonts w:ascii="宋体" w:hAnsi="宋体"/>
          <w:sz w:val="24"/>
          <w:szCs w:val="24"/>
          <w:highlight w:val="none"/>
        </w:rPr>
        <w:t>7. 合同授予</w:t>
      </w:r>
      <w:bookmarkEnd w:id="146"/>
      <w:bookmarkEnd w:id="147"/>
      <w:bookmarkEnd w:id="148"/>
      <w:bookmarkEnd w:id="149"/>
    </w:p>
    <w:p>
      <w:pPr>
        <w:pStyle w:val="6"/>
        <w:keepNext w:val="0"/>
        <w:keepLines w:val="0"/>
        <w:adjustRightInd w:val="0"/>
        <w:snapToGrid w:val="0"/>
        <w:spacing w:beforeLines="50" w:after="0" w:line="400" w:lineRule="exact"/>
        <w:rPr>
          <w:rFonts w:ascii="宋体" w:hAnsi="宋体"/>
          <w:sz w:val="24"/>
          <w:szCs w:val="24"/>
          <w:highlight w:val="none"/>
        </w:rPr>
      </w:pPr>
      <w:bookmarkStart w:id="150" w:name="_Toc485889040"/>
      <w:bookmarkStart w:id="151" w:name="_Toc486277901"/>
      <w:bookmarkStart w:id="152" w:name="_Toc234382630"/>
      <w:bookmarkStart w:id="153" w:name="_Toc10828"/>
      <w:r>
        <w:rPr>
          <w:rFonts w:ascii="宋体" w:hAnsi="宋体"/>
          <w:sz w:val="24"/>
          <w:szCs w:val="24"/>
          <w:highlight w:val="none"/>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6"/>
        <w:keepNext w:val="0"/>
        <w:keepLines w:val="0"/>
        <w:adjustRightInd w:val="0"/>
        <w:snapToGrid w:val="0"/>
        <w:spacing w:beforeLines="50" w:after="0" w:line="400" w:lineRule="exact"/>
        <w:rPr>
          <w:rFonts w:ascii="宋体" w:hAnsi="宋体"/>
          <w:sz w:val="24"/>
          <w:szCs w:val="24"/>
          <w:highlight w:val="none"/>
        </w:rPr>
      </w:pPr>
      <w:bookmarkStart w:id="154" w:name="_Toc485889041"/>
      <w:bookmarkStart w:id="155" w:name="_Toc486277902"/>
      <w:bookmarkStart w:id="156" w:name="_Toc234382631"/>
      <w:bookmarkStart w:id="157" w:name="_Toc13648"/>
      <w:r>
        <w:rPr>
          <w:rFonts w:ascii="宋体" w:hAnsi="宋体"/>
          <w:sz w:val="24"/>
          <w:szCs w:val="24"/>
          <w:highlight w:val="none"/>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在本章第 3.3 款规定的投标有效期内，招标人以书面形式向中标人发出中标通知书，同时将中标结果通知未中标的投标人。</w:t>
      </w:r>
    </w:p>
    <w:p>
      <w:pPr>
        <w:pStyle w:val="6"/>
        <w:keepNext w:val="0"/>
        <w:keepLines w:val="0"/>
        <w:adjustRightInd w:val="0"/>
        <w:snapToGrid w:val="0"/>
        <w:spacing w:beforeLines="50" w:after="0" w:line="400" w:lineRule="exact"/>
        <w:rPr>
          <w:rFonts w:ascii="宋体" w:hAnsi="宋体"/>
          <w:sz w:val="24"/>
          <w:szCs w:val="24"/>
          <w:highlight w:val="none"/>
        </w:rPr>
      </w:pPr>
      <w:bookmarkStart w:id="158" w:name="_Toc234382633"/>
      <w:bookmarkStart w:id="159" w:name="_Toc16842"/>
      <w:bookmarkStart w:id="160" w:name="_Toc486277903"/>
      <w:bookmarkStart w:id="161" w:name="_Toc485889042"/>
      <w:r>
        <w:rPr>
          <w:rFonts w:ascii="宋体" w:hAnsi="宋体"/>
          <w:sz w:val="24"/>
          <w:szCs w:val="24"/>
          <w:highlight w:val="none"/>
        </w:rPr>
        <w:t>7.</w:t>
      </w:r>
      <w:r>
        <w:rPr>
          <w:rFonts w:hint="eastAsia" w:ascii="宋体" w:hAnsi="宋体"/>
          <w:sz w:val="24"/>
          <w:szCs w:val="24"/>
          <w:highlight w:val="none"/>
        </w:rPr>
        <w:t>3</w:t>
      </w:r>
      <w:r>
        <w:rPr>
          <w:rFonts w:ascii="宋体" w:hAnsi="宋体"/>
          <w:sz w:val="24"/>
          <w:szCs w:val="24"/>
          <w:highlight w:val="none"/>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highlight w:val="none"/>
        </w:rPr>
      </w:pPr>
      <w:r>
        <w:rPr>
          <w:rFonts w:ascii="宋体" w:hAnsi="宋体"/>
          <w:spacing w:val="-6"/>
          <w:sz w:val="24"/>
          <w:highlight w:val="none"/>
        </w:rPr>
        <w:t>7.</w:t>
      </w:r>
      <w:r>
        <w:rPr>
          <w:rFonts w:hint="eastAsia" w:ascii="宋体" w:hAnsi="宋体"/>
          <w:spacing w:val="-6"/>
          <w:sz w:val="24"/>
          <w:highlight w:val="none"/>
        </w:rPr>
        <w:t>3</w:t>
      </w:r>
      <w:r>
        <w:rPr>
          <w:rFonts w:ascii="宋体" w:hAnsi="宋体"/>
          <w:spacing w:val="-6"/>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7.</w:t>
      </w:r>
      <w:r>
        <w:rPr>
          <w:rFonts w:hint="eastAsia" w:ascii="宋体" w:hAnsi="宋体"/>
          <w:sz w:val="24"/>
          <w:highlight w:val="none"/>
        </w:rPr>
        <w:t>3</w:t>
      </w:r>
      <w:r>
        <w:rPr>
          <w:rFonts w:ascii="宋体" w:hAnsi="宋体"/>
          <w:sz w:val="24"/>
          <w:highlight w:val="none"/>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7.3.3 签约合同价的确定原则如下：</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7.3.5 如果根据本章第3.5.10项（适用于未进行资格预审的）、第7.3.2项或第7.4.1项规定，招标人取消了中标人的中标资格，在此情况下，招标人可将合同授予下一个中标候选人，或者按规定重新组织招标。</w:t>
      </w:r>
      <w:bookmarkStart w:id="162" w:name="_Toc485889043"/>
      <w:bookmarkStart w:id="163" w:name="_Toc486277904"/>
      <w:bookmarkStart w:id="164" w:name="_Toc16570"/>
      <w:bookmarkStart w:id="165" w:name="_Toc234382634"/>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新宋体" w:hAnsi="新宋体" w:eastAsia="新宋体" w:cs="新宋体"/>
          <w:b/>
          <w:sz w:val="24"/>
          <w:highlight w:val="none"/>
        </w:rPr>
      </w:pPr>
      <w:r>
        <w:rPr>
          <w:rFonts w:hint="eastAsia" w:ascii="新宋体" w:hAnsi="新宋体" w:eastAsia="新宋体" w:cs="新宋体"/>
          <w:b/>
          <w:sz w:val="24"/>
          <w:highlight w:val="none"/>
        </w:rPr>
        <w:t>7.4</w:t>
      </w:r>
      <w:r>
        <w:rPr>
          <w:rFonts w:hint="eastAsia" w:ascii="新宋体" w:hAnsi="新宋体" w:eastAsia="新宋体" w:cs="新宋体"/>
          <w:b/>
          <w:sz w:val="24"/>
          <w:highlight w:val="none"/>
        </w:rPr>
        <w:tab/>
      </w:r>
      <w:r>
        <w:rPr>
          <w:rFonts w:hint="eastAsia" w:ascii="新宋体" w:hAnsi="新宋体" w:eastAsia="新宋体" w:cs="新宋体"/>
          <w:b/>
          <w:sz w:val="24"/>
          <w:highlight w:val="none"/>
        </w:rPr>
        <w:t>履约保证金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(一) 、履约保证金提交方式及注意事项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1、</w:t>
      </w:r>
      <w:r>
        <w:rPr>
          <w:rFonts w:hint="eastAsia" w:ascii="新宋体" w:hAnsi="新宋体" w:eastAsia="新宋体" w:cs="新宋体"/>
          <w:b/>
          <w:bCs/>
          <w:sz w:val="24"/>
          <w:szCs w:val="22"/>
          <w:highlight w:val="none"/>
        </w:rPr>
        <w:t>以网银、银行转账、银行电汇、银行保函方式提交</w:t>
      </w:r>
      <w:r>
        <w:rPr>
          <w:rFonts w:hint="eastAsia" w:ascii="新宋体" w:hAnsi="新宋体" w:eastAsia="新宋体" w:cs="新宋体"/>
          <w:sz w:val="24"/>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2、现金支票和现金不得作为履约保证金提交方式。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3、中标人必须通过其公司账户按照规定的方式提交，其名称应与中标单位的名称一致。</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240" w:firstLineChars="1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4、中标人在缴纳履约保证金时，必须在附言、备注和用途栏注明“</w:t>
      </w:r>
      <w:r>
        <w:rPr>
          <w:rFonts w:hint="eastAsia" w:ascii="新宋体" w:hAnsi="新宋体" w:eastAsia="新宋体" w:cs="新宋体"/>
          <w:b/>
          <w:bCs/>
          <w:sz w:val="24"/>
          <w:szCs w:val="22"/>
          <w:highlight w:val="none"/>
        </w:rPr>
        <w:t>项目编号及标段</w:t>
      </w:r>
      <w:r>
        <w:rPr>
          <w:rFonts w:hint="eastAsia" w:ascii="新宋体" w:hAnsi="新宋体" w:eastAsia="新宋体" w:cs="新宋体"/>
          <w:sz w:val="24"/>
          <w:szCs w:val="22"/>
          <w:highlight w:val="none"/>
        </w:rPr>
        <w:t>”，否则可能造成延迟退还。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（二）、履约保证金提交比例和数额</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4" w:firstLineChars="131"/>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履约保证金数额不得超过中标合同金额的5%。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（三）、履约保证金的退还</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240" w:firstLineChars="100"/>
        <w:textAlignment w:val="auto"/>
        <w:rPr>
          <w:rFonts w:hint="eastAsia" w:ascii="新宋体" w:hAnsi="新宋体" w:eastAsia="新宋体" w:cs="新宋体"/>
          <w:sz w:val="24"/>
          <w:szCs w:val="22"/>
          <w:highlight w:val="none"/>
        </w:rPr>
      </w:pPr>
      <w:r>
        <w:rPr>
          <w:rFonts w:hint="eastAsia" w:ascii="新宋体" w:hAnsi="新宋体" w:eastAsia="新宋体" w:cs="新宋体"/>
          <w:sz w:val="24"/>
          <w:szCs w:val="22"/>
          <w:highlight w:val="none"/>
        </w:rPr>
        <w:t>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240" w:firstLineChars="100"/>
        <w:textAlignment w:val="auto"/>
        <w:rPr>
          <w:rFonts w:ascii="宋体" w:hAnsi="宋体"/>
          <w:b/>
          <w:sz w:val="24"/>
          <w:highlight w:val="none"/>
        </w:rPr>
      </w:pPr>
      <w:r>
        <w:rPr>
          <w:rFonts w:hint="eastAsia" w:ascii="新宋体" w:hAnsi="新宋体" w:eastAsia="新宋体" w:cs="新宋体"/>
          <w:sz w:val="24"/>
          <w:szCs w:val="22"/>
          <w:highlight w:val="none"/>
        </w:rPr>
        <w:t>2、中标人因发生质疑、投诉、举报或有关部门立案调查的，中心依据相关行政监督部门的意见暂停退还或没收其履约保证金，待行政监督部门对相关情况处置后，按照有关规定办理。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105" w:firstLineChars="0"/>
        <w:textAlignment w:val="auto"/>
        <w:rPr>
          <w:rFonts w:ascii="宋体" w:hAnsi="宋体" w:cs="宋体"/>
          <w:b/>
          <w:sz w:val="36"/>
          <w:szCs w:val="36"/>
          <w:highlight w:val="none"/>
        </w:rPr>
      </w:pPr>
      <w:r>
        <w:rPr>
          <w:rFonts w:ascii="宋体" w:hAnsi="宋体"/>
          <w:b/>
          <w:sz w:val="24"/>
          <w:highlight w:val="none"/>
        </w:rPr>
        <w:t>8. 重新招标和不再招标</w:t>
      </w:r>
      <w:bookmarkEnd w:id="162"/>
      <w:bookmarkEnd w:id="163"/>
      <w:bookmarkEnd w:id="164"/>
      <w:bookmarkEnd w:id="165"/>
    </w:p>
    <w:p>
      <w:pPr>
        <w:pStyle w:val="6"/>
        <w:keepNext w:val="0"/>
        <w:keepLines w:val="0"/>
        <w:adjustRightInd w:val="0"/>
        <w:snapToGrid w:val="0"/>
        <w:spacing w:beforeLines="50" w:after="0" w:line="400" w:lineRule="exact"/>
        <w:rPr>
          <w:rFonts w:ascii="宋体" w:hAnsi="宋体"/>
          <w:sz w:val="24"/>
          <w:szCs w:val="24"/>
          <w:highlight w:val="none"/>
        </w:rPr>
      </w:pPr>
      <w:bookmarkStart w:id="166" w:name="_Toc4100"/>
      <w:bookmarkStart w:id="167" w:name="_Toc234382635"/>
      <w:bookmarkStart w:id="168" w:name="_Toc485889044"/>
      <w:bookmarkStart w:id="169" w:name="_Toc486277905"/>
      <w:r>
        <w:rPr>
          <w:rFonts w:ascii="宋体" w:hAnsi="宋体"/>
          <w:sz w:val="24"/>
          <w:szCs w:val="24"/>
          <w:highlight w:val="none"/>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有下列情形之一的，招标人将重新招标：</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（1）投标截止时间止，投标人少于3个的；</w:t>
      </w:r>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（2）经评标委员会评审后否决所有投标的</w:t>
      </w:r>
      <w:r>
        <w:rPr>
          <w:rFonts w:hint="eastAsia" w:ascii="宋体" w:hAnsi="宋体"/>
          <w:sz w:val="24"/>
          <w:highlight w:val="none"/>
        </w:rPr>
        <w:t>；</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（3）中标候选人均未与招标人签订合同的；</w:t>
      </w:r>
    </w:p>
    <w:p>
      <w:pPr>
        <w:adjustRightInd w:val="0"/>
        <w:snapToGrid w:val="0"/>
        <w:spacing w:line="400" w:lineRule="exact"/>
        <w:ind w:firstLine="480" w:firstLineChars="200"/>
        <w:rPr>
          <w:rFonts w:ascii="宋体" w:hAnsi="宋体"/>
          <w:sz w:val="24"/>
          <w:highlight w:val="none"/>
        </w:rPr>
      </w:pPr>
      <w:r>
        <w:rPr>
          <w:rFonts w:hint="eastAsia" w:ascii="宋体" w:hAnsi="宋体"/>
          <w:sz w:val="24"/>
          <w:highlight w:val="none"/>
        </w:rPr>
        <w:t>（4）法律规定的其他情形。</w:t>
      </w:r>
    </w:p>
    <w:p>
      <w:pPr>
        <w:pStyle w:val="6"/>
        <w:keepNext w:val="0"/>
        <w:keepLines w:val="0"/>
        <w:adjustRightInd w:val="0"/>
        <w:snapToGrid w:val="0"/>
        <w:spacing w:beforeLines="50" w:after="0" w:line="400" w:lineRule="exact"/>
        <w:rPr>
          <w:rFonts w:ascii="宋体" w:hAnsi="宋体"/>
          <w:sz w:val="24"/>
          <w:szCs w:val="24"/>
          <w:highlight w:val="none"/>
        </w:rPr>
      </w:pPr>
      <w:bookmarkStart w:id="170" w:name="_Toc485889045"/>
      <w:bookmarkStart w:id="171" w:name="_Toc21063"/>
      <w:bookmarkStart w:id="172" w:name="_Toc234382636"/>
      <w:bookmarkStart w:id="173" w:name="_Toc486277906"/>
      <w:r>
        <w:rPr>
          <w:rFonts w:ascii="宋体" w:hAnsi="宋体"/>
          <w:sz w:val="24"/>
          <w:szCs w:val="24"/>
          <w:highlight w:val="none"/>
        </w:rPr>
        <w:t>8.2 不再招标</w:t>
      </w:r>
      <w:bookmarkEnd w:id="170"/>
      <w:bookmarkEnd w:id="171"/>
      <w:bookmarkEnd w:id="172"/>
      <w:bookmarkEnd w:id="173"/>
    </w:p>
    <w:p>
      <w:pPr>
        <w:adjustRightInd w:val="0"/>
        <w:snapToGrid w:val="0"/>
        <w:spacing w:line="400" w:lineRule="exact"/>
        <w:ind w:left="210" w:leftChars="100" w:firstLine="480" w:firstLineChars="200"/>
        <w:rPr>
          <w:rFonts w:ascii="宋体" w:hAnsi="宋体"/>
          <w:sz w:val="24"/>
          <w:highlight w:val="none"/>
        </w:rPr>
      </w:pPr>
      <w:r>
        <w:rPr>
          <w:rFonts w:ascii="宋体" w:hAnsi="宋体"/>
          <w:sz w:val="24"/>
          <w:highlight w:val="none"/>
        </w:rPr>
        <w:t>重新招标后投标人仍少于3 个或者所有投标被否决的，属于必须审批或核准的工程建设项目，经原审批或核准部门批准后不再进行招标。</w:t>
      </w:r>
    </w:p>
    <w:p>
      <w:pPr>
        <w:pStyle w:val="6"/>
        <w:keepNext w:val="0"/>
        <w:keepLines w:val="0"/>
        <w:adjustRightInd w:val="0"/>
        <w:snapToGrid w:val="0"/>
        <w:spacing w:beforeLines="50" w:after="0" w:line="400" w:lineRule="exact"/>
        <w:rPr>
          <w:rFonts w:ascii="宋体" w:hAnsi="宋体"/>
          <w:sz w:val="24"/>
          <w:szCs w:val="24"/>
          <w:highlight w:val="none"/>
        </w:rPr>
      </w:pPr>
      <w:bookmarkStart w:id="174" w:name="_Toc485889046"/>
      <w:bookmarkStart w:id="175" w:name="_Toc32202"/>
      <w:bookmarkStart w:id="176" w:name="_Toc486277907"/>
      <w:bookmarkStart w:id="177" w:name="_Toc234382637"/>
      <w:r>
        <w:rPr>
          <w:rFonts w:ascii="宋体" w:hAnsi="宋体"/>
          <w:sz w:val="24"/>
          <w:szCs w:val="24"/>
          <w:highlight w:val="none"/>
        </w:rPr>
        <w:t>9. 纪律和监督</w:t>
      </w:r>
      <w:bookmarkEnd w:id="174"/>
      <w:bookmarkEnd w:id="175"/>
      <w:bookmarkEnd w:id="176"/>
      <w:bookmarkEnd w:id="177"/>
    </w:p>
    <w:p>
      <w:pPr>
        <w:pStyle w:val="6"/>
        <w:keepNext w:val="0"/>
        <w:keepLines w:val="0"/>
        <w:adjustRightInd w:val="0"/>
        <w:snapToGrid w:val="0"/>
        <w:spacing w:beforeLines="50" w:after="0" w:line="400" w:lineRule="exact"/>
        <w:rPr>
          <w:rFonts w:ascii="宋体" w:hAnsi="宋体"/>
          <w:sz w:val="24"/>
          <w:szCs w:val="24"/>
          <w:highlight w:val="none"/>
        </w:rPr>
      </w:pPr>
      <w:bookmarkStart w:id="178" w:name="_Toc485889047"/>
      <w:bookmarkStart w:id="179" w:name="_Toc23625"/>
      <w:bookmarkStart w:id="180" w:name="_Toc234382638"/>
      <w:bookmarkStart w:id="181" w:name="_Toc486277908"/>
      <w:r>
        <w:rPr>
          <w:rFonts w:ascii="宋体" w:hAnsi="宋体"/>
          <w:sz w:val="24"/>
          <w:szCs w:val="24"/>
          <w:highlight w:val="none"/>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招标人不得泄漏招标投标活动中应当保密的情况和资料，不得与投标人串通损害国家利益、社会公共利益或者他人合法权益。</w:t>
      </w:r>
    </w:p>
    <w:p>
      <w:pPr>
        <w:pStyle w:val="6"/>
        <w:keepNext w:val="0"/>
        <w:keepLines w:val="0"/>
        <w:adjustRightInd w:val="0"/>
        <w:snapToGrid w:val="0"/>
        <w:spacing w:beforeLines="50" w:after="0" w:line="400" w:lineRule="exact"/>
        <w:rPr>
          <w:rFonts w:ascii="宋体" w:hAnsi="宋体"/>
          <w:sz w:val="24"/>
          <w:szCs w:val="24"/>
          <w:highlight w:val="none"/>
        </w:rPr>
      </w:pPr>
      <w:bookmarkStart w:id="182" w:name="_Toc234382639"/>
      <w:bookmarkStart w:id="183" w:name="_Toc13796"/>
      <w:bookmarkStart w:id="184" w:name="_Toc486277909"/>
      <w:bookmarkStart w:id="185" w:name="_Toc485889048"/>
      <w:r>
        <w:rPr>
          <w:rFonts w:ascii="宋体" w:hAnsi="宋体"/>
          <w:sz w:val="24"/>
          <w:szCs w:val="24"/>
          <w:highlight w:val="none"/>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adjustRightInd w:val="0"/>
        <w:snapToGrid w:val="0"/>
        <w:spacing w:beforeLines="50" w:after="0" w:line="400" w:lineRule="exact"/>
        <w:rPr>
          <w:rFonts w:ascii="宋体" w:hAnsi="宋体"/>
          <w:sz w:val="24"/>
          <w:szCs w:val="24"/>
          <w:highlight w:val="none"/>
        </w:rPr>
      </w:pPr>
      <w:bookmarkStart w:id="186" w:name="_Toc485889049"/>
      <w:bookmarkStart w:id="187" w:name="_Toc234382640"/>
      <w:bookmarkStart w:id="188" w:name="_Toc16702"/>
      <w:bookmarkStart w:id="189" w:name="_Toc486277910"/>
      <w:r>
        <w:rPr>
          <w:rFonts w:ascii="宋体" w:hAnsi="宋体"/>
          <w:sz w:val="24"/>
          <w:szCs w:val="24"/>
          <w:highlight w:val="none"/>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keepNext w:val="0"/>
        <w:keepLines w:val="0"/>
        <w:adjustRightInd w:val="0"/>
        <w:snapToGrid w:val="0"/>
        <w:spacing w:beforeLines="50" w:after="0" w:line="400" w:lineRule="exact"/>
        <w:rPr>
          <w:rFonts w:ascii="宋体" w:hAnsi="宋体"/>
          <w:sz w:val="24"/>
          <w:szCs w:val="24"/>
          <w:highlight w:val="none"/>
        </w:rPr>
      </w:pPr>
      <w:bookmarkStart w:id="190" w:name="_Toc485889050"/>
      <w:bookmarkStart w:id="191" w:name="_Toc12383"/>
      <w:bookmarkStart w:id="192" w:name="_Toc486277911"/>
      <w:bookmarkStart w:id="193" w:name="_Toc234382641"/>
      <w:r>
        <w:rPr>
          <w:rFonts w:ascii="宋体" w:hAnsi="宋体"/>
          <w:sz w:val="24"/>
          <w:szCs w:val="24"/>
          <w:highlight w:val="none"/>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adjustRightInd w:val="0"/>
        <w:snapToGrid w:val="0"/>
        <w:spacing w:beforeLines="50" w:after="0" w:line="400" w:lineRule="exact"/>
        <w:rPr>
          <w:rFonts w:ascii="宋体" w:hAnsi="宋体"/>
          <w:sz w:val="24"/>
          <w:szCs w:val="24"/>
          <w:highlight w:val="none"/>
        </w:rPr>
      </w:pPr>
      <w:bookmarkStart w:id="194" w:name="_Toc486277912"/>
      <w:bookmarkStart w:id="195" w:name="_Toc485889051"/>
      <w:bookmarkStart w:id="196" w:name="_Toc25179"/>
      <w:bookmarkStart w:id="197" w:name="_Toc234382642"/>
      <w:r>
        <w:rPr>
          <w:rFonts w:ascii="宋体" w:hAnsi="宋体"/>
          <w:sz w:val="24"/>
          <w:szCs w:val="24"/>
          <w:highlight w:val="none"/>
        </w:rPr>
        <w:t>9.5 投诉</w:t>
      </w:r>
      <w:bookmarkEnd w:id="194"/>
      <w:bookmarkEnd w:id="195"/>
      <w:bookmarkEnd w:id="196"/>
      <w:bookmarkEnd w:id="197"/>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投标人和其他利害关系人认为本次招标活动违反法律、法规和规章规定的，有权向有关行政监督部门投诉。</w:t>
      </w:r>
    </w:p>
    <w:p>
      <w:pPr>
        <w:pStyle w:val="6"/>
        <w:keepNext w:val="0"/>
        <w:keepLines w:val="0"/>
        <w:adjustRightInd w:val="0"/>
        <w:snapToGrid w:val="0"/>
        <w:spacing w:beforeLines="50" w:after="0" w:line="400" w:lineRule="exact"/>
        <w:rPr>
          <w:rFonts w:ascii="宋体" w:hAnsi="宋体"/>
          <w:sz w:val="24"/>
          <w:szCs w:val="24"/>
          <w:highlight w:val="none"/>
        </w:rPr>
      </w:pPr>
      <w:bookmarkStart w:id="198" w:name="_Toc486277913"/>
      <w:bookmarkStart w:id="199" w:name="_Toc485889052"/>
      <w:bookmarkStart w:id="200" w:name="_Toc234382643"/>
      <w:bookmarkStart w:id="201" w:name="_Toc30072"/>
      <w:r>
        <w:rPr>
          <w:rFonts w:ascii="宋体" w:hAnsi="宋体"/>
          <w:sz w:val="24"/>
          <w:szCs w:val="24"/>
          <w:highlight w:val="none"/>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highlight w:val="none"/>
        </w:rPr>
      </w:pPr>
      <w:r>
        <w:rPr>
          <w:rFonts w:ascii="宋体" w:hAnsi="宋体"/>
          <w:sz w:val="24"/>
          <w:highlight w:val="none"/>
        </w:rPr>
        <w:t>需要补充的其他内容：见投标人须知前附表。</w:t>
      </w:r>
    </w:p>
    <w:p>
      <w:pPr>
        <w:widowControl/>
        <w:spacing w:line="360" w:lineRule="auto"/>
        <w:ind w:right="714"/>
        <w:jc w:val="center"/>
        <w:rPr>
          <w:rFonts w:ascii="宋体" w:hAnsi="宋体"/>
          <w:sz w:val="24"/>
          <w:highlight w:val="none"/>
        </w:rPr>
      </w:pPr>
      <w:bookmarkStart w:id="202" w:name="_Toc234382644"/>
      <w:r>
        <w:rPr>
          <w:rFonts w:ascii="宋体" w:hAnsi="宋体"/>
          <w:sz w:val="24"/>
          <w:highlight w:val="none"/>
        </w:rPr>
        <w:br w:type="page"/>
      </w:r>
    </w:p>
    <w:bookmarkEnd w:id="202"/>
    <w:p>
      <w:pPr>
        <w:adjustRightInd w:val="0"/>
        <w:snapToGrid w:val="0"/>
        <w:spacing w:line="400" w:lineRule="exact"/>
        <w:rPr>
          <w:rFonts w:ascii="黑体" w:hAnsi="黑体" w:eastAsia="黑体"/>
          <w:b/>
          <w:bCs/>
          <w:sz w:val="32"/>
          <w:szCs w:val="32"/>
          <w:highlight w:val="none"/>
        </w:rPr>
      </w:pPr>
    </w:p>
    <w:p>
      <w:pPr>
        <w:adjustRightInd w:val="0"/>
        <w:snapToGrid w:val="0"/>
        <w:spacing w:line="400" w:lineRule="exact"/>
        <w:rPr>
          <w:rFonts w:ascii="黑体" w:hAnsi="黑体" w:eastAsia="黑体"/>
          <w:b/>
          <w:bCs/>
          <w:sz w:val="32"/>
          <w:szCs w:val="32"/>
          <w:highlight w:val="none"/>
        </w:rPr>
      </w:pPr>
      <w:r>
        <w:rPr>
          <w:rFonts w:hint="eastAsia" w:ascii="黑体" w:hAnsi="黑体" w:eastAsia="黑体"/>
          <w:b/>
          <w:bCs/>
          <w:sz w:val="32"/>
          <w:szCs w:val="32"/>
          <w:highlight w:val="none"/>
        </w:rPr>
        <w:t>附件一：投标保证金</w:t>
      </w:r>
    </w:p>
    <w:tbl>
      <w:tblPr>
        <w:tblStyle w:val="16"/>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color w:val="FF0000"/>
                <w:kern w:val="0"/>
                <w:sz w:val="24"/>
                <w:szCs w:val="22"/>
                <w:highlight w:val="none"/>
              </w:rPr>
            </w:pPr>
            <w:r>
              <w:rPr>
                <w:rFonts w:hint="eastAsia" w:cs="宋体" w:asciiTheme="minorEastAsia" w:hAnsiTheme="minorEastAsia" w:eastAsiaTheme="minorEastAsia"/>
                <w:color w:val="auto"/>
                <w:kern w:val="0"/>
                <w:sz w:val="24"/>
                <w:szCs w:val="22"/>
                <w:highlight w:val="none"/>
              </w:rPr>
              <w:t>建</w:t>
            </w:r>
            <w:r>
              <w:rPr>
                <w:rFonts w:hint="eastAsia" w:cs="宋体" w:asciiTheme="minorEastAsia" w:hAnsiTheme="minorEastAsia" w:eastAsiaTheme="minorEastAsia"/>
                <w:color w:val="000000" w:themeColor="text1"/>
                <w:kern w:val="0"/>
                <w:sz w:val="24"/>
                <w:szCs w:val="22"/>
                <w:highlight w:val="none"/>
                <w14:textFill>
                  <w14:solidFill>
                    <w14:schemeClr w14:val="tx1"/>
                  </w14:solidFill>
                </w14:textFill>
              </w:rPr>
              <w:t>安建工公字〔2020〕</w:t>
            </w:r>
            <w:r>
              <w:rPr>
                <w:rFonts w:hint="eastAsia" w:cs="宋体" w:asciiTheme="minorEastAsia" w:hAnsiTheme="minorEastAsia" w:eastAsiaTheme="minorEastAsia"/>
                <w:color w:val="000000" w:themeColor="text1"/>
                <w:kern w:val="0"/>
                <w:sz w:val="24"/>
                <w:szCs w:val="22"/>
                <w:highlight w:val="none"/>
                <w:lang w:val="en-US" w:eastAsia="zh-CN"/>
                <w14:textFill>
                  <w14:solidFill>
                    <w14:schemeClr w14:val="tx1"/>
                  </w14:solidFill>
                </w14:textFill>
              </w:rPr>
              <w:t>73</w:t>
            </w:r>
            <w:r>
              <w:rPr>
                <w:rFonts w:hint="eastAsia" w:cs="宋体" w:asciiTheme="minorEastAsia" w:hAnsiTheme="minorEastAsia" w:eastAsiaTheme="minorEastAsia"/>
                <w:color w:val="000000" w:themeColor="text1"/>
                <w:kern w:val="0"/>
                <w:sz w:val="24"/>
                <w:szCs w:val="22"/>
                <w:highlight w:val="none"/>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cs="宋体" w:asciiTheme="minorEastAsia" w:hAnsiTheme="minorEastAsia" w:eastAsiaTheme="minorEastAsia"/>
                <w:kern w:val="0"/>
                <w:sz w:val="24"/>
                <w:szCs w:val="20"/>
                <w:highlight w:val="none"/>
              </w:rPr>
            </w:pPr>
            <w:r>
              <w:rPr>
                <w:rFonts w:hint="eastAsia" w:ascii="宋体" w:hAnsi="宋体"/>
                <w:sz w:val="24"/>
                <w:highlight w:val="none"/>
              </w:rPr>
              <w:t xml:space="preserve">许昌市建安区2020年脱贫攻坚督促指导村项目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2160" w:firstLineChars="900"/>
              <w:rPr>
                <w:rFonts w:cs="宋体" w:asciiTheme="minorEastAsia" w:hAnsiTheme="minorEastAsia" w:eastAsiaTheme="minorEastAsia"/>
                <w:kern w:val="0"/>
                <w:sz w:val="24"/>
                <w:szCs w:val="22"/>
                <w:highlight w:val="none"/>
              </w:rPr>
            </w:pPr>
            <w:r>
              <w:rPr>
                <w:rFonts w:hint="eastAsia" w:cs="宋体" w:asciiTheme="minorEastAsia" w:hAnsiTheme="minorEastAsia" w:eastAsiaTheme="minorEastAsia"/>
                <w:kern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投标保证金</w:t>
            </w:r>
          </w:p>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cs="宋体" w:asciiTheme="minorEastAsia" w:hAnsiTheme="minorEastAsia" w:eastAsiaTheme="minorEastAsia"/>
                <w:kern w:val="0"/>
                <w:sz w:val="24"/>
                <w:szCs w:val="22"/>
                <w:highlight w:val="none"/>
              </w:rPr>
            </w:pPr>
            <w:r>
              <w:rPr>
                <w:rFonts w:hint="eastAsia" w:cs="宋体" w:asciiTheme="majorEastAsia" w:hAnsiTheme="majorEastAsia" w:eastAsiaTheme="majorEastAsia"/>
                <w:sz w:val="24"/>
                <w:szCs w:val="22"/>
                <w:highlight w:val="none"/>
              </w:rPr>
              <w:t>金额：</w:t>
            </w:r>
            <w:r>
              <w:rPr>
                <w:rFonts w:hint="eastAsia" w:cs="宋体" w:asciiTheme="minorEastAsia" w:hAnsiTheme="minorEastAsia" w:eastAsiaTheme="minorEastAsia"/>
                <w:kern w:val="0"/>
                <w:sz w:val="24"/>
                <w:szCs w:val="22"/>
                <w:highlight w:val="none"/>
              </w:rPr>
              <w:t>人民币</w:t>
            </w:r>
            <w:r>
              <w:rPr>
                <w:rFonts w:hint="eastAsia" w:cs="宋体" w:asciiTheme="minorEastAsia" w:hAnsiTheme="minorEastAsia" w:eastAsiaTheme="minorEastAsia"/>
                <w:kern w:val="0"/>
                <w:sz w:val="24"/>
                <w:szCs w:val="22"/>
                <w:highlight w:val="none"/>
                <w:lang w:eastAsia="zh-CN"/>
              </w:rPr>
              <w:t>伍万陆仟元整</w:t>
            </w:r>
            <w:r>
              <w:rPr>
                <w:rFonts w:hint="eastAsia" w:cs="宋体" w:asciiTheme="minorEastAsia" w:hAnsiTheme="minorEastAsia" w:eastAsiaTheme="minorEastAsia"/>
                <w:kern w:val="0"/>
                <w:sz w:val="24"/>
                <w:szCs w:val="22"/>
                <w:highlight w:val="none"/>
              </w:rPr>
              <w:t>（小写</w:t>
            </w:r>
            <w:r>
              <w:rPr>
                <w:rFonts w:hint="eastAsia" w:cs="宋体" w:asciiTheme="minorEastAsia" w:hAnsiTheme="minorEastAsia" w:eastAsiaTheme="minorEastAsia"/>
                <w:kern w:val="0"/>
                <w:sz w:val="24"/>
                <w:szCs w:val="22"/>
                <w:highlight w:val="none"/>
                <w:lang w:val="en-US" w:eastAsia="zh-CN"/>
              </w:rPr>
              <w:t>56000</w:t>
            </w:r>
            <w:r>
              <w:rPr>
                <w:rFonts w:hint="eastAsia" w:cs="宋体" w:asciiTheme="minorEastAsia" w:hAnsiTheme="minorEastAsia" w:eastAsiaTheme="minorEastAsia"/>
                <w:kern w:val="0"/>
                <w:sz w:val="24"/>
                <w:szCs w:val="22"/>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0"/>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kern w:val="0"/>
                <w:sz w:val="24"/>
                <w:szCs w:val="20"/>
                <w:highlight w:val="none"/>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使用银行转帐、银行电汇</w:t>
            </w:r>
            <w:r>
              <w:rPr>
                <w:rFonts w:hint="eastAsia" w:ascii="宋体" w:hAnsi="宋体" w:eastAsia="Times New Roman" w:cs="宋体"/>
                <w:kern w:val="0"/>
                <w:sz w:val="24"/>
                <w:szCs w:val="20"/>
                <w:highlight w:val="none"/>
                <w:lang w:val="zh-CN"/>
              </w:rPr>
              <w:t>方式</w:t>
            </w:r>
            <w:r>
              <w:rPr>
                <w:rFonts w:hint="eastAsia" w:ascii="宋体" w:hAnsi="宋体" w:cs="宋体"/>
                <w:kern w:val="0"/>
                <w:sz w:val="24"/>
                <w:szCs w:val="20"/>
                <w:highlight w:val="none"/>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使用保函方式的，</w:t>
            </w:r>
            <w:r>
              <w:rPr>
                <w:rFonts w:hint="eastAsia" w:ascii="宋体" w:hAnsi="宋体" w:cs="宋体"/>
                <w:kern w:val="0"/>
                <w:sz w:val="24"/>
                <w:szCs w:val="20"/>
                <w:highlight w:val="none"/>
              </w:rPr>
              <w:t>投标</w:t>
            </w:r>
            <w:r>
              <w:rPr>
                <w:rFonts w:hint="eastAsia" w:ascii="宋体" w:hAnsi="宋体" w:cs="宋体"/>
                <w:kern w:val="0"/>
                <w:sz w:val="24"/>
                <w:szCs w:val="20"/>
                <w:highlight w:val="none"/>
                <w:lang w:val="zh-CN"/>
              </w:rPr>
              <w:t>保函应明确项目名称、项目编号、受益人（招标人）、有效期（不低于本项目投标有效期）、保函担保金额（不低于本项目本标段投标保证金数额）。投标人应将</w:t>
            </w:r>
            <w:r>
              <w:rPr>
                <w:rFonts w:hint="eastAsia" w:ascii="宋体" w:hAnsi="宋体" w:cs="宋体"/>
                <w:kern w:val="0"/>
                <w:sz w:val="24"/>
                <w:szCs w:val="20"/>
                <w:highlight w:val="none"/>
              </w:rPr>
              <w:t>真实</w:t>
            </w:r>
            <w:r>
              <w:rPr>
                <w:rFonts w:hint="eastAsia" w:ascii="宋体" w:hAnsi="宋体" w:cs="宋体"/>
                <w:kern w:val="0"/>
                <w:sz w:val="24"/>
                <w:szCs w:val="20"/>
                <w:highlight w:val="none"/>
                <w:lang w:val="zh-CN"/>
              </w:rPr>
              <w:t>合法的保函原件扫描件附于投标文件中，否则视为未按</w:t>
            </w:r>
            <w:r>
              <w:rPr>
                <w:rFonts w:hint="eastAsia" w:ascii="宋体" w:hAnsi="宋体" w:cs="宋体"/>
                <w:kern w:val="0"/>
                <w:sz w:val="24"/>
                <w:szCs w:val="20"/>
                <w:highlight w:val="none"/>
              </w:rPr>
              <w:t>规定提交</w:t>
            </w:r>
            <w:r>
              <w:rPr>
                <w:rFonts w:hint="eastAsia" w:ascii="宋体" w:hAnsi="宋体" w:cs="宋体"/>
                <w:kern w:val="0"/>
                <w:sz w:val="24"/>
                <w:szCs w:val="20"/>
                <w:highlight w:val="none"/>
                <w:lang w:val="zh-CN"/>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2、投标保证金缴纳方式：</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(1)</w:t>
            </w:r>
            <w:r>
              <w:rPr>
                <w:rFonts w:hint="eastAsia" w:ascii="宋体" w:hAnsi="宋体" w:cs="宋体"/>
                <w:kern w:val="0"/>
                <w:sz w:val="24"/>
                <w:szCs w:val="20"/>
                <w:highlight w:val="none"/>
                <w:lang w:val="zh-CN"/>
              </w:rPr>
              <w:t>投标人网上报名后</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kern w:val="0"/>
                <w:sz w:val="24"/>
                <w:szCs w:val="20"/>
                <w:highlight w:val="none"/>
              </w:rPr>
              <w:t>http://221.14.6.70:8088/ggzy</w:t>
            </w:r>
            <w:r>
              <w:rPr>
                <w:rFonts w:hint="eastAsia" w:ascii="宋体" w:hAnsi="宋体" w:cs="宋体"/>
                <w:kern w:val="0"/>
                <w:sz w:val="24"/>
                <w:szCs w:val="20"/>
                <w:highlight w:val="none"/>
              </w:rPr>
              <w:fldChar w:fldCharType="end"/>
            </w:r>
            <w:r>
              <w:rPr>
                <w:rFonts w:hint="eastAsia" w:ascii="宋体" w:hAnsi="宋体" w:cs="宋体"/>
                <w:kern w:val="0"/>
                <w:sz w:val="24"/>
                <w:szCs w:val="20"/>
                <w:highlight w:val="none"/>
                <w:lang w:val="zh-CN"/>
              </w:rPr>
              <w:t>系统</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依次点击</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会员向导</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参与投标</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费用缴纳说明</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保证金缴纳说明单</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获取缴费说明单</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根据每个标段的缴纳说明单在缴纳截止时间前缴纳</w:t>
            </w:r>
            <w:r>
              <w:rPr>
                <w:rFonts w:hint="eastAsia" w:ascii="宋体" w:hAnsi="宋体" w:cs="宋体"/>
                <w:kern w:val="0"/>
                <w:sz w:val="24"/>
                <w:szCs w:val="20"/>
                <w:highlight w:val="none"/>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rPr>
              <w:t xml:space="preserve">    (2)</w:t>
            </w:r>
            <w:r>
              <w:rPr>
                <w:rFonts w:hint="eastAsia" w:ascii="宋体" w:hAnsi="宋体" w:cs="宋体"/>
                <w:kern w:val="0"/>
                <w:sz w:val="24"/>
                <w:szCs w:val="20"/>
                <w:highlight w:val="none"/>
                <w:lang w:val="zh-CN"/>
              </w:rPr>
              <w:t>成功缴纳后</w:t>
            </w:r>
            <w:r>
              <w:rPr>
                <w:rFonts w:hint="eastAsia" w:ascii="宋体" w:hAnsi="宋体" w:cs="宋体"/>
                <w:kern w:val="0"/>
                <w:sz w:val="24"/>
                <w:szCs w:val="20"/>
                <w:highlight w:val="none"/>
              </w:rPr>
              <w:t>再次</w:t>
            </w:r>
            <w:r>
              <w:rPr>
                <w:rFonts w:hint="eastAsia" w:ascii="宋体" w:hAnsi="宋体" w:cs="宋体"/>
                <w:kern w:val="0"/>
                <w:sz w:val="24"/>
                <w:szCs w:val="20"/>
                <w:highlight w:val="none"/>
                <w:lang w:val="zh-CN"/>
              </w:rPr>
              <w:t>登录前述系统</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依次点击</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会员向导</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参与投标</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保证金绑定</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绑定</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进行投标保证金绑定。未绑定标段的投标保证金，视为未按</w:t>
            </w:r>
            <w:r>
              <w:rPr>
                <w:rFonts w:hint="eastAsia" w:ascii="宋体" w:hAnsi="宋体" w:cs="宋体"/>
                <w:kern w:val="0"/>
                <w:sz w:val="24"/>
                <w:szCs w:val="20"/>
                <w:highlight w:val="none"/>
              </w:rPr>
              <w:t>规定提交</w:t>
            </w:r>
            <w:r>
              <w:rPr>
                <w:rFonts w:hint="eastAsia" w:ascii="宋体" w:hAnsi="宋体" w:cs="宋体"/>
                <w:kern w:val="0"/>
                <w:sz w:val="24"/>
                <w:szCs w:val="20"/>
                <w:highlight w:val="none"/>
                <w:lang w:val="zh-CN"/>
              </w:rPr>
              <w:t>。</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(3)</w:t>
            </w:r>
            <w:r>
              <w:rPr>
                <w:rFonts w:hint="eastAsia" w:ascii="宋体" w:hAnsi="宋体" w:cs="宋体"/>
                <w:kern w:val="0"/>
                <w:sz w:val="24"/>
                <w:szCs w:val="20"/>
                <w:highlight w:val="none"/>
                <w:lang w:val="zh-CN"/>
              </w:rPr>
              <w:t>投标人成功绑定投标保证金，将缴纳凭证</w:t>
            </w:r>
            <w:r>
              <w:rPr>
                <w:rFonts w:hint="eastAsia" w:ascii="宋体" w:hAnsi="宋体" w:cs="宋体"/>
                <w:kern w:val="0"/>
                <w:sz w:val="24"/>
                <w:szCs w:val="20"/>
                <w:highlight w:val="none"/>
              </w:rPr>
              <w:t>即本项目投保保证金</w:t>
            </w:r>
            <w:r>
              <w:rPr>
                <w:rFonts w:hint="eastAsia" w:ascii="宋体" w:hAnsi="宋体" w:cs="宋体"/>
                <w:kern w:val="0"/>
                <w:sz w:val="24"/>
                <w:szCs w:val="20"/>
                <w:highlight w:val="none"/>
                <w:lang w:val="zh-CN"/>
              </w:rPr>
              <w:t>“许昌市建安区公共资源交易中心保证金缴纳回执”附于投标文件中，</w:t>
            </w:r>
            <w:r>
              <w:rPr>
                <w:rFonts w:hint="eastAsia" w:ascii="宋体" w:hAnsi="宋体" w:cs="宋体"/>
                <w:kern w:val="0"/>
                <w:sz w:val="24"/>
                <w:szCs w:val="20"/>
                <w:highlight w:val="none"/>
              </w:rPr>
              <w:t>否则视为未按规定提交。</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w:t>
            </w:r>
            <w:r>
              <w:rPr>
                <w:rFonts w:hint="eastAsia" w:ascii="宋体" w:hAnsi="宋体" w:cs="宋体"/>
                <w:kern w:val="0"/>
                <w:sz w:val="24"/>
                <w:szCs w:val="20"/>
                <w:highlight w:val="none"/>
              </w:rPr>
              <w:t>(4)</w:t>
            </w:r>
            <w:r>
              <w:rPr>
                <w:rFonts w:hint="eastAsia" w:ascii="宋体" w:hAnsi="宋体" w:cs="宋体"/>
                <w:kern w:val="0"/>
                <w:sz w:val="24"/>
                <w:szCs w:val="20"/>
                <w:highlight w:val="none"/>
                <w:lang w:val="zh-CN"/>
              </w:rPr>
              <w:t>每个投标人每个项目每个标段只有唯一缴纳账号，</w:t>
            </w:r>
            <w:r>
              <w:rPr>
                <w:rFonts w:hint="eastAsia" w:ascii="宋体" w:hAnsi="宋体" w:cs="宋体"/>
                <w:kern w:val="0"/>
                <w:sz w:val="24"/>
                <w:szCs w:val="20"/>
                <w:highlight w:val="none"/>
              </w:rPr>
              <w:t>切勿重复缴纳或错误缴纳。</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3、未按上述规定操作引起的无效投标，由投标人自行负责。</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lang w:val="zh-CN"/>
              </w:rPr>
              <w:t xml:space="preserve">   4、汇款凭证无须备注项目编号和项目名称。</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5、出现以下情形造成的投标保证金无效，由投标人自行负责。</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(1)投标保证金未从投标人的基本账户转出；</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(2)投标保证金未按照招标文件划分的标段转账。</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6、《保证金缴纳绑定操作指南》获取方法：</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1</w:t>
            </w:r>
            <w:r>
              <w:rPr>
                <w:rFonts w:hint="eastAsia" w:ascii="宋体" w:hAnsi="宋体" w:cs="宋体"/>
                <w:kern w:val="0"/>
                <w:sz w:val="24"/>
                <w:szCs w:val="20"/>
                <w:highlight w:val="none"/>
              </w:rPr>
              <w:t>)自文件发布之日起，投标人需进行基本户备案，已备案的基本户开户银行、账户发生变化的，须重新办理备案手续。备案后方可提交投标（竞买）保证金。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2</w:t>
            </w:r>
            <w:r>
              <w:rPr>
                <w:rFonts w:hint="eastAsia" w:ascii="宋体" w:hAnsi="宋体" w:cs="宋体"/>
                <w:kern w:val="0"/>
                <w:sz w:val="24"/>
                <w:szCs w:val="20"/>
                <w:highlight w:val="none"/>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ascii="宋体" w:hAnsi="宋体" w:cs="宋体"/>
                <w:kern w:val="0"/>
                <w:sz w:val="24"/>
                <w:szCs w:val="20"/>
                <w:highlight w:val="none"/>
              </w:rPr>
            </w:pPr>
            <w:r>
              <w:rPr>
                <w:rFonts w:hint="eastAsia" w:ascii="宋体" w:hAnsi="宋体" w:cs="宋体"/>
                <w:kern w:val="0"/>
                <w:sz w:val="24"/>
                <w:szCs w:val="20"/>
                <w:highlight w:val="none"/>
              </w:rPr>
              <w:t xml:space="preserve">  (</w:t>
            </w:r>
            <w:r>
              <w:rPr>
                <w:rFonts w:ascii="宋体" w:hAnsi="宋体" w:cs="宋体"/>
                <w:kern w:val="0"/>
                <w:sz w:val="24"/>
                <w:szCs w:val="20"/>
                <w:highlight w:val="none"/>
              </w:rPr>
              <w:t>3</w:t>
            </w:r>
            <w:r>
              <w:rPr>
                <w:rFonts w:hint="eastAsia" w:ascii="宋体" w:hAnsi="宋体" w:cs="宋体"/>
                <w:kern w:val="0"/>
                <w:sz w:val="24"/>
                <w:szCs w:val="20"/>
                <w:highlight w:val="none"/>
              </w:rPr>
              <w:t>)特殊情况处理</w:t>
            </w:r>
          </w:p>
          <w:p>
            <w:pPr>
              <w:autoSpaceDE w:val="0"/>
              <w:autoSpaceDN w:val="0"/>
              <w:adjustRightInd w:val="0"/>
              <w:spacing w:line="340" w:lineRule="exact"/>
              <w:rPr>
                <w:rFonts w:ascii="宋体" w:hAnsi="宋体" w:cs="宋体"/>
                <w:kern w:val="0"/>
                <w:sz w:val="24"/>
                <w:szCs w:val="20"/>
                <w:highlight w:val="none"/>
                <w:lang w:val="zh-CN"/>
              </w:rPr>
            </w:pPr>
            <w:r>
              <w:rPr>
                <w:rFonts w:hint="eastAsia" w:ascii="宋体" w:hAnsi="宋体" w:cs="宋体"/>
                <w:kern w:val="0"/>
                <w:sz w:val="24"/>
                <w:szCs w:val="20"/>
                <w:highlight w:val="none"/>
              </w:rPr>
              <w:t xml:space="preserve">   投标人投标过程中因账户开户银行、银行账号发生变化，不能按照来款途径原路</w:t>
            </w:r>
            <w:r>
              <w:rPr>
                <w:rFonts w:hint="eastAsia" w:cs="宋体" w:asciiTheme="minorEastAsia" w:hAnsiTheme="minorEastAsia"/>
                <w:bCs/>
                <w:kern w:val="0"/>
                <w:sz w:val="24"/>
                <w:szCs w:val="20"/>
                <w:highlight w:val="none"/>
              </w:rPr>
              <w:t>返还投标保证金的，投标人须提供原账户开户银行相关证明及新开账户开户许可证，到建安区公共资源交易中心四楼财务部办理退款手续。</w:t>
            </w:r>
            <w:r>
              <w:rPr>
                <w:rFonts w:hint="eastAsia" w:ascii="宋体" w:hAnsi="宋体" w:cs="宋体"/>
                <w:kern w:val="0"/>
                <w:sz w:val="24"/>
                <w:szCs w:val="20"/>
                <w:highlight w:val="none"/>
                <w:lang w:val="zh-CN"/>
              </w:rPr>
              <w:t>登录许昌公共资源交易系统-组件下载-《保证金缴纳绑定操作指南》。</w:t>
            </w:r>
          </w:p>
          <w:p>
            <w:pPr>
              <w:rPr>
                <w:rFonts w:cs="宋体" w:asciiTheme="minorEastAsia" w:hAnsiTheme="minorEastAsia" w:eastAsiaTheme="minorEastAsia"/>
                <w:kern w:val="0"/>
                <w:sz w:val="24"/>
                <w:szCs w:val="20"/>
                <w:highlight w:val="none"/>
              </w:rPr>
            </w:pPr>
            <w:r>
              <w:rPr>
                <w:rFonts w:hint="eastAsia" w:ascii="宋体" w:hAnsi="宋体" w:cs="宋体"/>
                <w:kern w:val="0"/>
                <w:sz w:val="24"/>
                <w:szCs w:val="20"/>
                <w:highlight w:val="none"/>
              </w:rPr>
              <w:t xml:space="preserve">    7、</w:t>
            </w:r>
            <w:r>
              <w:rPr>
                <w:rFonts w:hint="eastAsia" w:ascii="宋体" w:hAnsi="宋体" w:cs="宋体"/>
                <w:kern w:val="0"/>
                <w:sz w:val="24"/>
                <w:szCs w:val="20"/>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kern w:val="0"/>
                <w:sz w:val="24"/>
                <w:szCs w:val="20"/>
                <w:highlight w:val="none"/>
              </w:rPr>
            </w:pPr>
            <w:r>
              <w:rPr>
                <w:rFonts w:hint="eastAsia" w:cs="宋体" w:asciiTheme="minorEastAsia" w:hAnsiTheme="minorEastAsia" w:eastAsiaTheme="minorEastAsia"/>
                <w:kern w:val="0"/>
                <w:sz w:val="24"/>
                <w:szCs w:val="20"/>
                <w:highlight w:val="none"/>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1</w:t>
            </w:r>
            <w:r>
              <w:rPr>
                <w:rFonts w:hint="eastAsia" w:cs="宋体" w:asciiTheme="minorEastAsia" w:hAnsiTheme="minorEastAsia" w:eastAsiaTheme="minorEastAsia"/>
                <w:bCs/>
                <w:kern w:val="0"/>
                <w:sz w:val="24"/>
                <w:szCs w:val="20"/>
                <w:highlight w:val="none"/>
              </w:rPr>
              <w:t>、自文件发布之日起，投标人需进行基本户备案，已备案的基本户开户银行、账户发生变化的，须重新办理备案手续。备案后方可提交投标（竞买）保证金。</w:t>
            </w:r>
          </w:p>
          <w:p>
            <w:pPr>
              <w:tabs>
                <w:tab w:val="left" w:pos="820"/>
              </w:tabs>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2</w:t>
            </w:r>
            <w:r>
              <w:rPr>
                <w:rFonts w:hint="eastAsia" w:cs="宋体" w:asciiTheme="minorEastAsia" w:hAnsiTheme="minorEastAsia" w:eastAsiaTheme="minorEastAsia"/>
                <w:bCs/>
                <w:kern w:val="0"/>
                <w:sz w:val="24"/>
                <w:szCs w:val="20"/>
                <w:highlight w:val="none"/>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kern w:val="0"/>
                <w:sz w:val="24"/>
                <w:szCs w:val="20"/>
                <w:highlight w:val="none"/>
              </w:rPr>
            </w:pPr>
            <w:r>
              <w:rPr>
                <w:rFonts w:cs="宋体" w:asciiTheme="minorEastAsia" w:hAnsiTheme="minorEastAsia" w:eastAsiaTheme="minorEastAsia"/>
                <w:bCs/>
                <w:kern w:val="0"/>
                <w:sz w:val="24"/>
                <w:szCs w:val="20"/>
                <w:highlight w:val="none"/>
              </w:rPr>
              <w:t>3</w:t>
            </w:r>
            <w:r>
              <w:rPr>
                <w:rFonts w:hint="eastAsia" w:cs="宋体" w:asciiTheme="minorEastAsia" w:hAnsiTheme="minorEastAsia" w:eastAsiaTheme="minorEastAsia"/>
                <w:bCs/>
                <w:kern w:val="0"/>
                <w:sz w:val="24"/>
                <w:szCs w:val="20"/>
                <w:highlight w:val="none"/>
              </w:rPr>
              <w:t>、特殊情况处理</w:t>
            </w:r>
          </w:p>
          <w:p>
            <w:pPr>
              <w:adjustRightInd w:val="0"/>
              <w:spacing w:line="360" w:lineRule="exact"/>
              <w:ind w:firstLine="470" w:firstLineChars="196"/>
              <w:rPr>
                <w:rFonts w:cs="仿宋_GB2312" w:asciiTheme="minorEastAsia" w:hAnsiTheme="minorEastAsia" w:eastAsiaTheme="minorEastAsia"/>
                <w:kern w:val="0"/>
                <w:sz w:val="24"/>
                <w:szCs w:val="20"/>
                <w:highlight w:val="none"/>
              </w:rPr>
            </w:pPr>
            <w:r>
              <w:rPr>
                <w:rFonts w:hint="eastAsia" w:cs="宋体" w:asciiTheme="minorEastAsia" w:hAnsiTheme="minorEastAsia" w:eastAsiaTheme="minorEastAsia"/>
                <w:bCs/>
                <w:kern w:val="0"/>
                <w:sz w:val="24"/>
                <w:szCs w:val="20"/>
                <w:highlight w:val="none"/>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210"/>
        <w:rPr>
          <w:highlight w:val="none"/>
        </w:rPr>
      </w:pPr>
    </w:p>
    <w:p>
      <w:pPr>
        <w:pStyle w:val="4"/>
        <w:ind w:left="420" w:firstLine="420"/>
        <w:rPr>
          <w:rFonts w:hint="default"/>
          <w:highlight w:val="none"/>
        </w:rPr>
      </w:pPr>
    </w:p>
    <w:p>
      <w:pPr>
        <w:pStyle w:val="4"/>
        <w:ind w:left="420" w:firstLine="420"/>
        <w:rPr>
          <w:rFonts w:hint="default"/>
          <w:highlight w:val="none"/>
        </w:rPr>
      </w:pPr>
    </w:p>
    <w:p>
      <w:pPr>
        <w:pStyle w:val="4"/>
        <w:ind w:left="420" w:firstLine="420"/>
        <w:rPr>
          <w:rFonts w:hint="default"/>
          <w:highlight w:val="none"/>
        </w:rPr>
      </w:pPr>
    </w:p>
    <w:p>
      <w:pPr>
        <w:pStyle w:val="4"/>
        <w:ind w:left="420" w:firstLine="420"/>
        <w:rPr>
          <w:rFonts w:hint="default"/>
          <w:highlight w:val="none"/>
          <w:lang w:eastAsia="zh-CN"/>
        </w:rPr>
      </w:pPr>
    </w:p>
    <w:p>
      <w:pPr>
        <w:jc w:val="center"/>
        <w:rPr>
          <w:rFonts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投标保证金退还申请表</w:t>
      </w:r>
    </w:p>
    <w:tbl>
      <w:tblPr>
        <w:tblStyle w:val="16"/>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highlight w:val="none"/>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cs="新宋体" w:asciiTheme="minorEastAsia" w:hAnsiTheme="minorEastAsia" w:eastAsiaTheme="minorEastAsia"/>
                <w:kern w:val="0"/>
                <w:sz w:val="24"/>
                <w:szCs w:val="20"/>
                <w:highlight w:val="none"/>
              </w:rPr>
            </w:pPr>
          </w:p>
          <w:p>
            <w:pPr>
              <w:ind w:right="480" w:firstLine="5880" w:firstLineChars="2450"/>
              <w:rPr>
                <w:rFonts w:asciiTheme="minorEastAsia" w:hAnsiTheme="minorEastAsia" w:eastAsiaTheme="minorEastAsia"/>
                <w:kern w:val="0"/>
                <w:sz w:val="24"/>
                <w:szCs w:val="20"/>
                <w:highlight w:val="none"/>
              </w:rPr>
            </w:pPr>
            <w:r>
              <w:rPr>
                <w:rFonts w:hint="eastAsia" w:cs="新宋体" w:asciiTheme="minorEastAsia" w:hAnsiTheme="minorEastAsia" w:eastAsiaTheme="minorEastAsia"/>
                <w:kern w:val="0"/>
                <w:sz w:val="24"/>
                <w:szCs w:val="20"/>
                <w:highlight w:val="none"/>
              </w:rPr>
              <w:t>年   月   日</w:t>
            </w:r>
          </w:p>
        </w:tc>
      </w:tr>
    </w:tbl>
    <w:p>
      <w:pPr>
        <w:widowControl/>
        <w:spacing w:line="520" w:lineRule="exact"/>
        <w:rPr>
          <w:rFonts w:ascii="仿宋_GB2312" w:hAnsi="Arial" w:eastAsia="仿宋_GB2312" w:cs="Arial"/>
          <w:b/>
          <w:bCs/>
          <w:kern w:val="0"/>
          <w:sz w:val="40"/>
          <w:szCs w:val="40"/>
          <w:highlight w:val="none"/>
        </w:rPr>
      </w:pPr>
    </w:p>
    <w:p>
      <w:pPr>
        <w:rPr>
          <w:rFonts w:asciiTheme="minorEastAsia" w:hAnsiTheme="minorEastAsia" w:eastAsiaTheme="minorEastAsia"/>
          <w:b/>
          <w:bCs/>
          <w:kern w:val="0"/>
          <w:sz w:val="32"/>
          <w:szCs w:val="32"/>
          <w:highlight w:val="none"/>
        </w:rPr>
      </w:pPr>
      <w:r>
        <w:rPr>
          <w:rFonts w:hint="eastAsia" w:asciiTheme="minorEastAsia" w:hAnsiTheme="minorEastAsia" w:eastAsiaTheme="minorEastAsia"/>
          <w:kern w:val="0"/>
          <w:sz w:val="24"/>
          <w:szCs w:val="20"/>
          <w:highlight w:val="none"/>
        </w:rPr>
        <w:t>备注：中标单位使用此表退还保证金时，此表格大小及格式不得改变</w:t>
      </w:r>
      <w:r>
        <w:rPr>
          <w:rFonts w:hint="eastAsia" w:asciiTheme="minorEastAsia" w:hAnsiTheme="minorEastAsia" w:eastAsiaTheme="minorEastAsia"/>
          <w:kern w:val="0"/>
          <w:sz w:val="28"/>
          <w:szCs w:val="28"/>
          <w:highlight w:val="none"/>
        </w:rPr>
        <w:t>。</w:t>
      </w:r>
    </w:p>
    <w:p>
      <w:pPr>
        <w:pStyle w:val="4"/>
        <w:ind w:left="0" w:leftChars="0" w:firstLine="0" w:firstLineChars="0"/>
        <w:rPr>
          <w:rFonts w:hint="default"/>
          <w:highlight w:val="none"/>
          <w:lang w:eastAsia="zh-CN"/>
        </w:rPr>
      </w:pPr>
    </w:p>
    <w:p>
      <w:pPr>
        <w:jc w:val="center"/>
        <w:rPr>
          <w:rFonts w:ascii="宋体" w:hAnsi="宋体"/>
          <w:b/>
          <w:color w:val="000000"/>
          <w:sz w:val="36"/>
          <w:szCs w:val="36"/>
          <w:highlight w:val="none"/>
        </w:rPr>
      </w:pPr>
      <w:r>
        <w:rPr>
          <w:rFonts w:hint="eastAsia" w:ascii="宋体" w:hAnsi="宋体"/>
          <w:b/>
          <w:color w:val="000000"/>
          <w:sz w:val="36"/>
          <w:szCs w:val="36"/>
          <w:highlight w:val="none"/>
        </w:rPr>
        <w:t>履约保证金退还申请表</w:t>
      </w:r>
    </w:p>
    <w:tbl>
      <w:tblPr>
        <w:tblStyle w:val="16"/>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项目编号</w:t>
            </w:r>
          </w:p>
        </w:tc>
        <w:tc>
          <w:tcPr>
            <w:tcW w:w="7208" w:type="dxa"/>
            <w:gridSpan w:val="4"/>
            <w:vAlign w:val="center"/>
          </w:tcPr>
          <w:p>
            <w:pPr>
              <w:spacing w:line="360" w:lineRule="exact"/>
              <w:ind w:firstLine="240" w:firstLineChars="100"/>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中标企业名称</w:t>
            </w:r>
          </w:p>
        </w:tc>
        <w:tc>
          <w:tcPr>
            <w:tcW w:w="7208" w:type="dxa"/>
            <w:gridSpan w:val="4"/>
            <w:vAlign w:val="center"/>
          </w:tcPr>
          <w:p>
            <w:pPr>
              <w:spacing w:line="36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开户银行</w:t>
            </w:r>
          </w:p>
        </w:tc>
        <w:tc>
          <w:tcPr>
            <w:tcW w:w="3267" w:type="dxa"/>
            <w:vAlign w:val="center"/>
          </w:tcPr>
          <w:p>
            <w:pPr>
              <w:rPr>
                <w:rFonts w:ascii="宋体" w:hAnsi="宋体"/>
                <w:color w:val="000000"/>
                <w:sz w:val="24"/>
                <w:highlight w:val="none"/>
              </w:rPr>
            </w:pPr>
          </w:p>
        </w:tc>
        <w:tc>
          <w:tcPr>
            <w:tcW w:w="1134" w:type="dxa"/>
            <w:vAlign w:val="center"/>
          </w:tcPr>
          <w:p>
            <w:pPr>
              <w:spacing w:line="360" w:lineRule="exact"/>
              <w:rPr>
                <w:rFonts w:ascii="宋体" w:hAnsi="宋体"/>
                <w:color w:val="000000"/>
                <w:sz w:val="24"/>
                <w:highlight w:val="none"/>
              </w:rPr>
            </w:pPr>
            <w:r>
              <w:rPr>
                <w:rFonts w:hint="eastAsia" w:ascii="宋体" w:hAnsi="宋体"/>
                <w:color w:val="000000"/>
                <w:sz w:val="24"/>
                <w:highlight w:val="none"/>
              </w:rPr>
              <w:t>账号</w:t>
            </w:r>
          </w:p>
        </w:tc>
        <w:tc>
          <w:tcPr>
            <w:tcW w:w="2807" w:type="dxa"/>
            <w:gridSpan w:val="2"/>
            <w:vAlign w:val="center"/>
          </w:tcPr>
          <w:p>
            <w:pP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金额</w:t>
            </w:r>
          </w:p>
        </w:tc>
        <w:tc>
          <w:tcPr>
            <w:tcW w:w="7208" w:type="dxa"/>
            <w:gridSpan w:val="4"/>
            <w:vAlign w:val="center"/>
          </w:tcPr>
          <w:p>
            <w:pPr>
              <w:rPr>
                <w:rFonts w:ascii="宋体" w:hAnsi="宋体"/>
                <w:color w:val="000000"/>
                <w:sz w:val="24"/>
                <w:highlight w:val="none"/>
              </w:rPr>
            </w:pPr>
            <w:r>
              <w:rPr>
                <w:rFonts w:hint="eastAsia" w:ascii="宋体" w:hAnsi="宋体"/>
                <w:color w:val="000000"/>
                <w:sz w:val="24"/>
                <w:highlight w:val="none"/>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中标时间</w:t>
            </w:r>
          </w:p>
        </w:tc>
        <w:tc>
          <w:tcPr>
            <w:tcW w:w="3267" w:type="dxa"/>
            <w:vAlign w:val="center"/>
          </w:tcPr>
          <w:p>
            <w:pPr>
              <w:rPr>
                <w:rFonts w:ascii="宋体" w:hAnsi="宋体"/>
                <w:color w:val="000000"/>
                <w:sz w:val="24"/>
                <w:highlight w:val="none"/>
              </w:rPr>
            </w:pPr>
          </w:p>
        </w:tc>
        <w:tc>
          <w:tcPr>
            <w:tcW w:w="1235" w:type="dxa"/>
            <w:gridSpan w:val="2"/>
            <w:vAlign w:val="center"/>
          </w:tcPr>
          <w:p>
            <w:pPr>
              <w:spacing w:line="360" w:lineRule="exact"/>
              <w:rPr>
                <w:rFonts w:ascii="宋体" w:hAnsi="宋体"/>
                <w:color w:val="000000"/>
                <w:sz w:val="24"/>
                <w:highlight w:val="none"/>
              </w:rPr>
            </w:pPr>
            <w:r>
              <w:rPr>
                <w:rFonts w:hint="eastAsia" w:ascii="宋体" w:hAnsi="宋体"/>
                <w:color w:val="000000"/>
                <w:sz w:val="24"/>
                <w:highlight w:val="none"/>
              </w:rPr>
              <w:t>履约期限</w:t>
            </w:r>
          </w:p>
        </w:tc>
        <w:tc>
          <w:tcPr>
            <w:tcW w:w="2706" w:type="dxa"/>
            <w:vAlign w:val="center"/>
          </w:tcPr>
          <w:p>
            <w:pP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ascii="宋体" w:hAnsi="宋体"/>
                <w:color w:val="000000"/>
                <w:sz w:val="24"/>
                <w:highlight w:val="none"/>
              </w:rPr>
            </w:pPr>
            <w:r>
              <w:rPr>
                <w:rFonts w:hint="eastAsia" w:ascii="宋体" w:hAnsi="宋体"/>
                <w:color w:val="000000"/>
                <w:sz w:val="24"/>
                <w:highlight w:val="none"/>
              </w:rPr>
              <w:t xml:space="preserve">                            </w:t>
            </w:r>
          </w:p>
          <w:p>
            <w:pPr>
              <w:ind w:firstLine="840" w:firstLineChars="350"/>
              <w:rPr>
                <w:rFonts w:ascii="宋体" w:hAnsi="宋体"/>
                <w:color w:val="000000"/>
                <w:sz w:val="24"/>
                <w:highlight w:val="none"/>
              </w:rPr>
            </w:pPr>
            <w:r>
              <w:rPr>
                <w:rFonts w:hint="eastAsia" w:ascii="宋体" w:hAnsi="宋体"/>
                <w:color w:val="000000"/>
                <w:sz w:val="24"/>
                <w:highlight w:val="none"/>
              </w:rPr>
              <w:t>项目负责人签字：</w:t>
            </w:r>
          </w:p>
          <w:p>
            <w:pPr>
              <w:ind w:firstLine="840" w:firstLineChars="350"/>
              <w:rPr>
                <w:rFonts w:ascii="宋体" w:hAnsi="宋体"/>
                <w:color w:val="000000"/>
                <w:sz w:val="24"/>
                <w:highlight w:val="none"/>
              </w:rPr>
            </w:pPr>
          </w:p>
          <w:p>
            <w:pPr>
              <w:ind w:firstLine="840" w:firstLineChars="350"/>
              <w:rPr>
                <w:rFonts w:ascii="宋体" w:hAnsi="宋体"/>
                <w:color w:val="000000"/>
                <w:sz w:val="24"/>
                <w:highlight w:val="none"/>
              </w:rPr>
            </w:pPr>
            <w:r>
              <w:rPr>
                <w:rFonts w:hint="eastAsia" w:ascii="宋体" w:hAnsi="宋体"/>
                <w:color w:val="000000"/>
                <w:sz w:val="24"/>
                <w:highlight w:val="none"/>
              </w:rPr>
              <w:t xml:space="preserve">联  系  电  话：                     盖     章：                        </w:t>
            </w:r>
          </w:p>
          <w:p>
            <w:pPr>
              <w:jc w:val="center"/>
              <w:rPr>
                <w:rFonts w:ascii="宋体" w:hAnsi="宋体"/>
                <w:color w:val="000000"/>
                <w:sz w:val="24"/>
                <w:highlight w:val="none"/>
              </w:rPr>
            </w:pPr>
          </w:p>
          <w:p>
            <w:pPr>
              <w:ind w:right="480" w:firstLine="5880" w:firstLineChars="2450"/>
              <w:rPr>
                <w:rFonts w:ascii="宋体" w:hAnsi="宋体"/>
                <w:color w:val="000000"/>
                <w:sz w:val="24"/>
                <w:highlight w:val="none"/>
              </w:rPr>
            </w:pPr>
            <w:r>
              <w:rPr>
                <w:rFonts w:hint="eastAsia" w:ascii="宋体" w:hAnsi="宋体"/>
                <w:color w:val="000000"/>
                <w:sz w:val="24"/>
                <w:highlight w:val="none"/>
              </w:rPr>
              <w:t>年   月   日</w:t>
            </w:r>
          </w:p>
        </w:tc>
      </w:tr>
    </w:tbl>
    <w:p>
      <w:pPr>
        <w:spacing w:line="1000" w:lineRule="exact"/>
        <w:rPr>
          <w:rFonts w:ascii="方正小标宋简体" w:hAnsi="Calibri" w:eastAsia="方正小标宋简体" w:cs="宋体"/>
          <w:sz w:val="32"/>
          <w:szCs w:val="32"/>
          <w:highlight w:val="none"/>
          <w:lang w:val="zh-CN"/>
        </w:rPr>
      </w:pPr>
    </w:p>
    <w:p>
      <w:pPr>
        <w:rPr>
          <w:highlight w:val="none"/>
        </w:rPr>
      </w:pPr>
    </w:p>
    <w:p>
      <w:pPr>
        <w:adjustRightInd w:val="0"/>
        <w:snapToGrid w:val="0"/>
        <w:rPr>
          <w:rFonts w:ascii="方正小标宋简体" w:hAnsi="宋体" w:eastAsia="方正小标宋简体" w:cs="宋体"/>
          <w:sz w:val="36"/>
          <w:szCs w:val="36"/>
          <w:highlight w:val="none"/>
        </w:rPr>
      </w:pPr>
    </w:p>
    <w:p>
      <w:pPr>
        <w:rPr>
          <w:rFonts w:ascii="黑体" w:hAnsi="宋体" w:eastAsia="黑体"/>
          <w:b/>
          <w:sz w:val="32"/>
          <w:szCs w:val="32"/>
          <w:highlight w:val="none"/>
        </w:rPr>
      </w:pPr>
      <w:bookmarkStart w:id="203" w:name="_Toc234382646"/>
    </w:p>
    <w:p>
      <w:pPr>
        <w:rPr>
          <w:rFonts w:ascii="黑体" w:hAnsi="宋体" w:eastAsia="黑体"/>
          <w:b/>
          <w:sz w:val="32"/>
          <w:szCs w:val="32"/>
          <w:highlight w:val="none"/>
        </w:rPr>
      </w:pPr>
    </w:p>
    <w:p>
      <w:pPr>
        <w:rPr>
          <w:rFonts w:ascii="黑体" w:hAnsi="宋体" w:eastAsia="黑体"/>
          <w:b/>
          <w:sz w:val="32"/>
          <w:szCs w:val="32"/>
          <w:highlight w:val="none"/>
        </w:rPr>
      </w:pPr>
    </w:p>
    <w:p>
      <w:pPr>
        <w:rPr>
          <w:rFonts w:ascii="黑体" w:hAnsi="宋体" w:eastAsia="黑体"/>
          <w:b/>
          <w:sz w:val="32"/>
          <w:szCs w:val="32"/>
          <w:highlight w:val="none"/>
        </w:rPr>
      </w:pPr>
      <w:r>
        <w:rPr>
          <w:rFonts w:ascii="黑体" w:hAnsi="宋体" w:eastAsia="黑体"/>
          <w:b/>
          <w:sz w:val="32"/>
          <w:szCs w:val="32"/>
          <w:highlight w:val="none"/>
        </w:rPr>
        <w:t>附</w:t>
      </w:r>
      <w:r>
        <w:rPr>
          <w:rFonts w:hint="eastAsia" w:ascii="黑体" w:hAnsi="宋体" w:eastAsia="黑体"/>
          <w:b/>
          <w:sz w:val="32"/>
          <w:szCs w:val="32"/>
          <w:highlight w:val="none"/>
        </w:rPr>
        <w:t>件二</w:t>
      </w:r>
      <w:r>
        <w:rPr>
          <w:rFonts w:ascii="黑体" w:hAnsi="宋体" w:eastAsia="黑体"/>
          <w:b/>
          <w:sz w:val="32"/>
          <w:szCs w:val="32"/>
          <w:highlight w:val="none"/>
        </w:rPr>
        <w:t>：问题澄清通知</w:t>
      </w:r>
      <w:bookmarkEnd w:id="203"/>
    </w:p>
    <w:p>
      <w:pPr>
        <w:rPr>
          <w:rFonts w:ascii="宋体" w:hAnsi="宋体"/>
          <w:sz w:val="24"/>
          <w:highlight w:val="none"/>
        </w:rPr>
      </w:pPr>
    </w:p>
    <w:p>
      <w:pPr>
        <w:jc w:val="center"/>
        <w:rPr>
          <w:rFonts w:ascii="黑体" w:hAnsi="宋体" w:eastAsia="黑体"/>
          <w:b/>
          <w:bCs/>
          <w:kern w:val="44"/>
          <w:sz w:val="28"/>
          <w:szCs w:val="28"/>
          <w:highlight w:val="none"/>
        </w:rPr>
      </w:pPr>
      <w:r>
        <w:rPr>
          <w:rFonts w:hint="eastAsia" w:ascii="黑体" w:hAnsi="宋体" w:eastAsia="黑体"/>
          <w:b/>
          <w:bCs/>
          <w:kern w:val="44"/>
          <w:sz w:val="28"/>
          <w:szCs w:val="28"/>
          <w:highlight w:val="none"/>
        </w:rPr>
        <w:t>问题澄清通知</w:t>
      </w:r>
    </w:p>
    <w:p>
      <w:pPr>
        <w:rPr>
          <w:rFonts w:ascii="宋体" w:hAnsi="宋体"/>
          <w:sz w:val="24"/>
          <w:highlight w:val="none"/>
        </w:rPr>
      </w:pPr>
    </w:p>
    <w:p>
      <w:pPr>
        <w:jc w:val="center"/>
        <w:rPr>
          <w:rFonts w:ascii="宋体" w:hAnsi="宋体"/>
          <w:sz w:val="24"/>
          <w:highlight w:val="none"/>
        </w:rPr>
      </w:pPr>
      <w:r>
        <w:rPr>
          <w:rFonts w:ascii="宋体" w:hAnsi="宋体"/>
          <w:sz w:val="24"/>
          <w:highlight w:val="none"/>
        </w:rPr>
        <w:t>编号：</w:t>
      </w:r>
    </w:p>
    <w:p>
      <w:pPr>
        <w:rPr>
          <w:rFonts w:ascii="宋体" w:hAnsi="宋体"/>
          <w:sz w:val="24"/>
          <w:highlight w:val="none"/>
        </w:rPr>
      </w:pPr>
    </w:p>
    <w:p>
      <w:pPr>
        <w:rPr>
          <w:rFonts w:ascii="宋体" w:hAnsi="宋体"/>
          <w:sz w:val="24"/>
          <w:highlight w:val="none"/>
        </w:rPr>
      </w:pPr>
      <w:r>
        <w:rPr>
          <w:rFonts w:ascii="宋体" w:hAnsi="宋体"/>
          <w:sz w:val="24"/>
          <w:highlight w:val="none"/>
          <w:u w:val="single"/>
        </w:rPr>
        <w:tab/>
      </w:r>
      <w:r>
        <w:rPr>
          <w:rFonts w:ascii="宋体" w:hAnsi="宋体"/>
          <w:sz w:val="24"/>
          <w:highlight w:val="none"/>
          <w:u w:val="single"/>
        </w:rPr>
        <w:t>（投标人名称）</w:t>
      </w:r>
      <w:r>
        <w:rPr>
          <w:rFonts w:ascii="宋体" w:hAnsi="宋体"/>
          <w:sz w:val="24"/>
          <w:highlight w:val="none"/>
        </w:rPr>
        <w:t>：</w:t>
      </w:r>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u w:val="single"/>
        </w:rPr>
        <w:t>（项目名称）</w:t>
      </w:r>
      <w:r>
        <w:rPr>
          <w:rFonts w:ascii="宋体" w:hAnsi="宋体"/>
          <w:sz w:val="24"/>
          <w:highlight w:val="none"/>
        </w:rPr>
        <w:t>施工招标的评标委员会，对你方的投标文件进行了仔细的审查，现需你方对下列问题以书面形式予以澄清：</w:t>
      </w:r>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1.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2. </w:t>
      </w:r>
    </w:p>
    <w:p>
      <w:pPr>
        <w:rPr>
          <w:rFonts w:ascii="宋体" w:hAnsi="宋体"/>
          <w:sz w:val="24"/>
          <w:highlight w:val="none"/>
        </w:rPr>
      </w:pPr>
    </w:p>
    <w:p>
      <w:pPr>
        <w:rPr>
          <w:rFonts w:ascii="宋体" w:hAnsi="宋体"/>
          <w:sz w:val="24"/>
          <w:highlight w:val="none"/>
        </w:rPr>
      </w:pPr>
      <w:r>
        <w:rPr>
          <w:rFonts w:ascii="宋体" w:hAnsi="宋体"/>
          <w:sz w:val="24"/>
          <w:highlight w:val="none"/>
        </w:rPr>
        <w:t>......</w:t>
      </w:r>
    </w:p>
    <w:p>
      <w:pPr>
        <w:rPr>
          <w:rFonts w:ascii="宋体" w:hAnsi="宋体"/>
          <w:sz w:val="24"/>
          <w:highlight w:val="none"/>
        </w:rPr>
      </w:pPr>
    </w:p>
    <w:p>
      <w:pPr>
        <w:spacing w:line="400" w:lineRule="exact"/>
        <w:ind w:firstLine="480" w:firstLineChars="200"/>
        <w:rPr>
          <w:rFonts w:ascii="宋体" w:hAnsi="宋体"/>
          <w:sz w:val="24"/>
          <w:highlight w:val="none"/>
          <w:u w:val="single"/>
        </w:rPr>
      </w:pPr>
      <w:r>
        <w:rPr>
          <w:rFonts w:ascii="宋体" w:hAnsi="宋体"/>
          <w:sz w:val="24"/>
          <w:highlight w:val="none"/>
        </w:rPr>
        <w:t>请将上述问题的澄清于年月日时前递交至</w:t>
      </w:r>
      <w:r>
        <w:rPr>
          <w:rFonts w:ascii="宋体" w:hAnsi="宋体"/>
          <w:sz w:val="24"/>
          <w:highlight w:val="none"/>
          <w:u w:val="single"/>
        </w:rPr>
        <w:t>（详细地址）</w:t>
      </w:r>
      <w:r>
        <w:rPr>
          <w:rFonts w:ascii="宋体" w:hAnsi="宋体"/>
          <w:sz w:val="24"/>
          <w:highlight w:val="none"/>
        </w:rPr>
        <w:t>或传真至</w:t>
      </w:r>
    </w:p>
    <w:p>
      <w:pPr>
        <w:spacing w:line="400" w:lineRule="exact"/>
        <w:rPr>
          <w:rFonts w:ascii="宋体" w:hAnsi="宋体"/>
          <w:sz w:val="24"/>
          <w:highlight w:val="none"/>
        </w:rPr>
      </w:pPr>
      <w:r>
        <w:rPr>
          <w:rFonts w:ascii="宋体" w:hAnsi="宋体"/>
          <w:sz w:val="24"/>
          <w:highlight w:val="none"/>
        </w:rPr>
        <w:t>（传真号码）。采用传真方式的，应在年月日时前将原件递交至（详细地址）。</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wordWrap w:val="0"/>
        <w:spacing w:line="360" w:lineRule="auto"/>
        <w:jc w:val="right"/>
        <w:rPr>
          <w:rFonts w:ascii="宋体" w:hAnsi="宋体"/>
          <w:sz w:val="24"/>
          <w:highlight w:val="none"/>
          <w:u w:val="single"/>
        </w:rPr>
      </w:pPr>
      <w:r>
        <w:rPr>
          <w:rFonts w:hint="eastAsia" w:ascii="宋体" w:hAnsi="宋体"/>
          <w:sz w:val="24"/>
          <w:highlight w:val="none"/>
          <w:u w:val="single"/>
        </w:rPr>
        <w:t xml:space="preserve">     （项目名称）  施工招标评标委员会</w:t>
      </w:r>
    </w:p>
    <w:p>
      <w:pPr>
        <w:wordWrap w:val="0"/>
        <w:spacing w:line="360" w:lineRule="auto"/>
        <w:jc w:val="right"/>
        <w:rPr>
          <w:rFonts w:ascii="宋体" w:hAnsi="宋体"/>
          <w:sz w:val="24"/>
          <w:highlight w:val="none"/>
        </w:rPr>
      </w:pPr>
      <w:r>
        <w:rPr>
          <w:rFonts w:hint="eastAsia" w:ascii="宋体" w:hAnsi="宋体"/>
          <w:sz w:val="24"/>
          <w:highlight w:val="none"/>
        </w:rPr>
        <w:t>招标人</w:t>
      </w:r>
      <w:r>
        <w:rPr>
          <w:rFonts w:ascii="宋体" w:hAnsi="宋体"/>
          <w:sz w:val="24"/>
          <w:highlight w:val="none"/>
        </w:rPr>
        <w:t>：（</w:t>
      </w:r>
      <w:r>
        <w:rPr>
          <w:rFonts w:hint="eastAsia" w:ascii="宋体" w:hAnsi="宋体"/>
          <w:sz w:val="24"/>
          <w:highlight w:val="none"/>
        </w:rPr>
        <w:t>盖单位章</w:t>
      </w:r>
      <w:r>
        <w:rPr>
          <w:rFonts w:ascii="宋体" w:hAnsi="宋体"/>
          <w:sz w:val="24"/>
          <w:highlight w:val="none"/>
        </w:rPr>
        <w:t>）</w:t>
      </w:r>
    </w:p>
    <w:p>
      <w:pPr>
        <w:wordWrap w:val="0"/>
        <w:spacing w:line="360" w:lineRule="auto"/>
        <w:jc w:val="right"/>
        <w:rPr>
          <w:rFonts w:ascii="宋体" w:hAnsi="宋体"/>
          <w:sz w:val="24"/>
          <w:highlight w:val="none"/>
        </w:rPr>
      </w:pPr>
      <w:r>
        <w:rPr>
          <w:rFonts w:ascii="宋体" w:hAnsi="宋体"/>
          <w:sz w:val="24"/>
          <w:highlight w:val="none"/>
        </w:rPr>
        <w:t>年月日</w:t>
      </w:r>
    </w:p>
    <w:p>
      <w:pPr>
        <w:rPr>
          <w:rFonts w:ascii="黑体" w:hAnsi="宋体" w:eastAsia="黑体"/>
          <w:b/>
          <w:sz w:val="32"/>
          <w:szCs w:val="32"/>
          <w:highlight w:val="none"/>
        </w:rPr>
      </w:pPr>
      <w:r>
        <w:rPr>
          <w:rFonts w:ascii="宋体" w:hAnsi="宋体"/>
          <w:sz w:val="24"/>
          <w:highlight w:val="none"/>
        </w:rPr>
        <w:br w:type="page"/>
      </w:r>
      <w:bookmarkStart w:id="204" w:name="_Toc234382647"/>
      <w:r>
        <w:rPr>
          <w:rFonts w:ascii="黑体" w:hAnsi="宋体" w:eastAsia="黑体"/>
          <w:b/>
          <w:sz w:val="32"/>
          <w:szCs w:val="32"/>
          <w:highlight w:val="none"/>
        </w:rPr>
        <w:t>附</w:t>
      </w:r>
      <w:r>
        <w:rPr>
          <w:rFonts w:hint="eastAsia" w:ascii="黑体" w:hAnsi="宋体" w:eastAsia="黑体"/>
          <w:b/>
          <w:sz w:val="32"/>
          <w:szCs w:val="32"/>
          <w:highlight w:val="none"/>
        </w:rPr>
        <w:t>件三</w:t>
      </w:r>
      <w:r>
        <w:rPr>
          <w:rFonts w:ascii="黑体" w:hAnsi="宋体" w:eastAsia="黑体"/>
          <w:b/>
          <w:sz w:val="32"/>
          <w:szCs w:val="32"/>
          <w:highlight w:val="none"/>
        </w:rPr>
        <w:t>：问题的澄清</w:t>
      </w:r>
      <w:bookmarkEnd w:id="204"/>
    </w:p>
    <w:p>
      <w:pPr>
        <w:rPr>
          <w:rFonts w:ascii="宋体" w:hAnsi="宋体"/>
          <w:sz w:val="24"/>
          <w:highlight w:val="none"/>
        </w:rPr>
      </w:pPr>
    </w:p>
    <w:p>
      <w:pPr>
        <w:jc w:val="center"/>
        <w:rPr>
          <w:rFonts w:ascii="黑体" w:hAnsi="宋体" w:eastAsia="黑体"/>
          <w:b/>
          <w:bCs/>
          <w:kern w:val="44"/>
          <w:sz w:val="28"/>
          <w:szCs w:val="28"/>
          <w:highlight w:val="none"/>
        </w:rPr>
      </w:pPr>
      <w:r>
        <w:rPr>
          <w:rFonts w:ascii="黑体" w:hAnsi="宋体" w:eastAsia="黑体"/>
          <w:b/>
          <w:bCs/>
          <w:kern w:val="44"/>
          <w:sz w:val="28"/>
          <w:szCs w:val="28"/>
          <w:highlight w:val="none"/>
        </w:rPr>
        <w:t>问题的澄清</w:t>
      </w:r>
    </w:p>
    <w:p>
      <w:pPr>
        <w:rPr>
          <w:rFonts w:ascii="宋体" w:hAnsi="宋体"/>
          <w:sz w:val="24"/>
          <w:highlight w:val="none"/>
        </w:rPr>
      </w:pPr>
    </w:p>
    <w:p>
      <w:pPr>
        <w:jc w:val="center"/>
        <w:rPr>
          <w:rFonts w:ascii="宋体" w:hAnsi="宋体"/>
          <w:sz w:val="24"/>
          <w:highlight w:val="none"/>
        </w:rPr>
      </w:pPr>
      <w:r>
        <w:rPr>
          <w:rFonts w:ascii="宋体" w:hAnsi="宋体"/>
          <w:sz w:val="24"/>
          <w:highlight w:val="none"/>
        </w:rPr>
        <w:t>编号：</w:t>
      </w:r>
    </w:p>
    <w:p>
      <w:pPr>
        <w:spacing w:line="400" w:lineRule="exact"/>
        <w:ind w:firstLine="480" w:firstLineChars="200"/>
        <w:rPr>
          <w:rFonts w:ascii="宋体" w:hAnsi="宋体"/>
          <w:sz w:val="24"/>
          <w:highlight w:val="none"/>
        </w:rPr>
      </w:pPr>
      <w:r>
        <w:rPr>
          <w:rFonts w:ascii="宋体" w:hAnsi="宋体"/>
          <w:sz w:val="24"/>
          <w:highlight w:val="none"/>
          <w:u w:val="single"/>
        </w:rPr>
        <w:t>（项目名称）</w:t>
      </w:r>
      <w:r>
        <w:rPr>
          <w:rFonts w:ascii="宋体" w:hAnsi="宋体"/>
          <w:sz w:val="24"/>
          <w:highlight w:val="none"/>
        </w:rPr>
        <w:t xml:space="preserve">施工招标评标委员会：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问题澄清通知（编号：）已收悉，现澄清如下：</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1. </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 xml:space="preserve">2. </w:t>
      </w:r>
    </w:p>
    <w:p>
      <w:pPr>
        <w:rPr>
          <w:rFonts w:ascii="宋体" w:hAnsi="宋体"/>
          <w:sz w:val="24"/>
          <w:highlight w:val="none"/>
        </w:rPr>
      </w:pPr>
    </w:p>
    <w:p>
      <w:pPr>
        <w:rPr>
          <w:rFonts w:ascii="宋体" w:hAnsi="宋体"/>
          <w:sz w:val="24"/>
          <w:highlight w:val="none"/>
        </w:rPr>
      </w:pPr>
      <w:r>
        <w:rPr>
          <w:rFonts w:ascii="宋体" w:hAnsi="宋体"/>
          <w:sz w:val="24"/>
          <w:highlight w:val="none"/>
        </w:rPr>
        <w:t>.....</w:t>
      </w: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auto"/>
        <w:jc w:val="center"/>
        <w:rPr>
          <w:rFonts w:ascii="宋体" w:hAnsi="宋体"/>
          <w:sz w:val="24"/>
          <w:highlight w:val="none"/>
        </w:rPr>
      </w:pPr>
      <w:r>
        <w:rPr>
          <w:rFonts w:ascii="宋体" w:hAnsi="宋体"/>
          <w:sz w:val="24"/>
          <w:highlight w:val="none"/>
        </w:rPr>
        <w:t>投标人：（盖单位章）</w:t>
      </w:r>
    </w:p>
    <w:p>
      <w:pPr>
        <w:spacing w:line="360" w:lineRule="auto"/>
        <w:jc w:val="center"/>
        <w:rPr>
          <w:rFonts w:ascii="宋体" w:hAnsi="宋体"/>
          <w:sz w:val="24"/>
          <w:highlight w:val="none"/>
        </w:rPr>
      </w:pPr>
      <w:r>
        <w:rPr>
          <w:rFonts w:ascii="宋体" w:hAnsi="宋体"/>
          <w:sz w:val="24"/>
          <w:highlight w:val="none"/>
        </w:rPr>
        <w:t>法定代表人或其委托代理人：（签字）</w:t>
      </w:r>
    </w:p>
    <w:p>
      <w:pPr>
        <w:spacing w:line="360" w:lineRule="auto"/>
        <w:jc w:val="center"/>
        <w:rPr>
          <w:rFonts w:ascii="宋体" w:hAnsi="宋体"/>
          <w:sz w:val="24"/>
          <w:highlight w:val="none"/>
        </w:rPr>
      </w:pPr>
      <w:r>
        <w:rPr>
          <w:rFonts w:ascii="宋体" w:hAnsi="宋体"/>
          <w:sz w:val="24"/>
          <w:highlight w:val="none"/>
        </w:rPr>
        <w:t>年月日</w:t>
      </w: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pStyle w:val="2"/>
        <w:ind w:firstLine="0" w:firstLineChars="0"/>
        <w:jc w:val="left"/>
        <w:rPr>
          <w:rFonts w:ascii="新宋体" w:hAnsi="新宋体" w:eastAsia="新宋体" w:cs="新宋体"/>
          <w:b/>
          <w:bCs/>
          <w:sz w:val="28"/>
          <w:szCs w:val="28"/>
          <w:highlight w:val="none"/>
        </w:rPr>
      </w:pPr>
      <w:r>
        <w:rPr>
          <w:rFonts w:ascii="宋体" w:hAnsi="宋体"/>
          <w:sz w:val="24"/>
          <w:highlight w:val="none"/>
        </w:rPr>
        <w:br w:type="page"/>
      </w:r>
    </w:p>
    <w:p>
      <w:pPr>
        <w:spacing w:line="312" w:lineRule="auto"/>
        <w:jc w:val="center"/>
        <w:outlineLvl w:val="0"/>
        <w:rPr>
          <w:rFonts w:ascii="黑体" w:hAnsi="宋体" w:eastAsia="黑体"/>
          <w:bCs/>
          <w:sz w:val="44"/>
          <w:szCs w:val="44"/>
          <w:highlight w:val="none"/>
        </w:rPr>
      </w:pPr>
      <w:r>
        <w:rPr>
          <w:rFonts w:hint="eastAsia" w:ascii="黑体" w:eastAsia="黑体"/>
          <w:bCs/>
          <w:sz w:val="44"/>
          <w:szCs w:val="44"/>
          <w:highlight w:val="none"/>
        </w:rPr>
        <w:t>第三章  评标办法</w:t>
      </w:r>
    </w:p>
    <w:p>
      <w:pPr>
        <w:jc w:val="center"/>
        <w:outlineLvl w:val="0"/>
        <w:rPr>
          <w:rFonts w:ascii="宋体" w:hAnsi="宋体"/>
          <w:sz w:val="44"/>
          <w:szCs w:val="44"/>
          <w:highlight w:val="none"/>
        </w:rPr>
      </w:pPr>
      <w:bookmarkStart w:id="205" w:name="_Toc28682"/>
      <w:r>
        <w:rPr>
          <w:rFonts w:hint="eastAsia" w:ascii="宋体" w:hAnsi="宋体"/>
          <w:sz w:val="44"/>
          <w:szCs w:val="44"/>
          <w:highlight w:val="none"/>
        </w:rPr>
        <w:t>评标办法(技术评分最低标价法)</w:t>
      </w:r>
      <w:bookmarkEnd w:id="205"/>
    </w:p>
    <w:p>
      <w:pPr>
        <w:rPr>
          <w:rFonts w:ascii="新宋体" w:hAnsi="新宋体" w:eastAsia="新宋体" w:cs="新宋体"/>
          <w:sz w:val="24"/>
          <w:highlight w:val="none"/>
        </w:rPr>
      </w:pPr>
    </w:p>
    <w:p>
      <w:pPr>
        <w:ind w:firstLine="480" w:firstLineChars="200"/>
        <w:rPr>
          <w:rFonts w:asciiTheme="majorEastAsia" w:hAnsiTheme="majorEastAsia" w:eastAsiaTheme="majorEastAsia"/>
          <w:sz w:val="30"/>
          <w:szCs w:val="30"/>
          <w:highlight w:val="none"/>
        </w:rPr>
      </w:pPr>
      <w:r>
        <w:rPr>
          <w:rFonts w:hint="eastAsia" w:cs="新宋体" w:asciiTheme="majorEastAsia" w:hAnsiTheme="majorEastAsia" w:eastAsiaTheme="majorEastAsia"/>
          <w:sz w:val="24"/>
          <w:highlight w:val="none"/>
        </w:rPr>
        <w:t>评标依据公路工程建设项目招标投标管理办法（中华人民共和国交通运输部令2015年第24号）。评标应遵循公正、公平、择优的原则严格按照招标文件进行。</w:t>
      </w:r>
    </w:p>
    <w:p>
      <w:pPr>
        <w:jc w:val="center"/>
        <w:rPr>
          <w:rFonts w:asciiTheme="majorEastAsia" w:hAnsiTheme="majorEastAsia" w:eastAsiaTheme="majorEastAsia"/>
          <w:sz w:val="24"/>
          <w:highlight w:val="none"/>
        </w:rPr>
      </w:pPr>
    </w:p>
    <w:p>
      <w:pPr>
        <w:spacing w:line="360" w:lineRule="auto"/>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评标办法前附表</w:t>
      </w:r>
    </w:p>
    <w:tbl>
      <w:tblPr>
        <w:tblStyle w:val="16"/>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highlight w:val="none"/>
              </w:rPr>
            </w:pPr>
            <w:r>
              <w:rPr>
                <w:rFonts w:hint="eastAsia" w:ascii="宋体" w:hAnsi="宋体"/>
                <w:b/>
                <w:szCs w:val="21"/>
                <w:highlight w:val="none"/>
              </w:rPr>
              <w:t>条款号</w:t>
            </w:r>
          </w:p>
        </w:tc>
        <w:tc>
          <w:tcPr>
            <w:tcW w:w="1214" w:type="dxa"/>
            <w:tcBorders>
              <w:left w:val="single" w:color="auto" w:sz="4" w:space="0"/>
            </w:tcBorders>
            <w:vAlign w:val="center"/>
          </w:tcPr>
          <w:p>
            <w:pPr>
              <w:rPr>
                <w:rFonts w:ascii="宋体" w:hAnsi="宋体"/>
                <w:b/>
                <w:szCs w:val="21"/>
                <w:highlight w:val="none"/>
              </w:rPr>
            </w:pPr>
            <w:r>
              <w:rPr>
                <w:rFonts w:hint="eastAsia" w:ascii="宋体" w:hAnsi="宋体"/>
                <w:b/>
                <w:szCs w:val="21"/>
                <w:highlight w:val="none"/>
              </w:rPr>
              <w:t>条款内容</w:t>
            </w:r>
          </w:p>
        </w:tc>
        <w:tc>
          <w:tcPr>
            <w:tcW w:w="7380" w:type="dxa"/>
            <w:vAlign w:val="center"/>
          </w:tcPr>
          <w:p>
            <w:pPr>
              <w:rPr>
                <w:rFonts w:ascii="宋体" w:hAnsi="宋体"/>
                <w:b/>
                <w:szCs w:val="21"/>
                <w:highlight w:val="none"/>
              </w:rPr>
            </w:pPr>
            <w:r>
              <w:rPr>
                <w:rFonts w:hint="eastAsia" w:ascii="宋体" w:hAnsi="宋体"/>
                <w:b/>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2.1.1</w:t>
            </w:r>
          </w:p>
          <w:p>
            <w:pPr>
              <w:jc w:val="center"/>
              <w:rPr>
                <w:rFonts w:ascii="宋体" w:hAnsi="宋体"/>
                <w:szCs w:val="21"/>
                <w:highlight w:val="none"/>
              </w:rPr>
            </w:pP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形式评审与</w:t>
            </w:r>
          </w:p>
          <w:p>
            <w:pPr>
              <w:rPr>
                <w:rFonts w:ascii="宋体" w:hAnsi="宋体"/>
                <w:szCs w:val="21"/>
                <w:highlight w:val="none"/>
              </w:rPr>
            </w:pPr>
            <w:r>
              <w:rPr>
                <w:rFonts w:hint="eastAsia" w:ascii="宋体" w:hAnsi="宋体"/>
                <w:szCs w:val="21"/>
                <w:highlight w:val="none"/>
              </w:rPr>
              <w:t>响应性评审</w:t>
            </w:r>
          </w:p>
          <w:p>
            <w:pPr>
              <w:rPr>
                <w:rFonts w:ascii="宋体" w:hAnsi="宋体"/>
                <w:szCs w:val="21"/>
                <w:highlight w:val="none"/>
              </w:rPr>
            </w:pPr>
            <w:r>
              <w:rPr>
                <w:rFonts w:hint="eastAsia" w:ascii="宋体" w:hAnsi="宋体"/>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highlight w:val="none"/>
              </w:rPr>
            </w:pPr>
            <w:r>
              <w:rPr>
                <w:rFonts w:hint="eastAsia" w:ascii="宋体" w:hAnsi="宋体"/>
                <w:b/>
                <w:szCs w:val="21"/>
                <w:highlight w:val="none"/>
              </w:rPr>
              <w:t>第一个信封（商务及技术文件）评审标准：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(1)投标文件按照招标文件规定的格式、内容填写，字迹清晰可辨：</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a.投标函按招标文件规定填报了工期、工程质量目标及安全目标；</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b.投标函附录的所有数据均符合招标文件规定；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c.承诺函文字与招标文件规定一致，未进行修改和删减；</w:t>
            </w:r>
          </w:p>
          <w:p>
            <w:pPr>
              <w:spacing w:line="400" w:lineRule="exact"/>
              <w:ind w:firstLine="420" w:firstLineChars="200"/>
              <w:jc w:val="left"/>
              <w:rPr>
                <w:rFonts w:ascii="宋体" w:hAnsi="宋体"/>
                <w:szCs w:val="21"/>
                <w:highlight w:val="none"/>
              </w:rPr>
            </w:pPr>
            <w:r>
              <w:rPr>
                <w:rFonts w:hint="eastAsia" w:ascii="宋体" w:hAnsi="宋体"/>
                <w:szCs w:val="21"/>
                <w:highlight w:val="none"/>
              </w:rPr>
              <w:t>d.按照招标文件规定的格式、内容编制了施工组织设计及项目管理机构相关图表；</w:t>
            </w:r>
          </w:p>
          <w:p>
            <w:pPr>
              <w:spacing w:line="400" w:lineRule="exact"/>
              <w:ind w:firstLine="420" w:firstLineChars="200"/>
              <w:jc w:val="left"/>
              <w:rPr>
                <w:rFonts w:ascii="宋体" w:hAnsi="宋体"/>
                <w:szCs w:val="21"/>
                <w:highlight w:val="none"/>
              </w:rPr>
            </w:pPr>
            <w:r>
              <w:rPr>
                <w:rFonts w:hint="eastAsia" w:ascii="宋体" w:hAnsi="宋体"/>
                <w:szCs w:val="21"/>
                <w:highlight w:val="none"/>
              </w:rPr>
              <w:t>e.投标文件组成齐全完整，内容均按规定填写。</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(3) 投标人按照招标文件的规定提供了投标保证金</w:t>
            </w:r>
          </w:p>
          <w:p>
            <w:pPr>
              <w:spacing w:line="400" w:lineRule="exact"/>
              <w:ind w:firstLine="420" w:firstLineChars="200"/>
              <w:jc w:val="left"/>
              <w:rPr>
                <w:rFonts w:ascii="宋体" w:hAnsi="宋体"/>
                <w:szCs w:val="21"/>
                <w:highlight w:val="none"/>
              </w:rPr>
            </w:pPr>
            <w:r>
              <w:rPr>
                <w:rFonts w:hint="eastAsia" w:ascii="宋体" w:hAnsi="宋体"/>
                <w:szCs w:val="21"/>
                <w:highlight w:val="none"/>
              </w:rPr>
              <w:t>(4)投标文件中未出现有关投标报价的内容。</w:t>
            </w:r>
          </w:p>
          <w:p>
            <w:pPr>
              <w:spacing w:line="400" w:lineRule="exact"/>
              <w:ind w:firstLine="420" w:firstLineChars="200"/>
              <w:jc w:val="left"/>
              <w:rPr>
                <w:rFonts w:ascii="宋体" w:hAnsi="宋体"/>
                <w:szCs w:val="21"/>
                <w:highlight w:val="none"/>
              </w:rPr>
            </w:pPr>
            <w:r>
              <w:rPr>
                <w:rFonts w:hint="eastAsia" w:ascii="宋体" w:hAnsi="宋体"/>
                <w:szCs w:val="21"/>
                <w:highlight w:val="none"/>
              </w:rPr>
              <w:t>(5)投标文件载明的招标项目完成期限未超过招标文件规定的时限。</w:t>
            </w:r>
          </w:p>
          <w:p>
            <w:pPr>
              <w:spacing w:line="400" w:lineRule="exact"/>
              <w:ind w:firstLine="420" w:firstLineChars="200"/>
              <w:jc w:val="left"/>
              <w:rPr>
                <w:rFonts w:ascii="宋体" w:hAnsi="宋体"/>
                <w:szCs w:val="21"/>
                <w:highlight w:val="none"/>
              </w:rPr>
            </w:pPr>
            <w:r>
              <w:rPr>
                <w:rFonts w:hint="eastAsia" w:ascii="宋体" w:hAnsi="宋体"/>
                <w:szCs w:val="21"/>
                <w:highlight w:val="none"/>
              </w:rPr>
              <w:t>(6)投标文件对招标文件的实质性要求和条件作出响应。</w:t>
            </w:r>
          </w:p>
          <w:p>
            <w:pPr>
              <w:spacing w:line="400" w:lineRule="exact"/>
              <w:ind w:firstLine="420" w:firstLineChars="200"/>
              <w:jc w:val="left"/>
              <w:rPr>
                <w:rFonts w:ascii="宋体" w:hAnsi="宋体"/>
                <w:szCs w:val="21"/>
                <w:highlight w:val="none"/>
              </w:rPr>
            </w:pPr>
            <w:r>
              <w:rPr>
                <w:rFonts w:hint="eastAsia" w:ascii="宋体" w:hAnsi="宋体"/>
                <w:szCs w:val="21"/>
                <w:highlight w:val="none"/>
              </w:rPr>
              <w:t>(7)权利义务符合招标文件规定：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a.投标人应接受招标文件规定的风险划分原则，未提出新的风险划分办法；</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b.投标人未增加发包人的责任范围，或减少投标人义务；</w:t>
            </w:r>
          </w:p>
          <w:p>
            <w:pPr>
              <w:spacing w:line="400" w:lineRule="exact"/>
              <w:ind w:firstLine="420" w:firstLineChars="200"/>
              <w:jc w:val="left"/>
              <w:rPr>
                <w:rFonts w:ascii="宋体" w:hAnsi="宋体"/>
                <w:szCs w:val="21"/>
                <w:highlight w:val="none"/>
              </w:rPr>
            </w:pPr>
            <w:r>
              <w:rPr>
                <w:rFonts w:hint="eastAsia" w:ascii="宋体" w:hAnsi="宋体"/>
                <w:szCs w:val="21"/>
                <w:highlight w:val="none"/>
              </w:rPr>
              <w:t>c.投标人未提出不同的工程验收、计量、支付办法；</w:t>
            </w:r>
          </w:p>
          <w:p>
            <w:pPr>
              <w:spacing w:line="400" w:lineRule="exact"/>
              <w:ind w:firstLine="420" w:firstLineChars="200"/>
              <w:jc w:val="left"/>
              <w:rPr>
                <w:rFonts w:ascii="宋体" w:hAnsi="宋体"/>
                <w:szCs w:val="21"/>
                <w:highlight w:val="none"/>
              </w:rPr>
            </w:pPr>
            <w:r>
              <w:rPr>
                <w:rFonts w:hint="eastAsia" w:ascii="宋体" w:hAnsi="宋体"/>
                <w:szCs w:val="21"/>
                <w:highlight w:val="none"/>
              </w:rPr>
              <w:t>d.投标人对合同纠纷、事故处理办法未提出异议；</w:t>
            </w:r>
          </w:p>
          <w:p>
            <w:pPr>
              <w:spacing w:line="400" w:lineRule="exact"/>
              <w:ind w:firstLine="420" w:firstLineChars="200"/>
              <w:jc w:val="left"/>
              <w:rPr>
                <w:rFonts w:ascii="宋体" w:hAnsi="宋体"/>
                <w:szCs w:val="21"/>
                <w:highlight w:val="none"/>
              </w:rPr>
            </w:pPr>
            <w:r>
              <w:rPr>
                <w:rFonts w:hint="eastAsia" w:ascii="宋体" w:hAnsi="宋体"/>
                <w:szCs w:val="21"/>
                <w:highlight w:val="none"/>
              </w:rPr>
              <w:t>e.投标人在投标活动中无欺诈行为；</w:t>
            </w:r>
          </w:p>
          <w:p>
            <w:pPr>
              <w:spacing w:line="400" w:lineRule="exact"/>
              <w:ind w:firstLine="420" w:firstLineChars="200"/>
              <w:jc w:val="left"/>
              <w:rPr>
                <w:rFonts w:ascii="宋体" w:hAnsi="宋体"/>
                <w:szCs w:val="21"/>
                <w:highlight w:val="none"/>
              </w:rPr>
            </w:pPr>
            <w:r>
              <w:rPr>
                <w:rFonts w:hint="eastAsia" w:ascii="宋体" w:hAnsi="宋体"/>
                <w:szCs w:val="21"/>
                <w:highlight w:val="none"/>
              </w:rPr>
              <w:t>f.投标人未对合同条款有重要保留。</w:t>
            </w:r>
          </w:p>
          <w:p>
            <w:pPr>
              <w:spacing w:line="400" w:lineRule="exact"/>
              <w:ind w:firstLine="420" w:firstLineChars="200"/>
              <w:jc w:val="left"/>
              <w:rPr>
                <w:rFonts w:ascii="宋体" w:hAnsi="宋体"/>
                <w:szCs w:val="21"/>
                <w:highlight w:val="none"/>
              </w:rPr>
            </w:pPr>
            <w:r>
              <w:rPr>
                <w:rFonts w:hint="eastAsia" w:ascii="宋体" w:hAnsi="宋体"/>
                <w:szCs w:val="21"/>
                <w:highlight w:val="none"/>
              </w:rPr>
              <w:t>(8)投标文件份数符合招标文件第二章“投标人须知”第3.7.4 项规定。</w:t>
            </w:r>
          </w:p>
          <w:p>
            <w:pPr>
              <w:spacing w:line="400" w:lineRule="exact"/>
              <w:jc w:val="left"/>
              <w:rPr>
                <w:rFonts w:ascii="宋体" w:hAnsi="宋体"/>
                <w:b/>
                <w:szCs w:val="21"/>
                <w:highlight w:val="none"/>
              </w:rPr>
            </w:pPr>
            <w:r>
              <w:rPr>
                <w:rFonts w:hint="eastAsia" w:ascii="宋体" w:hAnsi="宋体"/>
                <w:b/>
                <w:szCs w:val="21"/>
                <w:highlight w:val="none"/>
              </w:rPr>
              <w:t>第二个信封（报价文件）评审标准：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(1)投标文件按照招标文件规定的格式、内容填写，字迹清晰可辨，内容齐全完整：</w:t>
            </w:r>
          </w:p>
          <w:p>
            <w:pPr>
              <w:spacing w:line="400" w:lineRule="exact"/>
              <w:ind w:firstLine="420" w:firstLineChars="200"/>
              <w:jc w:val="left"/>
              <w:rPr>
                <w:rFonts w:ascii="宋体" w:hAnsi="宋体"/>
                <w:szCs w:val="21"/>
                <w:highlight w:val="none"/>
              </w:rPr>
            </w:pPr>
            <w:r>
              <w:rPr>
                <w:rFonts w:hint="eastAsia" w:ascii="宋体" w:hAnsi="宋体"/>
                <w:szCs w:val="21"/>
                <w:highlight w:val="none"/>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highlight w:val="none"/>
              </w:rPr>
            </w:pPr>
            <w:r>
              <w:rPr>
                <w:rFonts w:hint="eastAsia" w:ascii="宋体" w:hAnsi="宋体"/>
                <w:szCs w:val="21"/>
                <w:highlight w:val="none"/>
              </w:rPr>
              <w:t>b.已标价工程量清单说明文字与招标文件规定一致，未进行修改和删减。</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highlight w:val="none"/>
              </w:rPr>
            </w:pPr>
            <w:r>
              <w:rPr>
                <w:rFonts w:hint="eastAsia" w:ascii="宋体" w:hAnsi="宋体"/>
                <w:szCs w:val="21"/>
                <w:highlight w:val="none"/>
              </w:rPr>
              <w:t>(3)同一投标人未提交两个以上不同的投标报价，但招标文件要求提交备选投标的除外。</w:t>
            </w:r>
          </w:p>
          <w:p>
            <w:pPr>
              <w:spacing w:line="400" w:lineRule="exact"/>
              <w:ind w:firstLine="420" w:firstLineChars="200"/>
              <w:jc w:val="left"/>
              <w:rPr>
                <w:rFonts w:ascii="宋体" w:hAnsi="宋体"/>
                <w:szCs w:val="21"/>
                <w:highlight w:val="none"/>
              </w:rPr>
            </w:pPr>
            <w:r>
              <w:rPr>
                <w:rFonts w:hint="eastAsia" w:ascii="宋体" w:hAnsi="宋体"/>
                <w:szCs w:val="21"/>
                <w:highlight w:val="none"/>
              </w:rPr>
              <w:t>(4)投标人若填写工程量固化清单，填写完毕的工程量固化清单未对工程量固化清单电子文件中的数据、格式和运算定义进行修改。</w:t>
            </w:r>
          </w:p>
          <w:p>
            <w:pPr>
              <w:spacing w:line="400" w:lineRule="exact"/>
              <w:ind w:firstLine="422" w:firstLineChars="200"/>
              <w:jc w:val="left"/>
              <w:rPr>
                <w:rFonts w:ascii="宋体" w:hAnsi="宋体"/>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2.1.2</w:t>
            </w:r>
          </w:p>
        </w:tc>
        <w:tc>
          <w:tcPr>
            <w:tcW w:w="1214" w:type="dxa"/>
            <w:tcBorders>
              <w:left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资格评审标准</w:t>
            </w:r>
          </w:p>
        </w:tc>
        <w:tc>
          <w:tcPr>
            <w:tcW w:w="7380" w:type="dxa"/>
            <w:tcBorders>
              <w:bottom w:val="single" w:color="auto" w:sz="4" w:space="0"/>
            </w:tcBorders>
            <w:vAlign w:val="center"/>
          </w:tcPr>
          <w:p>
            <w:pPr>
              <w:spacing w:line="400" w:lineRule="exact"/>
              <w:ind w:firstLine="420" w:firstLineChars="200"/>
              <w:rPr>
                <w:highlight w:val="none"/>
              </w:rPr>
            </w:pPr>
            <w:r>
              <w:rPr>
                <w:rFonts w:hint="eastAsia"/>
                <w:highlight w:val="none"/>
              </w:rPr>
              <w:t>(1)投标人具备有效的营业执照、资质证书和安全生产许可证和基本账户开户许可证；</w:t>
            </w:r>
          </w:p>
          <w:p>
            <w:pPr>
              <w:spacing w:line="400" w:lineRule="exact"/>
              <w:ind w:firstLine="420" w:firstLineChars="200"/>
              <w:rPr>
                <w:highlight w:val="none"/>
              </w:rPr>
            </w:pPr>
            <w:r>
              <w:rPr>
                <w:rFonts w:hint="eastAsia"/>
                <w:highlight w:val="none"/>
              </w:rPr>
              <w:t>(2)投标人的资质等级符合招标文件规定；</w:t>
            </w:r>
          </w:p>
          <w:p>
            <w:pPr>
              <w:spacing w:line="400" w:lineRule="exact"/>
              <w:ind w:firstLine="420" w:firstLineChars="200"/>
              <w:rPr>
                <w:highlight w:val="none"/>
              </w:rPr>
            </w:pPr>
            <w:r>
              <w:rPr>
                <w:rFonts w:hint="eastAsia"/>
                <w:highlight w:val="none"/>
              </w:rPr>
              <w:t>(3)投标人的财务状况符合招标文件规定；</w:t>
            </w:r>
          </w:p>
          <w:p>
            <w:pPr>
              <w:spacing w:line="400" w:lineRule="exact"/>
              <w:ind w:firstLine="420" w:firstLineChars="200"/>
              <w:rPr>
                <w:highlight w:val="none"/>
              </w:rPr>
            </w:pPr>
            <w:r>
              <w:rPr>
                <w:rFonts w:hint="eastAsia"/>
                <w:highlight w:val="none"/>
              </w:rPr>
              <w:t>(4)投标人的类似项目业绩符合招标文件规定；</w:t>
            </w:r>
          </w:p>
          <w:p>
            <w:pPr>
              <w:spacing w:line="400" w:lineRule="exact"/>
              <w:ind w:firstLine="420" w:firstLineChars="200"/>
              <w:rPr>
                <w:highlight w:val="none"/>
              </w:rPr>
            </w:pPr>
            <w:r>
              <w:rPr>
                <w:rFonts w:hint="eastAsia"/>
                <w:highlight w:val="none"/>
              </w:rPr>
              <w:t>(5)投标人的信誉符合招标文件规定；</w:t>
            </w:r>
          </w:p>
          <w:p>
            <w:pPr>
              <w:spacing w:line="400" w:lineRule="exact"/>
              <w:ind w:firstLine="420" w:firstLineChars="200"/>
              <w:rPr>
                <w:highlight w:val="none"/>
              </w:rPr>
            </w:pPr>
            <w:r>
              <w:rPr>
                <w:rFonts w:hint="eastAsia"/>
                <w:highlight w:val="none"/>
              </w:rPr>
              <w:t>(6)投标人的项目经理资格符合招标文件规定；</w:t>
            </w:r>
          </w:p>
          <w:p>
            <w:pPr>
              <w:spacing w:line="400" w:lineRule="exact"/>
              <w:ind w:firstLine="420" w:firstLineChars="200"/>
              <w:rPr>
                <w:highlight w:val="none"/>
              </w:rPr>
            </w:pPr>
            <w:r>
              <w:rPr>
                <w:rFonts w:hint="eastAsia"/>
                <w:highlight w:val="none"/>
              </w:rPr>
              <w:t>(7)投标人的其他要求符合招标文件规定；</w:t>
            </w:r>
          </w:p>
          <w:p>
            <w:pPr>
              <w:spacing w:line="400" w:lineRule="exact"/>
              <w:ind w:firstLine="420" w:firstLineChars="200"/>
              <w:rPr>
                <w:highlight w:val="none"/>
              </w:rPr>
            </w:pPr>
            <w:r>
              <w:rPr>
                <w:rFonts w:hint="eastAsia"/>
                <w:highlight w:val="none"/>
              </w:rPr>
              <w:t>(8)投标人不存在第二章“投标人须知”第1.4.3项规定的任何一种情形；</w:t>
            </w:r>
          </w:p>
          <w:p>
            <w:pPr>
              <w:spacing w:line="400" w:lineRule="exact"/>
              <w:ind w:firstLine="420" w:firstLineChars="200"/>
              <w:rPr>
                <w:rFonts w:hint="eastAsia"/>
                <w:highlight w:val="none"/>
              </w:rPr>
            </w:pPr>
            <w:r>
              <w:rPr>
                <w:rFonts w:hint="eastAsia"/>
                <w:highlight w:val="none"/>
              </w:rPr>
              <w:t>(</w:t>
            </w:r>
            <w:r>
              <w:rPr>
                <w:rFonts w:hint="eastAsia"/>
                <w:highlight w:val="none"/>
                <w:lang w:val="en-US" w:eastAsia="zh-CN"/>
              </w:rPr>
              <w:t>9</w:t>
            </w:r>
            <w:r>
              <w:rPr>
                <w:rFonts w:hint="eastAsia"/>
                <w:highlight w:val="none"/>
              </w:rPr>
              <w:t>)不同投标人电子投标文件记录的网卡MC地址、CPU序号、硬盘序列号硬件特征码均相同时</w:t>
            </w:r>
          </w:p>
          <w:p>
            <w:pPr>
              <w:spacing w:line="400" w:lineRule="exact"/>
              <w:ind w:firstLine="420" w:firstLineChars="200"/>
              <w:rPr>
                <w:rFonts w:hint="eastAsia"/>
                <w:highlight w:val="none"/>
              </w:rPr>
            </w:pPr>
            <w:r>
              <w:rPr>
                <w:rFonts w:hint="eastAsia"/>
                <w:highlight w:val="none"/>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pStyle w:val="2"/>
              <w:ind w:firstLine="315" w:firstLineChars="150"/>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2.2.1</w:t>
            </w: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第一个信封</w:t>
            </w:r>
          </w:p>
          <w:p>
            <w:pPr>
              <w:rPr>
                <w:rFonts w:ascii="宋体" w:hAnsi="宋体"/>
                <w:szCs w:val="21"/>
                <w:highlight w:val="none"/>
              </w:rPr>
            </w:pPr>
            <w:r>
              <w:rPr>
                <w:rFonts w:hint="eastAsia" w:ascii="宋体" w:hAnsi="宋体"/>
                <w:szCs w:val="21"/>
                <w:highlight w:val="none"/>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highlight w:val="none"/>
              </w:rPr>
            </w:pPr>
            <w:r>
              <w:rPr>
                <w:rFonts w:hint="eastAsia" w:ascii="宋体" w:hAnsi="宋体"/>
                <w:szCs w:val="21"/>
                <w:highlight w:val="none"/>
              </w:rPr>
              <w:t>施工组织设计40分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项目管理机构20分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技术能力25分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3.2.1</w:t>
            </w:r>
          </w:p>
        </w:tc>
        <w:tc>
          <w:tcPr>
            <w:tcW w:w="1214" w:type="dxa"/>
            <w:tcBorders>
              <w:top w:val="single" w:color="auto" w:sz="4" w:space="0"/>
              <w:bottom w:val="single" w:color="auto" w:sz="4" w:space="0"/>
            </w:tcBorders>
            <w:vAlign w:val="center"/>
          </w:tcPr>
          <w:p>
            <w:pPr>
              <w:rPr>
                <w:rFonts w:ascii="宋体" w:hAnsi="宋体"/>
                <w:szCs w:val="21"/>
                <w:highlight w:val="none"/>
              </w:rPr>
            </w:pPr>
            <w:r>
              <w:rPr>
                <w:rFonts w:hint="eastAsia" w:ascii="宋体" w:hAnsi="宋体"/>
                <w:szCs w:val="21"/>
                <w:highlight w:val="none"/>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highlight w:val="none"/>
              </w:rPr>
            </w:pPr>
            <w:r>
              <w:rPr>
                <w:rFonts w:hint="eastAsia" w:ascii="宋体" w:hAnsi="宋体"/>
                <w:szCs w:val="21"/>
                <w:highlight w:val="none"/>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highlight w:val="none"/>
              </w:rPr>
            </w:pPr>
            <w:r>
              <w:rPr>
                <w:rFonts w:hint="eastAsia" w:ascii="宋体" w:hAnsi="宋体"/>
                <w:b/>
                <w:szCs w:val="21"/>
                <w:highlight w:val="none"/>
              </w:rPr>
              <w:t>条款号</w:t>
            </w:r>
          </w:p>
        </w:tc>
        <w:tc>
          <w:tcPr>
            <w:tcW w:w="1214" w:type="dxa"/>
            <w:tcBorders>
              <w:left w:val="single" w:color="auto" w:sz="4" w:space="0"/>
            </w:tcBorders>
            <w:vAlign w:val="center"/>
          </w:tcPr>
          <w:p>
            <w:pPr>
              <w:rPr>
                <w:rFonts w:ascii="宋体" w:hAnsi="宋体"/>
                <w:b/>
                <w:szCs w:val="21"/>
                <w:highlight w:val="none"/>
              </w:rPr>
            </w:pPr>
            <w:r>
              <w:rPr>
                <w:rFonts w:hint="eastAsia" w:ascii="宋体" w:hAnsi="宋体"/>
                <w:b/>
                <w:szCs w:val="21"/>
                <w:highlight w:val="none"/>
              </w:rPr>
              <w:t>条款内容</w:t>
            </w:r>
          </w:p>
        </w:tc>
        <w:tc>
          <w:tcPr>
            <w:tcW w:w="7380" w:type="dxa"/>
            <w:vAlign w:val="center"/>
          </w:tcPr>
          <w:p>
            <w:pPr>
              <w:rPr>
                <w:rFonts w:ascii="宋体" w:hAnsi="宋体"/>
                <w:b/>
                <w:szCs w:val="21"/>
                <w:highlight w:val="none"/>
              </w:rPr>
            </w:pPr>
            <w:r>
              <w:rPr>
                <w:rFonts w:hint="eastAsia" w:ascii="宋体" w:hAnsi="宋体"/>
                <w:b/>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1、投标人应按以下要点编制施工组织设计（文字宜精炼、内容具有针对性，总体控制在30000字以内）；</w:t>
            </w:r>
          </w:p>
          <w:p>
            <w:pPr>
              <w:spacing w:line="400" w:lineRule="exact"/>
              <w:rPr>
                <w:rFonts w:ascii="宋体" w:hAnsi="宋体"/>
                <w:szCs w:val="21"/>
                <w:highlight w:val="none"/>
              </w:rPr>
            </w:pPr>
            <w:r>
              <w:rPr>
                <w:rFonts w:hint="eastAsia" w:ascii="宋体" w:hAnsi="宋体"/>
                <w:szCs w:val="21"/>
                <w:highlight w:val="none"/>
              </w:rPr>
              <w:t>（1）总体施工组织布置及规划                   0-2分</w:t>
            </w:r>
          </w:p>
          <w:p>
            <w:pPr>
              <w:spacing w:line="400" w:lineRule="exact"/>
              <w:rPr>
                <w:rFonts w:ascii="宋体" w:hAnsi="宋体"/>
                <w:szCs w:val="21"/>
                <w:highlight w:val="none"/>
              </w:rPr>
            </w:pPr>
            <w:r>
              <w:rPr>
                <w:rFonts w:hint="eastAsia" w:ascii="宋体" w:hAnsi="宋体"/>
                <w:szCs w:val="21"/>
                <w:highlight w:val="none"/>
              </w:rPr>
              <w:t>（2）主要工程项目的施工方案、方法与技术措施（尤其对重点、关键和难点工程的施工方案、方法及其措施）                  0-5分</w:t>
            </w:r>
          </w:p>
          <w:p>
            <w:pPr>
              <w:spacing w:line="400" w:lineRule="exact"/>
              <w:rPr>
                <w:rFonts w:ascii="宋体" w:hAnsi="宋体"/>
                <w:szCs w:val="21"/>
                <w:highlight w:val="none"/>
              </w:rPr>
            </w:pPr>
            <w:r>
              <w:rPr>
                <w:rFonts w:hint="eastAsia" w:ascii="宋体" w:hAnsi="宋体"/>
                <w:szCs w:val="21"/>
                <w:highlight w:val="none"/>
              </w:rPr>
              <w:t>（3）工期的保证体系及保证措施                 0-2分</w:t>
            </w:r>
          </w:p>
          <w:p>
            <w:pPr>
              <w:spacing w:line="400" w:lineRule="exact"/>
              <w:rPr>
                <w:rFonts w:ascii="宋体" w:hAnsi="宋体"/>
                <w:szCs w:val="21"/>
                <w:highlight w:val="none"/>
              </w:rPr>
            </w:pPr>
            <w:r>
              <w:rPr>
                <w:rFonts w:hint="eastAsia" w:ascii="宋体" w:hAnsi="宋体"/>
                <w:szCs w:val="21"/>
                <w:highlight w:val="none"/>
              </w:rPr>
              <w:t>（4）工程质量管理体系及保证措施               0-3分</w:t>
            </w:r>
          </w:p>
          <w:p>
            <w:pPr>
              <w:spacing w:line="400" w:lineRule="exact"/>
              <w:rPr>
                <w:rFonts w:ascii="宋体" w:hAnsi="宋体"/>
                <w:szCs w:val="21"/>
                <w:highlight w:val="none"/>
              </w:rPr>
            </w:pPr>
            <w:r>
              <w:rPr>
                <w:rFonts w:hint="eastAsia" w:ascii="宋体" w:hAnsi="宋体"/>
                <w:szCs w:val="21"/>
                <w:highlight w:val="none"/>
              </w:rPr>
              <w:t>（5）安全生产管理体系及保证措施               0-3分</w:t>
            </w:r>
          </w:p>
          <w:p>
            <w:pPr>
              <w:spacing w:line="400" w:lineRule="exact"/>
              <w:rPr>
                <w:rFonts w:ascii="宋体" w:hAnsi="宋体"/>
                <w:szCs w:val="21"/>
                <w:highlight w:val="none"/>
              </w:rPr>
            </w:pPr>
            <w:r>
              <w:rPr>
                <w:rFonts w:hint="eastAsia" w:ascii="宋体" w:hAnsi="宋体"/>
                <w:szCs w:val="21"/>
                <w:highlight w:val="none"/>
              </w:rPr>
              <w:t xml:space="preserve">（6）环境保护、水土保持保证体系及保证措施（含扬尘治理措施）                                                                  </w:t>
            </w:r>
          </w:p>
          <w:p>
            <w:pPr>
              <w:spacing w:line="400" w:lineRule="exact"/>
              <w:rPr>
                <w:rFonts w:ascii="宋体" w:hAnsi="宋体"/>
                <w:szCs w:val="21"/>
                <w:highlight w:val="none"/>
              </w:rPr>
            </w:pPr>
            <w:r>
              <w:rPr>
                <w:rFonts w:hint="eastAsia" w:ascii="宋体" w:hAnsi="宋体"/>
                <w:szCs w:val="21"/>
                <w:highlight w:val="none"/>
              </w:rPr>
              <w:t xml:space="preserve">                                              0-3分</w:t>
            </w:r>
          </w:p>
          <w:p>
            <w:pPr>
              <w:spacing w:line="400" w:lineRule="exact"/>
              <w:rPr>
                <w:rFonts w:ascii="宋体" w:hAnsi="宋体"/>
                <w:szCs w:val="21"/>
                <w:highlight w:val="none"/>
              </w:rPr>
            </w:pPr>
            <w:r>
              <w:rPr>
                <w:rFonts w:hint="eastAsia" w:ascii="宋体" w:hAnsi="宋体"/>
                <w:szCs w:val="21"/>
                <w:highlight w:val="none"/>
              </w:rPr>
              <w:t>（7）文明施工、文物保护保证体系及保证措施     0-2分</w:t>
            </w:r>
          </w:p>
          <w:p>
            <w:pPr>
              <w:spacing w:line="400" w:lineRule="exact"/>
              <w:rPr>
                <w:rFonts w:ascii="宋体" w:hAnsi="宋体"/>
                <w:szCs w:val="21"/>
                <w:highlight w:val="none"/>
              </w:rPr>
            </w:pPr>
            <w:r>
              <w:rPr>
                <w:rFonts w:hint="eastAsia" w:ascii="宋体" w:hAnsi="宋体"/>
                <w:szCs w:val="21"/>
                <w:highlight w:val="none"/>
              </w:rPr>
              <w:t>（8）项目风险预测与防范，事故应急预案         0-2分</w:t>
            </w:r>
          </w:p>
          <w:p>
            <w:pPr>
              <w:spacing w:line="400" w:lineRule="exact"/>
              <w:rPr>
                <w:rFonts w:ascii="宋体" w:hAnsi="宋体"/>
                <w:szCs w:val="21"/>
                <w:highlight w:val="none"/>
              </w:rPr>
            </w:pPr>
            <w:r>
              <w:rPr>
                <w:rFonts w:hint="eastAsia" w:ascii="宋体" w:hAnsi="宋体"/>
                <w:szCs w:val="21"/>
                <w:highlight w:val="none"/>
              </w:rPr>
              <w:t>2、施工组织设计除采用文字表述外可附下列图表，图表及格式要求附后。</w:t>
            </w:r>
          </w:p>
          <w:p>
            <w:pPr>
              <w:spacing w:line="400" w:lineRule="exact"/>
              <w:rPr>
                <w:rFonts w:ascii="宋体" w:hAnsi="宋体"/>
                <w:szCs w:val="21"/>
                <w:highlight w:val="none"/>
              </w:rPr>
            </w:pPr>
            <w:r>
              <w:rPr>
                <w:rFonts w:hint="eastAsia" w:ascii="宋体" w:hAnsi="宋体"/>
                <w:szCs w:val="21"/>
                <w:highlight w:val="none"/>
              </w:rPr>
              <w:t xml:space="preserve">   附表一  施工总体计划表                     0-2分</w:t>
            </w:r>
          </w:p>
          <w:p>
            <w:pPr>
              <w:spacing w:line="400" w:lineRule="exact"/>
              <w:rPr>
                <w:rFonts w:ascii="宋体" w:hAnsi="宋体"/>
                <w:szCs w:val="21"/>
                <w:highlight w:val="none"/>
              </w:rPr>
            </w:pPr>
            <w:r>
              <w:rPr>
                <w:rFonts w:hint="eastAsia" w:ascii="宋体" w:hAnsi="宋体"/>
                <w:szCs w:val="21"/>
                <w:highlight w:val="none"/>
              </w:rPr>
              <w:t xml:space="preserve">   附表二  分项工程进度率计划（斜率图）       0-2分 </w:t>
            </w:r>
          </w:p>
          <w:p>
            <w:pPr>
              <w:spacing w:line="400" w:lineRule="exact"/>
              <w:rPr>
                <w:rFonts w:ascii="宋体" w:hAnsi="宋体"/>
                <w:szCs w:val="21"/>
                <w:highlight w:val="none"/>
              </w:rPr>
            </w:pPr>
            <w:r>
              <w:rPr>
                <w:rFonts w:hint="eastAsia" w:ascii="宋体" w:hAnsi="宋体"/>
                <w:szCs w:val="21"/>
                <w:highlight w:val="none"/>
              </w:rPr>
              <w:t xml:space="preserve">   附表三  工程管理曲线                       0-2分</w:t>
            </w:r>
          </w:p>
          <w:p>
            <w:pPr>
              <w:spacing w:line="400" w:lineRule="exact"/>
              <w:rPr>
                <w:rFonts w:ascii="宋体" w:hAnsi="宋体"/>
                <w:szCs w:val="21"/>
                <w:highlight w:val="none"/>
              </w:rPr>
            </w:pPr>
            <w:r>
              <w:rPr>
                <w:rFonts w:hint="eastAsia" w:ascii="宋体" w:hAnsi="宋体"/>
                <w:szCs w:val="21"/>
                <w:highlight w:val="none"/>
              </w:rPr>
              <w:t xml:space="preserve">   附表四  分项工程生产率和施工周期表         0-2分</w:t>
            </w:r>
          </w:p>
          <w:p>
            <w:pPr>
              <w:spacing w:line="400" w:lineRule="exact"/>
              <w:rPr>
                <w:rFonts w:ascii="宋体" w:hAnsi="宋体"/>
                <w:szCs w:val="21"/>
                <w:highlight w:val="none"/>
              </w:rPr>
            </w:pPr>
            <w:r>
              <w:rPr>
                <w:rFonts w:hint="eastAsia" w:ascii="宋体" w:hAnsi="宋体"/>
                <w:szCs w:val="21"/>
                <w:highlight w:val="none"/>
              </w:rPr>
              <w:t xml:space="preserve">   附表五  施工总平面图                       0-2分</w:t>
            </w:r>
          </w:p>
          <w:p>
            <w:pPr>
              <w:spacing w:line="400" w:lineRule="exact"/>
              <w:rPr>
                <w:rFonts w:ascii="宋体" w:hAnsi="宋体"/>
                <w:szCs w:val="21"/>
                <w:highlight w:val="none"/>
              </w:rPr>
            </w:pPr>
            <w:r>
              <w:rPr>
                <w:rFonts w:hint="eastAsia" w:ascii="宋体" w:hAnsi="宋体"/>
                <w:szCs w:val="21"/>
                <w:highlight w:val="none"/>
              </w:rPr>
              <w:t xml:space="preserve">   附表六  劳动力计划表                       0-2分</w:t>
            </w:r>
          </w:p>
          <w:p>
            <w:pPr>
              <w:spacing w:line="400" w:lineRule="exact"/>
              <w:ind w:firstLine="315" w:firstLineChars="150"/>
              <w:rPr>
                <w:rFonts w:ascii="宋体" w:hAnsi="宋体"/>
                <w:szCs w:val="21"/>
                <w:highlight w:val="none"/>
              </w:rPr>
            </w:pPr>
            <w:r>
              <w:rPr>
                <w:rFonts w:hint="eastAsia" w:ascii="宋体" w:hAnsi="宋体"/>
                <w:szCs w:val="21"/>
                <w:highlight w:val="none"/>
              </w:rPr>
              <w:t>附表七  临时用地计划表                     0-2分</w:t>
            </w:r>
          </w:p>
          <w:p>
            <w:pPr>
              <w:spacing w:line="400" w:lineRule="exact"/>
              <w:ind w:firstLine="315" w:firstLineChars="150"/>
              <w:rPr>
                <w:rFonts w:ascii="宋体" w:hAnsi="宋体"/>
                <w:szCs w:val="21"/>
                <w:highlight w:val="none"/>
              </w:rPr>
            </w:pPr>
            <w:r>
              <w:rPr>
                <w:rFonts w:hint="eastAsia" w:ascii="宋体" w:hAnsi="宋体"/>
                <w:szCs w:val="21"/>
                <w:highlight w:val="none"/>
              </w:rPr>
              <w:t>附表八  外供电力需求计划表                 0-2分</w:t>
            </w:r>
          </w:p>
          <w:p>
            <w:pPr>
              <w:spacing w:line="400" w:lineRule="exact"/>
              <w:rPr>
                <w:rFonts w:ascii="宋体" w:hAnsi="宋体"/>
                <w:szCs w:val="21"/>
                <w:highlight w:val="none"/>
              </w:rPr>
            </w:pPr>
            <w:r>
              <w:rPr>
                <w:rFonts w:hint="eastAsia" w:ascii="宋体" w:hAnsi="宋体"/>
                <w:szCs w:val="21"/>
                <w:highlight w:val="none"/>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highlight w:val="none"/>
              </w:rPr>
            </w:pPr>
            <w:r>
              <w:rPr>
                <w:rFonts w:hint="eastAsia" w:ascii="宋体" w:hAnsi="宋体"/>
                <w:szCs w:val="21"/>
                <w:highlight w:val="none"/>
              </w:rPr>
              <w:t>2.2.3</w:t>
            </w:r>
          </w:p>
        </w:tc>
        <w:tc>
          <w:tcPr>
            <w:tcW w:w="1214" w:type="dxa"/>
            <w:tcBorders>
              <w:top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1.拟派项目总工中级职称者得5分，高级职称者得10分；【须提供证书原件扫描件（或图片）】</w:t>
            </w:r>
          </w:p>
          <w:p>
            <w:pPr>
              <w:spacing w:line="400" w:lineRule="exact"/>
              <w:rPr>
                <w:rFonts w:ascii="宋体" w:hAnsi="宋体"/>
                <w:szCs w:val="21"/>
                <w:highlight w:val="none"/>
              </w:rPr>
            </w:pPr>
            <w:r>
              <w:rPr>
                <w:rFonts w:hint="eastAsia" w:ascii="宋体" w:hAnsi="宋体"/>
                <w:szCs w:val="21"/>
                <w:highlight w:val="none"/>
              </w:rPr>
              <w:t>2.拟派项目班子中主要进场人员证件齐全者得10分，缺一项扣2分，扣完为止。【须提供证书原件扫描件（或图片）】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技术能力</w:t>
            </w:r>
          </w:p>
          <w:p>
            <w:pPr>
              <w:rPr>
                <w:rFonts w:ascii="宋体" w:hAnsi="宋体"/>
                <w:szCs w:val="21"/>
                <w:highlight w:val="none"/>
              </w:rPr>
            </w:pPr>
            <w:r>
              <w:rPr>
                <w:rFonts w:hint="eastAsia" w:ascii="宋体" w:hAnsi="宋体"/>
                <w:szCs w:val="21"/>
                <w:highlight w:val="none"/>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1、企业业绩（15分）</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企业近年来承建过类似项目者每项得5分，本项最高得15分【须提供合同原件、中标通知书原件、工程接收证书（工程竣工验收证书）的原件扫描件（或图片）和中标公示网页版】。</w:t>
            </w:r>
          </w:p>
          <w:p>
            <w:pPr>
              <w:spacing w:line="400" w:lineRule="exact"/>
              <w:rPr>
                <w:rFonts w:ascii="宋体" w:hAnsi="宋体"/>
                <w:szCs w:val="21"/>
                <w:highlight w:val="none"/>
              </w:rPr>
            </w:pPr>
            <w:r>
              <w:rPr>
                <w:rFonts w:hint="eastAsia" w:ascii="宋体" w:hAnsi="宋体"/>
                <w:szCs w:val="21"/>
                <w:highlight w:val="none"/>
              </w:rPr>
              <w:t>2、项目经理业绩（10分）</w:t>
            </w:r>
          </w:p>
          <w:p>
            <w:pPr>
              <w:adjustRightInd w:val="0"/>
              <w:snapToGrid w:val="0"/>
              <w:spacing w:line="480" w:lineRule="exact"/>
              <w:ind w:firstLine="480"/>
              <w:rPr>
                <w:rFonts w:ascii="宋体" w:hAnsi="宋体"/>
                <w:b/>
                <w:bCs/>
                <w:szCs w:val="21"/>
                <w:highlight w:val="none"/>
              </w:rPr>
            </w:pPr>
            <w:r>
              <w:rPr>
                <w:rFonts w:hint="eastAsia" w:ascii="宋体" w:hAnsi="宋体"/>
                <w:szCs w:val="21"/>
                <w:highlight w:val="none"/>
              </w:rPr>
              <w:t>近年来拟派建造师承建过类似项目者每项得5分，本项最高得10分【须提供合同原件、中标通知书原件、工程接收证书（工程竣工验收证书）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highlight w:val="none"/>
              </w:rPr>
            </w:pPr>
            <w:r>
              <w:rPr>
                <w:rFonts w:hint="eastAsia" w:ascii="新宋体" w:hAnsi="新宋体" w:eastAsia="新宋体"/>
                <w:b/>
                <w:szCs w:val="21"/>
                <w:highlight w:val="none"/>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highlight w:val="none"/>
              </w:rPr>
            </w:pPr>
            <w:r>
              <w:rPr>
                <w:rFonts w:hint="eastAsia" w:ascii="宋体" w:hAnsi="宋体"/>
                <w:szCs w:val="21"/>
                <w:highlight w:val="none"/>
              </w:rPr>
              <w:t>2.2.5</w:t>
            </w:r>
          </w:p>
        </w:tc>
        <w:tc>
          <w:tcPr>
            <w:tcW w:w="1214" w:type="dxa"/>
            <w:tcBorders>
              <w:top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履约信誉（0-15分）</w:t>
            </w:r>
          </w:p>
        </w:tc>
        <w:tc>
          <w:tcPr>
            <w:tcW w:w="7380" w:type="dxa"/>
            <w:tcBorders>
              <w:top w:val="single" w:color="auto" w:sz="4" w:space="0"/>
              <w:left w:val="single" w:color="auto" w:sz="4" w:space="0"/>
              <w:bottom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1、企业信用（4分）</w:t>
            </w:r>
          </w:p>
          <w:p>
            <w:pPr>
              <w:spacing w:line="360" w:lineRule="auto"/>
              <w:rPr>
                <w:rFonts w:ascii="宋体" w:hAnsi="宋体"/>
                <w:szCs w:val="21"/>
                <w:highlight w:val="none"/>
              </w:rPr>
            </w:pPr>
            <w:r>
              <w:rPr>
                <w:rFonts w:hint="eastAsia" w:ascii="宋体" w:hAnsi="宋体"/>
                <w:szCs w:val="21"/>
                <w:highlight w:val="none"/>
              </w:rPr>
              <w:t>1.1、提供企业所在地税务主管部门出具的纳税情况证明，纳税情况良好得2分。</w:t>
            </w:r>
          </w:p>
          <w:p>
            <w:pPr>
              <w:spacing w:line="360" w:lineRule="auto"/>
              <w:rPr>
                <w:rFonts w:ascii="宋体" w:hAnsi="宋体"/>
                <w:szCs w:val="21"/>
                <w:highlight w:val="none"/>
              </w:rPr>
            </w:pPr>
            <w:r>
              <w:rPr>
                <w:rFonts w:hint="eastAsia" w:ascii="宋体" w:hAnsi="宋体"/>
                <w:szCs w:val="21"/>
                <w:highlight w:val="none"/>
              </w:rPr>
              <w:t>1.2、投标人提供2016年1月以来信用评级机构出具的有效的企业信用等级证书原件扫描件或图片，等级为AAA级的得2分。</w:t>
            </w:r>
          </w:p>
          <w:p>
            <w:pPr>
              <w:spacing w:line="360" w:lineRule="auto"/>
              <w:rPr>
                <w:rFonts w:ascii="宋体" w:hAnsi="宋体"/>
                <w:szCs w:val="21"/>
                <w:highlight w:val="none"/>
              </w:rPr>
            </w:pPr>
            <w:r>
              <w:rPr>
                <w:rFonts w:hint="eastAsia" w:ascii="宋体" w:hAnsi="宋体"/>
                <w:szCs w:val="21"/>
                <w:highlight w:val="none"/>
              </w:rPr>
              <w:t>2、服务承诺（含扬尘治理等内容）（11分）</w:t>
            </w:r>
          </w:p>
          <w:p>
            <w:pPr>
              <w:spacing w:line="360" w:lineRule="auto"/>
              <w:rPr>
                <w:rFonts w:ascii="宋体" w:hAnsi="宋体"/>
                <w:szCs w:val="21"/>
                <w:highlight w:val="none"/>
              </w:rPr>
            </w:pPr>
            <w:r>
              <w:rPr>
                <w:rFonts w:hint="eastAsia" w:ascii="宋体" w:hAnsi="宋体"/>
                <w:szCs w:val="21"/>
                <w:highlight w:val="none"/>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需要补充的其他内容：</w:t>
            </w:r>
          </w:p>
          <w:p>
            <w:pPr>
              <w:ind w:firstLine="420" w:firstLineChars="20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4" w:hRule="atLeast"/>
          <w:jc w:val="center"/>
        </w:trPr>
        <w:tc>
          <w:tcPr>
            <w:tcW w:w="9813" w:type="dxa"/>
            <w:gridSpan w:val="3"/>
            <w:tcBorders>
              <w:top w:val="single" w:color="auto" w:sz="4" w:space="0"/>
            </w:tcBorders>
            <w:vAlign w:val="center"/>
          </w:tcPr>
          <w:p>
            <w:pPr>
              <w:spacing w:line="340" w:lineRule="exact"/>
              <w:rPr>
                <w:highlight w:val="none"/>
              </w:rPr>
            </w:pPr>
            <w:r>
              <w:rPr>
                <w:rFonts w:hint="eastAsia"/>
                <w:highlight w:val="none"/>
              </w:rPr>
              <w:t>评标程序如下：</w:t>
            </w:r>
          </w:p>
          <w:p>
            <w:pPr>
              <w:spacing w:line="340" w:lineRule="exact"/>
              <w:rPr>
                <w:highlight w:val="none"/>
              </w:rPr>
            </w:pPr>
            <w:r>
              <w:rPr>
                <w:rFonts w:hint="eastAsia"/>
                <w:highlight w:val="none"/>
              </w:rPr>
              <w:t>1、招标人按照第二章“投标人须知”第5.1-5.2项的规定对投标文件第一信封（商务及技术文件）进行开标。</w:t>
            </w:r>
          </w:p>
          <w:p>
            <w:pPr>
              <w:spacing w:line="340" w:lineRule="exact"/>
              <w:rPr>
                <w:highlight w:val="none"/>
              </w:rPr>
            </w:pPr>
            <w:r>
              <w:rPr>
                <w:rFonts w:hint="eastAsia"/>
                <w:highlight w:val="none"/>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40" w:lineRule="exact"/>
              <w:rPr>
                <w:highlight w:val="none"/>
              </w:rPr>
            </w:pPr>
            <w:r>
              <w:rPr>
                <w:rFonts w:hint="eastAsia"/>
                <w:highlight w:val="none"/>
              </w:rPr>
              <w:t>3、招标人按照第二章“投标人须知”第5.1-5.2项的规定对投标文件第一信封（商务及技术文件）评审得分前 3 名的投标文件第二个信封（投标文件）进行开启。</w:t>
            </w:r>
          </w:p>
          <w:p>
            <w:pPr>
              <w:spacing w:line="340" w:lineRule="exact"/>
              <w:rPr>
                <w:highlight w:val="none"/>
              </w:rPr>
            </w:pPr>
            <w:r>
              <w:rPr>
                <w:rFonts w:hint="eastAsia"/>
                <w:highlight w:val="none"/>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highlight w:val="none"/>
              </w:rPr>
            </w:pPr>
            <w:r>
              <w:rPr>
                <w:rFonts w:hint="eastAsia"/>
                <w:highlight w:val="none"/>
              </w:rPr>
              <w:t>5、本评标办法里涉及到的证书、证件、业绩及相关文件，评标现场不再提供原件，需在投标文件中附原件扫描件（或图片），否则该项得分应作0分处理。</w:t>
            </w:r>
          </w:p>
          <w:p>
            <w:pPr>
              <w:spacing w:line="340" w:lineRule="exact"/>
              <w:rPr>
                <w:b/>
                <w:bCs/>
                <w:highlight w:val="none"/>
              </w:rPr>
            </w:pPr>
            <w:r>
              <w:rPr>
                <w:rFonts w:hint="eastAsia"/>
                <w:b/>
                <w:bCs/>
                <w:highlight w:val="none"/>
              </w:rPr>
              <w:t>注：</w:t>
            </w:r>
          </w:p>
          <w:p>
            <w:pPr>
              <w:spacing w:line="340" w:lineRule="exact"/>
              <w:rPr>
                <w:highlight w:val="none"/>
              </w:rPr>
            </w:pPr>
            <w:r>
              <w:rPr>
                <w:rFonts w:hint="eastAsia"/>
                <w:b/>
                <w:bCs/>
                <w:highlight w:val="none"/>
              </w:rPr>
              <w:t>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bl>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1、评标方法</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adjustRightInd w:val="0"/>
        <w:snapToGrid w:val="0"/>
        <w:spacing w:line="480" w:lineRule="exact"/>
        <w:ind w:firstLine="240" w:firstLineChars="100"/>
        <w:rPr>
          <w:rFonts w:asciiTheme="majorEastAsia" w:hAnsiTheme="majorEastAsia" w:eastAsiaTheme="majorEastAsia"/>
          <w:sz w:val="24"/>
          <w:highlight w:val="none"/>
        </w:rPr>
      </w:pPr>
      <w:bookmarkStart w:id="206" w:name="_bookmark111"/>
      <w:bookmarkEnd w:id="206"/>
      <w:r>
        <w:rPr>
          <w:rFonts w:hint="eastAsia" w:asciiTheme="majorEastAsia" w:hAnsiTheme="majorEastAsia" w:eastAsiaTheme="majorEastAsia"/>
          <w:sz w:val="24"/>
          <w:highlight w:val="none"/>
        </w:rPr>
        <w:t>2、评审标准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7" w:name="_bookmark112"/>
      <w:bookmarkEnd w:id="207"/>
      <w:r>
        <w:rPr>
          <w:rFonts w:hint="eastAsia" w:asciiTheme="majorEastAsia" w:hAnsiTheme="majorEastAsia" w:eastAsiaTheme="majorEastAsia"/>
          <w:sz w:val="24"/>
          <w:highlight w:val="none"/>
        </w:rPr>
        <w:t>2.1初步评审标准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2.1.1形式评审标准：见评标办法前附表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2.1.2资格评审标准：见评标办法前附表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2.1.3响应性评审标准：见评标办法前附表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8" w:name="_bookmark113"/>
      <w:bookmarkEnd w:id="208"/>
      <w:r>
        <w:rPr>
          <w:rFonts w:hint="eastAsia" w:asciiTheme="majorEastAsia" w:hAnsiTheme="majorEastAsia" w:eastAsiaTheme="majorEastAsia"/>
          <w:sz w:val="24"/>
          <w:highlight w:val="none"/>
        </w:rPr>
        <w:t>2.2分值构成与评分标准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2.2.1第一个信封评分分值构成</w:t>
      </w:r>
    </w:p>
    <w:p>
      <w:pPr>
        <w:spacing w:line="480" w:lineRule="exact"/>
        <w:ind w:firstLine="480" w:firstLineChars="20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 （1）</w:t>
      </w:r>
      <w:r>
        <w:rPr>
          <w:rFonts w:hint="eastAsia" w:cs="仿宋" w:asciiTheme="majorEastAsia" w:hAnsiTheme="majorEastAsia" w:eastAsiaTheme="majorEastAsia"/>
          <w:sz w:val="24"/>
          <w:highlight w:val="none"/>
        </w:rPr>
        <w:t>施工组织设计：见评标办法前附表。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（2）</w:t>
      </w:r>
      <w:r>
        <w:rPr>
          <w:rFonts w:hint="eastAsia" w:cs="仿宋" w:asciiTheme="majorEastAsia" w:hAnsiTheme="majorEastAsia" w:eastAsiaTheme="majorEastAsia"/>
          <w:sz w:val="24"/>
          <w:highlight w:val="none"/>
        </w:rPr>
        <w:t>项目管理机构：见评标办法前附表。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（3）</w:t>
      </w:r>
      <w:r>
        <w:rPr>
          <w:rFonts w:hint="eastAsia" w:cs="仿宋" w:asciiTheme="majorEastAsia" w:hAnsiTheme="majorEastAsia" w:eastAsiaTheme="majorEastAsia"/>
          <w:sz w:val="24"/>
          <w:highlight w:val="none"/>
        </w:rPr>
        <w:t>技术能力：见评标办法前附表。</w:t>
      </w:r>
    </w:p>
    <w:p>
      <w:pPr>
        <w:spacing w:line="480" w:lineRule="exact"/>
        <w:ind w:firstLine="600" w:firstLineChars="250"/>
        <w:rPr>
          <w:rFonts w:cs="仿宋" w:asciiTheme="majorEastAsia" w:hAnsiTheme="majorEastAsia" w:eastAsiaTheme="majorEastAsia"/>
          <w:sz w:val="24"/>
          <w:highlight w:val="none"/>
        </w:rPr>
      </w:pPr>
      <w:r>
        <w:rPr>
          <w:rFonts w:hint="eastAsia" w:asciiTheme="majorEastAsia" w:hAnsiTheme="majorEastAsia" w:eastAsiaTheme="majorEastAsia"/>
          <w:sz w:val="24"/>
          <w:highlight w:val="none"/>
        </w:rPr>
        <w:t>（4）</w:t>
      </w:r>
      <w:r>
        <w:rPr>
          <w:rFonts w:hint="eastAsia" w:cs="仿宋" w:asciiTheme="majorEastAsia" w:hAnsiTheme="majorEastAsia" w:eastAsiaTheme="majorEastAsia"/>
          <w:sz w:val="24"/>
          <w:highlight w:val="none"/>
        </w:rPr>
        <w:t>履约信誉：见评标办法前附表。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2.2.2第一个信封评分评分标准</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（1）施工组织设计评分标准：见评标办法前附表；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w:t>
      </w:r>
      <w:r>
        <w:rPr>
          <w:rFonts w:hint="eastAsia" w:cs="仿宋" w:asciiTheme="majorEastAsia" w:hAnsiTheme="majorEastAsia" w:eastAsiaTheme="majorEastAsia"/>
          <w:sz w:val="24"/>
          <w:highlight w:val="none"/>
        </w:rPr>
        <w:t>项目管理机构</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w:t>
      </w:r>
      <w:r>
        <w:rPr>
          <w:rFonts w:hint="eastAsia" w:cs="仿宋" w:asciiTheme="majorEastAsia" w:hAnsiTheme="majorEastAsia" w:eastAsiaTheme="majorEastAsia"/>
          <w:sz w:val="24"/>
          <w:highlight w:val="none"/>
        </w:rPr>
        <w:t>技术能力</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600" w:firstLineChars="25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w:t>
      </w:r>
      <w:r>
        <w:rPr>
          <w:rFonts w:hint="eastAsia" w:cs="仿宋" w:asciiTheme="majorEastAsia" w:hAnsiTheme="majorEastAsia" w:eastAsiaTheme="majorEastAsia"/>
          <w:sz w:val="24"/>
          <w:highlight w:val="none"/>
        </w:rPr>
        <w:t>履约信誉</w:t>
      </w:r>
      <w:r>
        <w:rPr>
          <w:rFonts w:hint="eastAsia" w:asciiTheme="majorEastAsia" w:hAnsiTheme="majorEastAsia" w:eastAsiaTheme="majorEastAsia"/>
          <w:sz w:val="24"/>
          <w:highlight w:val="none"/>
        </w:rPr>
        <w:t>评分标准：见评标办法前附表；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2.2.3第二个信封详细评审标准：见评标办法前附表。</w:t>
      </w:r>
    </w:p>
    <w:p>
      <w:pPr>
        <w:adjustRightInd w:val="0"/>
        <w:snapToGrid w:val="0"/>
        <w:spacing w:line="480" w:lineRule="exact"/>
        <w:ind w:firstLine="480" w:firstLineChars="200"/>
        <w:rPr>
          <w:rFonts w:asciiTheme="majorEastAsia" w:hAnsiTheme="majorEastAsia" w:eastAsiaTheme="majorEastAsia"/>
          <w:sz w:val="24"/>
          <w:highlight w:val="none"/>
        </w:rPr>
      </w:pPr>
      <w:bookmarkStart w:id="209" w:name="_bookmark114"/>
      <w:bookmarkEnd w:id="209"/>
      <w:r>
        <w:rPr>
          <w:rFonts w:hint="eastAsia" w:asciiTheme="majorEastAsia" w:hAnsiTheme="majorEastAsia" w:eastAsiaTheme="majorEastAsia"/>
          <w:sz w:val="24"/>
          <w:highlight w:val="none"/>
        </w:rPr>
        <w:t>3.评标程序</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0" w:name="_bookmark115"/>
      <w:bookmarkEnd w:id="210"/>
      <w:r>
        <w:rPr>
          <w:rFonts w:hint="eastAsia" w:asciiTheme="majorEastAsia" w:hAnsiTheme="majorEastAsia" w:eastAsiaTheme="majorEastAsia"/>
          <w:sz w:val="24"/>
          <w:highlight w:val="none"/>
        </w:rPr>
        <w:t>3.1第一个信封初步评审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3.1.1评标委员会可以要求投标人提交第二章“投标人须知”第 3.5.1 项至第 3.5.9项规定的有关证明和证件的原件扫描件或图片以便核验。评标委员会依据本章第 2.1 .1及2.1.2款规定的标准对投标文件第一个信封（商务及技术文件）进行初步评审。有一项不符合评审标准的，评标委员会应否决其投标。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1" w:name="_bookmark116"/>
      <w:bookmarkEnd w:id="211"/>
      <w:r>
        <w:rPr>
          <w:rFonts w:hint="eastAsia" w:asciiTheme="majorEastAsia" w:hAnsiTheme="majorEastAsia" w:eastAsiaTheme="majorEastAsia"/>
          <w:sz w:val="24"/>
          <w:highlight w:val="none"/>
        </w:rPr>
        <w:t>3.2第一个信封详细评审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3.2.1评标委员会按本章第 2.2 款规定的量化因素和分值进行打分，并计算出各投标人的商务和技术得分。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（1）按本章第 2.2.2 项规定的评审因素和分值对施工组织设计部分计算出得分；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（2）按本章第 2.2.3 及2.2.4项规定的评审因素和分值对主要人员部分计算出得分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（3）按本章第 2.2.5 项规定的评审因素和分值对其他部分计算出得分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3.2.2投标人的商务和技术得分分值计算保留小数点后两位，小数点后第三位“四舍五入”。</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3.2.3投标人的商务和技术得分。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3.2.4评标委员会按照投标人的商务和技术得分由高到低排序，排名在评标办法前附表规定数量以内的投标人，其投标文件第一个信封（商务及技术文件）通过详细评审。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3.2.5通过投标文件第一个信封（商务及技术文件）初步评审的投标人不少于 3 个且未超过评标办法前附表规定数量的，均通过投标文件第一个信封（商务及技术文件）详细评审，不再对投标人的商务和技术文件进行评分。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2" w:name="_bookmark117"/>
      <w:bookmarkEnd w:id="212"/>
      <w:r>
        <w:rPr>
          <w:rFonts w:hint="eastAsia" w:asciiTheme="majorEastAsia" w:hAnsiTheme="majorEastAsia" w:eastAsiaTheme="majorEastAsia"/>
          <w:sz w:val="24"/>
          <w:highlight w:val="none"/>
        </w:rPr>
        <w:t>3.3第二个信封开标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第一个信封（商务及技术文件）评审结束后，招标人将按照第二章“投标人须知” 第 5.1 款规定的时间和地点对通过投标文件第一个信封（商务及技术文件）评审的投标文件第二个信封（报价文件）进行开标。</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3" w:name="_bookmark118"/>
      <w:bookmarkEnd w:id="213"/>
      <w:r>
        <w:rPr>
          <w:rFonts w:hint="eastAsia" w:asciiTheme="majorEastAsia" w:hAnsiTheme="majorEastAsia" w:eastAsiaTheme="majorEastAsia"/>
          <w:sz w:val="24"/>
          <w:highlight w:val="none"/>
        </w:rPr>
        <w:t>3.4第二个信封初步评审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3.4.1评标委员会依据本章第 2.1.1 项、第 2.1.2项规定的评审标准对投标文件第二个信封（报价文件）进行初步评审。有一项不符合评审标准的，评标委员会应否决其投标。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3.5第二个信封详细评审</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3.5.2 评标得分计算保留小数点后两位，小数点后第三位“四舍五入”。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3.5.3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3.6投标文件相关信息的核查</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（1）有下列情形之一的，属于投标人相互串通投标：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a.投标人之间协商投标报价等投标文件的实质性内容；</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b.投标人之间约定中标人；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c.投标人之间约定部分投标人放弃投标或中标；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d.属于同一集团、协会、商会等组织成员的投标人按照该组织要求协同投标；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e.投标人之间为谋取中标或排斥特定投标人而采取的其他联合行动。</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（2）有下列情形之一的，视为投标人相互串通投标：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a.不同投标人的投标文件由同一单位或个人编制；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b.不同投标人委托同一单位或个人办理投标事宜；</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c.不同投标人的投标文件载明的项目管理成员为同一人；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d.不同投标人的投标文件异常一致或投标报价呈规律性差异；</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e.不同投标人的投标文件相互混装；</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f.不同投标人的投标保证金从同一单位或个人的账户转出。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（3）有下列情形之一的，属于招标人与投标人串通投标：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a.招标人在开标前开启投标文件并将有关信息泄露给其他投标人;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 xml:space="preserve"> b.招标人直接或间接向投标人泄露标底、评标委员会成员等信息；</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c.招标人明示或暗示投标人压低或抬高投标报价；</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d.招标人授意投标人撤换、修改投标文件；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e.招标人明示或暗示投标人为特定投标人中标提供方便；</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f.招标人与投标人为谋求特定投标人中标而采取的其他串通行为。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（4）投标人有下列情形之一的，属于弄虚作假的行为：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a.使用通过受让或租借等方式获取的资格、资质证书投标；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b.使用伪造、变造的许可证件；</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c.提供虚假的财务状况或业绩；</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d.提供虚假的项目负责人或主要技术人员简历、劳动关系证明；</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e.提供虚假的信用状况；</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f.其他弄虚作假的行为。</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3.7投标文件的澄清和说明</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3.7.2澄清和说明不得超出投标文件的范围或改变投标文件的实质性内容（算术性错误的修正除外）。投标人的书面澄清、说明属于投标文件的组成部分。</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3.7.3评标委员会不得暗示或诱导投标人作出澄清、说明，对投标人提交的澄清、说明有疑问的，可以要求投标人进一步澄清或说明，直至满足评标委员会的要求。</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3.7.4凡超出招标文件规定的或给发包人带来未曾要求的利益的变化、偏差或其他因素在评标时不予考虑。</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4" w:name="_bookmark122"/>
      <w:bookmarkEnd w:id="214"/>
      <w:r>
        <w:rPr>
          <w:rFonts w:hint="eastAsia" w:asciiTheme="majorEastAsia" w:hAnsiTheme="majorEastAsia" w:eastAsiaTheme="majorEastAsia"/>
          <w:sz w:val="24"/>
          <w:highlight w:val="none"/>
        </w:rPr>
        <w:t>3.8不得否决投标的情形</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投标文件存在第二章“投标人须知”第 1.12项所列情形的，均视为细微偏差，</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评标委员会不得否决投标人的投标，应按照第二章“投标人须知”第 2.2.1 项规定的原则处理。</w:t>
      </w:r>
    </w:p>
    <w:p>
      <w:pPr>
        <w:adjustRightInd w:val="0"/>
        <w:snapToGrid w:val="0"/>
        <w:spacing w:line="480" w:lineRule="exact"/>
        <w:ind w:firstLine="480" w:firstLineChars="200"/>
        <w:rPr>
          <w:rFonts w:asciiTheme="majorEastAsia" w:hAnsiTheme="majorEastAsia" w:eastAsiaTheme="majorEastAsia"/>
          <w:sz w:val="24"/>
          <w:highlight w:val="none"/>
        </w:rPr>
      </w:pPr>
      <w:bookmarkStart w:id="215" w:name="_bookmark123"/>
      <w:bookmarkEnd w:id="215"/>
      <w:r>
        <w:rPr>
          <w:rFonts w:hint="eastAsia" w:asciiTheme="majorEastAsia" w:hAnsiTheme="majorEastAsia" w:eastAsiaTheme="majorEastAsia"/>
          <w:sz w:val="24"/>
          <w:highlight w:val="none"/>
        </w:rPr>
        <w:t>3.9评标结果</w:t>
      </w:r>
    </w:p>
    <w:p>
      <w:pPr>
        <w:adjustRightInd w:val="0"/>
        <w:snapToGrid w:val="0"/>
        <w:spacing w:line="480" w:lineRule="exact"/>
        <w:ind w:firstLine="480" w:firstLineChars="2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3.9.1除第二章“投标人须知”前附表授权直接确定中标人外，评标委员会按照评标价由低到高的顺序推荐中标候选人，并标明排序。</w:t>
      </w:r>
    </w:p>
    <w:p>
      <w:pPr>
        <w:adjustRightInd w:val="0"/>
        <w:snapToGrid w:val="0"/>
        <w:spacing w:line="480" w:lineRule="exact"/>
        <w:ind w:firstLine="480" w:firstLineChars="200"/>
        <w:rPr>
          <w:rFonts w:asciiTheme="majorEastAsia" w:hAnsiTheme="majorEastAsia" w:eastAsiaTheme="majorEastAsia"/>
          <w:sz w:val="24"/>
          <w:highlight w:val="none"/>
        </w:rPr>
        <w:sectPr>
          <w:pgSz w:w="11910" w:h="16850"/>
          <w:pgMar w:top="1480" w:right="1200" w:bottom="1040" w:left="1220" w:header="876" w:footer="853" w:gutter="0"/>
          <w:pgNumType w:start="1"/>
          <w:cols w:space="720" w:num="1"/>
          <w:docGrid w:linePitch="286" w:charSpace="0"/>
        </w:sectPr>
      </w:pPr>
      <w:r>
        <w:rPr>
          <w:rFonts w:hint="eastAsia" w:asciiTheme="majorEastAsia" w:hAnsiTheme="majorEastAsia" w:eastAsiaTheme="majorEastAsia"/>
          <w:sz w:val="24"/>
          <w:highlight w:val="none"/>
        </w:rPr>
        <w:t>3.9.2评标委员会完成评标后，应向招标人提交书</w:t>
      </w:r>
      <w:r>
        <w:rPr>
          <w:rFonts w:asciiTheme="majorEastAsia" w:hAnsiTheme="majorEastAsia" w:eastAsiaTheme="majorEastAsia"/>
          <w:sz w:val="24"/>
          <w:highlight w:val="none"/>
        </w:rPr>
        <w:t>面评标报告。</w:t>
      </w:r>
    </w:p>
    <w:p>
      <w:pPr>
        <w:spacing w:line="500" w:lineRule="exact"/>
        <w:rPr>
          <w:rFonts w:ascii="宋体" w:hAnsi="宋体"/>
          <w:b/>
          <w:sz w:val="24"/>
          <w:highlight w:val="none"/>
        </w:rPr>
      </w:pPr>
    </w:p>
    <w:p>
      <w:pPr>
        <w:spacing w:line="500" w:lineRule="exact"/>
        <w:rPr>
          <w:rFonts w:ascii="宋体" w:hAnsi="宋体"/>
          <w:b/>
          <w:sz w:val="24"/>
          <w:highlight w:val="none"/>
        </w:rPr>
      </w:pPr>
    </w:p>
    <w:p>
      <w:pPr>
        <w:adjustRightInd w:val="0"/>
        <w:snapToGrid w:val="0"/>
        <w:spacing w:line="360" w:lineRule="auto"/>
        <w:jc w:val="center"/>
        <w:outlineLvl w:val="0"/>
        <w:rPr>
          <w:rFonts w:ascii="黑体" w:eastAsia="黑体"/>
          <w:sz w:val="44"/>
          <w:szCs w:val="44"/>
          <w:highlight w:val="none"/>
        </w:rPr>
      </w:pPr>
      <w:r>
        <w:rPr>
          <w:rFonts w:hint="eastAsia" w:ascii="黑体" w:eastAsia="黑体"/>
          <w:sz w:val="44"/>
          <w:szCs w:val="44"/>
          <w:highlight w:val="none"/>
        </w:rPr>
        <w:t>第四章 合同条款及格式</w:t>
      </w:r>
    </w:p>
    <w:p>
      <w:pPr>
        <w:adjustRightInd w:val="0"/>
        <w:snapToGrid w:val="0"/>
        <w:spacing w:line="360" w:lineRule="auto"/>
        <w:jc w:val="center"/>
        <w:outlineLvl w:val="0"/>
        <w:rPr>
          <w:rFonts w:ascii="黑体" w:eastAsia="黑体"/>
          <w:bCs/>
          <w:sz w:val="36"/>
          <w:szCs w:val="36"/>
          <w:highlight w:val="none"/>
        </w:rPr>
      </w:pPr>
      <w:bookmarkStart w:id="216" w:name="_Toc9501"/>
      <w:r>
        <w:rPr>
          <w:rFonts w:hint="eastAsia" w:ascii="黑体" w:eastAsia="黑体"/>
          <w:bCs/>
          <w:sz w:val="36"/>
          <w:szCs w:val="36"/>
          <w:highlight w:val="none"/>
        </w:rPr>
        <w:t>第一节 通用合同条款</w:t>
      </w:r>
      <w:bookmarkEnd w:id="216"/>
    </w:p>
    <w:p>
      <w:pPr>
        <w:adjustRightInd w:val="0"/>
        <w:snapToGrid w:val="0"/>
        <w:spacing w:line="360" w:lineRule="auto"/>
        <w:jc w:val="center"/>
        <w:rPr>
          <w:rFonts w:ascii="仿宋_GB2312" w:eastAsia="仿宋_GB2312"/>
          <w:sz w:val="24"/>
          <w:highlight w:val="none"/>
        </w:rPr>
      </w:pPr>
    </w:p>
    <w:p>
      <w:pPr>
        <w:adjustRightInd w:val="0"/>
        <w:snapToGrid w:val="0"/>
        <w:spacing w:line="360" w:lineRule="auto"/>
        <w:jc w:val="center"/>
        <w:rPr>
          <w:rFonts w:ascii="黑体" w:eastAsia="黑体"/>
          <w:b/>
          <w:sz w:val="44"/>
          <w:szCs w:val="44"/>
          <w:highlight w:val="none"/>
        </w:rPr>
      </w:pPr>
      <w:r>
        <w:rPr>
          <w:rFonts w:hint="eastAsia" w:ascii="仿宋_GB2312" w:eastAsia="仿宋_GB2312"/>
          <w:sz w:val="24"/>
          <w:highlight w:val="none"/>
        </w:rPr>
        <w:t>参见中华人民共和国《标准施工招标文件》（2007年版）</w:t>
      </w: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widowControl/>
        <w:jc w:val="left"/>
        <w:rPr>
          <w:highlight w:val="none"/>
        </w:rPr>
      </w:pPr>
      <w:r>
        <w:rPr>
          <w:rFonts w:ascii="宋体" w:hAnsi="宋体" w:cs="宋体"/>
          <w:kern w:val="0"/>
          <w:sz w:val="24"/>
          <w:highlight w:val="none"/>
        </w:rPr>
        <w:pict>
          <v:rect id="AutoShape 1" o:spid="_x0000_s1034" o:spt="1" style="height:24.3pt;width:24.3pt;" filled="f" stroked="f" coordsize="21600,21600" o:gfxdata="UEsDBAoAAAAAAIdO4kAAAAAAAAAAAAAAAAAEAAAAZHJzL1BLAwQUAAAACACHTuJA05oTVdMAAAAD&#10;AQAADwAAAGRycy9kb3ducmV2LnhtbE2PQUvDQBCF74L/YRnBi9hNRUpJs+mhIBYRiqn2PM1Ok2B2&#10;Ns1uk/rvHfVQL/MY3vDeN9ny7Fo1UB8azwamkwQUceltw5WB9+3T/RxUiMgWW89k4IsCLPPrqwxT&#10;60d+o6GIlZIQDikaqGPsUq1DWZPDMPEdsXgH3zuMsvaVtj2OEu5a/ZAkM+2wYWmosaNVTeVncXIG&#10;xnIz7Lavz3pzt1t7Pq6Pq+LjxZjbm2myABXpHC/H8IMv6JAL096f2AbVGpBH4u8U73E+A7X/U51n&#10;+j97/g1QSwMEFAAAAAgAh07iQBjSVd6EAQAAFgMAAA4AAABkcnMvZTJvRG9jLnhtbK1Sy07rMBDd&#10;X4l/sLynSUFCKGqKEAg2CJCADxgcO7GIPZbHbdq/Z+yWcnvvDrGx7HmcOeeMF1cbN4q1jmTRt3I+&#10;q6XQXmFnfd/Kt9e700spKIHvYESvW7nVJK+WJ38WU2j0GQ44djoKBvHUTKGVQ0qhqSpSg3ZAMwza&#10;c9JgdJD4GfuqizAxuhurs7q+qCaMXYioNBFHb3dJuSz4xmiVnowhncTYSuaWyhnL+Z7ParmApo8Q&#10;Bqv2NOAHLBxYz0MPULeQQKyi/Q/KWRWR0KSZQlehMVbpooHVzOt/1LwMEHTRwuZQONhEvwerHtfP&#10;UdiOdyeFB8crul4lLJPFPNszBWq46iU8xyyQwgOqDxIebwbwvb6mwCbndq6tjorzg/ZtGxNdbmfF&#10;YlPs3x7s15skFAfP68uLOS9JcWp/z5jQfDWHSOleoxP50srIg4vpsH6gtCv9KsmzPN7ZceQ4NKM/&#10;CjBmjhS6O4aZ6zt2WzZjFaLthyNJbH4hsv8oebt/vwvS93de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DTmhNV0wAAAAMBAAAPAAAAAAAAAAEAIAAAACIAAABkcnMvZG93bnJldi54bWxQSwECFAAU&#10;AAAACACHTuJAGNJV3oQBAAAWAwAADgAAAAAAAAABACAAAAAiAQAAZHJzL2Uyb0RvYy54bWxQSwUG&#10;AAAAAAYABgBZAQAAGAUAAAAA&#10;">
            <v:path/>
            <v:fill on="f" focussize="0,0"/>
            <v:stroke on="f"/>
            <v:imagedata o:title=""/>
            <o:lock v:ext="edit" aspectratio="t"/>
            <w10:wrap type="none"/>
            <w10:anchorlock/>
          </v:rect>
        </w:pict>
      </w: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tabs>
          <w:tab w:val="left" w:pos="4500"/>
        </w:tabs>
        <w:spacing w:line="520" w:lineRule="exact"/>
        <w:rPr>
          <w:rFonts w:ascii="黑体" w:hAnsi="宋体" w:eastAsia="黑体"/>
          <w:b/>
          <w:bCs/>
          <w:sz w:val="52"/>
          <w:szCs w:val="52"/>
          <w:highlight w:val="none"/>
        </w:rPr>
      </w:pPr>
    </w:p>
    <w:p>
      <w:pPr>
        <w:pageBreakBefore/>
        <w:tabs>
          <w:tab w:val="left" w:pos="4500"/>
        </w:tabs>
        <w:spacing w:line="520" w:lineRule="exact"/>
        <w:jc w:val="center"/>
        <w:rPr>
          <w:rFonts w:ascii="黑体" w:eastAsia="黑体"/>
          <w:bCs/>
          <w:sz w:val="36"/>
          <w:szCs w:val="36"/>
          <w:highlight w:val="none"/>
        </w:rPr>
      </w:pPr>
      <w:r>
        <w:rPr>
          <w:rFonts w:hint="eastAsia" w:ascii="黑体" w:eastAsia="黑体"/>
          <w:bCs/>
          <w:sz w:val="36"/>
          <w:szCs w:val="36"/>
          <w:highlight w:val="none"/>
        </w:rPr>
        <w:t>第二节 专用合同条款</w:t>
      </w:r>
    </w:p>
    <w:p>
      <w:pPr>
        <w:tabs>
          <w:tab w:val="left" w:pos="4500"/>
        </w:tabs>
        <w:spacing w:line="520" w:lineRule="exact"/>
        <w:rPr>
          <w:rFonts w:hAnsi="宋体"/>
          <w:bCs/>
          <w:sz w:val="24"/>
          <w:szCs w:val="28"/>
          <w:highlight w:val="none"/>
        </w:rPr>
      </w:pPr>
    </w:p>
    <w:p>
      <w:pPr>
        <w:adjustRightInd w:val="0"/>
        <w:snapToGrid w:val="0"/>
        <w:spacing w:beforeLines="100" w:afterLines="100" w:line="360" w:lineRule="auto"/>
        <w:jc w:val="center"/>
        <w:rPr>
          <w:rFonts w:eastAsia="黑体"/>
          <w:sz w:val="32"/>
          <w:szCs w:val="32"/>
          <w:highlight w:val="none"/>
        </w:rPr>
      </w:pPr>
      <w:bookmarkStart w:id="217" w:name="_Toc132601562"/>
      <w:r>
        <w:rPr>
          <w:rFonts w:eastAsia="黑体"/>
          <w:sz w:val="32"/>
          <w:szCs w:val="32"/>
          <w:highlight w:val="none"/>
        </w:rPr>
        <w:t>A．公路行业标准专用合同条款</w:t>
      </w:r>
    </w:p>
    <w:p>
      <w:pPr>
        <w:adjustRightInd w:val="0"/>
        <w:snapToGrid w:val="0"/>
        <w:spacing w:line="360" w:lineRule="auto"/>
        <w:rPr>
          <w:rFonts w:eastAsia="黑体"/>
          <w:sz w:val="24"/>
          <w:highlight w:val="none"/>
        </w:rPr>
      </w:pPr>
      <w:r>
        <w:rPr>
          <w:rFonts w:eastAsia="黑体"/>
          <w:sz w:val="24"/>
          <w:highlight w:val="none"/>
        </w:rPr>
        <w:t>1．一般约定</w:t>
      </w:r>
    </w:p>
    <w:p>
      <w:pPr>
        <w:adjustRightInd w:val="0"/>
        <w:snapToGrid w:val="0"/>
        <w:spacing w:line="360" w:lineRule="auto"/>
        <w:rPr>
          <w:rFonts w:eastAsia="黑体"/>
          <w:sz w:val="24"/>
          <w:highlight w:val="none"/>
        </w:rPr>
      </w:pPr>
      <w:r>
        <w:rPr>
          <w:rFonts w:eastAsia="黑体"/>
          <w:sz w:val="24"/>
          <w:highlight w:val="none"/>
        </w:rPr>
        <w:t>1.1词语定义</w:t>
      </w:r>
    </w:p>
    <w:p>
      <w:pPr>
        <w:adjustRightInd w:val="0"/>
        <w:snapToGrid w:val="0"/>
        <w:spacing w:line="360" w:lineRule="auto"/>
        <w:ind w:firstLine="480" w:firstLineChars="200"/>
        <w:rPr>
          <w:rFonts w:eastAsia="黑体"/>
          <w:sz w:val="24"/>
          <w:highlight w:val="none"/>
        </w:rPr>
      </w:pPr>
      <w:r>
        <w:rPr>
          <w:rFonts w:eastAsia="黑体"/>
          <w:sz w:val="24"/>
          <w:highlight w:val="none"/>
        </w:rPr>
        <w:t>1.1.1合同</w:t>
      </w:r>
    </w:p>
    <w:p>
      <w:pPr>
        <w:adjustRightInd w:val="0"/>
        <w:snapToGrid w:val="0"/>
        <w:spacing w:line="360" w:lineRule="auto"/>
        <w:ind w:firstLine="720" w:firstLineChars="300"/>
        <w:rPr>
          <w:sz w:val="24"/>
          <w:highlight w:val="none"/>
        </w:rPr>
      </w:pPr>
      <w:r>
        <w:rPr>
          <w:sz w:val="24"/>
          <w:highlight w:val="none"/>
        </w:rPr>
        <w:t>1.1.1.6技术规范：为本合同所约定的</w:t>
      </w:r>
      <w:r>
        <w:rPr>
          <w:rFonts w:ascii="宋体" w:hAnsi="宋体"/>
          <w:sz w:val="24"/>
          <w:highlight w:val="none"/>
        </w:rPr>
        <w:t>技</w:t>
      </w:r>
      <w:r>
        <w:rPr>
          <w:sz w:val="24"/>
          <w:highlight w:val="none"/>
        </w:rPr>
        <w:t>术标准和要求。</w:t>
      </w:r>
    </w:p>
    <w:p>
      <w:pPr>
        <w:adjustRightInd w:val="0"/>
        <w:snapToGrid w:val="0"/>
        <w:spacing w:line="360" w:lineRule="auto"/>
        <w:ind w:firstLine="720" w:firstLineChars="300"/>
        <w:rPr>
          <w:sz w:val="24"/>
          <w:highlight w:val="none"/>
        </w:rPr>
      </w:pPr>
      <w:r>
        <w:rPr>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highlight w:val="none"/>
        </w:rPr>
      </w:pPr>
      <w:r>
        <w:rPr>
          <w:sz w:val="24"/>
          <w:highlight w:val="none"/>
        </w:rPr>
        <w:t>本项增加第1</w:t>
      </w:r>
      <w:r>
        <w:rPr>
          <w:rFonts w:hint="eastAsia"/>
          <w:sz w:val="24"/>
          <w:highlight w:val="none"/>
        </w:rPr>
        <w:t>.</w:t>
      </w:r>
      <w:r>
        <w:rPr>
          <w:sz w:val="24"/>
          <w:highlight w:val="none"/>
        </w:rPr>
        <w:t>1</w:t>
      </w:r>
      <w:r>
        <w:rPr>
          <w:rFonts w:hint="eastAsia"/>
          <w:sz w:val="24"/>
          <w:highlight w:val="none"/>
        </w:rPr>
        <w:t>.</w:t>
      </w:r>
      <w:r>
        <w:rPr>
          <w:sz w:val="24"/>
          <w:highlight w:val="none"/>
        </w:rPr>
        <w:t>1</w:t>
      </w:r>
      <w:r>
        <w:rPr>
          <w:rFonts w:hint="eastAsia"/>
          <w:sz w:val="24"/>
          <w:highlight w:val="none"/>
        </w:rPr>
        <w:t>.</w:t>
      </w:r>
      <w:r>
        <w:rPr>
          <w:sz w:val="24"/>
          <w:highlight w:val="none"/>
        </w:rPr>
        <w:t>10目：</w:t>
      </w:r>
    </w:p>
    <w:p>
      <w:pPr>
        <w:adjustRightInd w:val="0"/>
        <w:snapToGrid w:val="0"/>
        <w:spacing w:line="360" w:lineRule="auto"/>
        <w:ind w:firstLine="720" w:firstLineChars="300"/>
        <w:rPr>
          <w:sz w:val="24"/>
          <w:highlight w:val="none"/>
        </w:rPr>
      </w:pPr>
      <w:r>
        <w:rPr>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highlight w:val="none"/>
        </w:rPr>
      </w:pPr>
      <w:r>
        <w:rPr>
          <w:rFonts w:eastAsia="黑体"/>
          <w:sz w:val="24"/>
          <w:highlight w:val="none"/>
        </w:rPr>
        <w:t>1.1.2合同当事人和人员</w:t>
      </w:r>
    </w:p>
    <w:p>
      <w:pPr>
        <w:adjustRightInd w:val="0"/>
        <w:snapToGrid w:val="0"/>
        <w:spacing w:line="360" w:lineRule="auto"/>
        <w:ind w:firstLine="720" w:firstLineChars="300"/>
        <w:rPr>
          <w:sz w:val="24"/>
          <w:highlight w:val="none"/>
          <w:u w:val="single"/>
        </w:rPr>
      </w:pPr>
      <w:r>
        <w:rPr>
          <w:sz w:val="24"/>
          <w:highlight w:val="none"/>
        </w:rPr>
        <w:t>1</w:t>
      </w:r>
      <w:r>
        <w:rPr>
          <w:rFonts w:hint="eastAsia"/>
          <w:sz w:val="24"/>
          <w:highlight w:val="none"/>
        </w:rPr>
        <w:t>.</w:t>
      </w:r>
      <w:r>
        <w:rPr>
          <w:sz w:val="24"/>
          <w:highlight w:val="none"/>
        </w:rPr>
        <w:t>1.2.2发包人：</w:t>
      </w:r>
      <w:r>
        <w:rPr>
          <w:rFonts w:hint="eastAsia"/>
          <w:sz w:val="24"/>
          <w:highlight w:val="none"/>
          <w:u w:val="single"/>
        </w:rPr>
        <w:t>（在项目专用条款数据表中予以规定）</w:t>
      </w:r>
    </w:p>
    <w:p>
      <w:pPr>
        <w:adjustRightInd w:val="0"/>
        <w:snapToGrid w:val="0"/>
        <w:spacing w:line="360" w:lineRule="auto"/>
        <w:ind w:firstLine="720" w:firstLineChars="300"/>
        <w:rPr>
          <w:sz w:val="24"/>
          <w:highlight w:val="none"/>
        </w:rPr>
      </w:pPr>
      <w:r>
        <w:rPr>
          <w:rFonts w:hint="eastAsia"/>
          <w:sz w:val="24"/>
          <w:highlight w:val="none"/>
        </w:rPr>
        <w:t>1.1</w:t>
      </w:r>
      <w:r>
        <w:rPr>
          <w:sz w:val="24"/>
          <w:highlight w:val="none"/>
        </w:rPr>
        <w:t>.2.6监理人</w:t>
      </w:r>
      <w:r>
        <w:rPr>
          <w:rFonts w:hint="eastAsia"/>
          <w:sz w:val="24"/>
          <w:highlight w:val="none"/>
        </w:rPr>
        <w:t>：</w:t>
      </w:r>
      <w:r>
        <w:rPr>
          <w:rFonts w:hint="eastAsia"/>
          <w:sz w:val="24"/>
          <w:highlight w:val="none"/>
          <w:u w:val="single"/>
        </w:rPr>
        <w:t>（在项目专用条款数据表中予以规定）</w:t>
      </w:r>
    </w:p>
    <w:p>
      <w:pPr>
        <w:adjustRightInd w:val="0"/>
        <w:snapToGrid w:val="0"/>
        <w:spacing w:line="360" w:lineRule="auto"/>
        <w:ind w:firstLine="720" w:firstLineChars="300"/>
        <w:rPr>
          <w:sz w:val="24"/>
          <w:highlight w:val="none"/>
        </w:rPr>
      </w:pPr>
      <w:r>
        <w:rPr>
          <w:sz w:val="24"/>
          <w:highlight w:val="none"/>
        </w:rPr>
        <w:t>本项增加第1</w:t>
      </w:r>
      <w:r>
        <w:rPr>
          <w:rFonts w:hint="eastAsia"/>
          <w:sz w:val="24"/>
          <w:highlight w:val="none"/>
        </w:rPr>
        <w:t>.</w:t>
      </w:r>
      <w:r>
        <w:rPr>
          <w:sz w:val="24"/>
          <w:highlight w:val="none"/>
        </w:rPr>
        <w:t>1.2.8目：</w:t>
      </w:r>
    </w:p>
    <w:p>
      <w:pPr>
        <w:adjustRightInd w:val="0"/>
        <w:snapToGrid w:val="0"/>
        <w:spacing w:line="360" w:lineRule="auto"/>
        <w:ind w:firstLine="720" w:firstLineChars="300"/>
        <w:rPr>
          <w:sz w:val="24"/>
          <w:highlight w:val="none"/>
        </w:rPr>
      </w:pPr>
      <w:r>
        <w:rPr>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highlight w:val="none"/>
        </w:rPr>
      </w:pPr>
      <w:r>
        <w:rPr>
          <w:rFonts w:eastAsia="黑体"/>
          <w:sz w:val="24"/>
          <w:highlight w:val="none"/>
        </w:rPr>
        <w:t>1</w:t>
      </w:r>
      <w:r>
        <w:rPr>
          <w:rFonts w:hint="eastAsia" w:eastAsia="黑体"/>
          <w:sz w:val="24"/>
          <w:highlight w:val="none"/>
        </w:rPr>
        <w:t>.</w:t>
      </w:r>
      <w:r>
        <w:rPr>
          <w:rFonts w:eastAsia="黑体"/>
          <w:sz w:val="24"/>
          <w:highlight w:val="none"/>
        </w:rPr>
        <w:t>1</w:t>
      </w:r>
      <w:r>
        <w:rPr>
          <w:rFonts w:hint="eastAsia" w:eastAsia="黑体"/>
          <w:sz w:val="24"/>
          <w:highlight w:val="none"/>
        </w:rPr>
        <w:t>.</w:t>
      </w:r>
      <w:r>
        <w:rPr>
          <w:rFonts w:eastAsia="黑体"/>
          <w:sz w:val="24"/>
          <w:highlight w:val="none"/>
        </w:rPr>
        <w:t>3工程和设备</w:t>
      </w:r>
    </w:p>
    <w:p>
      <w:pPr>
        <w:adjustRightInd w:val="0"/>
        <w:snapToGrid w:val="0"/>
        <w:spacing w:line="360" w:lineRule="auto"/>
        <w:ind w:firstLine="720" w:firstLineChars="300"/>
        <w:rPr>
          <w:sz w:val="24"/>
          <w:highlight w:val="none"/>
        </w:rPr>
      </w:pPr>
      <w:r>
        <w:rPr>
          <w:sz w:val="24"/>
          <w:highlight w:val="none"/>
        </w:rPr>
        <w:t>1.1.3.4单位工程：指在建设项目中，根据签订的合同，具有独立施工条件的工程。</w:t>
      </w:r>
    </w:p>
    <w:p>
      <w:pPr>
        <w:adjustRightInd w:val="0"/>
        <w:snapToGrid w:val="0"/>
        <w:spacing w:line="360" w:lineRule="auto"/>
        <w:ind w:firstLine="720" w:firstLineChars="300"/>
        <w:rPr>
          <w:sz w:val="24"/>
          <w:highlight w:val="none"/>
        </w:rPr>
      </w:pPr>
      <w:r>
        <w:rPr>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sz w:val="24"/>
          <w:highlight w:val="none"/>
        </w:rPr>
      </w:pPr>
      <w:r>
        <w:rPr>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highlight w:val="none"/>
        </w:rPr>
      </w:pPr>
      <w:r>
        <w:rPr>
          <w:sz w:val="24"/>
          <w:highlight w:val="none"/>
        </w:rPr>
        <w:t>本项增加第1．1.3．12、1．1.3．13目：</w:t>
      </w:r>
    </w:p>
    <w:p>
      <w:pPr>
        <w:adjustRightInd w:val="0"/>
        <w:snapToGrid w:val="0"/>
        <w:spacing w:line="360" w:lineRule="auto"/>
        <w:ind w:firstLine="720" w:firstLineChars="300"/>
        <w:rPr>
          <w:sz w:val="24"/>
          <w:highlight w:val="none"/>
        </w:rPr>
      </w:pPr>
      <w:r>
        <w:rPr>
          <w:sz w:val="24"/>
          <w:highlight w:val="none"/>
        </w:rPr>
        <w:t>1</w:t>
      </w:r>
      <w:r>
        <w:rPr>
          <w:rFonts w:hint="eastAsia"/>
          <w:sz w:val="24"/>
          <w:highlight w:val="none"/>
        </w:rPr>
        <w:t>.</w:t>
      </w:r>
      <w:r>
        <w:rPr>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sz w:val="24"/>
          <w:highlight w:val="none"/>
        </w:rPr>
      </w:pPr>
      <w:r>
        <w:rPr>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highlight w:val="none"/>
        </w:rPr>
      </w:pPr>
      <w:r>
        <w:rPr>
          <w:rFonts w:eastAsia="黑体"/>
          <w:sz w:val="24"/>
          <w:highlight w:val="none"/>
        </w:rPr>
        <w:t>1.1.4日期</w:t>
      </w:r>
    </w:p>
    <w:p>
      <w:pPr>
        <w:adjustRightInd w:val="0"/>
        <w:snapToGrid w:val="0"/>
        <w:spacing w:line="360" w:lineRule="auto"/>
        <w:ind w:firstLine="720" w:firstLineChars="300"/>
        <w:rPr>
          <w:sz w:val="24"/>
          <w:highlight w:val="none"/>
        </w:rPr>
      </w:pPr>
      <w:r>
        <w:rPr>
          <w:sz w:val="24"/>
          <w:highlight w:val="none"/>
        </w:rPr>
        <w:t>1.1.4.5缺陷责任期：自实际竣工日期起计算</w:t>
      </w:r>
      <w:r>
        <w:rPr>
          <w:rFonts w:hint="eastAsia"/>
          <w:sz w:val="24"/>
          <w:highlight w:val="none"/>
        </w:rPr>
        <w:t>1</w:t>
      </w:r>
      <w:r>
        <w:rPr>
          <w:sz w:val="24"/>
          <w:highlight w:val="none"/>
        </w:rPr>
        <w:t>年。</w:t>
      </w:r>
    </w:p>
    <w:p>
      <w:pPr>
        <w:adjustRightInd w:val="0"/>
        <w:snapToGrid w:val="0"/>
        <w:spacing w:line="360" w:lineRule="auto"/>
        <w:ind w:firstLine="480" w:firstLineChars="200"/>
        <w:rPr>
          <w:rFonts w:eastAsia="黑体"/>
          <w:sz w:val="24"/>
          <w:highlight w:val="none"/>
        </w:rPr>
      </w:pPr>
      <w:r>
        <w:rPr>
          <w:rFonts w:eastAsia="黑体"/>
          <w:sz w:val="24"/>
          <w:highlight w:val="none"/>
        </w:rPr>
        <w:t>1</w:t>
      </w:r>
      <w:r>
        <w:rPr>
          <w:rFonts w:hint="eastAsia" w:eastAsia="黑体"/>
          <w:sz w:val="24"/>
          <w:highlight w:val="none"/>
        </w:rPr>
        <w:t>.</w:t>
      </w:r>
      <w:r>
        <w:rPr>
          <w:rFonts w:eastAsia="黑体"/>
          <w:sz w:val="24"/>
          <w:highlight w:val="none"/>
        </w:rPr>
        <w:t>1.6其他</w:t>
      </w:r>
    </w:p>
    <w:p>
      <w:pPr>
        <w:adjustRightInd w:val="0"/>
        <w:snapToGrid w:val="0"/>
        <w:spacing w:line="360" w:lineRule="auto"/>
        <w:ind w:firstLine="720" w:firstLineChars="300"/>
        <w:rPr>
          <w:sz w:val="24"/>
          <w:highlight w:val="none"/>
        </w:rPr>
      </w:pPr>
      <w:r>
        <w:rPr>
          <w:sz w:val="24"/>
          <w:highlight w:val="none"/>
        </w:rPr>
        <w:t>本项增加第1．1.6.2至1．1.6.5目：</w:t>
      </w:r>
    </w:p>
    <w:p>
      <w:pPr>
        <w:adjustRightInd w:val="0"/>
        <w:snapToGrid w:val="0"/>
        <w:spacing w:line="360" w:lineRule="auto"/>
        <w:ind w:firstLine="720" w:firstLineChars="300"/>
        <w:rPr>
          <w:sz w:val="24"/>
          <w:highlight w:val="none"/>
        </w:rPr>
      </w:pPr>
      <w:r>
        <w:rPr>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highlight w:val="none"/>
        </w:rPr>
      </w:pPr>
      <w:r>
        <w:rPr>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highlight w:val="none"/>
        </w:rPr>
      </w:pPr>
      <w:r>
        <w:rPr>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highlight w:val="none"/>
        </w:rPr>
      </w:pPr>
      <w:r>
        <w:rPr>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highlight w:val="none"/>
        </w:rPr>
      </w:pPr>
      <w:r>
        <w:rPr>
          <w:rFonts w:eastAsia="黑体"/>
          <w:sz w:val="24"/>
          <w:highlight w:val="none"/>
        </w:rPr>
        <w:t>1.4合同文件的优先顺序</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合同协议书及各种合同附件（含评标期间和合同谈判过程中的澄清文件和补充资料）；</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中标通知书；</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补遗书；</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投标函及投标函附录；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项目专用合同条款；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公路行业标准专用合同条款；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通用合同条款；</w:t>
      </w:r>
    </w:p>
    <w:p>
      <w:pPr>
        <w:adjustRightInd w:val="0"/>
        <w:snapToGrid w:val="0"/>
        <w:spacing w:line="360" w:lineRule="auto"/>
        <w:ind w:firstLine="480" w:firstLineChars="200"/>
        <w:rPr>
          <w:sz w:val="24"/>
          <w:highlight w:val="none"/>
        </w:rPr>
      </w:pPr>
      <w:r>
        <w:rPr>
          <w:sz w:val="24"/>
          <w:highlight w:val="none"/>
        </w:rPr>
        <w:t>（8）技术规范；</w:t>
      </w:r>
    </w:p>
    <w:p>
      <w:pPr>
        <w:adjustRightInd w:val="0"/>
        <w:snapToGrid w:val="0"/>
        <w:spacing w:line="360" w:lineRule="auto"/>
        <w:ind w:firstLine="480" w:firstLineChars="200"/>
        <w:rPr>
          <w:sz w:val="24"/>
          <w:highlight w:val="none"/>
        </w:rPr>
      </w:pPr>
      <w:r>
        <w:rPr>
          <w:sz w:val="24"/>
          <w:highlight w:val="none"/>
        </w:rPr>
        <w:t>（9）图纸；</w:t>
      </w:r>
    </w:p>
    <w:p>
      <w:pPr>
        <w:adjustRightInd w:val="0"/>
        <w:snapToGrid w:val="0"/>
        <w:spacing w:line="360" w:lineRule="auto"/>
        <w:ind w:firstLine="480" w:firstLineChars="200"/>
        <w:rPr>
          <w:sz w:val="24"/>
          <w:highlight w:val="none"/>
        </w:rPr>
      </w:pPr>
      <w:r>
        <w:rPr>
          <w:sz w:val="24"/>
          <w:highlight w:val="none"/>
        </w:rPr>
        <w:t>（10）已标价工程量清单；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11</w:t>
      </w:r>
      <w:r>
        <w:rPr>
          <w:rFonts w:hint="eastAsia"/>
          <w:sz w:val="24"/>
          <w:highlight w:val="none"/>
        </w:rPr>
        <w:t>）</w:t>
      </w:r>
      <w:r>
        <w:rPr>
          <w:sz w:val="24"/>
          <w:highlight w:val="none"/>
        </w:rPr>
        <w:t>资格预审申请文件中有关人员、设备投入的承诺</w:t>
      </w:r>
      <w:r>
        <w:rPr>
          <w:rFonts w:hint="eastAsia"/>
          <w:sz w:val="24"/>
          <w:highlight w:val="none"/>
        </w:rPr>
        <w:t>和目标承诺书；</w:t>
      </w:r>
    </w:p>
    <w:p>
      <w:pPr>
        <w:adjustRightInd w:val="0"/>
        <w:snapToGrid w:val="0"/>
        <w:spacing w:line="360" w:lineRule="auto"/>
        <w:ind w:firstLine="480" w:firstLineChars="200"/>
        <w:rPr>
          <w:sz w:val="24"/>
          <w:highlight w:val="none"/>
        </w:rPr>
      </w:pPr>
      <w:r>
        <w:rPr>
          <w:rFonts w:hint="eastAsia"/>
          <w:sz w:val="24"/>
          <w:highlight w:val="none"/>
        </w:rPr>
        <w:t>（12）根据承诺提供的详细人员、设备清单；</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3</w:t>
      </w:r>
      <w:r>
        <w:rPr>
          <w:sz w:val="24"/>
          <w:highlight w:val="none"/>
        </w:rPr>
        <w:t>）其他合同文件。</w:t>
      </w:r>
    </w:p>
    <w:p>
      <w:pPr>
        <w:adjustRightInd w:val="0"/>
        <w:snapToGrid w:val="0"/>
        <w:spacing w:beforeLines="100" w:line="360" w:lineRule="auto"/>
        <w:rPr>
          <w:rFonts w:eastAsia="黑体"/>
          <w:sz w:val="24"/>
          <w:highlight w:val="none"/>
        </w:rPr>
      </w:pPr>
      <w:r>
        <w:rPr>
          <w:rFonts w:eastAsia="黑体"/>
          <w:sz w:val="24"/>
          <w:highlight w:val="none"/>
        </w:rPr>
        <w:t>1.5合同协议书</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highlight w:val="none"/>
        </w:rPr>
      </w:pPr>
      <w:r>
        <w:rPr>
          <w:rFonts w:eastAsia="黑体"/>
          <w:sz w:val="24"/>
          <w:highlight w:val="none"/>
        </w:rPr>
        <w:t>1.6图纸和承包人文件</w:t>
      </w:r>
    </w:p>
    <w:p>
      <w:pPr>
        <w:adjustRightInd w:val="0"/>
        <w:snapToGrid w:val="0"/>
        <w:spacing w:line="360" w:lineRule="auto"/>
        <w:ind w:firstLine="480" w:firstLineChars="200"/>
        <w:rPr>
          <w:rFonts w:eastAsia="黑体"/>
          <w:sz w:val="24"/>
          <w:highlight w:val="none"/>
        </w:rPr>
      </w:pPr>
      <w:r>
        <w:rPr>
          <w:rFonts w:eastAsia="黑体"/>
          <w:sz w:val="24"/>
          <w:highlight w:val="none"/>
        </w:rPr>
        <w:t>1.6.1图纸的提供</w:t>
      </w:r>
    </w:p>
    <w:p>
      <w:pPr>
        <w:adjustRightInd w:val="0"/>
        <w:snapToGrid w:val="0"/>
        <w:spacing w:line="360" w:lineRule="auto"/>
        <w:ind w:firstLine="480" w:firstLineChars="200"/>
        <w:rPr>
          <w:sz w:val="24"/>
          <w:highlight w:val="none"/>
        </w:rPr>
      </w:pPr>
      <w:r>
        <w:rPr>
          <w:rFonts w:hint="eastAsia"/>
          <w:sz w:val="24"/>
          <w:highlight w:val="none"/>
        </w:rPr>
        <w:t>本项细化为：</w:t>
      </w:r>
    </w:p>
    <w:p>
      <w:pPr>
        <w:adjustRightInd w:val="0"/>
        <w:snapToGrid w:val="0"/>
        <w:spacing w:line="360" w:lineRule="auto"/>
        <w:ind w:firstLine="480" w:firstLineChars="200"/>
        <w:rPr>
          <w:sz w:val="24"/>
          <w:highlight w:val="none"/>
        </w:rPr>
      </w:pPr>
      <w:r>
        <w:rPr>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highlight w:val="none"/>
        </w:rPr>
      </w:pPr>
      <w:r>
        <w:rPr>
          <w:rFonts w:eastAsia="黑体"/>
          <w:sz w:val="24"/>
          <w:highlight w:val="none"/>
        </w:rPr>
        <w:t>1.6.2承包人提供的文件</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highlight w:val="none"/>
        </w:rPr>
      </w:pPr>
      <w:r>
        <w:rPr>
          <w:rFonts w:eastAsia="黑体"/>
          <w:sz w:val="24"/>
          <w:highlight w:val="none"/>
        </w:rPr>
        <w:t>1.6.3图纸的修改</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highlight w:val="none"/>
        </w:rPr>
      </w:pPr>
      <w:r>
        <w:rPr>
          <w:rFonts w:eastAsia="黑体"/>
          <w:sz w:val="24"/>
          <w:highlight w:val="none"/>
        </w:rPr>
        <w:t>1.6.4图纸的错误</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highlight w:val="none"/>
        </w:rPr>
      </w:pPr>
      <w:r>
        <w:rPr>
          <w:rFonts w:eastAsia="黑体"/>
          <w:sz w:val="24"/>
          <w:highlight w:val="none"/>
        </w:rPr>
        <w:t>1.7联络</w:t>
      </w:r>
    </w:p>
    <w:p>
      <w:pPr>
        <w:adjustRightInd w:val="0"/>
        <w:snapToGrid w:val="0"/>
        <w:spacing w:line="360" w:lineRule="auto"/>
        <w:ind w:firstLine="480" w:firstLineChars="200"/>
        <w:rPr>
          <w:rFonts w:eastAsia="黑体"/>
          <w:sz w:val="24"/>
          <w:highlight w:val="none"/>
        </w:rPr>
      </w:pPr>
      <w:r>
        <w:rPr>
          <w:rFonts w:eastAsia="黑体"/>
          <w:sz w:val="24"/>
          <w:highlight w:val="none"/>
        </w:rPr>
        <w:t>1.7.2来往函件送达的期限：</w:t>
      </w:r>
      <w:r>
        <w:rPr>
          <w:rFonts w:hint="eastAsia" w:eastAsia="黑体"/>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1.9严禁贿赔</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highlight w:val="none"/>
        </w:rPr>
      </w:pPr>
      <w:r>
        <w:rPr>
          <w:rFonts w:eastAsia="黑体"/>
          <w:sz w:val="24"/>
          <w:highlight w:val="none"/>
        </w:rPr>
        <w:t>2</w:t>
      </w:r>
      <w:r>
        <w:rPr>
          <w:rFonts w:hint="eastAsia" w:eastAsia="黑体"/>
          <w:sz w:val="24"/>
          <w:highlight w:val="none"/>
        </w:rPr>
        <w:t>．</w:t>
      </w:r>
      <w:r>
        <w:rPr>
          <w:rFonts w:eastAsia="黑体"/>
          <w:sz w:val="24"/>
          <w:highlight w:val="none"/>
        </w:rPr>
        <w:t>发包人义务</w:t>
      </w:r>
    </w:p>
    <w:p>
      <w:pPr>
        <w:adjustRightInd w:val="0"/>
        <w:snapToGrid w:val="0"/>
        <w:spacing w:line="360" w:lineRule="auto"/>
        <w:rPr>
          <w:rFonts w:eastAsia="黑体"/>
          <w:sz w:val="24"/>
          <w:highlight w:val="none"/>
        </w:rPr>
      </w:pPr>
      <w:r>
        <w:rPr>
          <w:rFonts w:eastAsia="黑体"/>
          <w:sz w:val="24"/>
          <w:highlight w:val="none"/>
        </w:rPr>
        <w:t>2.3提供施工场地</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2.3.1提供永久占地</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highlight w:val="none"/>
        </w:rPr>
      </w:pPr>
      <w:r>
        <w:rPr>
          <w:sz w:val="24"/>
          <w:highlight w:val="none"/>
        </w:rPr>
        <w:t>2.3.2提供临时占地</w:t>
      </w:r>
    </w:p>
    <w:p>
      <w:pPr>
        <w:adjustRightInd w:val="0"/>
        <w:snapToGrid w:val="0"/>
        <w:spacing w:line="360" w:lineRule="auto"/>
        <w:ind w:firstLine="480" w:firstLineChars="200"/>
        <w:rPr>
          <w:sz w:val="24"/>
          <w:highlight w:val="none"/>
        </w:rPr>
      </w:pPr>
      <w:r>
        <w:rPr>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highlight w:val="none"/>
        </w:rPr>
      </w:pPr>
      <w:r>
        <w:rPr>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highlight w:val="none"/>
        </w:rPr>
      </w:pPr>
      <w:r>
        <w:rPr>
          <w:rFonts w:eastAsia="黑体"/>
          <w:sz w:val="24"/>
          <w:highlight w:val="none"/>
        </w:rPr>
        <w:t>2.8其他义务</w:t>
      </w:r>
    </w:p>
    <w:p>
      <w:pPr>
        <w:adjustRightInd w:val="0"/>
        <w:snapToGrid w:val="0"/>
        <w:spacing w:line="360" w:lineRule="auto"/>
        <w:ind w:firstLine="480" w:firstLineChars="200"/>
        <w:rPr>
          <w:sz w:val="24"/>
          <w:highlight w:val="none"/>
          <w:u w:val="single"/>
        </w:rPr>
      </w:pPr>
      <w:r>
        <w:rPr>
          <w:sz w:val="24"/>
          <w:highlight w:val="none"/>
        </w:rPr>
        <w:t>发包人应履行的其他义务</w:t>
      </w:r>
      <w:r>
        <w:rPr>
          <w:rFonts w:hint="eastAsia"/>
          <w:sz w:val="24"/>
          <w:highlight w:val="none"/>
        </w:rPr>
        <w:t>：</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3</w:t>
      </w:r>
      <w:r>
        <w:rPr>
          <w:rFonts w:hint="eastAsia" w:eastAsia="黑体"/>
          <w:sz w:val="24"/>
          <w:highlight w:val="none"/>
        </w:rPr>
        <w:t>．</w:t>
      </w:r>
      <w:r>
        <w:rPr>
          <w:rFonts w:eastAsia="黑体"/>
          <w:sz w:val="24"/>
          <w:highlight w:val="none"/>
        </w:rPr>
        <w:t>监理人</w:t>
      </w:r>
    </w:p>
    <w:p>
      <w:pPr>
        <w:adjustRightInd w:val="0"/>
        <w:snapToGrid w:val="0"/>
        <w:spacing w:line="360" w:lineRule="auto"/>
        <w:rPr>
          <w:rFonts w:eastAsia="黑体"/>
          <w:sz w:val="24"/>
          <w:highlight w:val="none"/>
        </w:rPr>
      </w:pPr>
      <w:r>
        <w:rPr>
          <w:rFonts w:eastAsia="黑体"/>
          <w:sz w:val="24"/>
          <w:highlight w:val="none"/>
        </w:rPr>
        <w:t>3.1监理人的职责和权力</w:t>
      </w:r>
    </w:p>
    <w:p>
      <w:pPr>
        <w:adjustRightInd w:val="0"/>
        <w:snapToGrid w:val="0"/>
        <w:spacing w:line="360" w:lineRule="auto"/>
        <w:ind w:firstLine="480" w:firstLineChars="200"/>
        <w:rPr>
          <w:sz w:val="24"/>
          <w:highlight w:val="none"/>
        </w:rPr>
      </w:pPr>
      <w:r>
        <w:rPr>
          <w:sz w:val="24"/>
          <w:highlight w:val="none"/>
        </w:rPr>
        <w:t>3.1</w:t>
      </w:r>
      <w:r>
        <w:rPr>
          <w:rFonts w:hint="eastAsia"/>
          <w:sz w:val="24"/>
          <w:highlight w:val="none"/>
        </w:rPr>
        <w:t>.</w:t>
      </w:r>
      <w:r>
        <w:rPr>
          <w:sz w:val="24"/>
          <w:highlight w:val="none"/>
        </w:rPr>
        <w:t>1项补充：</w:t>
      </w:r>
    </w:p>
    <w:p>
      <w:pPr>
        <w:adjustRightInd w:val="0"/>
        <w:snapToGrid w:val="0"/>
        <w:spacing w:line="360" w:lineRule="auto"/>
        <w:ind w:firstLine="480" w:firstLineChars="200"/>
        <w:rPr>
          <w:sz w:val="24"/>
          <w:highlight w:val="none"/>
        </w:rPr>
      </w:pPr>
      <w:r>
        <w:rPr>
          <w:sz w:val="24"/>
          <w:highlight w:val="none"/>
        </w:rPr>
        <w:t>监理人在行使下列权力前需要经发包人事先批准：</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根据第4.3款，同意分包本工程的某非主体和关键性工作；</w:t>
      </w:r>
    </w:p>
    <w:p>
      <w:pPr>
        <w:adjustRightInd w:val="0"/>
        <w:snapToGrid w:val="0"/>
        <w:spacing w:line="360" w:lineRule="auto"/>
        <w:ind w:firstLine="480" w:firstLineChars="200"/>
        <w:rPr>
          <w:sz w:val="24"/>
          <w:highlight w:val="none"/>
        </w:rPr>
      </w:pPr>
      <w:r>
        <w:rPr>
          <w:sz w:val="24"/>
          <w:highlight w:val="none"/>
        </w:rPr>
        <w:t>（2）确定第4.11款下产生的费用增加额；</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3）根据第11</w:t>
      </w:r>
      <w:r>
        <w:rPr>
          <w:rFonts w:hint="eastAsia"/>
          <w:sz w:val="24"/>
          <w:highlight w:val="none"/>
        </w:rPr>
        <w:t>.</w:t>
      </w:r>
      <w:r>
        <w:rPr>
          <w:sz w:val="24"/>
          <w:highlight w:val="none"/>
        </w:rPr>
        <w:t>1款、12.3款、12.4款发布开工通知、暂停施工指示或复工通矢日；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决定第11.3款、11.4款下的工期延长；</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审查批准技术规范或设计的变更；</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highlight w:val="none"/>
        </w:rPr>
      </w:pPr>
      <w:r>
        <w:rPr>
          <w:sz w:val="24"/>
          <w:highlight w:val="none"/>
        </w:rPr>
        <w:t>（7）确定第23.1款项下的索赔额；</w:t>
      </w:r>
    </w:p>
    <w:p>
      <w:pPr>
        <w:adjustRightInd w:val="0"/>
        <w:snapToGrid w:val="0"/>
        <w:spacing w:line="360" w:lineRule="auto"/>
        <w:ind w:firstLine="480" w:firstLineChars="200"/>
        <w:rPr>
          <w:sz w:val="24"/>
          <w:highlight w:val="none"/>
        </w:rPr>
      </w:pPr>
      <w:r>
        <w:rPr>
          <w:sz w:val="24"/>
          <w:highlight w:val="none"/>
        </w:rPr>
        <w:t>（8</w:t>
      </w:r>
      <w:r>
        <w:rPr>
          <w:rFonts w:hint="eastAsia"/>
          <w:sz w:val="24"/>
          <w:highlight w:val="none"/>
        </w:rPr>
        <w:t>）</w:t>
      </w:r>
      <w:r>
        <w:rPr>
          <w:sz w:val="24"/>
          <w:highlight w:val="none"/>
        </w:rPr>
        <w:t>按照第15.6款决定有关暂列金额的使用；</w:t>
      </w:r>
    </w:p>
    <w:p>
      <w:pPr>
        <w:adjustRightInd w:val="0"/>
        <w:snapToGrid w:val="0"/>
        <w:spacing w:line="360" w:lineRule="auto"/>
        <w:ind w:firstLine="480" w:firstLineChars="200"/>
        <w:rPr>
          <w:sz w:val="24"/>
          <w:highlight w:val="none"/>
        </w:rPr>
      </w:pPr>
      <w:r>
        <w:rPr>
          <w:sz w:val="24"/>
          <w:highlight w:val="none"/>
        </w:rPr>
        <w:t>（9</w:t>
      </w:r>
      <w:r>
        <w:rPr>
          <w:rFonts w:hint="eastAsia"/>
          <w:sz w:val="24"/>
          <w:highlight w:val="none"/>
        </w:rPr>
        <w:t>）</w:t>
      </w:r>
      <w:r>
        <w:rPr>
          <w:sz w:val="24"/>
          <w:highlight w:val="none"/>
        </w:rPr>
        <w:t>确定第15.8款项下的暂估价金额；</w:t>
      </w:r>
    </w:p>
    <w:p>
      <w:pPr>
        <w:adjustRightInd w:val="0"/>
        <w:snapToGrid w:val="0"/>
        <w:spacing w:line="360" w:lineRule="auto"/>
        <w:ind w:firstLine="480" w:firstLineChars="200"/>
        <w:rPr>
          <w:sz w:val="24"/>
          <w:highlight w:val="none"/>
        </w:rPr>
      </w:pPr>
      <w:r>
        <w:rPr>
          <w:sz w:val="24"/>
          <w:highlight w:val="none"/>
        </w:rPr>
        <w:t>（10</w:t>
      </w:r>
      <w:r>
        <w:rPr>
          <w:rFonts w:hint="eastAsia"/>
          <w:sz w:val="24"/>
          <w:highlight w:val="none"/>
        </w:rPr>
        <w:t>）</w:t>
      </w:r>
      <w:r>
        <w:rPr>
          <w:sz w:val="24"/>
          <w:highlight w:val="none"/>
        </w:rPr>
        <w:t>确定第15.4款下变更工作的单价。</w:t>
      </w:r>
    </w:p>
    <w:p>
      <w:pPr>
        <w:adjustRightInd w:val="0"/>
        <w:snapToGrid w:val="0"/>
        <w:spacing w:line="360" w:lineRule="auto"/>
        <w:ind w:firstLine="480" w:firstLineChars="200"/>
        <w:rPr>
          <w:sz w:val="24"/>
          <w:highlight w:val="none"/>
        </w:rPr>
      </w:pPr>
      <w:r>
        <w:rPr>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highlight w:val="none"/>
        </w:rPr>
      </w:pPr>
      <w:r>
        <w:rPr>
          <w:rFonts w:eastAsia="黑体"/>
          <w:sz w:val="24"/>
          <w:highlight w:val="none"/>
        </w:rPr>
        <w:t>3.5商定或确定</w:t>
      </w:r>
    </w:p>
    <w:p>
      <w:pPr>
        <w:adjustRightInd w:val="0"/>
        <w:snapToGrid w:val="0"/>
        <w:spacing w:line="360" w:lineRule="auto"/>
        <w:ind w:firstLine="480" w:firstLineChars="200"/>
        <w:rPr>
          <w:rFonts w:eastAsia="黑体"/>
          <w:sz w:val="24"/>
          <w:highlight w:val="none"/>
        </w:rPr>
      </w:pPr>
      <w:r>
        <w:rPr>
          <w:rFonts w:eastAsia="黑体"/>
          <w:sz w:val="24"/>
          <w:highlight w:val="none"/>
        </w:rPr>
        <w:t>3.5</w:t>
      </w:r>
      <w:r>
        <w:rPr>
          <w:rFonts w:hint="eastAsia" w:eastAsia="黑体"/>
          <w:sz w:val="24"/>
          <w:highlight w:val="none"/>
        </w:rPr>
        <w:t>.</w:t>
      </w:r>
      <w:r>
        <w:rPr>
          <w:rFonts w:eastAsia="黑体"/>
          <w:sz w:val="24"/>
          <w:highlight w:val="none"/>
        </w:rPr>
        <w:t>1项补充：</w:t>
      </w:r>
    </w:p>
    <w:p>
      <w:pPr>
        <w:adjustRightInd w:val="0"/>
        <w:snapToGrid w:val="0"/>
        <w:spacing w:line="360" w:lineRule="auto"/>
        <w:ind w:firstLine="480" w:firstLineChars="200"/>
        <w:rPr>
          <w:sz w:val="24"/>
          <w:highlight w:val="none"/>
        </w:rPr>
      </w:pPr>
      <w:r>
        <w:rPr>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highlight w:val="none"/>
        </w:rPr>
      </w:pPr>
      <w:r>
        <w:rPr>
          <w:rFonts w:eastAsia="黑体"/>
          <w:sz w:val="24"/>
          <w:highlight w:val="none"/>
        </w:rPr>
        <w:t>4</w:t>
      </w:r>
      <w:r>
        <w:rPr>
          <w:rFonts w:hint="eastAsia" w:eastAsia="黑体"/>
          <w:sz w:val="24"/>
          <w:highlight w:val="none"/>
        </w:rPr>
        <w:t>．</w:t>
      </w:r>
      <w:r>
        <w:rPr>
          <w:rFonts w:eastAsia="黑体"/>
          <w:sz w:val="24"/>
          <w:highlight w:val="none"/>
        </w:rPr>
        <w:t>承包人</w:t>
      </w:r>
    </w:p>
    <w:p>
      <w:pPr>
        <w:adjustRightInd w:val="0"/>
        <w:snapToGrid w:val="0"/>
        <w:spacing w:line="360" w:lineRule="auto"/>
        <w:rPr>
          <w:rFonts w:eastAsia="黑体"/>
          <w:sz w:val="24"/>
          <w:highlight w:val="none"/>
        </w:rPr>
      </w:pPr>
      <w:r>
        <w:rPr>
          <w:rFonts w:eastAsia="黑体"/>
          <w:sz w:val="24"/>
          <w:highlight w:val="none"/>
        </w:rPr>
        <w:t>4.1承包人的一般义务</w:t>
      </w:r>
    </w:p>
    <w:p>
      <w:pPr>
        <w:adjustRightInd w:val="0"/>
        <w:snapToGrid w:val="0"/>
        <w:spacing w:line="360" w:lineRule="auto"/>
        <w:ind w:firstLine="480" w:firstLineChars="200"/>
        <w:rPr>
          <w:rFonts w:eastAsia="黑体"/>
          <w:sz w:val="24"/>
          <w:highlight w:val="none"/>
        </w:rPr>
      </w:pPr>
      <w:r>
        <w:rPr>
          <w:rFonts w:eastAsia="黑体"/>
          <w:sz w:val="24"/>
          <w:highlight w:val="none"/>
        </w:rPr>
        <w:t>4</w:t>
      </w:r>
      <w:r>
        <w:rPr>
          <w:rFonts w:hint="eastAsia" w:eastAsia="黑体"/>
          <w:sz w:val="24"/>
          <w:highlight w:val="none"/>
        </w:rPr>
        <w:t>.</w:t>
      </w:r>
      <w:r>
        <w:rPr>
          <w:rFonts w:eastAsia="黑体"/>
          <w:sz w:val="24"/>
          <w:highlight w:val="none"/>
        </w:rPr>
        <w:t>1.2依法纳税</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承包人应按有关法律规定纳税。应缴纳的税费应按项目专用合同条款的约定：</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包括在工程量清单第100章相应的支付子目中；</w:t>
      </w:r>
      <w:bookmarkStart w:id="300" w:name="_GoBack"/>
      <w:bookmarkEnd w:id="300"/>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分摊在工程量清单各工程子目的单价或总额价内。</w:t>
      </w:r>
    </w:p>
    <w:p>
      <w:pPr>
        <w:adjustRightInd w:val="0"/>
        <w:snapToGrid w:val="0"/>
        <w:spacing w:line="360" w:lineRule="auto"/>
        <w:ind w:firstLine="480" w:firstLineChars="200"/>
        <w:rPr>
          <w:rFonts w:eastAsia="黑体"/>
          <w:sz w:val="24"/>
          <w:highlight w:val="none"/>
        </w:rPr>
      </w:pPr>
      <w:r>
        <w:rPr>
          <w:rFonts w:eastAsia="黑体"/>
          <w:sz w:val="24"/>
          <w:highlight w:val="none"/>
        </w:rPr>
        <w:t>4.1.8为他人提供方便</w:t>
      </w:r>
    </w:p>
    <w:p>
      <w:pPr>
        <w:adjustRightInd w:val="0"/>
        <w:snapToGrid w:val="0"/>
        <w:spacing w:line="360" w:lineRule="auto"/>
        <w:ind w:firstLine="480" w:firstLineChars="200"/>
        <w:rPr>
          <w:sz w:val="24"/>
          <w:highlight w:val="none"/>
        </w:rPr>
      </w:pPr>
      <w:r>
        <w:rPr>
          <w:sz w:val="24"/>
          <w:highlight w:val="none"/>
        </w:rPr>
        <w:t>承包人为他人提供条件的内容：</w:t>
      </w:r>
      <w:r>
        <w:rPr>
          <w:rFonts w:hint="eastAsia" w:ascii="宋体" w:hAnsi="宋体"/>
          <w:sz w:val="24"/>
          <w:highlight w:val="none"/>
          <w:u w:val="single"/>
        </w:rPr>
        <w:t xml:space="preserve">  （见项目专用合同条款）  </w:t>
      </w:r>
    </w:p>
    <w:p>
      <w:pPr>
        <w:adjustRightInd w:val="0"/>
        <w:snapToGrid w:val="0"/>
        <w:spacing w:line="360" w:lineRule="auto"/>
        <w:ind w:firstLine="480" w:firstLineChars="200"/>
        <w:rPr>
          <w:rFonts w:eastAsia="黑体"/>
          <w:sz w:val="24"/>
          <w:highlight w:val="none"/>
          <w:u w:val="single"/>
        </w:rPr>
      </w:pPr>
      <w:r>
        <w:rPr>
          <w:sz w:val="24"/>
          <w:highlight w:val="none"/>
        </w:rPr>
        <w:t>承包人为他人提供条件可能发生费用的处理方法：</w:t>
      </w:r>
      <w:r>
        <w:rPr>
          <w:rFonts w:hint="eastAsia" w:ascii="宋体" w:hAnsi="宋体"/>
          <w:sz w:val="24"/>
          <w:highlight w:val="none"/>
          <w:u w:val="single"/>
        </w:rPr>
        <w:t xml:space="preserve">  （见项目专用合同条款）</w:t>
      </w:r>
    </w:p>
    <w:p>
      <w:pPr>
        <w:adjustRightInd w:val="0"/>
        <w:snapToGrid w:val="0"/>
        <w:spacing w:line="360" w:lineRule="auto"/>
        <w:ind w:firstLine="480" w:firstLineChars="200"/>
        <w:rPr>
          <w:rFonts w:eastAsia="黑体"/>
          <w:sz w:val="24"/>
          <w:highlight w:val="none"/>
        </w:rPr>
      </w:pPr>
      <w:r>
        <w:rPr>
          <w:rFonts w:eastAsia="黑体"/>
          <w:sz w:val="24"/>
          <w:highlight w:val="none"/>
        </w:rPr>
        <w:t>4.1.9工程的维护和照管</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highlight w:val="none"/>
        </w:rPr>
      </w:pPr>
      <w:r>
        <w:rPr>
          <w:rFonts w:eastAsia="黑体"/>
          <w:sz w:val="24"/>
          <w:highlight w:val="none"/>
        </w:rPr>
        <w:t>4.1</w:t>
      </w:r>
      <w:r>
        <w:rPr>
          <w:rFonts w:hint="eastAsia" w:eastAsia="黑体"/>
          <w:sz w:val="24"/>
          <w:highlight w:val="none"/>
        </w:rPr>
        <w:t>.</w:t>
      </w:r>
      <w:r>
        <w:rPr>
          <w:rFonts w:eastAsia="黑体"/>
          <w:sz w:val="24"/>
          <w:highlight w:val="none"/>
        </w:rPr>
        <w:t>10其他义务</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highlight w:val="none"/>
        </w:rPr>
      </w:pPr>
      <w:r>
        <w:rPr>
          <w:rFonts w:hint="eastAsia"/>
          <w:sz w:val="24"/>
          <w:highlight w:val="none"/>
        </w:rPr>
        <w:t>工</w:t>
      </w:r>
      <w:r>
        <w:rPr>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承包人应履行项目专用合同条款约定的其他义务。</w:t>
      </w:r>
    </w:p>
    <w:p>
      <w:pPr>
        <w:adjustRightInd w:val="0"/>
        <w:snapToGrid w:val="0"/>
        <w:spacing w:beforeLines="100" w:line="360" w:lineRule="auto"/>
        <w:rPr>
          <w:rFonts w:eastAsia="黑体"/>
          <w:sz w:val="24"/>
          <w:highlight w:val="none"/>
        </w:rPr>
      </w:pPr>
      <w:r>
        <w:rPr>
          <w:rFonts w:eastAsia="黑体"/>
          <w:sz w:val="24"/>
          <w:highlight w:val="none"/>
        </w:rPr>
        <w:t>4.2履约担保</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联合体的履约担保应由联合体牵头人提交，其金额应达到投标函附录中规定的金额。</w:t>
      </w:r>
    </w:p>
    <w:p>
      <w:pPr>
        <w:adjustRightInd w:val="0"/>
        <w:snapToGrid w:val="0"/>
        <w:spacing w:beforeLines="100" w:line="360" w:lineRule="auto"/>
        <w:rPr>
          <w:rFonts w:eastAsia="黑体"/>
          <w:sz w:val="24"/>
          <w:highlight w:val="none"/>
        </w:rPr>
      </w:pPr>
      <w:r>
        <w:rPr>
          <w:rFonts w:eastAsia="黑体"/>
          <w:sz w:val="24"/>
          <w:highlight w:val="none"/>
        </w:rPr>
        <w:t>4.3分包</w:t>
      </w:r>
    </w:p>
    <w:p>
      <w:pPr>
        <w:adjustRightInd w:val="0"/>
        <w:snapToGrid w:val="0"/>
        <w:spacing w:line="360" w:lineRule="auto"/>
        <w:ind w:firstLine="480" w:firstLineChars="200"/>
        <w:rPr>
          <w:rFonts w:eastAsia="黑体"/>
          <w:sz w:val="24"/>
          <w:highlight w:val="none"/>
        </w:rPr>
      </w:pPr>
      <w:r>
        <w:rPr>
          <w:rFonts w:eastAsia="黑体"/>
          <w:sz w:val="24"/>
          <w:highlight w:val="none"/>
        </w:rPr>
        <w:t>4.3.2项细化为：</w:t>
      </w:r>
    </w:p>
    <w:p>
      <w:pPr>
        <w:adjustRightInd w:val="0"/>
        <w:snapToGrid w:val="0"/>
        <w:spacing w:line="360" w:lineRule="auto"/>
        <w:ind w:firstLine="480" w:firstLineChars="200"/>
        <w:rPr>
          <w:sz w:val="24"/>
          <w:highlight w:val="none"/>
        </w:rPr>
      </w:pPr>
      <w:r>
        <w:rPr>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highlight w:val="none"/>
        </w:rPr>
      </w:pPr>
      <w:r>
        <w:rPr>
          <w:rFonts w:eastAsia="黑体"/>
          <w:sz w:val="24"/>
          <w:highlight w:val="none"/>
        </w:rPr>
        <w:t>4.3.3项至4.3.5项细化为：</w:t>
      </w:r>
    </w:p>
    <w:p>
      <w:pPr>
        <w:adjustRightInd w:val="0"/>
        <w:snapToGrid w:val="0"/>
        <w:spacing w:line="360" w:lineRule="auto"/>
        <w:ind w:firstLine="480" w:firstLineChars="200"/>
        <w:rPr>
          <w:rFonts w:eastAsia="黑体"/>
          <w:sz w:val="24"/>
          <w:highlight w:val="none"/>
        </w:rPr>
      </w:pPr>
      <w:r>
        <w:rPr>
          <w:rFonts w:eastAsia="黑体"/>
          <w:sz w:val="24"/>
          <w:highlight w:val="none"/>
        </w:rPr>
        <w:t>4.3.3专业分包</w:t>
      </w:r>
    </w:p>
    <w:p>
      <w:pPr>
        <w:adjustRightInd w:val="0"/>
        <w:snapToGrid w:val="0"/>
        <w:spacing w:line="360" w:lineRule="auto"/>
        <w:ind w:firstLine="480" w:firstLineChars="200"/>
        <w:rPr>
          <w:sz w:val="24"/>
          <w:highlight w:val="none"/>
        </w:rPr>
      </w:pPr>
      <w:r>
        <w:rPr>
          <w:sz w:val="24"/>
          <w:highlight w:val="none"/>
        </w:rPr>
        <w:t>在工程施工过程中，承包人如有专业分包计划，则必须遵守以下规定：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允许专业分包的工程范围仅限于分部工程或分项工程、适合专业化队伍施工的工程，专业分包的工程量不得超过总工程量的30%</w:t>
      </w:r>
      <w:r>
        <w:rPr>
          <w:rFonts w:hint="eastAsia"/>
          <w:sz w:val="24"/>
          <w:highlight w:val="none"/>
        </w:rPr>
        <w:t>；</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专业分包工程不得再次分包或转包；</w:t>
      </w:r>
    </w:p>
    <w:p>
      <w:pPr>
        <w:adjustRightInd w:val="0"/>
        <w:snapToGrid w:val="0"/>
        <w:spacing w:line="360" w:lineRule="auto"/>
        <w:ind w:firstLine="480" w:firstLineChars="200"/>
        <w:rPr>
          <w:sz w:val="24"/>
          <w:highlight w:val="none"/>
        </w:rPr>
      </w:pPr>
      <w:r>
        <w:rPr>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highlight w:val="none"/>
        </w:rPr>
      </w:pPr>
      <w:r>
        <w:rPr>
          <w:sz w:val="24"/>
          <w:highlight w:val="none"/>
        </w:rPr>
        <w:t>（6</w:t>
      </w:r>
      <w:r>
        <w:rPr>
          <w:rFonts w:hint="eastAsia"/>
          <w:sz w:val="24"/>
          <w:highlight w:val="none"/>
        </w:rPr>
        <w:t>）</w:t>
      </w:r>
      <w:r>
        <w:rPr>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highlight w:val="none"/>
        </w:rPr>
      </w:pPr>
      <w:r>
        <w:rPr>
          <w:sz w:val="24"/>
          <w:highlight w:val="none"/>
        </w:rPr>
        <w:t>（7</w:t>
      </w:r>
      <w:r>
        <w:rPr>
          <w:rFonts w:hint="eastAsia"/>
          <w:sz w:val="24"/>
          <w:highlight w:val="none"/>
        </w:rPr>
        <w:t>）</w:t>
      </w:r>
      <w:r>
        <w:rPr>
          <w:sz w:val="24"/>
          <w:highlight w:val="none"/>
        </w:rPr>
        <w:t>所有专</w:t>
      </w:r>
      <w:r>
        <w:rPr>
          <w:rFonts w:hint="eastAsia"/>
          <w:sz w:val="24"/>
          <w:highlight w:val="none"/>
        </w:rPr>
        <w:t>业</w:t>
      </w:r>
      <w:r>
        <w:rPr>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highlight w:val="none"/>
        </w:rPr>
      </w:pPr>
      <w:r>
        <w:rPr>
          <w:sz w:val="24"/>
          <w:highlight w:val="none"/>
        </w:rPr>
        <w:t>违反上述规定之一者属违规分包。</w:t>
      </w:r>
    </w:p>
    <w:p>
      <w:pPr>
        <w:adjustRightInd w:val="0"/>
        <w:snapToGrid w:val="0"/>
        <w:spacing w:line="360" w:lineRule="auto"/>
        <w:ind w:firstLine="480" w:firstLineChars="200"/>
        <w:rPr>
          <w:rFonts w:eastAsia="黑体"/>
          <w:sz w:val="24"/>
          <w:highlight w:val="none"/>
        </w:rPr>
      </w:pPr>
      <w:r>
        <w:rPr>
          <w:rFonts w:eastAsia="黑体"/>
          <w:sz w:val="24"/>
          <w:highlight w:val="none"/>
        </w:rPr>
        <w:t>4.3.4劳务分包</w:t>
      </w:r>
    </w:p>
    <w:p>
      <w:pPr>
        <w:adjustRightInd w:val="0"/>
        <w:snapToGrid w:val="0"/>
        <w:spacing w:line="360" w:lineRule="auto"/>
        <w:ind w:firstLine="480" w:firstLineChars="200"/>
        <w:rPr>
          <w:sz w:val="24"/>
          <w:highlight w:val="none"/>
        </w:rPr>
      </w:pPr>
      <w:r>
        <w:rPr>
          <w:sz w:val="24"/>
          <w:highlight w:val="none"/>
        </w:rPr>
        <w:t>在工程施工过程中，承包人如有劳务分包计划，则必须遵守以下规定：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highlight w:val="none"/>
        </w:rPr>
      </w:pPr>
      <w:r>
        <w:rPr>
          <w:sz w:val="24"/>
          <w:highlight w:val="none"/>
        </w:rPr>
        <w:t>（4）承包人应对劳务分包人职工的行为、违约和疏忽所造成的后果负完全连带责任。</w:t>
      </w:r>
    </w:p>
    <w:p>
      <w:pPr>
        <w:adjustRightInd w:val="0"/>
        <w:snapToGrid w:val="0"/>
        <w:spacing w:line="360" w:lineRule="auto"/>
        <w:ind w:firstLine="480" w:firstLineChars="200"/>
        <w:rPr>
          <w:sz w:val="24"/>
          <w:highlight w:val="none"/>
        </w:rPr>
      </w:pPr>
      <w:r>
        <w:rPr>
          <w:sz w:val="24"/>
          <w:highlight w:val="none"/>
        </w:rPr>
        <w:t>违反上述规定之一者属违规分包。</w:t>
      </w:r>
    </w:p>
    <w:p>
      <w:pPr>
        <w:adjustRightInd w:val="0"/>
        <w:snapToGrid w:val="0"/>
        <w:spacing w:beforeLines="100" w:line="360" w:lineRule="auto"/>
        <w:rPr>
          <w:rFonts w:eastAsia="黑体"/>
          <w:sz w:val="24"/>
          <w:highlight w:val="none"/>
        </w:rPr>
      </w:pPr>
      <w:r>
        <w:rPr>
          <w:rFonts w:eastAsia="黑体"/>
          <w:sz w:val="24"/>
          <w:highlight w:val="none"/>
        </w:rPr>
        <w:t>4.4联合体</w:t>
      </w:r>
    </w:p>
    <w:p>
      <w:pPr>
        <w:adjustRightInd w:val="0"/>
        <w:snapToGrid w:val="0"/>
        <w:spacing w:line="360" w:lineRule="auto"/>
        <w:ind w:firstLine="480" w:firstLineChars="200"/>
        <w:rPr>
          <w:sz w:val="24"/>
          <w:highlight w:val="none"/>
        </w:rPr>
      </w:pPr>
      <w:r>
        <w:rPr>
          <w:sz w:val="24"/>
          <w:highlight w:val="none"/>
        </w:rPr>
        <w:t>本款增加第4.4.4项：</w:t>
      </w:r>
    </w:p>
    <w:p>
      <w:pPr>
        <w:adjustRightInd w:val="0"/>
        <w:snapToGrid w:val="0"/>
        <w:spacing w:line="360" w:lineRule="auto"/>
        <w:ind w:firstLine="480" w:firstLineChars="200"/>
        <w:rPr>
          <w:sz w:val="24"/>
          <w:highlight w:val="none"/>
        </w:rPr>
      </w:pPr>
      <w:r>
        <w:rPr>
          <w:sz w:val="24"/>
          <w:highlight w:val="none"/>
        </w:rPr>
        <w:t>4.4.4未经发包人事先同意，联合体的组成与结构不得变动。</w:t>
      </w:r>
    </w:p>
    <w:p>
      <w:pPr>
        <w:adjustRightInd w:val="0"/>
        <w:snapToGrid w:val="0"/>
        <w:spacing w:beforeLines="100" w:line="360" w:lineRule="auto"/>
        <w:rPr>
          <w:rFonts w:eastAsia="黑体"/>
          <w:sz w:val="24"/>
          <w:highlight w:val="none"/>
        </w:rPr>
      </w:pPr>
      <w:r>
        <w:rPr>
          <w:rFonts w:eastAsia="黑体"/>
          <w:sz w:val="24"/>
          <w:highlight w:val="none"/>
        </w:rPr>
        <w:t>4.6承包人人员的管理</w:t>
      </w:r>
    </w:p>
    <w:p>
      <w:pPr>
        <w:adjustRightInd w:val="0"/>
        <w:snapToGrid w:val="0"/>
        <w:spacing w:line="360" w:lineRule="auto"/>
        <w:ind w:firstLine="480" w:firstLineChars="200"/>
        <w:rPr>
          <w:rFonts w:eastAsia="黑体"/>
          <w:sz w:val="24"/>
          <w:highlight w:val="none"/>
        </w:rPr>
      </w:pPr>
      <w:r>
        <w:rPr>
          <w:rFonts w:eastAsia="黑体"/>
          <w:sz w:val="24"/>
          <w:highlight w:val="none"/>
        </w:rPr>
        <w:t>4.6.3项细化为：</w:t>
      </w:r>
    </w:p>
    <w:p>
      <w:pPr>
        <w:adjustRightInd w:val="0"/>
        <w:snapToGrid w:val="0"/>
        <w:spacing w:line="360" w:lineRule="auto"/>
        <w:ind w:firstLine="480" w:firstLineChars="200"/>
        <w:rPr>
          <w:sz w:val="24"/>
          <w:highlight w:val="none"/>
        </w:rPr>
      </w:pPr>
      <w:r>
        <w:rPr>
          <w:sz w:val="24"/>
          <w:highlight w:val="none"/>
        </w:rPr>
        <w:t>承包人安排在施工场地的主要管理人员和技术骨干应与投标文件（如承包人未奎投标阶段对人员进行新增或更新，则以资格预审申请文件为准）所承诺的名单</w:t>
      </w:r>
      <w:r>
        <w:rPr>
          <w:rFonts w:hint="eastAsia"/>
          <w:sz w:val="24"/>
          <w:highlight w:val="none"/>
        </w:rPr>
        <w:t>一致，</w:t>
      </w:r>
      <w:r>
        <w:rPr>
          <w:sz w:val="24"/>
          <w:highlight w:val="none"/>
        </w:rPr>
        <w:t>并保持相对稳定。未经监理人批准，上述人员不应无故不到位或被替换；若确</w:t>
      </w:r>
      <w:r>
        <w:rPr>
          <w:rFonts w:hint="eastAsia"/>
          <w:sz w:val="24"/>
          <w:highlight w:val="none"/>
        </w:rPr>
        <w:t>实无</w:t>
      </w:r>
      <w:r>
        <w:rPr>
          <w:sz w:val="24"/>
          <w:highlight w:val="none"/>
        </w:rPr>
        <w:t>法到位或需替换，需经监理人审核并报发包人批准后，用同等资质和</w:t>
      </w:r>
      <w:r>
        <w:rPr>
          <w:rFonts w:hint="eastAsia"/>
          <w:sz w:val="24"/>
          <w:highlight w:val="none"/>
        </w:rPr>
        <w:t>经历的人</w:t>
      </w:r>
      <w:r>
        <w:rPr>
          <w:sz w:val="24"/>
          <w:highlight w:val="none"/>
        </w:rPr>
        <w:t>员替换。</w:t>
      </w:r>
    </w:p>
    <w:p>
      <w:pPr>
        <w:adjustRightInd w:val="0"/>
        <w:snapToGrid w:val="0"/>
        <w:spacing w:line="360" w:lineRule="auto"/>
        <w:ind w:firstLine="480" w:firstLineChars="200"/>
        <w:rPr>
          <w:sz w:val="24"/>
          <w:highlight w:val="none"/>
        </w:rPr>
      </w:pPr>
      <w:r>
        <w:rPr>
          <w:sz w:val="24"/>
          <w:highlight w:val="none"/>
        </w:rPr>
        <w:t>本款增加第4.6.5项：</w:t>
      </w:r>
    </w:p>
    <w:p>
      <w:pPr>
        <w:adjustRightInd w:val="0"/>
        <w:snapToGrid w:val="0"/>
        <w:spacing w:line="360" w:lineRule="auto"/>
        <w:ind w:firstLine="480" w:firstLineChars="200"/>
        <w:rPr>
          <w:sz w:val="24"/>
          <w:highlight w:val="none"/>
        </w:rPr>
      </w:pPr>
      <w:r>
        <w:rPr>
          <w:sz w:val="24"/>
          <w:highlight w:val="none"/>
        </w:rPr>
        <w:t>4.6.5尽管承包人</w:t>
      </w:r>
      <w:r>
        <w:rPr>
          <w:rFonts w:hint="eastAsia"/>
          <w:sz w:val="24"/>
          <w:highlight w:val="none"/>
        </w:rPr>
        <w:t>已</w:t>
      </w:r>
      <w:r>
        <w:rPr>
          <w:sz w:val="24"/>
          <w:highlight w:val="none"/>
        </w:rPr>
        <w:t>按投标文件（如承包人未在投标阶段对人员进行新增或更新，则以</w:t>
      </w:r>
      <w:r>
        <w:rPr>
          <w:rFonts w:hint="eastAsia"/>
          <w:sz w:val="24"/>
          <w:highlight w:val="none"/>
        </w:rPr>
        <w:t>资</w:t>
      </w:r>
      <w:r>
        <w:rPr>
          <w:sz w:val="24"/>
          <w:highlight w:val="none"/>
        </w:rPr>
        <w:t>格预</w:t>
      </w:r>
      <w:r>
        <w:rPr>
          <w:rFonts w:hint="eastAsia"/>
          <w:sz w:val="24"/>
          <w:highlight w:val="none"/>
        </w:rPr>
        <w:t>审</w:t>
      </w:r>
      <w:r>
        <w:rPr>
          <w:sz w:val="24"/>
          <w:highlight w:val="none"/>
        </w:rPr>
        <w:t>申请文件为准）中所</w:t>
      </w:r>
      <w:r>
        <w:rPr>
          <w:rFonts w:hint="eastAsia"/>
          <w:sz w:val="24"/>
          <w:highlight w:val="none"/>
        </w:rPr>
        <w:t>列</w:t>
      </w:r>
      <w:r>
        <w:rPr>
          <w:sz w:val="24"/>
          <w:highlight w:val="none"/>
        </w:rPr>
        <w:t>的数量派遣了上述各类人员，但若监</w:t>
      </w:r>
      <w:r>
        <w:rPr>
          <w:rFonts w:hint="eastAsia"/>
          <w:sz w:val="24"/>
          <w:highlight w:val="none"/>
        </w:rPr>
        <w:t>理人</w:t>
      </w:r>
      <w:r>
        <w:rPr>
          <w:sz w:val="24"/>
          <w:highlight w:val="none"/>
        </w:rPr>
        <w:t>认为这些人员仍不足以适应现场施工的需要且不能保证工程质量时，监理人有权要参承包人继续增派或雇用这类人员，并书面通知承包人和抄送发包人。承包人</w:t>
      </w:r>
      <w:r>
        <w:rPr>
          <w:rFonts w:hint="eastAsia"/>
          <w:sz w:val="24"/>
          <w:highlight w:val="none"/>
        </w:rPr>
        <w:t>在接到</w:t>
      </w:r>
      <w:r>
        <w:rPr>
          <w:sz w:val="24"/>
          <w:highlight w:val="none"/>
        </w:rPr>
        <w:t>上述通</w:t>
      </w:r>
      <w:r>
        <w:rPr>
          <w:rFonts w:hint="eastAsia"/>
          <w:sz w:val="24"/>
          <w:highlight w:val="none"/>
        </w:rPr>
        <w:t>知</w:t>
      </w:r>
      <w:r>
        <w:rPr>
          <w:sz w:val="24"/>
          <w:highlight w:val="none"/>
        </w:rPr>
        <w:t>后应立即执行监理人的上述指示，不得无故拖延，监理人应考虑承包</w:t>
      </w:r>
      <w:r>
        <w:rPr>
          <w:rFonts w:hint="eastAsia"/>
          <w:sz w:val="24"/>
          <w:highlight w:val="none"/>
        </w:rPr>
        <w:t>人</w:t>
      </w:r>
      <w:r>
        <w:rPr>
          <w:sz w:val="24"/>
          <w:highlight w:val="none"/>
        </w:rPr>
        <w:t>因此增加的费用。</w:t>
      </w:r>
    </w:p>
    <w:p>
      <w:pPr>
        <w:adjustRightInd w:val="0"/>
        <w:snapToGrid w:val="0"/>
        <w:spacing w:beforeLines="100" w:line="360" w:lineRule="auto"/>
        <w:rPr>
          <w:rFonts w:eastAsia="黑体"/>
          <w:sz w:val="24"/>
          <w:highlight w:val="none"/>
        </w:rPr>
      </w:pPr>
      <w:r>
        <w:rPr>
          <w:rFonts w:eastAsia="黑体"/>
          <w:sz w:val="24"/>
          <w:highlight w:val="none"/>
        </w:rPr>
        <w:t>4.7撤换承包人项目经理和其他人员</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承包人应对其项目经理和其他人员进行有效管理。监理人要求撤换不能胜任本职工作、行为不端或玩忽职守的承包人项目经理和其他人员的，承包人应予以撤</w:t>
      </w:r>
      <w:r>
        <w:rPr>
          <w:rFonts w:hint="eastAsia"/>
          <w:sz w:val="24"/>
          <w:highlight w:val="none"/>
        </w:rPr>
        <w:t>换，</w:t>
      </w:r>
      <w:r>
        <w:rPr>
          <w:sz w:val="24"/>
          <w:highlight w:val="none"/>
        </w:rPr>
        <w:t>同时委派经发包人与监理人同意的新的项目经理和其他人员。</w:t>
      </w:r>
    </w:p>
    <w:p>
      <w:pPr>
        <w:adjustRightInd w:val="0"/>
        <w:snapToGrid w:val="0"/>
        <w:spacing w:beforeLines="100" w:line="360" w:lineRule="auto"/>
        <w:rPr>
          <w:rFonts w:eastAsia="黑体"/>
          <w:sz w:val="24"/>
          <w:highlight w:val="none"/>
        </w:rPr>
      </w:pPr>
      <w:r>
        <w:rPr>
          <w:rFonts w:eastAsia="黑体"/>
          <w:sz w:val="24"/>
          <w:highlight w:val="none"/>
        </w:rPr>
        <w:t>4.8保障承包人人员的合法权益</w:t>
      </w:r>
    </w:p>
    <w:p>
      <w:pPr>
        <w:adjustRightInd w:val="0"/>
        <w:snapToGrid w:val="0"/>
        <w:spacing w:line="360" w:lineRule="auto"/>
        <w:ind w:firstLine="480" w:firstLineChars="200"/>
        <w:rPr>
          <w:sz w:val="24"/>
          <w:highlight w:val="none"/>
        </w:rPr>
      </w:pPr>
      <w:r>
        <w:rPr>
          <w:sz w:val="24"/>
          <w:highlight w:val="none"/>
        </w:rPr>
        <w:t>本款增加第4.8.7项：</w:t>
      </w:r>
    </w:p>
    <w:p>
      <w:pPr>
        <w:adjustRightInd w:val="0"/>
        <w:snapToGrid w:val="0"/>
        <w:spacing w:line="360" w:lineRule="auto"/>
        <w:ind w:firstLine="480" w:firstLineChars="200"/>
        <w:rPr>
          <w:sz w:val="24"/>
          <w:highlight w:val="none"/>
        </w:rPr>
      </w:pPr>
      <w:r>
        <w:rPr>
          <w:sz w:val="24"/>
          <w:highlight w:val="none"/>
        </w:rPr>
        <w:t>4.8.7承包人应自费采取必须的卫生防护措施，经常保持现场及其驻地整洁和</w:t>
      </w:r>
      <w:r>
        <w:rPr>
          <w:rFonts w:hint="eastAsia"/>
          <w:sz w:val="24"/>
          <w:highlight w:val="none"/>
        </w:rPr>
        <w:t>卫</w:t>
      </w:r>
      <w:r>
        <w:rPr>
          <w:sz w:val="24"/>
          <w:highlight w:val="none"/>
        </w:rPr>
        <w:t>生，以保护职员和工人的健康，并应与当地卫生部门合作，根据要求在整个合同</w:t>
      </w:r>
      <w:r>
        <w:rPr>
          <w:rFonts w:hint="eastAsia"/>
          <w:sz w:val="24"/>
          <w:highlight w:val="none"/>
        </w:rPr>
        <w:t>执</w:t>
      </w:r>
      <w:r>
        <w:rPr>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highlight w:val="none"/>
        </w:rPr>
      </w:pPr>
      <w:r>
        <w:rPr>
          <w:rFonts w:eastAsia="黑体"/>
          <w:sz w:val="24"/>
          <w:highlight w:val="none"/>
        </w:rPr>
        <w:t>4.10承包人现场查勘</w:t>
      </w:r>
    </w:p>
    <w:p>
      <w:pPr>
        <w:adjustRightInd w:val="0"/>
        <w:snapToGrid w:val="0"/>
        <w:spacing w:line="360" w:lineRule="auto"/>
        <w:ind w:firstLine="480" w:firstLineChars="200"/>
        <w:rPr>
          <w:sz w:val="24"/>
          <w:highlight w:val="none"/>
        </w:rPr>
      </w:pPr>
      <w:r>
        <w:rPr>
          <w:sz w:val="24"/>
          <w:highlight w:val="none"/>
        </w:rPr>
        <w:t>4.10.1项补充：</w:t>
      </w:r>
    </w:p>
    <w:p>
      <w:pPr>
        <w:adjustRightInd w:val="0"/>
        <w:snapToGrid w:val="0"/>
        <w:spacing w:line="360" w:lineRule="auto"/>
        <w:ind w:firstLine="480" w:firstLineChars="200"/>
        <w:rPr>
          <w:sz w:val="24"/>
          <w:highlight w:val="none"/>
        </w:rPr>
      </w:pPr>
      <w:r>
        <w:rPr>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highlight w:val="none"/>
        </w:rPr>
      </w:pPr>
      <w:r>
        <w:rPr>
          <w:rFonts w:eastAsia="黑体"/>
          <w:sz w:val="24"/>
          <w:highlight w:val="none"/>
        </w:rPr>
        <w:t>4.11不利物质条件</w:t>
      </w:r>
    </w:p>
    <w:p>
      <w:pPr>
        <w:adjustRightInd w:val="0"/>
        <w:snapToGrid w:val="0"/>
        <w:spacing w:line="360" w:lineRule="auto"/>
        <w:ind w:firstLine="480" w:firstLineChars="200"/>
        <w:rPr>
          <w:sz w:val="24"/>
          <w:highlight w:val="none"/>
        </w:rPr>
      </w:pPr>
      <w:r>
        <w:rPr>
          <w:sz w:val="24"/>
          <w:highlight w:val="none"/>
        </w:rPr>
        <w:t>4.11.1不利物质条件的范围：</w:t>
      </w:r>
      <w:r>
        <w:rPr>
          <w:sz w:val="24"/>
          <w:highlight w:val="none"/>
          <w:u w:val="single"/>
        </w:rPr>
        <w:t>（见项目专用合同条</w:t>
      </w:r>
      <w:r>
        <w:rPr>
          <w:rFonts w:hint="eastAsia"/>
          <w:sz w:val="24"/>
          <w:highlight w:val="none"/>
          <w:u w:val="single"/>
        </w:rPr>
        <w:t>款）</w:t>
      </w:r>
    </w:p>
    <w:p>
      <w:pPr>
        <w:adjustRightInd w:val="0"/>
        <w:snapToGrid w:val="0"/>
        <w:spacing w:line="360" w:lineRule="auto"/>
        <w:ind w:firstLine="480" w:firstLineChars="200"/>
        <w:rPr>
          <w:sz w:val="24"/>
          <w:highlight w:val="none"/>
        </w:rPr>
      </w:pPr>
      <w:r>
        <w:rPr>
          <w:sz w:val="24"/>
          <w:highlight w:val="none"/>
        </w:rPr>
        <w:t>本款增加第4.11.3项：</w:t>
      </w:r>
    </w:p>
    <w:p>
      <w:pPr>
        <w:adjustRightInd w:val="0"/>
        <w:snapToGrid w:val="0"/>
        <w:spacing w:line="360" w:lineRule="auto"/>
        <w:ind w:firstLine="480" w:firstLineChars="200"/>
        <w:rPr>
          <w:sz w:val="24"/>
          <w:highlight w:val="none"/>
        </w:rPr>
      </w:pPr>
      <w:r>
        <w:rPr>
          <w:sz w:val="24"/>
          <w:highlight w:val="none"/>
        </w:rPr>
        <w:t>4.11.3可预见的不利物质条件</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增加第4.12款：</w:t>
      </w:r>
    </w:p>
    <w:p>
      <w:pPr>
        <w:adjustRightInd w:val="0"/>
        <w:snapToGrid w:val="0"/>
        <w:spacing w:line="360" w:lineRule="auto"/>
        <w:rPr>
          <w:rFonts w:eastAsia="黑体"/>
          <w:sz w:val="24"/>
          <w:highlight w:val="none"/>
        </w:rPr>
      </w:pPr>
      <w:r>
        <w:rPr>
          <w:rFonts w:eastAsia="黑体"/>
          <w:sz w:val="24"/>
          <w:highlight w:val="none"/>
        </w:rPr>
        <w:t>4.12投标文件的完备性</w:t>
      </w:r>
    </w:p>
    <w:p>
      <w:pPr>
        <w:adjustRightInd w:val="0"/>
        <w:snapToGrid w:val="0"/>
        <w:spacing w:line="360" w:lineRule="auto"/>
        <w:ind w:firstLine="480" w:firstLineChars="200"/>
        <w:rPr>
          <w:sz w:val="24"/>
          <w:highlight w:val="none"/>
        </w:rPr>
      </w:pPr>
      <w:r>
        <w:rPr>
          <w:sz w:val="24"/>
          <w:highlight w:val="none"/>
        </w:rPr>
        <w:t>合同双方一致认为，承包人在递交投标文件前，对本合同工程的投标文件和已标价工程量清单中开列的单价和总额价</w:t>
      </w:r>
      <w:r>
        <w:rPr>
          <w:rFonts w:hint="eastAsia"/>
          <w:sz w:val="24"/>
          <w:highlight w:val="none"/>
        </w:rPr>
        <w:t>已</w:t>
      </w:r>
      <w:r>
        <w:rPr>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highlight w:val="none"/>
        </w:rPr>
      </w:pPr>
      <w:r>
        <w:rPr>
          <w:rFonts w:eastAsia="黑体"/>
          <w:sz w:val="24"/>
          <w:highlight w:val="none"/>
        </w:rPr>
        <w:t>5</w:t>
      </w:r>
      <w:r>
        <w:rPr>
          <w:rFonts w:hint="eastAsia" w:eastAsia="黑体"/>
          <w:sz w:val="24"/>
          <w:highlight w:val="none"/>
        </w:rPr>
        <w:t>．</w:t>
      </w:r>
      <w:r>
        <w:rPr>
          <w:rFonts w:eastAsia="黑体"/>
          <w:sz w:val="24"/>
          <w:highlight w:val="none"/>
        </w:rPr>
        <w:t>材料和工程设备</w:t>
      </w:r>
    </w:p>
    <w:p>
      <w:pPr>
        <w:adjustRightInd w:val="0"/>
        <w:snapToGrid w:val="0"/>
        <w:spacing w:line="360" w:lineRule="auto"/>
        <w:rPr>
          <w:rFonts w:eastAsia="黑体"/>
          <w:sz w:val="24"/>
          <w:highlight w:val="none"/>
        </w:rPr>
      </w:pPr>
      <w:r>
        <w:rPr>
          <w:rFonts w:eastAsia="黑体"/>
          <w:sz w:val="24"/>
          <w:highlight w:val="none"/>
        </w:rPr>
        <w:t>5.2发包人提供的材料和工程设备</w:t>
      </w:r>
    </w:p>
    <w:p>
      <w:pPr>
        <w:adjustRightInd w:val="0"/>
        <w:snapToGrid w:val="0"/>
        <w:spacing w:line="360" w:lineRule="auto"/>
        <w:ind w:firstLine="480" w:firstLineChars="200"/>
        <w:rPr>
          <w:sz w:val="24"/>
          <w:highlight w:val="none"/>
        </w:rPr>
      </w:pPr>
      <w:r>
        <w:rPr>
          <w:sz w:val="24"/>
          <w:highlight w:val="none"/>
        </w:rPr>
        <w:t>5.2.3项补充：</w:t>
      </w:r>
    </w:p>
    <w:p>
      <w:pPr>
        <w:adjustRightInd w:val="0"/>
        <w:snapToGrid w:val="0"/>
        <w:spacing w:line="360" w:lineRule="auto"/>
        <w:ind w:firstLine="480" w:firstLineChars="200"/>
        <w:rPr>
          <w:sz w:val="24"/>
          <w:highlight w:val="none"/>
        </w:rPr>
      </w:pPr>
      <w:r>
        <w:rPr>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highlight w:val="none"/>
        </w:rPr>
      </w:pPr>
      <w:r>
        <w:rPr>
          <w:rFonts w:eastAsia="黑体"/>
          <w:sz w:val="24"/>
          <w:highlight w:val="none"/>
        </w:rPr>
        <w:t>6</w:t>
      </w:r>
      <w:r>
        <w:rPr>
          <w:rFonts w:hint="eastAsia" w:eastAsia="黑体"/>
          <w:sz w:val="24"/>
          <w:highlight w:val="none"/>
        </w:rPr>
        <w:t>．</w:t>
      </w:r>
      <w:r>
        <w:rPr>
          <w:rFonts w:eastAsia="黑体"/>
          <w:sz w:val="24"/>
          <w:highlight w:val="none"/>
        </w:rPr>
        <w:t>施工设备和临时设施</w:t>
      </w:r>
    </w:p>
    <w:p>
      <w:pPr>
        <w:adjustRightInd w:val="0"/>
        <w:snapToGrid w:val="0"/>
        <w:spacing w:line="360" w:lineRule="auto"/>
        <w:rPr>
          <w:rFonts w:eastAsia="黑体"/>
          <w:sz w:val="24"/>
          <w:highlight w:val="none"/>
        </w:rPr>
      </w:pPr>
      <w:r>
        <w:rPr>
          <w:rFonts w:eastAsia="黑体"/>
          <w:sz w:val="24"/>
          <w:highlight w:val="none"/>
        </w:rPr>
        <w:t>6.2发包人提供的施工设备和临时设施</w:t>
      </w:r>
    </w:p>
    <w:p>
      <w:pPr>
        <w:adjustRightInd w:val="0"/>
        <w:snapToGrid w:val="0"/>
        <w:spacing w:line="360" w:lineRule="auto"/>
        <w:ind w:firstLine="480" w:firstLineChars="200"/>
        <w:rPr>
          <w:sz w:val="24"/>
          <w:highlight w:val="none"/>
        </w:rPr>
      </w:pPr>
      <w:r>
        <w:rPr>
          <w:sz w:val="24"/>
          <w:highlight w:val="none"/>
        </w:rPr>
        <w:t>发包人是否提供施工设备或临时设施：</w:t>
      </w:r>
      <w:r>
        <w:rPr>
          <w:sz w:val="24"/>
          <w:highlight w:val="none"/>
          <w:u w:val="single"/>
        </w:rPr>
        <w:t>（见项目专用合同条</w:t>
      </w:r>
      <w:r>
        <w:rPr>
          <w:rFonts w:hint="eastAsia"/>
          <w:sz w:val="24"/>
          <w:highlight w:val="none"/>
          <w:u w:val="single"/>
        </w:rPr>
        <w:t>款）</w:t>
      </w:r>
    </w:p>
    <w:p>
      <w:pPr>
        <w:adjustRightInd w:val="0"/>
        <w:snapToGrid w:val="0"/>
        <w:spacing w:line="360" w:lineRule="auto"/>
        <w:ind w:firstLine="480" w:firstLineChars="200"/>
        <w:rPr>
          <w:sz w:val="24"/>
          <w:highlight w:val="none"/>
        </w:rPr>
      </w:pPr>
      <w:r>
        <w:rPr>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highlight w:val="none"/>
        </w:rPr>
      </w:pPr>
      <w:r>
        <w:rPr>
          <w:rFonts w:eastAsia="黑体"/>
          <w:sz w:val="24"/>
          <w:highlight w:val="none"/>
        </w:rPr>
        <w:t>6.3要求承包人增加或更换施工设备</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承包人必须使投标文件（如承包人未在投标阶段对施工设备进行新增或更新，则以资格预审申请文件为准）承诺的施工设备按时到达现场，不得拖延、缺</w:t>
      </w:r>
      <w:r>
        <w:rPr>
          <w:rFonts w:hint="eastAsia"/>
          <w:sz w:val="24"/>
          <w:highlight w:val="none"/>
        </w:rPr>
        <w:t>少</w:t>
      </w:r>
      <w:r>
        <w:rPr>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highlight w:val="none"/>
        </w:rPr>
      </w:pPr>
      <w:r>
        <w:rPr>
          <w:rFonts w:eastAsia="黑体"/>
          <w:sz w:val="24"/>
          <w:highlight w:val="none"/>
        </w:rPr>
        <w:t>7．交通运输</w:t>
      </w:r>
    </w:p>
    <w:p>
      <w:pPr>
        <w:adjustRightInd w:val="0"/>
        <w:snapToGrid w:val="0"/>
        <w:spacing w:line="360" w:lineRule="auto"/>
        <w:rPr>
          <w:rFonts w:eastAsia="黑体"/>
          <w:sz w:val="24"/>
          <w:highlight w:val="none"/>
        </w:rPr>
      </w:pPr>
      <w:r>
        <w:rPr>
          <w:rFonts w:eastAsia="黑体"/>
          <w:sz w:val="24"/>
          <w:highlight w:val="none"/>
        </w:rPr>
        <w:t>7.1道路通行权和场外设施</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sz w:val="24"/>
          <w:highlight w:val="none"/>
        </w:rPr>
      </w:pPr>
      <w:r>
        <w:rPr>
          <w:rFonts w:eastAsia="黑体"/>
          <w:sz w:val="24"/>
          <w:highlight w:val="none"/>
        </w:rPr>
        <w:t>8</w:t>
      </w:r>
      <w:r>
        <w:rPr>
          <w:rFonts w:hint="eastAsia" w:eastAsia="黑体"/>
          <w:sz w:val="24"/>
          <w:highlight w:val="none"/>
        </w:rPr>
        <w:t>．</w:t>
      </w:r>
      <w:r>
        <w:rPr>
          <w:rFonts w:eastAsia="黑体"/>
          <w:sz w:val="24"/>
          <w:highlight w:val="none"/>
        </w:rPr>
        <w:t>测量放线</w:t>
      </w:r>
    </w:p>
    <w:p>
      <w:pPr>
        <w:adjustRightInd w:val="0"/>
        <w:snapToGrid w:val="0"/>
        <w:spacing w:line="360" w:lineRule="auto"/>
        <w:rPr>
          <w:rFonts w:eastAsia="黑体"/>
          <w:sz w:val="24"/>
          <w:highlight w:val="none"/>
        </w:rPr>
      </w:pPr>
      <w:r>
        <w:rPr>
          <w:rFonts w:eastAsia="黑体"/>
          <w:sz w:val="24"/>
          <w:highlight w:val="none"/>
        </w:rPr>
        <w:t>8.1施工控制网</w:t>
      </w:r>
    </w:p>
    <w:p>
      <w:pPr>
        <w:adjustRightInd w:val="0"/>
        <w:snapToGrid w:val="0"/>
        <w:spacing w:line="360" w:lineRule="auto"/>
        <w:ind w:firstLine="480" w:firstLineChars="200"/>
        <w:rPr>
          <w:sz w:val="24"/>
          <w:highlight w:val="none"/>
        </w:rPr>
      </w:pPr>
      <w:r>
        <w:rPr>
          <w:sz w:val="24"/>
          <w:highlight w:val="none"/>
        </w:rPr>
        <w:t>8.1．1项约定为：</w:t>
      </w:r>
    </w:p>
    <w:p>
      <w:pPr>
        <w:adjustRightInd w:val="0"/>
        <w:snapToGrid w:val="0"/>
        <w:spacing w:line="360" w:lineRule="auto"/>
        <w:ind w:firstLine="480" w:firstLineChars="200"/>
        <w:rPr>
          <w:sz w:val="24"/>
          <w:highlight w:val="none"/>
        </w:rPr>
      </w:pPr>
      <w:r>
        <w:rPr>
          <w:sz w:val="24"/>
          <w:highlight w:val="none"/>
        </w:rPr>
        <w:t>发包人向承包人提供测量基准点、基准线和水准点及其书面资料的时间</w:t>
      </w:r>
      <w:r>
        <w:rPr>
          <w:rFonts w:hint="eastAsia"/>
          <w:sz w:val="24"/>
          <w:highlight w:val="none"/>
        </w:rPr>
        <w:t>：</w:t>
      </w:r>
      <w:r>
        <w:rPr>
          <w:sz w:val="24"/>
          <w:highlight w:val="none"/>
          <w:u w:val="single"/>
        </w:rPr>
        <w:t>（见项目专用合同条</w:t>
      </w:r>
      <w:r>
        <w:rPr>
          <w:rFonts w:hint="eastAsia"/>
          <w:sz w:val="24"/>
          <w:highlight w:val="none"/>
          <w:u w:val="single"/>
        </w:rPr>
        <w:t>款）</w:t>
      </w:r>
      <w:r>
        <w:rPr>
          <w:sz w:val="24"/>
          <w:highlight w:val="none"/>
        </w:rPr>
        <w:t>。承包人向监理人报送施工控制网资料的时间：</w:t>
      </w:r>
      <w:r>
        <w:rPr>
          <w:sz w:val="24"/>
          <w:highlight w:val="none"/>
          <w:u w:val="single"/>
        </w:rPr>
        <w:t>（见项目专用合同条</w:t>
      </w:r>
      <w:r>
        <w:rPr>
          <w:rFonts w:hint="eastAsia"/>
          <w:sz w:val="24"/>
          <w:highlight w:val="none"/>
          <w:u w:val="single"/>
        </w:rPr>
        <w:t>款）</w:t>
      </w:r>
      <w:r>
        <w:rPr>
          <w:sz w:val="24"/>
          <w:highlight w:val="none"/>
        </w:rPr>
        <w:t>。</w:t>
      </w:r>
    </w:p>
    <w:p>
      <w:pPr>
        <w:adjustRightInd w:val="0"/>
        <w:snapToGrid w:val="0"/>
        <w:spacing w:line="360" w:lineRule="auto"/>
        <w:ind w:firstLine="480" w:firstLineChars="200"/>
        <w:rPr>
          <w:sz w:val="24"/>
          <w:highlight w:val="none"/>
        </w:rPr>
      </w:pPr>
      <w:r>
        <w:rPr>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highlight w:val="none"/>
        </w:rPr>
      </w:pPr>
      <w:r>
        <w:rPr>
          <w:rFonts w:eastAsia="黑体"/>
          <w:sz w:val="24"/>
          <w:highlight w:val="none"/>
        </w:rPr>
        <w:t>8.2施工测量</w:t>
      </w:r>
    </w:p>
    <w:p>
      <w:pPr>
        <w:adjustRightInd w:val="0"/>
        <w:snapToGrid w:val="0"/>
        <w:spacing w:line="360" w:lineRule="auto"/>
        <w:ind w:firstLine="480" w:firstLineChars="200"/>
        <w:rPr>
          <w:sz w:val="24"/>
          <w:highlight w:val="none"/>
        </w:rPr>
      </w:pPr>
      <w:r>
        <w:rPr>
          <w:sz w:val="24"/>
          <w:highlight w:val="none"/>
        </w:rPr>
        <w:t>8.2.1项补充：</w:t>
      </w:r>
    </w:p>
    <w:p>
      <w:pPr>
        <w:adjustRightInd w:val="0"/>
        <w:snapToGrid w:val="0"/>
        <w:spacing w:line="360" w:lineRule="auto"/>
        <w:ind w:firstLine="480" w:firstLineChars="200"/>
        <w:rPr>
          <w:sz w:val="24"/>
          <w:highlight w:val="none"/>
        </w:rPr>
      </w:pPr>
      <w:r>
        <w:rPr>
          <w:sz w:val="24"/>
          <w:highlight w:val="none"/>
        </w:rPr>
        <w:t>承包人应负责施工测量放线工作的准确性。</w:t>
      </w:r>
    </w:p>
    <w:p>
      <w:pPr>
        <w:adjustRightInd w:val="0"/>
        <w:snapToGrid w:val="0"/>
        <w:spacing w:beforeLines="100" w:line="360" w:lineRule="auto"/>
        <w:rPr>
          <w:rFonts w:eastAsia="黑体"/>
          <w:sz w:val="24"/>
          <w:highlight w:val="none"/>
        </w:rPr>
      </w:pPr>
      <w:r>
        <w:rPr>
          <w:rFonts w:eastAsia="黑体"/>
          <w:sz w:val="24"/>
          <w:highlight w:val="none"/>
        </w:rPr>
        <w:t>8.3基准资料错误的责任</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highlight w:val="none"/>
        </w:rPr>
      </w:pPr>
      <w:r>
        <w:rPr>
          <w:rFonts w:eastAsia="黑体"/>
          <w:sz w:val="24"/>
          <w:highlight w:val="none"/>
        </w:rPr>
        <w:t>8.4监理人使用施工控制网</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经监理人批准，其他相关承包人也可免费使用施工控制网。</w:t>
      </w:r>
    </w:p>
    <w:p>
      <w:pPr>
        <w:adjustRightInd w:val="0"/>
        <w:snapToGrid w:val="0"/>
        <w:spacing w:beforeLines="100" w:line="360" w:lineRule="auto"/>
        <w:rPr>
          <w:rFonts w:eastAsia="黑体"/>
          <w:sz w:val="24"/>
          <w:highlight w:val="none"/>
        </w:rPr>
      </w:pPr>
      <w:r>
        <w:rPr>
          <w:rFonts w:eastAsia="黑体"/>
          <w:sz w:val="24"/>
          <w:highlight w:val="none"/>
        </w:rPr>
        <w:t>9</w:t>
      </w:r>
      <w:r>
        <w:rPr>
          <w:rFonts w:hint="eastAsia" w:eastAsia="黑体"/>
          <w:sz w:val="24"/>
          <w:highlight w:val="none"/>
        </w:rPr>
        <w:t>．</w:t>
      </w:r>
      <w:r>
        <w:rPr>
          <w:rFonts w:eastAsia="黑体"/>
          <w:sz w:val="24"/>
          <w:highlight w:val="none"/>
        </w:rPr>
        <w:t>施工安全、治安保卫和环境保护</w:t>
      </w:r>
    </w:p>
    <w:p>
      <w:pPr>
        <w:adjustRightInd w:val="0"/>
        <w:snapToGrid w:val="0"/>
        <w:spacing w:line="360" w:lineRule="auto"/>
        <w:rPr>
          <w:rFonts w:eastAsia="黑体"/>
          <w:sz w:val="24"/>
          <w:highlight w:val="none"/>
        </w:rPr>
      </w:pPr>
      <w:r>
        <w:rPr>
          <w:rFonts w:eastAsia="黑体"/>
          <w:sz w:val="24"/>
          <w:highlight w:val="none"/>
        </w:rPr>
        <w:t>9.1发包人的施工安全责任</w:t>
      </w:r>
    </w:p>
    <w:p>
      <w:pPr>
        <w:adjustRightInd w:val="0"/>
        <w:snapToGrid w:val="0"/>
        <w:spacing w:line="360" w:lineRule="auto"/>
        <w:ind w:firstLine="480" w:firstLineChars="200"/>
        <w:rPr>
          <w:sz w:val="24"/>
          <w:highlight w:val="none"/>
        </w:rPr>
      </w:pPr>
      <w:r>
        <w:rPr>
          <w:sz w:val="24"/>
          <w:highlight w:val="none"/>
        </w:rPr>
        <w:t>9.1.3项补充：</w:t>
      </w:r>
    </w:p>
    <w:p>
      <w:pPr>
        <w:adjustRightInd w:val="0"/>
        <w:snapToGrid w:val="0"/>
        <w:spacing w:line="360" w:lineRule="auto"/>
        <w:ind w:firstLine="480" w:firstLineChars="200"/>
        <w:rPr>
          <w:sz w:val="24"/>
          <w:highlight w:val="none"/>
        </w:rPr>
      </w:pPr>
      <w:r>
        <w:rPr>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highlight w:val="none"/>
        </w:rPr>
      </w:pPr>
      <w:r>
        <w:rPr>
          <w:rFonts w:eastAsia="黑体"/>
          <w:sz w:val="24"/>
          <w:highlight w:val="none"/>
        </w:rPr>
        <w:t>9.2承包人的施工安全责任</w:t>
      </w:r>
    </w:p>
    <w:p>
      <w:pPr>
        <w:adjustRightInd w:val="0"/>
        <w:snapToGrid w:val="0"/>
        <w:spacing w:line="360" w:lineRule="auto"/>
        <w:ind w:firstLine="480" w:firstLineChars="200"/>
        <w:rPr>
          <w:sz w:val="24"/>
          <w:highlight w:val="none"/>
        </w:rPr>
      </w:pPr>
      <w:r>
        <w:rPr>
          <w:sz w:val="24"/>
          <w:highlight w:val="none"/>
        </w:rPr>
        <w:t>9.2.1项细化为：</w:t>
      </w:r>
    </w:p>
    <w:p>
      <w:pPr>
        <w:adjustRightInd w:val="0"/>
        <w:snapToGrid w:val="0"/>
        <w:spacing w:line="360" w:lineRule="auto"/>
        <w:ind w:firstLine="480" w:firstLineChars="200"/>
        <w:rPr>
          <w:sz w:val="24"/>
          <w:highlight w:val="none"/>
        </w:rPr>
      </w:pPr>
      <w:r>
        <w:rPr>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highlight w:val="none"/>
        </w:rPr>
      </w:pPr>
      <w:r>
        <w:rPr>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highlight w:val="none"/>
        </w:rPr>
      </w:pPr>
      <w:r>
        <w:rPr>
          <w:sz w:val="24"/>
          <w:highlight w:val="none"/>
        </w:rPr>
        <w:t>本项目需要编制专项施工方案的工程包括但不限于以下内容：</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不良地质条件下有潜在危险性的土方、石方开挖；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2）滑坡和高边坡处理；</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桩基础、挡墙基础、深水基础及围堰工程；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4）桥梁工程中的梁、拱、柱等构件施工等；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5）隧道工程中的不良地质隧道、高瓦斯隧道等；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）水</w:t>
      </w:r>
      <w:r>
        <w:rPr>
          <w:sz w:val="24"/>
          <w:highlight w:val="none"/>
        </w:rPr>
        <w:t>上工程中的打桩船作业、施工船作业、外海孤岛作业、边通航边施工作业等；</w:t>
      </w:r>
    </w:p>
    <w:p>
      <w:pPr>
        <w:adjustRightInd w:val="0"/>
        <w:snapToGrid w:val="0"/>
        <w:spacing w:line="360" w:lineRule="auto"/>
        <w:ind w:firstLine="480" w:firstLineChars="200"/>
        <w:rPr>
          <w:sz w:val="24"/>
          <w:highlight w:val="none"/>
        </w:rPr>
      </w:pPr>
      <w:r>
        <w:rPr>
          <w:sz w:val="24"/>
          <w:highlight w:val="none"/>
        </w:rPr>
        <w:t>（7）水下工程中的水下焊接、混凝土浇注、爆破工程等；</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8</w:t>
      </w:r>
      <w:r>
        <w:rPr>
          <w:rFonts w:hint="eastAsia"/>
          <w:sz w:val="24"/>
          <w:highlight w:val="none"/>
        </w:rPr>
        <w:t>）</w:t>
      </w:r>
      <w:r>
        <w:rPr>
          <w:sz w:val="24"/>
          <w:highlight w:val="none"/>
        </w:rPr>
        <w:t>爆破工程；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9）大型临时工程中的大型支架、模板、便桥的架设与拆除；桥梁、码头的加固与拆除；</w:t>
      </w:r>
    </w:p>
    <w:p>
      <w:pPr>
        <w:adjustRightInd w:val="0"/>
        <w:snapToGrid w:val="0"/>
        <w:spacing w:line="360" w:lineRule="auto"/>
        <w:ind w:firstLine="480" w:firstLineChars="200"/>
        <w:rPr>
          <w:sz w:val="24"/>
          <w:highlight w:val="none"/>
        </w:rPr>
      </w:pPr>
      <w:r>
        <w:rPr>
          <w:rFonts w:hint="eastAsia"/>
          <w:sz w:val="24"/>
          <w:highlight w:val="none"/>
        </w:rPr>
        <w:t>（10）</w:t>
      </w:r>
      <w:r>
        <w:rPr>
          <w:sz w:val="24"/>
          <w:highlight w:val="none"/>
        </w:rPr>
        <w:t>其他危险性较大的工程。</w:t>
      </w:r>
    </w:p>
    <w:p>
      <w:pPr>
        <w:adjustRightInd w:val="0"/>
        <w:snapToGrid w:val="0"/>
        <w:spacing w:line="360" w:lineRule="auto"/>
        <w:ind w:firstLine="480" w:firstLineChars="200"/>
        <w:rPr>
          <w:sz w:val="24"/>
          <w:highlight w:val="none"/>
        </w:rPr>
      </w:pPr>
      <w:r>
        <w:rPr>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highlight w:val="none"/>
        </w:rPr>
      </w:pPr>
      <w:r>
        <w:rPr>
          <w:sz w:val="24"/>
          <w:highlight w:val="none"/>
        </w:rPr>
        <w:t>本款增加第9.2.8至9.2.11项：</w:t>
      </w:r>
    </w:p>
    <w:p>
      <w:pPr>
        <w:adjustRightInd w:val="0"/>
        <w:snapToGrid w:val="0"/>
        <w:spacing w:line="360" w:lineRule="auto"/>
        <w:ind w:firstLine="480" w:firstLineChars="200"/>
        <w:rPr>
          <w:sz w:val="24"/>
          <w:highlight w:val="none"/>
        </w:rPr>
      </w:pPr>
      <w:r>
        <w:rPr>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所有施工机具设备和高空作业设备均应定期检查，并有安全员的签字记录；</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highlight w:val="none"/>
        </w:rPr>
      </w:pPr>
      <w:r>
        <w:rPr>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highlight w:val="none"/>
        </w:rPr>
      </w:pPr>
      <w:r>
        <w:rPr>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highlight w:val="none"/>
        </w:rPr>
      </w:pPr>
      <w:r>
        <w:rPr>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highlight w:val="none"/>
        </w:rPr>
      </w:pPr>
      <w:r>
        <w:rPr>
          <w:rFonts w:eastAsia="黑体"/>
          <w:sz w:val="24"/>
          <w:highlight w:val="none"/>
        </w:rPr>
        <w:t>9.4环境保护</w:t>
      </w:r>
    </w:p>
    <w:p>
      <w:pPr>
        <w:adjustRightInd w:val="0"/>
        <w:snapToGrid w:val="0"/>
        <w:spacing w:line="360" w:lineRule="auto"/>
        <w:ind w:firstLine="480" w:firstLineChars="200"/>
        <w:rPr>
          <w:sz w:val="24"/>
          <w:highlight w:val="none"/>
        </w:rPr>
      </w:pPr>
      <w:r>
        <w:rPr>
          <w:sz w:val="24"/>
          <w:highlight w:val="none"/>
        </w:rPr>
        <w:t>本款增加第9.4.7至9.4.9项：</w:t>
      </w:r>
    </w:p>
    <w:p>
      <w:pPr>
        <w:adjustRightInd w:val="0"/>
        <w:snapToGrid w:val="0"/>
        <w:spacing w:line="360" w:lineRule="auto"/>
        <w:ind w:firstLine="480" w:firstLineChars="200"/>
        <w:rPr>
          <w:sz w:val="24"/>
          <w:highlight w:val="none"/>
        </w:rPr>
      </w:pPr>
      <w:r>
        <w:rPr>
          <w:sz w:val="24"/>
          <w:highlight w:val="none"/>
        </w:rPr>
        <w:t>9.4.7承包人应切实执行技术规范中有关环境保护方面的条款和规定。</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拌和设备应有较好的密封，或有防尘设备。</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施工通道、沥青混凝土拌和站及灰土拌和站应经常进行洒水降尘。</w:t>
      </w:r>
    </w:p>
    <w:p>
      <w:pPr>
        <w:adjustRightInd w:val="0"/>
        <w:snapToGrid w:val="0"/>
        <w:spacing w:line="360" w:lineRule="auto"/>
        <w:ind w:firstLine="480" w:firstLineChars="200"/>
        <w:rPr>
          <w:sz w:val="24"/>
          <w:highlight w:val="none"/>
        </w:rPr>
      </w:pPr>
      <w:r>
        <w:rPr>
          <w:sz w:val="24"/>
          <w:highlight w:val="none"/>
        </w:rPr>
        <w:t>c．路面施工应注意保持水份，以免扬尘。</w:t>
      </w:r>
    </w:p>
    <w:p>
      <w:pPr>
        <w:adjustRightInd w:val="0"/>
        <w:snapToGrid w:val="0"/>
        <w:spacing w:line="360" w:lineRule="auto"/>
        <w:ind w:firstLine="480" w:firstLineChars="200"/>
        <w:rPr>
          <w:sz w:val="24"/>
          <w:highlight w:val="none"/>
        </w:rPr>
      </w:pPr>
      <w:r>
        <w:rPr>
          <w:sz w:val="24"/>
          <w:highlight w:val="none"/>
        </w:rPr>
        <w:t>d</w:t>
      </w:r>
      <w:r>
        <w:rPr>
          <w:rFonts w:hint="eastAsia"/>
          <w:sz w:val="24"/>
          <w:highlight w:val="none"/>
        </w:rPr>
        <w:t>．</w:t>
      </w:r>
      <w:r>
        <w:rPr>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highlight w:val="none"/>
        </w:rPr>
      </w:pPr>
      <w:r>
        <w:rPr>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highlight w:val="none"/>
        </w:rPr>
      </w:pPr>
      <w:r>
        <w:rPr>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highlight w:val="none"/>
        </w:rPr>
      </w:pPr>
      <w:r>
        <w:rPr>
          <w:rFonts w:eastAsia="黑体"/>
          <w:sz w:val="24"/>
          <w:highlight w:val="none"/>
        </w:rPr>
        <w:t>10</w:t>
      </w:r>
      <w:r>
        <w:rPr>
          <w:rFonts w:hint="eastAsia" w:eastAsia="黑体"/>
          <w:sz w:val="24"/>
          <w:highlight w:val="none"/>
        </w:rPr>
        <w:t>．</w:t>
      </w:r>
      <w:r>
        <w:rPr>
          <w:rFonts w:eastAsia="黑体"/>
          <w:sz w:val="24"/>
          <w:highlight w:val="none"/>
        </w:rPr>
        <w:t>进度计划</w:t>
      </w:r>
    </w:p>
    <w:p>
      <w:pPr>
        <w:adjustRightInd w:val="0"/>
        <w:snapToGrid w:val="0"/>
        <w:spacing w:line="360" w:lineRule="auto"/>
        <w:rPr>
          <w:rFonts w:eastAsia="黑体"/>
          <w:sz w:val="24"/>
          <w:highlight w:val="none"/>
        </w:rPr>
      </w:pPr>
      <w:r>
        <w:rPr>
          <w:rFonts w:eastAsia="黑体"/>
          <w:sz w:val="24"/>
          <w:highlight w:val="none"/>
        </w:rPr>
        <w:t>10.1合同进度计划</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承包人编制施工方案的内容：</w:t>
      </w:r>
      <w:r>
        <w:rPr>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承包人向监理人报送施工进度计划和施工方案说明的期限：</w:t>
      </w:r>
      <w:r>
        <w:rPr>
          <w:rFonts w:hint="eastAsia"/>
          <w:sz w:val="24"/>
          <w:highlight w:val="none"/>
          <w:u w:val="single"/>
        </w:rPr>
        <w:t>签订合同协议书后</w:t>
      </w:r>
      <w:r>
        <w:rPr>
          <w:sz w:val="24"/>
          <w:highlight w:val="none"/>
          <w:u w:val="single"/>
        </w:rPr>
        <w:t>28天之内</w:t>
      </w:r>
      <w:r>
        <w:rPr>
          <w:sz w:val="24"/>
          <w:highlight w:val="none"/>
        </w:rPr>
        <w:t>。</w:t>
      </w:r>
    </w:p>
    <w:p>
      <w:pPr>
        <w:adjustRightInd w:val="0"/>
        <w:snapToGrid w:val="0"/>
        <w:spacing w:line="360" w:lineRule="auto"/>
        <w:ind w:firstLine="480" w:firstLineChars="200"/>
        <w:rPr>
          <w:sz w:val="24"/>
          <w:highlight w:val="none"/>
        </w:rPr>
      </w:pPr>
      <w:r>
        <w:rPr>
          <w:sz w:val="24"/>
          <w:highlight w:val="none"/>
        </w:rPr>
        <w:t>监理人应在</w:t>
      </w:r>
      <w:r>
        <w:rPr>
          <w:rFonts w:hint="eastAsia"/>
          <w:sz w:val="24"/>
          <w:highlight w:val="none"/>
          <w:u w:val="single"/>
        </w:rPr>
        <w:t>14</w:t>
      </w:r>
      <w:r>
        <w:rPr>
          <w:sz w:val="24"/>
          <w:highlight w:val="none"/>
        </w:rPr>
        <w:t>天内对承包人施工进度计划和施工方案说明予以批复或提出修改意见。</w:t>
      </w:r>
    </w:p>
    <w:p>
      <w:pPr>
        <w:adjustRightInd w:val="0"/>
        <w:snapToGrid w:val="0"/>
        <w:spacing w:line="360" w:lineRule="auto"/>
        <w:ind w:firstLine="480" w:firstLineChars="200"/>
        <w:rPr>
          <w:sz w:val="24"/>
          <w:highlight w:val="none"/>
        </w:rPr>
      </w:pPr>
      <w:r>
        <w:rPr>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highlight w:val="none"/>
        </w:rPr>
      </w:pPr>
      <w:r>
        <w:rPr>
          <w:rFonts w:eastAsia="黑体"/>
          <w:sz w:val="24"/>
          <w:highlight w:val="none"/>
        </w:rPr>
        <w:t>10.2合同进度计划的修订</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承包人提交合同进度计划修订申请报告，并附有关措施和相关资料的期限：</w:t>
      </w:r>
      <w:r>
        <w:rPr>
          <w:sz w:val="24"/>
          <w:highlight w:val="none"/>
          <w:u w:val="single"/>
        </w:rPr>
        <w:t>实际进度发生滞后的当月25日前</w:t>
      </w:r>
      <w:r>
        <w:rPr>
          <w:sz w:val="24"/>
          <w:highlight w:val="none"/>
        </w:rPr>
        <w:t>。</w:t>
      </w:r>
    </w:p>
    <w:p>
      <w:pPr>
        <w:adjustRightInd w:val="0"/>
        <w:snapToGrid w:val="0"/>
        <w:spacing w:line="360" w:lineRule="auto"/>
        <w:ind w:firstLine="480" w:firstLineChars="200"/>
        <w:rPr>
          <w:sz w:val="24"/>
          <w:highlight w:val="none"/>
        </w:rPr>
      </w:pPr>
      <w:r>
        <w:rPr>
          <w:sz w:val="24"/>
          <w:highlight w:val="none"/>
        </w:rPr>
        <w:t>监理人批复修订合同进度计划的期限：</w:t>
      </w:r>
      <w:r>
        <w:rPr>
          <w:rFonts w:hint="eastAsia"/>
          <w:sz w:val="24"/>
          <w:highlight w:val="none"/>
          <w:u w:val="single"/>
        </w:rPr>
        <w:t>收到修订合同进度计划后14天内</w:t>
      </w:r>
      <w:r>
        <w:rPr>
          <w:sz w:val="24"/>
          <w:highlight w:val="none"/>
        </w:rPr>
        <w:t>。</w:t>
      </w:r>
    </w:p>
    <w:p>
      <w:pPr>
        <w:adjustRightInd w:val="0"/>
        <w:snapToGrid w:val="0"/>
        <w:spacing w:line="360" w:lineRule="auto"/>
        <w:rPr>
          <w:sz w:val="24"/>
          <w:highlight w:val="none"/>
        </w:rPr>
      </w:pPr>
      <w:r>
        <w:rPr>
          <w:sz w:val="24"/>
          <w:highlight w:val="none"/>
        </w:rPr>
        <w:t>增加第10.3、10.4款：</w:t>
      </w:r>
    </w:p>
    <w:p>
      <w:pPr>
        <w:adjustRightInd w:val="0"/>
        <w:snapToGrid w:val="0"/>
        <w:spacing w:beforeLines="100" w:line="360" w:lineRule="auto"/>
        <w:rPr>
          <w:rFonts w:eastAsia="黑体"/>
          <w:sz w:val="24"/>
          <w:highlight w:val="none"/>
        </w:rPr>
      </w:pPr>
      <w:r>
        <w:rPr>
          <w:rFonts w:eastAsia="黑体"/>
          <w:sz w:val="24"/>
          <w:highlight w:val="none"/>
        </w:rPr>
        <w:t>10.3年度施工计划</w:t>
      </w:r>
    </w:p>
    <w:p>
      <w:pPr>
        <w:adjustRightInd w:val="0"/>
        <w:snapToGrid w:val="0"/>
        <w:spacing w:line="360" w:lineRule="auto"/>
        <w:ind w:firstLine="480" w:firstLineChars="200"/>
        <w:rPr>
          <w:sz w:val="24"/>
          <w:highlight w:val="none"/>
        </w:rPr>
      </w:pPr>
      <w:r>
        <w:rPr>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highlight w:val="none"/>
        </w:rPr>
      </w:pPr>
      <w:r>
        <w:rPr>
          <w:rFonts w:eastAsia="黑体"/>
          <w:sz w:val="24"/>
          <w:highlight w:val="none"/>
        </w:rPr>
        <w:t>10.4合同用款计划</w:t>
      </w:r>
    </w:p>
    <w:p>
      <w:pPr>
        <w:adjustRightInd w:val="0"/>
        <w:snapToGrid w:val="0"/>
        <w:spacing w:line="360" w:lineRule="auto"/>
        <w:ind w:firstLine="480" w:firstLineChars="200"/>
        <w:rPr>
          <w:sz w:val="24"/>
          <w:highlight w:val="none"/>
        </w:rPr>
      </w:pPr>
      <w:r>
        <w:rPr>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highlight w:val="none"/>
        </w:rPr>
      </w:pPr>
      <w:r>
        <w:rPr>
          <w:rFonts w:eastAsia="黑体"/>
          <w:sz w:val="24"/>
          <w:highlight w:val="none"/>
        </w:rPr>
        <w:t>11．开工和竣工</w:t>
      </w:r>
    </w:p>
    <w:p>
      <w:pPr>
        <w:adjustRightInd w:val="0"/>
        <w:snapToGrid w:val="0"/>
        <w:spacing w:line="360" w:lineRule="auto"/>
        <w:rPr>
          <w:rFonts w:eastAsia="黑体"/>
          <w:sz w:val="24"/>
          <w:highlight w:val="none"/>
        </w:rPr>
      </w:pPr>
      <w:r>
        <w:rPr>
          <w:rFonts w:eastAsia="黑体"/>
          <w:sz w:val="24"/>
          <w:highlight w:val="none"/>
        </w:rPr>
        <w:t>11.1开工</w:t>
      </w:r>
    </w:p>
    <w:p>
      <w:pPr>
        <w:adjustRightInd w:val="0"/>
        <w:snapToGrid w:val="0"/>
        <w:spacing w:line="360" w:lineRule="auto"/>
        <w:ind w:firstLine="480" w:firstLineChars="200"/>
        <w:rPr>
          <w:sz w:val="24"/>
          <w:highlight w:val="none"/>
        </w:rPr>
      </w:pPr>
      <w:r>
        <w:rPr>
          <w:sz w:val="24"/>
          <w:highlight w:val="none"/>
        </w:rPr>
        <w:t>11</w:t>
      </w:r>
      <w:r>
        <w:rPr>
          <w:rFonts w:hint="eastAsia"/>
          <w:sz w:val="24"/>
          <w:highlight w:val="none"/>
        </w:rPr>
        <w:t>.</w:t>
      </w:r>
      <w:r>
        <w:rPr>
          <w:sz w:val="24"/>
          <w:highlight w:val="none"/>
        </w:rPr>
        <w:t>1.2项补充：</w:t>
      </w:r>
    </w:p>
    <w:p>
      <w:pPr>
        <w:adjustRightInd w:val="0"/>
        <w:snapToGrid w:val="0"/>
        <w:spacing w:line="360" w:lineRule="auto"/>
        <w:ind w:firstLine="480" w:firstLineChars="200"/>
        <w:rPr>
          <w:sz w:val="24"/>
          <w:highlight w:val="none"/>
        </w:rPr>
      </w:pPr>
      <w:r>
        <w:rPr>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highlight w:val="none"/>
        </w:rPr>
      </w:pPr>
      <w:r>
        <w:rPr>
          <w:rFonts w:eastAsia="黑体"/>
          <w:sz w:val="24"/>
          <w:highlight w:val="none"/>
        </w:rPr>
        <w:t>11.3发包人的工期延误</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highlight w:val="none"/>
        </w:rPr>
      </w:pPr>
      <w:r>
        <w:rPr>
          <w:rFonts w:eastAsia="黑体"/>
          <w:sz w:val="24"/>
          <w:highlight w:val="none"/>
        </w:rPr>
        <w:t>11.4异常恶劣的气候条件</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highlight w:val="none"/>
        </w:rPr>
      </w:pPr>
      <w:r>
        <w:rPr>
          <w:rFonts w:eastAsia="黑体"/>
          <w:sz w:val="24"/>
          <w:highlight w:val="none"/>
        </w:rPr>
        <w:t>11.5承包人的工期延误</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highlight w:val="none"/>
        </w:rPr>
        <w:t>10</w:t>
      </w:r>
      <w:r>
        <w:rPr>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承包人支付逾期竣工违约金，不免除承包人完成工程及修补缺陷的义务。</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如果在合同工程完工之前，己对合同工程内按时完工的单位工程签发了工程接收证书，则合同工程的逾期竣工违约金，应按</w:t>
      </w:r>
      <w:r>
        <w:rPr>
          <w:rFonts w:hint="eastAsia"/>
          <w:sz w:val="24"/>
          <w:highlight w:val="none"/>
        </w:rPr>
        <w:t>已</w:t>
      </w:r>
      <w:r>
        <w:rPr>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highlight w:val="none"/>
        </w:rPr>
      </w:pPr>
      <w:r>
        <w:rPr>
          <w:rFonts w:eastAsia="黑体"/>
          <w:sz w:val="24"/>
          <w:highlight w:val="none"/>
        </w:rPr>
        <w:t>11.6工期提前</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64" w:firstLineChars="200"/>
        <w:rPr>
          <w:spacing w:val="-4"/>
          <w:sz w:val="24"/>
          <w:highlight w:val="none"/>
        </w:rPr>
      </w:pPr>
      <w:r>
        <w:rPr>
          <w:spacing w:val="-4"/>
          <w:sz w:val="24"/>
          <w:highlight w:val="none"/>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highlight w:val="none"/>
        </w:rPr>
      </w:pPr>
      <w:r>
        <w:rPr>
          <w:sz w:val="24"/>
          <w:highlight w:val="none"/>
        </w:rPr>
        <w:t>增加第11.7款：</w:t>
      </w:r>
    </w:p>
    <w:p>
      <w:pPr>
        <w:adjustRightInd w:val="0"/>
        <w:snapToGrid w:val="0"/>
        <w:spacing w:beforeLines="100" w:line="360" w:lineRule="auto"/>
        <w:rPr>
          <w:rFonts w:eastAsia="黑体"/>
          <w:sz w:val="24"/>
          <w:highlight w:val="none"/>
        </w:rPr>
      </w:pPr>
      <w:r>
        <w:rPr>
          <w:rFonts w:eastAsia="黑体"/>
          <w:sz w:val="24"/>
          <w:highlight w:val="none"/>
        </w:rPr>
        <w:t>11.7</w:t>
      </w:r>
      <w:r>
        <w:rPr>
          <w:rFonts w:hint="eastAsia" w:eastAsia="黑体"/>
          <w:sz w:val="24"/>
          <w:highlight w:val="none"/>
        </w:rPr>
        <w:t>工</w:t>
      </w:r>
      <w:r>
        <w:rPr>
          <w:rFonts w:eastAsia="黑体"/>
          <w:sz w:val="24"/>
          <w:highlight w:val="none"/>
        </w:rPr>
        <w:t>作时</w:t>
      </w:r>
      <w:r>
        <w:rPr>
          <w:rFonts w:hint="eastAsia" w:eastAsia="黑体"/>
          <w:sz w:val="24"/>
          <w:highlight w:val="none"/>
        </w:rPr>
        <w:t>间</w:t>
      </w:r>
      <w:r>
        <w:rPr>
          <w:rFonts w:eastAsia="黑体"/>
          <w:sz w:val="24"/>
          <w:highlight w:val="none"/>
        </w:rPr>
        <w:t>的限制</w:t>
      </w:r>
    </w:p>
    <w:p>
      <w:pPr>
        <w:adjustRightInd w:val="0"/>
        <w:snapToGrid w:val="0"/>
        <w:spacing w:line="360" w:lineRule="auto"/>
        <w:ind w:firstLine="480" w:firstLineChars="200"/>
        <w:rPr>
          <w:sz w:val="24"/>
          <w:highlight w:val="none"/>
        </w:rPr>
      </w:pPr>
      <w:r>
        <w:rPr>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highlight w:val="none"/>
        </w:rPr>
      </w:pPr>
      <w:r>
        <w:rPr>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highlight w:val="none"/>
        </w:rPr>
      </w:pPr>
      <w:r>
        <w:rPr>
          <w:sz w:val="24"/>
          <w:highlight w:val="none"/>
        </w:rPr>
        <w:t>本款规定不适用于习惯上或施工本身要求实行连续生产的作业。</w:t>
      </w:r>
    </w:p>
    <w:p>
      <w:pPr>
        <w:adjustRightInd w:val="0"/>
        <w:snapToGrid w:val="0"/>
        <w:spacing w:beforeLines="100" w:line="360" w:lineRule="auto"/>
        <w:rPr>
          <w:rFonts w:eastAsia="黑体"/>
          <w:sz w:val="24"/>
          <w:highlight w:val="none"/>
        </w:rPr>
      </w:pPr>
      <w:r>
        <w:rPr>
          <w:rFonts w:eastAsia="黑体"/>
          <w:sz w:val="24"/>
          <w:highlight w:val="none"/>
        </w:rPr>
        <w:t>12</w:t>
      </w:r>
      <w:r>
        <w:rPr>
          <w:rFonts w:hint="eastAsia" w:eastAsia="黑体"/>
          <w:sz w:val="24"/>
          <w:highlight w:val="none"/>
        </w:rPr>
        <w:t>．</w:t>
      </w:r>
      <w:r>
        <w:rPr>
          <w:rFonts w:eastAsia="黑体"/>
          <w:sz w:val="24"/>
          <w:highlight w:val="none"/>
        </w:rPr>
        <w:t>暂停施工</w:t>
      </w:r>
    </w:p>
    <w:p>
      <w:pPr>
        <w:adjustRightInd w:val="0"/>
        <w:snapToGrid w:val="0"/>
        <w:spacing w:line="360" w:lineRule="auto"/>
        <w:ind w:firstLine="480" w:firstLineChars="200"/>
        <w:rPr>
          <w:sz w:val="24"/>
          <w:highlight w:val="none"/>
        </w:rPr>
      </w:pPr>
      <w:r>
        <w:rPr>
          <w:sz w:val="24"/>
          <w:highlight w:val="none"/>
        </w:rPr>
        <w:t>12.1承包人暂停施工的责任</w:t>
      </w:r>
    </w:p>
    <w:p>
      <w:pPr>
        <w:adjustRightInd w:val="0"/>
        <w:snapToGrid w:val="0"/>
        <w:spacing w:line="360" w:lineRule="auto"/>
        <w:ind w:firstLine="480" w:firstLineChars="200"/>
        <w:rPr>
          <w:sz w:val="24"/>
          <w:highlight w:val="none"/>
        </w:rPr>
      </w:pPr>
      <w:r>
        <w:rPr>
          <w:sz w:val="24"/>
          <w:highlight w:val="none"/>
        </w:rPr>
        <w:t>12.1（5</w:t>
      </w:r>
      <w:r>
        <w:rPr>
          <w:rFonts w:hint="eastAsia"/>
          <w:sz w:val="24"/>
          <w:highlight w:val="none"/>
        </w:rPr>
        <w:t>）</w:t>
      </w:r>
      <w:r>
        <w:rPr>
          <w:sz w:val="24"/>
          <w:highlight w:val="none"/>
        </w:rPr>
        <w:t>项补充：</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现场气候条件导致的必要停工（第11.4款规定的异常恶劣的气候条件除外）；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项目专用合同条款约定由承包人承担的其他暂停施工。</w:t>
      </w:r>
    </w:p>
    <w:p>
      <w:pPr>
        <w:adjustRightInd w:val="0"/>
        <w:snapToGrid w:val="0"/>
        <w:spacing w:beforeLines="100" w:line="360" w:lineRule="auto"/>
        <w:rPr>
          <w:rFonts w:eastAsia="黑体"/>
          <w:sz w:val="24"/>
          <w:highlight w:val="none"/>
        </w:rPr>
      </w:pPr>
      <w:r>
        <w:rPr>
          <w:rFonts w:eastAsia="黑体"/>
          <w:sz w:val="24"/>
          <w:highlight w:val="none"/>
        </w:rPr>
        <w:t>13．工程质量</w:t>
      </w:r>
    </w:p>
    <w:p>
      <w:pPr>
        <w:adjustRightInd w:val="0"/>
        <w:snapToGrid w:val="0"/>
        <w:spacing w:line="360" w:lineRule="auto"/>
        <w:rPr>
          <w:rFonts w:eastAsia="黑体"/>
          <w:sz w:val="24"/>
          <w:highlight w:val="none"/>
        </w:rPr>
      </w:pPr>
      <w:r>
        <w:rPr>
          <w:rFonts w:eastAsia="黑体"/>
          <w:sz w:val="24"/>
          <w:highlight w:val="none"/>
        </w:rPr>
        <w:t>13.1工程质量要求</w:t>
      </w:r>
    </w:p>
    <w:p>
      <w:pPr>
        <w:adjustRightInd w:val="0"/>
        <w:snapToGrid w:val="0"/>
        <w:spacing w:line="360" w:lineRule="auto"/>
        <w:ind w:firstLine="480" w:firstLineChars="200"/>
        <w:rPr>
          <w:sz w:val="24"/>
          <w:highlight w:val="none"/>
        </w:rPr>
      </w:pPr>
      <w:r>
        <w:rPr>
          <w:sz w:val="24"/>
          <w:highlight w:val="none"/>
        </w:rPr>
        <w:t>13.1</w:t>
      </w:r>
      <w:r>
        <w:rPr>
          <w:rFonts w:hint="eastAsia"/>
          <w:sz w:val="24"/>
          <w:highlight w:val="none"/>
        </w:rPr>
        <w:t>.</w:t>
      </w:r>
      <w:r>
        <w:rPr>
          <w:sz w:val="24"/>
          <w:highlight w:val="none"/>
        </w:rPr>
        <w:t>1项约定为：</w:t>
      </w:r>
    </w:p>
    <w:p>
      <w:pPr>
        <w:adjustRightInd w:val="0"/>
        <w:snapToGrid w:val="0"/>
        <w:spacing w:line="360" w:lineRule="auto"/>
        <w:ind w:firstLine="480" w:firstLineChars="200"/>
        <w:rPr>
          <w:sz w:val="24"/>
          <w:highlight w:val="none"/>
        </w:rPr>
      </w:pPr>
      <w:r>
        <w:rPr>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sz w:val="24"/>
          <w:highlight w:val="none"/>
        </w:rPr>
      </w:pPr>
      <w:r>
        <w:rPr>
          <w:sz w:val="24"/>
          <w:highlight w:val="none"/>
        </w:rPr>
        <w:t>13.1.4承包人对工程质量终身负责。</w:t>
      </w:r>
    </w:p>
    <w:p>
      <w:pPr>
        <w:adjustRightInd w:val="0"/>
        <w:snapToGrid w:val="0"/>
        <w:spacing w:line="360" w:lineRule="auto"/>
        <w:ind w:firstLine="480" w:firstLineChars="200"/>
        <w:rPr>
          <w:sz w:val="24"/>
          <w:highlight w:val="none"/>
        </w:rPr>
      </w:pPr>
      <w:r>
        <w:rPr>
          <w:sz w:val="24"/>
          <w:highlight w:val="none"/>
        </w:rPr>
        <w:t>13</w:t>
      </w:r>
      <w:r>
        <w:rPr>
          <w:rFonts w:hint="eastAsia"/>
          <w:sz w:val="24"/>
          <w:highlight w:val="none"/>
        </w:rPr>
        <w:t>.</w:t>
      </w:r>
      <w:r>
        <w:rPr>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highlight w:val="none"/>
        </w:rPr>
      </w:pPr>
      <w:r>
        <w:rPr>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sz w:val="24"/>
          <w:highlight w:val="none"/>
        </w:rPr>
      </w:pPr>
      <w:r>
        <w:rPr>
          <w:rFonts w:eastAsia="黑体"/>
          <w:sz w:val="24"/>
          <w:highlight w:val="none"/>
        </w:rPr>
        <w:t>13.2承包人的质量管理</w:t>
      </w:r>
    </w:p>
    <w:p>
      <w:pPr>
        <w:adjustRightInd w:val="0"/>
        <w:snapToGrid w:val="0"/>
        <w:spacing w:line="360" w:lineRule="auto"/>
        <w:ind w:firstLine="480" w:firstLineChars="200"/>
        <w:rPr>
          <w:sz w:val="24"/>
          <w:highlight w:val="none"/>
        </w:rPr>
      </w:pPr>
      <w:r>
        <w:rPr>
          <w:sz w:val="24"/>
          <w:highlight w:val="none"/>
        </w:rPr>
        <w:t>13.2.1项补充：</w:t>
      </w:r>
    </w:p>
    <w:p>
      <w:pPr>
        <w:adjustRightInd w:val="0"/>
        <w:snapToGrid w:val="0"/>
        <w:spacing w:line="360" w:lineRule="auto"/>
        <w:ind w:firstLine="480" w:firstLineChars="200"/>
        <w:rPr>
          <w:sz w:val="24"/>
          <w:highlight w:val="none"/>
        </w:rPr>
      </w:pPr>
      <w:r>
        <w:rPr>
          <w:sz w:val="24"/>
          <w:highlight w:val="none"/>
        </w:rPr>
        <w:t>承包人提交工程质量保证措施文件的期限：</w:t>
      </w:r>
      <w:r>
        <w:rPr>
          <w:sz w:val="24"/>
          <w:highlight w:val="none"/>
          <w:u w:val="single"/>
        </w:rPr>
        <w:t>签订合同协议书后28天之内</w:t>
      </w:r>
      <w:r>
        <w:rPr>
          <w:sz w:val="24"/>
          <w:highlight w:val="none"/>
        </w:rPr>
        <w:t>。</w:t>
      </w:r>
    </w:p>
    <w:p>
      <w:pPr>
        <w:adjustRightInd w:val="0"/>
        <w:snapToGrid w:val="0"/>
        <w:spacing w:line="360" w:lineRule="auto"/>
        <w:ind w:firstLine="480" w:firstLineChars="200"/>
        <w:rPr>
          <w:sz w:val="24"/>
          <w:highlight w:val="none"/>
        </w:rPr>
      </w:pPr>
      <w:r>
        <w:rPr>
          <w:sz w:val="24"/>
          <w:highlight w:val="none"/>
        </w:rPr>
        <w:t>本款增加第13.2.3至13.2.5项：</w:t>
      </w:r>
    </w:p>
    <w:p>
      <w:pPr>
        <w:adjustRightInd w:val="0"/>
        <w:snapToGrid w:val="0"/>
        <w:spacing w:line="360" w:lineRule="auto"/>
        <w:ind w:firstLine="480" w:firstLineChars="200"/>
        <w:rPr>
          <w:sz w:val="24"/>
          <w:highlight w:val="none"/>
        </w:rPr>
      </w:pPr>
      <w:r>
        <w:rPr>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highlight w:val="none"/>
        </w:rPr>
      </w:pPr>
      <w:r>
        <w:rPr>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highlight w:val="none"/>
        </w:rPr>
      </w:pPr>
      <w:r>
        <w:rPr>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highlight w:val="none"/>
        </w:rPr>
      </w:pPr>
      <w:r>
        <w:rPr>
          <w:rFonts w:eastAsia="黑体"/>
          <w:sz w:val="24"/>
          <w:highlight w:val="none"/>
        </w:rPr>
        <w:t>13.4监理人的质量检查</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highlight w:val="none"/>
        </w:rPr>
      </w:pPr>
      <w:r>
        <w:rPr>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highlight w:val="none"/>
        </w:rPr>
      </w:pPr>
      <w:r>
        <w:rPr>
          <w:rFonts w:eastAsia="黑体"/>
          <w:sz w:val="24"/>
          <w:highlight w:val="none"/>
        </w:rPr>
        <w:t>13.5工程隐蔽部位覆盖前的检查</w:t>
      </w:r>
    </w:p>
    <w:p>
      <w:pPr>
        <w:adjustRightInd w:val="0"/>
        <w:snapToGrid w:val="0"/>
        <w:spacing w:line="360" w:lineRule="auto"/>
        <w:ind w:firstLine="480" w:firstLineChars="200"/>
        <w:rPr>
          <w:sz w:val="24"/>
          <w:highlight w:val="none"/>
        </w:rPr>
      </w:pPr>
      <w:r>
        <w:rPr>
          <w:sz w:val="24"/>
          <w:highlight w:val="none"/>
        </w:rPr>
        <w:t>13.5.1通知监理人检查</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highlight w:val="none"/>
        </w:rPr>
      </w:pPr>
      <w:r>
        <w:rPr>
          <w:rFonts w:eastAsia="黑体"/>
          <w:sz w:val="24"/>
          <w:highlight w:val="none"/>
        </w:rPr>
        <w:t>13.6清除不合格工程</w:t>
      </w:r>
    </w:p>
    <w:p>
      <w:pPr>
        <w:adjustRightInd w:val="0"/>
        <w:snapToGrid w:val="0"/>
        <w:spacing w:line="360" w:lineRule="auto"/>
        <w:ind w:firstLine="480" w:firstLineChars="200"/>
        <w:rPr>
          <w:sz w:val="24"/>
          <w:highlight w:val="none"/>
        </w:rPr>
      </w:pPr>
      <w:r>
        <w:rPr>
          <w:sz w:val="24"/>
          <w:highlight w:val="none"/>
        </w:rPr>
        <w:t>13.6.1项细化为：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highlight w:val="none"/>
        </w:rPr>
      </w:pPr>
      <w:r>
        <w:rPr>
          <w:rFonts w:eastAsia="黑体"/>
          <w:sz w:val="24"/>
          <w:highlight w:val="none"/>
        </w:rPr>
        <w:t>14</w:t>
      </w:r>
      <w:r>
        <w:rPr>
          <w:rFonts w:hint="eastAsia" w:eastAsia="黑体"/>
          <w:sz w:val="24"/>
          <w:highlight w:val="none"/>
        </w:rPr>
        <w:t>．</w:t>
      </w:r>
      <w:r>
        <w:rPr>
          <w:rFonts w:eastAsia="黑体"/>
          <w:sz w:val="24"/>
          <w:highlight w:val="none"/>
        </w:rPr>
        <w:t>试验和检验</w:t>
      </w:r>
    </w:p>
    <w:p>
      <w:pPr>
        <w:adjustRightInd w:val="0"/>
        <w:snapToGrid w:val="0"/>
        <w:spacing w:line="360" w:lineRule="auto"/>
        <w:rPr>
          <w:sz w:val="24"/>
          <w:highlight w:val="none"/>
        </w:rPr>
      </w:pPr>
      <w:r>
        <w:rPr>
          <w:rFonts w:hAnsi="宋体"/>
          <w:sz w:val="24"/>
          <w:highlight w:val="none"/>
        </w:rPr>
        <w:t>增加第</w:t>
      </w:r>
      <w:r>
        <w:rPr>
          <w:sz w:val="24"/>
          <w:highlight w:val="none"/>
        </w:rPr>
        <w:t>14.4</w:t>
      </w:r>
      <w:r>
        <w:rPr>
          <w:rFonts w:hAnsi="宋体"/>
          <w:sz w:val="24"/>
          <w:highlight w:val="none"/>
        </w:rPr>
        <w:t>款：</w:t>
      </w:r>
    </w:p>
    <w:p>
      <w:pPr>
        <w:adjustRightInd w:val="0"/>
        <w:snapToGrid w:val="0"/>
        <w:spacing w:line="360" w:lineRule="auto"/>
        <w:rPr>
          <w:rFonts w:eastAsia="黑体"/>
          <w:sz w:val="24"/>
          <w:highlight w:val="none"/>
        </w:rPr>
      </w:pPr>
      <w:r>
        <w:rPr>
          <w:rFonts w:eastAsia="黑体"/>
          <w:sz w:val="24"/>
          <w:highlight w:val="none"/>
        </w:rPr>
        <w:t>14.4试验和检验费用</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承包人应负责提供进行试验和检验所需的全部样品，并承担其费用。</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highlight w:val="none"/>
        </w:rPr>
      </w:pPr>
      <w:r>
        <w:rPr>
          <w:rFonts w:eastAsia="黑体"/>
          <w:sz w:val="24"/>
          <w:highlight w:val="none"/>
        </w:rPr>
        <w:t>15</w:t>
      </w:r>
      <w:r>
        <w:rPr>
          <w:rFonts w:hint="eastAsia" w:eastAsia="黑体"/>
          <w:sz w:val="24"/>
          <w:highlight w:val="none"/>
        </w:rPr>
        <w:t>．</w:t>
      </w:r>
      <w:r>
        <w:rPr>
          <w:rFonts w:eastAsia="黑体"/>
          <w:sz w:val="24"/>
          <w:highlight w:val="none"/>
        </w:rPr>
        <w:t>变更</w:t>
      </w:r>
    </w:p>
    <w:p>
      <w:pPr>
        <w:adjustRightInd w:val="0"/>
        <w:snapToGrid w:val="0"/>
        <w:spacing w:line="360" w:lineRule="auto"/>
        <w:rPr>
          <w:rFonts w:eastAsia="黑体"/>
          <w:sz w:val="24"/>
          <w:highlight w:val="none"/>
        </w:rPr>
      </w:pPr>
      <w:r>
        <w:rPr>
          <w:rFonts w:eastAsia="黑体"/>
          <w:sz w:val="24"/>
          <w:highlight w:val="none"/>
        </w:rPr>
        <w:t>15.1变更的范围和内容</w:t>
      </w:r>
    </w:p>
    <w:p>
      <w:pPr>
        <w:adjustRightInd w:val="0"/>
        <w:snapToGrid w:val="0"/>
        <w:spacing w:line="360" w:lineRule="auto"/>
        <w:ind w:firstLine="480" w:firstLineChars="200"/>
        <w:rPr>
          <w:sz w:val="24"/>
          <w:highlight w:val="none"/>
        </w:rPr>
      </w:pPr>
      <w:r>
        <w:rPr>
          <w:sz w:val="24"/>
          <w:highlight w:val="none"/>
        </w:rPr>
        <w:t>15.1（1）项细化为：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设计变更程序应执行交通部《公路工程设计变更管理办法》的相关规定。</w:t>
      </w:r>
    </w:p>
    <w:p>
      <w:pPr>
        <w:adjustRightInd w:val="0"/>
        <w:snapToGrid w:val="0"/>
        <w:spacing w:beforeLines="100" w:line="360" w:lineRule="auto"/>
        <w:rPr>
          <w:rFonts w:eastAsia="黑体"/>
          <w:sz w:val="24"/>
          <w:highlight w:val="none"/>
        </w:rPr>
      </w:pPr>
      <w:r>
        <w:rPr>
          <w:rFonts w:eastAsia="黑体"/>
          <w:sz w:val="24"/>
          <w:highlight w:val="none"/>
        </w:rPr>
        <w:t>15.4变更的估价原则</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除项目专用合同条款另有约定外，因变更引起的价格调整按照本款约定处理。</w:t>
      </w:r>
    </w:p>
    <w:p>
      <w:pPr>
        <w:adjustRightInd w:val="0"/>
        <w:snapToGrid w:val="0"/>
        <w:spacing w:line="360" w:lineRule="auto"/>
        <w:ind w:firstLine="480" w:firstLineChars="200"/>
        <w:rPr>
          <w:sz w:val="24"/>
          <w:highlight w:val="none"/>
        </w:rPr>
      </w:pPr>
      <w:r>
        <w:rPr>
          <w:sz w:val="24"/>
          <w:highlight w:val="none"/>
        </w:rPr>
        <w:t>15.4.1如果取消某项工作，则该项工作的总额价不予支付；</w:t>
      </w:r>
    </w:p>
    <w:p>
      <w:pPr>
        <w:adjustRightInd w:val="0"/>
        <w:snapToGrid w:val="0"/>
        <w:spacing w:line="360" w:lineRule="auto"/>
        <w:ind w:firstLine="480" w:firstLineChars="200"/>
        <w:rPr>
          <w:sz w:val="24"/>
          <w:highlight w:val="none"/>
        </w:rPr>
      </w:pPr>
      <w:r>
        <w:rPr>
          <w:sz w:val="24"/>
          <w:highlight w:val="none"/>
        </w:rPr>
        <w:t>15.4.2已标价工程量清单中有适用于变更工作的子目的，采用该子目的单价。</w:t>
      </w:r>
    </w:p>
    <w:p>
      <w:pPr>
        <w:adjustRightInd w:val="0"/>
        <w:snapToGrid w:val="0"/>
        <w:spacing w:line="360" w:lineRule="auto"/>
        <w:ind w:firstLine="480" w:firstLineChars="200"/>
        <w:rPr>
          <w:sz w:val="24"/>
          <w:highlight w:val="none"/>
        </w:rPr>
      </w:pPr>
      <w:r>
        <w:rPr>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highlight w:val="none"/>
        </w:rPr>
      </w:pPr>
      <w:r>
        <w:rPr>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highlight w:val="none"/>
        </w:rPr>
      </w:pPr>
      <w:r>
        <w:rPr>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highlight w:val="none"/>
        </w:rPr>
      </w:pPr>
      <w:r>
        <w:rPr>
          <w:rFonts w:eastAsia="黑体"/>
          <w:sz w:val="24"/>
          <w:highlight w:val="none"/>
        </w:rPr>
        <w:t>15.5承包人的合理化建议</w:t>
      </w:r>
    </w:p>
    <w:p>
      <w:pPr>
        <w:adjustRightInd w:val="0"/>
        <w:snapToGrid w:val="0"/>
        <w:spacing w:line="360" w:lineRule="auto"/>
        <w:ind w:firstLine="480" w:firstLineChars="200"/>
        <w:rPr>
          <w:sz w:val="24"/>
          <w:highlight w:val="none"/>
        </w:rPr>
      </w:pPr>
      <w:r>
        <w:rPr>
          <w:sz w:val="24"/>
          <w:highlight w:val="none"/>
        </w:rPr>
        <w:t>15.5.2项约定为：</w:t>
      </w:r>
    </w:p>
    <w:p>
      <w:pPr>
        <w:adjustRightInd w:val="0"/>
        <w:snapToGrid w:val="0"/>
        <w:spacing w:line="360" w:lineRule="auto"/>
        <w:ind w:firstLine="480" w:firstLineChars="200"/>
        <w:rPr>
          <w:sz w:val="24"/>
          <w:highlight w:val="none"/>
        </w:rPr>
      </w:pPr>
      <w:r>
        <w:rPr>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sz w:val="24"/>
          <w:highlight w:val="none"/>
        </w:rPr>
      </w:pPr>
      <w:r>
        <w:rPr>
          <w:sz w:val="24"/>
          <w:highlight w:val="none"/>
        </w:rPr>
        <w:t>承包人提出的合理化建议降低了合同价格或者提高了工程经济效益的，发包人按所节约成本或增加收益的</w:t>
      </w:r>
      <w:r>
        <w:rPr>
          <w:rFonts w:hint="eastAsia"/>
          <w:sz w:val="24"/>
          <w:highlight w:val="none"/>
        </w:rPr>
        <w:t>%</w:t>
      </w:r>
      <w:r>
        <w:rPr>
          <w:sz w:val="24"/>
          <w:highlight w:val="none"/>
        </w:rPr>
        <w:t>（在项目专用条款数据表中约定）给予奖励。</w:t>
      </w:r>
    </w:p>
    <w:p>
      <w:pPr>
        <w:adjustRightInd w:val="0"/>
        <w:snapToGrid w:val="0"/>
        <w:spacing w:line="360" w:lineRule="auto"/>
        <w:ind w:firstLine="480" w:firstLineChars="200"/>
        <w:rPr>
          <w:sz w:val="24"/>
          <w:highlight w:val="none"/>
        </w:rPr>
      </w:pPr>
      <w:r>
        <w:rPr>
          <w:sz w:val="24"/>
          <w:highlight w:val="none"/>
        </w:rPr>
        <w:t>15.6暂列金额</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highlight w:val="none"/>
        </w:rPr>
      </w:pPr>
      <w:r>
        <w:rPr>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highlight w:val="none"/>
        </w:rPr>
      </w:pPr>
      <w:r>
        <w:rPr>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highlight w:val="none"/>
        </w:rPr>
      </w:pPr>
      <w:r>
        <w:rPr>
          <w:rFonts w:eastAsia="黑体"/>
          <w:sz w:val="24"/>
          <w:highlight w:val="none"/>
        </w:rPr>
        <w:t>15.8暂估价</w:t>
      </w:r>
    </w:p>
    <w:p>
      <w:pPr>
        <w:adjustRightInd w:val="0"/>
        <w:snapToGrid w:val="0"/>
        <w:spacing w:line="360" w:lineRule="auto"/>
        <w:ind w:firstLine="480" w:firstLineChars="200"/>
        <w:rPr>
          <w:sz w:val="24"/>
          <w:highlight w:val="none"/>
        </w:rPr>
      </w:pPr>
      <w:r>
        <w:rPr>
          <w:sz w:val="24"/>
          <w:highlight w:val="none"/>
        </w:rPr>
        <w:t>15.8.1项补充：</w:t>
      </w:r>
    </w:p>
    <w:p>
      <w:pPr>
        <w:adjustRightInd w:val="0"/>
        <w:snapToGrid w:val="0"/>
        <w:spacing w:line="360" w:lineRule="auto"/>
        <w:ind w:firstLine="480" w:firstLineChars="200"/>
        <w:rPr>
          <w:sz w:val="24"/>
          <w:highlight w:val="none"/>
        </w:rPr>
      </w:pPr>
      <w:r>
        <w:rPr>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承包人应与特殊分包人或供应商签订分包合同。</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highlight w:val="none"/>
        </w:rPr>
      </w:pPr>
      <w:r>
        <w:rPr>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highlight w:val="none"/>
        </w:rPr>
      </w:pPr>
      <w:r>
        <w:rPr>
          <w:rFonts w:eastAsia="黑体"/>
          <w:sz w:val="24"/>
          <w:highlight w:val="none"/>
        </w:rPr>
        <w:t>16</w:t>
      </w:r>
      <w:r>
        <w:rPr>
          <w:rFonts w:hint="eastAsia" w:eastAsia="黑体"/>
          <w:sz w:val="24"/>
          <w:highlight w:val="none"/>
        </w:rPr>
        <w:t>．</w:t>
      </w:r>
      <w:r>
        <w:rPr>
          <w:rFonts w:eastAsia="黑体"/>
          <w:sz w:val="24"/>
          <w:highlight w:val="none"/>
        </w:rPr>
        <w:t>价格调整</w:t>
      </w:r>
    </w:p>
    <w:p>
      <w:pPr>
        <w:adjustRightInd w:val="0"/>
        <w:snapToGrid w:val="0"/>
        <w:spacing w:line="360" w:lineRule="auto"/>
        <w:rPr>
          <w:rFonts w:eastAsia="黑体"/>
          <w:sz w:val="24"/>
          <w:highlight w:val="none"/>
        </w:rPr>
      </w:pPr>
      <w:r>
        <w:rPr>
          <w:rFonts w:eastAsia="黑体"/>
          <w:sz w:val="24"/>
          <w:highlight w:val="none"/>
        </w:rPr>
        <w:t>16.1物价波动引起的价格调整</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因物价波动引起的价格调整按照</w:t>
      </w:r>
      <w:r>
        <w:rPr>
          <w:rFonts w:hint="eastAsia"/>
          <w:sz w:val="24"/>
          <w:highlight w:val="none"/>
          <w:u w:val="single"/>
        </w:rPr>
        <w:t>第16.1.1或16.1.2项</w:t>
      </w:r>
      <w:r>
        <w:rPr>
          <w:sz w:val="24"/>
          <w:highlight w:val="none"/>
        </w:rPr>
        <w:t>约定的原则处理；或者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承包人在合同在执行期间（包括工期拖延期间）人工、材料和设备价格的上涨而引起工程施工成本增加</w:t>
      </w:r>
      <w:r>
        <w:rPr>
          <w:rFonts w:hint="eastAsia"/>
          <w:sz w:val="24"/>
          <w:highlight w:val="none"/>
        </w:rPr>
        <w:t>或减少</w:t>
      </w:r>
      <w:r>
        <w:rPr>
          <w:sz w:val="24"/>
          <w:highlight w:val="none"/>
        </w:rPr>
        <w:t>的风险，</w:t>
      </w:r>
      <w:r>
        <w:rPr>
          <w:rFonts w:hint="eastAsia"/>
          <w:sz w:val="24"/>
          <w:highlight w:val="none"/>
        </w:rPr>
        <w:t>由业主和承包商协商解决</w:t>
      </w:r>
      <w:r>
        <w:rPr>
          <w:sz w:val="24"/>
          <w:highlight w:val="none"/>
        </w:rPr>
        <w:t>。</w:t>
      </w:r>
    </w:p>
    <w:p>
      <w:pPr>
        <w:adjustRightInd w:val="0"/>
        <w:snapToGrid w:val="0"/>
        <w:spacing w:line="360" w:lineRule="auto"/>
        <w:ind w:firstLine="480" w:firstLineChars="200"/>
        <w:rPr>
          <w:sz w:val="24"/>
          <w:highlight w:val="none"/>
        </w:rPr>
      </w:pPr>
      <w:r>
        <w:rPr>
          <w:sz w:val="24"/>
          <w:highlight w:val="none"/>
        </w:rPr>
        <w:t>16.1.1采用价格指数调整价格差额</w:t>
      </w:r>
    </w:p>
    <w:p>
      <w:pPr>
        <w:adjustRightInd w:val="0"/>
        <w:snapToGrid w:val="0"/>
        <w:spacing w:line="360" w:lineRule="auto"/>
        <w:ind w:firstLine="480" w:firstLineChars="200"/>
        <w:rPr>
          <w:sz w:val="24"/>
          <w:highlight w:val="none"/>
        </w:rPr>
      </w:pPr>
      <w:r>
        <w:rPr>
          <w:sz w:val="24"/>
          <w:highlight w:val="none"/>
        </w:rPr>
        <w:t>16.1</w:t>
      </w:r>
      <w:r>
        <w:rPr>
          <w:rFonts w:hint="eastAsia"/>
          <w:sz w:val="24"/>
          <w:highlight w:val="none"/>
        </w:rPr>
        <w:t>.</w:t>
      </w:r>
      <w:r>
        <w:rPr>
          <w:sz w:val="24"/>
          <w:highlight w:val="none"/>
        </w:rPr>
        <w:t>1</w:t>
      </w:r>
      <w:r>
        <w:rPr>
          <w:rFonts w:hint="eastAsia"/>
          <w:sz w:val="24"/>
          <w:highlight w:val="none"/>
        </w:rPr>
        <w:t>.</w:t>
      </w:r>
      <w:r>
        <w:rPr>
          <w:sz w:val="24"/>
          <w:highlight w:val="none"/>
        </w:rPr>
        <w:t>1价格调整公式</w:t>
      </w:r>
    </w:p>
    <w:p>
      <w:pPr>
        <w:adjustRightInd w:val="0"/>
        <w:snapToGrid w:val="0"/>
        <w:spacing w:line="360" w:lineRule="auto"/>
        <w:ind w:firstLine="480" w:firstLineChars="200"/>
        <w:rPr>
          <w:sz w:val="24"/>
          <w:highlight w:val="none"/>
        </w:rPr>
      </w:pPr>
      <w:r>
        <w:rPr>
          <w:sz w:val="24"/>
          <w:highlight w:val="none"/>
        </w:rPr>
        <w:t>本目细化为：</w:t>
      </w:r>
    </w:p>
    <w:p>
      <w:pPr>
        <w:adjustRightInd w:val="0"/>
        <w:snapToGrid w:val="0"/>
        <w:spacing w:line="360" w:lineRule="auto"/>
        <w:ind w:firstLine="480" w:firstLineChars="200"/>
        <w:rPr>
          <w:sz w:val="24"/>
          <w:highlight w:val="none"/>
        </w:rPr>
      </w:pPr>
      <w:r>
        <w:rPr>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highlight w:val="none"/>
        </w:rPr>
      </w:pPr>
      <w:r>
        <w:rPr>
          <w:rFonts w:hint="eastAsia" w:ascii="黑体" w:eastAsia="黑体"/>
          <w:sz w:val="34"/>
          <w:highlight w:val="none"/>
        </w:rPr>
        <w:t>△</w:t>
      </w:r>
      <w:r>
        <w:rPr>
          <w:rFonts w:eastAsia="黑体"/>
          <w:i/>
          <w:sz w:val="34"/>
          <w:highlight w:val="none"/>
        </w:rPr>
        <w:t>P</w:t>
      </w:r>
      <w:r>
        <w:rPr>
          <w:rFonts w:hint="eastAsia" w:ascii="黑体" w:eastAsia="黑体"/>
          <w:sz w:val="40"/>
          <w:highlight w:val="none"/>
        </w:rPr>
        <w:t>=</w:t>
      </w:r>
      <w:r>
        <w:rPr>
          <w:rFonts w:eastAsia="黑体"/>
          <w:i/>
          <w:sz w:val="32"/>
          <w:highlight w:val="none"/>
        </w:rPr>
        <w:t>P</w:t>
      </w:r>
      <w:r>
        <w:rPr>
          <w:rFonts w:eastAsia="黑体"/>
          <w:sz w:val="32"/>
          <w:highlight w:val="none"/>
          <w:vertAlign w:val="subscript"/>
        </w:rPr>
        <w:t>0</w:t>
      </w:r>
      <w:r>
        <w:rPr>
          <w:rFonts w:ascii="黑体" w:eastAsia="黑体"/>
          <w:position w:val="-34"/>
          <w:sz w:val="40"/>
          <w:highlight w:val="none"/>
        </w:rPr>
        <w:object>
          <v:shape id="_x0000_i1025" o:spt="75" type="#_x0000_t75" style="height:40.2pt;width:277.7pt;" o:ole="t" filled="f" o:preferrelative="t" stroked="f" coordsize="21600,21600">
            <v:path/>
            <v:fill on="f" focussize="0,0"/>
            <v:stroke on="f" joinstyle="miter"/>
            <v:imagedata r:id="rId15" o:title=""/>
            <o:lock v:ext="edit" aspectratio="t"/>
            <w10:wrap type="none"/>
            <w10:anchorlock/>
          </v:shape>
          <o:OLEObject Type="Embed" ProgID="Equations" ShapeID="_x0000_i1025" DrawAspect="Content" ObjectID="_1468075725" r:id="rId14">
            <o:LockedField>false</o:LockedField>
          </o:OLEObject>
        </w:object>
      </w:r>
    </w:p>
    <w:p>
      <w:pPr>
        <w:adjustRightInd w:val="0"/>
        <w:snapToGrid w:val="0"/>
        <w:spacing w:line="360" w:lineRule="auto"/>
        <w:ind w:firstLine="480" w:firstLineChars="200"/>
        <w:rPr>
          <w:sz w:val="24"/>
          <w:highlight w:val="none"/>
        </w:rPr>
      </w:pPr>
      <w:r>
        <w:rPr>
          <w:sz w:val="24"/>
          <w:highlight w:val="none"/>
        </w:rPr>
        <w:t>式中：</w:t>
      </w:r>
      <w:r>
        <w:rPr>
          <w:rFonts w:hint="eastAsia" w:ascii="黑体" w:eastAsia="黑体"/>
          <w:sz w:val="28"/>
          <w:szCs w:val="28"/>
          <w:highlight w:val="none"/>
        </w:rPr>
        <w:t>△</w:t>
      </w:r>
      <w:r>
        <w:rPr>
          <w:rFonts w:eastAsia="黑体"/>
          <w:i/>
          <w:sz w:val="28"/>
          <w:szCs w:val="28"/>
          <w:highlight w:val="none"/>
        </w:rPr>
        <w:t>P</w:t>
      </w:r>
      <w:r>
        <w:rPr>
          <w:sz w:val="24"/>
          <w:highlight w:val="none"/>
        </w:rPr>
        <w:t>一需调整的价格差额；</w:t>
      </w:r>
    </w:p>
    <w:p>
      <w:pPr>
        <w:adjustRightInd w:val="0"/>
        <w:snapToGrid w:val="0"/>
        <w:spacing w:line="360" w:lineRule="auto"/>
        <w:ind w:firstLine="480" w:firstLineChars="200"/>
        <w:rPr>
          <w:sz w:val="24"/>
          <w:highlight w:val="none"/>
        </w:rPr>
      </w:pPr>
      <w:r>
        <w:rPr>
          <w:sz w:val="24"/>
          <w:highlight w:val="none"/>
        </w:rPr>
        <w:t>P。一第17.3.3项、第17.5.2项和第17.6.2项约定的付款证书中承包人应得到的</w:t>
      </w:r>
      <w:r>
        <w:rPr>
          <w:rFonts w:hint="eastAsia"/>
          <w:sz w:val="24"/>
          <w:highlight w:val="none"/>
        </w:rPr>
        <w:t>已</w:t>
      </w:r>
      <w:r>
        <w:rPr>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定值权重（即不调部分的权重）；</w:t>
      </w:r>
    </w:p>
    <w:p>
      <w:pPr>
        <w:adjustRightInd w:val="0"/>
        <w:snapToGrid w:val="0"/>
        <w:spacing w:line="360" w:lineRule="auto"/>
        <w:ind w:firstLine="480" w:firstLineChars="200"/>
        <w:rPr>
          <w:sz w:val="24"/>
          <w:highlight w:val="none"/>
        </w:rPr>
      </w:pPr>
      <w:r>
        <w:rPr>
          <w:sz w:val="24"/>
          <w:highlight w:val="none"/>
        </w:rPr>
        <w:t>B</w:t>
      </w:r>
      <w:r>
        <w:rPr>
          <w:sz w:val="24"/>
          <w:highlight w:val="none"/>
          <w:vertAlign w:val="subscript"/>
        </w:rPr>
        <w:t>1</w:t>
      </w:r>
      <w:r>
        <w:rPr>
          <w:rFonts w:hint="eastAsia"/>
          <w:sz w:val="24"/>
          <w:highlight w:val="none"/>
        </w:rPr>
        <w:t>；</w:t>
      </w:r>
      <w:r>
        <w:rPr>
          <w:sz w:val="24"/>
          <w:highlight w:val="none"/>
        </w:rPr>
        <w:t>B</w:t>
      </w:r>
      <w:r>
        <w:rPr>
          <w:rFonts w:hint="eastAsia"/>
          <w:sz w:val="24"/>
          <w:highlight w:val="none"/>
          <w:vertAlign w:val="subscript"/>
        </w:rPr>
        <w:t>2</w:t>
      </w:r>
      <w:r>
        <w:rPr>
          <w:rFonts w:hint="eastAsia"/>
          <w:sz w:val="24"/>
          <w:highlight w:val="none"/>
        </w:rPr>
        <w:t>；</w:t>
      </w:r>
      <w:r>
        <w:rPr>
          <w:sz w:val="24"/>
          <w:highlight w:val="none"/>
        </w:rPr>
        <w:t>B</w:t>
      </w:r>
      <w:r>
        <w:rPr>
          <w:rFonts w:hint="eastAsia"/>
          <w:sz w:val="24"/>
          <w:highlight w:val="none"/>
          <w:vertAlign w:val="subscript"/>
        </w:rPr>
        <w:t>3</w:t>
      </w:r>
      <w:r>
        <w:rPr>
          <w:sz w:val="24"/>
          <w:highlight w:val="none"/>
        </w:rPr>
        <w:t>...... B</w:t>
      </w:r>
      <w:r>
        <w:rPr>
          <w:rFonts w:hint="eastAsia"/>
          <w:sz w:val="24"/>
          <w:highlight w:val="none"/>
          <w:vertAlign w:val="subscript"/>
        </w:rPr>
        <w:t>n</w:t>
      </w:r>
      <w:r>
        <w:rPr>
          <w:rFonts w:hint="eastAsia"/>
          <w:sz w:val="24"/>
          <w:highlight w:val="none"/>
        </w:rPr>
        <w:t>--</w:t>
      </w:r>
      <w:r>
        <w:rPr>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sz w:val="24"/>
          <w:highlight w:val="none"/>
        </w:rPr>
      </w:pPr>
      <w:r>
        <w:rPr>
          <w:sz w:val="24"/>
          <w:highlight w:val="none"/>
        </w:rPr>
        <w:t>A=1</w:t>
      </w:r>
      <w:r>
        <w:rPr>
          <w:rFonts w:hint="eastAsia"/>
          <w:sz w:val="24"/>
          <w:highlight w:val="none"/>
        </w:rPr>
        <w:t>－</w:t>
      </w:r>
      <w:r>
        <w:rPr>
          <w:sz w:val="24"/>
          <w:highlight w:val="none"/>
        </w:rPr>
        <w:t>（B</w:t>
      </w:r>
      <w:r>
        <w:rPr>
          <w:sz w:val="24"/>
          <w:highlight w:val="none"/>
          <w:vertAlign w:val="subscript"/>
        </w:rPr>
        <w:t>1</w:t>
      </w:r>
      <w:r>
        <w:rPr>
          <w:sz w:val="24"/>
          <w:highlight w:val="none"/>
        </w:rPr>
        <w:t>＋B</w:t>
      </w:r>
      <w:r>
        <w:rPr>
          <w:rFonts w:hint="eastAsia"/>
          <w:sz w:val="24"/>
          <w:highlight w:val="none"/>
          <w:vertAlign w:val="subscript"/>
        </w:rPr>
        <w:t>2</w:t>
      </w:r>
      <w:r>
        <w:rPr>
          <w:sz w:val="24"/>
          <w:highlight w:val="none"/>
        </w:rPr>
        <w:t>＋B</w:t>
      </w:r>
      <w:r>
        <w:rPr>
          <w:rFonts w:hint="eastAsia"/>
          <w:sz w:val="24"/>
          <w:highlight w:val="none"/>
          <w:vertAlign w:val="subscript"/>
        </w:rPr>
        <w:t>3</w:t>
      </w:r>
      <w:r>
        <w:rPr>
          <w:sz w:val="24"/>
          <w:highlight w:val="none"/>
        </w:rPr>
        <w:t>＋……＋B</w:t>
      </w:r>
      <w:r>
        <w:rPr>
          <w:rFonts w:hint="eastAsia"/>
          <w:sz w:val="24"/>
          <w:highlight w:val="none"/>
          <w:vertAlign w:val="subscript"/>
        </w:rPr>
        <w:t>n</w:t>
      </w:r>
      <w:r>
        <w:rPr>
          <w:sz w:val="24"/>
          <w:highlight w:val="none"/>
        </w:rPr>
        <w:t>）；</w:t>
      </w:r>
    </w:p>
    <w:p>
      <w:pPr>
        <w:adjustRightInd w:val="0"/>
        <w:snapToGrid w:val="0"/>
        <w:spacing w:line="360" w:lineRule="auto"/>
        <w:ind w:firstLine="480" w:firstLineChars="200"/>
        <w:rPr>
          <w:sz w:val="24"/>
          <w:highlight w:val="none"/>
        </w:rPr>
      </w:pPr>
      <w:r>
        <w:rPr>
          <w:sz w:val="24"/>
          <w:highlight w:val="none"/>
        </w:rPr>
        <w:t>F</w:t>
      </w:r>
      <w:r>
        <w:rPr>
          <w:sz w:val="24"/>
          <w:highlight w:val="none"/>
          <w:vertAlign w:val="subscript"/>
        </w:rPr>
        <w:t>tl</w:t>
      </w:r>
      <w:r>
        <w:rPr>
          <w:rFonts w:hint="eastAsia"/>
          <w:sz w:val="24"/>
          <w:highlight w:val="none"/>
        </w:rPr>
        <w:t>；</w:t>
      </w:r>
      <w:r>
        <w:rPr>
          <w:sz w:val="24"/>
          <w:highlight w:val="none"/>
        </w:rPr>
        <w:t>F</w:t>
      </w:r>
      <w:r>
        <w:rPr>
          <w:sz w:val="24"/>
          <w:highlight w:val="none"/>
          <w:vertAlign w:val="subscript"/>
        </w:rPr>
        <w:t>t2</w:t>
      </w:r>
      <w:r>
        <w:rPr>
          <w:rFonts w:hint="eastAsia"/>
          <w:sz w:val="24"/>
          <w:highlight w:val="none"/>
        </w:rPr>
        <w:t>；</w:t>
      </w:r>
      <w:r>
        <w:rPr>
          <w:sz w:val="24"/>
          <w:highlight w:val="none"/>
        </w:rPr>
        <w:t>F</w:t>
      </w:r>
      <w:r>
        <w:rPr>
          <w:sz w:val="24"/>
          <w:highlight w:val="none"/>
          <w:vertAlign w:val="subscript"/>
        </w:rPr>
        <w:t>t3</w:t>
      </w:r>
      <w:r>
        <w:rPr>
          <w:sz w:val="24"/>
          <w:highlight w:val="none"/>
        </w:rPr>
        <w:t>...... F</w:t>
      </w:r>
      <w:r>
        <w:rPr>
          <w:sz w:val="24"/>
          <w:highlight w:val="none"/>
          <w:vertAlign w:val="subscript"/>
        </w:rPr>
        <w:t>tn</w:t>
      </w:r>
      <w:r>
        <w:rPr>
          <w:rFonts w:hint="eastAsia"/>
          <w:sz w:val="24"/>
          <w:highlight w:val="none"/>
        </w:rPr>
        <w:t>--</w:t>
      </w:r>
      <w:r>
        <w:rPr>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highlight w:val="none"/>
        </w:rPr>
      </w:pPr>
      <w:r>
        <w:rPr>
          <w:sz w:val="24"/>
          <w:highlight w:val="none"/>
        </w:rPr>
        <w:t>F</w:t>
      </w:r>
      <w:r>
        <w:rPr>
          <w:sz w:val="24"/>
          <w:highlight w:val="none"/>
          <w:vertAlign w:val="subscript"/>
        </w:rPr>
        <w:t>ol</w:t>
      </w:r>
      <w:r>
        <w:rPr>
          <w:sz w:val="24"/>
          <w:highlight w:val="none"/>
        </w:rPr>
        <w:t>；F</w:t>
      </w:r>
      <w:r>
        <w:rPr>
          <w:sz w:val="24"/>
          <w:highlight w:val="none"/>
          <w:vertAlign w:val="subscript"/>
        </w:rPr>
        <w:t>o</w:t>
      </w:r>
      <w:r>
        <w:rPr>
          <w:rFonts w:hint="eastAsia"/>
          <w:sz w:val="24"/>
          <w:highlight w:val="none"/>
          <w:vertAlign w:val="subscript"/>
        </w:rPr>
        <w:t>2</w:t>
      </w:r>
      <w:r>
        <w:rPr>
          <w:sz w:val="24"/>
          <w:highlight w:val="none"/>
        </w:rPr>
        <w:t>；F</w:t>
      </w:r>
      <w:r>
        <w:rPr>
          <w:sz w:val="24"/>
          <w:highlight w:val="none"/>
          <w:vertAlign w:val="subscript"/>
        </w:rPr>
        <w:t>o3</w:t>
      </w:r>
      <w:r>
        <w:rPr>
          <w:sz w:val="24"/>
          <w:highlight w:val="none"/>
        </w:rPr>
        <w:t>...... F</w:t>
      </w:r>
      <w:r>
        <w:rPr>
          <w:sz w:val="24"/>
          <w:highlight w:val="none"/>
          <w:vertAlign w:val="subscript"/>
        </w:rPr>
        <w:t>on</w:t>
      </w:r>
      <w:r>
        <w:rPr>
          <w:rFonts w:hint="eastAsia"/>
          <w:sz w:val="24"/>
          <w:highlight w:val="none"/>
        </w:rPr>
        <w:t>--</w:t>
      </w:r>
      <w:r>
        <w:rPr>
          <w:sz w:val="24"/>
          <w:highlight w:val="none"/>
        </w:rPr>
        <w:t>各可调因子的基本价格指数，指基准日期的各可调因子的价格指数。</w:t>
      </w:r>
    </w:p>
    <w:p>
      <w:pPr>
        <w:adjustRightInd w:val="0"/>
        <w:snapToGrid w:val="0"/>
        <w:spacing w:line="360" w:lineRule="auto"/>
        <w:ind w:firstLine="480" w:firstLineChars="200"/>
        <w:rPr>
          <w:sz w:val="24"/>
          <w:highlight w:val="none"/>
        </w:rPr>
      </w:pPr>
      <w:r>
        <w:rPr>
          <w:sz w:val="24"/>
          <w:highlight w:val="none"/>
        </w:rPr>
        <w:t>在采用价格调整公式进行调价时，还应遵守以下规定：</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合同价格在投标所在年份不作调整，此后每年按价格调整公式调整一次。</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highlight w:val="none"/>
        </w:rPr>
      </w:pPr>
      <w:r>
        <w:rPr>
          <w:sz w:val="24"/>
          <w:highlight w:val="none"/>
        </w:rPr>
        <w:t>16.1.1.4承包人工期延误后的价格调整</w:t>
      </w:r>
    </w:p>
    <w:p>
      <w:pPr>
        <w:adjustRightInd w:val="0"/>
        <w:snapToGrid w:val="0"/>
        <w:spacing w:line="360" w:lineRule="auto"/>
        <w:ind w:firstLine="480" w:firstLineChars="200"/>
        <w:rPr>
          <w:sz w:val="24"/>
          <w:highlight w:val="none"/>
        </w:rPr>
      </w:pPr>
      <w:r>
        <w:rPr>
          <w:sz w:val="24"/>
          <w:highlight w:val="none"/>
        </w:rPr>
        <w:t>本目补充：</w:t>
      </w:r>
    </w:p>
    <w:p>
      <w:pPr>
        <w:adjustRightInd w:val="0"/>
        <w:snapToGrid w:val="0"/>
        <w:spacing w:line="360" w:lineRule="auto"/>
        <w:ind w:firstLine="480" w:firstLineChars="200"/>
        <w:rPr>
          <w:sz w:val="24"/>
          <w:highlight w:val="none"/>
        </w:rPr>
      </w:pPr>
      <w:r>
        <w:rPr>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highlight w:val="none"/>
        </w:rPr>
      </w:pPr>
      <w:r>
        <w:rPr>
          <w:rFonts w:eastAsia="黑体"/>
          <w:sz w:val="24"/>
          <w:highlight w:val="none"/>
        </w:rPr>
        <w:t>17</w:t>
      </w:r>
      <w:r>
        <w:rPr>
          <w:rFonts w:hint="eastAsia" w:eastAsia="黑体"/>
          <w:sz w:val="24"/>
          <w:highlight w:val="none"/>
        </w:rPr>
        <w:t>．</w:t>
      </w:r>
      <w:r>
        <w:rPr>
          <w:rFonts w:eastAsia="黑体"/>
          <w:sz w:val="24"/>
          <w:highlight w:val="none"/>
        </w:rPr>
        <w:t>计量与支付</w:t>
      </w:r>
    </w:p>
    <w:p>
      <w:pPr>
        <w:adjustRightInd w:val="0"/>
        <w:snapToGrid w:val="0"/>
        <w:spacing w:line="360" w:lineRule="auto"/>
        <w:rPr>
          <w:rFonts w:eastAsia="黑体"/>
          <w:sz w:val="24"/>
          <w:highlight w:val="none"/>
        </w:rPr>
      </w:pPr>
      <w:r>
        <w:rPr>
          <w:rFonts w:eastAsia="黑体"/>
          <w:sz w:val="24"/>
          <w:highlight w:val="none"/>
        </w:rPr>
        <w:t>17</w:t>
      </w:r>
      <w:r>
        <w:rPr>
          <w:rFonts w:hint="eastAsia" w:eastAsia="黑体"/>
          <w:sz w:val="24"/>
          <w:highlight w:val="none"/>
        </w:rPr>
        <w:t>.</w:t>
      </w:r>
      <w:r>
        <w:rPr>
          <w:rFonts w:eastAsia="黑体"/>
          <w:sz w:val="24"/>
          <w:highlight w:val="none"/>
        </w:rPr>
        <w:t>1计量</w:t>
      </w:r>
    </w:p>
    <w:p>
      <w:pPr>
        <w:adjustRightInd w:val="0"/>
        <w:snapToGrid w:val="0"/>
        <w:spacing w:line="360" w:lineRule="auto"/>
        <w:ind w:firstLine="480" w:firstLineChars="200"/>
        <w:rPr>
          <w:sz w:val="24"/>
          <w:highlight w:val="none"/>
        </w:rPr>
      </w:pPr>
      <w:r>
        <w:rPr>
          <w:sz w:val="24"/>
          <w:highlight w:val="none"/>
        </w:rPr>
        <w:t>17.1.2计量方法</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highlight w:val="none"/>
        </w:rPr>
      </w:pPr>
      <w:r>
        <w:rPr>
          <w:sz w:val="24"/>
          <w:highlight w:val="none"/>
        </w:rPr>
        <w:t>17.1.4单价子目的计量</w:t>
      </w:r>
    </w:p>
    <w:p>
      <w:pPr>
        <w:adjustRightInd w:val="0"/>
        <w:snapToGrid w:val="0"/>
        <w:spacing w:line="360" w:lineRule="auto"/>
        <w:ind w:firstLine="480" w:firstLineChars="200"/>
        <w:rPr>
          <w:sz w:val="24"/>
          <w:highlight w:val="none"/>
        </w:rPr>
      </w:pPr>
      <w:r>
        <w:rPr>
          <w:sz w:val="24"/>
          <w:highlight w:val="none"/>
        </w:rPr>
        <w:t>本目补充：</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highlight w:val="none"/>
        </w:rPr>
      </w:pPr>
      <w:r>
        <w:rPr>
          <w:rFonts w:hint="eastAsia"/>
          <w:sz w:val="24"/>
          <w:highlight w:val="none"/>
        </w:rPr>
        <w:t>17.1.6 路面养护期计量方法</w:t>
      </w:r>
    </w:p>
    <w:p>
      <w:pPr>
        <w:adjustRightInd w:val="0"/>
        <w:snapToGrid w:val="0"/>
        <w:spacing w:line="360" w:lineRule="auto"/>
        <w:ind w:firstLine="480" w:firstLineChars="200"/>
        <w:rPr>
          <w:sz w:val="24"/>
          <w:highlight w:val="none"/>
        </w:rPr>
      </w:pPr>
      <w:r>
        <w:rPr>
          <w:rFonts w:hint="eastAsia"/>
          <w:sz w:val="24"/>
          <w:highlight w:val="none"/>
        </w:rPr>
        <w:t>（一）路面养护所有工作内容包含在综合报价中，不单独计量支付。</w:t>
      </w:r>
    </w:p>
    <w:p>
      <w:pPr>
        <w:adjustRightInd w:val="0"/>
        <w:snapToGrid w:val="0"/>
        <w:spacing w:line="360" w:lineRule="auto"/>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highlight w:val="none"/>
        </w:rPr>
      </w:pPr>
      <w:r>
        <w:rPr>
          <w:rFonts w:hint="eastAsia"/>
          <w:sz w:val="24"/>
          <w:highlight w:val="none"/>
        </w:rPr>
        <w:t>（1）除了合同另有规定外，所有计量单位均为公制；</w:t>
      </w:r>
    </w:p>
    <w:p>
      <w:pPr>
        <w:adjustRightInd w:val="0"/>
        <w:snapToGrid w:val="0"/>
        <w:spacing w:line="360" w:lineRule="auto"/>
        <w:ind w:firstLine="480" w:firstLineChars="200"/>
        <w:rPr>
          <w:sz w:val="24"/>
          <w:highlight w:val="none"/>
        </w:rPr>
      </w:pPr>
      <w:r>
        <w:rPr>
          <w:rFonts w:hint="eastAsia"/>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highlight w:val="none"/>
        </w:rPr>
      </w:pPr>
      <w:r>
        <w:rPr>
          <w:rFonts w:hint="eastAsia"/>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sz w:val="24"/>
          <w:highlight w:val="none"/>
        </w:rPr>
      </w:pPr>
      <w:r>
        <w:rPr>
          <w:rFonts w:hint="eastAsia"/>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highlight w:val="none"/>
        </w:rPr>
      </w:pPr>
      <w:r>
        <w:rPr>
          <w:rFonts w:hint="eastAsia"/>
          <w:sz w:val="24"/>
          <w:highlight w:val="none"/>
        </w:rPr>
        <w:t>第一养护年度，IRI指数须达到：IRI≤1.3</w:t>
      </w:r>
    </w:p>
    <w:p>
      <w:pPr>
        <w:adjustRightInd w:val="0"/>
        <w:snapToGrid w:val="0"/>
        <w:spacing w:line="360" w:lineRule="auto"/>
        <w:ind w:firstLine="480" w:firstLineChars="200"/>
        <w:rPr>
          <w:sz w:val="24"/>
          <w:highlight w:val="none"/>
        </w:rPr>
      </w:pPr>
      <w:r>
        <w:rPr>
          <w:rFonts w:hint="eastAsia"/>
          <w:sz w:val="24"/>
          <w:highlight w:val="none"/>
        </w:rPr>
        <w:t>a.当1.3＜IRI≤1.4时，扣除该期计量的10%；</w:t>
      </w:r>
    </w:p>
    <w:p>
      <w:pPr>
        <w:adjustRightInd w:val="0"/>
        <w:snapToGrid w:val="0"/>
        <w:spacing w:line="360" w:lineRule="auto"/>
        <w:ind w:firstLine="480" w:firstLineChars="200"/>
        <w:rPr>
          <w:sz w:val="24"/>
          <w:highlight w:val="none"/>
        </w:rPr>
      </w:pPr>
      <w:r>
        <w:rPr>
          <w:rFonts w:hint="eastAsia"/>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c.当IRI＞1.5时，将视为承包人违约，扣除该期计量，解除合同，并追究承包人的违约责任。</w:t>
      </w:r>
    </w:p>
    <w:p>
      <w:pPr>
        <w:adjustRightInd w:val="0"/>
        <w:snapToGrid w:val="0"/>
        <w:spacing w:line="360" w:lineRule="auto"/>
        <w:ind w:firstLine="480" w:firstLineChars="200"/>
        <w:rPr>
          <w:sz w:val="24"/>
          <w:highlight w:val="none"/>
        </w:rPr>
      </w:pPr>
      <w:r>
        <w:rPr>
          <w:rFonts w:hint="eastAsia"/>
          <w:sz w:val="24"/>
          <w:highlight w:val="none"/>
        </w:rPr>
        <w:t>第二养护年度，IRI指数须≤1.4</w:t>
      </w:r>
    </w:p>
    <w:p>
      <w:pPr>
        <w:adjustRightInd w:val="0"/>
        <w:snapToGrid w:val="0"/>
        <w:spacing w:line="360" w:lineRule="auto"/>
        <w:ind w:firstLine="480" w:firstLineChars="200"/>
        <w:rPr>
          <w:sz w:val="24"/>
          <w:highlight w:val="none"/>
        </w:rPr>
      </w:pPr>
      <w:r>
        <w:rPr>
          <w:rFonts w:hint="eastAsia"/>
          <w:sz w:val="24"/>
          <w:highlight w:val="none"/>
        </w:rPr>
        <w:t>a.当1.4＜IRI≤1.5时，扣除该期计量的10%；</w:t>
      </w:r>
    </w:p>
    <w:p>
      <w:pPr>
        <w:adjustRightInd w:val="0"/>
        <w:snapToGrid w:val="0"/>
        <w:spacing w:line="360" w:lineRule="auto"/>
        <w:ind w:firstLine="480" w:firstLineChars="200"/>
        <w:rPr>
          <w:sz w:val="24"/>
          <w:highlight w:val="none"/>
        </w:rPr>
      </w:pPr>
      <w:r>
        <w:rPr>
          <w:rFonts w:hint="eastAsia"/>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c.当IRI＞1.6时，将视为承包人违约，扣除该期计量，解除合同，并追究承包人的违约责任。</w:t>
      </w:r>
    </w:p>
    <w:p>
      <w:pPr>
        <w:adjustRightInd w:val="0"/>
        <w:snapToGrid w:val="0"/>
        <w:spacing w:line="360" w:lineRule="auto"/>
        <w:ind w:firstLine="480" w:firstLineChars="200"/>
        <w:rPr>
          <w:sz w:val="24"/>
          <w:highlight w:val="none"/>
        </w:rPr>
      </w:pPr>
      <w:r>
        <w:rPr>
          <w:rFonts w:hint="eastAsia"/>
          <w:sz w:val="24"/>
          <w:highlight w:val="none"/>
        </w:rPr>
        <w:t>第三养护年度，IRI指数须达到：IRI≤1.5</w:t>
      </w:r>
    </w:p>
    <w:p>
      <w:pPr>
        <w:adjustRightInd w:val="0"/>
        <w:snapToGrid w:val="0"/>
        <w:spacing w:line="360" w:lineRule="auto"/>
        <w:ind w:firstLine="480" w:firstLineChars="200"/>
        <w:rPr>
          <w:sz w:val="24"/>
          <w:highlight w:val="none"/>
        </w:rPr>
      </w:pPr>
      <w:r>
        <w:rPr>
          <w:rFonts w:hint="eastAsia"/>
          <w:sz w:val="24"/>
          <w:highlight w:val="none"/>
        </w:rPr>
        <w:t>a.当1.5＜IRI≤1.6时，扣除该期计量的10%；</w:t>
      </w:r>
    </w:p>
    <w:p>
      <w:pPr>
        <w:adjustRightInd w:val="0"/>
        <w:snapToGrid w:val="0"/>
        <w:spacing w:line="360" w:lineRule="auto"/>
        <w:ind w:firstLine="480" w:firstLineChars="200"/>
        <w:rPr>
          <w:sz w:val="24"/>
          <w:highlight w:val="none"/>
        </w:rPr>
      </w:pPr>
      <w:r>
        <w:rPr>
          <w:rFonts w:hint="eastAsia"/>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sz w:val="24"/>
          <w:highlight w:val="none"/>
        </w:rPr>
      </w:pPr>
      <w:r>
        <w:rPr>
          <w:rFonts w:hint="eastAsia"/>
          <w:sz w:val="24"/>
          <w:highlight w:val="none"/>
        </w:rPr>
        <w:t>c.当IRI＞1.7时，将视为承包人违约，扣除该期计量，解除合同，并追究承包人的违约责任。</w:t>
      </w:r>
    </w:p>
    <w:p>
      <w:pPr>
        <w:spacing w:line="360" w:lineRule="auto"/>
        <w:ind w:firstLine="470" w:firstLineChars="196"/>
        <w:rPr>
          <w:sz w:val="24"/>
          <w:highlight w:val="none"/>
        </w:rPr>
      </w:pPr>
      <w:r>
        <w:rPr>
          <w:rFonts w:hint="eastAsia"/>
          <w:sz w:val="24"/>
          <w:highlight w:val="none"/>
        </w:rPr>
        <w:t>每次检测IRI值小于规定值的，给予全额计量。</w:t>
      </w:r>
    </w:p>
    <w:p>
      <w:pPr>
        <w:spacing w:line="360" w:lineRule="auto"/>
        <w:ind w:firstLine="470" w:firstLineChars="196"/>
        <w:rPr>
          <w:sz w:val="24"/>
          <w:highlight w:val="none"/>
        </w:rPr>
      </w:pPr>
      <w:r>
        <w:rPr>
          <w:rFonts w:hint="eastAsia"/>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highlight w:val="none"/>
        </w:rPr>
      </w:pPr>
      <w:r>
        <w:rPr>
          <w:rFonts w:hint="eastAsia"/>
          <w:sz w:val="24"/>
          <w:highlight w:val="none"/>
        </w:rPr>
        <w:t>当96.0＞综合养护指数值≥94.0时，每降低0.5分，扣除当期计量的5％；</w:t>
      </w:r>
    </w:p>
    <w:p>
      <w:pPr>
        <w:spacing w:line="360" w:lineRule="auto"/>
        <w:ind w:firstLine="470" w:firstLineChars="196"/>
        <w:rPr>
          <w:sz w:val="24"/>
          <w:highlight w:val="none"/>
        </w:rPr>
      </w:pPr>
      <w:r>
        <w:rPr>
          <w:rFonts w:hint="eastAsia"/>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sz w:val="24"/>
          <w:highlight w:val="none"/>
        </w:rPr>
      </w:pPr>
      <w:r>
        <w:rPr>
          <w:rFonts w:hint="eastAsia"/>
          <w:sz w:val="24"/>
          <w:highlight w:val="none"/>
        </w:rPr>
        <w:t>当任一季度综合养护指数值≤92时，将视为承包商违约，业主将扣除承包商本期所有计量，并予以解除合同。</w:t>
      </w:r>
    </w:p>
    <w:p>
      <w:pPr>
        <w:spacing w:line="360" w:lineRule="auto"/>
        <w:ind w:firstLine="470" w:firstLineChars="196"/>
        <w:rPr>
          <w:sz w:val="24"/>
          <w:highlight w:val="none"/>
        </w:rPr>
      </w:pPr>
      <w:r>
        <w:rPr>
          <w:rFonts w:hint="eastAsia"/>
          <w:sz w:val="24"/>
          <w:highlight w:val="none"/>
        </w:rPr>
        <w:t>（6）以上国际平整度指数（IRI</w:t>
      </w:r>
      <w:r>
        <w:rPr>
          <w:sz w:val="24"/>
          <w:highlight w:val="none"/>
        </w:rPr>
        <w:t>）</w:t>
      </w:r>
      <w:r>
        <w:rPr>
          <w:rFonts w:hint="eastAsia"/>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sz w:val="24"/>
          <w:highlight w:val="none"/>
        </w:rPr>
      </w:pPr>
      <w:r>
        <w:rPr>
          <w:rFonts w:hint="eastAsia"/>
          <w:sz w:val="24"/>
          <w:highlight w:val="none"/>
        </w:rPr>
        <w:t>（7</w:t>
      </w:r>
      <w:r>
        <w:rPr>
          <w:sz w:val="24"/>
          <w:highlight w:val="none"/>
        </w:rPr>
        <w:t>）</w:t>
      </w:r>
      <w:r>
        <w:rPr>
          <w:rFonts w:hint="eastAsia"/>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highlight w:val="none"/>
        </w:rPr>
      </w:pPr>
      <w:r>
        <w:rPr>
          <w:rFonts w:eastAsia="黑体"/>
          <w:sz w:val="24"/>
          <w:highlight w:val="none"/>
        </w:rPr>
        <w:t>17.2预付款</w:t>
      </w:r>
    </w:p>
    <w:p>
      <w:pPr>
        <w:adjustRightInd w:val="0"/>
        <w:snapToGrid w:val="0"/>
        <w:spacing w:line="360" w:lineRule="auto"/>
        <w:ind w:firstLine="480" w:firstLineChars="200"/>
        <w:rPr>
          <w:sz w:val="24"/>
          <w:highlight w:val="none"/>
        </w:rPr>
      </w:pPr>
      <w:r>
        <w:rPr>
          <w:sz w:val="24"/>
          <w:highlight w:val="none"/>
        </w:rPr>
        <w:t>17.2.1预付款</w:t>
      </w:r>
    </w:p>
    <w:p>
      <w:pPr>
        <w:adjustRightInd w:val="0"/>
        <w:snapToGrid w:val="0"/>
        <w:spacing w:line="360" w:lineRule="auto"/>
        <w:ind w:firstLine="480" w:firstLineChars="200"/>
        <w:rPr>
          <w:sz w:val="24"/>
          <w:highlight w:val="none"/>
        </w:rPr>
      </w:pPr>
      <w:r>
        <w:rPr>
          <w:sz w:val="24"/>
          <w:highlight w:val="none"/>
        </w:rPr>
        <w:t>本项约定的预付款包括开工预付款和材料、设备预付款。具体额度和预付办法如下：</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开工预付款的额度为签约合同价的</w:t>
      </w:r>
      <w:r>
        <w:rPr>
          <w:rFonts w:hint="eastAsia"/>
          <w:sz w:val="24"/>
          <w:highlight w:val="none"/>
          <w:u w:val="single"/>
        </w:rPr>
        <w:t xml:space="preserve"> 10 </w:t>
      </w:r>
      <w:r>
        <w:rPr>
          <w:sz w:val="24"/>
          <w:highlight w:val="none"/>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highlight w:val="none"/>
        </w:rPr>
      </w:pPr>
      <w:r>
        <w:rPr>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材料、设备预付款的额度为项目专用合同条款中所列主要材料、设备单据费用（进口的材料、设备为到岸价，国内采购的为出厂价或销售价，地方材料为堆场价）的</w:t>
      </w:r>
      <w:r>
        <w:rPr>
          <w:rFonts w:hint="eastAsia"/>
          <w:sz w:val="24"/>
          <w:highlight w:val="none"/>
          <w:u w:val="single"/>
        </w:rPr>
        <w:t xml:space="preserve"> 10  </w:t>
      </w:r>
      <w:r>
        <w:rPr>
          <w:sz w:val="24"/>
          <w:highlight w:val="none"/>
        </w:rPr>
        <w:t>％（在项目专用条款数据表中约定）。其预付条件为：</w:t>
      </w:r>
    </w:p>
    <w:p>
      <w:pPr>
        <w:adjustRightInd w:val="0"/>
        <w:snapToGrid w:val="0"/>
        <w:spacing w:line="360" w:lineRule="auto"/>
        <w:ind w:firstLine="480" w:firstLineChars="200"/>
        <w:rPr>
          <w:sz w:val="24"/>
          <w:highlight w:val="none"/>
        </w:rPr>
      </w:pPr>
      <w:r>
        <w:rPr>
          <w:sz w:val="24"/>
          <w:highlight w:val="none"/>
        </w:rPr>
        <w:t>a</w:t>
      </w:r>
      <w:r>
        <w:rPr>
          <w:rFonts w:hint="eastAsia"/>
          <w:sz w:val="24"/>
          <w:highlight w:val="none"/>
        </w:rPr>
        <w:t>．</w:t>
      </w:r>
      <w:r>
        <w:rPr>
          <w:sz w:val="24"/>
          <w:highlight w:val="none"/>
        </w:rPr>
        <w:t>材料、设备符合规范要求并经监理人认可；</w:t>
      </w:r>
    </w:p>
    <w:p>
      <w:pPr>
        <w:adjustRightInd w:val="0"/>
        <w:snapToGrid w:val="0"/>
        <w:spacing w:line="360" w:lineRule="auto"/>
        <w:ind w:firstLine="480" w:firstLineChars="200"/>
        <w:rPr>
          <w:sz w:val="24"/>
          <w:highlight w:val="none"/>
        </w:rPr>
      </w:pPr>
      <w:r>
        <w:rPr>
          <w:sz w:val="24"/>
          <w:highlight w:val="none"/>
        </w:rPr>
        <w:t>b</w:t>
      </w:r>
      <w:r>
        <w:rPr>
          <w:rFonts w:hint="eastAsia"/>
          <w:sz w:val="24"/>
          <w:highlight w:val="none"/>
        </w:rPr>
        <w:t>．</w:t>
      </w:r>
      <w:r>
        <w:rPr>
          <w:sz w:val="24"/>
          <w:highlight w:val="none"/>
        </w:rPr>
        <w:t>承包人已出具材料、设备费用凭证或支付单据；以及</w:t>
      </w:r>
    </w:p>
    <w:p>
      <w:pPr>
        <w:adjustRightInd w:val="0"/>
        <w:snapToGrid w:val="0"/>
        <w:spacing w:line="360" w:lineRule="auto"/>
        <w:ind w:firstLine="480" w:firstLineChars="200"/>
        <w:rPr>
          <w:sz w:val="24"/>
          <w:highlight w:val="none"/>
        </w:rPr>
      </w:pPr>
      <w:r>
        <w:rPr>
          <w:sz w:val="24"/>
          <w:highlight w:val="none"/>
        </w:rPr>
        <w:t>c</w:t>
      </w:r>
      <w:r>
        <w:rPr>
          <w:rFonts w:hint="eastAsia"/>
          <w:sz w:val="24"/>
          <w:highlight w:val="none"/>
        </w:rPr>
        <w:t>．</w:t>
      </w:r>
      <w:r>
        <w:rPr>
          <w:sz w:val="24"/>
          <w:highlight w:val="none"/>
        </w:rPr>
        <w:t>材料、设备已在现场交货，且存储良好，监理人认为材料、设备的存储方法符合要求。</w:t>
      </w:r>
    </w:p>
    <w:p>
      <w:pPr>
        <w:adjustRightInd w:val="0"/>
        <w:snapToGrid w:val="0"/>
        <w:spacing w:line="360" w:lineRule="auto"/>
        <w:ind w:firstLine="480" w:firstLineChars="200"/>
        <w:rPr>
          <w:sz w:val="24"/>
          <w:highlight w:val="none"/>
        </w:rPr>
      </w:pPr>
      <w:r>
        <w:rPr>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highlight w:val="none"/>
        </w:rPr>
      </w:pPr>
      <w:r>
        <w:rPr>
          <w:sz w:val="24"/>
          <w:highlight w:val="none"/>
        </w:rPr>
        <w:t>17.2.2预付款保函</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highlight w:val="none"/>
        </w:rPr>
      </w:pPr>
      <w:r>
        <w:rPr>
          <w:sz w:val="24"/>
          <w:highlight w:val="none"/>
        </w:rPr>
        <w:t>17:2.3预付款的扣回与还清本项约定为：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highlight w:val="none"/>
        </w:rPr>
      </w:pPr>
      <w:r>
        <w:rPr>
          <w:rFonts w:eastAsia="黑体"/>
          <w:sz w:val="24"/>
          <w:highlight w:val="none"/>
        </w:rPr>
        <w:t>17.3工程进度付款</w:t>
      </w:r>
    </w:p>
    <w:p>
      <w:pPr>
        <w:adjustRightInd w:val="0"/>
        <w:snapToGrid w:val="0"/>
        <w:spacing w:line="360" w:lineRule="auto"/>
        <w:ind w:firstLine="480" w:firstLineChars="200"/>
        <w:rPr>
          <w:sz w:val="24"/>
          <w:highlight w:val="none"/>
        </w:rPr>
      </w:pPr>
      <w:r>
        <w:rPr>
          <w:sz w:val="24"/>
          <w:highlight w:val="none"/>
        </w:rPr>
        <w:t>17.3.2进度付款申请单</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承包人在每个付款周期末，向监理人提交进度付款申请单的份数：份（在项目专用条款数据表中约定）。</w:t>
      </w:r>
    </w:p>
    <w:p>
      <w:pPr>
        <w:adjustRightInd w:val="0"/>
        <w:snapToGrid w:val="0"/>
        <w:spacing w:line="360" w:lineRule="auto"/>
        <w:ind w:firstLine="480" w:firstLineChars="200"/>
        <w:rPr>
          <w:sz w:val="24"/>
          <w:highlight w:val="none"/>
        </w:rPr>
      </w:pPr>
      <w:r>
        <w:rPr>
          <w:sz w:val="24"/>
          <w:highlight w:val="none"/>
        </w:rPr>
        <w:t>本项（6）目细化为：</w:t>
      </w:r>
    </w:p>
    <w:p>
      <w:pPr>
        <w:adjustRightInd w:val="0"/>
        <w:snapToGrid w:val="0"/>
        <w:spacing w:line="360" w:lineRule="auto"/>
        <w:ind w:firstLine="480" w:firstLineChars="200"/>
        <w:rPr>
          <w:sz w:val="24"/>
          <w:highlight w:val="none"/>
        </w:rPr>
      </w:pPr>
      <w:r>
        <w:rPr>
          <w:sz w:val="24"/>
          <w:highlight w:val="none"/>
        </w:rPr>
        <w:t>（6）根据第16条应增加和扣减的价格调整金额；</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7）根据合同应增加和扣减的其他金额。</w:t>
      </w:r>
    </w:p>
    <w:p>
      <w:pPr>
        <w:adjustRightInd w:val="0"/>
        <w:snapToGrid w:val="0"/>
        <w:spacing w:line="360" w:lineRule="auto"/>
        <w:ind w:firstLine="480" w:firstLineChars="200"/>
        <w:rPr>
          <w:sz w:val="24"/>
          <w:highlight w:val="none"/>
        </w:rPr>
      </w:pPr>
      <w:r>
        <w:rPr>
          <w:sz w:val="24"/>
          <w:highlight w:val="none"/>
        </w:rPr>
        <w:t>17.3.3进度付款证书和支付时间</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目补充：</w:t>
      </w:r>
    </w:p>
    <w:p>
      <w:pPr>
        <w:adjustRightInd w:val="0"/>
        <w:snapToGrid w:val="0"/>
        <w:spacing w:line="360" w:lineRule="auto"/>
        <w:ind w:firstLine="480" w:firstLineChars="200"/>
        <w:rPr>
          <w:sz w:val="24"/>
          <w:highlight w:val="none"/>
        </w:rPr>
      </w:pPr>
      <w:r>
        <w:rPr>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目约定为：</w:t>
      </w:r>
    </w:p>
    <w:p>
      <w:pPr>
        <w:adjustRightInd w:val="0"/>
        <w:snapToGrid w:val="0"/>
        <w:spacing w:line="360" w:lineRule="auto"/>
        <w:ind w:firstLine="480" w:firstLineChars="200"/>
        <w:rPr>
          <w:sz w:val="24"/>
          <w:highlight w:val="none"/>
        </w:rPr>
      </w:pPr>
      <w:r>
        <w:rPr>
          <w:sz w:val="24"/>
          <w:highlight w:val="none"/>
        </w:rPr>
        <w:t>发包人不按期支付的，按</w:t>
      </w:r>
      <w:r>
        <w:rPr>
          <w:rFonts w:hint="eastAsia" w:ascii="宋体" w:hAnsi="宋体"/>
          <w:sz w:val="24"/>
          <w:highlight w:val="none"/>
        </w:rPr>
        <w:t>‰天（</w:t>
      </w:r>
      <w:r>
        <w:rPr>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4</w:t>
      </w:r>
      <w:r>
        <w:rPr>
          <w:rFonts w:hint="eastAsia"/>
          <w:sz w:val="24"/>
          <w:highlight w:val="none"/>
        </w:rPr>
        <w:t>）</w:t>
      </w:r>
      <w:r>
        <w:rPr>
          <w:sz w:val="24"/>
          <w:highlight w:val="none"/>
        </w:rPr>
        <w:t>目约定为：</w:t>
      </w:r>
    </w:p>
    <w:p>
      <w:pPr>
        <w:adjustRightInd w:val="0"/>
        <w:snapToGrid w:val="0"/>
        <w:spacing w:line="360" w:lineRule="auto"/>
        <w:ind w:firstLine="480" w:firstLineChars="200"/>
        <w:rPr>
          <w:sz w:val="24"/>
          <w:highlight w:val="none"/>
        </w:rPr>
      </w:pPr>
      <w:r>
        <w:rPr>
          <w:sz w:val="24"/>
          <w:highlight w:val="none"/>
        </w:rPr>
        <w:t>进度付款涉及政府投资资金的，按照以下规定办理：</w:t>
      </w:r>
      <w:r>
        <w:rPr>
          <w:rFonts w:hint="eastAsia"/>
          <w:sz w:val="24"/>
          <w:highlight w:val="none"/>
          <w:u w:val="single"/>
        </w:rPr>
        <w:t>（见项目专用合同条款</w:t>
      </w:r>
      <w:r>
        <w:rPr>
          <w:sz w:val="24"/>
          <w:highlight w:val="none"/>
          <w:u w:val="single"/>
        </w:rPr>
        <w:t>）</w:t>
      </w:r>
    </w:p>
    <w:p>
      <w:pPr>
        <w:adjustRightInd w:val="0"/>
        <w:snapToGrid w:val="0"/>
        <w:spacing w:beforeLines="100" w:line="360" w:lineRule="auto"/>
        <w:rPr>
          <w:rFonts w:eastAsia="黑体"/>
          <w:sz w:val="24"/>
          <w:highlight w:val="none"/>
        </w:rPr>
      </w:pPr>
      <w:r>
        <w:rPr>
          <w:rFonts w:eastAsia="黑体"/>
          <w:sz w:val="24"/>
          <w:highlight w:val="none"/>
        </w:rPr>
        <w:t>17.4质量保证金</w:t>
      </w:r>
    </w:p>
    <w:p>
      <w:pPr>
        <w:adjustRightInd w:val="0"/>
        <w:snapToGrid w:val="0"/>
        <w:spacing w:line="360" w:lineRule="auto"/>
        <w:ind w:firstLine="480" w:firstLineChars="200"/>
        <w:rPr>
          <w:rFonts w:eastAsia="黑体"/>
          <w:sz w:val="24"/>
          <w:highlight w:val="none"/>
        </w:rPr>
      </w:pPr>
      <w:r>
        <w:rPr>
          <w:rFonts w:eastAsia="黑体"/>
          <w:sz w:val="24"/>
          <w:highlight w:val="none"/>
        </w:rPr>
        <w:t>17.4.1项细化为：</w:t>
      </w:r>
    </w:p>
    <w:p>
      <w:pPr>
        <w:adjustRightInd w:val="0"/>
        <w:snapToGrid w:val="0"/>
        <w:spacing w:line="360" w:lineRule="auto"/>
        <w:ind w:firstLine="480" w:firstLineChars="200"/>
        <w:rPr>
          <w:sz w:val="24"/>
          <w:highlight w:val="none"/>
        </w:rPr>
      </w:pPr>
      <w:r>
        <w:rPr>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highlight w:val="none"/>
        </w:rPr>
      </w:pPr>
      <w:r>
        <w:rPr>
          <w:rFonts w:eastAsia="黑体"/>
          <w:sz w:val="24"/>
          <w:highlight w:val="none"/>
        </w:rPr>
        <w:t>17.5竣工结算</w:t>
      </w:r>
    </w:p>
    <w:p>
      <w:pPr>
        <w:adjustRightInd w:val="0"/>
        <w:snapToGrid w:val="0"/>
        <w:spacing w:line="360" w:lineRule="auto"/>
        <w:ind w:firstLine="480" w:firstLineChars="200"/>
        <w:rPr>
          <w:rFonts w:eastAsia="黑体"/>
          <w:sz w:val="24"/>
          <w:highlight w:val="none"/>
        </w:rPr>
      </w:pPr>
      <w:r>
        <w:rPr>
          <w:rFonts w:eastAsia="黑体"/>
          <w:sz w:val="24"/>
          <w:highlight w:val="none"/>
        </w:rPr>
        <w:t>17.5.1竣工付款申请单</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目约定：</w:t>
      </w:r>
    </w:p>
    <w:p>
      <w:pPr>
        <w:adjustRightInd w:val="0"/>
        <w:snapToGrid w:val="0"/>
        <w:spacing w:line="360" w:lineRule="auto"/>
        <w:ind w:firstLine="480" w:firstLineChars="200"/>
        <w:rPr>
          <w:sz w:val="24"/>
          <w:highlight w:val="none"/>
        </w:rPr>
      </w:pPr>
      <w:r>
        <w:rPr>
          <w:sz w:val="24"/>
          <w:highlight w:val="none"/>
        </w:rPr>
        <w:t>承包人向监理人提交竣工付款申请单（包括相关证明材料）的份数：份（在项目专用条款数据表中约定）；期限：</w:t>
      </w:r>
      <w:r>
        <w:rPr>
          <w:sz w:val="24"/>
          <w:highlight w:val="none"/>
          <w:u w:val="single"/>
        </w:rPr>
        <w:t>工程接收证书签发后42天内</w:t>
      </w:r>
      <w:r>
        <w:rPr>
          <w:rFonts w:hint="eastAsia"/>
          <w:sz w:val="24"/>
          <w:highlight w:val="none"/>
        </w:rPr>
        <w:t>。</w:t>
      </w:r>
    </w:p>
    <w:p>
      <w:pPr>
        <w:adjustRightInd w:val="0"/>
        <w:snapToGrid w:val="0"/>
        <w:spacing w:beforeLines="100" w:line="360" w:lineRule="auto"/>
        <w:rPr>
          <w:rFonts w:eastAsia="黑体"/>
          <w:sz w:val="24"/>
          <w:highlight w:val="none"/>
        </w:rPr>
      </w:pPr>
      <w:r>
        <w:rPr>
          <w:rFonts w:eastAsia="黑体"/>
          <w:sz w:val="24"/>
          <w:highlight w:val="none"/>
        </w:rPr>
        <w:t>17.6最终结清</w:t>
      </w:r>
    </w:p>
    <w:p>
      <w:pPr>
        <w:adjustRightInd w:val="0"/>
        <w:snapToGrid w:val="0"/>
        <w:spacing w:line="360" w:lineRule="auto"/>
        <w:ind w:firstLine="480" w:firstLineChars="200"/>
        <w:rPr>
          <w:rFonts w:eastAsia="黑体"/>
          <w:sz w:val="24"/>
          <w:highlight w:val="none"/>
        </w:rPr>
      </w:pPr>
      <w:r>
        <w:rPr>
          <w:rFonts w:eastAsia="黑体"/>
          <w:sz w:val="24"/>
          <w:highlight w:val="none"/>
        </w:rPr>
        <w:t>17.6.1最终结清申请单</w:t>
      </w:r>
    </w:p>
    <w:p>
      <w:pPr>
        <w:adjustRightInd w:val="0"/>
        <w:snapToGrid w:val="0"/>
        <w:spacing w:line="360" w:lineRule="auto"/>
        <w:ind w:firstLine="480" w:firstLineChars="200"/>
        <w:rPr>
          <w:sz w:val="24"/>
          <w:highlight w:val="none"/>
        </w:rPr>
      </w:pPr>
      <w:r>
        <w:rPr>
          <w:sz w:val="24"/>
          <w:highlight w:val="none"/>
        </w:rPr>
        <w:t>本项（1</w:t>
      </w:r>
      <w:r>
        <w:rPr>
          <w:rFonts w:hint="eastAsia"/>
          <w:sz w:val="24"/>
          <w:highlight w:val="none"/>
        </w:rPr>
        <w:t>）</w:t>
      </w:r>
      <w:r>
        <w:rPr>
          <w:sz w:val="24"/>
          <w:highlight w:val="none"/>
        </w:rPr>
        <w:t>目约定：</w:t>
      </w:r>
    </w:p>
    <w:p>
      <w:pPr>
        <w:adjustRightInd w:val="0"/>
        <w:snapToGrid w:val="0"/>
        <w:spacing w:line="360" w:lineRule="auto"/>
        <w:ind w:firstLine="480" w:firstLineChars="200"/>
        <w:rPr>
          <w:sz w:val="24"/>
          <w:highlight w:val="none"/>
        </w:rPr>
      </w:pPr>
      <w:r>
        <w:rPr>
          <w:sz w:val="24"/>
          <w:highlight w:val="none"/>
        </w:rPr>
        <w:t>承包人向监理人提交最终结清申请单（包括相关证明材料）的份数：份（在项目专用条款数据表中约定）；期限：</w:t>
      </w:r>
      <w:r>
        <w:rPr>
          <w:sz w:val="24"/>
          <w:highlight w:val="none"/>
          <w:u w:val="single"/>
        </w:rPr>
        <w:t>缺陷责任期终止证书签发后28天内</w:t>
      </w:r>
      <w:r>
        <w:rPr>
          <w:sz w:val="24"/>
          <w:highlight w:val="none"/>
        </w:rPr>
        <w:t>。</w:t>
      </w:r>
    </w:p>
    <w:p>
      <w:pPr>
        <w:adjustRightInd w:val="0"/>
        <w:snapToGrid w:val="0"/>
        <w:spacing w:line="360" w:lineRule="auto"/>
        <w:ind w:firstLine="480" w:firstLineChars="200"/>
        <w:rPr>
          <w:sz w:val="24"/>
          <w:highlight w:val="none"/>
        </w:rPr>
      </w:pPr>
      <w:r>
        <w:rPr>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sz w:val="24"/>
          <w:highlight w:val="none"/>
        </w:rPr>
      </w:pPr>
      <w:r>
        <w:rPr>
          <w:rFonts w:eastAsia="黑体"/>
          <w:sz w:val="24"/>
          <w:highlight w:val="none"/>
        </w:rPr>
        <w:t>18．竣工验收</w:t>
      </w:r>
    </w:p>
    <w:p>
      <w:pPr>
        <w:adjustRightInd w:val="0"/>
        <w:snapToGrid w:val="0"/>
        <w:spacing w:line="360" w:lineRule="auto"/>
        <w:rPr>
          <w:rFonts w:eastAsia="黑体"/>
          <w:sz w:val="24"/>
          <w:highlight w:val="none"/>
        </w:rPr>
      </w:pPr>
      <w:r>
        <w:rPr>
          <w:rFonts w:eastAsia="黑体"/>
          <w:sz w:val="24"/>
          <w:highlight w:val="none"/>
        </w:rPr>
        <w:t>18.1竣工验收的含义</w:t>
      </w:r>
    </w:p>
    <w:p>
      <w:pPr>
        <w:adjustRightInd w:val="0"/>
        <w:snapToGrid w:val="0"/>
        <w:spacing w:line="360" w:lineRule="auto"/>
        <w:ind w:firstLine="480" w:firstLineChars="200"/>
        <w:rPr>
          <w:sz w:val="24"/>
          <w:highlight w:val="none"/>
        </w:rPr>
      </w:pPr>
      <w:r>
        <w:rPr>
          <w:sz w:val="24"/>
          <w:highlight w:val="none"/>
        </w:rPr>
        <w:t>本款增加第18.1.4项：</w:t>
      </w:r>
    </w:p>
    <w:p>
      <w:pPr>
        <w:adjustRightInd w:val="0"/>
        <w:snapToGrid w:val="0"/>
        <w:spacing w:line="360" w:lineRule="auto"/>
        <w:ind w:firstLine="480" w:firstLineChars="200"/>
        <w:rPr>
          <w:sz w:val="24"/>
          <w:highlight w:val="none"/>
        </w:rPr>
      </w:pPr>
      <w:r>
        <w:rPr>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highlight w:val="none"/>
        </w:rPr>
      </w:pPr>
      <w:r>
        <w:rPr>
          <w:rFonts w:eastAsia="黑体"/>
          <w:sz w:val="24"/>
          <w:highlight w:val="none"/>
        </w:rPr>
        <w:t>18.3验收</w:t>
      </w:r>
    </w:p>
    <w:p>
      <w:pPr>
        <w:adjustRightInd w:val="0"/>
        <w:snapToGrid w:val="0"/>
        <w:spacing w:line="360" w:lineRule="auto"/>
        <w:ind w:firstLine="480" w:firstLineChars="200"/>
        <w:rPr>
          <w:rFonts w:eastAsia="黑体"/>
          <w:sz w:val="24"/>
          <w:highlight w:val="none"/>
        </w:rPr>
      </w:pPr>
      <w:r>
        <w:rPr>
          <w:rFonts w:eastAsia="黑体"/>
          <w:sz w:val="24"/>
          <w:highlight w:val="none"/>
        </w:rPr>
        <w:t>18.3.2项补充：</w:t>
      </w:r>
    </w:p>
    <w:p>
      <w:pPr>
        <w:adjustRightInd w:val="0"/>
        <w:snapToGrid w:val="0"/>
        <w:spacing w:line="360" w:lineRule="auto"/>
        <w:ind w:firstLine="480" w:firstLineChars="200"/>
        <w:rPr>
          <w:sz w:val="24"/>
          <w:highlight w:val="none"/>
        </w:rPr>
      </w:pPr>
      <w:r>
        <w:rPr>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highlight w:val="none"/>
        </w:rPr>
      </w:pPr>
      <w:r>
        <w:rPr>
          <w:sz w:val="24"/>
          <w:highlight w:val="none"/>
        </w:rPr>
        <w:t>18.3.5项约定为：</w:t>
      </w:r>
    </w:p>
    <w:p>
      <w:pPr>
        <w:adjustRightInd w:val="0"/>
        <w:snapToGrid w:val="0"/>
        <w:spacing w:line="360" w:lineRule="auto"/>
        <w:ind w:firstLine="480" w:firstLineChars="200"/>
        <w:rPr>
          <w:sz w:val="24"/>
          <w:highlight w:val="none"/>
        </w:rPr>
      </w:pPr>
      <w:r>
        <w:rPr>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highlight w:val="none"/>
        </w:rPr>
      </w:pPr>
      <w:r>
        <w:rPr>
          <w:sz w:val="24"/>
          <w:highlight w:val="none"/>
        </w:rPr>
        <w:t>本款增加第18.3.7项：</w:t>
      </w:r>
    </w:p>
    <w:p>
      <w:pPr>
        <w:adjustRightInd w:val="0"/>
        <w:snapToGrid w:val="0"/>
        <w:spacing w:line="360" w:lineRule="auto"/>
        <w:ind w:firstLine="480" w:firstLineChars="200"/>
        <w:rPr>
          <w:sz w:val="24"/>
          <w:highlight w:val="none"/>
        </w:rPr>
      </w:pPr>
      <w:r>
        <w:rPr>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highlight w:val="none"/>
        </w:rPr>
      </w:pPr>
      <w:r>
        <w:rPr>
          <w:rFonts w:eastAsia="黑体"/>
          <w:sz w:val="24"/>
          <w:highlight w:val="none"/>
        </w:rPr>
        <w:t>18.5施工期运行</w:t>
      </w:r>
    </w:p>
    <w:p>
      <w:pPr>
        <w:adjustRightInd w:val="0"/>
        <w:snapToGrid w:val="0"/>
        <w:spacing w:line="360" w:lineRule="auto"/>
        <w:ind w:firstLine="480" w:firstLineChars="200"/>
        <w:rPr>
          <w:sz w:val="24"/>
          <w:highlight w:val="none"/>
        </w:rPr>
      </w:pPr>
      <w:r>
        <w:rPr>
          <w:sz w:val="24"/>
          <w:highlight w:val="none"/>
        </w:rPr>
        <w:t>18.5.1项约定：</w:t>
      </w:r>
    </w:p>
    <w:p>
      <w:pPr>
        <w:adjustRightInd w:val="0"/>
        <w:snapToGrid w:val="0"/>
        <w:spacing w:line="360" w:lineRule="auto"/>
        <w:ind w:firstLine="480" w:firstLineChars="200"/>
        <w:rPr>
          <w:sz w:val="24"/>
          <w:highlight w:val="none"/>
          <w:u w:val="single"/>
        </w:rPr>
      </w:pPr>
      <w:r>
        <w:rPr>
          <w:sz w:val="24"/>
          <w:highlight w:val="none"/>
        </w:rPr>
        <w:t>单位工程或工程设备是否需投入施工期运行：</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hint="eastAsia" w:eastAsia="黑体"/>
          <w:sz w:val="24"/>
          <w:highlight w:val="none"/>
        </w:rPr>
        <w:t>18.6试运行</w:t>
      </w:r>
    </w:p>
    <w:p>
      <w:pPr>
        <w:adjustRightInd w:val="0"/>
        <w:snapToGrid w:val="0"/>
        <w:spacing w:line="360" w:lineRule="auto"/>
        <w:ind w:firstLine="480" w:firstLineChars="200"/>
        <w:rPr>
          <w:sz w:val="24"/>
          <w:highlight w:val="none"/>
        </w:rPr>
      </w:pPr>
      <w:r>
        <w:rPr>
          <w:sz w:val="24"/>
          <w:highlight w:val="none"/>
        </w:rPr>
        <w:t>18.6.1项约定：</w:t>
      </w:r>
    </w:p>
    <w:p>
      <w:pPr>
        <w:adjustRightInd w:val="0"/>
        <w:snapToGrid w:val="0"/>
        <w:spacing w:line="360" w:lineRule="auto"/>
        <w:ind w:firstLine="480" w:firstLineChars="200"/>
        <w:rPr>
          <w:sz w:val="24"/>
          <w:highlight w:val="none"/>
          <w:u w:val="single"/>
        </w:rPr>
      </w:pPr>
      <w:r>
        <w:rPr>
          <w:sz w:val="24"/>
          <w:highlight w:val="none"/>
        </w:rPr>
        <w:t>本工程及工程设备是否进行试运行：</w:t>
      </w:r>
      <w:r>
        <w:rPr>
          <w:rFonts w:hint="eastAsia"/>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试运行的内容：</w:t>
      </w:r>
      <w:r>
        <w:rPr>
          <w:rFonts w:hint="eastAsia"/>
          <w:sz w:val="24"/>
          <w:highlight w:val="none"/>
          <w:u w:val="single"/>
        </w:rPr>
        <w:t>（见项目专用合同条款）</w:t>
      </w:r>
    </w:p>
    <w:p>
      <w:pPr>
        <w:adjustRightInd w:val="0"/>
        <w:snapToGrid w:val="0"/>
        <w:spacing w:line="360" w:lineRule="auto"/>
        <w:ind w:firstLine="480" w:firstLineChars="200"/>
        <w:rPr>
          <w:sz w:val="24"/>
          <w:highlight w:val="none"/>
        </w:rPr>
      </w:pPr>
      <w:r>
        <w:rPr>
          <w:sz w:val="24"/>
          <w:highlight w:val="none"/>
        </w:rPr>
        <w:t>试运行的费用约定：</w:t>
      </w:r>
      <w:r>
        <w:rPr>
          <w:rFonts w:hint="eastAsia"/>
          <w:sz w:val="24"/>
          <w:highlight w:val="none"/>
          <w:u w:val="single"/>
        </w:rPr>
        <w:t>（见项目专用合同条款）</w:t>
      </w:r>
    </w:p>
    <w:p>
      <w:pPr>
        <w:adjustRightInd w:val="0"/>
        <w:snapToGrid w:val="0"/>
        <w:spacing w:beforeLines="100" w:line="360" w:lineRule="auto"/>
        <w:rPr>
          <w:rFonts w:eastAsia="黑体"/>
          <w:sz w:val="24"/>
          <w:highlight w:val="none"/>
        </w:rPr>
      </w:pPr>
      <w:r>
        <w:rPr>
          <w:rFonts w:eastAsia="黑体"/>
          <w:sz w:val="24"/>
          <w:highlight w:val="none"/>
        </w:rPr>
        <w:t>本条增加第18.9款：</w:t>
      </w:r>
    </w:p>
    <w:p>
      <w:pPr>
        <w:adjustRightInd w:val="0"/>
        <w:snapToGrid w:val="0"/>
        <w:spacing w:line="360" w:lineRule="auto"/>
        <w:rPr>
          <w:rFonts w:eastAsia="黑体"/>
          <w:sz w:val="24"/>
          <w:highlight w:val="none"/>
        </w:rPr>
      </w:pPr>
      <w:r>
        <w:rPr>
          <w:rFonts w:eastAsia="黑体"/>
          <w:sz w:val="24"/>
          <w:highlight w:val="none"/>
        </w:rPr>
        <w:t>18.9竣工文件</w:t>
      </w:r>
    </w:p>
    <w:p>
      <w:pPr>
        <w:adjustRightInd w:val="0"/>
        <w:snapToGrid w:val="0"/>
        <w:spacing w:line="360" w:lineRule="auto"/>
        <w:ind w:firstLine="480" w:firstLineChars="200"/>
        <w:rPr>
          <w:sz w:val="24"/>
          <w:highlight w:val="none"/>
        </w:rPr>
      </w:pPr>
      <w:r>
        <w:rPr>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highlight w:val="none"/>
        </w:rPr>
      </w:pPr>
      <w:r>
        <w:rPr>
          <w:rFonts w:eastAsia="黑体"/>
          <w:sz w:val="24"/>
          <w:highlight w:val="none"/>
        </w:rPr>
        <w:t>19</w:t>
      </w:r>
      <w:r>
        <w:rPr>
          <w:rFonts w:hint="eastAsia" w:eastAsia="黑体"/>
          <w:sz w:val="24"/>
          <w:highlight w:val="none"/>
        </w:rPr>
        <w:t>．</w:t>
      </w:r>
      <w:r>
        <w:rPr>
          <w:rFonts w:eastAsia="黑体"/>
          <w:sz w:val="24"/>
          <w:highlight w:val="none"/>
        </w:rPr>
        <w:t>缺陷责任与保修责任</w:t>
      </w:r>
    </w:p>
    <w:p>
      <w:pPr>
        <w:adjustRightInd w:val="0"/>
        <w:snapToGrid w:val="0"/>
        <w:spacing w:line="360" w:lineRule="auto"/>
        <w:rPr>
          <w:rFonts w:eastAsia="黑体"/>
          <w:sz w:val="24"/>
          <w:highlight w:val="none"/>
        </w:rPr>
      </w:pPr>
      <w:r>
        <w:rPr>
          <w:rFonts w:eastAsia="黑体"/>
          <w:sz w:val="24"/>
          <w:highlight w:val="none"/>
        </w:rPr>
        <w:t>19.2缺陷责任</w:t>
      </w:r>
    </w:p>
    <w:p>
      <w:pPr>
        <w:adjustRightInd w:val="0"/>
        <w:snapToGrid w:val="0"/>
        <w:spacing w:line="360" w:lineRule="auto"/>
        <w:ind w:firstLine="480" w:firstLineChars="200"/>
        <w:rPr>
          <w:sz w:val="24"/>
          <w:highlight w:val="none"/>
        </w:rPr>
      </w:pPr>
      <w:r>
        <w:rPr>
          <w:sz w:val="24"/>
          <w:highlight w:val="none"/>
        </w:rPr>
        <w:t>19.2.2项补充：</w:t>
      </w:r>
    </w:p>
    <w:p>
      <w:pPr>
        <w:adjustRightInd w:val="0"/>
        <w:snapToGrid w:val="0"/>
        <w:spacing w:line="360" w:lineRule="auto"/>
        <w:ind w:firstLine="480" w:firstLineChars="200"/>
        <w:rPr>
          <w:sz w:val="24"/>
          <w:highlight w:val="none"/>
        </w:rPr>
      </w:pPr>
      <w:r>
        <w:rPr>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highlight w:val="none"/>
        </w:rPr>
      </w:pPr>
      <w:r>
        <w:rPr>
          <w:sz w:val="24"/>
          <w:highlight w:val="none"/>
        </w:rPr>
        <w:t>19.2.3项补充：</w:t>
      </w:r>
    </w:p>
    <w:p>
      <w:pPr>
        <w:adjustRightInd w:val="0"/>
        <w:snapToGrid w:val="0"/>
        <w:spacing w:line="360" w:lineRule="auto"/>
        <w:ind w:firstLine="480" w:firstLineChars="200"/>
        <w:rPr>
          <w:sz w:val="24"/>
          <w:highlight w:val="none"/>
        </w:rPr>
      </w:pPr>
      <w:r>
        <w:rPr>
          <w:sz w:val="24"/>
          <w:highlight w:val="none"/>
        </w:rPr>
        <w:t>在缺陷责任期内，下述原因造成的缺陷修复和查验费用应由承包人自行负责：</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承包人所用的材料、设备或操作工艺不符合合同要求；或</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承包人的疏忽或未遵守合同中对承包人规定的义务。</w:t>
      </w:r>
    </w:p>
    <w:p>
      <w:pPr>
        <w:adjustRightInd w:val="0"/>
        <w:snapToGrid w:val="0"/>
        <w:spacing w:beforeLines="100" w:line="360" w:lineRule="auto"/>
        <w:rPr>
          <w:rFonts w:eastAsia="黑体"/>
          <w:sz w:val="24"/>
          <w:highlight w:val="none"/>
        </w:rPr>
      </w:pPr>
      <w:r>
        <w:rPr>
          <w:rFonts w:eastAsia="黑体"/>
          <w:sz w:val="24"/>
          <w:highlight w:val="none"/>
        </w:rPr>
        <w:t>19.3缺陷责任期的延长</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highlight w:val="none"/>
        </w:rPr>
      </w:pPr>
      <w:r>
        <w:rPr>
          <w:rFonts w:eastAsia="黑体"/>
          <w:sz w:val="24"/>
          <w:highlight w:val="none"/>
        </w:rPr>
        <w:t>19.5承包人的进入权</w:t>
      </w:r>
    </w:p>
    <w:p>
      <w:pPr>
        <w:adjustRightInd w:val="0"/>
        <w:snapToGrid w:val="0"/>
        <w:spacing w:line="360" w:lineRule="auto"/>
        <w:ind w:firstLine="480" w:firstLineChars="200"/>
        <w:rPr>
          <w:sz w:val="24"/>
          <w:highlight w:val="none"/>
        </w:rPr>
      </w:pPr>
      <w:r>
        <w:rPr>
          <w:sz w:val="24"/>
          <w:highlight w:val="none"/>
        </w:rPr>
        <w:t>本款补充：</w:t>
      </w:r>
    </w:p>
    <w:p>
      <w:pPr>
        <w:adjustRightInd w:val="0"/>
        <w:snapToGrid w:val="0"/>
        <w:spacing w:line="360" w:lineRule="auto"/>
        <w:ind w:firstLine="480" w:firstLineChars="200"/>
        <w:rPr>
          <w:sz w:val="24"/>
          <w:highlight w:val="none"/>
        </w:rPr>
      </w:pPr>
      <w:r>
        <w:rPr>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highlight w:val="none"/>
        </w:rPr>
      </w:pPr>
      <w:r>
        <w:rPr>
          <w:rFonts w:eastAsia="黑体"/>
          <w:sz w:val="24"/>
          <w:highlight w:val="none"/>
        </w:rPr>
        <w:t>19.7保修责任</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工程保修期终止后28天内，监理人签发保修期终止证书。</w:t>
      </w:r>
    </w:p>
    <w:p>
      <w:pPr>
        <w:adjustRightInd w:val="0"/>
        <w:snapToGrid w:val="0"/>
        <w:spacing w:line="360" w:lineRule="auto"/>
        <w:ind w:firstLine="480" w:firstLineChars="200"/>
        <w:rPr>
          <w:sz w:val="24"/>
          <w:highlight w:val="none"/>
        </w:rPr>
      </w:pPr>
    </w:p>
    <w:p>
      <w:pPr>
        <w:adjustRightInd w:val="0"/>
        <w:snapToGrid w:val="0"/>
        <w:spacing w:beforeLines="100" w:line="360" w:lineRule="auto"/>
        <w:rPr>
          <w:rFonts w:eastAsia="黑体"/>
          <w:sz w:val="24"/>
          <w:highlight w:val="none"/>
        </w:rPr>
      </w:pPr>
      <w:r>
        <w:rPr>
          <w:rFonts w:eastAsia="黑体"/>
          <w:sz w:val="24"/>
          <w:highlight w:val="none"/>
        </w:rPr>
        <w:t>19.</w:t>
      </w:r>
      <w:r>
        <w:rPr>
          <w:rFonts w:hint="eastAsia" w:eastAsia="黑体"/>
          <w:sz w:val="24"/>
          <w:highlight w:val="none"/>
        </w:rPr>
        <w:t>8路面保修</w:t>
      </w:r>
    </w:p>
    <w:p>
      <w:pPr>
        <w:adjustRightInd w:val="0"/>
        <w:snapToGrid w:val="0"/>
        <w:spacing w:line="360" w:lineRule="auto"/>
        <w:ind w:firstLine="480" w:firstLineChars="200"/>
        <w:rPr>
          <w:sz w:val="24"/>
          <w:highlight w:val="none"/>
        </w:rPr>
      </w:pPr>
      <w:r>
        <w:rPr>
          <w:rFonts w:hint="eastAsia"/>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highlight w:val="none"/>
        </w:rPr>
      </w:pPr>
      <w:r>
        <w:rPr>
          <w:rFonts w:eastAsia="黑体"/>
          <w:sz w:val="24"/>
          <w:highlight w:val="none"/>
        </w:rPr>
        <w:t>20</w:t>
      </w:r>
      <w:r>
        <w:rPr>
          <w:rFonts w:hint="eastAsia" w:eastAsia="黑体"/>
          <w:sz w:val="24"/>
          <w:highlight w:val="none"/>
        </w:rPr>
        <w:t>．</w:t>
      </w:r>
      <w:r>
        <w:rPr>
          <w:rFonts w:eastAsia="黑体"/>
          <w:sz w:val="24"/>
          <w:highlight w:val="none"/>
        </w:rPr>
        <w:t>保险</w:t>
      </w:r>
    </w:p>
    <w:p>
      <w:pPr>
        <w:adjustRightInd w:val="0"/>
        <w:snapToGrid w:val="0"/>
        <w:spacing w:line="360" w:lineRule="auto"/>
        <w:rPr>
          <w:rFonts w:eastAsia="黑体"/>
          <w:sz w:val="24"/>
          <w:highlight w:val="none"/>
        </w:rPr>
      </w:pPr>
      <w:r>
        <w:rPr>
          <w:rFonts w:eastAsia="黑体"/>
          <w:sz w:val="24"/>
          <w:highlight w:val="none"/>
        </w:rPr>
        <w:t>20.1工程保险</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建筑工程一切险的投保内容：为永久工程、临时工程和设备及</w:t>
      </w:r>
      <w:r>
        <w:rPr>
          <w:rFonts w:hint="eastAsia"/>
          <w:sz w:val="24"/>
          <w:highlight w:val="none"/>
        </w:rPr>
        <w:t>已</w:t>
      </w:r>
      <w:r>
        <w:rPr>
          <w:sz w:val="24"/>
          <w:highlight w:val="none"/>
        </w:rPr>
        <w:t>运至施工工地用于永久工程的材料和设备所投的保险。</w:t>
      </w:r>
    </w:p>
    <w:p>
      <w:pPr>
        <w:adjustRightInd w:val="0"/>
        <w:snapToGrid w:val="0"/>
        <w:spacing w:line="360" w:lineRule="auto"/>
        <w:ind w:firstLine="480" w:firstLineChars="200"/>
        <w:rPr>
          <w:sz w:val="24"/>
          <w:highlight w:val="none"/>
        </w:rPr>
      </w:pPr>
      <w:r>
        <w:rPr>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sz w:val="24"/>
          <w:highlight w:val="none"/>
        </w:rPr>
      </w:pPr>
      <w:r>
        <w:rPr>
          <w:sz w:val="24"/>
          <w:highlight w:val="none"/>
        </w:rPr>
        <w:t>保险费率：</w:t>
      </w:r>
      <w:r>
        <w:rPr>
          <w:rFonts w:hint="eastAsia"/>
          <w:sz w:val="24"/>
          <w:highlight w:val="none"/>
        </w:rPr>
        <w:t>%</w:t>
      </w:r>
      <w:r>
        <w:rPr>
          <w:sz w:val="24"/>
          <w:highlight w:val="none"/>
        </w:rPr>
        <w:t>（在项目专用条款数据中约定）</w:t>
      </w:r>
    </w:p>
    <w:p>
      <w:pPr>
        <w:adjustRightInd w:val="0"/>
        <w:snapToGrid w:val="0"/>
        <w:spacing w:line="360" w:lineRule="auto"/>
        <w:ind w:firstLine="480" w:firstLineChars="200"/>
        <w:rPr>
          <w:sz w:val="24"/>
          <w:highlight w:val="none"/>
        </w:rPr>
      </w:pPr>
      <w:r>
        <w:rPr>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sz w:val="24"/>
          <w:highlight w:val="none"/>
        </w:rPr>
      </w:pPr>
      <w:r>
        <w:rPr>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highlight w:val="none"/>
        </w:rPr>
      </w:pPr>
      <w:r>
        <w:rPr>
          <w:rFonts w:eastAsia="黑体"/>
          <w:sz w:val="24"/>
          <w:highlight w:val="none"/>
        </w:rPr>
        <w:t>20.4第三者责任险</w:t>
      </w:r>
    </w:p>
    <w:p>
      <w:pPr>
        <w:adjustRightInd w:val="0"/>
        <w:snapToGrid w:val="0"/>
        <w:spacing w:line="360" w:lineRule="auto"/>
        <w:ind w:firstLine="480" w:firstLineChars="200"/>
        <w:rPr>
          <w:sz w:val="24"/>
          <w:highlight w:val="none"/>
        </w:rPr>
      </w:pPr>
      <w:r>
        <w:rPr>
          <w:sz w:val="24"/>
          <w:highlight w:val="none"/>
        </w:rPr>
        <w:t>20.4.2项约定为：</w:t>
      </w:r>
    </w:p>
    <w:p>
      <w:pPr>
        <w:adjustRightInd w:val="0"/>
        <w:snapToGrid w:val="0"/>
        <w:spacing w:line="360" w:lineRule="auto"/>
        <w:ind w:firstLine="480" w:firstLineChars="200"/>
        <w:rPr>
          <w:sz w:val="24"/>
          <w:highlight w:val="none"/>
        </w:rPr>
      </w:pPr>
      <w:r>
        <w:rPr>
          <w:sz w:val="24"/>
          <w:highlight w:val="none"/>
        </w:rPr>
        <w:t>第三者责任险的最低保险金额：万元人民币，事故次数不限（不计免赔额）</w:t>
      </w:r>
    </w:p>
    <w:p>
      <w:pPr>
        <w:adjustRightInd w:val="0"/>
        <w:snapToGrid w:val="0"/>
        <w:spacing w:line="360" w:lineRule="auto"/>
        <w:ind w:firstLine="480" w:firstLineChars="200"/>
        <w:rPr>
          <w:sz w:val="24"/>
          <w:highlight w:val="none"/>
        </w:rPr>
      </w:pPr>
      <w:r>
        <w:rPr>
          <w:sz w:val="24"/>
          <w:highlight w:val="none"/>
        </w:rPr>
        <w:t>保险费率：％。（在项目专用合同条款中约定）</w:t>
      </w:r>
    </w:p>
    <w:p>
      <w:pPr>
        <w:adjustRightInd w:val="0"/>
        <w:snapToGrid w:val="0"/>
        <w:spacing w:line="360" w:lineRule="auto"/>
        <w:ind w:firstLine="480" w:firstLineChars="200"/>
        <w:rPr>
          <w:sz w:val="24"/>
          <w:highlight w:val="none"/>
        </w:rPr>
      </w:pPr>
      <w:r>
        <w:rPr>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highlight w:val="none"/>
        </w:rPr>
      </w:pPr>
      <w:r>
        <w:rPr>
          <w:rFonts w:eastAsia="黑体"/>
          <w:sz w:val="24"/>
          <w:highlight w:val="none"/>
        </w:rPr>
        <w:t>20.5其他保险</w:t>
      </w:r>
    </w:p>
    <w:p>
      <w:pPr>
        <w:adjustRightInd w:val="0"/>
        <w:snapToGrid w:val="0"/>
        <w:spacing w:line="360" w:lineRule="auto"/>
        <w:ind w:firstLine="480" w:firstLineChars="200"/>
        <w:rPr>
          <w:sz w:val="24"/>
          <w:highlight w:val="none"/>
        </w:rPr>
      </w:pPr>
      <w:r>
        <w:rPr>
          <w:sz w:val="24"/>
          <w:highlight w:val="none"/>
        </w:rPr>
        <w:t>本款细化为：</w:t>
      </w:r>
    </w:p>
    <w:p>
      <w:pPr>
        <w:adjustRightInd w:val="0"/>
        <w:snapToGrid w:val="0"/>
        <w:spacing w:line="360" w:lineRule="auto"/>
        <w:ind w:firstLine="480" w:firstLineChars="200"/>
        <w:rPr>
          <w:sz w:val="24"/>
          <w:highlight w:val="none"/>
        </w:rPr>
      </w:pPr>
      <w:r>
        <w:rPr>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highlight w:val="none"/>
        </w:rPr>
      </w:pPr>
      <w:r>
        <w:rPr>
          <w:rFonts w:eastAsia="黑体"/>
          <w:sz w:val="24"/>
          <w:highlight w:val="none"/>
        </w:rPr>
        <w:t>20.6对各项保险的一般要求</w:t>
      </w:r>
    </w:p>
    <w:p>
      <w:pPr>
        <w:adjustRightInd w:val="0"/>
        <w:snapToGrid w:val="0"/>
        <w:spacing w:line="360" w:lineRule="auto"/>
        <w:ind w:firstLine="480" w:firstLineChars="200"/>
        <w:rPr>
          <w:sz w:val="24"/>
          <w:highlight w:val="none"/>
        </w:rPr>
      </w:pPr>
      <w:r>
        <w:rPr>
          <w:sz w:val="24"/>
          <w:highlight w:val="none"/>
        </w:rPr>
        <w:t>20.6.1保险凭证</w:t>
      </w:r>
    </w:p>
    <w:p>
      <w:pPr>
        <w:adjustRightInd w:val="0"/>
        <w:snapToGrid w:val="0"/>
        <w:spacing w:line="360" w:lineRule="auto"/>
        <w:ind w:firstLine="480" w:firstLineChars="200"/>
        <w:rPr>
          <w:sz w:val="24"/>
          <w:highlight w:val="none"/>
        </w:rPr>
      </w:pPr>
      <w:r>
        <w:rPr>
          <w:sz w:val="24"/>
          <w:highlight w:val="none"/>
        </w:rPr>
        <w:t>本项约定为：</w:t>
      </w:r>
    </w:p>
    <w:p>
      <w:pPr>
        <w:adjustRightInd w:val="0"/>
        <w:snapToGrid w:val="0"/>
        <w:spacing w:line="360" w:lineRule="auto"/>
        <w:ind w:firstLine="480" w:firstLineChars="200"/>
        <w:rPr>
          <w:sz w:val="24"/>
          <w:highlight w:val="none"/>
        </w:rPr>
      </w:pPr>
      <w:r>
        <w:rPr>
          <w:sz w:val="24"/>
          <w:highlight w:val="none"/>
        </w:rPr>
        <w:t>承包人向发包人提交各项保险生效的证据和保险单副本的期限：</w:t>
      </w:r>
      <w:r>
        <w:rPr>
          <w:rFonts w:hint="eastAsia"/>
          <w:sz w:val="24"/>
          <w:highlight w:val="none"/>
          <w:u w:val="single"/>
        </w:rPr>
        <w:t>开工后56天内</w:t>
      </w:r>
      <w:r>
        <w:rPr>
          <w:sz w:val="24"/>
          <w:highlight w:val="none"/>
        </w:rPr>
        <w:t>。</w:t>
      </w:r>
    </w:p>
    <w:p>
      <w:pPr>
        <w:adjustRightInd w:val="0"/>
        <w:snapToGrid w:val="0"/>
        <w:spacing w:line="360" w:lineRule="auto"/>
        <w:ind w:firstLine="480" w:firstLineChars="200"/>
        <w:rPr>
          <w:sz w:val="24"/>
          <w:highlight w:val="none"/>
        </w:rPr>
      </w:pPr>
      <w:r>
        <w:rPr>
          <w:sz w:val="24"/>
          <w:highlight w:val="none"/>
        </w:rPr>
        <w:t>20.6.3持续保险</w:t>
      </w:r>
    </w:p>
    <w:p>
      <w:pPr>
        <w:adjustRightInd w:val="0"/>
        <w:snapToGrid w:val="0"/>
        <w:spacing w:line="360" w:lineRule="auto"/>
        <w:ind w:firstLine="480" w:firstLineChars="200"/>
        <w:rPr>
          <w:sz w:val="24"/>
          <w:highlight w:val="none"/>
        </w:rPr>
      </w:pPr>
      <w:r>
        <w:rPr>
          <w:sz w:val="24"/>
          <w:highlight w:val="none"/>
        </w:rPr>
        <w:t>本项补充：</w:t>
      </w:r>
    </w:p>
    <w:p>
      <w:pPr>
        <w:adjustRightInd w:val="0"/>
        <w:snapToGrid w:val="0"/>
        <w:spacing w:line="360" w:lineRule="auto"/>
        <w:ind w:firstLine="480" w:firstLineChars="200"/>
        <w:rPr>
          <w:sz w:val="24"/>
          <w:highlight w:val="none"/>
        </w:rPr>
      </w:pPr>
      <w:r>
        <w:rPr>
          <w:sz w:val="24"/>
          <w:highlight w:val="none"/>
        </w:rPr>
        <w:t>在整个合同期内，承包人应按合同条款保证足够的保险额。</w:t>
      </w:r>
    </w:p>
    <w:p>
      <w:pPr>
        <w:adjustRightInd w:val="0"/>
        <w:snapToGrid w:val="0"/>
        <w:spacing w:line="360" w:lineRule="auto"/>
        <w:ind w:firstLine="480" w:firstLineChars="200"/>
        <w:rPr>
          <w:sz w:val="24"/>
          <w:highlight w:val="none"/>
        </w:rPr>
      </w:pPr>
      <w:r>
        <w:rPr>
          <w:sz w:val="24"/>
          <w:highlight w:val="none"/>
        </w:rPr>
        <w:t>20.6.4保险</w:t>
      </w:r>
      <w:r>
        <w:rPr>
          <w:rFonts w:hint="eastAsia"/>
          <w:sz w:val="24"/>
          <w:highlight w:val="none"/>
        </w:rPr>
        <w:t>金</w:t>
      </w:r>
      <w:r>
        <w:rPr>
          <w:sz w:val="24"/>
          <w:highlight w:val="none"/>
        </w:rPr>
        <w:t>不足的补偿</w:t>
      </w:r>
    </w:p>
    <w:p>
      <w:pPr>
        <w:adjustRightInd w:val="0"/>
        <w:snapToGrid w:val="0"/>
        <w:spacing w:line="360" w:lineRule="auto"/>
        <w:ind w:firstLine="480" w:firstLineChars="200"/>
        <w:rPr>
          <w:sz w:val="24"/>
          <w:highlight w:val="none"/>
        </w:rPr>
      </w:pPr>
      <w:r>
        <w:rPr>
          <w:sz w:val="24"/>
          <w:highlight w:val="none"/>
        </w:rPr>
        <w:t>本项细化为：</w:t>
      </w:r>
    </w:p>
    <w:p>
      <w:pPr>
        <w:adjustRightInd w:val="0"/>
        <w:snapToGrid w:val="0"/>
        <w:spacing w:line="360" w:lineRule="auto"/>
        <w:ind w:firstLine="480" w:firstLineChars="200"/>
        <w:rPr>
          <w:sz w:val="24"/>
          <w:highlight w:val="none"/>
        </w:rPr>
      </w:pPr>
      <w:r>
        <w:rPr>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highlight w:val="none"/>
        </w:rPr>
      </w:pPr>
      <w:r>
        <w:rPr>
          <w:sz w:val="24"/>
          <w:highlight w:val="none"/>
        </w:rPr>
        <w:t>20.6.5未按约定投保的补救</w:t>
      </w:r>
    </w:p>
    <w:p>
      <w:pPr>
        <w:adjustRightInd w:val="0"/>
        <w:snapToGrid w:val="0"/>
        <w:spacing w:line="360" w:lineRule="auto"/>
        <w:ind w:firstLine="480" w:firstLineChars="200"/>
        <w:rPr>
          <w:sz w:val="24"/>
          <w:highlight w:val="none"/>
        </w:rPr>
      </w:pPr>
      <w:r>
        <w:rPr>
          <w:sz w:val="24"/>
          <w:highlight w:val="none"/>
        </w:rPr>
        <w:t>本项（2）目细化为：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highlight w:val="none"/>
        </w:rPr>
      </w:pPr>
      <w:r>
        <w:rPr>
          <w:rFonts w:eastAsia="黑体"/>
          <w:sz w:val="24"/>
          <w:highlight w:val="none"/>
        </w:rPr>
        <w:t>21．不可抗力</w:t>
      </w:r>
    </w:p>
    <w:p>
      <w:pPr>
        <w:adjustRightInd w:val="0"/>
        <w:snapToGrid w:val="0"/>
        <w:spacing w:line="360" w:lineRule="auto"/>
        <w:rPr>
          <w:rFonts w:eastAsia="黑体"/>
          <w:sz w:val="24"/>
          <w:highlight w:val="none"/>
        </w:rPr>
      </w:pPr>
      <w:r>
        <w:rPr>
          <w:rFonts w:eastAsia="黑体"/>
          <w:sz w:val="24"/>
          <w:highlight w:val="none"/>
        </w:rPr>
        <w:t>21.1不可抗力的确认</w:t>
      </w:r>
    </w:p>
    <w:p>
      <w:pPr>
        <w:adjustRightInd w:val="0"/>
        <w:snapToGrid w:val="0"/>
        <w:spacing w:line="360" w:lineRule="auto"/>
        <w:ind w:firstLine="480" w:firstLineChars="200"/>
        <w:rPr>
          <w:sz w:val="24"/>
          <w:highlight w:val="none"/>
        </w:rPr>
      </w:pPr>
      <w:r>
        <w:rPr>
          <w:sz w:val="24"/>
          <w:highlight w:val="none"/>
        </w:rPr>
        <w:t>21</w:t>
      </w:r>
      <w:r>
        <w:rPr>
          <w:rFonts w:hint="eastAsia"/>
          <w:sz w:val="24"/>
          <w:highlight w:val="none"/>
        </w:rPr>
        <w:t>.</w:t>
      </w:r>
      <w:r>
        <w:rPr>
          <w:sz w:val="24"/>
          <w:highlight w:val="none"/>
        </w:rPr>
        <w:t>1</w:t>
      </w:r>
      <w:r>
        <w:rPr>
          <w:rFonts w:hint="eastAsia"/>
          <w:sz w:val="24"/>
          <w:highlight w:val="none"/>
        </w:rPr>
        <w:t>.</w:t>
      </w:r>
      <w:r>
        <w:rPr>
          <w:sz w:val="24"/>
          <w:highlight w:val="none"/>
        </w:rPr>
        <w:t>1项细化为：</w:t>
      </w:r>
    </w:p>
    <w:p>
      <w:pPr>
        <w:adjustRightInd w:val="0"/>
        <w:snapToGrid w:val="0"/>
        <w:spacing w:line="360" w:lineRule="auto"/>
        <w:ind w:firstLine="480" w:firstLineChars="200"/>
        <w:rPr>
          <w:sz w:val="24"/>
          <w:highlight w:val="none"/>
        </w:rPr>
      </w:pPr>
      <w:r>
        <w:rPr>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地震、海啸、火山爆发、泥石流、暴雨（雪）、台风、龙卷风、水灾等自然灾害；</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sz w:val="24"/>
          <w:highlight w:val="none"/>
        </w:rPr>
      </w:pPr>
      <w:r>
        <w:rPr>
          <w:sz w:val="24"/>
          <w:highlight w:val="none"/>
        </w:rPr>
        <w:t>（3）核反应、辐射或放射性污染；</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空中飞行物体坠落或非发包人或承包人责任造成的爆炸、火灾；</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瘟疫；</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项目专用合同条款约定的其他情形。</w:t>
      </w:r>
    </w:p>
    <w:p>
      <w:pPr>
        <w:adjustRightInd w:val="0"/>
        <w:snapToGrid w:val="0"/>
        <w:spacing w:beforeLines="100" w:line="360" w:lineRule="auto"/>
        <w:rPr>
          <w:rFonts w:eastAsia="黑体"/>
          <w:sz w:val="24"/>
          <w:highlight w:val="none"/>
        </w:rPr>
      </w:pPr>
      <w:r>
        <w:rPr>
          <w:rFonts w:eastAsia="黑体"/>
          <w:sz w:val="24"/>
          <w:highlight w:val="none"/>
        </w:rPr>
        <w:t>21.3不可抗力后果及其处理</w:t>
      </w:r>
    </w:p>
    <w:p>
      <w:pPr>
        <w:adjustRightInd w:val="0"/>
        <w:snapToGrid w:val="0"/>
        <w:spacing w:line="360" w:lineRule="auto"/>
        <w:ind w:firstLine="480" w:firstLineChars="200"/>
        <w:rPr>
          <w:sz w:val="24"/>
          <w:highlight w:val="none"/>
        </w:rPr>
      </w:pPr>
      <w:r>
        <w:rPr>
          <w:sz w:val="24"/>
          <w:highlight w:val="none"/>
        </w:rPr>
        <w:t>21.3.4因不可抗力解除合同本项细化为：</w:t>
      </w:r>
    </w:p>
    <w:p>
      <w:pPr>
        <w:adjustRightInd w:val="0"/>
        <w:snapToGrid w:val="0"/>
        <w:spacing w:line="360" w:lineRule="auto"/>
        <w:ind w:firstLine="480" w:firstLineChars="200"/>
        <w:rPr>
          <w:sz w:val="24"/>
          <w:highlight w:val="none"/>
        </w:rPr>
      </w:pPr>
      <w:r>
        <w:rPr>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highlight w:val="none"/>
        </w:rPr>
      </w:pPr>
      <w:r>
        <w:rPr>
          <w:rFonts w:eastAsia="黑体"/>
          <w:sz w:val="24"/>
          <w:highlight w:val="none"/>
        </w:rPr>
        <w:t>22</w:t>
      </w:r>
      <w:r>
        <w:rPr>
          <w:rFonts w:hint="eastAsia" w:eastAsia="黑体"/>
          <w:sz w:val="24"/>
          <w:highlight w:val="none"/>
        </w:rPr>
        <w:t>．</w:t>
      </w:r>
      <w:r>
        <w:rPr>
          <w:rFonts w:eastAsia="黑体"/>
          <w:sz w:val="24"/>
          <w:highlight w:val="none"/>
        </w:rPr>
        <w:t>违约</w:t>
      </w:r>
    </w:p>
    <w:p>
      <w:pPr>
        <w:adjustRightInd w:val="0"/>
        <w:snapToGrid w:val="0"/>
        <w:spacing w:line="360" w:lineRule="auto"/>
        <w:rPr>
          <w:rFonts w:eastAsia="黑体"/>
          <w:sz w:val="24"/>
          <w:highlight w:val="none"/>
        </w:rPr>
      </w:pPr>
      <w:r>
        <w:rPr>
          <w:rFonts w:eastAsia="黑体"/>
          <w:sz w:val="24"/>
          <w:highlight w:val="none"/>
        </w:rPr>
        <w:t>22.1承包人违约</w:t>
      </w:r>
    </w:p>
    <w:p>
      <w:pPr>
        <w:adjustRightInd w:val="0"/>
        <w:snapToGrid w:val="0"/>
        <w:spacing w:line="360" w:lineRule="auto"/>
        <w:ind w:firstLine="480" w:firstLineChars="200"/>
        <w:rPr>
          <w:sz w:val="24"/>
          <w:highlight w:val="none"/>
        </w:rPr>
      </w:pPr>
      <w:r>
        <w:rPr>
          <w:sz w:val="24"/>
          <w:highlight w:val="none"/>
        </w:rPr>
        <w:t>22.1.1承包人违约的情形</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7</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sz w:val="24"/>
          <w:highlight w:val="none"/>
        </w:rPr>
        <w:t>（7</w:t>
      </w:r>
      <w:r>
        <w:rPr>
          <w:rFonts w:hint="eastAsia"/>
          <w:sz w:val="24"/>
          <w:highlight w:val="none"/>
        </w:rPr>
        <w:t>）</w:t>
      </w:r>
      <w:r>
        <w:rPr>
          <w:sz w:val="24"/>
          <w:highlight w:val="none"/>
        </w:rPr>
        <w:t>承包人未能按期开工；</w:t>
      </w:r>
    </w:p>
    <w:p>
      <w:pPr>
        <w:adjustRightInd w:val="0"/>
        <w:snapToGrid w:val="0"/>
        <w:spacing w:line="360" w:lineRule="auto"/>
        <w:ind w:firstLine="480" w:firstLineChars="200"/>
        <w:rPr>
          <w:sz w:val="24"/>
          <w:highlight w:val="none"/>
        </w:rPr>
      </w:pPr>
      <w:r>
        <w:rPr>
          <w:sz w:val="24"/>
          <w:highlight w:val="none"/>
        </w:rPr>
        <w:t>（8</w:t>
      </w:r>
      <w:r>
        <w:rPr>
          <w:rFonts w:hint="eastAsia"/>
          <w:sz w:val="24"/>
          <w:highlight w:val="none"/>
        </w:rPr>
        <w:t>）</w:t>
      </w:r>
      <w:r>
        <w:rPr>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9</w:t>
      </w:r>
      <w:r>
        <w:rPr>
          <w:rFonts w:hint="eastAsia"/>
          <w:sz w:val="24"/>
          <w:highlight w:val="none"/>
        </w:rPr>
        <w:t>）</w:t>
      </w:r>
      <w:r>
        <w:rPr>
          <w:sz w:val="24"/>
          <w:highlight w:val="none"/>
        </w:rPr>
        <w:t>承包人不按合同约定履行义务的其他情况。</w:t>
      </w:r>
    </w:p>
    <w:p>
      <w:pPr>
        <w:adjustRightInd w:val="0"/>
        <w:snapToGrid w:val="0"/>
        <w:spacing w:line="360" w:lineRule="auto"/>
        <w:ind w:firstLine="480" w:firstLineChars="200"/>
        <w:rPr>
          <w:sz w:val="24"/>
          <w:highlight w:val="none"/>
        </w:rPr>
      </w:pPr>
      <w:r>
        <w:rPr>
          <w:sz w:val="24"/>
          <w:highlight w:val="none"/>
        </w:rPr>
        <w:t>22.1.2对承包人违约的处理</w:t>
      </w:r>
    </w:p>
    <w:p>
      <w:pPr>
        <w:adjustRightInd w:val="0"/>
        <w:snapToGrid w:val="0"/>
        <w:spacing w:line="360" w:lineRule="auto"/>
        <w:ind w:firstLine="480" w:firstLineChars="200"/>
        <w:rPr>
          <w:sz w:val="24"/>
          <w:highlight w:val="none"/>
        </w:rPr>
      </w:pPr>
      <w:r>
        <w:rPr>
          <w:sz w:val="24"/>
          <w:highlight w:val="none"/>
        </w:rPr>
        <w:t>本项补充：</w:t>
      </w:r>
    </w:p>
    <w:p>
      <w:pPr>
        <w:adjustRightInd w:val="0"/>
        <w:snapToGrid w:val="0"/>
        <w:spacing w:line="360" w:lineRule="auto"/>
        <w:ind w:firstLine="480" w:firstLineChars="200"/>
        <w:rPr>
          <w:sz w:val="24"/>
          <w:highlight w:val="none"/>
        </w:rPr>
      </w:pPr>
      <w:r>
        <w:rPr>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highlight w:val="none"/>
        </w:rPr>
      </w:pPr>
      <w:r>
        <w:rPr>
          <w:rFonts w:eastAsia="黑体"/>
          <w:sz w:val="24"/>
          <w:highlight w:val="none"/>
        </w:rPr>
        <w:t>22.2发包人违约</w:t>
      </w:r>
    </w:p>
    <w:p>
      <w:pPr>
        <w:adjustRightInd w:val="0"/>
        <w:snapToGrid w:val="0"/>
        <w:spacing w:line="360" w:lineRule="auto"/>
        <w:ind w:firstLine="480" w:firstLineChars="200"/>
        <w:rPr>
          <w:sz w:val="24"/>
          <w:highlight w:val="none"/>
        </w:rPr>
      </w:pPr>
      <w:r>
        <w:rPr>
          <w:sz w:val="24"/>
          <w:highlight w:val="none"/>
        </w:rPr>
        <w:t>22.2.4解除合同后的付款</w:t>
      </w:r>
    </w:p>
    <w:p>
      <w:pPr>
        <w:adjustRightInd w:val="0"/>
        <w:snapToGrid w:val="0"/>
        <w:spacing w:line="360" w:lineRule="auto"/>
        <w:ind w:firstLine="480" w:firstLineChars="200"/>
        <w:rPr>
          <w:sz w:val="24"/>
          <w:highlight w:val="none"/>
        </w:rPr>
      </w:pPr>
      <w:r>
        <w:rPr>
          <w:sz w:val="24"/>
          <w:highlight w:val="none"/>
        </w:rPr>
        <w:t>本项</w:t>
      </w:r>
      <w:r>
        <w:rPr>
          <w:rFonts w:hint="eastAsia"/>
          <w:sz w:val="24"/>
          <w:highlight w:val="none"/>
        </w:rPr>
        <w:t>（</w:t>
      </w:r>
      <w:r>
        <w:rPr>
          <w:sz w:val="24"/>
          <w:highlight w:val="none"/>
        </w:rPr>
        <w:t>2</w:t>
      </w:r>
      <w:r>
        <w:rPr>
          <w:rFonts w:hint="eastAsia"/>
          <w:sz w:val="24"/>
          <w:highlight w:val="none"/>
        </w:rPr>
        <w:t>）</w:t>
      </w:r>
      <w:r>
        <w:rPr>
          <w:sz w:val="24"/>
          <w:highlight w:val="none"/>
        </w:rPr>
        <w:t>目细化为：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highlight w:val="none"/>
        </w:rPr>
      </w:pPr>
      <w:r>
        <w:rPr>
          <w:rFonts w:eastAsia="黑体"/>
          <w:sz w:val="24"/>
          <w:highlight w:val="none"/>
        </w:rPr>
        <w:t>23</w:t>
      </w:r>
      <w:r>
        <w:rPr>
          <w:rFonts w:hint="eastAsia" w:eastAsia="黑体"/>
          <w:sz w:val="24"/>
          <w:highlight w:val="none"/>
        </w:rPr>
        <w:t>．</w:t>
      </w:r>
      <w:r>
        <w:rPr>
          <w:rFonts w:eastAsia="黑体"/>
          <w:sz w:val="24"/>
          <w:highlight w:val="none"/>
        </w:rPr>
        <w:t>索赔</w:t>
      </w:r>
    </w:p>
    <w:p>
      <w:pPr>
        <w:adjustRightInd w:val="0"/>
        <w:snapToGrid w:val="0"/>
        <w:spacing w:line="360" w:lineRule="auto"/>
        <w:rPr>
          <w:rFonts w:eastAsia="黑体"/>
          <w:sz w:val="24"/>
          <w:highlight w:val="none"/>
        </w:rPr>
      </w:pPr>
      <w:r>
        <w:rPr>
          <w:rFonts w:eastAsia="黑体"/>
          <w:sz w:val="24"/>
          <w:highlight w:val="none"/>
        </w:rPr>
        <w:t>23.1承包人索赔的提出</w:t>
      </w:r>
    </w:p>
    <w:p>
      <w:pPr>
        <w:adjustRightInd w:val="0"/>
        <w:snapToGrid w:val="0"/>
        <w:spacing w:line="360" w:lineRule="auto"/>
        <w:ind w:firstLine="480" w:firstLineChars="200"/>
        <w:rPr>
          <w:sz w:val="24"/>
          <w:highlight w:val="none"/>
        </w:rPr>
      </w:pPr>
      <w:r>
        <w:rPr>
          <w:sz w:val="24"/>
          <w:highlight w:val="none"/>
        </w:rPr>
        <w:t>本款</w:t>
      </w:r>
      <w:r>
        <w:rPr>
          <w:rFonts w:hint="eastAsia"/>
          <w:sz w:val="24"/>
          <w:highlight w:val="none"/>
        </w:rPr>
        <w:t>（</w:t>
      </w:r>
      <w:r>
        <w:rPr>
          <w:sz w:val="24"/>
          <w:highlight w:val="none"/>
        </w:rPr>
        <w:t>4）项细化为：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highlight w:val="none"/>
        </w:rPr>
      </w:pPr>
      <w:r>
        <w:rPr>
          <w:rFonts w:eastAsia="黑体"/>
          <w:sz w:val="24"/>
          <w:highlight w:val="none"/>
        </w:rPr>
        <w:t>23.2承包人索赔处理程序</w:t>
      </w:r>
    </w:p>
    <w:p>
      <w:pPr>
        <w:adjustRightInd w:val="0"/>
        <w:snapToGrid w:val="0"/>
        <w:spacing w:line="360" w:lineRule="auto"/>
        <w:ind w:firstLine="480" w:firstLineChars="200"/>
        <w:rPr>
          <w:sz w:val="24"/>
          <w:highlight w:val="none"/>
        </w:rPr>
      </w:pPr>
      <w:r>
        <w:rPr>
          <w:sz w:val="24"/>
          <w:highlight w:val="none"/>
        </w:rPr>
        <w:t>本款（2</w:t>
      </w:r>
      <w:r>
        <w:rPr>
          <w:rFonts w:hint="eastAsia"/>
          <w:sz w:val="24"/>
          <w:highlight w:val="none"/>
        </w:rPr>
        <w:t>）</w:t>
      </w:r>
      <w:r>
        <w:rPr>
          <w:sz w:val="24"/>
          <w:highlight w:val="none"/>
        </w:rPr>
        <w:t>项细化为：</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highlight w:val="none"/>
        </w:rPr>
      </w:pPr>
      <w:r>
        <w:rPr>
          <w:rFonts w:eastAsia="黑体"/>
          <w:sz w:val="24"/>
          <w:highlight w:val="none"/>
        </w:rPr>
        <w:t>24</w:t>
      </w:r>
      <w:r>
        <w:rPr>
          <w:rFonts w:hint="eastAsia" w:eastAsia="黑体"/>
          <w:sz w:val="24"/>
          <w:highlight w:val="none"/>
        </w:rPr>
        <w:t>．</w:t>
      </w:r>
      <w:r>
        <w:rPr>
          <w:rFonts w:eastAsia="黑体"/>
          <w:sz w:val="24"/>
          <w:highlight w:val="none"/>
        </w:rPr>
        <w:t>争议的解决</w:t>
      </w:r>
    </w:p>
    <w:p>
      <w:pPr>
        <w:adjustRightInd w:val="0"/>
        <w:snapToGrid w:val="0"/>
        <w:spacing w:line="360" w:lineRule="auto"/>
        <w:rPr>
          <w:rFonts w:eastAsia="黑体"/>
          <w:sz w:val="24"/>
          <w:highlight w:val="none"/>
        </w:rPr>
      </w:pPr>
      <w:r>
        <w:rPr>
          <w:rFonts w:eastAsia="黑体"/>
          <w:sz w:val="24"/>
          <w:highlight w:val="none"/>
        </w:rPr>
        <w:t>24.1争议的解决方式</w:t>
      </w:r>
    </w:p>
    <w:p>
      <w:pPr>
        <w:adjustRightInd w:val="0"/>
        <w:snapToGrid w:val="0"/>
        <w:spacing w:line="360" w:lineRule="auto"/>
        <w:ind w:firstLine="480" w:firstLineChars="200"/>
        <w:rPr>
          <w:sz w:val="24"/>
          <w:highlight w:val="none"/>
        </w:rPr>
      </w:pPr>
      <w:r>
        <w:rPr>
          <w:sz w:val="24"/>
          <w:highlight w:val="none"/>
        </w:rPr>
        <w:t>本款约定为：</w:t>
      </w:r>
    </w:p>
    <w:p>
      <w:pPr>
        <w:adjustRightInd w:val="0"/>
        <w:snapToGrid w:val="0"/>
        <w:spacing w:line="360" w:lineRule="auto"/>
        <w:ind w:firstLine="480" w:firstLineChars="200"/>
        <w:rPr>
          <w:sz w:val="24"/>
          <w:highlight w:val="none"/>
        </w:rPr>
      </w:pPr>
      <w:r>
        <w:rPr>
          <w:sz w:val="24"/>
          <w:highlight w:val="none"/>
        </w:rPr>
        <w:t>争议的最终解决方式：</w:t>
      </w:r>
      <w:r>
        <w:rPr>
          <w:rFonts w:hint="eastAsia"/>
          <w:sz w:val="24"/>
          <w:highlight w:val="none"/>
          <w:u w:val="single"/>
        </w:rPr>
        <w:t>仲裁或诉讼</w:t>
      </w:r>
      <w:r>
        <w:rPr>
          <w:sz w:val="24"/>
          <w:highlight w:val="none"/>
        </w:rPr>
        <w:t>（在项目专用条款数据中约定）</w:t>
      </w:r>
    </w:p>
    <w:p>
      <w:pPr>
        <w:adjustRightInd w:val="0"/>
        <w:snapToGrid w:val="0"/>
        <w:spacing w:line="360" w:lineRule="auto"/>
        <w:ind w:firstLine="480" w:firstLineChars="200"/>
        <w:rPr>
          <w:sz w:val="24"/>
          <w:highlight w:val="none"/>
        </w:rPr>
      </w:pPr>
      <w:r>
        <w:rPr>
          <w:sz w:val="24"/>
          <w:highlight w:val="none"/>
        </w:rPr>
        <w:t>如采用仲裁，仲裁委员会名称：</w:t>
      </w:r>
      <w:r>
        <w:rPr>
          <w:sz w:val="24"/>
          <w:highlight w:val="none"/>
          <w:u w:val="single"/>
        </w:rPr>
        <w:t>（在项目专用条款数据中约定）</w:t>
      </w:r>
    </w:p>
    <w:p>
      <w:pPr>
        <w:adjustRightInd w:val="0"/>
        <w:snapToGrid w:val="0"/>
        <w:spacing w:beforeLines="100" w:line="360" w:lineRule="auto"/>
        <w:rPr>
          <w:rFonts w:eastAsia="黑体"/>
          <w:sz w:val="24"/>
          <w:highlight w:val="none"/>
        </w:rPr>
      </w:pPr>
      <w:r>
        <w:rPr>
          <w:rFonts w:eastAsia="黑体"/>
          <w:sz w:val="24"/>
          <w:highlight w:val="none"/>
        </w:rPr>
        <w:t>24.3争议评审</w:t>
      </w:r>
    </w:p>
    <w:p>
      <w:pPr>
        <w:adjustRightInd w:val="0"/>
        <w:snapToGrid w:val="0"/>
        <w:spacing w:line="360" w:lineRule="auto"/>
        <w:ind w:firstLine="480" w:firstLineChars="200"/>
        <w:rPr>
          <w:sz w:val="24"/>
          <w:highlight w:val="none"/>
        </w:rPr>
      </w:pPr>
      <w:r>
        <w:rPr>
          <w:sz w:val="24"/>
          <w:highlight w:val="none"/>
        </w:rPr>
        <w:t>24.3</w:t>
      </w:r>
      <w:r>
        <w:rPr>
          <w:rFonts w:hint="eastAsia"/>
          <w:sz w:val="24"/>
          <w:highlight w:val="none"/>
        </w:rPr>
        <w:t>.</w:t>
      </w:r>
      <w:r>
        <w:rPr>
          <w:sz w:val="24"/>
          <w:highlight w:val="none"/>
        </w:rPr>
        <w:t>1项补充：</w:t>
      </w:r>
    </w:p>
    <w:p>
      <w:pPr>
        <w:adjustRightInd w:val="0"/>
        <w:snapToGrid w:val="0"/>
        <w:spacing w:line="360" w:lineRule="auto"/>
        <w:ind w:firstLine="480" w:firstLineChars="200"/>
        <w:rPr>
          <w:sz w:val="24"/>
          <w:highlight w:val="none"/>
        </w:rPr>
      </w:pPr>
      <w:r>
        <w:rPr>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highlight w:val="none"/>
        </w:rPr>
      </w:pPr>
      <w:r>
        <w:rPr>
          <w:rFonts w:eastAsia="黑体"/>
          <w:sz w:val="24"/>
          <w:highlight w:val="none"/>
        </w:rPr>
        <w:t>本条增加第24.4</w:t>
      </w:r>
      <w:r>
        <w:rPr>
          <w:rFonts w:hint="eastAsia" w:eastAsia="黑体"/>
          <w:sz w:val="24"/>
          <w:highlight w:val="none"/>
        </w:rPr>
        <w:t>、</w:t>
      </w:r>
      <w:r>
        <w:rPr>
          <w:rFonts w:eastAsia="黑体"/>
          <w:sz w:val="24"/>
          <w:highlight w:val="none"/>
        </w:rPr>
        <w:t>24.5款（适用于采用仲裁方式最终解决争议的项目）：</w:t>
      </w:r>
    </w:p>
    <w:p>
      <w:pPr>
        <w:adjustRightInd w:val="0"/>
        <w:snapToGrid w:val="0"/>
        <w:spacing w:line="360" w:lineRule="auto"/>
        <w:rPr>
          <w:rFonts w:eastAsia="黑体"/>
          <w:sz w:val="24"/>
          <w:highlight w:val="none"/>
        </w:rPr>
      </w:pPr>
      <w:r>
        <w:rPr>
          <w:rFonts w:eastAsia="黑体"/>
          <w:sz w:val="24"/>
          <w:highlight w:val="none"/>
        </w:rPr>
        <w:t>24.4仲裁</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仲裁裁决是终局性的并对发包人和承包人双方具有约束力。</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全部仲裁费用应由败诉方承担；或按仲裁委员会裁决的比例分担。</w:t>
      </w:r>
    </w:p>
    <w:p>
      <w:pPr>
        <w:adjustRightInd w:val="0"/>
        <w:snapToGrid w:val="0"/>
        <w:spacing w:beforeLines="100" w:line="360" w:lineRule="auto"/>
        <w:rPr>
          <w:rFonts w:eastAsia="黑体"/>
          <w:sz w:val="24"/>
          <w:highlight w:val="none"/>
        </w:rPr>
      </w:pPr>
      <w:r>
        <w:rPr>
          <w:rFonts w:eastAsia="黑体"/>
          <w:sz w:val="24"/>
          <w:highlight w:val="none"/>
        </w:rPr>
        <w:t>24.5诉讼</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highlight w:val="none"/>
        </w:rPr>
      </w:pPr>
      <w:r>
        <w:rPr>
          <w:rFonts w:hint="eastAsia"/>
          <w:sz w:val="24"/>
          <w:highlight w:val="none"/>
        </w:rPr>
        <w:t>（</w:t>
      </w:r>
      <w:r>
        <w:rPr>
          <w:sz w:val="24"/>
          <w:highlight w:val="none"/>
        </w:rPr>
        <w:t>2</w:t>
      </w:r>
      <w:r>
        <w:rPr>
          <w:rFonts w:hint="eastAsia"/>
          <w:sz w:val="24"/>
          <w:highlight w:val="none"/>
        </w:rPr>
        <w:t>）</w:t>
      </w:r>
      <w:r>
        <w:rPr>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highlight w:val="none"/>
        </w:rPr>
      </w:pPr>
    </w:p>
    <w:p>
      <w:pPr>
        <w:pStyle w:val="2"/>
      </w:pPr>
    </w:p>
    <w:p>
      <w:pPr>
        <w:tabs>
          <w:tab w:val="left" w:pos="4500"/>
        </w:tabs>
        <w:spacing w:line="520" w:lineRule="exact"/>
        <w:jc w:val="center"/>
        <w:rPr>
          <w:rFonts w:ascii="黑体" w:eastAsia="黑体"/>
          <w:bCs/>
          <w:sz w:val="36"/>
          <w:szCs w:val="36"/>
          <w:highlight w:val="none"/>
        </w:rPr>
      </w:pPr>
    </w:p>
    <w:p>
      <w:pPr>
        <w:tabs>
          <w:tab w:val="left" w:pos="4500"/>
        </w:tabs>
        <w:spacing w:line="520" w:lineRule="exact"/>
        <w:jc w:val="center"/>
        <w:rPr>
          <w:rFonts w:ascii="黑体" w:eastAsia="黑体"/>
          <w:bCs/>
          <w:sz w:val="36"/>
          <w:szCs w:val="36"/>
          <w:highlight w:val="none"/>
        </w:rPr>
      </w:pPr>
      <w:r>
        <w:rPr>
          <w:rFonts w:hint="eastAsia" w:ascii="黑体" w:eastAsia="黑体"/>
          <w:bCs/>
          <w:sz w:val="36"/>
          <w:szCs w:val="36"/>
          <w:highlight w:val="none"/>
        </w:rPr>
        <w:t>B.项目专用合同条款</w:t>
      </w:r>
    </w:p>
    <w:p>
      <w:pPr>
        <w:tabs>
          <w:tab w:val="left" w:pos="4500"/>
        </w:tabs>
        <w:spacing w:line="520" w:lineRule="exact"/>
        <w:ind w:firstLine="480" w:firstLineChars="200"/>
        <w:rPr>
          <w:rFonts w:ascii="宋体" w:hAnsi="宋体"/>
          <w:sz w:val="24"/>
          <w:highlight w:val="none"/>
        </w:rPr>
      </w:pPr>
      <w:r>
        <w:rPr>
          <w:rFonts w:hint="eastAsia"/>
          <w:sz w:val="24"/>
          <w:highlight w:val="none"/>
        </w:rPr>
        <w:t>1.1 项目清单单价杜绝不平衡报价。</w:t>
      </w:r>
      <w:r>
        <w:rPr>
          <w:rFonts w:hint="eastAsia" w:ascii="宋体" w:hAnsi="宋体"/>
          <w:sz w:val="24"/>
          <w:highlight w:val="none"/>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highlight w:val="none"/>
        </w:rPr>
      </w:pPr>
      <w:r>
        <w:rPr>
          <w:rFonts w:hint="eastAsia" w:ascii="宋体" w:hAnsi="宋体"/>
          <w:sz w:val="24"/>
          <w:highlight w:val="none"/>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highlight w:val="none"/>
        </w:rPr>
      </w:pPr>
      <w:r>
        <w:rPr>
          <w:rFonts w:hint="eastAsia" w:ascii="宋体" w:hAnsi="宋体"/>
          <w:sz w:val="24"/>
          <w:highlight w:val="none"/>
        </w:rPr>
        <w:t>1.3本工程质量目标要求竣工为合格工程，经验收标段工程不合格的质量保证金不予支付，同时在许昌交通建设市场给予通报批评，并上报省</w:t>
      </w:r>
      <w:r>
        <w:rPr>
          <w:rFonts w:ascii="宋体" w:hAnsi="宋体"/>
          <w:sz w:val="24"/>
          <w:highlight w:val="none"/>
        </w:rPr>
        <w:t>交通运输</w:t>
      </w:r>
      <w:r>
        <w:rPr>
          <w:rFonts w:hint="eastAsia" w:ascii="宋体" w:hAnsi="宋体"/>
          <w:sz w:val="24"/>
          <w:highlight w:val="none"/>
        </w:rPr>
        <w:t>厅</w:t>
      </w:r>
      <w:r>
        <w:rPr>
          <w:rFonts w:ascii="宋体" w:hAnsi="宋体"/>
          <w:sz w:val="24"/>
          <w:highlight w:val="none"/>
        </w:rPr>
        <w:t>建议降低</w:t>
      </w:r>
      <w:r>
        <w:rPr>
          <w:rFonts w:hint="eastAsia" w:ascii="宋体" w:hAnsi="宋体"/>
          <w:sz w:val="24"/>
          <w:highlight w:val="none"/>
        </w:rPr>
        <w:t>施工单位信用等级评价。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2.1价格调整：</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因本项目要求工期短，合同期内不调价。因施工单位原因造成工期延误的，在延误期间价格变化引起的增加费用由施工单位承担。</w:t>
      </w:r>
    </w:p>
    <w:p>
      <w:pPr>
        <w:spacing w:line="360" w:lineRule="auto"/>
        <w:ind w:firstLine="480" w:firstLineChars="200"/>
        <w:rPr>
          <w:sz w:val="24"/>
          <w:highlight w:val="none"/>
        </w:rPr>
      </w:pPr>
      <w:r>
        <w:rPr>
          <w:rFonts w:hint="eastAsia" w:ascii="宋体" w:hAnsi="宋体"/>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highlight w:val="none"/>
        </w:rPr>
      </w:pPr>
      <w:r>
        <w:rPr>
          <w:rFonts w:ascii="黑体" w:eastAsia="黑体"/>
          <w:bCs/>
          <w:sz w:val="36"/>
          <w:szCs w:val="36"/>
          <w:highlight w:val="none"/>
        </w:rPr>
        <w:br w:type="page"/>
      </w:r>
      <w:r>
        <w:rPr>
          <w:rFonts w:hint="eastAsia" w:ascii="黑体" w:eastAsia="黑体"/>
          <w:sz w:val="32"/>
          <w:szCs w:val="32"/>
          <w:highlight w:val="none"/>
        </w:rPr>
        <w:t>项目专用条款数据表</w:t>
      </w:r>
    </w:p>
    <w:p>
      <w:pPr>
        <w:tabs>
          <w:tab w:val="left" w:pos="4500"/>
        </w:tabs>
        <w:spacing w:line="520" w:lineRule="exact"/>
        <w:rPr>
          <w:rFonts w:ascii="黑体" w:eastAsia="黑体"/>
          <w:sz w:val="32"/>
          <w:szCs w:val="32"/>
          <w:highlight w:val="none"/>
        </w:rPr>
      </w:pPr>
      <w:r>
        <w:rPr>
          <w:rFonts w:hint="eastAsia"/>
          <w:sz w:val="24"/>
          <w:highlight w:val="none"/>
        </w:rPr>
        <w:t>说明：本数据表是项目专用合同条款中适用于本项目的信息和数据的归纳与提</w:t>
      </w:r>
    </w:p>
    <w:p>
      <w:pPr>
        <w:adjustRightInd w:val="0"/>
        <w:snapToGrid w:val="0"/>
        <w:spacing w:line="360" w:lineRule="auto"/>
        <w:ind w:firstLine="811" w:firstLineChars="338"/>
        <w:rPr>
          <w:sz w:val="24"/>
          <w:highlight w:val="none"/>
        </w:rPr>
      </w:pPr>
      <w:r>
        <w:rPr>
          <w:rFonts w:hint="eastAsia"/>
          <w:sz w:val="24"/>
          <w:highlight w:val="none"/>
        </w:rPr>
        <w:t>示，是项目专用合同条款的组成部分。第三卷投标函附录中的数据（供</w:t>
      </w:r>
    </w:p>
    <w:p>
      <w:pPr>
        <w:adjustRightInd w:val="0"/>
        <w:snapToGrid w:val="0"/>
        <w:spacing w:line="360" w:lineRule="auto"/>
        <w:ind w:firstLine="811" w:firstLineChars="338"/>
        <w:rPr>
          <w:sz w:val="24"/>
          <w:highlight w:val="none"/>
        </w:rPr>
      </w:pPr>
      <w:r>
        <w:rPr>
          <w:rFonts w:hint="eastAsia"/>
          <w:sz w:val="24"/>
          <w:highlight w:val="none"/>
        </w:rPr>
        <w:t>投标人确认）与本表所列有重复。编写招标文件的单位应仔细校核，不</w:t>
      </w:r>
    </w:p>
    <w:p>
      <w:pPr>
        <w:adjustRightInd w:val="0"/>
        <w:snapToGrid w:val="0"/>
        <w:spacing w:line="360" w:lineRule="auto"/>
        <w:ind w:firstLine="811" w:firstLineChars="338"/>
        <w:rPr>
          <w:sz w:val="24"/>
          <w:highlight w:val="none"/>
        </w:rPr>
      </w:pPr>
      <w:r>
        <w:rPr>
          <w:rFonts w:hint="eastAsia"/>
          <w:sz w:val="24"/>
          <w:highlight w:val="none"/>
        </w:rPr>
        <w:t>使数据出现差错或不一致。</w:t>
      </w: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highlight w:val="none"/>
              </w:rPr>
            </w:pPr>
            <w:r>
              <w:rPr>
                <w:rFonts w:hint="eastAsia"/>
                <w:sz w:val="24"/>
                <w:highlight w:val="none"/>
              </w:rPr>
              <w:t>序号</w:t>
            </w:r>
          </w:p>
        </w:tc>
        <w:tc>
          <w:tcPr>
            <w:tcW w:w="1134" w:type="dxa"/>
            <w:vAlign w:val="center"/>
          </w:tcPr>
          <w:p>
            <w:pPr>
              <w:adjustRightInd w:val="0"/>
              <w:snapToGrid w:val="0"/>
              <w:spacing w:line="312" w:lineRule="auto"/>
              <w:rPr>
                <w:sz w:val="24"/>
                <w:highlight w:val="none"/>
              </w:rPr>
            </w:pPr>
            <w:r>
              <w:rPr>
                <w:rFonts w:hint="eastAsia"/>
                <w:sz w:val="24"/>
                <w:highlight w:val="none"/>
              </w:rPr>
              <w:t>条款号</w:t>
            </w:r>
          </w:p>
        </w:tc>
        <w:tc>
          <w:tcPr>
            <w:tcW w:w="7027" w:type="dxa"/>
            <w:vAlign w:val="center"/>
          </w:tcPr>
          <w:p>
            <w:pPr>
              <w:adjustRightInd w:val="0"/>
              <w:snapToGrid w:val="0"/>
              <w:spacing w:line="312" w:lineRule="auto"/>
              <w:jc w:val="center"/>
              <w:rPr>
                <w:sz w:val="24"/>
                <w:highlight w:val="none"/>
              </w:rPr>
            </w:pPr>
            <w:r>
              <w:rPr>
                <w:rFonts w:hint="eastAsia"/>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w:t>
            </w:r>
          </w:p>
        </w:tc>
        <w:tc>
          <w:tcPr>
            <w:tcW w:w="1134" w:type="dxa"/>
            <w:vAlign w:val="center"/>
          </w:tcPr>
          <w:p>
            <w:pPr>
              <w:adjustRightInd w:val="0"/>
              <w:snapToGrid w:val="0"/>
              <w:spacing w:line="312" w:lineRule="auto"/>
              <w:rPr>
                <w:sz w:val="24"/>
                <w:highlight w:val="none"/>
              </w:rPr>
            </w:pPr>
            <w:r>
              <w:rPr>
                <w:rFonts w:hint="eastAsia"/>
                <w:sz w:val="24"/>
                <w:highlight w:val="none"/>
              </w:rPr>
              <w:t>1.1.2.2</w:t>
            </w:r>
          </w:p>
        </w:tc>
        <w:tc>
          <w:tcPr>
            <w:tcW w:w="7027" w:type="dxa"/>
          </w:tcPr>
          <w:p>
            <w:pPr>
              <w:adjustRightInd w:val="0"/>
              <w:snapToGrid w:val="0"/>
              <w:spacing w:line="312" w:lineRule="auto"/>
              <w:rPr>
                <w:sz w:val="24"/>
                <w:highlight w:val="none"/>
              </w:rPr>
            </w:pPr>
            <w:r>
              <w:rPr>
                <w:rFonts w:hint="eastAsia"/>
                <w:sz w:val="24"/>
                <w:highlight w:val="none"/>
              </w:rPr>
              <w:t>发包人：</w:t>
            </w:r>
            <w:r>
              <w:rPr>
                <w:rFonts w:hint="eastAsia" w:hAnsi="宋体" w:cs="宋体"/>
                <w:sz w:val="24"/>
                <w:highlight w:val="none"/>
                <w:lang w:val="zh-CN"/>
              </w:rPr>
              <w:t>许昌市建安区交通运输局</w:t>
            </w:r>
          </w:p>
          <w:p>
            <w:pPr>
              <w:adjustRightInd w:val="0"/>
              <w:snapToGrid w:val="0"/>
              <w:spacing w:line="312" w:lineRule="auto"/>
              <w:rPr>
                <w:rFonts w:hint="eastAsia" w:eastAsia="宋体"/>
                <w:sz w:val="24"/>
                <w:highlight w:val="none"/>
                <w:lang w:val="en-US" w:eastAsia="zh-CN"/>
              </w:rPr>
            </w:pPr>
            <w:r>
              <w:rPr>
                <w:rFonts w:hint="eastAsia"/>
                <w:sz w:val="24"/>
                <w:highlight w:val="none"/>
              </w:rPr>
              <w:t>地址：许昌市建安区</w:t>
            </w:r>
            <w:r>
              <w:rPr>
                <w:rFonts w:hint="eastAsia"/>
                <w:sz w:val="24"/>
                <w:highlight w:val="none"/>
                <w:lang w:eastAsia="zh-CN"/>
              </w:rPr>
              <w:t>文化中心</w:t>
            </w:r>
            <w:r>
              <w:rPr>
                <w:rFonts w:hint="eastAsia"/>
                <w:sz w:val="24"/>
                <w:highlight w:val="none"/>
                <w:lang w:val="en-US" w:eastAsia="zh-CN"/>
              </w:rPr>
              <w:t>6楼</w:t>
            </w:r>
          </w:p>
          <w:p>
            <w:pPr>
              <w:adjustRightInd w:val="0"/>
              <w:snapToGrid w:val="0"/>
              <w:spacing w:line="312" w:lineRule="auto"/>
              <w:rPr>
                <w:sz w:val="24"/>
                <w:highlight w:val="none"/>
              </w:rPr>
            </w:pPr>
            <w:r>
              <w:rPr>
                <w:rFonts w:hint="eastAsia"/>
                <w:sz w:val="24"/>
                <w:highlight w:val="none"/>
              </w:rPr>
              <w:t>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2</w:t>
            </w:r>
          </w:p>
        </w:tc>
        <w:tc>
          <w:tcPr>
            <w:tcW w:w="1134" w:type="dxa"/>
            <w:vAlign w:val="center"/>
          </w:tcPr>
          <w:p>
            <w:pPr>
              <w:adjustRightInd w:val="0"/>
              <w:snapToGrid w:val="0"/>
              <w:spacing w:line="312" w:lineRule="auto"/>
              <w:rPr>
                <w:sz w:val="24"/>
                <w:highlight w:val="none"/>
              </w:rPr>
            </w:pPr>
            <w:r>
              <w:rPr>
                <w:rFonts w:hint="eastAsia"/>
                <w:sz w:val="24"/>
                <w:highlight w:val="none"/>
              </w:rPr>
              <w:t>1.1.2.6</w:t>
            </w:r>
          </w:p>
        </w:tc>
        <w:tc>
          <w:tcPr>
            <w:tcW w:w="7027" w:type="dxa"/>
          </w:tcPr>
          <w:p>
            <w:pPr>
              <w:adjustRightInd w:val="0"/>
              <w:snapToGrid w:val="0"/>
              <w:spacing w:line="312" w:lineRule="auto"/>
              <w:rPr>
                <w:sz w:val="24"/>
                <w:highlight w:val="none"/>
              </w:rPr>
            </w:pPr>
            <w:r>
              <w:rPr>
                <w:rFonts w:hint="eastAsia"/>
                <w:sz w:val="24"/>
                <w:highlight w:val="none"/>
              </w:rPr>
              <w:t>监理人：</w:t>
            </w:r>
          </w:p>
          <w:p>
            <w:pPr>
              <w:adjustRightInd w:val="0"/>
              <w:snapToGrid w:val="0"/>
              <w:spacing w:line="312" w:lineRule="auto"/>
              <w:rPr>
                <w:sz w:val="24"/>
                <w:highlight w:val="none"/>
              </w:rPr>
            </w:pPr>
            <w:r>
              <w:rPr>
                <w:rFonts w:hint="eastAsia"/>
                <w:sz w:val="24"/>
                <w:highlight w:val="none"/>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3</w:t>
            </w:r>
          </w:p>
        </w:tc>
        <w:tc>
          <w:tcPr>
            <w:tcW w:w="1134" w:type="dxa"/>
            <w:vAlign w:val="center"/>
          </w:tcPr>
          <w:p>
            <w:pPr>
              <w:adjustRightInd w:val="0"/>
              <w:snapToGrid w:val="0"/>
              <w:spacing w:line="312" w:lineRule="auto"/>
              <w:rPr>
                <w:sz w:val="24"/>
                <w:highlight w:val="none"/>
              </w:rPr>
            </w:pPr>
            <w:r>
              <w:rPr>
                <w:rFonts w:hint="eastAsia"/>
                <w:sz w:val="24"/>
                <w:highlight w:val="none"/>
              </w:rPr>
              <w:t>1.1.4.3</w:t>
            </w:r>
          </w:p>
        </w:tc>
        <w:tc>
          <w:tcPr>
            <w:tcW w:w="7027" w:type="dxa"/>
          </w:tcPr>
          <w:p>
            <w:pPr>
              <w:adjustRightInd w:val="0"/>
              <w:snapToGrid w:val="0"/>
              <w:spacing w:line="312" w:lineRule="auto"/>
              <w:rPr>
                <w:rFonts w:hint="default" w:eastAsia="宋体"/>
                <w:sz w:val="24"/>
                <w:highlight w:val="none"/>
                <w:lang w:val="en-US" w:eastAsia="zh-CN"/>
              </w:rPr>
            </w:pPr>
            <w:r>
              <w:rPr>
                <w:rFonts w:hint="eastAsia"/>
                <w:sz w:val="24"/>
                <w:highlight w:val="none"/>
              </w:rPr>
              <w:t>工期：</w:t>
            </w:r>
            <w:r>
              <w:rPr>
                <w:rFonts w:hint="eastAsia"/>
                <w:sz w:val="24"/>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4</w:t>
            </w:r>
          </w:p>
        </w:tc>
        <w:tc>
          <w:tcPr>
            <w:tcW w:w="1134" w:type="dxa"/>
            <w:vAlign w:val="center"/>
          </w:tcPr>
          <w:p>
            <w:pPr>
              <w:adjustRightInd w:val="0"/>
              <w:snapToGrid w:val="0"/>
              <w:spacing w:line="312" w:lineRule="auto"/>
              <w:rPr>
                <w:sz w:val="24"/>
                <w:highlight w:val="none"/>
              </w:rPr>
            </w:pPr>
            <w:r>
              <w:rPr>
                <w:rFonts w:hint="eastAsia"/>
                <w:sz w:val="24"/>
                <w:highlight w:val="none"/>
              </w:rPr>
              <w:t>1.1.4.5</w:t>
            </w:r>
          </w:p>
        </w:tc>
        <w:tc>
          <w:tcPr>
            <w:tcW w:w="7027" w:type="dxa"/>
          </w:tcPr>
          <w:p>
            <w:pPr>
              <w:adjustRightInd w:val="0"/>
              <w:snapToGrid w:val="0"/>
              <w:spacing w:line="312" w:lineRule="auto"/>
              <w:rPr>
                <w:sz w:val="24"/>
                <w:highlight w:val="none"/>
              </w:rPr>
            </w:pPr>
            <w:r>
              <w:rPr>
                <w:rFonts w:hint="eastAsia"/>
                <w:sz w:val="24"/>
                <w:highlight w:val="none"/>
              </w:rPr>
              <w:t>缺陷责任期：</w:t>
            </w:r>
            <w:r>
              <w:rPr>
                <w:rFonts w:hint="eastAsia"/>
                <w:sz w:val="24"/>
                <w:highlight w:val="none"/>
                <w:u w:val="single"/>
              </w:rPr>
              <w:t xml:space="preserve">  2  </w:t>
            </w:r>
            <w:r>
              <w:rPr>
                <w:rFonts w:hint="eastAsia"/>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5</w:t>
            </w:r>
          </w:p>
        </w:tc>
        <w:tc>
          <w:tcPr>
            <w:tcW w:w="1134" w:type="dxa"/>
            <w:vAlign w:val="center"/>
          </w:tcPr>
          <w:p>
            <w:pPr>
              <w:adjustRightInd w:val="0"/>
              <w:snapToGrid w:val="0"/>
              <w:spacing w:line="312" w:lineRule="auto"/>
              <w:rPr>
                <w:sz w:val="24"/>
                <w:highlight w:val="none"/>
              </w:rPr>
            </w:pPr>
            <w:r>
              <w:rPr>
                <w:rFonts w:hint="eastAsia"/>
                <w:sz w:val="24"/>
                <w:highlight w:val="none"/>
              </w:rPr>
              <w:t>1.6.3</w:t>
            </w:r>
          </w:p>
        </w:tc>
        <w:tc>
          <w:tcPr>
            <w:tcW w:w="7027" w:type="dxa"/>
          </w:tcPr>
          <w:p>
            <w:pPr>
              <w:adjustRightInd w:val="0"/>
              <w:snapToGrid w:val="0"/>
              <w:spacing w:line="312" w:lineRule="auto"/>
              <w:rPr>
                <w:sz w:val="24"/>
                <w:highlight w:val="none"/>
                <w:u w:val="single"/>
              </w:rPr>
            </w:pPr>
            <w:r>
              <w:rPr>
                <w:rFonts w:hint="eastAsia"/>
                <w:sz w:val="24"/>
                <w:highlight w:val="none"/>
              </w:rPr>
              <w:t>图纸需要修改和补充的，应由监理人取得发包人同意后，在该工程或工程相应部位施工前</w:t>
            </w:r>
            <w:r>
              <w:rPr>
                <w:rFonts w:hint="eastAsia"/>
                <w:sz w:val="24"/>
                <w:highlight w:val="none"/>
                <w:u w:val="single"/>
              </w:rPr>
              <w:t xml:space="preserve"> 7 </w:t>
            </w:r>
            <w:r>
              <w:rPr>
                <w:rFonts w:hint="eastAsia"/>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6</w:t>
            </w:r>
          </w:p>
        </w:tc>
        <w:tc>
          <w:tcPr>
            <w:tcW w:w="1134" w:type="dxa"/>
            <w:vAlign w:val="center"/>
          </w:tcPr>
          <w:p>
            <w:pPr>
              <w:adjustRightInd w:val="0"/>
              <w:snapToGrid w:val="0"/>
              <w:spacing w:line="312" w:lineRule="auto"/>
              <w:rPr>
                <w:sz w:val="24"/>
                <w:highlight w:val="none"/>
              </w:rPr>
            </w:pPr>
            <w:r>
              <w:rPr>
                <w:rFonts w:hint="eastAsia"/>
                <w:sz w:val="24"/>
                <w:highlight w:val="none"/>
              </w:rPr>
              <w:t>3.1.1</w:t>
            </w:r>
          </w:p>
        </w:tc>
        <w:tc>
          <w:tcPr>
            <w:tcW w:w="7027" w:type="dxa"/>
          </w:tcPr>
          <w:p>
            <w:pPr>
              <w:adjustRightInd w:val="0"/>
              <w:snapToGrid w:val="0"/>
              <w:spacing w:line="312" w:lineRule="auto"/>
              <w:rPr>
                <w:sz w:val="24"/>
                <w:highlight w:val="none"/>
              </w:rPr>
            </w:pPr>
            <w:r>
              <w:rPr>
                <w:rFonts w:hint="eastAsia"/>
                <w:sz w:val="24"/>
                <w:highlight w:val="none"/>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7</w:t>
            </w:r>
          </w:p>
        </w:tc>
        <w:tc>
          <w:tcPr>
            <w:tcW w:w="1134" w:type="dxa"/>
            <w:vAlign w:val="center"/>
          </w:tcPr>
          <w:p>
            <w:pPr>
              <w:adjustRightInd w:val="0"/>
              <w:snapToGrid w:val="0"/>
              <w:spacing w:line="312" w:lineRule="auto"/>
              <w:rPr>
                <w:sz w:val="24"/>
                <w:highlight w:val="none"/>
              </w:rPr>
            </w:pPr>
            <w:r>
              <w:rPr>
                <w:rFonts w:hint="eastAsia"/>
                <w:sz w:val="24"/>
                <w:highlight w:val="none"/>
              </w:rPr>
              <w:t>4.2</w:t>
            </w:r>
          </w:p>
        </w:tc>
        <w:tc>
          <w:tcPr>
            <w:tcW w:w="7027" w:type="dxa"/>
          </w:tcPr>
          <w:p>
            <w:pPr>
              <w:widowControl/>
              <w:spacing w:line="240" w:lineRule="atLeast"/>
              <w:rPr>
                <w:rFonts w:ascii="宋体" w:hAnsi="宋体" w:cs="宋体"/>
                <w:color w:val="121212"/>
                <w:kern w:val="0"/>
                <w:sz w:val="24"/>
                <w:highlight w:val="none"/>
              </w:rPr>
            </w:pPr>
            <w:r>
              <w:rPr>
                <w:rFonts w:hint="eastAsia"/>
                <w:color w:val="121212"/>
                <w:sz w:val="22"/>
                <w:highlight w:val="none"/>
              </w:rPr>
              <w:t>履约担保金额：</w:t>
            </w:r>
            <w:r>
              <w:rPr>
                <w:rFonts w:hint="eastAsia" w:ascii="宋体" w:hAnsi="宋体" w:cs="宋体"/>
                <w:color w:val="121212"/>
                <w:kern w:val="0"/>
                <w:sz w:val="24"/>
                <w:highlight w:val="none"/>
              </w:rPr>
              <w:t>中标金额的5</w:t>
            </w:r>
            <w:r>
              <w:rPr>
                <w:rFonts w:ascii="宋体" w:hAnsi="宋体" w:cs="宋体"/>
                <w:color w:val="121212"/>
                <w:kern w:val="0"/>
                <w:sz w:val="24"/>
                <w:highlight w:val="none"/>
              </w:rPr>
              <w:t xml:space="preserve">% </w:t>
            </w:r>
          </w:p>
          <w:p>
            <w:pPr>
              <w:adjustRightInd w:val="0"/>
              <w:snapToGrid w:val="0"/>
              <w:spacing w:line="312" w:lineRule="auto"/>
              <w:rPr>
                <w:color w:val="121212"/>
                <w:sz w:val="22"/>
                <w:highlight w:val="none"/>
              </w:rPr>
            </w:pPr>
            <w:r>
              <w:rPr>
                <w:rFonts w:hint="eastAsia"/>
                <w:color w:val="121212"/>
                <w:sz w:val="22"/>
                <w:highlight w:val="none"/>
              </w:rPr>
              <w:t>提交履约担保的时间：在签订合同协议书之前</w:t>
            </w:r>
          </w:p>
          <w:p>
            <w:pPr>
              <w:adjustRightInd w:val="0"/>
              <w:snapToGrid w:val="0"/>
              <w:spacing w:line="312" w:lineRule="auto"/>
              <w:rPr>
                <w:color w:val="121212"/>
                <w:sz w:val="22"/>
                <w:highlight w:val="none"/>
              </w:rPr>
            </w:pPr>
            <w:r>
              <w:rPr>
                <w:rFonts w:hint="eastAsia"/>
                <w:color w:val="121212"/>
                <w:sz w:val="22"/>
                <w:highlight w:val="none"/>
              </w:rPr>
              <w:t>履约担保形式：</w:t>
            </w:r>
            <w:r>
              <w:rPr>
                <w:rFonts w:hint="eastAsia" w:ascii="宋体" w:hAnsi="宋体" w:cs="宋体"/>
                <w:color w:val="121212"/>
                <w:kern w:val="0"/>
                <w:sz w:val="24"/>
                <w:highlight w:val="none"/>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8</w:t>
            </w:r>
          </w:p>
        </w:tc>
        <w:tc>
          <w:tcPr>
            <w:tcW w:w="1134" w:type="dxa"/>
            <w:vAlign w:val="center"/>
          </w:tcPr>
          <w:p>
            <w:pPr>
              <w:adjustRightInd w:val="0"/>
              <w:snapToGrid w:val="0"/>
              <w:spacing w:line="312" w:lineRule="auto"/>
              <w:rPr>
                <w:sz w:val="24"/>
                <w:highlight w:val="none"/>
              </w:rPr>
            </w:pPr>
            <w:r>
              <w:rPr>
                <w:rFonts w:hint="eastAsia"/>
                <w:sz w:val="24"/>
                <w:highlight w:val="none"/>
              </w:rPr>
              <w:t>10.1</w:t>
            </w:r>
          </w:p>
        </w:tc>
        <w:tc>
          <w:tcPr>
            <w:tcW w:w="7027" w:type="dxa"/>
          </w:tcPr>
          <w:p>
            <w:pPr>
              <w:adjustRightInd w:val="0"/>
              <w:snapToGrid w:val="0"/>
              <w:spacing w:line="312" w:lineRule="auto"/>
              <w:rPr>
                <w:sz w:val="24"/>
                <w:highlight w:val="none"/>
              </w:rPr>
            </w:pPr>
            <w:r>
              <w:rPr>
                <w:rFonts w:hint="eastAsia"/>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4" w:type="dxa"/>
            <w:vAlign w:val="center"/>
          </w:tcPr>
          <w:p>
            <w:pPr>
              <w:adjustRightInd w:val="0"/>
              <w:snapToGrid w:val="0"/>
              <w:spacing w:line="312" w:lineRule="auto"/>
              <w:rPr>
                <w:sz w:val="24"/>
                <w:highlight w:val="none"/>
              </w:rPr>
            </w:pPr>
            <w:r>
              <w:rPr>
                <w:rFonts w:hint="eastAsia"/>
                <w:sz w:val="24"/>
                <w:highlight w:val="none"/>
              </w:rPr>
              <w:t>9</w:t>
            </w:r>
          </w:p>
        </w:tc>
        <w:tc>
          <w:tcPr>
            <w:tcW w:w="1134" w:type="dxa"/>
            <w:vAlign w:val="center"/>
          </w:tcPr>
          <w:p>
            <w:pPr>
              <w:adjustRightInd w:val="0"/>
              <w:snapToGrid w:val="0"/>
              <w:spacing w:line="312" w:lineRule="auto"/>
              <w:rPr>
                <w:sz w:val="24"/>
                <w:highlight w:val="none"/>
              </w:rPr>
            </w:pPr>
            <w:r>
              <w:rPr>
                <w:rFonts w:hint="eastAsia"/>
                <w:sz w:val="24"/>
                <w:highlight w:val="none"/>
              </w:rPr>
              <w:t>10.2</w:t>
            </w:r>
          </w:p>
        </w:tc>
        <w:tc>
          <w:tcPr>
            <w:tcW w:w="7027" w:type="dxa"/>
            <w:vAlign w:val="center"/>
          </w:tcPr>
          <w:p>
            <w:pPr>
              <w:adjustRightInd w:val="0"/>
              <w:snapToGrid w:val="0"/>
              <w:spacing w:line="312" w:lineRule="auto"/>
              <w:rPr>
                <w:sz w:val="24"/>
                <w:highlight w:val="none"/>
              </w:rPr>
            </w:pPr>
            <w:r>
              <w:rPr>
                <w:rFonts w:hint="eastAsia"/>
                <w:sz w:val="24"/>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10</w:t>
            </w:r>
          </w:p>
        </w:tc>
        <w:tc>
          <w:tcPr>
            <w:tcW w:w="1134" w:type="dxa"/>
            <w:vAlign w:val="center"/>
          </w:tcPr>
          <w:p>
            <w:pPr>
              <w:adjustRightInd w:val="0"/>
              <w:snapToGrid w:val="0"/>
              <w:spacing w:line="312" w:lineRule="auto"/>
              <w:rPr>
                <w:sz w:val="24"/>
                <w:highlight w:val="none"/>
              </w:rPr>
            </w:pPr>
            <w:r>
              <w:rPr>
                <w:rFonts w:hint="eastAsia"/>
                <w:sz w:val="24"/>
                <w:highlight w:val="none"/>
              </w:rPr>
              <w:t>10.4</w:t>
            </w:r>
          </w:p>
        </w:tc>
        <w:tc>
          <w:tcPr>
            <w:tcW w:w="7027" w:type="dxa"/>
          </w:tcPr>
          <w:p>
            <w:pPr>
              <w:adjustRightInd w:val="0"/>
              <w:snapToGrid w:val="0"/>
              <w:spacing w:line="312" w:lineRule="auto"/>
              <w:rPr>
                <w:sz w:val="24"/>
                <w:highlight w:val="none"/>
              </w:rPr>
            </w:pPr>
            <w:r>
              <w:rPr>
                <w:rFonts w:hint="eastAsia"/>
                <w:sz w:val="24"/>
                <w:highlight w:val="none"/>
              </w:rPr>
              <w:t>提交合同用款计划的时间：</w:t>
            </w:r>
          </w:p>
          <w:p>
            <w:pPr>
              <w:adjustRightInd w:val="0"/>
              <w:snapToGrid w:val="0"/>
              <w:spacing w:line="312" w:lineRule="auto"/>
              <w:rPr>
                <w:sz w:val="24"/>
                <w:highlight w:val="none"/>
              </w:rPr>
            </w:pPr>
            <w:r>
              <w:rPr>
                <w:rFonts w:hint="eastAsia"/>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11</w:t>
            </w:r>
          </w:p>
        </w:tc>
        <w:tc>
          <w:tcPr>
            <w:tcW w:w="1134" w:type="dxa"/>
            <w:vAlign w:val="center"/>
          </w:tcPr>
          <w:p>
            <w:pPr>
              <w:adjustRightInd w:val="0"/>
              <w:snapToGrid w:val="0"/>
              <w:spacing w:line="312" w:lineRule="auto"/>
              <w:rPr>
                <w:sz w:val="24"/>
                <w:highlight w:val="none"/>
              </w:rPr>
            </w:pPr>
            <w:r>
              <w:rPr>
                <w:rFonts w:hint="eastAsia"/>
                <w:sz w:val="24"/>
                <w:highlight w:val="none"/>
              </w:rPr>
              <w:t>11.1</w:t>
            </w:r>
          </w:p>
        </w:tc>
        <w:tc>
          <w:tcPr>
            <w:tcW w:w="7027" w:type="dxa"/>
          </w:tcPr>
          <w:p>
            <w:pPr>
              <w:adjustRightInd w:val="0"/>
              <w:snapToGrid w:val="0"/>
              <w:spacing w:line="312" w:lineRule="auto"/>
              <w:rPr>
                <w:sz w:val="24"/>
                <w:highlight w:val="none"/>
              </w:rPr>
            </w:pPr>
            <w:r>
              <w:rPr>
                <w:rFonts w:hint="eastAsia"/>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12</w:t>
            </w:r>
          </w:p>
        </w:tc>
        <w:tc>
          <w:tcPr>
            <w:tcW w:w="1134" w:type="dxa"/>
            <w:vAlign w:val="center"/>
          </w:tcPr>
          <w:p>
            <w:pPr>
              <w:adjustRightInd w:val="0"/>
              <w:snapToGrid w:val="0"/>
              <w:spacing w:line="312" w:lineRule="auto"/>
              <w:rPr>
                <w:sz w:val="24"/>
                <w:highlight w:val="none"/>
              </w:rPr>
            </w:pPr>
            <w:r>
              <w:rPr>
                <w:rFonts w:hint="eastAsia"/>
                <w:sz w:val="24"/>
                <w:highlight w:val="none"/>
              </w:rPr>
              <w:t>11.5</w:t>
            </w:r>
          </w:p>
        </w:tc>
        <w:tc>
          <w:tcPr>
            <w:tcW w:w="7027" w:type="dxa"/>
          </w:tcPr>
          <w:p>
            <w:pPr>
              <w:adjustRightInd w:val="0"/>
              <w:snapToGrid w:val="0"/>
              <w:spacing w:line="312" w:lineRule="auto"/>
              <w:rPr>
                <w:sz w:val="24"/>
                <w:highlight w:val="none"/>
              </w:rPr>
            </w:pPr>
            <w:r>
              <w:rPr>
                <w:rFonts w:hint="eastAsia"/>
                <w:sz w:val="24"/>
                <w:highlight w:val="none"/>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13</w:t>
            </w:r>
          </w:p>
        </w:tc>
        <w:tc>
          <w:tcPr>
            <w:tcW w:w="1134" w:type="dxa"/>
            <w:vAlign w:val="center"/>
          </w:tcPr>
          <w:p>
            <w:pPr>
              <w:adjustRightInd w:val="0"/>
              <w:snapToGrid w:val="0"/>
              <w:spacing w:line="312" w:lineRule="auto"/>
              <w:rPr>
                <w:sz w:val="24"/>
                <w:highlight w:val="none"/>
              </w:rPr>
            </w:pPr>
            <w:r>
              <w:rPr>
                <w:rFonts w:hint="eastAsia"/>
                <w:sz w:val="24"/>
                <w:highlight w:val="none"/>
              </w:rPr>
              <w:t>11.5</w:t>
            </w:r>
          </w:p>
        </w:tc>
        <w:tc>
          <w:tcPr>
            <w:tcW w:w="7027" w:type="dxa"/>
          </w:tcPr>
          <w:p>
            <w:pPr>
              <w:adjustRightInd w:val="0"/>
              <w:snapToGrid w:val="0"/>
              <w:spacing w:line="312" w:lineRule="auto"/>
              <w:rPr>
                <w:sz w:val="24"/>
                <w:highlight w:val="none"/>
              </w:rPr>
            </w:pPr>
            <w:r>
              <w:rPr>
                <w:rFonts w:hint="eastAsia"/>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14</w:t>
            </w:r>
          </w:p>
        </w:tc>
        <w:tc>
          <w:tcPr>
            <w:tcW w:w="1134" w:type="dxa"/>
            <w:vAlign w:val="center"/>
          </w:tcPr>
          <w:p>
            <w:pPr>
              <w:adjustRightInd w:val="0"/>
              <w:snapToGrid w:val="0"/>
              <w:spacing w:line="312" w:lineRule="auto"/>
              <w:rPr>
                <w:sz w:val="24"/>
                <w:highlight w:val="none"/>
              </w:rPr>
            </w:pPr>
            <w:r>
              <w:rPr>
                <w:rFonts w:hint="eastAsia"/>
                <w:sz w:val="24"/>
                <w:highlight w:val="none"/>
              </w:rPr>
              <w:t>11.6</w:t>
            </w:r>
          </w:p>
        </w:tc>
        <w:tc>
          <w:tcPr>
            <w:tcW w:w="7027" w:type="dxa"/>
          </w:tcPr>
          <w:p>
            <w:pPr>
              <w:adjustRightInd w:val="0"/>
              <w:snapToGrid w:val="0"/>
              <w:spacing w:line="312" w:lineRule="auto"/>
              <w:rPr>
                <w:sz w:val="24"/>
                <w:highlight w:val="none"/>
              </w:rPr>
            </w:pPr>
            <w:r>
              <w:rPr>
                <w:rFonts w:hint="eastAsia"/>
                <w:sz w:val="24"/>
                <w:highlight w:val="none"/>
              </w:rPr>
              <w:t>提前竣工的奖金：人民币</w:t>
            </w:r>
            <w:r>
              <w:rPr>
                <w:rFonts w:hint="eastAsia"/>
                <w:sz w:val="24"/>
                <w:highlight w:val="none"/>
                <w:u w:val="single"/>
              </w:rPr>
              <w:t xml:space="preserve">  0 </w:t>
            </w:r>
            <w:r>
              <w:rPr>
                <w:rFonts w:hint="eastAsia"/>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highlight w:val="none"/>
              </w:rPr>
            </w:pPr>
            <w:r>
              <w:rPr>
                <w:rFonts w:hint="eastAsia"/>
                <w:sz w:val="24"/>
                <w:highlight w:val="none"/>
              </w:rPr>
              <w:t>15</w:t>
            </w:r>
          </w:p>
        </w:tc>
        <w:tc>
          <w:tcPr>
            <w:tcW w:w="1134" w:type="dxa"/>
            <w:vAlign w:val="center"/>
          </w:tcPr>
          <w:p>
            <w:pPr>
              <w:adjustRightInd w:val="0"/>
              <w:snapToGrid w:val="0"/>
              <w:spacing w:line="312" w:lineRule="auto"/>
              <w:rPr>
                <w:sz w:val="24"/>
                <w:highlight w:val="none"/>
              </w:rPr>
            </w:pPr>
            <w:r>
              <w:rPr>
                <w:rFonts w:hint="eastAsia"/>
                <w:sz w:val="24"/>
                <w:highlight w:val="none"/>
              </w:rPr>
              <w:t>11.6</w:t>
            </w:r>
          </w:p>
        </w:tc>
        <w:tc>
          <w:tcPr>
            <w:tcW w:w="7027" w:type="dxa"/>
          </w:tcPr>
          <w:p>
            <w:pPr>
              <w:adjustRightInd w:val="0"/>
              <w:snapToGrid w:val="0"/>
              <w:spacing w:line="312" w:lineRule="auto"/>
              <w:rPr>
                <w:sz w:val="24"/>
                <w:highlight w:val="none"/>
              </w:rPr>
            </w:pPr>
            <w:r>
              <w:rPr>
                <w:rFonts w:hint="eastAsia"/>
                <w:sz w:val="24"/>
                <w:highlight w:val="none"/>
              </w:rPr>
              <w:t>提前竣工的奖金限额：签约合同价的</w:t>
            </w:r>
            <w:r>
              <w:rPr>
                <w:rFonts w:hint="eastAsia"/>
                <w:sz w:val="24"/>
                <w:highlight w:val="none"/>
                <w:u w:val="single"/>
              </w:rPr>
              <w:t xml:space="preserve"> 0 </w:t>
            </w:r>
            <w:r>
              <w:rPr>
                <w:rFonts w:hint="eastAsia"/>
                <w:sz w:val="24"/>
                <w:highlight w:val="none"/>
              </w:rPr>
              <w:t>%</w:t>
            </w:r>
          </w:p>
        </w:tc>
      </w:tr>
    </w:tbl>
    <w:p>
      <w:pPr>
        <w:rPr>
          <w:sz w:val="18"/>
          <w:szCs w:val="18"/>
          <w:highlight w:val="none"/>
        </w:rPr>
      </w:pPr>
    </w:p>
    <w:p>
      <w:pPr>
        <w:rPr>
          <w:sz w:val="18"/>
          <w:szCs w:val="18"/>
          <w:highlight w:val="none"/>
        </w:rPr>
      </w:pPr>
      <w:r>
        <w:rPr>
          <w:sz w:val="18"/>
          <w:szCs w:val="18"/>
          <w:highlight w:val="none"/>
        </w:rPr>
        <w:br w:type="page"/>
      </w:r>
    </w:p>
    <w:tbl>
      <w:tblPr>
        <w:tblStyle w:val="1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序号</w:t>
            </w:r>
          </w:p>
        </w:tc>
        <w:tc>
          <w:tcPr>
            <w:tcW w:w="1044" w:type="dxa"/>
            <w:vAlign w:val="center"/>
          </w:tcPr>
          <w:p>
            <w:pPr>
              <w:adjustRightInd w:val="0"/>
              <w:snapToGrid w:val="0"/>
              <w:spacing w:line="324" w:lineRule="auto"/>
              <w:rPr>
                <w:sz w:val="24"/>
                <w:highlight w:val="none"/>
              </w:rPr>
            </w:pPr>
            <w:r>
              <w:rPr>
                <w:rFonts w:hint="eastAsia"/>
                <w:sz w:val="24"/>
                <w:highlight w:val="none"/>
              </w:rPr>
              <w:t>条款号</w:t>
            </w:r>
          </w:p>
        </w:tc>
        <w:tc>
          <w:tcPr>
            <w:tcW w:w="7560" w:type="dxa"/>
            <w:vAlign w:val="center"/>
          </w:tcPr>
          <w:p>
            <w:pPr>
              <w:adjustRightInd w:val="0"/>
              <w:snapToGrid w:val="0"/>
              <w:spacing w:line="324" w:lineRule="auto"/>
              <w:rPr>
                <w:sz w:val="24"/>
                <w:highlight w:val="none"/>
              </w:rPr>
            </w:pPr>
            <w:r>
              <w:rPr>
                <w:rFonts w:hint="eastAsia"/>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16</w:t>
            </w:r>
          </w:p>
        </w:tc>
        <w:tc>
          <w:tcPr>
            <w:tcW w:w="1044" w:type="dxa"/>
            <w:vAlign w:val="center"/>
          </w:tcPr>
          <w:p>
            <w:pPr>
              <w:adjustRightInd w:val="0"/>
              <w:snapToGrid w:val="0"/>
              <w:spacing w:line="324" w:lineRule="auto"/>
              <w:rPr>
                <w:sz w:val="24"/>
                <w:highlight w:val="none"/>
              </w:rPr>
            </w:pPr>
            <w:r>
              <w:rPr>
                <w:rFonts w:hint="eastAsia"/>
                <w:sz w:val="24"/>
                <w:highlight w:val="none"/>
              </w:rPr>
              <w:t>15.2.2</w:t>
            </w:r>
          </w:p>
        </w:tc>
        <w:tc>
          <w:tcPr>
            <w:tcW w:w="7560" w:type="dxa"/>
          </w:tcPr>
          <w:p>
            <w:pPr>
              <w:adjustRightInd w:val="0"/>
              <w:snapToGrid w:val="0"/>
              <w:spacing w:line="324" w:lineRule="auto"/>
              <w:rPr>
                <w:sz w:val="24"/>
                <w:highlight w:val="none"/>
              </w:rPr>
            </w:pPr>
            <w:r>
              <w:rPr>
                <w:rFonts w:hint="eastAsia"/>
                <w:sz w:val="24"/>
                <w:highlight w:val="none"/>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17</w:t>
            </w:r>
          </w:p>
        </w:tc>
        <w:tc>
          <w:tcPr>
            <w:tcW w:w="1044" w:type="dxa"/>
            <w:vAlign w:val="center"/>
          </w:tcPr>
          <w:p>
            <w:pPr>
              <w:adjustRightInd w:val="0"/>
              <w:snapToGrid w:val="0"/>
              <w:spacing w:line="324" w:lineRule="auto"/>
              <w:rPr>
                <w:sz w:val="24"/>
                <w:highlight w:val="none"/>
              </w:rPr>
            </w:pPr>
            <w:r>
              <w:rPr>
                <w:rFonts w:hint="eastAsia"/>
                <w:sz w:val="24"/>
                <w:highlight w:val="none"/>
              </w:rPr>
              <w:t>16.1</w:t>
            </w:r>
          </w:p>
        </w:tc>
        <w:tc>
          <w:tcPr>
            <w:tcW w:w="7560" w:type="dxa"/>
          </w:tcPr>
          <w:p>
            <w:pPr>
              <w:adjustRightInd w:val="0"/>
              <w:snapToGrid w:val="0"/>
              <w:spacing w:line="324" w:lineRule="auto"/>
              <w:rPr>
                <w:sz w:val="24"/>
                <w:highlight w:val="none"/>
              </w:rPr>
            </w:pPr>
            <w:r>
              <w:rPr>
                <w:rFonts w:hint="eastAsia"/>
                <w:sz w:val="24"/>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18</w:t>
            </w:r>
          </w:p>
        </w:tc>
        <w:tc>
          <w:tcPr>
            <w:tcW w:w="1044" w:type="dxa"/>
            <w:vAlign w:val="center"/>
          </w:tcPr>
          <w:p>
            <w:pPr>
              <w:adjustRightInd w:val="0"/>
              <w:snapToGrid w:val="0"/>
              <w:spacing w:line="324" w:lineRule="auto"/>
              <w:rPr>
                <w:sz w:val="24"/>
                <w:highlight w:val="none"/>
              </w:rPr>
            </w:pPr>
            <w:r>
              <w:rPr>
                <w:rFonts w:hint="eastAsia"/>
                <w:sz w:val="24"/>
                <w:highlight w:val="none"/>
              </w:rPr>
              <w:t>17.2.1</w:t>
            </w:r>
          </w:p>
        </w:tc>
        <w:tc>
          <w:tcPr>
            <w:tcW w:w="7560" w:type="dxa"/>
          </w:tcPr>
          <w:p>
            <w:pPr>
              <w:adjustRightInd w:val="0"/>
              <w:snapToGrid w:val="0"/>
              <w:spacing w:line="324" w:lineRule="auto"/>
              <w:rPr>
                <w:sz w:val="24"/>
                <w:highlight w:val="none"/>
              </w:rPr>
            </w:pPr>
            <w:r>
              <w:rPr>
                <w:rFonts w:hint="eastAsia"/>
                <w:sz w:val="24"/>
                <w:highlight w:val="none"/>
              </w:rPr>
              <w:t>开工预付款比例：</w:t>
            </w:r>
            <w:r>
              <w:rPr>
                <w:rFonts w:hint="eastAsia"/>
                <w:sz w:val="24"/>
                <w:highlight w:val="none"/>
                <w:u w:val="single"/>
              </w:rPr>
              <w:t>30</w:t>
            </w:r>
            <w:r>
              <w:rPr>
                <w:rFonts w:hint="eastAsia"/>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29</w:t>
            </w:r>
          </w:p>
        </w:tc>
        <w:tc>
          <w:tcPr>
            <w:tcW w:w="1044" w:type="dxa"/>
            <w:vAlign w:val="center"/>
          </w:tcPr>
          <w:p>
            <w:pPr>
              <w:adjustRightInd w:val="0"/>
              <w:snapToGrid w:val="0"/>
              <w:spacing w:line="324" w:lineRule="auto"/>
              <w:rPr>
                <w:sz w:val="24"/>
                <w:highlight w:val="none"/>
              </w:rPr>
            </w:pPr>
            <w:r>
              <w:rPr>
                <w:rFonts w:hint="eastAsia"/>
                <w:sz w:val="24"/>
                <w:highlight w:val="none"/>
              </w:rPr>
              <w:t>17.2.1</w:t>
            </w:r>
          </w:p>
        </w:tc>
        <w:tc>
          <w:tcPr>
            <w:tcW w:w="7560" w:type="dxa"/>
          </w:tcPr>
          <w:p>
            <w:pPr>
              <w:adjustRightInd w:val="0"/>
              <w:snapToGrid w:val="0"/>
              <w:spacing w:line="324" w:lineRule="auto"/>
              <w:rPr>
                <w:sz w:val="24"/>
                <w:highlight w:val="none"/>
              </w:rPr>
            </w:pPr>
            <w:r>
              <w:rPr>
                <w:rFonts w:hint="eastAsia"/>
                <w:sz w:val="24"/>
                <w:highlight w:val="none"/>
              </w:rPr>
              <w:t>材料、设备预付款比例：等主要材料、设备单据所列费用的%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20</w:t>
            </w:r>
          </w:p>
        </w:tc>
        <w:tc>
          <w:tcPr>
            <w:tcW w:w="1044" w:type="dxa"/>
            <w:vAlign w:val="center"/>
          </w:tcPr>
          <w:p>
            <w:pPr>
              <w:adjustRightInd w:val="0"/>
              <w:snapToGrid w:val="0"/>
              <w:spacing w:line="324" w:lineRule="auto"/>
              <w:rPr>
                <w:sz w:val="24"/>
                <w:highlight w:val="none"/>
              </w:rPr>
            </w:pPr>
            <w:r>
              <w:rPr>
                <w:rFonts w:hint="eastAsia"/>
                <w:sz w:val="24"/>
                <w:highlight w:val="none"/>
              </w:rPr>
              <w:t>17.3.2</w:t>
            </w:r>
          </w:p>
        </w:tc>
        <w:tc>
          <w:tcPr>
            <w:tcW w:w="7560" w:type="dxa"/>
          </w:tcPr>
          <w:p>
            <w:pPr>
              <w:adjustRightInd w:val="0"/>
              <w:snapToGrid w:val="0"/>
              <w:spacing w:line="324" w:lineRule="auto"/>
              <w:rPr>
                <w:sz w:val="24"/>
                <w:highlight w:val="none"/>
              </w:rPr>
            </w:pPr>
            <w:r>
              <w:rPr>
                <w:rFonts w:hint="eastAsia"/>
                <w:sz w:val="24"/>
                <w:highlight w:val="none"/>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21</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jc w:val="left"/>
              <w:rPr>
                <w:sz w:val="24"/>
                <w:highlight w:val="none"/>
              </w:rPr>
            </w:pPr>
            <w:r>
              <w:rPr>
                <w:rFonts w:hint="eastAsia"/>
                <w:sz w:val="24"/>
                <w:highlight w:val="none"/>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22</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rPr>
                <w:sz w:val="24"/>
                <w:highlight w:val="none"/>
              </w:rPr>
            </w:pPr>
            <w:r>
              <w:rPr>
                <w:rFonts w:hint="eastAsia"/>
                <w:sz w:val="24"/>
                <w:highlight w:val="none"/>
              </w:rPr>
              <w:t>进度付款支付期限：</w:t>
            </w:r>
          </w:p>
          <w:p>
            <w:pPr>
              <w:adjustRightInd w:val="0"/>
              <w:snapToGrid w:val="0"/>
              <w:spacing w:line="324" w:lineRule="auto"/>
              <w:rPr>
                <w:sz w:val="24"/>
                <w:highlight w:val="none"/>
              </w:rPr>
            </w:pPr>
            <w:r>
              <w:rPr>
                <w:rFonts w:hint="eastAsia"/>
                <w:sz w:val="24"/>
                <w:highlight w:val="none"/>
              </w:rPr>
              <w:t>监理人收到进度付款申请单后</w:t>
            </w:r>
            <w:r>
              <w:rPr>
                <w:rFonts w:hint="eastAsia" w:ascii="宋体" w:hAnsi="宋体"/>
                <w:sz w:val="24"/>
                <w:highlight w:val="none"/>
              </w:rPr>
              <w:t>天</w:t>
            </w:r>
            <w:r>
              <w:rPr>
                <w:rFonts w:hint="eastAsia"/>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23</w:t>
            </w:r>
          </w:p>
        </w:tc>
        <w:tc>
          <w:tcPr>
            <w:tcW w:w="1044" w:type="dxa"/>
            <w:vAlign w:val="center"/>
          </w:tcPr>
          <w:p>
            <w:pPr>
              <w:adjustRightInd w:val="0"/>
              <w:snapToGrid w:val="0"/>
              <w:spacing w:line="324" w:lineRule="auto"/>
              <w:rPr>
                <w:sz w:val="24"/>
                <w:highlight w:val="none"/>
              </w:rPr>
            </w:pPr>
            <w:r>
              <w:rPr>
                <w:rFonts w:hint="eastAsia"/>
                <w:sz w:val="24"/>
                <w:highlight w:val="none"/>
              </w:rPr>
              <w:t>17.3.3</w:t>
            </w:r>
          </w:p>
        </w:tc>
        <w:tc>
          <w:tcPr>
            <w:tcW w:w="7560" w:type="dxa"/>
          </w:tcPr>
          <w:p>
            <w:pPr>
              <w:adjustRightInd w:val="0"/>
              <w:snapToGrid w:val="0"/>
              <w:spacing w:line="324" w:lineRule="auto"/>
              <w:rPr>
                <w:sz w:val="24"/>
                <w:highlight w:val="none"/>
              </w:rPr>
            </w:pPr>
            <w:r>
              <w:rPr>
                <w:rFonts w:hint="eastAsia"/>
                <w:sz w:val="24"/>
                <w:highlight w:val="none"/>
              </w:rPr>
              <w:t>逾期付款违约金：</w:t>
            </w:r>
            <w:r>
              <w:rPr>
                <w:rFonts w:hint="eastAsia" w:ascii="宋体" w:hAnsi="宋体"/>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24</w:t>
            </w:r>
          </w:p>
        </w:tc>
        <w:tc>
          <w:tcPr>
            <w:tcW w:w="1044" w:type="dxa"/>
            <w:vAlign w:val="center"/>
          </w:tcPr>
          <w:p>
            <w:pPr>
              <w:adjustRightInd w:val="0"/>
              <w:snapToGrid w:val="0"/>
              <w:spacing w:line="324" w:lineRule="auto"/>
              <w:rPr>
                <w:sz w:val="24"/>
                <w:highlight w:val="none"/>
              </w:rPr>
            </w:pPr>
            <w:r>
              <w:rPr>
                <w:rFonts w:hint="eastAsia"/>
                <w:sz w:val="24"/>
                <w:highlight w:val="none"/>
              </w:rPr>
              <w:t>17.4.1</w:t>
            </w:r>
          </w:p>
        </w:tc>
        <w:tc>
          <w:tcPr>
            <w:tcW w:w="7560" w:type="dxa"/>
          </w:tcPr>
          <w:p>
            <w:pPr>
              <w:adjustRightInd w:val="0"/>
              <w:snapToGrid w:val="0"/>
              <w:spacing w:line="324" w:lineRule="auto"/>
              <w:rPr>
                <w:sz w:val="24"/>
                <w:highlight w:val="none"/>
              </w:rPr>
            </w:pPr>
            <w:r>
              <w:rPr>
                <w:rFonts w:hint="eastAsia"/>
                <w:sz w:val="24"/>
                <w:highlight w:val="none"/>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25</w:t>
            </w:r>
          </w:p>
        </w:tc>
        <w:tc>
          <w:tcPr>
            <w:tcW w:w="1044" w:type="dxa"/>
            <w:vAlign w:val="center"/>
          </w:tcPr>
          <w:p>
            <w:pPr>
              <w:adjustRightInd w:val="0"/>
              <w:snapToGrid w:val="0"/>
              <w:spacing w:line="324" w:lineRule="auto"/>
              <w:rPr>
                <w:sz w:val="24"/>
                <w:highlight w:val="none"/>
              </w:rPr>
            </w:pPr>
            <w:r>
              <w:rPr>
                <w:rFonts w:hint="eastAsia"/>
                <w:sz w:val="24"/>
                <w:highlight w:val="none"/>
              </w:rPr>
              <w:t>17.4.1</w:t>
            </w:r>
          </w:p>
        </w:tc>
        <w:tc>
          <w:tcPr>
            <w:tcW w:w="7560" w:type="dxa"/>
          </w:tcPr>
          <w:p>
            <w:pPr>
              <w:adjustRightInd w:val="0"/>
              <w:snapToGrid w:val="0"/>
              <w:spacing w:line="324" w:lineRule="auto"/>
              <w:rPr>
                <w:sz w:val="24"/>
                <w:highlight w:val="none"/>
              </w:rPr>
            </w:pPr>
            <w:r>
              <w:rPr>
                <w:rFonts w:hint="eastAsia"/>
                <w:sz w:val="24"/>
                <w:highlight w:val="none"/>
              </w:rPr>
              <w:t>质量保证金限额：合同价格的3%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26</w:t>
            </w:r>
          </w:p>
        </w:tc>
        <w:tc>
          <w:tcPr>
            <w:tcW w:w="1044" w:type="dxa"/>
            <w:vAlign w:val="center"/>
          </w:tcPr>
          <w:p>
            <w:pPr>
              <w:adjustRightInd w:val="0"/>
              <w:snapToGrid w:val="0"/>
              <w:spacing w:line="324" w:lineRule="auto"/>
              <w:rPr>
                <w:sz w:val="24"/>
                <w:highlight w:val="none"/>
              </w:rPr>
            </w:pPr>
            <w:r>
              <w:rPr>
                <w:rFonts w:hint="eastAsia"/>
                <w:sz w:val="24"/>
                <w:highlight w:val="none"/>
              </w:rPr>
              <w:t>17.5.1</w:t>
            </w:r>
          </w:p>
        </w:tc>
        <w:tc>
          <w:tcPr>
            <w:tcW w:w="7560" w:type="dxa"/>
          </w:tcPr>
          <w:p>
            <w:pPr>
              <w:adjustRightInd w:val="0"/>
              <w:snapToGrid w:val="0"/>
              <w:spacing w:line="324" w:lineRule="auto"/>
              <w:rPr>
                <w:sz w:val="24"/>
                <w:highlight w:val="none"/>
              </w:rPr>
            </w:pPr>
            <w:r>
              <w:rPr>
                <w:rFonts w:hint="eastAsia"/>
                <w:sz w:val="24"/>
                <w:highlight w:val="none"/>
              </w:rPr>
              <w:t>竣工付款申请单：承包人向监理人提交竣工付款申请单（包括相关证明材料）的份数：</w:t>
            </w:r>
            <w:r>
              <w:rPr>
                <w:rFonts w:hint="eastAsia"/>
                <w:sz w:val="24"/>
                <w:highlight w:val="none"/>
                <w:u w:val="single"/>
              </w:rPr>
              <w:t xml:space="preserve">   3 </w:t>
            </w:r>
            <w:r>
              <w:rPr>
                <w:rFonts w:hint="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27</w:t>
            </w:r>
          </w:p>
        </w:tc>
        <w:tc>
          <w:tcPr>
            <w:tcW w:w="1044" w:type="dxa"/>
            <w:vAlign w:val="center"/>
          </w:tcPr>
          <w:p>
            <w:pPr>
              <w:adjustRightInd w:val="0"/>
              <w:snapToGrid w:val="0"/>
              <w:spacing w:line="324" w:lineRule="auto"/>
              <w:rPr>
                <w:sz w:val="24"/>
                <w:highlight w:val="none"/>
              </w:rPr>
            </w:pPr>
            <w:r>
              <w:rPr>
                <w:rFonts w:hint="eastAsia"/>
                <w:sz w:val="24"/>
                <w:highlight w:val="none"/>
              </w:rPr>
              <w:t>17.5.2</w:t>
            </w:r>
          </w:p>
        </w:tc>
        <w:tc>
          <w:tcPr>
            <w:tcW w:w="7560" w:type="dxa"/>
          </w:tcPr>
          <w:p>
            <w:pPr>
              <w:adjustRightInd w:val="0"/>
              <w:snapToGrid w:val="0"/>
              <w:spacing w:line="324" w:lineRule="auto"/>
              <w:rPr>
                <w:sz w:val="24"/>
                <w:highlight w:val="none"/>
              </w:rPr>
            </w:pPr>
            <w:r>
              <w:rPr>
                <w:rFonts w:hint="eastAsia"/>
                <w:sz w:val="24"/>
                <w:highlight w:val="none"/>
              </w:rPr>
              <w:t>竣工付款支付期限：</w:t>
            </w:r>
          </w:p>
          <w:p>
            <w:pPr>
              <w:adjustRightInd w:val="0"/>
              <w:snapToGrid w:val="0"/>
              <w:spacing w:line="324" w:lineRule="auto"/>
              <w:rPr>
                <w:sz w:val="24"/>
                <w:highlight w:val="none"/>
              </w:rPr>
            </w:pPr>
            <w:r>
              <w:rPr>
                <w:rFonts w:hint="eastAsia"/>
                <w:sz w:val="24"/>
                <w:highlight w:val="none"/>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28</w:t>
            </w:r>
          </w:p>
        </w:tc>
        <w:tc>
          <w:tcPr>
            <w:tcW w:w="1044" w:type="dxa"/>
            <w:vAlign w:val="center"/>
          </w:tcPr>
          <w:p>
            <w:pPr>
              <w:adjustRightInd w:val="0"/>
              <w:snapToGrid w:val="0"/>
              <w:spacing w:line="324" w:lineRule="auto"/>
              <w:rPr>
                <w:sz w:val="24"/>
                <w:highlight w:val="none"/>
              </w:rPr>
            </w:pPr>
            <w:r>
              <w:rPr>
                <w:rFonts w:hint="eastAsia"/>
                <w:sz w:val="24"/>
                <w:highlight w:val="none"/>
              </w:rPr>
              <w:t>17.6.1</w:t>
            </w:r>
          </w:p>
        </w:tc>
        <w:tc>
          <w:tcPr>
            <w:tcW w:w="7560" w:type="dxa"/>
          </w:tcPr>
          <w:p>
            <w:pPr>
              <w:adjustRightInd w:val="0"/>
              <w:snapToGrid w:val="0"/>
              <w:spacing w:line="324" w:lineRule="auto"/>
              <w:rPr>
                <w:sz w:val="24"/>
                <w:highlight w:val="none"/>
              </w:rPr>
            </w:pPr>
            <w:r>
              <w:rPr>
                <w:rFonts w:hint="eastAsia"/>
                <w:sz w:val="24"/>
                <w:highlight w:val="none"/>
              </w:rPr>
              <w:t>最终结清申请单：承包人向监理人提交终结清申请单（包括相关证明材料）的份数：</w:t>
            </w:r>
            <w:r>
              <w:rPr>
                <w:rFonts w:hint="eastAsia"/>
                <w:sz w:val="24"/>
                <w:highlight w:val="none"/>
                <w:u w:val="single"/>
              </w:rPr>
              <w:t xml:space="preserve">  3  </w:t>
            </w:r>
            <w:r>
              <w:rPr>
                <w:rFonts w:hint="eastAsia"/>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29</w:t>
            </w:r>
          </w:p>
        </w:tc>
        <w:tc>
          <w:tcPr>
            <w:tcW w:w="1044" w:type="dxa"/>
            <w:vAlign w:val="center"/>
          </w:tcPr>
          <w:p>
            <w:pPr>
              <w:adjustRightInd w:val="0"/>
              <w:snapToGrid w:val="0"/>
              <w:spacing w:line="324" w:lineRule="auto"/>
              <w:rPr>
                <w:sz w:val="24"/>
                <w:highlight w:val="none"/>
              </w:rPr>
            </w:pPr>
            <w:r>
              <w:rPr>
                <w:rFonts w:hint="eastAsia"/>
                <w:sz w:val="24"/>
                <w:highlight w:val="none"/>
              </w:rPr>
              <w:t>17.6.2</w:t>
            </w:r>
          </w:p>
        </w:tc>
        <w:tc>
          <w:tcPr>
            <w:tcW w:w="7560" w:type="dxa"/>
          </w:tcPr>
          <w:p>
            <w:pPr>
              <w:adjustRightInd w:val="0"/>
              <w:snapToGrid w:val="0"/>
              <w:spacing w:line="324" w:lineRule="auto"/>
              <w:rPr>
                <w:sz w:val="24"/>
                <w:highlight w:val="none"/>
              </w:rPr>
            </w:pPr>
            <w:r>
              <w:rPr>
                <w:rFonts w:hint="eastAsia"/>
                <w:sz w:val="24"/>
                <w:highlight w:val="none"/>
              </w:rPr>
              <w:t>最终付款支付期限：</w:t>
            </w:r>
          </w:p>
          <w:p>
            <w:pPr>
              <w:adjustRightInd w:val="0"/>
              <w:snapToGrid w:val="0"/>
              <w:spacing w:line="324" w:lineRule="auto"/>
              <w:rPr>
                <w:sz w:val="24"/>
                <w:highlight w:val="none"/>
              </w:rPr>
            </w:pPr>
            <w:r>
              <w:rPr>
                <w:rFonts w:hint="eastAsia"/>
                <w:sz w:val="24"/>
                <w:highlight w:val="none"/>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30</w:t>
            </w:r>
          </w:p>
        </w:tc>
        <w:tc>
          <w:tcPr>
            <w:tcW w:w="1044" w:type="dxa"/>
            <w:vAlign w:val="center"/>
          </w:tcPr>
          <w:p>
            <w:pPr>
              <w:adjustRightInd w:val="0"/>
              <w:snapToGrid w:val="0"/>
              <w:spacing w:line="324" w:lineRule="auto"/>
              <w:rPr>
                <w:sz w:val="24"/>
                <w:highlight w:val="none"/>
              </w:rPr>
            </w:pPr>
            <w:r>
              <w:rPr>
                <w:rFonts w:hint="eastAsia"/>
                <w:sz w:val="24"/>
                <w:highlight w:val="none"/>
              </w:rPr>
              <w:t>19.7</w:t>
            </w:r>
          </w:p>
        </w:tc>
        <w:tc>
          <w:tcPr>
            <w:tcW w:w="7560" w:type="dxa"/>
          </w:tcPr>
          <w:p>
            <w:pPr>
              <w:adjustRightInd w:val="0"/>
              <w:snapToGrid w:val="0"/>
              <w:spacing w:line="324" w:lineRule="auto"/>
              <w:rPr>
                <w:sz w:val="24"/>
                <w:highlight w:val="none"/>
              </w:rPr>
            </w:pPr>
            <w:r>
              <w:rPr>
                <w:rFonts w:hint="eastAsia"/>
                <w:sz w:val="24"/>
                <w:highlight w:val="none"/>
              </w:rPr>
              <w:t>保修期：</w:t>
            </w:r>
            <w:r>
              <w:rPr>
                <w:rFonts w:hint="eastAsia"/>
                <w:sz w:val="24"/>
                <w:highlight w:val="none"/>
                <w:u w:val="single"/>
              </w:rPr>
              <w:t xml:space="preserve"> 5  </w:t>
            </w:r>
            <w:r>
              <w:rPr>
                <w:rFonts w:hint="eastAsia"/>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highlight w:val="none"/>
              </w:rPr>
            </w:pPr>
            <w:r>
              <w:rPr>
                <w:rFonts w:hint="eastAsia"/>
                <w:sz w:val="24"/>
                <w:highlight w:val="none"/>
              </w:rPr>
              <w:t>31</w:t>
            </w:r>
          </w:p>
        </w:tc>
        <w:tc>
          <w:tcPr>
            <w:tcW w:w="1044" w:type="dxa"/>
            <w:vAlign w:val="center"/>
          </w:tcPr>
          <w:p>
            <w:pPr>
              <w:adjustRightInd w:val="0"/>
              <w:snapToGrid w:val="0"/>
              <w:spacing w:line="324" w:lineRule="auto"/>
              <w:rPr>
                <w:sz w:val="24"/>
                <w:highlight w:val="none"/>
              </w:rPr>
            </w:pPr>
            <w:r>
              <w:rPr>
                <w:rFonts w:hint="eastAsia"/>
                <w:sz w:val="24"/>
                <w:highlight w:val="none"/>
              </w:rPr>
              <w:t>20.1</w:t>
            </w:r>
          </w:p>
        </w:tc>
        <w:tc>
          <w:tcPr>
            <w:tcW w:w="7560" w:type="dxa"/>
          </w:tcPr>
          <w:p>
            <w:pPr>
              <w:adjustRightInd w:val="0"/>
              <w:snapToGrid w:val="0"/>
              <w:spacing w:line="324" w:lineRule="auto"/>
              <w:rPr>
                <w:sz w:val="24"/>
                <w:highlight w:val="none"/>
              </w:rPr>
            </w:pPr>
            <w:r>
              <w:rPr>
                <w:rFonts w:hint="eastAsia"/>
                <w:sz w:val="24"/>
                <w:highlight w:val="none"/>
              </w:rPr>
              <w:t>建筑工程一切险的保险费率：</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32</w:t>
            </w:r>
          </w:p>
        </w:tc>
        <w:tc>
          <w:tcPr>
            <w:tcW w:w="1044" w:type="dxa"/>
            <w:vAlign w:val="center"/>
          </w:tcPr>
          <w:p>
            <w:pPr>
              <w:adjustRightInd w:val="0"/>
              <w:snapToGrid w:val="0"/>
              <w:spacing w:line="324" w:lineRule="auto"/>
              <w:rPr>
                <w:sz w:val="24"/>
                <w:highlight w:val="none"/>
              </w:rPr>
            </w:pPr>
            <w:r>
              <w:rPr>
                <w:rFonts w:hint="eastAsia"/>
                <w:sz w:val="24"/>
                <w:highlight w:val="none"/>
              </w:rPr>
              <w:t>20.4.2</w:t>
            </w:r>
          </w:p>
        </w:tc>
        <w:tc>
          <w:tcPr>
            <w:tcW w:w="7560" w:type="dxa"/>
          </w:tcPr>
          <w:p>
            <w:pPr>
              <w:adjustRightInd w:val="0"/>
              <w:snapToGrid w:val="0"/>
              <w:spacing w:line="324" w:lineRule="auto"/>
              <w:rPr>
                <w:sz w:val="24"/>
                <w:highlight w:val="none"/>
              </w:rPr>
            </w:pPr>
            <w:r>
              <w:rPr>
                <w:rFonts w:hint="eastAsia"/>
                <w:sz w:val="24"/>
                <w:highlight w:val="none"/>
              </w:rPr>
              <w:t>第三者责任的最低投保金额：万元人民币，事故次数不限（不计免赔额）保险费率：</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rPr>
                <w:sz w:val="24"/>
                <w:highlight w:val="none"/>
              </w:rPr>
            </w:pPr>
            <w:r>
              <w:rPr>
                <w:rFonts w:hint="eastAsia"/>
                <w:sz w:val="24"/>
                <w:highlight w:val="none"/>
              </w:rPr>
              <w:t>33</w:t>
            </w:r>
          </w:p>
        </w:tc>
        <w:tc>
          <w:tcPr>
            <w:tcW w:w="1044" w:type="dxa"/>
            <w:vAlign w:val="center"/>
          </w:tcPr>
          <w:p>
            <w:pPr>
              <w:adjustRightInd w:val="0"/>
              <w:snapToGrid w:val="0"/>
              <w:spacing w:line="324" w:lineRule="auto"/>
              <w:rPr>
                <w:sz w:val="24"/>
                <w:highlight w:val="none"/>
              </w:rPr>
            </w:pPr>
            <w:r>
              <w:rPr>
                <w:rFonts w:hint="eastAsia"/>
                <w:sz w:val="24"/>
                <w:highlight w:val="none"/>
              </w:rPr>
              <w:t>24.1</w:t>
            </w:r>
          </w:p>
        </w:tc>
        <w:tc>
          <w:tcPr>
            <w:tcW w:w="7560" w:type="dxa"/>
          </w:tcPr>
          <w:p>
            <w:pPr>
              <w:adjustRightInd w:val="0"/>
              <w:snapToGrid w:val="0"/>
              <w:spacing w:line="324" w:lineRule="auto"/>
              <w:rPr>
                <w:sz w:val="24"/>
                <w:highlight w:val="none"/>
                <w:u w:val="single"/>
              </w:rPr>
            </w:pPr>
            <w:r>
              <w:rPr>
                <w:rFonts w:hint="eastAsia"/>
                <w:sz w:val="24"/>
                <w:highlight w:val="none"/>
              </w:rPr>
              <w:t>争议的最终解决方式：</w:t>
            </w:r>
            <w:r>
              <w:rPr>
                <w:rFonts w:hint="eastAsia"/>
                <w:sz w:val="24"/>
                <w:highlight w:val="none"/>
                <w:u w:val="single"/>
              </w:rPr>
              <w:t>仲裁或诉讼</w:t>
            </w:r>
          </w:p>
          <w:p>
            <w:pPr>
              <w:adjustRightInd w:val="0"/>
              <w:snapToGrid w:val="0"/>
              <w:spacing w:line="324" w:lineRule="auto"/>
              <w:rPr>
                <w:sz w:val="24"/>
                <w:highlight w:val="none"/>
              </w:rPr>
            </w:pPr>
            <w:r>
              <w:rPr>
                <w:rFonts w:hint="eastAsia"/>
                <w:sz w:val="24"/>
                <w:highlight w:val="none"/>
              </w:rPr>
              <w:t>如采用仲裁，仲裁委员会名称</w:t>
            </w:r>
            <w:r>
              <w:rPr>
                <w:rFonts w:hint="eastAsia"/>
                <w:sz w:val="24"/>
                <w:highlight w:val="none"/>
                <w:u w:val="single"/>
              </w:rPr>
              <w:t>：许昌市中级人民法院</w:t>
            </w:r>
          </w:p>
        </w:tc>
      </w:tr>
    </w:tbl>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160" w:lineRule="exact"/>
        <w:rPr>
          <w:rFonts w:ascii="宋体" w:hAnsi="宋体"/>
          <w:sz w:val="15"/>
          <w:szCs w:val="15"/>
          <w:highlight w:val="none"/>
        </w:rPr>
      </w:pPr>
    </w:p>
    <w:p>
      <w:pPr>
        <w:adjustRightInd w:val="0"/>
        <w:snapToGrid w:val="0"/>
        <w:spacing w:beforeLines="50" w:afterLines="50" w:line="360" w:lineRule="auto"/>
        <w:rPr>
          <w:rFonts w:ascii="黑体" w:eastAsia="黑体"/>
          <w:sz w:val="30"/>
          <w:highlight w:val="none"/>
        </w:rPr>
      </w:pPr>
    </w:p>
    <w:p>
      <w:pPr>
        <w:adjustRightInd w:val="0"/>
        <w:snapToGrid w:val="0"/>
        <w:spacing w:beforeLines="50" w:afterLines="50" w:line="360" w:lineRule="auto"/>
        <w:rPr>
          <w:rFonts w:ascii="黑体" w:eastAsia="黑体"/>
          <w:sz w:val="30"/>
          <w:highlight w:val="none"/>
        </w:rPr>
      </w:pPr>
      <w:r>
        <w:rPr>
          <w:rFonts w:hint="eastAsia" w:ascii="黑体" w:eastAsia="黑体"/>
          <w:sz w:val="30"/>
          <w:highlight w:val="none"/>
        </w:rPr>
        <w:t>项目专用条款</w:t>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1.4合同文件的优先顺序：</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1.7.2来往函件送达的期限：</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2.8发包人应履行的其他义务：</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4.1.2依法纳税：</w:t>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4.1.8为他人提供方便</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672" w:firstLineChars="2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承包人为他人提供条件的内容：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672" w:firstLineChars="2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承包人为他人提供条件可能发生费用的处理方法：</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4.1.10其他义务：</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4.2履约担保：</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4.11.1不利物质条件的范围：</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6.2发包人提供的施工设备和临时设施：</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rPr>
        <w:t>。承包人监理人报送施工控制网资料的时间：</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9.2承包人的施工安全责任：</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10.1合同进度计划</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承包人编制施工方案的内容：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11.4异常恶劣的气候条件：</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11.5承包人的工期延误：</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11.6工期提前：</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12.1承包人暂停停工的责任：</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15.4变更的佶价原则：</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17.3.3进度付款证书和支付时间：</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进度付款涉及政府投资资金的,按照以下规定办理：</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18.5施工期运行</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单位工程或工程设备是否需投入施工期运行：</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18.6试运行</w:t>
      </w:r>
      <w:r>
        <w:rPr>
          <w:rFonts w:asciiTheme="minorEastAsia" w:hAnsiTheme="minorEastAsia" w:eastAsiaTheme="minorEastAsia"/>
          <w:position w:val="-10"/>
          <w:sz w:val="24"/>
          <w:highlight w:val="none"/>
        </w:rPr>
        <w:object>
          <v:shape id="_x0000_i1026" o:spt="75" type="#_x0000_t75" style="height:16.85pt;width:9.35pt;" o:ole="t" filled="f" o:preferrelative="t" stroked="f" coordsize="21600,21600">
            <v:path/>
            <v:fill on="f" focussize="0,0"/>
            <v:stroke on="f" joinstyle="miter"/>
            <v:imagedata r:id="rId17" o:title=""/>
            <o:lock v:ext="edit" aspectratio="t"/>
            <w10:wrap type="none"/>
            <w10:anchorlock/>
          </v:shape>
          <o:OLEObject Type="Embed" ProgID="Equations" ShapeID="_x0000_i1026" DrawAspect="Content" ObjectID="_1468075726" r:id="rId16">
            <o:LockedField>false</o:LockedField>
          </o:OLEObject>
        </w:objec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18.6.1项约定：</w:t>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本工程及工程设备是否进行试运行：</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试运行的内容：</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试运行的费用约定：</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21.1不可抗力的确认：</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adjustRightInd w:val="0"/>
        <w:snapToGrid w:val="0"/>
        <w:spacing w:line="312"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22.1.2对承包人违约的处理：</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pPr>
        <w:pStyle w:val="34"/>
        <w:snapToGrid w:val="0"/>
        <w:spacing w:line="300" w:lineRule="auto"/>
        <w:jc w:val="center"/>
        <w:rPr>
          <w:rFonts w:ascii="黑体" w:eastAsia="黑体"/>
          <w:bCs/>
          <w:color w:val="auto"/>
          <w:sz w:val="36"/>
          <w:szCs w:val="36"/>
          <w:highlight w:val="none"/>
        </w:rPr>
      </w:pPr>
    </w:p>
    <w:p>
      <w:pPr>
        <w:pStyle w:val="34"/>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bookmarkEnd w:id="217"/>
    <w:p>
      <w:pPr>
        <w:adjustRightInd w:val="0"/>
        <w:snapToGrid w:val="0"/>
        <w:spacing w:line="360" w:lineRule="auto"/>
        <w:rPr>
          <w:rFonts w:ascii="黑体" w:eastAsia="黑体"/>
          <w:sz w:val="24"/>
          <w:highlight w:val="none"/>
          <w:u w:val="single"/>
        </w:rPr>
      </w:pPr>
      <w:r>
        <w:rPr>
          <w:rFonts w:hint="eastAsia" w:ascii="黑体" w:eastAsia="黑体"/>
          <w:sz w:val="24"/>
          <w:highlight w:val="none"/>
        </w:rPr>
        <w:t>附件一：合同协议书</w:t>
      </w:r>
    </w:p>
    <w:p>
      <w:pPr>
        <w:adjustRightInd w:val="0"/>
        <w:snapToGrid w:val="0"/>
        <w:spacing w:beforeLines="100" w:afterLines="100" w:line="360" w:lineRule="auto"/>
        <w:jc w:val="center"/>
        <w:rPr>
          <w:rFonts w:ascii="黑体" w:eastAsia="黑体"/>
          <w:sz w:val="28"/>
          <w:szCs w:val="28"/>
          <w:highlight w:val="none"/>
        </w:rPr>
      </w:pPr>
      <w:r>
        <w:rPr>
          <w:rFonts w:hint="eastAsia" w:ascii="黑体" w:eastAsia="黑体"/>
          <w:sz w:val="28"/>
          <w:szCs w:val="28"/>
          <w:highlight w:val="none"/>
        </w:rPr>
        <w:t>合 同 协 议 书</w:t>
      </w:r>
    </w:p>
    <w:p>
      <w:pPr>
        <w:adjustRightInd w:val="0"/>
        <w:snapToGrid w:val="0"/>
        <w:spacing w:line="360" w:lineRule="auto"/>
        <w:ind w:firstLine="720" w:firstLineChars="300"/>
        <w:rPr>
          <w:sz w:val="24"/>
          <w:highlight w:val="none"/>
        </w:rPr>
      </w:pPr>
      <w:r>
        <w:rPr>
          <w:sz w:val="24"/>
          <w:highlight w:val="none"/>
        </w:rPr>
        <w:t>（发包</w:t>
      </w:r>
      <w:r>
        <w:rPr>
          <w:rFonts w:hint="eastAsia"/>
          <w:sz w:val="24"/>
          <w:highlight w:val="none"/>
        </w:rPr>
        <w:t>人名</w:t>
      </w:r>
      <w:r>
        <w:rPr>
          <w:sz w:val="24"/>
          <w:highlight w:val="none"/>
        </w:rPr>
        <w:t>称，以下</w:t>
      </w:r>
      <w:r>
        <w:rPr>
          <w:rFonts w:hint="eastAsia"/>
          <w:sz w:val="24"/>
          <w:highlight w:val="none"/>
        </w:rPr>
        <w:t>简称“发包</w:t>
      </w:r>
      <w:r>
        <w:rPr>
          <w:sz w:val="24"/>
          <w:highlight w:val="none"/>
        </w:rPr>
        <w:t>人</w:t>
      </w:r>
      <w:r>
        <w:rPr>
          <w:rFonts w:hint="eastAsia"/>
          <w:sz w:val="24"/>
          <w:highlight w:val="none"/>
        </w:rPr>
        <w:t>”）</w:t>
      </w:r>
      <w:r>
        <w:rPr>
          <w:sz w:val="24"/>
          <w:highlight w:val="none"/>
        </w:rPr>
        <w:t>为实施（项目名称），已接受（承包人名称，以下简称“承包人”）对该项目</w:t>
      </w:r>
      <w:r>
        <w:rPr>
          <w:rFonts w:hint="eastAsia" w:asciiTheme="minorEastAsia" w:hAnsiTheme="minorEastAsia" w:eastAsiaTheme="minorEastAsia"/>
          <w:sz w:val="24"/>
          <w:highlight w:val="none"/>
        </w:rPr>
        <w:t>标段</w:t>
      </w:r>
      <w:r>
        <w:rPr>
          <w:sz w:val="24"/>
          <w:highlight w:val="none"/>
        </w:rPr>
        <w:t>施工的投标。发包人和承包人共同达成如下协议。</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第</w:t>
      </w:r>
      <w:r>
        <w:rPr>
          <w:rFonts w:hint="eastAsia"/>
          <w:sz w:val="24"/>
          <w:highlight w:val="none"/>
          <w:lang w:val="en-US" w:eastAsia="zh-CN"/>
        </w:rPr>
        <w:t>__</w:t>
      </w:r>
      <w:r>
        <w:rPr>
          <w:sz w:val="24"/>
          <w:highlight w:val="none"/>
        </w:rPr>
        <w:t>标段由K＋至K十，长约km，技术标准级，路面。有立交处；大中桥座，计长</w:t>
      </w:r>
      <w:r>
        <w:rPr>
          <w:rFonts w:hint="eastAsia"/>
          <w:sz w:val="24"/>
          <w:highlight w:val="none"/>
        </w:rPr>
        <w:t>m</w:t>
      </w:r>
      <w:r>
        <w:rPr>
          <w:sz w:val="24"/>
          <w:highlight w:val="none"/>
        </w:rPr>
        <w:t>；隧道座，计长</w:t>
      </w:r>
      <w:r>
        <w:rPr>
          <w:rFonts w:hint="eastAsia"/>
          <w:sz w:val="24"/>
          <w:highlight w:val="none"/>
        </w:rPr>
        <w:t>m</w:t>
      </w:r>
      <w:r>
        <w:rPr>
          <w:sz w:val="24"/>
          <w:highlight w:val="none"/>
        </w:rPr>
        <w:t>以及其他构造物工程等。</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下列文件应视为构成合同文件的组成部分：</w:t>
      </w:r>
    </w:p>
    <w:p>
      <w:pPr>
        <w:adjustRightInd w:val="0"/>
        <w:snapToGrid w:val="0"/>
        <w:spacing w:line="360" w:lineRule="auto"/>
        <w:ind w:left="1079" w:leftChars="228" w:hanging="600" w:hangingChars="250"/>
        <w:rPr>
          <w:sz w:val="24"/>
          <w:highlight w:val="none"/>
        </w:rPr>
      </w:pPr>
      <w:r>
        <w:rPr>
          <w:sz w:val="24"/>
          <w:highlight w:val="none"/>
        </w:rPr>
        <w:t>（1</w:t>
      </w:r>
      <w:r>
        <w:rPr>
          <w:rFonts w:hint="eastAsia"/>
          <w:sz w:val="24"/>
          <w:highlight w:val="none"/>
        </w:rPr>
        <w:t>）</w:t>
      </w:r>
      <w:r>
        <w:rPr>
          <w:sz w:val="24"/>
          <w:highlight w:val="none"/>
        </w:rPr>
        <w:t>本协议书及各种合同附件（含评标期间和合同谈判过程中的澄清文件和补充资料）；</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中标通知书；</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补遗书；</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4</w:t>
      </w:r>
      <w:r>
        <w:rPr>
          <w:rFonts w:hint="eastAsia"/>
          <w:sz w:val="24"/>
          <w:highlight w:val="none"/>
        </w:rPr>
        <w:t>）</w:t>
      </w:r>
      <w:r>
        <w:rPr>
          <w:sz w:val="24"/>
          <w:highlight w:val="none"/>
        </w:rPr>
        <w:t>投标函及投标函附录；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5）项目专用合同条款；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公路行业标准专用合同条款；</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通用合同条款；</w:t>
      </w:r>
    </w:p>
    <w:p>
      <w:pPr>
        <w:adjustRightInd w:val="0"/>
        <w:snapToGrid w:val="0"/>
        <w:spacing w:line="360" w:lineRule="auto"/>
        <w:ind w:firstLine="480" w:firstLineChars="200"/>
        <w:rPr>
          <w:sz w:val="24"/>
          <w:highlight w:val="none"/>
        </w:rPr>
      </w:pPr>
      <w:r>
        <w:rPr>
          <w:sz w:val="24"/>
          <w:highlight w:val="none"/>
        </w:rPr>
        <w:t>（8）技术规范；</w:t>
      </w:r>
    </w:p>
    <w:p>
      <w:pPr>
        <w:adjustRightInd w:val="0"/>
        <w:snapToGrid w:val="0"/>
        <w:spacing w:line="360" w:lineRule="auto"/>
        <w:ind w:firstLine="480" w:firstLineChars="200"/>
        <w:rPr>
          <w:sz w:val="24"/>
          <w:highlight w:val="none"/>
        </w:rPr>
      </w:pPr>
      <w:r>
        <w:rPr>
          <w:sz w:val="24"/>
          <w:highlight w:val="none"/>
        </w:rPr>
        <w:t>（9）图纸；</w:t>
      </w:r>
    </w:p>
    <w:p>
      <w:pPr>
        <w:adjustRightInd w:val="0"/>
        <w:snapToGrid w:val="0"/>
        <w:spacing w:line="360" w:lineRule="auto"/>
        <w:ind w:firstLine="480" w:firstLineChars="200"/>
        <w:rPr>
          <w:sz w:val="24"/>
          <w:highlight w:val="none"/>
        </w:rPr>
      </w:pPr>
      <w:r>
        <w:rPr>
          <w:sz w:val="24"/>
          <w:highlight w:val="none"/>
        </w:rPr>
        <w:t>（10）已标价工程量清单；</w:t>
      </w:r>
    </w:p>
    <w:p>
      <w:pPr>
        <w:adjustRightInd w:val="0"/>
        <w:snapToGrid w:val="0"/>
        <w:spacing w:line="360" w:lineRule="auto"/>
        <w:ind w:firstLine="480" w:firstLineChars="200"/>
        <w:rPr>
          <w:sz w:val="24"/>
          <w:highlight w:val="none"/>
        </w:rPr>
      </w:pPr>
      <w:r>
        <w:rPr>
          <w:rFonts w:hint="eastAsia"/>
          <w:sz w:val="24"/>
          <w:highlight w:val="none"/>
        </w:rPr>
        <w:t>（</w:t>
      </w:r>
      <w:r>
        <w:rPr>
          <w:sz w:val="24"/>
          <w:highlight w:val="none"/>
        </w:rPr>
        <w:t>11</w:t>
      </w:r>
      <w:r>
        <w:rPr>
          <w:rFonts w:hint="eastAsia"/>
          <w:sz w:val="24"/>
          <w:highlight w:val="none"/>
        </w:rPr>
        <w:t>）</w:t>
      </w:r>
      <w:r>
        <w:rPr>
          <w:sz w:val="24"/>
          <w:highlight w:val="none"/>
        </w:rPr>
        <w:t>资格预审申请文件中有关人员、设备投入的承诺</w:t>
      </w:r>
      <w:r>
        <w:rPr>
          <w:rFonts w:hint="eastAsia"/>
          <w:sz w:val="24"/>
          <w:highlight w:val="none"/>
        </w:rPr>
        <w:t>和目标承诺书；</w:t>
      </w:r>
    </w:p>
    <w:p>
      <w:pPr>
        <w:adjustRightInd w:val="0"/>
        <w:snapToGrid w:val="0"/>
        <w:spacing w:line="360" w:lineRule="auto"/>
        <w:ind w:firstLine="480" w:firstLineChars="200"/>
        <w:rPr>
          <w:sz w:val="24"/>
          <w:highlight w:val="none"/>
        </w:rPr>
      </w:pPr>
      <w:r>
        <w:rPr>
          <w:rFonts w:hint="eastAsia"/>
          <w:sz w:val="24"/>
          <w:highlight w:val="none"/>
        </w:rPr>
        <w:t>（12）根据承诺提供的详细人员、设备清单；</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3</w:t>
      </w:r>
      <w:r>
        <w:rPr>
          <w:sz w:val="24"/>
          <w:highlight w:val="none"/>
        </w:rPr>
        <w:t>）施工组织设计安排；</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4</w:t>
      </w:r>
      <w:r>
        <w:rPr>
          <w:sz w:val="24"/>
          <w:highlight w:val="none"/>
        </w:rPr>
        <w:t>）</w:t>
      </w:r>
      <w:r>
        <w:rPr>
          <w:rFonts w:hint="eastAsia"/>
          <w:sz w:val="24"/>
          <w:highlight w:val="none"/>
        </w:rPr>
        <w:t>农民工工资支付承诺书</w:t>
      </w:r>
      <w:r>
        <w:rPr>
          <w:sz w:val="24"/>
          <w:highlight w:val="none"/>
        </w:rPr>
        <w:t>；</w:t>
      </w:r>
    </w:p>
    <w:p>
      <w:pPr>
        <w:adjustRightInd w:val="0"/>
        <w:snapToGrid w:val="0"/>
        <w:spacing w:line="360" w:lineRule="auto"/>
        <w:ind w:firstLine="480" w:firstLineChars="200"/>
        <w:rPr>
          <w:sz w:val="24"/>
          <w:highlight w:val="none"/>
        </w:rPr>
      </w:pPr>
      <w:r>
        <w:rPr>
          <w:rFonts w:hint="eastAsia"/>
          <w:sz w:val="24"/>
          <w:highlight w:val="none"/>
        </w:rPr>
        <w:t>（15）扬尘治理专项承诺书；</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6</w:t>
      </w:r>
      <w:r>
        <w:rPr>
          <w:sz w:val="24"/>
          <w:highlight w:val="none"/>
        </w:rPr>
        <w:t>）其他合同文件。</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上述文件互相补充和解释，如有不明确或不一致之处，以合同约定次序在先者为准。</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根据工程量清单所列的预计数量和单价或总额价计算的签约合同价：人民币（大写）元（￥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5</w:t>
      </w:r>
      <w:r>
        <w:rPr>
          <w:rFonts w:hint="eastAsia"/>
          <w:sz w:val="24"/>
          <w:highlight w:val="none"/>
        </w:rPr>
        <w:t>．</w:t>
      </w:r>
      <w:r>
        <w:rPr>
          <w:sz w:val="24"/>
          <w:highlight w:val="none"/>
        </w:rPr>
        <w:t>承包人项目经理：。技术负责人：。</w:t>
      </w:r>
    </w:p>
    <w:p>
      <w:pPr>
        <w:adjustRightInd w:val="0"/>
        <w:snapToGrid w:val="0"/>
        <w:spacing w:line="360" w:lineRule="auto"/>
        <w:ind w:firstLine="480" w:firstLineChars="200"/>
        <w:rPr>
          <w:sz w:val="24"/>
          <w:highlight w:val="none"/>
        </w:rPr>
      </w:pPr>
      <w:r>
        <w:rPr>
          <w:sz w:val="24"/>
          <w:highlight w:val="none"/>
        </w:rPr>
        <w:t>6</w:t>
      </w:r>
      <w:r>
        <w:rPr>
          <w:rFonts w:hint="eastAsia"/>
          <w:sz w:val="24"/>
          <w:highlight w:val="none"/>
        </w:rPr>
        <w:t>．</w:t>
      </w:r>
      <w:r>
        <w:rPr>
          <w:sz w:val="24"/>
          <w:highlight w:val="none"/>
        </w:rPr>
        <w:t>工程质量符合标准。</w:t>
      </w:r>
    </w:p>
    <w:p>
      <w:pPr>
        <w:adjustRightInd w:val="0"/>
        <w:snapToGrid w:val="0"/>
        <w:spacing w:line="360" w:lineRule="auto"/>
        <w:ind w:firstLine="480" w:firstLineChars="200"/>
        <w:rPr>
          <w:sz w:val="24"/>
          <w:highlight w:val="none"/>
        </w:rPr>
      </w:pPr>
      <w:r>
        <w:rPr>
          <w:sz w:val="24"/>
          <w:highlight w:val="none"/>
        </w:rPr>
        <w:t>7．承包人承诺按合同约定承担工程的实施、完成及缺陷修复。</w:t>
      </w:r>
    </w:p>
    <w:p>
      <w:pPr>
        <w:adjustRightInd w:val="0"/>
        <w:snapToGrid w:val="0"/>
        <w:spacing w:line="360" w:lineRule="auto"/>
        <w:ind w:firstLine="480" w:firstLineChars="200"/>
        <w:rPr>
          <w:sz w:val="24"/>
          <w:highlight w:val="none"/>
        </w:rPr>
      </w:pPr>
      <w:r>
        <w:rPr>
          <w:rFonts w:hint="eastAsia"/>
          <w:sz w:val="24"/>
          <w:highlight w:val="none"/>
        </w:rPr>
        <w:t>8．</w:t>
      </w:r>
      <w:r>
        <w:rPr>
          <w:sz w:val="24"/>
          <w:highlight w:val="none"/>
        </w:rPr>
        <w:t>发包人承诺按合同约定的条件、时间和方式向承包人支付合同价款。</w:t>
      </w:r>
    </w:p>
    <w:p>
      <w:pPr>
        <w:adjustRightInd w:val="0"/>
        <w:snapToGrid w:val="0"/>
        <w:spacing w:line="360" w:lineRule="auto"/>
        <w:ind w:firstLine="480" w:firstLineChars="200"/>
        <w:rPr>
          <w:sz w:val="24"/>
          <w:highlight w:val="none"/>
        </w:rPr>
      </w:pPr>
      <w:r>
        <w:rPr>
          <w:sz w:val="24"/>
          <w:highlight w:val="none"/>
        </w:rPr>
        <w:t>9</w:t>
      </w:r>
      <w:r>
        <w:rPr>
          <w:rFonts w:hint="eastAsia"/>
          <w:sz w:val="24"/>
          <w:highlight w:val="none"/>
        </w:rPr>
        <w:t>．</w:t>
      </w:r>
      <w:r>
        <w:rPr>
          <w:sz w:val="24"/>
          <w:highlight w:val="none"/>
        </w:rPr>
        <w:t>承包人应按照监理人指示开工，工期为日历天。</w:t>
      </w:r>
    </w:p>
    <w:p>
      <w:pPr>
        <w:adjustRightInd w:val="0"/>
        <w:snapToGrid w:val="0"/>
        <w:spacing w:line="360" w:lineRule="auto"/>
        <w:ind w:firstLine="480" w:firstLineChars="200"/>
        <w:rPr>
          <w:sz w:val="24"/>
          <w:highlight w:val="none"/>
        </w:rPr>
      </w:pPr>
      <w:r>
        <w:rPr>
          <w:sz w:val="24"/>
          <w:highlight w:val="none"/>
        </w:rPr>
        <w:t>10</w:t>
      </w:r>
      <w:r>
        <w:rPr>
          <w:rFonts w:hint="eastAsia"/>
          <w:sz w:val="24"/>
          <w:highlight w:val="none"/>
        </w:rPr>
        <w:t>．</w:t>
      </w:r>
      <w:r>
        <w:rPr>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highlight w:val="none"/>
        </w:rPr>
      </w:pPr>
      <w:r>
        <w:rPr>
          <w:sz w:val="24"/>
          <w:highlight w:val="none"/>
        </w:rPr>
        <w:t>11．本协议书正本二份、副本</w:t>
      </w:r>
      <w:r>
        <w:rPr>
          <w:rFonts w:hint="eastAsia"/>
          <w:sz w:val="24"/>
          <w:highlight w:val="none"/>
        </w:rPr>
        <w:t xml:space="preserve"> </w:t>
      </w:r>
      <w:r>
        <w:rPr>
          <w:sz w:val="24"/>
          <w:highlight w:val="none"/>
        </w:rPr>
        <w:t>份，合同双方各执正本一份，副本</w:t>
      </w:r>
      <w:r>
        <w:rPr>
          <w:rFonts w:hint="eastAsia"/>
          <w:sz w:val="24"/>
          <w:highlight w:val="none"/>
        </w:rPr>
        <w:t xml:space="preserve"> </w:t>
      </w:r>
      <w:r>
        <w:rPr>
          <w:sz w:val="24"/>
          <w:highlight w:val="none"/>
        </w:rPr>
        <w:t>份，当正本与副本的内容不一致时，以正本为准。</w:t>
      </w:r>
    </w:p>
    <w:p>
      <w:pPr>
        <w:adjustRightInd w:val="0"/>
        <w:snapToGrid w:val="0"/>
        <w:spacing w:line="360" w:lineRule="auto"/>
        <w:ind w:firstLine="480" w:firstLineChars="200"/>
        <w:rPr>
          <w:sz w:val="24"/>
          <w:highlight w:val="none"/>
        </w:rPr>
      </w:pPr>
      <w:r>
        <w:rPr>
          <w:sz w:val="24"/>
          <w:highlight w:val="none"/>
        </w:rPr>
        <w:t>12</w:t>
      </w:r>
      <w:r>
        <w:rPr>
          <w:rFonts w:hint="eastAsia"/>
          <w:sz w:val="24"/>
          <w:highlight w:val="none"/>
        </w:rPr>
        <w:t>．</w:t>
      </w:r>
      <w:r>
        <w:rPr>
          <w:sz w:val="24"/>
          <w:highlight w:val="none"/>
        </w:rPr>
        <w:t>合同未尽事宜，双方另行签订补充协议。补充协议是合同的组成部分。</w:t>
      </w: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发包人：（盖单位公章）</w:t>
      </w:r>
      <w:r>
        <w:rPr>
          <w:rFonts w:hint="eastAsia"/>
          <w:sz w:val="24"/>
          <w:highlight w:val="none"/>
        </w:rPr>
        <w:t xml:space="preserve">      </w:t>
      </w:r>
      <w:r>
        <w:rPr>
          <w:sz w:val="24"/>
          <w:highlight w:val="none"/>
        </w:rPr>
        <w:t>承包人：（盖单位公章）</w:t>
      </w:r>
    </w:p>
    <w:p>
      <w:pPr>
        <w:adjustRightInd w:val="0"/>
        <w:snapToGrid w:val="0"/>
        <w:spacing w:line="360" w:lineRule="auto"/>
        <w:rPr>
          <w:sz w:val="24"/>
          <w:highlight w:val="none"/>
        </w:rPr>
      </w:pPr>
      <w:r>
        <w:rPr>
          <w:sz w:val="24"/>
          <w:highlight w:val="none"/>
        </w:rPr>
        <w:t>法定代表人或其委托代理人：</w:t>
      </w:r>
      <w:r>
        <w:rPr>
          <w:rFonts w:hint="eastAsia"/>
          <w:sz w:val="24"/>
          <w:highlight w:val="none"/>
        </w:rPr>
        <w:t>（</w:t>
      </w:r>
      <w:r>
        <w:rPr>
          <w:sz w:val="24"/>
          <w:highlight w:val="none"/>
        </w:rPr>
        <w:t>签字）法定代表人或其委托代理人：</w:t>
      </w:r>
      <w:r>
        <w:rPr>
          <w:rFonts w:hint="eastAsia"/>
          <w:sz w:val="24"/>
          <w:highlight w:val="none"/>
        </w:rPr>
        <w:t>（</w:t>
      </w:r>
      <w:r>
        <w:rPr>
          <w:sz w:val="24"/>
          <w:highlight w:val="none"/>
        </w:rPr>
        <w:t>签字）</w:t>
      </w:r>
    </w:p>
    <w:p>
      <w:pPr>
        <w:adjustRightInd w:val="0"/>
        <w:snapToGrid w:val="0"/>
        <w:spacing w:line="360" w:lineRule="auto"/>
        <w:ind w:firstLine="480" w:firstLineChars="200"/>
        <w:rPr>
          <w:sz w:val="24"/>
          <w:highlight w:val="none"/>
        </w:rPr>
      </w:pPr>
      <w:r>
        <w:rPr>
          <w:sz w:val="24"/>
          <w:highlight w:val="none"/>
        </w:rPr>
        <w:t>年</w:t>
      </w:r>
      <w:r>
        <w:rPr>
          <w:rFonts w:hint="eastAsia"/>
          <w:sz w:val="24"/>
          <w:highlight w:val="none"/>
        </w:rPr>
        <w:t xml:space="preserve"> </w:t>
      </w:r>
      <w:r>
        <w:rPr>
          <w:sz w:val="24"/>
          <w:highlight w:val="none"/>
        </w:rPr>
        <w:t>月</w:t>
      </w:r>
      <w:r>
        <w:rPr>
          <w:rFonts w:hint="eastAsia"/>
          <w:sz w:val="24"/>
          <w:highlight w:val="none"/>
        </w:rPr>
        <w:t xml:space="preserve"> </w:t>
      </w:r>
      <w:r>
        <w:rPr>
          <w:sz w:val="24"/>
          <w:highlight w:val="none"/>
        </w:rPr>
        <w:t>日</w:t>
      </w:r>
      <w:r>
        <w:rPr>
          <w:rFonts w:hint="eastAsia"/>
          <w:sz w:val="24"/>
          <w:highlight w:val="none"/>
        </w:rPr>
        <w:t xml:space="preserve">                      </w:t>
      </w:r>
      <w:r>
        <w:rPr>
          <w:sz w:val="24"/>
          <w:highlight w:val="none"/>
        </w:rPr>
        <w:t>年</w:t>
      </w:r>
      <w:r>
        <w:rPr>
          <w:rFonts w:hint="eastAsia"/>
          <w:sz w:val="24"/>
          <w:highlight w:val="none"/>
        </w:rPr>
        <w:t xml:space="preserve"> </w:t>
      </w:r>
      <w:r>
        <w:rPr>
          <w:sz w:val="24"/>
          <w:highlight w:val="none"/>
        </w:rPr>
        <w:t>月</w:t>
      </w:r>
      <w:r>
        <w:rPr>
          <w:rFonts w:hint="eastAsia"/>
          <w:sz w:val="24"/>
          <w:highlight w:val="none"/>
        </w:rPr>
        <w:t xml:space="preserve"> </w:t>
      </w:r>
      <w:r>
        <w:rPr>
          <w:sz w:val="24"/>
          <w:highlight w:val="none"/>
        </w:rPr>
        <w:t>日</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p>
    <w:p>
      <w:pPr>
        <w:pageBreakBefore/>
        <w:adjustRightInd w:val="0"/>
        <w:snapToGrid w:val="0"/>
        <w:spacing w:line="360" w:lineRule="auto"/>
        <w:rPr>
          <w:rFonts w:ascii="黑体" w:eastAsia="黑体"/>
          <w:sz w:val="24"/>
          <w:highlight w:val="none"/>
        </w:rPr>
      </w:pPr>
      <w:r>
        <w:rPr>
          <w:rFonts w:hint="eastAsia" w:ascii="黑体" w:eastAsia="黑体"/>
          <w:sz w:val="24"/>
          <w:highlight w:val="none"/>
        </w:rPr>
        <w:t>附件二：廉政合同</w:t>
      </w:r>
    </w:p>
    <w:p>
      <w:pPr>
        <w:adjustRightInd w:val="0"/>
        <w:snapToGrid w:val="0"/>
        <w:spacing w:afterLines="50" w:line="360" w:lineRule="auto"/>
        <w:jc w:val="center"/>
        <w:rPr>
          <w:rFonts w:ascii="黑体" w:eastAsia="黑体"/>
          <w:sz w:val="28"/>
          <w:szCs w:val="28"/>
          <w:highlight w:val="none"/>
        </w:rPr>
      </w:pPr>
      <w:r>
        <w:rPr>
          <w:rFonts w:hint="eastAsia" w:ascii="黑体" w:eastAsia="黑体"/>
          <w:sz w:val="28"/>
          <w:szCs w:val="28"/>
          <w:highlight w:val="none"/>
        </w:rPr>
        <w:t>廉 政 合 同</w:t>
      </w:r>
    </w:p>
    <w:p>
      <w:pPr>
        <w:adjustRightInd w:val="0"/>
        <w:snapToGrid w:val="0"/>
        <w:spacing w:line="360" w:lineRule="auto"/>
        <w:ind w:firstLine="480" w:firstLineChars="200"/>
        <w:rPr>
          <w:sz w:val="24"/>
          <w:highlight w:val="none"/>
        </w:rPr>
      </w:pPr>
      <w:r>
        <w:rPr>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highlight w:val="none"/>
          <w:u w:val="single"/>
        </w:rPr>
        <w:t>（全称）</w:t>
      </w:r>
      <w:r>
        <w:rPr>
          <w:sz w:val="24"/>
          <w:highlight w:val="none"/>
        </w:rPr>
        <w:t>（以下简称“甲方”）与施工单位</w:t>
      </w:r>
      <w:r>
        <w:rPr>
          <w:rFonts w:hint="eastAsia"/>
          <w:sz w:val="24"/>
          <w:highlight w:val="none"/>
          <w:u w:val="single"/>
        </w:rPr>
        <w:t>（全称）</w:t>
      </w:r>
      <w:r>
        <w:rPr>
          <w:sz w:val="24"/>
          <w:highlight w:val="none"/>
        </w:rPr>
        <w:t>（以下简称“乙方”），特订立如下合同。</w:t>
      </w:r>
    </w:p>
    <w:p>
      <w:pPr>
        <w:adjustRightInd w:val="0"/>
        <w:snapToGrid w:val="0"/>
        <w:spacing w:line="360" w:lineRule="auto"/>
        <w:ind w:firstLine="480" w:firstLineChars="200"/>
        <w:rPr>
          <w:rFonts w:eastAsia="黑体"/>
          <w:sz w:val="24"/>
          <w:highlight w:val="none"/>
        </w:rPr>
      </w:pPr>
      <w:r>
        <w:rPr>
          <w:rFonts w:hint="eastAsia" w:eastAsia="黑体"/>
          <w:sz w:val="24"/>
          <w:highlight w:val="none"/>
        </w:rPr>
        <w:t>1．甲乙双方的权利和义务</w:t>
      </w:r>
    </w:p>
    <w:p>
      <w:pPr>
        <w:adjustRightInd w:val="0"/>
        <w:snapToGrid w:val="0"/>
        <w:spacing w:line="360" w:lineRule="auto"/>
        <w:ind w:firstLine="480" w:firstLineChars="200"/>
        <w:rPr>
          <w:sz w:val="24"/>
          <w:highlight w:val="none"/>
        </w:rPr>
      </w:pPr>
      <w:r>
        <w:rPr>
          <w:sz w:val="24"/>
          <w:highlight w:val="none"/>
        </w:rPr>
        <w:t>（1）严格遵守党的政策规定和国家有关法律法规及交通部的有关规定。</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严格执行．（项目名称）工程的合同文件，自觉按合同办事。</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highlight w:val="none"/>
        </w:rPr>
      </w:pPr>
      <w:r>
        <w:rPr>
          <w:rFonts w:hint="eastAsia"/>
          <w:sz w:val="24"/>
          <w:highlight w:val="none"/>
        </w:rPr>
        <w:t>（4）</w:t>
      </w:r>
      <w:r>
        <w:rPr>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sz w:val="24"/>
          <w:highlight w:val="none"/>
        </w:rPr>
      </w:pPr>
      <w:r>
        <w:rPr>
          <w:sz w:val="24"/>
          <w:highlight w:val="none"/>
        </w:rPr>
        <w:t>（5）发现对方在业务活动中有违反廉政规定的行为，有及时提醒对方纠正的权利和义务。</w:t>
      </w:r>
    </w:p>
    <w:p>
      <w:pPr>
        <w:adjustRightInd w:val="0"/>
        <w:snapToGrid w:val="0"/>
        <w:spacing w:line="360" w:lineRule="auto"/>
        <w:ind w:firstLine="480" w:firstLineChars="200"/>
        <w:rPr>
          <w:sz w:val="24"/>
          <w:highlight w:val="none"/>
        </w:rPr>
      </w:pPr>
      <w:r>
        <w:rPr>
          <w:sz w:val="24"/>
          <w:highlight w:val="none"/>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highlight w:val="none"/>
        </w:rPr>
      </w:pPr>
      <w:r>
        <w:rPr>
          <w:rFonts w:eastAsia="黑体"/>
          <w:sz w:val="24"/>
          <w:highlight w:val="none"/>
        </w:rPr>
        <w:t>2．甲方的义务</w:t>
      </w:r>
    </w:p>
    <w:p>
      <w:pPr>
        <w:adjustRightInd w:val="0"/>
        <w:snapToGrid w:val="0"/>
        <w:spacing w:line="360" w:lineRule="auto"/>
        <w:ind w:firstLine="480" w:firstLineChars="200"/>
        <w:rPr>
          <w:sz w:val="24"/>
          <w:highlight w:val="none"/>
        </w:rPr>
      </w:pPr>
      <w:r>
        <w:rPr>
          <w:sz w:val="24"/>
          <w:highlight w:val="none"/>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highlight w:val="none"/>
        </w:rPr>
      </w:pPr>
      <w:r>
        <w:rPr>
          <w:sz w:val="24"/>
          <w:highlight w:val="none"/>
        </w:rPr>
        <w:t>（4）甲方工作人员及其配偶、子女不得从事与甲方工程有关的材料设备供应、工程分包、劳务等经济活动等。</w:t>
      </w:r>
    </w:p>
    <w:p>
      <w:pPr>
        <w:adjustRightInd w:val="0"/>
        <w:snapToGrid w:val="0"/>
        <w:spacing w:line="360" w:lineRule="auto"/>
        <w:ind w:firstLine="480" w:firstLineChars="200"/>
        <w:rPr>
          <w:sz w:val="24"/>
          <w:highlight w:val="none"/>
        </w:rPr>
      </w:pPr>
      <w:r>
        <w:rPr>
          <w:sz w:val="24"/>
          <w:highlight w:val="none"/>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highlight w:val="none"/>
        </w:rPr>
      </w:pPr>
      <w:r>
        <w:rPr>
          <w:sz w:val="24"/>
          <w:highlight w:val="none"/>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highlight w:val="none"/>
        </w:rPr>
      </w:pPr>
      <w:r>
        <w:rPr>
          <w:rFonts w:eastAsia="黑体"/>
          <w:sz w:val="24"/>
          <w:highlight w:val="none"/>
        </w:rPr>
        <w:t>3．乙方的义务</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w:t>
      </w:r>
      <w:r>
        <w:rPr>
          <w:sz w:val="24"/>
          <w:highlight w:val="none"/>
        </w:rPr>
        <w:t>乙方不得以任何理由向甲方及其工作人员行贿或馈赠礼金、有价证券、贵重礼品。</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3）乙方不得以任何理由安排甲方工作人员参加超标准宴请及娱乐活动。</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sz w:val="24"/>
          <w:highlight w:val="none"/>
        </w:rPr>
      </w:pPr>
      <w:r>
        <w:rPr>
          <w:rFonts w:eastAsia="黑体"/>
          <w:sz w:val="24"/>
          <w:highlight w:val="none"/>
        </w:rPr>
        <w:t>4．违约责任</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highlight w:val="none"/>
        </w:rPr>
      </w:pPr>
      <w:r>
        <w:rPr>
          <w:sz w:val="24"/>
          <w:highlight w:val="none"/>
        </w:rPr>
        <w:t>5</w:t>
      </w:r>
      <w:r>
        <w:rPr>
          <w:rFonts w:hint="eastAsia"/>
          <w:sz w:val="24"/>
          <w:highlight w:val="none"/>
        </w:rPr>
        <w:t>．</w:t>
      </w:r>
      <w:r>
        <w:rPr>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highlight w:val="none"/>
        </w:rPr>
      </w:pPr>
      <w:r>
        <w:rPr>
          <w:sz w:val="24"/>
          <w:highlight w:val="none"/>
        </w:rPr>
        <w:t>6</w:t>
      </w:r>
      <w:r>
        <w:rPr>
          <w:rFonts w:hint="eastAsia"/>
          <w:sz w:val="24"/>
          <w:highlight w:val="none"/>
        </w:rPr>
        <w:t>．</w:t>
      </w:r>
      <w:r>
        <w:rPr>
          <w:sz w:val="24"/>
          <w:highlight w:val="none"/>
        </w:rPr>
        <w:t>本合同有效期为甲乙双方签署之日起至该工程项目国家验收后止。</w:t>
      </w:r>
    </w:p>
    <w:p>
      <w:pPr>
        <w:adjustRightInd w:val="0"/>
        <w:snapToGrid w:val="0"/>
        <w:spacing w:line="324" w:lineRule="auto"/>
        <w:ind w:firstLine="480" w:firstLineChars="200"/>
        <w:rPr>
          <w:sz w:val="24"/>
          <w:highlight w:val="none"/>
        </w:rPr>
      </w:pPr>
      <w:r>
        <w:rPr>
          <w:sz w:val="24"/>
          <w:highlight w:val="none"/>
        </w:rPr>
        <w:t>7</w:t>
      </w:r>
      <w:r>
        <w:rPr>
          <w:rFonts w:hint="eastAsia"/>
          <w:sz w:val="24"/>
          <w:highlight w:val="none"/>
        </w:rPr>
        <w:t>．</w:t>
      </w:r>
      <w:r>
        <w:rPr>
          <w:sz w:val="24"/>
          <w:highlight w:val="none"/>
        </w:rPr>
        <w:t>本合同作为</w:t>
      </w:r>
      <w:r>
        <w:rPr>
          <w:rFonts w:hint="eastAsia"/>
          <w:sz w:val="24"/>
          <w:highlight w:val="none"/>
          <w:u w:val="single"/>
        </w:rPr>
        <w:t>（项目名称）</w:t>
      </w:r>
      <w:r>
        <w:rPr>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sz w:val="24"/>
          <w:highlight w:val="none"/>
        </w:rPr>
      </w:pPr>
      <w:r>
        <w:rPr>
          <w:sz w:val="24"/>
          <w:highlight w:val="none"/>
        </w:rPr>
        <w:t>8</w:t>
      </w:r>
      <w:r>
        <w:rPr>
          <w:rFonts w:hint="eastAsia"/>
          <w:sz w:val="24"/>
          <w:highlight w:val="none"/>
        </w:rPr>
        <w:t>．</w:t>
      </w:r>
      <w:r>
        <w:rPr>
          <w:sz w:val="24"/>
          <w:highlight w:val="none"/>
        </w:rPr>
        <w:t>本合同一式四份，由甲乙双方各执一份，送交甲乙双方的监督单位各一份。</w:t>
      </w:r>
    </w:p>
    <w:p>
      <w:pPr>
        <w:adjustRightInd w:val="0"/>
        <w:snapToGrid w:val="0"/>
        <w:spacing w:beforeLines="100" w:line="324" w:lineRule="auto"/>
        <w:rPr>
          <w:sz w:val="24"/>
          <w:highlight w:val="none"/>
        </w:rPr>
      </w:pPr>
      <w:r>
        <w:rPr>
          <w:sz w:val="24"/>
          <w:highlight w:val="none"/>
        </w:rPr>
        <w:t>甲方：</w:t>
      </w:r>
      <w:r>
        <w:rPr>
          <w:rFonts w:hint="eastAsia"/>
          <w:sz w:val="24"/>
          <w:highlight w:val="none"/>
          <w:u w:val="single"/>
        </w:rPr>
        <w:t xml:space="preserve">单位全称（盖章） </w:t>
      </w:r>
      <w:r>
        <w:rPr>
          <w:rFonts w:hint="eastAsia"/>
          <w:sz w:val="24"/>
          <w:highlight w:val="none"/>
        </w:rPr>
        <w:t xml:space="preserve">                    乙</w:t>
      </w:r>
      <w:r>
        <w:rPr>
          <w:sz w:val="24"/>
          <w:highlight w:val="none"/>
        </w:rPr>
        <w:t>方：</w:t>
      </w:r>
      <w:r>
        <w:rPr>
          <w:rFonts w:hint="eastAsia"/>
          <w:sz w:val="24"/>
          <w:highlight w:val="none"/>
          <w:u w:val="single"/>
        </w:rPr>
        <w:t>单位全称（盖章）</w:t>
      </w:r>
    </w:p>
    <w:p>
      <w:pPr>
        <w:adjustRightInd w:val="0"/>
        <w:snapToGrid w:val="0"/>
        <w:spacing w:line="324" w:lineRule="auto"/>
        <w:rPr>
          <w:sz w:val="24"/>
          <w:highlight w:val="none"/>
        </w:rPr>
      </w:pPr>
      <w:r>
        <w:rPr>
          <w:sz w:val="24"/>
          <w:highlight w:val="none"/>
        </w:rPr>
        <w:t>法定代表人或其授权的代理人</w:t>
      </w:r>
      <w:r>
        <w:rPr>
          <w:rFonts w:hint="eastAsia"/>
          <w:sz w:val="24"/>
          <w:highlight w:val="none"/>
        </w:rPr>
        <w:t xml:space="preserve">                 </w:t>
      </w:r>
      <w:r>
        <w:rPr>
          <w:sz w:val="24"/>
          <w:highlight w:val="none"/>
        </w:rPr>
        <w:t>法定代表人或其授权的代理人</w:t>
      </w:r>
    </w:p>
    <w:p>
      <w:pPr>
        <w:adjustRightInd w:val="0"/>
        <w:snapToGrid w:val="0"/>
        <w:spacing w:line="324" w:lineRule="auto"/>
        <w:rPr>
          <w:sz w:val="24"/>
          <w:highlight w:val="none"/>
        </w:rPr>
      </w:pPr>
      <w:r>
        <w:rPr>
          <w:rFonts w:hint="eastAsia"/>
          <w:sz w:val="24"/>
          <w:highlight w:val="none"/>
        </w:rPr>
        <w:t xml:space="preserve"> </w:t>
      </w:r>
      <w:r>
        <w:rPr>
          <w:rFonts w:hint="eastAsia"/>
          <w:sz w:val="24"/>
          <w:highlight w:val="none"/>
          <w:u w:val="single"/>
        </w:rPr>
        <w:t>（职务）</w:t>
      </w:r>
      <w:r>
        <w:rPr>
          <w:sz w:val="24"/>
          <w:highlight w:val="none"/>
          <w:u w:val="single"/>
        </w:rPr>
        <w:t>（姓名）（</w:t>
      </w:r>
      <w:r>
        <w:rPr>
          <w:rFonts w:hint="eastAsia"/>
          <w:sz w:val="24"/>
          <w:highlight w:val="none"/>
          <w:u w:val="single"/>
        </w:rPr>
        <w:t>签字</w:t>
      </w:r>
      <w:r>
        <w:rPr>
          <w:sz w:val="24"/>
          <w:highlight w:val="none"/>
          <w:u w:val="single"/>
        </w:rPr>
        <w:t>）</w:t>
      </w:r>
      <w:r>
        <w:rPr>
          <w:rFonts w:hint="eastAsia"/>
          <w:sz w:val="24"/>
          <w:highlight w:val="none"/>
        </w:rPr>
        <w:t xml:space="preserve">                 </w:t>
      </w:r>
      <w:r>
        <w:rPr>
          <w:rFonts w:hint="eastAsia"/>
          <w:sz w:val="24"/>
          <w:highlight w:val="none"/>
          <w:u w:val="single"/>
        </w:rPr>
        <w:t>（职务）</w:t>
      </w:r>
      <w:r>
        <w:rPr>
          <w:sz w:val="24"/>
          <w:highlight w:val="none"/>
          <w:u w:val="single"/>
        </w:rPr>
        <w:t>（姓名）（</w:t>
      </w:r>
      <w:r>
        <w:rPr>
          <w:rFonts w:hint="eastAsia"/>
          <w:sz w:val="24"/>
          <w:highlight w:val="none"/>
          <w:u w:val="single"/>
        </w:rPr>
        <w:t>签字</w:t>
      </w:r>
      <w:r>
        <w:rPr>
          <w:sz w:val="24"/>
          <w:highlight w:val="none"/>
          <w:u w:val="single"/>
        </w:rPr>
        <w:t>）</w:t>
      </w:r>
    </w:p>
    <w:p>
      <w:pPr>
        <w:adjustRightInd w:val="0"/>
        <w:snapToGrid w:val="0"/>
        <w:spacing w:line="324" w:lineRule="auto"/>
        <w:rPr>
          <w:sz w:val="24"/>
          <w:highlight w:val="none"/>
        </w:rPr>
      </w:pPr>
      <w:r>
        <w:rPr>
          <w:sz w:val="24"/>
          <w:highlight w:val="none"/>
        </w:rPr>
        <w:t>地址：</w:t>
      </w:r>
      <w:r>
        <w:rPr>
          <w:rFonts w:hint="eastAsia"/>
          <w:sz w:val="24"/>
          <w:highlight w:val="none"/>
        </w:rPr>
        <w:t xml:space="preserve">                                     </w:t>
      </w:r>
      <w:r>
        <w:rPr>
          <w:sz w:val="24"/>
          <w:highlight w:val="none"/>
        </w:rPr>
        <w:t>地址：</w:t>
      </w:r>
    </w:p>
    <w:p>
      <w:pPr>
        <w:adjustRightInd w:val="0"/>
        <w:snapToGrid w:val="0"/>
        <w:spacing w:line="324" w:lineRule="auto"/>
        <w:rPr>
          <w:sz w:val="24"/>
          <w:highlight w:val="none"/>
        </w:rPr>
      </w:pPr>
      <w:r>
        <w:rPr>
          <w:sz w:val="24"/>
          <w:highlight w:val="none"/>
        </w:rPr>
        <w:t>电话：</w:t>
      </w:r>
      <w:r>
        <w:rPr>
          <w:rFonts w:hint="eastAsia"/>
          <w:sz w:val="24"/>
          <w:highlight w:val="none"/>
        </w:rPr>
        <w:t xml:space="preserve">                                     </w:t>
      </w:r>
      <w:r>
        <w:rPr>
          <w:sz w:val="24"/>
          <w:highlight w:val="none"/>
        </w:rPr>
        <w:t>电话：</w:t>
      </w:r>
    </w:p>
    <w:p>
      <w:pPr>
        <w:adjustRightInd w:val="0"/>
        <w:snapToGrid w:val="0"/>
        <w:spacing w:line="324" w:lineRule="auto"/>
        <w:rPr>
          <w:sz w:val="24"/>
          <w:highlight w:val="none"/>
        </w:rPr>
      </w:pPr>
      <w:r>
        <w:rPr>
          <w:sz w:val="24"/>
          <w:highlight w:val="none"/>
        </w:rPr>
        <w:t>日期：</w:t>
      </w:r>
      <w:r>
        <w:rPr>
          <w:rFonts w:hint="eastAsia"/>
          <w:sz w:val="24"/>
          <w:highlight w:val="none"/>
        </w:rPr>
        <w:t xml:space="preserve">                                     </w:t>
      </w:r>
      <w:r>
        <w:rPr>
          <w:sz w:val="24"/>
          <w:highlight w:val="none"/>
        </w:rPr>
        <w:t>日期：</w:t>
      </w:r>
    </w:p>
    <w:p>
      <w:pPr>
        <w:adjustRightInd w:val="0"/>
        <w:snapToGrid w:val="0"/>
        <w:spacing w:line="324" w:lineRule="auto"/>
        <w:rPr>
          <w:sz w:val="24"/>
          <w:highlight w:val="none"/>
        </w:rPr>
      </w:pPr>
      <w:r>
        <w:rPr>
          <w:rFonts w:hint="eastAsia"/>
          <w:sz w:val="24"/>
          <w:highlight w:val="none"/>
        </w:rPr>
        <w:t xml:space="preserve"> </w:t>
      </w:r>
    </w:p>
    <w:p>
      <w:pPr>
        <w:adjustRightInd w:val="0"/>
        <w:snapToGrid w:val="0"/>
        <w:spacing w:line="324" w:lineRule="auto"/>
        <w:rPr>
          <w:sz w:val="24"/>
          <w:highlight w:val="none"/>
          <w:u w:val="single"/>
        </w:rPr>
      </w:pPr>
      <w:r>
        <w:rPr>
          <w:sz w:val="24"/>
          <w:highlight w:val="none"/>
        </w:rPr>
        <w:t>甲方监督单位：</w:t>
      </w:r>
      <w:r>
        <w:rPr>
          <w:rFonts w:hint="eastAsia"/>
          <w:sz w:val="24"/>
          <w:highlight w:val="none"/>
          <w:u w:val="single"/>
        </w:rPr>
        <w:t>（全称）（盖章）</w:t>
      </w:r>
      <w:r>
        <w:rPr>
          <w:rFonts w:hint="eastAsia"/>
          <w:sz w:val="24"/>
          <w:highlight w:val="none"/>
        </w:rPr>
        <w:t xml:space="preserve">        </w:t>
      </w:r>
      <w:r>
        <w:rPr>
          <w:sz w:val="24"/>
          <w:highlight w:val="none"/>
        </w:rPr>
        <w:t>乙方监督单位</w:t>
      </w:r>
      <w:r>
        <w:rPr>
          <w:rFonts w:hint="eastAsia"/>
          <w:sz w:val="24"/>
          <w:highlight w:val="none"/>
        </w:rPr>
        <w:t>：</w:t>
      </w:r>
      <w:r>
        <w:rPr>
          <w:rFonts w:hint="eastAsia"/>
          <w:sz w:val="24"/>
          <w:highlight w:val="none"/>
          <w:u w:val="single"/>
        </w:rPr>
        <w:t>（全称）（盖章）</w:t>
      </w: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p>
    <w:p>
      <w:pPr>
        <w:adjustRightInd w:val="0"/>
        <w:snapToGrid w:val="0"/>
        <w:spacing w:line="343" w:lineRule="auto"/>
        <w:rPr>
          <w:rFonts w:ascii="黑体" w:eastAsia="黑体"/>
          <w:sz w:val="24"/>
          <w:highlight w:val="none"/>
        </w:rPr>
      </w:pPr>
      <w:r>
        <w:rPr>
          <w:rFonts w:hint="eastAsia" w:ascii="黑体" w:eastAsia="黑体"/>
          <w:sz w:val="24"/>
          <w:highlight w:val="none"/>
        </w:rPr>
        <w:t>附件三：安全生产合同</w:t>
      </w:r>
    </w:p>
    <w:p>
      <w:pPr>
        <w:adjustRightInd w:val="0"/>
        <w:snapToGrid w:val="0"/>
        <w:spacing w:afterLines="50" w:line="343" w:lineRule="auto"/>
        <w:jc w:val="center"/>
        <w:rPr>
          <w:rFonts w:ascii="黑体" w:eastAsia="黑体"/>
          <w:sz w:val="28"/>
          <w:szCs w:val="28"/>
          <w:highlight w:val="none"/>
        </w:rPr>
      </w:pPr>
      <w:r>
        <w:rPr>
          <w:rFonts w:hint="eastAsia" w:ascii="黑体" w:eastAsia="黑体"/>
          <w:sz w:val="28"/>
          <w:szCs w:val="28"/>
          <w:highlight w:val="none"/>
        </w:rPr>
        <w:t>安全生产合同</w:t>
      </w:r>
    </w:p>
    <w:p>
      <w:pPr>
        <w:adjustRightInd w:val="0"/>
        <w:snapToGrid w:val="0"/>
        <w:spacing w:line="288" w:lineRule="auto"/>
        <w:ind w:firstLine="480" w:firstLineChars="200"/>
        <w:rPr>
          <w:sz w:val="24"/>
          <w:highlight w:val="none"/>
        </w:rPr>
      </w:pPr>
      <w:r>
        <w:rPr>
          <w:sz w:val="24"/>
          <w:highlight w:val="none"/>
        </w:rPr>
        <w:t>为在施工合同的实施过程中创造安全、高效的施工环境，切实搞好本项目的安全管理工作，本项目发包人</w:t>
      </w:r>
      <w:r>
        <w:rPr>
          <w:sz w:val="24"/>
          <w:highlight w:val="none"/>
          <w:u w:val="single"/>
        </w:rPr>
        <w:t>（全称）</w:t>
      </w:r>
      <w:r>
        <w:rPr>
          <w:sz w:val="24"/>
          <w:highlight w:val="none"/>
        </w:rPr>
        <w:t>（以下简称“甲方</w:t>
      </w:r>
      <w:r>
        <w:rPr>
          <w:rFonts w:hint="eastAsia"/>
          <w:sz w:val="24"/>
          <w:highlight w:val="none"/>
        </w:rPr>
        <w:t>”</w:t>
      </w:r>
      <w:r>
        <w:rPr>
          <w:sz w:val="24"/>
          <w:highlight w:val="none"/>
        </w:rPr>
        <w:t>）与承包人</w:t>
      </w:r>
      <w:r>
        <w:rPr>
          <w:sz w:val="24"/>
          <w:highlight w:val="none"/>
          <w:u w:val="single"/>
        </w:rPr>
        <w:t>（全称）</w:t>
      </w:r>
      <w:r>
        <w:rPr>
          <w:sz w:val="24"/>
          <w:highlight w:val="none"/>
        </w:rPr>
        <w:t>（以下简称“乙方</w:t>
      </w:r>
      <w:r>
        <w:rPr>
          <w:rFonts w:hint="eastAsia"/>
          <w:sz w:val="24"/>
          <w:highlight w:val="none"/>
        </w:rPr>
        <w:t>”</w:t>
      </w:r>
      <w:r>
        <w:rPr>
          <w:sz w:val="24"/>
          <w:highlight w:val="none"/>
        </w:rPr>
        <w:t>）特此签订安全生产合同：</w:t>
      </w:r>
    </w:p>
    <w:p>
      <w:pPr>
        <w:adjustRightInd w:val="0"/>
        <w:snapToGrid w:val="0"/>
        <w:spacing w:line="288" w:lineRule="auto"/>
        <w:ind w:firstLine="480" w:firstLineChars="200"/>
        <w:rPr>
          <w:rFonts w:eastAsia="黑体"/>
          <w:sz w:val="24"/>
          <w:highlight w:val="none"/>
        </w:rPr>
      </w:pPr>
      <w:r>
        <w:rPr>
          <w:rFonts w:eastAsia="黑体"/>
          <w:sz w:val="24"/>
          <w:highlight w:val="none"/>
        </w:rPr>
        <w:t>一、甲方职责</w:t>
      </w:r>
    </w:p>
    <w:p>
      <w:pPr>
        <w:adjustRightInd w:val="0"/>
        <w:snapToGrid w:val="0"/>
        <w:spacing w:line="288" w:lineRule="auto"/>
        <w:ind w:firstLine="480" w:firstLineChars="200"/>
        <w:rPr>
          <w:sz w:val="24"/>
          <w:highlight w:val="none"/>
        </w:rPr>
      </w:pPr>
      <w:r>
        <w:rPr>
          <w:sz w:val="24"/>
          <w:highlight w:val="none"/>
        </w:rPr>
        <w:t>1、严格遵守国家有关安全生产的法律法规，认真执行工程承包合同中的有关安全要求。</w:t>
      </w:r>
    </w:p>
    <w:p>
      <w:pPr>
        <w:adjustRightInd w:val="0"/>
        <w:snapToGrid w:val="0"/>
        <w:spacing w:line="288" w:lineRule="auto"/>
        <w:ind w:firstLine="480" w:firstLineChars="200"/>
        <w:rPr>
          <w:sz w:val="24"/>
          <w:highlight w:val="none"/>
        </w:rPr>
      </w:pPr>
      <w:r>
        <w:rPr>
          <w:sz w:val="24"/>
          <w:highlight w:val="none"/>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highlight w:val="none"/>
        </w:rPr>
      </w:pPr>
      <w:r>
        <w:rPr>
          <w:sz w:val="24"/>
          <w:highlight w:val="none"/>
        </w:rPr>
        <w:t>3、重要的安全设施必须坚持与主体工程“三同时”的原则，即：同时设计、审批，同时施工，一同时验收，投入使用。</w:t>
      </w:r>
    </w:p>
    <w:p>
      <w:pPr>
        <w:adjustRightInd w:val="0"/>
        <w:snapToGrid w:val="0"/>
        <w:spacing w:line="288" w:lineRule="auto"/>
        <w:ind w:firstLine="480" w:firstLineChars="200"/>
        <w:rPr>
          <w:sz w:val="24"/>
          <w:highlight w:val="none"/>
        </w:rPr>
      </w:pPr>
      <w:r>
        <w:rPr>
          <w:sz w:val="24"/>
          <w:highlight w:val="none"/>
        </w:rPr>
        <w:t>4、定期召开安全生产调度会，及时传达中央及地方有关安全生产的精神。</w:t>
      </w:r>
    </w:p>
    <w:p>
      <w:pPr>
        <w:adjustRightInd w:val="0"/>
        <w:snapToGrid w:val="0"/>
        <w:spacing w:line="288" w:lineRule="auto"/>
        <w:ind w:firstLine="480" w:firstLineChars="200"/>
        <w:rPr>
          <w:sz w:val="24"/>
          <w:highlight w:val="none"/>
        </w:rPr>
      </w:pPr>
      <w:r>
        <w:rPr>
          <w:sz w:val="24"/>
          <w:highlight w:val="none"/>
        </w:rPr>
        <w:t>5、组织对乙方施工现场安全生产检查，监督乙方及时处理发现的各种安全隐患。</w:t>
      </w:r>
    </w:p>
    <w:p>
      <w:pPr>
        <w:adjustRightInd w:val="0"/>
        <w:snapToGrid w:val="0"/>
        <w:spacing w:line="288" w:lineRule="auto"/>
        <w:ind w:firstLine="480" w:firstLineChars="200"/>
        <w:rPr>
          <w:rFonts w:eastAsia="黑体"/>
          <w:sz w:val="24"/>
          <w:highlight w:val="none"/>
        </w:rPr>
      </w:pPr>
      <w:r>
        <w:rPr>
          <w:rFonts w:eastAsia="黑体"/>
          <w:sz w:val="24"/>
          <w:highlight w:val="none"/>
        </w:rPr>
        <w:t>二、乙方职责</w:t>
      </w:r>
    </w:p>
    <w:p>
      <w:pPr>
        <w:adjustRightInd w:val="0"/>
        <w:snapToGrid w:val="0"/>
        <w:spacing w:line="288" w:lineRule="auto"/>
        <w:ind w:firstLine="480" w:firstLineChars="200"/>
        <w:rPr>
          <w:sz w:val="24"/>
          <w:highlight w:val="none"/>
        </w:rPr>
      </w:pPr>
      <w:r>
        <w:rPr>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highlight w:val="none"/>
        </w:rPr>
      </w:pPr>
      <w:r>
        <w:rPr>
          <w:sz w:val="24"/>
          <w:highlight w:val="none"/>
        </w:rPr>
        <w:t>2、坚持</w:t>
      </w:r>
      <w:r>
        <w:rPr>
          <w:rFonts w:hint="eastAsia"/>
          <w:sz w:val="24"/>
          <w:highlight w:val="none"/>
        </w:rPr>
        <w:t>“</w:t>
      </w:r>
      <w:r>
        <w:rPr>
          <w:sz w:val="24"/>
          <w:highlight w:val="none"/>
        </w:rPr>
        <w:t>安全第一、预防为主</w:t>
      </w:r>
      <w:r>
        <w:rPr>
          <w:rFonts w:hint="eastAsia"/>
          <w:sz w:val="24"/>
          <w:highlight w:val="none"/>
        </w:rPr>
        <w:t>”</w:t>
      </w:r>
      <w:r>
        <w:rPr>
          <w:sz w:val="24"/>
          <w:highlight w:val="none"/>
        </w:rPr>
        <w:t>和</w:t>
      </w:r>
      <w:r>
        <w:rPr>
          <w:rFonts w:hint="eastAsia"/>
          <w:sz w:val="24"/>
          <w:highlight w:val="none"/>
        </w:rPr>
        <w:t>“</w:t>
      </w:r>
      <w:r>
        <w:rPr>
          <w:sz w:val="24"/>
          <w:highlight w:val="none"/>
        </w:rPr>
        <w:t>管生产必须管安全</w:t>
      </w:r>
      <w:r>
        <w:rPr>
          <w:rFonts w:hint="eastAsia"/>
          <w:sz w:val="24"/>
          <w:highlight w:val="none"/>
        </w:rPr>
        <w:t>”</w:t>
      </w:r>
      <w:r>
        <w:rPr>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highlight w:val="none"/>
        </w:rPr>
      </w:pPr>
      <w:r>
        <w:rPr>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highlight w:val="none"/>
        </w:rPr>
      </w:pPr>
      <w:r>
        <w:rPr>
          <w:sz w:val="24"/>
          <w:highlight w:val="none"/>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highlight w:val="none"/>
        </w:rPr>
      </w:pPr>
      <w:r>
        <w:rPr>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highlight w:val="none"/>
        </w:rPr>
      </w:pPr>
      <w:r>
        <w:rPr>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highlight w:val="none"/>
        </w:rPr>
      </w:pPr>
      <w:r>
        <w:rPr>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highlight w:val="none"/>
        </w:rPr>
      </w:pPr>
      <w:r>
        <w:rPr>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highlight w:val="none"/>
        </w:rPr>
      </w:pPr>
      <w:r>
        <w:rPr>
          <w:sz w:val="24"/>
          <w:highlight w:val="none"/>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highlight w:val="none"/>
        </w:rPr>
      </w:pPr>
      <w:r>
        <w:rPr>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highlight w:val="none"/>
        </w:rPr>
      </w:pPr>
      <w:r>
        <w:rPr>
          <w:sz w:val="24"/>
          <w:highlight w:val="none"/>
        </w:rPr>
        <w:t>11、安全生产费用按照交通部有关规定使用和管理。</w:t>
      </w:r>
    </w:p>
    <w:p>
      <w:pPr>
        <w:adjustRightInd w:val="0"/>
        <w:snapToGrid w:val="0"/>
        <w:spacing w:line="288" w:lineRule="auto"/>
        <w:ind w:firstLine="480" w:firstLineChars="200"/>
        <w:rPr>
          <w:rFonts w:eastAsia="黑体"/>
          <w:sz w:val="24"/>
          <w:highlight w:val="none"/>
        </w:rPr>
      </w:pPr>
      <w:r>
        <w:rPr>
          <w:rFonts w:eastAsia="黑体"/>
          <w:sz w:val="24"/>
          <w:highlight w:val="none"/>
        </w:rPr>
        <w:t>三、违约责任</w:t>
      </w:r>
    </w:p>
    <w:p>
      <w:pPr>
        <w:adjustRightInd w:val="0"/>
        <w:snapToGrid w:val="0"/>
        <w:spacing w:line="288" w:lineRule="auto"/>
        <w:ind w:firstLine="480" w:firstLineChars="200"/>
        <w:rPr>
          <w:sz w:val="24"/>
          <w:highlight w:val="none"/>
        </w:rPr>
      </w:pPr>
      <w:r>
        <w:rPr>
          <w:sz w:val="24"/>
          <w:highlight w:val="none"/>
        </w:rPr>
        <w:t>如因甲方或乙方违约造成安全事故，将依法追究责任。</w:t>
      </w:r>
    </w:p>
    <w:p>
      <w:pPr>
        <w:adjustRightInd w:val="0"/>
        <w:snapToGrid w:val="0"/>
        <w:spacing w:line="288" w:lineRule="auto"/>
        <w:ind w:firstLine="480" w:firstLineChars="200"/>
        <w:rPr>
          <w:sz w:val="24"/>
          <w:highlight w:val="none"/>
        </w:rPr>
      </w:pPr>
      <w:r>
        <w:rPr>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highlight w:val="none"/>
        </w:rPr>
      </w:pPr>
      <w:r>
        <w:rPr>
          <w:sz w:val="24"/>
          <w:highlight w:val="none"/>
        </w:rPr>
        <w:t>甲方：</w:t>
      </w:r>
      <w:r>
        <w:rPr>
          <w:rFonts w:hint="eastAsia"/>
          <w:sz w:val="24"/>
          <w:highlight w:val="none"/>
          <w:u w:val="single"/>
        </w:rPr>
        <w:t xml:space="preserve">单位全称（盖章）  </w:t>
      </w:r>
      <w:r>
        <w:rPr>
          <w:rFonts w:hint="eastAsia"/>
          <w:sz w:val="24"/>
          <w:highlight w:val="none"/>
        </w:rPr>
        <w:t xml:space="preserve">                    乙</w:t>
      </w:r>
      <w:r>
        <w:rPr>
          <w:sz w:val="24"/>
          <w:highlight w:val="none"/>
        </w:rPr>
        <w:t>方：</w:t>
      </w:r>
      <w:r>
        <w:rPr>
          <w:rFonts w:hint="eastAsia"/>
          <w:sz w:val="24"/>
          <w:highlight w:val="none"/>
          <w:u w:val="single"/>
        </w:rPr>
        <w:t>单位全称（盖章）</w:t>
      </w:r>
    </w:p>
    <w:p>
      <w:pPr>
        <w:adjustRightInd w:val="0"/>
        <w:snapToGrid w:val="0"/>
        <w:spacing w:line="343" w:lineRule="auto"/>
        <w:rPr>
          <w:sz w:val="24"/>
          <w:highlight w:val="none"/>
          <w:u w:val="single"/>
        </w:rPr>
      </w:pPr>
      <w:r>
        <w:rPr>
          <w:sz w:val="24"/>
          <w:highlight w:val="none"/>
        </w:rPr>
        <w:t>法定代表人法定代表人或</w:t>
      </w:r>
      <w:r>
        <w:rPr>
          <w:rFonts w:hint="eastAsia"/>
          <w:sz w:val="24"/>
          <w:highlight w:val="none"/>
        </w:rPr>
        <w:t xml:space="preserve">                      </w:t>
      </w:r>
      <w:r>
        <w:rPr>
          <w:sz w:val="24"/>
          <w:highlight w:val="none"/>
        </w:rPr>
        <w:t>法定代表人法定代表人或</w:t>
      </w:r>
      <w:r>
        <w:rPr>
          <w:rFonts w:hint="eastAsia"/>
          <w:sz w:val="24"/>
          <w:highlight w:val="none"/>
        </w:rPr>
        <w:t xml:space="preserve">                      </w:t>
      </w:r>
    </w:p>
    <w:p>
      <w:pPr>
        <w:adjustRightInd w:val="0"/>
        <w:snapToGrid w:val="0"/>
        <w:spacing w:line="343" w:lineRule="auto"/>
        <w:rPr>
          <w:sz w:val="24"/>
          <w:highlight w:val="none"/>
        </w:rPr>
      </w:pPr>
      <w:r>
        <w:rPr>
          <w:sz w:val="24"/>
          <w:highlight w:val="none"/>
        </w:rPr>
        <w:t>其授权的代理人</w:t>
      </w:r>
      <w:r>
        <w:rPr>
          <w:rFonts w:hint="eastAsia"/>
          <w:sz w:val="24"/>
          <w:highlight w:val="none"/>
          <w:u w:val="single"/>
        </w:rPr>
        <w:t>（职务）</w:t>
      </w:r>
      <w:r>
        <w:rPr>
          <w:sz w:val="24"/>
          <w:highlight w:val="none"/>
          <w:u w:val="single"/>
        </w:rPr>
        <w:t>（姓名</w:t>
      </w:r>
      <w:r>
        <w:rPr>
          <w:rFonts w:hint="eastAsia"/>
          <w:sz w:val="24"/>
          <w:highlight w:val="none"/>
          <w:u w:val="single"/>
        </w:rPr>
        <w:t>）</w:t>
      </w:r>
      <w:r>
        <w:rPr>
          <w:rFonts w:hint="eastAsia"/>
          <w:sz w:val="24"/>
          <w:highlight w:val="none"/>
        </w:rPr>
        <w:t xml:space="preserve">              </w:t>
      </w:r>
      <w:r>
        <w:rPr>
          <w:sz w:val="24"/>
          <w:highlight w:val="none"/>
        </w:rPr>
        <w:t>其授权的代理人</w:t>
      </w:r>
      <w:r>
        <w:rPr>
          <w:rFonts w:hint="eastAsia"/>
          <w:sz w:val="24"/>
          <w:highlight w:val="none"/>
          <w:u w:val="single"/>
        </w:rPr>
        <w:t>（职务）</w:t>
      </w:r>
      <w:r>
        <w:rPr>
          <w:sz w:val="24"/>
          <w:highlight w:val="none"/>
          <w:u w:val="single"/>
        </w:rPr>
        <w:t>（姓名</w:t>
      </w:r>
      <w:r>
        <w:rPr>
          <w:rFonts w:hint="eastAsia"/>
          <w:sz w:val="24"/>
          <w:highlight w:val="none"/>
          <w:u w:val="single"/>
        </w:rPr>
        <w:t>）</w:t>
      </w:r>
    </w:p>
    <w:p>
      <w:pPr>
        <w:adjustRightInd w:val="0"/>
        <w:snapToGrid w:val="0"/>
        <w:spacing w:line="343" w:lineRule="auto"/>
        <w:ind w:firstLine="1200" w:firstLineChars="500"/>
        <w:rPr>
          <w:sz w:val="24"/>
          <w:highlight w:val="none"/>
        </w:rPr>
      </w:pPr>
      <w:r>
        <w:rPr>
          <w:sz w:val="24"/>
          <w:highlight w:val="none"/>
          <w:u w:val="single"/>
        </w:rPr>
        <w:t>（</w:t>
      </w:r>
      <w:r>
        <w:rPr>
          <w:rFonts w:hint="eastAsia"/>
          <w:sz w:val="24"/>
          <w:highlight w:val="none"/>
          <w:u w:val="single"/>
        </w:rPr>
        <w:t>签字</w:t>
      </w:r>
      <w:r>
        <w:rPr>
          <w:sz w:val="24"/>
          <w:highlight w:val="none"/>
          <w:u w:val="single"/>
        </w:rPr>
        <w:t>）</w:t>
      </w:r>
      <w:r>
        <w:rPr>
          <w:rFonts w:hint="eastAsia"/>
          <w:sz w:val="24"/>
          <w:highlight w:val="none"/>
        </w:rPr>
        <w:t xml:space="preserve">                            </w:t>
      </w:r>
      <w:r>
        <w:rPr>
          <w:sz w:val="24"/>
          <w:highlight w:val="none"/>
          <w:u w:val="single"/>
        </w:rPr>
        <w:t>（</w:t>
      </w:r>
      <w:r>
        <w:rPr>
          <w:rFonts w:hint="eastAsia"/>
          <w:sz w:val="24"/>
          <w:highlight w:val="none"/>
          <w:u w:val="single"/>
        </w:rPr>
        <w:t>签字</w:t>
      </w:r>
      <w:r>
        <w:rPr>
          <w:sz w:val="24"/>
          <w:highlight w:val="none"/>
          <w:u w:val="single"/>
        </w:rPr>
        <w:t>）</w:t>
      </w:r>
    </w:p>
    <w:p>
      <w:pPr>
        <w:adjustRightInd w:val="0"/>
        <w:snapToGrid w:val="0"/>
        <w:spacing w:line="343" w:lineRule="auto"/>
        <w:ind w:firstLine="960" w:firstLineChars="400"/>
        <w:rPr>
          <w:sz w:val="24"/>
          <w:highlight w:val="none"/>
        </w:rPr>
      </w:pPr>
    </w:p>
    <w:p>
      <w:pPr>
        <w:adjustRightInd w:val="0"/>
        <w:snapToGrid w:val="0"/>
        <w:spacing w:line="343" w:lineRule="auto"/>
        <w:rPr>
          <w:sz w:val="24"/>
          <w:highlight w:val="none"/>
        </w:rPr>
      </w:pPr>
      <w:r>
        <w:rPr>
          <w:sz w:val="24"/>
          <w:highlight w:val="none"/>
        </w:rPr>
        <w:t>地址：</w:t>
      </w:r>
      <w:r>
        <w:rPr>
          <w:rFonts w:hint="eastAsia"/>
          <w:sz w:val="24"/>
          <w:highlight w:val="none"/>
        </w:rPr>
        <w:t xml:space="preserve">                                        </w:t>
      </w:r>
      <w:r>
        <w:rPr>
          <w:sz w:val="24"/>
          <w:highlight w:val="none"/>
        </w:rPr>
        <w:t>地址：</w:t>
      </w:r>
    </w:p>
    <w:p>
      <w:pPr>
        <w:adjustRightInd w:val="0"/>
        <w:snapToGrid w:val="0"/>
        <w:spacing w:line="343" w:lineRule="auto"/>
        <w:rPr>
          <w:sz w:val="24"/>
          <w:highlight w:val="none"/>
        </w:rPr>
      </w:pPr>
      <w:r>
        <w:rPr>
          <w:sz w:val="24"/>
          <w:highlight w:val="none"/>
        </w:rPr>
        <w:t>电话：</w:t>
      </w:r>
      <w:r>
        <w:rPr>
          <w:rFonts w:hint="eastAsia"/>
          <w:sz w:val="24"/>
          <w:highlight w:val="none"/>
        </w:rPr>
        <w:t xml:space="preserve">                                        </w:t>
      </w:r>
      <w:r>
        <w:rPr>
          <w:sz w:val="24"/>
          <w:highlight w:val="none"/>
        </w:rPr>
        <w:t>电话：</w:t>
      </w:r>
    </w:p>
    <w:p>
      <w:pPr>
        <w:adjustRightInd w:val="0"/>
        <w:snapToGrid w:val="0"/>
        <w:spacing w:line="343" w:lineRule="auto"/>
        <w:rPr>
          <w:sz w:val="24"/>
          <w:highlight w:val="none"/>
        </w:rPr>
      </w:pPr>
      <w:r>
        <w:rPr>
          <w:sz w:val="24"/>
          <w:highlight w:val="none"/>
        </w:rPr>
        <w:t>日期：</w:t>
      </w:r>
      <w:r>
        <w:rPr>
          <w:rFonts w:hint="eastAsia"/>
          <w:sz w:val="24"/>
          <w:highlight w:val="none"/>
        </w:rPr>
        <w:t xml:space="preserve">                                        </w:t>
      </w:r>
      <w:r>
        <w:rPr>
          <w:sz w:val="24"/>
          <w:highlight w:val="none"/>
        </w:rPr>
        <w:t>日期：</w:t>
      </w:r>
    </w:p>
    <w:p>
      <w:pPr>
        <w:adjustRightInd w:val="0"/>
        <w:snapToGrid w:val="0"/>
        <w:spacing w:line="343" w:lineRule="auto"/>
        <w:rPr>
          <w:sz w:val="24"/>
          <w:highlight w:val="none"/>
        </w:rPr>
      </w:pPr>
    </w:p>
    <w:p>
      <w:pPr>
        <w:adjustRightInd w:val="0"/>
        <w:snapToGrid w:val="0"/>
        <w:spacing w:line="343" w:lineRule="auto"/>
        <w:rPr>
          <w:sz w:val="24"/>
          <w:highlight w:val="none"/>
        </w:rPr>
      </w:pPr>
    </w:p>
    <w:p>
      <w:pPr>
        <w:adjustRightInd w:val="0"/>
        <w:snapToGrid w:val="0"/>
        <w:spacing w:line="343" w:lineRule="auto"/>
        <w:rPr>
          <w:sz w:val="24"/>
          <w:highlight w:val="none"/>
        </w:rPr>
      </w:pPr>
    </w:p>
    <w:p>
      <w:pPr>
        <w:widowControl/>
        <w:spacing w:line="360" w:lineRule="auto"/>
        <w:ind w:right="714"/>
        <w:jc w:val="center"/>
        <w:rPr>
          <w:rFonts w:ascii="黑体" w:eastAsia="黑体"/>
          <w:sz w:val="24"/>
          <w:highlight w:val="none"/>
        </w:rPr>
      </w:pPr>
      <w:r>
        <w:rPr>
          <w:rFonts w:ascii="黑体" w:eastAsia="黑体"/>
          <w:sz w:val="24"/>
          <w:highlight w:val="none"/>
        </w:rPr>
        <w:br w:type="page"/>
      </w:r>
    </w:p>
    <w:p>
      <w:pPr>
        <w:adjustRightInd w:val="0"/>
        <w:snapToGrid w:val="0"/>
        <w:spacing w:line="360" w:lineRule="auto"/>
        <w:rPr>
          <w:rFonts w:ascii="黑体" w:eastAsia="黑体"/>
          <w:sz w:val="24"/>
          <w:highlight w:val="none"/>
        </w:rPr>
      </w:pPr>
      <w:r>
        <w:rPr>
          <w:rFonts w:hint="eastAsia" w:ascii="黑体" w:eastAsia="黑体"/>
          <w:sz w:val="24"/>
          <w:highlight w:val="none"/>
        </w:rPr>
        <w:t>附件四：农民工工资支付承诺书</w:t>
      </w:r>
    </w:p>
    <w:p>
      <w:pPr>
        <w:adjustRightInd w:val="0"/>
        <w:snapToGrid w:val="0"/>
        <w:spacing w:afterLines="50" w:line="343" w:lineRule="auto"/>
        <w:rPr>
          <w:rFonts w:ascii="黑体" w:eastAsia="黑体"/>
          <w:sz w:val="18"/>
          <w:szCs w:val="18"/>
          <w:highlight w:val="none"/>
        </w:rPr>
      </w:pPr>
    </w:p>
    <w:p>
      <w:pPr>
        <w:adjustRightInd w:val="0"/>
        <w:snapToGrid w:val="0"/>
        <w:spacing w:line="360" w:lineRule="auto"/>
        <w:jc w:val="center"/>
        <w:rPr>
          <w:rFonts w:ascii="黑体" w:eastAsia="黑体"/>
          <w:sz w:val="30"/>
          <w:szCs w:val="30"/>
          <w:highlight w:val="none"/>
          <w:u w:val="single"/>
        </w:rPr>
      </w:pPr>
      <w:r>
        <w:rPr>
          <w:rFonts w:hint="eastAsia" w:ascii="黑体" w:eastAsia="黑体"/>
          <w:sz w:val="30"/>
          <w:szCs w:val="30"/>
          <w:highlight w:val="none"/>
          <w:u w:val="single"/>
        </w:rPr>
        <w:t>（承包人全称）</w:t>
      </w:r>
    </w:p>
    <w:p>
      <w:pPr>
        <w:adjustRightInd w:val="0"/>
        <w:snapToGrid w:val="0"/>
        <w:spacing w:line="360" w:lineRule="auto"/>
        <w:jc w:val="center"/>
        <w:rPr>
          <w:rFonts w:ascii="黑体" w:eastAsia="黑体"/>
          <w:sz w:val="30"/>
          <w:szCs w:val="30"/>
          <w:highlight w:val="none"/>
        </w:rPr>
      </w:pPr>
      <w:r>
        <w:rPr>
          <w:rFonts w:hint="eastAsia" w:ascii="黑体" w:eastAsia="黑体"/>
          <w:sz w:val="30"/>
          <w:szCs w:val="30"/>
          <w:highlight w:val="none"/>
          <w:u w:val="single"/>
        </w:rPr>
        <w:t>（合同工程名称）</w:t>
      </w:r>
      <w:r>
        <w:rPr>
          <w:rFonts w:ascii="黑体" w:eastAsia="黑体"/>
          <w:sz w:val="30"/>
          <w:szCs w:val="30"/>
          <w:highlight w:val="none"/>
        </w:rPr>
        <w:t>农民工工资支付承诺书</w:t>
      </w:r>
    </w:p>
    <w:p>
      <w:pPr>
        <w:adjustRightInd w:val="0"/>
        <w:snapToGrid w:val="0"/>
        <w:spacing w:afterLines="50" w:line="343" w:lineRule="auto"/>
        <w:ind w:firstLine="360" w:firstLineChars="150"/>
        <w:rPr>
          <w:sz w:val="24"/>
          <w:highlight w:val="none"/>
        </w:rPr>
      </w:pPr>
      <w:r>
        <w:rPr>
          <w:rFonts w:hint="eastAsia"/>
          <w:sz w:val="24"/>
          <w:highlight w:val="none"/>
        </w:rPr>
        <w:t>我单位在此郑重承诺：</w:t>
      </w:r>
    </w:p>
    <w:p>
      <w:pPr>
        <w:adjustRightInd w:val="0"/>
        <w:snapToGrid w:val="0"/>
        <w:spacing w:afterLines="50" w:line="343" w:lineRule="auto"/>
        <w:ind w:firstLine="360" w:firstLineChars="150"/>
        <w:rPr>
          <w:sz w:val="24"/>
          <w:highlight w:val="none"/>
        </w:rPr>
      </w:pPr>
      <w:r>
        <w:rPr>
          <w:sz w:val="24"/>
          <w:highlight w:val="none"/>
        </w:rPr>
        <w:t>一、开工前与农民工签定劳动合同</w:t>
      </w:r>
      <w:r>
        <w:rPr>
          <w:sz w:val="24"/>
          <w:highlight w:val="none"/>
        </w:rPr>
        <w:br w:type="textWrapping"/>
      </w:r>
      <w:r>
        <w:rPr>
          <w:sz w:val="24"/>
          <w:highlight w:val="none"/>
        </w:rPr>
        <w:t>     二、按时支付农民工工资、加班加点工资。</w:t>
      </w:r>
      <w:r>
        <w:rPr>
          <w:sz w:val="24"/>
          <w:highlight w:val="none"/>
        </w:rPr>
        <w:br w:type="textWrapping"/>
      </w:r>
      <w:r>
        <w:rPr>
          <w:sz w:val="24"/>
          <w:highlight w:val="none"/>
        </w:rPr>
        <w:t>     三、支付农民工工资不低于</w:t>
      </w:r>
      <w:r>
        <w:rPr>
          <w:rFonts w:hint="eastAsia"/>
          <w:sz w:val="24"/>
          <w:highlight w:val="none"/>
        </w:rPr>
        <w:t>河南</w:t>
      </w:r>
      <w:r>
        <w:rPr>
          <w:sz w:val="24"/>
          <w:highlight w:val="none"/>
        </w:rPr>
        <w:t>省最低工资标准</w:t>
      </w:r>
      <w:r>
        <w:rPr>
          <w:sz w:val="24"/>
          <w:highlight w:val="none"/>
          <w:u w:val="single"/>
        </w:rPr>
        <w:t xml:space="preserve">    </w:t>
      </w:r>
      <w:r>
        <w:rPr>
          <w:sz w:val="24"/>
          <w:highlight w:val="none"/>
        </w:rPr>
        <w:t>元。</w:t>
      </w:r>
      <w:r>
        <w:rPr>
          <w:sz w:val="24"/>
          <w:highlight w:val="none"/>
        </w:rPr>
        <w:br w:type="textWrapping"/>
      </w:r>
      <w:r>
        <w:rPr>
          <w:sz w:val="24"/>
          <w:highlight w:val="none"/>
        </w:rPr>
        <w:t>     四、不无故拖欠、克扣农民工工资。</w:t>
      </w:r>
      <w:r>
        <w:rPr>
          <w:sz w:val="24"/>
          <w:highlight w:val="none"/>
        </w:rPr>
        <w:br w:type="textWrapping"/>
      </w:r>
      <w:r>
        <w:rPr>
          <w:sz w:val="24"/>
          <w:highlight w:val="none"/>
        </w:rPr>
        <w:t>     五、</w:t>
      </w:r>
      <w:r>
        <w:rPr>
          <w:rFonts w:hint="eastAsia"/>
          <w:sz w:val="24"/>
          <w:highlight w:val="none"/>
        </w:rPr>
        <w:t>坚决不</w:t>
      </w:r>
      <w:r>
        <w:rPr>
          <w:sz w:val="24"/>
          <w:highlight w:val="none"/>
        </w:rPr>
        <w:t>侵害农民工劳动报酬的合法权益。</w:t>
      </w:r>
      <w:r>
        <w:rPr>
          <w:sz w:val="24"/>
          <w:highlight w:val="none"/>
        </w:rPr>
        <w:br w:type="textWrapping"/>
      </w:r>
      <w:r>
        <w:rPr>
          <w:sz w:val="24"/>
          <w:highlight w:val="none"/>
        </w:rPr>
        <w:t>      六、若有拖欠、克扣农民工工资、加班加点工资及侵害农民工劳动报酬权益的行为，</w:t>
      </w:r>
      <w:r>
        <w:rPr>
          <w:rFonts w:hint="eastAsia"/>
          <w:sz w:val="24"/>
          <w:highlight w:val="none"/>
        </w:rPr>
        <w:t>经有关部门</w:t>
      </w:r>
      <w:r>
        <w:rPr>
          <w:sz w:val="24"/>
          <w:highlight w:val="none"/>
        </w:rPr>
        <w:t>查证属实后，</w:t>
      </w:r>
      <w:r>
        <w:rPr>
          <w:rFonts w:hint="eastAsia"/>
          <w:sz w:val="24"/>
          <w:highlight w:val="none"/>
        </w:rPr>
        <w:t>自愿</w:t>
      </w:r>
      <w:r>
        <w:rPr>
          <w:sz w:val="24"/>
          <w:highlight w:val="none"/>
        </w:rPr>
        <w:t>从工资保</w:t>
      </w:r>
      <w:r>
        <w:rPr>
          <w:rFonts w:hint="eastAsia"/>
          <w:sz w:val="24"/>
          <w:highlight w:val="none"/>
        </w:rPr>
        <w:t>障</w:t>
      </w:r>
      <w:r>
        <w:rPr>
          <w:sz w:val="24"/>
          <w:highlight w:val="none"/>
        </w:rPr>
        <w:t>金中支付，</w:t>
      </w:r>
      <w:r>
        <w:rPr>
          <w:rFonts w:hint="eastAsia"/>
          <w:sz w:val="24"/>
          <w:highlight w:val="none"/>
        </w:rPr>
        <w:t>且</w:t>
      </w:r>
      <w:r>
        <w:rPr>
          <w:sz w:val="24"/>
          <w:highlight w:val="none"/>
        </w:rPr>
        <w:t>在一个星期内补足保</w:t>
      </w:r>
      <w:r>
        <w:rPr>
          <w:rFonts w:hint="eastAsia"/>
          <w:sz w:val="24"/>
          <w:highlight w:val="none"/>
        </w:rPr>
        <w:t>障</w:t>
      </w:r>
      <w:r>
        <w:rPr>
          <w:sz w:val="24"/>
          <w:highlight w:val="none"/>
        </w:rPr>
        <w:t>金。</w:t>
      </w:r>
      <w:r>
        <w:rPr>
          <w:sz w:val="24"/>
          <w:highlight w:val="none"/>
        </w:rPr>
        <w:br w:type="textWrapping"/>
      </w: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jc w:val="right"/>
        <w:rPr>
          <w:sz w:val="24"/>
          <w:highlight w:val="none"/>
          <w:u w:val="single"/>
        </w:rPr>
      </w:pPr>
      <w:r>
        <w:rPr>
          <w:rFonts w:hint="eastAsia"/>
          <w:sz w:val="24"/>
          <w:highlight w:val="none"/>
        </w:rPr>
        <w:t>承诺人：</w:t>
      </w:r>
      <w:r>
        <w:rPr>
          <w:rFonts w:hint="eastAsia"/>
          <w:sz w:val="24"/>
          <w:highlight w:val="none"/>
          <w:u w:val="single"/>
        </w:rPr>
        <w:t>（单位全称）（盖章）</w:t>
      </w:r>
    </w:p>
    <w:p>
      <w:pPr>
        <w:adjustRightInd w:val="0"/>
        <w:snapToGrid w:val="0"/>
        <w:spacing w:afterLines="50" w:line="343" w:lineRule="auto"/>
        <w:ind w:firstLine="6120" w:firstLineChars="2550"/>
        <w:rPr>
          <w:sz w:val="24"/>
          <w:highlight w:val="none"/>
        </w:rPr>
      </w:pPr>
      <w:r>
        <w:rPr>
          <w:rFonts w:hint="eastAsia"/>
          <w:sz w:val="24"/>
          <w:highlight w:val="none"/>
        </w:rPr>
        <w:t>法定代表人：</w:t>
      </w:r>
    </w:p>
    <w:p>
      <w:pPr>
        <w:adjustRightInd w:val="0"/>
        <w:snapToGrid w:val="0"/>
        <w:spacing w:afterLines="50" w:line="343" w:lineRule="auto"/>
        <w:ind w:firstLine="360" w:firstLineChars="150"/>
        <w:rPr>
          <w:sz w:val="24"/>
          <w:highlight w:val="none"/>
          <w:u w:val="single"/>
        </w:rPr>
      </w:pPr>
    </w:p>
    <w:p>
      <w:pPr>
        <w:adjustRightInd w:val="0"/>
        <w:snapToGrid w:val="0"/>
        <w:spacing w:afterLines="50" w:line="343" w:lineRule="auto"/>
        <w:rPr>
          <w:rFonts w:ascii="黑体" w:eastAsia="黑体"/>
          <w:sz w:val="28"/>
          <w:szCs w:val="28"/>
          <w:highlight w:val="none"/>
        </w:rPr>
      </w:pPr>
    </w:p>
    <w:p>
      <w:pPr>
        <w:adjustRightInd w:val="0"/>
        <w:snapToGrid w:val="0"/>
        <w:spacing w:line="360" w:lineRule="auto"/>
        <w:rPr>
          <w:rFonts w:ascii="黑体" w:eastAsia="黑体"/>
          <w:sz w:val="24"/>
          <w:highlight w:val="none"/>
        </w:rPr>
      </w:pPr>
      <w:r>
        <w:rPr>
          <w:rFonts w:ascii="黑体" w:eastAsia="黑体"/>
          <w:sz w:val="24"/>
          <w:highlight w:val="none"/>
        </w:rPr>
        <w:br w:type="page"/>
      </w:r>
      <w:r>
        <w:rPr>
          <w:rFonts w:hint="eastAsia" w:ascii="黑体" w:eastAsia="黑体"/>
          <w:sz w:val="24"/>
          <w:highlight w:val="none"/>
        </w:rPr>
        <w:t>附件五：项目经理委任书</w:t>
      </w:r>
    </w:p>
    <w:p>
      <w:pPr>
        <w:adjustRightInd w:val="0"/>
        <w:snapToGrid w:val="0"/>
        <w:spacing w:line="360" w:lineRule="auto"/>
        <w:jc w:val="center"/>
        <w:rPr>
          <w:rFonts w:ascii="黑体" w:eastAsia="黑体"/>
          <w:sz w:val="30"/>
          <w:szCs w:val="30"/>
          <w:highlight w:val="none"/>
          <w:u w:val="single"/>
        </w:rPr>
      </w:pPr>
      <w:r>
        <w:rPr>
          <w:rFonts w:hint="eastAsia" w:ascii="黑体" w:eastAsia="黑体"/>
          <w:sz w:val="30"/>
          <w:szCs w:val="30"/>
          <w:highlight w:val="none"/>
          <w:u w:val="single"/>
        </w:rPr>
        <w:t>（承包人全称）</w:t>
      </w:r>
    </w:p>
    <w:p>
      <w:pPr>
        <w:adjustRightInd w:val="0"/>
        <w:snapToGrid w:val="0"/>
        <w:spacing w:line="360" w:lineRule="auto"/>
        <w:jc w:val="center"/>
        <w:rPr>
          <w:sz w:val="24"/>
          <w:highlight w:val="none"/>
        </w:rPr>
      </w:pPr>
      <w:r>
        <w:rPr>
          <w:rFonts w:hint="eastAsia" w:ascii="黑体" w:eastAsia="黑体"/>
          <w:sz w:val="30"/>
          <w:szCs w:val="30"/>
          <w:highlight w:val="none"/>
          <w:u w:val="single"/>
        </w:rPr>
        <w:t>（合同工程名称）</w:t>
      </w:r>
      <w:r>
        <w:rPr>
          <w:rFonts w:hint="eastAsia" w:ascii="黑体" w:eastAsia="黑体"/>
          <w:sz w:val="30"/>
          <w:szCs w:val="30"/>
          <w:highlight w:val="none"/>
        </w:rPr>
        <w:t>项目经理委</w:t>
      </w:r>
      <w:r>
        <w:rPr>
          <w:rFonts w:ascii="黑体" w:eastAsia="黑体"/>
          <w:sz w:val="30"/>
          <w:szCs w:val="30"/>
          <w:highlight w:val="none"/>
        </w:rPr>
        <w:t>任书</w:t>
      </w:r>
    </w:p>
    <w:p>
      <w:pPr>
        <w:adjustRightInd w:val="0"/>
        <w:snapToGrid w:val="0"/>
        <w:spacing w:line="360" w:lineRule="auto"/>
        <w:jc w:val="center"/>
        <w:rPr>
          <w:sz w:val="24"/>
          <w:highlight w:val="none"/>
        </w:rPr>
      </w:pPr>
    </w:p>
    <w:p>
      <w:pPr>
        <w:adjustRightInd w:val="0"/>
        <w:snapToGrid w:val="0"/>
        <w:spacing w:line="360" w:lineRule="auto"/>
        <w:jc w:val="left"/>
        <w:rPr>
          <w:sz w:val="24"/>
          <w:highlight w:val="none"/>
        </w:rPr>
      </w:pPr>
      <w:r>
        <w:rPr>
          <w:sz w:val="24"/>
          <w:highlight w:val="none"/>
        </w:rPr>
        <w:t>致：</w:t>
      </w:r>
      <w:r>
        <w:rPr>
          <w:sz w:val="24"/>
          <w:highlight w:val="none"/>
          <w:u w:val="single"/>
        </w:rPr>
        <w:t>（发包人全称）</w:t>
      </w:r>
    </w:p>
    <w:p>
      <w:pPr>
        <w:adjustRightInd w:val="0"/>
        <w:snapToGrid w:val="0"/>
        <w:spacing w:line="360" w:lineRule="auto"/>
        <w:ind w:firstLine="480" w:firstLineChars="200"/>
        <w:rPr>
          <w:sz w:val="24"/>
          <w:highlight w:val="none"/>
        </w:rPr>
      </w:pPr>
      <w:r>
        <w:rPr>
          <w:sz w:val="24"/>
          <w:highlight w:val="none"/>
          <w:u w:val="single"/>
        </w:rPr>
        <w:t>（承包人全称）</w:t>
      </w:r>
      <w:r>
        <w:rPr>
          <w:sz w:val="24"/>
          <w:highlight w:val="none"/>
        </w:rPr>
        <w:t>法定代表人</w:t>
      </w:r>
      <w:r>
        <w:rPr>
          <w:sz w:val="24"/>
          <w:highlight w:val="none"/>
          <w:u w:val="single"/>
        </w:rPr>
        <w:t>（职务、姓名）</w:t>
      </w:r>
      <w:r>
        <w:rPr>
          <w:sz w:val="24"/>
          <w:highlight w:val="none"/>
        </w:rPr>
        <w:t>代表本单位委任</w:t>
      </w:r>
      <w:r>
        <w:rPr>
          <w:sz w:val="24"/>
          <w:highlight w:val="none"/>
          <w:u w:val="single"/>
        </w:rPr>
        <w:t>（职务、姓名）</w:t>
      </w:r>
      <w:r>
        <w:rPr>
          <w:sz w:val="24"/>
          <w:highlight w:val="none"/>
        </w:rPr>
        <w:t>为</w:t>
      </w:r>
      <w:r>
        <w:rPr>
          <w:sz w:val="24"/>
          <w:highlight w:val="none"/>
          <w:u w:val="single"/>
        </w:rPr>
        <w:t>（合同工程名称）</w:t>
      </w:r>
      <w:r>
        <w:rPr>
          <w:sz w:val="24"/>
          <w:highlight w:val="none"/>
        </w:rPr>
        <w:t>的项目经理。凡本合同执行中的有关技术、工程进度、现场管理、质量检验、结算与支付等方面工作，由</w:t>
      </w:r>
      <w:r>
        <w:rPr>
          <w:rFonts w:hint="eastAsia"/>
          <w:sz w:val="24"/>
          <w:highlight w:val="none"/>
          <w:u w:val="single"/>
        </w:rPr>
        <w:t>（姓名）</w:t>
      </w:r>
      <w:r>
        <w:rPr>
          <w:sz w:val="24"/>
          <w:highlight w:val="none"/>
        </w:rPr>
        <w:t>代表本单位全面负</w:t>
      </w:r>
      <w:r>
        <w:rPr>
          <w:rFonts w:hint="eastAsia"/>
          <w:sz w:val="24"/>
          <w:highlight w:val="none"/>
        </w:rPr>
        <w:t>责。</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920" w:firstLineChars="2050"/>
        <w:rPr>
          <w:sz w:val="24"/>
          <w:highlight w:val="none"/>
        </w:rPr>
      </w:pPr>
      <w:r>
        <w:rPr>
          <w:sz w:val="24"/>
          <w:highlight w:val="none"/>
        </w:rPr>
        <w:t>承包人：</w:t>
      </w:r>
      <w:r>
        <w:rPr>
          <w:sz w:val="24"/>
          <w:highlight w:val="none"/>
          <w:u w:val="single"/>
        </w:rPr>
        <w:t>（全称）</w:t>
      </w:r>
      <w:r>
        <w:rPr>
          <w:sz w:val="24"/>
          <w:highlight w:val="none"/>
        </w:rPr>
        <w:t>…</w:t>
      </w:r>
      <w:r>
        <w:rPr>
          <w:sz w:val="24"/>
          <w:highlight w:val="none"/>
          <w:u w:val="single"/>
        </w:rPr>
        <w:t>（盖章）</w:t>
      </w:r>
    </w:p>
    <w:p>
      <w:pPr>
        <w:adjustRightInd w:val="0"/>
        <w:snapToGrid w:val="0"/>
        <w:spacing w:line="360" w:lineRule="auto"/>
        <w:ind w:firstLine="4920" w:firstLineChars="2050"/>
        <w:rPr>
          <w:sz w:val="24"/>
          <w:highlight w:val="none"/>
        </w:rPr>
      </w:pPr>
      <w:r>
        <w:rPr>
          <w:sz w:val="24"/>
          <w:highlight w:val="none"/>
        </w:rPr>
        <w:t>法定代表人：</w:t>
      </w:r>
      <w:r>
        <w:rPr>
          <w:rFonts w:hint="eastAsia"/>
          <w:sz w:val="24"/>
          <w:highlight w:val="none"/>
          <w:u w:val="single"/>
        </w:rPr>
        <w:t>（职务）</w:t>
      </w:r>
    </w:p>
    <w:p>
      <w:pPr>
        <w:adjustRightInd w:val="0"/>
        <w:snapToGrid w:val="0"/>
        <w:spacing w:line="360" w:lineRule="auto"/>
        <w:ind w:firstLine="6240" w:firstLineChars="2600"/>
        <w:rPr>
          <w:sz w:val="24"/>
          <w:highlight w:val="none"/>
          <w:u w:val="single"/>
        </w:rPr>
      </w:pPr>
      <w:r>
        <w:rPr>
          <w:sz w:val="24"/>
          <w:highlight w:val="none"/>
          <w:u w:val="single"/>
        </w:rPr>
        <w:t>（姓名）</w:t>
      </w:r>
    </w:p>
    <w:p>
      <w:pPr>
        <w:adjustRightInd w:val="0"/>
        <w:snapToGrid w:val="0"/>
        <w:spacing w:line="360" w:lineRule="auto"/>
        <w:ind w:firstLine="6240" w:firstLineChars="2600"/>
        <w:rPr>
          <w:sz w:val="24"/>
          <w:highlight w:val="none"/>
        </w:rPr>
      </w:pPr>
      <w:r>
        <w:rPr>
          <w:sz w:val="24"/>
          <w:highlight w:val="none"/>
          <w:u w:val="single"/>
        </w:rPr>
        <w:t>（</w:t>
      </w:r>
      <w:r>
        <w:rPr>
          <w:rFonts w:hint="eastAsia"/>
          <w:sz w:val="24"/>
          <w:highlight w:val="none"/>
          <w:u w:val="single"/>
        </w:rPr>
        <w:t>签字</w:t>
      </w:r>
      <w:r>
        <w:rPr>
          <w:sz w:val="24"/>
          <w:highlight w:val="none"/>
          <w:u w:val="single"/>
        </w:rPr>
        <w:t>）</w:t>
      </w:r>
    </w:p>
    <w:p>
      <w:pPr>
        <w:adjustRightInd w:val="0"/>
        <w:snapToGrid w:val="0"/>
        <w:spacing w:line="360" w:lineRule="auto"/>
        <w:ind w:firstLine="5760" w:firstLineChars="2400"/>
        <w:rPr>
          <w:sz w:val="24"/>
          <w:highlight w:val="none"/>
        </w:rPr>
      </w:pPr>
      <w:r>
        <w:rPr>
          <w:sz w:val="24"/>
          <w:highlight w:val="none"/>
        </w:rPr>
        <w:t>年月日</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rPr>
          <w:sz w:val="24"/>
          <w:highlight w:val="none"/>
        </w:rPr>
      </w:pPr>
      <w:r>
        <w:rPr>
          <w:sz w:val="24"/>
          <w:highlight w:val="none"/>
        </w:rPr>
        <w:t>抄送：</w:t>
      </w:r>
      <w:r>
        <w:rPr>
          <w:sz w:val="24"/>
          <w:highlight w:val="none"/>
          <w:u w:val="single"/>
        </w:rPr>
        <w:t>（监理人）</w:t>
      </w:r>
    </w:p>
    <w:p>
      <w:pPr>
        <w:adjustRightInd w:val="0"/>
        <w:snapToGrid w:val="0"/>
        <w:spacing w:line="360" w:lineRule="auto"/>
        <w:rPr>
          <w:rFonts w:ascii="黑体" w:eastAsia="黑体"/>
          <w:sz w:val="24"/>
          <w:highlight w:val="none"/>
        </w:rPr>
      </w:pPr>
      <w:r>
        <w:rPr>
          <w:sz w:val="24"/>
          <w:highlight w:val="none"/>
        </w:rPr>
        <w:br w:type="page"/>
      </w:r>
      <w:r>
        <w:rPr>
          <w:rFonts w:hint="eastAsia" w:ascii="黑体" w:eastAsia="黑体"/>
          <w:sz w:val="24"/>
          <w:highlight w:val="none"/>
        </w:rPr>
        <w:t>附件六：履约担保格式</w:t>
      </w:r>
    </w:p>
    <w:p>
      <w:pPr>
        <w:adjustRightInd w:val="0"/>
        <w:snapToGrid w:val="0"/>
        <w:spacing w:beforeLines="100" w:afterLines="100" w:line="360" w:lineRule="auto"/>
        <w:jc w:val="center"/>
        <w:rPr>
          <w:rFonts w:ascii="黑体" w:eastAsia="黑体"/>
          <w:sz w:val="30"/>
          <w:szCs w:val="30"/>
          <w:highlight w:val="none"/>
        </w:rPr>
      </w:pPr>
      <w:r>
        <w:rPr>
          <w:rFonts w:hint="eastAsia" w:ascii="黑体" w:eastAsia="黑体"/>
          <w:sz w:val="30"/>
          <w:szCs w:val="30"/>
          <w:highlight w:val="none"/>
        </w:rPr>
        <w:t>履 约 担 保</w:t>
      </w:r>
    </w:p>
    <w:p>
      <w:pPr>
        <w:adjustRightInd w:val="0"/>
        <w:snapToGrid w:val="0"/>
        <w:spacing w:line="360" w:lineRule="auto"/>
        <w:rPr>
          <w:sz w:val="24"/>
          <w:highlight w:val="none"/>
        </w:rPr>
      </w:pPr>
      <w:r>
        <w:rPr>
          <w:sz w:val="24"/>
          <w:highlight w:val="none"/>
        </w:rPr>
        <w:t>（发包人名称）：</w:t>
      </w:r>
    </w:p>
    <w:p>
      <w:pPr>
        <w:adjustRightInd w:val="0"/>
        <w:snapToGrid w:val="0"/>
        <w:spacing w:line="360" w:lineRule="auto"/>
        <w:rPr>
          <w:sz w:val="24"/>
          <w:highlight w:val="none"/>
        </w:rPr>
      </w:pPr>
    </w:p>
    <w:p>
      <w:pPr>
        <w:adjustRightInd w:val="0"/>
        <w:snapToGrid w:val="0"/>
        <w:spacing w:line="360" w:lineRule="auto"/>
        <w:ind w:firstLine="480" w:firstLineChars="200"/>
        <w:rPr>
          <w:sz w:val="24"/>
          <w:highlight w:val="none"/>
        </w:rPr>
      </w:pPr>
      <w:r>
        <w:rPr>
          <w:sz w:val="24"/>
          <w:highlight w:val="none"/>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担保金额人民币（大写）元（￥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发包人和承包人按合同条款第15条变更合同时，我方承担本担保规定的义务不变。</w:t>
      </w:r>
    </w:p>
    <w:p>
      <w:pPr>
        <w:adjustRightInd w:val="0"/>
        <w:snapToGrid w:val="0"/>
        <w:spacing w:line="360" w:lineRule="auto"/>
        <w:ind w:firstLine="480" w:firstLineChars="200"/>
        <w:rPr>
          <w:sz w:val="24"/>
          <w:highlight w:val="none"/>
        </w:rPr>
      </w:pPr>
    </w:p>
    <w:p>
      <w:pPr>
        <w:adjustRightInd w:val="0"/>
        <w:snapToGrid w:val="0"/>
        <w:spacing w:line="360" w:lineRule="auto"/>
        <w:ind w:firstLine="480" w:firstLineChars="200"/>
        <w:rPr>
          <w:sz w:val="24"/>
          <w:highlight w:val="none"/>
        </w:rPr>
      </w:pPr>
    </w:p>
    <w:p>
      <w:pPr>
        <w:adjustRightInd w:val="0"/>
        <w:snapToGrid w:val="0"/>
        <w:spacing w:line="360" w:lineRule="auto"/>
        <w:ind w:firstLine="3840" w:firstLineChars="1600"/>
        <w:rPr>
          <w:sz w:val="24"/>
          <w:highlight w:val="none"/>
        </w:rPr>
      </w:pPr>
      <w:r>
        <w:rPr>
          <w:sz w:val="24"/>
          <w:highlight w:val="none"/>
        </w:rPr>
        <w:t>担保人：（盖单位公章）</w:t>
      </w:r>
    </w:p>
    <w:p>
      <w:pPr>
        <w:adjustRightInd w:val="0"/>
        <w:snapToGrid w:val="0"/>
        <w:spacing w:line="360" w:lineRule="auto"/>
        <w:ind w:firstLine="3835" w:firstLineChars="1598"/>
        <w:rPr>
          <w:sz w:val="24"/>
          <w:highlight w:val="none"/>
        </w:rPr>
      </w:pPr>
      <w:r>
        <w:rPr>
          <w:sz w:val="24"/>
          <w:highlight w:val="none"/>
        </w:rPr>
        <w:t>法定代表人或其委托代理人：（签字）</w:t>
      </w:r>
    </w:p>
    <w:p>
      <w:pPr>
        <w:adjustRightInd w:val="0"/>
        <w:snapToGrid w:val="0"/>
        <w:spacing w:line="360" w:lineRule="auto"/>
        <w:ind w:firstLine="3835" w:firstLineChars="1598"/>
        <w:rPr>
          <w:sz w:val="24"/>
          <w:highlight w:val="none"/>
        </w:rPr>
      </w:pPr>
      <w:r>
        <w:rPr>
          <w:sz w:val="24"/>
          <w:highlight w:val="none"/>
        </w:rPr>
        <w:t>地址：</w:t>
      </w:r>
    </w:p>
    <w:p>
      <w:pPr>
        <w:adjustRightInd w:val="0"/>
        <w:snapToGrid w:val="0"/>
        <w:spacing w:line="360" w:lineRule="auto"/>
        <w:ind w:firstLine="3835" w:firstLineChars="1598"/>
        <w:rPr>
          <w:sz w:val="24"/>
          <w:highlight w:val="none"/>
          <w:u w:val="single"/>
        </w:rPr>
      </w:pPr>
      <w:r>
        <w:rPr>
          <w:sz w:val="24"/>
          <w:highlight w:val="none"/>
        </w:rPr>
        <w:t>邮政编码：</w:t>
      </w:r>
    </w:p>
    <w:p>
      <w:pPr>
        <w:adjustRightInd w:val="0"/>
        <w:snapToGrid w:val="0"/>
        <w:spacing w:line="360" w:lineRule="auto"/>
        <w:ind w:firstLine="3835" w:firstLineChars="1598"/>
        <w:rPr>
          <w:sz w:val="24"/>
          <w:highlight w:val="none"/>
          <w:u w:val="single"/>
        </w:rPr>
      </w:pPr>
      <w:r>
        <w:rPr>
          <w:sz w:val="24"/>
          <w:highlight w:val="none"/>
        </w:rPr>
        <w:t>电话：</w:t>
      </w:r>
    </w:p>
    <w:p>
      <w:pPr>
        <w:adjustRightInd w:val="0"/>
        <w:snapToGrid w:val="0"/>
        <w:spacing w:line="360" w:lineRule="auto"/>
        <w:ind w:firstLine="3835" w:firstLineChars="1598"/>
        <w:rPr>
          <w:sz w:val="24"/>
          <w:highlight w:val="none"/>
          <w:u w:val="single"/>
        </w:rPr>
      </w:pPr>
      <w:r>
        <w:rPr>
          <w:sz w:val="24"/>
          <w:highlight w:val="none"/>
        </w:rPr>
        <w:t>传真：</w:t>
      </w:r>
    </w:p>
    <w:p>
      <w:pPr>
        <w:adjustRightInd w:val="0"/>
        <w:snapToGrid w:val="0"/>
        <w:spacing w:line="360" w:lineRule="auto"/>
        <w:ind w:firstLine="5032" w:firstLineChars="2097"/>
        <w:rPr>
          <w:sz w:val="24"/>
          <w:highlight w:val="none"/>
        </w:rPr>
      </w:pPr>
      <w:r>
        <w:rPr>
          <w:sz w:val="24"/>
          <w:highlight w:val="none"/>
        </w:rPr>
        <w:t>年月日</w:t>
      </w:r>
    </w:p>
    <w:p>
      <w:pPr>
        <w:adjustRightInd w:val="0"/>
        <w:snapToGrid w:val="0"/>
        <w:spacing w:line="360" w:lineRule="auto"/>
        <w:rPr>
          <w:rFonts w:ascii="黑体" w:eastAsia="黑体"/>
          <w:sz w:val="24"/>
          <w:highlight w:val="none"/>
        </w:rPr>
      </w:pPr>
      <w:r>
        <w:rPr>
          <w:sz w:val="24"/>
          <w:highlight w:val="none"/>
        </w:rPr>
        <w:br w:type="page"/>
      </w:r>
      <w:r>
        <w:rPr>
          <w:rFonts w:hint="eastAsia" w:ascii="黑体" w:eastAsia="黑体"/>
          <w:sz w:val="24"/>
          <w:highlight w:val="none"/>
        </w:rPr>
        <w:t>附件七：预付款担保格式</w:t>
      </w:r>
    </w:p>
    <w:p>
      <w:pPr>
        <w:adjustRightInd w:val="0"/>
        <w:snapToGrid w:val="0"/>
        <w:spacing w:beforeLines="100" w:afterLines="100" w:line="360" w:lineRule="auto"/>
        <w:jc w:val="center"/>
        <w:rPr>
          <w:rFonts w:ascii="黑体" w:eastAsia="黑体"/>
          <w:sz w:val="30"/>
          <w:szCs w:val="30"/>
          <w:highlight w:val="none"/>
        </w:rPr>
      </w:pPr>
      <w:r>
        <w:rPr>
          <w:rFonts w:hint="eastAsia" w:ascii="黑体" w:eastAsia="黑体"/>
          <w:sz w:val="30"/>
          <w:szCs w:val="30"/>
          <w:highlight w:val="none"/>
        </w:rPr>
        <w:t>预 付 款 担 保</w:t>
      </w:r>
    </w:p>
    <w:p>
      <w:pPr>
        <w:adjustRightInd w:val="0"/>
        <w:snapToGrid w:val="0"/>
        <w:spacing w:line="360" w:lineRule="auto"/>
        <w:rPr>
          <w:sz w:val="24"/>
          <w:highlight w:val="none"/>
        </w:rPr>
      </w:pPr>
      <w:r>
        <w:rPr>
          <w:sz w:val="24"/>
          <w:highlight w:val="none"/>
        </w:rPr>
        <w:t>（发包人名称）：</w:t>
      </w:r>
    </w:p>
    <w:p>
      <w:pPr>
        <w:adjustRightInd w:val="0"/>
        <w:snapToGrid w:val="0"/>
        <w:spacing w:line="360" w:lineRule="auto"/>
        <w:rPr>
          <w:sz w:val="24"/>
          <w:highlight w:val="none"/>
        </w:rPr>
      </w:pPr>
    </w:p>
    <w:p>
      <w:pPr>
        <w:adjustRightInd w:val="0"/>
        <w:snapToGrid w:val="0"/>
        <w:spacing w:line="360" w:lineRule="auto"/>
        <w:ind w:firstLine="480" w:firstLineChars="200"/>
        <w:rPr>
          <w:sz w:val="24"/>
          <w:highlight w:val="none"/>
        </w:rPr>
      </w:pPr>
      <w:r>
        <w:rPr>
          <w:sz w:val="24"/>
          <w:highlight w:val="none"/>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w:t>
      </w:r>
      <w:r>
        <w:rPr>
          <w:sz w:val="24"/>
          <w:highlight w:val="none"/>
        </w:rPr>
        <w:t>担保金额人民币（大写）元（￥</w:t>
      </w:r>
      <w:r>
        <w:rPr>
          <w:rFonts w:hint="eastAsia"/>
          <w:sz w:val="24"/>
          <w:highlight w:val="none"/>
        </w:rPr>
        <w:t>）。</w:t>
      </w:r>
    </w:p>
    <w:p>
      <w:pPr>
        <w:adjustRightInd w:val="0"/>
        <w:snapToGrid w:val="0"/>
        <w:spacing w:line="360" w:lineRule="auto"/>
        <w:ind w:firstLine="480" w:firstLineChars="200"/>
        <w:rPr>
          <w:sz w:val="24"/>
          <w:highlight w:val="none"/>
        </w:rPr>
      </w:pPr>
      <w:r>
        <w:rPr>
          <w:sz w:val="24"/>
          <w:highlight w:val="none"/>
        </w:rPr>
        <w:t>2</w:t>
      </w:r>
      <w:r>
        <w:rPr>
          <w:rFonts w:hint="eastAsia"/>
          <w:sz w:val="24"/>
          <w:highlight w:val="none"/>
        </w:rPr>
        <w:t>．</w:t>
      </w:r>
      <w:r>
        <w:rPr>
          <w:sz w:val="24"/>
          <w:highlight w:val="none"/>
        </w:rPr>
        <w:t>担保有效期自预付款支付给承包人起生效，至发包人签发的进度付款证书说明</w:t>
      </w:r>
      <w:r>
        <w:rPr>
          <w:rFonts w:hint="eastAsia"/>
          <w:sz w:val="24"/>
          <w:highlight w:val="none"/>
        </w:rPr>
        <w:t>已</w:t>
      </w:r>
      <w:r>
        <w:rPr>
          <w:sz w:val="24"/>
          <w:highlight w:val="none"/>
        </w:rPr>
        <w:t>完全扣清止。</w:t>
      </w:r>
    </w:p>
    <w:p>
      <w:pPr>
        <w:adjustRightInd w:val="0"/>
        <w:snapToGrid w:val="0"/>
        <w:spacing w:line="360" w:lineRule="auto"/>
        <w:ind w:firstLine="480" w:firstLineChars="200"/>
        <w:rPr>
          <w:sz w:val="24"/>
          <w:highlight w:val="none"/>
        </w:rPr>
      </w:pPr>
      <w:r>
        <w:rPr>
          <w:sz w:val="24"/>
          <w:highlight w:val="none"/>
        </w:rPr>
        <w:t>3</w:t>
      </w:r>
      <w:r>
        <w:rPr>
          <w:rFonts w:hint="eastAsia"/>
          <w:sz w:val="24"/>
          <w:highlight w:val="none"/>
        </w:rPr>
        <w:t>．</w:t>
      </w:r>
      <w:r>
        <w:rPr>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highlight w:val="none"/>
        </w:rPr>
      </w:pPr>
      <w:r>
        <w:rPr>
          <w:sz w:val="24"/>
          <w:highlight w:val="none"/>
        </w:rPr>
        <w:t>4</w:t>
      </w:r>
      <w:r>
        <w:rPr>
          <w:rFonts w:hint="eastAsia"/>
          <w:sz w:val="24"/>
          <w:highlight w:val="none"/>
        </w:rPr>
        <w:t>．</w:t>
      </w:r>
      <w:r>
        <w:rPr>
          <w:sz w:val="24"/>
          <w:highlight w:val="none"/>
        </w:rPr>
        <w:t>发包人和承包人按《通用合同条款》第15条变更合同时，我方承担本保函规定的义务不变。</w:t>
      </w:r>
    </w:p>
    <w:p>
      <w:pPr>
        <w:adjustRightInd w:val="0"/>
        <w:snapToGrid w:val="0"/>
        <w:spacing w:line="360" w:lineRule="auto"/>
        <w:ind w:firstLine="480" w:firstLineChars="200"/>
        <w:rPr>
          <w:sz w:val="24"/>
          <w:highlight w:val="none"/>
        </w:rPr>
      </w:pPr>
    </w:p>
    <w:p>
      <w:pPr>
        <w:adjustRightInd w:val="0"/>
        <w:snapToGrid w:val="0"/>
        <w:spacing w:line="360" w:lineRule="auto"/>
        <w:ind w:firstLine="3840" w:firstLineChars="1600"/>
        <w:rPr>
          <w:sz w:val="24"/>
          <w:highlight w:val="none"/>
        </w:rPr>
      </w:pPr>
      <w:r>
        <w:rPr>
          <w:sz w:val="24"/>
          <w:highlight w:val="none"/>
        </w:rPr>
        <w:t>担保人：（盖单位公章）</w:t>
      </w:r>
    </w:p>
    <w:p>
      <w:pPr>
        <w:adjustRightInd w:val="0"/>
        <w:snapToGrid w:val="0"/>
        <w:spacing w:line="360" w:lineRule="auto"/>
        <w:ind w:firstLine="3835" w:firstLineChars="1598"/>
        <w:rPr>
          <w:sz w:val="24"/>
          <w:highlight w:val="none"/>
        </w:rPr>
      </w:pPr>
      <w:r>
        <w:rPr>
          <w:sz w:val="24"/>
          <w:highlight w:val="none"/>
        </w:rPr>
        <w:t>法定代表人或其委托代理人：（签字）</w:t>
      </w:r>
    </w:p>
    <w:p>
      <w:pPr>
        <w:adjustRightInd w:val="0"/>
        <w:snapToGrid w:val="0"/>
        <w:spacing w:line="360" w:lineRule="auto"/>
        <w:ind w:firstLine="3835" w:firstLineChars="1598"/>
        <w:rPr>
          <w:sz w:val="24"/>
          <w:highlight w:val="none"/>
        </w:rPr>
      </w:pPr>
      <w:r>
        <w:rPr>
          <w:sz w:val="24"/>
          <w:highlight w:val="none"/>
        </w:rPr>
        <w:t>地址：</w:t>
      </w:r>
    </w:p>
    <w:p>
      <w:pPr>
        <w:adjustRightInd w:val="0"/>
        <w:snapToGrid w:val="0"/>
        <w:spacing w:line="360" w:lineRule="auto"/>
        <w:ind w:firstLine="3835" w:firstLineChars="1598"/>
        <w:rPr>
          <w:sz w:val="24"/>
          <w:highlight w:val="none"/>
          <w:u w:val="single"/>
        </w:rPr>
      </w:pPr>
      <w:r>
        <w:rPr>
          <w:sz w:val="24"/>
          <w:highlight w:val="none"/>
        </w:rPr>
        <w:t>邮政编码：</w:t>
      </w:r>
    </w:p>
    <w:p>
      <w:pPr>
        <w:adjustRightInd w:val="0"/>
        <w:snapToGrid w:val="0"/>
        <w:spacing w:line="360" w:lineRule="auto"/>
        <w:ind w:firstLine="3835" w:firstLineChars="1598"/>
        <w:rPr>
          <w:sz w:val="24"/>
          <w:highlight w:val="none"/>
          <w:u w:val="single"/>
        </w:rPr>
      </w:pPr>
      <w:r>
        <w:rPr>
          <w:sz w:val="24"/>
          <w:highlight w:val="none"/>
        </w:rPr>
        <w:t>电话：</w:t>
      </w:r>
    </w:p>
    <w:p>
      <w:pPr>
        <w:adjustRightInd w:val="0"/>
        <w:snapToGrid w:val="0"/>
        <w:spacing w:line="360" w:lineRule="auto"/>
        <w:ind w:firstLine="3835" w:firstLineChars="1598"/>
        <w:rPr>
          <w:sz w:val="24"/>
          <w:highlight w:val="none"/>
          <w:u w:val="single"/>
        </w:rPr>
      </w:pPr>
      <w:r>
        <w:rPr>
          <w:sz w:val="24"/>
          <w:highlight w:val="none"/>
        </w:rPr>
        <w:t>传真：</w:t>
      </w:r>
    </w:p>
    <w:p>
      <w:pPr>
        <w:adjustRightInd w:val="0"/>
        <w:snapToGrid w:val="0"/>
        <w:spacing w:line="360" w:lineRule="auto"/>
        <w:ind w:firstLine="5032" w:firstLineChars="2097"/>
        <w:rPr>
          <w:highlight w:val="none"/>
        </w:rPr>
      </w:pPr>
      <w:r>
        <w:rPr>
          <w:sz w:val="24"/>
          <w:highlight w:val="none"/>
        </w:rPr>
        <w:t>年月日</w:t>
      </w:r>
    </w:p>
    <w:p>
      <w:pPr>
        <w:spacing w:line="400" w:lineRule="exact"/>
        <w:ind w:firstLine="480" w:firstLineChars="200"/>
        <w:rPr>
          <w:rFonts w:ascii="宋体" w:hAnsi="宋体"/>
          <w:sz w:val="24"/>
          <w:highlight w:val="none"/>
        </w:rPr>
      </w:pPr>
    </w:p>
    <w:p>
      <w:pPr>
        <w:rPr>
          <w:rFonts w:ascii="宋体" w:hAnsi="宋体"/>
          <w:sz w:val="24"/>
          <w:highlight w:val="none"/>
        </w:rPr>
      </w:pPr>
    </w:p>
    <w:p>
      <w:pPr>
        <w:spacing w:line="400" w:lineRule="exact"/>
        <w:rPr>
          <w:rFonts w:ascii="隶书" w:hAnsi="宋体" w:eastAsia="隶书"/>
          <w:sz w:val="24"/>
          <w:highlight w:val="none"/>
        </w:rPr>
      </w:pPr>
    </w:p>
    <w:p>
      <w:pPr>
        <w:pStyle w:val="6"/>
        <w:spacing w:after="600" w:line="240" w:lineRule="auto"/>
        <w:jc w:val="center"/>
        <w:rPr>
          <w:b w:val="0"/>
          <w:highlight w:val="none"/>
        </w:rPr>
      </w:pPr>
      <w:bookmarkStart w:id="218" w:name="_Toc483496978"/>
      <w:bookmarkStart w:id="219" w:name="_Toc237866020"/>
      <w:r>
        <w:rPr>
          <w:rFonts w:hint="eastAsia" w:ascii="黑体" w:eastAsia="黑体"/>
          <w:highlight w:val="none"/>
        </w:rPr>
        <w:t xml:space="preserve">第五章  </w:t>
      </w:r>
      <w:r>
        <w:rPr>
          <w:rFonts w:ascii="黑体" w:eastAsia="黑体"/>
          <w:highlight w:val="none"/>
        </w:rPr>
        <w:t>工程量清单说明</w:t>
      </w:r>
      <w:bookmarkEnd w:id="218"/>
      <w:bookmarkEnd w:id="219"/>
    </w:p>
    <w:p>
      <w:pPr>
        <w:pStyle w:val="36"/>
        <w:numPr>
          <w:ilvl w:val="0"/>
          <w:numId w:val="2"/>
        </w:numPr>
        <w:spacing w:before="120" w:after="120"/>
        <w:ind w:firstLineChars="0"/>
        <w:rPr>
          <w:rFonts w:ascii="黑体" w:eastAsia="黑体"/>
          <w:sz w:val="28"/>
          <w:szCs w:val="28"/>
          <w:highlight w:val="none"/>
        </w:rPr>
      </w:pPr>
      <w:bookmarkStart w:id="220" w:name="_Hlt236721459"/>
      <w:bookmarkEnd w:id="220"/>
      <w:r>
        <w:rPr>
          <w:rFonts w:hint="eastAsia" w:ascii="黑体" w:eastAsia="黑体"/>
          <w:sz w:val="28"/>
          <w:szCs w:val="28"/>
          <w:highlight w:val="none"/>
        </w:rPr>
        <w:t>工程量清单说明</w:t>
      </w:r>
    </w:p>
    <w:p>
      <w:pPr>
        <w:spacing w:line="400" w:lineRule="exact"/>
        <w:ind w:firstLine="480" w:firstLineChars="200"/>
        <w:rPr>
          <w:rFonts w:ascii="宋体" w:hAnsi="宋体"/>
          <w:sz w:val="24"/>
          <w:highlight w:val="none"/>
        </w:rPr>
      </w:pPr>
      <w:r>
        <w:rPr>
          <w:rFonts w:hint="eastAsia" w:ascii="宋体" w:hAnsi="宋体"/>
          <w:sz w:val="24"/>
          <w:highlight w:val="none"/>
        </w:rPr>
        <w:t>1）计算依据:委托单位提供的报审预算、由设计单位提供的设计图纸等;</w:t>
      </w:r>
    </w:p>
    <w:p>
      <w:pPr>
        <w:spacing w:line="400" w:lineRule="exact"/>
        <w:ind w:firstLine="480" w:firstLineChars="200"/>
        <w:rPr>
          <w:rFonts w:ascii="宋体" w:hAnsi="宋体"/>
          <w:sz w:val="24"/>
          <w:highlight w:val="none"/>
        </w:rPr>
      </w:pPr>
      <w:r>
        <w:rPr>
          <w:rFonts w:hint="eastAsia" w:ascii="宋体" w:hAnsi="宋体"/>
          <w:sz w:val="24"/>
          <w:highlight w:val="none"/>
        </w:rPr>
        <w:t>2）计价依据:《公路工程预算定额》(JTG/T 3832-2018)、《08公路工程清单计价依据》( 2009范本)等相关计价文件及其配套的省市有关文件;</w:t>
      </w:r>
    </w:p>
    <w:p>
      <w:pPr>
        <w:spacing w:before="240" w:after="120"/>
        <w:rPr>
          <w:rFonts w:ascii="黑体" w:eastAsia="黑体"/>
          <w:sz w:val="28"/>
          <w:szCs w:val="28"/>
          <w:highlight w:val="none"/>
        </w:rPr>
      </w:pPr>
      <w:r>
        <w:rPr>
          <w:rFonts w:hint="eastAsia" w:ascii="黑体" w:eastAsia="黑体"/>
          <w:sz w:val="28"/>
          <w:szCs w:val="28"/>
          <w:highlight w:val="none"/>
        </w:rPr>
        <w:t>2．投标报价说明</w:t>
      </w:r>
    </w:p>
    <w:p>
      <w:pPr>
        <w:spacing w:line="400" w:lineRule="exact"/>
        <w:ind w:firstLine="480" w:firstLineChars="200"/>
        <w:rPr>
          <w:rFonts w:ascii="宋体" w:hAnsi="宋体"/>
          <w:sz w:val="24"/>
          <w:highlight w:val="none"/>
        </w:rPr>
      </w:pPr>
      <w:r>
        <w:rPr>
          <w:rFonts w:hint="eastAsia" w:ascii="宋体" w:hAnsi="宋体"/>
          <w:sz w:val="24"/>
          <w:highlight w:val="none"/>
        </w:rPr>
        <w:t>2.1 工程量清单中的每一子目须填入单价或价格，且只允许有一个报价。</w:t>
      </w:r>
    </w:p>
    <w:p>
      <w:pPr>
        <w:spacing w:line="400" w:lineRule="exact"/>
        <w:ind w:firstLine="480" w:firstLineChars="200"/>
        <w:rPr>
          <w:rFonts w:ascii="宋体" w:hAnsi="宋体"/>
          <w:sz w:val="24"/>
          <w:highlight w:val="none"/>
        </w:rPr>
      </w:pPr>
      <w:r>
        <w:rPr>
          <w:rFonts w:hint="eastAsia" w:ascii="宋体" w:hAnsi="宋体"/>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sz w:val="24"/>
          <w:highlight w:val="none"/>
        </w:rPr>
      </w:pPr>
      <w:r>
        <w:rPr>
          <w:rFonts w:hint="eastAsia" w:ascii="宋体" w:hAnsi="宋体"/>
          <w:sz w:val="24"/>
          <w:highlight w:val="none"/>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sz w:val="24"/>
          <w:highlight w:val="none"/>
        </w:rPr>
      </w:pPr>
      <w:r>
        <w:rPr>
          <w:rFonts w:hint="eastAsia" w:ascii="宋体" w:hAnsi="宋体"/>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sz w:val="24"/>
          <w:highlight w:val="none"/>
        </w:rPr>
      </w:pPr>
      <w:r>
        <w:rPr>
          <w:rFonts w:hint="eastAsia" w:ascii="宋体" w:hAnsi="宋体"/>
          <w:sz w:val="24"/>
          <w:highlight w:val="none"/>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sz w:val="24"/>
          <w:highlight w:val="none"/>
        </w:rPr>
      </w:pPr>
      <w:r>
        <w:rPr>
          <w:rFonts w:hint="eastAsia" w:ascii="宋体" w:hAnsi="宋体"/>
          <w:sz w:val="24"/>
          <w:highlight w:val="none"/>
        </w:rPr>
        <w:t>2.6 工程量清单中各项金额均以人民币（元）结算。</w:t>
      </w:r>
    </w:p>
    <w:p>
      <w:pPr>
        <w:spacing w:line="400" w:lineRule="exact"/>
        <w:ind w:firstLine="480" w:firstLineChars="200"/>
        <w:rPr>
          <w:rFonts w:ascii="宋体" w:hAnsi="宋体"/>
          <w:sz w:val="24"/>
          <w:highlight w:val="none"/>
        </w:rPr>
      </w:pPr>
      <w:r>
        <w:rPr>
          <w:rFonts w:hint="eastAsia" w:ascii="宋体" w:hAnsi="宋体"/>
          <w:sz w:val="24"/>
          <w:highlight w:val="none"/>
        </w:rPr>
        <w:t>2.7 暂列金额（不含计日工总额）的数量及拟用子目的说明：。</w:t>
      </w:r>
    </w:p>
    <w:p>
      <w:pPr>
        <w:spacing w:line="400" w:lineRule="exact"/>
        <w:ind w:firstLine="480" w:firstLineChars="200"/>
        <w:rPr>
          <w:rFonts w:ascii="宋体" w:hAnsi="宋体"/>
          <w:sz w:val="24"/>
          <w:highlight w:val="none"/>
        </w:rPr>
      </w:pPr>
      <w:r>
        <w:rPr>
          <w:rFonts w:hint="eastAsia" w:ascii="宋体" w:hAnsi="宋体"/>
          <w:sz w:val="24"/>
          <w:highlight w:val="none"/>
        </w:rPr>
        <w:t>2.8 暂估价的数量及拟用子目的说明：。</w:t>
      </w:r>
    </w:p>
    <w:p>
      <w:pPr>
        <w:spacing w:before="240" w:after="120"/>
        <w:rPr>
          <w:rFonts w:ascii="黑体" w:eastAsia="黑体"/>
          <w:sz w:val="28"/>
          <w:szCs w:val="28"/>
          <w:highlight w:val="none"/>
        </w:rPr>
      </w:pPr>
      <w:r>
        <w:rPr>
          <w:rFonts w:hint="eastAsia" w:ascii="黑体" w:eastAsia="黑体"/>
          <w:sz w:val="28"/>
          <w:szCs w:val="28"/>
          <w:highlight w:val="none"/>
        </w:rPr>
        <w:t>3．计日工说明</w:t>
      </w:r>
    </w:p>
    <w:p>
      <w:pPr>
        <w:spacing w:line="400" w:lineRule="exact"/>
        <w:rPr>
          <w:rFonts w:ascii="宋体" w:hAnsi="宋体"/>
          <w:sz w:val="24"/>
          <w:highlight w:val="none"/>
        </w:rPr>
      </w:pPr>
      <w:r>
        <w:rPr>
          <w:rFonts w:hint="eastAsia" w:ascii="宋体" w:hAnsi="宋体"/>
          <w:sz w:val="24"/>
          <w:highlight w:val="none"/>
        </w:rPr>
        <w:t xml:space="preserve">    3.1 总则</w:t>
      </w:r>
    </w:p>
    <w:p>
      <w:pPr>
        <w:spacing w:line="400" w:lineRule="exact"/>
        <w:ind w:firstLine="360" w:firstLineChars="150"/>
        <w:rPr>
          <w:rFonts w:ascii="宋体" w:hAnsi="宋体"/>
          <w:sz w:val="24"/>
          <w:highlight w:val="none"/>
        </w:rPr>
      </w:pPr>
      <w:r>
        <w:rPr>
          <w:rFonts w:hint="eastAsia" w:ascii="宋体" w:hAnsi="宋体"/>
          <w:sz w:val="24"/>
          <w:highlight w:val="none"/>
        </w:rPr>
        <w:t>（l）本说明应参照通用合同条款第15.7款一并理解。</w:t>
      </w:r>
    </w:p>
    <w:p>
      <w:pPr>
        <w:spacing w:line="400" w:lineRule="exact"/>
        <w:ind w:firstLine="360" w:firstLineChars="150"/>
        <w:rPr>
          <w:rFonts w:ascii="宋体" w:hAnsi="宋体"/>
          <w:sz w:val="24"/>
          <w:highlight w:val="none"/>
        </w:rPr>
      </w:pPr>
      <w:r>
        <w:rPr>
          <w:rFonts w:hint="eastAsia" w:ascii="宋体" w:hAnsi="宋体"/>
          <w:sz w:val="24"/>
          <w:highlight w:val="none"/>
        </w:rPr>
        <w:t>（2）未经监理人书面指令，任何工程不得按计日工施工；接到监理人按计日工施工的书面指令，承包人也不得拒绝。</w:t>
      </w:r>
    </w:p>
    <w:p>
      <w:pPr>
        <w:spacing w:line="400" w:lineRule="exact"/>
        <w:ind w:firstLine="360" w:firstLineChars="150"/>
        <w:rPr>
          <w:rFonts w:ascii="宋体" w:hAnsi="宋体"/>
          <w:sz w:val="24"/>
          <w:highlight w:val="none"/>
        </w:rPr>
      </w:pPr>
      <w:r>
        <w:rPr>
          <w:rFonts w:hint="eastAsia" w:ascii="宋体" w:hAnsi="宋体"/>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sz w:val="24"/>
          <w:highlight w:val="none"/>
        </w:rPr>
      </w:pPr>
      <w:r>
        <w:rPr>
          <w:rFonts w:hint="eastAsia" w:ascii="宋体" w:hAnsi="宋体"/>
          <w:sz w:val="24"/>
          <w:highlight w:val="none"/>
        </w:rPr>
        <w:t>（4）计日工不调价。</w:t>
      </w:r>
    </w:p>
    <w:p>
      <w:pPr>
        <w:spacing w:line="400" w:lineRule="exact"/>
        <w:ind w:firstLine="480" w:firstLineChars="200"/>
        <w:rPr>
          <w:rFonts w:ascii="宋体" w:hAnsi="宋体"/>
          <w:sz w:val="24"/>
          <w:highlight w:val="none"/>
        </w:rPr>
      </w:pPr>
      <w:r>
        <w:rPr>
          <w:rFonts w:hint="eastAsia" w:ascii="宋体" w:hAnsi="宋体"/>
          <w:sz w:val="24"/>
          <w:highlight w:val="none"/>
        </w:rPr>
        <w:t>3.2 计日工劳务</w:t>
      </w:r>
    </w:p>
    <w:p>
      <w:pPr>
        <w:spacing w:line="400" w:lineRule="exact"/>
        <w:ind w:firstLine="360" w:firstLineChars="150"/>
        <w:rPr>
          <w:rFonts w:ascii="宋体" w:hAnsi="宋体"/>
          <w:sz w:val="24"/>
          <w:highlight w:val="none"/>
        </w:rPr>
      </w:pPr>
      <w:r>
        <w:rPr>
          <w:rFonts w:hint="eastAsia" w:ascii="宋体" w:hAnsi="宋体"/>
          <w:sz w:val="24"/>
          <w:highlight w:val="none"/>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sz w:val="24"/>
          <w:highlight w:val="none"/>
        </w:rPr>
      </w:pPr>
      <w:r>
        <w:rPr>
          <w:rFonts w:hint="eastAsia" w:ascii="宋体" w:hAnsi="宋体"/>
          <w:sz w:val="24"/>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sz w:val="24"/>
          <w:highlight w:val="none"/>
        </w:rPr>
      </w:pPr>
      <w:r>
        <w:rPr>
          <w:rFonts w:hint="eastAsia" w:ascii="宋体" w:hAnsi="宋体"/>
          <w:sz w:val="24"/>
          <w:highlight w:val="none"/>
        </w:rPr>
        <w:t>a.劳务基本单价包括：承包人劳务的全部直接费用，如：工资、加班费、津贴、福利费及劳动保护费等。</w:t>
      </w:r>
    </w:p>
    <w:p>
      <w:pPr>
        <w:spacing w:line="400" w:lineRule="exact"/>
        <w:ind w:firstLine="480" w:firstLineChars="200"/>
        <w:rPr>
          <w:rFonts w:ascii="宋体" w:hAnsi="宋体"/>
          <w:sz w:val="24"/>
          <w:highlight w:val="none"/>
        </w:rPr>
      </w:pPr>
      <w:r>
        <w:rPr>
          <w:rFonts w:hint="eastAsia" w:ascii="宋体" w:hAnsi="宋体"/>
          <w:sz w:val="24"/>
          <w:highlight w:val="none"/>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sz w:val="24"/>
          <w:highlight w:val="none"/>
        </w:rPr>
      </w:pPr>
      <w:r>
        <w:rPr>
          <w:rFonts w:hint="eastAsia" w:ascii="宋体" w:hAnsi="宋体"/>
          <w:sz w:val="24"/>
          <w:highlight w:val="none"/>
        </w:rPr>
        <w:t>3.3 计日工材料</w:t>
      </w:r>
    </w:p>
    <w:p>
      <w:pPr>
        <w:spacing w:line="400" w:lineRule="exact"/>
        <w:ind w:firstLine="360" w:firstLineChars="150"/>
        <w:rPr>
          <w:rFonts w:ascii="宋体" w:hAnsi="宋体"/>
          <w:sz w:val="24"/>
          <w:highlight w:val="none"/>
        </w:rPr>
      </w:pPr>
      <w:r>
        <w:rPr>
          <w:rFonts w:hint="eastAsia" w:ascii="宋体" w:hAnsi="宋体"/>
          <w:sz w:val="24"/>
          <w:highlight w:val="none"/>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sz w:val="24"/>
          <w:highlight w:val="none"/>
        </w:rPr>
      </w:pPr>
      <w:r>
        <w:rPr>
          <w:rFonts w:hint="eastAsia" w:ascii="宋体" w:hAnsi="宋体"/>
          <w:sz w:val="24"/>
          <w:highlight w:val="none"/>
        </w:rPr>
        <w:t>a．材料基本单价按供货价加运杂费（到达承包人现场仓库）、保险费、仓库管理费以及运输损耗等计算。</w:t>
      </w:r>
    </w:p>
    <w:p>
      <w:pPr>
        <w:spacing w:line="400" w:lineRule="exact"/>
        <w:ind w:firstLine="480" w:firstLineChars="200"/>
        <w:rPr>
          <w:rFonts w:ascii="宋体" w:hAnsi="宋体"/>
          <w:sz w:val="24"/>
          <w:highlight w:val="none"/>
        </w:rPr>
      </w:pPr>
      <w:r>
        <w:rPr>
          <w:rFonts w:hint="eastAsia" w:ascii="宋体" w:hAnsi="宋体"/>
          <w:sz w:val="24"/>
          <w:highlight w:val="none"/>
        </w:rPr>
        <w:t>b. 承包人的利润、管理、质检、保险、税费及其他附加费：</w:t>
      </w:r>
    </w:p>
    <w:p>
      <w:pPr>
        <w:spacing w:line="400" w:lineRule="exact"/>
        <w:ind w:firstLine="480" w:firstLineChars="200"/>
        <w:rPr>
          <w:rFonts w:ascii="宋体" w:hAnsi="宋体"/>
          <w:sz w:val="24"/>
          <w:highlight w:val="none"/>
        </w:rPr>
      </w:pPr>
      <w:r>
        <w:rPr>
          <w:rFonts w:hint="eastAsia" w:ascii="宋体" w:hAnsi="宋体"/>
          <w:sz w:val="24"/>
          <w:highlight w:val="none"/>
        </w:rPr>
        <w:t>c．从现场运至使用地点的人工费和施工机械使用费不包括在上述基本单价内。</w:t>
      </w:r>
    </w:p>
    <w:p>
      <w:pPr>
        <w:spacing w:line="400" w:lineRule="exact"/>
        <w:ind w:firstLine="480" w:firstLineChars="200"/>
        <w:rPr>
          <w:rFonts w:ascii="宋体" w:hAnsi="宋体"/>
          <w:sz w:val="24"/>
          <w:highlight w:val="none"/>
        </w:rPr>
      </w:pPr>
      <w:r>
        <w:rPr>
          <w:rFonts w:hint="eastAsia" w:ascii="宋体" w:hAnsi="宋体"/>
          <w:sz w:val="24"/>
          <w:highlight w:val="none"/>
        </w:rPr>
        <w:t>3.4 计日工施工机械</w:t>
      </w:r>
    </w:p>
    <w:p>
      <w:pPr>
        <w:spacing w:line="400" w:lineRule="exact"/>
        <w:ind w:firstLine="480" w:firstLineChars="200"/>
        <w:rPr>
          <w:rFonts w:ascii="宋体" w:hAnsi="宋体"/>
          <w:sz w:val="24"/>
          <w:highlight w:val="none"/>
        </w:rPr>
      </w:pPr>
      <w:r>
        <w:rPr>
          <w:rFonts w:hint="eastAsia" w:ascii="宋体" w:hAnsi="宋体"/>
          <w:sz w:val="24"/>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sz w:val="24"/>
          <w:highlight w:val="none"/>
        </w:rPr>
      </w:pPr>
      <w:r>
        <w:rPr>
          <w:rFonts w:hint="eastAsia" w:ascii="宋体" w:hAnsi="宋体"/>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highlight w:val="none"/>
        </w:rPr>
      </w:pPr>
      <w:r>
        <w:rPr>
          <w:rFonts w:hint="eastAsia" w:ascii="黑体" w:eastAsia="黑体"/>
          <w:sz w:val="28"/>
          <w:szCs w:val="28"/>
          <w:highlight w:val="none"/>
        </w:rPr>
        <w:t>4．其他说明</w:t>
      </w:r>
    </w:p>
    <w:p>
      <w:pPr>
        <w:spacing w:line="400" w:lineRule="exact"/>
        <w:ind w:firstLine="480" w:firstLineChars="200"/>
        <w:rPr>
          <w:rFonts w:ascii="宋体" w:hAnsi="宋体"/>
          <w:sz w:val="24"/>
          <w:highlight w:val="none"/>
        </w:rPr>
      </w:pPr>
      <w:r>
        <w:rPr>
          <w:rFonts w:hint="eastAsia" w:ascii="宋体" w:hAnsi="宋体"/>
          <w:sz w:val="24"/>
          <w:highlight w:val="none"/>
        </w:rPr>
        <w:t>1）本次评审不包括设备及工具器具购置、工程建设其他费用及预备费；</w:t>
      </w:r>
    </w:p>
    <w:p>
      <w:pPr>
        <w:spacing w:line="400" w:lineRule="exact"/>
        <w:ind w:firstLine="480" w:firstLineChars="200"/>
        <w:rPr>
          <w:rFonts w:ascii="宋体" w:hAnsi="宋体"/>
          <w:sz w:val="24"/>
          <w:highlight w:val="none"/>
        </w:rPr>
      </w:pPr>
      <w:r>
        <w:rPr>
          <w:rFonts w:hint="eastAsia" w:ascii="宋体" w:hAnsi="宋体"/>
          <w:sz w:val="24"/>
          <w:highlight w:val="none"/>
        </w:rPr>
        <w:t>2）人工费依据调整为108.85元/工日；</w:t>
      </w:r>
    </w:p>
    <w:p>
      <w:pPr>
        <w:spacing w:line="400" w:lineRule="exact"/>
        <w:ind w:firstLine="480" w:firstLineChars="200"/>
        <w:rPr>
          <w:rFonts w:ascii="宋体" w:hAnsi="宋体"/>
          <w:sz w:val="24"/>
          <w:highlight w:val="none"/>
        </w:rPr>
      </w:pPr>
      <w:r>
        <w:rPr>
          <w:rFonts w:hint="eastAsia" w:ascii="宋体" w:hAnsi="宋体"/>
          <w:sz w:val="24"/>
          <w:highlight w:val="none"/>
        </w:rPr>
        <w:t>3）本工程混凝土项目均按照商品混凝土考虑，材料单价已包含商砼的运输、泵送等费用；</w:t>
      </w:r>
    </w:p>
    <w:p>
      <w:pPr>
        <w:spacing w:line="400" w:lineRule="exact"/>
        <w:ind w:firstLine="480" w:firstLineChars="200"/>
        <w:rPr>
          <w:rFonts w:ascii="宋体" w:hAnsi="宋体"/>
          <w:sz w:val="24"/>
          <w:highlight w:val="none"/>
        </w:rPr>
      </w:pPr>
      <w:r>
        <w:rPr>
          <w:rFonts w:hint="eastAsia" w:ascii="宋体" w:hAnsi="宋体"/>
          <w:sz w:val="24"/>
          <w:highlight w:val="none"/>
        </w:rPr>
        <w:t>4）税金调整按9%计取；</w:t>
      </w:r>
    </w:p>
    <w:p>
      <w:pPr>
        <w:spacing w:line="400" w:lineRule="exact"/>
        <w:ind w:firstLine="480" w:firstLineChars="200"/>
        <w:rPr>
          <w:rFonts w:ascii="宋体" w:hAnsi="宋体"/>
          <w:sz w:val="24"/>
          <w:highlight w:val="none"/>
        </w:rPr>
      </w:pPr>
      <w:r>
        <w:rPr>
          <w:rFonts w:hint="eastAsia" w:ascii="宋体" w:hAnsi="宋体"/>
          <w:sz w:val="24"/>
          <w:highlight w:val="none"/>
        </w:rPr>
        <w:t>5．工程量清单</w:t>
      </w:r>
    </w:p>
    <w:p>
      <w:pPr>
        <w:spacing w:line="400" w:lineRule="exact"/>
        <w:ind w:firstLine="480" w:firstLineChars="200"/>
        <w:rPr>
          <w:rFonts w:ascii="宋体" w:hAnsi="宋体"/>
          <w:sz w:val="24"/>
          <w:highlight w:val="none"/>
        </w:rPr>
      </w:pPr>
      <w:r>
        <w:rPr>
          <w:rFonts w:hint="eastAsia" w:ascii="宋体" w:hAnsi="宋体"/>
          <w:sz w:val="24"/>
          <w:highlight w:val="none"/>
        </w:rPr>
        <w:t>另附。</w:t>
      </w:r>
    </w:p>
    <w:p>
      <w:pPr>
        <w:rPr>
          <w:rFonts w:ascii="宋体" w:hAnsi="宋体"/>
          <w:sz w:val="24"/>
          <w:highlight w:val="none"/>
        </w:rPr>
      </w:pPr>
    </w:p>
    <w:p>
      <w:pPr>
        <w:widowControl/>
        <w:spacing w:line="360" w:lineRule="auto"/>
        <w:ind w:right="714"/>
        <w:jc w:val="center"/>
        <w:rPr>
          <w:rFonts w:ascii="黑体" w:eastAsia="黑体"/>
          <w:bCs/>
          <w:sz w:val="44"/>
          <w:szCs w:val="44"/>
          <w:highlight w:val="none"/>
        </w:rPr>
      </w:pPr>
      <w:bookmarkStart w:id="221" w:name="_Toc20155"/>
      <w:r>
        <w:rPr>
          <w:rFonts w:ascii="黑体" w:eastAsia="黑体"/>
          <w:bCs/>
          <w:sz w:val="44"/>
          <w:szCs w:val="44"/>
          <w:highlight w:val="none"/>
        </w:rPr>
        <w:br w:type="page"/>
      </w:r>
    </w:p>
    <w:p>
      <w:pPr>
        <w:jc w:val="center"/>
        <w:outlineLvl w:val="0"/>
        <w:rPr>
          <w:rFonts w:ascii="宋体" w:hAnsi="宋体"/>
          <w:bCs/>
          <w:sz w:val="44"/>
          <w:szCs w:val="44"/>
          <w:highlight w:val="none"/>
        </w:rPr>
      </w:pPr>
      <w:r>
        <w:rPr>
          <w:rFonts w:ascii="黑体" w:eastAsia="黑体"/>
          <w:bCs/>
          <w:sz w:val="44"/>
          <w:szCs w:val="44"/>
          <w:highlight w:val="none"/>
        </w:rPr>
        <w:t>第六章</w:t>
      </w:r>
      <w:r>
        <w:rPr>
          <w:rFonts w:ascii="黑体" w:eastAsia="黑体"/>
          <w:bCs/>
          <w:sz w:val="44"/>
          <w:szCs w:val="44"/>
          <w:highlight w:val="none"/>
        </w:rPr>
        <w:tab/>
      </w:r>
      <w:r>
        <w:rPr>
          <w:rFonts w:ascii="黑体" w:eastAsia="黑体"/>
          <w:bCs/>
          <w:sz w:val="44"/>
          <w:szCs w:val="44"/>
          <w:highlight w:val="none"/>
        </w:rPr>
        <w:t>图纸</w:t>
      </w:r>
      <w:r>
        <w:rPr>
          <w:rFonts w:hint="eastAsia" w:ascii="黑体" w:eastAsia="黑体"/>
          <w:bCs/>
          <w:sz w:val="44"/>
          <w:szCs w:val="44"/>
          <w:highlight w:val="none"/>
        </w:rPr>
        <w:t>（</w:t>
      </w:r>
      <w:r>
        <w:rPr>
          <w:rFonts w:hint="eastAsia" w:ascii="黑体" w:eastAsia="黑体"/>
          <w:bCs/>
          <w:sz w:val="44"/>
          <w:szCs w:val="44"/>
          <w:highlight w:val="none"/>
          <w:lang w:eastAsia="zh-CN"/>
        </w:rPr>
        <w:t>另附</w:t>
      </w:r>
      <w:r>
        <w:rPr>
          <w:rFonts w:hint="eastAsia" w:ascii="黑体" w:eastAsia="黑体"/>
          <w:bCs/>
          <w:sz w:val="44"/>
          <w:szCs w:val="44"/>
          <w:highlight w:val="none"/>
        </w:rPr>
        <w:t>）</w:t>
      </w:r>
      <w:bookmarkEnd w:id="221"/>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rPr>
          <w:rFonts w:ascii="宋体" w:hAnsi="宋体"/>
          <w:bCs/>
          <w:sz w:val="44"/>
          <w:szCs w:val="44"/>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jc w:val="center"/>
        <w:outlineLvl w:val="0"/>
        <w:rPr>
          <w:rFonts w:ascii="黑体" w:eastAsia="黑体"/>
          <w:bCs/>
          <w:sz w:val="44"/>
          <w:szCs w:val="44"/>
          <w:highlight w:val="none"/>
        </w:rPr>
      </w:pPr>
      <w:bookmarkStart w:id="222" w:name="_Toc18036"/>
    </w:p>
    <w:p>
      <w:pPr>
        <w:jc w:val="center"/>
        <w:outlineLvl w:val="0"/>
        <w:rPr>
          <w:rFonts w:ascii="黑体" w:eastAsia="黑体"/>
          <w:bCs/>
          <w:sz w:val="44"/>
          <w:szCs w:val="44"/>
          <w:highlight w:val="none"/>
        </w:rPr>
      </w:pPr>
      <w:r>
        <w:rPr>
          <w:rFonts w:ascii="黑体" w:eastAsia="黑体"/>
          <w:bCs/>
          <w:sz w:val="44"/>
          <w:szCs w:val="44"/>
          <w:highlight w:val="none"/>
        </w:rPr>
        <w:t>第七章</w:t>
      </w:r>
      <w:r>
        <w:rPr>
          <w:rFonts w:ascii="黑体" w:eastAsia="黑体"/>
          <w:bCs/>
          <w:sz w:val="44"/>
          <w:szCs w:val="44"/>
          <w:highlight w:val="none"/>
        </w:rPr>
        <w:tab/>
      </w:r>
      <w:r>
        <w:rPr>
          <w:rFonts w:ascii="黑体" w:eastAsia="黑体"/>
          <w:bCs/>
          <w:sz w:val="44"/>
          <w:szCs w:val="44"/>
          <w:highlight w:val="none"/>
        </w:rPr>
        <w:t>技术</w:t>
      </w:r>
      <w:r>
        <w:rPr>
          <w:rFonts w:hint="eastAsia" w:ascii="黑体" w:eastAsia="黑体"/>
          <w:bCs/>
          <w:sz w:val="44"/>
          <w:szCs w:val="44"/>
          <w:highlight w:val="none"/>
        </w:rPr>
        <w:t>规范（另册）</w:t>
      </w:r>
      <w:bookmarkEnd w:id="222"/>
    </w:p>
    <w:p>
      <w:pPr>
        <w:rPr>
          <w:rFonts w:ascii="宋体" w:hAnsi="宋体"/>
          <w:bCs/>
          <w:sz w:val="44"/>
          <w:szCs w:val="4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p>
    <w:p>
      <w:pPr>
        <w:widowControl/>
        <w:spacing w:line="360" w:lineRule="auto"/>
        <w:ind w:right="714"/>
        <w:jc w:val="center"/>
        <w:rPr>
          <w:rFonts w:ascii="黑体" w:eastAsia="黑体"/>
          <w:bCs/>
          <w:sz w:val="44"/>
          <w:szCs w:val="44"/>
          <w:highlight w:val="none"/>
        </w:rPr>
      </w:pPr>
      <w:r>
        <w:rPr>
          <w:rFonts w:hint="eastAsia" w:ascii="黑体" w:eastAsia="黑体"/>
          <w:bCs/>
          <w:sz w:val="44"/>
          <w:szCs w:val="44"/>
          <w:highlight w:val="none"/>
        </w:rPr>
        <w:t>第八章 工程量清单计量规则</w:t>
      </w:r>
    </w:p>
    <w:p>
      <w:pPr>
        <w:widowControl/>
        <w:spacing w:line="360" w:lineRule="auto"/>
        <w:ind w:right="714"/>
        <w:jc w:val="center"/>
        <w:rPr>
          <w:rFonts w:ascii="黑体" w:eastAsia="黑体"/>
          <w:bCs/>
          <w:sz w:val="44"/>
          <w:szCs w:val="44"/>
          <w:highlight w:val="none"/>
        </w:rPr>
      </w:pPr>
      <w:r>
        <w:rPr>
          <w:rFonts w:ascii="黑体" w:eastAsia="黑体"/>
          <w:bCs/>
          <w:sz w:val="44"/>
          <w:szCs w:val="44"/>
          <w:highlight w:val="none"/>
        </w:rPr>
        <w:tab/>
      </w:r>
    </w:p>
    <w:p>
      <w:pPr>
        <w:widowControl/>
        <w:spacing w:line="360" w:lineRule="auto"/>
        <w:ind w:right="714"/>
        <w:jc w:val="center"/>
        <w:rPr>
          <w:rFonts w:ascii="黑体" w:eastAsia="黑体"/>
          <w:bCs/>
          <w:sz w:val="24"/>
          <w:highlight w:val="none"/>
        </w:rPr>
      </w:pPr>
      <w:r>
        <w:rPr>
          <w:rFonts w:hint="eastAsia" w:ascii="黑体" w:eastAsia="黑体"/>
          <w:bCs/>
          <w:sz w:val="24"/>
          <w:highlight w:val="none"/>
        </w:rPr>
        <w:t>参照《河南省公路施工招标工程量清单》计量与支付规则执行。</w:t>
      </w:r>
    </w:p>
    <w:p>
      <w:pPr>
        <w:widowControl/>
        <w:spacing w:line="360" w:lineRule="auto"/>
        <w:ind w:right="714"/>
        <w:jc w:val="center"/>
        <w:rPr>
          <w:rFonts w:ascii="黑体" w:eastAsia="黑体"/>
          <w:bCs/>
          <w:sz w:val="44"/>
          <w:szCs w:val="44"/>
          <w:highlight w:val="none"/>
        </w:rPr>
      </w:pPr>
      <w:r>
        <w:rPr>
          <w:rFonts w:ascii="黑体" w:eastAsia="黑体"/>
          <w:bCs/>
          <w:sz w:val="44"/>
          <w:szCs w:val="44"/>
          <w:highlight w:val="none"/>
        </w:rPr>
        <w:br w:type="page"/>
      </w:r>
    </w:p>
    <w:p>
      <w:pPr>
        <w:jc w:val="center"/>
        <w:outlineLvl w:val="0"/>
        <w:rPr>
          <w:rFonts w:ascii="黑体" w:eastAsia="黑体"/>
          <w:bCs/>
          <w:sz w:val="44"/>
          <w:szCs w:val="44"/>
          <w:highlight w:val="none"/>
        </w:rPr>
      </w:pPr>
      <w:r>
        <w:rPr>
          <w:rFonts w:ascii="黑体" w:eastAsia="黑体"/>
          <w:bCs/>
          <w:sz w:val="44"/>
          <w:szCs w:val="44"/>
          <w:highlight w:val="none"/>
        </w:rPr>
        <w:t>第</w:t>
      </w:r>
      <w:r>
        <w:rPr>
          <w:rFonts w:hint="eastAsia" w:ascii="黑体" w:eastAsia="黑体"/>
          <w:bCs/>
          <w:sz w:val="44"/>
          <w:szCs w:val="44"/>
          <w:highlight w:val="none"/>
        </w:rPr>
        <w:t>九</w:t>
      </w:r>
      <w:r>
        <w:rPr>
          <w:rFonts w:ascii="黑体" w:eastAsia="黑体"/>
          <w:bCs/>
          <w:sz w:val="44"/>
          <w:szCs w:val="44"/>
          <w:highlight w:val="none"/>
        </w:rPr>
        <w:t>章</w:t>
      </w:r>
      <w:r>
        <w:rPr>
          <w:rFonts w:ascii="黑体" w:eastAsia="黑体"/>
          <w:bCs/>
          <w:sz w:val="44"/>
          <w:szCs w:val="44"/>
          <w:highlight w:val="none"/>
        </w:rPr>
        <w:tab/>
      </w:r>
      <w:r>
        <w:rPr>
          <w:rFonts w:ascii="黑体" w:eastAsia="黑体"/>
          <w:bCs/>
          <w:sz w:val="44"/>
          <w:szCs w:val="44"/>
          <w:highlight w:val="none"/>
        </w:rPr>
        <w:t>投标文件格式</w:t>
      </w:r>
    </w:p>
    <w:p>
      <w:pPr>
        <w:rPr>
          <w:rFonts w:asciiTheme="majorEastAsia" w:hAnsiTheme="majorEastAsia" w:eastAsiaTheme="majorEastAsia"/>
          <w:sz w:val="52"/>
          <w:szCs w:val="52"/>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0" w:firstLineChars="0"/>
        <w:rPr>
          <w:highlight w:val="none"/>
        </w:rPr>
      </w:pPr>
    </w:p>
    <w:p>
      <w:pPr>
        <w:rPr>
          <w:rFonts w:asciiTheme="majorEastAsia" w:hAnsiTheme="majorEastAsia" w:eastAsiaTheme="majorEastAsia"/>
          <w:bCs/>
          <w:sz w:val="36"/>
          <w:szCs w:val="36"/>
          <w:highlight w:val="none"/>
        </w:rPr>
      </w:pPr>
    </w:p>
    <w:p>
      <w:pPr>
        <w:jc w:val="center"/>
        <w:rPr>
          <w:rFonts w:asciiTheme="majorEastAsia" w:hAnsiTheme="majorEastAsia" w:eastAsiaTheme="majorEastAsia"/>
          <w:bCs/>
          <w:sz w:val="36"/>
          <w:szCs w:val="36"/>
          <w:highlight w:val="none"/>
          <w:u w:val="single"/>
        </w:rPr>
      </w:pPr>
      <w:r>
        <w:rPr>
          <w:rFonts w:hint="eastAsia" w:asciiTheme="majorEastAsia" w:hAnsiTheme="majorEastAsia" w:eastAsiaTheme="majorEastAsia"/>
          <w:bCs/>
          <w:sz w:val="52"/>
          <w:szCs w:val="52"/>
          <w:highlight w:val="none"/>
          <w:u w:val="single"/>
          <w:lang w:val="en-US" w:eastAsia="zh-CN"/>
        </w:rPr>
        <w:t xml:space="preserve">                 </w:t>
      </w:r>
      <w:r>
        <w:rPr>
          <w:rFonts w:hint="eastAsia" w:asciiTheme="majorEastAsia" w:hAnsiTheme="majorEastAsia" w:eastAsiaTheme="majorEastAsia"/>
          <w:bCs/>
          <w:sz w:val="52"/>
          <w:szCs w:val="52"/>
          <w:highlight w:val="none"/>
          <w:u w:val="single"/>
        </w:rPr>
        <w:t>(项目名称)</w:t>
      </w:r>
    </w:p>
    <w:p>
      <w:pPr>
        <w:spacing w:line="360" w:lineRule="auto"/>
        <w:rPr>
          <w:rFonts w:asciiTheme="majorEastAsia" w:hAnsiTheme="majorEastAsia" w:eastAsiaTheme="majorEastAsia"/>
          <w:sz w:val="36"/>
          <w:szCs w:val="36"/>
          <w:highlight w:val="none"/>
        </w:rPr>
      </w:pPr>
    </w:p>
    <w:p>
      <w:pPr>
        <w:spacing w:line="360" w:lineRule="auto"/>
        <w:jc w:val="center"/>
        <w:rPr>
          <w:rFonts w:asciiTheme="majorEastAsia" w:hAnsiTheme="majorEastAsia" w:eastAsiaTheme="majorEastAsia"/>
          <w:b/>
          <w:color w:val="121212"/>
          <w:sz w:val="52"/>
          <w:szCs w:val="52"/>
          <w:highlight w:val="none"/>
        </w:rPr>
      </w:pPr>
      <w:r>
        <w:rPr>
          <w:rFonts w:hint="eastAsia" w:asciiTheme="majorEastAsia" w:hAnsiTheme="majorEastAsia" w:eastAsiaTheme="majorEastAsia"/>
          <w:color w:val="121212"/>
          <w:sz w:val="36"/>
          <w:szCs w:val="36"/>
          <w:highlight w:val="none"/>
        </w:rPr>
        <w:t>建安建工公字〔2020〕</w:t>
      </w:r>
      <w:r>
        <w:rPr>
          <w:rFonts w:hint="eastAsia" w:asciiTheme="majorEastAsia" w:hAnsiTheme="majorEastAsia" w:eastAsiaTheme="majorEastAsia"/>
          <w:color w:val="121212"/>
          <w:sz w:val="36"/>
          <w:szCs w:val="36"/>
          <w:highlight w:val="none"/>
          <w:lang w:val="en-US" w:eastAsia="zh-CN"/>
        </w:rPr>
        <w:t xml:space="preserve">  </w:t>
      </w:r>
      <w:r>
        <w:rPr>
          <w:rFonts w:hint="eastAsia" w:asciiTheme="majorEastAsia" w:hAnsiTheme="majorEastAsia" w:eastAsiaTheme="majorEastAsia"/>
          <w:color w:val="121212"/>
          <w:sz w:val="36"/>
          <w:szCs w:val="36"/>
          <w:highlight w:val="none"/>
        </w:rPr>
        <w:t>号</w:t>
      </w:r>
    </w:p>
    <w:p>
      <w:pPr>
        <w:spacing w:line="360" w:lineRule="auto"/>
        <w:jc w:val="center"/>
        <w:rPr>
          <w:rFonts w:asciiTheme="majorEastAsia" w:hAnsiTheme="majorEastAsia" w:eastAsiaTheme="majorEastAsia"/>
          <w:b/>
          <w:sz w:val="52"/>
          <w:szCs w:val="52"/>
          <w:highlight w:val="none"/>
        </w:rPr>
      </w:pPr>
    </w:p>
    <w:p>
      <w:pPr>
        <w:spacing w:line="360" w:lineRule="auto"/>
        <w:jc w:val="center"/>
        <w:rPr>
          <w:rFonts w:asciiTheme="majorEastAsia" w:hAnsiTheme="majorEastAsia" w:eastAsiaTheme="majorEastAsia"/>
          <w:b/>
          <w:sz w:val="72"/>
          <w:szCs w:val="72"/>
          <w:highlight w:val="none"/>
        </w:rPr>
      </w:pPr>
      <w:r>
        <w:rPr>
          <w:rFonts w:hint="eastAsia" w:asciiTheme="majorEastAsia" w:hAnsiTheme="majorEastAsia" w:eastAsiaTheme="majorEastAsia"/>
          <w:b/>
          <w:sz w:val="72"/>
          <w:szCs w:val="72"/>
          <w:highlight w:val="none"/>
        </w:rPr>
        <w:t>投 标 文 件</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第一信封</w:t>
      </w:r>
    </w:p>
    <w:p>
      <w:pPr>
        <w:spacing w:line="360" w:lineRule="auto"/>
        <w:jc w:val="center"/>
        <w:rPr>
          <w:rFonts w:asciiTheme="majorEastAsia" w:hAnsiTheme="majorEastAsia" w:eastAsiaTheme="majorEastAsia"/>
          <w:b/>
          <w:sz w:val="52"/>
          <w:szCs w:val="52"/>
          <w:highlight w:val="none"/>
        </w:rPr>
      </w:pPr>
      <w:r>
        <w:rPr>
          <w:rFonts w:hint="eastAsia" w:asciiTheme="majorEastAsia" w:hAnsiTheme="majorEastAsia" w:eastAsiaTheme="majorEastAsia"/>
          <w:b/>
          <w:sz w:val="52"/>
          <w:szCs w:val="52"/>
          <w:highlight w:val="none"/>
        </w:rPr>
        <w:t>（商务及技术文件）</w:t>
      </w: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360" w:lineRule="auto"/>
        <w:rPr>
          <w:rFonts w:asciiTheme="majorEastAsia" w:hAnsiTheme="majorEastAsia" w:eastAsiaTheme="majorEastAsia"/>
          <w:b/>
          <w:sz w:val="32"/>
          <w:szCs w:val="32"/>
          <w:highlight w:val="none"/>
        </w:rPr>
      </w:pP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投  标  人：（盖单位章）</w:t>
      </w: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法定代表人或其委托代理人：（签字）</w:t>
      </w:r>
    </w:p>
    <w:p>
      <w:pPr>
        <w:spacing w:line="800" w:lineRule="exact"/>
        <w:ind w:firstLine="1590" w:firstLineChars="495"/>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日      期：   年   月    日</w:t>
      </w:r>
    </w:p>
    <w:p>
      <w:pPr>
        <w:jc w:val="center"/>
        <w:rPr>
          <w:rFonts w:ascii="黑体" w:hAnsi="宋体" w:eastAsia="黑体"/>
          <w:b/>
          <w:sz w:val="36"/>
          <w:szCs w:val="36"/>
          <w:highlight w:val="none"/>
        </w:rPr>
      </w:pPr>
    </w:p>
    <w:p>
      <w:pPr>
        <w:pageBreakBefore/>
        <w:jc w:val="center"/>
        <w:rPr>
          <w:rFonts w:ascii="黑体" w:hAnsi="宋体" w:eastAsia="黑体"/>
          <w:b/>
          <w:sz w:val="36"/>
          <w:szCs w:val="36"/>
          <w:highlight w:val="none"/>
        </w:rPr>
      </w:pPr>
      <w:r>
        <w:rPr>
          <w:rFonts w:hint="eastAsia" w:ascii="黑体" w:hAnsi="宋体" w:eastAsia="黑体"/>
          <w:b/>
          <w:sz w:val="36"/>
          <w:szCs w:val="36"/>
          <w:highlight w:val="none"/>
        </w:rPr>
        <w:t xml:space="preserve">目 </w:t>
      </w:r>
      <w:r>
        <w:rPr>
          <w:rFonts w:hint="eastAsia" w:ascii="黑体" w:hAnsi="宋体" w:eastAsia="黑体"/>
          <w:b/>
          <w:sz w:val="36"/>
          <w:szCs w:val="36"/>
          <w:highlight w:val="none"/>
        </w:rPr>
        <w:tab/>
      </w:r>
      <w:r>
        <w:rPr>
          <w:rFonts w:hint="eastAsia" w:ascii="黑体" w:hAnsi="宋体" w:eastAsia="黑体"/>
          <w:b/>
          <w:sz w:val="36"/>
          <w:szCs w:val="36"/>
          <w:highlight w:val="none"/>
        </w:rPr>
        <w:t>录</w:t>
      </w:r>
    </w:p>
    <w:p>
      <w:pPr>
        <w:rPr>
          <w:rFonts w:ascii="宋体" w:hAnsi="宋体"/>
          <w:sz w:val="24"/>
          <w:highlight w:val="none"/>
        </w:rPr>
      </w:pP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一、</w:t>
      </w:r>
      <w:r>
        <w:rPr>
          <w:rFonts w:ascii="宋体" w:hAnsi="宋体"/>
          <w:sz w:val="28"/>
          <w:szCs w:val="28"/>
          <w:highlight w:val="none"/>
        </w:rPr>
        <w:t>投标函及投标函附录；</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二、</w:t>
      </w:r>
      <w:r>
        <w:rPr>
          <w:rFonts w:ascii="宋体" w:hAnsi="宋体"/>
          <w:sz w:val="28"/>
          <w:szCs w:val="28"/>
          <w:highlight w:val="none"/>
        </w:rPr>
        <w:t>法定代表人身份证明</w:t>
      </w:r>
      <w:r>
        <w:rPr>
          <w:rFonts w:hint="eastAsia" w:ascii="宋体" w:hAnsi="宋体"/>
          <w:sz w:val="28"/>
          <w:szCs w:val="28"/>
          <w:highlight w:val="none"/>
        </w:rPr>
        <w:t>及</w:t>
      </w:r>
      <w:r>
        <w:rPr>
          <w:rFonts w:ascii="宋体" w:hAnsi="宋体"/>
          <w:sz w:val="28"/>
          <w:szCs w:val="28"/>
          <w:highlight w:val="none"/>
        </w:rPr>
        <w:t>授权委托书</w:t>
      </w:r>
      <w:r>
        <w:rPr>
          <w:rFonts w:hint="eastAsia" w:ascii="宋体" w:hAnsi="宋体"/>
          <w:sz w:val="28"/>
          <w:szCs w:val="28"/>
          <w:highlight w:val="none"/>
        </w:rPr>
        <w:t>；</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三、</w:t>
      </w:r>
      <w:r>
        <w:rPr>
          <w:rFonts w:ascii="宋体" w:hAnsi="宋体"/>
          <w:sz w:val="28"/>
          <w:szCs w:val="28"/>
          <w:highlight w:val="none"/>
        </w:rPr>
        <w:t>投标保证金；</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四、</w:t>
      </w:r>
      <w:r>
        <w:rPr>
          <w:rFonts w:ascii="宋体" w:hAnsi="宋体"/>
          <w:sz w:val="28"/>
          <w:szCs w:val="28"/>
          <w:highlight w:val="none"/>
        </w:rPr>
        <w:t>施工组织设计；</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五、</w:t>
      </w:r>
      <w:r>
        <w:rPr>
          <w:rFonts w:ascii="宋体" w:hAnsi="宋体"/>
          <w:sz w:val="28"/>
          <w:szCs w:val="28"/>
          <w:highlight w:val="none"/>
        </w:rPr>
        <w:t>项目管理机构；</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六、</w:t>
      </w:r>
      <w:r>
        <w:rPr>
          <w:rFonts w:ascii="宋体" w:hAnsi="宋体"/>
          <w:sz w:val="28"/>
          <w:szCs w:val="28"/>
          <w:highlight w:val="none"/>
        </w:rPr>
        <w:t>资格审查资料；</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七、主要进场管理人员和技术人员最低要求；</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八、农民工工资支付承诺书；</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九、扬尘治理专项承诺书；</w:t>
      </w:r>
    </w:p>
    <w:p>
      <w:pPr>
        <w:pStyle w:val="2"/>
        <w:ind w:firstLine="700" w:firstLineChars="250"/>
        <w:rPr>
          <w:sz w:val="28"/>
          <w:szCs w:val="28"/>
          <w:highlight w:val="none"/>
        </w:rPr>
      </w:pPr>
      <w:r>
        <w:rPr>
          <w:sz w:val="28"/>
          <w:szCs w:val="28"/>
          <w:highlight w:val="none"/>
        </w:rPr>
        <w:t>十、拟分包项目情况表</w:t>
      </w:r>
    </w:p>
    <w:p>
      <w:pPr>
        <w:spacing w:line="480" w:lineRule="auto"/>
        <w:ind w:firstLine="700" w:firstLineChars="250"/>
        <w:rPr>
          <w:rFonts w:ascii="宋体" w:hAnsi="宋体"/>
          <w:sz w:val="28"/>
          <w:szCs w:val="28"/>
          <w:highlight w:val="none"/>
        </w:rPr>
      </w:pPr>
      <w:r>
        <w:rPr>
          <w:rFonts w:hint="eastAsia" w:ascii="宋体" w:hAnsi="宋体"/>
          <w:sz w:val="28"/>
          <w:szCs w:val="28"/>
          <w:highlight w:val="none"/>
        </w:rPr>
        <w:t>十</w:t>
      </w:r>
      <w:r>
        <w:rPr>
          <w:rFonts w:ascii="宋体" w:hAnsi="宋体"/>
          <w:sz w:val="28"/>
          <w:szCs w:val="28"/>
          <w:highlight w:val="none"/>
        </w:rPr>
        <w:t>一</w:t>
      </w:r>
      <w:r>
        <w:rPr>
          <w:rFonts w:hint="eastAsia" w:ascii="宋体" w:hAnsi="宋体"/>
          <w:sz w:val="28"/>
          <w:szCs w:val="28"/>
          <w:highlight w:val="none"/>
        </w:rPr>
        <w:t>、其他材料。</w:t>
      </w:r>
    </w:p>
    <w:p>
      <w:pPr>
        <w:spacing w:line="440" w:lineRule="exact"/>
        <w:rPr>
          <w:rFonts w:ascii="宋体" w:hAnsi="宋体"/>
          <w:sz w:val="24"/>
          <w:highlight w:val="none"/>
        </w:rPr>
      </w:pPr>
    </w:p>
    <w:p>
      <w:pPr>
        <w:rPr>
          <w:rFonts w:ascii="黑体" w:hAnsi="宋体" w:eastAsia="黑体"/>
          <w:b/>
          <w:sz w:val="36"/>
          <w:szCs w:val="36"/>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rPr>
          <w:rFonts w:ascii="黑体" w:eastAsia="黑体"/>
          <w:sz w:val="52"/>
          <w:szCs w:val="52"/>
          <w:highlight w:val="none"/>
        </w:rPr>
      </w:pPr>
    </w:p>
    <w:p>
      <w:pPr>
        <w:pStyle w:val="6"/>
        <w:spacing w:beforeLines="50" w:after="0" w:line="360" w:lineRule="exact"/>
        <w:jc w:val="center"/>
        <w:rPr>
          <w:rFonts w:ascii="黑体" w:hAnsi="宋体" w:eastAsia="黑体"/>
          <w:sz w:val="28"/>
          <w:szCs w:val="28"/>
          <w:highlight w:val="none"/>
        </w:rPr>
      </w:pPr>
      <w:bookmarkStart w:id="223" w:name="_Toc234382957"/>
      <w:bookmarkStart w:id="224" w:name="_Toc485889055"/>
      <w:bookmarkStart w:id="225" w:name="_Toc486277922"/>
      <w:bookmarkStart w:id="226" w:name="_Toc4791"/>
      <w:r>
        <w:rPr>
          <w:rFonts w:hint="eastAsia" w:ascii="黑体" w:hAnsi="宋体" w:eastAsia="黑体"/>
          <w:sz w:val="28"/>
          <w:szCs w:val="28"/>
          <w:highlight w:val="none"/>
        </w:rPr>
        <w:t>一、投标函及投标函附录</w:t>
      </w:r>
      <w:bookmarkEnd w:id="223"/>
      <w:bookmarkEnd w:id="224"/>
      <w:bookmarkEnd w:id="225"/>
      <w:bookmarkEnd w:id="226"/>
    </w:p>
    <w:p>
      <w:pPr>
        <w:pStyle w:val="6"/>
        <w:spacing w:beforeLines="50" w:after="0" w:line="360" w:lineRule="exact"/>
        <w:jc w:val="center"/>
        <w:rPr>
          <w:rFonts w:ascii="黑体" w:hAnsi="宋体" w:eastAsia="黑体"/>
          <w:sz w:val="28"/>
          <w:szCs w:val="28"/>
          <w:highlight w:val="none"/>
        </w:rPr>
      </w:pPr>
      <w:bookmarkStart w:id="227" w:name="_Toc486277923"/>
      <w:bookmarkStart w:id="228" w:name="_Toc485889056"/>
      <w:bookmarkStart w:id="229" w:name="_Toc18643"/>
      <w:bookmarkStart w:id="230" w:name="_Toc234382958"/>
      <w:r>
        <w:rPr>
          <w:rFonts w:hint="eastAsia" w:ascii="黑体" w:hAnsi="宋体" w:eastAsia="黑体"/>
          <w:sz w:val="28"/>
          <w:szCs w:val="28"/>
          <w:highlight w:val="none"/>
        </w:rPr>
        <w:t>（一）投标函</w:t>
      </w:r>
      <w:bookmarkEnd w:id="227"/>
      <w:bookmarkEnd w:id="228"/>
      <w:bookmarkEnd w:id="229"/>
      <w:bookmarkEnd w:id="230"/>
    </w:p>
    <w:p>
      <w:pPr>
        <w:spacing w:line="360" w:lineRule="auto"/>
        <w:rPr>
          <w:rFonts w:ascii="宋体" w:hAnsi="宋体"/>
          <w:sz w:val="24"/>
          <w:highlight w:val="none"/>
        </w:rPr>
      </w:pPr>
      <w:r>
        <w:rPr>
          <w:rFonts w:hint="eastAsia" w:ascii="宋体" w:hAnsi="宋体"/>
          <w:sz w:val="24"/>
          <w:highlight w:val="none"/>
        </w:rPr>
        <w:t>___________</w:t>
      </w:r>
      <w:r>
        <w:rPr>
          <w:rFonts w:ascii="宋体" w:hAnsi="宋体"/>
          <w:sz w:val="24"/>
          <w:highlight w:val="none"/>
        </w:rPr>
        <w:t>（招标人名称）：</w:t>
      </w:r>
    </w:p>
    <w:p>
      <w:pPr>
        <w:spacing w:line="360" w:lineRule="auto"/>
        <w:ind w:firstLine="480" w:firstLineChars="200"/>
        <w:rPr>
          <w:rFonts w:ascii="宋体" w:hAnsi="宋体"/>
          <w:sz w:val="24"/>
          <w:highlight w:val="none"/>
        </w:rPr>
      </w:pPr>
      <w:r>
        <w:rPr>
          <w:rFonts w:hint="eastAsia" w:ascii="宋体" w:hAnsi="宋体"/>
          <w:sz w:val="24"/>
          <w:highlight w:val="none"/>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我方承诺在投标有效期内不修改、撤销投标文件。</w:t>
      </w:r>
    </w:p>
    <w:p>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随同本投标函提交投标保证金一份，金额为人民币（大写）</w:t>
      </w:r>
      <w:r>
        <w:rPr>
          <w:rFonts w:hint="eastAsia" w:ascii="宋体" w:hAnsi="宋体"/>
          <w:sz w:val="24"/>
          <w:highlight w:val="none"/>
        </w:rPr>
        <w:t xml:space="preserve">_______  </w:t>
      </w:r>
      <w:r>
        <w:rPr>
          <w:rFonts w:ascii="宋体" w:hAnsi="宋体"/>
          <w:sz w:val="24"/>
          <w:highlight w:val="none"/>
        </w:rPr>
        <w:t>元（¥</w:t>
      </w:r>
      <w:r>
        <w:rPr>
          <w:rFonts w:hint="eastAsia" w:ascii="宋体" w:hAnsi="宋体"/>
          <w:sz w:val="24"/>
          <w:highlight w:val="none"/>
        </w:rPr>
        <w:t>_______</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如我方中标：</w:t>
      </w:r>
    </w:p>
    <w:p>
      <w:pPr>
        <w:spacing w:line="360" w:lineRule="auto"/>
        <w:ind w:firstLine="480" w:firstLineChars="200"/>
        <w:rPr>
          <w:rFonts w:ascii="宋体" w:hAnsi="宋体"/>
          <w:sz w:val="24"/>
          <w:highlight w:val="none"/>
        </w:rPr>
      </w:pPr>
      <w:r>
        <w:rPr>
          <w:rFonts w:ascii="宋体" w:hAnsi="宋体"/>
          <w:sz w:val="24"/>
          <w:highlight w:val="none"/>
        </w:rPr>
        <w:t>（1）我方承诺在收到中标通知书后，在中标通知书规定的期限内与你方签订合同。</w:t>
      </w:r>
    </w:p>
    <w:p>
      <w:pPr>
        <w:spacing w:line="360" w:lineRule="auto"/>
        <w:ind w:firstLine="480" w:firstLineChars="200"/>
        <w:rPr>
          <w:rFonts w:ascii="宋体" w:hAnsi="宋体"/>
          <w:sz w:val="24"/>
          <w:highlight w:val="none"/>
        </w:rPr>
      </w:pPr>
      <w:r>
        <w:rPr>
          <w:rFonts w:ascii="宋体" w:hAnsi="宋体"/>
          <w:sz w:val="24"/>
          <w:highlight w:val="none"/>
        </w:rPr>
        <w:t>（2）随同本投标函递交的投标函附录属于合同文件的组成部分。</w:t>
      </w:r>
    </w:p>
    <w:p>
      <w:pPr>
        <w:spacing w:line="360" w:lineRule="auto"/>
        <w:ind w:firstLine="480" w:firstLineChars="200"/>
        <w:rPr>
          <w:rFonts w:ascii="宋体" w:hAnsi="宋体"/>
          <w:sz w:val="24"/>
          <w:highlight w:val="none"/>
        </w:rPr>
      </w:pPr>
      <w:r>
        <w:rPr>
          <w:rFonts w:ascii="宋体" w:hAnsi="宋体"/>
          <w:sz w:val="24"/>
          <w:highlight w:val="none"/>
        </w:rPr>
        <w:t>（3）我方承诺按照招标文件规定向你方递交履约担保。</w:t>
      </w:r>
    </w:p>
    <w:p>
      <w:pPr>
        <w:spacing w:line="360" w:lineRule="auto"/>
        <w:ind w:firstLine="480" w:firstLineChars="200"/>
        <w:rPr>
          <w:rFonts w:ascii="宋体" w:hAnsi="宋体"/>
          <w:sz w:val="24"/>
          <w:highlight w:val="none"/>
        </w:rPr>
      </w:pPr>
      <w:r>
        <w:rPr>
          <w:rFonts w:ascii="宋体" w:hAnsi="宋体"/>
          <w:sz w:val="24"/>
          <w:highlight w:val="none"/>
        </w:rPr>
        <w:t>（4）我方承诺在合同约定的期限内完成并移交全部合同工程。</w:t>
      </w:r>
    </w:p>
    <w:p>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.在合同协议书正式签署生效之前，本投标函连同你方的中标通知书将构成我们双方之间共同遵守的文件，对双方具有约束力。</w:t>
      </w:r>
    </w:p>
    <w:p>
      <w:pPr>
        <w:spacing w:line="360" w:lineRule="exact"/>
        <w:rPr>
          <w:rFonts w:ascii="宋体" w:hAnsi="宋体"/>
          <w:sz w:val="18"/>
          <w:szCs w:val="18"/>
          <w:highlight w:val="none"/>
        </w:rPr>
      </w:pPr>
    </w:p>
    <w:p>
      <w:pPr>
        <w:tabs>
          <w:tab w:val="left" w:pos="2977"/>
          <w:tab w:val="left" w:pos="3261"/>
        </w:tabs>
        <w:spacing w:line="360" w:lineRule="auto"/>
        <w:ind w:firstLine="2760" w:firstLineChars="1150"/>
        <w:rPr>
          <w:rFonts w:ascii="宋体" w:hAnsi="宋体"/>
          <w:sz w:val="24"/>
          <w:highlight w:val="none"/>
          <w:u w:val="single"/>
        </w:rPr>
      </w:pPr>
      <w:r>
        <w:rPr>
          <w:rFonts w:ascii="宋体" w:hAnsi="宋体"/>
          <w:sz w:val="24"/>
          <w:highlight w:val="none"/>
        </w:rPr>
        <w:t>投标人：（盖单位章）</w:t>
      </w:r>
    </w:p>
    <w:p>
      <w:pPr>
        <w:spacing w:line="360" w:lineRule="auto"/>
        <w:ind w:firstLine="2760" w:firstLineChars="1150"/>
        <w:rPr>
          <w:rFonts w:ascii="宋体" w:hAnsi="宋体"/>
          <w:sz w:val="24"/>
          <w:highlight w:val="none"/>
        </w:rPr>
      </w:pPr>
      <w:r>
        <w:rPr>
          <w:rFonts w:ascii="宋体" w:hAnsi="宋体"/>
          <w:sz w:val="24"/>
          <w:highlight w:val="none"/>
        </w:rPr>
        <w:t>法定代表人或其委托代理人：（签字）</w:t>
      </w:r>
    </w:p>
    <w:p>
      <w:pPr>
        <w:spacing w:line="360" w:lineRule="auto"/>
        <w:ind w:firstLine="2760" w:firstLineChars="1150"/>
        <w:rPr>
          <w:rFonts w:ascii="宋体" w:hAnsi="宋体"/>
          <w:sz w:val="24"/>
          <w:highlight w:val="none"/>
        </w:rPr>
      </w:pPr>
      <w:r>
        <w:rPr>
          <w:rFonts w:hint="eastAsia" w:ascii="宋体" w:hAnsi="宋体"/>
          <w:sz w:val="24"/>
          <w:highlight w:val="none"/>
        </w:rPr>
        <w:t xml:space="preserve">日期：    </w:t>
      </w:r>
      <w:r>
        <w:rPr>
          <w:rFonts w:ascii="宋体" w:hAnsi="宋体"/>
          <w:sz w:val="24"/>
          <w:highlight w:val="none"/>
        </w:rPr>
        <w:t>年   月   日</w:t>
      </w:r>
    </w:p>
    <w:p>
      <w:pPr>
        <w:pStyle w:val="6"/>
        <w:spacing w:beforeLines="50" w:afterLines="100" w:line="360" w:lineRule="exact"/>
        <w:jc w:val="center"/>
        <w:rPr>
          <w:sz w:val="24"/>
          <w:highlight w:val="none"/>
        </w:rPr>
      </w:pPr>
      <w:r>
        <w:rPr>
          <w:rFonts w:ascii="宋体" w:hAnsi="宋体"/>
          <w:sz w:val="24"/>
          <w:highlight w:val="none"/>
        </w:rPr>
        <w:br w:type="page"/>
      </w:r>
      <w:bookmarkStart w:id="231" w:name="_Toc486277924"/>
      <w:bookmarkStart w:id="232" w:name="_Toc5832"/>
      <w:bookmarkStart w:id="233" w:name="_Toc234382959"/>
      <w:bookmarkStart w:id="234" w:name="_Toc485889057"/>
      <w:r>
        <w:rPr>
          <w:rFonts w:hint="eastAsia" w:ascii="黑体" w:hAnsi="宋体" w:eastAsia="黑体"/>
          <w:sz w:val="28"/>
          <w:szCs w:val="28"/>
          <w:highlight w:val="none"/>
        </w:rPr>
        <w:t>（二）投标函附录</w:t>
      </w:r>
      <w:bookmarkEnd w:id="231"/>
      <w:bookmarkEnd w:id="232"/>
      <w:bookmarkEnd w:id="233"/>
      <w:bookmarkEnd w:id="234"/>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highlight w:val="none"/>
              </w:rPr>
            </w:pPr>
            <w:r>
              <w:rPr>
                <w:rFonts w:hint="eastAsia" w:ascii="宋体" w:hAnsi="宋体"/>
                <w:szCs w:val="21"/>
                <w:highlight w:val="none"/>
              </w:rPr>
              <w:t>序号</w:t>
            </w:r>
          </w:p>
        </w:tc>
        <w:tc>
          <w:tcPr>
            <w:tcW w:w="2693" w:type="dxa"/>
            <w:vAlign w:val="center"/>
          </w:tcPr>
          <w:p>
            <w:pPr>
              <w:rPr>
                <w:rFonts w:ascii="宋体" w:hAnsi="宋体"/>
                <w:szCs w:val="21"/>
                <w:highlight w:val="none"/>
              </w:rPr>
            </w:pPr>
            <w:r>
              <w:rPr>
                <w:rFonts w:hint="eastAsia" w:ascii="宋体" w:hAnsi="宋体"/>
                <w:szCs w:val="21"/>
                <w:highlight w:val="none"/>
              </w:rPr>
              <w:t>条款名称</w:t>
            </w:r>
          </w:p>
        </w:tc>
        <w:tc>
          <w:tcPr>
            <w:tcW w:w="1417" w:type="dxa"/>
            <w:vAlign w:val="center"/>
          </w:tcPr>
          <w:p>
            <w:pPr>
              <w:rPr>
                <w:rFonts w:ascii="宋体" w:hAnsi="宋体"/>
                <w:szCs w:val="21"/>
                <w:highlight w:val="none"/>
              </w:rPr>
            </w:pPr>
            <w:r>
              <w:rPr>
                <w:rFonts w:hint="eastAsia" w:ascii="宋体" w:hAnsi="宋体"/>
                <w:szCs w:val="21"/>
                <w:highlight w:val="none"/>
              </w:rPr>
              <w:t>合同条目号</w:t>
            </w:r>
          </w:p>
        </w:tc>
        <w:tc>
          <w:tcPr>
            <w:tcW w:w="3686" w:type="dxa"/>
            <w:vAlign w:val="center"/>
          </w:tcPr>
          <w:p>
            <w:pPr>
              <w:rPr>
                <w:rFonts w:ascii="宋体" w:hAnsi="宋体"/>
                <w:szCs w:val="21"/>
                <w:highlight w:val="none"/>
              </w:rPr>
            </w:pPr>
            <w:r>
              <w:rPr>
                <w:rFonts w:hint="eastAsia" w:ascii="宋体" w:hAnsi="宋体"/>
                <w:szCs w:val="21"/>
                <w:highlight w:val="none"/>
              </w:rPr>
              <w:t>约定内容</w:t>
            </w:r>
          </w:p>
        </w:tc>
        <w:tc>
          <w:tcPr>
            <w:tcW w:w="1190" w:type="dxa"/>
            <w:vAlign w:val="center"/>
          </w:tcPr>
          <w:p>
            <w:pPr>
              <w:rPr>
                <w:rFonts w:ascii="宋体" w:hAnsi="宋体"/>
                <w:szCs w:val="21"/>
                <w:highlight w:val="none"/>
              </w:rPr>
            </w:pPr>
            <w:r>
              <w:rPr>
                <w:rFonts w:hint="eastAsia" w:ascii="宋体" w:hAnsi="宋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highlight w:val="none"/>
              </w:rPr>
            </w:pPr>
            <w:r>
              <w:rPr>
                <w:rFonts w:hint="eastAsia" w:ascii="宋体" w:hAnsi="宋体"/>
                <w:szCs w:val="21"/>
                <w:highlight w:val="none"/>
              </w:rPr>
              <w:t>1</w:t>
            </w:r>
          </w:p>
        </w:tc>
        <w:tc>
          <w:tcPr>
            <w:tcW w:w="2693" w:type="dxa"/>
            <w:vAlign w:val="center"/>
          </w:tcPr>
          <w:p>
            <w:pPr>
              <w:rPr>
                <w:rFonts w:ascii="宋体" w:hAnsi="宋体"/>
                <w:szCs w:val="21"/>
                <w:highlight w:val="none"/>
              </w:rPr>
            </w:pPr>
            <w:r>
              <w:rPr>
                <w:rFonts w:hint="eastAsia" w:ascii="宋体" w:hAnsi="宋体"/>
                <w:szCs w:val="21"/>
                <w:highlight w:val="none"/>
              </w:rPr>
              <w:t>项目经理</w:t>
            </w:r>
          </w:p>
        </w:tc>
        <w:tc>
          <w:tcPr>
            <w:tcW w:w="1417" w:type="dxa"/>
            <w:vAlign w:val="center"/>
          </w:tcPr>
          <w:p>
            <w:pPr>
              <w:rPr>
                <w:rFonts w:ascii="宋体" w:hAnsi="宋体"/>
                <w:szCs w:val="21"/>
                <w:highlight w:val="none"/>
              </w:rPr>
            </w:pP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姓名：</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highlight w:val="none"/>
              </w:rPr>
            </w:pPr>
            <w:r>
              <w:rPr>
                <w:rFonts w:hint="eastAsia" w:ascii="宋体" w:hAnsi="宋体"/>
                <w:szCs w:val="21"/>
                <w:highlight w:val="none"/>
              </w:rPr>
              <w:t>2</w:t>
            </w:r>
          </w:p>
        </w:tc>
        <w:tc>
          <w:tcPr>
            <w:tcW w:w="2693" w:type="dxa"/>
            <w:vAlign w:val="center"/>
          </w:tcPr>
          <w:p>
            <w:pPr>
              <w:rPr>
                <w:rFonts w:ascii="宋体" w:hAnsi="宋体"/>
                <w:szCs w:val="21"/>
                <w:highlight w:val="none"/>
              </w:rPr>
            </w:pPr>
            <w:r>
              <w:rPr>
                <w:rFonts w:hint="eastAsia" w:ascii="宋体" w:hAnsi="宋体"/>
                <w:szCs w:val="21"/>
                <w:highlight w:val="none"/>
              </w:rPr>
              <w:t>工期</w:t>
            </w:r>
          </w:p>
        </w:tc>
        <w:tc>
          <w:tcPr>
            <w:tcW w:w="1417" w:type="dxa"/>
            <w:vAlign w:val="center"/>
          </w:tcPr>
          <w:p>
            <w:pPr>
              <w:rPr>
                <w:rFonts w:ascii="宋体" w:hAnsi="宋体"/>
                <w:szCs w:val="21"/>
                <w:highlight w:val="none"/>
              </w:rPr>
            </w:pPr>
            <w:r>
              <w:rPr>
                <w:rFonts w:hint="eastAsia" w:ascii="宋体" w:hAnsi="宋体"/>
                <w:szCs w:val="21"/>
                <w:highlight w:val="none"/>
              </w:rPr>
              <w:t>1.1.4.3</w:t>
            </w:r>
          </w:p>
        </w:tc>
        <w:tc>
          <w:tcPr>
            <w:tcW w:w="3686" w:type="dxa"/>
            <w:vAlign w:val="center"/>
          </w:tcPr>
          <w:p>
            <w:pPr>
              <w:ind w:firstLine="210" w:firstLineChars="100"/>
              <w:rPr>
                <w:rFonts w:hint="default" w:ascii="宋体" w:hAnsi="宋体" w:eastAsia="宋体"/>
                <w:szCs w:val="21"/>
                <w:highlight w:val="none"/>
                <w:lang w:val="en-US" w:eastAsia="zh-CN"/>
              </w:rPr>
            </w:pPr>
            <w:r>
              <w:rPr>
                <w:rFonts w:hint="eastAsia" w:ascii="宋体" w:hAnsi="宋体"/>
                <w:szCs w:val="21"/>
                <w:highlight w:val="none"/>
              </w:rPr>
              <w:t>天数：</w:t>
            </w:r>
            <w:r>
              <w:rPr>
                <w:rFonts w:hint="eastAsia" w:ascii="宋体" w:hAnsi="宋体"/>
                <w:szCs w:val="21"/>
                <w:highlight w:val="none"/>
                <w:u w:val="single"/>
              </w:rPr>
              <w:t xml:space="preserve">       日历天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3</w:t>
            </w:r>
          </w:p>
        </w:tc>
        <w:tc>
          <w:tcPr>
            <w:tcW w:w="2693" w:type="dxa"/>
            <w:vAlign w:val="center"/>
          </w:tcPr>
          <w:p>
            <w:pPr>
              <w:rPr>
                <w:rFonts w:ascii="宋体" w:hAnsi="宋体"/>
                <w:szCs w:val="21"/>
                <w:highlight w:val="none"/>
              </w:rPr>
            </w:pPr>
            <w:r>
              <w:rPr>
                <w:rFonts w:hint="eastAsia" w:ascii="宋体" w:hAnsi="宋体"/>
                <w:szCs w:val="21"/>
                <w:highlight w:val="none"/>
              </w:rPr>
              <w:t>缺陷责任期</w:t>
            </w:r>
          </w:p>
        </w:tc>
        <w:tc>
          <w:tcPr>
            <w:tcW w:w="1417" w:type="dxa"/>
            <w:vAlign w:val="center"/>
          </w:tcPr>
          <w:p>
            <w:pPr>
              <w:rPr>
                <w:rFonts w:ascii="宋体" w:hAnsi="宋体"/>
                <w:szCs w:val="21"/>
                <w:highlight w:val="none"/>
              </w:rPr>
            </w:pPr>
            <w:r>
              <w:rPr>
                <w:rFonts w:hint="eastAsia" w:ascii="宋体" w:hAnsi="宋体"/>
                <w:szCs w:val="21"/>
                <w:highlight w:val="none"/>
              </w:rPr>
              <w:t>1.1.4.5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自实际交工日期起计算</w:t>
            </w:r>
            <w:r>
              <w:rPr>
                <w:rFonts w:hint="eastAsia" w:ascii="宋体" w:hAnsi="宋体"/>
                <w:szCs w:val="21"/>
                <w:highlight w:val="none"/>
                <w:u w:val="single"/>
              </w:rPr>
              <w:t xml:space="preserve">  2  </w:t>
            </w:r>
            <w:r>
              <w:rPr>
                <w:rFonts w:hint="eastAsia" w:ascii="宋体" w:hAnsi="宋体"/>
                <w:szCs w:val="21"/>
                <w:highlight w:val="none"/>
              </w:rPr>
              <w:t>年</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highlight w:val="none"/>
              </w:rPr>
            </w:pPr>
            <w:r>
              <w:rPr>
                <w:rFonts w:hint="eastAsia" w:ascii="宋体" w:hAnsi="宋体"/>
                <w:szCs w:val="21"/>
                <w:highlight w:val="none"/>
              </w:rPr>
              <w:t>4</w:t>
            </w:r>
          </w:p>
        </w:tc>
        <w:tc>
          <w:tcPr>
            <w:tcW w:w="2693" w:type="dxa"/>
            <w:vAlign w:val="center"/>
          </w:tcPr>
          <w:p>
            <w:pPr>
              <w:rPr>
                <w:rFonts w:ascii="宋体" w:hAnsi="宋体"/>
                <w:szCs w:val="21"/>
                <w:highlight w:val="none"/>
              </w:rPr>
            </w:pPr>
            <w:r>
              <w:rPr>
                <w:rFonts w:hint="eastAsia" w:ascii="宋体" w:hAnsi="宋体"/>
                <w:szCs w:val="21"/>
                <w:highlight w:val="none"/>
              </w:rPr>
              <w:t>逾期交工违约金</w:t>
            </w:r>
          </w:p>
        </w:tc>
        <w:tc>
          <w:tcPr>
            <w:tcW w:w="1417" w:type="dxa"/>
            <w:vAlign w:val="center"/>
          </w:tcPr>
          <w:p>
            <w:pPr>
              <w:rPr>
                <w:rFonts w:ascii="宋体" w:hAnsi="宋体"/>
                <w:szCs w:val="21"/>
                <w:highlight w:val="none"/>
              </w:rPr>
            </w:pPr>
            <w:r>
              <w:rPr>
                <w:rFonts w:hint="eastAsia" w:ascii="宋体" w:hAnsi="宋体"/>
                <w:szCs w:val="21"/>
                <w:highlight w:val="none"/>
              </w:rPr>
              <w:t>11.5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元/天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5</w:t>
            </w:r>
          </w:p>
        </w:tc>
        <w:tc>
          <w:tcPr>
            <w:tcW w:w="2693" w:type="dxa"/>
            <w:vAlign w:val="center"/>
          </w:tcPr>
          <w:p>
            <w:pPr>
              <w:rPr>
                <w:rFonts w:ascii="宋体" w:hAnsi="宋体"/>
                <w:szCs w:val="21"/>
                <w:highlight w:val="none"/>
              </w:rPr>
            </w:pPr>
            <w:r>
              <w:rPr>
                <w:rFonts w:hint="eastAsia" w:ascii="宋体" w:hAnsi="宋体"/>
                <w:szCs w:val="21"/>
                <w:highlight w:val="none"/>
              </w:rPr>
              <w:t>逾期交工违约金限额</w:t>
            </w:r>
          </w:p>
        </w:tc>
        <w:tc>
          <w:tcPr>
            <w:tcW w:w="1417" w:type="dxa"/>
            <w:vAlign w:val="center"/>
          </w:tcPr>
          <w:p>
            <w:pPr>
              <w:rPr>
                <w:rFonts w:ascii="宋体" w:hAnsi="宋体"/>
                <w:szCs w:val="21"/>
                <w:highlight w:val="none"/>
              </w:rPr>
            </w:pPr>
            <w:r>
              <w:rPr>
                <w:rFonts w:hint="eastAsia" w:ascii="宋体" w:hAnsi="宋体"/>
                <w:szCs w:val="21"/>
                <w:highlight w:val="none"/>
              </w:rPr>
              <w:t>11.5</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highlight w:val="none"/>
              </w:rPr>
            </w:pPr>
            <w:r>
              <w:rPr>
                <w:rFonts w:hint="eastAsia" w:ascii="宋体" w:hAnsi="宋体"/>
                <w:szCs w:val="21"/>
                <w:highlight w:val="none"/>
              </w:rPr>
              <w:t>6</w:t>
            </w:r>
          </w:p>
        </w:tc>
        <w:tc>
          <w:tcPr>
            <w:tcW w:w="2693" w:type="dxa"/>
            <w:vAlign w:val="center"/>
          </w:tcPr>
          <w:p>
            <w:pPr>
              <w:rPr>
                <w:rFonts w:ascii="宋体" w:hAnsi="宋体"/>
                <w:szCs w:val="21"/>
                <w:highlight w:val="none"/>
              </w:rPr>
            </w:pPr>
            <w:r>
              <w:rPr>
                <w:rFonts w:hint="eastAsia" w:ascii="宋体" w:hAnsi="宋体"/>
                <w:szCs w:val="21"/>
                <w:highlight w:val="none"/>
              </w:rPr>
              <w:t>提前交工的奖金</w:t>
            </w:r>
          </w:p>
        </w:tc>
        <w:tc>
          <w:tcPr>
            <w:tcW w:w="1417" w:type="dxa"/>
            <w:vAlign w:val="center"/>
          </w:tcPr>
          <w:p>
            <w:pPr>
              <w:rPr>
                <w:rFonts w:ascii="宋体" w:hAnsi="宋体"/>
                <w:szCs w:val="21"/>
                <w:highlight w:val="none"/>
              </w:rPr>
            </w:pPr>
            <w:r>
              <w:rPr>
                <w:rFonts w:hint="eastAsia" w:ascii="宋体" w:hAnsi="宋体"/>
                <w:szCs w:val="21"/>
                <w:highlight w:val="none"/>
              </w:rPr>
              <w:t>11.6</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元/天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highlight w:val="none"/>
              </w:rPr>
            </w:pPr>
            <w:r>
              <w:rPr>
                <w:rFonts w:hint="eastAsia" w:ascii="宋体" w:hAnsi="宋体"/>
                <w:szCs w:val="21"/>
                <w:highlight w:val="none"/>
              </w:rPr>
              <w:t>7</w:t>
            </w:r>
          </w:p>
        </w:tc>
        <w:tc>
          <w:tcPr>
            <w:tcW w:w="2693" w:type="dxa"/>
            <w:vAlign w:val="center"/>
          </w:tcPr>
          <w:p>
            <w:pPr>
              <w:rPr>
                <w:rFonts w:ascii="宋体" w:hAnsi="宋体"/>
                <w:szCs w:val="21"/>
                <w:highlight w:val="none"/>
              </w:rPr>
            </w:pPr>
            <w:r>
              <w:rPr>
                <w:rFonts w:hint="eastAsia" w:ascii="宋体" w:hAnsi="宋体"/>
                <w:szCs w:val="21"/>
                <w:highlight w:val="none"/>
              </w:rPr>
              <w:t>提前交工的奖金限额</w:t>
            </w:r>
          </w:p>
        </w:tc>
        <w:tc>
          <w:tcPr>
            <w:tcW w:w="1417" w:type="dxa"/>
            <w:vAlign w:val="center"/>
          </w:tcPr>
          <w:p>
            <w:pPr>
              <w:rPr>
                <w:rFonts w:ascii="宋体" w:hAnsi="宋体"/>
                <w:szCs w:val="21"/>
                <w:highlight w:val="none"/>
              </w:rPr>
            </w:pPr>
            <w:r>
              <w:rPr>
                <w:rFonts w:hint="eastAsia" w:ascii="宋体" w:hAnsi="宋体"/>
                <w:szCs w:val="21"/>
                <w:highlight w:val="none"/>
              </w:rPr>
              <w:t>11.6</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highlight w:val="none"/>
              </w:rPr>
            </w:pPr>
            <w:r>
              <w:rPr>
                <w:rFonts w:hint="eastAsia" w:ascii="宋体" w:hAnsi="宋体"/>
                <w:szCs w:val="21"/>
                <w:highlight w:val="none"/>
              </w:rPr>
              <w:t>8</w:t>
            </w:r>
          </w:p>
        </w:tc>
        <w:tc>
          <w:tcPr>
            <w:tcW w:w="2693" w:type="dxa"/>
            <w:vAlign w:val="center"/>
          </w:tcPr>
          <w:p>
            <w:pPr>
              <w:rPr>
                <w:rFonts w:ascii="宋体" w:hAnsi="宋体"/>
                <w:szCs w:val="21"/>
                <w:highlight w:val="none"/>
              </w:rPr>
            </w:pPr>
            <w:r>
              <w:rPr>
                <w:rFonts w:hint="eastAsia" w:ascii="宋体" w:hAnsi="宋体"/>
                <w:szCs w:val="21"/>
                <w:highlight w:val="none"/>
              </w:rPr>
              <w:t>开工预付款金额</w:t>
            </w:r>
          </w:p>
        </w:tc>
        <w:tc>
          <w:tcPr>
            <w:tcW w:w="1417" w:type="dxa"/>
            <w:vAlign w:val="center"/>
          </w:tcPr>
          <w:p>
            <w:pPr>
              <w:rPr>
                <w:rFonts w:ascii="宋体" w:hAnsi="宋体"/>
                <w:szCs w:val="21"/>
                <w:highlight w:val="none"/>
              </w:rPr>
            </w:pPr>
            <w:r>
              <w:rPr>
                <w:rFonts w:hint="eastAsia" w:ascii="宋体" w:hAnsi="宋体"/>
                <w:szCs w:val="21"/>
                <w:highlight w:val="none"/>
              </w:rPr>
              <w:t>17.2.1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highlight w:val="none"/>
              </w:rPr>
            </w:pPr>
            <w:r>
              <w:rPr>
                <w:rFonts w:hint="eastAsia" w:ascii="宋体" w:hAnsi="宋体"/>
                <w:szCs w:val="21"/>
                <w:highlight w:val="none"/>
              </w:rPr>
              <w:t>9</w:t>
            </w:r>
          </w:p>
        </w:tc>
        <w:tc>
          <w:tcPr>
            <w:tcW w:w="2693" w:type="dxa"/>
            <w:vAlign w:val="center"/>
          </w:tcPr>
          <w:p>
            <w:pPr>
              <w:rPr>
                <w:rFonts w:ascii="宋体" w:hAnsi="宋体"/>
                <w:szCs w:val="21"/>
                <w:highlight w:val="none"/>
              </w:rPr>
            </w:pPr>
            <w:r>
              <w:rPr>
                <w:rFonts w:hint="eastAsia" w:ascii="宋体" w:hAnsi="宋体"/>
                <w:szCs w:val="21"/>
                <w:highlight w:val="none"/>
              </w:rPr>
              <w:t>材料、设备预付款</w:t>
            </w:r>
          </w:p>
        </w:tc>
        <w:tc>
          <w:tcPr>
            <w:tcW w:w="1417" w:type="dxa"/>
            <w:vAlign w:val="center"/>
          </w:tcPr>
          <w:p>
            <w:pPr>
              <w:rPr>
                <w:rFonts w:ascii="宋体" w:hAnsi="宋体"/>
                <w:szCs w:val="21"/>
                <w:highlight w:val="none"/>
              </w:rPr>
            </w:pPr>
            <w:r>
              <w:rPr>
                <w:rFonts w:hint="eastAsia" w:ascii="宋体" w:hAnsi="宋体"/>
                <w:szCs w:val="21"/>
                <w:highlight w:val="none"/>
              </w:rPr>
              <w:t>17.2.1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等主要材料、设备单据所列费用的%</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highlight w:val="none"/>
              </w:rPr>
            </w:pPr>
            <w:r>
              <w:rPr>
                <w:rFonts w:hint="eastAsia" w:ascii="宋体" w:hAnsi="宋体"/>
                <w:szCs w:val="21"/>
                <w:highlight w:val="none"/>
              </w:rPr>
              <w:t>10</w:t>
            </w:r>
          </w:p>
        </w:tc>
        <w:tc>
          <w:tcPr>
            <w:tcW w:w="2693" w:type="dxa"/>
            <w:vAlign w:val="center"/>
          </w:tcPr>
          <w:p>
            <w:pPr>
              <w:rPr>
                <w:rFonts w:ascii="宋体" w:hAnsi="宋体"/>
                <w:szCs w:val="21"/>
                <w:highlight w:val="none"/>
              </w:rPr>
            </w:pPr>
            <w:r>
              <w:rPr>
                <w:rFonts w:hint="eastAsia" w:ascii="宋体" w:hAnsi="宋体"/>
                <w:szCs w:val="21"/>
                <w:highlight w:val="none"/>
              </w:rPr>
              <w:t>进度付款证书最低限额</w:t>
            </w:r>
          </w:p>
        </w:tc>
        <w:tc>
          <w:tcPr>
            <w:tcW w:w="1417" w:type="dxa"/>
            <w:vAlign w:val="center"/>
          </w:tcPr>
          <w:p>
            <w:pPr>
              <w:rPr>
                <w:rFonts w:ascii="宋体" w:hAnsi="宋体"/>
                <w:szCs w:val="21"/>
                <w:highlight w:val="none"/>
              </w:rPr>
            </w:pPr>
            <w:r>
              <w:rPr>
                <w:rFonts w:hint="eastAsia" w:ascii="宋体" w:hAnsi="宋体"/>
                <w:szCs w:val="21"/>
                <w:highlight w:val="none"/>
              </w:rPr>
              <w:t>17.3.3(1)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%签约合同价或万元</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highlight w:val="none"/>
              </w:rPr>
            </w:pPr>
            <w:r>
              <w:rPr>
                <w:rFonts w:hint="eastAsia" w:ascii="宋体" w:hAnsi="宋体"/>
                <w:szCs w:val="21"/>
                <w:highlight w:val="none"/>
              </w:rPr>
              <w:t>11</w:t>
            </w:r>
          </w:p>
        </w:tc>
        <w:tc>
          <w:tcPr>
            <w:tcW w:w="2693" w:type="dxa"/>
            <w:vAlign w:val="center"/>
          </w:tcPr>
          <w:p>
            <w:pPr>
              <w:rPr>
                <w:rFonts w:ascii="宋体" w:hAnsi="宋体"/>
                <w:szCs w:val="21"/>
                <w:highlight w:val="none"/>
              </w:rPr>
            </w:pPr>
            <w:r>
              <w:rPr>
                <w:rFonts w:hint="eastAsia" w:ascii="宋体" w:hAnsi="宋体"/>
                <w:szCs w:val="21"/>
                <w:highlight w:val="none"/>
              </w:rPr>
              <w:t>逾期付款违约金的利率</w:t>
            </w:r>
          </w:p>
        </w:tc>
        <w:tc>
          <w:tcPr>
            <w:tcW w:w="1417" w:type="dxa"/>
            <w:vAlign w:val="center"/>
          </w:tcPr>
          <w:p>
            <w:pPr>
              <w:rPr>
                <w:rFonts w:ascii="宋体" w:hAnsi="宋体"/>
                <w:szCs w:val="21"/>
                <w:highlight w:val="none"/>
              </w:rPr>
            </w:pPr>
            <w:r>
              <w:rPr>
                <w:rFonts w:hint="eastAsia" w:ascii="宋体" w:hAnsi="宋体"/>
                <w:szCs w:val="21"/>
                <w:highlight w:val="none"/>
              </w:rPr>
              <w:t>17.3.3(2)</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‰/天</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highlight w:val="none"/>
              </w:rPr>
            </w:pPr>
            <w:r>
              <w:rPr>
                <w:rFonts w:hint="eastAsia" w:ascii="宋体" w:hAnsi="宋体"/>
                <w:szCs w:val="21"/>
                <w:highlight w:val="none"/>
              </w:rPr>
              <w:t>12</w:t>
            </w:r>
          </w:p>
        </w:tc>
        <w:tc>
          <w:tcPr>
            <w:tcW w:w="2693" w:type="dxa"/>
            <w:vAlign w:val="center"/>
          </w:tcPr>
          <w:p>
            <w:pPr>
              <w:rPr>
                <w:rFonts w:ascii="宋体" w:hAnsi="宋体"/>
                <w:szCs w:val="21"/>
                <w:highlight w:val="none"/>
              </w:rPr>
            </w:pPr>
            <w:r>
              <w:rPr>
                <w:rFonts w:hint="eastAsia" w:ascii="宋体" w:hAnsi="宋体"/>
                <w:szCs w:val="21"/>
                <w:highlight w:val="none"/>
              </w:rPr>
              <w:t>质量保证金百分比</w:t>
            </w:r>
          </w:p>
        </w:tc>
        <w:tc>
          <w:tcPr>
            <w:tcW w:w="1417" w:type="dxa"/>
            <w:vAlign w:val="center"/>
          </w:tcPr>
          <w:p>
            <w:pPr>
              <w:rPr>
                <w:rFonts w:ascii="宋体" w:hAnsi="宋体"/>
                <w:szCs w:val="21"/>
                <w:highlight w:val="none"/>
              </w:rPr>
            </w:pPr>
            <w:r>
              <w:rPr>
                <w:rFonts w:hint="eastAsia" w:ascii="宋体" w:hAnsi="宋体"/>
                <w:szCs w:val="21"/>
                <w:highlight w:val="none"/>
              </w:rPr>
              <w:t>17.4.1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月支付额的%</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highlight w:val="none"/>
              </w:rPr>
            </w:pPr>
            <w:r>
              <w:rPr>
                <w:rFonts w:hint="eastAsia" w:ascii="宋体" w:hAnsi="宋体"/>
                <w:szCs w:val="21"/>
                <w:highlight w:val="none"/>
              </w:rPr>
              <w:t>13</w:t>
            </w:r>
          </w:p>
        </w:tc>
        <w:tc>
          <w:tcPr>
            <w:tcW w:w="2693" w:type="dxa"/>
            <w:vAlign w:val="center"/>
          </w:tcPr>
          <w:p>
            <w:pPr>
              <w:rPr>
                <w:rFonts w:ascii="宋体" w:hAnsi="宋体"/>
                <w:szCs w:val="21"/>
                <w:highlight w:val="none"/>
              </w:rPr>
            </w:pPr>
            <w:r>
              <w:rPr>
                <w:rFonts w:hint="eastAsia" w:ascii="宋体" w:hAnsi="宋体"/>
                <w:szCs w:val="21"/>
                <w:highlight w:val="none"/>
              </w:rPr>
              <w:t>质量保证金限额</w:t>
            </w:r>
          </w:p>
        </w:tc>
        <w:tc>
          <w:tcPr>
            <w:tcW w:w="1417" w:type="dxa"/>
            <w:vAlign w:val="center"/>
          </w:tcPr>
          <w:p>
            <w:pPr>
              <w:rPr>
                <w:rFonts w:ascii="宋体" w:hAnsi="宋体"/>
                <w:szCs w:val="21"/>
                <w:highlight w:val="none"/>
              </w:rPr>
            </w:pPr>
            <w:r>
              <w:rPr>
                <w:rFonts w:hint="eastAsia" w:ascii="宋体" w:hAnsi="宋体"/>
                <w:szCs w:val="21"/>
                <w:highlight w:val="none"/>
              </w:rPr>
              <w:t>17.4.1</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highlight w:val="none"/>
              </w:rPr>
            </w:pPr>
            <w:r>
              <w:rPr>
                <w:rFonts w:hint="eastAsia" w:ascii="宋体" w:hAnsi="宋体"/>
                <w:szCs w:val="21"/>
                <w:highlight w:val="none"/>
              </w:rPr>
              <w:t>14</w:t>
            </w:r>
          </w:p>
        </w:tc>
        <w:tc>
          <w:tcPr>
            <w:tcW w:w="2693" w:type="dxa"/>
            <w:vAlign w:val="center"/>
          </w:tcPr>
          <w:p>
            <w:pPr>
              <w:rPr>
                <w:rFonts w:ascii="宋体" w:hAnsi="宋体"/>
                <w:szCs w:val="21"/>
                <w:highlight w:val="none"/>
              </w:rPr>
            </w:pPr>
            <w:r>
              <w:rPr>
                <w:rFonts w:hint="eastAsia" w:ascii="宋体" w:hAnsi="宋体"/>
                <w:szCs w:val="21"/>
                <w:highlight w:val="none"/>
              </w:rPr>
              <w:t>保修期</w:t>
            </w:r>
          </w:p>
        </w:tc>
        <w:tc>
          <w:tcPr>
            <w:tcW w:w="1417" w:type="dxa"/>
            <w:vAlign w:val="center"/>
          </w:tcPr>
          <w:p>
            <w:pPr>
              <w:rPr>
                <w:rFonts w:ascii="宋体" w:hAnsi="宋体"/>
                <w:szCs w:val="21"/>
                <w:highlight w:val="none"/>
              </w:rPr>
            </w:pPr>
            <w:r>
              <w:rPr>
                <w:rFonts w:hint="eastAsia" w:ascii="宋体" w:hAnsi="宋体"/>
                <w:szCs w:val="21"/>
                <w:highlight w:val="none"/>
              </w:rPr>
              <w:t>19.7</w:t>
            </w:r>
          </w:p>
        </w:tc>
        <w:tc>
          <w:tcPr>
            <w:tcW w:w="3686" w:type="dxa"/>
            <w:vAlign w:val="center"/>
          </w:tcPr>
          <w:p>
            <w:pPr>
              <w:ind w:firstLine="210" w:firstLineChars="100"/>
              <w:rPr>
                <w:rFonts w:ascii="宋体" w:hAnsi="宋体"/>
                <w:szCs w:val="21"/>
                <w:highlight w:val="none"/>
              </w:rPr>
            </w:pPr>
            <w:r>
              <w:rPr>
                <w:rFonts w:hint="eastAsia" w:ascii="宋体" w:hAnsi="宋体"/>
                <w:szCs w:val="21"/>
                <w:highlight w:val="none"/>
              </w:rPr>
              <w:t>自实际交工日期起计算</w:t>
            </w:r>
            <w:r>
              <w:rPr>
                <w:rFonts w:hint="eastAsia" w:ascii="宋体" w:hAnsi="宋体"/>
                <w:szCs w:val="21"/>
                <w:highlight w:val="none"/>
                <w:u w:val="single"/>
              </w:rPr>
              <w:t xml:space="preserve"> 5 </w:t>
            </w:r>
            <w:r>
              <w:rPr>
                <w:rFonts w:hint="eastAsia" w:ascii="宋体" w:hAnsi="宋体"/>
                <w:szCs w:val="21"/>
                <w:highlight w:val="none"/>
              </w:rPr>
              <w:t>年</w:t>
            </w:r>
          </w:p>
        </w:tc>
        <w:tc>
          <w:tcPr>
            <w:tcW w:w="1190" w:type="dxa"/>
            <w:vAlign w:val="center"/>
          </w:tcPr>
          <w:p>
            <w:pPr>
              <w:rPr>
                <w:rFonts w:ascii="宋体" w:hAnsi="宋体"/>
                <w:szCs w:val="21"/>
                <w:highlight w:val="none"/>
              </w:rPr>
            </w:pPr>
          </w:p>
        </w:tc>
      </w:tr>
    </w:tbl>
    <w:p>
      <w:pPr>
        <w:spacing w:beforeLines="100" w:line="500" w:lineRule="exact"/>
        <w:rPr>
          <w:rFonts w:ascii="宋体" w:hAnsi="宋体"/>
          <w:sz w:val="24"/>
          <w:highlight w:val="none"/>
        </w:rPr>
      </w:pPr>
      <w:r>
        <w:rPr>
          <w:rFonts w:hint="eastAsia" w:ascii="宋体" w:hAnsi="宋体"/>
          <w:sz w:val="24"/>
          <w:highlight w:val="none"/>
        </w:rPr>
        <w:t xml:space="preserve">                             投 标 人:</w:t>
      </w:r>
      <w:r>
        <w:rPr>
          <w:rFonts w:hint="eastAsia" w:ascii="宋体" w:hAnsi="宋体"/>
          <w:sz w:val="24"/>
          <w:highlight w:val="none"/>
          <w:u w:val="single"/>
        </w:rPr>
        <w:t xml:space="preserve">                  (</w:t>
      </w:r>
      <w:r>
        <w:rPr>
          <w:rFonts w:hint="eastAsia" w:ascii="宋体" w:hAnsi="宋体"/>
          <w:sz w:val="24"/>
          <w:highlight w:val="none"/>
        </w:rPr>
        <w:t>盖单位章)</w:t>
      </w:r>
    </w:p>
    <w:p>
      <w:pPr>
        <w:spacing w:line="360" w:lineRule="auto"/>
        <w:ind w:firstLine="3600" w:firstLineChars="1500"/>
        <w:rPr>
          <w:rFonts w:ascii="宋体" w:hAnsi="宋体"/>
          <w:sz w:val="24"/>
          <w:highlight w:val="none"/>
        </w:rPr>
      </w:pPr>
      <w:r>
        <w:rPr>
          <w:rFonts w:ascii="宋体" w:hAnsi="宋体"/>
          <w:sz w:val="24"/>
          <w:highlight w:val="none"/>
        </w:rPr>
        <w:t>法定代表人或其委托代理人：（签字）</w:t>
      </w:r>
    </w:p>
    <w:p>
      <w:pPr>
        <w:spacing w:line="240" w:lineRule="exact"/>
        <w:ind w:right="480" w:firstLine="3480" w:firstLineChars="1450"/>
        <w:rPr>
          <w:rFonts w:ascii="宋体" w:hAnsi="宋体"/>
          <w:sz w:val="24"/>
          <w:highlight w:val="none"/>
        </w:rPr>
      </w:pPr>
    </w:p>
    <w:p>
      <w:pPr>
        <w:pStyle w:val="6"/>
        <w:spacing w:beforeLines="50" w:after="0" w:line="360" w:lineRule="exact"/>
        <w:jc w:val="center"/>
        <w:rPr>
          <w:rFonts w:ascii="黑体" w:hAnsi="宋体" w:eastAsia="黑体"/>
          <w:sz w:val="28"/>
          <w:szCs w:val="28"/>
          <w:highlight w:val="none"/>
        </w:rPr>
      </w:pPr>
      <w:bookmarkStart w:id="235" w:name="_Toc234382961"/>
      <w:bookmarkStart w:id="236" w:name="_Toc485889059"/>
      <w:bookmarkStart w:id="237" w:name="_Toc486277926"/>
      <w:bookmarkStart w:id="238" w:name="_Toc29117"/>
      <w:r>
        <w:rPr>
          <w:rFonts w:hint="eastAsia" w:ascii="黑体" w:hAnsi="宋体" w:eastAsia="黑体"/>
          <w:sz w:val="28"/>
          <w:szCs w:val="28"/>
          <w:highlight w:val="none"/>
        </w:rPr>
        <w:t>二</w:t>
      </w:r>
      <w:r>
        <w:rPr>
          <w:rFonts w:ascii="黑体" w:hAnsi="宋体" w:eastAsia="黑体"/>
          <w:sz w:val="28"/>
          <w:szCs w:val="28"/>
          <w:highlight w:val="none"/>
        </w:rPr>
        <w:t>、法定代表人身份证明</w:t>
      </w:r>
      <w:r>
        <w:rPr>
          <w:rFonts w:hint="eastAsia" w:ascii="黑体" w:hAnsi="宋体" w:eastAsia="黑体"/>
          <w:sz w:val="28"/>
          <w:szCs w:val="28"/>
          <w:highlight w:val="none"/>
        </w:rPr>
        <w:t>及授权委托书</w:t>
      </w:r>
      <w:bookmarkEnd w:id="235"/>
      <w:bookmarkEnd w:id="236"/>
      <w:bookmarkEnd w:id="237"/>
      <w:bookmarkEnd w:id="238"/>
    </w:p>
    <w:p>
      <w:pPr>
        <w:pStyle w:val="6"/>
        <w:spacing w:beforeLines="100" w:afterLines="150" w:line="360" w:lineRule="exact"/>
        <w:jc w:val="center"/>
        <w:rPr>
          <w:rFonts w:ascii="黑体" w:hAnsi="宋体" w:eastAsia="黑体"/>
          <w:sz w:val="28"/>
          <w:szCs w:val="28"/>
          <w:highlight w:val="none"/>
        </w:rPr>
      </w:pPr>
      <w:bookmarkStart w:id="239" w:name="_Toc485889060"/>
      <w:bookmarkStart w:id="240" w:name="_Toc4437"/>
      <w:bookmarkStart w:id="241" w:name="_Toc486277927"/>
      <w:bookmarkStart w:id="242" w:name="_Toc234382962"/>
      <w:r>
        <w:rPr>
          <w:rFonts w:hint="eastAsia" w:ascii="黑体" w:hAnsi="宋体" w:eastAsia="黑体"/>
          <w:sz w:val="28"/>
          <w:szCs w:val="28"/>
          <w:highlight w:val="none"/>
        </w:rPr>
        <w:t>（一）法定代表人身份证明</w:t>
      </w:r>
      <w:bookmarkEnd w:id="239"/>
      <w:bookmarkEnd w:id="240"/>
      <w:bookmarkEnd w:id="241"/>
      <w:bookmarkEnd w:id="242"/>
    </w:p>
    <w:p>
      <w:pPr>
        <w:rPr>
          <w:rFonts w:ascii="宋体" w:hAnsi="宋体"/>
          <w:sz w:val="24"/>
          <w:highlight w:val="none"/>
        </w:rPr>
      </w:pPr>
    </w:p>
    <w:p>
      <w:pPr>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投标人名称：____________________________</w:t>
      </w:r>
    </w:p>
    <w:p>
      <w:pPr>
        <w:spacing w:line="500" w:lineRule="exact"/>
        <w:rPr>
          <w:rFonts w:ascii="宋体" w:hAnsi="宋体"/>
          <w:sz w:val="24"/>
          <w:highlight w:val="none"/>
          <w:u w:val="single"/>
        </w:rPr>
      </w:pPr>
      <w:r>
        <w:rPr>
          <w:rFonts w:hint="eastAsia" w:ascii="宋体" w:hAnsi="宋体"/>
          <w:spacing w:val="40"/>
          <w:kern w:val="0"/>
          <w:sz w:val="24"/>
          <w:highlight w:val="none"/>
        </w:rPr>
        <w:t>单位性</w:t>
      </w:r>
      <w:r>
        <w:rPr>
          <w:rFonts w:hint="eastAsia" w:ascii="宋体" w:hAnsi="宋体"/>
          <w:kern w:val="0"/>
          <w:sz w:val="24"/>
          <w:highlight w:val="none"/>
        </w:rPr>
        <w:t>质</w:t>
      </w:r>
      <w:r>
        <w:rPr>
          <w:rFonts w:hint="eastAsia" w:ascii="宋体" w:hAnsi="宋体"/>
          <w:sz w:val="24"/>
          <w:highlight w:val="none"/>
        </w:rPr>
        <w:t>：____________________________</w:t>
      </w:r>
    </w:p>
    <w:p>
      <w:pPr>
        <w:spacing w:line="500" w:lineRule="exact"/>
        <w:rPr>
          <w:rFonts w:ascii="宋体" w:hAnsi="宋体"/>
          <w:sz w:val="24"/>
          <w:highlight w:val="none"/>
        </w:rPr>
      </w:pPr>
      <w:r>
        <w:rPr>
          <w:rFonts w:hint="eastAsia" w:ascii="宋体" w:hAnsi="宋体"/>
          <w:spacing w:val="360"/>
          <w:kern w:val="0"/>
          <w:sz w:val="24"/>
          <w:highlight w:val="none"/>
        </w:rPr>
        <w:t>地</w:t>
      </w:r>
      <w:r>
        <w:rPr>
          <w:rFonts w:hint="eastAsia" w:ascii="宋体" w:hAnsi="宋体"/>
          <w:kern w:val="0"/>
          <w:sz w:val="24"/>
          <w:highlight w:val="none"/>
        </w:rPr>
        <w:t>址</w:t>
      </w:r>
      <w:r>
        <w:rPr>
          <w:rFonts w:hint="eastAsia" w:ascii="宋体" w:hAnsi="宋体"/>
          <w:sz w:val="24"/>
          <w:highlight w:val="none"/>
        </w:rPr>
        <w:t>：____________________________</w:t>
      </w:r>
    </w:p>
    <w:p>
      <w:pPr>
        <w:spacing w:line="500" w:lineRule="exact"/>
        <w:rPr>
          <w:rFonts w:ascii="宋体" w:hAnsi="宋体"/>
          <w:sz w:val="24"/>
          <w:highlight w:val="none"/>
        </w:rPr>
      </w:pPr>
      <w:r>
        <w:rPr>
          <w:rFonts w:hint="eastAsia" w:ascii="宋体" w:hAnsi="宋体"/>
          <w:spacing w:val="40"/>
          <w:kern w:val="0"/>
          <w:sz w:val="24"/>
          <w:highlight w:val="none"/>
        </w:rPr>
        <w:t xml:space="preserve">成立时间：  </w:t>
      </w:r>
      <w:r>
        <w:rPr>
          <w:rFonts w:hint="eastAsia" w:ascii="宋体" w:hAnsi="宋体"/>
          <w:sz w:val="24"/>
          <w:highlight w:val="none"/>
        </w:rPr>
        <w:t>年   月   日</w:t>
      </w:r>
    </w:p>
    <w:p>
      <w:pPr>
        <w:spacing w:line="500" w:lineRule="exact"/>
        <w:rPr>
          <w:rFonts w:ascii="宋体" w:hAnsi="宋体"/>
          <w:sz w:val="24"/>
          <w:highlight w:val="none"/>
        </w:rPr>
      </w:pPr>
      <w:r>
        <w:rPr>
          <w:rFonts w:hint="eastAsia" w:ascii="宋体" w:hAnsi="宋体"/>
          <w:sz w:val="24"/>
          <w:highlight w:val="none"/>
        </w:rPr>
        <w:t>经营期限：_________________________</w:t>
      </w:r>
    </w:p>
    <w:p>
      <w:pPr>
        <w:spacing w:line="500" w:lineRule="exact"/>
        <w:rPr>
          <w:rFonts w:ascii="宋体" w:hAnsi="宋体"/>
          <w:sz w:val="24"/>
          <w:highlight w:val="none"/>
        </w:rPr>
      </w:pPr>
      <w:r>
        <w:rPr>
          <w:rFonts w:hint="eastAsia" w:ascii="宋体" w:hAnsi="宋体"/>
          <w:sz w:val="24"/>
          <w:highlight w:val="none"/>
        </w:rPr>
        <w:t>姓名：  性别：</w:t>
      </w:r>
      <w:r>
        <w:rPr>
          <w:rFonts w:hint="eastAsia" w:ascii="宋体" w:hAnsi="宋体"/>
          <w:sz w:val="24"/>
          <w:highlight w:val="none"/>
          <w:u w:val="single"/>
        </w:rPr>
        <w:t>______</w:t>
      </w:r>
      <w:r>
        <w:rPr>
          <w:rFonts w:hint="eastAsia" w:ascii="宋体" w:hAnsi="宋体"/>
          <w:sz w:val="24"/>
          <w:highlight w:val="none"/>
        </w:rPr>
        <w:t>年龄：</w:t>
      </w:r>
      <w:r>
        <w:rPr>
          <w:rFonts w:hint="eastAsia" w:ascii="宋体" w:hAnsi="宋体"/>
          <w:sz w:val="24"/>
          <w:highlight w:val="none"/>
          <w:u w:val="single"/>
        </w:rPr>
        <w:t>______</w:t>
      </w:r>
      <w:r>
        <w:rPr>
          <w:rFonts w:hint="eastAsia" w:ascii="宋体" w:hAnsi="宋体"/>
          <w:sz w:val="24"/>
          <w:highlight w:val="none"/>
        </w:rPr>
        <w:t>职务：</w:t>
      </w:r>
      <w:r>
        <w:rPr>
          <w:rFonts w:hint="eastAsia" w:ascii="宋体" w:hAnsi="宋体"/>
          <w:sz w:val="24"/>
          <w:highlight w:val="none"/>
          <w:u w:val="single"/>
        </w:rPr>
        <w:t>______</w:t>
      </w:r>
    </w:p>
    <w:p>
      <w:pPr>
        <w:spacing w:line="500" w:lineRule="exact"/>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lang w:val="en-US" w:eastAsia="zh-CN"/>
        </w:rPr>
        <w:t xml:space="preserve">       </w:t>
      </w:r>
      <w:r>
        <w:rPr>
          <w:rFonts w:hint="eastAsia" w:ascii="宋体" w:hAnsi="宋体"/>
          <w:sz w:val="24"/>
          <w:highlight w:val="none"/>
          <w:u w:val="single"/>
        </w:rPr>
        <w:t>（投标人名称）</w:t>
      </w:r>
      <w:r>
        <w:rPr>
          <w:rFonts w:hint="eastAsia" w:ascii="宋体" w:hAnsi="宋体"/>
          <w:sz w:val="24"/>
          <w:highlight w:val="none"/>
        </w:rPr>
        <w:t>的法定代表人。</w:t>
      </w:r>
    </w:p>
    <w:p>
      <w:pPr>
        <w:spacing w:line="500" w:lineRule="exact"/>
        <w:ind w:firstLine="480" w:firstLineChars="200"/>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特此证明。</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 xml:space="preserve">                             投标人：（盖单位章）</w:t>
      </w:r>
    </w:p>
    <w:p>
      <w:pPr>
        <w:spacing w:line="500" w:lineRule="exact"/>
        <w:rPr>
          <w:rFonts w:ascii="宋体" w:hAnsi="宋体"/>
          <w:sz w:val="24"/>
          <w:highlight w:val="none"/>
        </w:rPr>
      </w:pPr>
    </w:p>
    <w:p>
      <w:pPr>
        <w:spacing w:line="400" w:lineRule="exact"/>
        <w:ind w:firstLine="4200" w:firstLineChars="1750"/>
        <w:rPr>
          <w:rFonts w:ascii="宋体" w:hAnsi="宋体"/>
          <w:sz w:val="24"/>
          <w:highlight w:val="none"/>
        </w:rPr>
      </w:pPr>
      <w:r>
        <w:rPr>
          <w:rFonts w:hint="eastAsia" w:ascii="宋体" w:hAnsi="宋体"/>
          <w:sz w:val="24"/>
          <w:highlight w:val="none"/>
        </w:rPr>
        <w:t xml:space="preserve">年   月  </w:t>
      </w:r>
      <w:r>
        <w:rPr>
          <w:rFonts w:ascii="宋体" w:hAnsi="宋体"/>
          <w:sz w:val="24"/>
          <w:highlight w:val="none"/>
        </w:rPr>
        <w:t xml:space="preserve"> </w:t>
      </w:r>
      <w:r>
        <w:rPr>
          <w:rFonts w:hint="eastAsia" w:ascii="宋体" w:hAnsi="宋体"/>
          <w:sz w:val="24"/>
          <w:highlight w:val="none"/>
        </w:rPr>
        <w:t>日</w:t>
      </w:r>
    </w:p>
    <w:p>
      <w:pPr>
        <w:spacing w:line="400" w:lineRule="exact"/>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jc w:val="center"/>
        <w:rPr>
          <w:b/>
          <w:sz w:val="32"/>
          <w:szCs w:val="32"/>
          <w:highlight w:val="none"/>
        </w:rPr>
      </w:pPr>
      <w:r>
        <w:rPr>
          <w:rFonts w:ascii="宋体" w:hAnsi="宋体"/>
          <w:sz w:val="24"/>
          <w:highlight w:val="none"/>
        </w:rPr>
        <w:br w:type="page"/>
      </w:r>
      <w:r>
        <w:rPr>
          <w:rFonts w:hint="eastAsia" w:ascii="黑体" w:hAnsi="宋体" w:eastAsia="黑体"/>
          <w:b/>
          <w:bCs/>
          <w:kern w:val="44"/>
          <w:sz w:val="28"/>
          <w:szCs w:val="28"/>
          <w:highlight w:val="none"/>
        </w:rPr>
        <w:t>（二）授权委托书</w:t>
      </w:r>
    </w:p>
    <w:p>
      <w:pPr>
        <w:spacing w:line="500" w:lineRule="exact"/>
        <w:rPr>
          <w:rFonts w:ascii="宋体" w:hAnsi="宋体"/>
          <w:sz w:val="24"/>
          <w:highlight w:val="none"/>
        </w:rPr>
      </w:pPr>
    </w:p>
    <w:p>
      <w:pPr>
        <w:spacing w:line="50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_______</w:t>
      </w:r>
      <w:r>
        <w:rPr>
          <w:rFonts w:hint="eastAsia" w:ascii="宋体" w:hAnsi="宋体"/>
          <w:sz w:val="24"/>
          <w:highlight w:val="none"/>
        </w:rPr>
        <w:t>（姓名）系</w:t>
      </w:r>
      <w:r>
        <w:rPr>
          <w:rFonts w:hint="eastAsia" w:ascii="宋体" w:hAnsi="宋体"/>
          <w:sz w:val="24"/>
          <w:highlight w:val="none"/>
          <w:u w:val="single"/>
        </w:rPr>
        <w:t>_______</w:t>
      </w:r>
      <w:r>
        <w:rPr>
          <w:rFonts w:hint="eastAsia" w:ascii="宋体" w:hAnsi="宋体"/>
          <w:sz w:val="24"/>
          <w:highlight w:val="none"/>
        </w:rPr>
        <w:t>（投标人名称）的法定代表人，现委托</w:t>
      </w:r>
      <w:r>
        <w:rPr>
          <w:rFonts w:hint="eastAsia" w:ascii="宋体" w:hAnsi="宋体"/>
          <w:sz w:val="24"/>
          <w:highlight w:val="none"/>
          <w:u w:val="single"/>
        </w:rPr>
        <w:t>_______</w:t>
      </w:r>
      <w:r>
        <w:rPr>
          <w:rFonts w:hint="eastAsia" w:ascii="宋体" w:hAnsi="宋体"/>
          <w:sz w:val="24"/>
          <w:highlight w:val="none"/>
        </w:rPr>
        <w:t>（姓名）为我方代理人。代理人根据授权，以我方名义签署、澄清、递交、撤回、修改</w:t>
      </w:r>
      <w:r>
        <w:rPr>
          <w:rFonts w:hint="eastAsia" w:ascii="宋体" w:hAnsi="宋体"/>
          <w:sz w:val="24"/>
          <w:highlight w:val="none"/>
          <w:u w:val="single"/>
        </w:rPr>
        <w:t>_________</w:t>
      </w:r>
      <w:r>
        <w:rPr>
          <w:rFonts w:hint="eastAsia" w:ascii="宋体" w:hAnsi="宋体"/>
          <w:sz w:val="24"/>
          <w:highlight w:val="none"/>
        </w:rPr>
        <w:t>（项目名称）投标文件、签订合同和处理有关事宜，其法律后果由我方承担。</w:t>
      </w:r>
    </w:p>
    <w:p>
      <w:pPr>
        <w:spacing w:line="500" w:lineRule="exact"/>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_________</w:t>
      </w:r>
      <w:r>
        <w:rPr>
          <w:rFonts w:hint="eastAsia" w:ascii="宋体" w:hAnsi="宋体"/>
          <w:sz w:val="24"/>
          <w:highlight w:val="none"/>
        </w:rPr>
        <w:t>。</w:t>
      </w:r>
    </w:p>
    <w:p>
      <w:pPr>
        <w:spacing w:line="500" w:lineRule="exact"/>
        <w:ind w:firstLine="480" w:firstLineChars="200"/>
        <w:rPr>
          <w:rFonts w:ascii="宋体" w:hAnsi="宋体"/>
          <w:sz w:val="24"/>
          <w:highlight w:val="none"/>
        </w:rPr>
      </w:pPr>
      <w:r>
        <w:rPr>
          <w:rFonts w:hint="eastAsia" w:ascii="宋体" w:hAnsi="宋体"/>
          <w:sz w:val="24"/>
          <w:highlight w:val="none"/>
        </w:rPr>
        <w:t>代理人无转委托权。</w:t>
      </w:r>
    </w:p>
    <w:p>
      <w:pPr>
        <w:spacing w:line="500" w:lineRule="exact"/>
        <w:ind w:firstLine="480" w:firstLineChars="200"/>
        <w:rPr>
          <w:rFonts w:ascii="宋体" w:hAnsi="宋体"/>
          <w:sz w:val="24"/>
          <w:highlight w:val="none"/>
        </w:rPr>
      </w:pPr>
      <w:r>
        <w:rPr>
          <w:rFonts w:hint="eastAsia" w:ascii="宋体" w:hAnsi="宋体"/>
          <w:sz w:val="24"/>
          <w:highlight w:val="none"/>
        </w:rPr>
        <w:t>附：法定代表人</w:t>
      </w:r>
      <w:r>
        <w:rPr>
          <w:rFonts w:hint="eastAsia" w:ascii="宋体" w:hAnsi="宋体"/>
          <w:sz w:val="24"/>
          <w:highlight w:val="none"/>
          <w:lang w:eastAsia="zh-CN"/>
        </w:rPr>
        <w:t>及委托代理人</w:t>
      </w:r>
      <w:r>
        <w:rPr>
          <w:rFonts w:hint="eastAsia" w:ascii="宋体" w:hAnsi="宋体"/>
          <w:sz w:val="24"/>
          <w:highlight w:val="none"/>
        </w:rPr>
        <w:t>身份证明</w:t>
      </w:r>
    </w:p>
    <w:p>
      <w:pPr>
        <w:spacing w:line="500" w:lineRule="exact"/>
        <w:rPr>
          <w:rFonts w:ascii="宋体" w:hAnsi="宋体"/>
          <w:sz w:val="24"/>
          <w:highlight w:val="none"/>
        </w:rPr>
      </w:pPr>
    </w:p>
    <w:p>
      <w:pPr>
        <w:spacing w:line="500" w:lineRule="exact"/>
        <w:rPr>
          <w:rFonts w:ascii="宋体" w:hAnsi="宋体"/>
          <w:sz w:val="24"/>
          <w:highlight w:val="none"/>
        </w:rPr>
      </w:pPr>
    </w:p>
    <w:p>
      <w:pPr>
        <w:spacing w:line="500" w:lineRule="exact"/>
        <w:ind w:firstLine="3856" w:firstLineChars="800"/>
        <w:rPr>
          <w:rFonts w:ascii="宋体" w:hAnsi="宋体"/>
          <w:sz w:val="24"/>
          <w:highlight w:val="none"/>
        </w:rPr>
      </w:pPr>
      <w:r>
        <w:rPr>
          <w:rFonts w:hint="eastAsia" w:ascii="宋体" w:hAnsi="宋体"/>
          <w:spacing w:val="121"/>
          <w:kern w:val="0"/>
          <w:sz w:val="24"/>
          <w:highlight w:val="none"/>
        </w:rPr>
        <w:t>投标</w:t>
      </w:r>
      <w:r>
        <w:rPr>
          <w:rFonts w:hint="eastAsia" w:ascii="宋体" w:hAnsi="宋体"/>
          <w:spacing w:val="-1"/>
          <w:kern w:val="0"/>
          <w:sz w:val="24"/>
          <w:highlight w:val="none"/>
        </w:rPr>
        <w:t>人</w:t>
      </w:r>
      <w:r>
        <w:rPr>
          <w:rFonts w:hint="eastAsia" w:ascii="宋体" w:hAnsi="宋体"/>
          <w:sz w:val="24"/>
          <w:highlight w:val="none"/>
        </w:rPr>
        <w:t>：（盖单位章）</w:t>
      </w:r>
    </w:p>
    <w:p>
      <w:pPr>
        <w:spacing w:line="500" w:lineRule="exact"/>
        <w:rPr>
          <w:rFonts w:ascii="宋体" w:hAnsi="宋体"/>
          <w:sz w:val="24"/>
          <w:highlight w:val="none"/>
        </w:rPr>
      </w:pPr>
      <w:r>
        <w:rPr>
          <w:rFonts w:hint="eastAsia" w:ascii="宋体" w:hAnsi="宋体"/>
          <w:sz w:val="24"/>
          <w:highlight w:val="none"/>
        </w:rPr>
        <w:t xml:space="preserve">                                法定代表人：（签字）</w:t>
      </w:r>
      <w:r>
        <w:rPr>
          <w:rFonts w:hint="eastAsia" w:ascii="宋体" w:hAnsi="宋体"/>
          <w:sz w:val="24"/>
          <w:highlight w:val="none"/>
          <w:u w:val="single"/>
        </w:rPr>
        <w:t xml:space="preserve">______    ___              </w:t>
      </w:r>
    </w:p>
    <w:p>
      <w:pPr>
        <w:spacing w:line="500" w:lineRule="exact"/>
        <w:rPr>
          <w:rFonts w:ascii="宋体" w:hAnsi="宋体"/>
          <w:sz w:val="24"/>
          <w:highlight w:val="none"/>
        </w:rPr>
      </w:pPr>
      <w:r>
        <w:rPr>
          <w:rFonts w:hint="eastAsia" w:ascii="宋体" w:hAnsi="宋体"/>
          <w:sz w:val="24"/>
          <w:highlight w:val="none"/>
        </w:rPr>
        <w:t xml:space="preserve">                                身份证号码：</w:t>
      </w:r>
      <w:r>
        <w:rPr>
          <w:rFonts w:hint="eastAsia" w:ascii="宋体" w:hAnsi="宋体"/>
          <w:sz w:val="24"/>
          <w:highlight w:val="none"/>
          <w:u w:val="single"/>
        </w:rPr>
        <w:t>__________         _          _____</w:t>
      </w:r>
    </w:p>
    <w:p>
      <w:pPr>
        <w:spacing w:line="500" w:lineRule="exact"/>
        <w:rPr>
          <w:rFonts w:ascii="宋体" w:hAnsi="宋体"/>
          <w:sz w:val="24"/>
          <w:highlight w:val="none"/>
        </w:rPr>
      </w:pPr>
      <w:r>
        <w:rPr>
          <w:rFonts w:hint="eastAsia" w:ascii="宋体" w:hAnsi="宋体"/>
          <w:sz w:val="24"/>
          <w:highlight w:val="none"/>
        </w:rPr>
        <w:t xml:space="preserve">                                委托代理人：（签字）</w:t>
      </w:r>
      <w:r>
        <w:rPr>
          <w:rFonts w:hint="eastAsia" w:ascii="宋体" w:hAnsi="宋体"/>
          <w:sz w:val="24"/>
          <w:highlight w:val="none"/>
          <w:u w:val="single"/>
        </w:rPr>
        <w:t>______                    ___</w:t>
      </w:r>
    </w:p>
    <w:p>
      <w:pPr>
        <w:spacing w:line="500" w:lineRule="exact"/>
        <w:rPr>
          <w:rFonts w:ascii="宋体" w:hAnsi="宋体"/>
          <w:sz w:val="24"/>
          <w:highlight w:val="none"/>
        </w:rPr>
      </w:pPr>
      <w:r>
        <w:rPr>
          <w:rFonts w:hint="eastAsia" w:ascii="宋体" w:hAnsi="宋体"/>
          <w:sz w:val="24"/>
          <w:highlight w:val="none"/>
        </w:rPr>
        <w:t xml:space="preserve">                                身份证号码：</w:t>
      </w:r>
      <w:r>
        <w:rPr>
          <w:rFonts w:hint="eastAsia" w:ascii="宋体" w:hAnsi="宋体"/>
          <w:sz w:val="24"/>
          <w:highlight w:val="none"/>
          <w:u w:val="single"/>
        </w:rPr>
        <w:t>_____________                    ___</w:t>
      </w:r>
    </w:p>
    <w:p>
      <w:pPr>
        <w:spacing w:line="500" w:lineRule="exact"/>
        <w:ind w:firstLine="4560" w:firstLineChars="1900"/>
        <w:rPr>
          <w:rFonts w:ascii="宋体" w:hAnsi="宋体"/>
          <w:sz w:val="24"/>
          <w:highlight w:val="none"/>
        </w:rPr>
      </w:pPr>
      <w:r>
        <w:rPr>
          <w:rFonts w:hint="eastAsia" w:ascii="宋体" w:hAnsi="宋体"/>
          <w:sz w:val="24"/>
          <w:highlight w:val="none"/>
        </w:rPr>
        <w:t>年   月   日</w:t>
      </w:r>
    </w:p>
    <w:p>
      <w:pPr>
        <w:spacing w:line="500" w:lineRule="exact"/>
        <w:rPr>
          <w:rFonts w:ascii="宋体" w:hAnsi="宋体"/>
          <w:sz w:val="24"/>
          <w:highlight w:val="none"/>
        </w:rPr>
      </w:pPr>
    </w:p>
    <w:p>
      <w:pPr>
        <w:rPr>
          <w:rFonts w:ascii="宋体" w:hAnsi="宋体"/>
          <w:sz w:val="24"/>
          <w:highlight w:val="none"/>
        </w:rPr>
      </w:pPr>
    </w:p>
    <w:p>
      <w:pPr>
        <w:pStyle w:val="15"/>
        <w:widowControl/>
        <w:rPr>
          <w:sz w:val="28"/>
          <w:szCs w:val="28"/>
          <w:highlight w:val="none"/>
        </w:rPr>
      </w:pPr>
      <w:bookmarkStart w:id="243" w:name="_Toc485889062"/>
      <w:bookmarkStart w:id="244" w:name="_Toc234382966"/>
      <w:bookmarkStart w:id="245" w:name="_Toc19556"/>
      <w:bookmarkStart w:id="246" w:name="_Toc486277929"/>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rPr>
          <w:sz w:val="28"/>
          <w:szCs w:val="28"/>
          <w:highlight w:val="none"/>
        </w:rPr>
      </w:pPr>
    </w:p>
    <w:p>
      <w:pPr>
        <w:pStyle w:val="15"/>
        <w:widowControl/>
        <w:jc w:val="center"/>
        <w:rPr>
          <w:highlight w:val="none"/>
        </w:rPr>
      </w:pPr>
      <w:r>
        <w:rPr>
          <w:b/>
          <w:bCs/>
          <w:sz w:val="28"/>
          <w:szCs w:val="28"/>
          <w:highlight w:val="none"/>
        </w:rPr>
        <w:t>三、投标保证金</w:t>
      </w:r>
    </w:p>
    <w:p>
      <w:pPr>
        <w:pStyle w:val="15"/>
        <w:widowControl/>
        <w:rPr>
          <w:highlight w:val="none"/>
        </w:rPr>
      </w:pPr>
      <w:r>
        <w:rPr>
          <w:highlight w:val="none"/>
        </w:rPr>
        <w:t xml:space="preserve">若采用现金或支票，投标人应在此提供汇款凭证的复印件。 如采用银行保函，银行保函复印件装订在投标文件中，格式如下。 </w:t>
      </w:r>
    </w:p>
    <w:p>
      <w:pPr>
        <w:pStyle w:val="15"/>
        <w:widowControl/>
        <w:rPr>
          <w:highlight w:val="none"/>
        </w:rPr>
      </w:pPr>
      <w:r>
        <w:rPr>
          <w:highlight w:val="none"/>
        </w:rPr>
        <w:t xml:space="preserve">————————(招标人名称): </w:t>
      </w:r>
    </w:p>
    <w:p>
      <w:pPr>
        <w:pStyle w:val="15"/>
        <w:widowControl/>
        <w:rPr>
          <w:highlight w:val="none"/>
        </w:rPr>
      </w:pPr>
      <w:r>
        <w:rPr>
          <w:highlight w:val="none"/>
        </w:rPr>
        <w:t xml:space="preserve">鉴于 ——————  (投标人名称)(以下称“投标人”)于—— 年—— 月—— 日参加—————— (项目名称)施工的投标，———— (担保人名称，以下 </w:t>
      </w:r>
    </w:p>
    <w:p>
      <w:pPr>
        <w:pStyle w:val="15"/>
        <w:widowControl/>
        <w:rPr>
          <w:highlight w:val="none"/>
        </w:rPr>
      </w:pPr>
      <w:r>
        <w:rPr>
          <w:highlight w:val="none"/>
        </w:rPr>
        <w:t xml:space="preserve">加 简称“我方”)无条件地、不可撤销地保证:若投标人在投标有效期内撤销投标文件， 中标后无正当理由不与招标人订立合同，在签订合同时向招标人提出附加条件，不 按照招标文件要求提交履约保证金，或发生招标文件明确规定可以不予退还投标保 证金的其他情形，我方承担保证责任。收到你方书面通知后，我方在 7 日内向你方 无条件支付人民币(大写)———— 元。 </w:t>
      </w:r>
    </w:p>
    <w:p>
      <w:pPr>
        <w:pStyle w:val="15"/>
        <w:widowControl/>
        <w:rPr>
          <w:highlight w:val="none"/>
        </w:rPr>
      </w:pPr>
      <w:r>
        <w:rPr>
          <w:highlight w:val="none"/>
        </w:rPr>
        <w:t xml:space="preserve">本保函在投标有效期或经延长的投标有效期内保持有效。要求我方承担保证责 任的通知应在上述期限内送达我方。你方延长投标有效期的决定，应通知我方。 </w:t>
      </w:r>
    </w:p>
    <w:p>
      <w:pPr>
        <w:pStyle w:val="14"/>
        <w:widowControl/>
        <w:rPr>
          <w:rFonts w:hint="default"/>
          <w:highlight w:val="none"/>
        </w:rPr>
      </w:pPr>
      <w:r>
        <w:rPr>
          <w:highlight w:val="none"/>
        </w:rPr>
        <w:t xml:space="preserve">                                       担保人名称：—————————(盖单位章)</w:t>
      </w:r>
    </w:p>
    <w:p>
      <w:pPr>
        <w:pStyle w:val="14"/>
        <w:widowControl/>
        <w:rPr>
          <w:rFonts w:hint="default"/>
          <w:highlight w:val="none"/>
        </w:rPr>
      </w:pPr>
      <w:r>
        <w:rPr>
          <w:highlight w:val="none"/>
        </w:rPr>
        <w:t xml:space="preserve">                                      </w:t>
      </w:r>
    </w:p>
    <w:p>
      <w:pPr>
        <w:pStyle w:val="14"/>
        <w:widowControl/>
        <w:ind w:firstLine="4560" w:firstLineChars="1900"/>
        <w:rPr>
          <w:rFonts w:hint="default"/>
          <w:highlight w:val="none"/>
        </w:rPr>
      </w:pPr>
      <w:r>
        <w:rPr>
          <w:highlight w:val="none"/>
        </w:rPr>
        <w:t xml:space="preserve"> 法定代表人或其委托代理人: ————(签字)</w:t>
      </w:r>
    </w:p>
    <w:p>
      <w:pPr>
        <w:pStyle w:val="14"/>
        <w:widowControl/>
        <w:rPr>
          <w:rFonts w:hint="default"/>
          <w:highlight w:val="none"/>
        </w:rPr>
      </w:pPr>
      <w:r>
        <w:rPr>
          <w:highlight w:val="none"/>
        </w:rPr>
        <w:t xml:space="preserve">                                       </w:t>
      </w:r>
    </w:p>
    <w:p>
      <w:pPr>
        <w:pStyle w:val="14"/>
        <w:widowControl/>
        <w:ind w:firstLine="4680" w:firstLineChars="1950"/>
        <w:rPr>
          <w:rFonts w:hint="default"/>
          <w:highlight w:val="none"/>
        </w:rPr>
      </w:pPr>
      <w:r>
        <w:rPr>
          <w:highlight w:val="none"/>
        </w:rPr>
        <w:t>地  址:————————————————</w:t>
      </w:r>
    </w:p>
    <w:p>
      <w:pPr>
        <w:pStyle w:val="14"/>
        <w:widowControl/>
        <w:rPr>
          <w:rFonts w:hint="default"/>
          <w:highlight w:val="none"/>
        </w:rPr>
      </w:pPr>
      <w:r>
        <w:rPr>
          <w:highlight w:val="none"/>
        </w:rPr>
        <w:t xml:space="preserve">                                      </w:t>
      </w:r>
    </w:p>
    <w:p>
      <w:pPr>
        <w:pStyle w:val="14"/>
        <w:widowControl/>
        <w:ind w:firstLine="4560" w:firstLineChars="1900"/>
        <w:rPr>
          <w:rFonts w:hint="default"/>
          <w:highlight w:val="none"/>
        </w:rPr>
      </w:pPr>
      <w:r>
        <w:rPr>
          <w:highlight w:val="none"/>
        </w:rPr>
        <w:t xml:space="preserve"> 邮政编码:———————————————</w:t>
      </w:r>
    </w:p>
    <w:p>
      <w:pPr>
        <w:pStyle w:val="15"/>
        <w:widowControl/>
        <w:ind w:firstLine="4680" w:firstLineChars="1950"/>
        <w:rPr>
          <w:highlight w:val="none"/>
        </w:rPr>
      </w:pPr>
      <w:r>
        <w:rPr>
          <w:highlight w:val="none"/>
        </w:rPr>
        <w:t>电 话: —————————————————</w:t>
      </w:r>
    </w:p>
    <w:p>
      <w:pPr>
        <w:pStyle w:val="15"/>
        <w:widowControl/>
        <w:ind w:firstLine="4680" w:firstLineChars="1950"/>
        <w:rPr>
          <w:highlight w:val="none"/>
        </w:rPr>
      </w:pPr>
      <w:r>
        <w:rPr>
          <w:highlight w:val="none"/>
        </w:rPr>
        <w:t>传 真: —————————————————</w:t>
      </w:r>
    </w:p>
    <w:p>
      <w:pPr>
        <w:pStyle w:val="15"/>
        <w:widowControl/>
        <w:ind w:firstLine="7320" w:firstLineChars="3050"/>
        <w:rPr>
          <w:highlight w:val="none"/>
        </w:rPr>
      </w:pPr>
      <w:r>
        <w:rPr>
          <w:highlight w:val="none"/>
        </w:rPr>
        <w:t xml:space="preserve">——年——月——日 </w:t>
      </w: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both"/>
        <w:rPr>
          <w:rFonts w:ascii="黑体" w:hAnsi="宋体" w:eastAsia="黑体"/>
          <w:sz w:val="28"/>
          <w:szCs w:val="28"/>
          <w:highlight w:val="none"/>
        </w:rPr>
      </w:pPr>
    </w:p>
    <w:p>
      <w:pPr>
        <w:rPr>
          <w:highlight w:val="none"/>
        </w:rPr>
      </w:pPr>
    </w:p>
    <w:p>
      <w:pPr>
        <w:pStyle w:val="6"/>
        <w:spacing w:beforeLines="100" w:afterLines="150" w:line="360" w:lineRule="exact"/>
        <w:jc w:val="center"/>
        <w:rPr>
          <w:rFonts w:ascii="黑体" w:hAnsi="宋体" w:eastAsia="黑体"/>
          <w:sz w:val="28"/>
          <w:szCs w:val="28"/>
          <w:highlight w:val="none"/>
        </w:rPr>
      </w:pPr>
    </w:p>
    <w:p>
      <w:pPr>
        <w:pStyle w:val="6"/>
        <w:spacing w:beforeLines="100" w:afterLines="150" w:line="360" w:lineRule="exact"/>
        <w:jc w:val="center"/>
        <w:rPr>
          <w:highlight w:val="none"/>
        </w:rPr>
      </w:pPr>
      <w:r>
        <w:rPr>
          <w:rFonts w:hint="eastAsia" w:ascii="黑体" w:hAnsi="宋体" w:eastAsia="黑体"/>
          <w:sz w:val="28"/>
          <w:szCs w:val="28"/>
          <w:highlight w:val="none"/>
        </w:rPr>
        <w:t>四</w:t>
      </w:r>
      <w:r>
        <w:rPr>
          <w:rFonts w:ascii="黑体" w:hAnsi="宋体" w:eastAsia="黑体"/>
          <w:sz w:val="28"/>
          <w:szCs w:val="28"/>
          <w:highlight w:val="none"/>
        </w:rPr>
        <w:t>、施工组织设计</w:t>
      </w:r>
      <w:bookmarkEnd w:id="243"/>
      <w:bookmarkEnd w:id="244"/>
      <w:bookmarkEnd w:id="245"/>
      <w:bookmarkEnd w:id="246"/>
    </w:p>
    <w:p>
      <w:pPr>
        <w:spacing w:line="440" w:lineRule="exact"/>
        <w:rPr>
          <w:rFonts w:ascii="宋体" w:hAnsi="宋体"/>
          <w:sz w:val="24"/>
          <w:highlight w:val="none"/>
        </w:rPr>
      </w:pPr>
      <w:r>
        <w:rPr>
          <w:rFonts w:hint="eastAsia" w:ascii="宋体" w:hAnsi="宋体"/>
          <w:sz w:val="24"/>
          <w:highlight w:val="none"/>
        </w:rPr>
        <w:t>1、投标人应按以下要点编制施工组织设计；</w:t>
      </w:r>
    </w:p>
    <w:p>
      <w:pPr>
        <w:spacing w:line="440" w:lineRule="exact"/>
        <w:ind w:firstLine="480" w:firstLineChars="200"/>
        <w:rPr>
          <w:rFonts w:ascii="宋体" w:hAnsi="宋体"/>
          <w:sz w:val="24"/>
          <w:highlight w:val="none"/>
        </w:rPr>
      </w:pPr>
      <w:r>
        <w:rPr>
          <w:rFonts w:hint="eastAsia" w:ascii="宋体" w:hAnsi="宋体"/>
          <w:sz w:val="24"/>
          <w:highlight w:val="none"/>
        </w:rPr>
        <w:t>（1）总体施工组织布置及规划</w:t>
      </w:r>
    </w:p>
    <w:p>
      <w:pPr>
        <w:spacing w:line="440" w:lineRule="exact"/>
        <w:ind w:firstLine="480" w:firstLineChars="200"/>
        <w:rPr>
          <w:rFonts w:ascii="宋体" w:hAnsi="宋体"/>
          <w:sz w:val="24"/>
          <w:highlight w:val="none"/>
        </w:rPr>
      </w:pPr>
      <w:r>
        <w:rPr>
          <w:rFonts w:hint="eastAsia" w:ascii="宋体" w:hAnsi="宋体"/>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sz w:val="24"/>
          <w:highlight w:val="none"/>
        </w:rPr>
      </w:pPr>
      <w:r>
        <w:rPr>
          <w:rFonts w:hint="eastAsia" w:ascii="宋体" w:hAnsi="宋体"/>
          <w:sz w:val="24"/>
          <w:highlight w:val="none"/>
        </w:rPr>
        <w:t>（3）工期的保证体系及保证措施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（4）工程质量管理体系及保证措施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（5）安全生产管理体系及保证措施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（6）环境保护、水土保持保证体系及保证措施</w:t>
      </w:r>
      <w:r>
        <w:rPr>
          <w:rFonts w:hint="eastAsia" w:ascii="宋体" w:hAnsi="宋体"/>
          <w:b/>
          <w:bCs/>
          <w:sz w:val="24"/>
          <w:highlight w:val="none"/>
        </w:rPr>
        <w:t>（含扬尘治理措施）</w:t>
      </w:r>
    </w:p>
    <w:p>
      <w:pPr>
        <w:spacing w:line="440" w:lineRule="exact"/>
        <w:ind w:firstLine="480" w:firstLineChars="200"/>
        <w:rPr>
          <w:rFonts w:ascii="宋体" w:hAnsi="宋体"/>
          <w:sz w:val="24"/>
          <w:highlight w:val="none"/>
        </w:rPr>
      </w:pPr>
      <w:r>
        <w:rPr>
          <w:rFonts w:hint="eastAsia" w:ascii="宋体" w:hAnsi="宋体"/>
          <w:sz w:val="24"/>
          <w:highlight w:val="none"/>
        </w:rPr>
        <w:t>（7）文明施工、文物保护保证体系及保证措施</w:t>
      </w:r>
    </w:p>
    <w:p>
      <w:pPr>
        <w:spacing w:line="440" w:lineRule="exact"/>
        <w:ind w:firstLine="480" w:firstLineChars="200"/>
        <w:rPr>
          <w:rFonts w:ascii="宋体" w:hAnsi="宋体"/>
          <w:sz w:val="24"/>
          <w:highlight w:val="none"/>
        </w:rPr>
      </w:pPr>
      <w:r>
        <w:rPr>
          <w:rFonts w:hint="eastAsia" w:ascii="宋体" w:hAnsi="宋体"/>
          <w:sz w:val="24"/>
          <w:highlight w:val="none"/>
        </w:rPr>
        <w:t>（8）项目风险预测与防范，事故应急预案</w:t>
      </w:r>
    </w:p>
    <w:p>
      <w:pPr>
        <w:spacing w:line="440" w:lineRule="exact"/>
        <w:ind w:firstLine="480" w:firstLineChars="200"/>
        <w:rPr>
          <w:rFonts w:ascii="宋体" w:hAnsi="宋体"/>
          <w:sz w:val="24"/>
          <w:highlight w:val="none"/>
        </w:rPr>
      </w:pPr>
      <w:r>
        <w:rPr>
          <w:rFonts w:hint="eastAsia" w:ascii="宋体" w:hAnsi="宋体"/>
          <w:sz w:val="24"/>
          <w:highlight w:val="none"/>
        </w:rPr>
        <w:t>（9）其他应说明的事项</w:t>
      </w:r>
    </w:p>
    <w:p>
      <w:pPr>
        <w:spacing w:line="4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施工组织设计除采用文字表述外可附下列图表，图表及格式要求附后。</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附表一  施工总体计划表</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附表二  分项工程进度率计划（斜率图） </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附表三  工程管理曲线</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附表四  分项工程生产率和施工周期表</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附表五  施工总平面图</w:t>
      </w:r>
    </w:p>
    <w:p>
      <w:pPr>
        <w:spacing w:line="400" w:lineRule="exact"/>
        <w:ind w:firstLine="480" w:firstLineChars="200"/>
        <w:rPr>
          <w:rFonts w:ascii="宋体" w:hAnsi="宋体"/>
          <w:sz w:val="24"/>
          <w:highlight w:val="none"/>
        </w:rPr>
      </w:pPr>
      <w:r>
        <w:rPr>
          <w:rFonts w:hint="eastAsia" w:ascii="宋体" w:hAnsi="宋体"/>
          <w:sz w:val="24"/>
          <w:highlight w:val="none"/>
        </w:rPr>
        <w:t xml:space="preserve">   附表六  劳动力计划表</w:t>
      </w:r>
    </w:p>
    <w:p>
      <w:pPr>
        <w:spacing w:line="400" w:lineRule="exact"/>
        <w:ind w:firstLine="840" w:firstLineChars="350"/>
        <w:rPr>
          <w:rFonts w:ascii="宋体" w:hAnsi="宋体"/>
          <w:sz w:val="24"/>
          <w:highlight w:val="none"/>
        </w:rPr>
      </w:pPr>
      <w:r>
        <w:rPr>
          <w:rFonts w:hint="eastAsia" w:ascii="宋体" w:hAnsi="宋体"/>
          <w:sz w:val="24"/>
          <w:highlight w:val="none"/>
        </w:rPr>
        <w:t>附表七  临时用地计划表</w:t>
      </w:r>
    </w:p>
    <w:p>
      <w:pPr>
        <w:spacing w:line="400" w:lineRule="exact"/>
        <w:ind w:firstLine="840" w:firstLineChars="350"/>
        <w:rPr>
          <w:rFonts w:ascii="宋体" w:hAnsi="宋体"/>
          <w:sz w:val="24"/>
          <w:highlight w:val="none"/>
        </w:rPr>
      </w:pPr>
      <w:r>
        <w:rPr>
          <w:rFonts w:hint="eastAsia" w:ascii="宋体" w:hAnsi="宋体"/>
          <w:sz w:val="24"/>
          <w:highlight w:val="none"/>
        </w:rPr>
        <w:t>附表八  外供电力需求计划表</w:t>
      </w:r>
    </w:p>
    <w:p>
      <w:pPr>
        <w:spacing w:line="400" w:lineRule="exact"/>
        <w:ind w:firstLine="840" w:firstLineChars="350"/>
        <w:rPr>
          <w:rFonts w:ascii="宋体" w:hAnsi="宋体"/>
          <w:sz w:val="24"/>
          <w:highlight w:val="none"/>
        </w:rPr>
      </w:pPr>
      <w:r>
        <w:rPr>
          <w:rFonts w:hint="eastAsia" w:ascii="宋体" w:hAnsi="宋体"/>
          <w:sz w:val="24"/>
          <w:highlight w:val="none"/>
        </w:rPr>
        <w:t>附表九  合同用款估算表</w:t>
      </w:r>
    </w:p>
    <w:p>
      <w:pPr>
        <w:pStyle w:val="2"/>
        <w:ind w:firstLine="210"/>
        <w:rPr>
          <w:highlight w:val="none"/>
        </w:rPr>
      </w:pPr>
    </w:p>
    <w:p>
      <w:pPr>
        <w:pStyle w:val="2"/>
        <w:ind w:firstLine="0" w:firstLineChars="0"/>
        <w:rPr>
          <w:highlight w:val="none"/>
        </w:rPr>
        <w:sectPr>
          <w:headerReference r:id="rId6" w:type="first"/>
          <w:footerReference r:id="rId8" w:type="first"/>
          <w:footerReference r:id="rId7" w:type="default"/>
          <w:pgSz w:w="11906" w:h="16838"/>
          <w:pgMar w:top="1304" w:right="1134" w:bottom="1304" w:left="1247" w:header="851" w:footer="992" w:gutter="0"/>
          <w:pgNumType w:start="43"/>
          <w:cols w:space="425" w:num="1"/>
          <w:titlePg/>
          <w:docGrid w:type="lines" w:linePitch="312" w:charSpace="0"/>
        </w:sectPr>
      </w:pPr>
    </w:p>
    <w:p>
      <w:pPr>
        <w:pStyle w:val="7"/>
        <w:spacing w:before="120" w:after="120" w:line="377" w:lineRule="auto"/>
        <w:rPr>
          <w:highlight w:val="none"/>
        </w:rPr>
      </w:pPr>
      <w:r>
        <w:rPr>
          <w:rFonts w:hint="eastAsia"/>
          <w:highlight w:val="none"/>
        </w:rPr>
        <w:t>附表一施工总体计划表</w:t>
      </w:r>
    </w:p>
    <w:tbl>
      <w:tblPr>
        <w:tblStyle w:val="16"/>
        <w:tblW w:w="148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highlight w:val="none"/>
              </w:rPr>
            </w:pPr>
            <w:r>
              <w:rPr>
                <w:rFonts w:hint="eastAsia" w:ascii="宋体" w:hAnsi="宋体"/>
                <w:szCs w:val="21"/>
                <w:highlight w:val="none"/>
              </w:rPr>
              <w:t>年度</w:t>
            </w:r>
          </w:p>
        </w:tc>
        <w:tc>
          <w:tcPr>
            <w:tcW w:w="4922" w:type="dxa"/>
            <w:gridSpan w:val="12"/>
            <w:vAlign w:val="center"/>
          </w:tcPr>
          <w:p>
            <w:pPr>
              <w:rPr>
                <w:rFonts w:ascii="宋体" w:hAnsi="宋体"/>
                <w:szCs w:val="21"/>
                <w:highlight w:val="none"/>
              </w:rPr>
            </w:pPr>
            <w:r>
              <w:rPr>
                <w:rFonts w:hint="eastAsia" w:ascii="宋体" w:hAnsi="宋体"/>
                <w:szCs w:val="21"/>
                <w:highlight w:val="none"/>
              </w:rPr>
              <w:t>年</w:t>
            </w:r>
          </w:p>
        </w:tc>
        <w:tc>
          <w:tcPr>
            <w:tcW w:w="4956" w:type="dxa"/>
            <w:gridSpan w:val="12"/>
            <w:vAlign w:val="center"/>
          </w:tcPr>
          <w:p>
            <w:pPr>
              <w:rPr>
                <w:rFonts w:ascii="宋体" w:hAnsi="宋体"/>
                <w:szCs w:val="21"/>
                <w:highlight w:val="none"/>
              </w:rPr>
            </w:pPr>
            <w:r>
              <w:rPr>
                <w:rFonts w:hint="eastAsia" w:ascii="宋体" w:hAnsi="宋体"/>
                <w:szCs w:val="21"/>
                <w:highlight w:val="none"/>
              </w:rPr>
              <w:t>年</w:t>
            </w:r>
          </w:p>
        </w:tc>
        <w:tc>
          <w:tcPr>
            <w:tcW w:w="2059" w:type="dxa"/>
            <w:gridSpan w:val="5"/>
            <w:vAlign w:val="center"/>
          </w:tcPr>
          <w:p>
            <w:pP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highlight w:val="none"/>
              </w:rPr>
            </w:pPr>
            <w:r>
              <w:rPr>
                <w:rFonts w:hint="eastAsia" w:ascii="宋体" w:hAnsi="宋体"/>
                <w:szCs w:val="21"/>
                <w:highlight w:val="none"/>
              </w:rPr>
              <w:t xml:space="preserve">                    月份</w:t>
            </w: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主要工程项目</w:t>
            </w:r>
          </w:p>
        </w:tc>
        <w:tc>
          <w:tcPr>
            <w:tcW w:w="403" w:type="dxa"/>
            <w:vAlign w:val="center"/>
          </w:tcPr>
          <w:p>
            <w:pPr>
              <w:rPr>
                <w:rFonts w:ascii="宋体" w:hAnsi="宋体"/>
                <w:szCs w:val="21"/>
                <w:highlight w:val="none"/>
              </w:rPr>
            </w:pPr>
            <w:r>
              <w:rPr>
                <w:rFonts w:hint="eastAsia" w:ascii="宋体" w:hAnsi="宋体"/>
                <w:szCs w:val="21"/>
                <w:highlight w:val="none"/>
              </w:rPr>
              <w:t>1</w:t>
            </w:r>
          </w:p>
        </w:tc>
        <w:tc>
          <w:tcPr>
            <w:tcW w:w="403" w:type="dxa"/>
            <w:vAlign w:val="center"/>
          </w:tcPr>
          <w:p>
            <w:pPr>
              <w:rPr>
                <w:rFonts w:ascii="宋体" w:hAnsi="宋体"/>
                <w:szCs w:val="21"/>
                <w:highlight w:val="none"/>
              </w:rPr>
            </w:pPr>
            <w:r>
              <w:rPr>
                <w:rFonts w:hint="eastAsia" w:ascii="宋体" w:hAnsi="宋体"/>
                <w:szCs w:val="21"/>
                <w:highlight w:val="none"/>
              </w:rPr>
              <w:t>2</w:t>
            </w:r>
          </w:p>
        </w:tc>
        <w:tc>
          <w:tcPr>
            <w:tcW w:w="405" w:type="dxa"/>
            <w:vAlign w:val="center"/>
          </w:tcPr>
          <w:p>
            <w:pPr>
              <w:rPr>
                <w:rFonts w:ascii="宋体" w:hAnsi="宋体"/>
                <w:szCs w:val="21"/>
                <w:highlight w:val="none"/>
              </w:rPr>
            </w:pPr>
            <w:r>
              <w:rPr>
                <w:rFonts w:hint="eastAsia" w:ascii="宋体" w:hAnsi="宋体"/>
                <w:szCs w:val="21"/>
                <w:highlight w:val="none"/>
              </w:rPr>
              <w:t>3</w:t>
            </w:r>
          </w:p>
        </w:tc>
        <w:tc>
          <w:tcPr>
            <w:tcW w:w="405" w:type="dxa"/>
            <w:vAlign w:val="center"/>
          </w:tcPr>
          <w:p>
            <w:pPr>
              <w:rPr>
                <w:rFonts w:ascii="宋体" w:hAnsi="宋体"/>
                <w:szCs w:val="21"/>
                <w:highlight w:val="none"/>
              </w:rPr>
            </w:pPr>
            <w:r>
              <w:rPr>
                <w:rFonts w:hint="eastAsia" w:ascii="宋体" w:hAnsi="宋体"/>
                <w:szCs w:val="21"/>
                <w:highlight w:val="none"/>
              </w:rPr>
              <w:t>4</w:t>
            </w:r>
          </w:p>
        </w:tc>
        <w:tc>
          <w:tcPr>
            <w:tcW w:w="405" w:type="dxa"/>
            <w:vAlign w:val="center"/>
          </w:tcPr>
          <w:p>
            <w:pPr>
              <w:rPr>
                <w:rFonts w:ascii="宋体" w:hAnsi="宋体"/>
                <w:szCs w:val="21"/>
                <w:highlight w:val="none"/>
              </w:rPr>
            </w:pPr>
            <w:r>
              <w:rPr>
                <w:rFonts w:hint="eastAsia" w:ascii="宋体" w:hAnsi="宋体"/>
                <w:szCs w:val="21"/>
                <w:highlight w:val="none"/>
              </w:rPr>
              <w:t>5</w:t>
            </w:r>
          </w:p>
        </w:tc>
        <w:tc>
          <w:tcPr>
            <w:tcW w:w="405" w:type="dxa"/>
            <w:vAlign w:val="center"/>
          </w:tcPr>
          <w:p>
            <w:pPr>
              <w:rPr>
                <w:rFonts w:ascii="宋体" w:hAnsi="宋体"/>
                <w:szCs w:val="21"/>
                <w:highlight w:val="none"/>
              </w:rPr>
            </w:pPr>
            <w:r>
              <w:rPr>
                <w:rFonts w:hint="eastAsia" w:ascii="宋体" w:hAnsi="宋体"/>
                <w:szCs w:val="21"/>
                <w:highlight w:val="none"/>
              </w:rPr>
              <w:t>6</w:t>
            </w:r>
          </w:p>
        </w:tc>
        <w:tc>
          <w:tcPr>
            <w:tcW w:w="405" w:type="dxa"/>
            <w:vAlign w:val="center"/>
          </w:tcPr>
          <w:p>
            <w:pPr>
              <w:rPr>
                <w:rFonts w:ascii="宋体" w:hAnsi="宋体"/>
                <w:szCs w:val="21"/>
                <w:highlight w:val="none"/>
              </w:rPr>
            </w:pPr>
            <w:r>
              <w:rPr>
                <w:rFonts w:hint="eastAsia" w:ascii="宋体" w:hAnsi="宋体"/>
                <w:szCs w:val="21"/>
                <w:highlight w:val="none"/>
              </w:rPr>
              <w:t>7</w:t>
            </w:r>
          </w:p>
        </w:tc>
        <w:tc>
          <w:tcPr>
            <w:tcW w:w="405" w:type="dxa"/>
            <w:vAlign w:val="center"/>
          </w:tcPr>
          <w:p>
            <w:pPr>
              <w:rPr>
                <w:rFonts w:ascii="宋体" w:hAnsi="宋体"/>
                <w:szCs w:val="21"/>
                <w:highlight w:val="none"/>
              </w:rPr>
            </w:pPr>
            <w:r>
              <w:rPr>
                <w:rFonts w:hint="eastAsia" w:ascii="宋体" w:hAnsi="宋体"/>
                <w:szCs w:val="21"/>
                <w:highlight w:val="none"/>
              </w:rPr>
              <w:t>8</w:t>
            </w:r>
          </w:p>
        </w:tc>
        <w:tc>
          <w:tcPr>
            <w:tcW w:w="405" w:type="dxa"/>
            <w:vAlign w:val="center"/>
          </w:tcPr>
          <w:p>
            <w:pPr>
              <w:rPr>
                <w:rFonts w:ascii="宋体" w:hAnsi="宋体"/>
                <w:szCs w:val="21"/>
                <w:highlight w:val="none"/>
              </w:rPr>
            </w:pPr>
            <w:r>
              <w:rPr>
                <w:rFonts w:hint="eastAsia" w:ascii="宋体" w:hAnsi="宋体"/>
                <w:szCs w:val="21"/>
                <w:highlight w:val="none"/>
              </w:rPr>
              <w:t>9</w:t>
            </w:r>
          </w:p>
        </w:tc>
        <w:tc>
          <w:tcPr>
            <w:tcW w:w="426" w:type="dxa"/>
            <w:vAlign w:val="center"/>
          </w:tcPr>
          <w:p>
            <w:pPr>
              <w:rPr>
                <w:rFonts w:ascii="宋体" w:hAnsi="宋体"/>
                <w:szCs w:val="21"/>
                <w:highlight w:val="none"/>
              </w:rPr>
            </w:pPr>
            <w:r>
              <w:rPr>
                <w:rFonts w:hint="eastAsia" w:ascii="宋体" w:hAnsi="宋体"/>
                <w:szCs w:val="21"/>
                <w:highlight w:val="none"/>
              </w:rPr>
              <w:t>10</w:t>
            </w:r>
          </w:p>
        </w:tc>
        <w:tc>
          <w:tcPr>
            <w:tcW w:w="426" w:type="dxa"/>
            <w:vAlign w:val="center"/>
          </w:tcPr>
          <w:p>
            <w:pPr>
              <w:rPr>
                <w:rFonts w:ascii="宋体" w:hAnsi="宋体"/>
                <w:szCs w:val="21"/>
                <w:highlight w:val="none"/>
              </w:rPr>
            </w:pPr>
            <w:r>
              <w:rPr>
                <w:rFonts w:hint="eastAsia" w:ascii="宋体" w:hAnsi="宋体"/>
                <w:szCs w:val="21"/>
                <w:highlight w:val="none"/>
              </w:rPr>
              <w:t>11</w:t>
            </w:r>
          </w:p>
        </w:tc>
        <w:tc>
          <w:tcPr>
            <w:tcW w:w="429" w:type="dxa"/>
            <w:vAlign w:val="center"/>
          </w:tcPr>
          <w:p>
            <w:pPr>
              <w:rPr>
                <w:rFonts w:ascii="宋体" w:hAnsi="宋体"/>
                <w:szCs w:val="21"/>
                <w:highlight w:val="none"/>
              </w:rPr>
            </w:pPr>
            <w:r>
              <w:rPr>
                <w:rFonts w:hint="eastAsia" w:ascii="宋体" w:hAnsi="宋体"/>
                <w:szCs w:val="21"/>
                <w:highlight w:val="none"/>
              </w:rPr>
              <w:t>12</w:t>
            </w:r>
          </w:p>
        </w:tc>
        <w:tc>
          <w:tcPr>
            <w:tcW w:w="405" w:type="dxa"/>
            <w:vAlign w:val="center"/>
          </w:tcPr>
          <w:p>
            <w:pPr>
              <w:rPr>
                <w:rFonts w:ascii="宋体" w:hAnsi="宋体"/>
                <w:szCs w:val="21"/>
                <w:highlight w:val="none"/>
              </w:rPr>
            </w:pPr>
            <w:r>
              <w:rPr>
                <w:rFonts w:hint="eastAsia" w:ascii="宋体" w:hAnsi="宋体"/>
                <w:szCs w:val="21"/>
                <w:highlight w:val="none"/>
              </w:rPr>
              <w:t>1</w:t>
            </w:r>
          </w:p>
        </w:tc>
        <w:tc>
          <w:tcPr>
            <w:tcW w:w="405" w:type="dxa"/>
            <w:vAlign w:val="center"/>
          </w:tcPr>
          <w:p>
            <w:pPr>
              <w:rPr>
                <w:rFonts w:ascii="宋体" w:hAnsi="宋体"/>
                <w:szCs w:val="21"/>
                <w:highlight w:val="none"/>
              </w:rPr>
            </w:pPr>
            <w:r>
              <w:rPr>
                <w:rFonts w:hint="eastAsia" w:ascii="宋体" w:hAnsi="宋体"/>
                <w:szCs w:val="21"/>
                <w:highlight w:val="none"/>
              </w:rPr>
              <w:t>2</w:t>
            </w:r>
          </w:p>
        </w:tc>
        <w:tc>
          <w:tcPr>
            <w:tcW w:w="406" w:type="dxa"/>
            <w:vAlign w:val="center"/>
          </w:tcPr>
          <w:p>
            <w:pPr>
              <w:rPr>
                <w:rFonts w:ascii="宋体" w:hAnsi="宋体"/>
                <w:szCs w:val="21"/>
                <w:highlight w:val="none"/>
              </w:rPr>
            </w:pPr>
            <w:r>
              <w:rPr>
                <w:rFonts w:hint="eastAsia" w:ascii="宋体" w:hAnsi="宋体"/>
                <w:szCs w:val="21"/>
                <w:highlight w:val="none"/>
              </w:rPr>
              <w:t>3</w:t>
            </w:r>
          </w:p>
        </w:tc>
        <w:tc>
          <w:tcPr>
            <w:tcW w:w="406" w:type="dxa"/>
            <w:vAlign w:val="center"/>
          </w:tcPr>
          <w:p>
            <w:pPr>
              <w:rPr>
                <w:rFonts w:ascii="宋体" w:hAnsi="宋体"/>
                <w:szCs w:val="21"/>
                <w:highlight w:val="none"/>
              </w:rPr>
            </w:pPr>
            <w:r>
              <w:rPr>
                <w:rFonts w:hint="eastAsia" w:ascii="宋体" w:hAnsi="宋体"/>
                <w:szCs w:val="21"/>
                <w:highlight w:val="none"/>
              </w:rPr>
              <w:t>4</w:t>
            </w:r>
          </w:p>
        </w:tc>
        <w:tc>
          <w:tcPr>
            <w:tcW w:w="406" w:type="dxa"/>
            <w:vAlign w:val="center"/>
          </w:tcPr>
          <w:p>
            <w:pPr>
              <w:rPr>
                <w:rFonts w:ascii="宋体" w:hAnsi="宋体"/>
                <w:szCs w:val="21"/>
                <w:highlight w:val="none"/>
              </w:rPr>
            </w:pPr>
            <w:r>
              <w:rPr>
                <w:rFonts w:hint="eastAsia" w:ascii="宋体" w:hAnsi="宋体"/>
                <w:szCs w:val="21"/>
                <w:highlight w:val="none"/>
              </w:rPr>
              <w:t>5</w:t>
            </w:r>
          </w:p>
        </w:tc>
        <w:tc>
          <w:tcPr>
            <w:tcW w:w="406" w:type="dxa"/>
            <w:vAlign w:val="center"/>
          </w:tcPr>
          <w:p>
            <w:pPr>
              <w:rPr>
                <w:rFonts w:ascii="宋体" w:hAnsi="宋体"/>
                <w:szCs w:val="21"/>
                <w:highlight w:val="none"/>
              </w:rPr>
            </w:pPr>
            <w:r>
              <w:rPr>
                <w:rFonts w:hint="eastAsia" w:ascii="宋体" w:hAnsi="宋体"/>
                <w:szCs w:val="21"/>
                <w:highlight w:val="none"/>
              </w:rPr>
              <w:t>6</w:t>
            </w:r>
          </w:p>
        </w:tc>
        <w:tc>
          <w:tcPr>
            <w:tcW w:w="406" w:type="dxa"/>
            <w:vAlign w:val="center"/>
          </w:tcPr>
          <w:p>
            <w:pPr>
              <w:rPr>
                <w:rFonts w:ascii="宋体" w:hAnsi="宋体"/>
                <w:szCs w:val="21"/>
                <w:highlight w:val="none"/>
              </w:rPr>
            </w:pPr>
            <w:r>
              <w:rPr>
                <w:rFonts w:hint="eastAsia" w:ascii="宋体" w:hAnsi="宋体"/>
                <w:szCs w:val="21"/>
                <w:highlight w:val="none"/>
              </w:rPr>
              <w:t>7</w:t>
            </w:r>
          </w:p>
        </w:tc>
        <w:tc>
          <w:tcPr>
            <w:tcW w:w="406" w:type="dxa"/>
            <w:vAlign w:val="center"/>
          </w:tcPr>
          <w:p>
            <w:pPr>
              <w:rPr>
                <w:rFonts w:ascii="宋体" w:hAnsi="宋体"/>
                <w:szCs w:val="21"/>
                <w:highlight w:val="none"/>
              </w:rPr>
            </w:pPr>
            <w:r>
              <w:rPr>
                <w:rFonts w:hint="eastAsia" w:ascii="宋体" w:hAnsi="宋体"/>
                <w:szCs w:val="21"/>
                <w:highlight w:val="none"/>
              </w:rPr>
              <w:t>8</w:t>
            </w:r>
          </w:p>
        </w:tc>
        <w:tc>
          <w:tcPr>
            <w:tcW w:w="406" w:type="dxa"/>
            <w:vAlign w:val="center"/>
          </w:tcPr>
          <w:p>
            <w:pPr>
              <w:rPr>
                <w:rFonts w:ascii="宋体" w:hAnsi="宋体"/>
                <w:szCs w:val="21"/>
                <w:highlight w:val="none"/>
              </w:rPr>
            </w:pPr>
            <w:r>
              <w:rPr>
                <w:rFonts w:hint="eastAsia" w:ascii="宋体" w:hAnsi="宋体"/>
                <w:szCs w:val="21"/>
                <w:highlight w:val="none"/>
              </w:rPr>
              <w:t>9</w:t>
            </w:r>
          </w:p>
        </w:tc>
        <w:tc>
          <w:tcPr>
            <w:tcW w:w="427" w:type="dxa"/>
            <w:vAlign w:val="center"/>
          </w:tcPr>
          <w:p>
            <w:pPr>
              <w:rPr>
                <w:rFonts w:ascii="宋体" w:hAnsi="宋体"/>
                <w:szCs w:val="21"/>
                <w:highlight w:val="none"/>
              </w:rPr>
            </w:pPr>
            <w:r>
              <w:rPr>
                <w:rFonts w:hint="eastAsia" w:ascii="宋体" w:hAnsi="宋体"/>
                <w:szCs w:val="21"/>
                <w:highlight w:val="none"/>
              </w:rPr>
              <w:t>10</w:t>
            </w:r>
          </w:p>
        </w:tc>
        <w:tc>
          <w:tcPr>
            <w:tcW w:w="427" w:type="dxa"/>
            <w:vAlign w:val="center"/>
          </w:tcPr>
          <w:p>
            <w:pPr>
              <w:rPr>
                <w:rFonts w:ascii="宋体" w:hAnsi="宋体"/>
                <w:szCs w:val="21"/>
                <w:highlight w:val="none"/>
              </w:rPr>
            </w:pPr>
            <w:r>
              <w:rPr>
                <w:rFonts w:hint="eastAsia" w:ascii="宋体" w:hAnsi="宋体"/>
                <w:szCs w:val="21"/>
                <w:highlight w:val="none"/>
              </w:rPr>
              <w:t>11</w:t>
            </w:r>
          </w:p>
        </w:tc>
        <w:tc>
          <w:tcPr>
            <w:tcW w:w="450" w:type="dxa"/>
            <w:vAlign w:val="center"/>
          </w:tcPr>
          <w:p>
            <w:pPr>
              <w:rPr>
                <w:rFonts w:ascii="宋体" w:hAnsi="宋体"/>
                <w:szCs w:val="21"/>
                <w:highlight w:val="none"/>
              </w:rPr>
            </w:pPr>
            <w:r>
              <w:rPr>
                <w:rFonts w:hint="eastAsia" w:ascii="宋体" w:hAnsi="宋体"/>
                <w:szCs w:val="21"/>
                <w:highlight w:val="none"/>
              </w:rPr>
              <w:t>12</w:t>
            </w:r>
          </w:p>
        </w:tc>
        <w:tc>
          <w:tcPr>
            <w:tcW w:w="406" w:type="dxa"/>
            <w:vAlign w:val="center"/>
          </w:tcPr>
          <w:p>
            <w:pPr>
              <w:rPr>
                <w:rFonts w:ascii="宋体" w:hAnsi="宋体"/>
                <w:szCs w:val="21"/>
                <w:highlight w:val="none"/>
              </w:rPr>
            </w:pPr>
            <w:r>
              <w:rPr>
                <w:rFonts w:hint="eastAsia" w:ascii="宋体" w:hAnsi="宋体"/>
                <w:szCs w:val="21"/>
                <w:highlight w:val="none"/>
              </w:rPr>
              <w:t>1</w:t>
            </w:r>
          </w:p>
        </w:tc>
        <w:tc>
          <w:tcPr>
            <w:tcW w:w="406" w:type="dxa"/>
            <w:vAlign w:val="center"/>
          </w:tcPr>
          <w:p>
            <w:pPr>
              <w:rPr>
                <w:rFonts w:ascii="宋体" w:hAnsi="宋体"/>
                <w:szCs w:val="21"/>
                <w:highlight w:val="none"/>
              </w:rPr>
            </w:pPr>
            <w:r>
              <w:rPr>
                <w:rFonts w:hint="eastAsia" w:ascii="宋体" w:hAnsi="宋体"/>
                <w:szCs w:val="21"/>
                <w:highlight w:val="none"/>
              </w:rPr>
              <w:t>2</w:t>
            </w:r>
          </w:p>
        </w:tc>
        <w:tc>
          <w:tcPr>
            <w:tcW w:w="406" w:type="dxa"/>
            <w:vAlign w:val="center"/>
          </w:tcPr>
          <w:p>
            <w:pPr>
              <w:rPr>
                <w:rFonts w:ascii="宋体" w:hAnsi="宋体"/>
                <w:szCs w:val="21"/>
                <w:highlight w:val="none"/>
              </w:rPr>
            </w:pPr>
            <w:r>
              <w:rPr>
                <w:rFonts w:hint="eastAsia" w:ascii="宋体" w:hAnsi="宋体"/>
                <w:szCs w:val="21"/>
                <w:highlight w:val="none"/>
              </w:rPr>
              <w:t>3</w:t>
            </w:r>
          </w:p>
        </w:tc>
        <w:tc>
          <w:tcPr>
            <w:tcW w:w="406" w:type="dxa"/>
            <w:vAlign w:val="center"/>
          </w:tcPr>
          <w:p>
            <w:pPr>
              <w:rPr>
                <w:rFonts w:ascii="宋体" w:hAnsi="宋体"/>
                <w:szCs w:val="21"/>
                <w:highlight w:val="none"/>
              </w:rPr>
            </w:pPr>
            <w:r>
              <w:rPr>
                <w:rFonts w:hint="eastAsia" w:ascii="宋体" w:hAnsi="宋体"/>
                <w:szCs w:val="21"/>
                <w:highlight w:val="none"/>
              </w:rPr>
              <w:t>4</w:t>
            </w:r>
          </w:p>
        </w:tc>
        <w:tc>
          <w:tcPr>
            <w:tcW w:w="444" w:type="dxa"/>
            <w:gridSpan w:val="2"/>
            <w:vAlign w:val="center"/>
          </w:tcPr>
          <w:p>
            <w:pP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highlight w:val="none"/>
              </w:rPr>
            </w:pPr>
            <w:r>
              <w:rPr>
                <w:rFonts w:hint="eastAsia" w:ascii="宋体" w:hAnsi="宋体"/>
                <w:szCs w:val="21"/>
                <w:highlight w:val="none"/>
              </w:rPr>
              <w:t>1.施工准备</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2.下部结构</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3.上部结构</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highlight w:val="none"/>
              </w:rPr>
            </w:pPr>
            <w:r>
              <w:rPr>
                <w:rFonts w:hint="eastAsia" w:ascii="宋体" w:hAnsi="宋体"/>
                <w:szCs w:val="21"/>
                <w:highlight w:val="none"/>
              </w:rPr>
              <w:t>4.附属工程</w:t>
            </w:r>
          </w:p>
        </w:tc>
        <w:tc>
          <w:tcPr>
            <w:tcW w:w="403" w:type="dxa"/>
            <w:vAlign w:val="center"/>
          </w:tcPr>
          <w:p>
            <w:pPr>
              <w:rPr>
                <w:rFonts w:ascii="宋体" w:hAnsi="宋体"/>
                <w:szCs w:val="21"/>
                <w:highlight w:val="none"/>
              </w:rPr>
            </w:pPr>
          </w:p>
        </w:tc>
        <w:tc>
          <w:tcPr>
            <w:tcW w:w="403"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6" w:type="dxa"/>
            <w:vAlign w:val="center"/>
          </w:tcPr>
          <w:p>
            <w:pPr>
              <w:rPr>
                <w:rFonts w:ascii="宋体" w:hAnsi="宋体"/>
                <w:szCs w:val="21"/>
                <w:highlight w:val="none"/>
              </w:rPr>
            </w:pPr>
          </w:p>
        </w:tc>
        <w:tc>
          <w:tcPr>
            <w:tcW w:w="429"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5"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27" w:type="dxa"/>
            <w:vAlign w:val="center"/>
          </w:tcPr>
          <w:p>
            <w:pPr>
              <w:rPr>
                <w:rFonts w:ascii="宋体" w:hAnsi="宋体"/>
                <w:szCs w:val="21"/>
                <w:highlight w:val="none"/>
              </w:rPr>
            </w:pPr>
          </w:p>
        </w:tc>
        <w:tc>
          <w:tcPr>
            <w:tcW w:w="450"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06" w:type="dxa"/>
            <w:vAlign w:val="center"/>
          </w:tcPr>
          <w:p>
            <w:pPr>
              <w:rPr>
                <w:rFonts w:ascii="宋体" w:hAnsi="宋体"/>
                <w:szCs w:val="21"/>
                <w:highlight w:val="none"/>
              </w:rPr>
            </w:pPr>
          </w:p>
        </w:tc>
        <w:tc>
          <w:tcPr>
            <w:tcW w:w="444" w:type="dxa"/>
            <w:gridSpan w:val="2"/>
            <w:vAlign w:val="center"/>
          </w:tcPr>
          <w:p>
            <w:pPr>
              <w:rPr>
                <w:rFonts w:ascii="宋体" w:hAnsi="宋体"/>
                <w:szCs w:val="21"/>
                <w:highlight w:val="none"/>
              </w:rPr>
            </w:pPr>
          </w:p>
        </w:tc>
      </w:tr>
    </w:tbl>
    <w:p>
      <w:pPr>
        <w:pStyle w:val="7"/>
        <w:spacing w:before="120" w:after="0" w:line="240" w:lineRule="auto"/>
        <w:rPr>
          <w:highlight w:val="none"/>
        </w:rPr>
      </w:pPr>
    </w:p>
    <w:p>
      <w:pPr>
        <w:pStyle w:val="7"/>
        <w:spacing w:before="120" w:after="0" w:line="240" w:lineRule="auto"/>
        <w:rPr>
          <w:highlight w:val="none"/>
        </w:rPr>
      </w:pPr>
      <w:r>
        <w:rPr>
          <w:highlight w:val="none"/>
        </w:rPr>
        <w:br w:type="page"/>
      </w:r>
      <w:r>
        <w:rPr>
          <w:rFonts w:hint="eastAsia"/>
          <w:highlight w:val="none"/>
        </w:rPr>
        <w:t>附表二分项工程进度率计划（斜率图）</w:t>
      </w:r>
    </w:p>
    <w:tbl>
      <w:tblPr>
        <w:tblStyle w:val="16"/>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highlight w:val="none"/>
              </w:rPr>
            </w:pPr>
            <w:r>
              <w:rPr>
                <w:rFonts w:hint="eastAsia" w:ascii="宋体" w:hAnsi="宋体"/>
                <w:szCs w:val="21"/>
                <w:highlight w:val="none"/>
              </w:rPr>
              <w:t>年  度</w:t>
            </w:r>
          </w:p>
        </w:tc>
        <w:tc>
          <w:tcPr>
            <w:tcW w:w="5605" w:type="dxa"/>
            <w:gridSpan w:val="12"/>
            <w:vAlign w:val="center"/>
          </w:tcPr>
          <w:p>
            <w:pPr>
              <w:rPr>
                <w:rFonts w:ascii="宋体" w:hAnsi="宋体"/>
                <w:szCs w:val="21"/>
                <w:highlight w:val="none"/>
              </w:rPr>
            </w:pPr>
            <w:r>
              <w:rPr>
                <w:rFonts w:hint="eastAsia" w:ascii="宋体" w:hAnsi="宋体"/>
                <w:szCs w:val="21"/>
                <w:highlight w:val="none"/>
              </w:rPr>
              <w:t>年</w:t>
            </w:r>
          </w:p>
        </w:tc>
        <w:tc>
          <w:tcPr>
            <w:tcW w:w="5139" w:type="dxa"/>
            <w:gridSpan w:val="11"/>
            <w:vAlign w:val="center"/>
          </w:tcPr>
          <w:p>
            <w:pP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highlight w:val="none"/>
              </w:rPr>
            </w:pPr>
            <w:r>
              <w:rPr>
                <w:rFonts w:hint="eastAsia" w:ascii="宋体" w:hAnsi="宋体"/>
                <w:szCs w:val="21"/>
                <w:highlight w:val="none"/>
              </w:rPr>
              <w:t>季  度</w:t>
            </w:r>
          </w:p>
        </w:tc>
        <w:tc>
          <w:tcPr>
            <w:tcW w:w="1401" w:type="dxa"/>
            <w:gridSpan w:val="3"/>
            <w:vAlign w:val="center"/>
          </w:tcPr>
          <w:p>
            <w:pPr>
              <w:rPr>
                <w:rFonts w:ascii="宋体" w:hAnsi="宋体"/>
                <w:szCs w:val="21"/>
                <w:highlight w:val="none"/>
              </w:rPr>
            </w:pPr>
            <w:r>
              <w:rPr>
                <w:rFonts w:hint="eastAsia" w:ascii="宋体" w:hAnsi="宋体"/>
                <w:szCs w:val="21"/>
                <w:highlight w:val="none"/>
              </w:rPr>
              <w:t>一</w:t>
            </w:r>
          </w:p>
        </w:tc>
        <w:tc>
          <w:tcPr>
            <w:tcW w:w="1401" w:type="dxa"/>
            <w:gridSpan w:val="3"/>
            <w:vAlign w:val="center"/>
          </w:tcPr>
          <w:p>
            <w:pPr>
              <w:rPr>
                <w:rFonts w:ascii="宋体" w:hAnsi="宋体"/>
                <w:szCs w:val="21"/>
                <w:highlight w:val="none"/>
              </w:rPr>
            </w:pPr>
            <w:r>
              <w:rPr>
                <w:rFonts w:hint="eastAsia" w:ascii="宋体" w:hAnsi="宋体"/>
                <w:szCs w:val="21"/>
                <w:highlight w:val="none"/>
              </w:rPr>
              <w:t>二</w:t>
            </w:r>
          </w:p>
        </w:tc>
        <w:tc>
          <w:tcPr>
            <w:tcW w:w="1402" w:type="dxa"/>
            <w:gridSpan w:val="3"/>
            <w:vAlign w:val="center"/>
          </w:tcPr>
          <w:p>
            <w:pPr>
              <w:rPr>
                <w:rFonts w:ascii="宋体" w:hAnsi="宋体"/>
                <w:szCs w:val="21"/>
                <w:highlight w:val="none"/>
              </w:rPr>
            </w:pPr>
            <w:r>
              <w:rPr>
                <w:rFonts w:hint="eastAsia" w:ascii="宋体" w:hAnsi="宋体"/>
                <w:szCs w:val="21"/>
                <w:highlight w:val="none"/>
              </w:rPr>
              <w:t>三</w:t>
            </w:r>
          </w:p>
        </w:tc>
        <w:tc>
          <w:tcPr>
            <w:tcW w:w="1401" w:type="dxa"/>
            <w:gridSpan w:val="3"/>
            <w:vAlign w:val="center"/>
          </w:tcPr>
          <w:p>
            <w:pPr>
              <w:rPr>
                <w:rFonts w:ascii="宋体" w:hAnsi="宋体"/>
                <w:szCs w:val="21"/>
                <w:highlight w:val="none"/>
              </w:rPr>
            </w:pPr>
            <w:r>
              <w:rPr>
                <w:rFonts w:hint="eastAsia" w:ascii="宋体" w:hAnsi="宋体"/>
                <w:szCs w:val="21"/>
                <w:highlight w:val="none"/>
              </w:rPr>
              <w:t>四</w:t>
            </w:r>
          </w:p>
        </w:tc>
        <w:tc>
          <w:tcPr>
            <w:tcW w:w="1401" w:type="dxa"/>
            <w:gridSpan w:val="3"/>
            <w:vAlign w:val="center"/>
          </w:tcPr>
          <w:p>
            <w:pPr>
              <w:rPr>
                <w:rFonts w:ascii="宋体" w:hAnsi="宋体"/>
                <w:szCs w:val="21"/>
                <w:highlight w:val="none"/>
              </w:rPr>
            </w:pPr>
            <w:r>
              <w:rPr>
                <w:rFonts w:hint="eastAsia" w:ascii="宋体" w:hAnsi="宋体"/>
                <w:szCs w:val="21"/>
                <w:highlight w:val="none"/>
              </w:rPr>
              <w:t>一</w:t>
            </w:r>
          </w:p>
        </w:tc>
        <w:tc>
          <w:tcPr>
            <w:tcW w:w="1402" w:type="dxa"/>
            <w:gridSpan w:val="3"/>
            <w:vAlign w:val="center"/>
          </w:tcPr>
          <w:p>
            <w:pPr>
              <w:rPr>
                <w:rFonts w:ascii="宋体" w:hAnsi="宋体"/>
                <w:szCs w:val="21"/>
                <w:highlight w:val="none"/>
              </w:rPr>
            </w:pPr>
            <w:r>
              <w:rPr>
                <w:rFonts w:hint="eastAsia" w:ascii="宋体" w:hAnsi="宋体"/>
                <w:szCs w:val="21"/>
                <w:highlight w:val="none"/>
              </w:rPr>
              <w:t>二</w:t>
            </w:r>
          </w:p>
        </w:tc>
        <w:tc>
          <w:tcPr>
            <w:tcW w:w="1401" w:type="dxa"/>
            <w:gridSpan w:val="3"/>
            <w:vAlign w:val="center"/>
          </w:tcPr>
          <w:p>
            <w:pPr>
              <w:rPr>
                <w:rFonts w:ascii="宋体" w:hAnsi="宋体"/>
                <w:szCs w:val="21"/>
                <w:highlight w:val="none"/>
              </w:rPr>
            </w:pPr>
            <w:r>
              <w:rPr>
                <w:rFonts w:hint="eastAsia" w:ascii="宋体" w:hAnsi="宋体"/>
                <w:szCs w:val="21"/>
                <w:highlight w:val="none"/>
              </w:rPr>
              <w:t>三</w:t>
            </w:r>
          </w:p>
        </w:tc>
        <w:tc>
          <w:tcPr>
            <w:tcW w:w="935" w:type="dxa"/>
            <w:gridSpan w:val="2"/>
            <w:vAlign w:val="center"/>
          </w:tcPr>
          <w:p>
            <w:pPr>
              <w:rPr>
                <w:rFonts w:ascii="宋体" w:hAnsi="宋体"/>
                <w:szCs w:val="21"/>
                <w:highlight w:val="none"/>
              </w:rPr>
            </w:pPr>
            <w:r>
              <w:rPr>
                <w:rFonts w:hint="eastAsia" w:ascii="宋体" w:hAnsi="宋体"/>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highlight w:val="none"/>
              </w:rPr>
            </w:pPr>
            <w:r>
              <w:rPr>
                <w:rFonts w:hint="eastAsia" w:ascii="宋体" w:hAnsi="宋体"/>
                <w:szCs w:val="21"/>
                <w:highlight w:val="none"/>
              </w:rPr>
              <w:t>月  份</w:t>
            </w:r>
          </w:p>
        </w:tc>
        <w:tc>
          <w:tcPr>
            <w:tcW w:w="467" w:type="dxa"/>
            <w:vAlign w:val="center"/>
          </w:tcPr>
          <w:p>
            <w:pPr>
              <w:rPr>
                <w:rFonts w:ascii="宋体" w:hAnsi="宋体"/>
                <w:szCs w:val="21"/>
                <w:highlight w:val="none"/>
              </w:rPr>
            </w:pPr>
            <w:r>
              <w:rPr>
                <w:rFonts w:hint="eastAsia" w:ascii="宋体" w:hAnsi="宋体"/>
                <w:szCs w:val="21"/>
                <w:highlight w:val="none"/>
              </w:rPr>
              <w:t>1</w:t>
            </w:r>
          </w:p>
        </w:tc>
        <w:tc>
          <w:tcPr>
            <w:tcW w:w="467" w:type="dxa"/>
            <w:vAlign w:val="center"/>
          </w:tcPr>
          <w:p>
            <w:pPr>
              <w:rPr>
                <w:rFonts w:ascii="宋体" w:hAnsi="宋体"/>
                <w:szCs w:val="21"/>
                <w:highlight w:val="none"/>
              </w:rPr>
            </w:pPr>
            <w:r>
              <w:rPr>
                <w:rFonts w:hint="eastAsia" w:ascii="宋体" w:hAnsi="宋体"/>
                <w:szCs w:val="21"/>
                <w:highlight w:val="none"/>
              </w:rPr>
              <w:t>2</w:t>
            </w:r>
          </w:p>
        </w:tc>
        <w:tc>
          <w:tcPr>
            <w:tcW w:w="467" w:type="dxa"/>
            <w:vAlign w:val="center"/>
          </w:tcPr>
          <w:p>
            <w:pPr>
              <w:rPr>
                <w:rFonts w:ascii="宋体" w:hAnsi="宋体"/>
                <w:szCs w:val="21"/>
                <w:highlight w:val="none"/>
              </w:rPr>
            </w:pPr>
            <w:r>
              <w:rPr>
                <w:rFonts w:hint="eastAsia" w:ascii="宋体" w:hAnsi="宋体"/>
                <w:szCs w:val="21"/>
                <w:highlight w:val="none"/>
              </w:rPr>
              <w:t>3</w:t>
            </w:r>
          </w:p>
        </w:tc>
        <w:tc>
          <w:tcPr>
            <w:tcW w:w="467" w:type="dxa"/>
            <w:vAlign w:val="center"/>
          </w:tcPr>
          <w:p>
            <w:pPr>
              <w:rPr>
                <w:rFonts w:ascii="宋体" w:hAnsi="宋体"/>
                <w:szCs w:val="21"/>
                <w:highlight w:val="none"/>
              </w:rPr>
            </w:pPr>
            <w:r>
              <w:rPr>
                <w:rFonts w:hint="eastAsia" w:ascii="宋体" w:hAnsi="宋体"/>
                <w:szCs w:val="21"/>
                <w:highlight w:val="none"/>
              </w:rPr>
              <w:t>4</w:t>
            </w:r>
          </w:p>
        </w:tc>
        <w:tc>
          <w:tcPr>
            <w:tcW w:w="467" w:type="dxa"/>
            <w:vAlign w:val="center"/>
          </w:tcPr>
          <w:p>
            <w:pPr>
              <w:rPr>
                <w:rFonts w:ascii="宋体" w:hAnsi="宋体"/>
                <w:szCs w:val="21"/>
                <w:highlight w:val="none"/>
              </w:rPr>
            </w:pPr>
            <w:r>
              <w:rPr>
                <w:rFonts w:hint="eastAsia" w:ascii="宋体" w:hAnsi="宋体"/>
                <w:szCs w:val="21"/>
                <w:highlight w:val="none"/>
              </w:rPr>
              <w:t>5</w:t>
            </w:r>
          </w:p>
        </w:tc>
        <w:tc>
          <w:tcPr>
            <w:tcW w:w="467" w:type="dxa"/>
            <w:vAlign w:val="center"/>
          </w:tcPr>
          <w:p>
            <w:pPr>
              <w:rPr>
                <w:rFonts w:ascii="宋体" w:hAnsi="宋体"/>
                <w:szCs w:val="21"/>
                <w:highlight w:val="none"/>
              </w:rPr>
            </w:pPr>
            <w:r>
              <w:rPr>
                <w:rFonts w:hint="eastAsia" w:ascii="宋体" w:hAnsi="宋体"/>
                <w:szCs w:val="21"/>
                <w:highlight w:val="none"/>
              </w:rPr>
              <w:t>6</w:t>
            </w:r>
          </w:p>
        </w:tc>
        <w:tc>
          <w:tcPr>
            <w:tcW w:w="467" w:type="dxa"/>
            <w:vAlign w:val="center"/>
          </w:tcPr>
          <w:p>
            <w:pPr>
              <w:rPr>
                <w:rFonts w:ascii="宋体" w:hAnsi="宋体"/>
                <w:szCs w:val="21"/>
                <w:highlight w:val="none"/>
              </w:rPr>
            </w:pPr>
            <w:r>
              <w:rPr>
                <w:rFonts w:hint="eastAsia" w:ascii="宋体" w:hAnsi="宋体"/>
                <w:szCs w:val="21"/>
                <w:highlight w:val="none"/>
              </w:rPr>
              <w:t>7</w:t>
            </w:r>
          </w:p>
        </w:tc>
        <w:tc>
          <w:tcPr>
            <w:tcW w:w="468" w:type="dxa"/>
            <w:vAlign w:val="center"/>
          </w:tcPr>
          <w:p>
            <w:pPr>
              <w:rPr>
                <w:rFonts w:ascii="宋体" w:hAnsi="宋体"/>
                <w:szCs w:val="21"/>
                <w:highlight w:val="none"/>
              </w:rPr>
            </w:pPr>
            <w:r>
              <w:rPr>
                <w:rFonts w:hint="eastAsia" w:ascii="宋体" w:hAnsi="宋体"/>
                <w:szCs w:val="21"/>
                <w:highlight w:val="none"/>
              </w:rPr>
              <w:t>8</w:t>
            </w:r>
          </w:p>
        </w:tc>
        <w:tc>
          <w:tcPr>
            <w:tcW w:w="467" w:type="dxa"/>
            <w:vAlign w:val="center"/>
          </w:tcPr>
          <w:p>
            <w:pPr>
              <w:rPr>
                <w:rFonts w:ascii="宋体" w:hAnsi="宋体"/>
                <w:szCs w:val="21"/>
                <w:highlight w:val="none"/>
              </w:rPr>
            </w:pPr>
            <w:r>
              <w:rPr>
                <w:rFonts w:hint="eastAsia" w:ascii="宋体" w:hAnsi="宋体"/>
                <w:szCs w:val="21"/>
                <w:highlight w:val="none"/>
              </w:rPr>
              <w:t>9</w:t>
            </w:r>
          </w:p>
        </w:tc>
        <w:tc>
          <w:tcPr>
            <w:tcW w:w="467" w:type="dxa"/>
            <w:vAlign w:val="center"/>
          </w:tcPr>
          <w:p>
            <w:pPr>
              <w:rPr>
                <w:rFonts w:ascii="宋体" w:hAnsi="宋体"/>
                <w:szCs w:val="21"/>
                <w:highlight w:val="none"/>
              </w:rPr>
            </w:pPr>
            <w:r>
              <w:rPr>
                <w:rFonts w:hint="eastAsia" w:ascii="宋体" w:hAnsi="宋体"/>
                <w:szCs w:val="21"/>
                <w:highlight w:val="none"/>
              </w:rPr>
              <w:t>10</w:t>
            </w:r>
          </w:p>
        </w:tc>
        <w:tc>
          <w:tcPr>
            <w:tcW w:w="467" w:type="dxa"/>
            <w:vAlign w:val="center"/>
          </w:tcPr>
          <w:p>
            <w:pPr>
              <w:rPr>
                <w:rFonts w:ascii="宋体" w:hAnsi="宋体"/>
                <w:szCs w:val="21"/>
                <w:highlight w:val="none"/>
              </w:rPr>
            </w:pPr>
            <w:r>
              <w:rPr>
                <w:rFonts w:hint="eastAsia" w:ascii="宋体" w:hAnsi="宋体"/>
                <w:szCs w:val="21"/>
                <w:highlight w:val="none"/>
              </w:rPr>
              <w:t>11</w:t>
            </w:r>
          </w:p>
        </w:tc>
        <w:tc>
          <w:tcPr>
            <w:tcW w:w="467" w:type="dxa"/>
            <w:vAlign w:val="center"/>
          </w:tcPr>
          <w:p>
            <w:pPr>
              <w:rPr>
                <w:rFonts w:ascii="宋体" w:hAnsi="宋体"/>
                <w:szCs w:val="21"/>
                <w:highlight w:val="none"/>
              </w:rPr>
            </w:pPr>
            <w:r>
              <w:rPr>
                <w:rFonts w:hint="eastAsia" w:ascii="宋体" w:hAnsi="宋体"/>
                <w:szCs w:val="21"/>
                <w:highlight w:val="none"/>
              </w:rPr>
              <w:t>12</w:t>
            </w:r>
          </w:p>
        </w:tc>
        <w:tc>
          <w:tcPr>
            <w:tcW w:w="467" w:type="dxa"/>
            <w:vAlign w:val="center"/>
          </w:tcPr>
          <w:p>
            <w:pPr>
              <w:rPr>
                <w:rFonts w:ascii="宋体" w:hAnsi="宋体"/>
                <w:szCs w:val="21"/>
                <w:highlight w:val="none"/>
              </w:rPr>
            </w:pPr>
            <w:r>
              <w:rPr>
                <w:rFonts w:hint="eastAsia" w:ascii="宋体" w:hAnsi="宋体"/>
                <w:szCs w:val="21"/>
                <w:highlight w:val="none"/>
              </w:rPr>
              <w:t>1</w:t>
            </w:r>
          </w:p>
        </w:tc>
        <w:tc>
          <w:tcPr>
            <w:tcW w:w="467" w:type="dxa"/>
            <w:vAlign w:val="center"/>
          </w:tcPr>
          <w:p>
            <w:pPr>
              <w:rPr>
                <w:rFonts w:ascii="宋体" w:hAnsi="宋体"/>
                <w:szCs w:val="21"/>
                <w:highlight w:val="none"/>
              </w:rPr>
            </w:pPr>
            <w:r>
              <w:rPr>
                <w:rFonts w:hint="eastAsia" w:ascii="宋体" w:hAnsi="宋体"/>
                <w:szCs w:val="21"/>
                <w:highlight w:val="none"/>
              </w:rPr>
              <w:t>2</w:t>
            </w:r>
          </w:p>
        </w:tc>
        <w:tc>
          <w:tcPr>
            <w:tcW w:w="467" w:type="dxa"/>
            <w:vAlign w:val="center"/>
          </w:tcPr>
          <w:p>
            <w:pPr>
              <w:rPr>
                <w:rFonts w:ascii="宋体" w:hAnsi="宋体"/>
                <w:szCs w:val="21"/>
                <w:highlight w:val="none"/>
              </w:rPr>
            </w:pPr>
            <w:r>
              <w:rPr>
                <w:rFonts w:hint="eastAsia" w:ascii="宋体" w:hAnsi="宋体"/>
                <w:szCs w:val="21"/>
                <w:highlight w:val="none"/>
              </w:rPr>
              <w:t>3</w:t>
            </w:r>
          </w:p>
        </w:tc>
        <w:tc>
          <w:tcPr>
            <w:tcW w:w="468" w:type="dxa"/>
            <w:vAlign w:val="center"/>
          </w:tcPr>
          <w:p>
            <w:pPr>
              <w:rPr>
                <w:rFonts w:ascii="宋体" w:hAnsi="宋体"/>
                <w:szCs w:val="21"/>
                <w:highlight w:val="none"/>
              </w:rPr>
            </w:pPr>
            <w:r>
              <w:rPr>
                <w:rFonts w:hint="eastAsia" w:ascii="宋体" w:hAnsi="宋体"/>
                <w:szCs w:val="21"/>
                <w:highlight w:val="none"/>
              </w:rPr>
              <w:t>4</w:t>
            </w:r>
          </w:p>
        </w:tc>
        <w:tc>
          <w:tcPr>
            <w:tcW w:w="467" w:type="dxa"/>
            <w:vAlign w:val="center"/>
          </w:tcPr>
          <w:p>
            <w:pPr>
              <w:rPr>
                <w:rFonts w:ascii="宋体" w:hAnsi="宋体"/>
                <w:szCs w:val="21"/>
                <w:highlight w:val="none"/>
              </w:rPr>
            </w:pPr>
            <w:r>
              <w:rPr>
                <w:rFonts w:hint="eastAsia" w:ascii="宋体" w:hAnsi="宋体"/>
                <w:szCs w:val="21"/>
                <w:highlight w:val="none"/>
              </w:rPr>
              <w:t>5</w:t>
            </w:r>
          </w:p>
        </w:tc>
        <w:tc>
          <w:tcPr>
            <w:tcW w:w="467" w:type="dxa"/>
            <w:vAlign w:val="center"/>
          </w:tcPr>
          <w:p>
            <w:pPr>
              <w:rPr>
                <w:rFonts w:ascii="宋体" w:hAnsi="宋体"/>
                <w:szCs w:val="21"/>
                <w:highlight w:val="none"/>
              </w:rPr>
            </w:pPr>
            <w:r>
              <w:rPr>
                <w:rFonts w:hint="eastAsia" w:ascii="宋体" w:hAnsi="宋体"/>
                <w:szCs w:val="21"/>
                <w:highlight w:val="none"/>
              </w:rPr>
              <w:t>6</w:t>
            </w:r>
          </w:p>
        </w:tc>
        <w:tc>
          <w:tcPr>
            <w:tcW w:w="467" w:type="dxa"/>
            <w:vAlign w:val="center"/>
          </w:tcPr>
          <w:p>
            <w:pPr>
              <w:rPr>
                <w:rFonts w:ascii="宋体" w:hAnsi="宋体"/>
                <w:szCs w:val="21"/>
                <w:highlight w:val="none"/>
              </w:rPr>
            </w:pPr>
            <w:r>
              <w:rPr>
                <w:rFonts w:hint="eastAsia" w:ascii="宋体" w:hAnsi="宋体"/>
                <w:szCs w:val="21"/>
                <w:highlight w:val="none"/>
              </w:rPr>
              <w:t>7</w:t>
            </w:r>
          </w:p>
        </w:tc>
        <w:tc>
          <w:tcPr>
            <w:tcW w:w="467" w:type="dxa"/>
            <w:vAlign w:val="center"/>
          </w:tcPr>
          <w:p>
            <w:pPr>
              <w:rPr>
                <w:rFonts w:ascii="宋体" w:hAnsi="宋体"/>
                <w:szCs w:val="21"/>
                <w:highlight w:val="none"/>
              </w:rPr>
            </w:pPr>
            <w:r>
              <w:rPr>
                <w:rFonts w:hint="eastAsia" w:ascii="宋体" w:hAnsi="宋体"/>
                <w:szCs w:val="21"/>
                <w:highlight w:val="none"/>
              </w:rPr>
              <w:t>8</w:t>
            </w:r>
          </w:p>
        </w:tc>
        <w:tc>
          <w:tcPr>
            <w:tcW w:w="467" w:type="dxa"/>
            <w:vAlign w:val="center"/>
          </w:tcPr>
          <w:p>
            <w:pPr>
              <w:rPr>
                <w:rFonts w:ascii="宋体" w:hAnsi="宋体"/>
                <w:szCs w:val="21"/>
                <w:highlight w:val="none"/>
              </w:rPr>
            </w:pPr>
            <w:r>
              <w:rPr>
                <w:rFonts w:hint="eastAsia" w:ascii="宋体" w:hAnsi="宋体"/>
                <w:szCs w:val="21"/>
                <w:highlight w:val="none"/>
              </w:rPr>
              <w:t>9</w:t>
            </w:r>
          </w:p>
        </w:tc>
        <w:tc>
          <w:tcPr>
            <w:tcW w:w="467" w:type="dxa"/>
            <w:vAlign w:val="center"/>
          </w:tcPr>
          <w:p>
            <w:pPr>
              <w:rPr>
                <w:rFonts w:ascii="宋体" w:hAnsi="宋体"/>
                <w:szCs w:val="21"/>
                <w:highlight w:val="none"/>
              </w:rPr>
            </w:pPr>
            <w:r>
              <w:rPr>
                <w:rFonts w:hint="eastAsia" w:ascii="宋体" w:hAnsi="宋体"/>
                <w:szCs w:val="21"/>
                <w:highlight w:val="none"/>
              </w:rPr>
              <w:t>10</w:t>
            </w:r>
          </w:p>
        </w:tc>
        <w:tc>
          <w:tcPr>
            <w:tcW w:w="468" w:type="dxa"/>
            <w:vAlign w:val="center"/>
          </w:tcPr>
          <w:p>
            <w:pPr>
              <w:rPr>
                <w:rFonts w:ascii="宋体" w:hAnsi="宋体"/>
                <w:szCs w:val="21"/>
                <w:highlight w:val="none"/>
              </w:rPr>
            </w:pPr>
            <w:r>
              <w:rPr>
                <w:rFonts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highlight w:val="none"/>
              </w:rPr>
            </w:pPr>
            <w:r>
              <w:rPr>
                <w:rFonts w:hint="eastAsia" w:ascii="宋体" w:hAnsi="宋体"/>
                <w:szCs w:val="21"/>
                <w:highlight w:val="none"/>
              </w:rPr>
              <w:t>图例：</w:t>
            </w:r>
          </w:p>
        </w:tc>
        <w:tc>
          <w:tcPr>
            <w:tcW w:w="1276" w:type="dxa"/>
            <w:tcBorders>
              <w:top w:val="single" w:color="auto" w:sz="6" w:space="0"/>
              <w:left w:val="nil"/>
              <w:bottom w:val="nil"/>
            </w:tcBorders>
            <w:vAlign w:val="center"/>
          </w:tcPr>
          <w:p>
            <w:pPr>
              <w:jc w:val="right"/>
              <w:rPr>
                <w:rFonts w:ascii="宋体" w:hAnsi="宋体"/>
                <w:szCs w:val="21"/>
                <w:highlight w:val="none"/>
              </w:rPr>
            </w:pPr>
            <w:r>
              <w:rPr>
                <w:rFonts w:hint="eastAsia" w:ascii="宋体" w:hAnsi="宋体"/>
                <w:szCs w:val="21"/>
                <w:highlight w:val="none"/>
              </w:rPr>
              <w:t>100（%）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highlight w:val="none"/>
              </w:rPr>
            </w:pPr>
            <w:r>
              <w:rPr>
                <w:rFonts w:hint="eastAsia" w:ascii="宋体" w:hAnsi="宋体"/>
                <w:szCs w:val="21"/>
                <w:highlight w:val="none"/>
              </w:rPr>
              <w:t>施工准备</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90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highlight w:val="none"/>
              </w:rPr>
            </w:pPr>
            <w:r>
              <w:rPr>
                <w:rFonts w:hint="eastAsia" w:ascii="宋体" w:hAnsi="宋体"/>
                <w:szCs w:val="21"/>
                <w:highlight w:val="none"/>
              </w:rPr>
              <w:t>下部结构</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80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highlight w:val="none"/>
              </w:rPr>
            </w:pPr>
            <w:r>
              <w:rPr>
                <w:rFonts w:hint="eastAsia" w:ascii="宋体" w:hAnsi="宋体"/>
                <w:szCs w:val="21"/>
                <w:highlight w:val="none"/>
              </w:rPr>
              <w:t>上部结构</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70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highlight w:val="none"/>
              </w:rPr>
            </w:pPr>
            <w:r>
              <w:rPr>
                <w:rFonts w:hint="eastAsia" w:ascii="宋体" w:hAnsi="宋体"/>
                <w:szCs w:val="21"/>
                <w:highlight w:val="none"/>
              </w:rPr>
              <w:t>附属工程</w:t>
            </w:r>
          </w:p>
        </w:tc>
        <w:tc>
          <w:tcPr>
            <w:tcW w:w="1276" w:type="dxa"/>
            <w:tcBorders>
              <w:top w:val="nil"/>
              <w:left w:val="nil"/>
              <w:bottom w:val="nil"/>
            </w:tcBorders>
            <w:vAlign w:val="center"/>
          </w:tcPr>
          <w:p>
            <w:pPr>
              <w:jc w:val="right"/>
              <w:rPr>
                <w:rFonts w:ascii="宋体" w:hAnsi="宋体"/>
                <w:szCs w:val="21"/>
                <w:highlight w:val="none"/>
              </w:rPr>
            </w:pPr>
            <w:r>
              <w:rPr>
                <w:rFonts w:hint="eastAsia" w:ascii="宋体" w:hAnsi="宋体"/>
                <w:szCs w:val="21"/>
                <w:highlight w:val="none"/>
              </w:rPr>
              <w:t>60</w:t>
            </w: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highlight w:val="none"/>
              </w:rPr>
            </w:pPr>
          </w:p>
        </w:tc>
        <w:tc>
          <w:tcPr>
            <w:tcW w:w="1276" w:type="dxa"/>
            <w:tcBorders>
              <w:top w:val="nil"/>
              <w:left w:val="nil"/>
              <w:bottom w:val="nil"/>
            </w:tcBorders>
            <w:vAlign w:val="center"/>
          </w:tcPr>
          <w:p>
            <w:pPr>
              <w:jc w:val="right"/>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highlight w:val="none"/>
              </w:rPr>
            </w:pPr>
          </w:p>
        </w:tc>
        <w:tc>
          <w:tcPr>
            <w:tcW w:w="1276" w:type="dxa"/>
            <w:tcBorders>
              <w:top w:val="nil"/>
              <w:left w:val="nil"/>
              <w:bottom w:val="single" w:color="auto" w:sz="12" w:space="0"/>
            </w:tcBorders>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7" w:type="dxa"/>
            <w:vAlign w:val="center"/>
          </w:tcPr>
          <w:p>
            <w:pPr>
              <w:rPr>
                <w:rFonts w:ascii="宋体" w:hAnsi="宋体"/>
                <w:szCs w:val="21"/>
                <w:highlight w:val="none"/>
              </w:rPr>
            </w:pPr>
          </w:p>
        </w:tc>
        <w:tc>
          <w:tcPr>
            <w:tcW w:w="468" w:type="dxa"/>
            <w:vAlign w:val="center"/>
          </w:tcPr>
          <w:p>
            <w:pPr>
              <w:rPr>
                <w:rFonts w:ascii="宋体" w:hAnsi="宋体"/>
                <w:szCs w:val="21"/>
                <w:highlight w:val="none"/>
              </w:rPr>
            </w:pPr>
          </w:p>
        </w:tc>
      </w:tr>
    </w:tbl>
    <w:p>
      <w:pPr>
        <w:rPr>
          <w:rFonts w:ascii="宋体" w:hAnsi="宋体"/>
          <w:szCs w:val="21"/>
          <w:highlight w:val="none"/>
        </w:rPr>
      </w:pPr>
      <w:r>
        <w:rPr>
          <w:rFonts w:hint="eastAsia" w:ascii="宋体" w:hAnsi="宋体"/>
          <w:szCs w:val="21"/>
          <w:highlight w:val="none"/>
        </w:rPr>
        <w:t>注：1.应按各标段实际工程内容填写。</w:t>
      </w:r>
    </w:p>
    <w:p>
      <w:pPr>
        <w:pStyle w:val="2"/>
        <w:ind w:firstLine="210"/>
        <w:rPr>
          <w:highlight w:val="none"/>
        </w:rPr>
      </w:pPr>
      <w:r>
        <w:rPr>
          <w:rFonts w:hint="eastAsia" w:ascii="宋体" w:hAnsi="宋体"/>
          <w:szCs w:val="21"/>
          <w:highlight w:val="none"/>
        </w:rPr>
        <w:t xml:space="preserve">    2.各个项目的进程可用线条的长短来表示。</w:t>
      </w: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sectPr>
          <w:headerReference r:id="rId10" w:type="first"/>
          <w:headerReference r:id="rId9" w:type="default"/>
          <w:pgSz w:w="16838" w:h="11906" w:orient="landscape"/>
          <w:pgMar w:top="1797" w:right="1440" w:bottom="1797" w:left="1440" w:header="851" w:footer="992" w:gutter="0"/>
          <w:cols w:space="425" w:num="1"/>
          <w:titlePg/>
          <w:docGrid w:type="linesAndChars" w:linePitch="312" w:charSpace="0"/>
        </w:sectPr>
      </w:pPr>
    </w:p>
    <w:p>
      <w:pPr>
        <w:pStyle w:val="6"/>
        <w:spacing w:beforeLines="50" w:after="0" w:line="400" w:lineRule="exact"/>
        <w:rPr>
          <w:rFonts w:ascii="Arial" w:hAnsi="Arial" w:eastAsia="黑体"/>
          <w:kern w:val="2"/>
          <w:sz w:val="28"/>
          <w:szCs w:val="28"/>
          <w:highlight w:val="none"/>
        </w:rPr>
      </w:pPr>
      <w:bookmarkStart w:id="247" w:name="_Toc234382967"/>
      <w:r>
        <w:rPr>
          <w:rFonts w:ascii="Arial" w:hAnsi="Arial" w:eastAsia="黑体"/>
          <w:kern w:val="2"/>
          <w:sz w:val="28"/>
          <w:szCs w:val="28"/>
          <w:highlight w:val="none"/>
        </w:rPr>
        <w:t>附表三</w:t>
      </w:r>
      <w:r>
        <w:rPr>
          <w:rFonts w:hint="eastAsia" w:ascii="Arial" w:hAnsi="Arial" w:eastAsia="黑体"/>
          <w:kern w:val="2"/>
          <w:sz w:val="28"/>
          <w:szCs w:val="28"/>
          <w:highlight w:val="none"/>
        </w:rPr>
        <w:t>工程管理曲线</w:t>
      </w:r>
      <w:bookmarkEnd w:id="247"/>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rPr>
                <w:highlight w:val="none"/>
              </w:rPr>
            </w:pPr>
            <w:r>
              <w:rPr>
                <w:highlight w:val="none"/>
              </w:rPr>
              <w:pict>
                <v:shape id="AutoShape 3" o:spid="_x0000_s1026" o:spt="32" type="#_x0000_t32" style="position:absolute;left:0pt;margin-left:-5.9pt;margin-top:-0.3pt;height:44.35pt;width:110pt;z-index:251661312;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FXf46xAEAAHgDAAAOAAAAZHJzL2Uyb0RvYy54bWytU01v&#10;2zAMvQ/YfxB0X2wnS7cacYohRXfptgBtf4AiybYwWRQoJXb+/SjlY+t6G+aDYJnke4+P9OpuGiw7&#10;aAwGXMOrWcmZdhKUcV3DX54fPnzmLEThlLDgdMOPOvC79ft3q9HXeg49WKWREYgL9egb3sfo66II&#10;steDCDPw2lGwBRxEpCt2hUIxEvpgi3lZ3hQjoPIIUodAX+9PQb7O+G2rZfzRtkFHZhtO2mI+MZ+7&#10;dBbrlag7FL438ixD/IOKQRhHpFeoexEF26N5AzUYiRCgjTMJQwFta6TOPVA3VflXN0+98Dr3QuYE&#10;f7Up/D9Y+f2wRWYUzY7scWKgGX3ZR8jUbJH8GX2oKW3jtpg6lJN78o8gfwbmYNML1+mc/Hz0VFul&#10;iuJVSboETyy78RsoyhGEn82aWhwSJNnApjyT43UmeopM0sdqcfupLEmbpNjyZjH/uMwUor5Uewzx&#10;q4aBpZeGh4jCdH3cgHM0fsAqc4nDY4hJm6gvBYnawYOxNm+BdWxs+O1yvswFAaxRKZjSAna7jUV2&#10;EGmP8nNW8SoNYe/UicS6VKfzCp6ZL0acLN2BOm7x4haNN2s7r2Lanz/v2dPfP8z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t2M1rXAAAACAEAAA8AAAAAAAAAAQAgAAAAIgAAAGRycy9kb3ducmV2&#10;LnhtbFBLAQIUABQAAAAIAIdO4kCFXf46xAEAAHgDAAAOAAAAAAAAAAEAIAAAACYBAABkcnMvZTJv&#10;RG9jLnhtbFBLBQYAAAAABgAGAFkBAABcBQAAAAA=&#10;">
                  <v:path arrowok="t"/>
                  <v:fill on="f" focussize="0,0"/>
                  <v:stroke/>
                  <v:imagedata o:title=""/>
                  <o:lock v:ext="edit"/>
                </v:shape>
              </w:pict>
            </w:r>
            <w:r>
              <w:rPr>
                <w:rFonts w:hint="eastAsia"/>
                <w:highlight w:val="none"/>
              </w:rPr>
              <w:t>年度</w:t>
            </w:r>
          </w:p>
          <w:p>
            <w:pPr>
              <w:rPr>
                <w:highlight w:val="none"/>
              </w:rPr>
            </w:pPr>
            <w:r>
              <w:rPr>
                <w:highlight w:val="none"/>
              </w:rPr>
              <w:pict>
                <v:rect id="Rectangle 4" o:spid="_x0000_s1031" o:spt="1" style="position:absolute;left:0pt;margin-left:61.5pt;margin-top:1.6pt;height:21.55pt;width:17.15pt;z-index:251662336;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AoFMj3sAQAAygMAAA4AAABkcnMvZTJvRG9jLnhtbK1T&#10;y27bMBC8F+g/ELzXetSOHcFyECRIUSBtgqb9AJqiJKISl13Sltyv75KyXae9Fb0QXO5yODO7XN+M&#10;fcf2Cp0GU/JslnKmjIRKm6bk374+vFtx5rwwlejAqJIflOM3m7dv1oMtVA4tdJVCRiDGFYMteeu9&#10;LZLEyVb1ws3AKkPJGrAXnkJskgrFQOh9l+RpepUMgJVFkMo5Or2fknwT8etaSf9U10551pWcuPm4&#10;Yly3YU02a1E0KGyr5ZGG+AcWvdCGHj1D3Qsv2A71X1C9lggOaj+T0CdQ11qqqIHUZOkfal5aYVXU&#10;QuY4e7bJ/T9Y+Xn/jExXJb/mzIieWvSFTBOm6RSbB3sG6wqqerHPGAQ6+wjyu2MG7lqqUreIMLRK&#10;VEQqC/XJqwshcHSVbYdPUBG62HmITo019gGQPGBjbMjh3BA1eibpMM+Wq3TBmaRUvnx/tVrEF0Rx&#10;umzR+Q8KehY2JUeiHsHF/tH5QEYUp5LwloEH3XWx5515dUCF04mKQ3O8fWI/ueDH7Xg0ZAvVgUQh&#10;TANFH4A2LeBPzgYappK7HzuBirPuoyFjrrP5PExfDOaLZU4BXma2lxlhJEGV3HM2be/8NLE7i7pp&#10;6aUsijRwS2bWOgoNVCdWxxbQwET9x+EOE3kZx6rfX3D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cTgbZAAAACAEAAA8AAAAAAAAAAQAgAAAAIgAAAGRycy9kb3ducmV2LnhtbFBLAQIUABQAAAAI&#10;AIdO4kAKBTI97AEAAMoDAAAOAAAAAAAAAAEAIAAAACgBAABkcnMvZTJvRG9jLnhtbFBLBQYAAAAA&#10;BgAGAFkBAACGBQAAAAA=&#10;">
                  <v:path/>
                  <v:fill on="f" focussize="0,0"/>
                  <v:stroke on="f"/>
                  <v:imagedata o:title=""/>
                  <o:lock v:ext="edit"/>
                  <v:textbox>
                    <w:txbxContent>
                      <w:p>
                        <w:r>
                          <w:rPr>
                            <w:rFonts w:hint="eastAsia"/>
                          </w:rPr>
                          <w:t>季</w:t>
                        </w:r>
                      </w:p>
                    </w:txbxContent>
                  </v:textbox>
                </v:rect>
              </w:pict>
            </w:r>
          </w:p>
          <w:p>
            <w:pPr>
              <w:rPr>
                <w:highlight w:val="none"/>
              </w:rPr>
            </w:pPr>
          </w:p>
        </w:tc>
        <w:tc>
          <w:tcPr>
            <w:tcW w:w="4537" w:type="dxa"/>
            <w:gridSpan w:val="12"/>
            <w:vAlign w:val="center"/>
          </w:tcPr>
          <w:p>
            <w:pPr>
              <w:rPr>
                <w:highlight w:val="none"/>
              </w:rPr>
            </w:pPr>
            <w:r>
              <w:rPr>
                <w:rFonts w:hint="eastAsia" w:ascii="宋体" w:hAnsi="宋体"/>
                <w:szCs w:val="21"/>
                <w:highlight w:val="none"/>
              </w:rPr>
              <w:t>年</w:t>
            </w:r>
          </w:p>
        </w:tc>
        <w:tc>
          <w:tcPr>
            <w:tcW w:w="2896" w:type="dxa"/>
            <w:gridSpan w:val="8"/>
            <w:vAlign w:val="center"/>
          </w:tcPr>
          <w:p>
            <w:pPr>
              <w:rPr>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rPr>
                <w:highlight w:val="none"/>
              </w:rPr>
            </w:pPr>
            <w:r>
              <w:rPr>
                <w:highlight w:val="none"/>
              </w:rPr>
              <w:pict>
                <v:rect id="Rectangle 5" o:spid="_x0000_s1030" o:spt="1" style="position:absolute;left:0pt;margin-left:84pt;margin-top:-0.45pt;height:21.55pt;width:17.15pt;z-index:25166336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OzpNQvrAQAAygMAAA4AAABkcnMvZTJvRG9jLnhtbK1T&#10;wY7TMBC9I/EPlu80TWl3S9R0tdrVIqQFVix8wNRxGovEY8Zuk/L1jJ22dOGGuFgez/j5vTfj1c3Q&#10;tWKvyRu0pcwnUym0VVgZuy3lt68Pb5ZS+AC2ghatLuVBe3mzfv1q1btCz7DBttIkGMT6onelbEJw&#10;RZZ51egO/ASdtpyskToIHNI2qwh6Ru/abDadXmU9UuUIlfaeT+/HpFwn/LrWKnyua6+DaEvJ3EJa&#10;Ka2buGbrFRRbAtcYdaQB/8CiA2P50TPUPQQQOzJ/QXVGEXqsw0Rhl2FdG6WTBlaTT/9Q89yA00kL&#10;m+Pd2Sb//2DVp/0TCVOVkhtloeMWfWHTwG5bLRbRnt75gque3RNFgd49ovruhcW7hqv0LRH2jYaK&#10;SeWxPntxIQaer4pN/xErRoddwOTUUFMXAdkDMaSGHM4N0UMQig9n+fVyupBCcWp2/fZqmRhlUJwu&#10;O/LhvcZOxE0piakncNg/+hDJQHEqiW9ZfDBtm3re2hcHXDie6DQ0x9sn9qMLYdgMR0M2WB1YFOE4&#10;UPwBeNMg/ZSi52Eqpf+xA9JStB8sG/Mun8/j9KVgvriecUCXmc1lBqxiqFIGKcbtXRgndufIbBt+&#10;KU8iLd6ymbVJQiPVkdWxBTwwSf9xuONEXsap6vcX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gNw4dkAAAAIAQAADwAAAAAAAAABACAAAAAiAAAAZHJzL2Rvd25yZXYueG1sUEsBAhQAFAAAAAgA&#10;h07iQOzpNQvrAQAAygMAAA4AAAAAAAAAAQAgAAAAKAEAAGRycy9lMm9Eb2MueG1sUEsFBgAAAAAG&#10;AAYAWQEAAIUFAAAAAA==&#10;">
                  <v:path/>
                  <v:fill on="f" focussize="0,0"/>
                  <v:stroke on="f"/>
                  <v:imagedata o:title=""/>
                  <o:lock v:ext="edit"/>
                  <v:textbox>
                    <w:txbxContent>
                      <w:p>
                        <w:r>
                          <w:rPr>
                            <w:rFonts w:hint="eastAsia"/>
                          </w:rPr>
                          <w:t>度</w:t>
                        </w:r>
                      </w:p>
                    </w:txbxContent>
                  </v:textbox>
                </v:rect>
              </w:pict>
            </w:r>
          </w:p>
          <w:p>
            <w:pPr>
              <w:jc w:val="left"/>
              <w:rPr>
                <w:highlight w:val="none"/>
              </w:rPr>
            </w:pPr>
          </w:p>
          <w:p>
            <w:pPr>
              <w:jc w:val="left"/>
              <w:rPr>
                <w:highlight w:val="none"/>
              </w:rPr>
            </w:pPr>
            <w:r>
              <w:rPr>
                <w:highlight w:val="none"/>
              </w:rPr>
              <w:pict>
                <v:rect id="Rectangle 6" o:spid="_x0000_s1029" o:spt="1" style="position:absolute;left:0pt;margin-left:-5.55pt;margin-top:19.35pt;height:454.5pt;width:89.9pt;z-index:251664384;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AVY/6j7AEAAMwDAAAOAAAAZHJzL2Uyb0RvYy54bWyt&#10;U8GO0zAQvSPxD5bvNE1ptxA1Xa12tQhpYVcsfMDUcRqLxGPGbpPy9YydtnThhrhYHs/4+b0349X1&#10;0LVir8kbtKXMJ1MptFVYGbst5bev92/eSeED2ApatLqUB+3l9fr1q1XvCj3DBttKk2AQ64velbIJ&#10;wRVZ5lWjO/ATdNpyskbqIHBI26wi6Bm9a7PZdHqV9UiVI1Taez69G5NynfDrWqvwWNdeB9GWkrmF&#10;tFJaN3HN1isotgSuMepIA/6BRQfG8qNnqDsIIHZk/oLqjCL0WIeJwi7DujZKJw2sJp/+oea5AaeT&#10;FjbHu7NN/v/Bqs/7JxKmKuVSCgsdt+gLmwZ222pxFe3pnS+46tk9URTo3QOq715YvG24St8QYd9o&#10;qJhUHuuzFxdi4Pmq2PSfsGJ02AVMTg01dRGQPRBDasjh3BA9BKH4MM/n+fIt901xbrFczvJFalkG&#10;xem6Ix8+aOxE3JSSmHyCh/2DD5EOFKeS+JrFe9O2qeutfXHAheOJTmNzvH3iP/oQhs1wtGSD1YFl&#10;EY4jxV+ANw3STyl6HqdS+h87IC1F+9GyNe/z+TzOXwrmi+WMA7rMbC4zYBVDlTJIMW5vwzizO0dm&#10;2/BLeRJp8YbtrE0SGqmOrI5N4JFJ+o/jHWfyMk5Vvz/h+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R9w42gAAAAoBAAAPAAAAAAAAAAEAIAAAACIAAABkcnMvZG93bnJldi54bWxQSwECFAAUAAAA&#10;CACHTuJAFWP+o+wBAADMAwAADgAAAAAAAAABACAAAAApAQAAZHJzL2Uyb0RvYy54bWxQSwUGAAAA&#10;AAYABgBZAQAAhwUAAAAA&#1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highlight w:val="none"/>
              </w:rPr>
              <w:t>进度</w:t>
            </w:r>
          </w:p>
        </w:tc>
        <w:tc>
          <w:tcPr>
            <w:tcW w:w="1093" w:type="dxa"/>
            <w:gridSpan w:val="3"/>
            <w:vAlign w:val="center"/>
          </w:tcPr>
          <w:p>
            <w:pPr>
              <w:rPr>
                <w:highlight w:val="none"/>
              </w:rPr>
            </w:pPr>
            <w:r>
              <w:rPr>
                <w:rFonts w:hint="eastAsia"/>
                <w:highlight w:val="none"/>
              </w:rPr>
              <w:t>一</w:t>
            </w:r>
          </w:p>
        </w:tc>
        <w:tc>
          <w:tcPr>
            <w:tcW w:w="1089" w:type="dxa"/>
            <w:gridSpan w:val="3"/>
            <w:vAlign w:val="center"/>
          </w:tcPr>
          <w:p>
            <w:pPr>
              <w:rPr>
                <w:highlight w:val="none"/>
              </w:rPr>
            </w:pPr>
            <w:r>
              <w:rPr>
                <w:rFonts w:hint="eastAsia"/>
                <w:highlight w:val="none"/>
              </w:rPr>
              <w:t>二</w:t>
            </w:r>
          </w:p>
        </w:tc>
        <w:tc>
          <w:tcPr>
            <w:tcW w:w="1084" w:type="dxa"/>
            <w:gridSpan w:val="3"/>
            <w:vAlign w:val="center"/>
          </w:tcPr>
          <w:p>
            <w:pPr>
              <w:rPr>
                <w:highlight w:val="none"/>
              </w:rPr>
            </w:pPr>
            <w:r>
              <w:rPr>
                <w:rFonts w:hint="eastAsia"/>
                <w:highlight w:val="none"/>
              </w:rPr>
              <w:t>三</w:t>
            </w:r>
          </w:p>
        </w:tc>
        <w:tc>
          <w:tcPr>
            <w:tcW w:w="1271" w:type="dxa"/>
            <w:gridSpan w:val="3"/>
            <w:vAlign w:val="center"/>
          </w:tcPr>
          <w:p>
            <w:pPr>
              <w:rPr>
                <w:highlight w:val="none"/>
              </w:rPr>
            </w:pPr>
            <w:r>
              <w:rPr>
                <w:rFonts w:hint="eastAsia"/>
                <w:highlight w:val="none"/>
              </w:rPr>
              <w:t>四</w:t>
            </w:r>
          </w:p>
        </w:tc>
        <w:tc>
          <w:tcPr>
            <w:tcW w:w="1084" w:type="dxa"/>
            <w:gridSpan w:val="3"/>
            <w:vAlign w:val="center"/>
          </w:tcPr>
          <w:p>
            <w:pPr>
              <w:rPr>
                <w:highlight w:val="none"/>
              </w:rPr>
            </w:pPr>
            <w:r>
              <w:rPr>
                <w:rFonts w:hint="eastAsia"/>
                <w:highlight w:val="none"/>
              </w:rPr>
              <w:t>一</w:t>
            </w:r>
          </w:p>
        </w:tc>
        <w:tc>
          <w:tcPr>
            <w:tcW w:w="1088" w:type="dxa"/>
            <w:gridSpan w:val="3"/>
            <w:vAlign w:val="center"/>
          </w:tcPr>
          <w:p>
            <w:pPr>
              <w:rPr>
                <w:highlight w:val="none"/>
              </w:rPr>
            </w:pPr>
            <w:r>
              <w:rPr>
                <w:rFonts w:hint="eastAsia"/>
                <w:highlight w:val="none"/>
              </w:rPr>
              <w:t>二</w:t>
            </w:r>
          </w:p>
        </w:tc>
        <w:tc>
          <w:tcPr>
            <w:tcW w:w="724" w:type="dxa"/>
            <w:gridSpan w:val="2"/>
            <w:vAlign w:val="center"/>
          </w:tcPr>
          <w:p>
            <w:pPr>
              <w:rPr>
                <w:highlight w:val="none"/>
              </w:rPr>
            </w:pPr>
            <w:r>
              <w:rPr>
                <w:rFonts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rPr>
                <w:highlight w:val="none"/>
              </w:rPr>
            </w:pPr>
          </w:p>
        </w:tc>
        <w:tc>
          <w:tcPr>
            <w:tcW w:w="361" w:type="dxa"/>
            <w:vAlign w:val="center"/>
          </w:tcPr>
          <w:p>
            <w:pPr>
              <w:rPr>
                <w:highlight w:val="none"/>
              </w:rPr>
            </w:pPr>
            <w:r>
              <w:rPr>
                <w:rFonts w:hint="eastAsia"/>
                <w:highlight w:val="none"/>
              </w:rPr>
              <w:t>1</w:t>
            </w:r>
          </w:p>
        </w:tc>
        <w:tc>
          <w:tcPr>
            <w:tcW w:w="361" w:type="dxa"/>
            <w:vAlign w:val="center"/>
          </w:tcPr>
          <w:p>
            <w:pPr>
              <w:rPr>
                <w:highlight w:val="none"/>
              </w:rPr>
            </w:pPr>
            <w:r>
              <w:rPr>
                <w:rFonts w:hint="eastAsia"/>
                <w:highlight w:val="none"/>
              </w:rPr>
              <w:t>2</w:t>
            </w:r>
          </w:p>
        </w:tc>
        <w:tc>
          <w:tcPr>
            <w:tcW w:w="371" w:type="dxa"/>
            <w:vAlign w:val="center"/>
          </w:tcPr>
          <w:p>
            <w:pPr>
              <w:rPr>
                <w:highlight w:val="none"/>
              </w:rPr>
            </w:pPr>
            <w:r>
              <w:rPr>
                <w:rFonts w:hint="eastAsia"/>
                <w:highlight w:val="none"/>
              </w:rPr>
              <w:t>3</w:t>
            </w:r>
          </w:p>
        </w:tc>
        <w:tc>
          <w:tcPr>
            <w:tcW w:w="361" w:type="dxa"/>
            <w:vAlign w:val="center"/>
          </w:tcPr>
          <w:p>
            <w:pPr>
              <w:rPr>
                <w:highlight w:val="none"/>
              </w:rPr>
            </w:pPr>
            <w:r>
              <w:rPr>
                <w:rFonts w:hint="eastAsia"/>
                <w:highlight w:val="none"/>
              </w:rPr>
              <w:t>4</w:t>
            </w:r>
          </w:p>
        </w:tc>
        <w:tc>
          <w:tcPr>
            <w:tcW w:w="361" w:type="dxa"/>
            <w:vAlign w:val="center"/>
          </w:tcPr>
          <w:p>
            <w:pPr>
              <w:rPr>
                <w:highlight w:val="none"/>
              </w:rPr>
            </w:pPr>
            <w:r>
              <w:rPr>
                <w:rFonts w:hint="eastAsia"/>
                <w:highlight w:val="none"/>
              </w:rPr>
              <w:t>5</w:t>
            </w:r>
          </w:p>
        </w:tc>
        <w:tc>
          <w:tcPr>
            <w:tcW w:w="367" w:type="dxa"/>
            <w:vAlign w:val="center"/>
          </w:tcPr>
          <w:p>
            <w:pPr>
              <w:rPr>
                <w:highlight w:val="none"/>
              </w:rPr>
            </w:pPr>
            <w:r>
              <w:rPr>
                <w:rFonts w:hint="eastAsia"/>
                <w:highlight w:val="none"/>
              </w:rPr>
              <w:t>6</w:t>
            </w:r>
          </w:p>
        </w:tc>
        <w:tc>
          <w:tcPr>
            <w:tcW w:w="360" w:type="dxa"/>
            <w:vAlign w:val="center"/>
          </w:tcPr>
          <w:p>
            <w:pPr>
              <w:rPr>
                <w:highlight w:val="none"/>
              </w:rPr>
            </w:pPr>
            <w:r>
              <w:rPr>
                <w:rFonts w:hint="eastAsia"/>
                <w:highlight w:val="none"/>
              </w:rPr>
              <w:t>7</w:t>
            </w:r>
          </w:p>
        </w:tc>
        <w:tc>
          <w:tcPr>
            <w:tcW w:w="360" w:type="dxa"/>
            <w:vAlign w:val="center"/>
          </w:tcPr>
          <w:p>
            <w:pPr>
              <w:rPr>
                <w:highlight w:val="none"/>
              </w:rPr>
            </w:pPr>
            <w:r>
              <w:rPr>
                <w:rFonts w:hint="eastAsia"/>
                <w:highlight w:val="none"/>
              </w:rPr>
              <w:t>8</w:t>
            </w:r>
          </w:p>
        </w:tc>
        <w:tc>
          <w:tcPr>
            <w:tcW w:w="364" w:type="dxa"/>
            <w:vAlign w:val="center"/>
          </w:tcPr>
          <w:p>
            <w:pPr>
              <w:rPr>
                <w:highlight w:val="none"/>
              </w:rPr>
            </w:pPr>
            <w:r>
              <w:rPr>
                <w:rFonts w:hint="eastAsia"/>
                <w:highlight w:val="none"/>
              </w:rPr>
              <w:t>9</w:t>
            </w:r>
          </w:p>
        </w:tc>
        <w:tc>
          <w:tcPr>
            <w:tcW w:w="426" w:type="dxa"/>
            <w:vAlign w:val="center"/>
          </w:tcPr>
          <w:p>
            <w:pPr>
              <w:rPr>
                <w:highlight w:val="none"/>
              </w:rPr>
            </w:pPr>
            <w:r>
              <w:rPr>
                <w:rFonts w:hint="eastAsia"/>
                <w:highlight w:val="none"/>
              </w:rPr>
              <w:t>10</w:t>
            </w:r>
          </w:p>
        </w:tc>
        <w:tc>
          <w:tcPr>
            <w:tcW w:w="419" w:type="dxa"/>
            <w:vAlign w:val="center"/>
          </w:tcPr>
          <w:p>
            <w:pPr>
              <w:rPr>
                <w:highlight w:val="none"/>
              </w:rPr>
            </w:pPr>
            <w:r>
              <w:rPr>
                <w:rFonts w:hint="eastAsia"/>
                <w:highlight w:val="none"/>
              </w:rPr>
              <w:t>11</w:t>
            </w:r>
          </w:p>
        </w:tc>
        <w:tc>
          <w:tcPr>
            <w:tcW w:w="426" w:type="dxa"/>
            <w:vAlign w:val="center"/>
          </w:tcPr>
          <w:p>
            <w:pPr>
              <w:rPr>
                <w:highlight w:val="none"/>
              </w:rPr>
            </w:pPr>
            <w:r>
              <w:rPr>
                <w:rFonts w:hint="eastAsia"/>
                <w:highlight w:val="none"/>
              </w:rPr>
              <w:t>12</w:t>
            </w:r>
          </w:p>
        </w:tc>
        <w:tc>
          <w:tcPr>
            <w:tcW w:w="360" w:type="dxa"/>
            <w:vAlign w:val="center"/>
          </w:tcPr>
          <w:p>
            <w:pPr>
              <w:rPr>
                <w:highlight w:val="none"/>
              </w:rPr>
            </w:pPr>
            <w:r>
              <w:rPr>
                <w:rFonts w:hint="eastAsia"/>
                <w:highlight w:val="none"/>
              </w:rPr>
              <w:t>1</w:t>
            </w:r>
          </w:p>
        </w:tc>
        <w:tc>
          <w:tcPr>
            <w:tcW w:w="360" w:type="dxa"/>
            <w:vAlign w:val="center"/>
          </w:tcPr>
          <w:p>
            <w:pPr>
              <w:rPr>
                <w:highlight w:val="none"/>
              </w:rPr>
            </w:pPr>
            <w:r>
              <w:rPr>
                <w:rFonts w:hint="eastAsia"/>
                <w:highlight w:val="none"/>
              </w:rPr>
              <w:t>2</w:t>
            </w:r>
          </w:p>
        </w:tc>
        <w:tc>
          <w:tcPr>
            <w:tcW w:w="364" w:type="dxa"/>
            <w:vAlign w:val="center"/>
          </w:tcPr>
          <w:p>
            <w:pPr>
              <w:rPr>
                <w:highlight w:val="none"/>
              </w:rPr>
            </w:pPr>
            <w:r>
              <w:rPr>
                <w:rFonts w:hint="eastAsia"/>
                <w:highlight w:val="none"/>
              </w:rPr>
              <w:t>3</w:t>
            </w:r>
          </w:p>
        </w:tc>
        <w:tc>
          <w:tcPr>
            <w:tcW w:w="362" w:type="dxa"/>
            <w:vAlign w:val="center"/>
          </w:tcPr>
          <w:p>
            <w:pPr>
              <w:rPr>
                <w:highlight w:val="none"/>
              </w:rPr>
            </w:pPr>
            <w:r>
              <w:rPr>
                <w:rFonts w:hint="eastAsia"/>
                <w:highlight w:val="none"/>
              </w:rPr>
              <w:t>4</w:t>
            </w:r>
          </w:p>
        </w:tc>
        <w:tc>
          <w:tcPr>
            <w:tcW w:w="362" w:type="dxa"/>
            <w:vAlign w:val="center"/>
          </w:tcPr>
          <w:p>
            <w:pPr>
              <w:rPr>
                <w:highlight w:val="none"/>
              </w:rPr>
            </w:pPr>
            <w:r>
              <w:rPr>
                <w:rFonts w:hint="eastAsia"/>
                <w:highlight w:val="none"/>
              </w:rPr>
              <w:t>5</w:t>
            </w:r>
          </w:p>
        </w:tc>
        <w:tc>
          <w:tcPr>
            <w:tcW w:w="364" w:type="dxa"/>
            <w:vAlign w:val="center"/>
          </w:tcPr>
          <w:p>
            <w:pPr>
              <w:rPr>
                <w:highlight w:val="none"/>
              </w:rPr>
            </w:pPr>
            <w:r>
              <w:rPr>
                <w:rFonts w:hint="eastAsia"/>
                <w:highlight w:val="none"/>
              </w:rPr>
              <w:t>6</w:t>
            </w:r>
          </w:p>
        </w:tc>
        <w:tc>
          <w:tcPr>
            <w:tcW w:w="724" w:type="dxa"/>
            <w:gridSpan w:val="2"/>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highlight w:val="none"/>
              </w:rPr>
            </w:pPr>
            <w:r>
              <w:rPr>
                <w:rFonts w:hint="eastAsia"/>
                <w:highlight w:val="none"/>
              </w:rPr>
              <w:t>100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90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80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70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60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50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40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30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20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highlight w:val="none"/>
              </w:rPr>
            </w:pPr>
            <w:r>
              <w:rPr>
                <w:rFonts w:hint="eastAsia"/>
                <w:highlight w:val="none"/>
              </w:rPr>
              <w:t>10</w:t>
            </w: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highlight w:val="none"/>
              </w:rPr>
            </w:pPr>
          </w:p>
        </w:tc>
        <w:tc>
          <w:tcPr>
            <w:tcW w:w="361" w:type="dxa"/>
            <w:vAlign w:val="center"/>
          </w:tcPr>
          <w:p>
            <w:pPr>
              <w:rPr>
                <w:highlight w:val="none"/>
              </w:rPr>
            </w:pPr>
          </w:p>
        </w:tc>
        <w:tc>
          <w:tcPr>
            <w:tcW w:w="361" w:type="dxa"/>
            <w:vAlign w:val="center"/>
          </w:tcPr>
          <w:p>
            <w:pPr>
              <w:rPr>
                <w:highlight w:val="none"/>
              </w:rPr>
            </w:pPr>
          </w:p>
        </w:tc>
        <w:tc>
          <w:tcPr>
            <w:tcW w:w="371" w:type="dxa"/>
            <w:vAlign w:val="center"/>
          </w:tcPr>
          <w:p>
            <w:pPr>
              <w:rPr>
                <w:highlight w:val="none"/>
              </w:rPr>
            </w:pPr>
          </w:p>
        </w:tc>
        <w:tc>
          <w:tcPr>
            <w:tcW w:w="361" w:type="dxa"/>
            <w:vAlign w:val="center"/>
          </w:tcPr>
          <w:p>
            <w:pPr>
              <w:rPr>
                <w:highlight w:val="none"/>
              </w:rPr>
            </w:pPr>
          </w:p>
        </w:tc>
        <w:tc>
          <w:tcPr>
            <w:tcW w:w="361" w:type="dxa"/>
            <w:vAlign w:val="center"/>
          </w:tcPr>
          <w:p>
            <w:pPr>
              <w:rPr>
                <w:highlight w:val="none"/>
              </w:rPr>
            </w:pPr>
          </w:p>
        </w:tc>
        <w:tc>
          <w:tcPr>
            <w:tcW w:w="367"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426" w:type="dxa"/>
            <w:vAlign w:val="center"/>
          </w:tcPr>
          <w:p>
            <w:pPr>
              <w:rPr>
                <w:highlight w:val="none"/>
              </w:rPr>
            </w:pPr>
          </w:p>
        </w:tc>
        <w:tc>
          <w:tcPr>
            <w:tcW w:w="419" w:type="dxa"/>
            <w:vAlign w:val="center"/>
          </w:tcPr>
          <w:p>
            <w:pPr>
              <w:rPr>
                <w:highlight w:val="none"/>
              </w:rPr>
            </w:pPr>
          </w:p>
        </w:tc>
        <w:tc>
          <w:tcPr>
            <w:tcW w:w="426" w:type="dxa"/>
            <w:vAlign w:val="center"/>
          </w:tcPr>
          <w:p>
            <w:pPr>
              <w:rPr>
                <w:highlight w:val="none"/>
              </w:rPr>
            </w:pPr>
          </w:p>
        </w:tc>
        <w:tc>
          <w:tcPr>
            <w:tcW w:w="360" w:type="dxa"/>
            <w:vAlign w:val="center"/>
          </w:tcPr>
          <w:p>
            <w:pPr>
              <w:rPr>
                <w:highlight w:val="none"/>
              </w:rPr>
            </w:pPr>
          </w:p>
        </w:tc>
        <w:tc>
          <w:tcPr>
            <w:tcW w:w="360"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c>
          <w:tcPr>
            <w:tcW w:w="364" w:type="dxa"/>
            <w:vAlign w:val="center"/>
          </w:tcPr>
          <w:p>
            <w:pPr>
              <w:rPr>
                <w:highlight w:val="none"/>
              </w:rPr>
            </w:pPr>
          </w:p>
        </w:tc>
        <w:tc>
          <w:tcPr>
            <w:tcW w:w="362" w:type="dxa"/>
            <w:vAlign w:val="center"/>
          </w:tcPr>
          <w:p>
            <w:pPr>
              <w:rPr>
                <w:highlight w:val="none"/>
              </w:rPr>
            </w:pPr>
          </w:p>
        </w:tc>
        <w:tc>
          <w:tcPr>
            <w:tcW w:w="362" w:type="dxa"/>
            <w:vAlign w:val="center"/>
          </w:tcPr>
          <w:p>
            <w:pPr>
              <w:rPr>
                <w:highlight w:val="none"/>
              </w:rPr>
            </w:pPr>
          </w:p>
        </w:tc>
      </w:tr>
    </w:tbl>
    <w:p>
      <w:pPr>
        <w:rPr>
          <w:highlight w:val="none"/>
        </w:rPr>
      </w:pPr>
      <w:r>
        <w:rPr>
          <w:rFonts w:ascii="隶书" w:eastAsia="隶书"/>
          <w:sz w:val="24"/>
          <w:highlight w:val="none"/>
        </w:rPr>
        <w:pict>
          <v:rect id="文本框 2" o:spid="_x0000_s1028" o:spt="1" style="position:absolute;left:0pt;margin-left:72.35pt;margin-top:29.85pt;height:23pt;width:288pt;z-index:251660288;mso-width-relative:page;mso-height-relative:page;" filled="f" stroked="f" coordsize="21600,21600"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AqIDki+AEAAMsDAAAOAAAAZHJzL2Uyb0RvYy54bWyt&#10;U82O0zAQviPxDpbvNE3odtmo6Wq1q0VIC6y08ACO4zQWiceM3SblAeANOHHhznP1ORg7bbcLN8TF&#10;mt9vZr4ZLy6HrmUbhU6DKXg6mXKmjIRKm1XBP364ffGKM+eFqUQLRhV8qxy/XD5/tuhtrjJooK0U&#10;MgIxLu9twRvvbZ4kTjaqE24CVhly1oCd8KTiKqlQ9ITetUk2nc6THrCyCFI5R9ab0cmXEb+ulfTv&#10;69opz9qCU28+vhjfMrzJciHyFQrbaLlvQ/xDF53QhooeoW6EF2yN+i+oTksEB7WfSOgSqGstVZyB&#10;pkmnf0zz0Air4ixEjrNHmtz/g5XvNvfIdFXwOWdGdLSi3fdvux+/dj+/sizQ01uXU9SDvccwoLN3&#10;ID85ZuC6EWalrhChb5SoqKk0xCdPEoLiKJWV/VuoCF2sPUSmhhq7AEgcsCEuZHtciBo8k2R8OT87&#10;n09pb5J82UWWkhxKiPyQbdH51wo6FoSCIy08oovNnfNj6CEkFDNwq9uW7CJvzRMDYY4WFa9mn31o&#10;f6TBD+VAucFYQrWlqRDGi6IfQEID+IWznq6p4O7zWqDirH1jiJmLdDYL5xeV2dl5RgqeespTjzCS&#10;oAruORvFaz+e7NqiXjVUKY1DGrgiNmsdB33sar8DuphI1f66w0me6jHq8Q8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1klP2gAAAAoBAAAPAAAAAAAAAAEAIAAAACIAAABkcnMvZG93bnJldi54&#10;bWxQSwECFAAUAAAACACHTuJAKiA5IvgBAADLAwAADgAAAAAAAAABACAAAAApAQAAZHJzL2Uyb0Rv&#10;Yy54bWxQSwUGAAAAAAYABgBZAQAAkwUAAAAA&#1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rPr>
          <w:highlight w:val="none"/>
        </w:rPr>
        <w:pict>
          <v:rect id="矩形 19" o:spid="_x0000_s1027" o:spt="1" style="position:absolute;left:0pt;margin-left:90.5pt;margin-top:1.65pt;height:21.05pt;width:410.9pt;z-index:251665408;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C0PRMX3AQAAyQMAAA4AAABkcnMvZTJvRG9jLnhtbK1T&#10;XY7TMBB+R+IOlt9pmrTdn6jparWrRUgLrLRwAMdxGovEY8Zuk3IZJN72EBwHcQ3GTlu68IZ4sTye&#10;8ef5vvm8vBq6lm0VOg2m4OlkypkyEipt1gX/+OHu1QVnzgtTiRaMKvhOOX61evli2dtcZdBAWylk&#10;BGJc3tuCN97bPEmcbFQn3ASsMpSsATvhKcR1UqHoCb1rk2w6PUt6wMoiSOUcnd6OSb6K+HWtpH9f&#10;10551hacevNxxbiWYU1WS5GvUdhGy30b4h+66IQ29OgR6lZ4wTao/4LqtERwUPuJhC6ButZSRQ7E&#10;Jp3+weaxEVZFLiSOs0eZ3P+Dle+2D8h0VfAFZ0Z0NKKfX59+fP/G0ssgTm9dTjWP9gEDPWfvQX5y&#10;zMBNI8xaXSNC3yhRUUtpqE+eXQiBo6us7N9CRdhi4yHqNNTYBUBSgA1xHLvjONTgmaTDRZZezGc0&#10;NUm57Ox8NlvEJ0R+uG3R+dcKOhY2BUcad0QX23vnQzciP5SExwzc6baNI2/NswMqHE9U9Mz+9qH9&#10;UQY/lMNekRKqHbFCGP1E/qdNA/iFs568VHD3eSNQcda+MaTMZTqfB/PFYL44zyjA00x5mhFGElTB&#10;PWfj9saPht1Y1OuGXkojSQPXpGatI9HQ6tjVfgbkl8h/7+1gyNM4Vv3+g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P1AndkAAAAJAQAADwAAAAAAAAABACAAAAAiAAAAZHJzL2Rvd25yZXYueG1s&#10;UEsBAhQAFAAAAAgAh07iQC0PRMX3AQAAyQMAAA4AAAAAAAAAAQAgAAAAKAEAAGRycy9lMm9Eb2Mu&#10;eG1sUEsFBgAAAAAGAAYAWQEAAJEFAAAAAA==&#10;">
            <v:path/>
            <v:fill on="f" focussize="0,0"/>
            <v:stroke on="f"/>
            <v:imagedata o:title=""/>
            <o:lock v:ext="edit"/>
            <v:textbox>
              <w:txbxContent>
                <w:p>
                  <w:r>
                    <w:rPr>
                      <w:rFonts w:hint="eastAsia"/>
                    </w:rPr>
                    <w:t>0     10     20     30     40      50     60     70     80     90    100</w:t>
                  </w:r>
                </w:p>
              </w:txbxContent>
            </v:textbox>
          </v:rect>
        </w:pic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headerReference r:id="rId11" w:type="first"/>
          <w:pgSz w:w="11906" w:h="16838"/>
          <w:pgMar w:top="1440" w:right="1797" w:bottom="1440" w:left="1797" w:header="851" w:footer="992" w:gutter="0"/>
          <w:cols w:space="425" w:num="1"/>
          <w:titlePg/>
          <w:docGrid w:type="lines" w:linePitch="312" w:charSpace="0"/>
        </w:sectPr>
      </w:pPr>
    </w:p>
    <w:p>
      <w:pPr>
        <w:pStyle w:val="6"/>
        <w:spacing w:beforeLines="50" w:after="240" w:line="400" w:lineRule="exact"/>
        <w:rPr>
          <w:rFonts w:ascii="Arial" w:hAnsi="Arial" w:eastAsia="黑体"/>
          <w:kern w:val="2"/>
          <w:sz w:val="28"/>
          <w:szCs w:val="28"/>
          <w:highlight w:val="none"/>
        </w:rPr>
      </w:pPr>
      <w:bookmarkStart w:id="248" w:name="_Toc234382968"/>
      <w:r>
        <w:rPr>
          <w:rFonts w:ascii="Arial" w:hAnsi="Arial" w:eastAsia="黑体"/>
          <w:kern w:val="2"/>
          <w:sz w:val="28"/>
          <w:szCs w:val="28"/>
          <w:highlight w:val="none"/>
        </w:rPr>
        <w:t>附表四</w:t>
      </w:r>
      <w:r>
        <w:rPr>
          <w:rFonts w:hint="eastAsia" w:ascii="Arial" w:hAnsi="Arial" w:eastAsia="黑体"/>
          <w:kern w:val="2"/>
          <w:sz w:val="28"/>
          <w:szCs w:val="28"/>
          <w:highlight w:val="none"/>
        </w:rPr>
        <w:t>分项工程生产率和施工周期表</w:t>
      </w:r>
      <w:bookmarkEnd w:id="248"/>
    </w:p>
    <w:tbl>
      <w:tblPr>
        <w:tblStyle w:val="16"/>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highlight w:val="none"/>
              </w:rPr>
            </w:pPr>
            <w:r>
              <w:rPr>
                <w:rFonts w:hint="eastAsia" w:ascii="宋体" w:hAnsi="宋体"/>
                <w:szCs w:val="21"/>
                <w:highlight w:val="none"/>
              </w:rPr>
              <w:t>序号</w:t>
            </w:r>
          </w:p>
        </w:tc>
        <w:tc>
          <w:tcPr>
            <w:tcW w:w="2125" w:type="dxa"/>
            <w:vAlign w:val="center"/>
          </w:tcPr>
          <w:p>
            <w:pPr>
              <w:jc w:val="center"/>
              <w:rPr>
                <w:rFonts w:ascii="宋体" w:hAnsi="宋体"/>
                <w:szCs w:val="21"/>
                <w:highlight w:val="none"/>
              </w:rPr>
            </w:pPr>
            <w:r>
              <w:rPr>
                <w:rFonts w:hint="eastAsia" w:ascii="宋体" w:hAnsi="宋体"/>
                <w:szCs w:val="21"/>
                <w:highlight w:val="none"/>
              </w:rPr>
              <w:t>工程项目</w:t>
            </w:r>
          </w:p>
        </w:tc>
        <w:tc>
          <w:tcPr>
            <w:tcW w:w="923" w:type="dxa"/>
            <w:vAlign w:val="center"/>
          </w:tcPr>
          <w:p>
            <w:pPr>
              <w:jc w:val="center"/>
              <w:rPr>
                <w:rFonts w:ascii="宋体" w:hAnsi="宋体"/>
                <w:szCs w:val="21"/>
                <w:highlight w:val="none"/>
              </w:rPr>
            </w:pPr>
            <w:r>
              <w:rPr>
                <w:rFonts w:hint="eastAsia" w:ascii="宋体" w:hAnsi="宋体"/>
                <w:szCs w:val="21"/>
                <w:highlight w:val="none"/>
              </w:rPr>
              <w:t>单位</w:t>
            </w:r>
          </w:p>
        </w:tc>
        <w:tc>
          <w:tcPr>
            <w:tcW w:w="923" w:type="dxa"/>
            <w:vAlign w:val="center"/>
          </w:tcPr>
          <w:p>
            <w:pPr>
              <w:jc w:val="center"/>
              <w:rPr>
                <w:rFonts w:ascii="宋体" w:hAnsi="宋体"/>
                <w:szCs w:val="21"/>
                <w:highlight w:val="none"/>
              </w:rPr>
            </w:pPr>
            <w:r>
              <w:rPr>
                <w:rFonts w:hint="eastAsia" w:ascii="宋体" w:hAnsi="宋体"/>
                <w:szCs w:val="21"/>
                <w:highlight w:val="none"/>
              </w:rPr>
              <w:t>数量</w:t>
            </w:r>
          </w:p>
        </w:tc>
        <w:tc>
          <w:tcPr>
            <w:tcW w:w="3400" w:type="dxa"/>
            <w:vAlign w:val="center"/>
          </w:tcPr>
          <w:p>
            <w:pPr>
              <w:jc w:val="center"/>
              <w:rPr>
                <w:rFonts w:ascii="宋体" w:hAnsi="宋体"/>
                <w:szCs w:val="21"/>
                <w:highlight w:val="none"/>
              </w:rPr>
            </w:pPr>
            <w:r>
              <w:rPr>
                <w:rFonts w:hint="eastAsia" w:ascii="宋体" w:hAnsi="宋体"/>
                <w:szCs w:val="21"/>
                <w:highlight w:val="none"/>
              </w:rPr>
              <w:t>平均每生产单位规模（人，各种机械台）</w:t>
            </w:r>
          </w:p>
        </w:tc>
        <w:tc>
          <w:tcPr>
            <w:tcW w:w="2185" w:type="dxa"/>
            <w:vAlign w:val="center"/>
          </w:tcPr>
          <w:p>
            <w:pPr>
              <w:jc w:val="center"/>
              <w:rPr>
                <w:rFonts w:ascii="宋体" w:hAnsi="宋体"/>
                <w:szCs w:val="21"/>
                <w:highlight w:val="none"/>
              </w:rPr>
            </w:pPr>
            <w:r>
              <w:rPr>
                <w:rFonts w:hint="eastAsia" w:ascii="宋体" w:hAnsi="宋体"/>
                <w:szCs w:val="21"/>
                <w:highlight w:val="none"/>
              </w:rPr>
              <w:t>平均每生产单位生产率（数量，每周）</w:t>
            </w:r>
          </w:p>
        </w:tc>
        <w:tc>
          <w:tcPr>
            <w:tcW w:w="2185" w:type="dxa"/>
            <w:vAlign w:val="center"/>
          </w:tcPr>
          <w:p>
            <w:pPr>
              <w:jc w:val="center"/>
              <w:rPr>
                <w:rFonts w:ascii="宋体" w:hAnsi="宋体"/>
                <w:szCs w:val="21"/>
                <w:highlight w:val="none"/>
              </w:rPr>
            </w:pPr>
            <w:r>
              <w:rPr>
                <w:rFonts w:hint="eastAsia" w:ascii="宋体" w:hAnsi="宋体"/>
                <w:szCs w:val="21"/>
                <w:highlight w:val="none"/>
              </w:rPr>
              <w:t>每生产单位</w:t>
            </w:r>
          </w:p>
          <w:p>
            <w:pPr>
              <w:jc w:val="center"/>
              <w:rPr>
                <w:rFonts w:ascii="宋体" w:hAnsi="宋体"/>
                <w:szCs w:val="21"/>
                <w:highlight w:val="none"/>
              </w:rPr>
            </w:pPr>
            <w:r>
              <w:rPr>
                <w:rFonts w:hint="eastAsia" w:ascii="宋体" w:hAnsi="宋体"/>
                <w:szCs w:val="21"/>
                <w:highlight w:val="none"/>
              </w:rPr>
              <w:t>平均施工时间（周）</w:t>
            </w:r>
          </w:p>
        </w:tc>
        <w:tc>
          <w:tcPr>
            <w:tcW w:w="2185" w:type="dxa"/>
            <w:vAlign w:val="center"/>
          </w:tcPr>
          <w:p>
            <w:pPr>
              <w:jc w:val="center"/>
              <w:rPr>
                <w:rFonts w:ascii="宋体" w:hAnsi="宋体"/>
                <w:szCs w:val="21"/>
                <w:highlight w:val="none"/>
              </w:rPr>
            </w:pPr>
            <w:r>
              <w:rPr>
                <w:rFonts w:hint="eastAsia" w:ascii="宋体" w:hAnsi="宋体"/>
                <w:szCs w:val="21"/>
                <w:highlight w:val="none"/>
              </w:rPr>
              <w:t>生产单位总数</w:t>
            </w:r>
          </w:p>
          <w:p>
            <w:pPr>
              <w:jc w:val="center"/>
              <w:rPr>
                <w:rFonts w:ascii="宋体" w:hAnsi="宋体"/>
                <w:szCs w:val="21"/>
                <w:highlight w:val="none"/>
              </w:rPr>
            </w:pPr>
            <w:r>
              <w:rPr>
                <w:rFonts w:hint="eastAsia" w:ascii="宋体" w:hAnsi="宋体"/>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1</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下部结构</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3</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2</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上部结构</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2</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highlight w:val="none"/>
              </w:rPr>
            </w:pPr>
            <w:r>
              <w:rPr>
                <w:rFonts w:hint="eastAsia" w:ascii="宋体" w:hAnsi="宋体"/>
                <w:szCs w:val="21"/>
                <w:highlight w:val="none"/>
              </w:rPr>
              <w:t>3</w:t>
            </w:r>
          </w:p>
        </w:tc>
        <w:tc>
          <w:tcPr>
            <w:tcW w:w="2125" w:type="dxa"/>
            <w:vAlign w:val="center"/>
          </w:tcPr>
          <w:p>
            <w:pPr>
              <w:ind w:left="113"/>
              <w:jc w:val="center"/>
              <w:rPr>
                <w:rFonts w:ascii="宋体" w:hAnsi="宋体"/>
                <w:szCs w:val="21"/>
                <w:highlight w:val="none"/>
              </w:rPr>
            </w:pPr>
            <w:r>
              <w:rPr>
                <w:rFonts w:hint="eastAsia" w:ascii="宋体" w:hAnsi="宋体"/>
                <w:szCs w:val="21"/>
                <w:highlight w:val="none"/>
              </w:rPr>
              <w:t>附属工程</w:t>
            </w:r>
          </w:p>
        </w:tc>
        <w:tc>
          <w:tcPr>
            <w:tcW w:w="923" w:type="dxa"/>
            <w:vAlign w:val="center"/>
          </w:tcPr>
          <w:p>
            <w:pPr>
              <w:jc w:val="center"/>
              <w:rPr>
                <w:rFonts w:ascii="宋体" w:hAnsi="宋体"/>
                <w:szCs w:val="21"/>
                <w:highlight w:val="none"/>
              </w:rPr>
            </w:pPr>
            <w:r>
              <w:rPr>
                <w:rFonts w:hint="eastAsia" w:ascii="宋体" w:hAnsi="宋体"/>
                <w:szCs w:val="21"/>
                <w:highlight w:val="none"/>
              </w:rPr>
              <w:t>万m</w:t>
            </w:r>
            <w:r>
              <w:rPr>
                <w:rFonts w:hint="eastAsia" w:ascii="宋体" w:hAnsi="宋体"/>
                <w:szCs w:val="21"/>
                <w:highlight w:val="none"/>
                <w:vertAlign w:val="superscript"/>
              </w:rPr>
              <w:t>2</w:t>
            </w:r>
          </w:p>
        </w:tc>
        <w:tc>
          <w:tcPr>
            <w:tcW w:w="923" w:type="dxa"/>
            <w:vAlign w:val="center"/>
          </w:tcPr>
          <w:p>
            <w:pPr>
              <w:rPr>
                <w:rFonts w:ascii="宋体" w:hAnsi="宋体"/>
                <w:szCs w:val="21"/>
                <w:highlight w:val="none"/>
              </w:rPr>
            </w:pPr>
          </w:p>
        </w:tc>
        <w:tc>
          <w:tcPr>
            <w:tcW w:w="3400"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c>
          <w:tcPr>
            <w:tcW w:w="2185" w:type="dxa"/>
            <w:vAlign w:val="center"/>
          </w:tcPr>
          <w:p>
            <w:pPr>
              <w:rPr>
                <w:rFonts w:ascii="宋体" w:hAnsi="宋体"/>
                <w:szCs w:val="21"/>
                <w:highlight w:val="none"/>
              </w:rPr>
            </w:pPr>
          </w:p>
        </w:tc>
      </w:tr>
    </w:tbl>
    <w:p>
      <w:pPr>
        <w:rPr>
          <w:highlight w:val="none"/>
        </w:rPr>
        <w:sectPr>
          <w:footnotePr>
            <w:numFmt w:val="decimalEnclosedCircleChinese"/>
            <w:numRestart w:val="eachPage"/>
          </w:footnotePr>
          <w:pgSz w:w="16840" w:h="11907" w:orient="landscape"/>
          <w:pgMar w:top="1361" w:right="1440" w:bottom="1361" w:left="1440" w:header="720" w:footer="907" w:gutter="0"/>
          <w:cols w:space="720" w:num="1"/>
        </w:sectPr>
      </w:pPr>
    </w:p>
    <w:p>
      <w:pPr>
        <w:pStyle w:val="6"/>
        <w:spacing w:beforeLines="50" w:after="240" w:line="400" w:lineRule="exact"/>
        <w:rPr>
          <w:rFonts w:ascii="Arial" w:hAnsi="Arial" w:eastAsia="黑体"/>
          <w:kern w:val="2"/>
          <w:sz w:val="28"/>
          <w:szCs w:val="28"/>
          <w:highlight w:val="none"/>
        </w:rPr>
      </w:pPr>
      <w:bookmarkStart w:id="249" w:name="_Toc234382969"/>
      <w:r>
        <w:rPr>
          <w:rFonts w:ascii="Arial" w:hAnsi="Arial" w:eastAsia="黑体"/>
          <w:kern w:val="2"/>
          <w:sz w:val="28"/>
          <w:szCs w:val="28"/>
          <w:highlight w:val="none"/>
        </w:rPr>
        <w:t>附表五施工总平面图</w:t>
      </w:r>
      <w:bookmarkEnd w:id="249"/>
    </w:p>
    <w:p>
      <w:pPr>
        <w:rPr>
          <w:rFonts w:ascii="宋体" w:hAnsi="宋体"/>
          <w:sz w:val="24"/>
          <w:highlight w:val="none"/>
        </w:rPr>
      </w:pPr>
    </w:p>
    <w:p>
      <w:pPr>
        <w:spacing w:line="400" w:lineRule="exact"/>
        <w:ind w:firstLine="480" w:firstLineChars="200"/>
        <w:rPr>
          <w:rFonts w:ascii="宋体" w:hAnsi="宋体"/>
          <w:sz w:val="24"/>
          <w:highlight w:val="none"/>
        </w:rPr>
      </w:pPr>
      <w:r>
        <w:rPr>
          <w:rFonts w:ascii="宋体" w:hAnsi="宋体"/>
          <w:sz w:val="24"/>
          <w:highlight w:val="none"/>
        </w:rPr>
        <w:t>投标人应递交一份施工总平面图，绘出现场临时设施布置图表并附文字说明，说明</w:t>
      </w:r>
      <w:r>
        <w:rPr>
          <w:rFonts w:hint="eastAsia" w:ascii="宋体" w:hAnsi="宋体"/>
          <w:sz w:val="24"/>
          <w:highlight w:val="none"/>
        </w:rPr>
        <w:t>施工营地、料场、</w:t>
      </w:r>
      <w:r>
        <w:rPr>
          <w:rFonts w:ascii="宋体" w:hAnsi="宋体"/>
          <w:sz w:val="24"/>
          <w:highlight w:val="none"/>
        </w:rPr>
        <w:t>临时设施、加工车间、现场办公、设备及仓储、供电、供水、卫生、生活、道路、消防等设施的情况和布置。</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pStyle w:val="6"/>
        <w:spacing w:beforeLines="50" w:after="240" w:line="400" w:lineRule="exact"/>
        <w:rPr>
          <w:rFonts w:ascii="Arial" w:hAnsi="Arial" w:eastAsia="黑体"/>
          <w:kern w:val="2"/>
          <w:sz w:val="28"/>
          <w:szCs w:val="28"/>
          <w:highlight w:val="none"/>
        </w:rPr>
      </w:pPr>
      <w:bookmarkStart w:id="250" w:name="_Toc234382970"/>
      <w:r>
        <w:rPr>
          <w:rFonts w:ascii="Arial" w:hAnsi="Arial" w:eastAsia="黑体"/>
          <w:kern w:val="2"/>
          <w:sz w:val="28"/>
          <w:szCs w:val="28"/>
          <w:highlight w:val="none"/>
        </w:rPr>
        <w:t>附表</w:t>
      </w:r>
      <w:r>
        <w:rPr>
          <w:rFonts w:hint="eastAsia" w:ascii="Arial" w:hAnsi="Arial" w:eastAsia="黑体"/>
          <w:kern w:val="2"/>
          <w:sz w:val="28"/>
          <w:szCs w:val="28"/>
          <w:highlight w:val="none"/>
        </w:rPr>
        <w:t>六劳动力计划表</w:t>
      </w:r>
      <w:bookmarkEnd w:id="250"/>
    </w:p>
    <w:p>
      <w:pPr>
        <w:jc w:val="right"/>
        <w:rPr>
          <w:rFonts w:ascii="宋体" w:hAnsi="宋体"/>
          <w:sz w:val="24"/>
          <w:highlight w:val="none"/>
        </w:rPr>
      </w:pPr>
      <w:r>
        <w:rPr>
          <w:rFonts w:hint="eastAsia" w:ascii="宋体" w:hAnsi="宋体"/>
          <w:sz w:val="24"/>
          <w:highlight w:val="none"/>
        </w:rPr>
        <w:t>单位：人</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highlight w:val="none"/>
              </w:rPr>
            </w:pPr>
            <w:r>
              <w:rPr>
                <w:rFonts w:hint="eastAsia" w:ascii="宋体" w:hAnsi="宋体"/>
                <w:szCs w:val="21"/>
                <w:highlight w:val="none"/>
              </w:rPr>
              <w:t>工种</w:t>
            </w:r>
          </w:p>
        </w:tc>
        <w:tc>
          <w:tcPr>
            <w:tcW w:w="8434" w:type="dxa"/>
            <w:gridSpan w:val="7"/>
            <w:vAlign w:val="center"/>
          </w:tcPr>
          <w:p>
            <w:pPr>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4"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c>
          <w:tcPr>
            <w:tcW w:w="1205" w:type="dxa"/>
            <w:vAlign w:val="center"/>
          </w:tcPr>
          <w:p>
            <w:pPr>
              <w:jc w:val="center"/>
              <w:rPr>
                <w:rFonts w:ascii="隶书" w:hAnsi="宋体" w:eastAsia="隶书"/>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4"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c>
          <w:tcPr>
            <w:tcW w:w="1205" w:type="dxa"/>
            <w:vAlign w:val="center"/>
          </w:tcPr>
          <w:p>
            <w:pPr>
              <w:jc w:val="center"/>
              <w:rPr>
                <w:rFonts w:ascii="宋体" w:hAnsi="宋体"/>
                <w:sz w:val="24"/>
                <w:highlight w:val="none"/>
              </w:rPr>
            </w:pPr>
          </w:p>
        </w:tc>
      </w:tr>
    </w:tbl>
    <w:p>
      <w:pPr>
        <w:ind w:firstLine="6600" w:firstLineChars="2750"/>
        <w:rPr>
          <w:rFonts w:ascii="宋体" w:hAnsi="宋体"/>
          <w:sz w:val="24"/>
          <w:highlight w:val="none"/>
        </w:rPr>
      </w:pPr>
    </w:p>
    <w:p>
      <w:pPr>
        <w:pStyle w:val="6"/>
        <w:spacing w:beforeLines="50" w:after="240" w:line="400" w:lineRule="exact"/>
        <w:rPr>
          <w:rFonts w:ascii="Arial" w:hAnsi="Arial" w:eastAsia="黑体"/>
          <w:kern w:val="2"/>
          <w:sz w:val="28"/>
          <w:szCs w:val="28"/>
          <w:highlight w:val="none"/>
        </w:rPr>
      </w:pPr>
      <w:r>
        <w:rPr>
          <w:rFonts w:ascii="宋体"/>
          <w:sz w:val="24"/>
          <w:highlight w:val="none"/>
        </w:rPr>
        <w:br w:type="page"/>
      </w:r>
      <w:bookmarkStart w:id="251" w:name="_Toc234382971"/>
      <w:r>
        <w:rPr>
          <w:rFonts w:ascii="Arial" w:hAnsi="Arial" w:eastAsia="黑体"/>
          <w:kern w:val="2"/>
          <w:sz w:val="28"/>
          <w:szCs w:val="28"/>
          <w:highlight w:val="none"/>
        </w:rPr>
        <w:t>附表</w:t>
      </w:r>
      <w:r>
        <w:rPr>
          <w:rFonts w:hint="eastAsia" w:ascii="Arial" w:hAnsi="Arial" w:eastAsia="黑体"/>
          <w:kern w:val="2"/>
          <w:sz w:val="28"/>
          <w:szCs w:val="28"/>
          <w:highlight w:val="none"/>
        </w:rPr>
        <w:t>七临时用地计划表</w:t>
      </w:r>
      <w:bookmarkEnd w:id="251"/>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highlight w:val="none"/>
              </w:rPr>
            </w:pPr>
            <w:r>
              <w:rPr>
                <w:rFonts w:hint="eastAsia" w:ascii="宋体" w:hAnsi="宋体"/>
                <w:szCs w:val="21"/>
                <w:highlight w:val="none"/>
              </w:rPr>
              <w:t>用   途</w:t>
            </w:r>
          </w:p>
        </w:tc>
        <w:tc>
          <w:tcPr>
            <w:tcW w:w="3507" w:type="dxa"/>
            <w:gridSpan w:val="5"/>
            <w:vAlign w:val="center"/>
          </w:tcPr>
          <w:p>
            <w:pPr>
              <w:jc w:val="center"/>
              <w:rPr>
                <w:rFonts w:ascii="宋体" w:hAnsi="宋体"/>
                <w:szCs w:val="21"/>
                <w:highlight w:val="none"/>
              </w:rPr>
            </w:pPr>
            <w:r>
              <w:rPr>
                <w:rFonts w:hint="eastAsia" w:ascii="宋体" w:hAnsi="宋体"/>
                <w:szCs w:val="21"/>
                <w:highlight w:val="none"/>
              </w:rPr>
              <w:t>面积（m</w:t>
            </w:r>
            <w:r>
              <w:rPr>
                <w:rFonts w:hint="eastAsia" w:ascii="宋体" w:hAnsi="宋体"/>
                <w:szCs w:val="21"/>
                <w:highlight w:val="none"/>
                <w:vertAlign w:val="superscript"/>
              </w:rPr>
              <w:t>2</w:t>
            </w:r>
            <w:r>
              <w:rPr>
                <w:rFonts w:hint="eastAsia" w:ascii="宋体" w:hAnsi="宋体"/>
                <w:szCs w:val="21"/>
                <w:highlight w:val="none"/>
              </w:rPr>
              <w:t>）</w:t>
            </w:r>
          </w:p>
        </w:tc>
        <w:tc>
          <w:tcPr>
            <w:tcW w:w="1779" w:type="dxa"/>
            <w:vMerge w:val="restart"/>
            <w:vAlign w:val="center"/>
          </w:tcPr>
          <w:p>
            <w:pPr>
              <w:jc w:val="center"/>
              <w:rPr>
                <w:rFonts w:ascii="宋体" w:hAnsi="宋体"/>
                <w:szCs w:val="21"/>
                <w:highlight w:val="none"/>
              </w:rPr>
            </w:pPr>
            <w:r>
              <w:rPr>
                <w:rFonts w:hint="eastAsia" w:ascii="宋体" w:hAnsi="宋体"/>
                <w:szCs w:val="21"/>
                <w:highlight w:val="none"/>
              </w:rPr>
              <w:t>需用时间</w:t>
            </w:r>
          </w:p>
          <w:p>
            <w:pPr>
              <w:ind w:firstLine="5"/>
              <w:jc w:val="center"/>
              <w:rPr>
                <w:rFonts w:ascii="宋体" w:hAnsi="宋体"/>
                <w:szCs w:val="21"/>
                <w:highlight w:val="none"/>
              </w:rPr>
            </w:pPr>
            <w:r>
              <w:rPr>
                <w:rFonts w:hint="eastAsia" w:ascii="宋体" w:hAnsi="宋体"/>
                <w:szCs w:val="21"/>
                <w:highlight w:val="none"/>
              </w:rPr>
              <w:t>年月至年月</w:t>
            </w:r>
          </w:p>
        </w:tc>
        <w:tc>
          <w:tcPr>
            <w:tcW w:w="2156" w:type="dxa"/>
            <w:gridSpan w:val="3"/>
            <w:vAlign w:val="center"/>
          </w:tcPr>
          <w:p>
            <w:pPr>
              <w:jc w:val="center"/>
              <w:rPr>
                <w:rFonts w:ascii="宋体" w:hAnsi="宋体"/>
                <w:szCs w:val="21"/>
                <w:highlight w:val="none"/>
              </w:rPr>
            </w:pPr>
            <w:r>
              <w:rPr>
                <w:rFonts w:hint="eastAsia" w:ascii="宋体" w:hAnsi="宋体"/>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highlight w:val="none"/>
              </w:rPr>
            </w:pPr>
          </w:p>
        </w:tc>
        <w:tc>
          <w:tcPr>
            <w:tcW w:w="699" w:type="dxa"/>
            <w:vAlign w:val="center"/>
          </w:tcPr>
          <w:p>
            <w:pPr>
              <w:rPr>
                <w:rFonts w:ascii="宋体" w:hAnsi="宋体"/>
                <w:szCs w:val="21"/>
                <w:highlight w:val="none"/>
              </w:rPr>
            </w:pPr>
            <w:r>
              <w:rPr>
                <w:rFonts w:hint="eastAsia" w:ascii="宋体" w:hAnsi="宋体"/>
                <w:szCs w:val="21"/>
                <w:highlight w:val="none"/>
              </w:rPr>
              <w:t>菜地</w:t>
            </w:r>
          </w:p>
        </w:tc>
        <w:tc>
          <w:tcPr>
            <w:tcW w:w="700" w:type="dxa"/>
            <w:vAlign w:val="center"/>
          </w:tcPr>
          <w:p>
            <w:pPr>
              <w:rPr>
                <w:rFonts w:ascii="宋体" w:hAnsi="宋体"/>
                <w:szCs w:val="21"/>
                <w:highlight w:val="none"/>
              </w:rPr>
            </w:pPr>
            <w:r>
              <w:rPr>
                <w:rFonts w:hint="eastAsia" w:ascii="宋体" w:hAnsi="宋体"/>
                <w:szCs w:val="21"/>
                <w:highlight w:val="none"/>
              </w:rPr>
              <w:t>水田</w:t>
            </w:r>
          </w:p>
        </w:tc>
        <w:tc>
          <w:tcPr>
            <w:tcW w:w="702" w:type="dxa"/>
            <w:vAlign w:val="center"/>
          </w:tcPr>
          <w:p>
            <w:pPr>
              <w:rPr>
                <w:rFonts w:ascii="宋体" w:hAnsi="宋体"/>
                <w:szCs w:val="21"/>
                <w:highlight w:val="none"/>
              </w:rPr>
            </w:pPr>
            <w:r>
              <w:rPr>
                <w:rFonts w:hint="eastAsia" w:ascii="宋体" w:hAnsi="宋体"/>
                <w:szCs w:val="21"/>
                <w:highlight w:val="none"/>
              </w:rPr>
              <w:t>旱地</w:t>
            </w:r>
          </w:p>
        </w:tc>
        <w:tc>
          <w:tcPr>
            <w:tcW w:w="700" w:type="dxa"/>
            <w:vAlign w:val="center"/>
          </w:tcPr>
          <w:p>
            <w:pPr>
              <w:rPr>
                <w:rFonts w:ascii="宋体" w:hAnsi="宋体"/>
                <w:szCs w:val="21"/>
                <w:highlight w:val="none"/>
              </w:rPr>
            </w:pPr>
            <w:r>
              <w:rPr>
                <w:rFonts w:hint="eastAsia" w:ascii="宋体" w:hAnsi="宋体"/>
                <w:szCs w:val="21"/>
                <w:highlight w:val="none"/>
              </w:rPr>
              <w:t>果园</w:t>
            </w:r>
          </w:p>
        </w:tc>
        <w:tc>
          <w:tcPr>
            <w:tcW w:w="706" w:type="dxa"/>
            <w:vAlign w:val="center"/>
          </w:tcPr>
          <w:p>
            <w:pPr>
              <w:rPr>
                <w:rFonts w:ascii="宋体" w:hAnsi="宋体"/>
                <w:szCs w:val="21"/>
                <w:highlight w:val="none"/>
              </w:rPr>
            </w:pPr>
            <w:r>
              <w:rPr>
                <w:rFonts w:hint="eastAsia" w:ascii="宋体" w:hAnsi="宋体"/>
                <w:szCs w:val="21"/>
                <w:highlight w:val="none"/>
              </w:rPr>
              <w:t>荒地</w:t>
            </w:r>
          </w:p>
        </w:tc>
        <w:tc>
          <w:tcPr>
            <w:tcW w:w="1779" w:type="dxa"/>
            <w:vMerge w:val="continue"/>
            <w:vAlign w:val="center"/>
          </w:tcPr>
          <w:p>
            <w:pPr>
              <w:rPr>
                <w:rFonts w:ascii="宋体" w:hAnsi="宋体"/>
                <w:szCs w:val="21"/>
                <w:highlight w:val="none"/>
              </w:rPr>
            </w:pPr>
          </w:p>
        </w:tc>
        <w:tc>
          <w:tcPr>
            <w:tcW w:w="673" w:type="dxa"/>
            <w:vAlign w:val="center"/>
          </w:tcPr>
          <w:p>
            <w:pPr>
              <w:rPr>
                <w:rFonts w:ascii="宋体" w:hAnsi="宋体"/>
                <w:szCs w:val="21"/>
                <w:highlight w:val="none"/>
              </w:rPr>
            </w:pPr>
            <w:r>
              <w:rPr>
                <w:rFonts w:hint="eastAsia" w:ascii="宋体" w:hAnsi="宋体"/>
                <w:szCs w:val="21"/>
                <w:highlight w:val="none"/>
              </w:rPr>
              <w:t>桩</w:t>
            </w:r>
          </w:p>
          <w:p>
            <w:pPr>
              <w:rPr>
                <w:rFonts w:ascii="宋体" w:hAnsi="宋体"/>
                <w:szCs w:val="21"/>
                <w:highlight w:val="none"/>
              </w:rPr>
            </w:pPr>
            <w:r>
              <w:rPr>
                <w:rFonts w:hint="eastAsia" w:ascii="宋体" w:hAnsi="宋体"/>
                <w:szCs w:val="21"/>
                <w:highlight w:val="none"/>
              </w:rPr>
              <w:t>号</w:t>
            </w:r>
          </w:p>
        </w:tc>
        <w:tc>
          <w:tcPr>
            <w:tcW w:w="741" w:type="dxa"/>
            <w:vAlign w:val="center"/>
          </w:tcPr>
          <w:p>
            <w:pPr>
              <w:rPr>
                <w:rFonts w:ascii="宋体" w:hAnsi="宋体"/>
                <w:szCs w:val="21"/>
                <w:highlight w:val="none"/>
              </w:rPr>
            </w:pPr>
            <w:r>
              <w:rPr>
                <w:rFonts w:hint="eastAsia" w:ascii="宋体" w:hAnsi="宋体"/>
                <w:szCs w:val="21"/>
                <w:highlight w:val="none"/>
              </w:rPr>
              <w:t>左侧（m）</w:t>
            </w:r>
          </w:p>
        </w:tc>
        <w:tc>
          <w:tcPr>
            <w:tcW w:w="742" w:type="dxa"/>
            <w:vAlign w:val="center"/>
          </w:tcPr>
          <w:p>
            <w:pPr>
              <w:rPr>
                <w:rFonts w:ascii="宋体" w:hAnsi="宋体"/>
                <w:szCs w:val="21"/>
                <w:highlight w:val="none"/>
              </w:rPr>
            </w:pPr>
            <w:r>
              <w:rPr>
                <w:rFonts w:hint="eastAsia" w:ascii="宋体" w:hAnsi="宋体"/>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一、临时工程</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1.便道</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2.……</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二、生产及生活临时设施</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1.临时住房</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2.办公等公用房屋</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3.料场</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r>
              <w:rPr>
                <w:rFonts w:hint="eastAsia" w:ascii="宋体" w:hAnsi="宋体"/>
                <w:szCs w:val="21"/>
                <w:highlight w:val="none"/>
              </w:rPr>
              <w:t>……</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highlight w:val="none"/>
              </w:rPr>
            </w:pPr>
            <w:r>
              <w:rPr>
                <w:rFonts w:hint="eastAsia" w:ascii="宋体" w:hAnsi="宋体"/>
                <w:szCs w:val="21"/>
                <w:highlight w:val="none"/>
              </w:rPr>
              <w:t>租用面积合计</w:t>
            </w:r>
          </w:p>
        </w:tc>
        <w:tc>
          <w:tcPr>
            <w:tcW w:w="699"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2" w:type="dxa"/>
            <w:vAlign w:val="center"/>
          </w:tcPr>
          <w:p>
            <w:pPr>
              <w:rPr>
                <w:rFonts w:ascii="宋体" w:hAnsi="宋体"/>
                <w:szCs w:val="21"/>
                <w:highlight w:val="none"/>
              </w:rPr>
            </w:pPr>
          </w:p>
        </w:tc>
        <w:tc>
          <w:tcPr>
            <w:tcW w:w="700" w:type="dxa"/>
            <w:vAlign w:val="center"/>
          </w:tcPr>
          <w:p>
            <w:pPr>
              <w:rPr>
                <w:rFonts w:ascii="宋体" w:hAnsi="宋体"/>
                <w:szCs w:val="21"/>
                <w:highlight w:val="none"/>
              </w:rPr>
            </w:pPr>
          </w:p>
        </w:tc>
        <w:tc>
          <w:tcPr>
            <w:tcW w:w="706" w:type="dxa"/>
            <w:vAlign w:val="center"/>
          </w:tcPr>
          <w:p>
            <w:pPr>
              <w:rPr>
                <w:rFonts w:ascii="宋体" w:hAnsi="宋体"/>
                <w:szCs w:val="21"/>
                <w:highlight w:val="none"/>
              </w:rPr>
            </w:pPr>
          </w:p>
        </w:tc>
        <w:tc>
          <w:tcPr>
            <w:tcW w:w="1779" w:type="dxa"/>
            <w:vAlign w:val="center"/>
          </w:tcPr>
          <w:p>
            <w:pPr>
              <w:rPr>
                <w:rFonts w:ascii="宋体" w:hAnsi="宋体"/>
                <w:szCs w:val="21"/>
                <w:highlight w:val="none"/>
              </w:rPr>
            </w:pPr>
          </w:p>
        </w:tc>
        <w:tc>
          <w:tcPr>
            <w:tcW w:w="673" w:type="dxa"/>
            <w:vAlign w:val="center"/>
          </w:tcPr>
          <w:p>
            <w:pPr>
              <w:rPr>
                <w:rFonts w:ascii="宋体" w:hAnsi="宋体"/>
                <w:szCs w:val="21"/>
                <w:highlight w:val="none"/>
              </w:rPr>
            </w:pPr>
          </w:p>
        </w:tc>
        <w:tc>
          <w:tcPr>
            <w:tcW w:w="741" w:type="dxa"/>
            <w:vAlign w:val="center"/>
          </w:tcPr>
          <w:p>
            <w:pPr>
              <w:rPr>
                <w:rFonts w:ascii="宋体" w:hAnsi="宋体"/>
                <w:szCs w:val="21"/>
                <w:highlight w:val="none"/>
              </w:rPr>
            </w:pPr>
          </w:p>
        </w:tc>
        <w:tc>
          <w:tcPr>
            <w:tcW w:w="742" w:type="dxa"/>
            <w:vAlign w:val="center"/>
          </w:tcPr>
          <w:p>
            <w:pPr>
              <w:rPr>
                <w:rFonts w:ascii="宋体" w:hAnsi="宋体"/>
                <w:szCs w:val="21"/>
                <w:highlight w:val="none"/>
              </w:rPr>
            </w:pPr>
          </w:p>
        </w:tc>
      </w:tr>
    </w:tbl>
    <w:p>
      <w:pPr>
        <w:pStyle w:val="6"/>
        <w:spacing w:beforeLines="50" w:after="240" w:line="400" w:lineRule="exact"/>
        <w:rPr>
          <w:rFonts w:ascii="隶书" w:hAnsi="宋体" w:eastAsia="隶书"/>
          <w:sz w:val="30"/>
          <w:szCs w:val="30"/>
          <w:highlight w:val="none"/>
        </w:rPr>
      </w:pPr>
      <w:r>
        <w:rPr>
          <w:rFonts w:ascii="宋体" w:hAnsi="宋体"/>
          <w:sz w:val="24"/>
          <w:highlight w:val="none"/>
        </w:rPr>
        <w:br w:type="page"/>
      </w:r>
      <w:bookmarkStart w:id="252" w:name="_Toc234382972"/>
      <w:r>
        <w:rPr>
          <w:rFonts w:hint="eastAsia" w:ascii="Arial" w:hAnsi="Arial" w:eastAsia="黑体"/>
          <w:kern w:val="2"/>
          <w:sz w:val="28"/>
          <w:szCs w:val="28"/>
          <w:highlight w:val="none"/>
        </w:rPr>
        <w:t>附表八外供电力需求计划表</w:t>
      </w:r>
      <w:bookmarkEnd w:id="252"/>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highlight w:val="none"/>
              </w:rPr>
            </w:pPr>
            <w:r>
              <w:rPr>
                <w:rFonts w:hint="eastAsia" w:ascii="宋体" w:hAnsi="宋体"/>
                <w:szCs w:val="21"/>
                <w:highlight w:val="none"/>
              </w:rPr>
              <w:t>用电位置</w:t>
            </w:r>
          </w:p>
        </w:tc>
        <w:tc>
          <w:tcPr>
            <w:tcW w:w="1984" w:type="dxa"/>
            <w:vMerge w:val="restart"/>
            <w:vAlign w:val="center"/>
          </w:tcPr>
          <w:p>
            <w:pPr>
              <w:jc w:val="center"/>
              <w:rPr>
                <w:rFonts w:ascii="宋体" w:hAnsi="宋体"/>
                <w:szCs w:val="21"/>
                <w:highlight w:val="none"/>
              </w:rPr>
            </w:pPr>
            <w:r>
              <w:rPr>
                <w:rFonts w:hint="eastAsia" w:ascii="宋体" w:hAnsi="宋体"/>
                <w:szCs w:val="21"/>
                <w:highlight w:val="none"/>
              </w:rPr>
              <w:t>计划用电数量（KW·h）</w:t>
            </w:r>
          </w:p>
        </w:tc>
        <w:tc>
          <w:tcPr>
            <w:tcW w:w="1701" w:type="dxa"/>
            <w:vMerge w:val="restart"/>
            <w:vAlign w:val="center"/>
          </w:tcPr>
          <w:p>
            <w:pPr>
              <w:jc w:val="center"/>
              <w:rPr>
                <w:rFonts w:ascii="宋体" w:hAnsi="宋体"/>
                <w:szCs w:val="21"/>
                <w:highlight w:val="none"/>
              </w:rPr>
            </w:pPr>
            <w:r>
              <w:rPr>
                <w:rFonts w:hint="eastAsia" w:ascii="宋体" w:hAnsi="宋体"/>
                <w:szCs w:val="21"/>
                <w:highlight w:val="none"/>
              </w:rPr>
              <w:t>用  途</w:t>
            </w:r>
          </w:p>
        </w:tc>
        <w:tc>
          <w:tcPr>
            <w:tcW w:w="2552" w:type="dxa"/>
            <w:vMerge w:val="restart"/>
            <w:vAlign w:val="center"/>
          </w:tcPr>
          <w:p>
            <w:pPr>
              <w:jc w:val="center"/>
              <w:rPr>
                <w:rFonts w:ascii="宋体" w:hAnsi="宋体"/>
                <w:szCs w:val="21"/>
                <w:highlight w:val="none"/>
              </w:rPr>
            </w:pPr>
            <w:r>
              <w:rPr>
                <w:rFonts w:hint="eastAsia" w:ascii="宋体" w:hAnsi="宋体"/>
                <w:szCs w:val="21"/>
                <w:highlight w:val="none"/>
              </w:rPr>
              <w:t>需 用 时 间</w:t>
            </w:r>
          </w:p>
          <w:p>
            <w:pPr>
              <w:ind w:left="735" w:hanging="735" w:hangingChars="350"/>
              <w:jc w:val="center"/>
              <w:rPr>
                <w:rFonts w:ascii="宋体" w:hAnsi="宋体"/>
                <w:szCs w:val="21"/>
                <w:highlight w:val="none"/>
              </w:rPr>
            </w:pPr>
            <w:r>
              <w:rPr>
                <w:rFonts w:hint="eastAsia" w:ascii="宋体" w:hAnsi="宋体"/>
                <w:szCs w:val="21"/>
                <w:highlight w:val="none"/>
              </w:rPr>
              <w:t>年   月</w:t>
            </w:r>
          </w:p>
          <w:p>
            <w:pPr>
              <w:ind w:left="735" w:leftChars="300" w:hanging="105" w:hangingChars="50"/>
              <w:jc w:val="left"/>
              <w:rPr>
                <w:rFonts w:ascii="宋体" w:hAnsi="宋体"/>
                <w:szCs w:val="21"/>
                <w:highlight w:val="none"/>
              </w:rPr>
            </w:pPr>
            <w:r>
              <w:rPr>
                <w:rFonts w:hint="eastAsia" w:ascii="宋体" w:hAnsi="宋体"/>
                <w:szCs w:val="21"/>
                <w:highlight w:val="none"/>
              </w:rPr>
              <w:t>至年   月</w:t>
            </w:r>
          </w:p>
        </w:tc>
        <w:tc>
          <w:tcPr>
            <w:tcW w:w="1190" w:type="dxa"/>
            <w:vMerge w:val="restart"/>
            <w:vAlign w:val="center"/>
          </w:tcPr>
          <w:p>
            <w:pPr>
              <w:jc w:val="center"/>
              <w:rPr>
                <w:rFonts w:ascii="宋体" w:hAnsi="宋体"/>
                <w:szCs w:val="21"/>
                <w:highlight w:val="none"/>
              </w:rPr>
            </w:pPr>
            <w:r>
              <w:rPr>
                <w:rFonts w:hint="eastAsia" w:ascii="宋体" w:hAnsi="宋体"/>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highlight w:val="none"/>
              </w:rPr>
            </w:pPr>
            <w:r>
              <w:rPr>
                <w:rFonts w:hint="eastAsia" w:ascii="宋体" w:hAnsi="宋体"/>
                <w:szCs w:val="21"/>
                <w:highlight w:val="none"/>
              </w:rPr>
              <w:t>桩号</w:t>
            </w:r>
          </w:p>
        </w:tc>
        <w:tc>
          <w:tcPr>
            <w:tcW w:w="1106" w:type="dxa"/>
            <w:vAlign w:val="center"/>
          </w:tcPr>
          <w:p>
            <w:pPr>
              <w:jc w:val="center"/>
              <w:rPr>
                <w:rFonts w:ascii="宋体" w:hAnsi="宋体"/>
                <w:szCs w:val="21"/>
                <w:highlight w:val="none"/>
              </w:rPr>
            </w:pPr>
            <w:r>
              <w:rPr>
                <w:rFonts w:hint="eastAsia" w:ascii="宋体" w:hAnsi="宋体"/>
                <w:szCs w:val="21"/>
                <w:highlight w:val="none"/>
              </w:rPr>
              <w:t>左或右（m）</w:t>
            </w:r>
          </w:p>
        </w:tc>
        <w:tc>
          <w:tcPr>
            <w:tcW w:w="1984" w:type="dxa"/>
            <w:vMerge w:val="continue"/>
            <w:vAlign w:val="center"/>
          </w:tcPr>
          <w:p>
            <w:pPr>
              <w:jc w:val="center"/>
              <w:rPr>
                <w:rFonts w:ascii="宋体" w:hAnsi="宋体"/>
                <w:szCs w:val="21"/>
                <w:highlight w:val="none"/>
              </w:rPr>
            </w:pPr>
          </w:p>
        </w:tc>
        <w:tc>
          <w:tcPr>
            <w:tcW w:w="1701" w:type="dxa"/>
            <w:vMerge w:val="continue"/>
            <w:vAlign w:val="center"/>
          </w:tcPr>
          <w:p>
            <w:pPr>
              <w:jc w:val="center"/>
              <w:rPr>
                <w:rFonts w:ascii="宋体" w:hAnsi="宋体"/>
                <w:szCs w:val="21"/>
                <w:highlight w:val="none"/>
              </w:rPr>
            </w:pPr>
          </w:p>
        </w:tc>
        <w:tc>
          <w:tcPr>
            <w:tcW w:w="2552" w:type="dxa"/>
            <w:vMerge w:val="continue"/>
            <w:vAlign w:val="center"/>
          </w:tcPr>
          <w:p>
            <w:pPr>
              <w:jc w:val="center"/>
              <w:rPr>
                <w:rFonts w:ascii="宋体" w:hAnsi="宋体"/>
                <w:szCs w:val="21"/>
                <w:highlight w:val="none"/>
              </w:rPr>
            </w:pPr>
          </w:p>
        </w:tc>
        <w:tc>
          <w:tcPr>
            <w:tcW w:w="1190" w:type="dxa"/>
            <w:vMerge w:val="continue"/>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highlight w:val="none"/>
              </w:rPr>
            </w:pPr>
          </w:p>
        </w:tc>
        <w:tc>
          <w:tcPr>
            <w:tcW w:w="1106" w:type="dxa"/>
            <w:vAlign w:val="center"/>
          </w:tcPr>
          <w:p>
            <w:pPr>
              <w:jc w:val="center"/>
              <w:rPr>
                <w:rFonts w:ascii="宋体" w:hAnsi="宋体"/>
                <w:szCs w:val="21"/>
                <w:highlight w:val="none"/>
              </w:rPr>
            </w:pPr>
          </w:p>
        </w:tc>
        <w:tc>
          <w:tcPr>
            <w:tcW w:w="1984" w:type="dxa"/>
            <w:vAlign w:val="center"/>
          </w:tcPr>
          <w:p>
            <w:pPr>
              <w:jc w:val="center"/>
              <w:rPr>
                <w:rFonts w:ascii="宋体" w:hAnsi="宋体"/>
                <w:szCs w:val="21"/>
                <w:highlight w:val="none"/>
              </w:rPr>
            </w:pPr>
          </w:p>
        </w:tc>
        <w:tc>
          <w:tcPr>
            <w:tcW w:w="1701" w:type="dxa"/>
            <w:vAlign w:val="center"/>
          </w:tcPr>
          <w:p>
            <w:pPr>
              <w:jc w:val="center"/>
              <w:rPr>
                <w:rFonts w:ascii="宋体" w:hAnsi="宋体"/>
                <w:szCs w:val="21"/>
                <w:highlight w:val="none"/>
              </w:rPr>
            </w:pPr>
          </w:p>
        </w:tc>
        <w:tc>
          <w:tcPr>
            <w:tcW w:w="2552" w:type="dxa"/>
            <w:vAlign w:val="center"/>
          </w:tcPr>
          <w:p>
            <w:pPr>
              <w:jc w:val="center"/>
              <w:rPr>
                <w:rFonts w:ascii="宋体" w:hAnsi="宋体"/>
                <w:szCs w:val="21"/>
                <w:highlight w:val="none"/>
              </w:rPr>
            </w:pPr>
          </w:p>
        </w:tc>
        <w:tc>
          <w:tcPr>
            <w:tcW w:w="1190" w:type="dxa"/>
            <w:vAlign w:val="center"/>
          </w:tcPr>
          <w:p>
            <w:pPr>
              <w:jc w:val="center"/>
              <w:rPr>
                <w:rFonts w:ascii="宋体" w:hAnsi="宋体"/>
                <w:szCs w:val="21"/>
                <w:highlight w:val="none"/>
              </w:rPr>
            </w:pPr>
          </w:p>
        </w:tc>
      </w:tr>
    </w:tbl>
    <w:p>
      <w:pPr>
        <w:pStyle w:val="6"/>
        <w:spacing w:beforeLines="50" w:after="240" w:line="400" w:lineRule="exact"/>
        <w:rPr>
          <w:rFonts w:ascii="Arial" w:hAnsi="Arial" w:eastAsia="黑体"/>
          <w:kern w:val="2"/>
          <w:sz w:val="28"/>
          <w:szCs w:val="28"/>
          <w:highlight w:val="none"/>
        </w:rPr>
      </w:pPr>
      <w:r>
        <w:rPr>
          <w:rFonts w:hint="eastAsia" w:ascii="Arial" w:hAnsi="Arial" w:eastAsia="黑体"/>
          <w:kern w:val="2"/>
          <w:sz w:val="28"/>
          <w:szCs w:val="28"/>
          <w:highlight w:val="none"/>
        </w:rPr>
        <w:t>附表九合同用款估算表</w:t>
      </w:r>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highlight w:val="none"/>
              </w:rPr>
            </w:pPr>
            <w:r>
              <w:rPr>
                <w:rFonts w:hint="eastAsia" w:ascii="宋体" w:hAnsi="宋体"/>
                <w:szCs w:val="21"/>
                <w:highlight w:val="none"/>
              </w:rPr>
              <w:t>从开工月算起的时间（月）</w:t>
            </w:r>
          </w:p>
        </w:tc>
        <w:tc>
          <w:tcPr>
            <w:tcW w:w="6925" w:type="dxa"/>
            <w:gridSpan w:val="4"/>
            <w:vAlign w:val="center"/>
          </w:tcPr>
          <w:p>
            <w:pPr>
              <w:jc w:val="center"/>
              <w:rPr>
                <w:rFonts w:ascii="宋体" w:hAnsi="宋体"/>
                <w:szCs w:val="21"/>
                <w:highlight w:val="none"/>
              </w:rPr>
            </w:pPr>
            <w:r>
              <w:rPr>
                <w:rFonts w:hint="eastAsia" w:ascii="宋体" w:hAnsi="宋体"/>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3462"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分  期</w:t>
            </w:r>
          </w:p>
        </w:tc>
        <w:tc>
          <w:tcPr>
            <w:tcW w:w="3463"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1" w:type="dxa"/>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2" w:type="dxa"/>
            <w:vAlign w:val="center"/>
          </w:tcPr>
          <w:p>
            <w:pPr>
              <w:jc w:val="cente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第一次开工预付款</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4～6</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7～9</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10～12</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13～15</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缺陷责任期</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小计</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100．00</w:t>
            </w: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highlight w:val="none"/>
              </w:rPr>
            </w:pPr>
            <w:r>
              <w:rPr>
                <w:rFonts w:hint="eastAsia" w:ascii="宋体" w:hAnsi="宋体"/>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highlight w:val="none"/>
              </w:rPr>
            </w:pPr>
            <w:r>
              <w:rPr>
                <w:rFonts w:hint="eastAsia" w:ascii="宋体" w:hAnsi="宋体"/>
                <w:szCs w:val="21"/>
                <w:highlight w:val="none"/>
              </w:rPr>
              <w:t>说</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明</w:t>
            </w:r>
          </w:p>
        </w:tc>
        <w:tc>
          <w:tcPr>
            <w:tcW w:w="8922" w:type="dxa"/>
            <w:gridSpan w:val="5"/>
            <w:vAlign w:val="center"/>
          </w:tcPr>
          <w:p>
            <w:pPr>
              <w:widowControl/>
              <w:jc w:val="center"/>
              <w:rPr>
                <w:rFonts w:ascii="宋体" w:hAnsi="宋体"/>
                <w:szCs w:val="21"/>
                <w:highlight w:val="none"/>
              </w:rPr>
            </w:pPr>
          </w:p>
          <w:p>
            <w:pPr>
              <w:jc w:val="center"/>
              <w:rPr>
                <w:rFonts w:ascii="宋体" w:hAnsi="宋体"/>
                <w:szCs w:val="21"/>
                <w:highlight w:val="none"/>
              </w:rPr>
            </w:pPr>
          </w:p>
        </w:tc>
      </w:tr>
    </w:tbl>
    <w:p>
      <w:pPr>
        <w:jc w:val="center"/>
        <w:rPr>
          <w:rFonts w:ascii="隶书" w:hAnsi="宋体" w:eastAsia="隶书"/>
          <w:sz w:val="24"/>
          <w:highlight w:val="none"/>
        </w:rPr>
      </w:pPr>
    </w:p>
    <w:p>
      <w:pPr>
        <w:rPr>
          <w:rFonts w:ascii="宋体" w:hAnsi="宋体"/>
          <w:szCs w:val="21"/>
          <w:highlight w:val="none"/>
        </w:rPr>
      </w:pPr>
      <w:r>
        <w:rPr>
          <w:rFonts w:hint="eastAsia" w:ascii="宋体" w:hAnsi="宋体"/>
          <w:szCs w:val="21"/>
          <w:highlight w:val="none"/>
        </w:rPr>
        <w:t>注：1.投标人可按附表一的工程进度估算并填写本表。</w:t>
      </w:r>
    </w:p>
    <w:p>
      <w:pPr>
        <w:ind w:left="630" w:hanging="630"/>
        <w:rPr>
          <w:rFonts w:ascii="宋体" w:hAnsi="宋体"/>
          <w:szCs w:val="21"/>
          <w:highlight w:val="none"/>
        </w:rPr>
      </w:pPr>
      <w:r>
        <w:rPr>
          <w:rFonts w:hint="eastAsia" w:ascii="宋体" w:hAnsi="宋体"/>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highlight w:val="none"/>
        </w:rPr>
      </w:pPr>
    </w:p>
    <w:p>
      <w:pPr>
        <w:pStyle w:val="6"/>
        <w:pageBreakBefore/>
        <w:spacing w:beforeLines="100" w:afterLines="150" w:line="360" w:lineRule="exact"/>
        <w:jc w:val="center"/>
        <w:rPr>
          <w:rFonts w:ascii="黑体" w:hAnsi="宋体" w:eastAsia="黑体"/>
          <w:sz w:val="28"/>
          <w:szCs w:val="28"/>
          <w:highlight w:val="none"/>
        </w:rPr>
      </w:pPr>
      <w:r>
        <w:rPr>
          <w:rFonts w:hint="eastAsia" w:ascii="黑体" w:hAnsi="宋体" w:eastAsia="黑体"/>
          <w:sz w:val="28"/>
          <w:szCs w:val="28"/>
          <w:highlight w:val="none"/>
        </w:rPr>
        <w:t>五</w:t>
      </w:r>
      <w:r>
        <w:rPr>
          <w:rFonts w:ascii="黑体" w:hAnsi="宋体" w:eastAsia="黑体"/>
          <w:sz w:val="28"/>
          <w:szCs w:val="28"/>
          <w:highlight w:val="none"/>
        </w:rPr>
        <w:t>、项目管理机构</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3" w:hRule="atLeast"/>
          <w:jc w:val="center"/>
        </w:trPr>
        <w:tc>
          <w:tcPr>
            <w:tcW w:w="9639" w:type="dxa"/>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说明</w:t>
            </w:r>
          </w:p>
        </w:tc>
      </w:tr>
    </w:tbl>
    <w:p>
      <w:pPr>
        <w:rPr>
          <w:highlight w:val="none"/>
        </w:rPr>
      </w:pPr>
    </w:p>
    <w:p>
      <w:pPr>
        <w:pStyle w:val="6"/>
        <w:spacing w:beforeLines="100" w:afterLines="150" w:line="360" w:lineRule="exact"/>
        <w:jc w:val="center"/>
        <w:rPr>
          <w:rFonts w:ascii="黑体" w:hAnsi="宋体" w:eastAsia="黑体"/>
          <w:sz w:val="28"/>
          <w:szCs w:val="28"/>
          <w:highlight w:val="none"/>
        </w:rPr>
      </w:pPr>
      <w:bookmarkStart w:id="253" w:name="_Toc486277938"/>
      <w:bookmarkStart w:id="254" w:name="_Toc234382977"/>
      <w:bookmarkStart w:id="255" w:name="_Toc485889072"/>
      <w:bookmarkStart w:id="256" w:name="_Toc18211"/>
      <w:r>
        <w:rPr>
          <w:rFonts w:hint="eastAsia" w:ascii="黑体" w:hAnsi="宋体" w:eastAsia="黑体"/>
          <w:sz w:val="28"/>
          <w:szCs w:val="28"/>
          <w:highlight w:val="none"/>
        </w:rPr>
        <w:t>六、资格审查资料</w:t>
      </w:r>
      <w:bookmarkEnd w:id="253"/>
      <w:bookmarkEnd w:id="254"/>
      <w:bookmarkEnd w:id="255"/>
      <w:bookmarkEnd w:id="256"/>
    </w:p>
    <w:p>
      <w:pPr>
        <w:pStyle w:val="6"/>
        <w:spacing w:beforeLines="100" w:afterLines="150" w:line="360" w:lineRule="exact"/>
        <w:jc w:val="center"/>
        <w:rPr>
          <w:rFonts w:ascii="黑体" w:hAnsi="宋体" w:eastAsia="黑体"/>
          <w:sz w:val="28"/>
          <w:szCs w:val="28"/>
          <w:highlight w:val="none"/>
        </w:rPr>
      </w:pPr>
      <w:bookmarkStart w:id="257" w:name="_Toc9432"/>
      <w:bookmarkStart w:id="258" w:name="_Toc234382978"/>
      <w:bookmarkStart w:id="259" w:name="_Toc486277939"/>
      <w:bookmarkStart w:id="260" w:name="_Toc485889073"/>
      <w:r>
        <w:rPr>
          <w:rFonts w:hint="eastAsia" w:ascii="黑体" w:hAnsi="宋体" w:eastAsia="黑体"/>
          <w:sz w:val="28"/>
          <w:szCs w:val="28"/>
          <w:highlight w:val="none"/>
        </w:rPr>
        <w:t>（一）投标人基本情况表</w:t>
      </w:r>
      <w:bookmarkEnd w:id="257"/>
      <w:bookmarkEnd w:id="258"/>
      <w:bookmarkEnd w:id="259"/>
      <w:bookmarkEnd w:id="260"/>
    </w:p>
    <w:tbl>
      <w:tblPr>
        <w:tblStyle w:val="16"/>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注册地址</w:t>
            </w:r>
          </w:p>
        </w:tc>
        <w:tc>
          <w:tcPr>
            <w:tcW w:w="3846" w:type="dxa"/>
            <w:gridSpan w:val="4"/>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邮政编码</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联系方式</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联系人</w:t>
            </w:r>
          </w:p>
        </w:tc>
        <w:tc>
          <w:tcPr>
            <w:tcW w:w="2836" w:type="dxa"/>
            <w:gridSpan w:val="3"/>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highlight w:val="none"/>
              </w:rPr>
            </w:pPr>
          </w:p>
        </w:tc>
        <w:tc>
          <w:tcPr>
            <w:tcW w:w="1010" w:type="dxa"/>
            <w:vAlign w:val="center"/>
          </w:tcPr>
          <w:p>
            <w:pPr>
              <w:tabs>
                <w:tab w:val="left" w:pos="540"/>
              </w:tabs>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传真</w:t>
            </w:r>
          </w:p>
        </w:tc>
        <w:tc>
          <w:tcPr>
            <w:tcW w:w="2836" w:type="dxa"/>
            <w:gridSpan w:val="3"/>
            <w:vAlign w:val="center"/>
          </w:tcPr>
          <w:p>
            <w:pPr>
              <w:autoSpaceDE w:val="0"/>
              <w:autoSpaceDN w:val="0"/>
              <w:adjustRightInd w:val="0"/>
              <w:jc w:val="center"/>
              <w:rPr>
                <w:rFonts w:ascii="宋体" w:hAnsi="宋体"/>
                <w:kern w:val="0"/>
                <w:szCs w:val="21"/>
                <w:highlight w:val="none"/>
              </w:rPr>
            </w:pPr>
          </w:p>
        </w:tc>
        <w:tc>
          <w:tcPr>
            <w:tcW w:w="121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电子邮件</w:t>
            </w:r>
          </w:p>
        </w:tc>
        <w:tc>
          <w:tcPr>
            <w:tcW w:w="2639" w:type="dxa"/>
            <w:gridSpan w:val="3"/>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姓名</w:t>
            </w:r>
          </w:p>
        </w:tc>
        <w:tc>
          <w:tcPr>
            <w:tcW w:w="1070" w:type="dxa"/>
            <w:vAlign w:val="center"/>
          </w:tcPr>
          <w:p>
            <w:pPr>
              <w:autoSpaceDE w:val="0"/>
              <w:autoSpaceDN w:val="0"/>
              <w:adjustRightInd w:val="0"/>
              <w:jc w:val="center"/>
              <w:rPr>
                <w:rFonts w:ascii="宋体" w:hAnsi="宋体"/>
                <w:kern w:val="0"/>
                <w:szCs w:val="21"/>
                <w:highlight w:val="none"/>
              </w:rPr>
            </w:pPr>
          </w:p>
        </w:tc>
        <w:tc>
          <w:tcPr>
            <w:tcW w:w="141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技术职称</w:t>
            </w:r>
          </w:p>
        </w:tc>
        <w:tc>
          <w:tcPr>
            <w:tcW w:w="2119" w:type="dxa"/>
            <w:gridSpan w:val="3"/>
            <w:vAlign w:val="center"/>
          </w:tcPr>
          <w:p>
            <w:pPr>
              <w:autoSpaceDE w:val="0"/>
              <w:autoSpaceDN w:val="0"/>
              <w:adjustRightInd w:val="0"/>
              <w:jc w:val="center"/>
              <w:rPr>
                <w:rFonts w:ascii="宋体" w:hAnsi="宋体"/>
                <w:kern w:val="0"/>
                <w:szCs w:val="21"/>
                <w:highlight w:val="none"/>
              </w:rPr>
            </w:pPr>
          </w:p>
        </w:tc>
        <w:tc>
          <w:tcPr>
            <w:tcW w:w="96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1116" w:type="dxa"/>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1010"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姓名</w:t>
            </w:r>
          </w:p>
        </w:tc>
        <w:tc>
          <w:tcPr>
            <w:tcW w:w="1070" w:type="dxa"/>
            <w:vAlign w:val="center"/>
          </w:tcPr>
          <w:p>
            <w:pPr>
              <w:autoSpaceDE w:val="0"/>
              <w:autoSpaceDN w:val="0"/>
              <w:adjustRightInd w:val="0"/>
              <w:jc w:val="center"/>
              <w:rPr>
                <w:rFonts w:ascii="宋体" w:hAnsi="宋体"/>
                <w:kern w:val="0"/>
                <w:szCs w:val="21"/>
                <w:highlight w:val="none"/>
              </w:rPr>
            </w:pPr>
          </w:p>
        </w:tc>
        <w:tc>
          <w:tcPr>
            <w:tcW w:w="141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技术职称</w:t>
            </w:r>
          </w:p>
        </w:tc>
        <w:tc>
          <w:tcPr>
            <w:tcW w:w="2119" w:type="dxa"/>
            <w:gridSpan w:val="3"/>
            <w:vAlign w:val="center"/>
          </w:tcPr>
          <w:p>
            <w:pPr>
              <w:autoSpaceDE w:val="0"/>
              <w:autoSpaceDN w:val="0"/>
              <w:adjustRightInd w:val="0"/>
              <w:jc w:val="center"/>
              <w:rPr>
                <w:rFonts w:ascii="宋体" w:hAnsi="宋体"/>
                <w:kern w:val="0"/>
                <w:szCs w:val="21"/>
                <w:highlight w:val="none"/>
              </w:rPr>
            </w:pPr>
          </w:p>
        </w:tc>
        <w:tc>
          <w:tcPr>
            <w:tcW w:w="966"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电话</w:t>
            </w:r>
          </w:p>
        </w:tc>
        <w:tc>
          <w:tcPr>
            <w:tcW w:w="1116" w:type="dxa"/>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成立时间</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kern w:val="0"/>
                <w:szCs w:val="21"/>
                <w:highlight w:val="none"/>
                <w:u w:val="single"/>
              </w:rPr>
            </w:pPr>
            <w:r>
              <w:rPr>
                <w:rFonts w:hint="eastAsia" w:ascii="宋体" w:hAnsi="宋体" w:cs="MingLiU"/>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restart"/>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其中</w:t>
            </w: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项目经理</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营业执照号</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注册资金</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基本账户账号</w:t>
            </w:r>
          </w:p>
        </w:tc>
        <w:tc>
          <w:tcPr>
            <w:tcW w:w="2080" w:type="dxa"/>
            <w:gridSpan w:val="2"/>
            <w:vAlign w:val="center"/>
          </w:tcPr>
          <w:p>
            <w:pPr>
              <w:autoSpaceDE w:val="0"/>
              <w:autoSpaceDN w:val="0"/>
              <w:adjustRightInd w:val="0"/>
              <w:jc w:val="center"/>
              <w:rPr>
                <w:rFonts w:ascii="宋体" w:hAnsi="宋体"/>
                <w:kern w:val="0"/>
                <w:szCs w:val="21"/>
                <w:highlight w:val="none"/>
              </w:rPr>
            </w:pPr>
          </w:p>
        </w:tc>
        <w:tc>
          <w:tcPr>
            <w:tcW w:w="1416" w:type="dxa"/>
            <w:vMerge w:val="continue"/>
            <w:vAlign w:val="center"/>
          </w:tcPr>
          <w:p>
            <w:pPr>
              <w:autoSpaceDE w:val="0"/>
              <w:autoSpaceDN w:val="0"/>
              <w:adjustRightInd w:val="0"/>
              <w:jc w:val="center"/>
              <w:rPr>
                <w:rFonts w:ascii="宋体" w:hAnsi="宋体"/>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highlight w:val="none"/>
              </w:rPr>
            </w:pPr>
            <w:r>
              <w:rPr>
                <w:rFonts w:hint="eastAsia" w:ascii="宋体" w:hAnsi="宋体" w:cs="MingLiU"/>
                <w:kern w:val="0"/>
                <w:szCs w:val="21"/>
                <w:highlight w:val="none"/>
              </w:rPr>
              <w:t>技工</w:t>
            </w:r>
          </w:p>
        </w:tc>
        <w:tc>
          <w:tcPr>
            <w:tcW w:w="2082" w:type="dxa"/>
            <w:gridSpan w:val="2"/>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highlight w:val="none"/>
              </w:rPr>
            </w:pPr>
            <w:r>
              <w:rPr>
                <w:rFonts w:hint="eastAsia" w:ascii="宋体" w:hAnsi="宋体" w:cs="MingLiU"/>
                <w:kern w:val="0"/>
                <w:szCs w:val="21"/>
                <w:highlight w:val="none"/>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highlight w:val="none"/>
              </w:rPr>
            </w:pPr>
            <w:r>
              <w:rPr>
                <w:rFonts w:hint="eastAsia" w:ascii="宋体" w:hAnsi="宋体" w:cs="MingLiU"/>
                <w:kern w:val="0"/>
                <w:szCs w:val="21"/>
                <w:highlight w:val="none"/>
              </w:rPr>
              <w:t>备    注</w:t>
            </w:r>
          </w:p>
        </w:tc>
        <w:tc>
          <w:tcPr>
            <w:tcW w:w="7697" w:type="dxa"/>
            <w:gridSpan w:val="8"/>
            <w:vAlign w:val="center"/>
          </w:tcPr>
          <w:p>
            <w:pPr>
              <w:autoSpaceDE w:val="0"/>
              <w:autoSpaceDN w:val="0"/>
              <w:adjustRightInd w:val="0"/>
              <w:jc w:val="center"/>
              <w:rPr>
                <w:rFonts w:ascii="宋体" w:hAnsi="宋体"/>
                <w:kern w:val="0"/>
                <w:szCs w:val="21"/>
                <w:highlight w:val="none"/>
              </w:rPr>
            </w:pPr>
          </w:p>
        </w:tc>
      </w:tr>
    </w:tbl>
    <w:p>
      <w:pPr>
        <w:rPr>
          <w:rFonts w:ascii="宋体" w:hAnsi="宋体"/>
          <w:szCs w:val="21"/>
          <w:highlight w:val="none"/>
        </w:rPr>
      </w:pPr>
      <w:r>
        <w:rPr>
          <w:rFonts w:hint="eastAsia" w:ascii="宋体" w:hAnsi="宋体"/>
          <w:szCs w:val="21"/>
          <w:highlight w:val="none"/>
        </w:rPr>
        <w:t>注：</w:t>
      </w:r>
      <w:bookmarkStart w:id="261" w:name="_Toc234382979"/>
      <w:bookmarkStart w:id="262" w:name="_Toc486277940"/>
      <w:bookmarkStart w:id="263" w:name="_Toc485889074"/>
      <w:bookmarkStart w:id="264" w:name="_Toc10076"/>
      <w:r>
        <w:rPr>
          <w:rFonts w:hint="eastAsia" w:ascii="宋体" w:hAnsi="宋体"/>
          <w:szCs w:val="21"/>
          <w:highlight w:val="none"/>
        </w:rPr>
        <w:t>后</w:t>
      </w:r>
      <w:r>
        <w:rPr>
          <w:rFonts w:ascii="宋体" w:hAnsi="宋体"/>
          <w:szCs w:val="21"/>
          <w:highlight w:val="none"/>
        </w:rPr>
        <w:t>附</w:t>
      </w:r>
      <w:r>
        <w:rPr>
          <w:rFonts w:hint="eastAsia" w:ascii="宋体" w:hAnsi="宋体"/>
          <w:szCs w:val="21"/>
          <w:highlight w:val="none"/>
        </w:rPr>
        <w:t>企业法人</w:t>
      </w:r>
      <w:r>
        <w:rPr>
          <w:rFonts w:ascii="宋体" w:hAnsi="宋体"/>
          <w:szCs w:val="21"/>
          <w:highlight w:val="none"/>
        </w:rPr>
        <w:t>营业执照副本</w:t>
      </w:r>
      <w:r>
        <w:rPr>
          <w:rFonts w:hint="eastAsia" w:ascii="宋体" w:hAnsi="宋体"/>
          <w:szCs w:val="21"/>
          <w:highlight w:val="none"/>
        </w:rPr>
        <w:t>、施工资质证书副本、安全生产许可证副本、基本账户开户许可证的原件扫描件（或图片）并加盖单位章</w:t>
      </w:r>
    </w:p>
    <w:p>
      <w:pPr>
        <w:rPr>
          <w:rFonts w:ascii="黑体" w:hAnsi="宋体" w:eastAsia="黑体"/>
          <w:sz w:val="28"/>
          <w:szCs w:val="28"/>
          <w:highlight w:val="none"/>
        </w:rPr>
      </w:pPr>
    </w:p>
    <w:p>
      <w:pPr>
        <w:pStyle w:val="2"/>
        <w:ind w:firstLine="210"/>
        <w:rPr>
          <w:highlight w:val="none"/>
        </w:rPr>
      </w:pPr>
    </w:p>
    <w:p>
      <w:pPr>
        <w:jc w:val="center"/>
        <w:rPr>
          <w:rFonts w:ascii="黑体" w:hAnsi="宋体" w:eastAsia="黑体"/>
          <w:sz w:val="28"/>
          <w:szCs w:val="28"/>
          <w:highlight w:val="none"/>
        </w:rPr>
      </w:pPr>
      <w:r>
        <w:rPr>
          <w:rFonts w:hint="eastAsia" w:ascii="黑体" w:hAnsi="宋体" w:eastAsia="黑体"/>
          <w:sz w:val="28"/>
          <w:szCs w:val="28"/>
          <w:highlight w:val="none"/>
        </w:rPr>
        <w:t>（二）投标人企业组织结构框图</w:t>
      </w:r>
      <w:bookmarkEnd w:id="261"/>
      <w:bookmarkEnd w:id="262"/>
      <w:bookmarkEnd w:id="263"/>
      <w:bookmarkEnd w:id="264"/>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Pr>
          <w:p>
            <w:pPr>
              <w:rPr>
                <w:highlight w:val="none"/>
              </w:rPr>
            </w:pPr>
          </w:p>
          <w:p>
            <w:pPr>
              <w:rPr>
                <w:rFonts w:cs="宋体"/>
                <w:szCs w:val="21"/>
                <w:highlight w:val="none"/>
              </w:rPr>
            </w:pPr>
            <w:r>
              <w:rPr>
                <w:rFonts w:hint="eastAsia" w:cs="宋体"/>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Pr>
          <w:p>
            <w:pPr>
              <w:rPr>
                <w:rFonts w:cs="宋体"/>
                <w:sz w:val="24"/>
                <w:highlight w:val="none"/>
              </w:rPr>
            </w:pPr>
          </w:p>
          <w:p>
            <w:pPr>
              <w:rPr>
                <w:rFonts w:cs="宋体"/>
                <w:szCs w:val="21"/>
                <w:highlight w:val="none"/>
              </w:rPr>
            </w:pPr>
            <w:r>
              <w:rPr>
                <w:rFonts w:hint="eastAsia" w:cs="宋体"/>
                <w:szCs w:val="21"/>
                <w:highlight w:val="none"/>
              </w:rPr>
              <w:t>说明</w:t>
            </w:r>
          </w:p>
        </w:tc>
      </w:tr>
    </w:tbl>
    <w:p>
      <w:pPr>
        <w:pStyle w:val="6"/>
        <w:spacing w:beforeLines="100" w:afterLines="150" w:line="360" w:lineRule="exact"/>
        <w:jc w:val="center"/>
        <w:rPr>
          <w:rFonts w:ascii="黑体" w:hAnsi="宋体" w:eastAsia="黑体"/>
          <w:b w:val="0"/>
          <w:bCs w:val="0"/>
          <w:sz w:val="28"/>
          <w:szCs w:val="28"/>
          <w:highlight w:val="none"/>
        </w:rPr>
      </w:pPr>
      <w:r>
        <w:rPr>
          <w:highlight w:val="none"/>
        </w:rPr>
        <w:br w:type="page"/>
      </w:r>
      <w:bookmarkStart w:id="265" w:name="_Toc234242180"/>
      <w:bookmarkStart w:id="266" w:name="_Toc485889076"/>
      <w:bookmarkStart w:id="267" w:name="_Toc193904176"/>
      <w:bookmarkStart w:id="268" w:name="_Toc234382981"/>
    </w:p>
    <w:p>
      <w:pPr>
        <w:ind w:left="105" w:firstLine="315"/>
        <w:jc w:val="center"/>
        <w:rPr>
          <w:rFonts w:ascii="宋体" w:hAnsi="宋体"/>
          <w:szCs w:val="21"/>
          <w:highlight w:val="none"/>
        </w:rPr>
      </w:pPr>
      <w:r>
        <w:rPr>
          <w:rFonts w:hint="eastAsia" w:ascii="黑体" w:hAnsi="宋体" w:eastAsia="黑体"/>
          <w:b/>
          <w:bCs/>
          <w:kern w:val="44"/>
          <w:sz w:val="28"/>
          <w:szCs w:val="28"/>
          <w:highlight w:val="none"/>
        </w:rPr>
        <w:t>（三）近年财务状况表</w:t>
      </w:r>
      <w:bookmarkEnd w:id="265"/>
      <w:bookmarkEnd w:id="266"/>
      <w:bookmarkEnd w:id="267"/>
      <w:bookmarkEnd w:id="268"/>
    </w:p>
    <w:p>
      <w:pPr>
        <w:spacing w:after="120"/>
        <w:jc w:val="center"/>
        <w:rPr>
          <w:rFonts w:ascii="黑体" w:eastAsia="黑体"/>
          <w:b/>
          <w:sz w:val="24"/>
          <w:highlight w:val="none"/>
        </w:rPr>
      </w:pPr>
      <w:r>
        <w:rPr>
          <w:rFonts w:hint="eastAsia" w:ascii="黑体" w:eastAsia="黑体"/>
          <w:b/>
          <w:sz w:val="24"/>
          <w:highlight w:val="none"/>
        </w:rPr>
        <w:t>财务状况表</w:t>
      </w: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highlight w:val="none"/>
              </w:rPr>
            </w:pPr>
            <w:r>
              <w:rPr>
                <w:rFonts w:hint="eastAsia" w:ascii="宋体" w:hAnsi="宋体"/>
                <w:szCs w:val="21"/>
                <w:highlight w:val="none"/>
              </w:rPr>
              <w:t>项目或指标</w:t>
            </w:r>
          </w:p>
        </w:tc>
        <w:tc>
          <w:tcPr>
            <w:tcW w:w="990" w:type="dxa"/>
            <w:vAlign w:val="center"/>
          </w:tcPr>
          <w:p>
            <w:pPr>
              <w:jc w:val="center"/>
              <w:rPr>
                <w:rFonts w:ascii="宋体" w:hAnsi="宋体"/>
                <w:szCs w:val="21"/>
                <w:highlight w:val="none"/>
              </w:rPr>
            </w:pPr>
            <w:r>
              <w:rPr>
                <w:rFonts w:hint="eastAsia" w:ascii="宋体" w:hAnsi="宋体"/>
                <w:szCs w:val="21"/>
                <w:highlight w:val="none"/>
              </w:rPr>
              <w:t>单位</w:t>
            </w:r>
          </w:p>
        </w:tc>
        <w:tc>
          <w:tcPr>
            <w:tcW w:w="1258" w:type="dxa"/>
            <w:vAlign w:val="center"/>
          </w:tcPr>
          <w:p>
            <w:pPr>
              <w:jc w:val="center"/>
              <w:rPr>
                <w:rFonts w:ascii="宋体" w:hAnsi="宋体"/>
                <w:szCs w:val="21"/>
                <w:highlight w:val="none"/>
              </w:rPr>
            </w:pPr>
            <w:r>
              <w:rPr>
                <w:rFonts w:hint="eastAsia" w:ascii="宋体" w:hAnsi="宋体"/>
                <w:szCs w:val="21"/>
                <w:highlight w:val="none"/>
              </w:rPr>
              <w:t>年</w:t>
            </w:r>
          </w:p>
        </w:tc>
        <w:tc>
          <w:tcPr>
            <w:tcW w:w="1259" w:type="dxa"/>
            <w:vAlign w:val="center"/>
          </w:tcPr>
          <w:p>
            <w:pPr>
              <w:jc w:val="center"/>
              <w:rPr>
                <w:rFonts w:ascii="宋体" w:hAnsi="宋体"/>
                <w:szCs w:val="21"/>
                <w:highlight w:val="none"/>
              </w:rPr>
            </w:pPr>
            <w:r>
              <w:rPr>
                <w:rFonts w:hint="eastAsia" w:ascii="宋体" w:hAnsi="宋体"/>
                <w:szCs w:val="21"/>
                <w:highlight w:val="none"/>
              </w:rPr>
              <w:t>年</w:t>
            </w:r>
          </w:p>
        </w:tc>
        <w:tc>
          <w:tcPr>
            <w:tcW w:w="1259" w:type="dxa"/>
            <w:vAlign w:val="center"/>
          </w:tcPr>
          <w:p>
            <w:pPr>
              <w:jc w:val="center"/>
              <w:rPr>
                <w:rFonts w:ascii="宋体" w:hAnsi="宋体"/>
                <w:szCs w:val="21"/>
                <w:highlight w:val="none"/>
              </w:rPr>
            </w:pPr>
            <w:r>
              <w:rPr>
                <w:rFonts w:hint="eastAsia" w:ascii="宋体" w:hAnsi="宋体"/>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一、注册资金</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二、净资产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三、总资产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四、固定资产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五、流动资产</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六、流动负债</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七、负债合计</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八、营业收入</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九、净利润</w:t>
            </w:r>
          </w:p>
        </w:tc>
        <w:tc>
          <w:tcPr>
            <w:tcW w:w="990" w:type="dxa"/>
            <w:vAlign w:val="center"/>
          </w:tcPr>
          <w:p>
            <w:pPr>
              <w:jc w:val="center"/>
              <w:rPr>
                <w:rFonts w:ascii="宋体" w:hAnsi="宋体"/>
                <w:szCs w:val="21"/>
                <w:highlight w:val="none"/>
              </w:rPr>
            </w:pPr>
            <w:r>
              <w:rPr>
                <w:rFonts w:hint="eastAsia" w:ascii="宋体" w:hAnsi="宋体"/>
                <w:szCs w:val="21"/>
                <w:highlight w:val="none"/>
              </w:rPr>
              <w:t>万元</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十、现金流量净额</w:t>
            </w:r>
          </w:p>
        </w:tc>
        <w:tc>
          <w:tcPr>
            <w:tcW w:w="990" w:type="dxa"/>
            <w:vAlign w:val="center"/>
          </w:tcPr>
          <w:p>
            <w:pPr>
              <w:jc w:val="center"/>
              <w:rPr>
                <w:rFonts w:ascii="宋体" w:hAnsi="宋体"/>
                <w:szCs w:val="21"/>
                <w:highlight w:val="none"/>
              </w:rPr>
            </w:pP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highlight w:val="none"/>
              </w:rPr>
            </w:pPr>
            <w:r>
              <w:rPr>
                <w:rFonts w:hint="eastAsia" w:ascii="宋体" w:hAnsi="宋体"/>
                <w:szCs w:val="21"/>
                <w:highlight w:val="none"/>
              </w:rPr>
              <w:t>十一、主要财务指标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1．净资产收益率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2．总资产报酬</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3．主营业务利润率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4．资产负债率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5、流动比率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highlight w:val="none"/>
              </w:rPr>
            </w:pPr>
            <w:r>
              <w:rPr>
                <w:rFonts w:hint="eastAsia" w:ascii="宋体" w:hAnsi="宋体"/>
                <w:szCs w:val="21"/>
                <w:highlight w:val="none"/>
              </w:rPr>
              <w:t>6、速动比率</w:t>
            </w:r>
          </w:p>
        </w:tc>
        <w:tc>
          <w:tcPr>
            <w:tcW w:w="990" w:type="dxa"/>
            <w:vAlign w:val="center"/>
          </w:tcPr>
          <w:p>
            <w:pPr>
              <w:jc w:val="center"/>
              <w:rPr>
                <w:rFonts w:ascii="宋体" w:hAnsi="宋体"/>
                <w:szCs w:val="21"/>
                <w:highlight w:val="none"/>
              </w:rPr>
            </w:pPr>
            <w:r>
              <w:rPr>
                <w:rFonts w:hint="eastAsia" w:ascii="宋体" w:hAnsi="宋体"/>
                <w:szCs w:val="21"/>
                <w:highlight w:val="none"/>
              </w:rPr>
              <w:t>%</w:t>
            </w:r>
          </w:p>
        </w:tc>
        <w:tc>
          <w:tcPr>
            <w:tcW w:w="1258"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c>
          <w:tcPr>
            <w:tcW w:w="1259" w:type="dxa"/>
            <w:vAlign w:val="center"/>
          </w:tcPr>
          <w:p>
            <w:pPr>
              <w:jc w:val="center"/>
              <w:rPr>
                <w:rFonts w:ascii="宋体" w:hAnsi="宋体"/>
                <w:szCs w:val="21"/>
                <w:highlight w:val="none"/>
              </w:rPr>
            </w:pPr>
          </w:p>
        </w:tc>
      </w:tr>
    </w:tbl>
    <w:p>
      <w:pPr>
        <w:spacing w:line="400" w:lineRule="exact"/>
        <w:rPr>
          <w:rFonts w:ascii="宋体" w:hAnsi="宋体"/>
          <w:szCs w:val="21"/>
          <w:highlight w:val="none"/>
        </w:rPr>
      </w:pPr>
      <w:r>
        <w:rPr>
          <w:rFonts w:hint="eastAsia" w:ascii="宋体" w:hAnsi="宋体"/>
          <w:szCs w:val="21"/>
          <w:highlight w:val="none"/>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jc w:val="center"/>
        <w:rPr>
          <w:rFonts w:ascii="隶书" w:eastAsia="隶书"/>
          <w:sz w:val="24"/>
          <w:highlight w:val="none"/>
        </w:rPr>
      </w:pPr>
    </w:p>
    <w:p>
      <w:pPr>
        <w:pStyle w:val="6"/>
        <w:spacing w:beforeLines="100" w:afterLines="100" w:line="360" w:lineRule="exact"/>
        <w:jc w:val="center"/>
        <w:rPr>
          <w:rFonts w:ascii="黑体" w:hAnsi="宋体" w:eastAsia="黑体"/>
          <w:sz w:val="28"/>
          <w:szCs w:val="28"/>
          <w:highlight w:val="none"/>
        </w:rPr>
      </w:pPr>
      <w:bookmarkStart w:id="269" w:name="_Toc485889077"/>
      <w:bookmarkStart w:id="270" w:name="_Toc30568"/>
      <w:bookmarkStart w:id="271" w:name="_Toc486277942"/>
      <w:bookmarkStart w:id="272" w:name="_Toc234382982"/>
      <w:bookmarkStart w:id="273" w:name="_Toc234242181"/>
      <w:r>
        <w:rPr>
          <w:rFonts w:hint="eastAsia" w:ascii="黑体" w:hAnsi="宋体" w:eastAsia="黑体"/>
          <w:sz w:val="28"/>
          <w:szCs w:val="28"/>
          <w:highlight w:val="none"/>
        </w:rPr>
        <w:t>（四）近年完成的类似项目情况表</w:t>
      </w:r>
      <w:bookmarkEnd w:id="269"/>
      <w:bookmarkEnd w:id="270"/>
      <w:bookmarkEnd w:id="271"/>
      <w:bookmarkEnd w:id="272"/>
      <w:bookmarkEnd w:id="273"/>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项目所在地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发包人地址</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合同价格</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开工日期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交工日期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承担的工作</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工程质量</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项目经理</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项目总工</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总监理工程师及电话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项目描述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备注</w:t>
            </w:r>
          </w:p>
        </w:tc>
        <w:tc>
          <w:tcPr>
            <w:tcW w:w="7029" w:type="dxa"/>
            <w:vAlign w:val="center"/>
          </w:tcPr>
          <w:p>
            <w:pPr>
              <w:jc w:val="center"/>
              <w:rPr>
                <w:rFonts w:ascii="宋体" w:hAnsi="宋体"/>
                <w:szCs w:val="21"/>
                <w:highlight w:val="none"/>
              </w:rPr>
            </w:pPr>
          </w:p>
        </w:tc>
      </w:tr>
    </w:tbl>
    <w:p>
      <w:pPr>
        <w:rPr>
          <w:rFonts w:ascii="宋体" w:hAnsi="宋体"/>
          <w:szCs w:val="21"/>
          <w:highlight w:val="none"/>
          <w:lang w:bidi="zh-CN"/>
        </w:rPr>
      </w:pPr>
      <w:r>
        <w:rPr>
          <w:rFonts w:ascii="宋体" w:hAnsi="宋体"/>
          <w:szCs w:val="21"/>
          <w:highlight w:val="none"/>
          <w:lang w:bidi="zh-CN"/>
        </w:rPr>
        <w:t>注：1.每张表格只填写一个项目，并标明序号。</w:t>
      </w:r>
    </w:p>
    <w:p>
      <w:pPr>
        <w:ind w:firstLine="420" w:firstLineChars="200"/>
        <w:rPr>
          <w:rFonts w:ascii="宋体" w:hAnsi="宋体"/>
          <w:szCs w:val="21"/>
          <w:highlight w:val="none"/>
          <w:lang w:bidi="zh-CN"/>
        </w:rPr>
      </w:pPr>
      <w:r>
        <w:rPr>
          <w:rFonts w:ascii="宋体" w:hAnsi="宋体"/>
          <w:szCs w:val="21"/>
          <w:highlight w:val="none"/>
          <w:lang w:bidi="zh-CN"/>
        </w:rPr>
        <w:t>2.</w:t>
      </w:r>
      <w:r>
        <w:rPr>
          <w:rFonts w:hint="eastAsia" w:ascii="宋体" w:hAnsi="宋体"/>
          <w:szCs w:val="21"/>
          <w:highlight w:val="none"/>
          <w:lang w:bidi="zh-CN"/>
        </w:rPr>
        <w:t>后</w:t>
      </w:r>
      <w:r>
        <w:rPr>
          <w:rFonts w:ascii="宋体" w:hAnsi="宋体"/>
          <w:szCs w:val="21"/>
          <w:highlight w:val="none"/>
          <w:lang w:bidi="zh-CN"/>
        </w:rPr>
        <w:t>附中标通知书</w:t>
      </w:r>
      <w:r>
        <w:rPr>
          <w:rFonts w:hint="eastAsia" w:ascii="宋体" w:hAnsi="宋体"/>
          <w:szCs w:val="21"/>
          <w:highlight w:val="none"/>
          <w:lang w:bidi="zh-CN"/>
        </w:rPr>
        <w:t>、</w:t>
      </w:r>
      <w:r>
        <w:rPr>
          <w:rFonts w:ascii="宋体" w:hAnsi="宋体"/>
          <w:szCs w:val="21"/>
          <w:highlight w:val="none"/>
          <w:lang w:bidi="zh-CN"/>
        </w:rPr>
        <w:t>合同协议书</w:t>
      </w:r>
      <w:r>
        <w:rPr>
          <w:rFonts w:hint="eastAsia" w:ascii="宋体" w:hAnsi="宋体"/>
          <w:szCs w:val="21"/>
          <w:highlight w:val="none"/>
          <w:lang w:bidi="zh-CN"/>
        </w:rPr>
        <w:t>、</w:t>
      </w:r>
      <w:r>
        <w:rPr>
          <w:rFonts w:ascii="宋体" w:hAnsi="宋体"/>
          <w:szCs w:val="21"/>
          <w:highlight w:val="none"/>
          <w:lang w:bidi="zh-CN"/>
        </w:rPr>
        <w:t>工程接收证书（工程竣工验收证书）的</w:t>
      </w:r>
      <w:r>
        <w:rPr>
          <w:rFonts w:hint="eastAsia" w:ascii="宋体" w:hAnsi="宋体"/>
          <w:szCs w:val="21"/>
          <w:highlight w:val="none"/>
        </w:rPr>
        <w:t>原件扫描件（或图片）</w:t>
      </w:r>
      <w:r>
        <w:rPr>
          <w:rFonts w:ascii="宋体" w:hAnsi="宋体"/>
          <w:szCs w:val="21"/>
          <w:highlight w:val="none"/>
          <w:lang w:bidi="zh-CN"/>
        </w:rPr>
        <w:t>。</w:t>
      </w:r>
    </w:p>
    <w:p>
      <w:pPr>
        <w:ind w:firstLine="420" w:firstLineChars="200"/>
        <w:rPr>
          <w:rFonts w:ascii="宋体" w:hAnsi="宋体"/>
          <w:szCs w:val="21"/>
          <w:highlight w:val="none"/>
          <w:lang w:bidi="zh-CN"/>
        </w:rPr>
      </w:pPr>
      <w:r>
        <w:rPr>
          <w:rFonts w:ascii="宋体" w:hAnsi="宋体"/>
          <w:szCs w:val="21"/>
          <w:highlight w:val="none"/>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highlight w:val="none"/>
        </w:rPr>
      </w:pPr>
      <w:r>
        <w:rPr>
          <w:rFonts w:hint="eastAsia" w:ascii="宋体" w:hAnsi="宋体"/>
          <w:szCs w:val="21"/>
          <w:highlight w:val="none"/>
        </w:rPr>
        <w:t>4.当本表内容与所附证据材料不一致时，应以所附证据材料为准。</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pStyle w:val="6"/>
        <w:spacing w:beforeLines="100" w:afterLines="100" w:line="360" w:lineRule="exact"/>
        <w:jc w:val="center"/>
        <w:rPr>
          <w:rFonts w:ascii="黑体" w:hAnsi="宋体" w:eastAsia="黑体"/>
          <w:sz w:val="28"/>
          <w:szCs w:val="28"/>
          <w:highlight w:val="none"/>
        </w:rPr>
      </w:pPr>
      <w:bookmarkStart w:id="274" w:name="_Toc485889078"/>
      <w:bookmarkStart w:id="275" w:name="_Toc486277943"/>
      <w:bookmarkStart w:id="276" w:name="_Toc234382983"/>
      <w:bookmarkStart w:id="277" w:name="_Toc234242182"/>
      <w:bookmarkStart w:id="278" w:name="_Toc7313"/>
      <w:bookmarkStart w:id="279" w:name="_Toc193904177"/>
      <w:r>
        <w:rPr>
          <w:rFonts w:hint="eastAsia" w:ascii="黑体" w:hAnsi="宋体" w:eastAsia="黑体"/>
          <w:sz w:val="28"/>
          <w:szCs w:val="28"/>
          <w:highlight w:val="none"/>
        </w:rPr>
        <w:t>（五）正在施工和新承接的项目情况表</w:t>
      </w:r>
      <w:bookmarkEnd w:id="274"/>
      <w:bookmarkEnd w:id="275"/>
      <w:bookmarkEnd w:id="276"/>
      <w:bookmarkEnd w:id="277"/>
      <w:bookmarkEnd w:id="278"/>
      <w:bookmarkEnd w:id="279"/>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项目所在地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发包人名称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发包人地址</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发包人电话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签约合同价</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开工日期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计划交工日期</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承担的工作</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工程质量要求</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项目经理</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项目总工</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总监理工程师及电话</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项目描述</w:t>
            </w:r>
          </w:p>
        </w:tc>
        <w:tc>
          <w:tcPr>
            <w:tcW w:w="7029"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highlight w:val="none"/>
              </w:rPr>
            </w:pPr>
            <w:r>
              <w:rPr>
                <w:rFonts w:hint="eastAsia" w:ascii="宋体" w:hAnsi="宋体"/>
                <w:szCs w:val="21"/>
                <w:highlight w:val="none"/>
              </w:rPr>
              <w:t>备注</w:t>
            </w:r>
          </w:p>
        </w:tc>
        <w:tc>
          <w:tcPr>
            <w:tcW w:w="7029" w:type="dxa"/>
            <w:vAlign w:val="center"/>
          </w:tcPr>
          <w:p>
            <w:pPr>
              <w:jc w:val="center"/>
              <w:rPr>
                <w:rFonts w:ascii="宋体" w:hAnsi="宋体"/>
                <w:szCs w:val="21"/>
                <w:highlight w:val="none"/>
              </w:rPr>
            </w:pPr>
          </w:p>
        </w:tc>
      </w:tr>
    </w:tbl>
    <w:p>
      <w:pPr>
        <w:autoSpaceDE w:val="0"/>
        <w:autoSpaceDN w:val="0"/>
        <w:adjustRightInd w:val="0"/>
        <w:spacing w:before="4" w:line="100" w:lineRule="exact"/>
        <w:jc w:val="left"/>
        <w:rPr>
          <w:kern w:val="0"/>
          <w:sz w:val="10"/>
          <w:szCs w:val="10"/>
          <w:highlight w:val="none"/>
        </w:rPr>
      </w:pPr>
    </w:p>
    <w:p>
      <w:pPr>
        <w:rPr>
          <w:sz w:val="24"/>
          <w:highlight w:val="none"/>
        </w:rPr>
      </w:pPr>
      <w:r>
        <w:rPr>
          <w:rFonts w:hint="eastAsia" w:ascii="宋体" w:hAnsi="宋体"/>
          <w:sz w:val="24"/>
          <w:highlight w:val="none"/>
        </w:rPr>
        <w:t>注：后附中标通知书和合同协议书的原件扫描件（或图片）。每张表格只填写一个项目，并标明序号。</w:t>
      </w: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pStyle w:val="6"/>
        <w:spacing w:beforeLines="100" w:afterLines="150" w:line="360" w:lineRule="exact"/>
        <w:jc w:val="center"/>
        <w:rPr>
          <w:highlight w:val="none"/>
        </w:rPr>
      </w:pPr>
      <w:bookmarkStart w:id="280" w:name="_Toc8347"/>
      <w:bookmarkStart w:id="281" w:name="_Toc486277941"/>
      <w:bookmarkStart w:id="282" w:name="_Toc485889075"/>
      <w:bookmarkStart w:id="283" w:name="_Toc234382980"/>
      <w:bookmarkStart w:id="284" w:name="_Toc234382984"/>
      <w:bookmarkStart w:id="285" w:name="_Toc7381"/>
      <w:bookmarkStart w:id="286" w:name="_Toc486277944"/>
      <w:bookmarkStart w:id="287" w:name="_Toc485889079"/>
      <w:r>
        <w:rPr>
          <w:rFonts w:hint="eastAsia" w:ascii="黑体" w:hAnsi="宋体" w:eastAsia="黑体"/>
          <w:sz w:val="28"/>
          <w:szCs w:val="28"/>
          <w:highlight w:val="none"/>
        </w:rPr>
        <w:t>（六）拟委任的项目经理和项目总工资历表</w:t>
      </w:r>
      <w:bookmarkEnd w:id="280"/>
      <w:bookmarkEnd w:id="281"/>
      <w:bookmarkEnd w:id="282"/>
      <w:bookmarkEnd w:id="283"/>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姓</w:t>
            </w:r>
            <w:r>
              <w:rPr>
                <w:rFonts w:hint="eastAsia" w:ascii="宋体" w:hAnsi="宋体"/>
                <w:kern w:val="0"/>
                <w:szCs w:val="21"/>
                <w:highlight w:val="none"/>
              </w:rPr>
              <w:tab/>
            </w:r>
            <w:r>
              <w:rPr>
                <w:rFonts w:hint="eastAsia" w:ascii="宋体" w:hAnsi="宋体" w:cs="MingLiU"/>
                <w:kern w:val="0"/>
                <w:szCs w:val="21"/>
                <w:highlight w:val="none"/>
              </w:rPr>
              <w:t>名</w:t>
            </w:r>
          </w:p>
        </w:tc>
        <w:tc>
          <w:tcPr>
            <w:tcW w:w="1645" w:type="dxa"/>
            <w:vAlign w:val="center"/>
          </w:tcPr>
          <w:p>
            <w:pPr>
              <w:autoSpaceDE w:val="0"/>
              <w:autoSpaceDN w:val="0"/>
              <w:adjustRightInd w:val="0"/>
              <w:jc w:val="center"/>
              <w:rPr>
                <w:rFonts w:ascii="宋体" w:hAnsi="宋体"/>
                <w:kern w:val="0"/>
                <w:szCs w:val="21"/>
                <w:highlight w:val="none"/>
              </w:rPr>
            </w:pPr>
          </w:p>
        </w:tc>
        <w:tc>
          <w:tcPr>
            <w:tcW w:w="1516" w:type="dxa"/>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年   龄</w:t>
            </w:r>
          </w:p>
        </w:tc>
        <w:tc>
          <w:tcPr>
            <w:tcW w:w="1478" w:type="dxa"/>
            <w:gridSpan w:val="2"/>
            <w:vAlign w:val="center"/>
          </w:tcPr>
          <w:p>
            <w:pPr>
              <w:autoSpaceDE w:val="0"/>
              <w:autoSpaceDN w:val="0"/>
              <w:adjustRightInd w:val="0"/>
              <w:jc w:val="center"/>
              <w:rPr>
                <w:rFonts w:ascii="宋体" w:hAnsi="宋体"/>
                <w:kern w:val="0"/>
                <w:szCs w:val="21"/>
                <w:highlight w:val="none"/>
              </w:rPr>
            </w:pPr>
          </w:p>
        </w:tc>
        <w:tc>
          <w:tcPr>
            <w:tcW w:w="2169" w:type="dxa"/>
            <w:gridSpan w:val="2"/>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专  业</w:t>
            </w:r>
          </w:p>
        </w:tc>
        <w:tc>
          <w:tcPr>
            <w:tcW w:w="1477"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职</w:t>
            </w:r>
            <w:r>
              <w:rPr>
                <w:rFonts w:hint="eastAsia" w:ascii="宋体" w:hAnsi="宋体"/>
                <w:kern w:val="0"/>
                <w:szCs w:val="21"/>
                <w:highlight w:val="none"/>
              </w:rPr>
              <w:tab/>
            </w:r>
            <w:r>
              <w:rPr>
                <w:rFonts w:hint="eastAsia" w:ascii="宋体" w:hAnsi="宋体" w:cs="MingLiU"/>
                <w:kern w:val="0"/>
                <w:szCs w:val="21"/>
                <w:highlight w:val="none"/>
              </w:rPr>
              <w:t>称</w:t>
            </w:r>
          </w:p>
        </w:tc>
        <w:tc>
          <w:tcPr>
            <w:tcW w:w="1645" w:type="dxa"/>
            <w:vAlign w:val="center"/>
          </w:tcPr>
          <w:p>
            <w:pPr>
              <w:autoSpaceDE w:val="0"/>
              <w:autoSpaceDN w:val="0"/>
              <w:adjustRightInd w:val="0"/>
              <w:jc w:val="center"/>
              <w:rPr>
                <w:rFonts w:ascii="宋体" w:hAnsi="宋体"/>
                <w:kern w:val="0"/>
                <w:szCs w:val="21"/>
                <w:highlight w:val="none"/>
              </w:rPr>
            </w:pPr>
          </w:p>
        </w:tc>
        <w:tc>
          <w:tcPr>
            <w:tcW w:w="1516" w:type="dxa"/>
            <w:vAlign w:val="center"/>
          </w:tcPr>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公司单位</w:t>
            </w:r>
          </w:p>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职    务</w:t>
            </w:r>
          </w:p>
        </w:tc>
        <w:tc>
          <w:tcPr>
            <w:tcW w:w="1478" w:type="dxa"/>
            <w:gridSpan w:val="2"/>
            <w:vAlign w:val="center"/>
          </w:tcPr>
          <w:p>
            <w:pPr>
              <w:autoSpaceDE w:val="0"/>
              <w:autoSpaceDN w:val="0"/>
              <w:adjustRightInd w:val="0"/>
              <w:jc w:val="center"/>
              <w:rPr>
                <w:rFonts w:ascii="宋体" w:hAnsi="宋体"/>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拟在本工程</w:t>
            </w:r>
          </w:p>
          <w:p>
            <w:pPr>
              <w:autoSpaceDE w:val="0"/>
              <w:autoSpaceDN w:val="0"/>
              <w:adjustRightInd w:val="0"/>
              <w:spacing w:before="73"/>
              <w:jc w:val="center"/>
              <w:rPr>
                <w:rFonts w:ascii="宋体" w:hAnsi="宋体" w:cs="MingLiU"/>
                <w:kern w:val="0"/>
                <w:szCs w:val="21"/>
                <w:highlight w:val="none"/>
              </w:rPr>
            </w:pPr>
            <w:r>
              <w:rPr>
                <w:rFonts w:hint="eastAsia" w:ascii="宋体" w:hAnsi="宋体" w:cs="MingLiU"/>
                <w:kern w:val="0"/>
                <w:szCs w:val="21"/>
                <w:highlight w:val="none"/>
              </w:rPr>
              <w:t>担任职务</w:t>
            </w:r>
          </w:p>
        </w:tc>
        <w:tc>
          <w:tcPr>
            <w:tcW w:w="1477"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highlight w:val="none"/>
              </w:rPr>
            </w:pPr>
            <w:r>
              <w:rPr>
                <w:rFonts w:hint="eastAsia" w:ascii="宋体" w:hAnsi="宋体" w:cs="MingLiU"/>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highlight w:val="none"/>
              </w:rPr>
            </w:pPr>
            <w:r>
              <w:rPr>
                <w:rFonts w:hint="eastAsia" w:ascii="宋体" w:hAnsi="宋体"/>
                <w:kern w:val="0"/>
                <w:szCs w:val="21"/>
                <w:highlight w:val="none"/>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highlight w:val="none"/>
              </w:rPr>
            </w:pPr>
            <w:r>
              <w:rPr>
                <w:rFonts w:hint="eastAsia" w:ascii="宋体" w:hAnsi="宋体" w:cs="MingLiU"/>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highlight w:val="none"/>
              </w:rPr>
            </w:pPr>
            <w:r>
              <w:rPr>
                <w:rFonts w:hint="eastAsia" w:ascii="宋体" w:hAnsi="宋体"/>
                <w:szCs w:val="21"/>
                <w:highlight w:val="none"/>
              </w:rPr>
              <w:t>年～</w:t>
            </w:r>
          </w:p>
          <w:p>
            <w:pPr>
              <w:jc w:val="center"/>
              <w:rPr>
                <w:rFonts w:ascii="宋体" w:hAnsi="宋体"/>
                <w:szCs w:val="21"/>
                <w:highlight w:val="none"/>
              </w:rPr>
            </w:pPr>
            <w:r>
              <w:rPr>
                <w:rFonts w:hint="eastAsia" w:ascii="宋体" w:hAnsi="宋体"/>
                <w:szCs w:val="21"/>
                <w:highlight w:val="none"/>
              </w:rPr>
              <w:t>年</w:t>
            </w:r>
          </w:p>
        </w:tc>
        <w:tc>
          <w:tcPr>
            <w:tcW w:w="4023" w:type="dxa"/>
            <w:gridSpan w:val="3"/>
            <w:vAlign w:val="center"/>
          </w:tcPr>
          <w:p>
            <w:pPr>
              <w:jc w:val="center"/>
              <w:rPr>
                <w:rFonts w:ascii="宋体" w:hAnsi="宋体"/>
                <w:szCs w:val="21"/>
                <w:highlight w:val="none"/>
              </w:rPr>
            </w:pPr>
            <w:r>
              <w:rPr>
                <w:rFonts w:hint="eastAsia" w:ascii="宋体" w:hAnsi="宋体" w:cs="MingLiU"/>
                <w:kern w:val="0"/>
                <w:szCs w:val="21"/>
                <w:highlight w:val="none"/>
              </w:rPr>
              <w:t>参加过的工程项目名称</w:t>
            </w:r>
          </w:p>
        </w:tc>
        <w:tc>
          <w:tcPr>
            <w:tcW w:w="1392" w:type="dxa"/>
            <w:gridSpan w:val="2"/>
            <w:vAlign w:val="center"/>
          </w:tcPr>
          <w:p>
            <w:pPr>
              <w:jc w:val="center"/>
              <w:rPr>
                <w:rFonts w:ascii="宋体" w:hAnsi="宋体"/>
                <w:szCs w:val="21"/>
                <w:highlight w:val="none"/>
              </w:rPr>
            </w:pPr>
            <w:r>
              <w:rPr>
                <w:rFonts w:hint="eastAsia" w:ascii="宋体" w:hAnsi="宋体" w:cs="MingLiU"/>
                <w:kern w:val="0"/>
                <w:szCs w:val="21"/>
                <w:highlight w:val="none"/>
              </w:rPr>
              <w:t>担任何职</w:t>
            </w:r>
          </w:p>
        </w:tc>
        <w:tc>
          <w:tcPr>
            <w:tcW w:w="2870" w:type="dxa"/>
            <w:gridSpan w:val="2"/>
            <w:vAlign w:val="center"/>
          </w:tcPr>
          <w:p>
            <w:pPr>
              <w:jc w:val="center"/>
              <w:rPr>
                <w:rFonts w:ascii="宋体" w:hAnsi="宋体" w:cs="MingLiU"/>
                <w:kern w:val="0"/>
                <w:szCs w:val="21"/>
                <w:highlight w:val="none"/>
              </w:rPr>
            </w:pPr>
            <w:r>
              <w:rPr>
                <w:rFonts w:hint="eastAsia" w:ascii="宋体" w:hAnsi="宋体" w:cs="MingLiU"/>
                <w:kern w:val="0"/>
                <w:szCs w:val="21"/>
                <w:highlight w:val="none"/>
              </w:rPr>
              <w:t>发包人及</w:t>
            </w:r>
          </w:p>
          <w:p>
            <w:pPr>
              <w:jc w:val="center"/>
              <w:rPr>
                <w:rFonts w:ascii="宋体" w:hAnsi="宋体"/>
                <w:szCs w:val="21"/>
                <w:highlight w:val="none"/>
              </w:rPr>
            </w:pPr>
            <w:r>
              <w:rPr>
                <w:rFonts w:hint="eastAsia" w:ascii="宋体" w:hAnsi="宋体" w:cs="MingLiU"/>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highlight w:val="none"/>
              </w:rPr>
            </w:pPr>
            <w:r>
              <w:rPr>
                <w:rFonts w:hint="eastAsia" w:ascii="宋体" w:hAnsi="宋体"/>
                <w:szCs w:val="21"/>
                <w:highlight w:val="none"/>
              </w:rPr>
              <w:t>获奖情况</w:t>
            </w:r>
          </w:p>
        </w:tc>
        <w:tc>
          <w:tcPr>
            <w:tcW w:w="1392" w:type="dxa"/>
            <w:gridSpan w:val="2"/>
            <w:vAlign w:val="center"/>
          </w:tcPr>
          <w:p>
            <w:pPr>
              <w:jc w:val="center"/>
              <w:rPr>
                <w:rFonts w:ascii="宋体" w:hAnsi="宋体"/>
                <w:szCs w:val="21"/>
                <w:highlight w:val="none"/>
              </w:rPr>
            </w:pPr>
          </w:p>
        </w:tc>
        <w:tc>
          <w:tcPr>
            <w:tcW w:w="2870" w:type="dxa"/>
            <w:gridSpan w:val="2"/>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highlight w:val="none"/>
              </w:rPr>
            </w:pPr>
            <w:r>
              <w:rPr>
                <w:rFonts w:hint="eastAsia" w:ascii="宋体" w:hAnsi="宋体"/>
                <w:szCs w:val="21"/>
                <w:highlight w:val="none"/>
              </w:rPr>
              <w:t>目前任职</w:t>
            </w:r>
          </w:p>
          <w:p>
            <w:pPr>
              <w:jc w:val="center"/>
              <w:rPr>
                <w:rFonts w:ascii="宋体" w:hAnsi="宋体"/>
                <w:szCs w:val="21"/>
                <w:highlight w:val="none"/>
              </w:rPr>
            </w:pPr>
            <w:r>
              <w:rPr>
                <w:rFonts w:hint="eastAsia" w:ascii="宋体" w:hAnsi="宋体"/>
                <w:szCs w:val="21"/>
                <w:highlight w:val="none"/>
              </w:rPr>
              <w:t>项目状况</w:t>
            </w: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项目名称</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担任职位</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highlight w:val="none"/>
              </w:rPr>
            </w:pPr>
          </w:p>
        </w:tc>
        <w:tc>
          <w:tcPr>
            <w:tcW w:w="4023" w:type="dxa"/>
            <w:gridSpan w:val="3"/>
            <w:vAlign w:val="center"/>
          </w:tcPr>
          <w:p>
            <w:pPr>
              <w:jc w:val="center"/>
              <w:rPr>
                <w:rFonts w:ascii="宋体" w:hAnsi="宋体"/>
                <w:szCs w:val="21"/>
                <w:highlight w:val="none"/>
              </w:rPr>
            </w:pPr>
            <w:r>
              <w:rPr>
                <w:rFonts w:hint="eastAsia" w:ascii="宋体" w:hAnsi="宋体"/>
                <w:szCs w:val="21"/>
                <w:highlight w:val="none"/>
              </w:rPr>
              <w:t>可以调离日期</w:t>
            </w:r>
          </w:p>
        </w:tc>
        <w:tc>
          <w:tcPr>
            <w:tcW w:w="4262" w:type="dxa"/>
            <w:gridSpan w:val="4"/>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highlight w:val="none"/>
              </w:rPr>
            </w:pPr>
            <w:r>
              <w:rPr>
                <w:rFonts w:hint="eastAsia" w:ascii="宋体" w:hAnsi="宋体"/>
                <w:szCs w:val="21"/>
                <w:highlight w:val="none"/>
              </w:rPr>
              <w:t>备注</w:t>
            </w:r>
          </w:p>
        </w:tc>
        <w:tc>
          <w:tcPr>
            <w:tcW w:w="8285" w:type="dxa"/>
            <w:gridSpan w:val="7"/>
            <w:vAlign w:val="center"/>
          </w:tcPr>
          <w:p>
            <w:pPr>
              <w:jc w:val="center"/>
              <w:rPr>
                <w:rFonts w:ascii="宋体" w:hAnsi="宋体"/>
                <w:szCs w:val="21"/>
                <w:highlight w:val="none"/>
              </w:rPr>
            </w:pPr>
          </w:p>
        </w:tc>
      </w:tr>
    </w:tbl>
    <w:p>
      <w:pPr>
        <w:ind w:left="735" w:hanging="735" w:hangingChars="350"/>
        <w:rPr>
          <w:rFonts w:ascii="宋体" w:hAnsi="宋体"/>
          <w:szCs w:val="21"/>
          <w:highlight w:val="none"/>
        </w:rPr>
      </w:pPr>
      <w:r>
        <w:rPr>
          <w:rFonts w:hint="eastAsia" w:ascii="宋体" w:hAnsi="宋体"/>
          <w:szCs w:val="21"/>
          <w:highlight w:val="none"/>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highlight w:val="none"/>
        </w:rPr>
      </w:pPr>
      <w:r>
        <w:rPr>
          <w:rFonts w:hint="eastAsia" w:ascii="宋体" w:hAnsi="宋体"/>
          <w:szCs w:val="21"/>
          <w:highlight w:val="none"/>
        </w:rPr>
        <w:t>2、目前未在具体项目上任职的，请在备注栏说明现在负责的工作内容。</w:t>
      </w:r>
    </w:p>
    <w:p>
      <w:pPr>
        <w:pStyle w:val="3"/>
        <w:spacing w:before="66"/>
        <w:ind w:right="180"/>
        <w:jc w:val="center"/>
        <w:rPr>
          <w:rFonts w:ascii="黑体" w:eastAsia="黑体"/>
          <w:sz w:val="30"/>
          <w:szCs w:val="30"/>
          <w:highlight w:val="none"/>
        </w:rPr>
      </w:pPr>
      <w:r>
        <w:rPr>
          <w:rFonts w:hint="eastAsia" w:ascii="黑体" w:hAnsi="宋体" w:eastAsia="黑体"/>
          <w:sz w:val="28"/>
          <w:szCs w:val="28"/>
          <w:highlight w:val="none"/>
        </w:rPr>
        <w:br w:type="page"/>
      </w:r>
      <w:r>
        <w:rPr>
          <w:rFonts w:hint="eastAsia" w:ascii="黑体" w:eastAsia="黑体"/>
          <w:sz w:val="30"/>
          <w:szCs w:val="30"/>
          <w:highlight w:val="none"/>
        </w:rPr>
        <w:t>（七）投标人的信誉情况表</w:t>
      </w:r>
    </w:p>
    <w:tbl>
      <w:tblPr>
        <w:tblStyle w:val="16"/>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vAlign w:val="center"/>
          </w:tcPr>
          <w:p>
            <w:pPr>
              <w:pStyle w:val="30"/>
              <w:ind w:left="1848" w:right="1838"/>
              <w:jc w:val="center"/>
              <w:rPr>
                <w:sz w:val="21"/>
                <w:highlight w:val="none"/>
              </w:rPr>
            </w:pPr>
            <w:r>
              <w:rPr>
                <w:sz w:val="21"/>
                <w:highlight w:val="none"/>
              </w:rPr>
              <w:t>项 目</w:t>
            </w:r>
          </w:p>
        </w:tc>
        <w:tc>
          <w:tcPr>
            <w:tcW w:w="4264" w:type="dxa"/>
            <w:vAlign w:val="center"/>
          </w:tcPr>
          <w:p>
            <w:pPr>
              <w:pStyle w:val="30"/>
              <w:ind w:left="1394"/>
              <w:rPr>
                <w:sz w:val="21"/>
                <w:highlight w:val="none"/>
              </w:rPr>
            </w:pPr>
            <w:r>
              <w:rPr>
                <w:sz w:val="21"/>
                <w:highlight w:val="none"/>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30"/>
              <w:jc w:val="center"/>
              <w:rPr>
                <w:rFonts w:ascii="Times New Roman"/>
                <w:sz w:val="20"/>
                <w:highlight w:val="none"/>
              </w:rPr>
            </w:pPr>
          </w:p>
        </w:tc>
        <w:tc>
          <w:tcPr>
            <w:tcW w:w="4264" w:type="dxa"/>
            <w:vAlign w:val="center"/>
          </w:tcPr>
          <w:p>
            <w:pPr>
              <w:pStyle w:val="30"/>
              <w:jc w:val="center"/>
              <w:rPr>
                <w:rFonts w:ascii="Times New Roman"/>
                <w:sz w:val="20"/>
                <w:highlight w:val="none"/>
              </w:rPr>
            </w:pPr>
          </w:p>
        </w:tc>
      </w:tr>
    </w:tbl>
    <w:p>
      <w:pPr>
        <w:spacing w:line="267" w:lineRule="exact"/>
        <w:rPr>
          <w:rFonts w:asciiTheme="minorEastAsia" w:hAnsiTheme="minorEastAsia" w:eastAsiaTheme="minorEastAsia"/>
          <w:highlight w:val="none"/>
        </w:rPr>
      </w:pPr>
      <w:r>
        <w:rPr>
          <w:rFonts w:asciiTheme="minorEastAsia" w:hAnsiTheme="minorEastAsia" w:eastAsiaTheme="minorEastAsia"/>
          <w:highlight w:val="none"/>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2.投标人应根据招标文件第二章“投标人须知”第 3.5.</w:t>
      </w:r>
      <w:r>
        <w:rPr>
          <w:rFonts w:hint="eastAsia" w:asciiTheme="minorEastAsia" w:hAnsiTheme="minorEastAsia" w:eastAsiaTheme="minorEastAsia"/>
          <w:highlight w:val="none"/>
        </w:rPr>
        <w:t>6</w:t>
      </w:r>
      <w:r>
        <w:rPr>
          <w:rFonts w:asciiTheme="minorEastAsia" w:hAnsiTheme="minorEastAsia" w:eastAsiaTheme="minorEastAsia"/>
          <w:highlight w:val="none"/>
        </w:rPr>
        <w:t xml:space="preserve"> 项的要求在本表后附相关证明材料。</w:t>
      </w:r>
    </w:p>
    <w:p>
      <w:pPr>
        <w:pStyle w:val="6"/>
        <w:spacing w:beforeLines="100" w:afterLines="100" w:line="360" w:lineRule="exact"/>
        <w:jc w:val="center"/>
        <w:rPr>
          <w:rFonts w:ascii="黑体" w:hAnsi="宋体" w:eastAsia="黑体"/>
          <w:sz w:val="28"/>
          <w:szCs w:val="28"/>
          <w:highlight w:val="none"/>
        </w:rPr>
      </w:pPr>
      <w:r>
        <w:rPr>
          <w:rFonts w:hint="eastAsia" w:ascii="黑体" w:hAnsi="宋体" w:eastAsia="黑体"/>
          <w:sz w:val="28"/>
          <w:szCs w:val="28"/>
          <w:highlight w:val="none"/>
        </w:rPr>
        <w:t>（八）近年发生的诉讼及仲裁情况</w:t>
      </w:r>
      <w:bookmarkEnd w:id="284"/>
      <w:bookmarkEnd w:id="285"/>
      <w:bookmarkEnd w:id="286"/>
      <w:bookmarkEnd w:id="287"/>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highlight w:val="none"/>
              </w:rPr>
            </w:pPr>
            <w:r>
              <w:rPr>
                <w:rFonts w:hint="eastAsia" w:ascii="宋体" w:hAnsi="宋体"/>
                <w:szCs w:val="21"/>
                <w:highlight w:val="none"/>
              </w:rPr>
              <w:t>项目</w:t>
            </w:r>
          </w:p>
        </w:tc>
        <w:tc>
          <w:tcPr>
            <w:tcW w:w="4820" w:type="dxa"/>
            <w:vAlign w:val="center"/>
          </w:tcPr>
          <w:p>
            <w:pPr>
              <w:jc w:val="center"/>
              <w:rPr>
                <w:rFonts w:ascii="宋体" w:hAnsi="宋体"/>
                <w:szCs w:val="21"/>
                <w:highlight w:val="none"/>
              </w:rPr>
            </w:pPr>
            <w:r>
              <w:rPr>
                <w:rFonts w:hint="eastAsia" w:ascii="宋体" w:hAnsi="宋体"/>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highlight w:val="none"/>
              </w:rPr>
            </w:pPr>
          </w:p>
        </w:tc>
        <w:tc>
          <w:tcPr>
            <w:tcW w:w="4820" w:type="dxa"/>
            <w:vAlign w:val="center"/>
          </w:tcPr>
          <w:p>
            <w:pPr>
              <w:jc w:val="center"/>
              <w:rPr>
                <w:rFonts w:ascii="宋体" w:hAnsi="宋体"/>
                <w:sz w:val="24"/>
                <w:highlight w:val="none"/>
              </w:rPr>
            </w:pPr>
          </w:p>
        </w:tc>
      </w:tr>
    </w:tbl>
    <w:p>
      <w:pPr>
        <w:rPr>
          <w:sz w:val="24"/>
          <w:highlight w:val="none"/>
        </w:rPr>
      </w:pPr>
      <w:r>
        <w:rPr>
          <w:rFonts w:ascii="宋体" w:hAnsi="宋体"/>
          <w:sz w:val="24"/>
          <w:highlight w:val="none"/>
        </w:rPr>
        <w:t>应说明相关情况，并附法院或仲裁机构作出的判决、裁决等有关法律文书</w:t>
      </w:r>
      <w:r>
        <w:rPr>
          <w:rFonts w:hint="eastAsia" w:ascii="宋体" w:hAnsi="宋体"/>
          <w:sz w:val="24"/>
          <w:highlight w:val="none"/>
        </w:rPr>
        <w:t>的原件扫描件（或图片）</w:t>
      </w:r>
      <w:r>
        <w:rPr>
          <w:rFonts w:ascii="宋体" w:hAnsi="宋体"/>
          <w:sz w:val="24"/>
          <w:highlight w:val="none"/>
        </w:rPr>
        <w:t>，具体年份要求见投标人须知前附表。</w:t>
      </w:r>
    </w:p>
    <w:p>
      <w:pPr>
        <w:rPr>
          <w:sz w:val="24"/>
          <w:highlight w:val="none"/>
        </w:rPr>
      </w:pPr>
    </w:p>
    <w:p>
      <w:pPr>
        <w:rPr>
          <w:sz w:val="24"/>
          <w:highlight w:val="none"/>
        </w:rPr>
      </w:pPr>
    </w:p>
    <w:p>
      <w:pPr>
        <w:rPr>
          <w:sz w:val="24"/>
          <w:highlight w:val="none"/>
        </w:rPr>
      </w:pPr>
    </w:p>
    <w:p>
      <w:pPr>
        <w:rPr>
          <w:sz w:val="24"/>
          <w:highlight w:val="none"/>
        </w:rPr>
      </w:pPr>
    </w:p>
    <w:p>
      <w:pPr>
        <w:pStyle w:val="2"/>
        <w:ind w:firstLine="210"/>
        <w:rPr>
          <w:highlight w:val="none"/>
        </w:rPr>
      </w:pPr>
    </w:p>
    <w:p>
      <w:pPr>
        <w:rPr>
          <w:sz w:val="24"/>
          <w:highlight w:val="none"/>
        </w:rPr>
      </w:pPr>
    </w:p>
    <w:p>
      <w:pPr>
        <w:spacing w:before="120" w:after="120"/>
        <w:jc w:val="center"/>
        <w:rPr>
          <w:rFonts w:ascii="黑体" w:eastAsia="黑体"/>
          <w:b/>
          <w:bCs/>
          <w:kern w:val="44"/>
          <w:sz w:val="30"/>
          <w:szCs w:val="30"/>
          <w:highlight w:val="none"/>
        </w:rPr>
      </w:pPr>
      <w:r>
        <w:rPr>
          <w:rFonts w:hint="eastAsia" w:ascii="黑体" w:eastAsia="黑体"/>
          <w:b/>
          <w:bCs/>
          <w:kern w:val="44"/>
          <w:sz w:val="30"/>
          <w:szCs w:val="30"/>
          <w:highlight w:val="none"/>
        </w:rPr>
        <w:t>七、主要进场管理人员和技术人员最低要求</w:t>
      </w:r>
    </w:p>
    <w:tbl>
      <w:tblPr>
        <w:tblStyle w:val="16"/>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highlight w:val="none"/>
              </w:rPr>
            </w:pPr>
            <w:bookmarkStart w:id="288" w:name="_Toc234382989"/>
            <w:r>
              <w:rPr>
                <w:rFonts w:hint="eastAsia" w:ascii="宋体" w:hAnsi="宋体"/>
                <w:sz w:val="24"/>
                <w:highlight w:val="none"/>
              </w:rPr>
              <w:t>人  员</w:t>
            </w:r>
          </w:p>
        </w:tc>
        <w:tc>
          <w:tcPr>
            <w:tcW w:w="1997" w:type="dxa"/>
            <w:vAlign w:val="center"/>
          </w:tcPr>
          <w:p>
            <w:pPr>
              <w:jc w:val="center"/>
              <w:rPr>
                <w:rFonts w:ascii="宋体" w:hAnsi="宋体"/>
                <w:sz w:val="24"/>
                <w:highlight w:val="none"/>
              </w:rPr>
            </w:pPr>
            <w:r>
              <w:rPr>
                <w:rFonts w:hint="eastAsia" w:ascii="宋体" w:hAnsi="宋体"/>
                <w:sz w:val="24"/>
                <w:highlight w:val="none"/>
              </w:rPr>
              <w:t>数  量</w:t>
            </w:r>
          </w:p>
        </w:tc>
        <w:tc>
          <w:tcPr>
            <w:tcW w:w="5053" w:type="dxa"/>
            <w:vAlign w:val="center"/>
          </w:tcPr>
          <w:p>
            <w:pPr>
              <w:jc w:val="center"/>
              <w:rPr>
                <w:rFonts w:ascii="宋体" w:hAnsi="宋体"/>
                <w:sz w:val="24"/>
                <w:highlight w:val="none"/>
              </w:rPr>
            </w:pPr>
            <w:r>
              <w:rPr>
                <w:rFonts w:hint="eastAsia" w:ascii="宋体" w:hAnsi="宋体"/>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highlight w:val="none"/>
              </w:rPr>
            </w:pPr>
            <w:r>
              <w:rPr>
                <w:rFonts w:hint="eastAsia" w:ascii="宋体" w:hAnsi="宋体"/>
                <w:szCs w:val="21"/>
                <w:highlight w:val="none"/>
              </w:rPr>
              <w:t>项目经理</w:t>
            </w:r>
          </w:p>
        </w:tc>
        <w:tc>
          <w:tcPr>
            <w:tcW w:w="1997" w:type="dxa"/>
            <w:vAlign w:val="center"/>
          </w:tcPr>
          <w:p>
            <w:pPr>
              <w:jc w:val="center"/>
              <w:rPr>
                <w:rFonts w:ascii="宋体" w:hAnsi="宋体"/>
                <w:szCs w:val="21"/>
                <w:highlight w:val="none"/>
              </w:rPr>
            </w:pPr>
            <w:r>
              <w:rPr>
                <w:rFonts w:hint="eastAsia" w:ascii="宋体" w:hAnsi="宋体"/>
                <w:szCs w:val="21"/>
                <w:highlight w:val="none"/>
              </w:rPr>
              <w:t>1</w:t>
            </w:r>
          </w:p>
        </w:tc>
        <w:tc>
          <w:tcPr>
            <w:tcW w:w="5053" w:type="dxa"/>
          </w:tcPr>
          <w:p>
            <w:pPr>
              <w:rPr>
                <w:szCs w:val="21"/>
                <w:highlight w:val="none"/>
              </w:rPr>
            </w:pPr>
            <w:r>
              <w:rPr>
                <w:rFonts w:hint="eastAsia"/>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highlight w:val="none"/>
              </w:rPr>
            </w:pPr>
            <w:r>
              <w:rPr>
                <w:rFonts w:hint="eastAsia" w:ascii="宋体" w:hAnsi="宋体"/>
                <w:szCs w:val="21"/>
                <w:highlight w:val="none"/>
              </w:rPr>
              <w:t>项目总工程师</w:t>
            </w:r>
          </w:p>
        </w:tc>
        <w:tc>
          <w:tcPr>
            <w:tcW w:w="1997" w:type="dxa"/>
            <w:vAlign w:val="center"/>
          </w:tcPr>
          <w:p>
            <w:pPr>
              <w:jc w:val="center"/>
              <w:rPr>
                <w:rFonts w:ascii="宋体" w:hAnsi="宋体"/>
                <w:szCs w:val="21"/>
                <w:highlight w:val="none"/>
              </w:rPr>
            </w:pPr>
            <w:r>
              <w:rPr>
                <w:rFonts w:hint="eastAsia" w:ascii="宋体" w:hAnsi="宋体"/>
                <w:szCs w:val="21"/>
                <w:highlight w:val="none"/>
              </w:rPr>
              <w:t>1</w:t>
            </w:r>
          </w:p>
        </w:tc>
        <w:tc>
          <w:tcPr>
            <w:tcW w:w="5053" w:type="dxa"/>
            <w:vAlign w:val="center"/>
          </w:tcPr>
          <w:p>
            <w:pPr>
              <w:rPr>
                <w:szCs w:val="21"/>
                <w:highlight w:val="none"/>
              </w:rPr>
            </w:pPr>
            <w:r>
              <w:rPr>
                <w:rFonts w:hint="eastAsia"/>
                <w:szCs w:val="21"/>
                <w:highlight w:val="none"/>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财务负责人</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会计师，工程经验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质检工程师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年以上，从事类似工程</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路基</w:t>
            </w:r>
            <w:r>
              <w:rPr>
                <w:rFonts w:hint="eastAsia"/>
                <w:szCs w:val="21"/>
                <w:highlight w:val="none"/>
              </w:rPr>
              <w:t>、路面</w:t>
            </w:r>
            <w:r>
              <w:rPr>
                <w:szCs w:val="21"/>
                <w:highlight w:val="none"/>
              </w:rPr>
              <w:t>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测量工程师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250" w:type="dxa"/>
            <w:vAlign w:val="center"/>
          </w:tcPr>
          <w:p>
            <w:pPr>
              <w:jc w:val="center"/>
              <w:rPr>
                <w:szCs w:val="21"/>
                <w:highlight w:val="none"/>
              </w:rPr>
            </w:pPr>
            <w:r>
              <w:rPr>
                <w:szCs w:val="21"/>
                <w:highlight w:val="none"/>
              </w:rPr>
              <w:t>试验负责人</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r>
              <w:rPr>
                <w:szCs w:val="21"/>
                <w:highlight w:val="none"/>
              </w:rPr>
              <w:t>机械工程师</w:t>
            </w:r>
          </w:p>
        </w:tc>
        <w:tc>
          <w:tcPr>
            <w:tcW w:w="1997" w:type="dxa"/>
            <w:vAlign w:val="center"/>
          </w:tcPr>
          <w:p>
            <w:pPr>
              <w:jc w:val="center"/>
              <w:rPr>
                <w:szCs w:val="21"/>
                <w:highlight w:val="none"/>
              </w:rPr>
            </w:pPr>
            <w:r>
              <w:rPr>
                <w:szCs w:val="21"/>
                <w:highlight w:val="none"/>
              </w:rPr>
              <w:t>1</w:t>
            </w:r>
          </w:p>
        </w:tc>
        <w:tc>
          <w:tcPr>
            <w:tcW w:w="5053" w:type="dxa"/>
            <w:vAlign w:val="center"/>
          </w:tcPr>
          <w:p>
            <w:pPr>
              <w:rPr>
                <w:szCs w:val="21"/>
                <w:highlight w:val="none"/>
              </w:rPr>
            </w:pPr>
            <w:r>
              <w:rPr>
                <w:szCs w:val="21"/>
                <w:highlight w:val="none"/>
              </w:rPr>
              <w:t>工程师，工程经验</w:t>
            </w:r>
            <w:r>
              <w:rPr>
                <w:rFonts w:hint="eastAsia"/>
                <w:szCs w:val="21"/>
                <w:highlight w:val="none"/>
              </w:rPr>
              <w:t>3</w:t>
            </w:r>
            <w:r>
              <w:rPr>
                <w:szCs w:val="21"/>
                <w:highlight w:val="none"/>
              </w:rPr>
              <w:t>年以上，从事类似工作</w:t>
            </w:r>
            <w:r>
              <w:rPr>
                <w:rFonts w:hint="eastAsia"/>
                <w:szCs w:val="21"/>
                <w:highlight w:val="none"/>
              </w:rPr>
              <w:t>2</w:t>
            </w:r>
            <w:r>
              <w:rPr>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2250" w:type="dxa"/>
            <w:vAlign w:val="center"/>
          </w:tcPr>
          <w:p>
            <w:pPr>
              <w:jc w:val="center"/>
              <w:rPr>
                <w:szCs w:val="21"/>
                <w:highlight w:val="none"/>
              </w:rPr>
            </w:pPr>
            <w:r>
              <w:rPr>
                <w:szCs w:val="21"/>
                <w:highlight w:val="none"/>
              </w:rPr>
              <w:t>专职安全员</w:t>
            </w:r>
          </w:p>
        </w:tc>
        <w:tc>
          <w:tcPr>
            <w:tcW w:w="1997" w:type="dxa"/>
            <w:vAlign w:val="center"/>
          </w:tcPr>
          <w:p>
            <w:pPr>
              <w:jc w:val="center"/>
              <w:rPr>
                <w:szCs w:val="21"/>
                <w:highlight w:val="none"/>
              </w:rPr>
            </w:pPr>
            <w:r>
              <w:rPr>
                <w:rFonts w:hint="eastAsia"/>
                <w:szCs w:val="21"/>
                <w:highlight w:val="none"/>
              </w:rPr>
              <w:t>1</w:t>
            </w:r>
          </w:p>
        </w:tc>
        <w:tc>
          <w:tcPr>
            <w:tcW w:w="5053" w:type="dxa"/>
            <w:vAlign w:val="center"/>
          </w:tcPr>
          <w:p>
            <w:pPr>
              <w:rPr>
                <w:szCs w:val="21"/>
                <w:highlight w:val="none"/>
              </w:rPr>
            </w:pPr>
            <w:r>
              <w:rPr>
                <w:szCs w:val="21"/>
                <w:highlight w:val="none"/>
              </w:rPr>
              <w:t>从事类似工作3年以上</w:t>
            </w:r>
            <w:r>
              <w:rPr>
                <w:szCs w:val="21"/>
                <w:highlight w:val="none"/>
                <w:lang w:val="zh-CN"/>
              </w:rPr>
              <w:t>，</w:t>
            </w:r>
            <w:r>
              <w:rPr>
                <w:szCs w:val="21"/>
                <w:highlight w:val="none"/>
              </w:rPr>
              <w:t>具</w:t>
            </w:r>
            <w:r>
              <w:rPr>
                <w:rFonts w:hint="eastAsia"/>
                <w:szCs w:val="21"/>
                <w:highlight w:val="none"/>
              </w:rPr>
              <w:t>有有效</w:t>
            </w:r>
            <w:r>
              <w:rPr>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spacing w:line="400" w:lineRule="exact"/>
              <w:jc w:val="left"/>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highlight w:val="none"/>
              </w:rPr>
            </w:pPr>
          </w:p>
        </w:tc>
        <w:tc>
          <w:tcPr>
            <w:tcW w:w="1997" w:type="dxa"/>
            <w:vAlign w:val="center"/>
          </w:tcPr>
          <w:p>
            <w:pPr>
              <w:jc w:val="center"/>
              <w:rPr>
                <w:szCs w:val="21"/>
                <w:highlight w:val="none"/>
              </w:rPr>
            </w:pPr>
          </w:p>
        </w:tc>
        <w:tc>
          <w:tcPr>
            <w:tcW w:w="5053" w:type="dxa"/>
            <w:vAlign w:val="center"/>
          </w:tcPr>
          <w:p>
            <w:pP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highlight w:val="none"/>
              </w:rPr>
            </w:pPr>
          </w:p>
        </w:tc>
        <w:tc>
          <w:tcPr>
            <w:tcW w:w="1997" w:type="dxa"/>
            <w:vAlign w:val="center"/>
          </w:tcPr>
          <w:p>
            <w:pPr>
              <w:jc w:val="center"/>
              <w:rPr>
                <w:rFonts w:ascii="宋体" w:hAnsi="宋体"/>
                <w:sz w:val="24"/>
                <w:highlight w:val="none"/>
              </w:rPr>
            </w:pPr>
          </w:p>
        </w:tc>
        <w:tc>
          <w:tcPr>
            <w:tcW w:w="5053" w:type="dxa"/>
            <w:vAlign w:val="center"/>
          </w:tcPr>
          <w:p>
            <w:pPr>
              <w:rPr>
                <w:rFonts w:ascii="宋体" w:hAnsi="宋体"/>
                <w:sz w:val="24"/>
                <w:highlight w:val="none"/>
              </w:rPr>
            </w:pPr>
          </w:p>
        </w:tc>
      </w:tr>
    </w:tbl>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highlight w:val="none"/>
        </w:rPr>
      </w:pPr>
      <w:r>
        <w:rPr>
          <w:rFonts w:hint="eastAsia" w:ascii="宋体" w:hAnsi="宋体"/>
          <w:kern w:val="0"/>
          <w:szCs w:val="21"/>
          <w:highlight w:val="none"/>
        </w:rPr>
        <w:t>投  标  人：</w:t>
      </w:r>
      <w:r>
        <w:rPr>
          <w:rFonts w:hint="eastAsia" w:ascii="宋体" w:hAnsi="宋体"/>
          <w:szCs w:val="21"/>
          <w:highlight w:val="none"/>
        </w:rPr>
        <w:t>（盖单位章）</w:t>
      </w:r>
    </w:p>
    <w:p>
      <w:pPr>
        <w:adjustRightInd w:val="0"/>
        <w:snapToGrid w:val="0"/>
        <w:spacing w:line="360" w:lineRule="auto"/>
        <w:jc w:val="center"/>
        <w:rPr>
          <w:rFonts w:ascii="宋体" w:hAnsi="宋体"/>
          <w:szCs w:val="21"/>
          <w:highlight w:val="none"/>
        </w:rPr>
      </w:pPr>
    </w:p>
    <w:p>
      <w:pPr>
        <w:adjustRightInd w:val="0"/>
        <w:snapToGrid w:val="0"/>
        <w:spacing w:line="360" w:lineRule="auto"/>
        <w:jc w:val="center"/>
        <w:rPr>
          <w:rFonts w:ascii="黑体" w:eastAsia="黑体"/>
          <w:sz w:val="30"/>
          <w:szCs w:val="30"/>
          <w:highlight w:val="none"/>
          <w:u w:val="single"/>
        </w:rPr>
      </w:pPr>
      <w:r>
        <w:rPr>
          <w:rFonts w:hint="eastAsia" w:ascii="宋体" w:hAnsi="宋体"/>
          <w:szCs w:val="21"/>
          <w:highlight w:val="none"/>
        </w:rPr>
        <w:t xml:space="preserve">                            法定代表人或其委托代理人：（签字）</w:t>
      </w:r>
    </w:p>
    <w:bookmarkEnd w:id="288"/>
    <w:p>
      <w:pPr>
        <w:spacing w:before="120" w:after="120"/>
        <w:jc w:val="center"/>
        <w:rPr>
          <w:rFonts w:ascii="黑体" w:eastAsia="黑体"/>
          <w:b/>
          <w:bCs/>
          <w:kern w:val="44"/>
          <w:sz w:val="30"/>
          <w:szCs w:val="30"/>
          <w:highlight w:val="none"/>
        </w:rPr>
      </w:pPr>
      <w:bookmarkStart w:id="289" w:name="_Toc234382990"/>
      <w:r>
        <w:rPr>
          <w:rFonts w:hint="eastAsia" w:ascii="黑体" w:eastAsia="黑体"/>
          <w:b/>
          <w:bCs/>
          <w:kern w:val="44"/>
          <w:sz w:val="30"/>
          <w:szCs w:val="30"/>
          <w:highlight w:val="none"/>
        </w:rPr>
        <w:t>八、</w:t>
      </w:r>
      <w:r>
        <w:rPr>
          <w:rFonts w:ascii="黑体" w:eastAsia="黑体"/>
          <w:b/>
          <w:bCs/>
          <w:kern w:val="44"/>
          <w:sz w:val="30"/>
          <w:szCs w:val="30"/>
          <w:highlight w:val="none"/>
        </w:rPr>
        <w:t>农民工工资支付承诺书</w:t>
      </w:r>
    </w:p>
    <w:p>
      <w:pPr>
        <w:adjustRightInd w:val="0"/>
        <w:snapToGrid w:val="0"/>
        <w:spacing w:afterLines="50" w:line="343" w:lineRule="auto"/>
        <w:ind w:firstLine="360" w:firstLineChars="150"/>
        <w:rPr>
          <w:sz w:val="24"/>
          <w:highlight w:val="none"/>
        </w:rPr>
      </w:pPr>
      <w:r>
        <w:rPr>
          <w:rFonts w:hint="eastAsia"/>
          <w:sz w:val="24"/>
          <w:highlight w:val="none"/>
        </w:rPr>
        <w:t>我单位在此郑重承诺：</w:t>
      </w:r>
    </w:p>
    <w:p>
      <w:pPr>
        <w:adjustRightInd w:val="0"/>
        <w:snapToGrid w:val="0"/>
        <w:spacing w:afterLines="50" w:line="343" w:lineRule="auto"/>
        <w:ind w:firstLine="360" w:firstLineChars="150"/>
        <w:rPr>
          <w:sz w:val="24"/>
          <w:highlight w:val="none"/>
        </w:rPr>
      </w:pPr>
      <w:r>
        <w:rPr>
          <w:sz w:val="24"/>
          <w:highlight w:val="none"/>
        </w:rPr>
        <w:t>一、开工前与农民工签定劳动合同</w:t>
      </w:r>
      <w:r>
        <w:rPr>
          <w:sz w:val="24"/>
          <w:highlight w:val="none"/>
        </w:rPr>
        <w:br w:type="textWrapping"/>
      </w:r>
      <w:r>
        <w:rPr>
          <w:sz w:val="24"/>
          <w:highlight w:val="none"/>
        </w:rPr>
        <w:t>     二、按时支付农民工工资、加班加点工资。</w:t>
      </w:r>
      <w:r>
        <w:rPr>
          <w:sz w:val="24"/>
          <w:highlight w:val="none"/>
        </w:rPr>
        <w:br w:type="textWrapping"/>
      </w:r>
      <w:r>
        <w:rPr>
          <w:sz w:val="24"/>
          <w:highlight w:val="none"/>
        </w:rPr>
        <w:t>     三、支付农民工工资不低于</w:t>
      </w:r>
      <w:r>
        <w:rPr>
          <w:rFonts w:hint="eastAsia"/>
          <w:sz w:val="24"/>
          <w:highlight w:val="none"/>
        </w:rPr>
        <w:t>河南</w:t>
      </w:r>
      <w:r>
        <w:rPr>
          <w:sz w:val="24"/>
          <w:highlight w:val="none"/>
        </w:rPr>
        <w:t>省最低工资标准</w:t>
      </w:r>
      <w:r>
        <w:rPr>
          <w:sz w:val="24"/>
          <w:highlight w:val="none"/>
          <w:u w:val="single"/>
        </w:rPr>
        <w:t xml:space="preserve">    </w:t>
      </w:r>
      <w:r>
        <w:rPr>
          <w:sz w:val="24"/>
          <w:highlight w:val="none"/>
        </w:rPr>
        <w:t>元。</w:t>
      </w:r>
      <w:r>
        <w:rPr>
          <w:sz w:val="24"/>
          <w:highlight w:val="none"/>
        </w:rPr>
        <w:br w:type="textWrapping"/>
      </w:r>
      <w:r>
        <w:rPr>
          <w:sz w:val="24"/>
          <w:highlight w:val="none"/>
        </w:rPr>
        <w:t>     四、不无故拖欠、克扣农民工工资。</w:t>
      </w:r>
      <w:r>
        <w:rPr>
          <w:sz w:val="24"/>
          <w:highlight w:val="none"/>
        </w:rPr>
        <w:br w:type="textWrapping"/>
      </w:r>
      <w:r>
        <w:rPr>
          <w:sz w:val="24"/>
          <w:highlight w:val="none"/>
        </w:rPr>
        <w:t>     五、</w:t>
      </w:r>
      <w:r>
        <w:rPr>
          <w:rFonts w:hint="eastAsia"/>
          <w:sz w:val="24"/>
          <w:highlight w:val="none"/>
        </w:rPr>
        <w:t>坚决不</w:t>
      </w:r>
      <w:r>
        <w:rPr>
          <w:sz w:val="24"/>
          <w:highlight w:val="none"/>
        </w:rPr>
        <w:t>侵害农民工劳动报酬的合法权益。</w:t>
      </w:r>
      <w:r>
        <w:rPr>
          <w:sz w:val="24"/>
          <w:highlight w:val="none"/>
        </w:rPr>
        <w:br w:type="textWrapping"/>
      </w:r>
      <w:r>
        <w:rPr>
          <w:sz w:val="24"/>
          <w:highlight w:val="none"/>
        </w:rPr>
        <w:t>      六、若有拖欠、克扣农民工工资、加班加点工资及侵害农民工劳动报酬权益的行为，</w:t>
      </w:r>
      <w:r>
        <w:rPr>
          <w:rFonts w:hint="eastAsia"/>
          <w:sz w:val="24"/>
          <w:highlight w:val="none"/>
        </w:rPr>
        <w:t>经有关部门</w:t>
      </w:r>
      <w:r>
        <w:rPr>
          <w:sz w:val="24"/>
          <w:highlight w:val="none"/>
        </w:rPr>
        <w:t>查证属实后，</w:t>
      </w:r>
      <w:r>
        <w:rPr>
          <w:rFonts w:hint="eastAsia"/>
          <w:sz w:val="24"/>
          <w:highlight w:val="none"/>
        </w:rPr>
        <w:t>自愿</w:t>
      </w:r>
      <w:r>
        <w:rPr>
          <w:sz w:val="24"/>
          <w:highlight w:val="none"/>
        </w:rPr>
        <w:t>从工资保</w:t>
      </w:r>
      <w:r>
        <w:rPr>
          <w:rFonts w:hint="eastAsia"/>
          <w:sz w:val="24"/>
          <w:highlight w:val="none"/>
        </w:rPr>
        <w:t>障</w:t>
      </w:r>
      <w:r>
        <w:rPr>
          <w:sz w:val="24"/>
          <w:highlight w:val="none"/>
        </w:rPr>
        <w:t>金中支付，</w:t>
      </w:r>
      <w:r>
        <w:rPr>
          <w:rFonts w:hint="eastAsia"/>
          <w:sz w:val="24"/>
          <w:highlight w:val="none"/>
        </w:rPr>
        <w:t>且</w:t>
      </w:r>
      <w:r>
        <w:rPr>
          <w:sz w:val="24"/>
          <w:highlight w:val="none"/>
        </w:rPr>
        <w:t>在一个星期内补足保</w:t>
      </w:r>
      <w:r>
        <w:rPr>
          <w:rFonts w:hint="eastAsia"/>
          <w:sz w:val="24"/>
          <w:highlight w:val="none"/>
        </w:rPr>
        <w:t>障</w:t>
      </w:r>
      <w:r>
        <w:rPr>
          <w:sz w:val="24"/>
          <w:highlight w:val="none"/>
        </w:rPr>
        <w:t>金。</w:t>
      </w:r>
      <w:r>
        <w:rPr>
          <w:sz w:val="24"/>
          <w:highlight w:val="none"/>
        </w:rPr>
        <w:br w:type="textWrapping"/>
      </w: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firstLine="360" w:firstLineChars="150"/>
        <w:rPr>
          <w:sz w:val="24"/>
          <w:highlight w:val="none"/>
        </w:rPr>
      </w:pPr>
    </w:p>
    <w:p>
      <w:pPr>
        <w:adjustRightInd w:val="0"/>
        <w:snapToGrid w:val="0"/>
        <w:spacing w:afterLines="50" w:line="343" w:lineRule="auto"/>
        <w:ind w:right="480" w:firstLine="3480" w:firstLineChars="1450"/>
        <w:rPr>
          <w:sz w:val="24"/>
          <w:highlight w:val="none"/>
          <w:u w:val="single"/>
        </w:rPr>
      </w:pPr>
      <w:r>
        <w:rPr>
          <w:rFonts w:hint="eastAsia"/>
          <w:sz w:val="24"/>
          <w:highlight w:val="none"/>
        </w:rPr>
        <w:t>承诺人：</w:t>
      </w:r>
      <w:r>
        <w:rPr>
          <w:rFonts w:hint="eastAsia"/>
          <w:sz w:val="24"/>
          <w:highlight w:val="none"/>
          <w:u w:val="single"/>
        </w:rPr>
        <w:t>（单位全称）（盖章）</w:t>
      </w:r>
    </w:p>
    <w:p>
      <w:pPr>
        <w:adjustRightInd w:val="0"/>
        <w:snapToGrid w:val="0"/>
        <w:spacing w:afterLines="50" w:line="343" w:lineRule="auto"/>
        <w:ind w:firstLine="3480" w:firstLineChars="1450"/>
        <w:rPr>
          <w:sz w:val="24"/>
          <w:highlight w:val="none"/>
          <w:u w:val="single"/>
        </w:rPr>
      </w:pPr>
      <w:r>
        <w:rPr>
          <w:rFonts w:hint="eastAsia"/>
          <w:sz w:val="24"/>
          <w:highlight w:val="none"/>
        </w:rPr>
        <w:t>法定代表人或其委托代理人：</w:t>
      </w:r>
      <w:r>
        <w:rPr>
          <w:rFonts w:hint="eastAsia"/>
          <w:sz w:val="24"/>
          <w:highlight w:val="none"/>
          <w:u w:val="single"/>
        </w:rPr>
        <w:t xml:space="preserve">    (签字) </w:t>
      </w:r>
    </w:p>
    <w:p>
      <w:pPr>
        <w:adjustRightInd w:val="0"/>
        <w:snapToGrid w:val="0"/>
        <w:spacing w:afterLines="50" w:line="343" w:lineRule="auto"/>
        <w:ind w:firstLine="360" w:firstLineChars="150"/>
        <w:rPr>
          <w:sz w:val="24"/>
          <w:highlight w:val="none"/>
          <w:u w:val="single"/>
        </w:rPr>
      </w:pPr>
    </w:p>
    <w:p>
      <w:pPr>
        <w:adjustRightInd w:val="0"/>
        <w:snapToGrid w:val="0"/>
        <w:spacing w:afterLines="50" w:line="343" w:lineRule="auto"/>
        <w:rPr>
          <w:rFonts w:ascii="黑体" w:eastAsia="黑体"/>
          <w:sz w:val="28"/>
          <w:szCs w:val="28"/>
          <w:highlight w:val="none"/>
        </w:rPr>
      </w:pPr>
    </w:p>
    <w:p>
      <w:pPr>
        <w:pageBreakBefore/>
        <w:spacing w:line="360" w:lineRule="auto"/>
        <w:jc w:val="center"/>
        <w:rPr>
          <w:rFonts w:ascii="宋体" w:hAnsi="宋体"/>
          <w:b/>
          <w:sz w:val="32"/>
          <w:szCs w:val="32"/>
          <w:highlight w:val="none"/>
        </w:rPr>
      </w:pPr>
      <w:bookmarkStart w:id="290" w:name="_Toc485889080"/>
      <w:bookmarkStart w:id="291" w:name="_Toc18302"/>
      <w:bookmarkStart w:id="292" w:name="_Toc486277945"/>
      <w:r>
        <w:rPr>
          <w:rFonts w:hint="eastAsia" w:ascii="黑体" w:eastAsia="黑体"/>
          <w:sz w:val="30"/>
          <w:szCs w:val="30"/>
          <w:highlight w:val="none"/>
        </w:rPr>
        <w:t>九、扬尘治理专项承诺书</w:t>
      </w:r>
      <w:bookmarkEnd w:id="290"/>
      <w:bookmarkEnd w:id="291"/>
      <w:bookmarkEnd w:id="292"/>
    </w:p>
    <w:p>
      <w:pPr>
        <w:pageBreakBefore/>
        <w:spacing w:line="360" w:lineRule="auto"/>
        <w:jc w:val="center"/>
        <w:rPr>
          <w:rFonts w:ascii="宋体" w:hAnsi="宋体"/>
          <w:b/>
          <w:sz w:val="32"/>
          <w:szCs w:val="32"/>
          <w:highlight w:val="none"/>
        </w:rPr>
      </w:pPr>
      <w:r>
        <w:rPr>
          <w:rFonts w:ascii="宋体" w:hAnsi="宋体"/>
          <w:b/>
          <w:sz w:val="32"/>
          <w:szCs w:val="32"/>
          <w:highlight w:val="none"/>
        </w:rPr>
        <w:t>十、</w:t>
      </w:r>
      <w:r>
        <w:rPr>
          <w:rFonts w:hint="eastAsia" w:ascii="宋体" w:hAnsi="宋体"/>
          <w:b/>
          <w:sz w:val="32"/>
          <w:szCs w:val="32"/>
          <w:highlight w:val="none"/>
        </w:rPr>
        <w:t>拟分包项目情况表</w:t>
      </w:r>
    </w:p>
    <w:p>
      <w:pPr>
        <w:rPr>
          <w:rFonts w:ascii="宋体" w:hAnsi="宋体" w:cs="宋体"/>
          <w:highlight w:val="none"/>
        </w:rPr>
      </w:pPr>
    </w:p>
    <w:tbl>
      <w:tblPr>
        <w:tblStyle w:val="1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分包人名称</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地址</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法定代表人</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营业执照号码</w:t>
            </w:r>
          </w:p>
        </w:tc>
        <w:tc>
          <w:tcPr>
            <w:tcW w:w="2410" w:type="dxa"/>
            <w:vAlign w:val="center"/>
          </w:tcPr>
          <w:p>
            <w:pPr>
              <w:jc w:val="center"/>
              <w:rPr>
                <w:rFonts w:ascii="宋体" w:hAnsi="宋体" w:cs="宋体"/>
                <w:szCs w:val="21"/>
                <w:highlight w:val="none"/>
              </w:rPr>
            </w:pP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资质等级</w:t>
            </w:r>
          </w:p>
        </w:tc>
        <w:tc>
          <w:tcPr>
            <w:tcW w:w="2410" w:type="dxa"/>
            <w:vAlign w:val="center"/>
          </w:tcPr>
          <w:p>
            <w:pPr>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highlight w:val="none"/>
              </w:rPr>
            </w:pPr>
            <w:r>
              <w:rPr>
                <w:rFonts w:hint="eastAsia" w:ascii="宋体" w:hAnsi="宋体" w:cs="宋体"/>
                <w:szCs w:val="21"/>
                <w:highlight w:val="none"/>
              </w:rPr>
              <w:t>拟分包的工程项目</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主要内容</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预计造价（万元）</w:t>
            </w:r>
          </w:p>
        </w:tc>
        <w:tc>
          <w:tcPr>
            <w:tcW w:w="2410" w:type="dxa"/>
            <w:vAlign w:val="center"/>
          </w:tcPr>
          <w:p>
            <w:pPr>
              <w:jc w:val="center"/>
              <w:rPr>
                <w:rFonts w:ascii="宋体" w:hAnsi="宋体" w:cs="宋体"/>
                <w:szCs w:val="21"/>
                <w:highlight w:val="none"/>
              </w:rPr>
            </w:pPr>
            <w:r>
              <w:rPr>
                <w:rFonts w:hint="eastAsia" w:ascii="宋体" w:hAnsi="宋体" w:cs="宋体"/>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restart"/>
          </w:tcPr>
          <w:p>
            <w:pPr>
              <w:ind w:firstLine="210" w:firstLineChars="100"/>
              <w:rPr>
                <w:rFonts w:ascii="宋体" w:hAnsi="宋体" w:cs="宋体"/>
                <w:szCs w:val="21"/>
                <w:highlight w:val="none"/>
              </w:rPr>
            </w:pPr>
          </w:p>
          <w:p>
            <w:pPr>
              <w:ind w:firstLine="210" w:firstLineChars="100"/>
              <w:rPr>
                <w:rFonts w:ascii="宋体" w:hAnsi="宋体" w:cs="宋体"/>
                <w:szCs w:val="21"/>
                <w:highlight w:val="none"/>
              </w:rPr>
            </w:pPr>
            <w:r>
              <w:rPr>
                <w:rFonts w:hint="eastAsia" w:ascii="宋体" w:hAnsi="宋体" w:cs="宋体"/>
                <w:szCs w:val="21"/>
                <w:highlight w:val="none"/>
              </w:rPr>
              <w:t>注：</w:t>
            </w:r>
          </w:p>
          <w:p>
            <w:pPr>
              <w:ind w:firstLine="210" w:firstLineChars="100"/>
              <w:rPr>
                <w:rFonts w:ascii="宋体" w:hAnsi="宋体" w:cs="宋体"/>
                <w:szCs w:val="21"/>
                <w:highlight w:val="none"/>
              </w:rPr>
            </w:pPr>
            <w:r>
              <w:rPr>
                <w:rFonts w:hint="eastAsia" w:ascii="宋体" w:hAnsi="宋体" w:cs="宋体"/>
                <w:szCs w:val="21"/>
                <w:highlight w:val="none"/>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highlight w:val="none"/>
              </w:rPr>
            </w:pPr>
            <w:r>
              <w:rPr>
                <w:rFonts w:hint="eastAsia" w:ascii="宋体" w:hAnsi="宋体" w:cs="宋体"/>
                <w:szCs w:val="21"/>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Align w:val="center"/>
          </w:tcPr>
          <w:p>
            <w:pPr>
              <w:rPr>
                <w:rFonts w:ascii="宋体" w:hAnsi="宋体" w:cs="宋体"/>
                <w:szCs w:val="21"/>
                <w:highlight w:val="none"/>
              </w:rPr>
            </w:pPr>
          </w:p>
        </w:tc>
        <w:tc>
          <w:tcPr>
            <w:tcW w:w="2410" w:type="dxa"/>
            <w:vMerge w:val="continue"/>
            <w:vAlign w:val="center"/>
          </w:tcPr>
          <w:p>
            <w:pPr>
              <w:rPr>
                <w:rFonts w:ascii="宋体" w:hAnsi="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highlight w:val="none"/>
              </w:rPr>
            </w:pPr>
            <w:r>
              <w:rPr>
                <w:rFonts w:hint="eastAsia" w:ascii="宋体" w:hAnsi="宋体" w:cs="宋体"/>
                <w:szCs w:val="21"/>
                <w:highlight w:val="none"/>
              </w:rPr>
              <w:t>分包值合计（万元）</w:t>
            </w:r>
          </w:p>
        </w:tc>
        <w:tc>
          <w:tcPr>
            <w:tcW w:w="2410" w:type="dxa"/>
            <w:vAlign w:val="center"/>
          </w:tcPr>
          <w:p>
            <w:pPr>
              <w:jc w:val="center"/>
              <w:rPr>
                <w:rFonts w:ascii="宋体" w:hAnsi="宋体" w:cs="宋体"/>
                <w:szCs w:val="21"/>
                <w:highlight w:val="none"/>
              </w:rPr>
            </w:pPr>
          </w:p>
        </w:tc>
        <w:tc>
          <w:tcPr>
            <w:tcW w:w="2410" w:type="dxa"/>
            <w:vMerge w:val="continue"/>
            <w:vAlign w:val="center"/>
          </w:tcPr>
          <w:p>
            <w:pPr>
              <w:jc w:val="center"/>
              <w:rPr>
                <w:rFonts w:ascii="宋体" w:hAnsi="宋体" w:cs="宋体"/>
                <w:sz w:val="28"/>
                <w:szCs w:val="28"/>
                <w:highlight w:val="none"/>
              </w:rPr>
            </w:pPr>
          </w:p>
        </w:tc>
      </w:tr>
    </w:tbl>
    <w:p>
      <w:pPr>
        <w:pStyle w:val="6"/>
        <w:spacing w:beforeLines="100" w:afterLines="150" w:line="360" w:lineRule="exact"/>
        <w:rPr>
          <w:rFonts w:ascii="黑体" w:eastAsia="黑体"/>
          <w:sz w:val="30"/>
          <w:szCs w:val="30"/>
          <w:highlight w:val="none"/>
        </w:rPr>
      </w:pPr>
    </w:p>
    <w:p>
      <w:pPr>
        <w:pStyle w:val="6"/>
        <w:spacing w:beforeLines="100" w:afterLines="150" w:line="360" w:lineRule="exact"/>
        <w:jc w:val="center"/>
        <w:rPr>
          <w:rFonts w:ascii="黑体" w:hAnsi="宋体" w:eastAsia="黑体"/>
          <w:sz w:val="30"/>
          <w:szCs w:val="30"/>
          <w:highlight w:val="none"/>
        </w:rPr>
      </w:pPr>
      <w:bookmarkStart w:id="293" w:name="_Toc486277946"/>
      <w:bookmarkStart w:id="294" w:name="_Toc485889081"/>
      <w:bookmarkStart w:id="295" w:name="_Toc5401"/>
      <w:r>
        <w:rPr>
          <w:rFonts w:hint="eastAsia" w:ascii="黑体" w:hAnsi="宋体" w:eastAsia="黑体"/>
          <w:sz w:val="30"/>
          <w:szCs w:val="30"/>
          <w:highlight w:val="none"/>
        </w:rPr>
        <w:t>十</w:t>
      </w:r>
      <w:r>
        <w:rPr>
          <w:rFonts w:ascii="黑体" w:hAnsi="宋体" w:eastAsia="黑体"/>
          <w:sz w:val="30"/>
          <w:szCs w:val="30"/>
          <w:highlight w:val="none"/>
        </w:rPr>
        <w:t>一</w:t>
      </w:r>
      <w:r>
        <w:rPr>
          <w:rFonts w:hint="eastAsia" w:ascii="黑体" w:hAnsi="宋体" w:eastAsia="黑体"/>
          <w:sz w:val="30"/>
          <w:szCs w:val="30"/>
          <w:highlight w:val="none"/>
        </w:rPr>
        <w:t>、其 他 材 料</w:t>
      </w:r>
      <w:bookmarkEnd w:id="289"/>
      <w:bookmarkEnd w:id="293"/>
      <w:bookmarkEnd w:id="294"/>
      <w:bookmarkEnd w:id="295"/>
    </w:p>
    <w:p>
      <w:pPr>
        <w:rPr>
          <w:highlight w:val="none"/>
        </w:rPr>
      </w:pPr>
    </w:p>
    <w:p>
      <w:pPr>
        <w:rPr>
          <w:highlight w:val="none"/>
        </w:rPr>
      </w:pPr>
    </w:p>
    <w:p>
      <w:pPr>
        <w:pStyle w:val="6"/>
        <w:spacing w:beforeLines="100" w:afterLines="150" w:line="360" w:lineRule="exact"/>
        <w:jc w:val="center"/>
        <w:rPr>
          <w:highlight w:val="none"/>
        </w:rPr>
      </w:pPr>
    </w:p>
    <w:p>
      <w:pPr>
        <w:pStyle w:val="6"/>
        <w:spacing w:beforeLines="100" w:afterLines="150" w:line="360" w:lineRule="exact"/>
        <w:jc w:val="cente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ind w:firstLine="210"/>
        <w:rPr>
          <w:rFonts w:hint="eastAsia"/>
          <w:highlight w:val="none"/>
        </w:rPr>
      </w:pPr>
    </w:p>
    <w:p>
      <w:pPr>
        <w:pStyle w:val="4"/>
        <w:ind w:left="420" w:firstLine="420"/>
        <w:rPr>
          <w:highlight w:val="none"/>
          <w:lang w:eastAsia="zh-CN"/>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rFonts w:hint="eastAsia"/>
          <w:highlight w:val="none"/>
        </w:rPr>
      </w:pPr>
    </w:p>
    <w:p>
      <w:pPr>
        <w:pStyle w:val="4"/>
        <w:ind w:left="420" w:firstLine="420"/>
        <w:rPr>
          <w:highlight w:val="none"/>
          <w:lang w:eastAsia="zh-CN"/>
        </w:rPr>
      </w:pPr>
    </w:p>
    <w:p>
      <w:pPr>
        <w:pStyle w:val="4"/>
        <w:ind w:left="420" w:firstLine="420"/>
        <w:rPr>
          <w:highlight w:val="none"/>
          <w:lang w:eastAsia="zh-CN"/>
        </w:rPr>
      </w:pPr>
    </w:p>
    <w:p>
      <w:pPr>
        <w:pStyle w:val="4"/>
        <w:ind w:left="420" w:firstLine="420"/>
        <w:rPr>
          <w:highlight w:val="none"/>
          <w:lang w:eastAsia="zh-CN"/>
        </w:rPr>
      </w:pPr>
    </w:p>
    <w:p>
      <w:pPr>
        <w:pStyle w:val="2"/>
        <w:ind w:firstLine="210"/>
        <w:rPr>
          <w:highlight w:val="none"/>
        </w:rPr>
      </w:pPr>
    </w:p>
    <w:p>
      <w:pPr>
        <w:ind w:firstLine="360" w:firstLineChars="100"/>
        <w:rPr>
          <w:rFonts w:asciiTheme="minorEastAsia" w:hAnsiTheme="minorEastAsia" w:eastAsiaTheme="minorEastAsia"/>
          <w:bCs/>
          <w:sz w:val="36"/>
          <w:szCs w:val="36"/>
          <w:highlight w:val="none"/>
        </w:rPr>
      </w:pPr>
    </w:p>
    <w:p>
      <w:pPr>
        <w:pStyle w:val="2"/>
        <w:ind w:firstLine="210"/>
        <w:rPr>
          <w:highlight w:val="none"/>
        </w:rPr>
      </w:pPr>
    </w:p>
    <w:p>
      <w:pPr>
        <w:ind w:firstLine="520" w:firstLineChars="100"/>
        <w:jc w:val="center"/>
        <w:rPr>
          <w:rFonts w:asciiTheme="minorEastAsia" w:hAnsiTheme="minorEastAsia" w:eastAsiaTheme="minorEastAsia"/>
          <w:bCs/>
          <w:sz w:val="36"/>
          <w:szCs w:val="36"/>
          <w:highlight w:val="none"/>
          <w:u w:val="single"/>
        </w:rPr>
      </w:pPr>
      <w:r>
        <w:rPr>
          <w:rFonts w:hint="eastAsia" w:asciiTheme="minorEastAsia" w:hAnsiTheme="minorEastAsia" w:eastAsiaTheme="minorEastAsia"/>
          <w:bCs/>
          <w:sz w:val="52"/>
          <w:szCs w:val="52"/>
          <w:highlight w:val="none"/>
          <w:u w:val="single"/>
          <w:lang w:val="en-US" w:eastAsia="zh-CN"/>
        </w:rPr>
        <w:t xml:space="preserve">         </w:t>
      </w:r>
      <w:r>
        <w:rPr>
          <w:rFonts w:hint="eastAsia" w:asciiTheme="minorEastAsia" w:hAnsiTheme="minorEastAsia" w:eastAsiaTheme="minorEastAsia"/>
          <w:bCs/>
          <w:sz w:val="52"/>
          <w:szCs w:val="52"/>
          <w:highlight w:val="none"/>
          <w:u w:val="single"/>
        </w:rPr>
        <w:t>(项目名称)</w:t>
      </w:r>
    </w:p>
    <w:p>
      <w:pPr>
        <w:spacing w:line="360" w:lineRule="auto"/>
        <w:rPr>
          <w:rFonts w:asciiTheme="minorEastAsia" w:hAnsiTheme="minorEastAsia" w:eastAsiaTheme="minorEastAsia"/>
          <w:sz w:val="36"/>
          <w:szCs w:val="36"/>
          <w:highlight w:val="none"/>
        </w:rPr>
      </w:pPr>
    </w:p>
    <w:p>
      <w:pPr>
        <w:spacing w:line="360" w:lineRule="auto"/>
        <w:jc w:val="center"/>
        <w:rPr>
          <w:rFonts w:asciiTheme="minorEastAsia" w:hAnsiTheme="minorEastAsia" w:eastAsiaTheme="minorEastAsia"/>
          <w:b/>
          <w:color w:val="FF0000"/>
          <w:sz w:val="52"/>
          <w:szCs w:val="52"/>
          <w:highlight w:val="none"/>
        </w:rPr>
      </w:pPr>
      <w:r>
        <w:rPr>
          <w:rFonts w:hint="eastAsia" w:asciiTheme="minorEastAsia" w:hAnsiTheme="minorEastAsia" w:eastAsiaTheme="minorEastAsia"/>
          <w:color w:val="121212"/>
          <w:sz w:val="36"/>
          <w:szCs w:val="36"/>
          <w:highlight w:val="none"/>
        </w:rPr>
        <w:t>建安建工公字〔2020〕</w:t>
      </w:r>
      <w:r>
        <w:rPr>
          <w:rFonts w:hint="eastAsia" w:asciiTheme="minorEastAsia" w:hAnsiTheme="minorEastAsia" w:eastAsiaTheme="minorEastAsia"/>
          <w:color w:val="121212"/>
          <w:sz w:val="36"/>
          <w:szCs w:val="36"/>
          <w:highlight w:val="none"/>
          <w:lang w:val="en-US" w:eastAsia="zh-CN"/>
        </w:rPr>
        <w:t xml:space="preserve">  </w:t>
      </w:r>
      <w:r>
        <w:rPr>
          <w:rFonts w:hint="eastAsia" w:asciiTheme="minorEastAsia" w:hAnsiTheme="minorEastAsia" w:eastAsiaTheme="minorEastAsia"/>
          <w:color w:val="121212"/>
          <w:sz w:val="36"/>
          <w:szCs w:val="36"/>
          <w:highlight w:val="none"/>
        </w:rPr>
        <w:t>号</w:t>
      </w:r>
    </w:p>
    <w:p>
      <w:pPr>
        <w:spacing w:line="360" w:lineRule="auto"/>
        <w:jc w:val="center"/>
        <w:rPr>
          <w:rFonts w:asciiTheme="minorEastAsia" w:hAnsiTheme="minorEastAsia" w:eastAsiaTheme="minorEastAsia"/>
          <w:b/>
          <w:sz w:val="52"/>
          <w:szCs w:val="52"/>
          <w:highlight w:val="none"/>
        </w:rPr>
      </w:pPr>
    </w:p>
    <w:p>
      <w:pPr>
        <w:spacing w:line="360" w:lineRule="auto"/>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投 标 文 件</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 xml:space="preserve">第二信封  </w:t>
      </w:r>
    </w:p>
    <w:p>
      <w:pPr>
        <w:spacing w:line="360" w:lineRule="auto"/>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（投标报价和工程量清单）</w:t>
      </w: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360" w:lineRule="auto"/>
        <w:rPr>
          <w:rFonts w:asciiTheme="minorEastAsia" w:hAnsiTheme="minorEastAsia" w:eastAsiaTheme="minorEastAsia"/>
          <w:b/>
          <w:sz w:val="32"/>
          <w:szCs w:val="32"/>
          <w:highlight w:val="none"/>
        </w:rPr>
      </w:pPr>
    </w:p>
    <w:p>
      <w:pPr>
        <w:spacing w:line="800" w:lineRule="exact"/>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 xml:space="preserve">          投标人：（盖单位章）</w:t>
      </w:r>
    </w:p>
    <w:p>
      <w:pPr>
        <w:spacing w:line="800" w:lineRule="exact"/>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 xml:space="preserve">          法定代表人或其委托代理人：（签字）</w:t>
      </w:r>
    </w:p>
    <w:p>
      <w:pPr>
        <w:spacing w:line="800" w:lineRule="exact"/>
        <w:ind w:firstLine="1590" w:firstLineChars="495"/>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日  期：    年   月   日</w:t>
      </w:r>
    </w:p>
    <w:p>
      <w:pPr>
        <w:jc w:val="center"/>
        <w:rPr>
          <w:rFonts w:asciiTheme="minorEastAsia" w:hAnsiTheme="minorEastAsia" w:eastAsiaTheme="minorEastAsia"/>
          <w:b/>
          <w:sz w:val="36"/>
          <w:szCs w:val="36"/>
          <w:highlight w:val="none"/>
        </w:rPr>
      </w:pPr>
    </w:p>
    <w:p>
      <w:pPr>
        <w:pageBreakBefore/>
        <w:spacing w:line="360" w:lineRule="auto"/>
        <w:jc w:val="center"/>
        <w:rPr>
          <w:rFonts w:ascii="宋体" w:hAnsi="宋体"/>
          <w:b/>
          <w:sz w:val="32"/>
          <w:szCs w:val="32"/>
          <w:highlight w:val="none"/>
        </w:rPr>
      </w:pPr>
      <w:r>
        <w:rPr>
          <w:rFonts w:hint="eastAsia" w:ascii="宋体" w:hAnsi="宋体"/>
          <w:b/>
          <w:sz w:val="32"/>
          <w:szCs w:val="32"/>
          <w:highlight w:val="none"/>
        </w:rPr>
        <w:t>目 录</w:t>
      </w:r>
    </w:p>
    <w:p>
      <w:pPr>
        <w:spacing w:line="360" w:lineRule="auto"/>
        <w:jc w:val="center"/>
        <w:rPr>
          <w:rFonts w:ascii="宋体" w:hAnsi="宋体"/>
          <w:b/>
          <w:sz w:val="32"/>
          <w:szCs w:val="32"/>
          <w:highlight w:val="none"/>
        </w:rPr>
      </w:pP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一、投标函</w:t>
      </w: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二、已标价工程量清单</w:t>
      </w:r>
    </w:p>
    <w:p>
      <w:pPr>
        <w:spacing w:line="360" w:lineRule="auto"/>
        <w:ind w:firstLine="700" w:firstLineChars="250"/>
        <w:jc w:val="left"/>
        <w:rPr>
          <w:rFonts w:ascii="宋体" w:hAnsi="宋体"/>
          <w:sz w:val="28"/>
          <w:szCs w:val="28"/>
          <w:highlight w:val="none"/>
        </w:rPr>
      </w:pPr>
      <w:r>
        <w:rPr>
          <w:rFonts w:ascii="宋体" w:hAnsi="宋体"/>
          <w:sz w:val="28"/>
          <w:szCs w:val="28"/>
          <w:highlight w:val="none"/>
        </w:rPr>
        <w:t>三</w:t>
      </w:r>
      <w:r>
        <w:rPr>
          <w:rFonts w:hint="eastAsia" w:ascii="宋体" w:hAnsi="宋体"/>
          <w:sz w:val="28"/>
          <w:szCs w:val="28"/>
          <w:highlight w:val="none"/>
        </w:rPr>
        <w:t>、合同用款估算表</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rFonts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一、投标函</w:t>
      </w:r>
    </w:p>
    <w:p>
      <w:pPr>
        <w:spacing w:line="360" w:lineRule="auto"/>
        <w:rPr>
          <w:rFonts w:ascii="宋体" w:hAnsi="宋体"/>
          <w:sz w:val="24"/>
          <w:highlight w:val="none"/>
        </w:rPr>
      </w:pPr>
    </w:p>
    <w:p>
      <w:pPr>
        <w:spacing w:line="360" w:lineRule="auto"/>
        <w:jc w:val="left"/>
        <w:rPr>
          <w:rFonts w:ascii="宋体" w:hAnsi="宋体"/>
          <w:sz w:val="24"/>
          <w:highlight w:val="none"/>
        </w:rPr>
      </w:pPr>
      <w:r>
        <w:rPr>
          <w:rFonts w:hint="eastAsia" w:ascii="宋体" w:hAnsi="宋体"/>
          <w:sz w:val="24"/>
          <w:highlight w:val="none"/>
        </w:rPr>
        <w:t>_________________________(招标人名称)：</w:t>
      </w:r>
    </w:p>
    <w:p>
      <w:pPr>
        <w:spacing w:line="360" w:lineRule="auto"/>
        <w:ind w:firstLine="480" w:firstLineChars="200"/>
        <w:jc w:val="left"/>
        <w:rPr>
          <w:rFonts w:ascii="宋体" w:hAnsi="宋体"/>
          <w:sz w:val="24"/>
          <w:highlight w:val="none"/>
        </w:rPr>
      </w:pPr>
      <w:r>
        <w:rPr>
          <w:rFonts w:hint="eastAsia" w:ascii="宋体" w:hAnsi="宋体"/>
          <w:sz w:val="24"/>
          <w:highlight w:val="none"/>
        </w:rPr>
        <w:t>1．我方已仔细研究_____________(项目名称)施工招标文件的全部内容（含补遗书第</w:t>
      </w:r>
      <w:r>
        <w:rPr>
          <w:rFonts w:hint="eastAsia" w:ascii="宋体" w:hAnsi="宋体"/>
          <w:sz w:val="24"/>
          <w:highlight w:val="none"/>
          <w:lang w:val="en-US" w:eastAsia="zh-CN"/>
        </w:rPr>
        <w:t>_</w:t>
      </w:r>
      <w:r>
        <w:rPr>
          <w:rFonts w:hint="eastAsia" w:ascii="宋体" w:hAnsi="宋体"/>
          <w:sz w:val="24"/>
          <w:highlight w:val="none"/>
        </w:rPr>
        <w:t>号至第</w:t>
      </w:r>
      <w:r>
        <w:rPr>
          <w:rFonts w:hint="eastAsia" w:ascii="宋体" w:hAnsi="宋体"/>
          <w:sz w:val="24"/>
          <w:highlight w:val="none"/>
          <w:lang w:val="en-US" w:eastAsia="zh-CN"/>
        </w:rPr>
        <w:t>_</w:t>
      </w:r>
      <w:r>
        <w:rPr>
          <w:rFonts w:hint="eastAsia" w:ascii="宋体" w:hAnsi="宋体"/>
          <w:sz w:val="24"/>
          <w:highlight w:val="none"/>
        </w:rPr>
        <w:t>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highlight w:val="none"/>
        </w:rPr>
      </w:pPr>
      <w:r>
        <w:rPr>
          <w:rFonts w:hint="eastAsia" w:ascii="宋体" w:hAnsi="宋体"/>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2880" w:firstLineChars="1200"/>
        <w:jc w:val="left"/>
        <w:rPr>
          <w:rFonts w:ascii="宋体" w:hAnsi="宋体"/>
          <w:sz w:val="24"/>
          <w:highlight w:val="none"/>
        </w:rPr>
      </w:pPr>
      <w:r>
        <w:rPr>
          <w:rFonts w:hint="eastAsia" w:ascii="宋体" w:hAnsi="宋体"/>
          <w:sz w:val="24"/>
          <w:highlight w:val="none"/>
        </w:rPr>
        <w:t>投 标 人：___________________(盖单位章)</w:t>
      </w:r>
    </w:p>
    <w:p>
      <w:pPr>
        <w:spacing w:line="360" w:lineRule="auto"/>
        <w:ind w:firstLine="2880" w:firstLineChars="1200"/>
        <w:jc w:val="left"/>
        <w:rPr>
          <w:rFonts w:ascii="宋体" w:hAnsi="宋体"/>
          <w:sz w:val="24"/>
          <w:highlight w:val="none"/>
        </w:rPr>
      </w:pPr>
      <w:r>
        <w:rPr>
          <w:rFonts w:hint="eastAsia" w:ascii="宋体" w:hAnsi="宋体"/>
          <w:sz w:val="24"/>
          <w:highlight w:val="none"/>
        </w:rPr>
        <w:t>法定代表人或其委托代理人:_________(签字)</w:t>
      </w:r>
    </w:p>
    <w:p>
      <w:pPr>
        <w:spacing w:line="360" w:lineRule="auto"/>
        <w:ind w:left="3543" w:leftChars="1687"/>
        <w:jc w:val="left"/>
        <w:rPr>
          <w:rFonts w:ascii="宋体" w:hAnsi="宋体"/>
          <w:sz w:val="24"/>
          <w:highlight w:val="none"/>
        </w:rPr>
      </w:pPr>
    </w:p>
    <w:p>
      <w:pPr>
        <w:spacing w:line="360" w:lineRule="auto"/>
        <w:ind w:left="3543" w:leftChars="1687" w:firstLine="720" w:firstLineChars="300"/>
        <w:jc w:val="left"/>
        <w:rPr>
          <w:rFonts w:ascii="宋体" w:hAnsi="宋体"/>
          <w:sz w:val="24"/>
          <w:highlight w:val="none"/>
        </w:rPr>
      </w:pPr>
      <w:r>
        <w:rPr>
          <w:rFonts w:hint="eastAsia" w:ascii="宋体" w:hAnsi="宋体"/>
          <w:sz w:val="24"/>
          <w:highlight w:val="none"/>
        </w:rPr>
        <w:t>________年______月_______日</w:t>
      </w:r>
    </w:p>
    <w:p>
      <w:pPr>
        <w:spacing w:line="360" w:lineRule="auto"/>
        <w:ind w:left="1"/>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spacing w:line="360" w:lineRule="auto"/>
        <w:jc w:val="left"/>
        <w:rPr>
          <w:rFonts w:ascii="宋体" w:hAnsi="宋体"/>
          <w:sz w:val="24"/>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pStyle w:val="2"/>
        <w:ind w:firstLine="210"/>
        <w:rPr>
          <w:highlight w:val="none"/>
        </w:rPr>
      </w:pPr>
    </w:p>
    <w:p>
      <w:pPr>
        <w:spacing w:line="360" w:lineRule="auto"/>
        <w:jc w:val="left"/>
        <w:rPr>
          <w:rFonts w:ascii="宋体" w:hAnsi="宋体"/>
          <w:sz w:val="24"/>
          <w:highlight w:val="none"/>
        </w:rPr>
      </w:pPr>
    </w:p>
    <w:p>
      <w:pPr>
        <w:spacing w:line="360" w:lineRule="auto"/>
        <w:ind w:left="1"/>
        <w:jc w:val="left"/>
        <w:rPr>
          <w:rFonts w:ascii="宋体" w:hAnsi="宋体"/>
          <w:sz w:val="24"/>
          <w:highlight w:val="none"/>
        </w:rPr>
      </w:pPr>
    </w:p>
    <w:p>
      <w:pPr>
        <w:spacing w:line="360" w:lineRule="auto"/>
        <w:ind w:left="3543" w:leftChars="1687" w:firstLine="720" w:firstLineChars="300"/>
        <w:jc w:val="left"/>
        <w:rPr>
          <w:rFonts w:ascii="宋体" w:hAnsi="宋体"/>
          <w:sz w:val="24"/>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二、已标价工程量清单</w:t>
      </w:r>
    </w:p>
    <w:p>
      <w:pPr>
        <w:spacing w:line="360" w:lineRule="auto"/>
        <w:ind w:firstLine="480" w:firstLineChars="200"/>
        <w:jc w:val="left"/>
        <w:rPr>
          <w:highlight w:val="none"/>
        </w:rPr>
      </w:pPr>
      <w:r>
        <w:rPr>
          <w:rFonts w:hint="eastAsia" w:ascii="宋体" w:hAnsi="宋体"/>
          <w:sz w:val="24"/>
          <w:highlight w:val="none"/>
        </w:rPr>
        <w:t>投标人应按照第五章“工程量清单</w:t>
      </w:r>
      <w:r>
        <w:rPr>
          <w:rFonts w:hint="eastAsia" w:ascii="宋体" w:hAnsi="宋体"/>
          <w:sz w:val="24"/>
          <w:highlight w:val="none"/>
          <w:lang w:eastAsia="zh-CN"/>
        </w:rPr>
        <w:t>说明</w:t>
      </w:r>
      <w:r>
        <w:rPr>
          <w:rFonts w:hint="eastAsia" w:ascii="宋体" w:hAnsi="宋体"/>
          <w:sz w:val="24"/>
          <w:highlight w:val="none"/>
        </w:rPr>
        <w:t>”的要求逐项填报工程量清单，包括工程量清单说明、投标报价说明、计日工说明、其他说明等</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pStyle w:val="6"/>
        <w:spacing w:beforeLines="50" w:after="240" w:line="400" w:lineRule="exact"/>
        <w:ind w:firstLine="2570" w:firstLineChars="800"/>
        <w:rPr>
          <w:rFonts w:ascii="宋体" w:hAnsi="宋体"/>
          <w:kern w:val="2"/>
          <w:sz w:val="32"/>
          <w:szCs w:val="28"/>
          <w:highlight w:val="none"/>
        </w:rPr>
      </w:pPr>
      <w:bookmarkStart w:id="296" w:name="_Toc5044"/>
      <w:bookmarkStart w:id="297" w:name="_Toc234382973"/>
      <w:bookmarkStart w:id="298" w:name="_Toc485889069"/>
      <w:bookmarkStart w:id="299" w:name="_Toc486277947"/>
    </w:p>
    <w:p>
      <w:pPr>
        <w:rPr>
          <w:highlight w:val="none"/>
        </w:rPr>
      </w:pPr>
    </w:p>
    <w:p>
      <w:pPr>
        <w:ind w:firstLine="2731" w:firstLineChars="850"/>
        <w:rPr>
          <w:rFonts w:ascii="宋体" w:hAnsi="宋体"/>
          <w:b/>
          <w:bCs/>
          <w:sz w:val="32"/>
          <w:szCs w:val="28"/>
          <w:highlight w:val="none"/>
        </w:rPr>
      </w:pPr>
      <w:r>
        <w:rPr>
          <w:rFonts w:ascii="宋体" w:hAnsi="宋体"/>
          <w:b/>
          <w:bCs/>
          <w:sz w:val="32"/>
          <w:szCs w:val="28"/>
          <w:highlight w:val="none"/>
        </w:rPr>
        <w:t>三</w:t>
      </w:r>
      <w:r>
        <w:rPr>
          <w:rFonts w:hint="eastAsia" w:ascii="宋体" w:hAnsi="宋体"/>
          <w:b/>
          <w:bCs/>
          <w:sz w:val="32"/>
          <w:szCs w:val="28"/>
          <w:highlight w:val="none"/>
        </w:rPr>
        <w:t>、合同用款估算表</w:t>
      </w:r>
      <w:bookmarkEnd w:id="296"/>
      <w:bookmarkEnd w:id="297"/>
      <w:bookmarkEnd w:id="298"/>
      <w:bookmarkEnd w:id="299"/>
    </w:p>
    <w:tbl>
      <w:tblPr>
        <w:tblStyle w:val="16"/>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highlight w:val="none"/>
              </w:rPr>
            </w:pPr>
            <w:r>
              <w:rPr>
                <w:rFonts w:hint="eastAsia" w:ascii="宋体" w:hAnsi="宋体"/>
                <w:szCs w:val="21"/>
                <w:highlight w:val="none"/>
              </w:rPr>
              <w:t>从开工月算起的时间（月）</w:t>
            </w:r>
          </w:p>
        </w:tc>
        <w:tc>
          <w:tcPr>
            <w:tcW w:w="6925" w:type="dxa"/>
            <w:gridSpan w:val="4"/>
            <w:vAlign w:val="center"/>
          </w:tcPr>
          <w:p>
            <w:pPr>
              <w:jc w:val="center"/>
              <w:rPr>
                <w:rFonts w:ascii="宋体" w:hAnsi="宋体"/>
                <w:szCs w:val="21"/>
                <w:highlight w:val="none"/>
              </w:rPr>
            </w:pPr>
            <w:r>
              <w:rPr>
                <w:rFonts w:hint="eastAsia" w:ascii="宋体" w:hAnsi="宋体"/>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3462"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分  期</w:t>
            </w:r>
          </w:p>
        </w:tc>
        <w:tc>
          <w:tcPr>
            <w:tcW w:w="3463" w:type="dxa"/>
            <w:gridSpan w:val="2"/>
            <w:vAlign w:val="center"/>
          </w:tcPr>
          <w:p>
            <w:pPr>
              <w:tabs>
                <w:tab w:val="left" w:pos="4863"/>
              </w:tabs>
              <w:jc w:val="center"/>
              <w:rPr>
                <w:rFonts w:ascii="宋体" w:hAnsi="宋体"/>
                <w:szCs w:val="21"/>
                <w:highlight w:val="none"/>
              </w:rPr>
            </w:pPr>
            <w:r>
              <w:rPr>
                <w:rFonts w:hint="eastAsia" w:ascii="宋体" w:hAnsi="宋体"/>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1" w:type="dxa"/>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r>
              <w:rPr>
                <w:rFonts w:hint="eastAsia" w:ascii="宋体" w:hAnsi="宋体"/>
                <w:szCs w:val="21"/>
                <w:highlight w:val="none"/>
              </w:rPr>
              <w:t>金额（元）</w:t>
            </w:r>
          </w:p>
        </w:tc>
        <w:tc>
          <w:tcPr>
            <w:tcW w:w="1732" w:type="dxa"/>
            <w:vAlign w:val="center"/>
          </w:tcPr>
          <w:p>
            <w:pPr>
              <w:jc w:val="center"/>
              <w:rPr>
                <w:rFonts w:ascii="宋体" w:hAnsi="宋体"/>
                <w:szCs w:val="21"/>
                <w:highlight w:val="none"/>
              </w:rPr>
            </w:pP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第一次开工预付款</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4～6</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7～9</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10～12</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13～15</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缺陷责任期</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highlight w:val="none"/>
              </w:rPr>
            </w:pPr>
            <w:r>
              <w:rPr>
                <w:rFonts w:hint="eastAsia" w:ascii="宋体" w:hAnsi="宋体"/>
                <w:szCs w:val="21"/>
                <w:highlight w:val="none"/>
              </w:rPr>
              <w:t>小计</w:t>
            </w:r>
          </w:p>
        </w:tc>
        <w:tc>
          <w:tcPr>
            <w:tcW w:w="1731" w:type="dxa"/>
            <w:vAlign w:val="center"/>
          </w:tcPr>
          <w:p>
            <w:pPr>
              <w:jc w:val="center"/>
              <w:rPr>
                <w:rFonts w:ascii="宋体" w:hAnsi="宋体"/>
                <w:szCs w:val="21"/>
                <w:highlight w:val="none"/>
              </w:rPr>
            </w:pPr>
          </w:p>
        </w:tc>
        <w:tc>
          <w:tcPr>
            <w:tcW w:w="1731" w:type="dxa"/>
            <w:vAlign w:val="center"/>
          </w:tcPr>
          <w:p>
            <w:pPr>
              <w:jc w:val="center"/>
              <w:rPr>
                <w:rFonts w:ascii="宋体" w:hAnsi="宋体"/>
                <w:szCs w:val="21"/>
                <w:highlight w:val="none"/>
              </w:rPr>
            </w:pPr>
            <w:r>
              <w:rPr>
                <w:rFonts w:hint="eastAsia" w:ascii="宋体" w:hAnsi="宋体"/>
                <w:szCs w:val="21"/>
                <w:highlight w:val="none"/>
              </w:rPr>
              <w:t>100．00</w:t>
            </w:r>
          </w:p>
        </w:tc>
        <w:tc>
          <w:tcPr>
            <w:tcW w:w="1731" w:type="dxa"/>
            <w:vAlign w:val="center"/>
          </w:tcPr>
          <w:p>
            <w:pPr>
              <w:jc w:val="center"/>
              <w:rPr>
                <w:rFonts w:ascii="宋体" w:hAnsi="宋体"/>
                <w:szCs w:val="21"/>
                <w:highlight w:val="none"/>
              </w:rPr>
            </w:pPr>
          </w:p>
        </w:tc>
        <w:tc>
          <w:tcPr>
            <w:tcW w:w="1732" w:type="dxa"/>
            <w:vAlign w:val="center"/>
          </w:tcPr>
          <w:p>
            <w:pPr>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highlight w:val="none"/>
              </w:rPr>
            </w:pPr>
            <w:r>
              <w:rPr>
                <w:rFonts w:hint="eastAsia" w:ascii="宋体" w:hAnsi="宋体"/>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highlight w:val="none"/>
              </w:rPr>
            </w:pPr>
            <w:r>
              <w:rPr>
                <w:rFonts w:hint="eastAsia" w:ascii="宋体" w:hAnsi="宋体"/>
                <w:szCs w:val="21"/>
                <w:highlight w:val="none"/>
              </w:rPr>
              <w:t>说</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明</w:t>
            </w:r>
          </w:p>
        </w:tc>
        <w:tc>
          <w:tcPr>
            <w:tcW w:w="8922" w:type="dxa"/>
            <w:gridSpan w:val="5"/>
            <w:vAlign w:val="center"/>
          </w:tcPr>
          <w:p>
            <w:pPr>
              <w:jc w:val="center"/>
              <w:rPr>
                <w:rFonts w:ascii="宋体" w:hAnsi="宋体"/>
                <w:szCs w:val="21"/>
                <w:highlight w:val="none"/>
              </w:rPr>
            </w:pPr>
          </w:p>
        </w:tc>
      </w:tr>
    </w:tbl>
    <w:p>
      <w:pPr>
        <w:jc w:val="center"/>
        <w:rPr>
          <w:rFonts w:ascii="隶书" w:hAnsi="宋体" w:eastAsia="隶书"/>
          <w:sz w:val="24"/>
          <w:highlight w:val="none"/>
        </w:rPr>
      </w:pPr>
    </w:p>
    <w:p>
      <w:pPr>
        <w:rPr>
          <w:rFonts w:ascii="宋体" w:hAnsi="宋体"/>
          <w:szCs w:val="21"/>
          <w:highlight w:val="none"/>
        </w:rPr>
      </w:pPr>
      <w:r>
        <w:rPr>
          <w:rFonts w:hint="eastAsia" w:ascii="宋体" w:hAnsi="宋体"/>
          <w:szCs w:val="21"/>
          <w:highlight w:val="none"/>
        </w:rPr>
        <w:t>注：1.投标人可按附表一的工程进度估算并填写本表。</w:t>
      </w:r>
    </w:p>
    <w:p>
      <w:pPr>
        <w:ind w:left="630" w:hanging="630"/>
        <w:rPr>
          <w:rFonts w:ascii="宋体" w:hAnsi="宋体"/>
          <w:szCs w:val="21"/>
          <w:highlight w:val="none"/>
        </w:rPr>
      </w:pPr>
      <w:r>
        <w:rPr>
          <w:rFonts w:hint="eastAsia" w:ascii="宋体" w:hAnsi="宋体"/>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rPr>
          <w:highlight w:val="none"/>
        </w:rPr>
      </w:pPr>
    </w:p>
    <w:sectPr>
      <w:headerReference r:id="rId12"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Neue">
    <w:altName w:val="Malgun Gothic"/>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7108"/>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ind w:firstLine="3600" w:firstLineChars="2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2049"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PPycLkAQAAwAMAAA4AAABkcnMvZTJvRG9jLnhtbK1TwW7bMAy9D+g/&#10;CLovjttmLYw4RdcixYBuLdDuA2RZtoVZokApsbOvHyXHabfdhl0EiqKe+B6f1jej6dleoddgS54v&#10;lpwpK6HWti3599ftx2vOfBC2Fj1YVfKD8vxmc/ZhPbhCnUMHfa2QEYj1xeBK3oXgiizzslNG+AU4&#10;ZemwATQi0BbbrEYxELrps/Pl8lM2ANYOQSrvKXs/HfJNwm8aJcNT03gVWF9y6i2kFdNaxTXbrEXR&#10;onCdlsc2xD90YYS29OgJ6l4EwXao/4IyWiJ4aMJCgsmgabRUiQOxyZd/sHnphFOJC4nj3Ukm//9g&#10;5bf9MzJdl/yCMysMjehVjYF9hpHlUZ3B+YKKXhyVhZHSNOXE1LtHkD88s3DXCduqW0QYOiVq6i7d&#10;zN5dnXB8BKmGr1DTM2IXIAGNDZooHYnBCJ2mdDhNJrYiKbm6urpecSbpJL/ILy9XsbVMFPNdhz48&#10;KDAsBiVHmnvCFvtHH6bSuSQ+ZWGr+z7Nvre/JQhzyqhknuPtyCQ2P9EIYzUelamgPhAnhMlY9BEo&#10;6AB/cjaQqUpuyfWc9V8sqRL9Nwc4B9UcCCvpYskDZ1N4Fyaf7hzqtiPcWfdbUm6rE63Y2NQDyRE3&#10;ZJMkzNHS0Yfv96nq7eN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i91E0AAAAAIBAAAPAAAA&#10;AAAAAAEAIAAAACIAAABkcnMvZG93bnJldi54bWxQSwECFAAUAAAACACHTuJA08/JwuQBAADAAwAA&#10;DgAAAAAAAAABACAAAAAfAQAAZHJzL2Uyb0RvYy54bWxQSwUGAAAAAAYABgBZAQAAdQU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762"/>
        <w:tab w:val="clear" w:pos="4153"/>
        <w:tab w:val="clear" w:pos="8306"/>
      </w:tabs>
    </w:pPr>
    <w:r>
      <w:pict>
        <v:shape id="Text Box 2" o:spid="_x0000_s2050"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fkZ0teQBAADBAwAADgAAAGRycy9lMm9Eb2MueG1srVPbbtQwEH1H4h8s&#10;v7O50EIVbbYqrRYhFYrU9gMcx0ksEo819m6yfD1jJ1kKvFW8WBN75sycMyfb62no2VGh02BKnm1S&#10;zpSRUGvTlvz5af/uijPnhalFD0aV/KQcv969fbMdbaFy6KCvFTICMa4Ybck7722RJE52ahBuA1YZ&#10;emwAB+HpE9ukRjES+tAneZp+SEbA2iJI5Rzd3s2PfBfxm0ZJ/9A0TnnWl5xm8/HEeFbhTHZbUbQo&#10;bKflMoZ4xRSD0IaanqHuhBfsgPofqEFLBAeN30gYEmgaLVXkQGyy9C82j52wKnIhcZw9y+T+H6z8&#10;dvyOTNclzzkzYqAVPanJs08wsTyoM1pXUNKjpTQ/0TVtOTJ19h7kD8cM3HbCtOoGEcZOiZqmy0Jl&#10;8qJ0xnEBpBq/Qk1txMFDBJoaHIJ0JAYjdNrS6byZMIoMLT/m6dUlZ5KesvfZxcVl7CCKtdii858V&#10;DCwEJUdafAQXx3vnwzCiWFNCLwN73fdx+b3544IS5xsV3bNUByph+pmHn6ppkaaC+kSkEGZn0Z9A&#10;QQf4k7ORXFVyQ7bnrP9iSJZgwDXANajWQBhJhSX3nM3hrZ+NerCo245wV+FvSLq9jrTCYPMMi+Dk&#10;k8h28XQw4svvmPX7z9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V0OXPAAAAAwEAAA8AAAAA&#10;AAAAAQAgAAAAIgAAAGRycy9kb3ducmV2LnhtbFBLAQIUABQAAAAIAIdO4kB+RnS15AEAAMEDAAAO&#10;AAAAAAAAAAEAIAAAAB4BAABkcnMvZTJvRG9jLnhtbFBLBQYAAAAABgAGAFkBAAB0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110</w:t>
                </w:r>
                <w:r>
                  <w:fldChar w:fldCharType="end"/>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r>
      <w:tab/>
    </w:r>
    <w:r>
      <w:rPr>
        <w:rFonts w:hint="eastAsia"/>
      </w:rPr>
      <w:t xml:space="preserve">                </w:t>
    </w:r>
    <w:r>
      <w:rPr>
        <w:rFonts w:hint="eastAsia"/>
        <w:lang w:val="en-US" w:eastAsia="zh-CN"/>
      </w:rPr>
      <w:t xml:space="preserve">                                                                  </w:t>
    </w:r>
    <w:r>
      <w:rPr>
        <w:rFonts w:hint="eastAsia"/>
      </w:rPr>
      <w:t xml:space="preserve"> </w:t>
    </w:r>
    <w:r>
      <w:rPr>
        <w:rFonts w:hint="eastAsia" w:ascii="仿宋" w:hAnsi="仿宋" w:eastAsia="仿宋" w:cs="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680" w:firstLineChars="2600"/>
    </w:pPr>
    <w:r>
      <w:rPr>
        <w:rFonts w:hint="eastAsia"/>
      </w:rPr>
      <w:t xml:space="preserve">              </w:t>
    </w:r>
    <w:r>
      <w:tab/>
    </w: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p>
    <w:r>
      <w:rPr>
        <w:rFonts w:hint="eastAsia" w:ascii="仿宋" w:hAnsi="仿宋" w:eastAsia="仿宋" w:cs="仿宋"/>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1385"/>
        <w:tab w:val="clear" w:pos="7066"/>
        <w:tab w:val="clear" w:pos="8306"/>
      </w:tabs>
    </w:pPr>
    <w:r>
      <w:rPr>
        <w:rFonts w:hint="eastAsia"/>
      </w:rPr>
      <w:t xml:space="preserve">                   </w:t>
    </w:r>
    <w:r>
      <w:tab/>
    </w:r>
    <w:r>
      <w:rPr>
        <w:rFonts w:hint="eastAsia"/>
        <w:lang w:val="en-US" w:eastAsia="zh-CN"/>
      </w:rP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宋体"/>
        <w:lang w:eastAsia="zh-CN"/>
      </w:rPr>
    </w:pPr>
    <w:r>
      <w:rPr>
        <w:rFonts w:hint="eastAsia"/>
        <w:lang w:eastAsia="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仿宋" w:hAnsi="仿宋" w:eastAsia="仿宋" w:cs="仿宋"/>
        <w:lang w:val="en-US" w:eastAsia="zh-CN"/>
      </w:rPr>
      <w:t xml:space="preserve">       </w:t>
    </w:r>
    <w:r>
      <w:rPr>
        <w:rFonts w:hint="eastAsia"/>
      </w:rPr>
      <w:t xml:space="preserve">                 </w:t>
    </w:r>
    <w:r>
      <w:tab/>
    </w:r>
    <w:r>
      <w:rPr>
        <w:rFonts w:hint="eastAsia"/>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abstractNum w:abstractNumId="1">
    <w:nsid w:val="48594EB0"/>
    <w:multiLevelType w:val="multilevel"/>
    <w:tmpl w:val="48594E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87290"/>
    <w:rsid w:val="000B4C78"/>
    <w:rsid w:val="001C65AF"/>
    <w:rsid w:val="002915F4"/>
    <w:rsid w:val="00335343"/>
    <w:rsid w:val="009415DE"/>
    <w:rsid w:val="00BA6A71"/>
    <w:rsid w:val="00D87290"/>
    <w:rsid w:val="00E82B89"/>
    <w:rsid w:val="04623B39"/>
    <w:rsid w:val="04A96CC2"/>
    <w:rsid w:val="052A3E88"/>
    <w:rsid w:val="05313F05"/>
    <w:rsid w:val="05FF7182"/>
    <w:rsid w:val="07DF47AF"/>
    <w:rsid w:val="0A7D4D9C"/>
    <w:rsid w:val="0A7D6436"/>
    <w:rsid w:val="0B69270C"/>
    <w:rsid w:val="0B84370F"/>
    <w:rsid w:val="0D6B6DC3"/>
    <w:rsid w:val="0F306744"/>
    <w:rsid w:val="1195612F"/>
    <w:rsid w:val="143434F5"/>
    <w:rsid w:val="16BB3BB8"/>
    <w:rsid w:val="17AD514D"/>
    <w:rsid w:val="18853EC9"/>
    <w:rsid w:val="1AB10683"/>
    <w:rsid w:val="1B6171B3"/>
    <w:rsid w:val="1C1C06DE"/>
    <w:rsid w:val="207B25C2"/>
    <w:rsid w:val="20D64099"/>
    <w:rsid w:val="21CF4B21"/>
    <w:rsid w:val="22DA71E2"/>
    <w:rsid w:val="245144E2"/>
    <w:rsid w:val="27476687"/>
    <w:rsid w:val="291E27F5"/>
    <w:rsid w:val="2ACA6956"/>
    <w:rsid w:val="2B7A4184"/>
    <w:rsid w:val="2C98465F"/>
    <w:rsid w:val="2CD43F7F"/>
    <w:rsid w:val="2D5900A7"/>
    <w:rsid w:val="2D5B76E7"/>
    <w:rsid w:val="2F1071BE"/>
    <w:rsid w:val="2F33605F"/>
    <w:rsid w:val="2FF2179C"/>
    <w:rsid w:val="30574CEB"/>
    <w:rsid w:val="307A11E8"/>
    <w:rsid w:val="30FC46D3"/>
    <w:rsid w:val="310F69B1"/>
    <w:rsid w:val="32B023AC"/>
    <w:rsid w:val="33E65A8D"/>
    <w:rsid w:val="346D175B"/>
    <w:rsid w:val="3501662C"/>
    <w:rsid w:val="352F1C18"/>
    <w:rsid w:val="36957905"/>
    <w:rsid w:val="3BFD61B5"/>
    <w:rsid w:val="3E2E3C06"/>
    <w:rsid w:val="40FC1CCD"/>
    <w:rsid w:val="415B673E"/>
    <w:rsid w:val="44BD1DD8"/>
    <w:rsid w:val="45537AE8"/>
    <w:rsid w:val="458C6C2B"/>
    <w:rsid w:val="46087455"/>
    <w:rsid w:val="4642191F"/>
    <w:rsid w:val="474D77BC"/>
    <w:rsid w:val="499472B0"/>
    <w:rsid w:val="4D0D32C6"/>
    <w:rsid w:val="4DA621EE"/>
    <w:rsid w:val="4E1E2074"/>
    <w:rsid w:val="508E74EC"/>
    <w:rsid w:val="53792D5F"/>
    <w:rsid w:val="53A24EEE"/>
    <w:rsid w:val="556D38C5"/>
    <w:rsid w:val="5695250D"/>
    <w:rsid w:val="57547152"/>
    <w:rsid w:val="58E07DFC"/>
    <w:rsid w:val="59FE44A7"/>
    <w:rsid w:val="5AF17832"/>
    <w:rsid w:val="5E9B24D5"/>
    <w:rsid w:val="60431EEB"/>
    <w:rsid w:val="61182E3A"/>
    <w:rsid w:val="653F68D7"/>
    <w:rsid w:val="69487CAC"/>
    <w:rsid w:val="6AC4229C"/>
    <w:rsid w:val="6C033F59"/>
    <w:rsid w:val="6CDD1F60"/>
    <w:rsid w:val="6DA03416"/>
    <w:rsid w:val="6DA559FB"/>
    <w:rsid w:val="6F0C308F"/>
    <w:rsid w:val="711C7114"/>
    <w:rsid w:val="71D87296"/>
    <w:rsid w:val="725C071F"/>
    <w:rsid w:val="75080C83"/>
    <w:rsid w:val="75776F3F"/>
    <w:rsid w:val="76757E1D"/>
    <w:rsid w:val="78327D10"/>
    <w:rsid w:val="7A1126FF"/>
    <w:rsid w:val="7C233C81"/>
    <w:rsid w:val="7CDE5F0F"/>
    <w:rsid w:val="7F61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7">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3"/>
    <w:unhideWhenUsed/>
    <w:qFormat/>
    <w:uiPriority w:val="0"/>
    <w:pPr>
      <w:ind w:firstLine="420" w:firstLineChars="100"/>
    </w:pPr>
  </w:style>
  <w:style w:type="paragraph" w:styleId="3">
    <w:name w:val="Body Text"/>
    <w:basedOn w:val="1"/>
    <w:link w:val="22"/>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Date"/>
    <w:basedOn w:val="1"/>
    <w:next w:val="1"/>
    <w:link w:val="24"/>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2"/>
      </w:pBdr>
      <w:tabs>
        <w:tab w:val="center" w:pos="4153"/>
        <w:tab w:val="center" w:pos="4762"/>
        <w:tab w:val="left" w:pos="7066"/>
        <w:tab w:val="right" w:pos="8306"/>
      </w:tabs>
      <w:snapToGrid w:val="0"/>
      <w:jc w:val="left"/>
    </w:pPr>
    <w:rPr>
      <w:sz w:val="18"/>
      <w:szCs w:val="18"/>
    </w:rPr>
  </w:style>
  <w:style w:type="paragraph" w:styleId="12">
    <w:name w:val="toc 1"/>
    <w:basedOn w:val="1"/>
    <w:next w:val="1"/>
    <w:qFormat/>
    <w:uiPriority w:val="0"/>
    <w:rPr>
      <w:szCs w:val="20"/>
    </w:rPr>
  </w:style>
  <w:style w:type="paragraph" w:styleId="13">
    <w:name w:val="footnote text"/>
    <w:basedOn w:val="1"/>
    <w:link w:val="32"/>
    <w:qFormat/>
    <w:uiPriority w:val="0"/>
    <w:pPr>
      <w:snapToGrid w:val="0"/>
      <w:jc w:val="left"/>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spacing w:beforeAutospacing="1" w:afterAutospacing="1"/>
      <w:jc w:val="left"/>
    </w:pPr>
    <w:rPr>
      <w:kern w:val="0"/>
      <w:sz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00"/>
      <w:u w:val="none"/>
    </w:rPr>
  </w:style>
  <w:style w:type="character" w:styleId="21">
    <w:name w:val="footnote reference"/>
    <w:qFormat/>
    <w:uiPriority w:val="0"/>
    <w:rPr>
      <w:vertAlign w:val="superscript"/>
    </w:rPr>
  </w:style>
  <w:style w:type="character" w:customStyle="1" w:styleId="22">
    <w:name w:val="正文文本 Char"/>
    <w:basedOn w:val="18"/>
    <w:link w:val="3"/>
    <w:semiHidden/>
    <w:qFormat/>
    <w:uiPriority w:val="99"/>
    <w:rPr>
      <w:rFonts w:ascii="Times New Roman" w:hAnsi="Times New Roman" w:eastAsia="宋体" w:cs="Times New Roman"/>
      <w:szCs w:val="24"/>
    </w:rPr>
  </w:style>
  <w:style w:type="character" w:customStyle="1" w:styleId="23">
    <w:name w:val="正文首行缩进 Char"/>
    <w:basedOn w:val="22"/>
    <w:link w:val="2"/>
    <w:qFormat/>
    <w:uiPriority w:val="0"/>
    <w:rPr>
      <w:rFonts w:ascii="Times New Roman" w:hAnsi="Times New Roman" w:eastAsia="宋体" w:cs="Times New Roman"/>
      <w:szCs w:val="24"/>
    </w:rPr>
  </w:style>
  <w:style w:type="character" w:customStyle="1" w:styleId="24">
    <w:name w:val="日期 Char"/>
    <w:basedOn w:val="18"/>
    <w:link w:val="8"/>
    <w:semiHidden/>
    <w:qFormat/>
    <w:uiPriority w:val="99"/>
    <w:rPr>
      <w:rFonts w:ascii="Times New Roman" w:hAnsi="Times New Roman" w:eastAsia="宋体" w:cs="Times New Roman"/>
      <w:szCs w:val="24"/>
    </w:rPr>
  </w:style>
  <w:style w:type="character" w:customStyle="1" w:styleId="25">
    <w:name w:val="页眉 Char"/>
    <w:basedOn w:val="18"/>
    <w:link w:val="11"/>
    <w:qFormat/>
    <w:uiPriority w:val="0"/>
    <w:rPr>
      <w:kern w:val="2"/>
      <w:sz w:val="18"/>
      <w:szCs w:val="18"/>
    </w:rPr>
  </w:style>
  <w:style w:type="character" w:customStyle="1" w:styleId="26">
    <w:name w:val="页脚 Char"/>
    <w:basedOn w:val="18"/>
    <w:link w:val="10"/>
    <w:qFormat/>
    <w:uiPriority w:val="99"/>
    <w:rPr>
      <w:rFonts w:ascii="Times New Roman" w:hAnsi="Times New Roman" w:eastAsia="宋体" w:cs="Times New Roman"/>
      <w:sz w:val="18"/>
      <w:szCs w:val="18"/>
    </w:rPr>
  </w:style>
  <w:style w:type="character" w:customStyle="1" w:styleId="27">
    <w:name w:val="批注框文本 Char"/>
    <w:basedOn w:val="18"/>
    <w:link w:val="9"/>
    <w:semiHidden/>
    <w:qFormat/>
    <w:uiPriority w:val="99"/>
    <w:rPr>
      <w:rFonts w:ascii="Times New Roman" w:hAnsi="Times New Roman" w:eastAsia="宋体" w:cs="Times New Roman"/>
      <w:sz w:val="18"/>
      <w:szCs w:val="18"/>
    </w:rPr>
  </w:style>
  <w:style w:type="paragraph" w:customStyle="1" w:styleId="28">
    <w:name w:val="列出段落1"/>
    <w:basedOn w:val="1"/>
    <w:qFormat/>
    <w:uiPriority w:val="34"/>
    <w:pPr>
      <w:ind w:firstLine="420" w:firstLineChars="200"/>
    </w:pPr>
  </w:style>
  <w:style w:type="paragraph" w:customStyle="1" w:styleId="29">
    <w:name w:val="p0"/>
    <w:basedOn w:val="1"/>
    <w:qFormat/>
    <w:uiPriority w:val="0"/>
    <w:pPr>
      <w:widowControl/>
    </w:pPr>
    <w:rPr>
      <w:kern w:val="0"/>
      <w:szCs w:val="21"/>
    </w:rPr>
  </w:style>
  <w:style w:type="paragraph" w:customStyle="1" w:styleId="3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1">
    <w:name w:val="标题 1 Char"/>
    <w:basedOn w:val="18"/>
    <w:link w:val="6"/>
    <w:qFormat/>
    <w:uiPriority w:val="0"/>
    <w:rPr>
      <w:rFonts w:ascii="Times New Roman" w:hAnsi="Times New Roman" w:eastAsia="宋体" w:cs="Times New Roman"/>
      <w:b/>
      <w:bCs/>
      <w:kern w:val="44"/>
      <w:sz w:val="44"/>
      <w:szCs w:val="44"/>
    </w:rPr>
  </w:style>
  <w:style w:type="character" w:customStyle="1" w:styleId="32">
    <w:name w:val="脚注文本 Char"/>
    <w:basedOn w:val="18"/>
    <w:link w:val="13"/>
    <w:qFormat/>
    <w:uiPriority w:val="0"/>
    <w:rPr>
      <w:rFonts w:ascii="Times New Roman" w:hAnsi="Times New Roman" w:eastAsia="宋体" w:cs="Times New Roman"/>
      <w:sz w:val="18"/>
      <w:szCs w:val="18"/>
    </w:rPr>
  </w:style>
  <w:style w:type="character" w:customStyle="1" w:styleId="33">
    <w:name w:val="标题 4 Char"/>
    <w:basedOn w:val="18"/>
    <w:link w:val="7"/>
    <w:qFormat/>
    <w:uiPriority w:val="0"/>
    <w:rPr>
      <w:rFonts w:ascii="Arial" w:hAnsi="Arial" w:eastAsia="黑体" w:cs="Times New Roman"/>
      <w:b/>
      <w:bCs/>
      <w:sz w:val="28"/>
      <w:szCs w:val="28"/>
    </w:rPr>
  </w:style>
  <w:style w:type="paragraph" w:customStyle="1" w:styleId="34">
    <w:name w:val="纯文本1"/>
    <w:basedOn w:val="1"/>
    <w:qFormat/>
    <w:uiPriority w:val="0"/>
    <w:rPr>
      <w:rFonts w:ascii="宋体" w:hAnsi="Courier New"/>
      <w:color w:val="000000"/>
      <w:szCs w:val="20"/>
    </w:rPr>
  </w:style>
  <w:style w:type="character" w:customStyle="1" w:styleId="35">
    <w:name w:val="页码1"/>
    <w:basedOn w:val="18"/>
    <w:qFormat/>
    <w:uiPriority w:val="0"/>
  </w:style>
  <w:style w:type="paragraph" w:customStyle="1" w:styleId="36">
    <w:name w:val="列出段落2"/>
    <w:basedOn w:val="1"/>
    <w:unhideWhenUsed/>
    <w:qFormat/>
    <w:uiPriority w:val="99"/>
    <w:pPr>
      <w:ind w:firstLine="420" w:firstLineChars="200"/>
    </w:pPr>
  </w:style>
  <w:style w:type="paragraph" w:customStyle="1" w:styleId="37">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38">
    <w:name w:val="p2"/>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34"/>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135</Pages>
  <Words>11175</Words>
  <Characters>63700</Characters>
  <Lines>530</Lines>
  <Paragraphs>149</Paragraphs>
  <TotalTime>157</TotalTime>
  <ScaleCrop>false</ScaleCrop>
  <LinksUpToDate>false</LinksUpToDate>
  <CharactersWithSpaces>74726</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2020-04-24T15:06:00Z</dcterms:created>
  <dc:creator>中科华水工程管理有限公司:张倩</dc:creator>
  <cp:lastModifiedBy>Hotel California</cp:lastModifiedBy>
  <cp:lastPrinted>2020-04-25T16:01:00Z</cp:lastPrinted>
  <dcterms:modified xsi:type="dcterms:W3CDTF">2020-06-02T04:03:51Z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